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EDD0">
      <w:pPr>
        <w:pStyle w:val="14"/>
        <w:spacing w:before="100" w:beforeAutospacing="1"/>
        <w:jc w:val="both"/>
        <w:rPr>
          <w:rFonts w:hint="eastAsia" w:ascii="宋体" w:hAnsi="宋体"/>
          <w:b w:val="0"/>
          <w:color w:val="auto"/>
          <w:sz w:val="24"/>
          <w:highlight w:val="none"/>
        </w:rPr>
      </w:pPr>
    </w:p>
    <w:p w14:paraId="621B15B5">
      <w:pPr>
        <w:tabs>
          <w:tab w:val="left" w:pos="8600"/>
        </w:tabs>
        <w:autoSpaceDE w:val="0"/>
        <w:autoSpaceDN w:val="0"/>
        <w:adjustRightInd w:val="0"/>
        <w:spacing w:line="360" w:lineRule="auto"/>
        <w:ind w:right="960"/>
        <w:jc w:val="right"/>
        <w:rPr>
          <w:rFonts w:ascii="宋体" w:cs="宋体"/>
          <w:color w:val="auto"/>
          <w:kern w:val="0"/>
          <w:sz w:val="20"/>
          <w:highlight w:val="none"/>
        </w:rPr>
      </w:pPr>
      <w:r>
        <w:rPr>
          <w:rFonts w:hint="eastAsia" w:ascii="宋体" w:cs="宋体"/>
          <w:color w:val="auto"/>
          <w:kern w:val="0"/>
          <w:position w:val="-2"/>
          <w:sz w:val="24"/>
          <w:szCs w:val="24"/>
          <w:highlight w:val="none"/>
        </w:rPr>
        <w:t xml:space="preserve">合同编号：  </w:t>
      </w:r>
    </w:p>
    <w:p w14:paraId="441CB617">
      <w:pPr>
        <w:tabs>
          <w:tab w:val="left" w:pos="8600"/>
        </w:tabs>
        <w:autoSpaceDE w:val="0"/>
        <w:autoSpaceDN w:val="0"/>
        <w:adjustRightInd w:val="0"/>
        <w:spacing w:line="360" w:lineRule="auto"/>
        <w:jc w:val="right"/>
        <w:rPr>
          <w:rFonts w:ascii="宋体" w:cs="宋体"/>
          <w:color w:val="auto"/>
          <w:kern w:val="0"/>
          <w:sz w:val="20"/>
          <w:highlight w:val="none"/>
        </w:rPr>
      </w:pPr>
    </w:p>
    <w:p w14:paraId="1C827B6E">
      <w:pPr>
        <w:autoSpaceDE w:val="0"/>
        <w:autoSpaceDN w:val="0"/>
        <w:adjustRightInd w:val="0"/>
        <w:spacing w:line="360" w:lineRule="auto"/>
        <w:jc w:val="left"/>
        <w:rPr>
          <w:rFonts w:ascii="宋体" w:cs="宋体"/>
          <w:b/>
          <w:color w:val="auto"/>
          <w:kern w:val="0"/>
          <w:sz w:val="36"/>
          <w:szCs w:val="36"/>
          <w:highlight w:val="none"/>
        </w:rPr>
      </w:pPr>
    </w:p>
    <w:p w14:paraId="54C5F417">
      <w:pPr>
        <w:autoSpaceDE w:val="0"/>
        <w:autoSpaceDN w:val="0"/>
        <w:adjustRightInd w:val="0"/>
        <w:spacing w:line="360" w:lineRule="auto"/>
        <w:jc w:val="left"/>
        <w:rPr>
          <w:rFonts w:ascii="宋体" w:cs="宋体"/>
          <w:b/>
          <w:color w:val="auto"/>
          <w:kern w:val="0"/>
          <w:sz w:val="36"/>
          <w:szCs w:val="36"/>
          <w:highlight w:val="none"/>
        </w:rPr>
      </w:pPr>
    </w:p>
    <w:p w14:paraId="4931FAFC">
      <w:pPr>
        <w:autoSpaceDE w:val="0"/>
        <w:autoSpaceDN w:val="0"/>
        <w:adjustRightInd w:val="0"/>
        <w:spacing w:line="360" w:lineRule="auto"/>
        <w:jc w:val="left"/>
        <w:rPr>
          <w:rFonts w:ascii="宋体" w:cs="宋体"/>
          <w:b/>
          <w:color w:val="auto"/>
          <w:kern w:val="0"/>
          <w:sz w:val="36"/>
          <w:szCs w:val="36"/>
          <w:highlight w:val="none"/>
        </w:rPr>
      </w:pPr>
    </w:p>
    <w:p w14:paraId="1D766D37">
      <w:pPr>
        <w:autoSpaceDE w:val="0"/>
        <w:autoSpaceDN w:val="0"/>
        <w:adjustRightInd w:val="0"/>
        <w:spacing w:line="360" w:lineRule="auto"/>
        <w:jc w:val="left"/>
        <w:rPr>
          <w:rFonts w:ascii="宋体" w:cs="宋体"/>
          <w:b/>
          <w:color w:val="auto"/>
          <w:kern w:val="0"/>
          <w:sz w:val="36"/>
          <w:szCs w:val="36"/>
          <w:highlight w:val="none"/>
        </w:rPr>
      </w:pPr>
    </w:p>
    <w:p w14:paraId="63489E63">
      <w:pPr>
        <w:autoSpaceDE w:val="0"/>
        <w:autoSpaceDN w:val="0"/>
        <w:adjustRightInd w:val="0"/>
        <w:spacing w:line="360" w:lineRule="auto"/>
        <w:jc w:val="left"/>
        <w:rPr>
          <w:rFonts w:ascii="宋体" w:cs="宋体"/>
          <w:b/>
          <w:color w:val="auto"/>
          <w:kern w:val="0"/>
          <w:sz w:val="36"/>
          <w:szCs w:val="36"/>
          <w:highlight w:val="none"/>
        </w:rPr>
      </w:pPr>
    </w:p>
    <w:p w14:paraId="73F119C6">
      <w:pPr>
        <w:autoSpaceDE w:val="0"/>
        <w:autoSpaceDN w:val="0"/>
        <w:adjustRightInd w:val="0"/>
        <w:spacing w:line="360" w:lineRule="auto"/>
        <w:jc w:val="center"/>
        <w:rPr>
          <w:rFonts w:ascii="宋体" w:cs="宋体"/>
          <w:b/>
          <w:color w:val="auto"/>
          <w:kern w:val="0"/>
          <w:sz w:val="44"/>
          <w:szCs w:val="44"/>
          <w:highlight w:val="none"/>
        </w:rPr>
      </w:pPr>
      <w:r>
        <w:rPr>
          <w:rFonts w:hint="eastAsia" w:ascii="宋体" w:cs="宋体"/>
          <w:b/>
          <w:color w:val="auto"/>
          <w:kern w:val="0"/>
          <w:sz w:val="44"/>
          <w:szCs w:val="44"/>
          <w:highlight w:val="none"/>
        </w:rPr>
        <w:t>施工专业承包合同</w:t>
      </w:r>
    </w:p>
    <w:p w14:paraId="0376AAA8">
      <w:pPr>
        <w:autoSpaceDE w:val="0"/>
        <w:autoSpaceDN w:val="0"/>
        <w:adjustRightInd w:val="0"/>
        <w:spacing w:line="360" w:lineRule="auto"/>
        <w:jc w:val="left"/>
        <w:rPr>
          <w:rFonts w:ascii="宋体" w:cs="宋体"/>
          <w:b/>
          <w:color w:val="auto"/>
          <w:kern w:val="0"/>
          <w:sz w:val="36"/>
          <w:szCs w:val="36"/>
          <w:highlight w:val="none"/>
        </w:rPr>
      </w:pPr>
    </w:p>
    <w:p w14:paraId="7A7DADE5">
      <w:pPr>
        <w:autoSpaceDE w:val="0"/>
        <w:autoSpaceDN w:val="0"/>
        <w:adjustRightInd w:val="0"/>
        <w:spacing w:line="360" w:lineRule="auto"/>
        <w:jc w:val="left"/>
        <w:rPr>
          <w:rFonts w:ascii="宋体" w:cs="宋体"/>
          <w:b/>
          <w:color w:val="auto"/>
          <w:kern w:val="0"/>
          <w:sz w:val="36"/>
          <w:szCs w:val="36"/>
          <w:highlight w:val="none"/>
        </w:rPr>
      </w:pPr>
    </w:p>
    <w:p w14:paraId="4285133E">
      <w:pPr>
        <w:autoSpaceDE w:val="0"/>
        <w:autoSpaceDN w:val="0"/>
        <w:adjustRightInd w:val="0"/>
        <w:spacing w:line="360" w:lineRule="auto"/>
        <w:jc w:val="left"/>
        <w:rPr>
          <w:rFonts w:ascii="宋体" w:cs="宋体"/>
          <w:b/>
          <w:color w:val="auto"/>
          <w:kern w:val="0"/>
          <w:sz w:val="36"/>
          <w:szCs w:val="36"/>
          <w:highlight w:val="none"/>
        </w:rPr>
      </w:pPr>
    </w:p>
    <w:p w14:paraId="063FFE54">
      <w:pPr>
        <w:autoSpaceDE w:val="0"/>
        <w:autoSpaceDN w:val="0"/>
        <w:adjustRightInd w:val="0"/>
        <w:spacing w:line="360" w:lineRule="auto"/>
        <w:jc w:val="left"/>
        <w:rPr>
          <w:rFonts w:ascii="宋体" w:cs="宋体"/>
          <w:b/>
          <w:color w:val="auto"/>
          <w:kern w:val="0"/>
          <w:sz w:val="36"/>
          <w:szCs w:val="36"/>
          <w:highlight w:val="none"/>
        </w:rPr>
      </w:pPr>
    </w:p>
    <w:p w14:paraId="600C96F5">
      <w:pPr>
        <w:adjustRightInd w:val="0"/>
        <w:snapToGrid w:val="0"/>
        <w:ind w:left="1434" w:hanging="1433" w:hangingChars="448"/>
        <w:rPr>
          <w:rFonts w:ascii="宋体" w:cs="宋体"/>
          <w:color w:val="auto"/>
          <w:kern w:val="0"/>
          <w:sz w:val="32"/>
          <w:szCs w:val="32"/>
          <w:highlight w:val="none"/>
          <w:u w:val="single"/>
        </w:rPr>
      </w:pPr>
      <w:r>
        <w:rPr>
          <w:rFonts w:hint="eastAsia" w:ascii="宋体" w:cs="宋体"/>
          <w:color w:val="auto"/>
          <w:kern w:val="0"/>
          <w:sz w:val="32"/>
          <w:szCs w:val="32"/>
          <w:highlight w:val="none"/>
        </w:rPr>
        <w:t>工程名称：</w:t>
      </w:r>
      <w:r>
        <w:rPr>
          <w:rFonts w:hint="eastAsia" w:ascii="宋体" w:cs="宋体"/>
          <w:color w:val="auto"/>
          <w:kern w:val="0"/>
          <w:sz w:val="32"/>
          <w:szCs w:val="32"/>
          <w:highlight w:val="none"/>
          <w:u w:val="single"/>
        </w:rPr>
        <w:t>悦辰花园项目（原名：领隽城市花园项目）三期A区、B区及会所高低压配电工程</w:t>
      </w:r>
    </w:p>
    <w:p w14:paraId="5E0828EB">
      <w:pPr>
        <w:adjustRightInd w:val="0"/>
        <w:snapToGrid w:val="0"/>
        <w:ind w:left="1434" w:hanging="1433" w:hangingChars="448"/>
        <w:rPr>
          <w:rFonts w:ascii="宋体" w:cs="宋体"/>
          <w:color w:val="auto"/>
          <w:kern w:val="0"/>
          <w:sz w:val="32"/>
          <w:szCs w:val="32"/>
          <w:highlight w:val="none"/>
          <w:u w:val="single"/>
        </w:rPr>
      </w:pPr>
    </w:p>
    <w:p w14:paraId="7A169922">
      <w:pPr>
        <w:autoSpaceDE w:val="0"/>
        <w:autoSpaceDN w:val="0"/>
        <w:adjustRightInd w:val="0"/>
        <w:snapToGrid w:val="0"/>
        <w:ind w:left="1434" w:hanging="1433" w:hangingChars="448"/>
        <w:jc w:val="left"/>
        <w:rPr>
          <w:rFonts w:ascii="宋体" w:cs="宋体"/>
          <w:color w:val="auto"/>
          <w:kern w:val="0"/>
          <w:sz w:val="32"/>
          <w:szCs w:val="32"/>
          <w:highlight w:val="none"/>
          <w:u w:val="single"/>
        </w:rPr>
      </w:pPr>
      <w:r>
        <w:rPr>
          <w:rFonts w:hint="eastAsia" w:ascii="宋体" w:cs="宋体"/>
          <w:color w:val="auto"/>
          <w:kern w:val="0"/>
          <w:position w:val="-3"/>
          <w:sz w:val="32"/>
          <w:szCs w:val="32"/>
          <w:highlight w:val="none"/>
        </w:rPr>
        <w:t>工程地点：</w:t>
      </w:r>
      <w:r>
        <w:rPr>
          <w:rFonts w:hint="eastAsia" w:ascii="宋体" w:hAnsi="宋体" w:cs="宋体"/>
          <w:color w:val="auto"/>
          <w:kern w:val="0"/>
          <w:sz w:val="32"/>
          <w:szCs w:val="32"/>
          <w:highlight w:val="none"/>
          <w:u w:val="single"/>
        </w:rPr>
        <w:t>广州市黄埔区</w:t>
      </w:r>
    </w:p>
    <w:p w14:paraId="4FFD9E6B">
      <w:pPr>
        <w:autoSpaceDE w:val="0"/>
        <w:autoSpaceDN w:val="0"/>
        <w:adjustRightInd w:val="0"/>
        <w:snapToGrid w:val="0"/>
        <w:ind w:left="1434" w:hanging="1433" w:hangingChars="448"/>
        <w:jc w:val="left"/>
        <w:rPr>
          <w:rFonts w:ascii="宋体" w:cs="宋体"/>
          <w:color w:val="auto"/>
          <w:kern w:val="0"/>
          <w:sz w:val="32"/>
          <w:szCs w:val="32"/>
          <w:highlight w:val="none"/>
          <w:u w:val="single"/>
        </w:rPr>
      </w:pPr>
    </w:p>
    <w:p w14:paraId="4FB34C75">
      <w:pPr>
        <w:tabs>
          <w:tab w:val="left" w:pos="8560"/>
        </w:tabs>
        <w:autoSpaceDE w:val="0"/>
        <w:autoSpaceDN w:val="0"/>
        <w:adjustRightInd w:val="0"/>
        <w:snapToGrid w:val="0"/>
        <w:ind w:left="2150" w:hanging="2150" w:hangingChars="448"/>
        <w:jc w:val="left"/>
        <w:rPr>
          <w:rFonts w:ascii="宋体" w:cs="宋体"/>
          <w:color w:val="auto"/>
          <w:kern w:val="0"/>
          <w:sz w:val="32"/>
          <w:szCs w:val="32"/>
          <w:highlight w:val="none"/>
        </w:rPr>
      </w:pPr>
      <w:r>
        <w:rPr>
          <w:rFonts w:hint="eastAsia" w:ascii="宋体" w:cs="宋体"/>
          <w:color w:val="auto"/>
          <w:spacing w:val="80"/>
          <w:kern w:val="0"/>
          <w:position w:val="-3"/>
          <w:sz w:val="32"/>
          <w:szCs w:val="32"/>
          <w:highlight w:val="none"/>
          <w:fitText w:val="1280" w:id="-1664987648"/>
        </w:rPr>
        <w:t>发包</w:t>
      </w:r>
      <w:r>
        <w:rPr>
          <w:rFonts w:hint="eastAsia" w:ascii="宋体" w:cs="宋体"/>
          <w:color w:val="auto"/>
          <w:spacing w:val="0"/>
          <w:kern w:val="0"/>
          <w:position w:val="-3"/>
          <w:sz w:val="32"/>
          <w:szCs w:val="32"/>
          <w:highlight w:val="none"/>
          <w:fitText w:val="1280" w:id="-1664987648"/>
        </w:rPr>
        <w:t>人</w:t>
      </w:r>
      <w:r>
        <w:rPr>
          <w:rFonts w:hint="eastAsia" w:ascii="宋体" w:cs="宋体"/>
          <w:color w:val="auto"/>
          <w:kern w:val="0"/>
          <w:position w:val="-3"/>
          <w:sz w:val="32"/>
          <w:szCs w:val="32"/>
          <w:highlight w:val="none"/>
        </w:rPr>
        <w:t>：</w:t>
      </w:r>
      <w:r>
        <w:rPr>
          <w:rFonts w:hint="eastAsia" w:ascii="宋体" w:cs="宋体"/>
          <w:color w:val="auto"/>
          <w:kern w:val="0"/>
          <w:position w:val="-3"/>
          <w:sz w:val="32"/>
          <w:szCs w:val="32"/>
          <w:highlight w:val="none"/>
          <w:u w:val="single"/>
        </w:rPr>
        <w:t>广州市启韵房地产开发有限公司</w:t>
      </w:r>
    </w:p>
    <w:p w14:paraId="2C88F953">
      <w:pPr>
        <w:autoSpaceDE w:val="0"/>
        <w:autoSpaceDN w:val="0"/>
        <w:adjustRightInd w:val="0"/>
        <w:snapToGrid w:val="0"/>
        <w:ind w:left="1434" w:hanging="1433" w:hangingChars="448"/>
        <w:jc w:val="left"/>
        <w:rPr>
          <w:rFonts w:ascii="宋体" w:cs="宋体"/>
          <w:color w:val="auto"/>
          <w:kern w:val="0"/>
          <w:sz w:val="32"/>
          <w:szCs w:val="32"/>
          <w:highlight w:val="none"/>
        </w:rPr>
      </w:pPr>
    </w:p>
    <w:p w14:paraId="1DD1B04F">
      <w:pPr>
        <w:tabs>
          <w:tab w:val="left" w:pos="8560"/>
        </w:tabs>
        <w:autoSpaceDE w:val="0"/>
        <w:autoSpaceDN w:val="0"/>
        <w:adjustRightInd w:val="0"/>
        <w:spacing w:line="360" w:lineRule="auto"/>
        <w:jc w:val="left"/>
        <w:rPr>
          <w:rFonts w:ascii="宋体" w:cs="宋体"/>
          <w:color w:val="auto"/>
          <w:kern w:val="0"/>
          <w:position w:val="-3"/>
          <w:sz w:val="32"/>
          <w:szCs w:val="32"/>
          <w:highlight w:val="none"/>
          <w:u w:val="single"/>
        </w:rPr>
      </w:pPr>
      <w:r>
        <w:rPr>
          <w:rFonts w:hint="eastAsia" w:ascii="宋体" w:cs="宋体"/>
          <w:color w:val="auto"/>
          <w:spacing w:val="80"/>
          <w:kern w:val="0"/>
          <w:position w:val="-3"/>
          <w:sz w:val="32"/>
          <w:szCs w:val="32"/>
          <w:highlight w:val="none"/>
          <w:fitText w:val="1280" w:id="-1664987647"/>
        </w:rPr>
        <w:t>承包</w:t>
      </w:r>
      <w:r>
        <w:rPr>
          <w:rFonts w:hint="eastAsia" w:ascii="宋体" w:cs="宋体"/>
          <w:color w:val="auto"/>
          <w:spacing w:val="0"/>
          <w:kern w:val="0"/>
          <w:position w:val="-3"/>
          <w:sz w:val="32"/>
          <w:szCs w:val="32"/>
          <w:highlight w:val="none"/>
          <w:fitText w:val="1280" w:id="-1664987647"/>
        </w:rPr>
        <w:t>人</w:t>
      </w:r>
      <w:r>
        <w:rPr>
          <w:rFonts w:hint="eastAsia" w:ascii="宋体" w:cs="宋体"/>
          <w:color w:val="auto"/>
          <w:kern w:val="0"/>
          <w:position w:val="-3"/>
          <w:sz w:val="32"/>
          <w:szCs w:val="32"/>
          <w:highlight w:val="none"/>
        </w:rPr>
        <w:t>：</w:t>
      </w:r>
      <w:r>
        <w:rPr>
          <w:rFonts w:hint="eastAsia" w:ascii="宋体" w:cs="宋体"/>
          <w:color w:val="auto"/>
          <w:kern w:val="0"/>
          <w:position w:val="-3"/>
          <w:sz w:val="32"/>
          <w:szCs w:val="32"/>
          <w:highlight w:val="none"/>
          <w:u w:val="single"/>
        </w:rPr>
        <w:t xml:space="preserve"> </w:t>
      </w:r>
      <w:r>
        <w:rPr>
          <w:rFonts w:ascii="宋体" w:cs="宋体"/>
          <w:color w:val="auto"/>
          <w:kern w:val="0"/>
          <w:position w:val="-3"/>
          <w:sz w:val="32"/>
          <w:szCs w:val="32"/>
          <w:highlight w:val="none"/>
          <w:u w:val="single"/>
        </w:rPr>
        <w:t xml:space="preserve"> </w:t>
      </w:r>
      <w:r>
        <w:rPr>
          <w:rFonts w:hint="eastAsia" w:ascii="宋体" w:cs="宋体"/>
          <w:color w:val="auto"/>
          <w:kern w:val="0"/>
          <w:position w:val="-3"/>
          <w:sz w:val="32"/>
          <w:szCs w:val="32"/>
          <w:highlight w:val="none"/>
          <w:u w:val="single"/>
        </w:rPr>
        <w:t xml:space="preserve"> </w:t>
      </w:r>
    </w:p>
    <w:p w14:paraId="1065814C">
      <w:pPr>
        <w:pStyle w:val="3"/>
        <w:jc w:val="center"/>
        <w:rPr>
          <w:b w:val="0"/>
          <w:bCs w:val="0"/>
          <w:color w:val="auto"/>
          <w:sz w:val="36"/>
          <w:szCs w:val="36"/>
          <w:highlight w:val="none"/>
        </w:rPr>
        <w:sectPr>
          <w:footerReference r:id="rId4" w:type="first"/>
          <w:footerReference r:id="rId3" w:type="default"/>
          <w:pgSz w:w="11907" w:h="16840"/>
          <w:pgMar w:top="1134" w:right="1418" w:bottom="1134" w:left="1418" w:header="720" w:footer="720" w:gutter="0"/>
          <w:cols w:space="720" w:num="1"/>
          <w:titlePg/>
          <w:docGrid w:linePitch="286" w:charSpace="0"/>
        </w:sectPr>
      </w:pPr>
      <w:bookmarkStart w:id="0" w:name="_Toc468180410"/>
      <w:bookmarkStart w:id="1" w:name="_Toc91851338"/>
      <w:bookmarkStart w:id="2" w:name="_Toc465762475"/>
    </w:p>
    <w:p w14:paraId="211DF5BC">
      <w:pPr>
        <w:pStyle w:val="3"/>
        <w:jc w:val="center"/>
        <w:rPr>
          <w:b w:val="0"/>
          <w:bCs w:val="0"/>
          <w:color w:val="auto"/>
          <w:sz w:val="36"/>
          <w:szCs w:val="36"/>
          <w:highlight w:val="none"/>
        </w:rPr>
      </w:pPr>
      <w:r>
        <w:rPr>
          <w:rFonts w:hint="eastAsia"/>
          <w:b w:val="0"/>
          <w:bCs w:val="0"/>
          <w:color w:val="auto"/>
          <w:sz w:val="36"/>
          <w:szCs w:val="36"/>
          <w:highlight w:val="none"/>
        </w:rPr>
        <w:t>第一部分 协议书</w:t>
      </w:r>
      <w:bookmarkEnd w:id="0"/>
      <w:bookmarkEnd w:id="1"/>
      <w:bookmarkEnd w:id="2"/>
    </w:p>
    <w:p w14:paraId="1568FED2">
      <w:pPr>
        <w:autoSpaceDE w:val="0"/>
        <w:autoSpaceDN w:val="0"/>
        <w:adjustRightInd w:val="0"/>
        <w:spacing w:line="360" w:lineRule="auto"/>
        <w:jc w:val="left"/>
        <w:rPr>
          <w:rFonts w:ascii="宋体" w:cs="宋体"/>
          <w:color w:val="auto"/>
          <w:kern w:val="0"/>
          <w:sz w:val="13"/>
          <w:szCs w:val="13"/>
          <w:highlight w:val="none"/>
        </w:rPr>
      </w:pPr>
    </w:p>
    <w:p w14:paraId="780489BD">
      <w:pPr>
        <w:tabs>
          <w:tab w:val="left" w:pos="9100"/>
        </w:tabs>
        <w:autoSpaceDE w:val="0"/>
        <w:autoSpaceDN w:val="0"/>
        <w:adjustRightInd w:val="0"/>
        <w:spacing w:line="360" w:lineRule="auto"/>
        <w:ind w:left="101" w:right="-1"/>
        <w:jc w:val="left"/>
        <w:rPr>
          <w:rFonts w:ascii="宋体" w:hAnsi="宋体" w:cs="宋体"/>
          <w:b/>
          <w:color w:val="auto"/>
          <w:sz w:val="24"/>
          <w:highlight w:val="none"/>
          <w:u w:val="single"/>
        </w:rPr>
      </w:pPr>
      <w:r>
        <w:rPr>
          <w:rFonts w:hint="eastAsia" w:ascii="宋体" w:hAnsi="宋体" w:cs="宋体"/>
          <w:color w:val="auto"/>
          <w:kern w:val="0"/>
          <w:sz w:val="24"/>
          <w:highlight w:val="none"/>
        </w:rPr>
        <w:t>发包人（甲方）</w:t>
      </w:r>
      <w:r>
        <w:rPr>
          <w:rFonts w:hint="eastAsia" w:ascii="宋体" w:hAnsi="宋体" w:cs="宋体"/>
          <w:color w:val="auto"/>
          <w:kern w:val="0"/>
          <w:sz w:val="24"/>
          <w:highlight w:val="none"/>
          <w:lang w:eastAsia="zh-CN"/>
        </w:rPr>
        <w:t>：</w:t>
      </w:r>
      <w:r>
        <w:rPr>
          <w:rFonts w:hint="eastAsia"/>
          <w:color w:val="auto"/>
          <w:highlight w:val="none"/>
        </w:rPr>
        <w:t xml:space="preserve"> </w:t>
      </w:r>
      <w:r>
        <w:rPr>
          <w:rFonts w:hint="eastAsia" w:ascii="宋体" w:hAnsi="宋体"/>
          <w:color w:val="auto"/>
          <w:sz w:val="24"/>
          <w:szCs w:val="24"/>
          <w:highlight w:val="none"/>
          <w:u w:val="single"/>
        </w:rPr>
        <w:t xml:space="preserve"> 广州市启韵房地产开发有限公司</w:t>
      </w:r>
    </w:p>
    <w:p w14:paraId="6125147D">
      <w:pPr>
        <w:tabs>
          <w:tab w:val="left" w:pos="9100"/>
        </w:tabs>
        <w:autoSpaceDE w:val="0"/>
        <w:autoSpaceDN w:val="0"/>
        <w:adjustRightInd w:val="0"/>
        <w:spacing w:line="360" w:lineRule="auto"/>
        <w:ind w:left="101" w:right="930"/>
        <w:jc w:val="left"/>
        <w:rPr>
          <w:rFonts w:ascii="宋体" w:hAnsi="宋体" w:cs="宋体"/>
          <w:color w:val="auto"/>
          <w:kern w:val="0"/>
          <w:sz w:val="24"/>
          <w:highlight w:val="none"/>
        </w:rPr>
      </w:pPr>
      <w:r>
        <w:rPr>
          <w:rFonts w:hint="eastAsia" w:ascii="宋体" w:hAnsi="宋体" w:cs="宋体"/>
          <w:color w:val="auto"/>
          <w:kern w:val="0"/>
          <w:sz w:val="24"/>
          <w:highlight w:val="none"/>
        </w:rPr>
        <w:t>承包人（乙方）</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w:t>
      </w:r>
      <w:r>
        <w:rPr>
          <w:rFonts w:hint="eastAsia" w:ascii="宋体" w:hAnsi="宋体"/>
          <w:color w:val="auto"/>
          <w:sz w:val="24"/>
          <w:szCs w:val="24"/>
          <w:highlight w:val="none"/>
          <w:u w:val="single"/>
        </w:rPr>
        <w:t xml:space="preserve"> </w:t>
      </w:r>
      <w:r>
        <w:rPr>
          <w:rFonts w:ascii="宋体" w:hAnsi="宋体" w:cs="宋体"/>
          <w:color w:val="auto"/>
          <w:kern w:val="0"/>
          <w:sz w:val="24"/>
          <w:highlight w:val="none"/>
        </w:rPr>
        <w:t xml:space="preserve"> </w:t>
      </w:r>
    </w:p>
    <w:p w14:paraId="668FF0C6">
      <w:pPr>
        <w:autoSpaceDE w:val="0"/>
        <w:autoSpaceDN w:val="0"/>
        <w:adjustRightInd w:val="0"/>
        <w:spacing w:line="360" w:lineRule="auto"/>
        <w:jc w:val="left"/>
        <w:rPr>
          <w:rFonts w:ascii="宋体" w:hAnsi="宋体" w:cs="宋体"/>
          <w:color w:val="auto"/>
          <w:kern w:val="0"/>
          <w:sz w:val="24"/>
          <w:highlight w:val="none"/>
        </w:rPr>
      </w:pPr>
    </w:p>
    <w:p w14:paraId="3B14D550">
      <w:pPr>
        <w:autoSpaceDE w:val="0"/>
        <w:autoSpaceDN w:val="0"/>
        <w:adjustRightInd w:val="0"/>
        <w:spacing w:line="360" w:lineRule="auto"/>
        <w:ind w:right="0" w:firstLine="484" w:firstLineChars="200"/>
        <w:rPr>
          <w:rFonts w:ascii="仿宋_GB2312" w:hAnsi="仿宋_GB2312" w:cs="仿宋_GB2312"/>
          <w:color w:val="auto"/>
          <w:szCs w:val="24"/>
          <w:highlight w:val="none"/>
        </w:rPr>
      </w:pPr>
      <w:r>
        <w:rPr>
          <w:rFonts w:hint="eastAsia" w:ascii="宋体" w:hAnsi="宋体" w:cs="宋体"/>
          <w:color w:val="auto"/>
          <w:spacing w:val="1"/>
          <w:kern w:val="0"/>
          <w:position w:val="-3"/>
          <w:sz w:val="24"/>
          <w:highlight w:val="none"/>
        </w:rPr>
        <w:t>依照</w:t>
      </w:r>
      <w:bookmarkStart w:id="3" w:name="_Hlk89242461"/>
      <w:r>
        <w:rPr>
          <w:rFonts w:hint="eastAsia" w:ascii="宋体" w:hAnsi="宋体" w:cs="宋体"/>
          <w:color w:val="auto"/>
          <w:spacing w:val="1"/>
          <w:kern w:val="0"/>
          <w:position w:val="-3"/>
          <w:sz w:val="24"/>
          <w:highlight w:val="none"/>
        </w:rPr>
        <w:t>《</w:t>
      </w:r>
      <w:bookmarkEnd w:id="3"/>
      <w:r>
        <w:rPr>
          <w:rFonts w:hint="eastAsia" w:ascii="宋体" w:hAnsi="宋体" w:cs="宋体"/>
          <w:color w:val="auto"/>
          <w:spacing w:val="1"/>
          <w:kern w:val="0"/>
          <w:position w:val="-3"/>
          <w:sz w:val="24"/>
          <w:highlight w:val="none"/>
        </w:rPr>
        <w:t>中华人民共和国民法典》合同编、《中华人民共和国建筑法》及</w:t>
      </w:r>
      <w:r>
        <w:rPr>
          <w:rFonts w:hint="eastAsia" w:ascii="宋体" w:hAnsi="宋体" w:cs="宋体"/>
          <w:color w:val="auto"/>
          <w:kern w:val="0"/>
          <w:position w:val="-3"/>
          <w:sz w:val="24"/>
          <w:highlight w:val="none"/>
        </w:rPr>
        <w:t>其</w:t>
      </w:r>
      <w:r>
        <w:rPr>
          <w:rFonts w:hint="eastAsia" w:ascii="宋体" w:hAnsi="宋体" w:cs="宋体"/>
          <w:color w:val="auto"/>
          <w:spacing w:val="1"/>
          <w:kern w:val="0"/>
          <w:position w:val="-3"/>
          <w:sz w:val="24"/>
          <w:highlight w:val="none"/>
        </w:rPr>
        <w:t>他有关法律法规，</w:t>
      </w:r>
      <w:r>
        <w:rPr>
          <w:rFonts w:hint="eastAsia" w:ascii="宋体" w:hAnsi="宋体" w:cs="宋体"/>
          <w:color w:val="auto"/>
          <w:sz w:val="24"/>
          <w:highlight w:val="none"/>
        </w:rPr>
        <w:t>遵循平等、自愿、公平和诚实信用的原则，合同双方当事人就合同工程施工有关事项达成一致意见，订立本协议书。悦辰花园项目（原名：领隽城市花园项目）三期（以</w:t>
      </w:r>
      <w:r>
        <w:rPr>
          <w:rFonts w:hint="eastAsia" w:ascii="宋体" w:hAnsi="宋体" w:cs="宋体"/>
          <w:color w:val="auto"/>
          <w:sz w:val="24"/>
          <w:highlight w:val="none"/>
          <w:lang w:eastAsia="zh-CN"/>
        </w:rPr>
        <w:t>下简</w:t>
      </w:r>
      <w:r>
        <w:rPr>
          <w:rFonts w:hint="eastAsia" w:ascii="宋体" w:hAnsi="宋体" w:cs="宋体"/>
          <w:color w:val="auto"/>
          <w:sz w:val="24"/>
          <w:highlight w:val="none"/>
        </w:rPr>
        <w:t>称：三期项目）已经签署的《悦辰花园项目三期工程施工总承包合同》，承包单位为：</w:t>
      </w:r>
      <w:r>
        <w:rPr>
          <w:rFonts w:hint="eastAsia" w:ascii="宋体" w:hAnsi="宋体" w:cs="宋体"/>
          <w:color w:val="auto"/>
          <w:sz w:val="24"/>
          <w:highlight w:val="none"/>
          <w:lang w:eastAsia="zh-CN"/>
        </w:rPr>
        <w:t>（</w:t>
      </w:r>
      <w:r>
        <w:rPr>
          <w:rFonts w:hint="eastAsia" w:ascii="宋体" w:hAnsi="宋体" w:cs="宋体"/>
          <w:color w:val="auto"/>
          <w:sz w:val="24"/>
          <w:highlight w:val="none"/>
        </w:rPr>
        <w:t>主</w:t>
      </w:r>
      <w:r>
        <w:rPr>
          <w:rFonts w:hint="eastAsia" w:ascii="宋体" w:hAnsi="宋体" w:cs="宋体"/>
          <w:color w:val="auto"/>
          <w:sz w:val="24"/>
          <w:highlight w:val="none"/>
          <w:lang w:eastAsia="zh-CN"/>
        </w:rPr>
        <w:t>）</w:t>
      </w:r>
      <w:r>
        <w:rPr>
          <w:rFonts w:hint="eastAsia" w:ascii="宋体" w:hAnsi="宋体" w:cs="宋体"/>
          <w:color w:val="auto"/>
          <w:sz w:val="24"/>
          <w:highlight w:val="none"/>
        </w:rPr>
        <w:t>中国建筑第八工程局有限公司</w:t>
      </w:r>
      <w:r>
        <w:rPr>
          <w:rFonts w:hint="eastAsia" w:ascii="宋体" w:hAnsi="宋体" w:cs="宋体"/>
          <w:color w:val="auto"/>
          <w:sz w:val="24"/>
          <w:highlight w:val="none"/>
          <w:lang w:eastAsia="zh-CN"/>
        </w:rPr>
        <w:t>（</w:t>
      </w:r>
      <w:r>
        <w:rPr>
          <w:rFonts w:hint="eastAsia" w:ascii="宋体" w:hAnsi="宋体" w:cs="宋体"/>
          <w:color w:val="auto"/>
          <w:sz w:val="24"/>
          <w:highlight w:val="none"/>
        </w:rPr>
        <w:t>成</w:t>
      </w:r>
      <w:r>
        <w:rPr>
          <w:rFonts w:hint="eastAsia" w:ascii="宋体" w:hAnsi="宋体" w:cs="宋体"/>
          <w:color w:val="auto"/>
          <w:sz w:val="24"/>
          <w:highlight w:val="none"/>
          <w:lang w:eastAsia="zh-CN"/>
        </w:rPr>
        <w:t>）</w:t>
      </w:r>
      <w:r>
        <w:rPr>
          <w:rFonts w:hint="eastAsia" w:ascii="宋体" w:hAnsi="宋体" w:cs="宋体"/>
          <w:color w:val="auto"/>
          <w:sz w:val="24"/>
          <w:highlight w:val="none"/>
        </w:rPr>
        <w:t>中建三局第一建设工程有限责任公司</w:t>
      </w:r>
      <w:r>
        <w:rPr>
          <w:rFonts w:hint="eastAsia" w:ascii="宋体" w:hAnsi="宋体" w:cs="宋体"/>
          <w:color w:val="auto"/>
          <w:sz w:val="24"/>
          <w:highlight w:val="none"/>
          <w:lang w:eastAsia="zh-CN"/>
        </w:rPr>
        <w:t>（</w:t>
      </w:r>
      <w:r>
        <w:rPr>
          <w:rFonts w:hint="eastAsia" w:ascii="宋体" w:hAnsi="宋体" w:cs="宋体"/>
          <w:color w:val="auto"/>
          <w:sz w:val="24"/>
          <w:highlight w:val="none"/>
        </w:rPr>
        <w:t>以下称：项目总承包施工管理单位）负责本项目的总承包施工、管理及验收组织工作。</w:t>
      </w:r>
    </w:p>
    <w:p w14:paraId="294841CB">
      <w:pPr>
        <w:autoSpaceDE w:val="0"/>
        <w:autoSpaceDN w:val="0"/>
        <w:adjustRightInd w:val="0"/>
        <w:spacing w:line="360" w:lineRule="auto"/>
        <w:ind w:right="0" w:firstLine="482" w:firstLineChars="200"/>
        <w:rPr>
          <w:rFonts w:ascii="宋体" w:hAnsi="宋体" w:cs="宋体"/>
          <w:b/>
          <w:color w:val="auto"/>
          <w:sz w:val="24"/>
          <w:highlight w:val="none"/>
        </w:rPr>
      </w:pPr>
    </w:p>
    <w:p w14:paraId="5410D985">
      <w:pPr>
        <w:autoSpaceDE w:val="0"/>
        <w:autoSpaceDN w:val="0"/>
        <w:adjustRightInd w:val="0"/>
        <w:snapToGrid w:val="0"/>
        <w:spacing w:line="360" w:lineRule="auto"/>
        <w:ind w:left="101" w:leftChars="0"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一、工程概况</w:t>
      </w:r>
    </w:p>
    <w:p w14:paraId="257595D0">
      <w:pPr>
        <w:tabs>
          <w:tab w:val="left" w:pos="9100"/>
        </w:tabs>
        <w:adjustRightInd w:val="0"/>
        <w:snapToGri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rPr>
        <w:t>1.1</w:t>
      </w:r>
      <w:r>
        <w:rPr>
          <w:rFonts w:hint="eastAsia" w:ascii="宋体" w:hAnsi="宋体" w:cs="宋体"/>
          <w:b/>
          <w:bCs/>
          <w:color w:val="auto"/>
          <w:kern w:val="0"/>
          <w:sz w:val="24"/>
          <w:highlight w:val="none"/>
        </w:rPr>
        <w:t xml:space="preserve"> 工程名称</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悦辰花园项目（原名：领隽城市花园项目）三期A区、B区及会所高低压配电工程</w:t>
      </w:r>
    </w:p>
    <w:p w14:paraId="2B0125E1">
      <w:pPr>
        <w:tabs>
          <w:tab w:val="left" w:pos="9100"/>
        </w:tabs>
        <w:adjustRightInd w:val="0"/>
        <w:snapToGri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rPr>
        <w:t>1.2</w:t>
      </w:r>
      <w:r>
        <w:rPr>
          <w:rFonts w:hint="eastAsia" w:ascii="宋体" w:hAnsi="宋体" w:cs="宋体"/>
          <w:b/>
          <w:bCs/>
          <w:color w:val="auto"/>
          <w:kern w:val="0"/>
          <w:sz w:val="24"/>
          <w:highlight w:val="none"/>
        </w:rPr>
        <w:t xml:space="preserve"> 工程地点：</w:t>
      </w:r>
      <w:r>
        <w:rPr>
          <w:rFonts w:hint="eastAsia" w:ascii="宋体" w:hAnsi="宋体" w:cs="宋体"/>
          <w:color w:val="auto"/>
          <w:kern w:val="0"/>
          <w:sz w:val="24"/>
          <w:highlight w:val="none"/>
          <w:u w:val="single"/>
        </w:rPr>
        <w:t>广州市黄埔区中新广州知识城南起步区规划道路KS1号路以南、KS4-2号路以西的ZSCN-D2地块剩余居住地块内。</w:t>
      </w:r>
    </w:p>
    <w:p w14:paraId="6616EFFE">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highlight w:val="none"/>
        </w:rPr>
        <w:t>1.3</w:t>
      </w:r>
      <w:r>
        <w:rPr>
          <w:rFonts w:ascii="宋体" w:hAnsi="宋体" w:cs="宋体"/>
          <w:b/>
          <w:bCs/>
          <w:color w:val="auto"/>
          <w:kern w:val="0"/>
          <w:sz w:val="24"/>
          <w:highlight w:val="none"/>
        </w:rPr>
        <w:t xml:space="preserve"> </w:t>
      </w:r>
      <w:r>
        <w:rPr>
          <w:rFonts w:hint="eastAsia" w:ascii="宋体" w:hAnsi="宋体" w:cs="宋体"/>
          <w:b/>
          <w:bCs/>
          <w:color w:val="auto"/>
          <w:kern w:val="0"/>
          <w:sz w:val="24"/>
          <w:highlight w:val="none"/>
        </w:rPr>
        <w:t>工程内容：</w:t>
      </w:r>
      <w:r>
        <w:rPr>
          <w:rFonts w:hint="eastAsia" w:ascii="宋体" w:hAnsi="宋体"/>
          <w:color w:val="auto"/>
          <w:sz w:val="24"/>
          <w:szCs w:val="24"/>
          <w:highlight w:val="none"/>
        </w:rPr>
        <w:t xml:space="preserve"> 悦辰花园项目（原名：领隽城市花园项目）三期A区、B区及会所高低压配电工程施工图纸、外线施工</w:t>
      </w:r>
      <w:r>
        <w:rPr>
          <w:rFonts w:hint="eastAsia" w:ascii="宋体" w:hAnsi="宋体"/>
          <w:color w:val="auto"/>
          <w:sz w:val="24"/>
          <w:szCs w:val="24"/>
          <w:highlight w:val="none"/>
          <w:lang w:eastAsia="zh-CN"/>
        </w:rPr>
        <w:t>图及</w:t>
      </w:r>
      <w:r>
        <w:rPr>
          <w:rFonts w:hint="eastAsia" w:ascii="宋体" w:hAnsi="宋体"/>
          <w:color w:val="auto"/>
          <w:sz w:val="24"/>
          <w:szCs w:val="24"/>
          <w:highlight w:val="none"/>
        </w:rPr>
        <w:t>高低压配电工程投标报价书所包含的全部工程内容及其他为实现合同目的所涉及的承包范围。</w:t>
      </w:r>
      <w:r>
        <w:rPr>
          <w:rFonts w:ascii="宋体" w:hAnsi="宋体"/>
          <w:color w:val="auto"/>
          <w:sz w:val="24"/>
          <w:szCs w:val="24"/>
          <w:highlight w:val="none"/>
        </w:rPr>
        <w:t>包括：由指定承包方自行完成的工程项目；接受</w:t>
      </w:r>
      <w:r>
        <w:rPr>
          <w:rFonts w:hint="eastAsia" w:ascii="宋体" w:hAnsi="宋体"/>
          <w:color w:val="auto"/>
          <w:sz w:val="24"/>
          <w:szCs w:val="24"/>
          <w:highlight w:val="none"/>
        </w:rPr>
        <w:t>总承包施工管理单位</w:t>
      </w:r>
      <w:r>
        <w:rPr>
          <w:rFonts w:ascii="宋体" w:hAnsi="宋体"/>
          <w:color w:val="auto"/>
          <w:sz w:val="24"/>
          <w:szCs w:val="24"/>
          <w:highlight w:val="none"/>
        </w:rPr>
        <w:t>管理及组织的所有工作协调及配合施工总承包</w:t>
      </w:r>
      <w:r>
        <w:rPr>
          <w:rFonts w:hint="eastAsia" w:ascii="宋体" w:hAnsi="宋体"/>
          <w:color w:val="auto"/>
          <w:sz w:val="24"/>
          <w:szCs w:val="24"/>
          <w:highlight w:val="none"/>
        </w:rPr>
        <w:t>管理及完成验收</w:t>
      </w:r>
      <w:r>
        <w:rPr>
          <w:rFonts w:ascii="宋体" w:hAnsi="宋体"/>
          <w:color w:val="auto"/>
          <w:sz w:val="24"/>
          <w:szCs w:val="24"/>
          <w:highlight w:val="none"/>
        </w:rPr>
        <w:t>的所有工作；协调及配合本工程项目其他参与人的所有工作。</w:t>
      </w:r>
      <w:r>
        <w:rPr>
          <w:rFonts w:hint="eastAsia" w:ascii="宋体" w:hAnsi="宋体"/>
          <w:color w:val="auto"/>
          <w:sz w:val="24"/>
          <w:szCs w:val="24"/>
          <w:highlight w:val="none"/>
        </w:rPr>
        <w:t>具体工程内容如下：</w:t>
      </w:r>
    </w:p>
    <w:p w14:paraId="1901D983">
      <w:pPr>
        <w:tabs>
          <w:tab w:val="left" w:pos="9100"/>
        </w:tabs>
        <w:autoSpaceDE w:val="0"/>
        <w:autoSpaceDN w:val="0"/>
        <w:adjustRightInd w:val="0"/>
        <w:snapToGrid w:val="0"/>
        <w:spacing w:line="360" w:lineRule="auto"/>
        <w:ind w:right="0" w:firstLine="480" w:firstLineChars="200"/>
        <w:rPr>
          <w:rFonts w:ascii="宋体" w:hAnsi="宋体" w:cs="宋体"/>
          <w:color w:val="auto"/>
          <w:kern w:val="0"/>
          <w:sz w:val="24"/>
          <w:highlight w:val="none"/>
        </w:rPr>
      </w:pPr>
      <w:bookmarkStart w:id="4" w:name="_Hlk91078786"/>
      <w:r>
        <w:rPr>
          <w:rFonts w:hint="eastAsia" w:ascii="宋体" w:hAnsi="宋体" w:cs="宋体"/>
          <w:color w:val="auto"/>
          <w:kern w:val="0"/>
          <w:sz w:val="24"/>
          <w:highlight w:val="none"/>
        </w:rPr>
        <w:t xml:space="preserve">1.3.1 </w:t>
      </w:r>
      <w:r>
        <w:rPr>
          <w:rFonts w:hint="eastAsia" w:ascii="宋体" w:hAnsi="宋体" w:cs="宋体"/>
          <w:b/>
          <w:bCs/>
          <w:color w:val="auto"/>
          <w:kern w:val="0"/>
          <w:sz w:val="24"/>
          <w:highlight w:val="none"/>
        </w:rPr>
        <w:t>设计：</w:t>
      </w:r>
      <w:r>
        <w:rPr>
          <w:rFonts w:hint="eastAsia" w:ascii="宋体" w:hAnsi="宋体" w:cs="宋体"/>
          <w:color w:val="auto"/>
          <w:kern w:val="0"/>
          <w:sz w:val="24"/>
          <w:highlight w:val="none"/>
        </w:rPr>
        <w:t>负责高低压配电工程施工图深化设计（如有）（需经过甲方和三期项目设计单位确认，且深化设计费用已包含在合同总价中，不另行计费）。施工前负责提供高低压配电工程施工图充电桩配置、电房等配置优化设计方案报甲方确认，深化及优化设计图纸必须经发包人确定后才可送供电部门审核。</w:t>
      </w:r>
    </w:p>
    <w:p w14:paraId="77024231">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highlight w:val="none"/>
        </w:rPr>
        <w:t xml:space="preserve">1.3.2 </w:t>
      </w:r>
      <w:r>
        <w:rPr>
          <w:rFonts w:hint="eastAsia" w:ascii="宋体" w:hAnsi="宋体" w:cs="宋体"/>
          <w:b/>
          <w:bCs/>
          <w:color w:val="auto"/>
          <w:kern w:val="0"/>
          <w:sz w:val="24"/>
          <w:highlight w:val="none"/>
        </w:rPr>
        <w:t>报装：</w:t>
      </w:r>
      <w:r>
        <w:rPr>
          <w:rFonts w:hint="eastAsia" w:ascii="宋体" w:hAnsi="宋体" w:cs="宋体"/>
          <w:color w:val="auto"/>
          <w:kern w:val="0"/>
          <w:sz w:val="24"/>
          <w:highlight w:val="none"/>
        </w:rPr>
        <w:t>负责向广州市黄埔区供电局进行报装，并完成所有报装（包含业扩的内容）、</w:t>
      </w:r>
      <w:r>
        <w:rPr>
          <w:rFonts w:hint="eastAsia" w:ascii="宋体" w:hAnsi="宋体"/>
          <w:color w:val="auto"/>
          <w:sz w:val="24"/>
          <w:szCs w:val="24"/>
          <w:highlight w:val="none"/>
        </w:rPr>
        <w:t>工程验收、送电等全部手续。</w:t>
      </w:r>
    </w:p>
    <w:p w14:paraId="2CB23635">
      <w:pPr>
        <w:tabs>
          <w:tab w:val="left" w:pos="910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1.3.3 </w:t>
      </w:r>
      <w:r>
        <w:rPr>
          <w:rFonts w:hint="eastAsia" w:ascii="宋体" w:hAnsi="宋体"/>
          <w:b/>
          <w:bCs/>
          <w:color w:val="auto"/>
          <w:sz w:val="24"/>
          <w:szCs w:val="24"/>
          <w:highlight w:val="none"/>
        </w:rPr>
        <w:t>施工及调试：</w:t>
      </w:r>
      <w:r>
        <w:rPr>
          <w:rFonts w:hint="eastAsia" w:ascii="宋体" w:hAnsi="宋体" w:cs="宋体"/>
          <w:color w:val="auto"/>
          <w:kern w:val="0"/>
          <w:sz w:val="24"/>
          <w:highlight w:val="none"/>
        </w:rPr>
        <w:t>施工及调试的所有内容最终以委托范围内供电局批准的供电方案所有内容（含完成送电）为准。具体如下：</w:t>
      </w:r>
    </w:p>
    <w:p w14:paraId="4BD65204">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1.3.3.1 永久用电工程室外（高压电缆）部分：负责与项目所在地供电部门沟通红线外高压电缆敷设所需路径、位置的所有工作及所需费用，确保正式用电按时完成；负责由变电站或高压开关房出线引双回路高压电缆到本项目高压开关房等外线缆工程施工，按项目所在地供电部门最终批出的《供用电方案协议》要求完成，具体为：</w:t>
      </w:r>
    </w:p>
    <w:p w14:paraId="78153738">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1.3.3.1.1 由变电站或附近高压开关房敷设电缆到本项目高压开关房，承包方必须确保本项目供电按双回路方式供电。新建开关站并完成相关配网自动化终端和设备土建部分及电房相关附属工程施工。</w:t>
      </w:r>
    </w:p>
    <w:p w14:paraId="3727F8D7">
      <w:pPr>
        <w:tabs>
          <w:tab w:val="left" w:pos="9100"/>
        </w:tabs>
        <w:adjustRightInd w:val="0"/>
        <w:snapToGrid w:val="0"/>
        <w:spacing w:line="360" w:lineRule="auto"/>
        <w:ind w:firstLine="480" w:firstLineChars="200"/>
        <w:rPr>
          <w:color w:val="auto"/>
          <w:highlight w:val="none"/>
        </w:rPr>
      </w:pPr>
      <w:r>
        <w:rPr>
          <w:rFonts w:hint="eastAsia" w:ascii="宋体" w:hAnsi="宋体"/>
          <w:color w:val="auto"/>
          <w:sz w:val="24"/>
          <w:szCs w:val="24"/>
          <w:highlight w:val="none"/>
        </w:rPr>
        <w:t>1.3.3.1.2 本永久用电室外工程，内容包括但不限于高压电缆敷设、新做电缆沟、旧电缆沟的揭（盖）板、电缆占坑、管线测量、过马路顶管、公路赔偿、青苗赔偿、道路修复等。</w:t>
      </w:r>
    </w:p>
    <w:p w14:paraId="44288583">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1.3.3.2 永久用电工程室内部分：</w:t>
      </w:r>
    </w:p>
    <w:p w14:paraId="6196CAEE">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1.3.3.2.1 高压配电工程：内容包括但不限于从高压开关房引高压电缆到各综合房、公变房、专变高压室、专变房等，并安装变压器、配电柜等全部相关设备。具体包括负荷开关柜、中转柜、专变高压配电柜、直流屏、变压器、电缆、电缆沟、设备房土建（包括除了总包已完成的其他电房土建工程、电房内砌筑、粗装修工程）、接地网等设备系统采购、安装、送检、调试、验收。</w:t>
      </w:r>
    </w:p>
    <w:p w14:paraId="70F3EC37">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1.3.3.2.2 低压配电工程：内容包括但不限于包括低压柜、母线、插接母线槽、插接箱、电表箱、电表、电缆、桥架、专变低压配电柜内备用电源自动投入装置、接地网、标示牌、电房土建（包括除了总包已完成的其他电房土建工程、电房内砌筑、粗装修工程）等设备系统安装、调试、验收。</w:t>
      </w:r>
    </w:p>
    <w:p w14:paraId="58B9FF6D">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公变系统：从低压配电柜引到电表间，每户电表箱安装一户一表及计量装置前的公用电气设备安装工程</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充电桩一户一表及计量装置前的公用电气设备安装工程。</w:t>
      </w:r>
    </w:p>
    <w:p w14:paraId="7288E5C4">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专变系统：从高压开关房安装到各低压配电柜（含低压开关柜、电容补偿柜等）。</w:t>
      </w:r>
    </w:p>
    <w:p w14:paraId="08E382FF">
      <w:pPr>
        <w:tabs>
          <w:tab w:val="left" w:pos="9100"/>
        </w:tabs>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1.3.3.3 应急电源配电工程：从发电机配电房（不含配电柜）引耐火母线槽至专变低压房市发电切换柜（含专变低压配电柜等）。具体包括专变市发电切换柜、应急电源母线槽等设备系统安装、调试、验收。</w:t>
      </w:r>
    </w:p>
    <w:p w14:paraId="1B252E9B">
      <w:pPr>
        <w:tabs>
          <w:tab w:val="left" w:pos="9100"/>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1.3.3.4 设备房、电房内接地装置、照明、温湿度控制器、轴流风机、栏栅、高低压绝缘胶垫、绝缘手套、高靴、验电棒和接地线等设备设施的采购、安装、送检、调试、验收，在各电房墙上挂供电</w:t>
      </w:r>
      <w:r>
        <w:rPr>
          <w:rFonts w:hint="eastAsia" w:ascii="宋体" w:hAnsi="宋体"/>
          <w:color w:val="auto"/>
          <w:sz w:val="24"/>
          <w:szCs w:val="24"/>
          <w:highlight w:val="none"/>
          <w:lang w:eastAsia="zh-CN"/>
        </w:rPr>
        <w:t>接线图</w:t>
      </w:r>
      <w:r>
        <w:rPr>
          <w:rFonts w:hint="eastAsia" w:ascii="宋体" w:hAnsi="宋体"/>
          <w:color w:val="auto"/>
          <w:sz w:val="24"/>
          <w:szCs w:val="24"/>
          <w:highlight w:val="none"/>
        </w:rPr>
        <w:t>（需满足当地供电部门要求）。</w:t>
      </w:r>
    </w:p>
    <w:p w14:paraId="7C79AC19">
      <w:pPr>
        <w:tabs>
          <w:tab w:val="left" w:pos="9100"/>
        </w:tabs>
        <w:autoSpaceDE w:val="0"/>
        <w:autoSpaceDN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1.3.3.5 整个系统试验、调试、发电，工程资料收集整理，配合供电局录入相关资料。</w:t>
      </w:r>
    </w:p>
    <w:bookmarkEnd w:id="4"/>
    <w:p w14:paraId="62CC3956">
      <w:pPr>
        <w:tabs>
          <w:tab w:val="left" w:pos="9100"/>
        </w:tabs>
        <w:autoSpaceDE w:val="0"/>
        <w:autoSpaceDN w:val="0"/>
        <w:adjustRightInd w:val="0"/>
        <w:snapToGrid w:val="0"/>
        <w:spacing w:line="360" w:lineRule="auto"/>
        <w:ind w:firstLine="480" w:firstLineChars="200"/>
        <w:rPr>
          <w:rFonts w:ascii="宋体" w:hAnsi="宋体" w:cs="宋体"/>
          <w:color w:val="auto"/>
          <w:kern w:val="0"/>
          <w:sz w:val="24"/>
          <w:highlight w:val="none"/>
        </w:rPr>
      </w:pPr>
      <w:bookmarkStart w:id="5" w:name="_Hlk91078934"/>
      <w:r>
        <w:rPr>
          <w:rFonts w:hint="eastAsia" w:ascii="宋体" w:hAnsi="宋体" w:cs="宋体"/>
          <w:color w:val="auto"/>
          <w:kern w:val="0"/>
          <w:sz w:val="24"/>
          <w:highlight w:val="none"/>
        </w:rPr>
        <w:t xml:space="preserve">1.3.4 </w:t>
      </w:r>
      <w:r>
        <w:rPr>
          <w:rFonts w:hint="eastAsia" w:ascii="宋体" w:hAnsi="宋体" w:cs="宋体"/>
          <w:b/>
          <w:bCs/>
          <w:color w:val="auto"/>
          <w:kern w:val="0"/>
          <w:sz w:val="24"/>
          <w:highlight w:val="none"/>
        </w:rPr>
        <w:t>验收：</w:t>
      </w:r>
      <w:r>
        <w:rPr>
          <w:rFonts w:hint="eastAsia" w:ascii="宋体" w:hAnsi="宋体" w:cs="宋体"/>
          <w:color w:val="auto"/>
          <w:kern w:val="0"/>
          <w:sz w:val="24"/>
          <w:highlight w:val="none"/>
        </w:rPr>
        <w:t>整个高低压配电工程须在发包人另行书面通知的时间内通过黄埔区供电局的验收并通电使用。</w:t>
      </w:r>
    </w:p>
    <w:bookmarkEnd w:id="5"/>
    <w:p w14:paraId="4FC074A1">
      <w:pPr>
        <w:tabs>
          <w:tab w:val="left" w:pos="9100"/>
        </w:tabs>
        <w:autoSpaceDE w:val="0"/>
        <w:autoSpaceDN w:val="0"/>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具体内容以通过黄埔区供电局审核且经发包人确认并同意执行的《施工图》《供用电方案协议》范围及工程量清单为准。红线外高压电缆敷设所需路径、位置的所有工作及所需费用按实际情况调整。</w:t>
      </w:r>
    </w:p>
    <w:p w14:paraId="25471CE8">
      <w:pPr>
        <w:tabs>
          <w:tab w:val="left" w:pos="9100"/>
        </w:tabs>
        <w:autoSpaceDE w:val="0"/>
        <w:autoSpaceDN w:val="0"/>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1.4</w:t>
      </w:r>
      <w:r>
        <w:rPr>
          <w:rFonts w:ascii="宋体" w:hAnsi="宋体" w:cs="宋体"/>
          <w:b/>
          <w:bCs/>
          <w:color w:val="auto"/>
          <w:kern w:val="0"/>
          <w:sz w:val="24"/>
          <w:highlight w:val="none"/>
        </w:rPr>
        <w:t xml:space="preserve"> </w:t>
      </w:r>
      <w:r>
        <w:rPr>
          <w:rFonts w:hint="eastAsia" w:ascii="宋体" w:hAnsi="宋体" w:cs="宋体"/>
          <w:color w:val="auto"/>
          <w:kern w:val="0"/>
          <w:sz w:val="24"/>
          <w:highlight w:val="none"/>
        </w:rPr>
        <w:t>项目总承包施工管理单位和本工程承包人就各自具体的施工界面以发包人确认为准，具体施工界面划分详见合同附件6。本工程承包人同意在本工程施工全过程中接受项目总承包施工管理单位的统一组织管理、监理单位的协调管理，双方各自承担其承包范围内工程质量、工期、安全等责任。在总承包单位、监理单位的总体协调管理下，做好与各专业单位的交叉施工与协调管理工作，按各专业工种界面做到有序施工。</w:t>
      </w:r>
    </w:p>
    <w:p w14:paraId="342CB0A5">
      <w:pPr>
        <w:tabs>
          <w:tab w:val="left" w:pos="9100"/>
        </w:tabs>
        <w:autoSpaceDE w:val="0"/>
        <w:autoSpaceDN w:val="0"/>
        <w:adjustRightInd w:val="0"/>
        <w:snapToGrid w:val="0"/>
        <w:spacing w:line="360" w:lineRule="auto"/>
        <w:ind w:left="0" w:right="0"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工程立项、规划批准文件号</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p>
    <w:p w14:paraId="318184E8">
      <w:pPr>
        <w:tabs>
          <w:tab w:val="left" w:pos="9100"/>
        </w:tabs>
        <w:autoSpaceDE w:val="0"/>
        <w:autoSpaceDN w:val="0"/>
        <w:adjustRightInd w:val="0"/>
        <w:snapToGrid w:val="0"/>
        <w:spacing w:line="360" w:lineRule="auto"/>
        <w:ind w:left="0" w:right="0"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资金来源</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自筹资金</w:t>
      </w:r>
    </w:p>
    <w:p w14:paraId="50D47F63">
      <w:pPr>
        <w:autoSpaceDE w:val="0"/>
        <w:autoSpaceDN w:val="0"/>
        <w:adjustRightInd w:val="0"/>
        <w:snapToGrid w:val="0"/>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position w:val="-3"/>
          <w:sz w:val="24"/>
          <w:highlight w:val="none"/>
        </w:rPr>
        <w:t>二、工程承包范围及承包方式</w:t>
      </w:r>
    </w:p>
    <w:p w14:paraId="0327E14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.1</w:t>
      </w:r>
      <w:r>
        <w:rPr>
          <w:rFonts w:hint="eastAsia" w:ascii="宋体" w:hAnsi="宋体" w:cs="宋体"/>
          <w:color w:val="auto"/>
          <w:kern w:val="0"/>
          <w:sz w:val="24"/>
          <w:highlight w:val="none"/>
        </w:rPr>
        <w:t xml:space="preserve"> 承包范围</w:t>
      </w:r>
      <w:r>
        <w:rPr>
          <w:rFonts w:ascii="宋体" w:hAnsi="宋体" w:cs="宋体"/>
          <w:color w:val="auto"/>
          <w:kern w:val="0"/>
          <w:sz w:val="24"/>
          <w:highlight w:val="none"/>
        </w:rPr>
        <w:t>：</w:t>
      </w:r>
      <w:r>
        <w:rPr>
          <w:rFonts w:hint="eastAsia" w:ascii="宋体" w:hAnsi="宋体" w:cs="宋体"/>
          <w:color w:val="auto"/>
          <w:kern w:val="0"/>
          <w:sz w:val="24"/>
          <w:highlight w:val="none"/>
        </w:rPr>
        <w:t>按合同清单、发包人确认的施工图纸、图纸会审记录和有关变更文件、资料、招标文件、承包人投标文件以及双方签订的有关协议所包含的内容。</w:t>
      </w:r>
    </w:p>
    <w:p w14:paraId="2BF9C18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.2</w:t>
      </w:r>
      <w:r>
        <w:rPr>
          <w:rFonts w:hint="eastAsia" w:ascii="宋体" w:hAnsi="宋体" w:cs="宋体"/>
          <w:color w:val="auto"/>
          <w:kern w:val="0"/>
          <w:sz w:val="24"/>
          <w:highlight w:val="none"/>
        </w:rPr>
        <w:t xml:space="preserve"> 承包方式：</w:t>
      </w:r>
    </w:p>
    <w:p w14:paraId="2782FB8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包深化设计、包工包料、包设备、包工期、包质量、包送电、包安全生产、包文明施工、包调试与测试、包试运行、包本工程承包范围内的总承包管理和现场整体组织、包专业协调及配合、协助报批报建、包竣工验收、包</w:t>
      </w:r>
      <w:bookmarkStart w:id="6" w:name="_Hlk90391623"/>
      <w:r>
        <w:rPr>
          <w:rFonts w:hint="eastAsia" w:ascii="宋体" w:hAnsi="宋体" w:cs="宋体"/>
          <w:color w:val="auto"/>
          <w:kern w:val="0"/>
          <w:sz w:val="24"/>
          <w:highlight w:val="none"/>
        </w:rPr>
        <w:t>竣工资料收集整理移交</w:t>
      </w:r>
      <w:bookmarkEnd w:id="6"/>
      <w:r>
        <w:rPr>
          <w:rFonts w:hint="eastAsia" w:ascii="宋体" w:hAnsi="宋体" w:cs="宋体"/>
          <w:color w:val="auto"/>
          <w:kern w:val="0"/>
          <w:sz w:val="24"/>
          <w:highlight w:val="none"/>
        </w:rPr>
        <w:t>、包材料和设备检验及试验、包培训、包质保期内工程质量保修、包高压维保（2年）、包现场组织和协调等。</w:t>
      </w:r>
    </w:p>
    <w:p w14:paraId="66F7D7C2">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本工程采取分部分项工程量清单综合单价包干</w:t>
      </w:r>
      <w:r>
        <w:rPr>
          <w:rFonts w:ascii="宋体" w:hAnsi="宋体" w:cs="宋体"/>
          <w:color w:val="auto"/>
          <w:kern w:val="0"/>
          <w:sz w:val="24"/>
          <w:highlight w:val="none"/>
        </w:rPr>
        <w:t>、项目措施费</w:t>
      </w:r>
      <w:r>
        <w:rPr>
          <w:rFonts w:hint="eastAsia" w:ascii="宋体" w:hAnsi="宋体" w:cs="宋体"/>
          <w:color w:val="auto"/>
          <w:kern w:val="0"/>
          <w:sz w:val="24"/>
          <w:highlight w:val="none"/>
        </w:rPr>
        <w:t>总价</w:t>
      </w:r>
      <w:r>
        <w:rPr>
          <w:rFonts w:ascii="宋体" w:hAnsi="宋体" w:cs="宋体"/>
          <w:color w:val="auto"/>
          <w:kern w:val="0"/>
          <w:sz w:val="24"/>
          <w:highlight w:val="none"/>
        </w:rPr>
        <w:t>包干</w:t>
      </w:r>
      <w:r>
        <w:rPr>
          <w:rFonts w:hint="eastAsia" w:ascii="宋体" w:hAnsi="宋体" w:cs="宋体"/>
          <w:color w:val="auto"/>
          <w:kern w:val="0"/>
          <w:sz w:val="24"/>
          <w:highlight w:val="none"/>
        </w:rPr>
        <w:t>方式</w:t>
      </w:r>
      <w:r>
        <w:rPr>
          <w:rFonts w:ascii="宋体" w:hAnsi="宋体" w:cs="宋体"/>
          <w:color w:val="auto"/>
          <w:kern w:val="0"/>
          <w:sz w:val="24"/>
          <w:highlight w:val="none"/>
        </w:rPr>
        <w:t>。</w:t>
      </w:r>
      <w:r>
        <w:rPr>
          <w:rFonts w:hint="eastAsia" w:ascii="宋体" w:hAnsi="宋体" w:cs="宋体"/>
          <w:color w:val="auto"/>
          <w:kern w:val="0"/>
          <w:sz w:val="24"/>
          <w:highlight w:val="none"/>
        </w:rPr>
        <w:t>单价包括但不限于图纸的深化设计费（如有）、人工费、机械设备费、材料费、运输及装卸费（包括垂直运输）、送检、安装及调试费、项目协调管理费、保修费、水电费、成品保护费、</w:t>
      </w:r>
      <w:r>
        <w:rPr>
          <w:rFonts w:hint="eastAsia" w:ascii="宋体" w:hAnsi="宋体" w:cs="宋体"/>
          <w:color w:val="auto"/>
          <w:kern w:val="0"/>
          <w:sz w:val="24"/>
          <w:highlight w:val="none"/>
          <w:lang w:val="en-US" w:eastAsia="zh-CN"/>
        </w:rPr>
        <w:t>预算包干费、</w:t>
      </w:r>
      <w:r>
        <w:rPr>
          <w:rFonts w:hint="eastAsia" w:ascii="宋体" w:hAnsi="宋体" w:cs="宋体"/>
          <w:color w:val="auto"/>
          <w:kern w:val="0"/>
          <w:sz w:val="24"/>
          <w:highlight w:val="none"/>
        </w:rPr>
        <w:t>当地政府规定的强制性措施费用、总承包服务费（除发包人承担部分）、验收整改费用、验收移交费用（含政府主管部门的验收及相关费用）、高压维保费、竣工资料收集整理移交档案费、保险、利润、税金、承担不可抗力以外的所有风险等承包人为履行本合同义务所产生的一切费用。</w:t>
      </w:r>
    </w:p>
    <w:p w14:paraId="4D1D2164">
      <w:pPr>
        <w:autoSpaceDE w:val="0"/>
        <w:autoSpaceDN w:val="0"/>
        <w:adjustRightInd w:val="0"/>
        <w:snapToGrid w:val="0"/>
        <w:spacing w:line="360" w:lineRule="auto"/>
        <w:ind w:firstLine="482" w:firstLineChars="200"/>
        <w:jc w:val="left"/>
        <w:rPr>
          <w:rFonts w:ascii="宋体" w:hAnsi="宋体" w:cs="宋体"/>
          <w:b/>
          <w:color w:val="auto"/>
          <w:kern w:val="0"/>
          <w:position w:val="-3"/>
          <w:sz w:val="24"/>
          <w:highlight w:val="none"/>
        </w:rPr>
      </w:pPr>
      <w:r>
        <w:rPr>
          <w:rFonts w:hint="eastAsia" w:ascii="宋体" w:hAnsi="宋体" w:cs="宋体"/>
          <w:b/>
          <w:color w:val="auto"/>
          <w:kern w:val="0"/>
          <w:position w:val="-3"/>
          <w:sz w:val="24"/>
          <w:highlight w:val="none"/>
        </w:rPr>
        <w:t>三、合同工期</w:t>
      </w:r>
    </w:p>
    <w:p w14:paraId="7196D317">
      <w:pPr>
        <w:tabs>
          <w:tab w:val="left" w:pos="4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合同工期：总工期共</w:t>
      </w:r>
      <w:r>
        <w:rPr>
          <w:rFonts w:hint="eastAsia" w:ascii="宋体" w:hAnsi="宋体" w:cs="宋体"/>
          <w:color w:val="auto"/>
          <w:kern w:val="0"/>
          <w:sz w:val="24"/>
          <w:highlight w:val="none"/>
          <w:u w:val="single"/>
        </w:rPr>
        <w:t xml:space="preserve"> 300 </w:t>
      </w:r>
      <w:r>
        <w:rPr>
          <w:rFonts w:hint="eastAsia" w:ascii="宋体" w:hAnsi="宋体" w:cs="宋体"/>
          <w:color w:val="auto"/>
          <w:kern w:val="0"/>
          <w:sz w:val="24"/>
          <w:highlight w:val="none"/>
        </w:rPr>
        <w:t>个日历天。其中：</w:t>
      </w:r>
    </w:p>
    <w:p w14:paraId="54F5AED2">
      <w:pPr>
        <w:tabs>
          <w:tab w:val="left" w:pos="4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Style w:val="38"/>
          <w:rFonts w:hint="eastAsia"/>
          <w:b w:val="0"/>
          <w:color w:val="auto"/>
          <w:sz w:val="24"/>
          <w:szCs w:val="24"/>
          <w:highlight w:val="none"/>
        </w:rPr>
        <w:t>三期A区专变（A区地下室和会所用电）</w:t>
      </w:r>
      <w:r>
        <w:rPr>
          <w:rFonts w:hint="eastAsia" w:ascii="宋体" w:hAnsi="宋体" w:cs="宋体"/>
          <w:color w:val="auto"/>
          <w:kern w:val="0"/>
          <w:sz w:val="24"/>
          <w:highlight w:val="none"/>
        </w:rPr>
        <w:t>共</w:t>
      </w:r>
      <w:r>
        <w:rPr>
          <w:rFonts w:hint="eastAsia" w:ascii="宋体" w:hAnsi="宋体" w:cs="宋体"/>
          <w:color w:val="auto"/>
          <w:kern w:val="0"/>
          <w:sz w:val="24"/>
          <w:highlight w:val="none"/>
          <w:u w:val="single"/>
        </w:rPr>
        <w:t xml:space="preserve"> 45 </w:t>
      </w:r>
      <w:r>
        <w:rPr>
          <w:rFonts w:hint="eastAsia" w:ascii="宋体" w:hAnsi="宋体" w:cs="宋体"/>
          <w:color w:val="auto"/>
          <w:kern w:val="0"/>
          <w:sz w:val="24"/>
          <w:highlight w:val="none"/>
        </w:rPr>
        <w:t xml:space="preserve">个日历天，暂定开工日期：2025 年 </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月 30 日，竣工日期：</w:t>
      </w: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rPr>
        <w:t xml:space="preserve"> 年</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日；</w:t>
      </w:r>
    </w:p>
    <w:p w14:paraId="7040831B">
      <w:pPr>
        <w:spacing w:line="360" w:lineRule="auto"/>
        <w:ind w:firstLine="480" w:firstLineChars="200"/>
        <w:rPr>
          <w:rFonts w:ascii="宋体" w:hAnsi="宋体" w:cs="宋体"/>
          <w:color w:val="auto"/>
          <w:kern w:val="0"/>
          <w:sz w:val="24"/>
          <w:highlight w:val="none"/>
        </w:rPr>
      </w:pPr>
      <w:r>
        <w:rPr>
          <w:rStyle w:val="38"/>
          <w:rFonts w:hint="eastAsia"/>
          <w:b w:val="0"/>
          <w:color w:val="auto"/>
          <w:sz w:val="24"/>
          <w:szCs w:val="24"/>
          <w:highlight w:val="none"/>
        </w:rPr>
        <w:t>悦辰花园三期A区公变（叠墅和充电桩）外电工期共 90 个日历天，暂定为</w:t>
      </w:r>
      <w:r>
        <w:rPr>
          <w:rStyle w:val="38"/>
          <w:rFonts w:hint="eastAsia"/>
          <w:b w:val="0"/>
          <w:color w:val="auto"/>
          <w:sz w:val="24"/>
          <w:szCs w:val="24"/>
          <w:highlight w:val="none"/>
          <w:lang w:val="en-US" w:eastAsia="zh-CN"/>
        </w:rPr>
        <w:t>2026</w:t>
      </w:r>
      <w:r>
        <w:rPr>
          <w:rStyle w:val="38"/>
          <w:rFonts w:hint="eastAsia"/>
          <w:b w:val="0"/>
          <w:color w:val="auto"/>
          <w:sz w:val="24"/>
          <w:szCs w:val="24"/>
          <w:highlight w:val="none"/>
        </w:rPr>
        <w:t xml:space="preserve"> 年 </w:t>
      </w:r>
      <w:r>
        <w:rPr>
          <w:rStyle w:val="38"/>
          <w:rFonts w:hint="eastAsia"/>
          <w:b w:val="0"/>
          <w:color w:val="auto"/>
          <w:sz w:val="24"/>
          <w:szCs w:val="24"/>
          <w:highlight w:val="none"/>
          <w:lang w:val="en-US" w:eastAsia="zh-CN"/>
        </w:rPr>
        <w:t>11</w:t>
      </w:r>
      <w:r>
        <w:rPr>
          <w:rStyle w:val="38"/>
          <w:rFonts w:hint="eastAsia"/>
          <w:b w:val="0"/>
          <w:color w:val="auto"/>
          <w:sz w:val="24"/>
          <w:szCs w:val="24"/>
          <w:highlight w:val="none"/>
        </w:rPr>
        <w:t xml:space="preserve">月 30日至 2026 年 </w:t>
      </w:r>
      <w:r>
        <w:rPr>
          <w:rStyle w:val="38"/>
          <w:rFonts w:hint="eastAsia"/>
          <w:b w:val="0"/>
          <w:color w:val="auto"/>
          <w:sz w:val="24"/>
          <w:szCs w:val="24"/>
          <w:highlight w:val="none"/>
          <w:lang w:val="en-US" w:eastAsia="zh-CN"/>
        </w:rPr>
        <w:t>2</w:t>
      </w:r>
      <w:r>
        <w:rPr>
          <w:rStyle w:val="38"/>
          <w:rFonts w:hint="eastAsia"/>
          <w:b w:val="0"/>
          <w:color w:val="auto"/>
          <w:sz w:val="24"/>
          <w:szCs w:val="24"/>
          <w:highlight w:val="none"/>
        </w:rPr>
        <w:t>月</w:t>
      </w:r>
      <w:r>
        <w:rPr>
          <w:rStyle w:val="38"/>
          <w:rFonts w:hint="eastAsia"/>
          <w:b w:val="0"/>
          <w:color w:val="auto"/>
          <w:sz w:val="24"/>
          <w:szCs w:val="24"/>
          <w:highlight w:val="none"/>
          <w:lang w:val="en-US" w:eastAsia="zh-CN"/>
        </w:rPr>
        <w:t>27</w:t>
      </w:r>
      <w:r>
        <w:rPr>
          <w:rStyle w:val="38"/>
          <w:rFonts w:hint="eastAsia"/>
          <w:b w:val="0"/>
          <w:color w:val="auto"/>
          <w:sz w:val="24"/>
          <w:szCs w:val="24"/>
          <w:highlight w:val="none"/>
        </w:rPr>
        <w:t>日。</w:t>
      </w:r>
    </w:p>
    <w:p w14:paraId="7631152E">
      <w:pPr>
        <w:tabs>
          <w:tab w:val="left" w:pos="4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Style w:val="38"/>
          <w:rFonts w:hint="eastAsia"/>
          <w:b w:val="0"/>
          <w:color w:val="auto"/>
          <w:sz w:val="24"/>
          <w:szCs w:val="24"/>
          <w:highlight w:val="none"/>
        </w:rPr>
        <w:t>三期B区外电工期（专变和公变）</w:t>
      </w:r>
      <w:r>
        <w:rPr>
          <w:rFonts w:hint="eastAsia" w:ascii="宋体" w:hAnsi="宋体" w:cs="宋体"/>
          <w:color w:val="auto"/>
          <w:kern w:val="0"/>
          <w:sz w:val="24"/>
          <w:highlight w:val="none"/>
        </w:rPr>
        <w:t>共</w:t>
      </w:r>
      <w:r>
        <w:rPr>
          <w:rFonts w:hint="eastAsia" w:ascii="宋体" w:hAnsi="宋体" w:cs="宋体"/>
          <w:color w:val="auto"/>
          <w:kern w:val="0"/>
          <w:sz w:val="24"/>
          <w:highlight w:val="none"/>
          <w:u w:val="single"/>
        </w:rPr>
        <w:t xml:space="preserve">  210 </w:t>
      </w:r>
      <w:r>
        <w:rPr>
          <w:rFonts w:hint="eastAsia" w:ascii="宋体" w:hAnsi="宋体" w:cs="宋体"/>
          <w:color w:val="auto"/>
          <w:kern w:val="0"/>
          <w:sz w:val="24"/>
          <w:highlight w:val="none"/>
        </w:rPr>
        <w:t>个日历天，暂定开工日期：</w:t>
      </w:r>
      <w:r>
        <w:rPr>
          <w:rStyle w:val="38"/>
          <w:rFonts w:hint="eastAsia"/>
          <w:b w:val="0"/>
          <w:color w:val="auto"/>
          <w:sz w:val="24"/>
          <w:szCs w:val="24"/>
          <w:highlight w:val="none"/>
        </w:rPr>
        <w:t xml:space="preserve">2026 年 </w:t>
      </w:r>
      <w:r>
        <w:rPr>
          <w:rStyle w:val="38"/>
          <w:rFonts w:hint="eastAsia"/>
          <w:b w:val="0"/>
          <w:color w:val="auto"/>
          <w:sz w:val="24"/>
          <w:szCs w:val="24"/>
          <w:highlight w:val="none"/>
          <w:lang w:val="en-US" w:eastAsia="zh-CN"/>
        </w:rPr>
        <w:t>2</w:t>
      </w:r>
      <w:r>
        <w:rPr>
          <w:rStyle w:val="38"/>
          <w:rFonts w:hint="eastAsia"/>
          <w:b w:val="0"/>
          <w:color w:val="auto"/>
          <w:sz w:val="24"/>
          <w:szCs w:val="24"/>
          <w:highlight w:val="none"/>
        </w:rPr>
        <w:t>月 28</w:t>
      </w:r>
      <w:r>
        <w:rPr>
          <w:rFonts w:hint="eastAsia" w:ascii="宋体" w:hAnsi="宋体" w:cs="宋体"/>
          <w:color w:val="auto"/>
          <w:kern w:val="0"/>
          <w:sz w:val="24"/>
          <w:highlight w:val="none"/>
        </w:rPr>
        <w:t>；竣工日期：</w:t>
      </w:r>
      <w:r>
        <w:rPr>
          <w:rStyle w:val="38"/>
          <w:rFonts w:hint="eastAsia"/>
          <w:b w:val="0"/>
          <w:color w:val="auto"/>
          <w:sz w:val="24"/>
          <w:szCs w:val="24"/>
          <w:highlight w:val="none"/>
        </w:rPr>
        <w:t xml:space="preserve">2026 年 </w:t>
      </w:r>
      <w:r>
        <w:rPr>
          <w:rStyle w:val="38"/>
          <w:rFonts w:hint="eastAsia"/>
          <w:b w:val="0"/>
          <w:color w:val="auto"/>
          <w:sz w:val="24"/>
          <w:szCs w:val="24"/>
          <w:highlight w:val="none"/>
          <w:lang w:val="en-US" w:eastAsia="zh-CN"/>
        </w:rPr>
        <w:t>9</w:t>
      </w:r>
      <w:r>
        <w:rPr>
          <w:rStyle w:val="38"/>
          <w:rFonts w:hint="eastAsia"/>
          <w:b w:val="0"/>
          <w:color w:val="auto"/>
          <w:sz w:val="24"/>
          <w:szCs w:val="24"/>
          <w:highlight w:val="none"/>
        </w:rPr>
        <w:t>月 25 日</w:t>
      </w:r>
      <w:r>
        <w:rPr>
          <w:rFonts w:hint="eastAsia" w:ascii="宋体" w:hAnsi="宋体" w:cs="宋体"/>
          <w:color w:val="auto"/>
          <w:kern w:val="0"/>
          <w:sz w:val="24"/>
          <w:highlight w:val="none"/>
        </w:rPr>
        <w:t>；</w:t>
      </w:r>
    </w:p>
    <w:p w14:paraId="54068E9B">
      <w:pPr>
        <w:tabs>
          <w:tab w:val="left" w:pos="2300"/>
          <w:tab w:val="left" w:pos="3260"/>
          <w:tab w:val="left" w:pos="3980"/>
          <w:tab w:val="left" w:pos="6740"/>
          <w:tab w:val="left" w:pos="7700"/>
          <w:tab w:val="left" w:pos="842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具体各分项开工日期以甲方签发的开工通知书确定的日期为准；若甲方无另行开工通知的，乙方应按照前述约定日期开工。以上竣工日期乙方须保证于此日期前通过当地供电局验收合格并送电。</w:t>
      </w:r>
    </w:p>
    <w:p w14:paraId="13524ECB">
      <w:pPr>
        <w:autoSpaceDE w:val="0"/>
        <w:autoSpaceDN w:val="0"/>
        <w:adjustRightInd w:val="0"/>
        <w:snapToGrid w:val="0"/>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position w:val="-3"/>
          <w:sz w:val="24"/>
          <w:highlight w:val="none"/>
        </w:rPr>
        <w:t>四、质量标准</w:t>
      </w:r>
    </w:p>
    <w:p w14:paraId="57A56A95">
      <w:pPr>
        <w:autoSpaceDE w:val="0"/>
        <w:autoSpaceDN w:val="0"/>
        <w:adjustRightInd w:val="0"/>
        <w:snapToGrid w:val="0"/>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工程质量标准：</w:t>
      </w:r>
      <w:r>
        <w:rPr>
          <w:rFonts w:hint="eastAsia" w:ascii="宋体" w:hAnsi="宋体" w:cs="宋体"/>
          <w:color w:val="auto"/>
          <w:kern w:val="0"/>
          <w:sz w:val="24"/>
          <w:highlight w:val="none"/>
          <w:u w:val="single"/>
        </w:rPr>
        <w:t>达到国家、地方或行业质量检验评定的合格标准，竣工验收合格，且达到供电部门送电的要求。具体要求详见附件5《技术要求》</w:t>
      </w:r>
    </w:p>
    <w:p w14:paraId="7FF6AFBD">
      <w:pPr>
        <w:autoSpaceDE w:val="0"/>
        <w:autoSpaceDN w:val="0"/>
        <w:adjustRightInd w:val="0"/>
        <w:snapToGrid w:val="0"/>
        <w:spacing w:line="360" w:lineRule="auto"/>
        <w:ind w:firstLine="482" w:firstLineChars="200"/>
        <w:jc w:val="left"/>
        <w:rPr>
          <w:rFonts w:ascii="宋体" w:hAnsi="宋体" w:cs="宋体"/>
          <w:b/>
          <w:color w:val="auto"/>
          <w:kern w:val="0"/>
          <w:position w:val="-3"/>
          <w:sz w:val="24"/>
          <w:highlight w:val="none"/>
        </w:rPr>
      </w:pPr>
      <w:r>
        <w:rPr>
          <w:rFonts w:hint="eastAsia" w:ascii="宋体" w:hAnsi="宋体" w:cs="宋体"/>
          <w:b/>
          <w:color w:val="auto"/>
          <w:kern w:val="0"/>
          <w:position w:val="-3"/>
          <w:sz w:val="24"/>
          <w:highlight w:val="none"/>
        </w:rPr>
        <w:t>五、职业健康安全管理目标和环境管理目标</w:t>
      </w:r>
    </w:p>
    <w:p w14:paraId="35C0EF28">
      <w:pPr>
        <w:autoSpaceDE w:val="0"/>
        <w:autoSpaceDN w:val="0"/>
        <w:adjustRightInd w:val="0"/>
        <w:snapToGrid w:val="0"/>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1.职业健康安全管理目标：</w:t>
      </w:r>
    </w:p>
    <w:p w14:paraId="45A390FF">
      <w:pPr>
        <w:autoSpaceDE w:val="0"/>
        <w:autoSpaceDN w:val="0"/>
        <w:adjustRightInd w:val="0"/>
        <w:snapToGrid w:val="0"/>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零死亡、零重伤、零中毒、零火灾、零坍塌、零重大机械事故、零重大财产损失及负面影响事件、零群体事件。改善劳动条件，预防职业病，工地防尘、防毒、防噪音、通风、照明、取暖、降温、防辐射及防物理因素危害等，均符合国家和地方</w:t>
      </w:r>
      <w:r>
        <w:rPr>
          <w:rFonts w:hint="eastAsia" w:ascii="宋体" w:hAnsi="宋体" w:cs="宋体"/>
          <w:color w:val="auto"/>
          <w:kern w:val="0"/>
          <w:sz w:val="24"/>
          <w:highlight w:val="none"/>
          <w:u w:val="single"/>
          <w:lang w:eastAsia="zh-CN"/>
        </w:rPr>
        <w:t>政府主管部门</w:t>
      </w:r>
      <w:r>
        <w:rPr>
          <w:rFonts w:hint="eastAsia" w:ascii="宋体" w:hAnsi="宋体" w:cs="宋体"/>
          <w:color w:val="auto"/>
          <w:kern w:val="0"/>
          <w:sz w:val="24"/>
          <w:highlight w:val="none"/>
          <w:u w:val="single"/>
        </w:rPr>
        <w:t>颁布的相关规定。</w:t>
      </w:r>
    </w:p>
    <w:p w14:paraId="2EFE5AB5">
      <w:pPr>
        <w:autoSpaceDE w:val="0"/>
        <w:autoSpaceDN w:val="0"/>
        <w:adjustRightInd w:val="0"/>
        <w:snapToGrid w:val="0"/>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2.环境管理目标：严格执行《广州市城乡建设委员会关于印发广州市加强建筑工地环保管理工作方案的通知》</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穗建质〔2014〕754号</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 xml:space="preserve">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w:t>
      </w:r>
      <w:r>
        <w:rPr>
          <w:rFonts w:hint="eastAsia" w:ascii="宋体" w:hAnsi="宋体" w:cs="宋体"/>
          <w:color w:val="auto"/>
          <w:kern w:val="0"/>
          <w:sz w:val="24"/>
          <w:highlight w:val="none"/>
          <w:u w:val="single"/>
          <w:lang w:eastAsia="zh-CN"/>
        </w:rPr>
        <w:t>〔2017〕815号</w:t>
      </w:r>
      <w:r>
        <w:rPr>
          <w:rFonts w:hint="eastAsia" w:ascii="宋体" w:hAnsi="宋体" w:cs="宋体"/>
          <w:color w:val="auto"/>
          <w:kern w:val="0"/>
          <w:sz w:val="24"/>
          <w:highlight w:val="none"/>
          <w:u w:val="single"/>
        </w:rPr>
        <w:t>）、《危险性较大的分部分项工程安全管理规定》</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中华人民共和国住房和城乡建设部令第37号</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和《关于加强建设工程安全生产管理、落实建设各方主体责任的暂行规定》（穗建规字〔2017〕21号）等国家、省、市现行标准、规定和文件要求，并满足广州市政府或建设管理部门文件规定要求。安全文明施工目标：须获得广州市房屋市政工程安全生产文明施工示范工地。</w:t>
      </w:r>
    </w:p>
    <w:p w14:paraId="3AA08515">
      <w:pPr>
        <w:autoSpaceDE w:val="0"/>
        <w:autoSpaceDN w:val="0"/>
        <w:adjustRightInd w:val="0"/>
        <w:snapToGrid w:val="0"/>
        <w:spacing w:line="360" w:lineRule="auto"/>
        <w:ind w:firstLine="482" w:firstLineChars="200"/>
        <w:jc w:val="left"/>
        <w:rPr>
          <w:rFonts w:ascii="宋体" w:hAnsi="宋体" w:cs="宋体"/>
          <w:b/>
          <w:color w:val="auto"/>
          <w:kern w:val="0"/>
          <w:position w:val="-3"/>
          <w:sz w:val="24"/>
          <w:highlight w:val="none"/>
        </w:rPr>
      </w:pPr>
      <w:r>
        <w:rPr>
          <w:rFonts w:hint="eastAsia" w:ascii="宋体" w:hAnsi="宋体" w:cs="宋体"/>
          <w:b/>
          <w:color w:val="auto"/>
          <w:kern w:val="0"/>
          <w:position w:val="-3"/>
          <w:sz w:val="24"/>
          <w:highlight w:val="none"/>
        </w:rPr>
        <w:t>六、合同价款</w:t>
      </w:r>
    </w:p>
    <w:p w14:paraId="3B1E4E5F">
      <w:pPr>
        <w:spacing w:line="360" w:lineRule="auto"/>
        <w:ind w:left="0" w:firstLine="480" w:firstLineChars="200"/>
        <w:rPr>
          <w:color w:val="auto"/>
          <w:sz w:val="24"/>
          <w:szCs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w:t>
      </w:r>
      <w:r>
        <w:rPr>
          <w:rFonts w:hint="eastAsia"/>
          <w:color w:val="auto"/>
          <w:sz w:val="24"/>
          <w:szCs w:val="24"/>
          <w:highlight w:val="none"/>
        </w:rPr>
        <w:t xml:space="preserve">本工程的暂定含税合同总价款为：¥ </w:t>
      </w:r>
      <w:r>
        <w:rPr>
          <w:rFonts w:hint="eastAsia"/>
          <w:color w:val="auto"/>
          <w:sz w:val="24"/>
          <w:szCs w:val="24"/>
          <w:highlight w:val="none"/>
          <w:u w:val="single"/>
        </w:rPr>
        <w:t xml:space="preserve">  </w:t>
      </w:r>
      <w:r>
        <w:rPr>
          <w:rFonts w:hint="eastAsia"/>
          <w:color w:val="auto"/>
          <w:sz w:val="24"/>
          <w:szCs w:val="24"/>
          <w:highlight w:val="none"/>
        </w:rPr>
        <w:t>元（人民币大写：</w:t>
      </w:r>
      <w:r>
        <w:rPr>
          <w:rFonts w:hint="eastAsia"/>
          <w:color w:val="auto"/>
          <w:sz w:val="24"/>
          <w:szCs w:val="24"/>
          <w:highlight w:val="none"/>
          <w:u w:val="single"/>
        </w:rPr>
        <w:t xml:space="preserve">   ）</w:t>
      </w:r>
      <w:r>
        <w:rPr>
          <w:rFonts w:hint="eastAsia"/>
          <w:color w:val="auto"/>
          <w:sz w:val="24"/>
          <w:szCs w:val="24"/>
          <w:highlight w:val="none"/>
        </w:rPr>
        <w:t>其中，不含税总价为：¥</w:t>
      </w:r>
      <w:r>
        <w:rPr>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元，税价为¥   元，增值税税率为 </w:t>
      </w:r>
      <w:r>
        <w:rPr>
          <w:rFonts w:hint="eastAsia"/>
          <w:color w:val="auto"/>
          <w:sz w:val="24"/>
          <w:szCs w:val="24"/>
          <w:highlight w:val="none"/>
          <w:u w:val="single"/>
        </w:rPr>
        <w:t xml:space="preserve">9 % </w:t>
      </w:r>
      <w:r>
        <w:rPr>
          <w:rFonts w:hint="eastAsia"/>
          <w:color w:val="auto"/>
          <w:sz w:val="24"/>
          <w:szCs w:val="24"/>
          <w:highlight w:val="none"/>
        </w:rPr>
        <w:t>。</w:t>
      </w:r>
    </w:p>
    <w:p w14:paraId="14B160E4">
      <w:pPr>
        <w:spacing w:line="360" w:lineRule="auto"/>
        <w:ind w:left="0" w:firstLine="480" w:firstLineChars="200"/>
        <w:rPr>
          <w:color w:val="auto"/>
          <w:sz w:val="24"/>
          <w:szCs w:val="24"/>
          <w:highlight w:val="none"/>
        </w:rPr>
      </w:pPr>
      <w:r>
        <w:rPr>
          <w:rFonts w:hint="eastAsia"/>
          <w:color w:val="auto"/>
          <w:sz w:val="24"/>
          <w:szCs w:val="24"/>
          <w:highlight w:val="none"/>
        </w:rPr>
        <w:t xml:space="preserve">其中：安全防护、文明施工措施费为：¥ </w:t>
      </w:r>
      <w:r>
        <w:rPr>
          <w:rFonts w:hint="eastAsia"/>
          <w:color w:val="auto"/>
          <w:sz w:val="24"/>
          <w:szCs w:val="24"/>
          <w:highlight w:val="none"/>
          <w:u w:val="single"/>
        </w:rPr>
        <w:t xml:space="preserve">  </w:t>
      </w:r>
      <w:r>
        <w:rPr>
          <w:rFonts w:hint="eastAsia"/>
          <w:color w:val="auto"/>
          <w:sz w:val="24"/>
          <w:szCs w:val="24"/>
          <w:highlight w:val="none"/>
        </w:rPr>
        <w:t>元（人民币大写：</w:t>
      </w:r>
      <w:r>
        <w:rPr>
          <w:rFonts w:hint="eastAsia"/>
          <w:color w:val="auto"/>
          <w:sz w:val="24"/>
          <w:szCs w:val="24"/>
          <w:highlight w:val="none"/>
          <w:u w:val="single"/>
        </w:rPr>
        <w:t xml:space="preserve">  ）</w:t>
      </w:r>
      <w:r>
        <w:rPr>
          <w:rFonts w:hint="eastAsia"/>
          <w:color w:val="auto"/>
          <w:sz w:val="24"/>
          <w:szCs w:val="24"/>
          <w:highlight w:val="none"/>
        </w:rPr>
        <w:t>。暂列金费为：¥   元（人民币大写：  ）。</w:t>
      </w:r>
    </w:p>
    <w:p w14:paraId="73DEBE27">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 2.工程施工费为暂定价，中标的投标文件中已有的清单子目价格按投标文件执行，中标的投标文件中没有的清单子目价格按专用条款相关规定进行调整。所有工程变更需经过发包人审定后方可实施；项目在施工阶段，因承包人自身因素引起的施工调整的费用增加的由承包人自行承担。</w:t>
      </w:r>
    </w:p>
    <w:p w14:paraId="4331C84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rPr>
        <w:t>合同价款包含承包人履行本合同所需一切税费。工程结算应报监理单位初审，最终结算以发包人审定为准。</w:t>
      </w:r>
      <w:r>
        <w:rPr>
          <w:rFonts w:hint="eastAsia" w:ascii="宋体" w:hAnsi="宋体"/>
          <w:color w:val="auto"/>
          <w:sz w:val="24"/>
          <w:szCs w:val="24"/>
          <w:highlight w:val="none"/>
        </w:rPr>
        <w:t>如果发包人委托的审计机构对本工程实施审计，承包人须积极配合，审计机构对本工程结算的认定对承包人具有约束力，承包人必须按审计意见调整结算价，否则发包人有权不予认可和支付。</w:t>
      </w:r>
    </w:p>
    <w:p w14:paraId="4FF9E1A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根据法律、行政法规规定和/或本合同约定应由承包人负责和承担的费用，均视为已包含在承包人投标报价中，无论该等费用是否在承包人提报的工程量清单或其他投标文件中列项或体现，发包人均不再向承包人另行结算和支付。</w:t>
      </w:r>
    </w:p>
    <w:p w14:paraId="67DCBA55">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在合同履行期间，如遇国家的税率政策调整，合同不含税价格不因国家税率变化而变化，合同含税价格按国家的税率政策进行调整。</w:t>
      </w:r>
      <w:bookmarkStart w:id="7" w:name="_Hlk90303654"/>
      <w:r>
        <w:rPr>
          <w:rFonts w:hint="eastAsia" w:ascii="宋体" w:hAnsi="宋体" w:cs="宋体"/>
          <w:color w:val="auto"/>
          <w:kern w:val="0"/>
          <w:sz w:val="24"/>
          <w:highlight w:val="none"/>
        </w:rPr>
        <w:t>如遇审计部门等发现本合同结算价款存在超付情形，发包人有权要求承包人返还该部分款项。</w:t>
      </w:r>
    </w:p>
    <w:bookmarkEnd w:id="7"/>
    <w:p w14:paraId="19E542B8">
      <w:pPr>
        <w:autoSpaceDE w:val="0"/>
        <w:autoSpaceDN w:val="0"/>
        <w:adjustRightInd w:val="0"/>
        <w:snapToGrid w:val="0"/>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七、组成合同的文件</w:t>
      </w:r>
    </w:p>
    <w:p w14:paraId="0B3D5FA5">
      <w:pPr>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组成本合同的文件及其优先解释顺序如下包括：</w:t>
      </w:r>
    </w:p>
    <w:p w14:paraId="4C8AE567">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bookmarkStart w:id="8" w:name="_Hlk90470076"/>
      <w:bookmarkStart w:id="9" w:name="_Hlk90450447"/>
      <w:r>
        <w:rPr>
          <w:rFonts w:hint="eastAsia" w:ascii="宋体" w:hAnsi="宋体" w:cs="宋体"/>
          <w:bCs/>
          <w:color w:val="auto"/>
          <w:kern w:val="0"/>
          <w:sz w:val="24"/>
          <w:highlight w:val="none"/>
        </w:rPr>
        <w:t>（1）合同协议书及补充协议；</w:t>
      </w:r>
    </w:p>
    <w:p w14:paraId="078F7D8F">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（2）中标通知书；</w:t>
      </w:r>
    </w:p>
    <w:p w14:paraId="26D081F6">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（3）本合同专用条款；</w:t>
      </w:r>
    </w:p>
    <w:p w14:paraId="281677E3">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（4）投标函及其附件；</w:t>
      </w:r>
    </w:p>
    <w:p w14:paraId="0101F7D1">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（5）通用合同条款；</w:t>
      </w:r>
    </w:p>
    <w:p w14:paraId="438CB0D1">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（6）合同附件；</w:t>
      </w:r>
    </w:p>
    <w:p w14:paraId="07681BFF">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（7）招标文件及其附件、招标答疑会议纪要等补充文件；</w:t>
      </w:r>
    </w:p>
    <w:p w14:paraId="4006AAF4">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（8）标准、规范及有关技术文件；</w:t>
      </w:r>
    </w:p>
    <w:p w14:paraId="5AD917A6">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（9）工程量清单（若有）</w:t>
      </w:r>
    </w:p>
    <w:p w14:paraId="556D204F">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（10）双方约定构成合同组成部分的其它文件。</w:t>
      </w:r>
    </w:p>
    <w:bookmarkEnd w:id="8"/>
    <w:bookmarkEnd w:id="9"/>
    <w:p w14:paraId="567D4AD8">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bookmarkStart w:id="10" w:name="_Hlk90450564"/>
      <w:bookmarkStart w:id="11" w:name="_Hlk90470155"/>
      <w:r>
        <w:rPr>
          <w:rFonts w:hint="eastAsia" w:ascii="宋体" w:hAnsi="宋体" w:cs="宋体"/>
          <w:bCs/>
          <w:color w:val="auto"/>
          <w:kern w:val="0"/>
          <w:sz w:val="24"/>
          <w:highlight w:val="none"/>
        </w:rPr>
        <w:t>双方在履行合同过程中形成的双方授权代表在其权限内签署的会议纪要、备忘录、补充文件、变更和洽商等书面形式的文件构成本合同的组成部分，归入到本条的第（10）项中。</w:t>
      </w:r>
    </w:p>
    <w:bookmarkEnd w:id="10"/>
    <w:p w14:paraId="1FAD19A3">
      <w:pPr>
        <w:autoSpaceDE w:val="0"/>
        <w:autoSpaceDN w:val="0"/>
        <w:adjustRightInd w:val="0"/>
        <w:snapToGrid w:val="0"/>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上述文件互相补充和解释，如有不明确或不一致之处，以合同约定次序在先者为准。     同一解释顺序有多份文件的，以签署/颁布时间在后者为准。通过上述顺序解释仍无法明确的事项，由发包人与承包人协商解决；如协商不成，由发包人按照公平合理和有利于本合同工程建设的原则作出决定，承包人应无条件执行。</w:t>
      </w:r>
    </w:p>
    <w:bookmarkEnd w:id="11"/>
    <w:p w14:paraId="4EBD3B89">
      <w:pPr>
        <w:autoSpaceDE w:val="0"/>
        <w:autoSpaceDN w:val="0"/>
        <w:adjustRightInd w:val="0"/>
        <w:snapToGrid w:val="0"/>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八、</w:t>
      </w:r>
      <w:r>
        <w:rPr>
          <w:rFonts w:hint="eastAsia" w:ascii="宋体" w:hAnsi="宋体" w:cs="宋体"/>
          <w:color w:val="auto"/>
          <w:kern w:val="0"/>
          <w:sz w:val="24"/>
          <w:highlight w:val="none"/>
        </w:rPr>
        <w:t>本协议书中有关词语含义与本合同第二部分通用条款第一条、第三部分专用条款第一条分别赋予它们的定义相同。</w:t>
      </w:r>
    </w:p>
    <w:p w14:paraId="4CA1CEE2">
      <w:pPr>
        <w:autoSpaceDE w:val="0"/>
        <w:autoSpaceDN w:val="0"/>
        <w:adjustRightInd w:val="0"/>
        <w:snapToGrid w:val="0"/>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九、</w:t>
      </w:r>
      <w:r>
        <w:rPr>
          <w:rFonts w:hint="eastAsia" w:ascii="宋体" w:hAnsi="宋体" w:cs="宋体"/>
          <w:bCs/>
          <w:color w:val="auto"/>
          <w:kern w:val="0"/>
          <w:sz w:val="24"/>
          <w:highlight w:val="none"/>
        </w:rPr>
        <w:t>承包人向发包人承诺已阅读、理解并接受本合同所有条款，按照本合同约定实施、完成并保修合同工程，履行本合同所约定的全部义务。</w:t>
      </w:r>
    </w:p>
    <w:p w14:paraId="768AA551">
      <w:pPr>
        <w:autoSpaceDE w:val="0"/>
        <w:autoSpaceDN w:val="0"/>
        <w:adjustRightInd w:val="0"/>
        <w:snapToGrid w:val="0"/>
        <w:spacing w:line="360" w:lineRule="auto"/>
        <w:ind w:firstLine="482" w:firstLineChars="200"/>
        <w:jc w:val="left"/>
        <w:rPr>
          <w:rFonts w:ascii="宋体" w:hAnsi="宋体" w:cs="宋体"/>
          <w:bCs/>
          <w:color w:val="auto"/>
          <w:kern w:val="0"/>
          <w:sz w:val="24"/>
          <w:highlight w:val="none"/>
        </w:rPr>
      </w:pPr>
      <w:r>
        <w:rPr>
          <w:rFonts w:hint="eastAsia" w:ascii="宋体" w:hAnsi="宋体" w:cs="宋体"/>
          <w:b/>
          <w:color w:val="auto"/>
          <w:kern w:val="0"/>
          <w:sz w:val="24"/>
          <w:highlight w:val="none"/>
        </w:rPr>
        <w:t>十、</w:t>
      </w:r>
      <w:r>
        <w:rPr>
          <w:rFonts w:hint="eastAsia" w:ascii="宋体" w:hAnsi="宋体" w:cs="宋体"/>
          <w:bCs/>
          <w:color w:val="auto"/>
          <w:kern w:val="0"/>
          <w:sz w:val="24"/>
          <w:highlight w:val="none"/>
        </w:rPr>
        <w:t>发包人向承包人承诺已阅读、理解并接受本合同所有条款，按照本合同约定的时限和方法支付工程款及其他应当支付的款项，履行本合同所约定的全部义务。</w:t>
      </w:r>
    </w:p>
    <w:p w14:paraId="3FF4FFE0">
      <w:pPr>
        <w:autoSpaceDE w:val="0"/>
        <w:autoSpaceDN w:val="0"/>
        <w:adjustRightInd w:val="0"/>
        <w:snapToGrid w:val="0"/>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position w:val="-3"/>
          <w:sz w:val="24"/>
          <w:highlight w:val="none"/>
        </w:rPr>
        <w:t>十一、合同生效</w:t>
      </w:r>
    </w:p>
    <w:p w14:paraId="3508F9FC">
      <w:pPr>
        <w:tabs>
          <w:tab w:val="left" w:pos="3740"/>
          <w:tab w:val="left" w:pos="5300"/>
          <w:tab w:val="left" w:pos="6860"/>
        </w:tabs>
        <w:autoSpaceDE w:val="0"/>
        <w:autoSpaceDN w:val="0"/>
        <w:adjustRightInd w:val="0"/>
        <w:snapToGrid w:val="0"/>
        <w:spacing w:line="360" w:lineRule="auto"/>
        <w:ind w:left="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346B0892">
      <w:pPr>
        <w:tabs>
          <w:tab w:val="left" w:pos="8900"/>
          <w:tab w:val="left" w:pos="9960"/>
        </w:tabs>
        <w:autoSpaceDE w:val="0"/>
        <w:autoSpaceDN w:val="0"/>
        <w:adjustRightInd w:val="0"/>
        <w:snapToGrid w:val="0"/>
        <w:spacing w:line="360" w:lineRule="auto"/>
        <w:ind w:left="0" w:right="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广州市黄埔区</w:t>
      </w:r>
    </w:p>
    <w:p w14:paraId="0934A295">
      <w:pPr>
        <w:autoSpaceDE w:val="0"/>
        <w:autoSpaceDN w:val="0"/>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本合同正本一式贰份，发包人、承包人各执壹份；副本捌份，发包人执肆份，承包人执叁份，监理单位执壹份。</w:t>
      </w:r>
      <w:r>
        <w:rPr>
          <w:rFonts w:hint="eastAsia" w:ascii="宋体" w:hAnsi="宋体" w:cs="宋体"/>
          <w:color w:val="auto"/>
          <w:kern w:val="0"/>
          <w:sz w:val="24"/>
          <w:highlight w:val="none"/>
        </w:rPr>
        <w:t>本合同约定</w:t>
      </w:r>
      <w:r>
        <w:rPr>
          <w:rFonts w:hint="eastAsia" w:ascii="宋体" w:hAnsi="宋体" w:cs="宋体"/>
          <w:color w:val="auto"/>
          <w:kern w:val="0"/>
          <w:sz w:val="24"/>
          <w:szCs w:val="24"/>
          <w:highlight w:val="none"/>
        </w:rPr>
        <w:t>双方签名盖章并在承包人提交符合发包人要求的履约保函后生效。</w:t>
      </w:r>
    </w:p>
    <w:tbl>
      <w:tblPr>
        <w:tblStyle w:val="35"/>
        <w:tblpPr w:leftFromText="180" w:rightFromText="180" w:vertAnchor="text" w:horzAnchor="margin" w:tblpXSpec="center" w:tblpY="338"/>
        <w:tblW w:w="9729" w:type="dxa"/>
        <w:tblInd w:w="0" w:type="dxa"/>
        <w:tblLayout w:type="fixed"/>
        <w:tblCellMar>
          <w:top w:w="0" w:type="dxa"/>
          <w:left w:w="108" w:type="dxa"/>
          <w:bottom w:w="0" w:type="dxa"/>
          <w:right w:w="108" w:type="dxa"/>
        </w:tblCellMar>
      </w:tblPr>
      <w:tblGrid>
        <w:gridCol w:w="4987"/>
        <w:gridCol w:w="4742"/>
      </w:tblGrid>
      <w:tr w14:paraId="54DFBF99">
        <w:tblPrEx>
          <w:tblCellMar>
            <w:top w:w="0" w:type="dxa"/>
            <w:left w:w="108" w:type="dxa"/>
            <w:bottom w:w="0" w:type="dxa"/>
            <w:right w:w="108" w:type="dxa"/>
          </w:tblCellMar>
        </w:tblPrEx>
        <w:trPr>
          <w:trHeight w:val="1246" w:hRule="atLeast"/>
        </w:trPr>
        <w:tc>
          <w:tcPr>
            <w:tcW w:w="4987" w:type="dxa"/>
            <w:vAlign w:val="center"/>
          </w:tcPr>
          <w:p w14:paraId="434DE3ED">
            <w:pPr>
              <w:spacing w:line="360" w:lineRule="auto"/>
              <w:rPr>
                <w:color w:val="auto"/>
                <w:sz w:val="24"/>
                <w:szCs w:val="24"/>
                <w:highlight w:val="none"/>
              </w:rPr>
            </w:pPr>
            <w:bookmarkStart w:id="12" w:name="_Hlk38464722"/>
            <w:bookmarkStart w:id="13" w:name="_Hlk89259211"/>
            <w:bookmarkStart w:id="14" w:name="_Hlk89260837"/>
            <w:r>
              <w:rPr>
                <w:rFonts w:hint="eastAsia"/>
                <w:color w:val="auto"/>
                <w:sz w:val="24"/>
                <w:szCs w:val="24"/>
                <w:highlight w:val="none"/>
              </w:rPr>
              <w:t xml:space="preserve">发包人（盖章）： </w:t>
            </w:r>
          </w:p>
          <w:p w14:paraId="1E2DE4F9">
            <w:pPr>
              <w:spacing w:line="360" w:lineRule="auto"/>
              <w:rPr>
                <w:color w:val="auto"/>
                <w:sz w:val="24"/>
                <w:szCs w:val="24"/>
                <w:highlight w:val="none"/>
              </w:rPr>
            </w:pPr>
            <w:r>
              <w:rPr>
                <w:rFonts w:hint="eastAsia" w:ascii="宋体" w:hAnsi="宋体"/>
                <w:color w:val="auto"/>
                <w:sz w:val="24"/>
                <w:szCs w:val="24"/>
                <w:highlight w:val="none"/>
              </w:rPr>
              <w:t xml:space="preserve"> 广州市启韵房地产开发有限公司</w:t>
            </w:r>
          </w:p>
        </w:tc>
        <w:tc>
          <w:tcPr>
            <w:tcW w:w="4742" w:type="dxa"/>
          </w:tcPr>
          <w:p w14:paraId="61B5F12F">
            <w:pPr>
              <w:spacing w:line="360" w:lineRule="auto"/>
              <w:ind w:left="1499" w:leftChars="28" w:hanging="1440" w:hangingChars="600"/>
              <w:rPr>
                <w:color w:val="auto"/>
                <w:sz w:val="24"/>
                <w:szCs w:val="24"/>
                <w:highlight w:val="none"/>
              </w:rPr>
            </w:pPr>
          </w:p>
          <w:p w14:paraId="1BF271EA">
            <w:pPr>
              <w:spacing w:line="360" w:lineRule="auto"/>
              <w:rPr>
                <w:color w:val="auto"/>
                <w:sz w:val="24"/>
                <w:szCs w:val="24"/>
                <w:highlight w:val="none"/>
              </w:rPr>
            </w:pPr>
            <w:r>
              <w:rPr>
                <w:rFonts w:hint="eastAsia"/>
                <w:color w:val="auto"/>
                <w:sz w:val="24"/>
                <w:szCs w:val="24"/>
                <w:highlight w:val="none"/>
              </w:rPr>
              <w:t>承包人（盖章）：</w:t>
            </w:r>
          </w:p>
          <w:p w14:paraId="3F08EFAE">
            <w:pPr>
              <w:spacing w:line="360" w:lineRule="auto"/>
              <w:ind w:left="1499" w:leftChars="28" w:hanging="1440" w:hangingChars="600"/>
              <w:rPr>
                <w:color w:val="auto"/>
                <w:sz w:val="24"/>
                <w:szCs w:val="24"/>
                <w:highlight w:val="none"/>
              </w:rPr>
            </w:pPr>
            <w:r>
              <w:rPr>
                <w:rFonts w:hint="eastAsia"/>
                <w:color w:val="auto"/>
                <w:sz w:val="24"/>
                <w:szCs w:val="24"/>
                <w:highlight w:val="none"/>
              </w:rPr>
              <w:t xml:space="preserve"> </w:t>
            </w:r>
          </w:p>
        </w:tc>
      </w:tr>
      <w:tr w14:paraId="1F8342A4">
        <w:tblPrEx>
          <w:tblCellMar>
            <w:top w:w="0" w:type="dxa"/>
            <w:left w:w="108" w:type="dxa"/>
            <w:bottom w:w="0" w:type="dxa"/>
            <w:right w:w="108" w:type="dxa"/>
          </w:tblCellMar>
        </w:tblPrEx>
        <w:trPr>
          <w:trHeight w:val="1175" w:hRule="atLeast"/>
        </w:trPr>
        <w:tc>
          <w:tcPr>
            <w:tcW w:w="4987" w:type="dxa"/>
            <w:vAlign w:val="center"/>
          </w:tcPr>
          <w:p w14:paraId="26C6452C">
            <w:pPr>
              <w:spacing w:line="360" w:lineRule="auto"/>
              <w:rPr>
                <w:color w:val="auto"/>
                <w:sz w:val="24"/>
                <w:szCs w:val="24"/>
                <w:highlight w:val="none"/>
              </w:rPr>
            </w:pPr>
            <w:r>
              <w:rPr>
                <w:rFonts w:hint="eastAsia"/>
                <w:color w:val="auto"/>
                <w:sz w:val="24"/>
                <w:szCs w:val="24"/>
                <w:highlight w:val="none"/>
              </w:rPr>
              <w:t>法定代表（签字）：</w:t>
            </w:r>
          </w:p>
        </w:tc>
        <w:tc>
          <w:tcPr>
            <w:tcW w:w="4742" w:type="dxa"/>
            <w:vAlign w:val="center"/>
          </w:tcPr>
          <w:p w14:paraId="1F5874BD">
            <w:pPr>
              <w:spacing w:line="360" w:lineRule="auto"/>
              <w:rPr>
                <w:color w:val="auto"/>
                <w:sz w:val="24"/>
                <w:szCs w:val="24"/>
                <w:highlight w:val="none"/>
              </w:rPr>
            </w:pPr>
            <w:r>
              <w:rPr>
                <w:rFonts w:hint="eastAsia"/>
                <w:color w:val="auto"/>
                <w:sz w:val="24"/>
                <w:szCs w:val="24"/>
                <w:highlight w:val="none"/>
              </w:rPr>
              <w:t>法定代表（签字）：</w:t>
            </w:r>
          </w:p>
        </w:tc>
      </w:tr>
      <w:tr w14:paraId="5E2521D0">
        <w:tblPrEx>
          <w:tblCellMar>
            <w:top w:w="0" w:type="dxa"/>
            <w:left w:w="108" w:type="dxa"/>
            <w:bottom w:w="0" w:type="dxa"/>
            <w:right w:w="108" w:type="dxa"/>
          </w:tblCellMar>
        </w:tblPrEx>
        <w:trPr>
          <w:trHeight w:val="1320" w:hRule="atLeast"/>
        </w:trPr>
        <w:tc>
          <w:tcPr>
            <w:tcW w:w="4987" w:type="dxa"/>
            <w:vAlign w:val="center"/>
          </w:tcPr>
          <w:p w14:paraId="09A0481A">
            <w:pPr>
              <w:adjustRightInd w:val="0"/>
              <w:snapToGrid w:val="0"/>
              <w:spacing w:line="360" w:lineRule="auto"/>
              <w:rPr>
                <w:color w:val="auto"/>
                <w:sz w:val="24"/>
                <w:szCs w:val="24"/>
                <w:highlight w:val="none"/>
              </w:rPr>
            </w:pPr>
            <w:r>
              <w:rPr>
                <w:rFonts w:hint="eastAsia"/>
                <w:color w:val="auto"/>
                <w:sz w:val="24"/>
                <w:szCs w:val="24"/>
                <w:highlight w:val="none"/>
              </w:rPr>
              <w:t>地     址：</w:t>
            </w:r>
            <w:r>
              <w:rPr>
                <w:rFonts w:hint="eastAsia" w:asciiTheme="minorEastAsia" w:hAnsiTheme="minorEastAsia"/>
                <w:color w:val="auto"/>
                <w:sz w:val="24"/>
                <w:szCs w:val="24"/>
                <w:highlight w:val="none"/>
              </w:rPr>
              <w:t xml:space="preserve"> </w:t>
            </w:r>
          </w:p>
          <w:p w14:paraId="64FABB99">
            <w:pPr>
              <w:spacing w:line="360" w:lineRule="auto"/>
              <w:ind w:left="1320" w:right="124" w:rightChars="59" w:hanging="1320" w:hangingChars="550"/>
              <w:rPr>
                <w:color w:val="auto"/>
                <w:sz w:val="24"/>
                <w:szCs w:val="24"/>
                <w:highlight w:val="none"/>
              </w:rPr>
            </w:pPr>
            <w:r>
              <w:rPr>
                <w:rFonts w:hint="eastAsia"/>
                <w:color w:val="auto"/>
                <w:sz w:val="24"/>
                <w:szCs w:val="24"/>
                <w:highlight w:val="none"/>
              </w:rPr>
              <w:t xml:space="preserve"> </w:t>
            </w:r>
          </w:p>
        </w:tc>
        <w:tc>
          <w:tcPr>
            <w:tcW w:w="4742" w:type="dxa"/>
            <w:vAlign w:val="center"/>
          </w:tcPr>
          <w:p w14:paraId="01FBD898">
            <w:pPr>
              <w:adjustRightInd w:val="0"/>
              <w:snapToGrid w:val="0"/>
              <w:spacing w:line="360" w:lineRule="auto"/>
              <w:rPr>
                <w:color w:val="auto"/>
                <w:sz w:val="24"/>
                <w:szCs w:val="24"/>
                <w:highlight w:val="none"/>
              </w:rPr>
            </w:pPr>
            <w:r>
              <w:rPr>
                <w:rFonts w:hint="eastAsia"/>
                <w:color w:val="auto"/>
                <w:sz w:val="24"/>
                <w:szCs w:val="24"/>
                <w:highlight w:val="none"/>
              </w:rPr>
              <w:t>地     址：</w:t>
            </w:r>
            <w:r>
              <w:rPr>
                <w:rFonts w:hint="eastAsia" w:asciiTheme="minorEastAsia" w:hAnsiTheme="minorEastAsia"/>
                <w:color w:val="auto"/>
                <w:sz w:val="24"/>
                <w:szCs w:val="24"/>
                <w:highlight w:val="none"/>
              </w:rPr>
              <w:t xml:space="preserve"> </w:t>
            </w:r>
          </w:p>
          <w:p w14:paraId="35B0E3EF">
            <w:pPr>
              <w:spacing w:line="360" w:lineRule="auto"/>
              <w:ind w:left="1320" w:right="124" w:rightChars="59" w:hanging="1320" w:hangingChars="550"/>
              <w:rPr>
                <w:color w:val="auto"/>
                <w:sz w:val="24"/>
                <w:szCs w:val="24"/>
                <w:highlight w:val="none"/>
              </w:rPr>
            </w:pPr>
            <w:r>
              <w:rPr>
                <w:rFonts w:hint="eastAsia"/>
                <w:color w:val="auto"/>
                <w:sz w:val="24"/>
                <w:szCs w:val="24"/>
                <w:highlight w:val="none"/>
              </w:rPr>
              <w:t xml:space="preserve"> </w:t>
            </w:r>
          </w:p>
        </w:tc>
      </w:tr>
      <w:tr w14:paraId="2B5B50C3">
        <w:tblPrEx>
          <w:tblCellMar>
            <w:top w:w="0" w:type="dxa"/>
            <w:left w:w="108" w:type="dxa"/>
            <w:bottom w:w="0" w:type="dxa"/>
            <w:right w:w="108" w:type="dxa"/>
          </w:tblCellMar>
        </w:tblPrEx>
        <w:trPr>
          <w:trHeight w:val="926" w:hRule="atLeast"/>
        </w:trPr>
        <w:tc>
          <w:tcPr>
            <w:tcW w:w="4987" w:type="dxa"/>
            <w:vAlign w:val="center"/>
          </w:tcPr>
          <w:p w14:paraId="518F1F2C">
            <w:pPr>
              <w:spacing w:line="360" w:lineRule="auto"/>
              <w:rPr>
                <w:color w:val="auto"/>
                <w:sz w:val="24"/>
                <w:szCs w:val="24"/>
                <w:highlight w:val="none"/>
              </w:rPr>
            </w:pPr>
            <w:r>
              <w:rPr>
                <w:rFonts w:hint="eastAsia"/>
                <w:color w:val="auto"/>
                <w:sz w:val="24"/>
                <w:szCs w:val="24"/>
                <w:highlight w:val="none"/>
              </w:rPr>
              <w:t>邮政编码： /</w:t>
            </w:r>
          </w:p>
        </w:tc>
        <w:tc>
          <w:tcPr>
            <w:tcW w:w="4742" w:type="dxa"/>
            <w:vAlign w:val="center"/>
          </w:tcPr>
          <w:p w14:paraId="7AABC96D">
            <w:pPr>
              <w:spacing w:line="360" w:lineRule="auto"/>
              <w:rPr>
                <w:rFonts w:eastAsia="等线"/>
                <w:color w:val="auto"/>
                <w:sz w:val="24"/>
                <w:szCs w:val="24"/>
                <w:highlight w:val="none"/>
              </w:rPr>
            </w:pPr>
            <w:r>
              <w:rPr>
                <w:rFonts w:hint="eastAsia"/>
                <w:color w:val="auto"/>
                <w:sz w:val="24"/>
                <w:szCs w:val="24"/>
                <w:highlight w:val="none"/>
              </w:rPr>
              <w:t>邮政编码：</w:t>
            </w:r>
            <w:r>
              <w:rPr>
                <w:rFonts w:ascii="宋体" w:hAnsi="宋体" w:eastAsia="等线"/>
                <w:color w:val="auto"/>
                <w:sz w:val="24"/>
                <w:szCs w:val="24"/>
                <w:highlight w:val="none"/>
              </w:rPr>
              <w:t xml:space="preserve"> </w:t>
            </w:r>
            <w:r>
              <w:rPr>
                <w:rFonts w:hint="eastAsia" w:ascii="宋体" w:hAnsi="宋体" w:eastAsia="等线"/>
                <w:color w:val="auto"/>
                <w:sz w:val="24"/>
                <w:szCs w:val="24"/>
                <w:highlight w:val="none"/>
              </w:rPr>
              <w:t xml:space="preserve">  /</w:t>
            </w:r>
          </w:p>
        </w:tc>
      </w:tr>
      <w:tr w14:paraId="35319853">
        <w:tblPrEx>
          <w:tblCellMar>
            <w:top w:w="0" w:type="dxa"/>
            <w:left w:w="108" w:type="dxa"/>
            <w:bottom w:w="0" w:type="dxa"/>
            <w:right w:w="108" w:type="dxa"/>
          </w:tblCellMar>
        </w:tblPrEx>
        <w:trPr>
          <w:trHeight w:val="939" w:hRule="atLeast"/>
        </w:trPr>
        <w:tc>
          <w:tcPr>
            <w:tcW w:w="4987" w:type="dxa"/>
            <w:vAlign w:val="center"/>
          </w:tcPr>
          <w:p w14:paraId="69360D8C">
            <w:pPr>
              <w:spacing w:line="360" w:lineRule="auto"/>
              <w:rPr>
                <w:color w:val="auto"/>
                <w:sz w:val="24"/>
                <w:szCs w:val="24"/>
                <w:highlight w:val="none"/>
              </w:rPr>
            </w:pPr>
            <w:r>
              <w:rPr>
                <w:rFonts w:hint="eastAsia"/>
                <w:color w:val="auto"/>
                <w:sz w:val="24"/>
                <w:szCs w:val="24"/>
                <w:highlight w:val="none"/>
              </w:rPr>
              <w:t>电     话： /</w:t>
            </w:r>
          </w:p>
        </w:tc>
        <w:tc>
          <w:tcPr>
            <w:tcW w:w="4742" w:type="dxa"/>
            <w:vAlign w:val="center"/>
          </w:tcPr>
          <w:p w14:paraId="59B2A35A">
            <w:pPr>
              <w:spacing w:line="360" w:lineRule="auto"/>
              <w:rPr>
                <w:color w:val="auto"/>
                <w:sz w:val="24"/>
                <w:szCs w:val="24"/>
                <w:highlight w:val="none"/>
              </w:rPr>
            </w:pPr>
            <w:r>
              <w:rPr>
                <w:rFonts w:hint="eastAsia"/>
                <w:color w:val="auto"/>
                <w:sz w:val="24"/>
                <w:szCs w:val="24"/>
                <w:highlight w:val="none"/>
              </w:rPr>
              <w:t>电     话： /</w:t>
            </w:r>
          </w:p>
        </w:tc>
      </w:tr>
      <w:tr w14:paraId="0590247A">
        <w:tblPrEx>
          <w:tblCellMar>
            <w:top w:w="0" w:type="dxa"/>
            <w:left w:w="108" w:type="dxa"/>
            <w:bottom w:w="0" w:type="dxa"/>
            <w:right w:w="108" w:type="dxa"/>
          </w:tblCellMar>
        </w:tblPrEx>
        <w:trPr>
          <w:trHeight w:val="936" w:hRule="atLeast"/>
        </w:trPr>
        <w:tc>
          <w:tcPr>
            <w:tcW w:w="4987" w:type="dxa"/>
            <w:vAlign w:val="center"/>
          </w:tcPr>
          <w:p w14:paraId="4AAD7FD1">
            <w:pPr>
              <w:spacing w:line="360" w:lineRule="auto"/>
              <w:rPr>
                <w:color w:val="auto"/>
                <w:sz w:val="24"/>
                <w:szCs w:val="24"/>
                <w:highlight w:val="none"/>
              </w:rPr>
            </w:pPr>
            <w:r>
              <w:rPr>
                <w:rFonts w:hint="eastAsia"/>
                <w:color w:val="auto"/>
                <w:sz w:val="24"/>
                <w:szCs w:val="24"/>
                <w:highlight w:val="none"/>
              </w:rPr>
              <w:t>传     真：  /</w:t>
            </w:r>
          </w:p>
        </w:tc>
        <w:tc>
          <w:tcPr>
            <w:tcW w:w="4742" w:type="dxa"/>
            <w:vAlign w:val="center"/>
          </w:tcPr>
          <w:p w14:paraId="7D0D62B1">
            <w:pPr>
              <w:spacing w:line="360" w:lineRule="auto"/>
              <w:rPr>
                <w:rFonts w:eastAsia="等线"/>
                <w:color w:val="auto"/>
                <w:sz w:val="24"/>
                <w:szCs w:val="24"/>
                <w:highlight w:val="none"/>
              </w:rPr>
            </w:pPr>
            <w:r>
              <w:rPr>
                <w:rFonts w:hint="eastAsia"/>
                <w:color w:val="auto"/>
                <w:sz w:val="24"/>
                <w:szCs w:val="24"/>
                <w:highlight w:val="none"/>
              </w:rPr>
              <w:t>传     真：</w:t>
            </w:r>
            <w:r>
              <w:rPr>
                <w:rFonts w:ascii="宋体" w:hAnsi="宋体" w:eastAsia="等线"/>
                <w:color w:val="auto"/>
                <w:sz w:val="24"/>
                <w:szCs w:val="24"/>
                <w:highlight w:val="none"/>
              </w:rPr>
              <w:t xml:space="preserve"> </w:t>
            </w:r>
            <w:r>
              <w:rPr>
                <w:rFonts w:hint="eastAsia" w:ascii="宋体" w:hAnsi="宋体" w:eastAsia="等线"/>
                <w:color w:val="auto"/>
                <w:sz w:val="24"/>
                <w:szCs w:val="24"/>
                <w:highlight w:val="none"/>
              </w:rPr>
              <w:t xml:space="preserve"> /</w:t>
            </w:r>
          </w:p>
        </w:tc>
      </w:tr>
      <w:tr w14:paraId="3182A279">
        <w:tblPrEx>
          <w:tblCellMar>
            <w:top w:w="0" w:type="dxa"/>
            <w:left w:w="108" w:type="dxa"/>
            <w:bottom w:w="0" w:type="dxa"/>
            <w:right w:w="108" w:type="dxa"/>
          </w:tblCellMar>
        </w:tblPrEx>
        <w:trPr>
          <w:trHeight w:val="941" w:hRule="atLeast"/>
        </w:trPr>
        <w:tc>
          <w:tcPr>
            <w:tcW w:w="4987" w:type="dxa"/>
            <w:vAlign w:val="center"/>
          </w:tcPr>
          <w:p w14:paraId="05D41FAF">
            <w:pPr>
              <w:spacing w:line="360" w:lineRule="auto"/>
              <w:rPr>
                <w:color w:val="auto"/>
                <w:sz w:val="24"/>
                <w:szCs w:val="24"/>
                <w:highlight w:val="none"/>
              </w:rPr>
            </w:pPr>
            <w:r>
              <w:rPr>
                <w:rFonts w:hint="eastAsia"/>
                <w:color w:val="auto"/>
                <w:sz w:val="24"/>
                <w:szCs w:val="24"/>
                <w:highlight w:val="none"/>
              </w:rPr>
              <w:t>开户银行：</w:t>
            </w:r>
            <w:r>
              <w:rPr>
                <w:rFonts w:hint="eastAsia" w:asciiTheme="minorEastAsia" w:hAnsiTheme="minorEastAsia"/>
                <w:color w:val="auto"/>
                <w:sz w:val="24"/>
                <w:szCs w:val="24"/>
                <w:highlight w:val="none"/>
              </w:rPr>
              <w:t xml:space="preserve"> </w:t>
            </w:r>
          </w:p>
          <w:p w14:paraId="35D03B5D">
            <w:pPr>
              <w:spacing w:line="360" w:lineRule="auto"/>
              <w:rPr>
                <w:color w:val="auto"/>
                <w:sz w:val="24"/>
                <w:szCs w:val="24"/>
                <w:highlight w:val="none"/>
              </w:rPr>
            </w:pPr>
            <w:r>
              <w:rPr>
                <w:rFonts w:hint="eastAsia" w:ascii="宋体" w:hAnsi="宋体"/>
                <w:color w:val="auto"/>
                <w:sz w:val="24"/>
                <w:szCs w:val="24"/>
                <w:highlight w:val="none"/>
              </w:rPr>
              <w:t xml:space="preserve"> </w:t>
            </w:r>
          </w:p>
        </w:tc>
        <w:tc>
          <w:tcPr>
            <w:tcW w:w="4742" w:type="dxa"/>
            <w:vAlign w:val="center"/>
          </w:tcPr>
          <w:p w14:paraId="108240DF">
            <w:pPr>
              <w:spacing w:line="360" w:lineRule="auto"/>
              <w:rPr>
                <w:color w:val="auto"/>
                <w:sz w:val="24"/>
                <w:szCs w:val="24"/>
                <w:highlight w:val="none"/>
              </w:rPr>
            </w:pPr>
            <w:r>
              <w:rPr>
                <w:rFonts w:hint="eastAsia"/>
                <w:color w:val="auto"/>
                <w:sz w:val="24"/>
                <w:szCs w:val="24"/>
                <w:highlight w:val="none"/>
              </w:rPr>
              <w:t xml:space="preserve">开户银行： </w:t>
            </w:r>
          </w:p>
          <w:p w14:paraId="6FFF5592">
            <w:pPr>
              <w:spacing w:line="360" w:lineRule="auto"/>
              <w:rPr>
                <w:color w:val="auto"/>
                <w:sz w:val="24"/>
                <w:szCs w:val="24"/>
                <w:highlight w:val="none"/>
              </w:rPr>
            </w:pPr>
            <w:r>
              <w:rPr>
                <w:rFonts w:hint="eastAsia"/>
                <w:color w:val="auto"/>
                <w:sz w:val="24"/>
                <w:szCs w:val="24"/>
                <w:highlight w:val="none"/>
              </w:rPr>
              <w:t xml:space="preserve"> </w:t>
            </w:r>
          </w:p>
        </w:tc>
      </w:tr>
      <w:tr w14:paraId="6E770ABA">
        <w:tblPrEx>
          <w:tblCellMar>
            <w:top w:w="0" w:type="dxa"/>
            <w:left w:w="108" w:type="dxa"/>
            <w:bottom w:w="0" w:type="dxa"/>
            <w:right w:w="108" w:type="dxa"/>
          </w:tblCellMar>
        </w:tblPrEx>
        <w:trPr>
          <w:trHeight w:val="777" w:hRule="atLeast"/>
        </w:trPr>
        <w:tc>
          <w:tcPr>
            <w:tcW w:w="4987" w:type="dxa"/>
            <w:vAlign w:val="center"/>
          </w:tcPr>
          <w:p w14:paraId="7B9FCD1A">
            <w:pPr>
              <w:spacing w:line="360" w:lineRule="auto"/>
              <w:rPr>
                <w:color w:val="auto"/>
                <w:sz w:val="24"/>
                <w:szCs w:val="24"/>
                <w:highlight w:val="none"/>
              </w:rPr>
            </w:pPr>
            <w:r>
              <w:rPr>
                <w:rFonts w:hint="eastAsia"/>
                <w:color w:val="auto"/>
                <w:sz w:val="24"/>
                <w:szCs w:val="24"/>
                <w:highlight w:val="none"/>
              </w:rPr>
              <w:t>开户账号：</w:t>
            </w:r>
            <w:r>
              <w:rPr>
                <w:rFonts w:hint="eastAsia" w:asciiTheme="minorEastAsia" w:hAnsiTheme="minorEastAsia"/>
                <w:color w:val="auto"/>
                <w:sz w:val="24"/>
                <w:szCs w:val="24"/>
                <w:highlight w:val="none"/>
              </w:rPr>
              <w:t xml:space="preserve"> </w:t>
            </w:r>
          </w:p>
        </w:tc>
        <w:tc>
          <w:tcPr>
            <w:tcW w:w="4742" w:type="dxa"/>
            <w:vAlign w:val="center"/>
          </w:tcPr>
          <w:p w14:paraId="3C8C53C9">
            <w:pPr>
              <w:spacing w:line="360" w:lineRule="auto"/>
              <w:rPr>
                <w:color w:val="auto"/>
                <w:sz w:val="24"/>
                <w:szCs w:val="24"/>
                <w:highlight w:val="none"/>
              </w:rPr>
            </w:pPr>
            <w:r>
              <w:rPr>
                <w:rFonts w:hint="eastAsia"/>
                <w:color w:val="auto"/>
                <w:sz w:val="24"/>
                <w:szCs w:val="24"/>
                <w:highlight w:val="none"/>
              </w:rPr>
              <w:t xml:space="preserve">开户账号： </w:t>
            </w:r>
          </w:p>
        </w:tc>
      </w:tr>
      <w:tr w14:paraId="7FA861B7">
        <w:tblPrEx>
          <w:tblCellMar>
            <w:top w:w="0" w:type="dxa"/>
            <w:left w:w="108" w:type="dxa"/>
            <w:bottom w:w="0" w:type="dxa"/>
            <w:right w:w="108" w:type="dxa"/>
          </w:tblCellMar>
        </w:tblPrEx>
        <w:trPr>
          <w:trHeight w:val="777" w:hRule="atLeast"/>
        </w:trPr>
        <w:tc>
          <w:tcPr>
            <w:tcW w:w="4987" w:type="dxa"/>
            <w:vAlign w:val="center"/>
          </w:tcPr>
          <w:p w14:paraId="67E37110">
            <w:pPr>
              <w:spacing w:line="360" w:lineRule="auto"/>
              <w:rPr>
                <w:color w:val="auto"/>
                <w:sz w:val="24"/>
                <w:szCs w:val="24"/>
                <w:highlight w:val="none"/>
              </w:rPr>
            </w:pPr>
            <w:r>
              <w:rPr>
                <w:rFonts w:hint="eastAsia"/>
                <w:color w:val="auto"/>
                <w:sz w:val="24"/>
                <w:szCs w:val="24"/>
                <w:highlight w:val="none"/>
              </w:rPr>
              <w:t>税号：</w:t>
            </w:r>
            <w:r>
              <w:rPr>
                <w:rFonts w:hint="eastAsia" w:ascii="宋体" w:hAnsi="宋体"/>
                <w:color w:val="auto"/>
                <w:sz w:val="24"/>
                <w:szCs w:val="24"/>
                <w:highlight w:val="none"/>
              </w:rPr>
              <w:t xml:space="preserve"> </w:t>
            </w:r>
          </w:p>
        </w:tc>
        <w:tc>
          <w:tcPr>
            <w:tcW w:w="4742" w:type="dxa"/>
            <w:vAlign w:val="center"/>
          </w:tcPr>
          <w:p w14:paraId="1B755772">
            <w:pPr>
              <w:spacing w:line="360" w:lineRule="auto"/>
              <w:rPr>
                <w:color w:val="auto"/>
                <w:sz w:val="24"/>
                <w:szCs w:val="24"/>
                <w:highlight w:val="none"/>
              </w:rPr>
            </w:pPr>
            <w:r>
              <w:rPr>
                <w:rFonts w:hint="eastAsia"/>
                <w:color w:val="auto"/>
                <w:sz w:val="24"/>
                <w:szCs w:val="24"/>
                <w:highlight w:val="none"/>
              </w:rPr>
              <w:t xml:space="preserve">税号： </w:t>
            </w:r>
          </w:p>
        </w:tc>
      </w:tr>
      <w:bookmarkEnd w:id="12"/>
      <w:bookmarkEnd w:id="13"/>
    </w:tbl>
    <w:p w14:paraId="79B9973F">
      <w:pPr>
        <w:spacing w:line="360" w:lineRule="auto"/>
        <w:rPr>
          <w:rFonts w:ascii="宋体" w:cs="宋体"/>
          <w:color w:val="auto"/>
          <w:sz w:val="24"/>
          <w:highlight w:val="none"/>
        </w:rPr>
        <w:sectPr>
          <w:footerReference r:id="rId6" w:type="first"/>
          <w:footerReference r:id="rId5" w:type="default"/>
          <w:pgSz w:w="11907" w:h="16840"/>
          <w:pgMar w:top="1134" w:right="1418" w:bottom="1134" w:left="1418" w:header="720" w:footer="720" w:gutter="0"/>
          <w:pgNumType w:start="1"/>
          <w:cols w:space="720" w:num="1"/>
          <w:docGrid w:linePitch="286" w:charSpace="0"/>
        </w:sectPr>
      </w:pPr>
    </w:p>
    <w:bookmarkEnd w:id="14"/>
    <w:p w14:paraId="5FEC5022">
      <w:pPr>
        <w:pStyle w:val="3"/>
        <w:jc w:val="center"/>
        <w:rPr>
          <w:b w:val="0"/>
          <w:bCs w:val="0"/>
          <w:color w:val="auto"/>
          <w:sz w:val="36"/>
          <w:szCs w:val="36"/>
          <w:highlight w:val="none"/>
        </w:rPr>
      </w:pPr>
      <w:bookmarkStart w:id="15" w:name="_Toc468180411"/>
      <w:bookmarkStart w:id="16" w:name="_Toc91851339"/>
      <w:bookmarkStart w:id="17" w:name="_Toc465762476"/>
      <w:r>
        <w:rPr>
          <w:rFonts w:hint="eastAsia"/>
          <w:b w:val="0"/>
          <w:bCs w:val="0"/>
          <w:color w:val="auto"/>
          <w:sz w:val="36"/>
          <w:szCs w:val="36"/>
          <w:highlight w:val="none"/>
        </w:rPr>
        <w:t>第二部分 通用条款</w:t>
      </w:r>
      <w:bookmarkEnd w:id="15"/>
      <w:bookmarkEnd w:id="16"/>
      <w:bookmarkEnd w:id="17"/>
    </w:p>
    <w:p w14:paraId="07CB191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p>
    <w:p w14:paraId="158F7BE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通用条款按照中华人民共和国建设部和国家工商行政管理局联合颁发的《建设工程施工合同（示范文本）》（</w:t>
      </w:r>
      <w:r>
        <w:rPr>
          <w:rFonts w:ascii="宋体" w:hAnsi="宋体" w:cs="宋体"/>
          <w:color w:val="auto"/>
          <w:spacing w:val="1"/>
          <w:kern w:val="0"/>
          <w:sz w:val="24"/>
          <w:highlight w:val="none"/>
        </w:rPr>
        <w:t>GF-1999-0201）</w:t>
      </w:r>
      <w:r>
        <w:rPr>
          <w:rFonts w:hint="eastAsia" w:ascii="宋体" w:hAnsi="宋体" w:cs="宋体"/>
          <w:color w:val="auto"/>
          <w:spacing w:val="1"/>
          <w:kern w:val="0"/>
          <w:sz w:val="24"/>
          <w:highlight w:val="none"/>
        </w:rPr>
        <w:t>中的通用条款执行</w:t>
      </w:r>
    </w:p>
    <w:p w14:paraId="3C9104E4">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一、词语定义及合同文件</w:t>
      </w:r>
    </w:p>
    <w:p w14:paraId="22756C9B">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lang w:eastAsia="zh-CN"/>
        </w:rPr>
        <w:t>1</w:t>
      </w:r>
      <w:r>
        <w:rPr>
          <w:rFonts w:hint="eastAsia" w:ascii="宋体" w:hAnsi="宋体" w:cs="宋体"/>
          <w:b/>
          <w:bCs/>
          <w:color w:val="auto"/>
          <w:spacing w:val="1"/>
          <w:kern w:val="0"/>
          <w:sz w:val="24"/>
          <w:highlight w:val="none"/>
        </w:rPr>
        <w:t>．词语定义</w:t>
      </w:r>
    </w:p>
    <w:p w14:paraId="0DD43E9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下列词语除专用条款另有约定外，应具有本条所赋予的定义：</w:t>
      </w:r>
    </w:p>
    <w:p w14:paraId="2272F1B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1.1 </w:t>
      </w:r>
      <w:r>
        <w:rPr>
          <w:rFonts w:hint="eastAsia" w:ascii="宋体" w:hAnsi="宋体" w:cs="宋体"/>
          <w:color w:val="auto"/>
          <w:spacing w:val="1"/>
          <w:kern w:val="0"/>
          <w:sz w:val="24"/>
          <w:highlight w:val="none"/>
        </w:rPr>
        <w:t>通用条款：是根据法律、行政法规规定及建设工程施工的需要订立，通用于建设工程施工的条款。</w:t>
      </w:r>
    </w:p>
    <w:p w14:paraId="2EB0BE4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1.2 </w:t>
      </w:r>
      <w:r>
        <w:rPr>
          <w:rFonts w:hint="eastAsia" w:ascii="宋体" w:hAnsi="宋体" w:cs="宋体"/>
          <w:color w:val="auto"/>
          <w:spacing w:val="1"/>
          <w:kern w:val="0"/>
          <w:sz w:val="24"/>
          <w:highlight w:val="none"/>
        </w:rPr>
        <w:t>专用条款：是发包人与承包人根据法律、行政法规规定，结合具体工程实际，经协商达成一致意见的条款，是对通用条款的具体化、补充或修改。</w:t>
      </w:r>
    </w:p>
    <w:p w14:paraId="4D812CE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1.3 </w:t>
      </w:r>
      <w:r>
        <w:rPr>
          <w:rFonts w:hint="eastAsia" w:ascii="宋体" w:hAnsi="宋体" w:cs="宋体"/>
          <w:color w:val="auto"/>
          <w:spacing w:val="1"/>
          <w:kern w:val="0"/>
          <w:sz w:val="24"/>
          <w:highlight w:val="none"/>
        </w:rPr>
        <w:t>发包人：指在协议书中约定，具有工程发包主体资格和支付工程价款能力的当事人以及取得该当事人资格的合法继承人。</w:t>
      </w:r>
    </w:p>
    <w:p w14:paraId="6FA42B6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1.4 </w:t>
      </w:r>
      <w:r>
        <w:rPr>
          <w:rFonts w:hint="eastAsia" w:ascii="宋体" w:hAnsi="宋体" w:cs="宋体"/>
          <w:color w:val="auto"/>
          <w:spacing w:val="1"/>
          <w:kern w:val="0"/>
          <w:sz w:val="24"/>
          <w:highlight w:val="none"/>
        </w:rPr>
        <w:t>承包人：指在协议书中约定，被发包人接受的具有工程施工承包主体资格的当事人以及取得该当事人资格的合法继承人。</w:t>
      </w:r>
    </w:p>
    <w:p w14:paraId="0820E81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1.5 </w:t>
      </w:r>
      <w:r>
        <w:rPr>
          <w:rFonts w:hint="eastAsia" w:ascii="宋体" w:hAnsi="宋体" w:cs="宋体"/>
          <w:color w:val="auto"/>
          <w:spacing w:val="1"/>
          <w:kern w:val="0"/>
          <w:sz w:val="24"/>
          <w:highlight w:val="none"/>
        </w:rPr>
        <w:t>项目经理：指承包人在专用条款中指定的负责施工管理和合同履行的代表。</w:t>
      </w:r>
    </w:p>
    <w:p w14:paraId="717417D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1.6 </w:t>
      </w:r>
      <w:r>
        <w:rPr>
          <w:rFonts w:hint="eastAsia" w:ascii="宋体" w:hAnsi="宋体" w:cs="宋体"/>
          <w:color w:val="auto"/>
          <w:spacing w:val="1"/>
          <w:kern w:val="0"/>
          <w:sz w:val="24"/>
          <w:highlight w:val="none"/>
        </w:rPr>
        <w:t>设计单位：指发包人委托的负责本工程设计并取得相应工程设计资质等级证书的单位。</w:t>
      </w:r>
    </w:p>
    <w:p w14:paraId="0DC26A8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1.7 监理单位：指发包人委托的负责本工程监理并取得相应工程监理资质等级证书的单位。</w:t>
      </w:r>
    </w:p>
    <w:p w14:paraId="767D2FA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1.8 </w:t>
      </w:r>
      <w:r>
        <w:rPr>
          <w:rFonts w:hint="eastAsia" w:ascii="宋体" w:hAnsi="宋体" w:cs="宋体"/>
          <w:color w:val="auto"/>
          <w:spacing w:val="1"/>
          <w:kern w:val="0"/>
          <w:sz w:val="24"/>
          <w:highlight w:val="none"/>
        </w:rPr>
        <w:t>工程师：指本工程监理单位委派的总监理工程师或发包人指定的履行本合同的代表，其具体身份和职权由发包人承包人在专用条款中约定。</w:t>
      </w:r>
    </w:p>
    <w:p w14:paraId="3B991FF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1.9 </w:t>
      </w:r>
      <w:r>
        <w:rPr>
          <w:rFonts w:hint="eastAsia" w:ascii="宋体" w:hAnsi="宋体" w:cs="宋体"/>
          <w:color w:val="auto"/>
          <w:spacing w:val="1"/>
          <w:kern w:val="0"/>
          <w:sz w:val="24"/>
          <w:highlight w:val="none"/>
        </w:rPr>
        <w:t>工程造价管理部门：指国务院有关部门、县级以上人民政府建设行政主管部门或其委托的工程造价管理机构。</w:t>
      </w:r>
    </w:p>
    <w:p w14:paraId="7C6CE0F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1.10 </w:t>
      </w:r>
      <w:r>
        <w:rPr>
          <w:rFonts w:hint="eastAsia" w:ascii="宋体" w:hAnsi="宋体" w:cs="宋体"/>
          <w:color w:val="auto"/>
          <w:spacing w:val="1"/>
          <w:kern w:val="0"/>
          <w:sz w:val="24"/>
          <w:highlight w:val="none"/>
        </w:rPr>
        <w:t>工程：指发包人承包人在协议书中约定的承包范围内的工程。</w:t>
      </w:r>
    </w:p>
    <w:p w14:paraId="7800069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1.11 </w:t>
      </w:r>
      <w:r>
        <w:rPr>
          <w:rFonts w:hint="eastAsia" w:ascii="宋体" w:hAnsi="宋体" w:cs="宋体"/>
          <w:color w:val="auto"/>
          <w:spacing w:val="1"/>
          <w:kern w:val="0"/>
          <w:sz w:val="24"/>
          <w:highlight w:val="none"/>
        </w:rPr>
        <w:t>工程量清单：指构成合同文件组成部分的</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rPr>
        <w:t>由发包人在招标文件中提供的</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rPr>
        <w:t>合同工程分部分项工程项目、措施项目、其他项目、规费项目和税金项目的名称和相应数量等的明细清单。</w:t>
      </w:r>
    </w:p>
    <w:p w14:paraId="340A20B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1.12</w:t>
      </w:r>
      <w:r>
        <w:rPr>
          <w:rFonts w:hint="eastAsia" w:ascii="宋体" w:hAnsi="宋体" w:cs="宋体"/>
          <w:color w:val="auto"/>
          <w:spacing w:val="1"/>
          <w:kern w:val="0"/>
          <w:sz w:val="24"/>
          <w:highlight w:val="none"/>
        </w:rPr>
        <w:t>工程造价咨询人：指受发包人委托的，负责合同工程的工程造价专业技术且具有相应工程造价咨询资质的当事人，以及取得该当事人资格的合法继承人。</w:t>
      </w:r>
    </w:p>
    <w:p w14:paraId="0396773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 1.13 </w:t>
      </w:r>
      <w:r>
        <w:rPr>
          <w:rFonts w:hint="eastAsia" w:ascii="宋体" w:hAnsi="宋体" w:cs="宋体"/>
          <w:color w:val="auto"/>
          <w:spacing w:val="1"/>
          <w:kern w:val="0"/>
          <w:sz w:val="24"/>
          <w:highlight w:val="none"/>
        </w:rPr>
        <w:t>工程造价管理机构：指国务院有关部门、县级以上人民政府建设行政主管部门或受其委托的工程造价管理机构。</w:t>
      </w:r>
    </w:p>
    <w:p w14:paraId="3E68EF5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1.14 </w:t>
      </w:r>
      <w:r>
        <w:rPr>
          <w:rFonts w:hint="eastAsia" w:ascii="宋体" w:hAnsi="宋体" w:cs="宋体"/>
          <w:color w:val="auto"/>
          <w:spacing w:val="1"/>
          <w:kern w:val="0"/>
          <w:sz w:val="24"/>
          <w:highlight w:val="none"/>
        </w:rPr>
        <w:t>工期：指发包人承包人在协议书中约定，按总日历天数（包括法定节假日）计算的承包天数。</w:t>
      </w:r>
    </w:p>
    <w:p w14:paraId="5AB2E5C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1.15 </w:t>
      </w:r>
      <w:r>
        <w:rPr>
          <w:rFonts w:hint="eastAsia" w:ascii="宋体" w:hAnsi="宋体" w:cs="宋体"/>
          <w:color w:val="auto"/>
          <w:spacing w:val="1"/>
          <w:kern w:val="0"/>
          <w:sz w:val="24"/>
          <w:highlight w:val="none"/>
        </w:rPr>
        <w:t>开工日期：指发包人承包人在协议书中约定，承包人开始施工的绝对或相对的日期。</w:t>
      </w:r>
    </w:p>
    <w:p w14:paraId="1C26B35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1.16 </w:t>
      </w:r>
      <w:r>
        <w:rPr>
          <w:rFonts w:hint="eastAsia" w:ascii="宋体" w:hAnsi="宋体" w:cs="宋体"/>
          <w:color w:val="auto"/>
          <w:spacing w:val="1"/>
          <w:kern w:val="0"/>
          <w:sz w:val="24"/>
          <w:highlight w:val="none"/>
        </w:rPr>
        <w:t>竣工日期：指发包人承包人在协议书约定，承包人完成承包范围内工程的绝对或相对的日期。</w:t>
      </w:r>
    </w:p>
    <w:p w14:paraId="13BB614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1.17 </w:t>
      </w:r>
      <w:r>
        <w:rPr>
          <w:rFonts w:hint="eastAsia" w:ascii="宋体" w:hAnsi="宋体" w:cs="宋体"/>
          <w:color w:val="auto"/>
          <w:spacing w:val="1"/>
          <w:kern w:val="0"/>
          <w:sz w:val="24"/>
          <w:highlight w:val="none"/>
        </w:rPr>
        <w:t>图纸：指由发包人提供或由承包人提供并经发包人批准，满足承包人施工需要的所有图纸（包括配套说明和有关资料）。</w:t>
      </w:r>
    </w:p>
    <w:p w14:paraId="168FDBF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1.18 </w:t>
      </w:r>
      <w:r>
        <w:rPr>
          <w:rFonts w:hint="eastAsia" w:ascii="宋体" w:hAnsi="宋体" w:cs="宋体"/>
          <w:color w:val="auto"/>
          <w:spacing w:val="1"/>
          <w:kern w:val="0"/>
          <w:sz w:val="24"/>
          <w:highlight w:val="none"/>
        </w:rPr>
        <w:t>施工场地：指由发包人提供的用于工程施工的场所以及发包人在图纸中具体指定的供施工使用的任何其他场所。</w:t>
      </w:r>
    </w:p>
    <w:p w14:paraId="27F6D0F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1.19 书面形式：指合同书、信件和数据电文（包括电报、电传、传真、电子数据交换和电子邮件）等可以有形地表现所载内容的形式。</w:t>
      </w:r>
    </w:p>
    <w:p w14:paraId="42BBC16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1.20 </w:t>
      </w:r>
      <w:r>
        <w:rPr>
          <w:rFonts w:hint="eastAsia" w:ascii="宋体" w:hAnsi="宋体" w:cs="宋体"/>
          <w:color w:val="auto"/>
          <w:spacing w:val="1"/>
          <w:kern w:val="0"/>
          <w:sz w:val="24"/>
          <w:highlight w:val="none"/>
        </w:rPr>
        <w:t>违约责任：指合同一方不履行合同义务或履行合同义务不符合约定所应承担的责任。</w:t>
      </w:r>
    </w:p>
    <w:p w14:paraId="37F7DAFF">
      <w:pPr>
        <w:adjustRightInd w:val="0"/>
        <w:snapToGrid w:val="0"/>
        <w:spacing w:line="360" w:lineRule="auto"/>
        <w:ind w:right="11"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（1）一般违约责任：指虽然违反本合同的约定，但其违约行为不对本合同的履行造成严重影响而应承担的责任。</w:t>
      </w:r>
    </w:p>
    <w:p w14:paraId="3A993A29">
      <w:pPr>
        <w:adjustRightInd w:val="0"/>
        <w:snapToGrid w:val="0"/>
        <w:spacing w:line="360" w:lineRule="auto"/>
        <w:ind w:right="11" w:firstLine="480" w:firstLineChars="200"/>
        <w:rPr>
          <w:rFonts w:ascii="宋体" w:hAnsi="宋体" w:cs="宋体"/>
          <w:color w:val="auto"/>
          <w:spacing w:val="1"/>
          <w:kern w:val="0"/>
          <w:sz w:val="24"/>
          <w:highlight w:val="none"/>
        </w:rPr>
      </w:pPr>
      <w:r>
        <w:rPr>
          <w:rFonts w:hint="eastAsia" w:ascii="宋体" w:hAnsi="宋体" w:cs="宋体"/>
          <w:bCs/>
          <w:snapToGrid w:val="0"/>
          <w:color w:val="auto"/>
          <w:kern w:val="0"/>
          <w:sz w:val="24"/>
          <w:highlight w:val="none"/>
        </w:rPr>
        <w:t>（2）严重违约责任。指违反本合同的约定且其违约行为足以对本合同的履行造成严重或实质性的影响而应承担的责任。</w:t>
      </w:r>
    </w:p>
    <w:p w14:paraId="2359025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1.21 </w:t>
      </w:r>
      <w:r>
        <w:rPr>
          <w:rFonts w:hint="eastAsia" w:ascii="宋体" w:hAnsi="宋体" w:cs="宋体"/>
          <w:color w:val="auto"/>
          <w:spacing w:val="1"/>
          <w:kern w:val="0"/>
          <w:sz w:val="24"/>
          <w:highlight w:val="none"/>
        </w:rPr>
        <w:t>索赔：指在合同履行过程中，对于并非自己的过错，而是应由对方承担责任的情况造成的实际损失，向对方提出经济补偿和（或）工期顺延的要求。</w:t>
      </w:r>
    </w:p>
    <w:p w14:paraId="28BBE6C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1.22 </w:t>
      </w:r>
      <w:r>
        <w:rPr>
          <w:rFonts w:hint="eastAsia" w:ascii="宋体" w:hAnsi="宋体" w:cs="宋体"/>
          <w:color w:val="auto"/>
          <w:spacing w:val="1"/>
          <w:kern w:val="0"/>
          <w:sz w:val="24"/>
          <w:highlight w:val="none"/>
        </w:rPr>
        <w:t>不可抗力：指不能预见、不能避免并不能克服的客观情况。</w:t>
      </w:r>
    </w:p>
    <w:p w14:paraId="4B92117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1.23 </w:t>
      </w:r>
      <w:r>
        <w:rPr>
          <w:rFonts w:hint="eastAsia" w:ascii="宋体" w:hAnsi="宋体" w:cs="宋体"/>
          <w:color w:val="auto"/>
          <w:spacing w:val="1"/>
          <w:kern w:val="0"/>
          <w:sz w:val="24"/>
          <w:highlight w:val="none"/>
        </w:rPr>
        <w:t>小时或天：</w:t>
      </w:r>
      <w:r>
        <w:rPr>
          <w:rFonts w:ascii="宋体" w:hAnsi="宋体" w:cs="宋体"/>
          <w:color w:val="auto"/>
          <w:spacing w:val="1"/>
          <w:kern w:val="0"/>
          <w:sz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14:paraId="3DB5485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1.24 标准、规范及有关技术文件：指构成合同文件组成部分的，本合同所指明的和合同工程依法应适用的标准与规范，以及监理工程师、造价工程师对有关技术方面问题做出的补充、修改和批准文件。</w:t>
      </w:r>
    </w:p>
    <w:p w14:paraId="4E305504">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1.2</w:t>
      </w:r>
      <w:r>
        <w:rPr>
          <w:rFonts w:hint="eastAsia" w:ascii="宋体" w:hAnsi="宋体" w:cs="宋体"/>
          <w:color w:val="auto"/>
          <w:spacing w:val="1"/>
          <w:kern w:val="0"/>
          <w:sz w:val="24"/>
          <w:highlight w:val="none"/>
        </w:rPr>
        <w:t>5</w:t>
      </w:r>
      <w:r>
        <w:rPr>
          <w:rFonts w:ascii="宋体" w:hAnsi="宋体" w:cs="宋体"/>
          <w:color w:val="auto"/>
          <w:spacing w:val="1"/>
          <w:kern w:val="0"/>
          <w:sz w:val="24"/>
          <w:highlight w:val="none"/>
        </w:rPr>
        <w:t xml:space="preserve"> 缺陷责任期：</w:t>
      </w:r>
      <w:r>
        <w:rPr>
          <w:rFonts w:hint="eastAsia" w:ascii="宋体" w:hAnsi="宋体" w:cs="宋体"/>
          <w:color w:val="auto"/>
          <w:spacing w:val="1"/>
          <w:kern w:val="0"/>
          <w:sz w:val="24"/>
          <w:highlight w:val="none"/>
          <w:lang w:val="en-US" w:eastAsia="zh-CN"/>
        </w:rPr>
        <w:t>详见附件1</w:t>
      </w:r>
      <w:r>
        <w:rPr>
          <w:rFonts w:hint="eastAsia" w:ascii="宋体" w:hAnsi="宋体" w:cs="宋体"/>
          <w:color w:val="auto"/>
          <w:kern w:val="0"/>
          <w:sz w:val="24"/>
          <w:highlight w:val="none"/>
          <w:u w:val="single"/>
        </w:rPr>
        <w:t>《工程质量保修书》</w:t>
      </w:r>
      <w:r>
        <w:rPr>
          <w:rFonts w:ascii="宋体" w:hAnsi="宋体" w:cs="宋体"/>
          <w:color w:val="auto"/>
          <w:spacing w:val="1"/>
          <w:kern w:val="0"/>
          <w:sz w:val="24"/>
          <w:highlight w:val="none"/>
        </w:rPr>
        <w:t>。</w:t>
      </w:r>
    </w:p>
    <w:p w14:paraId="2F3A4CF3">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1.2</w:t>
      </w:r>
      <w:r>
        <w:rPr>
          <w:rFonts w:hint="eastAsia" w:ascii="宋体" w:hAnsi="宋体" w:cs="宋体"/>
          <w:color w:val="auto"/>
          <w:spacing w:val="1"/>
          <w:kern w:val="0"/>
          <w:sz w:val="24"/>
          <w:highlight w:val="none"/>
        </w:rPr>
        <w:t>6</w:t>
      </w:r>
      <w:r>
        <w:rPr>
          <w:rFonts w:ascii="宋体" w:hAnsi="宋体" w:cs="宋体"/>
          <w:color w:val="auto"/>
          <w:spacing w:val="1"/>
          <w:kern w:val="0"/>
          <w:sz w:val="24"/>
          <w:highlight w:val="none"/>
        </w:rPr>
        <w:t xml:space="preserve"> 基准日期：指招标工程递交投标文件截止日期前28天的日期；非招标工程订立合同前28天的日期。</w:t>
      </w:r>
    </w:p>
    <w:p w14:paraId="1EDC917A">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1.2</w:t>
      </w:r>
      <w:r>
        <w:rPr>
          <w:rFonts w:hint="eastAsia" w:ascii="宋体" w:hAnsi="宋体" w:cs="宋体"/>
          <w:color w:val="auto"/>
          <w:spacing w:val="1"/>
          <w:kern w:val="0"/>
          <w:sz w:val="24"/>
          <w:highlight w:val="none"/>
        </w:rPr>
        <w:t>7</w:t>
      </w:r>
      <w:r>
        <w:rPr>
          <w:rFonts w:ascii="宋体" w:hAnsi="宋体" w:cs="宋体"/>
          <w:color w:val="auto"/>
          <w:spacing w:val="1"/>
          <w:kern w:val="0"/>
          <w:sz w:val="24"/>
          <w:highlight w:val="none"/>
        </w:rPr>
        <w:t xml:space="preserve"> 中标价格：指中标通知书中列明的，发包人接受中标人（承包人）实施、完成并保修合同工程的价格。</w:t>
      </w:r>
    </w:p>
    <w:p w14:paraId="0EC5C532">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28</w:t>
      </w:r>
      <w:r>
        <w:rPr>
          <w:rFonts w:ascii="宋体" w:hAnsi="宋体" w:cs="宋体"/>
          <w:color w:val="auto"/>
          <w:spacing w:val="1"/>
          <w:kern w:val="0"/>
          <w:sz w:val="24"/>
          <w:highlight w:val="none"/>
        </w:rPr>
        <w:t xml:space="preserve"> 合同价款：指承包人按照合同约定完成了包括缺陷责任期内的全部承包工作后，发包人按照合同约定及时足额（包括调整的合同价款）支付给承包人的全部金额。其具体款项依据协议书中标明的包括暂列金额、暂估价在内的金额和规定合同价款调整事件确定。</w:t>
      </w:r>
    </w:p>
    <w:p w14:paraId="542ADAC4">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29</w:t>
      </w:r>
      <w:r>
        <w:rPr>
          <w:rFonts w:ascii="宋体" w:hAnsi="宋体" w:cs="宋体"/>
          <w:color w:val="auto"/>
          <w:spacing w:val="1"/>
          <w:kern w:val="0"/>
          <w:sz w:val="24"/>
          <w:highlight w:val="none"/>
        </w:rPr>
        <w:t xml:space="preserve"> 费用：指为履行合同所发生或将发生的所有合理开支，包括管理费和其他合理分摊的开支，但不包括利润。</w:t>
      </w:r>
    </w:p>
    <w:p w14:paraId="0B17759C">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30</w:t>
      </w:r>
      <w:r>
        <w:rPr>
          <w:rFonts w:ascii="宋体" w:hAnsi="宋体" w:cs="宋体"/>
          <w:color w:val="auto"/>
          <w:spacing w:val="1"/>
          <w:kern w:val="0"/>
          <w:sz w:val="24"/>
          <w:highlight w:val="none"/>
        </w:rPr>
        <w:t xml:space="preserve"> 分部分项工程费：指为实施、完成并保修永久工程，发生于工程实体项目所需的人工费、材料费、机械使用费、管理费、利润和风险费用。</w:t>
      </w:r>
    </w:p>
    <w:p w14:paraId="1E07A46F">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1.3</w:t>
      </w:r>
      <w:r>
        <w:rPr>
          <w:rFonts w:hint="eastAsia" w:ascii="宋体" w:hAnsi="宋体" w:cs="宋体"/>
          <w:color w:val="auto"/>
          <w:spacing w:val="1"/>
          <w:kern w:val="0"/>
          <w:sz w:val="24"/>
          <w:highlight w:val="none"/>
        </w:rPr>
        <w:t>1</w:t>
      </w:r>
      <w:r>
        <w:rPr>
          <w:rFonts w:ascii="宋体" w:hAnsi="宋体" w:cs="宋体"/>
          <w:color w:val="auto"/>
          <w:spacing w:val="1"/>
          <w:kern w:val="0"/>
          <w:sz w:val="24"/>
          <w:highlight w:val="none"/>
        </w:rPr>
        <w:t xml:space="preserve"> 措施项目费：指为实施、完成并保修合同工程，发生于合同工程施工准备和施工过程中的技术、生活、安全、环境保护等方面的非工程实体项目费用。</w:t>
      </w:r>
    </w:p>
    <w:p w14:paraId="263C0A19">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1.3</w:t>
      </w:r>
      <w:r>
        <w:rPr>
          <w:rFonts w:hint="eastAsia" w:ascii="宋体" w:hAnsi="宋体" w:cs="宋体"/>
          <w:color w:val="auto"/>
          <w:spacing w:val="1"/>
          <w:kern w:val="0"/>
          <w:sz w:val="24"/>
          <w:highlight w:val="none"/>
        </w:rPr>
        <w:t>2</w:t>
      </w:r>
      <w:r>
        <w:rPr>
          <w:rFonts w:ascii="宋体" w:hAnsi="宋体" w:cs="宋体"/>
          <w:color w:val="auto"/>
          <w:spacing w:val="1"/>
          <w:kern w:val="0"/>
          <w:sz w:val="24"/>
          <w:highlight w:val="none"/>
        </w:rPr>
        <w:t xml:space="preserve"> 工程款：指为实施、完成并保修合同工程，发包人支付或应当支付给承包人的各种价款，包括进度款、结算款等。</w:t>
      </w:r>
    </w:p>
    <w:p w14:paraId="685C1767">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1.3</w:t>
      </w:r>
      <w:r>
        <w:rPr>
          <w:rFonts w:hint="eastAsia" w:ascii="宋体" w:hAnsi="宋体" w:cs="宋体"/>
          <w:color w:val="auto"/>
          <w:spacing w:val="1"/>
          <w:kern w:val="0"/>
          <w:sz w:val="24"/>
          <w:highlight w:val="none"/>
        </w:rPr>
        <w:t>3</w:t>
      </w:r>
      <w:r>
        <w:rPr>
          <w:rFonts w:ascii="宋体" w:hAnsi="宋体" w:cs="宋体"/>
          <w:color w:val="auto"/>
          <w:spacing w:val="1"/>
          <w:kern w:val="0"/>
          <w:sz w:val="24"/>
          <w:highlight w:val="none"/>
        </w:rPr>
        <w:t xml:space="preserve"> 暂列金额：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2FFABEB5">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1.3</w:t>
      </w:r>
      <w:r>
        <w:rPr>
          <w:rFonts w:hint="eastAsia" w:ascii="宋体" w:hAnsi="宋体" w:cs="宋体"/>
          <w:color w:val="auto"/>
          <w:spacing w:val="1"/>
          <w:kern w:val="0"/>
          <w:sz w:val="24"/>
          <w:highlight w:val="none"/>
        </w:rPr>
        <w:t>4</w:t>
      </w:r>
      <w:r>
        <w:rPr>
          <w:rFonts w:ascii="宋体" w:hAnsi="宋体" w:cs="宋体"/>
          <w:color w:val="auto"/>
          <w:spacing w:val="1"/>
          <w:kern w:val="0"/>
          <w:sz w:val="24"/>
          <w:highlight w:val="none"/>
        </w:rPr>
        <w:t xml:space="preserve"> 暂估价：指发包人在工程量清单中提供的用于支付必然发生但暂时不能确定价格的材料、工程设备以及专业工程的金额。</w:t>
      </w:r>
    </w:p>
    <w:p w14:paraId="4172FBFF">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1.3</w:t>
      </w:r>
      <w:r>
        <w:rPr>
          <w:rFonts w:hint="eastAsia" w:ascii="宋体" w:hAnsi="宋体" w:cs="宋体"/>
          <w:color w:val="auto"/>
          <w:spacing w:val="1"/>
          <w:kern w:val="0"/>
          <w:sz w:val="24"/>
          <w:highlight w:val="none"/>
        </w:rPr>
        <w:t>5</w:t>
      </w:r>
      <w:r>
        <w:rPr>
          <w:rFonts w:ascii="宋体" w:hAnsi="宋体" w:cs="宋体"/>
          <w:color w:val="auto"/>
          <w:spacing w:val="1"/>
          <w:kern w:val="0"/>
          <w:sz w:val="24"/>
          <w:highlight w:val="none"/>
        </w:rPr>
        <w:t xml:space="preserve"> 计日工：指在施工过程中，承包人完成发包人提出的施工设计图纸以外的零星项目或工作，按照合同中约定计价付款的一种计价方式。</w:t>
      </w:r>
    </w:p>
    <w:p w14:paraId="733A4218">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1.3</w:t>
      </w:r>
      <w:r>
        <w:rPr>
          <w:rFonts w:hint="eastAsia" w:ascii="宋体" w:hAnsi="宋体" w:cs="宋体"/>
          <w:color w:val="auto"/>
          <w:spacing w:val="1"/>
          <w:kern w:val="0"/>
          <w:sz w:val="24"/>
          <w:highlight w:val="none"/>
        </w:rPr>
        <w:t>6</w:t>
      </w:r>
      <w:r>
        <w:rPr>
          <w:rFonts w:ascii="宋体" w:hAnsi="宋体" w:cs="宋体"/>
          <w:color w:val="auto"/>
          <w:spacing w:val="1"/>
          <w:kern w:val="0"/>
          <w:sz w:val="24"/>
          <w:highlight w:val="none"/>
        </w:rPr>
        <w:t xml:space="preserve"> 质量保证金：指用于保证在缺陷责任期内履行缺陷修复义务的金额</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lang w:val="en-US" w:eastAsia="zh-CN"/>
        </w:rPr>
        <w:t>具体见专用条款第26点</w:t>
      </w:r>
      <w:r>
        <w:rPr>
          <w:rFonts w:ascii="宋体" w:hAnsi="宋体" w:cs="宋体"/>
          <w:color w:val="auto"/>
          <w:spacing w:val="1"/>
          <w:kern w:val="0"/>
          <w:sz w:val="24"/>
          <w:highlight w:val="none"/>
        </w:rPr>
        <w:t>。</w:t>
      </w:r>
    </w:p>
    <w:p w14:paraId="1D069878">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1.3</w:t>
      </w:r>
      <w:r>
        <w:rPr>
          <w:rFonts w:hint="eastAsia" w:ascii="宋体" w:hAnsi="宋体" w:cs="宋体"/>
          <w:color w:val="auto"/>
          <w:spacing w:val="1"/>
          <w:kern w:val="0"/>
          <w:sz w:val="24"/>
          <w:highlight w:val="none"/>
        </w:rPr>
        <w:t>7</w:t>
      </w:r>
      <w:r>
        <w:rPr>
          <w:rFonts w:ascii="宋体" w:hAnsi="宋体" w:cs="宋体"/>
          <w:color w:val="auto"/>
          <w:spacing w:val="1"/>
          <w:kern w:val="0"/>
          <w:sz w:val="24"/>
          <w:highlight w:val="none"/>
        </w:rPr>
        <w:t xml:space="preserve"> 合同工程：指合同双方当事人在协议书中约定的承包范围内的工程，包括永久工程和（或）临时工程。</w:t>
      </w:r>
    </w:p>
    <w:p w14:paraId="2113EFEA">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38</w:t>
      </w:r>
      <w:r>
        <w:rPr>
          <w:rFonts w:ascii="宋体" w:hAnsi="宋体" w:cs="宋体"/>
          <w:color w:val="auto"/>
          <w:spacing w:val="1"/>
          <w:kern w:val="0"/>
          <w:sz w:val="24"/>
          <w:highlight w:val="none"/>
        </w:rPr>
        <w:t xml:space="preserve"> 永久工程：指按照合同约定承包人应当实施、完成并移交给发包人的永久性工程，包括工程设备。</w:t>
      </w:r>
    </w:p>
    <w:p w14:paraId="14E79FF4">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39</w:t>
      </w:r>
      <w:r>
        <w:rPr>
          <w:rFonts w:ascii="宋体" w:hAnsi="宋体" w:cs="宋体"/>
          <w:color w:val="auto"/>
          <w:spacing w:val="1"/>
          <w:kern w:val="0"/>
          <w:sz w:val="24"/>
          <w:highlight w:val="none"/>
        </w:rPr>
        <w:t xml:space="preserve"> 临时工程：指实施、完成并保修永久工程过程中所需要的各类临时性工程，不包括施工设备。</w:t>
      </w:r>
    </w:p>
    <w:p w14:paraId="14F0131C">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1.4</w:t>
      </w:r>
      <w:r>
        <w:rPr>
          <w:rFonts w:hint="eastAsia" w:ascii="宋体" w:hAnsi="宋体" w:cs="宋体"/>
          <w:color w:val="auto"/>
          <w:spacing w:val="1"/>
          <w:kern w:val="0"/>
          <w:sz w:val="24"/>
          <w:highlight w:val="none"/>
        </w:rPr>
        <w:t>0</w:t>
      </w:r>
      <w:r>
        <w:rPr>
          <w:rFonts w:ascii="宋体" w:hAnsi="宋体" w:cs="宋体"/>
          <w:color w:val="auto"/>
          <w:spacing w:val="1"/>
          <w:kern w:val="0"/>
          <w:sz w:val="24"/>
          <w:highlight w:val="none"/>
        </w:rPr>
        <w:t xml:space="preserve"> 分包工程：指合同工程中，由具有相应分包资质的分包人实施、完成的非主体结构（除钢结构外）的专业性工程。</w:t>
      </w:r>
    </w:p>
    <w:p w14:paraId="5919C6E0">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1.4</w:t>
      </w:r>
      <w:r>
        <w:rPr>
          <w:rFonts w:hint="eastAsia" w:ascii="宋体" w:hAnsi="宋体" w:cs="宋体"/>
          <w:color w:val="auto"/>
          <w:spacing w:val="1"/>
          <w:kern w:val="0"/>
          <w:sz w:val="24"/>
          <w:highlight w:val="none"/>
        </w:rPr>
        <w:t>1</w:t>
      </w:r>
      <w:r>
        <w:rPr>
          <w:rFonts w:ascii="宋体" w:hAnsi="宋体" w:cs="宋体"/>
          <w:color w:val="auto"/>
          <w:spacing w:val="1"/>
          <w:kern w:val="0"/>
          <w:sz w:val="24"/>
          <w:highlight w:val="none"/>
        </w:rPr>
        <w:t xml:space="preserve"> 单位工程：指具有独立的设计文件，竣工后可以独立发挥生产能力和效益的永久工程。组成合同工程的单位工程名称、内容和范围等应在专用条款中明确。</w:t>
      </w:r>
    </w:p>
    <w:p w14:paraId="4CEF77EF">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1.4</w:t>
      </w:r>
      <w:r>
        <w:rPr>
          <w:rFonts w:hint="eastAsia" w:ascii="宋体" w:hAnsi="宋体" w:cs="宋体"/>
          <w:color w:val="auto"/>
          <w:spacing w:val="1"/>
          <w:kern w:val="0"/>
          <w:sz w:val="24"/>
          <w:highlight w:val="none"/>
        </w:rPr>
        <w:t>2</w:t>
      </w:r>
      <w:r>
        <w:rPr>
          <w:rFonts w:ascii="宋体" w:hAnsi="宋体" w:cs="宋体"/>
          <w:color w:val="auto"/>
          <w:spacing w:val="1"/>
          <w:kern w:val="0"/>
          <w:sz w:val="24"/>
          <w:highlight w:val="none"/>
        </w:rPr>
        <w:t xml:space="preserve"> 施工场地（或工地 、现场）：指由发包人提供的用于合同工程施工的场所，以及发包人在合同中具体指定的供施工使用的其他任何场所。</w:t>
      </w:r>
    </w:p>
    <w:p w14:paraId="19D8EFA2">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1.4</w:t>
      </w:r>
      <w:r>
        <w:rPr>
          <w:rFonts w:hint="eastAsia" w:ascii="宋体" w:hAnsi="宋体" w:cs="宋体"/>
          <w:color w:val="auto"/>
          <w:spacing w:val="1"/>
          <w:kern w:val="0"/>
          <w:sz w:val="24"/>
          <w:highlight w:val="none"/>
        </w:rPr>
        <w:t>3</w:t>
      </w:r>
      <w:r>
        <w:rPr>
          <w:rFonts w:ascii="宋体" w:hAnsi="宋体" w:cs="宋体"/>
          <w:color w:val="auto"/>
          <w:spacing w:val="1"/>
          <w:kern w:val="0"/>
          <w:sz w:val="24"/>
          <w:highlight w:val="none"/>
        </w:rPr>
        <w:t xml:space="preserve"> 工程设备：指构成或计划构成永久工程一部分的机电设备、金属结构设备、仪器装置及其他类似的设备和装置。</w:t>
      </w:r>
    </w:p>
    <w:p w14:paraId="326DCB3B">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1.4</w:t>
      </w:r>
      <w:r>
        <w:rPr>
          <w:rFonts w:hint="eastAsia" w:ascii="宋体" w:hAnsi="宋体" w:cs="宋体"/>
          <w:color w:val="auto"/>
          <w:spacing w:val="1"/>
          <w:kern w:val="0"/>
          <w:sz w:val="24"/>
          <w:highlight w:val="none"/>
        </w:rPr>
        <w:t>4</w:t>
      </w:r>
      <w:r>
        <w:rPr>
          <w:rFonts w:ascii="宋体" w:hAnsi="宋体" w:cs="宋体"/>
          <w:color w:val="auto"/>
          <w:spacing w:val="1"/>
          <w:kern w:val="0"/>
          <w:sz w:val="24"/>
          <w:highlight w:val="none"/>
        </w:rPr>
        <w:t xml:space="preserve"> 施工设备：指承包人临时带入现场用于合同工程施工的仪器、机械、运输工具或其他物品，但不包括用于或安装在合同工程中的工程设备。</w:t>
      </w:r>
    </w:p>
    <w:p w14:paraId="391A64CF">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1.4</w:t>
      </w:r>
      <w:r>
        <w:rPr>
          <w:rFonts w:hint="eastAsia" w:ascii="宋体" w:hAnsi="宋体" w:cs="宋体"/>
          <w:color w:val="auto"/>
          <w:spacing w:val="1"/>
          <w:kern w:val="0"/>
          <w:sz w:val="24"/>
          <w:highlight w:val="none"/>
        </w:rPr>
        <w:t>5</w:t>
      </w:r>
      <w:r>
        <w:rPr>
          <w:rFonts w:ascii="宋体" w:hAnsi="宋体" w:cs="宋体"/>
          <w:color w:val="auto"/>
          <w:spacing w:val="1"/>
          <w:kern w:val="0"/>
          <w:sz w:val="24"/>
          <w:highlight w:val="none"/>
        </w:rPr>
        <w:t xml:space="preserve"> 变更工程和新增工程：包括合同条款工程设计变更和其它变更，由于设计需要或项目建设实际需要，这些变更会引致预算清单内数量发生变化、或预算清单内项目的局部内容发生变化、或新增了预算清单内没有的项目。</w:t>
      </w:r>
    </w:p>
    <w:p w14:paraId="449A32E3">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1.4</w:t>
      </w:r>
      <w:r>
        <w:rPr>
          <w:rFonts w:hint="eastAsia" w:ascii="宋体" w:hAnsi="宋体" w:cs="宋体"/>
          <w:color w:val="auto"/>
          <w:spacing w:val="1"/>
          <w:kern w:val="0"/>
          <w:sz w:val="24"/>
          <w:highlight w:val="none"/>
        </w:rPr>
        <w:t>6</w:t>
      </w:r>
      <w:r>
        <w:rPr>
          <w:rFonts w:ascii="宋体" w:hAnsi="宋体" w:cs="宋体"/>
          <w:color w:val="auto"/>
          <w:spacing w:val="1"/>
          <w:kern w:val="0"/>
          <w:sz w:val="24"/>
          <w:highlight w:val="none"/>
        </w:rPr>
        <w:t xml:space="preserve"> 索赔：指合同履行期间，对于非自己的过错而应由对方当事人承担责任的情况所造成的损失，并根据第</w:t>
      </w:r>
      <w:r>
        <w:rPr>
          <w:rFonts w:hint="eastAsia" w:ascii="宋体" w:hAnsi="宋体" w:cs="宋体"/>
          <w:color w:val="auto"/>
          <w:spacing w:val="1"/>
          <w:kern w:val="0"/>
          <w:sz w:val="24"/>
          <w:highlight w:val="none"/>
        </w:rPr>
        <w:t>39</w:t>
      </w:r>
      <w:r>
        <w:rPr>
          <w:rFonts w:ascii="宋体" w:hAnsi="宋体" w:cs="宋体"/>
          <w:color w:val="auto"/>
          <w:spacing w:val="1"/>
          <w:kern w:val="0"/>
          <w:sz w:val="24"/>
          <w:highlight w:val="none"/>
        </w:rPr>
        <w:t>条规定向对方当事人提出费用补偿和（或）工期顺延的要求。</w:t>
      </w:r>
    </w:p>
    <w:p w14:paraId="6A9F1890">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1.4</w:t>
      </w:r>
      <w:r>
        <w:rPr>
          <w:rFonts w:hint="eastAsia" w:ascii="宋体" w:hAnsi="宋体" w:cs="宋体"/>
          <w:color w:val="auto"/>
          <w:spacing w:val="1"/>
          <w:kern w:val="0"/>
          <w:sz w:val="24"/>
          <w:highlight w:val="none"/>
        </w:rPr>
        <w:t>7</w:t>
      </w:r>
      <w:r>
        <w:rPr>
          <w:rFonts w:ascii="宋体" w:hAnsi="宋体" w:cs="宋体"/>
          <w:color w:val="auto"/>
          <w:spacing w:val="1"/>
          <w:kern w:val="0"/>
          <w:sz w:val="24"/>
          <w:highlight w:val="none"/>
        </w:rPr>
        <w:t xml:space="preserve"> 现场签证：指合同双方当事人根据第</w:t>
      </w:r>
      <w:r>
        <w:rPr>
          <w:rFonts w:hint="eastAsia" w:ascii="宋体" w:hAnsi="宋体" w:cs="宋体"/>
          <w:color w:val="auto"/>
          <w:spacing w:val="1"/>
          <w:kern w:val="0"/>
          <w:sz w:val="24"/>
          <w:highlight w:val="none"/>
        </w:rPr>
        <w:t>30.1</w:t>
      </w:r>
      <w:r>
        <w:rPr>
          <w:rFonts w:ascii="宋体" w:hAnsi="宋体" w:cs="宋体"/>
          <w:color w:val="auto"/>
          <w:spacing w:val="1"/>
          <w:kern w:val="0"/>
          <w:sz w:val="24"/>
          <w:highlight w:val="none"/>
        </w:rPr>
        <w:t>条规定就施工过程中涉及的责任事件所作的签认证明。</w:t>
      </w:r>
    </w:p>
    <w:p w14:paraId="747E2DF1">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48</w:t>
      </w:r>
      <w:r>
        <w:rPr>
          <w:rFonts w:ascii="宋体" w:hAnsi="宋体" w:cs="宋体"/>
          <w:color w:val="auto"/>
          <w:spacing w:val="1"/>
          <w:kern w:val="0"/>
          <w:sz w:val="24"/>
          <w:highlight w:val="none"/>
        </w:rPr>
        <w:t xml:space="preserve"> 不可抗力：指不能预见、不能避免并不能克服的客观情况。</w:t>
      </w:r>
    </w:p>
    <w:p w14:paraId="27B56A64">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49</w:t>
      </w:r>
      <w:r>
        <w:rPr>
          <w:rFonts w:ascii="宋体" w:hAnsi="宋体" w:cs="宋体"/>
          <w:color w:val="auto"/>
          <w:spacing w:val="1"/>
          <w:kern w:val="0"/>
          <w:sz w:val="24"/>
          <w:highlight w:val="none"/>
        </w:rPr>
        <w:t xml:space="preserve"> 竣工验收：指承包人完成了全部合同工作后，发包人按照合同要求进行的验收。</w:t>
      </w:r>
    </w:p>
    <w:p w14:paraId="75BF511F">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50</w:t>
      </w:r>
      <w:r>
        <w:rPr>
          <w:rFonts w:ascii="宋体" w:hAnsi="宋体" w:cs="宋体"/>
          <w:color w:val="auto"/>
          <w:spacing w:val="1"/>
          <w:kern w:val="0"/>
          <w:sz w:val="24"/>
          <w:highlight w:val="none"/>
        </w:rPr>
        <w:t xml:space="preserve"> 国家验收：指政府部门根据法律和政策等有关规定，针对发包人全面组织实施的整个工程正式交付投运前的验收。</w:t>
      </w:r>
    </w:p>
    <w:p w14:paraId="2E62A3EA">
      <w:pPr>
        <w:pStyle w:val="33"/>
        <w:spacing w:line="360" w:lineRule="auto"/>
        <w:ind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1.5</w:t>
      </w:r>
      <w:r>
        <w:rPr>
          <w:rFonts w:hint="eastAsia" w:ascii="宋体" w:hAnsi="宋体" w:cs="宋体"/>
          <w:color w:val="auto"/>
          <w:spacing w:val="1"/>
          <w:kern w:val="0"/>
          <w:sz w:val="24"/>
          <w:highlight w:val="none"/>
        </w:rPr>
        <w:t>1</w:t>
      </w:r>
      <w:r>
        <w:rPr>
          <w:rFonts w:ascii="宋体" w:hAnsi="宋体" w:cs="宋体"/>
          <w:color w:val="auto"/>
          <w:spacing w:val="1"/>
          <w:kern w:val="0"/>
          <w:sz w:val="24"/>
          <w:highlight w:val="none"/>
        </w:rPr>
        <w:t xml:space="preserve"> 国家：指中华人民共和国。</w:t>
      </w:r>
    </w:p>
    <w:p w14:paraId="19371962">
      <w:pPr>
        <w:autoSpaceDE w:val="0"/>
        <w:autoSpaceDN w:val="0"/>
        <w:adjustRightInd w:val="0"/>
        <w:spacing w:line="360" w:lineRule="auto"/>
        <w:ind w:right="-106" w:firstLine="486" w:firstLineChars="200"/>
        <w:rPr>
          <w:rFonts w:ascii="宋体" w:hAnsi="宋体" w:cs="宋体"/>
          <w:color w:val="auto"/>
          <w:spacing w:val="1"/>
          <w:kern w:val="0"/>
          <w:sz w:val="24"/>
          <w:highlight w:val="none"/>
        </w:rPr>
      </w:pPr>
      <w:r>
        <w:rPr>
          <w:rFonts w:hint="eastAsia" w:ascii="宋体" w:hAnsi="宋体" w:cs="宋体"/>
          <w:b/>
          <w:bCs/>
          <w:color w:val="auto"/>
          <w:spacing w:val="1"/>
          <w:kern w:val="0"/>
          <w:sz w:val="24"/>
          <w:highlight w:val="none"/>
          <w:lang w:eastAsia="zh-CN"/>
        </w:rPr>
        <w:t>2.</w:t>
      </w:r>
      <w:r>
        <w:rPr>
          <w:rFonts w:hint="eastAsia" w:ascii="宋体" w:hAnsi="宋体" w:cs="宋体"/>
          <w:b/>
          <w:bCs/>
          <w:color w:val="auto"/>
          <w:spacing w:val="1"/>
          <w:kern w:val="0"/>
          <w:sz w:val="24"/>
          <w:highlight w:val="none"/>
        </w:rPr>
        <w:t>合同文件及解释顺序</w:t>
      </w:r>
    </w:p>
    <w:p w14:paraId="71D5821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2.1 合同文件应能相互解释，</w:t>
      </w:r>
      <w:r>
        <w:rPr>
          <w:rFonts w:hint="eastAsia" w:ascii="宋体" w:hAnsi="宋体" w:cs="宋体"/>
          <w:color w:val="auto"/>
          <w:spacing w:val="1"/>
          <w:kern w:val="0"/>
          <w:sz w:val="24"/>
          <w:highlight w:val="none"/>
        </w:rPr>
        <w:t>互为说明。除专用条款另有约定外，组成本合同的文件及优先解释顺序如下：</w:t>
      </w:r>
    </w:p>
    <w:p w14:paraId="03DE05E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（1）</w:t>
      </w:r>
      <w:r>
        <w:rPr>
          <w:rFonts w:hint="eastAsia" w:ascii="宋体" w:hAnsi="宋体" w:cs="宋体"/>
          <w:color w:val="auto"/>
          <w:spacing w:val="1"/>
          <w:kern w:val="0"/>
          <w:sz w:val="24"/>
          <w:highlight w:val="none"/>
        </w:rPr>
        <w:t>履行本合同的相关补充协议；</w:t>
      </w:r>
    </w:p>
    <w:p w14:paraId="77962F2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（2）</w:t>
      </w:r>
      <w:r>
        <w:rPr>
          <w:rFonts w:hint="eastAsia" w:ascii="宋体" w:hAnsi="宋体" w:cs="宋体"/>
          <w:color w:val="auto"/>
          <w:spacing w:val="1"/>
          <w:kern w:val="0"/>
          <w:sz w:val="24"/>
          <w:highlight w:val="none"/>
        </w:rPr>
        <w:t>协议书；</w:t>
      </w:r>
    </w:p>
    <w:p w14:paraId="579C1E7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（3）</w:t>
      </w:r>
      <w:r>
        <w:rPr>
          <w:rFonts w:hint="eastAsia" w:ascii="宋体" w:hAnsi="宋体" w:cs="宋体"/>
          <w:color w:val="auto"/>
          <w:spacing w:val="1"/>
          <w:kern w:val="0"/>
          <w:sz w:val="24"/>
          <w:highlight w:val="none"/>
        </w:rPr>
        <w:t>中标通知书（适用于招标工程）；</w:t>
      </w:r>
    </w:p>
    <w:p w14:paraId="1B49D51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（4）</w:t>
      </w:r>
      <w:r>
        <w:rPr>
          <w:rFonts w:hint="eastAsia" w:ascii="宋体" w:hAnsi="宋体" w:cs="宋体"/>
          <w:color w:val="auto"/>
          <w:spacing w:val="1"/>
          <w:kern w:val="0"/>
          <w:sz w:val="24"/>
          <w:highlight w:val="none"/>
        </w:rPr>
        <w:t>承包人投标文件及其附件（含评标期间的澄清文件和补充资料）（适用于招标工程）；确认的工程量清单报价单或施工图预算书（适用于非招标工程）；</w:t>
      </w:r>
    </w:p>
    <w:p w14:paraId="7A7F76C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（5）</w:t>
      </w:r>
      <w:r>
        <w:rPr>
          <w:rFonts w:hint="eastAsia" w:ascii="宋体" w:hAnsi="宋体" w:cs="宋体"/>
          <w:color w:val="auto"/>
          <w:spacing w:val="1"/>
          <w:kern w:val="0"/>
          <w:sz w:val="24"/>
          <w:highlight w:val="none"/>
        </w:rPr>
        <w:t>专用条款；</w:t>
      </w:r>
    </w:p>
    <w:p w14:paraId="06FC20A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（6）</w:t>
      </w:r>
      <w:r>
        <w:rPr>
          <w:rFonts w:hint="eastAsia" w:ascii="宋体" w:hAnsi="宋体" w:cs="宋体"/>
          <w:color w:val="auto"/>
          <w:spacing w:val="1"/>
          <w:kern w:val="0"/>
          <w:sz w:val="24"/>
          <w:highlight w:val="none"/>
        </w:rPr>
        <w:t>通用条款；</w:t>
      </w:r>
    </w:p>
    <w:p w14:paraId="117CC23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（7）</w:t>
      </w:r>
      <w:r>
        <w:rPr>
          <w:rFonts w:hint="eastAsia" w:ascii="宋体" w:hAnsi="宋体" w:cs="宋体"/>
          <w:color w:val="auto"/>
          <w:spacing w:val="1"/>
          <w:kern w:val="0"/>
          <w:sz w:val="24"/>
          <w:highlight w:val="none"/>
        </w:rPr>
        <w:t>标准、规范及有关技术文件；</w:t>
      </w:r>
    </w:p>
    <w:p w14:paraId="7A32956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（8）</w:t>
      </w:r>
      <w:r>
        <w:rPr>
          <w:rFonts w:hint="eastAsia" w:ascii="宋体" w:hAnsi="宋体" w:cs="宋体"/>
          <w:color w:val="auto"/>
          <w:spacing w:val="1"/>
          <w:kern w:val="0"/>
          <w:sz w:val="24"/>
          <w:highlight w:val="none"/>
        </w:rPr>
        <w:t>施工设计图纸；</w:t>
      </w:r>
    </w:p>
    <w:p w14:paraId="0199CAA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（9）</w:t>
      </w:r>
      <w:r>
        <w:rPr>
          <w:rFonts w:hint="eastAsia" w:ascii="宋体" w:hAnsi="宋体" w:cs="宋体"/>
          <w:color w:val="auto"/>
          <w:spacing w:val="1"/>
          <w:kern w:val="0"/>
          <w:sz w:val="24"/>
          <w:highlight w:val="none"/>
        </w:rPr>
        <w:t>招标文件（包括补充、修改、澄清的文件、招标图纸、答疑纪要、工程量清单</w:t>
      </w:r>
    </w:p>
    <w:p w14:paraId="04008B3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 及总说明等）；</w:t>
      </w:r>
    </w:p>
    <w:p w14:paraId="23E8897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（10）</w:t>
      </w:r>
      <w:r>
        <w:rPr>
          <w:rFonts w:hint="eastAsia" w:ascii="宋体" w:hAnsi="宋体" w:cs="宋体"/>
          <w:color w:val="auto"/>
          <w:spacing w:val="1"/>
          <w:kern w:val="0"/>
          <w:sz w:val="24"/>
          <w:highlight w:val="none"/>
        </w:rPr>
        <w:t>专用条款约定的其他文件。</w:t>
      </w:r>
    </w:p>
    <w:p w14:paraId="2AEE046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上述各项合同文件包括合同当事人就该项合同文件所作出的补充和修改，属于同一类</w:t>
      </w:r>
    </w:p>
    <w:p w14:paraId="082B38F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内容的文件，应以最新签署的为准。</w:t>
      </w:r>
    </w:p>
    <w:p w14:paraId="7D3572F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2.2 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14:paraId="068899BB">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lang w:eastAsia="zh-CN"/>
        </w:rPr>
        <w:t>3.</w:t>
      </w:r>
      <w:r>
        <w:rPr>
          <w:rFonts w:hint="eastAsia" w:ascii="宋体" w:hAnsi="宋体" w:cs="宋体"/>
          <w:b/>
          <w:bCs/>
          <w:color w:val="auto"/>
          <w:spacing w:val="1"/>
          <w:kern w:val="0"/>
          <w:sz w:val="24"/>
          <w:highlight w:val="none"/>
        </w:rPr>
        <w:t>语言文字和适用法律、标准及规范</w:t>
      </w:r>
    </w:p>
    <w:p w14:paraId="417E5FF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3.1 语言文字</w:t>
      </w:r>
    </w:p>
    <w:p w14:paraId="2833858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本合同文件使用汉语语言文字书写、解释和说明。如专用条款约定使用两种以上（含两种）语言文字时，汉语应为解释和说明本合同的标准语言文字。</w:t>
      </w:r>
    </w:p>
    <w:p w14:paraId="5B976CB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在少数民族地区，双方可以约定使用少数民族语言文字书写和解释、说明本合同。</w:t>
      </w:r>
    </w:p>
    <w:p w14:paraId="5B331B19">
      <w:pPr>
        <w:tabs>
          <w:tab w:val="left" w:pos="4470"/>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3.2 适用法律和法规</w:t>
      </w:r>
      <w:r>
        <w:rPr>
          <w:rFonts w:ascii="宋体" w:hAnsi="宋体" w:cs="宋体"/>
          <w:color w:val="auto"/>
          <w:spacing w:val="1"/>
          <w:kern w:val="0"/>
          <w:sz w:val="24"/>
          <w:highlight w:val="none"/>
        </w:rPr>
        <w:tab/>
      </w:r>
    </w:p>
    <w:p w14:paraId="52A36DC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本合同文件适用国家的法律和行政法规。需要明示的法律、行政法规，由双方在专用条款中约定。</w:t>
      </w:r>
    </w:p>
    <w:p w14:paraId="62B6D05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3.3 适用标准、规范</w:t>
      </w:r>
    </w:p>
    <w:p w14:paraId="1A62A4A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5553130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6F0DB92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本条所发生的购买、翻译标准、规范或制定施工工艺的费用，由发包人承担。</w:t>
      </w:r>
    </w:p>
    <w:p w14:paraId="7C84DD30">
      <w:pPr>
        <w:autoSpaceDE w:val="0"/>
        <w:autoSpaceDN w:val="0"/>
        <w:adjustRightInd w:val="0"/>
        <w:spacing w:line="360" w:lineRule="auto"/>
        <w:ind w:right="-106" w:firstLine="486" w:firstLineChars="200"/>
        <w:rPr>
          <w:rFonts w:ascii="宋体" w:hAnsi="宋体" w:cs="宋体"/>
          <w:color w:val="auto"/>
          <w:spacing w:val="1"/>
          <w:kern w:val="0"/>
          <w:sz w:val="24"/>
          <w:highlight w:val="none"/>
        </w:rPr>
      </w:pPr>
      <w:r>
        <w:rPr>
          <w:rFonts w:hint="eastAsia" w:ascii="宋体" w:hAnsi="宋体" w:cs="宋体"/>
          <w:b/>
          <w:bCs/>
          <w:color w:val="auto"/>
          <w:spacing w:val="1"/>
          <w:kern w:val="0"/>
          <w:sz w:val="24"/>
          <w:highlight w:val="none"/>
          <w:lang w:eastAsia="zh-CN"/>
        </w:rPr>
        <w:t>4.</w:t>
      </w:r>
      <w:r>
        <w:rPr>
          <w:rFonts w:hint="eastAsia" w:ascii="宋体" w:hAnsi="宋体" w:cs="宋体"/>
          <w:b/>
          <w:bCs/>
          <w:color w:val="auto"/>
          <w:spacing w:val="1"/>
          <w:kern w:val="0"/>
          <w:sz w:val="24"/>
          <w:highlight w:val="none"/>
        </w:rPr>
        <w:t>图纸</w:t>
      </w:r>
    </w:p>
    <w:p w14:paraId="10267A5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4.1 发包人应按专用条款约定的日期和套数， </w:t>
      </w:r>
      <w:r>
        <w:rPr>
          <w:rFonts w:hint="eastAsia" w:ascii="宋体" w:hAnsi="宋体" w:cs="宋体"/>
          <w:color w:val="auto"/>
          <w:spacing w:val="1"/>
          <w:kern w:val="0"/>
          <w:sz w:val="24"/>
          <w:highlight w:val="none"/>
        </w:rPr>
        <w:t>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2F3037D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4.2 承包人未经发包人同意，不得将本工程图纸转给第三人。工程质量保修期满后，除承包人存档需要的图纸外，应将全部图纸退还给发包人。</w:t>
      </w:r>
    </w:p>
    <w:p w14:paraId="67DB23F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4.3 承包人应在施工现场保留一套完整图纸，供工程师及有关人员进行工程检查时使用。</w:t>
      </w:r>
    </w:p>
    <w:p w14:paraId="5CFEE9E2">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二、双方一般权利和义务</w:t>
      </w:r>
    </w:p>
    <w:p w14:paraId="3A5F5D51">
      <w:pPr>
        <w:autoSpaceDE w:val="0"/>
        <w:autoSpaceDN w:val="0"/>
        <w:adjustRightInd w:val="0"/>
        <w:spacing w:line="360" w:lineRule="auto"/>
        <w:ind w:right="-106" w:firstLine="486" w:firstLineChars="200"/>
        <w:rPr>
          <w:rFonts w:ascii="宋体" w:hAnsi="宋体" w:cs="宋体"/>
          <w:color w:val="auto"/>
          <w:spacing w:val="1"/>
          <w:kern w:val="0"/>
          <w:sz w:val="24"/>
          <w:highlight w:val="none"/>
        </w:rPr>
      </w:pPr>
      <w:r>
        <w:rPr>
          <w:rFonts w:hint="eastAsia" w:ascii="宋体" w:hAnsi="宋体" w:cs="宋体"/>
          <w:b/>
          <w:bCs/>
          <w:color w:val="auto"/>
          <w:spacing w:val="1"/>
          <w:kern w:val="0"/>
          <w:sz w:val="24"/>
          <w:highlight w:val="none"/>
          <w:lang w:eastAsia="zh-CN"/>
        </w:rPr>
        <w:t>5.</w:t>
      </w:r>
      <w:r>
        <w:rPr>
          <w:rFonts w:hint="eastAsia" w:ascii="宋体" w:hAnsi="宋体" w:cs="宋体"/>
          <w:b/>
          <w:bCs/>
          <w:color w:val="auto"/>
          <w:spacing w:val="1"/>
          <w:kern w:val="0"/>
          <w:sz w:val="24"/>
          <w:highlight w:val="none"/>
        </w:rPr>
        <w:t>工程师</w:t>
      </w:r>
    </w:p>
    <w:p w14:paraId="778BBA9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5.1 实行工程监理的，</w:t>
      </w:r>
      <w:r>
        <w:rPr>
          <w:rFonts w:hint="eastAsia" w:ascii="宋体" w:hAnsi="宋体" w:cs="宋体"/>
          <w:color w:val="auto"/>
          <w:spacing w:val="1"/>
          <w:kern w:val="0"/>
          <w:sz w:val="24"/>
          <w:highlight w:val="none"/>
        </w:rPr>
        <w:t>发包人应在实施监理前将委托的监理单位名称、监理内容及监理权限以书面形式通知承包人。</w:t>
      </w:r>
    </w:p>
    <w:p w14:paraId="4681848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5.2 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71C6E55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76585B4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5.4 合同履行中，发生影响发包人承包人双方权利或义务的事件时，负责监理的工程师应依据合同在其职权范围内客观公正地进行处理。一方对工程师的处理有异议时，按本通用条款第</w:t>
      </w:r>
      <w:r>
        <w:rPr>
          <w:rFonts w:hint="eastAsia" w:ascii="宋体" w:hAnsi="宋体" w:cs="宋体"/>
          <w:color w:val="auto"/>
          <w:spacing w:val="1"/>
          <w:kern w:val="0"/>
          <w:sz w:val="24"/>
          <w:highlight w:val="none"/>
          <w:lang w:val="en-US" w:eastAsia="zh-CN"/>
        </w:rPr>
        <w:t>40</w:t>
      </w:r>
      <w:r>
        <w:rPr>
          <w:rFonts w:ascii="宋体" w:hAnsi="宋体" w:cs="宋体"/>
          <w:color w:val="auto"/>
          <w:spacing w:val="1"/>
          <w:kern w:val="0"/>
          <w:sz w:val="24"/>
          <w:highlight w:val="none"/>
        </w:rPr>
        <w:t>条关于争议的约定处理。</w:t>
      </w:r>
    </w:p>
    <w:p w14:paraId="36B34AA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5.5 除合同内有明确约定或经发包人同意外，负责监理的工程师无权解除本合同约定的承包人的任何权利与义务。</w:t>
      </w:r>
    </w:p>
    <w:p w14:paraId="1743ACA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5.6 不实行工程监理的，本合同中工程师专指发包人派驻施工场地履行合同的代表，其具体职权由发包人在专用条款内写明。</w:t>
      </w:r>
    </w:p>
    <w:p w14:paraId="1A426CAA">
      <w:pPr>
        <w:autoSpaceDE w:val="0"/>
        <w:autoSpaceDN w:val="0"/>
        <w:adjustRightInd w:val="0"/>
        <w:spacing w:line="360" w:lineRule="auto"/>
        <w:ind w:right="-106" w:firstLine="486" w:firstLineChars="200"/>
        <w:rPr>
          <w:rFonts w:ascii="宋体" w:hAnsi="宋体" w:cs="宋体"/>
          <w:color w:val="auto"/>
          <w:spacing w:val="1"/>
          <w:kern w:val="0"/>
          <w:sz w:val="24"/>
          <w:highlight w:val="none"/>
        </w:rPr>
      </w:pPr>
      <w:r>
        <w:rPr>
          <w:rFonts w:hint="eastAsia" w:ascii="宋体" w:hAnsi="宋体" w:cs="宋体"/>
          <w:b/>
          <w:bCs/>
          <w:color w:val="auto"/>
          <w:spacing w:val="1"/>
          <w:kern w:val="0"/>
          <w:sz w:val="24"/>
          <w:highlight w:val="none"/>
          <w:lang w:eastAsia="zh-CN"/>
        </w:rPr>
        <w:t>6.</w:t>
      </w:r>
      <w:r>
        <w:rPr>
          <w:rFonts w:hint="eastAsia" w:ascii="宋体" w:hAnsi="宋体" w:cs="宋体"/>
          <w:b/>
          <w:bCs/>
          <w:color w:val="auto"/>
          <w:spacing w:val="1"/>
          <w:kern w:val="0"/>
          <w:sz w:val="24"/>
          <w:highlight w:val="none"/>
        </w:rPr>
        <w:t>工程师的委派和指令</w:t>
      </w:r>
    </w:p>
    <w:p w14:paraId="014F76E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6.1 工程师可委派工程师代表， </w:t>
      </w:r>
      <w:r>
        <w:rPr>
          <w:rFonts w:hint="eastAsia" w:ascii="宋体" w:hAnsi="宋体" w:cs="宋体"/>
          <w:color w:val="auto"/>
          <w:spacing w:val="1"/>
          <w:kern w:val="0"/>
          <w:sz w:val="24"/>
          <w:highlight w:val="none"/>
        </w:rPr>
        <w:t>行使合同约定的自己的职权，并可在认为必要时撤回委派。委派和撤回均应提前</w:t>
      </w:r>
      <w:r>
        <w:rPr>
          <w:rFonts w:ascii="宋体" w:hAnsi="宋体" w:cs="宋体"/>
          <w:color w:val="auto"/>
          <w:spacing w:val="1"/>
          <w:kern w:val="0"/>
          <w:sz w:val="24"/>
          <w:highlight w:val="none"/>
        </w:rPr>
        <w:t>7天以书面形式通知承包人，负责监理的工程师还应将委派和撤回通知发包人。委派书和撤回通知作为本合同附件。</w:t>
      </w:r>
    </w:p>
    <w:p w14:paraId="60901CE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13B2C11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除工程师或工程师代表外，发包人派驻工地的其他人员均无权向承包人发出任何指令。</w:t>
      </w:r>
    </w:p>
    <w:p w14:paraId="4BA63A2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4311460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承包人认为工程师指令不合理，应在收到指令后</w:t>
      </w:r>
      <w:r>
        <w:rPr>
          <w:rFonts w:ascii="宋体" w:hAnsi="宋体" w:cs="宋体"/>
          <w:color w:val="auto"/>
          <w:spacing w:val="1"/>
          <w:kern w:val="0"/>
          <w:sz w:val="24"/>
          <w:highlight w:val="none"/>
        </w:rPr>
        <w:t>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08B94BC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本款规定同样适用于由工程师代表发出的指令、通知。</w:t>
      </w:r>
    </w:p>
    <w:p w14:paraId="479D9A3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6.3 工程师应按合同约定，及时向承包人提供所需指令、批准并履行约定的其他义务。由于工程师未能按合同约定履行义务造成工期延误，发包人应承</w:t>
      </w:r>
      <w:r>
        <w:rPr>
          <w:rFonts w:hint="eastAsia" w:ascii="宋体" w:hAnsi="宋体" w:cs="宋体"/>
          <w:color w:val="auto"/>
          <w:spacing w:val="1"/>
          <w:kern w:val="0"/>
          <w:sz w:val="24"/>
          <w:highlight w:val="none"/>
        </w:rPr>
        <w:t>担延误造成的追加合同价款，并赔偿承包人有关损失，顺延延误的工期。</w:t>
      </w:r>
    </w:p>
    <w:p w14:paraId="0432FAC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6.4 如需更换工程师，发包人应至少提前7天以书面形式通知承包人，后任继续行使合同文件约定的前任的职权，履行前任的义务。</w:t>
      </w:r>
    </w:p>
    <w:p w14:paraId="32CBEF0D">
      <w:pPr>
        <w:autoSpaceDE w:val="0"/>
        <w:autoSpaceDN w:val="0"/>
        <w:adjustRightInd w:val="0"/>
        <w:spacing w:line="360" w:lineRule="auto"/>
        <w:ind w:right="-106" w:firstLine="486" w:firstLineChars="200"/>
        <w:rPr>
          <w:rFonts w:ascii="宋体" w:hAnsi="宋体" w:cs="宋体"/>
          <w:color w:val="auto"/>
          <w:spacing w:val="1"/>
          <w:kern w:val="0"/>
          <w:sz w:val="24"/>
          <w:highlight w:val="none"/>
        </w:rPr>
      </w:pPr>
      <w:r>
        <w:rPr>
          <w:rFonts w:hint="eastAsia" w:ascii="宋体" w:hAnsi="宋体" w:cs="宋体"/>
          <w:b/>
          <w:bCs/>
          <w:color w:val="auto"/>
          <w:spacing w:val="1"/>
          <w:kern w:val="0"/>
          <w:sz w:val="24"/>
          <w:highlight w:val="none"/>
          <w:lang w:eastAsia="zh-CN"/>
        </w:rPr>
        <w:t>7.</w:t>
      </w:r>
      <w:r>
        <w:rPr>
          <w:rFonts w:hint="eastAsia" w:ascii="宋体" w:hAnsi="宋体" w:cs="宋体"/>
          <w:b/>
          <w:bCs/>
          <w:color w:val="auto"/>
          <w:spacing w:val="1"/>
          <w:kern w:val="0"/>
          <w:sz w:val="24"/>
          <w:highlight w:val="none"/>
        </w:rPr>
        <w:t>项目经理</w:t>
      </w:r>
    </w:p>
    <w:p w14:paraId="549E8D2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7.1 项目经理的姓名、职务在专用条款内写明。</w:t>
      </w:r>
    </w:p>
    <w:p w14:paraId="619908C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7.2 承包人依据合同发出的通知，以书面形式由项目经理签字后送交工程师，工程师在回执上签署姓名和收到时间后生效。</w:t>
      </w:r>
    </w:p>
    <w:p w14:paraId="46F363D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w:t>
      </w:r>
      <w:r>
        <w:rPr>
          <w:rFonts w:hint="eastAsia" w:ascii="宋体" w:hAnsi="宋体" w:cs="宋体"/>
          <w:color w:val="auto"/>
          <w:spacing w:val="1"/>
          <w:kern w:val="0"/>
          <w:sz w:val="24"/>
          <w:highlight w:val="none"/>
        </w:rPr>
        <w:t>提交</w:t>
      </w:r>
      <w:r>
        <w:rPr>
          <w:rFonts w:ascii="宋体" w:hAnsi="宋体" w:cs="宋体"/>
          <w:color w:val="auto"/>
          <w:spacing w:val="1"/>
          <w:kern w:val="0"/>
          <w:sz w:val="24"/>
          <w:highlight w:val="none"/>
        </w:rPr>
        <w:t>报告。责任在发包人或第三人，由发包人承担由此发生的追加合同价款，相应顺延工期；责任在承包人，由承包人承担费用，不顺延工期。</w:t>
      </w:r>
    </w:p>
    <w:p w14:paraId="0249C78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7.4 承包人如需要更换项目经理，应至少提前7天以书面形式通知发包人，</w:t>
      </w:r>
      <w:r>
        <w:rPr>
          <w:rFonts w:hint="eastAsia" w:ascii="宋体" w:hAnsi="宋体" w:cs="宋体"/>
          <w:color w:val="auto"/>
          <w:spacing w:val="1"/>
          <w:kern w:val="0"/>
          <w:sz w:val="24"/>
          <w:highlight w:val="none"/>
        </w:rPr>
        <w:t>并需</w:t>
      </w:r>
      <w:r>
        <w:rPr>
          <w:rFonts w:ascii="宋体" w:hAnsi="宋体" w:cs="宋体"/>
          <w:color w:val="auto"/>
          <w:spacing w:val="1"/>
          <w:kern w:val="0"/>
          <w:sz w:val="24"/>
          <w:highlight w:val="none"/>
        </w:rPr>
        <w:t>征得发包人同意。后任继续行使合同文件约定的前任的职权，履行前任的义务。</w:t>
      </w:r>
    </w:p>
    <w:p w14:paraId="63788E7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7.5 发包人可以与承包人协商，建议更换其认为不称职的项目经理。</w:t>
      </w:r>
    </w:p>
    <w:p w14:paraId="22FF2256">
      <w:pPr>
        <w:autoSpaceDE w:val="0"/>
        <w:autoSpaceDN w:val="0"/>
        <w:adjustRightInd w:val="0"/>
        <w:spacing w:line="360" w:lineRule="auto"/>
        <w:ind w:right="-106" w:firstLine="486" w:firstLineChars="200"/>
        <w:rPr>
          <w:rFonts w:ascii="宋体" w:hAnsi="宋体" w:cs="宋体"/>
          <w:color w:val="auto"/>
          <w:spacing w:val="1"/>
          <w:kern w:val="0"/>
          <w:sz w:val="24"/>
          <w:highlight w:val="none"/>
        </w:rPr>
      </w:pPr>
      <w:r>
        <w:rPr>
          <w:rFonts w:hint="eastAsia" w:ascii="宋体" w:hAnsi="宋体" w:cs="宋体"/>
          <w:b/>
          <w:bCs/>
          <w:color w:val="auto"/>
          <w:spacing w:val="1"/>
          <w:kern w:val="0"/>
          <w:sz w:val="24"/>
          <w:highlight w:val="none"/>
          <w:lang w:eastAsia="zh-CN"/>
        </w:rPr>
        <w:t>8.</w:t>
      </w:r>
      <w:r>
        <w:rPr>
          <w:rFonts w:hint="eastAsia" w:ascii="宋体" w:hAnsi="宋体" w:cs="宋体"/>
          <w:b/>
          <w:bCs/>
          <w:color w:val="auto"/>
          <w:spacing w:val="1"/>
          <w:kern w:val="0"/>
          <w:sz w:val="24"/>
          <w:highlight w:val="none"/>
        </w:rPr>
        <w:t>发包人工作</w:t>
      </w:r>
    </w:p>
    <w:p w14:paraId="30D50E5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8.1 发包人按专用条款约定的内容和时间完成以下工作：</w:t>
      </w:r>
    </w:p>
    <w:p w14:paraId="7893016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1）办理土地征用、拆迁补偿、平整施工场地等工作，使施工场地具备施工条件，在开工后继续负责解决以上事项遗留问题；</w:t>
      </w:r>
    </w:p>
    <w:p w14:paraId="3AAAC82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2）将施工所需水、电、电讯线路从施工场地外部接至专用条款约定地点，保证施工期间的需要；</w:t>
      </w:r>
    </w:p>
    <w:p w14:paraId="44CD6F4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3）开通施工场地与城乡公共道路的通道，以及专用条款约定的施工场地内的主要道路，满足施工运输的需要，保证施工期间的畅通；</w:t>
      </w:r>
    </w:p>
    <w:p w14:paraId="18332BA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4）向承包人提供施工场地的工程地质和地下管线资料，对资料的真实准确性负责；</w:t>
      </w:r>
    </w:p>
    <w:p w14:paraId="7E1F2B6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5）办理施工许可证及其他施工所需证件、批件和临时用地、停水、停电、中断道路交通、爆破作业等的申请批准手续（证明承包人自身资质的证件除外）；</w:t>
      </w:r>
    </w:p>
    <w:p w14:paraId="0CD0873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6）确定水准点与</w:t>
      </w:r>
      <w:r>
        <w:rPr>
          <w:rFonts w:hint="eastAsia" w:ascii="宋体" w:hAnsi="宋体" w:cs="宋体"/>
          <w:color w:val="auto"/>
          <w:spacing w:val="1"/>
          <w:kern w:val="0"/>
          <w:sz w:val="24"/>
          <w:highlight w:val="none"/>
        </w:rPr>
        <w:t>坐标</w:t>
      </w:r>
      <w:r>
        <w:rPr>
          <w:rFonts w:ascii="宋体" w:hAnsi="宋体" w:cs="宋体"/>
          <w:color w:val="auto"/>
          <w:spacing w:val="1"/>
          <w:kern w:val="0"/>
          <w:sz w:val="24"/>
          <w:highlight w:val="none"/>
        </w:rPr>
        <w:t>控制点，以书面形式交给承包人，进行现场交验；</w:t>
      </w:r>
    </w:p>
    <w:p w14:paraId="36E0852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7）组织承包人和设计单位进行图纸会审和设计交底；</w:t>
      </w:r>
    </w:p>
    <w:p w14:paraId="5E5FFA4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 xml:space="preserve">8）协调处理施工场地周围地下管线和邻近建筑物、构筑物（包括文物保护建筑）、古树名木的保护工作、承担有关费用； </w:t>
      </w:r>
    </w:p>
    <w:p w14:paraId="23119E4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 xml:space="preserve">9）发包人应做的其他工作，双方在专用条款内约定。 </w:t>
      </w:r>
    </w:p>
    <w:p w14:paraId="75F303B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ascii="宋体" w:hAnsi="宋体" w:cs="宋体"/>
          <w:color w:val="auto"/>
          <w:spacing w:val="1"/>
          <w:kern w:val="0"/>
          <w:sz w:val="24"/>
          <w:highlight w:val="none"/>
        </w:rPr>
        <w:t xml:space="preserve">8.2 发包人可以将8.1款部分工作委托承包人办理，双方在专用条款内约定，其费用由发包人承担。 </w:t>
      </w:r>
    </w:p>
    <w:p w14:paraId="06E2FE45">
      <w:pPr>
        <w:autoSpaceDE w:val="0"/>
        <w:autoSpaceDN w:val="0"/>
        <w:adjustRightInd w:val="0"/>
        <w:spacing w:line="360" w:lineRule="auto"/>
        <w:ind w:right="-106" w:firstLine="486" w:firstLineChars="200"/>
        <w:rPr>
          <w:rFonts w:ascii="宋体" w:hAnsi="宋体" w:cs="宋体"/>
          <w:color w:val="auto"/>
          <w:spacing w:val="1"/>
          <w:kern w:val="0"/>
          <w:sz w:val="24"/>
          <w:highlight w:val="none"/>
        </w:rPr>
      </w:pPr>
      <w:r>
        <w:rPr>
          <w:rFonts w:hint="eastAsia" w:ascii="宋体" w:hAnsi="宋体" w:cs="宋体"/>
          <w:b/>
          <w:bCs/>
          <w:color w:val="auto"/>
          <w:spacing w:val="1"/>
          <w:kern w:val="0"/>
          <w:sz w:val="24"/>
          <w:highlight w:val="none"/>
          <w:lang w:eastAsia="zh-CN"/>
        </w:rPr>
        <w:t>9.</w:t>
      </w:r>
      <w:r>
        <w:rPr>
          <w:rFonts w:hint="eastAsia" w:ascii="宋体" w:hAnsi="宋体" w:cs="宋体"/>
          <w:b/>
          <w:bCs/>
          <w:color w:val="auto"/>
          <w:spacing w:val="1"/>
          <w:kern w:val="0"/>
          <w:sz w:val="24"/>
          <w:highlight w:val="none"/>
        </w:rPr>
        <w:t>承包人工作</w:t>
      </w:r>
    </w:p>
    <w:p w14:paraId="4D414EB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9.1</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承包人按专用条款约定的内容和时间完成以下工作： </w:t>
      </w:r>
    </w:p>
    <w:p w14:paraId="5D76B945">
      <w:pPr>
        <w:snapToGrid w:val="0"/>
        <w:spacing w:line="360" w:lineRule="auto"/>
        <w:ind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（1）根据发包人委托，在其设计资质等级和业务允许的范围内，完成施工图设计或与工程配套的设计，经工程师确认后使用，</w:t>
      </w:r>
      <w:r>
        <w:rPr>
          <w:rFonts w:hint="eastAsia" w:ascii="宋体" w:hAnsi="宋体" w:cs="仿宋_GB2312"/>
          <w:bCs/>
          <w:color w:val="auto"/>
          <w:sz w:val="24"/>
          <w:highlight w:val="none"/>
        </w:rPr>
        <w:t>费用已包在本工程中标总造价中，发包人不另行支付。</w:t>
      </w:r>
    </w:p>
    <w:p w14:paraId="2EAE7BA3">
      <w:pPr>
        <w:numPr>
          <w:ilvl w:val="0"/>
          <w:numId w:val="3"/>
        </w:num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编制本合同工程施工组织设计、施工进度计划、设备材料进场计划，并于开工日期前3天送交甲方审批；向发包人及监理工程师提供年、季、月度工程进度计划及相应进度统计报表。</w:t>
      </w:r>
    </w:p>
    <w:p w14:paraId="76C9E17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（3）根据工程需要，提供和维修非夜间施工使用的照明、围栏设施，负责安全保卫</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rPr>
        <w:t xml:space="preserve"> </w:t>
      </w:r>
    </w:p>
    <w:p w14:paraId="39DACC5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（4）按专用条款约定的数量和要求，向发包人提供施工场地办公和生活的房屋及设施，费用已包含在施工合同价款内，发包人不另计费用</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rPr>
        <w:t xml:space="preserve"> </w:t>
      </w:r>
    </w:p>
    <w:p w14:paraId="19DD5403">
      <w:pPr>
        <w:autoSpaceDE w:val="0"/>
        <w:autoSpaceDN w:val="0"/>
        <w:adjustRightInd w:val="0"/>
        <w:spacing w:line="360" w:lineRule="auto"/>
        <w:ind w:right="-106" w:firstLine="484" w:firstLineChars="200"/>
        <w:rPr>
          <w:rFonts w:ascii="宋体" w:hAnsi="宋体" w:cs="宋体"/>
          <w:strike/>
          <w:color w:val="auto"/>
          <w:spacing w:val="1"/>
          <w:kern w:val="0"/>
          <w:sz w:val="24"/>
          <w:highlight w:val="none"/>
        </w:rPr>
      </w:pPr>
      <w:r>
        <w:rPr>
          <w:rFonts w:hint="eastAsia" w:ascii="宋体" w:hAnsi="宋体" w:cs="宋体"/>
          <w:color w:val="auto"/>
          <w:spacing w:val="1"/>
          <w:kern w:val="0"/>
          <w:sz w:val="24"/>
          <w:highlight w:val="none"/>
        </w:rPr>
        <w:t>（5）遵守政府有关主管部门对施工场地交通、施工噪音以及环境保护和安全生产等的管理规定，按规定办理有关手续，并以书面形式通知发包人，对发包人提出的要求，承包人应无条件地执行，直至满足政府有关主管部门的要求。</w:t>
      </w:r>
    </w:p>
    <w:p w14:paraId="5AECB1F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rPr>
        <w:t xml:space="preserve"> </w:t>
      </w:r>
    </w:p>
    <w:p w14:paraId="4574E18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（7）按专用条款约定做好施工场地地下管线和邻近建筑物、构筑物（包括文物保护建筑）、古树名木的保护工作</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rPr>
        <w:t xml:space="preserve"> </w:t>
      </w:r>
    </w:p>
    <w:p w14:paraId="2FFD78E6">
      <w:pPr>
        <w:autoSpaceDE w:val="0"/>
        <w:autoSpaceDN w:val="0"/>
        <w:adjustRightInd w:val="0"/>
        <w:spacing w:line="360" w:lineRule="auto"/>
        <w:ind w:right="-108"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（8）保证施工场地清洁符合环境卫生管理的有关规定，交工前清理现场达到专用条款约定的要求，承担因自身原因违反有关规定造成的损失和罚款</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rPr>
        <w:t xml:space="preserve"> </w:t>
      </w:r>
    </w:p>
    <w:p w14:paraId="2A13DC82">
      <w:pPr>
        <w:autoSpaceDE w:val="0"/>
        <w:autoSpaceDN w:val="0"/>
        <w:adjustRightInd w:val="0"/>
        <w:spacing w:line="360" w:lineRule="auto"/>
        <w:ind w:right="-108"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（9）严格按设计图纸、工程技术规范及有关技术文件组织施工，确保施工质量。</w:t>
      </w:r>
    </w:p>
    <w:p w14:paraId="56FF2F9B">
      <w:pPr>
        <w:autoSpaceDE w:val="0"/>
        <w:autoSpaceDN w:val="0"/>
        <w:adjustRightInd w:val="0"/>
        <w:spacing w:line="360" w:lineRule="auto"/>
        <w:ind w:right="-108"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（10）提出用电、用水申请，经批准后在甲方提供的地点装电费计量表，按计量数交费，费用由乙方自行承担。</w:t>
      </w:r>
    </w:p>
    <w:p w14:paraId="16D238FC">
      <w:pPr>
        <w:autoSpaceDE w:val="0"/>
        <w:autoSpaceDN w:val="0"/>
        <w:adjustRightInd w:val="0"/>
        <w:spacing w:line="360" w:lineRule="auto"/>
        <w:ind w:right="-108" w:firstLine="484" w:firstLineChars="200"/>
        <w:rPr>
          <w:rFonts w:hAnsi="宋体"/>
          <w:color w:val="auto"/>
          <w:sz w:val="24"/>
          <w:szCs w:val="24"/>
          <w:highlight w:val="none"/>
        </w:rPr>
      </w:pPr>
      <w:r>
        <w:rPr>
          <w:rFonts w:hint="eastAsia" w:ascii="宋体" w:hAnsi="宋体" w:cs="宋体"/>
          <w:color w:val="auto"/>
          <w:spacing w:val="1"/>
          <w:kern w:val="0"/>
          <w:sz w:val="24"/>
          <w:highlight w:val="none"/>
        </w:rPr>
        <w:t>（11）</w:t>
      </w:r>
      <w:r>
        <w:rPr>
          <w:rFonts w:hint="eastAsia" w:hAnsi="宋体"/>
          <w:color w:val="auto"/>
          <w:sz w:val="24"/>
          <w:szCs w:val="24"/>
          <w:highlight w:val="none"/>
        </w:rPr>
        <w:t>乙方办理施工外线工程途径绿化、道路等市政设施所需的手续。</w:t>
      </w:r>
    </w:p>
    <w:p w14:paraId="19E0CFB3">
      <w:pPr>
        <w:autoSpaceDE w:val="0"/>
        <w:autoSpaceDN w:val="0"/>
        <w:adjustRightInd w:val="0"/>
        <w:spacing w:line="360" w:lineRule="auto"/>
        <w:ind w:right="-108" w:firstLine="484" w:firstLineChars="200"/>
        <w:rPr>
          <w:rFonts w:hint="eastAsia" w:ascii="宋体" w:hAnsi="宋体" w:eastAsia="宋体" w:cs="宋体"/>
          <w:color w:val="auto"/>
          <w:spacing w:val="1"/>
          <w:kern w:val="0"/>
          <w:sz w:val="24"/>
          <w:highlight w:val="none"/>
          <w:lang w:eastAsia="zh-CN"/>
        </w:rPr>
      </w:pPr>
      <w:r>
        <w:rPr>
          <w:rFonts w:hint="eastAsia" w:ascii="宋体" w:hAnsi="宋体" w:cs="宋体"/>
          <w:color w:val="auto"/>
          <w:spacing w:val="1"/>
          <w:kern w:val="0"/>
          <w:sz w:val="24"/>
          <w:highlight w:val="none"/>
        </w:rPr>
        <w:t>（12）保证施工场地清洁符合环境卫生管理的有关规定，交工前清理现场达到合同约定的要求，承担因自身原因违反有关规定造成的损失和罚款</w:t>
      </w:r>
      <w:r>
        <w:rPr>
          <w:rFonts w:hint="eastAsia" w:ascii="宋体" w:hAnsi="宋体" w:cs="宋体"/>
          <w:color w:val="auto"/>
          <w:spacing w:val="1"/>
          <w:kern w:val="0"/>
          <w:sz w:val="24"/>
          <w:highlight w:val="none"/>
          <w:lang w:eastAsia="zh-CN"/>
        </w:rPr>
        <w:t>。</w:t>
      </w:r>
    </w:p>
    <w:p w14:paraId="608CC9B0">
      <w:pPr>
        <w:autoSpaceDE w:val="0"/>
        <w:autoSpaceDN w:val="0"/>
        <w:adjustRightInd w:val="0"/>
        <w:spacing w:line="360" w:lineRule="auto"/>
        <w:ind w:right="-108"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13）承包人负责协助项目总承包施工管理单位办理工程开工及验收所需的各项报监、报建、报验手续，包括但不限于办理承包范围内工程所需报建报装，通过相关专业检测，负责所承包工程验收，并协助项目总承包施工管理单位完成分项分部工程验收、环保验收、节能验收、防雷验收、质量验收、规划验收、竣工验收等工作，并支付办理上述工作中应由承包人承担的费用。</w:t>
      </w:r>
    </w:p>
    <w:p w14:paraId="14223F9B">
      <w:pPr>
        <w:autoSpaceDE w:val="0"/>
        <w:autoSpaceDN w:val="0"/>
        <w:adjustRightInd w:val="0"/>
        <w:spacing w:line="360" w:lineRule="auto"/>
        <w:ind w:right="-108"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（14）承包人应做的其他工作，双方在专用条款内约定。 </w:t>
      </w:r>
    </w:p>
    <w:p w14:paraId="00EEC88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p>
    <w:p w14:paraId="63904EEA">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三、施工组织设计和工期 </w:t>
      </w:r>
    </w:p>
    <w:p w14:paraId="32305FB8">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10.进度计划 </w:t>
      </w:r>
    </w:p>
    <w:p w14:paraId="04D4ECB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10.1</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承包人应按专用条款约定的日期，将施工组织设计和工程进度计划提交工程师，工程师按专用条款约定的时间予以确认或提出修改意见，逾期不确认也不提出书面意见的，视为同意。 </w:t>
      </w:r>
    </w:p>
    <w:p w14:paraId="7788E36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10.2</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群体工程中单位工程分期进行施工的，承包人应按照发包人提供图纸及有关资料的时间，按单位工程编制进度计划，其具体内容双方在专用条款中约定。 </w:t>
      </w:r>
    </w:p>
    <w:p w14:paraId="598964A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10.3</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06E719FC">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11.开工及延期开工 </w:t>
      </w:r>
    </w:p>
    <w:p w14:paraId="6ADC9EA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11.1</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承包人应当按照协议书约定的开工日期开工。承包人不能按时开工，应当不迟于协议书约定的开工日期前7天，以书面形式向工程师提出延期开工的理由和要求。</w:t>
      </w:r>
    </w:p>
    <w:p w14:paraId="2CC053A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11.2</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因发包人原因不能按照协议书约定的开工日期开工，工程师应以书面形式通知承包人，推迟开工日期。发包人赔偿承包人因延期开工造成的损失，并相应顺延工期。 </w:t>
      </w:r>
    </w:p>
    <w:p w14:paraId="6955EA6F">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12.暂停施工 </w:t>
      </w:r>
    </w:p>
    <w:p w14:paraId="200F8A1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工程师认为确有必要暂停施工时，应当以书面形式要求承包人暂停施工，并在提出要求后48小时内提出书面处理意见。承包人应当按工程师要求停止施工，并妥善保护已完工程。承包人实施工程师</w:t>
      </w:r>
      <w:r>
        <w:rPr>
          <w:rFonts w:hint="eastAsia" w:ascii="宋体" w:hAnsi="宋体" w:cs="宋体"/>
          <w:color w:val="auto"/>
          <w:spacing w:val="1"/>
          <w:kern w:val="0"/>
          <w:sz w:val="24"/>
          <w:highlight w:val="none"/>
          <w:lang w:eastAsia="zh-CN"/>
        </w:rPr>
        <w:t>作出</w:t>
      </w:r>
      <w:r>
        <w:rPr>
          <w:rFonts w:hint="eastAsia" w:ascii="宋体" w:hAnsi="宋体" w:cs="宋体"/>
          <w:color w:val="auto"/>
          <w:spacing w:val="1"/>
          <w:kern w:val="0"/>
          <w:sz w:val="24"/>
          <w:highlight w:val="none"/>
        </w:rPr>
        <w:t xml:space="preserve">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和发包人的损失，工期不予顺延。 </w:t>
      </w:r>
    </w:p>
    <w:p w14:paraId="0F30EE5F">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13.工期延误 </w:t>
      </w:r>
    </w:p>
    <w:p w14:paraId="6335627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13.1</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因以下原因造成工期延误，经工程师确认，工期相应顺延： </w:t>
      </w:r>
    </w:p>
    <w:p w14:paraId="120F52A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（1）发包人未能按专用条款的约定提供图纸及开工条件； </w:t>
      </w:r>
    </w:p>
    <w:p w14:paraId="70E2F8A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2</w:t>
      </w:r>
      <w:r>
        <w:rPr>
          <w:rFonts w:hint="eastAsia" w:ascii="宋体" w:hAnsi="宋体" w:cs="宋体"/>
          <w:color w:val="auto"/>
          <w:spacing w:val="1"/>
          <w:kern w:val="0"/>
          <w:sz w:val="24"/>
          <w:highlight w:val="none"/>
        </w:rPr>
        <w:t xml:space="preserve">）工程师未按合同约定提供所需指令、批准等，致使施工不能正常进行； </w:t>
      </w:r>
    </w:p>
    <w:p w14:paraId="4E6A280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3</w:t>
      </w:r>
      <w:r>
        <w:rPr>
          <w:rFonts w:hint="eastAsia" w:ascii="宋体" w:hAnsi="宋体" w:cs="宋体"/>
          <w:color w:val="auto"/>
          <w:spacing w:val="1"/>
          <w:kern w:val="0"/>
          <w:sz w:val="24"/>
          <w:highlight w:val="none"/>
        </w:rPr>
        <w:t xml:space="preserve">）设计变更和工程量增加； </w:t>
      </w:r>
    </w:p>
    <w:p w14:paraId="598DD2F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4</w:t>
      </w:r>
      <w:r>
        <w:rPr>
          <w:rFonts w:hint="eastAsia" w:ascii="宋体" w:hAnsi="宋体" w:cs="宋体"/>
          <w:color w:val="auto"/>
          <w:spacing w:val="1"/>
          <w:kern w:val="0"/>
          <w:sz w:val="24"/>
          <w:highlight w:val="none"/>
        </w:rPr>
        <w:t xml:space="preserve">）一周内非承包人原因停水、停电、停气造成停工累计超过8小时； </w:t>
      </w:r>
    </w:p>
    <w:p w14:paraId="30E3C37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5</w:t>
      </w:r>
      <w:r>
        <w:rPr>
          <w:rFonts w:hint="eastAsia" w:ascii="宋体" w:hAnsi="宋体" w:cs="宋体"/>
          <w:color w:val="auto"/>
          <w:spacing w:val="1"/>
          <w:kern w:val="0"/>
          <w:sz w:val="24"/>
          <w:highlight w:val="none"/>
        </w:rPr>
        <w:t xml:space="preserve">）不可抗力； </w:t>
      </w:r>
    </w:p>
    <w:p w14:paraId="2CCFB09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6</w:t>
      </w:r>
      <w:r>
        <w:rPr>
          <w:rFonts w:hint="eastAsia" w:ascii="宋体" w:hAnsi="宋体" w:cs="宋体"/>
          <w:color w:val="auto"/>
          <w:spacing w:val="1"/>
          <w:kern w:val="0"/>
          <w:sz w:val="24"/>
          <w:highlight w:val="none"/>
        </w:rPr>
        <w:t xml:space="preserve">）专用条款中约定或工程师同意工期顺延的其他情况。 </w:t>
      </w:r>
    </w:p>
    <w:p w14:paraId="36B62EF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13.2</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承包人在13.1款情况发生后14天内，就延误的工期以书面形式向工程师提出报告。工程师在收到报告后14天内予以确认，逾期不予确认也不提出修改意见，视为同意顺延工期。 </w:t>
      </w:r>
    </w:p>
    <w:p w14:paraId="0635076A">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14.工程竣工 </w:t>
      </w:r>
    </w:p>
    <w:p w14:paraId="3B6A11C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14.1</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承包人必须按照协议书约定的竣工日期或工程师同意顺延的工期竣工。 </w:t>
      </w:r>
    </w:p>
    <w:p w14:paraId="6F38AF7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14.2</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因承包人原因不能按照协议书约定的竣工日期或工程师同意顺延的工期竣工的，承包人承担违约责任。 </w:t>
      </w:r>
    </w:p>
    <w:p w14:paraId="6CB086E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14.3</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 </w:t>
      </w:r>
    </w:p>
    <w:p w14:paraId="4B35275C">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四、质量与检验 </w:t>
      </w:r>
    </w:p>
    <w:p w14:paraId="5133D89A">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15.工程质量 </w:t>
      </w:r>
    </w:p>
    <w:p w14:paraId="4D09602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15.1 工程质量应当达到协议书约定的质量标准，质量标准的评定以国家或行业的质量检验评定标准为依据。因承包人原因工程质量达不到约定的质量标准，承包人承担违约责任。 </w:t>
      </w:r>
    </w:p>
    <w:p w14:paraId="7BBB0B6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15.2 双方对工程质量有争议，由双方同意的工程质量检测机构鉴定，所需费用及因此造成的损失，由责任方承担。双方均有责任，由双方根据其责任分别承担。</w:t>
      </w:r>
    </w:p>
    <w:p w14:paraId="51B0D6E4">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16.检查和返工 </w:t>
      </w:r>
    </w:p>
    <w:p w14:paraId="0830C15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16.1 承包人应认真按照标准、规范和设计图纸要求以及工程师依据合同发出的指令施工，随时接受工程师的检查检验，为检查检验提供便利条件。 </w:t>
      </w:r>
    </w:p>
    <w:p w14:paraId="51752E1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16.2 工程质量达不到约定标准的部分，</w:t>
      </w:r>
      <w:r>
        <w:rPr>
          <w:rFonts w:ascii="宋体" w:hAnsi="宋体" w:cs="宋体"/>
          <w:color w:val="auto"/>
          <w:spacing w:val="1"/>
          <w:kern w:val="0"/>
          <w:sz w:val="24"/>
          <w:highlight w:val="none"/>
        </w:rPr>
        <w:t>承包人应按工程师</w:t>
      </w:r>
      <w:r>
        <w:rPr>
          <w:rFonts w:hint="eastAsia" w:ascii="宋体" w:hAnsi="宋体" w:cs="宋体"/>
          <w:color w:val="auto"/>
          <w:spacing w:val="1"/>
          <w:kern w:val="0"/>
          <w:sz w:val="24"/>
          <w:highlight w:val="none"/>
        </w:rPr>
        <w:t xml:space="preserve">的要求拆除和重新施工，直到符合约定标准。因承包人原因达不到约定标准，由承包人承担拆除和重新施工的费用，工期不予顺延。 </w:t>
      </w:r>
    </w:p>
    <w:p w14:paraId="1777321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52C9FD4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16.4 因工程师指令失误或经</w:t>
      </w:r>
      <w:r>
        <w:rPr>
          <w:rFonts w:ascii="宋体" w:hAnsi="宋体" w:cs="宋体"/>
          <w:color w:val="auto"/>
          <w:spacing w:val="1"/>
          <w:kern w:val="0"/>
          <w:sz w:val="24"/>
          <w:highlight w:val="none"/>
        </w:rPr>
        <w:t>发包人认可的</w:t>
      </w:r>
      <w:r>
        <w:rPr>
          <w:rFonts w:hint="eastAsia" w:ascii="宋体" w:hAnsi="宋体" w:cs="宋体"/>
          <w:color w:val="auto"/>
          <w:spacing w:val="1"/>
          <w:kern w:val="0"/>
          <w:sz w:val="24"/>
          <w:highlight w:val="none"/>
        </w:rPr>
        <w:t xml:space="preserve">其他非承包人原因发生的追加合同价款，由发包人承担。 </w:t>
      </w:r>
    </w:p>
    <w:p w14:paraId="2A06E4AA">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17.隐蔽工程和中间验收 </w:t>
      </w:r>
    </w:p>
    <w:p w14:paraId="657F0CF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承包人未通知工程师验收自行进行隐蔽工程施工，工程师有权要求承包人对隐蔽工程进行拆除，承包人无条件按工程师要求进行隐蔽工程拆除，并承担隐蔽工程拆除和重新施工的费用，工期不予顺延。 </w:t>
      </w:r>
    </w:p>
    <w:p w14:paraId="5622782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0368C1D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17.3 经工程师验收，工程质量符合标准、规范和设计图纸等要求，验收24小时后，工程师不在验收记录上签字，视为工程师已经认可验收记录，承包人可进行隐蔽或继续施工。 </w:t>
      </w:r>
    </w:p>
    <w:p w14:paraId="64E0519B">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18.重新检验 </w:t>
      </w:r>
    </w:p>
    <w:p w14:paraId="0CA7899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无论工程师是否进行验收，当其要求对已经隐蔽的工程重新检验时，承包人应按要求进行剥离或开孔，并在检验后重新覆盖或修复。工程师有验收且检验合格，发包人承担由此发生的剥离或开孔费用和重新覆盖或修复费用，工期相应顺延。检验不合格，承包人承担发生的全部费用，工期不予顺延。</w:t>
      </w:r>
    </w:p>
    <w:p w14:paraId="125731DE">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19.工程试车 </w:t>
      </w:r>
    </w:p>
    <w:p w14:paraId="3620BF5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19.1 双方约定需要试车的，试车内容应与承包人承包的安装范围相一致。</w:t>
      </w:r>
    </w:p>
    <w:p w14:paraId="2159D84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0ECA196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19.3 工程师不能按时参加试车，须在开始试车前24小时以书面形式向承包人提出延期要求，延期</w:t>
      </w:r>
      <w:r>
        <w:rPr>
          <w:rFonts w:ascii="宋体" w:hAnsi="宋体" w:cs="宋体"/>
          <w:color w:val="auto"/>
          <w:spacing w:val="1"/>
          <w:kern w:val="0"/>
          <w:sz w:val="24"/>
          <w:highlight w:val="none"/>
        </w:rPr>
        <w:t>不能超过</w:t>
      </w:r>
      <w:r>
        <w:rPr>
          <w:rFonts w:hint="eastAsia" w:ascii="宋体" w:hAnsi="宋体" w:cs="宋体"/>
          <w:color w:val="auto"/>
          <w:spacing w:val="1"/>
          <w:kern w:val="0"/>
          <w:sz w:val="24"/>
          <w:highlight w:val="none"/>
        </w:rPr>
        <w:t>48小时。</w:t>
      </w:r>
      <w:r>
        <w:rPr>
          <w:rFonts w:ascii="宋体" w:hAnsi="宋体" w:cs="宋体"/>
          <w:color w:val="auto"/>
          <w:spacing w:val="1"/>
          <w:kern w:val="0"/>
          <w:sz w:val="24"/>
          <w:highlight w:val="none"/>
        </w:rPr>
        <w:t>工程师</w:t>
      </w:r>
      <w:r>
        <w:rPr>
          <w:rFonts w:hint="eastAsia" w:ascii="宋体" w:hAnsi="宋体" w:cs="宋体"/>
          <w:color w:val="auto"/>
          <w:spacing w:val="1"/>
          <w:kern w:val="0"/>
          <w:sz w:val="24"/>
          <w:highlight w:val="none"/>
        </w:rPr>
        <w:t>未能</w:t>
      </w:r>
      <w:r>
        <w:rPr>
          <w:rFonts w:ascii="宋体" w:hAnsi="宋体" w:cs="宋体"/>
          <w:color w:val="auto"/>
          <w:spacing w:val="1"/>
          <w:kern w:val="0"/>
          <w:sz w:val="24"/>
          <w:highlight w:val="none"/>
        </w:rPr>
        <w:t>按以上时间提出延期要求，</w:t>
      </w:r>
      <w:r>
        <w:rPr>
          <w:rFonts w:hint="eastAsia" w:ascii="宋体" w:hAnsi="宋体" w:cs="宋体"/>
          <w:color w:val="auto"/>
          <w:spacing w:val="1"/>
          <w:kern w:val="0"/>
          <w:sz w:val="24"/>
          <w:highlight w:val="none"/>
        </w:rPr>
        <w:t xml:space="preserve">不参加试车，应承认试车记录。 </w:t>
      </w:r>
    </w:p>
    <w:p w14:paraId="7A3DF59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19.4 设备安装工程具备无负荷联动试车条件，发包人组织试车，并在试车前48小时</w:t>
      </w:r>
      <w:r>
        <w:rPr>
          <w:rFonts w:hint="eastAsia" w:ascii="宋体" w:hAnsi="宋体" w:cs="宋体"/>
          <w:color w:val="auto"/>
          <w:spacing w:val="1"/>
          <w:kern w:val="0"/>
          <w:sz w:val="24"/>
          <w:highlight w:val="none"/>
          <w:lang w:eastAsia="zh-CN"/>
        </w:rPr>
        <w:t>以</w:t>
      </w:r>
      <w:r>
        <w:rPr>
          <w:rFonts w:ascii="宋体" w:hAnsi="宋体" w:cs="宋体"/>
          <w:color w:val="auto"/>
          <w:spacing w:val="1"/>
          <w:kern w:val="0"/>
          <w:sz w:val="24"/>
          <w:highlight w:val="none"/>
        </w:rPr>
        <w:t>书面形式通知承包人</w:t>
      </w:r>
      <w:r>
        <w:rPr>
          <w:rFonts w:hint="eastAsia" w:ascii="宋体" w:hAnsi="宋体" w:cs="宋体"/>
          <w:color w:val="auto"/>
          <w:spacing w:val="1"/>
          <w:kern w:val="0"/>
          <w:sz w:val="24"/>
          <w:highlight w:val="none"/>
        </w:rPr>
        <w:t>。通知包括</w:t>
      </w:r>
      <w:r>
        <w:rPr>
          <w:rFonts w:ascii="宋体" w:hAnsi="宋体" w:cs="宋体"/>
          <w:color w:val="auto"/>
          <w:spacing w:val="1"/>
          <w:kern w:val="0"/>
          <w:sz w:val="24"/>
          <w:highlight w:val="none"/>
        </w:rPr>
        <w:t>试车</w:t>
      </w:r>
      <w:r>
        <w:rPr>
          <w:rFonts w:hint="eastAsia" w:ascii="宋体" w:hAnsi="宋体" w:cs="宋体"/>
          <w:color w:val="auto"/>
          <w:spacing w:val="1"/>
          <w:kern w:val="0"/>
          <w:sz w:val="24"/>
          <w:highlight w:val="none"/>
        </w:rPr>
        <w:t xml:space="preserve">内容、时间、地点和对承包人的要求，承包人按要求做好准备工作。试车合格，双方在试车记录上签字。 </w:t>
      </w:r>
    </w:p>
    <w:p w14:paraId="3604566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19.5 双方责任</w:t>
      </w:r>
    </w:p>
    <w:p w14:paraId="5F73D3D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（1）由于设计原因试车达不到验收要求，发包人应要求设计单位修改设计，承包人按修改后的设计重新安装。发包人承担修改设计、拆除及重新安装的全部费用和追加合同价款，工期相应顺延。 </w:t>
      </w:r>
    </w:p>
    <w:p w14:paraId="79927C7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03BE35F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（3）由于承包人施工原因试车不到验收要求，承包人按工程师要求重新安装和试车，并承担重新安装和试车的费用，工期不予顺延。 </w:t>
      </w:r>
    </w:p>
    <w:p w14:paraId="33289F3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（4）试车费用除已包括在合同价款之内或专用条款另有约定外，均由发包人承担。 </w:t>
      </w:r>
    </w:p>
    <w:p w14:paraId="386FF49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（5）工程师在试车合格后不在试车记录上签字，试车结束24小时后，视为工程师已经认可试车记录，承包人可继续施工或办理竣工手续。 </w:t>
      </w:r>
    </w:p>
    <w:p w14:paraId="3A06296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19.6 投料试车应在工程竣工验收后由发包人负责，如发包人要求在工程竣工验收前进行或需要承包人配合时，应征得承包人同意，另行签订补充协议。 </w:t>
      </w:r>
    </w:p>
    <w:p w14:paraId="196E4BC0">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五、安全施工 </w:t>
      </w:r>
    </w:p>
    <w:p w14:paraId="375CD29A">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20.安全施工与检查 </w:t>
      </w:r>
    </w:p>
    <w:p w14:paraId="7F082D3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77BB9DEC">
      <w:pPr>
        <w:autoSpaceDE w:val="0"/>
        <w:autoSpaceDN w:val="0"/>
        <w:adjustRightInd w:val="0"/>
        <w:spacing w:line="360" w:lineRule="auto"/>
        <w:ind w:right="-106" w:firstLine="484" w:firstLineChars="200"/>
        <w:rPr>
          <w:rFonts w:ascii="宋体" w:hAnsi="宋体" w:cs="宋体"/>
          <w:strike/>
          <w:color w:val="auto"/>
          <w:spacing w:val="1"/>
          <w:kern w:val="0"/>
          <w:sz w:val="24"/>
          <w:highlight w:val="none"/>
        </w:rPr>
      </w:pPr>
      <w:r>
        <w:rPr>
          <w:rFonts w:hint="eastAsia" w:ascii="宋体" w:hAnsi="宋体" w:cs="宋体"/>
          <w:color w:val="auto"/>
          <w:spacing w:val="1"/>
          <w:kern w:val="0"/>
          <w:sz w:val="24"/>
          <w:highlight w:val="none"/>
        </w:rPr>
        <w:t>20.2 发包人应对其在施工场地的工作人员进行安全教育，并对他们的安全负责。发包人不得要求承包人违反安全管理的规定进行施工。</w:t>
      </w:r>
    </w:p>
    <w:p w14:paraId="73A66C2E">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21.安全防护 </w:t>
      </w:r>
    </w:p>
    <w:p w14:paraId="52910DE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21.1 承包人在动力设备、输电线路、地下管道、密封防震车间、易燃易爆地段以及临街交通要道附近施工时，施工开始前应向工程师提出安全防护措施，经工程师认可后实施，防护措施费用已包含在合同价内，不再另行计取。 </w:t>
      </w:r>
    </w:p>
    <w:p w14:paraId="21CE639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21.2 实施爆破作业，在放射、毒害性环境中施工（含储存、运输、使用）及使用毒害性、腐蚀性物品施工时，承包人应在施工前14天以书面通知工程师，并提出相应的安全防护措施，经工程师认可后实施，费用已包含在合同价内，不再另行计取。 </w:t>
      </w:r>
    </w:p>
    <w:p w14:paraId="05CFF63F">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22.事故处理 </w:t>
      </w:r>
    </w:p>
    <w:p w14:paraId="1626869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22.1 发生重大伤亡及其他安全事故，承包人应按有关规定立即上报有关部门并通知工程师，同时按政府有关部门要求处理，由事故责任方承担发生的费用。 </w:t>
      </w:r>
    </w:p>
    <w:p w14:paraId="5F04F43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22.2 发包人承包人对事故责任有争议时，应按政府有关部门的认定处理。</w:t>
      </w:r>
    </w:p>
    <w:p w14:paraId="5C19BAC5">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六、合同价款与支付 </w:t>
      </w:r>
    </w:p>
    <w:p w14:paraId="621EFAC5">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23.合同价款及调整 </w:t>
      </w:r>
    </w:p>
    <w:p w14:paraId="5987444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23.1 招标工程的合同价款由发包人承包人依据中标通知书中的中标价格在协议书内约定。非招标工程的合同价款由发包人承包人依据工程预算书在协议书内约定。 </w:t>
      </w:r>
    </w:p>
    <w:p w14:paraId="355393D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23.2 合同价款在协议书内约定后，任何一方不得擅自改变。下列三种确定合同价款的方式，双方可在专用条款内约定采用其中一种： </w:t>
      </w:r>
    </w:p>
    <w:p w14:paraId="625C5BF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（1）固定价格合同。双方在专用条款内约定合同价款包含的风险范围和风险费用的计算方法，在约定的风险范围内合同价款不再调整。风险范围以外的合同价款调整方法。应当在专用条款内约定。 </w:t>
      </w:r>
    </w:p>
    <w:p w14:paraId="0C4165B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（2）可调价格合同。合同价款可根据双方的约定而调整，双方在专用条款内约定合同价款调整方法。 </w:t>
      </w:r>
    </w:p>
    <w:p w14:paraId="43E87D9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（3）成本加酬金合同。合同价款包括成本和酬金两部分，双方在专用条款内约定成本构成和酬金的计算方法。 </w:t>
      </w:r>
    </w:p>
    <w:p w14:paraId="4926EEB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23.3 可调价格合同中合同价款的调整因素包括： </w:t>
      </w:r>
    </w:p>
    <w:p w14:paraId="75A0825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（1）法律、行政法规和国家有关政策变化影响合同价款； </w:t>
      </w:r>
    </w:p>
    <w:p w14:paraId="29B48B9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（2）工程造价管理部门公布的价格调整； </w:t>
      </w:r>
    </w:p>
    <w:p w14:paraId="0E5ACBE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（3）一周内非承包人原因停水、停电、停气造成停工累计超过8小时； </w:t>
      </w:r>
    </w:p>
    <w:p w14:paraId="4C4C7C4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（4）双方约定的其他因素。 </w:t>
      </w:r>
    </w:p>
    <w:p w14:paraId="2D47E40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23.4 承包人应当在23.3款情况发生后14天内，将调整原因、金额以书面形式通知工程师，工程师书面确认调整金额后作为追加合同价款，与工程款同期支付。工程师收到承包人通知后14天内不予确认也不提出修改意见，视为已经同意该项调整。</w:t>
      </w:r>
    </w:p>
    <w:p w14:paraId="3A043B56">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24.工程预付款 </w:t>
      </w:r>
    </w:p>
    <w:p w14:paraId="4F6514B4">
      <w:pPr>
        <w:autoSpaceDE w:val="0"/>
        <w:autoSpaceDN w:val="0"/>
        <w:adjustRightInd w:val="0"/>
        <w:spacing w:line="360" w:lineRule="auto"/>
        <w:ind w:right="-106" w:firstLine="484" w:firstLineChars="200"/>
        <w:rPr>
          <w:rFonts w:ascii="宋体" w:hAnsi="宋体" w:cs="宋体"/>
          <w:strike/>
          <w:color w:val="auto"/>
          <w:spacing w:val="1"/>
          <w:kern w:val="0"/>
          <w:sz w:val="24"/>
          <w:highlight w:val="none"/>
        </w:rPr>
      </w:pPr>
      <w:r>
        <w:rPr>
          <w:rFonts w:hint="eastAsia" w:ascii="宋体" w:hAnsi="宋体" w:cs="宋体"/>
          <w:color w:val="auto"/>
          <w:spacing w:val="1"/>
          <w:kern w:val="0"/>
          <w:sz w:val="24"/>
          <w:highlight w:val="none"/>
        </w:rPr>
        <w:t xml:space="preserve">实行工程预付款的，双方应当在专用条款内约定发包人向承包人预付工程款的时间和数额，开工后按约定的时间和比例逐次扣回。 </w:t>
      </w:r>
    </w:p>
    <w:p w14:paraId="73D81BA6">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25.工程量的确认 </w:t>
      </w:r>
    </w:p>
    <w:p w14:paraId="44A99C7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25.1 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 </w:t>
      </w:r>
    </w:p>
    <w:p w14:paraId="39E4C0D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25.2 工程师收到承包人报告后7天内未进行计量，从第8天起，承包人报告中开列的工程量即视为被确认，作为工程价款支付的依据。工程师不按约定时间通知承包人，导致承包人未能参加计量，计量结果无效。 </w:t>
      </w:r>
    </w:p>
    <w:p w14:paraId="17C6239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25.3 对承包人超出设计图纸范围和因承包人原因造成返工的工程量，工程师不予计量。 </w:t>
      </w:r>
    </w:p>
    <w:p w14:paraId="27500F87">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26.工程款（进度款）支付 </w:t>
      </w:r>
    </w:p>
    <w:p w14:paraId="4570864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26.1 在确认计量结果后14天内，发包人应向承包人支付工程款（进度款）。按约定时间发包人应扣回的预付款，与工程款（进度款）同期结算。 </w:t>
      </w:r>
    </w:p>
    <w:p w14:paraId="08DD5D7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26.2 本通用条款第23条确定调整的合同价款，第31条工程变更调整的合同价款及其他条款中约定的追加合同价款，应与工程款（进度款）同期调整支付。 </w:t>
      </w:r>
    </w:p>
    <w:p w14:paraId="2F58679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 </w:t>
      </w:r>
    </w:p>
    <w:p w14:paraId="6D8BDEC1">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七、材料设备供应</w:t>
      </w:r>
    </w:p>
    <w:p w14:paraId="29ED8175">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27.发包人供应材料设备 </w:t>
      </w:r>
    </w:p>
    <w:p w14:paraId="178C3C3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27.1 实行发包人供应材料设备的，双方应当约定发包人供应材料设备的一览表， 作为本合同附件。一览表包括发包人供应材料设备的品种、规格、型号、数量、单价、质量等级、提供时间和地点。 </w:t>
      </w:r>
    </w:p>
    <w:p w14:paraId="79EE2A1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40D0E18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27.3 发包人供应的材料设备，承包人派人参加清点后由承包人妥善保管，发包人支付相应保管费用。因承包人原因发生丢失损坏，由承包人负责赔偿。 </w:t>
      </w:r>
    </w:p>
    <w:p w14:paraId="286A0FE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发包人未通知承包人清点，承包人不负责材料设备的保管，丢失损坏由发包人负责。 </w:t>
      </w:r>
    </w:p>
    <w:p w14:paraId="07EFF7E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27.4 发包人供应的材料设备与一览表不符时，发包人承担有关责任。发包人应承担责任的具体内容，双方根据下列情况在专用条款内约定： </w:t>
      </w:r>
    </w:p>
    <w:p w14:paraId="1C06A94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（1）材料设备单价与一览表不符，由发包人承担所有价差； </w:t>
      </w:r>
    </w:p>
    <w:p w14:paraId="4699818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（2）材料设备的品种、规格、型号、质量等级与一览表不符，承包人可拒绝接收保管，由发包人运出施工场地并重新采购； </w:t>
      </w:r>
    </w:p>
    <w:p w14:paraId="0A0C003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（3）发包人供应的材料规格、型号与一览表不符，经发包人同意，承包人可代为调剂串换，由发包人承担相应费用； </w:t>
      </w:r>
    </w:p>
    <w:p w14:paraId="09716A2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（4）到货地点与一览表不符，由发包人负责运至一览表指定地点； </w:t>
      </w:r>
    </w:p>
    <w:p w14:paraId="5F02B6D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（5）供应数量少于一览表约定的数量时，由发包人补齐，多于一览表约定数量时，发包人负责将多出部分运出施工场地； </w:t>
      </w:r>
    </w:p>
    <w:p w14:paraId="062CE09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（6）到货时间早于一览表约定时间，由发包人承担因此发生的保管费用；到货时间迟于一览表约定的供应时间，发包人赔偿由此造成的承包人损失，造成工期延误的，相应顺延工期； </w:t>
      </w:r>
    </w:p>
    <w:p w14:paraId="02B1118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27.5 发包人供应的材料设备使用前，由承包人负责检验或试验，不合格的不得使用，检验或试验费用已包含在合同价款内。 </w:t>
      </w:r>
    </w:p>
    <w:p w14:paraId="5DFAD1A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27.6 发包人供应材料设备的结算方法，双方在专用条款内约定。 </w:t>
      </w:r>
    </w:p>
    <w:p w14:paraId="7A4A7499">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28.承包人采购材料设备 </w:t>
      </w:r>
    </w:p>
    <w:p w14:paraId="1567FC8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28.1 承包人负责采购材料设备的，应按照专用条款约定及设计和有关标准要求采购，并提供产品合格证明，对材料设备质量负责。承包人在材料设备到货前24小时通知工程师清点。 </w:t>
      </w:r>
    </w:p>
    <w:p w14:paraId="514EC27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28.2 承包人采购的材料设备与设计标准要求不符时，承包人应按工程师要求的时间运出施工场地，重新采购符合要求的产品，承担由此发生的费用，由此延误的工期不予顺延。 </w:t>
      </w:r>
    </w:p>
    <w:p w14:paraId="55884F9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28.3 承包人采购的材料设备在使用前，承包人应按工程师的要求进行检验或试验，不合格的不得使用，检验或试验费用由承包人承担。 </w:t>
      </w:r>
    </w:p>
    <w:p w14:paraId="69630CD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28.4 工程师发现承包人采购并使用不符合设计和标准要求的材料设备时，应要求承包人负责修复、拆除或重新采购，由承包人承担发生的费用，由此延误的工期不予顺延。 </w:t>
      </w:r>
    </w:p>
    <w:p w14:paraId="17F0163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28.5 承包人需要使用代用材料时，应经工程师认可后才能使用，由此增减的合同价款双方以书面形式议定。承包人承担因使用代用材料带来的所有不利后果，对发包人造成损失的，由承包人承担，对工期造成拖延的，工期不予顺延。</w:t>
      </w:r>
    </w:p>
    <w:p w14:paraId="7090A60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28.6 承包人须选用相当于《设备材料参考档次表》同等档次或以上的产品，工程师和发包人确认使用品牌的材料样品后，该品牌的材料才能进场使用，承包人提供的样品费用已包含在合同价款内。</w:t>
      </w:r>
    </w:p>
    <w:p w14:paraId="783E2BE9">
      <w:pPr>
        <w:autoSpaceDE w:val="0"/>
        <w:autoSpaceDN w:val="0"/>
        <w:adjustRightInd w:val="0"/>
        <w:spacing w:line="360" w:lineRule="auto"/>
        <w:ind w:right="-106" w:firstLine="484" w:firstLineChars="200"/>
        <w:rPr>
          <w:rFonts w:ascii="宋体" w:hAnsi="宋体" w:cs="宋体"/>
          <w:strike/>
          <w:color w:val="auto"/>
          <w:spacing w:val="1"/>
          <w:kern w:val="0"/>
          <w:sz w:val="24"/>
          <w:highlight w:val="none"/>
        </w:rPr>
      </w:pPr>
      <w:r>
        <w:rPr>
          <w:rFonts w:hint="eastAsia" w:ascii="宋体" w:hAnsi="宋体" w:cs="宋体"/>
          <w:color w:val="auto"/>
          <w:spacing w:val="1"/>
          <w:kern w:val="0"/>
          <w:sz w:val="24"/>
          <w:highlight w:val="none"/>
        </w:rPr>
        <w:t xml:space="preserve">28.7 对于不能提供的材料设备样品，经工程师和发包人同意，承包人可选用相当于《设备材料参考档次表》同等档次或以上的产品的材料设备供应商，工程师及发包人对材料设备供应商进行考察，并根据考察的情况确认使用的材料设备品牌，经确认品牌的材料设备才能进场使用。 </w:t>
      </w:r>
    </w:p>
    <w:p w14:paraId="042793E4">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八、工程变更 </w:t>
      </w:r>
    </w:p>
    <w:p w14:paraId="7D614A3F">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29.工程设计变更 </w:t>
      </w:r>
    </w:p>
    <w:p w14:paraId="186A4A7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29.1 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40B7D9E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（1）更改工程有关部分的标高、基线、位置和尺寸； </w:t>
      </w:r>
    </w:p>
    <w:p w14:paraId="682F338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（2）增减合同中约定的工程量； </w:t>
      </w:r>
    </w:p>
    <w:p w14:paraId="75D7CBB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（3）改变有关工程的施工时间和顺序； </w:t>
      </w:r>
    </w:p>
    <w:p w14:paraId="72AFA60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（4）其他有关工程变更需要的附加工作。 </w:t>
      </w:r>
    </w:p>
    <w:p w14:paraId="5781B70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因变更导致合同价款的增减及造成的承包人损失，由发包人承担，延误的工期相应顺延。 </w:t>
      </w:r>
    </w:p>
    <w:p w14:paraId="265883C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29.2 施工中承包人不得对原工程设计进行变更。因承包人擅自变更设计发生的费用和由此导致发包人的直接损失，由承包人承担，延误的工期不予顺延。 </w:t>
      </w:r>
    </w:p>
    <w:p w14:paraId="2CC5490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29.3 承包人在施工中提出的合理化建议涉及到对设计图纸或施工组织设计的更改及对材料、设备的换用，须经工程师同意。未经同意擅自更改或换用时，承包人承担由此发生的费用，并赔偿发包人的有关损失，延误的工期不予顺延。 </w:t>
      </w:r>
    </w:p>
    <w:p w14:paraId="278E9D0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工程师同意采用承包人合理化建议，所发生的费用和获得的收益，发包</w:t>
      </w:r>
      <w:r>
        <w:rPr>
          <w:rFonts w:hint="eastAsia" w:ascii="宋体" w:hAnsi="宋体" w:cs="宋体"/>
          <w:color w:val="auto"/>
          <w:spacing w:val="1"/>
          <w:kern w:val="0"/>
          <w:sz w:val="24"/>
          <w:highlight w:val="none"/>
          <w:lang w:eastAsia="zh-CN"/>
        </w:rPr>
        <w:t>人与</w:t>
      </w:r>
      <w:r>
        <w:rPr>
          <w:rFonts w:hint="eastAsia" w:ascii="宋体" w:hAnsi="宋体" w:cs="宋体"/>
          <w:color w:val="auto"/>
          <w:spacing w:val="1"/>
          <w:kern w:val="0"/>
          <w:sz w:val="24"/>
          <w:highlight w:val="none"/>
        </w:rPr>
        <w:t xml:space="preserve">承包人另行约定分担或分享。 </w:t>
      </w:r>
    </w:p>
    <w:p w14:paraId="252B0470">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30.其他变更 </w:t>
      </w:r>
    </w:p>
    <w:p w14:paraId="7E560FE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合同履行中发包人要求变更工程质量标准及发生其他实质性变更，由双方协商解决。 </w:t>
      </w:r>
    </w:p>
    <w:p w14:paraId="46AE1618">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31.确定变更价款 </w:t>
      </w:r>
    </w:p>
    <w:p w14:paraId="1F92817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31.1 承包人在工程变更确定后14天内，提出变更工程价款的报告，经工程师确认后调整合同价款。变更合同价款按下列方法进行： </w:t>
      </w:r>
    </w:p>
    <w:p w14:paraId="527E926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（1）合同中已有适用于变更工程的价格，按合同已有的价格变更合同价款； </w:t>
      </w:r>
    </w:p>
    <w:p w14:paraId="5CC2FB7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（2）合同中只有</w:t>
      </w:r>
      <w:r>
        <w:rPr>
          <w:rFonts w:hint="eastAsia" w:ascii="宋体" w:hAnsi="宋体" w:cs="宋体"/>
          <w:color w:val="auto"/>
          <w:spacing w:val="1"/>
          <w:kern w:val="0"/>
          <w:sz w:val="24"/>
          <w:highlight w:val="none"/>
          <w:lang w:eastAsia="zh-CN"/>
        </w:rPr>
        <w:t>类似</w:t>
      </w:r>
      <w:r>
        <w:rPr>
          <w:rFonts w:hint="eastAsia" w:ascii="宋体" w:hAnsi="宋体" w:cs="宋体"/>
          <w:color w:val="auto"/>
          <w:spacing w:val="1"/>
          <w:kern w:val="0"/>
          <w:sz w:val="24"/>
          <w:highlight w:val="none"/>
        </w:rPr>
        <w:t xml:space="preserve">变更工程的价格，可以参照类似价格变更合同价款； </w:t>
      </w:r>
    </w:p>
    <w:p w14:paraId="3F34F43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（3）合同中没有适用或类似于变更工程的价格，由承包人提出适当的变更价格，经工程师确认后执行。 </w:t>
      </w:r>
    </w:p>
    <w:p w14:paraId="6D89DDD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31.2 承包人在双方确定变更后14天内不向工程师提出变更工程价款报告时，视为该项变更不涉及合同价款的变更。 </w:t>
      </w:r>
    </w:p>
    <w:p w14:paraId="5D103E3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31.3 工程师不同意承包人提出的变更价款，按本通用条款第</w:t>
      </w:r>
      <w:r>
        <w:rPr>
          <w:rFonts w:hint="eastAsia" w:ascii="宋体" w:hAnsi="宋体" w:cs="宋体"/>
          <w:color w:val="auto"/>
          <w:spacing w:val="1"/>
          <w:kern w:val="0"/>
          <w:sz w:val="24"/>
          <w:highlight w:val="none"/>
          <w:lang w:val="en-US" w:eastAsia="zh-CN"/>
        </w:rPr>
        <w:t>40</w:t>
      </w:r>
      <w:r>
        <w:rPr>
          <w:rFonts w:hint="eastAsia" w:ascii="宋体" w:hAnsi="宋体" w:cs="宋体"/>
          <w:color w:val="auto"/>
          <w:spacing w:val="1"/>
          <w:kern w:val="0"/>
          <w:sz w:val="24"/>
          <w:highlight w:val="none"/>
        </w:rPr>
        <w:t xml:space="preserve">条关于争议的约定处理。 </w:t>
      </w:r>
    </w:p>
    <w:p w14:paraId="5330D91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31.</w:t>
      </w:r>
      <w:r>
        <w:rPr>
          <w:rFonts w:ascii="宋体" w:hAnsi="宋体" w:cs="宋体"/>
          <w:color w:val="auto"/>
          <w:spacing w:val="1"/>
          <w:kern w:val="0"/>
          <w:sz w:val="24"/>
          <w:highlight w:val="none"/>
        </w:rPr>
        <w:t>4</w:t>
      </w:r>
      <w:r>
        <w:rPr>
          <w:rFonts w:hint="eastAsia" w:ascii="宋体" w:hAnsi="宋体" w:cs="宋体"/>
          <w:color w:val="auto"/>
          <w:spacing w:val="1"/>
          <w:kern w:val="0"/>
          <w:sz w:val="24"/>
          <w:highlight w:val="none"/>
        </w:rPr>
        <w:t xml:space="preserve"> 工程师确认增加的工程变更价款作为追加合同价款，与工程款同期支付。 </w:t>
      </w:r>
    </w:p>
    <w:p w14:paraId="140632C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31.</w:t>
      </w:r>
      <w:r>
        <w:rPr>
          <w:rFonts w:ascii="宋体" w:hAnsi="宋体" w:cs="宋体"/>
          <w:color w:val="auto"/>
          <w:spacing w:val="1"/>
          <w:kern w:val="0"/>
          <w:sz w:val="24"/>
          <w:highlight w:val="none"/>
        </w:rPr>
        <w:t>5</w:t>
      </w:r>
      <w:r>
        <w:rPr>
          <w:rFonts w:hint="eastAsia" w:ascii="宋体" w:hAnsi="宋体" w:cs="宋体"/>
          <w:color w:val="auto"/>
          <w:spacing w:val="1"/>
          <w:kern w:val="0"/>
          <w:sz w:val="24"/>
          <w:highlight w:val="none"/>
          <w:lang w:val="en-US" w:eastAsia="zh-CN"/>
        </w:rPr>
        <w:t xml:space="preserve"> </w:t>
      </w:r>
      <w:r>
        <w:rPr>
          <w:rFonts w:hint="eastAsia" w:ascii="宋体" w:hAnsi="宋体" w:cs="宋体"/>
          <w:color w:val="auto"/>
          <w:spacing w:val="1"/>
          <w:kern w:val="0"/>
          <w:sz w:val="24"/>
          <w:highlight w:val="none"/>
        </w:rPr>
        <w:t xml:space="preserve">因承包人自身原因导致的工程变更，承包人无权要求追加合同价款。 </w:t>
      </w:r>
    </w:p>
    <w:p w14:paraId="4CD614AB">
      <w:pPr>
        <w:adjustRightInd w:val="0"/>
        <w:snapToGrid w:val="0"/>
        <w:spacing w:line="360" w:lineRule="auto"/>
        <w:ind w:right="11" w:firstLine="482" w:firstLineChars="200"/>
        <w:jc w:val="left"/>
        <w:outlineLvl w:val="2"/>
        <w:rPr>
          <w:rFonts w:ascii="宋体" w:hAnsi="宋体" w:cs="宋体"/>
          <w:b/>
          <w:bCs/>
          <w:snapToGrid w:val="0"/>
          <w:color w:val="auto"/>
          <w:kern w:val="0"/>
          <w:sz w:val="24"/>
          <w:highlight w:val="none"/>
        </w:rPr>
      </w:pPr>
      <w:bookmarkStart w:id="18" w:name="_Toc20601"/>
      <w:bookmarkStart w:id="19" w:name="_Toc2684"/>
      <w:bookmarkStart w:id="20" w:name="_Toc4419"/>
      <w:bookmarkStart w:id="21" w:name="_Toc29257"/>
      <w:bookmarkStart w:id="22" w:name="_Toc30085"/>
      <w:bookmarkStart w:id="23" w:name="_Toc10896"/>
      <w:r>
        <w:rPr>
          <w:rFonts w:hint="eastAsia" w:ascii="宋体" w:hAnsi="宋体" w:cs="宋体"/>
          <w:b/>
          <w:bCs/>
          <w:snapToGrid w:val="0"/>
          <w:color w:val="auto"/>
          <w:kern w:val="0"/>
          <w:sz w:val="24"/>
          <w:highlight w:val="none"/>
          <w:lang w:eastAsia="zh-CN"/>
        </w:rPr>
        <w:t>32.</w:t>
      </w:r>
      <w:r>
        <w:rPr>
          <w:rFonts w:hint="eastAsia" w:ascii="宋体" w:hAnsi="宋体" w:cs="宋体"/>
          <w:b/>
          <w:bCs/>
          <w:snapToGrid w:val="0"/>
          <w:color w:val="auto"/>
          <w:kern w:val="0"/>
          <w:sz w:val="24"/>
          <w:highlight w:val="none"/>
        </w:rPr>
        <w:t xml:space="preserve"> 暂估价</w:t>
      </w:r>
      <w:bookmarkEnd w:id="18"/>
      <w:bookmarkEnd w:id="19"/>
      <w:bookmarkEnd w:id="20"/>
      <w:bookmarkEnd w:id="21"/>
      <w:bookmarkEnd w:id="22"/>
      <w:bookmarkEnd w:id="23"/>
    </w:p>
    <w:p w14:paraId="4BE3B5F1">
      <w:pPr>
        <w:adjustRightInd w:val="0"/>
        <w:snapToGrid w:val="0"/>
        <w:spacing w:line="360" w:lineRule="auto"/>
        <w:ind w:right="11" w:firstLine="480" w:firstLineChars="200"/>
        <w:jc w:val="left"/>
        <w:rPr>
          <w:rFonts w:ascii="宋体" w:hAnsi="宋体" w:cs="宋体"/>
          <w:snapToGrid w:val="0"/>
          <w:color w:val="auto"/>
          <w:kern w:val="0"/>
          <w:sz w:val="24"/>
          <w:highlight w:val="none"/>
        </w:rPr>
      </w:pPr>
      <w:bookmarkStart w:id="24" w:name="_Toc13395"/>
      <w:bookmarkStart w:id="25" w:name="_Toc25238"/>
      <w:r>
        <w:rPr>
          <w:rFonts w:hint="eastAsia" w:ascii="宋体" w:hAnsi="宋体" w:cs="宋体"/>
          <w:snapToGrid w:val="0"/>
          <w:color w:val="auto"/>
          <w:kern w:val="0"/>
          <w:sz w:val="24"/>
          <w:highlight w:val="none"/>
        </w:rPr>
        <w:t>32.1专业工程暂估价项目由发包人招标，承包人应按照施工进度计划，提前书面通知发包人实施暂估价项目的招标以便满足施工进度计划要求。发包人确定专业工程暂估价项目的中标人后另行签订承包合同，专业工程暂估价金额从本工程合同价格中直接全额扣除，本工程合同承包人必须无条件接受，否则发包人因此受到损失的，相关责任全部由本合同承包人承担。</w:t>
      </w:r>
      <w:bookmarkEnd w:id="24"/>
      <w:bookmarkEnd w:id="25"/>
    </w:p>
    <w:p w14:paraId="79C7C5E0">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32.2发包人在工程量清单中给定暂估价的材料和工程设备，未达到依法必须招标的规模、标准的，由承包人直接实施的暂估价项的方式确定。</w:t>
      </w:r>
    </w:p>
    <w:p w14:paraId="7FFF0EB8">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32</w:t>
      </w:r>
      <w:r>
        <w:rPr>
          <w:rFonts w:ascii="宋体" w:hAnsi="宋体" w:cs="宋体"/>
          <w:snapToGrid w:val="0"/>
          <w:color w:val="auto"/>
          <w:kern w:val="0"/>
          <w:sz w:val="24"/>
          <w:highlight w:val="none"/>
        </w:rPr>
        <w:t>.2.</w:t>
      </w:r>
      <w:r>
        <w:rPr>
          <w:rFonts w:hint="eastAsia" w:ascii="宋体" w:hAnsi="宋体" w:cs="宋体"/>
          <w:snapToGrid w:val="0"/>
          <w:color w:val="auto"/>
          <w:kern w:val="0"/>
          <w:sz w:val="24"/>
          <w:highlight w:val="none"/>
        </w:rPr>
        <w:t>1承包人直接实施的暂估价项目的约定：</w:t>
      </w:r>
    </w:p>
    <w:p w14:paraId="76E49BB5">
      <w:pPr>
        <w:numPr>
          <w:ilvl w:val="0"/>
          <w:numId w:val="4"/>
        </w:num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材料设备暂估价、工程设备暂估价：工程量清单及设计方案中未明确的暂估价项目（仅为主要材料设备单价暂定部分），由承包人报送经发包人审核确认后作为结算依据。</w:t>
      </w:r>
    </w:p>
    <w:p w14:paraId="3B365A20">
      <w:pPr>
        <w:numPr>
          <w:ilvl w:val="0"/>
          <w:numId w:val="4"/>
        </w:numPr>
        <w:adjustRightInd w:val="0"/>
        <w:snapToGrid w:val="0"/>
        <w:spacing w:line="360" w:lineRule="auto"/>
        <w:ind w:right="11" w:firstLine="480" w:firstLineChars="200"/>
        <w:rPr>
          <w:rFonts w:ascii="宋体" w:hAnsi="宋体" w:cs="宋体"/>
          <w:snapToGrid w:val="0"/>
          <w:color w:val="auto"/>
          <w:kern w:val="0"/>
          <w:sz w:val="24"/>
          <w:highlight w:val="none"/>
        </w:rPr>
      </w:pPr>
      <w:r>
        <w:rPr>
          <w:rFonts w:ascii="宋体" w:hAnsi="宋体" w:cs="宋体"/>
          <w:snapToGrid w:val="0"/>
          <w:color w:val="auto"/>
          <w:kern w:val="0"/>
          <w:sz w:val="24"/>
          <w:highlight w:val="none"/>
        </w:rPr>
        <w:t>因发包人原因导致暂估价合同订立和履行迟延的，由此增加的费用</w:t>
      </w:r>
      <w:r>
        <w:rPr>
          <w:rFonts w:hint="eastAsia" w:ascii="宋体" w:hAnsi="宋体" w:cs="宋体"/>
          <w:snapToGrid w:val="0"/>
          <w:color w:val="auto"/>
          <w:kern w:val="0"/>
          <w:sz w:val="24"/>
          <w:highlight w:val="none"/>
        </w:rPr>
        <w:t>由发包人承担，不作其他费用补偿或赔偿。因承包人原因导致暂估价合同订立和履行迟延的，由此增加的费用和（或）延误的工期由承包人承担。</w:t>
      </w:r>
    </w:p>
    <w:p w14:paraId="2F2C62B4">
      <w:pPr>
        <w:pStyle w:val="33"/>
        <w:numPr>
          <w:ilvl w:val="255"/>
          <w:numId w:val="0"/>
        </w:numPr>
        <w:spacing w:line="360" w:lineRule="auto"/>
        <w:ind w:firstLine="240"/>
        <w:rPr>
          <w:rFonts w:ascii="宋体" w:hAnsi="宋体" w:cs="宋体"/>
          <w:snapToGrid w:val="0"/>
          <w:color w:val="auto"/>
          <w:kern w:val="0"/>
          <w:sz w:val="24"/>
          <w:highlight w:val="none"/>
        </w:rPr>
      </w:pPr>
      <w:r>
        <w:rPr>
          <w:rFonts w:ascii="宋体" w:hAnsi="宋体" w:cs="宋体"/>
          <w:snapToGrid w:val="0"/>
          <w:color w:val="auto"/>
          <w:kern w:val="0"/>
          <w:sz w:val="24"/>
          <w:highlight w:val="none"/>
        </w:rPr>
        <w:t>32.3 发包人在工程量清单中给定暂估价的专业工程，未达到依法必须招标的规模及标准的，除专用条款另有约定外，在合同双方当事人同意下，由造价工程师与分包人按照第</w:t>
      </w:r>
      <w:r>
        <w:rPr>
          <w:rFonts w:hint="eastAsia" w:ascii="宋体" w:hAnsi="宋体" w:cs="宋体"/>
          <w:snapToGrid w:val="0"/>
          <w:color w:val="auto"/>
          <w:kern w:val="0"/>
          <w:sz w:val="24"/>
          <w:highlight w:val="none"/>
        </w:rPr>
        <w:t>23.3</w:t>
      </w:r>
      <w:r>
        <w:rPr>
          <w:rFonts w:ascii="宋体" w:hAnsi="宋体" w:cs="宋体"/>
          <w:snapToGrid w:val="0"/>
          <w:color w:val="auto"/>
          <w:kern w:val="0"/>
          <w:sz w:val="24"/>
          <w:highlight w:val="none"/>
        </w:rPr>
        <w:t xml:space="preserve">款规定确定专业工程款。经确认的专业工程款与工程量清单中所列的暂估价的差额以及相应的规费、税金等其他费用，应列入合同价款。 </w:t>
      </w:r>
    </w:p>
    <w:p w14:paraId="54D36E81">
      <w:pPr>
        <w:adjustRightInd w:val="0"/>
        <w:snapToGrid w:val="0"/>
        <w:spacing w:line="360" w:lineRule="auto"/>
        <w:ind w:right="11" w:firstLine="482" w:firstLineChars="200"/>
        <w:jc w:val="left"/>
        <w:outlineLvl w:val="2"/>
        <w:rPr>
          <w:rFonts w:ascii="宋体" w:hAnsi="宋体" w:cs="宋体"/>
          <w:b/>
          <w:bCs/>
          <w:snapToGrid w:val="0"/>
          <w:color w:val="auto"/>
          <w:kern w:val="0"/>
          <w:sz w:val="24"/>
          <w:highlight w:val="none"/>
        </w:rPr>
      </w:pPr>
      <w:bookmarkStart w:id="26" w:name="_Toc11883"/>
      <w:bookmarkStart w:id="27" w:name="_Toc20201"/>
      <w:bookmarkStart w:id="28" w:name="_Toc26382"/>
      <w:bookmarkStart w:id="29" w:name="_Toc24151"/>
      <w:bookmarkStart w:id="30" w:name="_Toc19954"/>
      <w:bookmarkStart w:id="31" w:name="_Toc20652"/>
      <w:r>
        <w:rPr>
          <w:rFonts w:hint="eastAsia" w:ascii="宋体" w:hAnsi="宋体" w:cs="宋体"/>
          <w:b/>
          <w:bCs/>
          <w:snapToGrid w:val="0"/>
          <w:color w:val="auto"/>
          <w:kern w:val="0"/>
          <w:sz w:val="24"/>
          <w:highlight w:val="none"/>
          <w:lang w:eastAsia="zh-CN"/>
        </w:rPr>
        <w:t>33.</w:t>
      </w:r>
      <w:r>
        <w:rPr>
          <w:rFonts w:hint="eastAsia" w:ascii="宋体" w:hAnsi="宋体" w:cs="宋体"/>
          <w:b/>
          <w:bCs/>
          <w:snapToGrid w:val="0"/>
          <w:color w:val="auto"/>
          <w:kern w:val="0"/>
          <w:sz w:val="24"/>
          <w:highlight w:val="none"/>
        </w:rPr>
        <w:t>暂列金额</w:t>
      </w:r>
      <w:bookmarkEnd w:id="26"/>
      <w:bookmarkEnd w:id="27"/>
      <w:bookmarkEnd w:id="28"/>
      <w:bookmarkEnd w:id="29"/>
      <w:bookmarkEnd w:id="30"/>
      <w:bookmarkEnd w:id="31"/>
    </w:p>
    <w:p w14:paraId="4E431FE8">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合同当事人关于暂列金额使用的约定：工程结算时，暂列金额应予取消，另根据工程实际发生项目增加费用。</w:t>
      </w:r>
    </w:p>
    <w:p w14:paraId="002BE758">
      <w:pPr>
        <w:pStyle w:val="33"/>
        <w:ind w:firstLine="210"/>
        <w:rPr>
          <w:color w:val="auto"/>
          <w:highlight w:val="none"/>
        </w:rPr>
      </w:pPr>
    </w:p>
    <w:p w14:paraId="2F56C933">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九、竣工验收与结算 </w:t>
      </w:r>
    </w:p>
    <w:p w14:paraId="2F718624">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3</w:t>
      </w:r>
      <w:r>
        <w:rPr>
          <w:rFonts w:hint="eastAsia" w:ascii="宋体" w:hAnsi="宋体" w:cs="宋体"/>
          <w:b/>
          <w:bCs/>
          <w:color w:val="auto"/>
          <w:spacing w:val="1"/>
          <w:kern w:val="0"/>
          <w:sz w:val="24"/>
          <w:highlight w:val="none"/>
        </w:rPr>
        <w:t>4</w:t>
      </w:r>
      <w:r>
        <w:rPr>
          <w:rFonts w:ascii="宋体" w:hAnsi="宋体" w:cs="宋体"/>
          <w:b/>
          <w:bCs/>
          <w:color w:val="auto"/>
          <w:spacing w:val="1"/>
          <w:kern w:val="0"/>
          <w:sz w:val="24"/>
          <w:highlight w:val="none"/>
        </w:rPr>
        <w:t xml:space="preserve">.竣工验收 </w:t>
      </w:r>
    </w:p>
    <w:p w14:paraId="3133E86C">
      <w:pPr>
        <w:autoSpaceDE w:val="0"/>
        <w:autoSpaceDN w:val="0"/>
        <w:adjustRightInd w:val="0"/>
        <w:spacing w:line="360" w:lineRule="auto"/>
        <w:ind w:right="-106" w:firstLine="484" w:firstLineChars="200"/>
        <w:rPr>
          <w:rFonts w:ascii="宋体" w:hAnsi="宋体" w:cs="宋体"/>
          <w:b/>
          <w:color w:val="auto"/>
          <w:spacing w:val="1"/>
          <w:kern w:val="0"/>
          <w:sz w:val="24"/>
          <w:highlight w:val="none"/>
        </w:rPr>
      </w:pPr>
      <w:r>
        <w:rPr>
          <w:rFonts w:hint="eastAsia" w:ascii="宋体" w:hAnsi="宋体" w:cs="宋体"/>
          <w:color w:val="auto"/>
          <w:spacing w:val="1"/>
          <w:kern w:val="0"/>
          <w:sz w:val="24"/>
          <w:highlight w:val="none"/>
        </w:rPr>
        <w:t>34.1 工程具备竣工验收条件，承包人按国家工程竣工验收有关规定，向发包人提供完整竣工资料及竣工验收报告。双方约定由承包人提供竣工图的，应当在专用条款内约定提供的日期和份数。</w:t>
      </w:r>
    </w:p>
    <w:p w14:paraId="2F684CC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34.2 发包人收到竣工验收报告后28天内组织有关单位验收，并在验收后14天内给予认可或提出修改意见。承包人按要求修改，并承担由自身原因造成修改的费用。 </w:t>
      </w:r>
    </w:p>
    <w:p w14:paraId="4F573EF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34.3 发包人收到承包人送交的竣工验收报告后28天内不组织验收，或验收后14天内不提出修改意见，视为竣工验收报告已被认可。 </w:t>
      </w:r>
    </w:p>
    <w:p w14:paraId="6116A80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34.4 工程竣工验收通过，承包人送交竣工验收报告的日期为实际竣工日期。工程按发包人要求修改后通过竣工验收的，实际竣工日期为承包人修改后提请发包人验收的日期。 </w:t>
      </w:r>
    </w:p>
    <w:p w14:paraId="3D38CD6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34.5 发包人收到承包人竣工验收报告后28天内不组织验收，从第29天起承担工程保管及一切意外责任。 </w:t>
      </w:r>
    </w:p>
    <w:p w14:paraId="472D302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34.6 中间交工工程的范围和竣工时间，双方在专用条款内约定。 </w:t>
      </w:r>
    </w:p>
    <w:p w14:paraId="2B9E11E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34.7 因特殊原因，发包人要求部分单位工程或工程部位甩项竣工的，双方另行签订甩项竣工协议，明确双方责任和工程价款的支付方法。 </w:t>
      </w:r>
    </w:p>
    <w:p w14:paraId="6A229A4B">
      <w:pPr>
        <w:autoSpaceDE w:val="0"/>
        <w:autoSpaceDN w:val="0"/>
        <w:adjustRightInd w:val="0"/>
        <w:spacing w:line="360" w:lineRule="auto"/>
        <w:ind w:right="-106" w:firstLine="484" w:firstLineChars="200"/>
        <w:rPr>
          <w:rFonts w:ascii="宋体" w:hAnsi="宋体" w:cs="宋体"/>
          <w:strike/>
          <w:color w:val="auto"/>
          <w:spacing w:val="1"/>
          <w:kern w:val="0"/>
          <w:sz w:val="24"/>
          <w:highlight w:val="none"/>
        </w:rPr>
      </w:pPr>
      <w:r>
        <w:rPr>
          <w:rFonts w:hint="eastAsia" w:ascii="宋体" w:hAnsi="宋体" w:cs="宋体"/>
          <w:color w:val="auto"/>
          <w:spacing w:val="1"/>
          <w:kern w:val="0"/>
          <w:sz w:val="24"/>
          <w:highlight w:val="none"/>
        </w:rPr>
        <w:t>34.8 工程未经竣工验收或竣工验收未通过的，发包人不得使用。</w:t>
      </w:r>
    </w:p>
    <w:p w14:paraId="4C863059">
      <w:pPr>
        <w:adjustRightInd w:val="0"/>
        <w:snapToGrid w:val="0"/>
        <w:spacing w:line="360" w:lineRule="auto"/>
        <w:ind w:right="11" w:firstLine="482" w:firstLineChars="200"/>
        <w:outlineLvl w:val="2"/>
        <w:rPr>
          <w:rFonts w:ascii="宋体" w:hAnsi="宋体" w:cs="宋体"/>
          <w:b/>
          <w:snapToGrid w:val="0"/>
          <w:color w:val="auto"/>
          <w:kern w:val="0"/>
          <w:sz w:val="24"/>
          <w:highlight w:val="none"/>
        </w:rPr>
      </w:pPr>
      <w:bookmarkStart w:id="32" w:name="_Toc10090"/>
      <w:bookmarkStart w:id="33" w:name="_Toc12713"/>
      <w:bookmarkStart w:id="34" w:name="_Toc1320"/>
      <w:bookmarkStart w:id="35" w:name="_Toc31354_WPSOffice_Level3"/>
      <w:bookmarkStart w:id="36" w:name="_Toc518402615"/>
      <w:bookmarkStart w:id="37" w:name="_Toc504465921"/>
      <w:bookmarkStart w:id="38" w:name="_Toc7519"/>
      <w:bookmarkStart w:id="39" w:name="_Toc502215518"/>
      <w:bookmarkStart w:id="40" w:name="_Toc30039"/>
      <w:bookmarkStart w:id="41" w:name="_Toc5380"/>
      <w:r>
        <w:rPr>
          <w:rFonts w:hint="eastAsia" w:ascii="宋体" w:hAnsi="宋体" w:cs="宋体"/>
          <w:b/>
          <w:snapToGrid w:val="0"/>
          <w:color w:val="auto"/>
          <w:kern w:val="0"/>
          <w:sz w:val="24"/>
          <w:highlight w:val="none"/>
          <w:lang w:eastAsia="zh-CN"/>
        </w:rPr>
        <w:t>35.</w:t>
      </w:r>
      <w:r>
        <w:rPr>
          <w:rFonts w:hint="eastAsia" w:ascii="宋体" w:hAnsi="宋体" w:cs="宋体"/>
          <w:b/>
          <w:snapToGrid w:val="0"/>
          <w:color w:val="auto"/>
          <w:kern w:val="0"/>
          <w:sz w:val="24"/>
          <w:highlight w:val="none"/>
        </w:rPr>
        <w:t>工程移交</w:t>
      </w:r>
      <w:bookmarkEnd w:id="32"/>
      <w:bookmarkEnd w:id="33"/>
      <w:bookmarkEnd w:id="34"/>
      <w:bookmarkEnd w:id="35"/>
      <w:bookmarkEnd w:id="36"/>
      <w:bookmarkEnd w:id="37"/>
      <w:bookmarkEnd w:id="38"/>
      <w:bookmarkEnd w:id="39"/>
      <w:bookmarkEnd w:id="40"/>
      <w:bookmarkEnd w:id="41"/>
    </w:p>
    <w:p w14:paraId="52F99EE5">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35.1承包人应在工程项目整体移交</w:t>
      </w:r>
      <w:r>
        <w:rPr>
          <w:rFonts w:hint="eastAsia" w:ascii="宋体" w:hAnsi="宋体" w:cs="宋体"/>
          <w:color w:val="auto"/>
          <w:sz w:val="24"/>
          <w:szCs w:val="24"/>
          <w:highlight w:val="none"/>
        </w:rPr>
        <w:t>前15天内，清理现场达到合同约定的要求（包括生产和生活临时设施拆除），并将室内排水和给水管道清理干净、畅通，做到工完场清。</w:t>
      </w:r>
    </w:p>
    <w:p w14:paraId="4D51ABDB">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35.2承包人应于工程竣工验收合格后15天内按要求提供相关资料，整理汇编成工程移交手册，协助</w:t>
      </w:r>
      <w:r>
        <w:rPr>
          <w:rFonts w:hint="eastAsia" w:ascii="宋体" w:hAnsi="宋体" w:cs="宋体"/>
          <w:color w:val="auto"/>
          <w:sz w:val="24"/>
          <w:highlight w:val="none"/>
        </w:rPr>
        <w:t>项目总承包施工管理单位</w:t>
      </w:r>
      <w:r>
        <w:rPr>
          <w:rFonts w:hint="eastAsia" w:ascii="宋体" w:hAnsi="宋体" w:cs="宋体"/>
          <w:snapToGrid w:val="0"/>
          <w:color w:val="auto"/>
          <w:kern w:val="0"/>
          <w:sz w:val="24"/>
          <w:highlight w:val="none"/>
        </w:rPr>
        <w:t>及项目产权管理单位尽快熟悉工程项目各部分（建筑单体、小区市政、周边管线等）的情况，为项目产权管理单位的接收、使用、维护、管理</w:t>
      </w:r>
      <w:r>
        <w:rPr>
          <w:rFonts w:hint="eastAsia" w:ascii="宋体" w:hAnsi="宋体" w:cs="宋体"/>
          <w:snapToGrid w:val="0"/>
          <w:color w:val="auto"/>
          <w:kern w:val="0"/>
          <w:sz w:val="24"/>
          <w:highlight w:val="none"/>
          <w:lang w:eastAsia="zh-CN"/>
        </w:rPr>
        <w:t>做准备</w:t>
      </w:r>
      <w:r>
        <w:rPr>
          <w:rFonts w:hint="eastAsia" w:ascii="宋体" w:hAnsi="宋体" w:cs="宋体"/>
          <w:snapToGrid w:val="0"/>
          <w:color w:val="auto"/>
          <w:kern w:val="0"/>
          <w:sz w:val="24"/>
          <w:highlight w:val="none"/>
        </w:rPr>
        <w:t>。</w:t>
      </w:r>
    </w:p>
    <w:p w14:paraId="513AC347">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35.3承包人应编写工程项目移交计划，配合</w:t>
      </w:r>
      <w:r>
        <w:rPr>
          <w:rFonts w:hint="eastAsia" w:ascii="宋体" w:hAnsi="宋体" w:cs="宋体"/>
          <w:color w:val="auto"/>
          <w:sz w:val="24"/>
          <w:highlight w:val="none"/>
        </w:rPr>
        <w:t>项目总承包施工管理单位</w:t>
      </w:r>
      <w:r>
        <w:rPr>
          <w:rFonts w:hint="eastAsia" w:ascii="宋体" w:hAnsi="宋体" w:cs="宋体"/>
          <w:snapToGrid w:val="0"/>
          <w:color w:val="auto"/>
          <w:kern w:val="0"/>
          <w:sz w:val="24"/>
          <w:highlight w:val="none"/>
        </w:rPr>
        <w:t>按如下程序进行工程项目移交。</w:t>
      </w:r>
    </w:p>
    <w:p w14:paraId="56626903">
      <w:pPr>
        <w:adjustRightInd w:val="0"/>
        <w:snapToGrid w:val="0"/>
        <w:spacing w:line="360" w:lineRule="auto"/>
        <w:ind w:right="11" w:firstLine="480" w:firstLineChars="200"/>
        <w:rPr>
          <w:color w:val="auto"/>
          <w:highlight w:val="none"/>
        </w:rPr>
      </w:pPr>
      <w:r>
        <w:rPr>
          <w:rFonts w:hint="eastAsia" w:ascii="宋体" w:hAnsi="宋体" w:cs="宋体"/>
          <w:snapToGrid w:val="0"/>
          <w:color w:val="auto"/>
          <w:kern w:val="0"/>
          <w:sz w:val="24"/>
          <w:highlight w:val="none"/>
        </w:rPr>
        <w:t>35.4承包人应按照国家《城市建设档案管理规定</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广州市城市建设档案管理办法》和发包人有关整理工程档案的要求，在工程施工期间及时收集、汇总、整理、编制竣工档案。</w:t>
      </w:r>
    </w:p>
    <w:p w14:paraId="18637959">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3</w:t>
      </w:r>
      <w:r>
        <w:rPr>
          <w:rFonts w:hint="eastAsia" w:ascii="宋体" w:hAnsi="宋体" w:cs="宋体"/>
          <w:b/>
          <w:bCs/>
          <w:color w:val="auto"/>
          <w:spacing w:val="1"/>
          <w:kern w:val="0"/>
          <w:sz w:val="24"/>
          <w:highlight w:val="none"/>
        </w:rPr>
        <w:t>6</w:t>
      </w:r>
      <w:r>
        <w:rPr>
          <w:rFonts w:ascii="宋体" w:hAnsi="宋体" w:cs="宋体"/>
          <w:b/>
          <w:bCs/>
          <w:color w:val="auto"/>
          <w:spacing w:val="1"/>
          <w:kern w:val="0"/>
          <w:sz w:val="24"/>
          <w:highlight w:val="none"/>
        </w:rPr>
        <w:t xml:space="preserve">.竣工结算 </w:t>
      </w:r>
    </w:p>
    <w:p w14:paraId="3B331C5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36.1 工程竣工验收报告经发包人认可后28天内，承包人向发包人递交竣工结算报告及完整的结算资料，双方按照协议书约定的合同价款及专用条款约定的合同价款调整内容，进行工程竣工结算。 </w:t>
      </w:r>
    </w:p>
    <w:p w14:paraId="32D2A9E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36.2 发包人收到承包人递交的竣工结算报告及结算资料后28天内进行核实，给予确认或者提出修改意见。发包人确认竣工结算报告后向承包人支付工程竣工结算价款。承包人收到竣工结算价款后14天内将竣工工程交付发包人。 </w:t>
      </w:r>
    </w:p>
    <w:p w14:paraId="56CD695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36.3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214E5D8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36.</w:t>
      </w:r>
      <w:r>
        <w:rPr>
          <w:rFonts w:ascii="宋体" w:hAnsi="宋体" w:cs="宋体"/>
          <w:color w:val="auto"/>
          <w:spacing w:val="1"/>
          <w:kern w:val="0"/>
          <w:sz w:val="24"/>
          <w:highlight w:val="none"/>
        </w:rPr>
        <w:t>4</w:t>
      </w:r>
      <w:r>
        <w:rPr>
          <w:rFonts w:hint="eastAsia" w:ascii="宋体" w:hAnsi="宋体" w:cs="宋体"/>
          <w:color w:val="auto"/>
          <w:spacing w:val="1"/>
          <w:kern w:val="0"/>
          <w:sz w:val="24"/>
          <w:highlight w:val="none"/>
        </w:rPr>
        <w:t xml:space="preserve"> 发包人承包人对工程竣工结算价款发生争议时，按本通用条款第</w:t>
      </w:r>
      <w:r>
        <w:rPr>
          <w:rFonts w:hint="eastAsia" w:ascii="宋体" w:hAnsi="宋体" w:cs="宋体"/>
          <w:color w:val="auto"/>
          <w:spacing w:val="1"/>
          <w:kern w:val="0"/>
          <w:sz w:val="24"/>
          <w:highlight w:val="none"/>
          <w:lang w:val="en-US" w:eastAsia="zh-CN"/>
        </w:rPr>
        <w:t>40</w:t>
      </w:r>
      <w:r>
        <w:rPr>
          <w:rFonts w:hint="eastAsia" w:ascii="宋体" w:hAnsi="宋体" w:cs="宋体"/>
          <w:color w:val="auto"/>
          <w:spacing w:val="1"/>
          <w:kern w:val="0"/>
          <w:sz w:val="24"/>
          <w:highlight w:val="none"/>
        </w:rPr>
        <w:t xml:space="preserve">条关于争议的约定处理。 </w:t>
      </w:r>
    </w:p>
    <w:p w14:paraId="56671614">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3</w:t>
      </w:r>
      <w:r>
        <w:rPr>
          <w:rFonts w:hint="eastAsia" w:ascii="宋体" w:hAnsi="宋体" w:cs="宋体"/>
          <w:b/>
          <w:bCs/>
          <w:color w:val="auto"/>
          <w:spacing w:val="1"/>
          <w:kern w:val="0"/>
          <w:sz w:val="24"/>
          <w:highlight w:val="none"/>
        </w:rPr>
        <w:t>7</w:t>
      </w:r>
      <w:r>
        <w:rPr>
          <w:rFonts w:ascii="宋体" w:hAnsi="宋体" w:cs="宋体"/>
          <w:b/>
          <w:bCs/>
          <w:color w:val="auto"/>
          <w:spacing w:val="1"/>
          <w:kern w:val="0"/>
          <w:sz w:val="24"/>
          <w:highlight w:val="none"/>
        </w:rPr>
        <w:t>.</w:t>
      </w:r>
      <w:r>
        <w:rPr>
          <w:rFonts w:hint="eastAsia" w:ascii="宋体" w:hAnsi="宋体" w:cs="宋体"/>
          <w:b/>
          <w:bCs/>
          <w:color w:val="auto"/>
          <w:spacing w:val="1"/>
          <w:kern w:val="0"/>
          <w:sz w:val="24"/>
          <w:highlight w:val="none"/>
        </w:rPr>
        <w:t>缺陷责任及质量保修</w:t>
      </w:r>
    </w:p>
    <w:p w14:paraId="4BC6D7C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37.1 承包人应按法律、行政法规或国家关于工程质量保修的有关规定，对交付发包人（或项目产权管理单位）使用的工程在缺陷责任期及质量保修期内承担质量保修责任。</w:t>
      </w:r>
    </w:p>
    <w:p w14:paraId="2650D75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37.2 质量保修工作的实施。承包人应在工程竣工验收之前，与发包人签订质量保修书，作为本合同附件。 </w:t>
      </w:r>
    </w:p>
    <w:p w14:paraId="0661191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37.3 质量保修书的主要内容包括： </w:t>
      </w:r>
    </w:p>
    <w:p w14:paraId="560C58F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（1）质量保修项目内容及范围； </w:t>
      </w:r>
    </w:p>
    <w:p w14:paraId="32BD5B1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（2）质量保修期； </w:t>
      </w:r>
    </w:p>
    <w:p w14:paraId="255B472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（3）质量保修责任； </w:t>
      </w:r>
    </w:p>
    <w:p w14:paraId="39C5BB4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（4）质量保修金的支付方法。 </w:t>
      </w:r>
    </w:p>
    <w:p w14:paraId="71AE3BED">
      <w:pPr>
        <w:adjustRightInd w:val="0"/>
        <w:snapToGrid w:val="0"/>
        <w:spacing w:line="360" w:lineRule="auto"/>
        <w:ind w:right="11" w:firstLine="480" w:firstLineChars="200"/>
        <w:rPr>
          <w:rFonts w:ascii="宋体" w:hAnsi="宋体" w:cs="宋体"/>
          <w:color w:val="auto"/>
          <w:sz w:val="24"/>
          <w:szCs w:val="24"/>
          <w:highlight w:val="none"/>
        </w:rPr>
      </w:pPr>
      <w:r>
        <w:rPr>
          <w:rFonts w:hint="eastAsia" w:ascii="宋体" w:hAnsi="宋体" w:cs="宋体"/>
          <w:snapToGrid w:val="0"/>
          <w:color w:val="auto"/>
          <w:kern w:val="0"/>
          <w:sz w:val="24"/>
          <w:highlight w:val="none"/>
        </w:rPr>
        <w:t>37.4</w:t>
      </w:r>
      <w:r>
        <w:rPr>
          <w:rFonts w:hint="eastAsia" w:ascii="宋体" w:hAnsi="宋体" w:cs="宋体"/>
          <w:color w:val="auto"/>
          <w:sz w:val="24"/>
          <w:szCs w:val="24"/>
          <w:highlight w:val="none"/>
        </w:rPr>
        <w:t>保修期内，承包人应当根据法律规定以及合同约定承担缺陷修复及质量保修责任，承包人不得以其与分包单位之间保修责任划分而拒绝履行缺陷修复及质量保修责任。</w:t>
      </w:r>
    </w:p>
    <w:p w14:paraId="443DE896">
      <w:pPr>
        <w:pStyle w:val="33"/>
        <w:ind w:firstLine="210"/>
        <w:rPr>
          <w:color w:val="auto"/>
          <w:highlight w:val="none"/>
        </w:rPr>
      </w:pPr>
    </w:p>
    <w:p w14:paraId="16109524">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十、违约、索赔和争议 </w:t>
      </w:r>
    </w:p>
    <w:p w14:paraId="153646F8">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3</w:t>
      </w:r>
      <w:r>
        <w:rPr>
          <w:rFonts w:hint="eastAsia" w:ascii="宋体" w:hAnsi="宋体" w:cs="宋体"/>
          <w:b/>
          <w:bCs/>
          <w:color w:val="auto"/>
          <w:spacing w:val="1"/>
          <w:kern w:val="0"/>
          <w:sz w:val="24"/>
          <w:highlight w:val="none"/>
        </w:rPr>
        <w:t>8</w:t>
      </w:r>
      <w:r>
        <w:rPr>
          <w:rFonts w:ascii="宋体" w:hAnsi="宋体" w:cs="宋体"/>
          <w:b/>
          <w:bCs/>
          <w:color w:val="auto"/>
          <w:spacing w:val="1"/>
          <w:kern w:val="0"/>
          <w:sz w:val="24"/>
          <w:highlight w:val="none"/>
        </w:rPr>
        <w:t xml:space="preserve">.违约 </w:t>
      </w:r>
    </w:p>
    <w:p w14:paraId="5E4D571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38.1 发包人违约。当发生下列情况时： </w:t>
      </w:r>
    </w:p>
    <w:p w14:paraId="58139DC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（1）发包人不履行合同义务或不按合同约定履行义务的情况。 </w:t>
      </w:r>
    </w:p>
    <w:p w14:paraId="03995FA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发包人违约应承担的责任：顺延工期，但不作费用赔偿。</w:t>
      </w:r>
    </w:p>
    <w:p w14:paraId="2DF804A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 38.2承包人违约。当发生下列情况时： </w:t>
      </w:r>
    </w:p>
    <w:p w14:paraId="1ED84DB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（1）本通用条款第14.2款提到的因承包人原因不能按照协议书约定的竣工日期或工程师同意顺延的工期竣工； </w:t>
      </w:r>
    </w:p>
    <w:p w14:paraId="6B2A62C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（2）本通用条款第15.1款提到的因承包人原因工程质量达不到协议书约定的质量标准； </w:t>
      </w:r>
    </w:p>
    <w:p w14:paraId="541BA14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（3）承包人不履行合同义务或不按合同约定履行义务的其他情况。 </w:t>
      </w:r>
    </w:p>
    <w:p w14:paraId="4307749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承包人承担违约责任，赔偿因其违约给发包人造成的损失。双方在专用条款内约定承包人赔偿发包人损失的计算方法或者承包人应当支付违约金的数额或计算方法。 </w:t>
      </w:r>
    </w:p>
    <w:p w14:paraId="101197F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38.3 一方违约后，另一方要求违约方继续履行合同时，违约方承担上述违约责任后仍应继续履行合同。 </w:t>
      </w:r>
    </w:p>
    <w:p w14:paraId="0E005612">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3</w:t>
      </w:r>
      <w:r>
        <w:rPr>
          <w:rFonts w:hint="eastAsia" w:ascii="宋体" w:hAnsi="宋体" w:cs="宋体"/>
          <w:b/>
          <w:bCs/>
          <w:color w:val="auto"/>
          <w:spacing w:val="1"/>
          <w:kern w:val="0"/>
          <w:sz w:val="24"/>
          <w:highlight w:val="none"/>
        </w:rPr>
        <w:t>9</w:t>
      </w:r>
      <w:r>
        <w:rPr>
          <w:rFonts w:ascii="宋体" w:hAnsi="宋体" w:cs="宋体"/>
          <w:b/>
          <w:bCs/>
          <w:color w:val="auto"/>
          <w:spacing w:val="1"/>
          <w:kern w:val="0"/>
          <w:sz w:val="24"/>
          <w:highlight w:val="none"/>
        </w:rPr>
        <w:t xml:space="preserve">.索赔 </w:t>
      </w:r>
    </w:p>
    <w:p w14:paraId="3DF2BAD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39.1 当一方向另一方提出索赔时，要有正当索赔理由，且有索赔事件发生时的有效证据。 </w:t>
      </w:r>
    </w:p>
    <w:p w14:paraId="23F7B7A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39.2 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714E70A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39.3 承包人未能按合同约定履行自己的各项义务或发生错误，给发包人造成经济损失，发包人可按专用条款39.3款详细确定的时限向承包人提出索赔。 </w:t>
      </w:r>
    </w:p>
    <w:p w14:paraId="69451D85">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39.4在任何索赔期间，不论索赔是否有据，均不能免除承包人按合同约定履行合同义务。承包人不得以此为借口，拒不履行或拖延合同的履行，否则发包人有权终止合同，并要求承包人赔偿由此导致的发包人的损失。</w:t>
      </w:r>
    </w:p>
    <w:p w14:paraId="1B8A6996">
      <w:pPr>
        <w:pStyle w:val="33"/>
        <w:ind w:firstLine="210"/>
        <w:rPr>
          <w:color w:val="auto"/>
          <w:highlight w:val="none"/>
        </w:rPr>
      </w:pPr>
    </w:p>
    <w:p w14:paraId="2801530B">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40</w:t>
      </w:r>
      <w:r>
        <w:rPr>
          <w:rFonts w:ascii="宋体" w:hAnsi="宋体" w:cs="宋体"/>
          <w:b/>
          <w:bCs/>
          <w:color w:val="auto"/>
          <w:spacing w:val="1"/>
          <w:kern w:val="0"/>
          <w:sz w:val="24"/>
          <w:highlight w:val="none"/>
        </w:rPr>
        <w:t xml:space="preserve">.争议 </w:t>
      </w:r>
    </w:p>
    <w:p w14:paraId="55DBA5A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40.1 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 </w:t>
      </w:r>
    </w:p>
    <w:p w14:paraId="666E337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第二种解决方式：向有管辖权的人民法院起诉。 </w:t>
      </w:r>
    </w:p>
    <w:p w14:paraId="2CB9EAA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40.2 发生争议后，除非出现下列情况的，双方都应继续履行合同，保持施工连续，保护好已完工程： </w:t>
      </w:r>
    </w:p>
    <w:p w14:paraId="736BAA88">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（1）单方违约导致合同确已无法履行，双方协议停止施工； </w:t>
      </w:r>
    </w:p>
    <w:p w14:paraId="047A278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（2）调解要求停止施工，且为双方接受； </w:t>
      </w:r>
    </w:p>
    <w:p w14:paraId="5D4A62B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（3）仲裁机构要求停止施工； </w:t>
      </w:r>
    </w:p>
    <w:p w14:paraId="09B9108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（4）法院要求停止施工。 </w:t>
      </w:r>
    </w:p>
    <w:p w14:paraId="1BBC8216">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 xml:space="preserve">十一、其他 </w:t>
      </w:r>
    </w:p>
    <w:p w14:paraId="29D73473">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41</w:t>
      </w:r>
      <w:r>
        <w:rPr>
          <w:rFonts w:ascii="宋体" w:hAnsi="宋体" w:cs="宋体"/>
          <w:b/>
          <w:bCs/>
          <w:color w:val="auto"/>
          <w:spacing w:val="1"/>
          <w:kern w:val="0"/>
          <w:sz w:val="24"/>
          <w:highlight w:val="none"/>
        </w:rPr>
        <w:t xml:space="preserve">.工程分包 </w:t>
      </w:r>
    </w:p>
    <w:p w14:paraId="4003EAE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41.1 承包人按专用条款的约定分包所承包的部分工程，并与分包单位签订分包合同。非经发包人同意，承包人不得将承包工程的任何部分分包。 </w:t>
      </w:r>
    </w:p>
    <w:p w14:paraId="71588D6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41.2 承包人不得将其承包的全部工程转包给他人，也不得将其承包的全部工程肢解以后以分包的名义分别转包给他人。 </w:t>
      </w:r>
    </w:p>
    <w:p w14:paraId="6D361D5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41.3 工程分包不能解除承包人任何责任与义务。承包人应在分包场地派驻相应管理人员，保证本合同的履行。分包单位的任何违约行为或疏忽导致工程损害或给发包人造成其他损失，承包人承担连带责任。 </w:t>
      </w:r>
    </w:p>
    <w:p w14:paraId="5011240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41.4 分包工程价款由承包人与分包单位结算。发包人未经承包人同意不得以任何形式向分包单位支付各种工程款项。 </w:t>
      </w:r>
    </w:p>
    <w:p w14:paraId="3C9FA650">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42</w:t>
      </w:r>
      <w:r>
        <w:rPr>
          <w:rFonts w:ascii="宋体" w:hAnsi="宋体" w:cs="宋体"/>
          <w:b/>
          <w:bCs/>
          <w:color w:val="auto"/>
          <w:spacing w:val="1"/>
          <w:kern w:val="0"/>
          <w:sz w:val="24"/>
          <w:highlight w:val="none"/>
        </w:rPr>
        <w:t xml:space="preserve">.不可抗力 </w:t>
      </w:r>
    </w:p>
    <w:p w14:paraId="53BC246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42.1 不可抗力包括因战争、动乱、空中飞行物体坠落或其他非发包人承包人责任造成的爆炸、火灾，以及专用条款约定的风雨、雪、洪、震等自然灾害。 </w:t>
      </w:r>
    </w:p>
    <w:p w14:paraId="73CC647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42.2 不可抗力事件发生后，承包人应立即通知工程师，并</w:t>
      </w:r>
      <w:r>
        <w:rPr>
          <w:rFonts w:ascii="宋体" w:hAnsi="宋体" w:cs="宋体"/>
          <w:color w:val="auto"/>
          <w:spacing w:val="1"/>
          <w:kern w:val="0"/>
          <w:sz w:val="24"/>
          <w:highlight w:val="none"/>
        </w:rPr>
        <w:t>在</w:t>
      </w:r>
      <w:r>
        <w:rPr>
          <w:rFonts w:hint="eastAsia" w:ascii="宋体" w:hAnsi="宋体" w:cs="宋体"/>
          <w:color w:val="auto"/>
          <w:spacing w:val="1"/>
          <w:kern w:val="0"/>
          <w:sz w:val="24"/>
          <w:highlight w:val="none"/>
        </w:rPr>
        <w:t>力所能及的条件下迅速采取措施，尽力减少损失，发包人应协助承包人采取措施。不可抗力事件结束后48小时内承包人向工程师通报受害情况和损失情况，及预计清理和修复的费用。工程</w:t>
      </w:r>
      <w:r>
        <w:rPr>
          <w:rFonts w:ascii="宋体" w:hAnsi="宋体" w:cs="宋体"/>
          <w:color w:val="auto"/>
          <w:spacing w:val="1"/>
          <w:kern w:val="0"/>
          <w:sz w:val="24"/>
          <w:highlight w:val="none"/>
        </w:rPr>
        <w:t>师认为应当暂停施工的，</w:t>
      </w:r>
      <w:r>
        <w:rPr>
          <w:rFonts w:hint="eastAsia" w:ascii="宋体" w:hAnsi="宋体" w:cs="宋体"/>
          <w:color w:val="auto"/>
          <w:spacing w:val="1"/>
          <w:kern w:val="0"/>
          <w:sz w:val="24"/>
          <w:highlight w:val="none"/>
        </w:rPr>
        <w:t>承包人</w:t>
      </w:r>
      <w:r>
        <w:rPr>
          <w:rFonts w:ascii="宋体" w:hAnsi="宋体" w:cs="宋体"/>
          <w:color w:val="auto"/>
          <w:spacing w:val="1"/>
          <w:kern w:val="0"/>
          <w:sz w:val="24"/>
          <w:highlight w:val="none"/>
        </w:rPr>
        <w:t>应暂停施工</w:t>
      </w:r>
      <w:r>
        <w:rPr>
          <w:rFonts w:hint="eastAsia" w:ascii="宋体" w:hAnsi="宋体" w:cs="宋体"/>
          <w:color w:val="auto"/>
          <w:spacing w:val="1"/>
          <w:kern w:val="0"/>
          <w:sz w:val="24"/>
          <w:highlight w:val="none"/>
        </w:rPr>
        <w:t xml:space="preserve">。不可抗力事件持续发生，承包人应每隔7天向工程师报告一次受害情况。不可抗力事件结束后14天内，承包人向工程师提交清理和修复费用的正式报告及有关资料。 </w:t>
      </w:r>
    </w:p>
    <w:p w14:paraId="03382C0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42.3 因不可抗力事件导致的费用及延误的工期由双方按以下方法分别承担： </w:t>
      </w:r>
    </w:p>
    <w:p w14:paraId="1CFD3AB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（1）工程本身的损害、因工程损害导致第三方人员伤亡和财产损失以及运至施工场地用于施工的材料和待安装的设备的损害，由发包人承担； </w:t>
      </w:r>
    </w:p>
    <w:p w14:paraId="39C17CB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（2）发包人承包人人员伤亡由其所在单位负责，并承担相应费用； </w:t>
      </w:r>
    </w:p>
    <w:p w14:paraId="4EDA058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（3）承包人机械设备损坏及停工损失，由承包人承担； </w:t>
      </w:r>
    </w:p>
    <w:p w14:paraId="1D128A0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（4）停工期间，承包人应工程师要求留在施工场地的必要的管理人员及保卫人员的费用由发包人承担； </w:t>
      </w:r>
    </w:p>
    <w:p w14:paraId="6B45BF5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（5）工程所需清理、修复费用，由发包人承担； </w:t>
      </w:r>
    </w:p>
    <w:p w14:paraId="6DC9C75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（6）延误的工期相应顺延。 </w:t>
      </w:r>
    </w:p>
    <w:p w14:paraId="70F2307F">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39.4因合同一方迟延履行合同后发生不可抗力的，不能免除迟延履行方的相应责任。 </w:t>
      </w:r>
    </w:p>
    <w:p w14:paraId="163B5FC4">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43</w:t>
      </w:r>
      <w:r>
        <w:rPr>
          <w:rFonts w:ascii="宋体" w:hAnsi="宋体" w:cs="宋体"/>
          <w:b/>
          <w:bCs/>
          <w:color w:val="auto"/>
          <w:spacing w:val="1"/>
          <w:kern w:val="0"/>
          <w:sz w:val="24"/>
          <w:highlight w:val="none"/>
        </w:rPr>
        <w:t xml:space="preserve">.保险 </w:t>
      </w:r>
    </w:p>
    <w:p w14:paraId="7ED59DC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43.1 工程开工前，承包人为建设工程和施工场地内的自有人员及第三方人员生命财产办理保险，支付保险费用。 </w:t>
      </w:r>
    </w:p>
    <w:p w14:paraId="641277E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43.2 运至施工场地内用于工程的材料和待安装设备，由承包人办理保险，并支付保险费用。 </w:t>
      </w:r>
    </w:p>
    <w:p w14:paraId="338F34AF">
      <w:pPr>
        <w:pStyle w:val="33"/>
        <w:ind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保险期从开工之日起至工程竣工验收合格之日止。</w:t>
      </w:r>
    </w:p>
    <w:p w14:paraId="17E4EDE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43.3 承包人不可以将有关保险事项委托承包人办理。 </w:t>
      </w:r>
    </w:p>
    <w:p w14:paraId="44875F9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43.4 承包人必须为从事危险作业的职工办理意外伤害保险，并为施工场地内自有人员生命财产和施工机械设备办理保险，支付保险费用。 </w:t>
      </w:r>
    </w:p>
    <w:p w14:paraId="186B88F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43.5 保险事故发生时，发包人承包人有责任尽力采取必要的措施，防止或者减少损失。 </w:t>
      </w:r>
    </w:p>
    <w:p w14:paraId="707316EB">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43.6 具体投保内容和相关责任，发包人承包人在专用条款中约定。 </w:t>
      </w:r>
    </w:p>
    <w:p w14:paraId="0A431A61">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4</w:t>
      </w:r>
      <w:r>
        <w:rPr>
          <w:rFonts w:hint="eastAsia" w:ascii="宋体" w:hAnsi="宋体" w:cs="宋体"/>
          <w:b/>
          <w:bCs/>
          <w:color w:val="auto"/>
          <w:spacing w:val="1"/>
          <w:kern w:val="0"/>
          <w:sz w:val="24"/>
          <w:highlight w:val="none"/>
        </w:rPr>
        <w:t>4</w:t>
      </w:r>
      <w:r>
        <w:rPr>
          <w:rFonts w:ascii="宋体" w:hAnsi="宋体" w:cs="宋体"/>
          <w:b/>
          <w:bCs/>
          <w:color w:val="auto"/>
          <w:spacing w:val="1"/>
          <w:kern w:val="0"/>
          <w:sz w:val="24"/>
          <w:highlight w:val="none"/>
        </w:rPr>
        <w:t xml:space="preserve">.担保 </w:t>
      </w:r>
    </w:p>
    <w:p w14:paraId="4B57A90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44.1</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14:paraId="7CFBFDFA">
      <w:pPr>
        <w:pStyle w:val="33"/>
        <w:spacing w:line="360" w:lineRule="auto"/>
        <w:ind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44.2履约担保的有效期，是从提供履约担保之日起至合同工程竣工验收合格之日止。发包人应在担保有效期满后的14 天内将此担保退还给承包人。</w:t>
      </w:r>
    </w:p>
    <w:p w14:paraId="6A4B65DD">
      <w:pPr>
        <w:pStyle w:val="33"/>
        <w:spacing w:line="360" w:lineRule="auto"/>
        <w:ind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44.3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698FCDD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44.4发包人应按照合同约定时间向承包人提交与履约担保等值的支付担保；发、承包人也可约定由发包人向承包人提交预付款等值的支付担保。支付担保采用银行保函、担保公司担保或支付保证保险的形式，提供支付保函、担保公司担保、支付保证保险所发生的费用由发包人承担。</w:t>
      </w:r>
    </w:p>
    <w:p w14:paraId="4CD882E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44.5 一方违约后，另一方可要求提供担保的第三人承担相应责任。 </w:t>
      </w:r>
    </w:p>
    <w:p w14:paraId="2923A56D">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44.6</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提供担保的内容、方式和相关责任，发包人承包人除在专用条款中约定外，被担保方与担保方还应签订担保合同，作为本合同附件。 </w:t>
      </w:r>
    </w:p>
    <w:p w14:paraId="578E0C94">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4</w:t>
      </w:r>
      <w:r>
        <w:rPr>
          <w:rFonts w:hint="eastAsia" w:ascii="宋体" w:hAnsi="宋体" w:cs="宋体"/>
          <w:b/>
          <w:bCs/>
          <w:color w:val="auto"/>
          <w:spacing w:val="1"/>
          <w:kern w:val="0"/>
          <w:sz w:val="24"/>
          <w:highlight w:val="none"/>
        </w:rPr>
        <w:t>5</w:t>
      </w:r>
      <w:r>
        <w:rPr>
          <w:rFonts w:ascii="宋体" w:hAnsi="宋体" w:cs="宋体"/>
          <w:b/>
          <w:bCs/>
          <w:color w:val="auto"/>
          <w:spacing w:val="1"/>
          <w:kern w:val="0"/>
          <w:sz w:val="24"/>
          <w:highlight w:val="none"/>
        </w:rPr>
        <w:t xml:space="preserve">.专利技术及特殊工艺 </w:t>
      </w:r>
    </w:p>
    <w:p w14:paraId="7F857CA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45.1 发包人要求使用专利技术或特殊工艺，应负责办理相应的申报手续，承担申报、试验、使用等费用；承包人提出使用专利技术或特殊工艺，应取得工程师认可，承包人负责办理申报手续并承担有关费用。 </w:t>
      </w:r>
    </w:p>
    <w:p w14:paraId="3F0B17C9">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45.2 擅自使用专利技术侵犯他人专利权的，责任者依法承担相应责任。 </w:t>
      </w:r>
    </w:p>
    <w:p w14:paraId="279C580E">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4</w:t>
      </w:r>
      <w:r>
        <w:rPr>
          <w:rFonts w:hint="eastAsia" w:ascii="宋体" w:hAnsi="宋体" w:cs="宋体"/>
          <w:b/>
          <w:bCs/>
          <w:color w:val="auto"/>
          <w:spacing w:val="1"/>
          <w:kern w:val="0"/>
          <w:sz w:val="24"/>
          <w:highlight w:val="none"/>
        </w:rPr>
        <w:t>6</w:t>
      </w:r>
      <w:r>
        <w:rPr>
          <w:rFonts w:ascii="宋体" w:hAnsi="宋体" w:cs="宋体"/>
          <w:b/>
          <w:bCs/>
          <w:color w:val="auto"/>
          <w:spacing w:val="1"/>
          <w:kern w:val="0"/>
          <w:sz w:val="24"/>
          <w:highlight w:val="none"/>
        </w:rPr>
        <w:t xml:space="preserve">.文物和地下障碍物 </w:t>
      </w:r>
    </w:p>
    <w:p w14:paraId="33EAE95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46.1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 </w:t>
      </w:r>
    </w:p>
    <w:p w14:paraId="5606FA7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如发现后隐瞒不报，致使文物遭受破坏，责任者依法承担相应责任。</w:t>
      </w:r>
    </w:p>
    <w:p w14:paraId="64C44A40">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46.2施工中发现影响施工的地下障碍物时，承包人应于8小时内以书面形式通知工程师，同时提出处置方案，工程师收到处置方案后24小时内予以认可或提出修正方案。承包人负责处理影响施工的地下障碍物，费用已包含在合同价款内，工期不予顺延。所发现的地下障碍物有归属单位时，发包人应报请有关部门协同处置。 </w:t>
      </w:r>
    </w:p>
    <w:p w14:paraId="596165F8">
      <w:pPr>
        <w:pStyle w:val="33"/>
        <w:ind w:firstLine="210"/>
        <w:rPr>
          <w:color w:val="auto"/>
          <w:highlight w:val="none"/>
        </w:rPr>
      </w:pPr>
    </w:p>
    <w:p w14:paraId="0891CA71">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4</w:t>
      </w:r>
      <w:r>
        <w:rPr>
          <w:rFonts w:hint="eastAsia" w:ascii="宋体" w:hAnsi="宋体" w:cs="宋体"/>
          <w:b/>
          <w:bCs/>
          <w:color w:val="auto"/>
          <w:spacing w:val="1"/>
          <w:kern w:val="0"/>
          <w:sz w:val="24"/>
          <w:highlight w:val="none"/>
        </w:rPr>
        <w:t>7</w:t>
      </w:r>
      <w:r>
        <w:rPr>
          <w:rFonts w:ascii="宋体" w:hAnsi="宋体" w:cs="宋体"/>
          <w:b/>
          <w:bCs/>
          <w:color w:val="auto"/>
          <w:spacing w:val="1"/>
          <w:kern w:val="0"/>
          <w:sz w:val="24"/>
          <w:highlight w:val="none"/>
        </w:rPr>
        <w:t xml:space="preserve">.合同解除 </w:t>
      </w:r>
    </w:p>
    <w:p w14:paraId="5C100161">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47.1 发包人承包人协商一致，可以解除合同。 </w:t>
      </w:r>
    </w:p>
    <w:p w14:paraId="6D11C625">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47.2</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 xml:space="preserve">发生本通用条款第38.2款禁止的情况，承包人将其承包的全部工程转包给他人或者肢解以后以分包的名义分别转包给他人，发包人有权解除合同。 </w:t>
      </w:r>
    </w:p>
    <w:p w14:paraId="5DEB6676">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47.</w:t>
      </w:r>
      <w:r>
        <w:rPr>
          <w:rFonts w:ascii="宋体" w:hAnsi="宋体" w:cs="宋体"/>
          <w:color w:val="auto"/>
          <w:spacing w:val="1"/>
          <w:kern w:val="0"/>
          <w:sz w:val="24"/>
          <w:highlight w:val="none"/>
        </w:rPr>
        <w:t>3</w:t>
      </w:r>
      <w:r>
        <w:rPr>
          <w:rFonts w:hint="eastAsia" w:ascii="宋体" w:hAnsi="宋体" w:cs="宋体"/>
          <w:color w:val="auto"/>
          <w:spacing w:val="1"/>
          <w:kern w:val="0"/>
          <w:sz w:val="24"/>
          <w:highlight w:val="none"/>
        </w:rPr>
        <w:t xml:space="preserve"> 有下列情形之一的，发包人承包人可以解除合同： </w:t>
      </w:r>
    </w:p>
    <w:p w14:paraId="2AC6A1CC">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（1）因不可抗力致使合同无法履行； </w:t>
      </w:r>
    </w:p>
    <w:p w14:paraId="2139DC4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（2）因一方违约（包括因发包人原因造成工程停建或缓建）致使合同无法履行。 </w:t>
      </w:r>
    </w:p>
    <w:p w14:paraId="43C4B9C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47.</w:t>
      </w:r>
      <w:r>
        <w:rPr>
          <w:rFonts w:ascii="宋体" w:hAnsi="宋体" w:cs="宋体"/>
          <w:color w:val="auto"/>
          <w:spacing w:val="1"/>
          <w:kern w:val="0"/>
          <w:sz w:val="24"/>
          <w:highlight w:val="none"/>
        </w:rPr>
        <w:t>4</w:t>
      </w:r>
      <w:r>
        <w:rPr>
          <w:rFonts w:hint="eastAsia" w:ascii="宋体" w:hAnsi="宋体" w:cs="宋体"/>
          <w:color w:val="auto"/>
          <w:spacing w:val="1"/>
          <w:kern w:val="0"/>
          <w:sz w:val="24"/>
          <w:highlight w:val="none"/>
        </w:rPr>
        <w:t xml:space="preserve"> 一方依据4</w:t>
      </w:r>
      <w:r>
        <w:rPr>
          <w:rFonts w:hint="eastAsia" w:ascii="宋体" w:hAnsi="宋体" w:cs="宋体"/>
          <w:color w:val="auto"/>
          <w:spacing w:val="1"/>
          <w:kern w:val="0"/>
          <w:sz w:val="24"/>
          <w:highlight w:val="none"/>
          <w:lang w:val="en-US" w:eastAsia="zh-CN"/>
        </w:rPr>
        <w:t>7</w:t>
      </w: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1</w:t>
      </w:r>
      <w:r>
        <w:rPr>
          <w:rFonts w:hint="eastAsia" w:ascii="宋体" w:hAnsi="宋体" w:cs="宋体"/>
          <w:color w:val="auto"/>
          <w:spacing w:val="1"/>
          <w:kern w:val="0"/>
          <w:sz w:val="24"/>
          <w:highlight w:val="none"/>
        </w:rPr>
        <w:t>、4</w:t>
      </w:r>
      <w:r>
        <w:rPr>
          <w:rFonts w:hint="eastAsia" w:ascii="宋体" w:hAnsi="宋体" w:cs="宋体"/>
          <w:color w:val="auto"/>
          <w:spacing w:val="1"/>
          <w:kern w:val="0"/>
          <w:sz w:val="24"/>
          <w:highlight w:val="none"/>
          <w:lang w:val="en-US" w:eastAsia="zh-CN"/>
        </w:rPr>
        <w:t>7</w:t>
      </w: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2</w:t>
      </w:r>
      <w:r>
        <w:rPr>
          <w:rFonts w:hint="eastAsia" w:ascii="宋体" w:hAnsi="宋体" w:cs="宋体"/>
          <w:color w:val="auto"/>
          <w:spacing w:val="1"/>
          <w:kern w:val="0"/>
          <w:sz w:val="24"/>
          <w:highlight w:val="none"/>
        </w:rPr>
        <w:t>、4</w:t>
      </w:r>
      <w:r>
        <w:rPr>
          <w:rFonts w:hint="eastAsia" w:ascii="宋体" w:hAnsi="宋体" w:cs="宋体"/>
          <w:color w:val="auto"/>
          <w:spacing w:val="1"/>
          <w:kern w:val="0"/>
          <w:sz w:val="24"/>
          <w:highlight w:val="none"/>
          <w:lang w:val="en-US" w:eastAsia="zh-CN"/>
        </w:rPr>
        <w:t>7</w:t>
      </w:r>
      <w:r>
        <w:rPr>
          <w:rFonts w:hint="eastAsia" w:ascii="宋体" w:hAnsi="宋体" w:cs="宋体"/>
          <w:color w:val="auto"/>
          <w:spacing w:val="1"/>
          <w:kern w:val="0"/>
          <w:sz w:val="24"/>
          <w:highlight w:val="none"/>
        </w:rPr>
        <w:t>.</w:t>
      </w:r>
      <w:r>
        <w:rPr>
          <w:rFonts w:ascii="宋体" w:hAnsi="宋体" w:cs="宋体"/>
          <w:color w:val="auto"/>
          <w:spacing w:val="1"/>
          <w:kern w:val="0"/>
          <w:sz w:val="24"/>
          <w:highlight w:val="none"/>
        </w:rPr>
        <w:t>3</w:t>
      </w:r>
      <w:r>
        <w:rPr>
          <w:rFonts w:hint="eastAsia" w:ascii="宋体" w:hAnsi="宋体" w:cs="宋体"/>
          <w:color w:val="auto"/>
          <w:spacing w:val="1"/>
          <w:kern w:val="0"/>
          <w:sz w:val="24"/>
          <w:highlight w:val="none"/>
        </w:rPr>
        <w:t>款约定要求解除合同的，应以书面形式向对方发出解除合同的通知，并在发出通知前7天告知对方，通知到达对方时合同解除。对解除合同有争议的，按本通用条款第</w:t>
      </w:r>
      <w:r>
        <w:rPr>
          <w:rFonts w:hint="eastAsia" w:ascii="宋体" w:hAnsi="宋体" w:cs="宋体"/>
          <w:color w:val="auto"/>
          <w:spacing w:val="1"/>
          <w:kern w:val="0"/>
          <w:sz w:val="24"/>
          <w:highlight w:val="none"/>
          <w:lang w:val="en-US" w:eastAsia="zh-CN"/>
        </w:rPr>
        <w:t>40</w:t>
      </w:r>
      <w:r>
        <w:rPr>
          <w:rFonts w:hint="eastAsia" w:ascii="宋体" w:hAnsi="宋体" w:cs="宋体"/>
          <w:color w:val="auto"/>
          <w:spacing w:val="1"/>
          <w:kern w:val="0"/>
          <w:sz w:val="24"/>
          <w:highlight w:val="none"/>
        </w:rPr>
        <w:t xml:space="preserve">条关于争议的约定处理。 </w:t>
      </w:r>
    </w:p>
    <w:p w14:paraId="6D18F324">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47.</w:t>
      </w:r>
      <w:r>
        <w:rPr>
          <w:rFonts w:ascii="宋体" w:hAnsi="宋体" w:cs="宋体"/>
          <w:color w:val="auto"/>
          <w:spacing w:val="1"/>
          <w:kern w:val="0"/>
          <w:sz w:val="24"/>
          <w:highlight w:val="none"/>
        </w:rPr>
        <w:t>5</w:t>
      </w:r>
      <w:r>
        <w:rPr>
          <w:rFonts w:hint="eastAsia" w:ascii="宋体" w:hAnsi="宋体" w:cs="宋体"/>
          <w:color w:val="auto"/>
          <w:spacing w:val="1"/>
          <w:kern w:val="0"/>
          <w:sz w:val="24"/>
          <w:highlight w:val="none"/>
        </w:rPr>
        <w:t xml:space="preserve">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责任方承担，因未及时退货造成的损失由责任方承担。除此之外，有过错的一方应当赔偿因合同解除给对方造成的损失。 </w:t>
      </w:r>
    </w:p>
    <w:p w14:paraId="7134AE13">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47.</w:t>
      </w:r>
      <w:r>
        <w:rPr>
          <w:rFonts w:ascii="宋体" w:hAnsi="宋体" w:cs="宋体"/>
          <w:color w:val="auto"/>
          <w:spacing w:val="1"/>
          <w:kern w:val="0"/>
          <w:sz w:val="24"/>
          <w:highlight w:val="none"/>
        </w:rPr>
        <w:t>6</w:t>
      </w:r>
      <w:r>
        <w:rPr>
          <w:rFonts w:hint="eastAsia" w:ascii="宋体" w:hAnsi="宋体" w:cs="宋体"/>
          <w:color w:val="auto"/>
          <w:spacing w:val="1"/>
          <w:kern w:val="0"/>
          <w:sz w:val="24"/>
          <w:highlight w:val="none"/>
        </w:rPr>
        <w:t xml:space="preserve"> 合同解除后，不影响双方在合同中约定的结算和清理条款的效力。 </w:t>
      </w:r>
    </w:p>
    <w:p w14:paraId="0D0714CD">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4</w:t>
      </w:r>
      <w:r>
        <w:rPr>
          <w:rFonts w:hint="eastAsia" w:ascii="宋体" w:hAnsi="宋体" w:cs="宋体"/>
          <w:b/>
          <w:bCs/>
          <w:color w:val="auto"/>
          <w:spacing w:val="1"/>
          <w:kern w:val="0"/>
          <w:sz w:val="24"/>
          <w:highlight w:val="none"/>
        </w:rPr>
        <w:t>8</w:t>
      </w:r>
      <w:r>
        <w:rPr>
          <w:rFonts w:ascii="宋体" w:hAnsi="宋体" w:cs="宋体"/>
          <w:b/>
          <w:bCs/>
          <w:color w:val="auto"/>
          <w:spacing w:val="1"/>
          <w:kern w:val="0"/>
          <w:sz w:val="24"/>
          <w:highlight w:val="none"/>
        </w:rPr>
        <w:t xml:space="preserve">.合同生效与终止 </w:t>
      </w:r>
    </w:p>
    <w:p w14:paraId="63B5C6BA">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48.1 双方在协议书中约定合同生效方式。 </w:t>
      </w:r>
    </w:p>
    <w:p w14:paraId="4F95A7A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48.2 除本通用条款第34条外，发包人承包人履行合同全部义务，竣工结算价款支付完毕，承包人向发包人交付竣工工程后，本合同即告终止。 </w:t>
      </w:r>
    </w:p>
    <w:p w14:paraId="3B4CD86E">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48.3 合同的权利义务终止后，发包人承包人应当遵循诚实信用原则，履行通知、协助、保密等义务。</w:t>
      </w:r>
    </w:p>
    <w:p w14:paraId="0E17C0FE">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4</w:t>
      </w:r>
      <w:r>
        <w:rPr>
          <w:rFonts w:hint="eastAsia" w:ascii="宋体" w:hAnsi="宋体" w:cs="宋体"/>
          <w:b/>
          <w:bCs/>
          <w:color w:val="auto"/>
          <w:spacing w:val="1"/>
          <w:kern w:val="0"/>
          <w:sz w:val="24"/>
          <w:highlight w:val="none"/>
        </w:rPr>
        <w:t>9</w:t>
      </w:r>
      <w:r>
        <w:rPr>
          <w:rFonts w:ascii="宋体" w:hAnsi="宋体" w:cs="宋体"/>
          <w:b/>
          <w:bCs/>
          <w:color w:val="auto"/>
          <w:spacing w:val="1"/>
          <w:kern w:val="0"/>
          <w:sz w:val="24"/>
          <w:highlight w:val="none"/>
        </w:rPr>
        <w:t xml:space="preserve">.合同份数 </w:t>
      </w:r>
    </w:p>
    <w:p w14:paraId="40537942">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49.1 本合同正本两份，具有同等效力，由发包人承包人分别保存一份。 </w:t>
      </w:r>
    </w:p>
    <w:p w14:paraId="5D5FC08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49.2 本合同副本份数，由双方根据需要在专用条款内约定。 </w:t>
      </w:r>
    </w:p>
    <w:p w14:paraId="3D69D5EE">
      <w:pPr>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hint="eastAsia" w:ascii="宋体" w:hAnsi="宋体" w:cs="宋体"/>
          <w:b/>
          <w:bCs/>
          <w:color w:val="auto"/>
          <w:spacing w:val="1"/>
          <w:kern w:val="0"/>
          <w:sz w:val="24"/>
          <w:highlight w:val="none"/>
        </w:rPr>
        <w:t>50</w:t>
      </w:r>
      <w:r>
        <w:rPr>
          <w:rFonts w:ascii="宋体" w:hAnsi="宋体" w:cs="宋体"/>
          <w:b/>
          <w:bCs/>
          <w:color w:val="auto"/>
          <w:spacing w:val="1"/>
          <w:kern w:val="0"/>
          <w:sz w:val="24"/>
          <w:highlight w:val="none"/>
        </w:rPr>
        <w:t xml:space="preserve">.补充条款 </w:t>
      </w:r>
    </w:p>
    <w:p w14:paraId="2040F1F7">
      <w:pPr>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 xml:space="preserve">双方根据有关法律、行政法规规定，结合工程实际经协商一致后，可对本通用条款内容具体化、补充或修改，在专用条款内约定。 </w:t>
      </w:r>
    </w:p>
    <w:p w14:paraId="768F56C9">
      <w:pPr>
        <w:autoSpaceDE w:val="0"/>
        <w:autoSpaceDN w:val="0"/>
        <w:adjustRightInd w:val="0"/>
        <w:spacing w:line="360" w:lineRule="auto"/>
        <w:ind w:right="-106"/>
        <w:rPr>
          <w:rFonts w:ascii="宋体" w:hAnsi="宋体" w:cs="宋体"/>
          <w:color w:val="auto"/>
          <w:spacing w:val="1"/>
          <w:kern w:val="0"/>
          <w:sz w:val="24"/>
          <w:highlight w:val="none"/>
        </w:rPr>
      </w:pPr>
    </w:p>
    <w:p w14:paraId="740156DA">
      <w:pPr>
        <w:autoSpaceDE w:val="0"/>
        <w:autoSpaceDN w:val="0"/>
        <w:adjustRightInd w:val="0"/>
        <w:spacing w:line="360" w:lineRule="auto"/>
        <w:ind w:right="-106"/>
        <w:rPr>
          <w:rFonts w:ascii="宋体" w:hAnsi="宋体" w:cs="宋体"/>
          <w:color w:val="auto"/>
          <w:spacing w:val="1"/>
          <w:kern w:val="0"/>
          <w:sz w:val="24"/>
          <w:highlight w:val="none"/>
        </w:rPr>
      </w:pPr>
    </w:p>
    <w:p w14:paraId="726DD05E">
      <w:pPr>
        <w:autoSpaceDE w:val="0"/>
        <w:autoSpaceDN w:val="0"/>
        <w:adjustRightInd w:val="0"/>
        <w:spacing w:line="360" w:lineRule="auto"/>
        <w:ind w:right="-106"/>
        <w:rPr>
          <w:rFonts w:ascii="宋体" w:hAnsi="宋体" w:cs="宋体"/>
          <w:color w:val="auto"/>
          <w:spacing w:val="1"/>
          <w:kern w:val="0"/>
          <w:sz w:val="24"/>
          <w:highlight w:val="none"/>
        </w:rPr>
      </w:pPr>
    </w:p>
    <w:p w14:paraId="7735D0FA">
      <w:pPr>
        <w:autoSpaceDE w:val="0"/>
        <w:autoSpaceDN w:val="0"/>
        <w:adjustRightInd w:val="0"/>
        <w:spacing w:line="360" w:lineRule="auto"/>
        <w:ind w:right="-106"/>
        <w:rPr>
          <w:rFonts w:ascii="宋体" w:hAnsi="宋体" w:cs="宋体"/>
          <w:color w:val="auto"/>
          <w:spacing w:val="1"/>
          <w:kern w:val="0"/>
          <w:sz w:val="24"/>
          <w:highlight w:val="none"/>
        </w:rPr>
      </w:pPr>
    </w:p>
    <w:p w14:paraId="18017731">
      <w:pPr>
        <w:autoSpaceDE w:val="0"/>
        <w:autoSpaceDN w:val="0"/>
        <w:adjustRightInd w:val="0"/>
        <w:spacing w:line="360" w:lineRule="auto"/>
        <w:ind w:right="-106"/>
        <w:rPr>
          <w:rFonts w:ascii="宋体" w:hAnsi="宋体" w:cs="宋体"/>
          <w:color w:val="auto"/>
          <w:spacing w:val="1"/>
          <w:kern w:val="0"/>
          <w:sz w:val="24"/>
          <w:highlight w:val="none"/>
        </w:rPr>
      </w:pPr>
    </w:p>
    <w:p w14:paraId="193714A7">
      <w:pPr>
        <w:autoSpaceDE w:val="0"/>
        <w:autoSpaceDN w:val="0"/>
        <w:adjustRightInd w:val="0"/>
        <w:spacing w:line="360" w:lineRule="auto"/>
        <w:ind w:right="-106"/>
        <w:rPr>
          <w:rFonts w:ascii="宋体" w:hAnsi="宋体" w:cs="宋体"/>
          <w:color w:val="auto"/>
          <w:spacing w:val="1"/>
          <w:kern w:val="0"/>
          <w:sz w:val="24"/>
          <w:highlight w:val="none"/>
        </w:rPr>
      </w:pPr>
    </w:p>
    <w:p w14:paraId="7E37E09B">
      <w:pPr>
        <w:autoSpaceDE w:val="0"/>
        <w:autoSpaceDN w:val="0"/>
        <w:adjustRightInd w:val="0"/>
        <w:spacing w:line="360" w:lineRule="auto"/>
        <w:ind w:right="-106"/>
        <w:rPr>
          <w:rFonts w:ascii="宋体" w:hAnsi="宋体" w:cs="宋体"/>
          <w:color w:val="auto"/>
          <w:spacing w:val="1"/>
          <w:kern w:val="0"/>
          <w:sz w:val="24"/>
          <w:highlight w:val="none"/>
        </w:rPr>
      </w:pPr>
    </w:p>
    <w:p w14:paraId="519727D1">
      <w:pPr>
        <w:autoSpaceDE w:val="0"/>
        <w:autoSpaceDN w:val="0"/>
        <w:adjustRightInd w:val="0"/>
        <w:spacing w:line="360" w:lineRule="auto"/>
        <w:ind w:right="-106"/>
        <w:rPr>
          <w:rFonts w:ascii="宋体" w:hAnsi="宋体" w:cs="宋体"/>
          <w:color w:val="auto"/>
          <w:spacing w:val="1"/>
          <w:kern w:val="0"/>
          <w:sz w:val="24"/>
          <w:highlight w:val="none"/>
        </w:rPr>
      </w:pPr>
    </w:p>
    <w:p w14:paraId="4636A281">
      <w:pPr>
        <w:autoSpaceDE w:val="0"/>
        <w:autoSpaceDN w:val="0"/>
        <w:adjustRightInd w:val="0"/>
        <w:spacing w:line="360" w:lineRule="auto"/>
        <w:ind w:right="-106"/>
        <w:rPr>
          <w:rFonts w:ascii="宋体" w:hAnsi="宋体" w:cs="宋体"/>
          <w:color w:val="auto"/>
          <w:spacing w:val="1"/>
          <w:kern w:val="0"/>
          <w:sz w:val="24"/>
          <w:highlight w:val="none"/>
        </w:rPr>
      </w:pPr>
    </w:p>
    <w:p w14:paraId="02FC366E">
      <w:pPr>
        <w:autoSpaceDE w:val="0"/>
        <w:autoSpaceDN w:val="0"/>
        <w:adjustRightInd w:val="0"/>
        <w:spacing w:line="360" w:lineRule="auto"/>
        <w:ind w:right="-106"/>
        <w:rPr>
          <w:rFonts w:ascii="宋体" w:hAnsi="宋体" w:cs="宋体"/>
          <w:color w:val="auto"/>
          <w:spacing w:val="1"/>
          <w:kern w:val="0"/>
          <w:sz w:val="24"/>
          <w:highlight w:val="none"/>
        </w:rPr>
      </w:pPr>
    </w:p>
    <w:p w14:paraId="295EA47C">
      <w:pPr>
        <w:autoSpaceDE w:val="0"/>
        <w:autoSpaceDN w:val="0"/>
        <w:adjustRightInd w:val="0"/>
        <w:spacing w:line="360" w:lineRule="auto"/>
        <w:ind w:right="-106"/>
        <w:rPr>
          <w:rFonts w:ascii="宋体" w:hAnsi="宋体" w:cs="宋体"/>
          <w:color w:val="auto"/>
          <w:spacing w:val="1"/>
          <w:kern w:val="0"/>
          <w:sz w:val="24"/>
          <w:highlight w:val="none"/>
        </w:rPr>
      </w:pPr>
    </w:p>
    <w:p w14:paraId="758D8DF1">
      <w:pPr>
        <w:autoSpaceDE w:val="0"/>
        <w:autoSpaceDN w:val="0"/>
        <w:adjustRightInd w:val="0"/>
        <w:spacing w:line="360" w:lineRule="auto"/>
        <w:ind w:right="-106"/>
        <w:rPr>
          <w:rFonts w:ascii="宋体" w:hAnsi="宋体" w:cs="宋体"/>
          <w:color w:val="auto"/>
          <w:spacing w:val="1"/>
          <w:kern w:val="0"/>
          <w:sz w:val="24"/>
          <w:highlight w:val="none"/>
        </w:rPr>
      </w:pPr>
    </w:p>
    <w:p w14:paraId="448245A2">
      <w:pPr>
        <w:autoSpaceDE w:val="0"/>
        <w:autoSpaceDN w:val="0"/>
        <w:adjustRightInd w:val="0"/>
        <w:spacing w:line="360" w:lineRule="auto"/>
        <w:ind w:right="-106"/>
        <w:rPr>
          <w:rFonts w:ascii="宋体" w:hAnsi="宋体" w:cs="宋体"/>
          <w:color w:val="auto"/>
          <w:spacing w:val="1"/>
          <w:kern w:val="0"/>
          <w:sz w:val="24"/>
          <w:highlight w:val="none"/>
        </w:rPr>
      </w:pPr>
    </w:p>
    <w:p w14:paraId="032F55AF">
      <w:pPr>
        <w:autoSpaceDE w:val="0"/>
        <w:autoSpaceDN w:val="0"/>
        <w:adjustRightInd w:val="0"/>
        <w:spacing w:line="360" w:lineRule="auto"/>
        <w:ind w:right="-106"/>
        <w:rPr>
          <w:rFonts w:ascii="宋体" w:hAnsi="宋体" w:cs="宋体"/>
          <w:color w:val="auto"/>
          <w:spacing w:val="1"/>
          <w:kern w:val="0"/>
          <w:sz w:val="24"/>
          <w:highlight w:val="none"/>
        </w:rPr>
      </w:pPr>
    </w:p>
    <w:p w14:paraId="1A79CD50">
      <w:pPr>
        <w:autoSpaceDE w:val="0"/>
        <w:autoSpaceDN w:val="0"/>
        <w:adjustRightInd w:val="0"/>
        <w:spacing w:line="360" w:lineRule="auto"/>
        <w:ind w:right="-106"/>
        <w:rPr>
          <w:rFonts w:ascii="宋体" w:hAnsi="宋体" w:cs="宋体"/>
          <w:color w:val="auto"/>
          <w:spacing w:val="1"/>
          <w:kern w:val="0"/>
          <w:sz w:val="24"/>
          <w:highlight w:val="none"/>
        </w:rPr>
      </w:pPr>
    </w:p>
    <w:p w14:paraId="1C4B6E04">
      <w:pPr>
        <w:autoSpaceDE w:val="0"/>
        <w:autoSpaceDN w:val="0"/>
        <w:adjustRightInd w:val="0"/>
        <w:spacing w:line="360" w:lineRule="auto"/>
        <w:ind w:right="-106"/>
        <w:rPr>
          <w:rFonts w:ascii="宋体" w:hAnsi="宋体" w:cs="宋体"/>
          <w:color w:val="auto"/>
          <w:spacing w:val="1"/>
          <w:kern w:val="0"/>
          <w:sz w:val="24"/>
          <w:highlight w:val="none"/>
        </w:rPr>
      </w:pPr>
    </w:p>
    <w:p w14:paraId="61DA6C10">
      <w:pPr>
        <w:autoSpaceDE w:val="0"/>
        <w:autoSpaceDN w:val="0"/>
        <w:adjustRightInd w:val="0"/>
        <w:spacing w:line="360" w:lineRule="auto"/>
        <w:ind w:right="-106"/>
        <w:rPr>
          <w:rFonts w:ascii="宋体" w:hAnsi="宋体" w:cs="宋体"/>
          <w:color w:val="auto"/>
          <w:spacing w:val="1"/>
          <w:kern w:val="0"/>
          <w:sz w:val="24"/>
          <w:highlight w:val="none"/>
        </w:rPr>
      </w:pPr>
    </w:p>
    <w:p w14:paraId="64BB0FB5">
      <w:pPr>
        <w:autoSpaceDE w:val="0"/>
        <w:autoSpaceDN w:val="0"/>
        <w:adjustRightInd w:val="0"/>
        <w:spacing w:line="360" w:lineRule="auto"/>
        <w:ind w:right="-106"/>
        <w:rPr>
          <w:rFonts w:ascii="宋体" w:hAnsi="宋体" w:cs="宋体"/>
          <w:color w:val="auto"/>
          <w:spacing w:val="1"/>
          <w:kern w:val="0"/>
          <w:sz w:val="24"/>
          <w:highlight w:val="none"/>
        </w:rPr>
      </w:pPr>
    </w:p>
    <w:p w14:paraId="79DFAAFE">
      <w:pPr>
        <w:autoSpaceDE w:val="0"/>
        <w:autoSpaceDN w:val="0"/>
        <w:adjustRightInd w:val="0"/>
        <w:spacing w:line="360" w:lineRule="auto"/>
        <w:ind w:right="-106"/>
        <w:rPr>
          <w:rFonts w:ascii="宋体" w:hAnsi="宋体" w:cs="宋体"/>
          <w:color w:val="auto"/>
          <w:spacing w:val="1"/>
          <w:kern w:val="0"/>
          <w:sz w:val="24"/>
          <w:highlight w:val="none"/>
        </w:rPr>
      </w:pPr>
    </w:p>
    <w:p w14:paraId="14AFD46D">
      <w:pPr>
        <w:pStyle w:val="3"/>
        <w:jc w:val="center"/>
        <w:rPr>
          <w:b w:val="0"/>
          <w:bCs w:val="0"/>
          <w:color w:val="auto"/>
          <w:sz w:val="36"/>
          <w:szCs w:val="36"/>
          <w:highlight w:val="none"/>
        </w:rPr>
      </w:pPr>
      <w:bookmarkStart w:id="42" w:name="_Toc91851340"/>
      <w:bookmarkStart w:id="43" w:name="_Toc468180412"/>
      <w:bookmarkStart w:id="44" w:name="_Toc465762477"/>
      <w:r>
        <w:rPr>
          <w:rFonts w:hint="eastAsia"/>
          <w:b w:val="0"/>
          <w:bCs w:val="0"/>
          <w:color w:val="auto"/>
          <w:sz w:val="36"/>
          <w:szCs w:val="36"/>
          <w:highlight w:val="none"/>
        </w:rPr>
        <w:t>第三部分 专用条款</w:t>
      </w:r>
      <w:bookmarkEnd w:id="42"/>
      <w:bookmarkEnd w:id="43"/>
      <w:bookmarkEnd w:id="44"/>
    </w:p>
    <w:p w14:paraId="387520B5">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一、词语定义及合同文件</w:t>
      </w:r>
    </w:p>
    <w:p w14:paraId="007481B2">
      <w:pPr>
        <w:tabs>
          <w:tab w:val="left" w:pos="142"/>
          <w:tab w:val="left" w:pos="284"/>
        </w:tabs>
        <w:snapToGrid w:val="0"/>
        <w:spacing w:line="360" w:lineRule="auto"/>
        <w:ind w:firstLine="482" w:firstLineChars="200"/>
        <w:rPr>
          <w:rFonts w:ascii="宋体" w:hAnsi="宋体" w:cs="仿宋_GB2312"/>
          <w:color w:val="auto"/>
          <w:sz w:val="24"/>
          <w:highlight w:val="none"/>
        </w:rPr>
      </w:pPr>
      <w:r>
        <w:rPr>
          <w:rFonts w:ascii="宋体" w:hAnsi="宋体" w:cs="仿宋_GB2312"/>
          <w:b/>
          <w:bCs/>
          <w:color w:val="auto"/>
          <w:sz w:val="24"/>
          <w:highlight w:val="none"/>
        </w:rPr>
        <w:t>1.</w:t>
      </w:r>
      <w:r>
        <w:rPr>
          <w:rFonts w:hint="eastAsia" w:ascii="宋体" w:hAnsi="宋体" w:cs="仿宋_GB2312"/>
          <w:b/>
          <w:bCs/>
          <w:color w:val="auto"/>
          <w:sz w:val="24"/>
          <w:highlight w:val="none"/>
        </w:rPr>
        <w:t>词语定义</w:t>
      </w:r>
    </w:p>
    <w:p w14:paraId="10A03726">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1.1 中标价格：指中标通知书中列明的，发包人接受中标人（承包人）实施、完成并保修合同工程的价格。</w:t>
      </w:r>
    </w:p>
    <w:p w14:paraId="6D706A18">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 xml:space="preserve"> 基准日期：本工程投标截止日期前第28天，即【  】年【  】月【  】日。</w:t>
      </w:r>
    </w:p>
    <w:p w14:paraId="67283795">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3</w:t>
      </w:r>
      <w:r>
        <w:rPr>
          <w:rFonts w:hint="eastAsia" w:ascii="宋体" w:hAnsi="宋体"/>
          <w:color w:val="auto"/>
          <w:sz w:val="24"/>
          <w:szCs w:val="24"/>
          <w:highlight w:val="none"/>
        </w:rPr>
        <w:t xml:space="preserve"> 项目措施费：指为实施、完成并保修合同工程，发生于合同工程施工前期和施工过程中技术、生活、安全等方面的非工程实体项目费。</w:t>
      </w:r>
    </w:p>
    <w:p w14:paraId="4F3375DA">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w:t>
      </w:r>
      <w:r>
        <w:rPr>
          <w:rFonts w:hint="eastAsia"/>
          <w:color w:val="auto"/>
          <w:highlight w:val="none"/>
          <w:lang w:val="en-US" w:eastAsia="zh-CN"/>
        </w:rPr>
        <w:t>最高投标限价</w:t>
      </w:r>
      <w:r>
        <w:rPr>
          <w:rFonts w:hint="eastAsia" w:ascii="宋体" w:hAnsi="宋体"/>
          <w:color w:val="auto"/>
          <w:sz w:val="24"/>
          <w:szCs w:val="24"/>
          <w:highlight w:val="none"/>
        </w:rPr>
        <w:t>：指发包人</w:t>
      </w:r>
      <w:r>
        <w:rPr>
          <w:rFonts w:hint="eastAsia" w:ascii="宋体" w:hAnsi="宋体"/>
          <w:color w:val="auto"/>
          <w:sz w:val="24"/>
          <w:szCs w:val="24"/>
          <w:highlight w:val="none"/>
          <w:lang w:val="en-US" w:eastAsia="zh-CN"/>
        </w:rPr>
        <w:t>根据国家法律法规及相关标准、建设主管部门的有关规定，以及拟定的招标文件和招标工程量清单，并结合工程实际情况，限定投标人投标报价的最高价格</w:t>
      </w:r>
      <w:r>
        <w:rPr>
          <w:rFonts w:hint="eastAsia" w:ascii="宋体" w:hAnsi="宋体"/>
          <w:color w:val="auto"/>
          <w:sz w:val="24"/>
          <w:szCs w:val="24"/>
          <w:highlight w:val="none"/>
        </w:rPr>
        <w:t>。</w:t>
      </w:r>
    </w:p>
    <w:p w14:paraId="043CF900">
      <w:pPr>
        <w:tabs>
          <w:tab w:val="left" w:pos="142"/>
          <w:tab w:val="left" w:pos="284"/>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投标下浮率：指</w:t>
      </w:r>
      <w:r>
        <w:rPr>
          <w:rFonts w:hint="eastAsia"/>
          <w:color w:val="auto"/>
          <w:highlight w:val="none"/>
          <w:lang w:val="en-US" w:eastAsia="zh-CN"/>
        </w:rPr>
        <w:t>最高投标限价</w:t>
      </w:r>
      <w:r>
        <w:rPr>
          <w:rFonts w:hint="eastAsia" w:ascii="宋体" w:hAnsi="宋体"/>
          <w:color w:val="auto"/>
          <w:sz w:val="24"/>
          <w:szCs w:val="24"/>
          <w:highlight w:val="none"/>
        </w:rPr>
        <w:t>与投标人的投标报价之差和</w:t>
      </w:r>
      <w:r>
        <w:rPr>
          <w:rFonts w:hint="eastAsia"/>
          <w:color w:val="auto"/>
          <w:highlight w:val="none"/>
          <w:lang w:val="en-US" w:eastAsia="zh-CN"/>
        </w:rPr>
        <w:t>最高投标限价</w:t>
      </w:r>
      <w:r>
        <w:rPr>
          <w:rFonts w:hint="eastAsia" w:ascii="宋体" w:hAnsi="宋体"/>
          <w:color w:val="auto"/>
          <w:sz w:val="24"/>
          <w:szCs w:val="24"/>
          <w:highlight w:val="none"/>
        </w:rPr>
        <w:t>的比值，即投标人投标下浮率=（1-投标报价÷</w:t>
      </w:r>
      <w:r>
        <w:rPr>
          <w:rFonts w:hint="eastAsia"/>
          <w:color w:val="auto"/>
          <w:highlight w:val="none"/>
          <w:lang w:val="en-US" w:eastAsia="zh-CN"/>
        </w:rPr>
        <w:t>最高投标限价</w:t>
      </w:r>
      <w:r>
        <w:rPr>
          <w:rFonts w:hint="eastAsia" w:ascii="宋体" w:hAnsi="宋体"/>
          <w:color w:val="auto"/>
          <w:sz w:val="24"/>
          <w:szCs w:val="24"/>
          <w:highlight w:val="none"/>
        </w:rPr>
        <w:t>）×100%</w:t>
      </w:r>
      <w:r>
        <w:rPr>
          <w:rFonts w:ascii="宋体" w:hAnsi="宋体"/>
          <w:color w:val="auto"/>
          <w:sz w:val="24"/>
          <w:szCs w:val="24"/>
          <w:highlight w:val="none"/>
        </w:rPr>
        <w:t xml:space="preserve"> </w:t>
      </w:r>
    </w:p>
    <w:p w14:paraId="710DF5F6">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 项目设计单位：</w:t>
      </w:r>
      <w:r>
        <w:rPr>
          <w:rFonts w:hint="eastAsia" w:ascii="宋体" w:hAnsi="宋体" w:cs="仿宋_GB2312"/>
          <w:color w:val="auto"/>
          <w:sz w:val="24"/>
          <w:highlight w:val="none"/>
          <w:u w:val="single"/>
        </w:rPr>
        <w:t xml:space="preserve"> 指</w:t>
      </w:r>
      <w:r>
        <w:rPr>
          <w:rFonts w:hint="eastAsia" w:ascii="宋体" w:hAnsi="宋体"/>
          <w:color w:val="auto"/>
          <w:sz w:val="24"/>
          <w:szCs w:val="24"/>
          <w:highlight w:val="none"/>
        </w:rPr>
        <w:t>本合同悦辰花园项目（原名：领隽城市花园项目）三期A区、B区及会所高低压配电工程的设计单位</w:t>
      </w:r>
      <w:r>
        <w:rPr>
          <w:rFonts w:hint="eastAsia" w:ascii="宋体" w:hAnsi="宋体" w:cs="仿宋_GB2312"/>
          <w:color w:val="auto"/>
          <w:sz w:val="24"/>
          <w:highlight w:val="none"/>
          <w:u w:val="single"/>
        </w:rPr>
        <w:t xml:space="preserve">深圳市华阳国际工程设计股份有限公司、广州固源电力工程设计有限公司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3FA1DE7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 项目监理单位是：</w:t>
      </w:r>
      <w:r>
        <w:rPr>
          <w:rFonts w:hint="eastAsia" w:ascii="宋体" w:hAnsi="宋体" w:cs="仿宋_GB2312"/>
          <w:color w:val="auto"/>
          <w:sz w:val="24"/>
          <w:highlight w:val="none"/>
          <w:u w:val="single"/>
        </w:rPr>
        <w:t xml:space="preserve"> 指</w:t>
      </w:r>
      <w:r>
        <w:rPr>
          <w:rFonts w:hint="eastAsia" w:ascii="宋体" w:hAnsi="宋体"/>
          <w:color w:val="auto"/>
          <w:sz w:val="24"/>
          <w:szCs w:val="24"/>
          <w:highlight w:val="none"/>
        </w:rPr>
        <w:t>本合同悦辰花园项目（原名：领隽城市花园项目）三期A区、B区及会所高低压配电工程的监理单位</w:t>
      </w:r>
      <w:r>
        <w:rPr>
          <w:rFonts w:hint="eastAsia" w:ascii="宋体" w:hAnsi="宋体" w:cs="仿宋_GB2312"/>
          <w:color w:val="auto"/>
          <w:sz w:val="24"/>
          <w:highlight w:val="none"/>
          <w:u w:val="single"/>
        </w:rPr>
        <w:t xml:space="preserve">广东工程建设监理有限公司 </w:t>
      </w:r>
      <w:r>
        <w:rPr>
          <w:rFonts w:ascii="宋体" w:hAnsi="宋体" w:cs="仿宋_GB2312"/>
          <w:color w:val="auto"/>
          <w:sz w:val="24"/>
          <w:highlight w:val="none"/>
          <w:u w:val="single"/>
        </w:rPr>
        <w:t xml:space="preserve"> </w:t>
      </w:r>
      <w:r>
        <w:rPr>
          <w:rFonts w:ascii="宋体" w:hAnsi="宋体"/>
          <w:color w:val="auto"/>
          <w:sz w:val="24"/>
          <w:szCs w:val="24"/>
          <w:highlight w:val="none"/>
        </w:rPr>
        <w:t xml:space="preserve"> 。</w:t>
      </w:r>
    </w:p>
    <w:p w14:paraId="3FE178D7">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8</w:t>
      </w:r>
      <w:r>
        <w:rPr>
          <w:rFonts w:hint="eastAsia" w:ascii="宋体" w:hAnsi="宋体" w:cs="仿宋_GB2312"/>
          <w:color w:val="auto"/>
          <w:sz w:val="24"/>
          <w:highlight w:val="none"/>
        </w:rPr>
        <w:t xml:space="preserve"> </w:t>
      </w:r>
      <w:r>
        <w:rPr>
          <w:rFonts w:hint="eastAsia" w:ascii="宋体" w:hAnsi="宋体"/>
          <w:color w:val="auto"/>
          <w:sz w:val="24"/>
          <w:szCs w:val="24"/>
          <w:highlight w:val="none"/>
          <w:lang w:bidi="ar"/>
        </w:rPr>
        <w:t>项目</w:t>
      </w:r>
      <w:r>
        <w:rPr>
          <w:rFonts w:hint="eastAsia" w:ascii="宋体" w:hAnsi="宋体" w:cs="仿宋_GB2312"/>
          <w:color w:val="auto"/>
          <w:sz w:val="24"/>
          <w:highlight w:val="none"/>
        </w:rPr>
        <w:t>总承包单位/</w:t>
      </w:r>
      <w:r>
        <w:rPr>
          <w:rFonts w:hint="eastAsia" w:ascii="宋体" w:hAnsi="宋体" w:cs="宋体"/>
          <w:color w:val="auto"/>
          <w:sz w:val="24"/>
          <w:highlight w:val="none"/>
        </w:rPr>
        <w:t>项目总承包施工管理单位</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指</w:t>
      </w:r>
      <w:r>
        <w:rPr>
          <w:rFonts w:hint="eastAsia" w:ascii="宋体" w:hAnsi="宋体"/>
          <w:color w:val="auto"/>
          <w:sz w:val="24"/>
          <w:szCs w:val="24"/>
          <w:highlight w:val="none"/>
          <w:lang w:bidi="ar"/>
        </w:rPr>
        <w:t>悦辰花园项目（原名：领隽城市花园项目）三期总承包单位</w:t>
      </w:r>
      <w:r>
        <w:rPr>
          <w:rFonts w:hint="eastAsia" w:ascii="宋体" w:hAnsi="宋体"/>
          <w:color w:val="auto"/>
          <w:sz w:val="24"/>
          <w:szCs w:val="24"/>
          <w:highlight w:val="none"/>
          <w:lang w:eastAsia="zh-CN" w:bidi="ar"/>
        </w:rPr>
        <w:t>（</w:t>
      </w:r>
      <w:r>
        <w:rPr>
          <w:rFonts w:hint="eastAsia" w:ascii="宋体" w:hAnsi="宋体" w:cs="仿宋_GB2312"/>
          <w:color w:val="auto"/>
          <w:sz w:val="24"/>
          <w:highlight w:val="none"/>
          <w:u w:val="single"/>
        </w:rPr>
        <w:t>主</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中国建筑第八工程局有限公司</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成</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 xml:space="preserve">中建三局第一建设工程有限责任公司 </w:t>
      </w:r>
      <w:r>
        <w:rPr>
          <w:rFonts w:hint="eastAsia" w:ascii="宋体" w:hAnsi="宋体" w:cs="仿宋_GB2312"/>
          <w:color w:val="auto"/>
          <w:sz w:val="24"/>
          <w:highlight w:val="none"/>
        </w:rPr>
        <w:t>。</w:t>
      </w:r>
    </w:p>
    <w:p w14:paraId="47E5AD9E">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2.</w:t>
      </w:r>
      <w:r>
        <w:rPr>
          <w:rFonts w:hint="eastAsia" w:ascii="宋体" w:hAnsi="宋体" w:cs="仿宋_GB2312"/>
          <w:b/>
          <w:color w:val="auto"/>
          <w:sz w:val="24"/>
          <w:highlight w:val="none"/>
        </w:rPr>
        <w:t>合同文件及解释顺序</w:t>
      </w:r>
    </w:p>
    <w:p w14:paraId="51425440">
      <w:pPr>
        <w:tabs>
          <w:tab w:val="left" w:pos="142"/>
          <w:tab w:val="left" w:pos="284"/>
        </w:tabs>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2.1</w:t>
      </w:r>
      <w:r>
        <w:rPr>
          <w:rFonts w:hint="eastAsia" w:ascii="宋体" w:hAnsi="宋体" w:cs="仿宋_GB2312"/>
          <w:color w:val="auto"/>
          <w:sz w:val="24"/>
          <w:highlight w:val="none"/>
        </w:rPr>
        <w:t>合同文件组成及解释顺序</w:t>
      </w:r>
    </w:p>
    <w:p w14:paraId="4CB68DC4">
      <w:pPr>
        <w:tabs>
          <w:tab w:val="left" w:pos="142"/>
          <w:tab w:val="left" w:pos="284"/>
        </w:tabs>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依照协议书第七条约定执行。</w:t>
      </w:r>
    </w:p>
    <w:p w14:paraId="12696B27">
      <w:pPr>
        <w:tabs>
          <w:tab w:val="left" w:pos="142"/>
          <w:tab w:val="left" w:pos="284"/>
        </w:tabs>
        <w:spacing w:line="360" w:lineRule="auto"/>
        <w:ind w:left="0"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3.</w:t>
      </w:r>
      <w:r>
        <w:rPr>
          <w:rFonts w:hint="eastAsia" w:ascii="宋体" w:hAnsi="宋体" w:cs="仿宋_GB2312"/>
          <w:b/>
          <w:color w:val="auto"/>
          <w:sz w:val="24"/>
          <w:highlight w:val="none"/>
        </w:rPr>
        <w:t>语言文字和适用法律、标准及规范</w:t>
      </w:r>
    </w:p>
    <w:p w14:paraId="71406D90">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 xml:space="preserve">3.1 </w:t>
      </w:r>
      <w:r>
        <w:rPr>
          <w:rFonts w:hint="eastAsia" w:ascii="宋体" w:hAnsi="宋体" w:cs="仿宋_GB2312"/>
          <w:color w:val="auto"/>
          <w:sz w:val="24"/>
          <w:highlight w:val="none"/>
        </w:rPr>
        <w:t>本合同除使用汉语外，还使用</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语言文字。</w:t>
      </w:r>
    </w:p>
    <w:p w14:paraId="4FB8289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ascii="宋体" w:hAnsi="宋体" w:cs="仿宋_GB2312"/>
          <w:color w:val="auto"/>
          <w:sz w:val="24"/>
          <w:highlight w:val="none"/>
        </w:rPr>
        <w:t xml:space="preserve">3.2 </w:t>
      </w:r>
      <w:r>
        <w:rPr>
          <w:rFonts w:hint="eastAsia" w:ascii="宋体" w:hAnsi="宋体" w:cs="仿宋_GB2312"/>
          <w:color w:val="auto"/>
          <w:sz w:val="24"/>
          <w:highlight w:val="none"/>
        </w:rPr>
        <w:t>适用法律和法规</w:t>
      </w:r>
    </w:p>
    <w:p w14:paraId="66F93B3C">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需要明示的法律、行政法规：现行的《中华人民共和国招标投标法》《中华人民共和国建筑法》《中华人民共和国民法典》合同编及其他相关法律法规。</w:t>
      </w:r>
    </w:p>
    <w:p w14:paraId="0262509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ascii="宋体" w:hAnsi="宋体" w:cs="仿宋_GB2312"/>
          <w:color w:val="auto"/>
          <w:sz w:val="24"/>
          <w:highlight w:val="none"/>
        </w:rPr>
        <w:t xml:space="preserve">3.3 </w:t>
      </w:r>
      <w:r>
        <w:rPr>
          <w:rFonts w:hint="eastAsia" w:ascii="宋体" w:hAnsi="宋体" w:cs="仿宋_GB2312"/>
          <w:color w:val="auto"/>
          <w:sz w:val="24"/>
          <w:highlight w:val="none"/>
        </w:rPr>
        <w:t>适用标准、规范</w:t>
      </w:r>
    </w:p>
    <w:p w14:paraId="10BAFBB1">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适用标准、规范的名称：</w:t>
      </w:r>
      <w:r>
        <w:rPr>
          <w:rFonts w:hint="eastAsia" w:ascii="宋体" w:hAnsi="宋体" w:cs="仿宋_GB2312"/>
          <w:color w:val="auto"/>
          <w:sz w:val="24"/>
          <w:highlight w:val="none"/>
          <w:u w:val="single"/>
        </w:rPr>
        <w:t xml:space="preserve">现行的国家、广东省、广州市、黄埔区的建设工程施工、验收规范和评定标准执行   </w:t>
      </w:r>
    </w:p>
    <w:p w14:paraId="70565D50">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发包人提供标准、规范的时间：</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3C46B6C1">
      <w:pPr>
        <w:tabs>
          <w:tab w:val="left" w:pos="142"/>
          <w:tab w:val="left" w:pos="284"/>
        </w:tabs>
        <w:snapToGrid w:val="0"/>
        <w:spacing w:line="360" w:lineRule="auto"/>
        <w:ind w:firstLine="480" w:firstLineChars="200"/>
        <w:rPr>
          <w:rFonts w:ascii="宋体" w:hAnsi="宋体" w:cs="仿宋_GB2312"/>
          <w:bCs/>
          <w:color w:val="auto"/>
          <w:sz w:val="24"/>
          <w:highlight w:val="none"/>
          <w:u w:val="single"/>
        </w:rPr>
      </w:pPr>
      <w:r>
        <w:rPr>
          <w:rFonts w:hint="eastAsia" w:ascii="宋体" w:hAnsi="宋体" w:cs="仿宋_GB2312"/>
          <w:color w:val="auto"/>
          <w:sz w:val="24"/>
          <w:highlight w:val="none"/>
        </w:rPr>
        <w:t>国内没有相应标准、规范时的约定：</w:t>
      </w:r>
      <w:r>
        <w:rPr>
          <w:rFonts w:hint="eastAsia" w:ascii="宋体" w:hAnsi="宋体" w:cs="仿宋_GB2312"/>
          <w:bCs/>
          <w:color w:val="auto"/>
          <w:sz w:val="24"/>
          <w:highlight w:val="none"/>
          <w:u w:val="single"/>
        </w:rPr>
        <w:t>按照施工图纸、招标文件、答疑纪要及发包人认可的要求执行。</w:t>
      </w:r>
    </w:p>
    <w:p w14:paraId="7FDDEB24">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3.4</w:t>
      </w:r>
      <w:r>
        <w:rPr>
          <w:rFonts w:ascii="宋体" w:hAnsi="宋体" w:cs="仿宋_GB2312"/>
          <w:color w:val="auto"/>
          <w:sz w:val="24"/>
          <w:highlight w:val="none"/>
        </w:rPr>
        <w:t xml:space="preserve"> </w:t>
      </w:r>
      <w:r>
        <w:rPr>
          <w:rFonts w:hint="eastAsia" w:ascii="宋体" w:hAnsi="宋体" w:cs="仿宋_GB2312"/>
          <w:color w:val="auto"/>
          <w:sz w:val="24"/>
          <w:highlight w:val="none"/>
        </w:rPr>
        <w:t>在合同执行期间，若国家对上述法律法规、标准或规范有更新版本，或出台新的与本工程有关的法律法规、标准或规范，则本合同适用上述法律法规、标准或规范的更新版本及国家新出台的与本工程有关的法律法规、标准及规范</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发包人明确同意按旧版本法律法规、标准或规范执行的除外。</w:t>
      </w:r>
    </w:p>
    <w:p w14:paraId="7F92CCE5">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4.</w:t>
      </w:r>
      <w:r>
        <w:rPr>
          <w:rFonts w:hint="eastAsia" w:ascii="宋体" w:hAnsi="宋体" w:cs="仿宋_GB2312"/>
          <w:b/>
          <w:color w:val="auto"/>
          <w:sz w:val="24"/>
          <w:highlight w:val="none"/>
        </w:rPr>
        <w:t>图纸</w:t>
      </w:r>
    </w:p>
    <w:p w14:paraId="3DCB60F5">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ascii="宋体" w:hAnsi="宋体" w:cs="仿宋_GB2312"/>
          <w:color w:val="auto"/>
          <w:sz w:val="24"/>
          <w:highlight w:val="none"/>
        </w:rPr>
        <w:t xml:space="preserve">4.1 </w:t>
      </w:r>
      <w:r>
        <w:rPr>
          <w:rFonts w:hint="eastAsia" w:ascii="宋体" w:hAnsi="宋体" w:cs="仿宋_GB2312"/>
          <w:color w:val="auto"/>
          <w:sz w:val="24"/>
          <w:highlight w:val="none"/>
        </w:rPr>
        <w:t>发包人向承包人提供图纸日期和套数：</w:t>
      </w:r>
      <w:r>
        <w:rPr>
          <w:rFonts w:hint="eastAsia" w:ascii="宋体" w:hAnsi="宋体" w:cs="仿宋_GB2312"/>
          <w:color w:val="auto"/>
          <w:sz w:val="24"/>
          <w:highlight w:val="none"/>
          <w:u w:val="single"/>
        </w:rPr>
        <w:t>项目开工前提供捌套图纸。</w:t>
      </w:r>
    </w:p>
    <w:p w14:paraId="3E5362E8">
      <w:pPr>
        <w:tabs>
          <w:tab w:val="left" w:pos="142"/>
          <w:tab w:val="left" w:pos="284"/>
        </w:tabs>
        <w:snapToGrid w:val="0"/>
        <w:spacing w:line="360" w:lineRule="auto"/>
        <w:ind w:firstLine="480" w:firstLineChars="200"/>
        <w:jc w:val="both"/>
        <w:rPr>
          <w:rFonts w:ascii="宋体" w:hAnsi="宋体" w:cs="仿宋_GB2312"/>
          <w:color w:val="auto"/>
          <w:sz w:val="24"/>
          <w:highlight w:val="none"/>
        </w:rPr>
      </w:pPr>
      <w:r>
        <w:rPr>
          <w:rFonts w:hint="eastAsia" w:ascii="宋体" w:hAnsi="宋体" w:cs="仿宋_GB2312"/>
          <w:color w:val="auto"/>
          <w:sz w:val="24"/>
          <w:highlight w:val="none"/>
        </w:rPr>
        <w:t>发包人对图纸的保密要求：</w:t>
      </w:r>
      <w:r>
        <w:rPr>
          <w:rFonts w:hint="eastAsia" w:ascii="宋体" w:hAnsi="宋体" w:cs="仿宋_GB2312"/>
          <w:color w:val="auto"/>
          <w:sz w:val="24"/>
          <w:highlight w:val="none"/>
          <w:u w:val="single"/>
        </w:rPr>
        <w:t>承包人应当采取必要的手段对本工程的所有图纸信息进行保密，并且承诺除为了本工程施工或施工管理之目的外，不擅自以任何方式使用、复制本工程的图纸</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承包人只能视本工程的情况需要而将图纸信息披露给承包人的相关工作人员</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未经发包人书面同意或授权，承包人不得将本工程的图纸信息披露、发表或以其他方式向第三方公开，否则，承包人应对因此给发包人造成的损失承担全部赔偿责任。</w:t>
      </w:r>
    </w:p>
    <w:p w14:paraId="20063833">
      <w:pPr>
        <w:tabs>
          <w:tab w:val="left" w:pos="142"/>
          <w:tab w:val="left" w:pos="284"/>
        </w:tabs>
        <w:snapToGrid w:val="0"/>
        <w:spacing w:line="360" w:lineRule="auto"/>
        <w:ind w:left="277" w:leftChars="132" w:firstLine="480" w:firstLineChars="200"/>
        <w:rPr>
          <w:rFonts w:ascii="宋体" w:hAnsi="宋体" w:cs="仿宋_GB2312"/>
          <w:color w:val="auto"/>
          <w:sz w:val="24"/>
          <w:highlight w:val="none"/>
        </w:rPr>
      </w:pPr>
      <w:r>
        <w:rPr>
          <w:rFonts w:hint="eastAsia" w:ascii="宋体" w:hAnsi="宋体" w:cs="仿宋_GB2312"/>
          <w:color w:val="auto"/>
          <w:sz w:val="24"/>
          <w:highlight w:val="none"/>
        </w:rPr>
        <w:t>使用国外图纸的要求及费用承担：</w:t>
      </w:r>
      <w:r>
        <w:rPr>
          <w:rFonts w:ascii="宋体" w:hAnsi="宋体" w:cs="仿宋_GB2312"/>
          <w:color w:val="auto"/>
          <w:sz w:val="24"/>
          <w:highlight w:val="none"/>
          <w:u w:val="single"/>
        </w:rPr>
        <w:t xml:space="preserve">    /    </w:t>
      </w:r>
      <w:r>
        <w:rPr>
          <w:rFonts w:hint="eastAsia" w:ascii="宋体" w:hAnsi="宋体" w:cs="仿宋_GB2312"/>
          <w:color w:val="auto"/>
          <w:sz w:val="24"/>
          <w:highlight w:val="none"/>
          <w:u w:val="single"/>
        </w:rPr>
        <w:t>。</w:t>
      </w:r>
    </w:p>
    <w:p w14:paraId="29A6AECE">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二、双方一般权利和义务</w:t>
      </w:r>
    </w:p>
    <w:p w14:paraId="7A8CEA1A">
      <w:pPr>
        <w:tabs>
          <w:tab w:val="left" w:pos="142"/>
          <w:tab w:val="left" w:pos="284"/>
        </w:tabs>
        <w:snapToGrid w:val="0"/>
        <w:spacing w:line="360" w:lineRule="auto"/>
        <w:ind w:firstLine="482" w:firstLineChars="200"/>
        <w:rPr>
          <w:rFonts w:ascii="宋体" w:hAnsi="宋体" w:cs="仿宋_GB2312"/>
          <w:color w:val="auto"/>
          <w:sz w:val="24"/>
          <w:highlight w:val="none"/>
        </w:rPr>
      </w:pPr>
      <w:r>
        <w:rPr>
          <w:rFonts w:hint="eastAsia" w:ascii="宋体" w:hAnsi="宋体" w:cs="仿宋_GB2312"/>
          <w:b/>
          <w:color w:val="auto"/>
          <w:sz w:val="24"/>
          <w:highlight w:val="none"/>
          <w:lang w:eastAsia="zh-CN"/>
        </w:rPr>
        <w:t>5.</w:t>
      </w:r>
      <w:r>
        <w:rPr>
          <w:rFonts w:hint="eastAsia" w:ascii="宋体" w:hAnsi="宋体" w:cs="仿宋_GB2312"/>
          <w:b/>
          <w:color w:val="auto"/>
          <w:sz w:val="24"/>
          <w:highlight w:val="none"/>
        </w:rPr>
        <w:t>工程师</w:t>
      </w:r>
    </w:p>
    <w:p w14:paraId="0AFDDC69">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5.1</w:t>
      </w:r>
      <w:r>
        <w:rPr>
          <w:rFonts w:ascii="宋体" w:hAnsi="宋体" w:cs="仿宋_GB2312"/>
          <w:color w:val="auto"/>
          <w:sz w:val="24"/>
          <w:highlight w:val="none"/>
        </w:rPr>
        <w:t xml:space="preserve"> </w:t>
      </w:r>
      <w:r>
        <w:rPr>
          <w:rFonts w:hint="eastAsia" w:ascii="宋体" w:hAnsi="宋体" w:cs="仿宋_GB2312"/>
          <w:color w:val="auto"/>
          <w:sz w:val="24"/>
          <w:highlight w:val="none"/>
        </w:rPr>
        <w:t>监理单位委派的工程师</w:t>
      </w:r>
    </w:p>
    <w:p w14:paraId="47FD707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姓名：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电话：</w:t>
      </w:r>
      <w:r>
        <w:rPr>
          <w:rFonts w:hint="eastAsia" w:ascii="宋体" w:hAnsi="宋体" w:cs="仿宋_GB2312"/>
          <w:color w:val="auto"/>
          <w:sz w:val="24"/>
          <w:highlight w:val="none"/>
          <w:u w:val="single"/>
        </w:rPr>
        <w:t xml:space="preserve">  /   </w:t>
      </w:r>
      <w:r>
        <w:rPr>
          <w:rFonts w:hint="eastAsia" w:ascii="宋体" w:hAnsi="宋体" w:cs="仿宋_GB2312"/>
          <w:color w:val="auto"/>
          <w:sz w:val="24"/>
          <w:highlight w:val="none"/>
        </w:rPr>
        <w:t>职务：</w:t>
      </w:r>
      <w:r>
        <w:rPr>
          <w:rFonts w:hint="eastAsia" w:ascii="宋体" w:hAnsi="宋体" w:cs="仿宋_GB2312"/>
          <w:color w:val="auto"/>
          <w:sz w:val="24"/>
          <w:highlight w:val="none"/>
          <w:u w:val="single"/>
        </w:rPr>
        <w:t>总监理工程师</w:t>
      </w:r>
    </w:p>
    <w:p w14:paraId="60CFD07B">
      <w:pPr>
        <w:tabs>
          <w:tab w:val="left" w:pos="142"/>
          <w:tab w:val="left" w:pos="284"/>
        </w:tabs>
        <w:snapToGrid w:val="0"/>
        <w:spacing w:line="360" w:lineRule="auto"/>
        <w:ind w:firstLine="480" w:firstLineChars="200"/>
        <w:rPr>
          <w:rFonts w:ascii="宋体" w:hAnsi="宋体" w:cs="仿宋_GB2312"/>
          <w:bCs/>
          <w:color w:val="auto"/>
          <w:sz w:val="24"/>
          <w:highlight w:val="none"/>
          <w:u w:val="single"/>
        </w:rPr>
      </w:pPr>
      <w:r>
        <w:rPr>
          <w:rFonts w:hint="eastAsia" w:ascii="宋体" w:hAnsi="宋体" w:cs="仿宋_GB2312"/>
          <w:color w:val="auto"/>
          <w:sz w:val="24"/>
          <w:highlight w:val="none"/>
        </w:rPr>
        <w:t>发包人委托的职权：</w:t>
      </w:r>
      <w:r>
        <w:rPr>
          <w:rFonts w:hint="eastAsia" w:ascii="宋体" w:hAnsi="宋体" w:cs="仿宋_GB2312"/>
          <w:bCs/>
          <w:color w:val="auto"/>
          <w:sz w:val="24"/>
          <w:highlight w:val="none"/>
          <w:u w:val="single"/>
        </w:rPr>
        <w:t>按照发包人与监理单位签订的监理合同内发包人委托的职权部分约定</w:t>
      </w:r>
      <w:r>
        <w:rPr>
          <w:rFonts w:hint="eastAsia" w:ascii="宋体" w:hAnsi="宋体" w:cs="仿宋_GB2312"/>
          <w:color w:val="auto"/>
          <w:sz w:val="24"/>
          <w:highlight w:val="none"/>
        </w:rPr>
        <w:t>。</w:t>
      </w:r>
    </w:p>
    <w:p w14:paraId="1F7DDD52">
      <w:pPr>
        <w:tabs>
          <w:tab w:val="left" w:pos="142"/>
          <w:tab w:val="left" w:pos="284"/>
        </w:tabs>
        <w:snapToGrid w:val="0"/>
        <w:spacing w:line="360" w:lineRule="auto"/>
        <w:ind w:firstLine="480" w:firstLineChars="200"/>
        <w:rPr>
          <w:rFonts w:ascii="宋体" w:hAnsi="宋体" w:cs="仿宋_GB2312"/>
          <w:bCs/>
          <w:color w:val="auto"/>
          <w:sz w:val="24"/>
          <w:highlight w:val="none"/>
          <w:u w:val="single"/>
        </w:rPr>
      </w:pPr>
      <w:r>
        <w:rPr>
          <w:rFonts w:hint="eastAsia" w:ascii="宋体" w:hAnsi="宋体" w:cs="仿宋_GB2312"/>
          <w:color w:val="auto"/>
          <w:sz w:val="24"/>
          <w:highlight w:val="none"/>
        </w:rPr>
        <w:t>需要取得发包人批准才能行使的职权：</w:t>
      </w:r>
    </w:p>
    <w:p w14:paraId="3AA05613">
      <w:pPr>
        <w:tabs>
          <w:tab w:val="left" w:pos="142"/>
          <w:tab w:val="left" w:pos="284"/>
        </w:tabs>
        <w:snapToGrid w:val="0"/>
        <w:spacing w:line="360" w:lineRule="auto"/>
        <w:ind w:firstLine="480" w:firstLineChars="200"/>
        <w:rPr>
          <w:rFonts w:ascii="宋体" w:hAnsi="宋体" w:cs="仿宋_GB2312"/>
          <w:bCs/>
          <w:color w:val="auto"/>
          <w:sz w:val="24"/>
          <w:highlight w:val="none"/>
          <w:u w:val="single"/>
        </w:rPr>
      </w:pPr>
      <w:r>
        <w:rPr>
          <w:rFonts w:hint="eastAsia" w:ascii="宋体" w:hAnsi="宋体" w:cs="仿宋_GB2312"/>
          <w:bCs/>
          <w:color w:val="auto"/>
          <w:sz w:val="24"/>
          <w:highlight w:val="none"/>
          <w:u w:val="single"/>
        </w:rPr>
        <w:t>按照发包人与监理单位签订的监理合同约定，涉及重大变更或费用调整需经发包人书面认可</w:t>
      </w:r>
      <w:r>
        <w:rPr>
          <w:rFonts w:hint="eastAsia" w:ascii="宋体" w:hAnsi="宋体" w:cs="仿宋_GB2312"/>
          <w:color w:val="auto"/>
          <w:sz w:val="24"/>
          <w:highlight w:val="none"/>
        </w:rPr>
        <w:t>。</w:t>
      </w:r>
    </w:p>
    <w:p w14:paraId="3412F517">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义务：</w:t>
      </w:r>
      <w:r>
        <w:rPr>
          <w:rFonts w:hint="eastAsia" w:ascii="宋体" w:hAnsi="宋体" w:cs="仿宋_GB2312"/>
          <w:color w:val="auto"/>
          <w:sz w:val="24"/>
          <w:highlight w:val="none"/>
          <w:u w:val="single"/>
        </w:rPr>
        <w:t>常驻现场，代表监理单位履行与发包人</w:t>
      </w:r>
      <w:r>
        <w:rPr>
          <w:rFonts w:hint="eastAsia" w:ascii="宋体" w:hAnsi="宋体" w:cs="仿宋_GB2312"/>
          <w:color w:val="auto"/>
          <w:sz w:val="24"/>
          <w:highlight w:val="none"/>
          <w:u w:val="single"/>
          <w:lang w:eastAsia="zh-CN"/>
        </w:rPr>
        <w:t>签订</w:t>
      </w:r>
      <w:r>
        <w:rPr>
          <w:rFonts w:hint="eastAsia" w:ascii="宋体" w:hAnsi="宋体" w:cs="仿宋_GB2312"/>
          <w:color w:val="auto"/>
          <w:sz w:val="24"/>
          <w:highlight w:val="none"/>
          <w:u w:val="single"/>
        </w:rPr>
        <w:t>的监理合同</w:t>
      </w:r>
      <w:r>
        <w:rPr>
          <w:rFonts w:hint="eastAsia" w:ascii="宋体" w:hAnsi="宋体" w:cs="仿宋_GB2312"/>
          <w:color w:val="auto"/>
          <w:sz w:val="24"/>
          <w:highlight w:val="none"/>
        </w:rPr>
        <w:t>。</w:t>
      </w:r>
    </w:p>
    <w:p w14:paraId="56513331">
      <w:pPr>
        <w:tabs>
          <w:tab w:val="left" w:pos="142"/>
          <w:tab w:val="left" w:pos="284"/>
        </w:tabs>
        <w:snapToGrid w:val="0"/>
        <w:spacing w:line="360" w:lineRule="auto"/>
        <w:ind w:firstLine="482" w:firstLineChars="200"/>
        <w:rPr>
          <w:rFonts w:ascii="宋体" w:hAnsi="宋体" w:cs="仿宋_GB2312"/>
          <w:b/>
          <w:bCs/>
          <w:color w:val="auto"/>
          <w:sz w:val="24"/>
          <w:highlight w:val="none"/>
        </w:rPr>
      </w:pPr>
      <w:r>
        <w:rPr>
          <w:rFonts w:hint="eastAsia" w:ascii="宋体" w:hAnsi="宋体" w:cs="仿宋_GB2312"/>
          <w:b/>
          <w:bCs/>
          <w:color w:val="auto"/>
          <w:sz w:val="24"/>
          <w:highlight w:val="none"/>
          <w:lang w:eastAsia="zh-CN"/>
        </w:rPr>
        <w:t>6.</w:t>
      </w:r>
      <w:r>
        <w:rPr>
          <w:rFonts w:ascii="宋体" w:hAnsi="宋体" w:cs="仿宋_GB2312"/>
          <w:b/>
          <w:bCs/>
          <w:color w:val="auto"/>
          <w:sz w:val="24"/>
          <w:highlight w:val="none"/>
        </w:rPr>
        <w:t xml:space="preserve"> </w:t>
      </w:r>
      <w:r>
        <w:rPr>
          <w:rFonts w:hint="eastAsia" w:ascii="宋体" w:hAnsi="宋体" w:cs="仿宋_GB2312"/>
          <w:b/>
          <w:bCs/>
          <w:color w:val="auto"/>
          <w:sz w:val="24"/>
          <w:highlight w:val="none"/>
        </w:rPr>
        <w:t>发包人派驻的工程师</w:t>
      </w:r>
    </w:p>
    <w:p w14:paraId="0425D5B7">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6.1姓名：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电话：</w:t>
      </w:r>
      <w:r>
        <w:rPr>
          <w:rFonts w:hint="eastAsia" w:ascii="宋体" w:hAnsi="宋体" w:cs="仿宋_GB2312"/>
          <w:color w:val="auto"/>
          <w:sz w:val="24"/>
          <w:highlight w:val="none"/>
          <w:u w:val="single"/>
        </w:rPr>
        <w:t xml:space="preserve">  /  </w:t>
      </w:r>
      <w:r>
        <w:rPr>
          <w:rFonts w:hint="eastAsia" w:ascii="宋体" w:hAnsi="宋体" w:cs="仿宋_GB2312"/>
          <w:color w:val="auto"/>
          <w:sz w:val="24"/>
          <w:highlight w:val="none"/>
        </w:rPr>
        <w:t>职务：</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3A848B12">
      <w:pPr>
        <w:tabs>
          <w:tab w:val="left" w:pos="142"/>
          <w:tab w:val="left" w:pos="284"/>
        </w:tabs>
        <w:snapToGrid w:val="0"/>
        <w:spacing w:line="360" w:lineRule="auto"/>
        <w:ind w:firstLine="480" w:firstLineChars="200"/>
        <w:rPr>
          <w:rFonts w:ascii="宋体" w:hAnsi="宋体" w:cs="仿宋_GB2312"/>
          <w:bCs/>
          <w:color w:val="auto"/>
          <w:sz w:val="24"/>
          <w:highlight w:val="none"/>
          <w:u w:val="single"/>
        </w:rPr>
      </w:pPr>
      <w:r>
        <w:rPr>
          <w:rFonts w:hint="eastAsia" w:ascii="宋体" w:hAnsi="宋体" w:cs="仿宋_GB2312"/>
          <w:color w:val="auto"/>
          <w:sz w:val="24"/>
          <w:highlight w:val="none"/>
        </w:rPr>
        <w:t>职权：</w:t>
      </w:r>
      <w:r>
        <w:rPr>
          <w:rFonts w:hint="eastAsia" w:ascii="宋体" w:hAnsi="宋体" w:cs="仿宋_GB2312"/>
          <w:bCs/>
          <w:color w:val="auto"/>
          <w:sz w:val="24"/>
          <w:highlight w:val="none"/>
          <w:u w:val="single"/>
        </w:rPr>
        <w:t>代表发包人履行本合同规定职责所需的一切权利。</w:t>
      </w:r>
    </w:p>
    <w:p w14:paraId="09D81738">
      <w:pPr>
        <w:tabs>
          <w:tab w:val="left" w:pos="142"/>
          <w:tab w:val="left" w:pos="284"/>
        </w:tabs>
        <w:snapToGrid w:val="0"/>
        <w:spacing w:line="360" w:lineRule="auto"/>
        <w:ind w:firstLine="448" w:firstLineChars="200"/>
        <w:rPr>
          <w:rFonts w:ascii="宋体" w:hAnsi="宋体" w:cs="仿宋_GB2312"/>
          <w:bCs/>
          <w:color w:val="auto"/>
          <w:spacing w:val="-8"/>
          <w:sz w:val="24"/>
          <w:highlight w:val="none"/>
          <w:u w:val="single"/>
        </w:rPr>
      </w:pPr>
      <w:r>
        <w:rPr>
          <w:rFonts w:hint="eastAsia" w:ascii="宋体" w:hAnsi="宋体" w:cs="仿宋_GB2312"/>
          <w:color w:val="auto"/>
          <w:spacing w:val="-8"/>
          <w:sz w:val="24"/>
          <w:highlight w:val="none"/>
        </w:rPr>
        <w:t>义务：</w:t>
      </w:r>
      <w:r>
        <w:rPr>
          <w:rFonts w:hint="eastAsia" w:ascii="宋体" w:hAnsi="宋体" w:cs="仿宋_GB2312"/>
          <w:color w:val="auto"/>
          <w:spacing w:val="-8"/>
          <w:sz w:val="24"/>
          <w:highlight w:val="none"/>
          <w:u w:val="single"/>
        </w:rPr>
        <w:t>常驻现场，</w:t>
      </w:r>
      <w:r>
        <w:rPr>
          <w:rFonts w:hint="eastAsia" w:ascii="宋体" w:hAnsi="宋体" w:cs="仿宋_GB2312"/>
          <w:bCs/>
          <w:color w:val="auto"/>
          <w:spacing w:val="-8"/>
          <w:sz w:val="24"/>
          <w:highlight w:val="none"/>
          <w:u w:val="single"/>
        </w:rPr>
        <w:t>发包人在履行本合同中发包人的权利，义务和责任的过程中，代表发包人进行合同范围内的沟通与协调。</w:t>
      </w:r>
    </w:p>
    <w:p w14:paraId="3A257D37">
      <w:pPr>
        <w:tabs>
          <w:tab w:val="left" w:pos="142"/>
          <w:tab w:val="left" w:pos="284"/>
        </w:tabs>
        <w:snapToGrid w:val="0"/>
        <w:spacing w:line="360" w:lineRule="auto"/>
        <w:ind w:firstLine="448" w:firstLineChars="200"/>
        <w:rPr>
          <w:rFonts w:hint="eastAsia" w:ascii="宋体" w:hAnsi="宋体" w:cs="仿宋_GB2312"/>
          <w:bCs/>
          <w:color w:val="auto"/>
          <w:spacing w:val="-8"/>
          <w:sz w:val="24"/>
          <w:highlight w:val="none"/>
          <w:u w:val="single"/>
        </w:rPr>
      </w:pPr>
      <w:r>
        <w:rPr>
          <w:rFonts w:hint="eastAsia" w:ascii="宋体" w:hAnsi="宋体" w:cs="仿宋_GB2312"/>
          <w:bCs/>
          <w:color w:val="auto"/>
          <w:spacing w:val="-8"/>
          <w:sz w:val="24"/>
          <w:highlight w:val="none"/>
          <w:u w:val="single"/>
        </w:rPr>
        <w:t>6.2 承包人应于工程师（无论是监理单位还是发包人派驻）发出口头指令后7天内提出书面确认要求。工程师在承包人提出确认要求后48小时内不予答复的，不视为口头指令已被确认，承包人可督促发包人或监理单位予以确认。</w:t>
      </w:r>
    </w:p>
    <w:p w14:paraId="41FF857A">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7.</w:t>
      </w:r>
      <w:r>
        <w:rPr>
          <w:rFonts w:hint="eastAsia" w:ascii="宋体" w:hAnsi="宋体" w:cs="仿宋_GB2312"/>
          <w:b/>
          <w:color w:val="auto"/>
          <w:sz w:val="24"/>
          <w:highlight w:val="none"/>
        </w:rPr>
        <w:t>项目经理</w:t>
      </w:r>
    </w:p>
    <w:p w14:paraId="02B073C3">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w:t>
      </w:r>
      <w:r>
        <w:rPr>
          <w:rFonts w:ascii="宋体" w:hAnsi="宋体" w:cs="仿宋_GB2312"/>
          <w:color w:val="auto"/>
          <w:sz w:val="24"/>
          <w:highlight w:val="none"/>
        </w:rPr>
        <w:t xml:space="preserve">.1 </w:t>
      </w:r>
      <w:r>
        <w:rPr>
          <w:rFonts w:hint="eastAsia" w:ascii="宋体" w:hAnsi="宋体" w:cs="仿宋_GB2312"/>
          <w:color w:val="auto"/>
          <w:sz w:val="24"/>
          <w:highlight w:val="none"/>
        </w:rPr>
        <w:t>（</w:t>
      </w:r>
      <w:r>
        <w:rPr>
          <w:rFonts w:ascii="宋体" w:hAnsi="宋体" w:cs="仿宋_GB2312"/>
          <w:color w:val="auto"/>
          <w:sz w:val="24"/>
          <w:highlight w:val="none"/>
        </w:rPr>
        <w:t>1</w:t>
      </w:r>
      <w:r>
        <w:rPr>
          <w:rFonts w:hint="eastAsia" w:ascii="宋体" w:hAnsi="宋体" w:cs="仿宋_GB2312"/>
          <w:color w:val="auto"/>
          <w:sz w:val="24"/>
          <w:highlight w:val="none"/>
        </w:rPr>
        <w:t>）项目经理</w:t>
      </w:r>
    </w:p>
    <w:p w14:paraId="4655BC88">
      <w:pPr>
        <w:tabs>
          <w:tab w:val="left" w:pos="142"/>
          <w:tab w:val="left" w:pos="284"/>
        </w:tabs>
        <w:snapToGrid w:val="0"/>
        <w:spacing w:line="360" w:lineRule="auto"/>
        <w:ind w:firstLine="480" w:firstLineChars="200"/>
        <w:rPr>
          <w:rFonts w:hint="eastAsia" w:ascii="宋体" w:hAnsi="宋体" w:cs="仿宋_GB2312"/>
          <w:color w:val="auto"/>
          <w:sz w:val="24"/>
          <w:highlight w:val="none"/>
          <w:u w:val="single"/>
        </w:rPr>
      </w:pPr>
      <w:r>
        <w:rPr>
          <w:rFonts w:hint="eastAsia" w:ascii="宋体" w:hAnsi="宋体" w:cs="仿宋_GB2312"/>
          <w:color w:val="auto"/>
          <w:sz w:val="24"/>
          <w:highlight w:val="none"/>
        </w:rPr>
        <w:t>姓名：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电话：</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职权：</w:t>
      </w:r>
      <w:r>
        <w:rPr>
          <w:rFonts w:hint="eastAsia" w:ascii="宋体" w:hAnsi="宋体" w:cs="仿宋_GB2312"/>
          <w:color w:val="auto"/>
          <w:sz w:val="24"/>
          <w:highlight w:val="none"/>
          <w:u w:val="single"/>
        </w:rPr>
        <w:t>代表承包人全权处理本工程的一切事务，项目</w:t>
      </w:r>
      <w:r>
        <w:rPr>
          <w:rFonts w:hint="eastAsia" w:ascii="宋体" w:hAnsi="宋体" w:cs="仿宋_GB2312"/>
          <w:color w:val="auto"/>
          <w:sz w:val="24"/>
          <w:highlight w:val="none"/>
          <w:u w:val="single"/>
          <w:lang w:val="en-US" w:eastAsia="zh-CN"/>
        </w:rPr>
        <w:t>经理</w:t>
      </w:r>
      <w:r>
        <w:rPr>
          <w:rFonts w:hint="eastAsia" w:ascii="宋体" w:hAnsi="宋体" w:cs="仿宋_GB2312"/>
          <w:color w:val="auto"/>
          <w:sz w:val="24"/>
          <w:highlight w:val="none"/>
          <w:u w:val="single"/>
        </w:rPr>
        <w:t>签署的相关文件、会议纪要、工程签证等，以及为履行合同所作意思表示和行为，均视为承包人所为，相关后果和责任由承包人承担</w:t>
      </w:r>
      <w:r>
        <w:rPr>
          <w:rFonts w:hint="eastAsia" w:ascii="宋体" w:hAnsi="宋体" w:cs="仿宋_GB2312"/>
          <w:color w:val="auto"/>
          <w:sz w:val="24"/>
          <w:highlight w:val="none"/>
        </w:rPr>
        <w:t>。</w:t>
      </w:r>
    </w:p>
    <w:p w14:paraId="622E8C3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义务：承诺常驻现场，代表承包人履行与发包人签订的本建设工程施工合同。</w:t>
      </w:r>
    </w:p>
    <w:p w14:paraId="2EC51C07">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w:t>
      </w:r>
      <w:r>
        <w:rPr>
          <w:rFonts w:ascii="宋体" w:hAnsi="宋体" w:cs="仿宋_GB2312"/>
          <w:color w:val="auto"/>
          <w:sz w:val="24"/>
          <w:highlight w:val="none"/>
        </w:rPr>
        <w:t>.</w:t>
      </w:r>
      <w:r>
        <w:rPr>
          <w:rFonts w:hint="eastAsia" w:ascii="宋体" w:hAnsi="宋体" w:cs="仿宋_GB2312"/>
          <w:color w:val="auto"/>
          <w:sz w:val="24"/>
          <w:highlight w:val="none"/>
        </w:rPr>
        <w:t>2</w:t>
      </w:r>
      <w:r>
        <w:rPr>
          <w:rFonts w:ascii="宋体" w:hAnsi="宋体" w:cs="仿宋_GB2312"/>
          <w:color w:val="auto"/>
          <w:sz w:val="24"/>
          <w:highlight w:val="none"/>
        </w:rPr>
        <w:t xml:space="preserve"> </w:t>
      </w:r>
      <w:r>
        <w:rPr>
          <w:rFonts w:hint="eastAsia" w:ascii="宋体" w:hAnsi="宋体" w:cs="仿宋_GB2312"/>
          <w:bCs/>
          <w:color w:val="auto"/>
          <w:sz w:val="24"/>
          <w:highlight w:val="none"/>
        </w:rPr>
        <w:t>承包人如需更换项目经理，应至少提前</w:t>
      </w:r>
      <w:r>
        <w:rPr>
          <w:rFonts w:ascii="宋体" w:hAnsi="宋体" w:cs="仿宋_GB2312"/>
          <w:bCs/>
          <w:color w:val="auto"/>
          <w:sz w:val="24"/>
          <w:highlight w:val="none"/>
        </w:rPr>
        <w:t>7个日历天以书面形式通知发包人，并征得发包人书面同意和遵守建设行政主管部门的规定，</w:t>
      </w:r>
      <w:r>
        <w:rPr>
          <w:rFonts w:hint="eastAsia" w:ascii="宋体" w:hAnsi="宋体" w:cs="仿宋_GB2312"/>
          <w:color w:val="auto"/>
          <w:sz w:val="24"/>
          <w:highlight w:val="none"/>
        </w:rPr>
        <w:t>后任继续行使合同文件约定的前任的职权，履行前任的义务。未征得发包人书面同意，承包人不得更换</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w:t>
      </w:r>
    </w:p>
    <w:p w14:paraId="5AD1056B">
      <w:pPr>
        <w:tabs>
          <w:tab w:val="left" w:pos="142"/>
          <w:tab w:val="left" w:pos="284"/>
        </w:tabs>
        <w:snapToGrid w:val="0"/>
        <w:spacing w:line="360" w:lineRule="auto"/>
        <w:ind w:firstLine="480" w:firstLineChars="200"/>
        <w:rPr>
          <w:rFonts w:ascii="宋体" w:hAnsi="宋体" w:cs="仿宋_GB2312"/>
          <w:strike/>
          <w:color w:val="auto"/>
          <w:sz w:val="24"/>
          <w:highlight w:val="none"/>
        </w:rPr>
      </w:pPr>
      <w:r>
        <w:rPr>
          <w:rFonts w:hint="eastAsia" w:ascii="宋体" w:hAnsi="宋体" w:cs="仿宋_GB2312"/>
          <w:color w:val="auto"/>
          <w:sz w:val="24"/>
          <w:highlight w:val="none"/>
        </w:rPr>
        <w:t>7</w:t>
      </w:r>
      <w:r>
        <w:rPr>
          <w:rFonts w:ascii="宋体" w:hAnsi="宋体" w:cs="仿宋_GB2312"/>
          <w:color w:val="auto"/>
          <w:sz w:val="24"/>
          <w:highlight w:val="none"/>
        </w:rPr>
        <w:t>.</w:t>
      </w:r>
      <w:r>
        <w:rPr>
          <w:rFonts w:hint="eastAsia" w:ascii="宋体" w:hAnsi="宋体" w:cs="仿宋_GB2312"/>
          <w:color w:val="auto"/>
          <w:sz w:val="24"/>
          <w:highlight w:val="none"/>
        </w:rPr>
        <w:t>3</w:t>
      </w:r>
      <w:r>
        <w:rPr>
          <w:rFonts w:ascii="宋体" w:hAnsi="宋体" w:cs="仿宋_GB2312"/>
          <w:color w:val="auto"/>
          <w:sz w:val="24"/>
          <w:highlight w:val="none"/>
        </w:rPr>
        <w:t xml:space="preserve"> </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主要施工管理人员实际工作能力和工作表现达不到发包人要求的（包括个人原因引起的纠纷、治安等问题），发包人有权向承包人提出撤换，承包人应在收到发包人指令10个日历天内予以更换，并依法办理建设行政主管部门要求的备案手续。新更换的</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、主要施工管理人员应满足招标文件、本合同约定及本项目相应的资质要求并能胜任本项目的</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、主要施工管理人员工作。</w:t>
      </w:r>
    </w:p>
    <w:p w14:paraId="1FC9C1A6">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w:t>
      </w:r>
      <w:r>
        <w:rPr>
          <w:rFonts w:ascii="宋体" w:hAnsi="宋体" w:cs="仿宋_GB2312"/>
          <w:color w:val="auto"/>
          <w:sz w:val="24"/>
          <w:highlight w:val="none"/>
        </w:rPr>
        <w:t>.</w:t>
      </w:r>
      <w:r>
        <w:rPr>
          <w:rFonts w:hint="eastAsia" w:ascii="宋体" w:hAnsi="宋体" w:cs="仿宋_GB2312"/>
          <w:color w:val="auto"/>
          <w:sz w:val="24"/>
          <w:highlight w:val="none"/>
        </w:rPr>
        <w:t>4承包人</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不得兼任其他工程</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，否则发包人可按单方面解除本合同处理。</w:t>
      </w:r>
    </w:p>
    <w:p w14:paraId="1A16C6BD">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8.</w:t>
      </w:r>
      <w:r>
        <w:rPr>
          <w:rFonts w:hint="eastAsia" w:ascii="宋体" w:hAnsi="宋体" w:cs="仿宋_GB2312"/>
          <w:b/>
          <w:color w:val="auto"/>
          <w:sz w:val="24"/>
          <w:highlight w:val="none"/>
        </w:rPr>
        <w:t>发包人工作</w:t>
      </w:r>
    </w:p>
    <w:p w14:paraId="76D2F46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8</w:t>
      </w:r>
      <w:r>
        <w:rPr>
          <w:rFonts w:ascii="宋体" w:hAnsi="宋体" w:cs="仿宋_GB2312"/>
          <w:color w:val="auto"/>
          <w:sz w:val="24"/>
          <w:highlight w:val="none"/>
        </w:rPr>
        <w:t xml:space="preserve">.1 </w:t>
      </w:r>
      <w:r>
        <w:rPr>
          <w:rFonts w:hint="eastAsia" w:ascii="宋体" w:hAnsi="宋体" w:cs="仿宋_GB2312"/>
          <w:color w:val="auto"/>
          <w:sz w:val="24"/>
          <w:highlight w:val="none"/>
        </w:rPr>
        <w:t>发包人应按约定的时间和要求完成以下工作：</w:t>
      </w:r>
    </w:p>
    <w:p w14:paraId="15F833D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1</w:t>
      </w:r>
      <w:r>
        <w:rPr>
          <w:rFonts w:hint="eastAsia" w:ascii="宋体" w:hAnsi="宋体" w:cs="仿宋_GB2312"/>
          <w:color w:val="auto"/>
          <w:sz w:val="24"/>
          <w:highlight w:val="none"/>
        </w:rPr>
        <w:t>）将施工所需的水、电、电讯线路接至施工场地的时间、地点和供应要求：</w:t>
      </w:r>
      <w:r>
        <w:rPr>
          <w:rFonts w:hint="eastAsia" w:ascii="宋体" w:hAnsi="宋体" w:cs="仿宋_GB2312"/>
          <w:color w:val="auto"/>
          <w:sz w:val="24"/>
          <w:highlight w:val="none"/>
          <w:u w:val="single"/>
        </w:rPr>
        <w:t>由承包人与施工总承包单位自行协商提出用电、用水申请，经批准后在甲方提供的地点装电费计量表，按计量数交费，费用由承包人自行承担。</w:t>
      </w:r>
    </w:p>
    <w:p w14:paraId="6DEABAEA">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（2）施工场地与公共道路的通道开通时间和要求：</w:t>
      </w:r>
      <w:r>
        <w:rPr>
          <w:rFonts w:hint="eastAsia" w:ascii="宋体" w:hAnsi="宋体" w:cs="仿宋_GB2312"/>
          <w:color w:val="auto"/>
          <w:sz w:val="24"/>
          <w:highlight w:val="none"/>
          <w:u w:val="single"/>
        </w:rPr>
        <w:t>通道按现状，不论满足施工要求与否，该通道及施工便道均由承包人自行解决，所需费用由承包人在投标报价中综合考虑，发包人不另行支付。</w:t>
      </w:r>
    </w:p>
    <w:p w14:paraId="61119918">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（3）工程地质和地下管线资料的提供时间：</w:t>
      </w:r>
      <w:r>
        <w:rPr>
          <w:rFonts w:hint="eastAsia" w:ascii="宋体" w:hAnsi="宋体" w:cs="仿宋_GB2312"/>
          <w:color w:val="auto"/>
          <w:sz w:val="24"/>
          <w:highlight w:val="none"/>
          <w:u w:val="single"/>
        </w:rPr>
        <w:t>根据施工计划提前提供</w:t>
      </w:r>
      <w:r>
        <w:rPr>
          <w:rFonts w:hint="eastAsia" w:ascii="宋体" w:hAnsi="宋体" w:cs="仿宋_GB2312"/>
          <w:color w:val="auto"/>
          <w:sz w:val="24"/>
          <w:highlight w:val="none"/>
        </w:rPr>
        <w:t>。</w:t>
      </w:r>
    </w:p>
    <w:p w14:paraId="7B2B11BF">
      <w:pPr>
        <w:tabs>
          <w:tab w:val="left" w:pos="142"/>
          <w:tab w:val="left" w:pos="284"/>
        </w:tabs>
        <w:snapToGrid w:val="0"/>
        <w:spacing w:line="360" w:lineRule="auto"/>
        <w:ind w:left="0" w:leftChars="0"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（4）由发包人办理的施工所需证件、批件的名称和完成时间：</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3E54B908">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（5）水准点与坐标控制点交验要求：</w:t>
      </w:r>
      <w:r>
        <w:rPr>
          <w:rFonts w:hint="eastAsia" w:ascii="宋体" w:hAnsi="宋体" w:cs="仿宋_GB2312"/>
          <w:color w:val="auto"/>
          <w:sz w:val="24"/>
          <w:highlight w:val="none"/>
          <w:u w:val="single"/>
        </w:rPr>
        <w:t>开工前【2】日交验，并由承包人做好交验记录及保护</w:t>
      </w:r>
      <w:r>
        <w:rPr>
          <w:rFonts w:hint="eastAsia" w:ascii="宋体" w:hAnsi="宋体" w:cs="仿宋_GB2312"/>
          <w:color w:val="auto"/>
          <w:sz w:val="24"/>
          <w:highlight w:val="none"/>
        </w:rPr>
        <w:t>。</w:t>
      </w:r>
    </w:p>
    <w:p w14:paraId="534B5048">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（6）图纸会审和设计交底时间：</w:t>
      </w:r>
      <w:r>
        <w:rPr>
          <w:rFonts w:hint="eastAsia" w:ascii="宋体" w:hAnsi="宋体" w:cs="仿宋_GB2312"/>
          <w:color w:val="auto"/>
          <w:sz w:val="24"/>
          <w:highlight w:val="none"/>
          <w:u w:val="single"/>
        </w:rPr>
        <w:t>工程施工前</w:t>
      </w:r>
      <w:r>
        <w:rPr>
          <w:rFonts w:hint="eastAsia" w:ascii="宋体" w:hAnsi="宋体" w:cs="仿宋_GB2312"/>
          <w:color w:val="auto"/>
          <w:sz w:val="24"/>
          <w:highlight w:val="none"/>
        </w:rPr>
        <w:t>。</w:t>
      </w:r>
    </w:p>
    <w:p w14:paraId="0B53B4F9">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（7）协调处理施工场地周围地下管线和邻近建筑物、构筑物（含文物保护建筑）、古树名木的保护工作：</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25526DA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（8）双方约定发包人应做的其他工作：发包人按现有场地移交给承包人，承包人应按照发包人移交情况</w:t>
      </w:r>
      <w:r>
        <w:rPr>
          <w:rFonts w:hint="eastAsia" w:ascii="宋体" w:hAnsi="宋体" w:cs="仿宋_GB2312"/>
          <w:color w:val="auto"/>
          <w:sz w:val="24"/>
          <w:highlight w:val="none"/>
          <w:lang w:eastAsia="zh-CN"/>
        </w:rPr>
        <w:t>接收</w:t>
      </w:r>
      <w:r>
        <w:rPr>
          <w:rFonts w:hint="eastAsia" w:ascii="宋体" w:hAnsi="宋体" w:cs="仿宋_GB2312"/>
          <w:color w:val="auto"/>
          <w:sz w:val="24"/>
          <w:highlight w:val="none"/>
        </w:rPr>
        <w:t>。</w:t>
      </w:r>
    </w:p>
    <w:p w14:paraId="664483AA">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8.2发包人委托承包人办理的工作：</w:t>
      </w:r>
      <w:r>
        <w:rPr>
          <w:rFonts w:hint="eastAsia" w:ascii="宋体" w:hAnsi="宋体" w:cs="仿宋_GB2312"/>
          <w:color w:val="auto"/>
          <w:sz w:val="24"/>
          <w:highlight w:val="none"/>
          <w:u w:val="single"/>
        </w:rPr>
        <w:t>工程质监登记、一切本项目施工所需的审批、</w:t>
      </w:r>
      <w:r>
        <w:rPr>
          <w:rFonts w:hint="eastAsia" w:ascii="宋体" w:hAnsi="宋体" w:cs="仿宋_GB2312"/>
          <w:bCs/>
          <w:color w:val="auto"/>
          <w:sz w:val="24"/>
          <w:highlight w:val="none"/>
          <w:u w:val="single"/>
        </w:rPr>
        <w:t>后期验收、送电</w:t>
      </w:r>
      <w:r>
        <w:rPr>
          <w:rFonts w:hint="eastAsia" w:ascii="宋体" w:hAnsi="宋体" w:cs="仿宋_GB2312"/>
          <w:color w:val="auto"/>
          <w:sz w:val="24"/>
          <w:highlight w:val="none"/>
          <w:u w:val="single"/>
        </w:rPr>
        <w:t>手续、配合发包人将开关房移交供电局等并承担全部费用（所需的所有费用均已包含在投标价格中，发包人不予另行结算和支付），负责施工过程中为完成本合同工程内容须与各相关政府部门及沿线各相关物业单位沟通、协调等相关事宜，以上所需的所有费用已包含在合同价款内，发包人不予另行结算和支付，工期不因办理以上工作而予以顺延。承包人未能在发包人要求在合同工期内完成上述委托办理的工作，则发包人有权要求承包人承担违约责任。</w:t>
      </w:r>
    </w:p>
    <w:p w14:paraId="6D7C0A37">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9.</w:t>
      </w:r>
      <w:r>
        <w:rPr>
          <w:rFonts w:hint="eastAsia" w:ascii="宋体" w:hAnsi="宋体" w:cs="仿宋_GB2312"/>
          <w:b/>
          <w:color w:val="auto"/>
          <w:sz w:val="24"/>
          <w:highlight w:val="none"/>
        </w:rPr>
        <w:t>承包人工作</w:t>
      </w:r>
    </w:p>
    <w:p w14:paraId="4AA0CAAE">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9</w:t>
      </w:r>
      <w:r>
        <w:rPr>
          <w:rFonts w:ascii="宋体" w:hAnsi="宋体" w:cs="仿宋_GB2312"/>
          <w:color w:val="auto"/>
          <w:sz w:val="24"/>
          <w:highlight w:val="none"/>
        </w:rPr>
        <w:t xml:space="preserve">.1 </w:t>
      </w:r>
      <w:r>
        <w:rPr>
          <w:rFonts w:hint="eastAsia" w:ascii="宋体" w:hAnsi="宋体" w:cs="仿宋_GB2312"/>
          <w:color w:val="auto"/>
          <w:sz w:val="24"/>
          <w:highlight w:val="none"/>
        </w:rPr>
        <w:t>承包人应按约定时间和要求，完成以下工作：</w:t>
      </w:r>
    </w:p>
    <w:p w14:paraId="158C41DE">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（1）负责本合同工程的施工图深化设计，包括出图、设计报批等手续，设计需报甲方书面认可，但甲方的认可并不能免除乙方设计缺陷导致的责任。</w:t>
      </w:r>
    </w:p>
    <w:p w14:paraId="40C78E28">
      <w:pPr>
        <w:tabs>
          <w:tab w:val="left" w:pos="142"/>
          <w:tab w:val="left" w:pos="284"/>
        </w:tabs>
        <w:snapToGrid w:val="0"/>
        <w:spacing w:line="360" w:lineRule="auto"/>
        <w:ind w:left="0" w:firstLine="480" w:firstLineChars="200"/>
        <w:rPr>
          <w:rFonts w:ascii="宋体" w:hAnsi="宋体"/>
          <w:color w:val="auto"/>
          <w:highlight w:val="none"/>
        </w:rPr>
      </w:pPr>
      <w:r>
        <w:rPr>
          <w:rFonts w:hint="eastAsia" w:ascii="宋体" w:hAnsi="宋体" w:cs="仿宋_GB2312"/>
          <w:color w:val="auto"/>
          <w:sz w:val="24"/>
          <w:highlight w:val="none"/>
        </w:rPr>
        <w:t>（2）负责本合同工程施工图在满足规范要求及项目所在地供电主管部门要求的前提下对本项目充电桩方案进行优化设计。完成优化后的施工图设计或与工程配套的设计，须经甲方工程师确认后使用。</w:t>
      </w:r>
    </w:p>
    <w:p w14:paraId="5EECCB2A">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（3）本合同工程在某些地段施工时如需要破路下管，乙方负责办理相关申报手续并在</w:t>
      </w:r>
      <w:r>
        <w:rPr>
          <w:rFonts w:hint="eastAsia" w:ascii="宋体" w:hAnsi="宋体" w:cs="仿宋_GB2312"/>
          <w:color w:val="auto"/>
          <w:sz w:val="24"/>
          <w:highlight w:val="none"/>
          <w:lang w:eastAsia="zh-CN"/>
        </w:rPr>
        <w:t>施工</w:t>
      </w:r>
      <w:r>
        <w:rPr>
          <w:rFonts w:hint="eastAsia" w:ascii="宋体" w:hAnsi="宋体" w:cs="仿宋_GB2312"/>
          <w:color w:val="auto"/>
          <w:sz w:val="24"/>
          <w:highlight w:val="none"/>
        </w:rPr>
        <w:t>路段的管线时要合理安排施工工序和时间并开通临时通道，确保现场交通顺利，路面开挖后应及时下管并报验合格后及时进行路面恢复。</w:t>
      </w:r>
    </w:p>
    <w:p w14:paraId="3D3B025E">
      <w:pPr>
        <w:tabs>
          <w:tab w:val="left" w:pos="142"/>
          <w:tab w:val="left" w:pos="284"/>
        </w:tabs>
        <w:snapToGrid w:val="0"/>
        <w:spacing w:line="360" w:lineRule="auto"/>
        <w:ind w:left="0" w:firstLine="480" w:firstLineChars="200"/>
        <w:rPr>
          <w:rFonts w:ascii="宋体" w:hAnsi="宋体"/>
          <w:color w:val="auto"/>
          <w:highlight w:val="none"/>
        </w:rPr>
      </w:pPr>
      <w:r>
        <w:rPr>
          <w:rFonts w:hint="eastAsia" w:ascii="宋体" w:hAnsi="宋体" w:cs="仿宋_GB2312"/>
          <w:color w:val="auto"/>
          <w:sz w:val="24"/>
          <w:highlight w:val="none"/>
        </w:rPr>
        <w:t>（</w:t>
      </w:r>
      <w:r>
        <w:rPr>
          <w:rFonts w:ascii="宋体" w:hAnsi="宋体" w:cs="仿宋_GB2312"/>
          <w:color w:val="auto"/>
          <w:sz w:val="24"/>
          <w:highlight w:val="none"/>
        </w:rPr>
        <w:t>4</w:t>
      </w:r>
      <w:r>
        <w:rPr>
          <w:rFonts w:hint="eastAsia" w:ascii="宋体" w:hAnsi="宋体" w:cs="仿宋_GB2312"/>
          <w:color w:val="auto"/>
          <w:sz w:val="24"/>
          <w:highlight w:val="none"/>
        </w:rPr>
        <w:t>）经供电部门审批同意的设计文件提交时间：乙方在领到图纸及施工过程中有义务对施工蓝图进行深化，提出合理化建议，并提出图纸设计不合理的地方，如果在施工过程中因为图纸设计不合理而导致发生的损失由乙方承担，工期不顺延，如乙方提出合理化建议后，由于甲方、监理及设计单位没有及时处理，造成的损失由责任方承担。完成深化后的施工图设计或与工程配套的设计，须经甲方工程师确认后使用。</w:t>
      </w:r>
    </w:p>
    <w:p w14:paraId="1BD6B08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5</w:t>
      </w:r>
      <w:r>
        <w:rPr>
          <w:rFonts w:hint="eastAsia" w:ascii="宋体" w:hAnsi="宋体" w:cs="仿宋_GB2312"/>
          <w:color w:val="auto"/>
          <w:sz w:val="24"/>
          <w:highlight w:val="none"/>
        </w:rPr>
        <w:t>）应提供计划、报表的名称及完成时间：施工组织设计、管理人员架构表，接到中标通知书3个日历日内报发包人审核，发包人审核不通过的，承包人应限期修改，否则由此导致的逾期竣工责任由承包人承担</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承包人必须按照投标文件的承诺设立现场管理机构，主要技术管理人员必须在开工前全部到位，接受总监理工程师和发包人的查验。编制本合同工程施工组织设计、施工进度计划、设备材料进场计划，并于开工日期前3天送交甲方审批；提交工程年、季、月度计划及进度统计报表，包括但不限于：当月应完成的工程进度和实际完成进度统计报表、下月资金使用计划、进度计划、投入计划等。</w:t>
      </w:r>
    </w:p>
    <w:p w14:paraId="163E3555">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6</w:t>
      </w:r>
      <w:r>
        <w:rPr>
          <w:rFonts w:hint="eastAsia" w:ascii="宋体" w:hAnsi="宋体" w:cs="仿宋_GB2312"/>
          <w:color w:val="auto"/>
          <w:sz w:val="24"/>
          <w:highlight w:val="none"/>
        </w:rPr>
        <w:t>）承担施工安全保卫工作及非夜间施工照明的责任和要求：</w:t>
      </w:r>
      <w:r>
        <w:rPr>
          <w:rFonts w:hint="eastAsia" w:ascii="宋体" w:hAnsi="宋体" w:cs="仿宋_GB2312"/>
          <w:color w:val="auto"/>
          <w:sz w:val="24"/>
          <w:highlight w:val="none"/>
          <w:u w:val="single"/>
        </w:rPr>
        <w:t>按招标文件要求及国家、广东省、广州市、黄埔区相关规定执行，并满足本工程需要。</w:t>
      </w:r>
      <w:r>
        <w:rPr>
          <w:rFonts w:hint="eastAsia" w:ascii="宋体" w:hAnsi="宋体" w:cs="仿宋_GB2312"/>
          <w:bCs/>
          <w:color w:val="auto"/>
          <w:sz w:val="24"/>
          <w:highlight w:val="none"/>
          <w:u w:val="single"/>
        </w:rPr>
        <w:t>根据工程需要，提供和维护施工使用的照明、围栏设施和警卫，并负责整个现场的安全文明施工、安全保卫，施工和警示标志需明显。若承包人未履行上述义务造成工程、财产、人身损害等，由承包人承担责任及因此所发生的一切费用</w:t>
      </w:r>
      <w:r>
        <w:rPr>
          <w:rFonts w:hint="eastAsia" w:ascii="宋体" w:hAnsi="宋体" w:cs="仿宋_GB2312"/>
          <w:bCs/>
          <w:color w:val="auto"/>
          <w:sz w:val="24"/>
          <w:highlight w:val="none"/>
        </w:rPr>
        <w:t>。</w:t>
      </w:r>
    </w:p>
    <w:p w14:paraId="6B90CA0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（7）向发包人或监理工程师提供的办公、交通和生活、通讯设施的要求：承包人自行解决办公、交通、生活及通讯等设施，费用已包含在投标报价内，不另行结算和支付。</w:t>
      </w:r>
    </w:p>
    <w:p w14:paraId="2CA2772F">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（8）需承包人办理的有关施工场地交通、环卫和施工噪音管理等手续：</w:t>
      </w:r>
      <w:r>
        <w:rPr>
          <w:rFonts w:hint="eastAsia" w:ascii="宋体" w:hAnsi="宋体" w:cs="仿宋_GB2312"/>
          <w:color w:val="auto"/>
          <w:sz w:val="24"/>
          <w:highlight w:val="none"/>
          <w:lang w:eastAsia="zh-CN"/>
        </w:rPr>
        <w:t>依法</w:t>
      </w:r>
      <w:r>
        <w:rPr>
          <w:rFonts w:hint="eastAsia" w:ascii="宋体" w:hAnsi="宋体" w:cs="仿宋_GB2312"/>
          <w:color w:val="auto"/>
          <w:sz w:val="24"/>
          <w:highlight w:val="none"/>
          <w:u w:val="single"/>
        </w:rPr>
        <w:t>按工程所在地政府的规定办理并承担由此发生的费用，并在开工后以书面形式知会发包人。</w:t>
      </w:r>
    </w:p>
    <w:p w14:paraId="6FC3126C">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（9）已完工程成品保护的特殊要求及费用承担：</w:t>
      </w:r>
      <w:r>
        <w:rPr>
          <w:rFonts w:hint="eastAsia" w:ascii="宋体" w:hAnsi="宋体" w:cs="仿宋_GB2312"/>
          <w:color w:val="auto"/>
          <w:sz w:val="24"/>
          <w:highlight w:val="none"/>
          <w:u w:val="single"/>
        </w:rPr>
        <w:t>在工程竣工验收且发包人依约接收前，承包人应采取有效措施保护已完成工程不被破坏；已竣工工程未交付发包人之前，承包人负责已完工工程的保护工作；保护期间发生的工程损坏，承包人自费予以修复。</w:t>
      </w:r>
    </w:p>
    <w:p w14:paraId="29A6BCF6">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10）施工场地周围地下管线和邻近建筑物、构筑物（含文物保护建筑）、古树名木的保护要求及费用承担：发包人根据本合同约定的时间向承包人提供地质资料和地下管线资料，资料提供后承包人必须对施工现场的地下管线进行复核勘测，确保安全施工，所需勘测及保护费用包含在投标报价内，不另行结算和支付。如果承包人没有进行复核勘测或复核勘测后没有提供报告给发包人，或没有采取适当保护措施，施工过程中所造成的地下管线损坏、</w:t>
      </w:r>
      <w:r>
        <w:rPr>
          <w:rFonts w:hint="eastAsia" w:ascii="宋体" w:hAnsi="宋体" w:cs="仿宋_GB2312"/>
          <w:color w:val="auto"/>
          <w:sz w:val="24"/>
          <w:highlight w:val="none"/>
          <w:lang w:eastAsia="zh-CN"/>
        </w:rPr>
        <w:t>邻近</w:t>
      </w:r>
      <w:r>
        <w:rPr>
          <w:rFonts w:hint="eastAsia" w:ascii="宋体" w:hAnsi="宋体" w:cs="仿宋_GB2312"/>
          <w:color w:val="auto"/>
          <w:sz w:val="24"/>
          <w:highlight w:val="none"/>
        </w:rPr>
        <w:t>建筑物、构筑物（含文物）的修复及赔偿费用全部由承包人承担。</w:t>
      </w:r>
    </w:p>
    <w:p w14:paraId="7CABE947">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（11）施工场地清洁卫生的要求：</w:t>
      </w:r>
      <w:r>
        <w:rPr>
          <w:rFonts w:hint="eastAsia" w:ascii="宋体" w:hAnsi="宋体" w:cs="仿宋_GB2312"/>
          <w:color w:val="auto"/>
          <w:sz w:val="24"/>
          <w:highlight w:val="none"/>
          <w:u w:val="single"/>
        </w:rPr>
        <w:t>满足文明施工要求</w:t>
      </w:r>
      <w:r>
        <w:rPr>
          <w:rFonts w:ascii="宋体" w:hAnsi="宋体" w:cs="仿宋_GB2312"/>
          <w:color w:val="auto"/>
          <w:sz w:val="24"/>
          <w:highlight w:val="none"/>
          <w:u w:val="single"/>
        </w:rPr>
        <w:t>并达到初开荒的标准</w:t>
      </w:r>
      <w:r>
        <w:rPr>
          <w:rFonts w:hint="eastAsia" w:ascii="宋体" w:hAnsi="宋体" w:cs="仿宋_GB2312"/>
          <w:color w:val="auto"/>
          <w:sz w:val="24"/>
          <w:highlight w:val="none"/>
          <w:u w:val="single"/>
        </w:rPr>
        <w:t>。保证施工场地清洁符合环境卫生管理的有关规定，及时将施工垃圾、余泥运出场外，验收前清理完毕现场，需服从总承包施工管理单位相关现场统一管理要求。该等费用已包含在</w:t>
      </w:r>
      <w:r>
        <w:rPr>
          <w:rFonts w:hint="eastAsia" w:ascii="宋体" w:hAnsi="宋体" w:cs="仿宋_GB2312"/>
          <w:color w:val="auto"/>
          <w:sz w:val="24"/>
          <w:highlight w:val="none"/>
        </w:rPr>
        <w:t>投标报价内，不另行结算和支付。</w:t>
      </w:r>
      <w:r>
        <w:rPr>
          <w:rFonts w:hint="eastAsia" w:ascii="宋体" w:hAnsi="宋体" w:cs="仿宋_GB2312"/>
          <w:color w:val="auto"/>
          <w:sz w:val="24"/>
          <w:highlight w:val="none"/>
          <w:u w:val="single"/>
        </w:rPr>
        <w:t>承包人承担因自身原因违反有关规定造成的损失和罚款。</w:t>
      </w:r>
    </w:p>
    <w:p w14:paraId="6A2146AC">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竣工工程交付前清理现场达到合同约定的要求（包括施工范围内</w:t>
      </w:r>
      <w:r>
        <w:rPr>
          <w:rFonts w:ascii="宋体" w:hAnsi="宋体" w:cs="仿宋_GB2312"/>
          <w:color w:val="auto"/>
          <w:sz w:val="24"/>
          <w:highlight w:val="none"/>
          <w:u w:val="single"/>
        </w:rPr>
        <w:t>的</w:t>
      </w:r>
      <w:r>
        <w:rPr>
          <w:rFonts w:hint="eastAsia" w:ascii="宋体" w:hAnsi="宋体" w:cs="仿宋_GB2312"/>
          <w:color w:val="auto"/>
          <w:sz w:val="24"/>
          <w:highlight w:val="none"/>
          <w:u w:val="single"/>
        </w:rPr>
        <w:t>余土、垃圾、生产和生活临时设施拆除，</w:t>
      </w:r>
      <w:r>
        <w:rPr>
          <w:rFonts w:ascii="宋体" w:hAnsi="宋体" w:cs="仿宋_GB2312"/>
          <w:color w:val="auto"/>
          <w:sz w:val="24"/>
          <w:highlight w:val="none"/>
          <w:u w:val="single"/>
        </w:rPr>
        <w:t>应放置在</w:t>
      </w:r>
      <w:r>
        <w:rPr>
          <w:rFonts w:hint="eastAsia" w:ascii="宋体" w:hAnsi="宋体" w:cs="仿宋_GB2312"/>
          <w:color w:val="auto"/>
          <w:sz w:val="24"/>
          <w:highlight w:val="none"/>
          <w:u w:val="single"/>
        </w:rPr>
        <w:t>总承包</w:t>
      </w:r>
      <w:r>
        <w:rPr>
          <w:rFonts w:ascii="宋体" w:hAnsi="宋体" w:cs="仿宋_GB2312"/>
          <w:color w:val="auto"/>
          <w:sz w:val="24"/>
          <w:highlight w:val="none"/>
          <w:u w:val="single"/>
        </w:rPr>
        <w:t>单位</w:t>
      </w:r>
      <w:r>
        <w:rPr>
          <w:rFonts w:hint="eastAsia" w:ascii="宋体" w:hAnsi="宋体" w:cs="仿宋_GB2312"/>
          <w:color w:val="auto"/>
          <w:sz w:val="24"/>
          <w:highlight w:val="none"/>
          <w:u w:val="single"/>
        </w:rPr>
        <w:t>指定</w:t>
      </w:r>
      <w:r>
        <w:rPr>
          <w:rFonts w:ascii="宋体" w:hAnsi="宋体" w:cs="仿宋_GB2312"/>
          <w:color w:val="auto"/>
          <w:sz w:val="24"/>
          <w:highlight w:val="none"/>
          <w:u w:val="single"/>
        </w:rPr>
        <w:t>位置</w:t>
      </w:r>
      <w:r>
        <w:rPr>
          <w:rFonts w:hint="eastAsia" w:ascii="宋体" w:hAnsi="宋体" w:cs="仿宋_GB2312"/>
          <w:color w:val="auto"/>
          <w:sz w:val="24"/>
          <w:highlight w:val="none"/>
          <w:u w:val="single"/>
        </w:rPr>
        <w:t>），并将门窗、玻璃、天花板、墙面、地面等擦扫干净，厕所厨房的排水和给水管道清理干净、畅通，做到工完场清，该等费用已包含在</w:t>
      </w:r>
      <w:r>
        <w:rPr>
          <w:rFonts w:hint="eastAsia" w:ascii="宋体" w:hAnsi="宋体" w:cs="仿宋_GB2312"/>
          <w:color w:val="auto"/>
          <w:sz w:val="24"/>
          <w:highlight w:val="none"/>
        </w:rPr>
        <w:t>投标报价内，不另行结算和支付</w:t>
      </w:r>
      <w:r>
        <w:rPr>
          <w:rFonts w:hint="eastAsia" w:ascii="宋体" w:hAnsi="宋体" w:cs="仿宋_GB2312"/>
          <w:color w:val="auto"/>
          <w:sz w:val="24"/>
          <w:highlight w:val="none"/>
          <w:u w:val="single"/>
        </w:rPr>
        <w:t>。承包人自行承担因自身原因违反有关规定造成的损失和罚款。</w:t>
      </w:r>
    </w:p>
    <w:p w14:paraId="19A1145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u w:val="single"/>
        </w:rPr>
        <w:t>（12）承包人作为有经验的承包商有义务审核设计图纸的明显不合理处，并提出解决方案，否则由于图纸不合理导致错误、不必要施工所造成的费用，承包人应承担全部责任。</w:t>
      </w:r>
    </w:p>
    <w:p w14:paraId="53954D7A">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color w:val="auto"/>
          <w:sz w:val="24"/>
          <w:highlight w:val="none"/>
        </w:rPr>
        <w:t>（13</w:t>
      </w:r>
      <w:r>
        <w:rPr>
          <w:rFonts w:ascii="宋体" w:hAnsi="宋体" w:cs="仿宋_GB2312"/>
          <w:bCs/>
          <w:color w:val="auto"/>
          <w:sz w:val="24"/>
          <w:highlight w:val="none"/>
        </w:rPr>
        <w:t>）</w:t>
      </w:r>
      <w:r>
        <w:rPr>
          <w:rFonts w:hint="eastAsia" w:ascii="宋体" w:hAnsi="宋体" w:cs="仿宋_GB2312"/>
          <w:bCs/>
          <w:color w:val="auto"/>
          <w:sz w:val="24"/>
          <w:highlight w:val="none"/>
        </w:rPr>
        <w:t>按照国家、广东省、广州市、开发区、黄埔区颁布的法律、法规及相关文件的规定，接受项目总承包单位管理，对施工承包管理、安全生产、文明施工、竣工验收备案、建筑节能等方面作出具体的约定。具体如下：</w:t>
      </w:r>
    </w:p>
    <w:p w14:paraId="21CA2A4C">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①工程施工管理</w:t>
      </w:r>
    </w:p>
    <w:p w14:paraId="63C56B71">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按照国家、广东省、广州市、开发区、黄埔区颁布的法律、法规及相关文件的规定，承包人对本工程所有专业承包工程负全面管理责任。承包人对工程质量及施工现场的安全生产、文明施工等工作负主要责任。</w:t>
      </w:r>
    </w:p>
    <w:p w14:paraId="27B7B2FB">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②安全生产、文明施工</w:t>
      </w:r>
    </w:p>
    <w:p w14:paraId="4D5A145C">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1）承包人承担本工程的安全生产主体责任，负责施工现场的统一管理。</w:t>
      </w:r>
    </w:p>
    <w:p w14:paraId="13CBEAB6">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2）承包人应严格执行《关于加强建设等行业农民工劳动合同管理的通知》（劳社部发〔2005〕9号）等有关法律法规，切实规范用工制度。承包人必须在所有务工人员上岗前与其签订劳动合同，合同中要明确约定双方的权利与义务，规定劳动合同期限、工作内容、劳动保护及劳动条件、劳动报酬和违反劳动合同的责任、依法参加工伤保险、工伤责任等内容。有关劳动报酬的条款，应按照国家有关法律法规及《广东省工资支付条例》《保障农民工工资支付条例》（国务院令第724号）相关要求，明确正常工作时间工资支付标准、支付项目、支付方式、支付周期和日期、特殊情况下的工资支付和其他支付内容以及产生争议的解决方式等。</w:t>
      </w:r>
    </w:p>
    <w:p w14:paraId="10F80111">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3）按照我国相关劳动法律、法规、劳动部门的有关规定，实施农民工工资保证金制度，承包人在合同签订后30个日历天内到劳动部门办理农民工工资保证金手续。</w:t>
      </w:r>
    </w:p>
    <w:p w14:paraId="154D9E74">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4）按照《关于加强建设工地民工安全教育和现场出入管理的通知》【穗建筑</w:t>
      </w:r>
      <w:r>
        <w:rPr>
          <w:rFonts w:hint="eastAsia" w:ascii="宋体" w:hAnsi="宋体" w:cs="仿宋_GB2312"/>
          <w:bCs/>
          <w:color w:val="auto"/>
          <w:sz w:val="24"/>
          <w:highlight w:val="none"/>
          <w:lang w:eastAsia="zh-CN"/>
        </w:rPr>
        <w:t>〔2006〕655号</w:t>
      </w:r>
      <w:r>
        <w:rPr>
          <w:rFonts w:hint="eastAsia" w:ascii="宋体" w:hAnsi="宋体" w:cs="仿宋_GB2312"/>
          <w:bCs/>
          <w:color w:val="auto"/>
          <w:sz w:val="24"/>
          <w:highlight w:val="none"/>
        </w:rPr>
        <w:t>】等规定，承包人应加强对施工人员、材料、设备的进出工地管理。</w:t>
      </w:r>
    </w:p>
    <w:p w14:paraId="5DC4813C">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A</w:t>
      </w:r>
      <w:r>
        <w:rPr>
          <w:rFonts w:hint="eastAsia" w:ascii="宋体" w:hAnsi="宋体" w:cs="仿宋_GB2312"/>
          <w:bCs/>
          <w:color w:val="auto"/>
          <w:sz w:val="24"/>
          <w:highlight w:val="none"/>
          <w:lang w:eastAsia="zh-CN"/>
        </w:rPr>
        <w:t>.</w:t>
      </w:r>
      <w:r>
        <w:rPr>
          <w:rFonts w:hint="eastAsia" w:ascii="宋体" w:hAnsi="宋体" w:cs="仿宋_GB2312"/>
          <w:bCs/>
          <w:color w:val="auto"/>
          <w:sz w:val="24"/>
          <w:highlight w:val="none"/>
        </w:rPr>
        <w:t>落实安全生产三级教育制度。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由此导致损失承包人自行承担；施工机械操作人员必须建立机组责任制，并依照有关规定持证上岗，严禁无证操作。</w:t>
      </w:r>
    </w:p>
    <w:p w14:paraId="569EC45F">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B</w:t>
      </w:r>
      <w:r>
        <w:rPr>
          <w:rFonts w:hint="eastAsia" w:ascii="宋体" w:hAnsi="宋体" w:cs="仿宋_GB2312"/>
          <w:bCs/>
          <w:color w:val="auto"/>
          <w:sz w:val="24"/>
          <w:highlight w:val="none"/>
          <w:lang w:eastAsia="zh-CN"/>
        </w:rPr>
        <w:t>.</w:t>
      </w:r>
      <w:r>
        <w:rPr>
          <w:rFonts w:hint="eastAsia" w:ascii="宋体" w:hAnsi="宋体" w:cs="仿宋_GB2312"/>
          <w:bCs/>
          <w:color w:val="auto"/>
          <w:sz w:val="24"/>
          <w:highlight w:val="none"/>
        </w:rPr>
        <w:t>按照《广州市建筑施工实名制管理办法》规定，落实建筑施工实名制管理工作，按规定定期报送实名制信息。</w:t>
      </w:r>
    </w:p>
    <w:p w14:paraId="23E047BB">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5）承包人在工程实施过程中，按照国家、广东省、广州市、黄埔区和开发区的相关规定制定相关的专项安全施工方案报监理单位、发包人审批后方可开展专项工程的施工。</w:t>
      </w:r>
    </w:p>
    <w:p w14:paraId="6E2C94E4">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6）承包人应按照《广州市建设工程现场文明施工管理规定》【广州市人民政府令第62号】、《广州市建筑工程文明施工检查评分表</w:t>
      </w:r>
      <w:r>
        <w:rPr>
          <w:rFonts w:hint="eastAsia" w:ascii="宋体" w:hAnsi="宋体" w:cs="仿宋_GB2312"/>
          <w:bCs/>
          <w:color w:val="auto"/>
          <w:sz w:val="24"/>
          <w:highlight w:val="none"/>
          <w:lang w:eastAsia="zh-CN"/>
        </w:rPr>
        <w:t>》《</w:t>
      </w:r>
      <w:r>
        <w:rPr>
          <w:rFonts w:hint="eastAsia" w:ascii="宋体" w:hAnsi="宋体" w:cs="仿宋_GB2312"/>
          <w:bCs/>
          <w:color w:val="auto"/>
          <w:sz w:val="24"/>
          <w:highlight w:val="none"/>
        </w:rPr>
        <w:t>关于加强建设工程安全文明施工管理的若干规定》【穗建筑</w:t>
      </w:r>
      <w:r>
        <w:rPr>
          <w:rFonts w:hint="eastAsia" w:ascii="宋体" w:hAnsi="宋体" w:cs="仿宋_GB2312"/>
          <w:bCs/>
          <w:color w:val="auto"/>
          <w:sz w:val="24"/>
          <w:highlight w:val="none"/>
          <w:lang w:eastAsia="zh-CN"/>
        </w:rPr>
        <w:t>〔2002〕94号</w:t>
      </w:r>
      <w:r>
        <w:rPr>
          <w:rFonts w:hint="eastAsia" w:ascii="宋体" w:hAnsi="宋体" w:cs="仿宋_GB2312"/>
          <w:bCs/>
          <w:color w:val="auto"/>
          <w:sz w:val="24"/>
          <w:highlight w:val="none"/>
        </w:rPr>
        <w:t>】、《关于印发广州市建设工程安全生产、文明施工“五挂钩”管理规定的通知》【穗建筑</w:t>
      </w:r>
      <w:r>
        <w:rPr>
          <w:rFonts w:hint="eastAsia" w:ascii="宋体" w:hAnsi="宋体" w:cs="仿宋_GB2312"/>
          <w:bCs/>
          <w:color w:val="auto"/>
          <w:sz w:val="24"/>
          <w:highlight w:val="none"/>
          <w:lang w:eastAsia="zh-CN"/>
        </w:rPr>
        <w:t>〔2002〕393号</w:t>
      </w:r>
      <w:r>
        <w:rPr>
          <w:rFonts w:hint="eastAsia" w:ascii="宋体" w:hAnsi="宋体" w:cs="仿宋_GB2312"/>
          <w:bCs/>
          <w:color w:val="auto"/>
          <w:sz w:val="24"/>
          <w:highlight w:val="none"/>
        </w:rPr>
        <w:t>】、《广州市安全文明施工管理末位工程黄牌警告制度》【穗建筑</w:t>
      </w:r>
      <w:r>
        <w:rPr>
          <w:rFonts w:hint="eastAsia" w:ascii="宋体" w:hAnsi="宋体" w:cs="仿宋_GB2312"/>
          <w:bCs/>
          <w:color w:val="auto"/>
          <w:sz w:val="24"/>
          <w:highlight w:val="none"/>
          <w:lang w:eastAsia="zh-CN"/>
        </w:rPr>
        <w:t>〔2003〕82号</w:t>
      </w:r>
      <w:r>
        <w:rPr>
          <w:rFonts w:hint="eastAsia" w:ascii="宋体" w:hAnsi="宋体" w:cs="仿宋_GB2312"/>
          <w:bCs/>
          <w:color w:val="auto"/>
          <w:sz w:val="24"/>
          <w:highlight w:val="none"/>
        </w:rPr>
        <w:t>】、《广州市建筑工程安全生产文明施工量化管理</w:t>
      </w:r>
      <w:r>
        <w:rPr>
          <w:rFonts w:hint="eastAsia" w:ascii="宋体" w:hAnsi="宋体" w:cs="仿宋_GB2312"/>
          <w:bCs/>
          <w:color w:val="auto"/>
          <w:sz w:val="24"/>
          <w:highlight w:val="none"/>
          <w:lang w:eastAsia="zh-CN"/>
        </w:rPr>
        <w:t>（</w:t>
      </w:r>
      <w:r>
        <w:rPr>
          <w:rFonts w:hint="eastAsia" w:ascii="宋体" w:hAnsi="宋体" w:cs="仿宋_GB2312"/>
          <w:bCs/>
          <w:color w:val="auto"/>
          <w:sz w:val="24"/>
          <w:highlight w:val="none"/>
        </w:rPr>
        <w:t>暂行</w:t>
      </w:r>
      <w:r>
        <w:rPr>
          <w:rFonts w:hint="eastAsia" w:ascii="宋体" w:hAnsi="宋体" w:cs="仿宋_GB2312"/>
          <w:bCs/>
          <w:color w:val="auto"/>
          <w:sz w:val="24"/>
          <w:highlight w:val="none"/>
          <w:lang w:eastAsia="zh-CN"/>
        </w:rPr>
        <w:t>）</w:t>
      </w:r>
      <w:r>
        <w:rPr>
          <w:rFonts w:hint="eastAsia" w:ascii="宋体" w:hAnsi="宋体" w:cs="仿宋_GB2312"/>
          <w:bCs/>
          <w:color w:val="auto"/>
          <w:sz w:val="24"/>
          <w:highlight w:val="none"/>
        </w:rPr>
        <w:t>办法的通知》【穗建筑</w:t>
      </w:r>
      <w:r>
        <w:rPr>
          <w:rFonts w:hint="eastAsia" w:ascii="宋体" w:hAnsi="宋体" w:cs="仿宋_GB2312"/>
          <w:bCs/>
          <w:color w:val="auto"/>
          <w:sz w:val="24"/>
          <w:highlight w:val="none"/>
          <w:lang w:eastAsia="zh-CN"/>
        </w:rPr>
        <w:t>〔2003〕107号</w:t>
      </w:r>
      <w:r>
        <w:rPr>
          <w:rFonts w:hint="eastAsia" w:ascii="宋体" w:hAnsi="宋体" w:cs="仿宋_GB2312"/>
          <w:bCs/>
          <w:color w:val="auto"/>
          <w:sz w:val="24"/>
          <w:highlight w:val="none"/>
        </w:rPr>
        <w:t>】、《广州市住房和城乡建设委员会关于全市建设工地纳入视频监管的通知》【穗建质〔2017〕1166号】等规定做好现场文明施工的管理工作，并按照《广州市建委关于加强施工用临时设施建造管理的通知》【穗建筑</w:t>
      </w:r>
      <w:r>
        <w:rPr>
          <w:rFonts w:hint="eastAsia" w:ascii="宋体" w:hAnsi="宋体" w:cs="仿宋_GB2312"/>
          <w:bCs/>
          <w:color w:val="auto"/>
          <w:sz w:val="24"/>
          <w:highlight w:val="none"/>
          <w:lang w:eastAsia="zh-CN"/>
        </w:rPr>
        <w:t>〔2005〕784号</w:t>
      </w:r>
      <w:r>
        <w:rPr>
          <w:rFonts w:hint="eastAsia" w:ascii="宋体" w:hAnsi="宋体" w:cs="仿宋_GB2312"/>
          <w:bCs/>
          <w:color w:val="auto"/>
          <w:sz w:val="24"/>
          <w:highlight w:val="none"/>
        </w:rPr>
        <w:t>】的规定做好施工用临时设施的建造。</w:t>
      </w:r>
    </w:p>
    <w:p w14:paraId="3F58E55D">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7）承包人应按照《广州市安全文明施工样板工地评选办法（2</w:t>
      </w:r>
      <w:r>
        <w:rPr>
          <w:rFonts w:ascii="宋体" w:hAnsi="宋体" w:cs="仿宋_GB2312"/>
          <w:bCs/>
          <w:color w:val="auto"/>
          <w:sz w:val="24"/>
          <w:highlight w:val="none"/>
        </w:rPr>
        <w:t>017</w:t>
      </w:r>
      <w:r>
        <w:rPr>
          <w:rFonts w:hint="eastAsia" w:ascii="宋体" w:hAnsi="宋体" w:cs="仿宋_GB2312"/>
          <w:bCs/>
          <w:color w:val="auto"/>
          <w:sz w:val="24"/>
          <w:highlight w:val="none"/>
        </w:rPr>
        <w:t>年修订）》等相关规定做好安全生产和文明施工管理工作。</w:t>
      </w:r>
    </w:p>
    <w:p w14:paraId="50640843">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8）为了保证施工现场附近和过往群众的安全与方便，承包人应在施工现场周边路口，施工主要出入道路设置照明、警卫、护栅、警告标志等必要的安全防护措施。</w:t>
      </w:r>
    </w:p>
    <w:p w14:paraId="289DC643">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lang w:eastAsia="zh-CN"/>
        </w:rPr>
        <w:t>9）</w:t>
      </w:r>
      <w:r>
        <w:rPr>
          <w:rFonts w:hint="eastAsia" w:ascii="宋体" w:hAnsi="宋体" w:cs="仿宋_GB2312"/>
          <w:bCs/>
          <w:color w:val="auto"/>
          <w:sz w:val="24"/>
          <w:highlight w:val="none"/>
        </w:rPr>
        <w:t>承包人在施工期间还要确保招标工程外场地清洁及道路等畅通，如</w:t>
      </w:r>
      <w:r>
        <w:rPr>
          <w:rFonts w:hint="eastAsia" w:ascii="宋体" w:hAnsi="宋体" w:cs="仿宋_GB2312"/>
          <w:bCs/>
          <w:color w:val="auto"/>
          <w:sz w:val="24"/>
          <w:highlight w:val="none"/>
          <w:lang w:eastAsia="zh-CN"/>
        </w:rPr>
        <w:t>需</w:t>
      </w:r>
      <w:r>
        <w:rPr>
          <w:rFonts w:hint="eastAsia" w:ascii="宋体" w:hAnsi="宋体" w:cs="仿宋_GB2312"/>
          <w:bCs/>
          <w:color w:val="auto"/>
          <w:sz w:val="24"/>
          <w:highlight w:val="none"/>
        </w:rPr>
        <w:t>使用他方道路，则还必须负责养护、保洁责任，否则由此引起的任何事故由承包人负责，并承担由此产生的一切费用。</w:t>
      </w:r>
    </w:p>
    <w:p w14:paraId="47CBBC99">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ascii="宋体" w:hAnsi="宋体" w:cs="仿宋_GB2312"/>
          <w:bCs/>
          <w:color w:val="auto"/>
          <w:sz w:val="24"/>
          <w:highlight w:val="none"/>
        </w:rPr>
        <w:t>10</w:t>
      </w:r>
      <w:r>
        <w:rPr>
          <w:rFonts w:hint="eastAsia" w:ascii="宋体" w:hAnsi="宋体" w:cs="仿宋_GB2312"/>
          <w:bCs/>
          <w:color w:val="auto"/>
          <w:sz w:val="24"/>
          <w:highlight w:val="none"/>
        </w:rPr>
        <w:t>）承包人应注意对现有的道路、供水管、排水管、绿化、路灯、电力与通讯设施等进行保护，如因承包人原因损坏，承包人应无条件修复，由此引起的任何安全事故由承包人负责，并承担由此产生的一切费用。若不能按要求修复则由发包人委托</w:t>
      </w:r>
      <w:r>
        <w:rPr>
          <w:rFonts w:hint="eastAsia" w:ascii="宋体" w:hAnsi="宋体" w:cs="仿宋_GB2312"/>
          <w:bCs/>
          <w:color w:val="auto"/>
          <w:sz w:val="24"/>
          <w:highlight w:val="none"/>
          <w:lang w:eastAsia="zh-CN"/>
        </w:rPr>
        <w:t>其他</w:t>
      </w:r>
      <w:r>
        <w:rPr>
          <w:rFonts w:hint="eastAsia" w:ascii="宋体" w:hAnsi="宋体" w:cs="仿宋_GB2312"/>
          <w:bCs/>
          <w:color w:val="auto"/>
          <w:sz w:val="24"/>
          <w:highlight w:val="none"/>
        </w:rPr>
        <w:t>单位修复，费用从承包人工程款中扣付。</w:t>
      </w:r>
    </w:p>
    <w:p w14:paraId="6E0F25A0">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③竣工验收备案</w:t>
      </w:r>
    </w:p>
    <w:p w14:paraId="5623687B">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承包人应按照供电</w:t>
      </w:r>
      <w:r>
        <w:rPr>
          <w:rFonts w:ascii="宋体" w:hAnsi="宋体" w:cs="仿宋_GB2312"/>
          <w:bCs/>
          <w:color w:val="auto"/>
          <w:sz w:val="24"/>
          <w:highlight w:val="none"/>
        </w:rPr>
        <w:t>部门的要求</w:t>
      </w:r>
      <w:r>
        <w:rPr>
          <w:rFonts w:hint="eastAsia" w:ascii="宋体" w:hAnsi="宋体" w:cs="仿宋_GB2312"/>
          <w:bCs/>
          <w:color w:val="auto"/>
          <w:sz w:val="24"/>
          <w:highlight w:val="none"/>
        </w:rPr>
        <w:t>做好验收竣工备案工作。</w:t>
      </w:r>
    </w:p>
    <w:p w14:paraId="276C0C2E">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④建筑节能</w:t>
      </w:r>
    </w:p>
    <w:p w14:paraId="771BFDD9">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承包人应按照穗建技</w:t>
      </w:r>
      <w:r>
        <w:rPr>
          <w:rFonts w:hint="eastAsia" w:ascii="宋体" w:hAnsi="宋体" w:cs="仿宋_GB2312"/>
          <w:bCs/>
          <w:color w:val="auto"/>
          <w:sz w:val="24"/>
          <w:highlight w:val="none"/>
          <w:lang w:eastAsia="zh-CN"/>
        </w:rPr>
        <w:t>〔2006〕678号</w:t>
      </w:r>
      <w:r>
        <w:rPr>
          <w:rFonts w:hint="eastAsia" w:ascii="宋体" w:hAnsi="宋体" w:cs="仿宋_GB2312"/>
          <w:bCs/>
          <w:color w:val="auto"/>
          <w:sz w:val="24"/>
          <w:highlight w:val="none"/>
        </w:rPr>
        <w:t xml:space="preserve">文的规定履行建筑节能的责任和义务。严格按照《广东省民用建筑节能条例》《广州市绿色建筑和建筑节能管理规定》的规定进行施工。  </w:t>
      </w:r>
    </w:p>
    <w:p w14:paraId="07E6766E">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⑤环境保护</w:t>
      </w:r>
    </w:p>
    <w:p w14:paraId="2F5A1288">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承包人在工程实施过程中产生的废气、废水、固体废弃物、噪音的排放须符合《中华人民共和国水污染法》《建设项目环境保护管理条例》及国家、省、市的法律、法规的相关规定。</w:t>
      </w:r>
    </w:p>
    <w:p w14:paraId="2D85CA9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eastAsia="zh-CN"/>
        </w:rPr>
        <w:t>（15）</w:t>
      </w:r>
      <w:r>
        <w:rPr>
          <w:rFonts w:hint="eastAsia" w:ascii="宋体" w:hAnsi="宋体" w:cs="仿宋_GB2312"/>
          <w:color w:val="auto"/>
          <w:sz w:val="24"/>
          <w:highlight w:val="none"/>
        </w:rPr>
        <w:t>专业深化设计要求（如有）：</w:t>
      </w:r>
    </w:p>
    <w:p w14:paraId="00B8EA61">
      <w:pPr>
        <w:tabs>
          <w:tab w:val="left" w:pos="142"/>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）中标后，承包人必须按照投标时承诺的期限内完成深化设计所有手续。相关深化设计费包含在投标报价内，不另行结算和支付，无论发包人是否提出变更，均无需另行支付设计费。</w:t>
      </w:r>
    </w:p>
    <w:p w14:paraId="51044C93">
      <w:pPr>
        <w:tabs>
          <w:tab w:val="left" w:pos="142"/>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）深化设计图纸必须经发包人确定后才可送供电部门审核。</w:t>
      </w:r>
    </w:p>
    <w:p w14:paraId="2CFA8C3B">
      <w:pPr>
        <w:tabs>
          <w:tab w:val="left" w:pos="142"/>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w:t>
      </w:r>
      <w:r>
        <w:rPr>
          <w:rFonts w:ascii="宋体" w:hAnsi="宋体" w:cs="仿宋_GB2312"/>
          <w:bCs/>
          <w:color w:val="auto"/>
          <w:sz w:val="24"/>
          <w:highlight w:val="none"/>
        </w:rPr>
        <w:t>16</w:t>
      </w:r>
      <w:r>
        <w:rPr>
          <w:rFonts w:hint="eastAsia" w:ascii="宋体" w:hAnsi="宋体" w:cs="仿宋_GB2312"/>
          <w:bCs/>
          <w:color w:val="auto"/>
          <w:sz w:val="24"/>
          <w:highlight w:val="none"/>
        </w:rPr>
        <w:t>）承包人自行解决施工现场材料、设备的堆放、材料加工等事项，材料保管由承包人自行负责。工程竣工未移交发包人前，承包人负责承包范围内已完工程的成品保护，保护期间发生损坏的，承包人自费修复，给发包人造成损失的，承包人还应负责赔偿。</w:t>
      </w:r>
    </w:p>
    <w:p w14:paraId="22E276CC">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lang w:eastAsia="zh-CN"/>
        </w:rPr>
        <w:t>（17）</w:t>
      </w:r>
      <w:r>
        <w:rPr>
          <w:rFonts w:hint="eastAsia" w:ascii="宋体" w:hAnsi="宋体" w:cs="仿宋_GB2312"/>
          <w:bCs/>
          <w:color w:val="auto"/>
          <w:sz w:val="24"/>
          <w:highlight w:val="none"/>
        </w:rPr>
        <w:t>如果由于承包人原因使工程未达到约定的质量标准并对总承包单位的工程质量及工程进度产生影响，承包人需承担违约责任，并赔偿由此给总承包单位所带来的一切损失。</w:t>
      </w:r>
    </w:p>
    <w:p w14:paraId="64F42EE6">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18）承包人可使用总承包单位搭设的塔吊、井架、室外电梯、脚手架等，在发包人和监理单位的统筹安排下，应按要求使用现有的设备和设施服务，并在发包人和监理单位指定的时间内，完成承包人的垂直运输。上述设施的拆除时间服从发包人和监理单位的安排，若因承包人自身原因而不能在上述设施拆除前完成其相应的工作内容，由承包人自行解决上述设施的使用事宜。</w:t>
      </w:r>
    </w:p>
    <w:p w14:paraId="06B80FA4">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（19）承包人可以使用总承包单位提供的现有脚手架，若因为施工需要而</w:t>
      </w:r>
      <w:r>
        <w:rPr>
          <w:rFonts w:hint="eastAsia" w:ascii="宋体" w:hAnsi="宋体" w:cs="仿宋_GB2312"/>
          <w:bCs/>
          <w:color w:val="auto"/>
          <w:sz w:val="24"/>
          <w:highlight w:val="none"/>
          <w:lang w:eastAsia="zh-CN"/>
        </w:rPr>
        <w:t>修整</w:t>
      </w:r>
      <w:r>
        <w:rPr>
          <w:rFonts w:hint="eastAsia" w:ascii="宋体" w:hAnsi="宋体" w:cs="仿宋_GB2312"/>
          <w:bCs/>
          <w:color w:val="auto"/>
          <w:sz w:val="24"/>
          <w:highlight w:val="none"/>
        </w:rPr>
        <w:t>相关的脚手架，承包人应与总承包单位协调和自行在脚手架铺建符合标准的工作平台，一切费用由承包人负责并包含在</w:t>
      </w:r>
      <w:r>
        <w:rPr>
          <w:rFonts w:hint="eastAsia" w:ascii="宋体" w:hAnsi="宋体" w:cs="仿宋_GB2312"/>
          <w:bCs/>
          <w:color w:val="auto"/>
          <w:sz w:val="24"/>
          <w:highlight w:val="none"/>
          <w:lang w:val="en-US" w:eastAsia="zh-CN"/>
        </w:rPr>
        <w:t>投标报价</w:t>
      </w:r>
      <w:r>
        <w:rPr>
          <w:rFonts w:hint="eastAsia" w:ascii="宋体" w:hAnsi="宋体" w:cs="仿宋_GB2312"/>
          <w:bCs/>
          <w:color w:val="auto"/>
          <w:sz w:val="24"/>
          <w:highlight w:val="none"/>
        </w:rPr>
        <w:t>内。如总承包单位无现有脚手架，承包人需自行搭设，一切费用由承包人负责并包含在</w:t>
      </w:r>
      <w:r>
        <w:rPr>
          <w:rFonts w:hint="eastAsia" w:ascii="宋体" w:hAnsi="宋体" w:cs="仿宋_GB2312"/>
          <w:bCs/>
          <w:color w:val="auto"/>
          <w:sz w:val="24"/>
          <w:highlight w:val="none"/>
          <w:lang w:val="en-US" w:eastAsia="zh-CN"/>
        </w:rPr>
        <w:t>投标报价</w:t>
      </w:r>
      <w:r>
        <w:rPr>
          <w:rFonts w:hint="eastAsia" w:ascii="宋体" w:hAnsi="宋体" w:cs="仿宋_GB2312"/>
          <w:bCs/>
          <w:color w:val="auto"/>
          <w:sz w:val="24"/>
          <w:highlight w:val="none"/>
        </w:rPr>
        <w:t>内。</w:t>
      </w:r>
    </w:p>
    <w:p w14:paraId="5E3CB123">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（20）如总承包单位现有的起重机械或者机具设备无法满足需要，而需另外</w:t>
      </w:r>
      <w:r>
        <w:rPr>
          <w:rFonts w:hint="eastAsia" w:ascii="宋体" w:hAnsi="宋体" w:cs="仿宋_GB2312"/>
          <w:bCs/>
          <w:color w:val="auto"/>
          <w:sz w:val="24"/>
          <w:highlight w:val="none"/>
          <w:lang w:eastAsia="zh-CN"/>
        </w:rPr>
        <w:t>制定方案</w:t>
      </w:r>
      <w:r>
        <w:rPr>
          <w:rFonts w:hint="eastAsia" w:ascii="宋体" w:hAnsi="宋体" w:cs="仿宋_GB2312"/>
          <w:bCs/>
          <w:color w:val="auto"/>
          <w:sz w:val="24"/>
          <w:highlight w:val="none"/>
        </w:rPr>
        <w:t>，由承包人自行解决，相关费用包括在</w:t>
      </w:r>
      <w:r>
        <w:rPr>
          <w:rFonts w:hint="eastAsia" w:ascii="宋体" w:hAnsi="宋体" w:cs="仿宋_GB2312"/>
          <w:bCs/>
          <w:color w:val="auto"/>
          <w:sz w:val="24"/>
          <w:highlight w:val="none"/>
          <w:lang w:val="en-US" w:eastAsia="zh-CN"/>
        </w:rPr>
        <w:t>投标报价</w:t>
      </w:r>
      <w:r>
        <w:rPr>
          <w:rFonts w:hint="eastAsia" w:ascii="宋体" w:hAnsi="宋体" w:cs="仿宋_GB2312"/>
          <w:bCs/>
          <w:color w:val="auto"/>
          <w:sz w:val="24"/>
          <w:highlight w:val="none"/>
        </w:rPr>
        <w:t>内。</w:t>
      </w:r>
    </w:p>
    <w:p w14:paraId="59646C25">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（21）承包人须无条件服从发包人公司相关管理制度及规定。</w:t>
      </w:r>
    </w:p>
    <w:p w14:paraId="7C95BEE0">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发包人有权根据工程实施情况，对本合同的承包范围和承包内容或工程量进行调整，承包人不得因上述原因提出索赔（本合同其他条款约定可进行造价调整的除外），承包人已充分考虑并同意接受该等风险。</w:t>
      </w:r>
    </w:p>
    <w:p w14:paraId="17C885BF">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上述工作所需费用由承包人在投标报价中综合考虑，费用已包在投标报价中，发包人不另行支付。</w:t>
      </w:r>
    </w:p>
    <w:p w14:paraId="02BFB94C">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9.2</w:t>
      </w:r>
      <w:r>
        <w:rPr>
          <w:rFonts w:ascii="宋体" w:hAnsi="宋体" w:cs="宋体"/>
          <w:color w:val="auto"/>
          <w:spacing w:val="1"/>
          <w:kern w:val="0"/>
          <w:sz w:val="24"/>
          <w:highlight w:val="none"/>
        </w:rPr>
        <w:t xml:space="preserve"> </w:t>
      </w:r>
      <w:r>
        <w:rPr>
          <w:rFonts w:hint="eastAsia" w:ascii="宋体" w:hAnsi="宋体" w:cs="宋体"/>
          <w:color w:val="auto"/>
          <w:spacing w:val="1"/>
          <w:kern w:val="0"/>
          <w:sz w:val="24"/>
          <w:highlight w:val="none"/>
        </w:rPr>
        <w:t>网络视频监控要求：承包人必须无条件配合项目总承包施工管理单位遵照《关于广州市建筑工地安装视频监控装置的通知》（穗建筑</w:t>
      </w:r>
      <w:r>
        <w:rPr>
          <w:rFonts w:hint="eastAsia" w:ascii="宋体" w:hAnsi="宋体" w:cs="宋体"/>
          <w:color w:val="auto"/>
          <w:spacing w:val="1"/>
          <w:kern w:val="0"/>
          <w:sz w:val="24"/>
          <w:highlight w:val="none"/>
          <w:lang w:eastAsia="zh-CN"/>
        </w:rPr>
        <w:t>〔2006〕551号</w:t>
      </w:r>
      <w:r>
        <w:rPr>
          <w:rFonts w:hint="eastAsia" w:ascii="宋体" w:hAnsi="宋体" w:cs="宋体"/>
          <w:color w:val="auto"/>
          <w:spacing w:val="1"/>
          <w:kern w:val="0"/>
          <w:sz w:val="24"/>
          <w:highlight w:val="none"/>
        </w:rPr>
        <w:t>）、《关于全面启动广州市社会治安视频监控系统建设有关问题的通知》（穗视频建字</w:t>
      </w:r>
      <w:r>
        <w:rPr>
          <w:rFonts w:hint="eastAsia" w:ascii="宋体" w:hAnsi="宋体" w:cs="宋体"/>
          <w:color w:val="auto"/>
          <w:spacing w:val="1"/>
          <w:kern w:val="0"/>
          <w:sz w:val="24"/>
          <w:highlight w:val="none"/>
          <w:lang w:eastAsia="zh-CN"/>
        </w:rPr>
        <w:t>〔2006〕1号</w:t>
      </w:r>
      <w:r>
        <w:rPr>
          <w:rFonts w:hint="eastAsia" w:ascii="宋体" w:hAnsi="宋体" w:cs="宋体"/>
          <w:color w:val="auto"/>
          <w:spacing w:val="1"/>
          <w:kern w:val="0"/>
          <w:sz w:val="24"/>
          <w:highlight w:val="none"/>
        </w:rPr>
        <w:t>）和《广州市住房和城乡建设委员会关于全市建设工地纳入视频监管的通知》（穗建质</w:t>
      </w:r>
      <w:r>
        <w:rPr>
          <w:rFonts w:hint="eastAsia" w:ascii="宋体" w:hAnsi="宋体" w:cs="宋体"/>
          <w:color w:val="auto"/>
          <w:spacing w:val="1"/>
          <w:kern w:val="0"/>
          <w:sz w:val="24"/>
          <w:highlight w:val="none"/>
          <w:lang w:eastAsia="zh-CN"/>
        </w:rPr>
        <w:t>〔2017〕1166号</w:t>
      </w:r>
      <w:r>
        <w:rPr>
          <w:rFonts w:hint="eastAsia" w:ascii="宋体" w:hAnsi="宋体" w:cs="宋体"/>
          <w:color w:val="auto"/>
          <w:spacing w:val="1"/>
          <w:kern w:val="0"/>
          <w:sz w:val="24"/>
          <w:highlight w:val="none"/>
        </w:rPr>
        <w:t>）的要求，建立满足隐蔽工程和关键工序质量监控、安全文明施工监控、验收监控等需要的视频监控系统（以通过发包人验收为准）等各项工作，涉及本工程合同承包范围内的相应产生的费用均已经包含在投标报价中，结算时不另外单独计算。</w:t>
      </w:r>
    </w:p>
    <w:p w14:paraId="103441F9">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9.3 承包人应当按照国家及广东省、广州市的有关规定和本合同的有关约定加强其参与本工程建设人员（包括施工人员）的管理。</w:t>
      </w:r>
    </w:p>
    <w:p w14:paraId="3FD3AB20">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（1）对工人（包括施工人员，下同）按时足额支付工人工资。</w:t>
      </w:r>
    </w:p>
    <w:p w14:paraId="3658C7E9">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（a）</w:t>
      </w:r>
      <w:r>
        <w:rPr>
          <w:rFonts w:hint="eastAsia" w:ascii="宋体" w:hAnsi="宋体" w:cs="宋体"/>
          <w:color w:val="auto"/>
          <w:spacing w:val="1"/>
          <w:kern w:val="0"/>
          <w:sz w:val="24"/>
          <w:highlight w:val="none"/>
        </w:rPr>
        <w:t xml:space="preserve"> 承包人应当根据劳动合同约定的工人工资标准等内容，按照依法签订的集体合同或劳动合同约定的日期按月支付工资，并不得低于本地最低工资标准。</w:t>
      </w:r>
    </w:p>
    <w:p w14:paraId="06FA14F5">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（b）</w:t>
      </w:r>
      <w:r>
        <w:rPr>
          <w:rFonts w:hint="eastAsia" w:ascii="宋体" w:hAnsi="宋体" w:cs="宋体"/>
          <w:color w:val="auto"/>
          <w:spacing w:val="1"/>
          <w:kern w:val="0"/>
          <w:sz w:val="24"/>
          <w:highlight w:val="none"/>
        </w:rPr>
        <w:t xml:space="preserve"> 承包人应每月编制工人工资支付表，如实记录支付时间、支付对象、支付金额等工资支付情况，并于每月底在其现场管理机构办公场所显眼位置公示，接受监督。</w:t>
      </w:r>
    </w:p>
    <w:p w14:paraId="4302B047">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（c）</w:t>
      </w:r>
      <w:r>
        <w:rPr>
          <w:rFonts w:hint="eastAsia" w:ascii="宋体" w:hAnsi="宋体" w:cs="宋体"/>
          <w:color w:val="auto"/>
          <w:spacing w:val="1"/>
          <w:kern w:val="0"/>
          <w:sz w:val="24"/>
          <w:highlight w:val="none"/>
        </w:rPr>
        <w:t xml:space="preserve"> 承包人应对依法分包的专业承包和劳务分包企业实施统一管理，应执行国家、省、市关于农民工工资实施总承包单位代发制度的相关规定支付工人工资。</w:t>
      </w:r>
      <w:r>
        <w:rPr>
          <w:rFonts w:hint="eastAsia" w:ascii="宋体" w:hAnsi="宋体" w:cs="宋体"/>
          <w:color w:val="auto"/>
          <w:spacing w:val="1"/>
          <w:kern w:val="0"/>
          <w:sz w:val="24"/>
          <w:highlight w:val="none"/>
          <w:lang w:eastAsia="zh-CN"/>
        </w:rPr>
        <w:t>（</w:t>
      </w:r>
      <w:r>
        <w:rPr>
          <w:rFonts w:hint="eastAsia" w:ascii="宋体" w:hAnsi="宋体" w:cs="宋体"/>
          <w:color w:val="auto"/>
          <w:spacing w:val="1"/>
          <w:kern w:val="0"/>
          <w:sz w:val="24"/>
          <w:highlight w:val="none"/>
          <w:lang w:val="en-US" w:eastAsia="zh-CN"/>
        </w:rPr>
        <w:t>如若有</w:t>
      </w:r>
      <w:r>
        <w:rPr>
          <w:rFonts w:hint="eastAsia" w:ascii="宋体" w:hAnsi="宋体" w:cs="宋体"/>
          <w:color w:val="auto"/>
          <w:spacing w:val="1"/>
          <w:kern w:val="0"/>
          <w:sz w:val="24"/>
          <w:highlight w:val="none"/>
          <w:lang w:eastAsia="zh-CN"/>
        </w:rPr>
        <w:t>）</w:t>
      </w:r>
    </w:p>
    <w:p w14:paraId="59317340">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（d）</w:t>
      </w:r>
      <w:r>
        <w:rPr>
          <w:rFonts w:hint="eastAsia" w:ascii="宋体" w:hAnsi="宋体" w:cs="宋体"/>
          <w:color w:val="auto"/>
          <w:spacing w:val="1"/>
          <w:kern w:val="0"/>
          <w:sz w:val="24"/>
          <w:highlight w:val="none"/>
        </w:rPr>
        <w:t xml:space="preserve"> 承包人不按合同及有关规定按时、足额支付分包单位合同价款及工人工资而被投诉或上访属实的，发包人将严格按照合同约定追究其违约责任；如因此致使工人集体上访、集聚围阻而造成社会不良影响的，发包人将有权立即解除与承包人的合同，并上报省、市主管部门建议取消其参加广州地区省、市重大项目的投标资格，并予以公告。如属恶意煽动并造成社会不良影响的，发包人将提请司法部门追究其法律责任。</w:t>
      </w:r>
    </w:p>
    <w:p w14:paraId="591F47D3">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（e）</w:t>
      </w:r>
      <w:r>
        <w:rPr>
          <w:rFonts w:hint="eastAsia" w:ascii="宋体" w:hAnsi="宋体" w:cs="宋体"/>
          <w:color w:val="auto"/>
          <w:spacing w:val="1"/>
          <w:kern w:val="0"/>
          <w:sz w:val="24"/>
          <w:highlight w:val="none"/>
        </w:rPr>
        <w:t xml:space="preserve"> 由于承包人或其管理的分包单位、劳务合作单位拖欠工人工资，致使发包人被投诉或起诉而须先行垫付工人工资的，发包人除追究承包人和</w:t>
      </w:r>
      <w:r>
        <w:rPr>
          <w:rFonts w:hint="eastAsia" w:ascii="宋体" w:hAnsi="宋体" w:cs="宋体"/>
          <w:color w:val="auto"/>
          <w:spacing w:val="1"/>
          <w:kern w:val="0"/>
          <w:sz w:val="24"/>
          <w:highlight w:val="none"/>
          <w:lang w:eastAsia="zh-CN"/>
        </w:rPr>
        <w:t>其他</w:t>
      </w:r>
      <w:r>
        <w:rPr>
          <w:rFonts w:hint="eastAsia" w:ascii="宋体" w:hAnsi="宋体" w:cs="宋体"/>
          <w:color w:val="auto"/>
          <w:spacing w:val="1"/>
          <w:kern w:val="0"/>
          <w:sz w:val="24"/>
          <w:highlight w:val="none"/>
        </w:rPr>
        <w:t>相关责任单位的违约责任外，还将在工程结算时扣回相关款项作为补偿。</w:t>
      </w:r>
    </w:p>
    <w:p w14:paraId="201340DF">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lang w:eastAsia="zh-CN"/>
        </w:rPr>
        <w:t>（f）</w:t>
      </w:r>
      <w:r>
        <w:rPr>
          <w:rFonts w:hint="eastAsia" w:ascii="宋体" w:hAnsi="宋体" w:cs="宋体"/>
          <w:color w:val="auto"/>
          <w:spacing w:val="1"/>
          <w:kern w:val="0"/>
          <w:sz w:val="24"/>
          <w:highlight w:val="none"/>
        </w:rPr>
        <w:t xml:space="preserve"> 承包人必须以高度负责的态度，对存在的可能引发劳资纠纷的各种因素进行排查，及时化解、处理可能发生劳资纠纷的不稳定因素；尤其是对恶意煽动工人集体上访、集聚围阻的行为，要善于及时发现并敢于揭露、制止，创造安全、文明、和谐的环境。</w:t>
      </w:r>
    </w:p>
    <w:p w14:paraId="1DAC6EF9">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（2）成立处理劳资纠纷的协调机构</w:t>
      </w:r>
    </w:p>
    <w:p w14:paraId="7B2A16A1">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承包人必须成立处理劳资纠纷的协调机构，承包人主管领导和项目经理要亲自负责，配备专职人员，及时化解劳资矛盾及纠纷，并及时揭露、制止恶意煽动工人集体上访、集聚围阻的行为，保证不发生工人集体上访、集聚围阻等事件。</w:t>
      </w:r>
    </w:p>
    <w:p w14:paraId="18B305F8">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9.4 承包人未能履行通用条款第9.1条，本专用条款第9.1条、第9.2条和第9.</w:t>
      </w:r>
      <w:r>
        <w:rPr>
          <w:rFonts w:hint="eastAsia" w:ascii="宋体" w:hAnsi="宋体" w:cs="宋体"/>
          <w:color w:val="auto"/>
          <w:spacing w:val="1"/>
          <w:kern w:val="0"/>
          <w:sz w:val="24"/>
          <w:highlight w:val="none"/>
          <w:lang w:val="en-US" w:eastAsia="zh-CN"/>
        </w:rPr>
        <w:t>3</w:t>
      </w:r>
      <w:r>
        <w:rPr>
          <w:rFonts w:hint="eastAsia" w:ascii="宋体" w:hAnsi="宋体" w:cs="宋体"/>
          <w:color w:val="auto"/>
          <w:spacing w:val="1"/>
          <w:kern w:val="0"/>
          <w:sz w:val="24"/>
          <w:highlight w:val="none"/>
        </w:rPr>
        <w:t>条各项义务，造成发包人损失的，承包人赔偿发包人有关损失。</w:t>
      </w:r>
    </w:p>
    <w:p w14:paraId="26F8A8BA">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9</w:t>
      </w:r>
      <w:r>
        <w:rPr>
          <w:rFonts w:ascii="宋体" w:hAnsi="宋体" w:cs="宋体"/>
          <w:color w:val="auto"/>
          <w:spacing w:val="1"/>
          <w:kern w:val="0"/>
          <w:sz w:val="24"/>
          <w:highlight w:val="none"/>
        </w:rPr>
        <w:t>.5</w:t>
      </w:r>
      <w:r>
        <w:rPr>
          <w:rFonts w:hint="eastAsia" w:ascii="宋体" w:hAnsi="宋体" w:cs="宋体"/>
          <w:color w:val="auto"/>
          <w:spacing w:val="1"/>
          <w:kern w:val="0"/>
          <w:sz w:val="24"/>
          <w:highlight w:val="none"/>
        </w:rPr>
        <w:t xml:space="preserve"> </w:t>
      </w:r>
      <w:r>
        <w:rPr>
          <w:rFonts w:ascii="宋体" w:hAnsi="宋体" w:cs="宋体"/>
          <w:color w:val="auto"/>
          <w:spacing w:val="1"/>
          <w:kern w:val="0"/>
          <w:sz w:val="24"/>
          <w:highlight w:val="none"/>
        </w:rPr>
        <w:t>承包人应</w:t>
      </w:r>
      <w:r>
        <w:rPr>
          <w:rFonts w:hint="eastAsia" w:ascii="宋体" w:hAnsi="宋体" w:cs="宋体"/>
          <w:color w:val="auto"/>
          <w:spacing w:val="1"/>
          <w:kern w:val="0"/>
          <w:sz w:val="24"/>
          <w:highlight w:val="none"/>
        </w:rPr>
        <w:t>服从发包人管理，</w:t>
      </w:r>
      <w:r>
        <w:rPr>
          <w:rFonts w:ascii="宋体" w:hAnsi="宋体" w:cs="宋体"/>
          <w:color w:val="auto"/>
          <w:spacing w:val="1"/>
          <w:kern w:val="0"/>
          <w:sz w:val="24"/>
          <w:highlight w:val="none"/>
        </w:rPr>
        <w:t>在签订本合同的同时按招标文件提供的格式与发包人签订《工程质量保修书》《工程建设廉洁协议书》《安全生产合同》等文件。</w:t>
      </w:r>
    </w:p>
    <w:p w14:paraId="2C6DB2CD">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9.6 承包人应服从总承包单位的管理，与总承包单位签订</w:t>
      </w:r>
      <w:r>
        <w:rPr>
          <w:rFonts w:ascii="宋体" w:hAnsi="宋体" w:cs="宋体"/>
          <w:color w:val="auto"/>
          <w:spacing w:val="1"/>
          <w:kern w:val="0"/>
          <w:sz w:val="24"/>
          <w:highlight w:val="none"/>
        </w:rPr>
        <w:t>《工程质量保修书》《安全生产合同》等文件</w:t>
      </w:r>
      <w:r>
        <w:rPr>
          <w:rFonts w:hint="eastAsia" w:ascii="宋体" w:hAnsi="宋体" w:cs="宋体"/>
          <w:color w:val="auto"/>
          <w:spacing w:val="1"/>
          <w:kern w:val="0"/>
          <w:sz w:val="24"/>
          <w:highlight w:val="none"/>
        </w:rPr>
        <w:t>。如若需要，承包人应配合与发包人、总承包单位签订三方管理服务协议。</w:t>
      </w:r>
    </w:p>
    <w:p w14:paraId="0771240A">
      <w:pPr>
        <w:tabs>
          <w:tab w:val="left" w:pos="142"/>
          <w:tab w:val="left" w:pos="284"/>
        </w:tabs>
        <w:autoSpaceDE w:val="0"/>
        <w:autoSpaceDN w:val="0"/>
        <w:adjustRightInd w:val="0"/>
        <w:spacing w:line="360" w:lineRule="auto"/>
        <w:ind w:right="-106" w:firstLine="484" w:firstLineChars="200"/>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9.7 配合项目总承包施工管理单位对本项目进行备案验收，以及对本合同范围内的竣工资料进行统一管理、归集和报送等工作。</w:t>
      </w:r>
    </w:p>
    <w:p w14:paraId="1A8044A3">
      <w:pPr>
        <w:tabs>
          <w:tab w:val="left" w:pos="142"/>
          <w:tab w:val="left" w:pos="284"/>
        </w:tabs>
        <w:adjustRightInd w:val="0"/>
        <w:snapToGrid w:val="0"/>
        <w:spacing w:line="360" w:lineRule="auto"/>
        <w:ind w:right="11" w:firstLine="484" w:firstLineChars="200"/>
        <w:rPr>
          <w:rFonts w:ascii="宋体" w:hAnsi="宋体" w:cs="宋体"/>
          <w:bCs/>
          <w:snapToGrid w:val="0"/>
          <w:color w:val="auto"/>
          <w:kern w:val="0"/>
          <w:sz w:val="24"/>
          <w:highlight w:val="none"/>
        </w:rPr>
      </w:pPr>
      <w:r>
        <w:rPr>
          <w:rFonts w:hint="eastAsia" w:ascii="宋体" w:hAnsi="宋体" w:cs="宋体"/>
          <w:color w:val="auto"/>
          <w:spacing w:val="1"/>
          <w:kern w:val="0"/>
          <w:sz w:val="24"/>
          <w:highlight w:val="none"/>
        </w:rPr>
        <w:t xml:space="preserve">9.8  </w:t>
      </w:r>
      <w:r>
        <w:rPr>
          <w:rFonts w:hint="eastAsia" w:ascii="宋体" w:hAnsi="宋体" w:cs="宋体"/>
          <w:bCs/>
          <w:snapToGrid w:val="0"/>
          <w:color w:val="auto"/>
          <w:kern w:val="0"/>
          <w:sz w:val="24"/>
          <w:highlight w:val="none"/>
        </w:rPr>
        <w:t>承包人对本合同工程的安全文明施工负责，若承包人不履行服务义务，发包人有权另行委托他人实施，所产生的费用加上</w:t>
      </w:r>
      <w:r>
        <w:rPr>
          <w:rFonts w:ascii="宋体" w:hAnsi="宋体" w:cs="宋体"/>
          <w:bCs/>
          <w:snapToGrid w:val="0"/>
          <w:color w:val="auto"/>
          <w:kern w:val="0"/>
          <w:sz w:val="24"/>
          <w:highlight w:val="none"/>
        </w:rPr>
        <w:t>15％管理费由承包人承担。</w:t>
      </w:r>
      <w:r>
        <w:rPr>
          <w:rFonts w:hint="eastAsia" w:ascii="宋体" w:hAnsi="宋体" w:cs="宋体"/>
          <w:bCs/>
          <w:snapToGrid w:val="0"/>
          <w:color w:val="auto"/>
          <w:kern w:val="0"/>
          <w:sz w:val="24"/>
          <w:highlight w:val="none"/>
        </w:rPr>
        <w:t>承包人按照验收要求负责整理完整竣工资料后报予</w:t>
      </w:r>
      <w:r>
        <w:rPr>
          <w:rFonts w:hint="eastAsia" w:ascii="宋体" w:hAnsi="宋体" w:cs="宋体"/>
          <w:color w:val="auto"/>
          <w:sz w:val="24"/>
          <w:highlight w:val="none"/>
        </w:rPr>
        <w:t>项目总承包施工管理单位</w:t>
      </w:r>
      <w:r>
        <w:rPr>
          <w:rFonts w:hint="eastAsia" w:ascii="宋体" w:hAnsi="宋体" w:cs="宋体"/>
          <w:bCs/>
          <w:snapToGrid w:val="0"/>
          <w:color w:val="auto"/>
          <w:kern w:val="0"/>
          <w:sz w:val="24"/>
          <w:highlight w:val="none"/>
        </w:rPr>
        <w:t>（有关费用均已包含在合同总价中）。</w:t>
      </w:r>
    </w:p>
    <w:p w14:paraId="45D5F31D">
      <w:pPr>
        <w:pStyle w:val="33"/>
        <w:tabs>
          <w:tab w:val="left" w:pos="142"/>
          <w:tab w:val="left" w:pos="284"/>
        </w:tabs>
        <w:spacing w:line="360" w:lineRule="auto"/>
        <w:ind w:firstLine="420" w:firstLineChars="200"/>
        <w:rPr>
          <w:color w:val="auto"/>
          <w:highlight w:val="none"/>
        </w:rPr>
      </w:pPr>
    </w:p>
    <w:p w14:paraId="3BDC6778">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三、施工组织设计和工期</w:t>
      </w:r>
    </w:p>
    <w:p w14:paraId="117A2875">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10.</w:t>
      </w:r>
      <w:r>
        <w:rPr>
          <w:rFonts w:hint="eastAsia" w:ascii="宋体" w:hAnsi="宋体" w:cs="仿宋_GB2312"/>
          <w:b/>
          <w:color w:val="auto"/>
          <w:sz w:val="24"/>
          <w:highlight w:val="none"/>
        </w:rPr>
        <w:t>进度计划</w:t>
      </w:r>
    </w:p>
    <w:p w14:paraId="166EDD6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10</w:t>
      </w:r>
      <w:r>
        <w:rPr>
          <w:rFonts w:ascii="宋体" w:hAnsi="宋体" w:cs="仿宋_GB2312"/>
          <w:color w:val="auto"/>
          <w:sz w:val="24"/>
          <w:highlight w:val="none"/>
        </w:rPr>
        <w:t xml:space="preserve">.1 </w:t>
      </w:r>
      <w:r>
        <w:rPr>
          <w:rFonts w:hint="eastAsia" w:ascii="宋体" w:hAnsi="宋体" w:cs="仿宋_GB2312"/>
          <w:color w:val="auto"/>
          <w:sz w:val="24"/>
          <w:highlight w:val="none"/>
        </w:rPr>
        <w:t>承包人提供施工组织设计</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施工方案</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和进度计划时间：</w:t>
      </w:r>
    </w:p>
    <w:p w14:paraId="362FBA04">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ascii="宋体" w:hAnsi="宋体" w:cs="仿宋_GB2312"/>
          <w:color w:val="auto"/>
          <w:sz w:val="24"/>
          <w:highlight w:val="none"/>
          <w:u w:val="single"/>
        </w:rPr>
        <w:t>1</w:t>
      </w:r>
      <w:r>
        <w:rPr>
          <w:rFonts w:hint="eastAsia" w:ascii="宋体" w:hAnsi="宋体" w:cs="仿宋_GB2312"/>
          <w:color w:val="auto"/>
          <w:sz w:val="24"/>
          <w:highlight w:val="none"/>
          <w:u w:val="single"/>
        </w:rPr>
        <w:t>）承包人应于接到中标通知书7个日历天内提交施工组织设计（施工方案）给发包人。</w:t>
      </w:r>
    </w:p>
    <w:p w14:paraId="5FFFF4E2">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承包人编制的工程进度计划内容应全面详实，且应针对承包管理范围内的各专业承包工程的全部或分项施工作业和特点提出施工方法、施工穿插顺序及时间安排，并在各节点位置标注相应的工程量、资金使用计划、人机组织及材料消耗量。承包人提交的施工组织设计应当按监理工程师及国家、广东省、广州市及广州开发区关于施工承包管理的要求编制。承包人提交的施工组织设计应当载明如下内容，并按发包人要求的施工主要节点实施计划（包括但不限于）：</w:t>
      </w:r>
    </w:p>
    <w:p w14:paraId="79625C3D">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1）各分部分项工程的施工方案；</w:t>
      </w:r>
    </w:p>
    <w:p w14:paraId="4D797DB4">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（2）</w:t>
      </w:r>
      <w:r>
        <w:rPr>
          <w:rFonts w:ascii="宋体" w:hAnsi="宋体" w:cs="仿宋_GB2312"/>
          <w:color w:val="auto"/>
          <w:sz w:val="24"/>
          <w:highlight w:val="none"/>
          <w:u w:val="single"/>
        </w:rPr>
        <w:t>组织、协调及配合服务的管理方案，包括在施工项目部管理人员架构中设置针对各专业工程对口专业管理人员且明确其职责；</w:t>
      </w:r>
    </w:p>
    <w:p w14:paraId="48D851A9">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3）施工资源投入计划，包括：机械设备进场计划、工程材料和物料进场计划、施工人员进场计划等</w:t>
      </w:r>
      <w:r>
        <w:rPr>
          <w:rFonts w:hint="eastAsia" w:ascii="宋体" w:hAnsi="宋体" w:cs="仿宋_GB2312"/>
          <w:color w:val="auto"/>
          <w:sz w:val="24"/>
          <w:highlight w:val="none"/>
          <w:u w:val="single"/>
        </w:rPr>
        <w:t>。</w:t>
      </w:r>
    </w:p>
    <w:p w14:paraId="2DC1901F">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4）施工现场平面布置图及施工道路平面图；</w:t>
      </w:r>
    </w:p>
    <w:p w14:paraId="75C2B2ED">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5）保证工期、质量的措施；</w:t>
      </w:r>
    </w:p>
    <w:p w14:paraId="49571ABE">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（6</w:t>
      </w:r>
      <w:r>
        <w:rPr>
          <w:rFonts w:ascii="宋体" w:hAnsi="宋体" w:cs="仿宋_GB2312"/>
          <w:color w:val="auto"/>
          <w:sz w:val="24"/>
          <w:highlight w:val="none"/>
          <w:u w:val="single"/>
        </w:rPr>
        <w:t>）保证安全生产，文明施工，减少扰民降低环境污染和噪音的措施；</w:t>
      </w:r>
    </w:p>
    <w:p w14:paraId="2DA9D366">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（7</w:t>
      </w:r>
      <w:r>
        <w:rPr>
          <w:rFonts w:ascii="宋体" w:hAnsi="宋体" w:cs="仿宋_GB2312"/>
          <w:color w:val="auto"/>
          <w:sz w:val="24"/>
          <w:highlight w:val="none"/>
          <w:u w:val="single"/>
        </w:rPr>
        <w:t>）其他与工程施工有关的管理方案、措施。</w:t>
      </w:r>
    </w:p>
    <w:p w14:paraId="671FCADE">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ascii="宋体" w:hAnsi="宋体" w:cs="仿宋_GB2312"/>
          <w:color w:val="auto"/>
          <w:sz w:val="24"/>
          <w:highlight w:val="none"/>
        </w:rPr>
        <w:t>2</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总监理工程师在接到承包人提交的施工组织设计和工程进度计划后3个日历日内，予以确认或提出修改意见。</w:t>
      </w:r>
    </w:p>
    <w:p w14:paraId="49B6862F">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10</w:t>
      </w:r>
      <w:r>
        <w:rPr>
          <w:rFonts w:ascii="宋体" w:hAnsi="宋体" w:cs="仿宋_GB2312"/>
          <w:color w:val="auto"/>
          <w:sz w:val="24"/>
          <w:highlight w:val="none"/>
          <w:u w:val="single"/>
        </w:rPr>
        <w:t>.2</w:t>
      </w:r>
      <w:r>
        <w:rPr>
          <w:rFonts w:hint="eastAsia" w:ascii="宋体" w:hAnsi="宋体" w:cs="仿宋_GB2312"/>
          <w:color w:val="auto"/>
          <w:sz w:val="24"/>
          <w:highlight w:val="none"/>
          <w:u w:val="single"/>
        </w:rPr>
        <w:t>为便于总监理工程师掌握和控制工期，承包人应于每月底向总监理工程师填报当月进度计划完成情况（</w:t>
      </w:r>
      <w:r>
        <w:rPr>
          <w:rFonts w:hint="eastAsia" w:ascii="宋体" w:hAnsi="宋体" w:cs="仿宋_GB2312"/>
          <w:color w:val="auto"/>
          <w:sz w:val="24"/>
          <w:highlight w:val="none"/>
          <w:u w:val="single"/>
          <w:lang w:eastAsia="zh-CN"/>
        </w:rPr>
        <w:t>未</w:t>
      </w:r>
      <w:r>
        <w:rPr>
          <w:rFonts w:hint="eastAsia" w:ascii="宋体" w:hAnsi="宋体" w:cs="仿宋_GB2312"/>
          <w:color w:val="auto"/>
          <w:sz w:val="24"/>
          <w:highlight w:val="none"/>
          <w:u w:val="single"/>
        </w:rPr>
        <w:t>完成计划的必须说明原因），并在此基础上更新工程进度计划、资金计划和</w:t>
      </w:r>
      <w:r>
        <w:rPr>
          <w:rFonts w:hint="eastAsia" w:ascii="宋体" w:hAnsi="宋体" w:cs="仿宋_GB2312"/>
          <w:color w:val="auto"/>
          <w:sz w:val="24"/>
          <w:highlight w:val="none"/>
          <w:u w:val="single"/>
          <w:lang w:eastAsia="zh-CN"/>
        </w:rPr>
        <w:t>其他</w:t>
      </w:r>
      <w:r>
        <w:rPr>
          <w:rFonts w:hint="eastAsia" w:ascii="宋体" w:hAnsi="宋体" w:cs="仿宋_GB2312"/>
          <w:color w:val="auto"/>
          <w:sz w:val="24"/>
          <w:highlight w:val="none"/>
          <w:u w:val="single"/>
        </w:rPr>
        <w:t>工作计划。总监理工程师在接到报告后予以确认或提出书面意见，承包人必须按照总监理工程师的确认或者书面意见执行。（报总监理工程师的同时，抄送一份给发包人。）</w:t>
      </w:r>
    </w:p>
    <w:p w14:paraId="7A468340">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10</w:t>
      </w:r>
      <w:r>
        <w:rPr>
          <w:rFonts w:ascii="宋体" w:hAnsi="宋体" w:cs="仿宋_GB2312"/>
          <w:color w:val="auto"/>
          <w:sz w:val="24"/>
          <w:highlight w:val="none"/>
        </w:rPr>
        <w:t>.3</w:t>
      </w:r>
      <w:r>
        <w:rPr>
          <w:rFonts w:hint="eastAsia" w:ascii="宋体" w:hAnsi="宋体" w:cs="仿宋_GB2312"/>
          <w:color w:val="auto"/>
          <w:sz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导致工程实际进度与经总监理工程师确认的进度计划或者更新进度计划不符，则承包人无权要求发包人支付任何附加费用。如承包人未能在工程师发布指令后</w:t>
      </w:r>
      <w:r>
        <w:rPr>
          <w:rFonts w:ascii="宋体" w:hAnsi="宋体" w:cs="仿宋_GB2312"/>
          <w:color w:val="auto"/>
          <w:sz w:val="24"/>
          <w:highlight w:val="none"/>
          <w:u w:val="single"/>
        </w:rPr>
        <w:t>10</w:t>
      </w:r>
      <w:r>
        <w:rPr>
          <w:rFonts w:hint="eastAsia" w:ascii="宋体" w:hAnsi="宋体" w:cs="仿宋_GB2312"/>
          <w:color w:val="auto"/>
          <w:sz w:val="24"/>
          <w:highlight w:val="none"/>
          <w:u w:val="single"/>
        </w:rPr>
        <w:t>天内采取有效措施，工程进度仍然延误的，发包人有权部分或全部解除合同，将未完工程另行发包或者划拨给其他有能力的承包商，承包人必须无条件服从，由此所造成的损失全部由承包人承担，并不免除承包人的违约赔偿责任。</w:t>
      </w:r>
    </w:p>
    <w:p w14:paraId="7E2627B5">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11.</w:t>
      </w:r>
      <w:r>
        <w:rPr>
          <w:rFonts w:hint="eastAsia" w:ascii="宋体" w:hAnsi="宋体" w:cs="仿宋_GB2312"/>
          <w:b/>
          <w:color w:val="auto"/>
          <w:sz w:val="24"/>
          <w:highlight w:val="none"/>
        </w:rPr>
        <w:t>开工及延期开工</w:t>
      </w:r>
    </w:p>
    <w:p w14:paraId="18CE3588">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1</w:t>
      </w:r>
      <w:r>
        <w:rPr>
          <w:rFonts w:ascii="宋体" w:hAnsi="宋体" w:cs="仿宋_GB2312"/>
          <w:color w:val="auto"/>
          <w:sz w:val="24"/>
          <w:highlight w:val="none"/>
        </w:rPr>
        <w:t xml:space="preserve">.1 </w:t>
      </w:r>
      <w:r>
        <w:rPr>
          <w:rFonts w:hint="eastAsia" w:ascii="宋体" w:hAnsi="宋体" w:cs="仿宋_GB2312"/>
          <w:color w:val="auto"/>
          <w:sz w:val="24"/>
          <w:highlight w:val="none"/>
        </w:rPr>
        <w:t>开工日期</w:t>
      </w:r>
      <w:bookmarkStart w:id="49" w:name="_GoBack"/>
      <w:r>
        <w:rPr>
          <w:rFonts w:hint="eastAsia" w:ascii="宋体" w:hAnsi="宋体" w:cs="仿宋_GB2312"/>
          <w:color w:val="auto"/>
          <w:sz w:val="24"/>
          <w:highlight w:val="none"/>
        </w:rPr>
        <w:t>和竣工日期</w:t>
      </w:r>
    </w:p>
    <w:p w14:paraId="26F9638C">
      <w:pPr>
        <w:tabs>
          <w:tab w:val="left" w:pos="4100"/>
        </w:tabs>
        <w:autoSpaceDE w:val="0"/>
        <w:autoSpaceDN w:val="0"/>
        <w:adjustRightInd w:val="0"/>
        <w:snapToGrid w:val="0"/>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1</w:t>
      </w:r>
      <w:r>
        <w:rPr>
          <w:rFonts w:ascii="宋体" w:hAnsi="宋体" w:cs="仿宋_GB2312"/>
          <w:color w:val="auto"/>
          <w:sz w:val="24"/>
          <w:highlight w:val="none"/>
        </w:rPr>
        <w:t>.1.1</w:t>
      </w:r>
      <w:r>
        <w:rPr>
          <w:rFonts w:hint="eastAsia" w:ascii="宋体" w:hAnsi="宋体" w:cs="仿宋_GB2312"/>
          <w:color w:val="auto"/>
          <w:sz w:val="24"/>
          <w:highlight w:val="none"/>
        </w:rPr>
        <w:t>本工程工期为</w:t>
      </w:r>
      <w:r>
        <w:rPr>
          <w:rFonts w:hint="eastAsia" w:ascii="宋体" w:hAnsi="宋体" w:cs="仿宋_GB2312"/>
          <w:color w:val="auto"/>
          <w:sz w:val="24"/>
          <w:highlight w:val="none"/>
          <w:u w:val="single"/>
        </w:rPr>
        <w:t xml:space="preserve"> 300 </w:t>
      </w:r>
      <w:r>
        <w:rPr>
          <w:rFonts w:hint="eastAsia" w:ascii="宋体" w:hAnsi="宋体" w:cs="仿宋_GB2312"/>
          <w:color w:val="auto"/>
          <w:sz w:val="24"/>
          <w:highlight w:val="none"/>
        </w:rPr>
        <w:t>个日历天。其中开工时间初定为</w:t>
      </w:r>
      <w:r>
        <w:rPr>
          <w:rFonts w:hint="eastAsia" w:ascii="宋体" w:hAnsi="宋体" w:cs="仿宋_GB2312"/>
          <w:color w:val="auto"/>
          <w:sz w:val="24"/>
          <w:highlight w:val="none"/>
          <w:u w:val="single"/>
        </w:rPr>
        <w:t xml:space="preserve">2025 </w:t>
      </w:r>
      <w:r>
        <w:rPr>
          <w:rFonts w:hint="eastAsia" w:ascii="宋体" w:hAnsi="宋体" w:cs="仿宋_GB2312"/>
          <w:color w:val="auto"/>
          <w:sz w:val="24"/>
          <w:highlight w:val="none"/>
        </w:rPr>
        <w:t>年</w:t>
      </w:r>
      <w:r>
        <w:rPr>
          <w:rFonts w:hint="eastAsia" w:ascii="宋体" w:hAnsi="宋体" w:cs="仿宋_GB2312"/>
          <w:color w:val="auto"/>
          <w:sz w:val="24"/>
          <w:highlight w:val="none"/>
          <w:u w:val="single"/>
          <w:lang w:val="en-US" w:eastAsia="zh-CN"/>
        </w:rPr>
        <w:t>11</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30</w:t>
      </w:r>
      <w:r>
        <w:rPr>
          <w:rFonts w:hint="eastAsia" w:ascii="宋体" w:hAnsi="宋体" w:cs="仿宋_GB2312"/>
          <w:color w:val="auto"/>
          <w:sz w:val="24"/>
          <w:highlight w:val="none"/>
        </w:rPr>
        <w:t>日。</w:t>
      </w:r>
    </w:p>
    <w:p w14:paraId="02B58892">
      <w:pPr>
        <w:tabs>
          <w:tab w:val="left" w:pos="410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Style w:val="38"/>
          <w:rFonts w:hint="eastAsia"/>
          <w:b w:val="0"/>
          <w:color w:val="auto"/>
          <w:sz w:val="24"/>
          <w:szCs w:val="24"/>
          <w:highlight w:val="none"/>
        </w:rPr>
        <w:t>三期A区专变（A区地下室和会所用电）</w:t>
      </w:r>
      <w:r>
        <w:rPr>
          <w:rFonts w:hint="eastAsia" w:ascii="宋体" w:hAnsi="宋体" w:cs="宋体"/>
          <w:color w:val="auto"/>
          <w:kern w:val="0"/>
          <w:sz w:val="24"/>
          <w:highlight w:val="none"/>
        </w:rPr>
        <w:t>共</w:t>
      </w:r>
      <w:r>
        <w:rPr>
          <w:rFonts w:hint="eastAsia" w:ascii="宋体" w:hAnsi="宋体" w:cs="宋体"/>
          <w:color w:val="auto"/>
          <w:kern w:val="0"/>
          <w:sz w:val="24"/>
          <w:highlight w:val="none"/>
          <w:u w:val="single"/>
        </w:rPr>
        <w:t xml:space="preserve"> 45 </w:t>
      </w:r>
      <w:r>
        <w:rPr>
          <w:rFonts w:hint="eastAsia" w:ascii="宋体" w:hAnsi="宋体" w:cs="宋体"/>
          <w:color w:val="auto"/>
          <w:kern w:val="0"/>
          <w:sz w:val="24"/>
          <w:highlight w:val="none"/>
        </w:rPr>
        <w:t xml:space="preserve">个日历天，暂定开工日期：2025 年 </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月 30 日，竣工日期：</w:t>
      </w: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 xml:space="preserve"> 日；</w:t>
      </w:r>
    </w:p>
    <w:p w14:paraId="33818B36">
      <w:pPr>
        <w:spacing w:line="360" w:lineRule="auto"/>
        <w:ind w:firstLine="480" w:firstLineChars="200"/>
        <w:rPr>
          <w:rFonts w:ascii="宋体" w:hAnsi="宋体" w:cs="宋体"/>
          <w:color w:val="auto"/>
          <w:kern w:val="0"/>
          <w:sz w:val="24"/>
          <w:highlight w:val="none"/>
        </w:rPr>
      </w:pPr>
      <w:r>
        <w:rPr>
          <w:rStyle w:val="38"/>
          <w:rFonts w:hint="eastAsia"/>
          <w:b w:val="0"/>
          <w:color w:val="auto"/>
          <w:sz w:val="24"/>
          <w:szCs w:val="24"/>
          <w:highlight w:val="none"/>
        </w:rPr>
        <w:t xml:space="preserve">悦辰花园三期A区公变（叠墅和充电桩）外电工期共 90 个日历天，暂定为2025 年 </w:t>
      </w:r>
      <w:r>
        <w:rPr>
          <w:rStyle w:val="38"/>
          <w:rFonts w:hint="eastAsia"/>
          <w:b w:val="0"/>
          <w:color w:val="auto"/>
          <w:sz w:val="24"/>
          <w:szCs w:val="24"/>
          <w:highlight w:val="none"/>
          <w:lang w:val="en-US" w:eastAsia="zh-CN"/>
        </w:rPr>
        <w:t>11</w:t>
      </w:r>
      <w:r>
        <w:rPr>
          <w:rStyle w:val="38"/>
          <w:rFonts w:hint="eastAsia"/>
          <w:b w:val="0"/>
          <w:color w:val="auto"/>
          <w:sz w:val="24"/>
          <w:szCs w:val="24"/>
          <w:highlight w:val="none"/>
        </w:rPr>
        <w:t xml:space="preserve">月 30日至 2026 年 </w:t>
      </w:r>
      <w:r>
        <w:rPr>
          <w:rStyle w:val="38"/>
          <w:rFonts w:hint="eastAsia"/>
          <w:b w:val="0"/>
          <w:color w:val="auto"/>
          <w:sz w:val="24"/>
          <w:szCs w:val="24"/>
          <w:highlight w:val="none"/>
          <w:lang w:val="en-US" w:eastAsia="zh-CN"/>
        </w:rPr>
        <w:t>2</w:t>
      </w:r>
      <w:r>
        <w:rPr>
          <w:rStyle w:val="38"/>
          <w:rFonts w:hint="eastAsia"/>
          <w:b w:val="0"/>
          <w:color w:val="auto"/>
          <w:sz w:val="24"/>
          <w:szCs w:val="24"/>
          <w:highlight w:val="none"/>
        </w:rPr>
        <w:t xml:space="preserve">月 </w:t>
      </w:r>
      <w:r>
        <w:rPr>
          <w:rStyle w:val="38"/>
          <w:rFonts w:hint="eastAsia"/>
          <w:b w:val="0"/>
          <w:color w:val="auto"/>
          <w:sz w:val="24"/>
          <w:szCs w:val="24"/>
          <w:highlight w:val="none"/>
          <w:lang w:val="en-US" w:eastAsia="zh-CN"/>
        </w:rPr>
        <w:t>27</w:t>
      </w:r>
      <w:r>
        <w:rPr>
          <w:rStyle w:val="38"/>
          <w:rFonts w:hint="eastAsia"/>
          <w:b w:val="0"/>
          <w:color w:val="auto"/>
          <w:sz w:val="24"/>
          <w:szCs w:val="24"/>
          <w:highlight w:val="none"/>
        </w:rPr>
        <w:t xml:space="preserve"> 日。</w:t>
      </w:r>
    </w:p>
    <w:p w14:paraId="0343400C">
      <w:pPr>
        <w:tabs>
          <w:tab w:val="left" w:pos="2300"/>
          <w:tab w:val="left" w:pos="3260"/>
          <w:tab w:val="left" w:pos="3980"/>
          <w:tab w:val="left" w:pos="6740"/>
          <w:tab w:val="left" w:pos="7700"/>
          <w:tab w:val="left" w:pos="8420"/>
        </w:tabs>
        <w:autoSpaceDE w:val="0"/>
        <w:autoSpaceDN w:val="0"/>
        <w:adjustRightInd w:val="0"/>
        <w:snapToGrid w:val="0"/>
        <w:spacing w:line="360" w:lineRule="auto"/>
        <w:ind w:firstLine="480" w:firstLineChars="200"/>
        <w:jc w:val="left"/>
        <w:rPr>
          <w:rFonts w:ascii="宋体" w:hAnsi="宋体" w:cs="宋体"/>
          <w:color w:val="auto"/>
          <w:kern w:val="0"/>
          <w:sz w:val="24"/>
          <w:highlight w:val="none"/>
        </w:rPr>
      </w:pPr>
      <w:r>
        <w:rPr>
          <w:rStyle w:val="38"/>
          <w:rFonts w:hint="eastAsia"/>
          <w:b w:val="0"/>
          <w:color w:val="auto"/>
          <w:sz w:val="24"/>
          <w:szCs w:val="24"/>
          <w:highlight w:val="none"/>
        </w:rPr>
        <w:t>三期B区外电工期（专变和公变）</w:t>
      </w:r>
      <w:r>
        <w:rPr>
          <w:rFonts w:hint="eastAsia" w:ascii="宋体" w:hAnsi="宋体" w:cs="宋体"/>
          <w:color w:val="auto"/>
          <w:kern w:val="0"/>
          <w:sz w:val="24"/>
          <w:highlight w:val="none"/>
        </w:rPr>
        <w:t>共</w:t>
      </w:r>
      <w:r>
        <w:rPr>
          <w:rFonts w:hint="eastAsia" w:ascii="宋体" w:hAnsi="宋体" w:cs="宋体"/>
          <w:color w:val="auto"/>
          <w:kern w:val="0"/>
          <w:sz w:val="24"/>
          <w:highlight w:val="none"/>
          <w:u w:val="single"/>
        </w:rPr>
        <w:t xml:space="preserve">  210 </w:t>
      </w:r>
      <w:r>
        <w:rPr>
          <w:rFonts w:hint="eastAsia" w:ascii="宋体" w:hAnsi="宋体" w:cs="宋体"/>
          <w:color w:val="auto"/>
          <w:kern w:val="0"/>
          <w:sz w:val="24"/>
          <w:highlight w:val="none"/>
        </w:rPr>
        <w:t>个日历天，暂定开工日期：</w:t>
      </w:r>
      <w:r>
        <w:rPr>
          <w:rStyle w:val="38"/>
          <w:rFonts w:hint="eastAsia"/>
          <w:b w:val="0"/>
          <w:color w:val="auto"/>
          <w:sz w:val="24"/>
          <w:szCs w:val="24"/>
          <w:highlight w:val="none"/>
        </w:rPr>
        <w:t>2026年</w:t>
      </w:r>
      <w:r>
        <w:rPr>
          <w:rStyle w:val="38"/>
          <w:rFonts w:hint="eastAsia"/>
          <w:b w:val="0"/>
          <w:color w:val="auto"/>
          <w:sz w:val="24"/>
          <w:szCs w:val="24"/>
          <w:highlight w:val="none"/>
          <w:lang w:val="en-US" w:eastAsia="zh-CN"/>
        </w:rPr>
        <w:t>2</w:t>
      </w:r>
      <w:r>
        <w:rPr>
          <w:rStyle w:val="38"/>
          <w:rFonts w:hint="eastAsia"/>
          <w:b w:val="0"/>
          <w:color w:val="auto"/>
          <w:sz w:val="24"/>
          <w:szCs w:val="24"/>
          <w:highlight w:val="none"/>
        </w:rPr>
        <w:t>月28</w:t>
      </w:r>
      <w:r>
        <w:rPr>
          <w:rStyle w:val="38"/>
          <w:rFonts w:hint="eastAsia"/>
          <w:b w:val="0"/>
          <w:color w:val="auto"/>
          <w:sz w:val="24"/>
          <w:szCs w:val="24"/>
          <w:highlight w:val="none"/>
          <w:lang w:eastAsia="zh-CN"/>
        </w:rPr>
        <w:t>日</w:t>
      </w:r>
      <w:r>
        <w:rPr>
          <w:rFonts w:hint="eastAsia" w:ascii="宋体" w:hAnsi="宋体" w:cs="宋体"/>
          <w:color w:val="auto"/>
          <w:kern w:val="0"/>
          <w:sz w:val="24"/>
          <w:highlight w:val="none"/>
        </w:rPr>
        <w:t>；竣工日期：</w:t>
      </w:r>
      <w:r>
        <w:rPr>
          <w:rStyle w:val="38"/>
          <w:rFonts w:hint="eastAsia"/>
          <w:b w:val="0"/>
          <w:color w:val="auto"/>
          <w:sz w:val="24"/>
          <w:szCs w:val="24"/>
          <w:highlight w:val="none"/>
        </w:rPr>
        <w:t>2026 年</w:t>
      </w:r>
      <w:r>
        <w:rPr>
          <w:rStyle w:val="38"/>
          <w:rFonts w:hint="eastAsia"/>
          <w:b w:val="0"/>
          <w:color w:val="auto"/>
          <w:sz w:val="24"/>
          <w:szCs w:val="24"/>
          <w:highlight w:val="none"/>
          <w:lang w:val="en-US" w:eastAsia="zh-CN"/>
        </w:rPr>
        <w:t>9</w:t>
      </w:r>
      <w:r>
        <w:rPr>
          <w:rStyle w:val="38"/>
          <w:rFonts w:hint="eastAsia"/>
          <w:b w:val="0"/>
          <w:color w:val="auto"/>
          <w:sz w:val="24"/>
          <w:szCs w:val="24"/>
          <w:highlight w:val="none"/>
        </w:rPr>
        <w:t>月 25 日</w:t>
      </w:r>
      <w:r>
        <w:rPr>
          <w:rFonts w:hint="eastAsia" w:ascii="宋体" w:hAnsi="宋体" w:cs="宋体"/>
          <w:color w:val="auto"/>
          <w:kern w:val="0"/>
          <w:sz w:val="24"/>
          <w:highlight w:val="none"/>
        </w:rPr>
        <w:t>；具体各分项开工日期以甲方签发的开工通知书确定的日期为准；若甲方无另行开工通知的，乙方应按照前述约定日期开工。以上竣工日期乙方须保证于此日期前通过当地供电局验收合格并送电。</w:t>
      </w:r>
    </w:p>
    <w:p w14:paraId="2047DB6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w:t>
      </w:r>
      <w:r>
        <w:rPr>
          <w:rFonts w:ascii="宋体" w:hAnsi="宋体" w:cs="仿宋_GB2312"/>
          <w:color w:val="auto"/>
          <w:sz w:val="24"/>
          <w:highlight w:val="none"/>
        </w:rPr>
        <w:t>.1.2</w:t>
      </w:r>
      <w:r>
        <w:rPr>
          <w:rFonts w:hint="eastAsia" w:ascii="宋体" w:hAnsi="宋体" w:cs="仿宋_GB2312"/>
          <w:color w:val="auto"/>
          <w:sz w:val="24"/>
          <w:highlight w:val="none"/>
        </w:rPr>
        <w:t>承包人必须采取一切有效措施保证竣工日期，不得延误。除非发生了以下情</w:t>
      </w:r>
      <w:bookmarkEnd w:id="49"/>
      <w:r>
        <w:rPr>
          <w:rFonts w:hint="eastAsia" w:ascii="宋体" w:hAnsi="宋体" w:cs="仿宋_GB2312"/>
          <w:color w:val="auto"/>
          <w:sz w:val="24"/>
          <w:highlight w:val="none"/>
        </w:rPr>
        <w:t>形：</w:t>
      </w:r>
    </w:p>
    <w:p w14:paraId="7FB7EA48">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1</w:t>
      </w:r>
      <w:r>
        <w:rPr>
          <w:rFonts w:hint="eastAsia" w:ascii="宋体" w:hAnsi="宋体" w:cs="仿宋_GB2312"/>
          <w:color w:val="auto"/>
          <w:sz w:val="24"/>
          <w:highlight w:val="none"/>
          <w:u w:val="single"/>
        </w:rPr>
        <w:t>）政府或发包人决定对本工程建设项目作出停建、缓建的决定；</w:t>
      </w:r>
    </w:p>
    <w:p w14:paraId="4DA3C86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2</w:t>
      </w:r>
      <w:r>
        <w:rPr>
          <w:rFonts w:hint="eastAsia" w:ascii="宋体" w:hAnsi="宋体" w:cs="仿宋_GB2312"/>
          <w:color w:val="auto"/>
          <w:sz w:val="24"/>
          <w:highlight w:val="none"/>
          <w:u w:val="single"/>
        </w:rPr>
        <w:t>）重大设计变更导致本工程在规划、使用、功能方面有重大调整；</w:t>
      </w:r>
    </w:p>
    <w:p w14:paraId="1F4B5DF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3</w:t>
      </w:r>
      <w:r>
        <w:rPr>
          <w:rFonts w:hint="eastAsia" w:ascii="宋体" w:hAnsi="宋体" w:cs="仿宋_GB2312"/>
          <w:color w:val="auto"/>
          <w:sz w:val="24"/>
          <w:highlight w:val="none"/>
          <w:u w:val="single"/>
        </w:rPr>
        <w:t>）不可抗力持续影响导致本工程实际无法施工且延误工期超过</w:t>
      </w:r>
      <w:r>
        <w:rPr>
          <w:rFonts w:ascii="宋体" w:hAnsi="宋体" w:cs="仿宋_GB2312"/>
          <w:color w:val="auto"/>
          <w:sz w:val="24"/>
          <w:highlight w:val="none"/>
          <w:u w:val="single"/>
        </w:rPr>
        <w:t>12</w:t>
      </w:r>
      <w:r>
        <w:rPr>
          <w:rFonts w:hint="eastAsia" w:ascii="宋体" w:hAnsi="宋体" w:cs="仿宋_GB2312"/>
          <w:color w:val="auto"/>
          <w:sz w:val="24"/>
          <w:highlight w:val="none"/>
          <w:u w:val="single"/>
        </w:rPr>
        <w:t>天以上。</w:t>
      </w:r>
    </w:p>
    <w:p w14:paraId="296000E8">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1</w:t>
      </w:r>
      <w:r>
        <w:rPr>
          <w:rFonts w:ascii="宋体" w:hAnsi="宋体" w:cs="仿宋_GB2312"/>
          <w:color w:val="auto"/>
          <w:sz w:val="24"/>
          <w:highlight w:val="none"/>
        </w:rPr>
        <w:t xml:space="preserve">.2 </w:t>
      </w:r>
      <w:r>
        <w:rPr>
          <w:rFonts w:hint="eastAsia" w:ascii="宋体" w:hAnsi="宋体" w:cs="仿宋_GB2312"/>
          <w:color w:val="auto"/>
          <w:sz w:val="24"/>
          <w:highlight w:val="none"/>
        </w:rPr>
        <w:t>延期开工：</w:t>
      </w:r>
    </w:p>
    <w:p w14:paraId="630F7EA6">
      <w:pPr>
        <w:tabs>
          <w:tab w:val="left" w:pos="142"/>
          <w:tab w:val="left" w:pos="284"/>
        </w:tabs>
        <w:snapToGrid w:val="0"/>
        <w:spacing w:line="360" w:lineRule="auto"/>
        <w:ind w:firstLine="482" w:firstLineChars="200"/>
        <w:rPr>
          <w:rFonts w:ascii="宋体" w:hAnsi="宋体" w:cs="仿宋_GB2312"/>
          <w:color w:val="auto"/>
          <w:sz w:val="24"/>
          <w:highlight w:val="none"/>
        </w:rPr>
      </w:pPr>
      <w:r>
        <w:rPr>
          <w:rFonts w:hint="eastAsia" w:ascii="宋体" w:hAnsi="宋体" w:cs="仿宋_GB2312"/>
          <w:b/>
          <w:bCs/>
          <w:color w:val="auto"/>
          <w:sz w:val="24"/>
          <w:highlight w:val="none"/>
        </w:rPr>
        <w:t>承包人必须在收到中标通知书后五个日历天内进入施工场地，做好施工准备工作，按时开工。</w:t>
      </w:r>
      <w:r>
        <w:rPr>
          <w:rFonts w:hint="eastAsia" w:ascii="宋体" w:hAnsi="宋体" w:cs="仿宋_GB2312"/>
          <w:color w:val="auto"/>
          <w:sz w:val="24"/>
          <w:highlight w:val="none"/>
        </w:rPr>
        <w:t>在工程已具备开工条件、但因承包人自身的原因（包括但不限于项目经理及现场管理机构尚未到位）而无法实际开工的，经发包人书面同意，总监理工程师有权签发开工令，并随后签发停工令，现场不允许开工，工期自开工令签发之日起开始计算；待承包人准备妥当后，经发包人书面同意，总监理工程师可批准复工。由此产生的工期延误等损失由承包人承担，并按照本合同的约定承担违约责任。</w:t>
      </w:r>
    </w:p>
    <w:p w14:paraId="647A9340">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因发包人原因不能按照协议书约定的开工日期开工或暂停施工的，总监理工程师应通知承包人推迟开工日期，经监理单位、发包人确认后，工期可相应顺延，但不作费用补偿或任何其他形式的赔偿。</w:t>
      </w:r>
    </w:p>
    <w:p w14:paraId="4D6FDC22">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12.</w:t>
      </w:r>
      <w:r>
        <w:rPr>
          <w:rFonts w:hint="eastAsia" w:ascii="宋体" w:hAnsi="宋体" w:cs="仿宋_GB2312"/>
          <w:b/>
          <w:color w:val="auto"/>
          <w:sz w:val="24"/>
          <w:highlight w:val="none"/>
        </w:rPr>
        <w:t>暂停施工</w:t>
      </w:r>
    </w:p>
    <w:p w14:paraId="575CF50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2</w:t>
      </w:r>
      <w:r>
        <w:rPr>
          <w:rFonts w:ascii="宋体" w:hAnsi="宋体" w:cs="仿宋_GB2312"/>
          <w:color w:val="auto"/>
          <w:sz w:val="24"/>
          <w:highlight w:val="none"/>
        </w:rPr>
        <w:t>.1</w:t>
      </w:r>
      <w:r>
        <w:rPr>
          <w:rFonts w:hint="eastAsia" w:ascii="宋体" w:hAnsi="宋体" w:cs="仿宋_GB2312"/>
          <w:color w:val="auto"/>
          <w:sz w:val="24"/>
          <w:highlight w:val="none"/>
        </w:rPr>
        <w:t xml:space="preserve"> 因下列原因，总监理工程师报经发包人同意，可通知承包人暂停施工：</w:t>
      </w:r>
    </w:p>
    <w:p w14:paraId="24318808">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1</w:t>
      </w:r>
      <w:r>
        <w:rPr>
          <w:rFonts w:hint="eastAsia" w:ascii="宋体" w:hAnsi="宋体" w:cs="仿宋_GB2312"/>
          <w:color w:val="auto"/>
          <w:sz w:val="24"/>
          <w:highlight w:val="none"/>
          <w:u w:val="single"/>
        </w:rPr>
        <w:t>）工程设计发生重大变更；</w:t>
      </w:r>
    </w:p>
    <w:p w14:paraId="1B3C5700">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2</w:t>
      </w:r>
      <w:r>
        <w:rPr>
          <w:rFonts w:hint="eastAsia" w:ascii="宋体" w:hAnsi="宋体" w:cs="仿宋_GB2312"/>
          <w:color w:val="auto"/>
          <w:sz w:val="24"/>
          <w:highlight w:val="none"/>
          <w:u w:val="single"/>
        </w:rPr>
        <w:t>）不可抗力；</w:t>
      </w:r>
    </w:p>
    <w:p w14:paraId="74E26866">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3</w:t>
      </w:r>
      <w:r>
        <w:rPr>
          <w:rFonts w:hint="eastAsia" w:ascii="宋体" w:hAnsi="宋体" w:cs="仿宋_GB2312"/>
          <w:color w:val="auto"/>
          <w:sz w:val="24"/>
          <w:highlight w:val="none"/>
          <w:u w:val="single"/>
        </w:rPr>
        <w:t>）质量事故；</w:t>
      </w:r>
    </w:p>
    <w:p w14:paraId="2CCC033F">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4</w:t>
      </w:r>
      <w:r>
        <w:rPr>
          <w:rFonts w:hint="eastAsia" w:ascii="宋体" w:hAnsi="宋体" w:cs="仿宋_GB2312"/>
          <w:color w:val="auto"/>
          <w:sz w:val="24"/>
          <w:highlight w:val="none"/>
          <w:u w:val="single"/>
        </w:rPr>
        <w:t>）安全生产事故；</w:t>
      </w:r>
    </w:p>
    <w:p w14:paraId="29A55AD6">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5</w:t>
      </w:r>
      <w:r>
        <w:rPr>
          <w:rFonts w:hint="eastAsia" w:ascii="宋体" w:hAnsi="宋体" w:cs="仿宋_GB2312"/>
          <w:color w:val="auto"/>
          <w:sz w:val="24"/>
          <w:highlight w:val="none"/>
          <w:u w:val="single"/>
        </w:rPr>
        <w:t>）因承包人管理不善，可能导致现场混乱；</w:t>
      </w:r>
    </w:p>
    <w:p w14:paraId="479A7A24">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6</w:t>
      </w:r>
      <w:r>
        <w:rPr>
          <w:rFonts w:hint="eastAsia" w:ascii="宋体" w:hAnsi="宋体" w:cs="仿宋_GB2312"/>
          <w:color w:val="auto"/>
          <w:sz w:val="24"/>
          <w:highlight w:val="none"/>
          <w:u w:val="single"/>
        </w:rPr>
        <w:t>）承包人违规施工，经总监理工程师通知改正但仍不执行。</w:t>
      </w:r>
    </w:p>
    <w:p w14:paraId="0C4C8BFA">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承包人不得以与发包人有争议或争议未解决为由而单方面停工。否则，按照约定承担违约责任。</w:t>
      </w:r>
    </w:p>
    <w:p w14:paraId="6FA2A19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因发生上述第（</w:t>
      </w:r>
      <w:r>
        <w:rPr>
          <w:rFonts w:ascii="宋体" w:hAnsi="宋体" w:cs="仿宋_GB2312"/>
          <w:color w:val="auto"/>
          <w:sz w:val="24"/>
          <w:highlight w:val="none"/>
          <w:u w:val="single"/>
        </w:rPr>
        <w:t>1</w:t>
      </w:r>
      <w:r>
        <w:rPr>
          <w:rFonts w:hint="eastAsia" w:ascii="宋体" w:hAnsi="宋体" w:cs="仿宋_GB2312"/>
          <w:color w:val="auto"/>
          <w:sz w:val="24"/>
          <w:highlight w:val="none"/>
          <w:u w:val="single"/>
        </w:rPr>
        <w:t>）、（</w:t>
      </w:r>
      <w:r>
        <w:rPr>
          <w:rFonts w:ascii="宋体" w:hAnsi="宋体" w:cs="仿宋_GB2312"/>
          <w:color w:val="auto"/>
          <w:sz w:val="24"/>
          <w:highlight w:val="none"/>
          <w:u w:val="single"/>
        </w:rPr>
        <w:t>2</w:t>
      </w:r>
      <w:r>
        <w:rPr>
          <w:rFonts w:hint="eastAsia" w:ascii="宋体" w:hAnsi="宋体" w:cs="仿宋_GB2312"/>
          <w:color w:val="auto"/>
          <w:sz w:val="24"/>
          <w:highlight w:val="none"/>
          <w:u w:val="single"/>
        </w:rPr>
        <w:t>）项原因而暂停施工的，工期可协商调整，但发包人不</w:t>
      </w:r>
      <w:r>
        <w:rPr>
          <w:rFonts w:hint="eastAsia" w:ascii="宋体" w:hAnsi="宋体" w:cs="仿宋_GB2312"/>
          <w:color w:val="auto"/>
          <w:sz w:val="24"/>
          <w:highlight w:val="none"/>
          <w:u w:val="single"/>
          <w:lang w:eastAsia="zh-CN"/>
        </w:rPr>
        <w:t>做任何赔偿</w:t>
      </w:r>
      <w:r>
        <w:rPr>
          <w:rFonts w:hint="eastAsia" w:ascii="宋体" w:hAnsi="宋体" w:cs="仿宋_GB2312"/>
          <w:color w:val="auto"/>
          <w:sz w:val="24"/>
          <w:highlight w:val="none"/>
          <w:u w:val="single"/>
        </w:rPr>
        <w:t>责任，承包人不得因此进行索赔；因发生上述第（</w:t>
      </w:r>
      <w:r>
        <w:rPr>
          <w:rFonts w:ascii="宋体" w:hAnsi="宋体" w:cs="仿宋_GB2312"/>
          <w:color w:val="auto"/>
          <w:sz w:val="24"/>
          <w:highlight w:val="none"/>
          <w:u w:val="single"/>
        </w:rPr>
        <w:t>3</w:t>
      </w:r>
      <w:r>
        <w:rPr>
          <w:rFonts w:hint="eastAsia" w:ascii="宋体" w:hAnsi="宋体" w:cs="仿宋_GB2312"/>
          <w:color w:val="auto"/>
          <w:sz w:val="24"/>
          <w:highlight w:val="none"/>
          <w:u w:val="single"/>
        </w:rPr>
        <w:t>）、</w:t>
      </w:r>
      <w:r>
        <w:rPr>
          <w:rFonts w:hint="eastAsia" w:ascii="宋体" w:hAnsi="宋体" w:cs="仿宋_GB2312"/>
          <w:color w:val="auto"/>
          <w:sz w:val="24"/>
          <w:highlight w:val="none"/>
          <w:u w:val="single"/>
          <w:lang w:eastAsia="zh-CN"/>
        </w:rPr>
        <w:t>（4）（5）</w:t>
      </w:r>
      <w:r>
        <w:rPr>
          <w:rFonts w:hint="eastAsia" w:ascii="宋体" w:hAnsi="宋体" w:cs="仿宋_GB2312"/>
          <w:color w:val="auto"/>
          <w:sz w:val="24"/>
          <w:highlight w:val="none"/>
          <w:u w:val="single"/>
        </w:rPr>
        <w:t>（</w:t>
      </w:r>
      <w:r>
        <w:rPr>
          <w:rFonts w:ascii="宋体" w:hAnsi="宋体" w:cs="仿宋_GB2312"/>
          <w:color w:val="auto"/>
          <w:sz w:val="24"/>
          <w:highlight w:val="none"/>
          <w:u w:val="single"/>
        </w:rPr>
        <w:t>6</w:t>
      </w:r>
      <w:r>
        <w:rPr>
          <w:rFonts w:hint="eastAsia" w:ascii="宋体" w:hAnsi="宋体" w:cs="仿宋_GB2312"/>
          <w:color w:val="auto"/>
          <w:sz w:val="24"/>
          <w:highlight w:val="none"/>
          <w:u w:val="single"/>
        </w:rPr>
        <w:t>）项原因而暂停施工的，工期不予顺延</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承包人必须承担由此发生的费用并向发包人承担违约责任。</w:t>
      </w:r>
    </w:p>
    <w:p w14:paraId="4D1D879A">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2</w:t>
      </w:r>
      <w:r>
        <w:rPr>
          <w:rFonts w:ascii="宋体" w:hAnsi="宋体" w:cs="仿宋_GB2312"/>
          <w:color w:val="auto"/>
          <w:sz w:val="24"/>
          <w:highlight w:val="none"/>
        </w:rPr>
        <w:t>.2</w:t>
      </w:r>
      <w:r>
        <w:rPr>
          <w:rFonts w:hint="eastAsia" w:ascii="宋体" w:hAnsi="宋体" w:cs="仿宋_GB2312"/>
          <w:color w:val="auto"/>
          <w:sz w:val="24"/>
          <w:highlight w:val="none"/>
        </w:rPr>
        <w:t xml:space="preserve"> 为了保证工程质量安全，凡出现下列情况之一（不限于此）的，发包人或总监理工程师有权下达停工令，责令承包人停工整改，由此造成的损失由承包人自行承担，工期不予顺延，如果造成工期延误的，承包人还应承担违约责任。</w:t>
      </w:r>
    </w:p>
    <w:p w14:paraId="00E7FAE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lang w:eastAsia="zh-CN"/>
        </w:rPr>
        <w:t>（1）</w:t>
      </w:r>
      <w:r>
        <w:rPr>
          <w:rFonts w:hint="eastAsia" w:ascii="宋体" w:hAnsi="宋体" w:cs="仿宋_GB2312"/>
          <w:color w:val="auto"/>
          <w:sz w:val="24"/>
          <w:highlight w:val="none"/>
          <w:u w:val="single"/>
        </w:rPr>
        <w:t>承包人拒绝监理单位、发包人和/或</w:t>
      </w:r>
      <w:r>
        <w:rPr>
          <w:rFonts w:hint="eastAsia" w:ascii="宋体" w:hAnsi="宋体" w:cs="宋体"/>
          <w:color w:val="auto"/>
          <w:sz w:val="24"/>
          <w:highlight w:val="none"/>
        </w:rPr>
        <w:t>总承包施工管理单位管理</w:t>
      </w:r>
      <w:r>
        <w:rPr>
          <w:rFonts w:hint="eastAsia" w:ascii="宋体" w:hAnsi="宋体" w:cs="仿宋_GB2312"/>
          <w:color w:val="auto"/>
          <w:sz w:val="24"/>
          <w:highlight w:val="none"/>
          <w:u w:val="single"/>
        </w:rPr>
        <w:t>；</w:t>
      </w:r>
    </w:p>
    <w:p w14:paraId="5E908512">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lang w:eastAsia="zh-CN"/>
        </w:rPr>
        <w:t>（2）</w:t>
      </w:r>
      <w:r>
        <w:rPr>
          <w:rFonts w:hint="eastAsia" w:ascii="宋体" w:hAnsi="宋体" w:cs="仿宋_GB2312"/>
          <w:color w:val="auto"/>
          <w:sz w:val="24"/>
          <w:highlight w:val="none"/>
          <w:u w:val="single"/>
        </w:rPr>
        <w:t>施工组织设计（方案）未获总监理工程师和发包人批准而进行施工；</w:t>
      </w:r>
    </w:p>
    <w:p w14:paraId="694DDCA1">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lang w:eastAsia="zh-CN"/>
        </w:rPr>
        <w:t>（3）</w:t>
      </w:r>
      <w:r>
        <w:rPr>
          <w:rFonts w:hint="eastAsia" w:ascii="宋体" w:hAnsi="宋体" w:cs="仿宋_GB2312"/>
          <w:color w:val="auto"/>
          <w:sz w:val="24"/>
          <w:highlight w:val="none"/>
          <w:u w:val="single"/>
        </w:rPr>
        <w:t>承包人未经监理单位检验而进行下一道工序作业；</w:t>
      </w:r>
    </w:p>
    <w:p w14:paraId="6B15F0AA">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lang w:eastAsia="zh-CN"/>
        </w:rPr>
        <w:t>（4）</w:t>
      </w:r>
      <w:r>
        <w:rPr>
          <w:rFonts w:hint="eastAsia" w:ascii="宋体" w:hAnsi="宋体" w:cs="仿宋_GB2312"/>
          <w:color w:val="auto"/>
          <w:sz w:val="24"/>
          <w:highlight w:val="none"/>
          <w:u w:val="single"/>
        </w:rPr>
        <w:t>擅自采用未经监理单位及发包人认可或批准的材料的，或者使用的原材料、构配件不合格或未经检查确认的，或者擅自采用未经认可的代用材料的；</w:t>
      </w:r>
    </w:p>
    <w:p w14:paraId="43BEA457">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lang w:eastAsia="zh-CN"/>
        </w:rPr>
        <w:t>（5）</w:t>
      </w:r>
      <w:r>
        <w:rPr>
          <w:rFonts w:hint="eastAsia" w:ascii="宋体" w:hAnsi="宋体" w:cs="仿宋_GB2312"/>
          <w:color w:val="auto"/>
          <w:sz w:val="24"/>
          <w:highlight w:val="none"/>
          <w:u w:val="single"/>
        </w:rPr>
        <w:t>擅自变更设计图纸的要求；</w:t>
      </w:r>
    </w:p>
    <w:p w14:paraId="03B37DBE">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lang w:eastAsia="zh-CN"/>
        </w:rPr>
        <w:t>（6）</w:t>
      </w:r>
      <w:r>
        <w:rPr>
          <w:rFonts w:hint="eastAsia" w:ascii="宋体" w:hAnsi="宋体" w:cs="仿宋_GB2312"/>
          <w:color w:val="auto"/>
          <w:sz w:val="24"/>
          <w:highlight w:val="none"/>
          <w:u w:val="single"/>
        </w:rPr>
        <w:t>转包或违法分包工程；</w:t>
      </w:r>
    </w:p>
    <w:p w14:paraId="17EB973A">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lang w:eastAsia="zh-CN"/>
        </w:rPr>
        <w:t>（7）</w:t>
      </w:r>
      <w:r>
        <w:rPr>
          <w:rFonts w:hint="eastAsia" w:ascii="宋体" w:hAnsi="宋体" w:cs="仿宋_GB2312"/>
          <w:color w:val="auto"/>
          <w:sz w:val="24"/>
          <w:highlight w:val="none"/>
          <w:u w:val="single"/>
        </w:rPr>
        <w:t>存在安全隐患，未按监理单位要求及时进行整改；</w:t>
      </w:r>
    </w:p>
    <w:p w14:paraId="44153E3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lang w:eastAsia="zh-CN"/>
        </w:rPr>
        <w:t>（8）</w:t>
      </w:r>
      <w:r>
        <w:rPr>
          <w:rFonts w:hint="eastAsia" w:ascii="宋体" w:hAnsi="宋体" w:cs="仿宋_GB2312"/>
          <w:color w:val="auto"/>
          <w:sz w:val="24"/>
          <w:highlight w:val="none"/>
          <w:u w:val="single"/>
        </w:rPr>
        <w:t>未按双方约定的资料上报要求上报所需资料的。</w:t>
      </w:r>
    </w:p>
    <w:p w14:paraId="7DFFF1D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2</w:t>
      </w:r>
      <w:r>
        <w:rPr>
          <w:rFonts w:ascii="宋体" w:hAnsi="宋体" w:cs="仿宋_GB2312"/>
          <w:color w:val="auto"/>
          <w:sz w:val="24"/>
          <w:highlight w:val="none"/>
        </w:rPr>
        <w:t>.3</w:t>
      </w:r>
      <w:r>
        <w:rPr>
          <w:rFonts w:hint="eastAsia" w:ascii="宋体" w:hAnsi="宋体" w:cs="仿宋_GB2312"/>
          <w:color w:val="auto"/>
          <w:sz w:val="24"/>
          <w:highlight w:val="none"/>
        </w:rPr>
        <w:t>因不可抗力引起工程停工，费用承担按以下原则：</w:t>
      </w:r>
    </w:p>
    <w:p w14:paraId="5EEE5BC3">
      <w:pPr>
        <w:tabs>
          <w:tab w:val="left" w:pos="142"/>
          <w:tab w:val="left" w:pos="284"/>
        </w:tabs>
        <w:spacing w:line="360" w:lineRule="auto"/>
        <w:ind w:firstLine="480" w:firstLineChars="200"/>
        <w:rPr>
          <w:rFonts w:ascii="宋体" w:hAnsi="宋体" w:cs="仿宋_GB2312"/>
          <w:strike/>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1</w:t>
      </w:r>
      <w:r>
        <w:rPr>
          <w:rFonts w:hint="eastAsia" w:ascii="宋体" w:hAnsi="宋体" w:cs="仿宋_GB2312"/>
          <w:color w:val="auto"/>
          <w:sz w:val="24"/>
          <w:highlight w:val="none"/>
          <w:u w:val="single"/>
        </w:rPr>
        <w:t>）工程本身的损害及因工程损害导致第三方人员伤亡和财产损失，如在工程竣工验收合格移交给发包人使用前造成的，费用和责任由承包人承担；如在工程竣工验收合格移交给发包人使用后发生的，费用和责任由发包人承担。</w:t>
      </w:r>
    </w:p>
    <w:p w14:paraId="794335C2">
      <w:pPr>
        <w:tabs>
          <w:tab w:val="left" w:pos="142"/>
          <w:tab w:val="left" w:pos="284"/>
        </w:tabs>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2</w:t>
      </w:r>
      <w:r>
        <w:rPr>
          <w:rFonts w:hint="eastAsia" w:ascii="宋体" w:hAnsi="宋体" w:cs="仿宋_GB2312"/>
          <w:color w:val="auto"/>
          <w:sz w:val="24"/>
          <w:highlight w:val="none"/>
          <w:u w:val="single"/>
        </w:rPr>
        <w:t>）运至施工场地用于施工的材料和待安装的设备的损害，由承包人自行承担。</w:t>
      </w:r>
    </w:p>
    <w:p w14:paraId="22723F3A">
      <w:pPr>
        <w:tabs>
          <w:tab w:val="left" w:pos="142"/>
          <w:tab w:val="left" w:pos="284"/>
        </w:tabs>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3</w:t>
      </w:r>
      <w:r>
        <w:rPr>
          <w:rFonts w:hint="eastAsia" w:ascii="宋体" w:hAnsi="宋体" w:cs="仿宋_GB2312"/>
          <w:color w:val="auto"/>
          <w:sz w:val="24"/>
          <w:highlight w:val="none"/>
          <w:u w:val="single"/>
        </w:rPr>
        <w:t>）发包人、承包人人员伤亡由其各自所在单位负责，并各自承担相应费用。</w:t>
      </w:r>
    </w:p>
    <w:p w14:paraId="13F04F31">
      <w:pPr>
        <w:tabs>
          <w:tab w:val="left" w:pos="142"/>
          <w:tab w:val="left" w:pos="284"/>
        </w:tabs>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4</w:t>
      </w:r>
      <w:r>
        <w:rPr>
          <w:rFonts w:hint="eastAsia" w:ascii="宋体" w:hAnsi="宋体" w:cs="仿宋_GB2312"/>
          <w:color w:val="auto"/>
          <w:sz w:val="24"/>
          <w:highlight w:val="none"/>
          <w:u w:val="single"/>
        </w:rPr>
        <w:t>）承包人机械设备损坏及停工损失由承包人承担。</w:t>
      </w:r>
    </w:p>
    <w:p w14:paraId="051ACA58">
      <w:pPr>
        <w:tabs>
          <w:tab w:val="left" w:pos="142"/>
          <w:tab w:val="left" w:pos="284"/>
        </w:tabs>
        <w:spacing w:line="360" w:lineRule="auto"/>
        <w:ind w:firstLine="480" w:firstLineChars="200"/>
        <w:rPr>
          <w:rFonts w:ascii="宋体" w:hAnsi="宋体" w:cs="仿宋_GB2312"/>
          <w:strike/>
          <w:color w:val="auto"/>
          <w:sz w:val="24"/>
          <w:highlight w:val="none"/>
          <w:u w:val="single"/>
        </w:rPr>
      </w:pPr>
      <w:r>
        <w:rPr>
          <w:rFonts w:hint="eastAsia" w:ascii="宋体" w:hAnsi="宋体" w:cs="仿宋_GB2312"/>
          <w:color w:val="auto"/>
          <w:sz w:val="24"/>
          <w:highlight w:val="none"/>
          <w:u w:val="single"/>
        </w:rPr>
        <w:t>（5）停工期间，承包人应监理工程师的要求留在施工场地的必要管理人员及保卫人员的费用由承包人承担。</w:t>
      </w:r>
    </w:p>
    <w:p w14:paraId="6FD146A4">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w:t>
      </w:r>
      <w:r>
        <w:rPr>
          <w:rFonts w:ascii="宋体" w:hAnsi="宋体" w:cs="仿宋_GB2312"/>
          <w:color w:val="auto"/>
          <w:sz w:val="24"/>
          <w:highlight w:val="none"/>
          <w:u w:val="single"/>
        </w:rPr>
        <w:t>6</w:t>
      </w:r>
      <w:r>
        <w:rPr>
          <w:rFonts w:hint="eastAsia" w:ascii="宋体" w:hAnsi="宋体" w:cs="仿宋_GB2312"/>
          <w:color w:val="auto"/>
          <w:sz w:val="24"/>
          <w:highlight w:val="none"/>
          <w:u w:val="single"/>
        </w:rPr>
        <w:t>）工程所需清理、修复费用由承包人承担。</w:t>
      </w:r>
    </w:p>
    <w:p w14:paraId="4A8FF604">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2</w:t>
      </w:r>
      <w:r>
        <w:rPr>
          <w:rFonts w:ascii="宋体" w:hAnsi="宋体" w:cs="仿宋_GB2312"/>
          <w:color w:val="auto"/>
          <w:sz w:val="24"/>
          <w:highlight w:val="none"/>
        </w:rPr>
        <w:t>.4</w:t>
      </w:r>
      <w:r>
        <w:rPr>
          <w:rFonts w:hint="eastAsia" w:ascii="宋体" w:hAnsi="宋体" w:cs="仿宋_GB2312"/>
          <w:color w:val="auto"/>
          <w:sz w:val="24"/>
          <w:highlight w:val="none"/>
        </w:rPr>
        <w:t xml:space="preserve"> 由于承包人自身原因或施工承包管理、配合及协调不力，而导致专业承包工程停工，产生的费用由承包人承担。</w:t>
      </w:r>
    </w:p>
    <w:p w14:paraId="0FDDDBA3">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12.5 施工暂停时，承包人应立即停止现场的实施工作，并根据合同约定负责在暂停期间，对工程、工程物资及承包人文件等进行照管和保护。因承包人未能尽到照管、保护的责任，造成损坏、丢失等，使发包人的费用增加，和/或工期延误的，由承包人承担。</w:t>
      </w:r>
    </w:p>
    <w:p w14:paraId="4D3FAA12">
      <w:pPr>
        <w:tabs>
          <w:tab w:val="left" w:pos="142"/>
          <w:tab w:val="left" w:pos="284"/>
        </w:tabs>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12.6 暂停施工后，发包人和承包人应采取有效措施积极消除暂停施工的影响。在工程复工前，总监理工程师会同发包人和承包人确定因暂停施工造成的损失，并确定工程复工条件。当工程具备复工条件时，总监理工程师应经发包人批准后向承包人发出复工通知，承包人应按照复工通知要求复工。未经总监理工程师或发包人书面通知，任何情况下承包人不得自行组织复工，包括承包人依据通用条款第12条约定书面要求复工，工程师或发包人未在该条约定时间内予以回复的。</w:t>
      </w:r>
    </w:p>
    <w:p w14:paraId="7A5060F5">
      <w:pPr>
        <w:tabs>
          <w:tab w:val="left" w:pos="142"/>
          <w:tab w:val="left" w:pos="284"/>
        </w:tabs>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承包人无故拖延和拒绝复工的，承包人承担由此增加的费用和/或延误的工期。</w:t>
      </w:r>
    </w:p>
    <w:p w14:paraId="3CF9260C">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13.</w:t>
      </w:r>
      <w:r>
        <w:rPr>
          <w:rFonts w:hint="eastAsia" w:ascii="宋体" w:hAnsi="宋体" w:cs="仿宋_GB2312"/>
          <w:b/>
          <w:color w:val="auto"/>
          <w:sz w:val="24"/>
          <w:highlight w:val="none"/>
        </w:rPr>
        <w:t>工期延误</w:t>
      </w:r>
    </w:p>
    <w:p w14:paraId="3D3572DA">
      <w:pPr>
        <w:tabs>
          <w:tab w:val="left" w:pos="142"/>
          <w:tab w:val="left" w:pos="284"/>
        </w:tabs>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1 对于发包人不能按时提供施工场地或发包人认可的第三方影响导致的工期延误，承包人应当在工期延误事件发生后</w:t>
      </w:r>
      <w:r>
        <w:rPr>
          <w:rFonts w:ascii="宋体" w:hAnsi="宋体" w:cs="仿宋_GB2312"/>
          <w:color w:val="auto"/>
          <w:sz w:val="24"/>
          <w:highlight w:val="none"/>
        </w:rPr>
        <w:t>7</w:t>
      </w:r>
      <w:r>
        <w:rPr>
          <w:rFonts w:hint="eastAsia" w:ascii="宋体" w:hAnsi="宋体" w:cs="仿宋_GB2312"/>
          <w:color w:val="auto"/>
          <w:sz w:val="24"/>
          <w:highlight w:val="none"/>
        </w:rPr>
        <w:t>天内就延误的内容经总监理工程师向发包人提出书面报告，逾期不报告，发包人不予确认，工期不予顺延且不作任何费用补偿；经发包人确认同意延期，可顺延工期，但不作费用补偿或任何其他形式的赔偿。</w:t>
      </w:r>
    </w:p>
    <w:p w14:paraId="4683DC87">
      <w:pPr>
        <w:tabs>
          <w:tab w:val="left" w:pos="142"/>
          <w:tab w:val="left" w:pos="284"/>
        </w:tabs>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14.工程竣工 </w:t>
      </w:r>
    </w:p>
    <w:p w14:paraId="4BAFFDE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 工程具备竣工验收条件，承包人按国家工程竣工验收有关规定，在竣工验收条件具备后60日内向发包人提供完整竣工资料（包含竣工图）及竣工验收报告。</w:t>
      </w:r>
    </w:p>
    <w:p w14:paraId="39ABB4F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14.2 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0B498CB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14.3 发包人应在验收后14天内给予认可或提出修改意见。承包人按要求修改，并承担由自身原因造成修改的费用。</w:t>
      </w:r>
    </w:p>
    <w:p w14:paraId="1FA747E8">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14.4 发包人收到承包人送交的竣工验收报告后28天内无故不提出整改意见或不组织验收，或组织验收后14天内无故不予认可或不提出修改意见，经承包人书面催促后14天内仍不提出整改意见、组织验收，或不予认可、不提出修改意见的，视为竣工验收报告已被认可。</w:t>
      </w:r>
    </w:p>
    <w:p w14:paraId="6F7E4E71">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14.5 工程竣工验收通过，承包人提交竣工验收报告的日期为实际竣工日期。工程按发包人要求修改后通过竣工验收的，实际竣工日期为承包人提交修改后的竣工验收报告的日期。</w:t>
      </w:r>
    </w:p>
    <w:p w14:paraId="62E6B823">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14.6 中间交工工程的验收按合同条款第17条的约定办理。</w:t>
      </w:r>
    </w:p>
    <w:p w14:paraId="4832F905">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14.7 因特殊原因，发包人要求部分单位工程或工程部位甩项竣工的，双方另行签订甩项竣工协议，明确双方责任和工程价款的支付方法。</w:t>
      </w:r>
    </w:p>
    <w:p w14:paraId="66881AA4">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14.8 经验收评定，工程质量及工程内容符合合同要求的，发包人、承包人、监理单位均应在工程竣工验收证明书上盖章签字；工程质量不合格或工程</w:t>
      </w:r>
      <w:r>
        <w:rPr>
          <w:rFonts w:hint="eastAsia" w:ascii="宋体" w:hAnsi="宋体" w:cs="宋体"/>
          <w:snapToGrid w:val="0"/>
          <w:color w:val="auto"/>
          <w:kern w:val="0"/>
          <w:sz w:val="24"/>
          <w:highlight w:val="none"/>
          <w:lang w:eastAsia="zh-CN"/>
        </w:rPr>
        <w:t>内容</w:t>
      </w:r>
      <w:r>
        <w:rPr>
          <w:rFonts w:hint="eastAsia" w:ascii="宋体" w:hAnsi="宋体" w:cs="宋体"/>
          <w:snapToGrid w:val="0"/>
          <w:color w:val="auto"/>
          <w:kern w:val="0"/>
          <w:sz w:val="24"/>
          <w:highlight w:val="none"/>
        </w:rPr>
        <w:t>尚未完成者，由承包人在商定的期限内进行修补后，再进行竣工验收，直至达到完全符合合同要求为止，并按最后验收合格的日期作为竣工日期，由此产生的一切费用均由承包人负责。</w:t>
      </w:r>
    </w:p>
    <w:p w14:paraId="0E730004">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14.9 工程未经竣工验收或竣工验收未通过的，发包人不得使用。发包人强行使用时，由此发生的质量问题及其它问题，由发包人承担责任；若因承包人不按合同约定提交竣工资料及竣工验收报告，不予配合办理竣工验收的，发包人有权与承包人先行办理交付手续，但不视为竣工验收合格，不免除承包人的工程质量责任，承包人应承担相应的违约责任并赔偿发包人由此遭受的损失（包括但不限于支付第三方的赔偿款、违约金、诉讼费、律师费、鉴定费、保全费等）。</w:t>
      </w:r>
    </w:p>
    <w:p w14:paraId="6CD44549">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14.10 承包人应按如下程序进行竣工资料准备：</w:t>
      </w:r>
    </w:p>
    <w:p w14:paraId="2672E553">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（1）承包人有责任根据竣工验收要求对分包单位所绘制的竣工图进行符合性审查</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lang w:val="en-US" w:eastAsia="zh-CN"/>
        </w:rPr>
        <w:t>如若有分包</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w:t>
      </w:r>
    </w:p>
    <w:p w14:paraId="20D478E5">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（2）承包人应按照国家《城市建设档案管理规定</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建筑工程施工技术资料编制指南（2012年版）》（广州市建设工程质量监督站主编）、《广州市建设工程档案编制指南（2009版）》（广州市城市建设档案馆主编）和发包人的具体要求，在工程施工期间及时收集、汇总、整理、编制分包单位的工程资料。</w:t>
      </w:r>
    </w:p>
    <w:p w14:paraId="122EB79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14.11 验收依据和标准：施工图纸，图纸说明，设计变更资料和图纸，技术交底及会议纪要，国家颁布的施工验收规范、规定，以及本建设项目专家委员会根据国家有关标准、规范制订的针对本工程特殊子项的施工规范及验收标准。</w:t>
      </w:r>
    </w:p>
    <w:p w14:paraId="25450F5E">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14.12 专业分包工程需单独验收的，经承包人预验合格后，属专业分包项目的再报监理单位进行监理预验；不属专业分包项目的由监理单位进行监理预验，合格后由该分包单位与专业工程验收管理部门、监理单位、发包人协商确定验收时间，并及时通知承包人参与验收。</w:t>
      </w:r>
    </w:p>
    <w:p w14:paraId="656B4CE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 专业分包工程不需要办理单独验收的，经承包人预验合格后，属专业分包项目的再报监理单位进行监理预验；不属专业分包项目的由监理单位进行监理预验，合格后由分包单位、承包人、施工监理单位、发包人协商验收。</w:t>
      </w:r>
    </w:p>
    <w:p w14:paraId="60715BBB">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14.14 承包人必须全力配合总承包单位、发包人组织的专项验收工作，包括但不限于质量验收、档案验收、消防验收、规划验收、电梯验收、环保验收等。</w:t>
      </w:r>
    </w:p>
    <w:p w14:paraId="77D908C5">
      <w:pPr>
        <w:pStyle w:val="33"/>
        <w:tabs>
          <w:tab w:val="left" w:pos="142"/>
          <w:tab w:val="left" w:pos="284"/>
        </w:tabs>
        <w:spacing w:line="360" w:lineRule="auto"/>
        <w:ind w:firstLine="420" w:firstLineChars="200"/>
        <w:rPr>
          <w:color w:val="auto"/>
          <w:highlight w:val="none"/>
        </w:rPr>
      </w:pPr>
    </w:p>
    <w:p w14:paraId="5C3266B9">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四、质量与验收</w:t>
      </w:r>
    </w:p>
    <w:p w14:paraId="149BBC79">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15.</w:t>
      </w:r>
      <w:r>
        <w:rPr>
          <w:rFonts w:hint="eastAsia" w:ascii="宋体" w:hAnsi="宋体" w:cs="仿宋_GB2312"/>
          <w:b/>
          <w:color w:val="auto"/>
          <w:sz w:val="24"/>
          <w:highlight w:val="none"/>
        </w:rPr>
        <w:t>工程质量</w:t>
      </w:r>
    </w:p>
    <w:p w14:paraId="359A2BB3">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u w:val="single"/>
        </w:rPr>
        <w:t>15.1</w:t>
      </w:r>
      <w:r>
        <w:rPr>
          <w:rFonts w:ascii="宋体" w:hAnsi="宋体" w:cs="仿宋_GB2312"/>
          <w:bCs/>
          <w:color w:val="auto"/>
          <w:sz w:val="24"/>
          <w:highlight w:val="none"/>
          <w:u w:val="single"/>
        </w:rPr>
        <w:t xml:space="preserve"> </w:t>
      </w:r>
      <w:r>
        <w:rPr>
          <w:rFonts w:hint="eastAsia" w:ascii="宋体" w:hAnsi="宋体" w:cs="仿宋_GB2312"/>
          <w:bCs/>
          <w:color w:val="auto"/>
          <w:sz w:val="24"/>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单位修改设计图纸。</w:t>
      </w:r>
    </w:p>
    <w:p w14:paraId="768B3F47">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ascii="宋体" w:hAnsi="宋体" w:cs="仿宋_GB2312"/>
          <w:bCs/>
          <w:color w:val="auto"/>
          <w:sz w:val="24"/>
          <w:highlight w:val="none"/>
        </w:rPr>
        <w:t>1</w:t>
      </w:r>
      <w:r>
        <w:rPr>
          <w:rFonts w:hint="eastAsia" w:ascii="宋体" w:hAnsi="宋体" w:cs="仿宋_GB2312"/>
          <w:bCs/>
          <w:color w:val="auto"/>
          <w:sz w:val="24"/>
          <w:highlight w:val="none"/>
        </w:rPr>
        <w:t>5</w:t>
      </w:r>
      <w:r>
        <w:rPr>
          <w:rFonts w:ascii="宋体" w:hAnsi="宋体" w:cs="仿宋_GB2312"/>
          <w:bCs/>
          <w:color w:val="auto"/>
          <w:sz w:val="24"/>
          <w:highlight w:val="none"/>
        </w:rPr>
        <w:t>.</w:t>
      </w:r>
      <w:r>
        <w:rPr>
          <w:rFonts w:hint="eastAsia" w:ascii="宋体" w:hAnsi="宋体" w:cs="仿宋_GB2312"/>
          <w:bCs/>
          <w:color w:val="auto"/>
          <w:sz w:val="24"/>
          <w:highlight w:val="none"/>
        </w:rPr>
        <w:t xml:space="preserve">2 </w:t>
      </w:r>
      <w:r>
        <w:rPr>
          <w:rFonts w:hint="eastAsia" w:ascii="宋体" w:hAnsi="宋体" w:cs="仿宋_GB2312"/>
          <w:bCs/>
          <w:color w:val="auto"/>
          <w:sz w:val="24"/>
          <w:highlight w:val="none"/>
          <w:u w:val="single"/>
        </w:rPr>
        <w:t>本工程项目的所有材料、设备及配件须达到现行中华人民共和国以及广东省、广州市、黄埔区和开发区或行业的工程建设标准、规范的要求，产品应有生产许可证书、出厂合格证书，经总监理工程师和发包人代表认可后方可使用。</w:t>
      </w:r>
    </w:p>
    <w:p w14:paraId="57076B0C">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ascii="宋体" w:hAnsi="宋体" w:cs="仿宋_GB2312"/>
          <w:bCs/>
          <w:color w:val="auto"/>
          <w:sz w:val="24"/>
          <w:highlight w:val="none"/>
        </w:rPr>
        <w:t>1</w:t>
      </w:r>
      <w:r>
        <w:rPr>
          <w:rFonts w:hint="eastAsia" w:ascii="宋体" w:hAnsi="宋体" w:cs="仿宋_GB2312"/>
          <w:bCs/>
          <w:color w:val="auto"/>
          <w:sz w:val="24"/>
          <w:highlight w:val="none"/>
        </w:rPr>
        <w:t>5</w:t>
      </w:r>
      <w:r>
        <w:rPr>
          <w:rFonts w:ascii="宋体" w:hAnsi="宋体" w:cs="仿宋_GB2312"/>
          <w:bCs/>
          <w:color w:val="auto"/>
          <w:sz w:val="24"/>
          <w:highlight w:val="none"/>
        </w:rPr>
        <w:t>.</w:t>
      </w:r>
      <w:r>
        <w:rPr>
          <w:rFonts w:hint="eastAsia" w:ascii="宋体" w:hAnsi="宋体" w:cs="仿宋_GB2312"/>
          <w:bCs/>
          <w:color w:val="auto"/>
          <w:sz w:val="24"/>
          <w:highlight w:val="none"/>
        </w:rPr>
        <w:t xml:space="preserve">3 </w:t>
      </w:r>
      <w:r>
        <w:rPr>
          <w:rFonts w:hint="eastAsia" w:ascii="宋体" w:hAnsi="宋体" w:cs="仿宋_GB2312"/>
          <w:bCs/>
          <w:color w:val="auto"/>
          <w:sz w:val="24"/>
          <w:highlight w:val="none"/>
          <w:u w:val="single"/>
        </w:rPr>
        <w:t>工程质量不符合设计要求、质量不合格者，监理工程师可指令承包人停工或返工，返工费由承包人承担，工期不予顺延。</w:t>
      </w:r>
    </w:p>
    <w:p w14:paraId="52A2868C">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ascii="宋体" w:hAnsi="宋体" w:cs="仿宋_GB2312"/>
          <w:bCs/>
          <w:color w:val="auto"/>
          <w:sz w:val="24"/>
          <w:highlight w:val="none"/>
        </w:rPr>
        <w:t>1</w:t>
      </w:r>
      <w:r>
        <w:rPr>
          <w:rFonts w:hint="eastAsia" w:ascii="宋体" w:hAnsi="宋体" w:cs="仿宋_GB2312"/>
          <w:bCs/>
          <w:color w:val="auto"/>
          <w:sz w:val="24"/>
          <w:highlight w:val="none"/>
        </w:rPr>
        <w:t>5</w:t>
      </w:r>
      <w:r>
        <w:rPr>
          <w:rFonts w:ascii="宋体" w:hAnsi="宋体" w:cs="仿宋_GB2312"/>
          <w:bCs/>
          <w:color w:val="auto"/>
          <w:sz w:val="24"/>
          <w:highlight w:val="none"/>
        </w:rPr>
        <w:t>.</w:t>
      </w:r>
      <w:r>
        <w:rPr>
          <w:rFonts w:hint="eastAsia" w:ascii="宋体" w:hAnsi="宋体" w:cs="仿宋_GB2312"/>
          <w:bCs/>
          <w:color w:val="auto"/>
          <w:sz w:val="24"/>
          <w:highlight w:val="none"/>
        </w:rPr>
        <w:t xml:space="preserve">4 </w:t>
      </w:r>
      <w:r>
        <w:rPr>
          <w:rFonts w:hint="eastAsia" w:ascii="宋体" w:hAnsi="宋体" w:cs="仿宋_GB2312"/>
          <w:bCs/>
          <w:color w:val="auto"/>
          <w:sz w:val="24"/>
          <w:highlight w:val="none"/>
          <w:u w:val="single"/>
        </w:rPr>
        <w:t>发生须紧急抢修事故，承包人接到通知后，应立即到达事故现场抢修；否则，发包人可以另委托其他单位抢修，属承包人施工质量问题造成的修复等费用全部由承包人承担，发包人有权直接在应付承包人款项中扣除。</w:t>
      </w:r>
    </w:p>
    <w:p w14:paraId="401084DF">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ascii="宋体" w:hAnsi="宋体" w:cs="仿宋_GB2312"/>
          <w:bCs/>
          <w:color w:val="auto"/>
          <w:sz w:val="24"/>
          <w:highlight w:val="none"/>
        </w:rPr>
        <w:t>1</w:t>
      </w:r>
      <w:r>
        <w:rPr>
          <w:rFonts w:hint="eastAsia" w:ascii="宋体" w:hAnsi="宋体" w:cs="仿宋_GB2312"/>
          <w:bCs/>
          <w:color w:val="auto"/>
          <w:sz w:val="24"/>
          <w:highlight w:val="none"/>
        </w:rPr>
        <w:t>5</w:t>
      </w:r>
      <w:r>
        <w:rPr>
          <w:rFonts w:ascii="宋体" w:hAnsi="宋体" w:cs="仿宋_GB2312"/>
          <w:bCs/>
          <w:color w:val="auto"/>
          <w:sz w:val="24"/>
          <w:highlight w:val="none"/>
        </w:rPr>
        <w:t>.</w:t>
      </w:r>
      <w:r>
        <w:rPr>
          <w:rFonts w:hint="eastAsia" w:ascii="宋体" w:hAnsi="宋体" w:cs="仿宋_GB2312"/>
          <w:bCs/>
          <w:color w:val="auto"/>
          <w:sz w:val="24"/>
          <w:highlight w:val="none"/>
        </w:rPr>
        <w:t xml:space="preserve">5 </w:t>
      </w:r>
      <w:r>
        <w:rPr>
          <w:rFonts w:hint="eastAsia" w:ascii="宋体" w:hAnsi="宋体" w:cs="仿宋_GB2312"/>
          <w:bCs/>
          <w:color w:val="auto"/>
          <w:sz w:val="24"/>
          <w:highlight w:val="none"/>
          <w:u w:val="single"/>
        </w:rPr>
        <w:t>本工程按照本合同约定进行质量验收。若承包人有违反操作规程和标准或施工质量不符合规定的，发包人及监理工程师有权令其停止（或暂停）施工，由此造成的损失均由承包人负责。</w:t>
      </w:r>
    </w:p>
    <w:p w14:paraId="54C63AF3">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ascii="宋体" w:hAnsi="宋体" w:cs="仿宋_GB2312"/>
          <w:bCs/>
          <w:color w:val="auto"/>
          <w:sz w:val="24"/>
          <w:highlight w:val="none"/>
          <w:u w:val="single"/>
        </w:rPr>
        <w:t>1</w:t>
      </w:r>
      <w:r>
        <w:rPr>
          <w:rFonts w:hint="eastAsia" w:ascii="宋体" w:hAnsi="宋体" w:cs="仿宋_GB2312"/>
          <w:bCs/>
          <w:color w:val="auto"/>
          <w:sz w:val="24"/>
          <w:highlight w:val="none"/>
          <w:u w:val="single"/>
        </w:rPr>
        <w:t>5</w:t>
      </w:r>
      <w:r>
        <w:rPr>
          <w:rFonts w:ascii="宋体" w:hAnsi="宋体" w:cs="仿宋_GB2312"/>
          <w:bCs/>
          <w:color w:val="auto"/>
          <w:sz w:val="24"/>
          <w:highlight w:val="none"/>
          <w:u w:val="single"/>
        </w:rPr>
        <w:t>.</w:t>
      </w:r>
      <w:r>
        <w:rPr>
          <w:rFonts w:hint="eastAsia" w:ascii="宋体" w:hAnsi="宋体" w:cs="仿宋_GB2312"/>
          <w:bCs/>
          <w:color w:val="auto"/>
          <w:sz w:val="24"/>
          <w:highlight w:val="none"/>
          <w:u w:val="single"/>
        </w:rPr>
        <w:t xml:space="preserve">6 </w:t>
      </w:r>
      <w:r>
        <w:rPr>
          <w:rFonts w:ascii="宋体" w:hAnsi="宋体" w:cs="仿宋_GB2312"/>
          <w:bCs/>
          <w:color w:val="auto"/>
          <w:sz w:val="24"/>
          <w:highlight w:val="none"/>
          <w:u w:val="single"/>
        </w:rPr>
        <w:t>本工程按照国家有关规定、规范进行施工、验收，如在施工过程中颁发新的版本，则按新的规定、规范执行。</w:t>
      </w:r>
    </w:p>
    <w:p w14:paraId="53D0513F">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ascii="宋体" w:hAnsi="宋体" w:cs="仿宋_GB2312"/>
          <w:bCs/>
          <w:color w:val="auto"/>
          <w:sz w:val="24"/>
          <w:highlight w:val="none"/>
          <w:u w:val="single"/>
        </w:rPr>
        <w:t>1</w:t>
      </w:r>
      <w:r>
        <w:rPr>
          <w:rFonts w:hint="eastAsia" w:ascii="宋体" w:hAnsi="宋体" w:cs="仿宋_GB2312"/>
          <w:bCs/>
          <w:color w:val="auto"/>
          <w:sz w:val="24"/>
          <w:highlight w:val="none"/>
          <w:u w:val="single"/>
        </w:rPr>
        <w:t>5</w:t>
      </w:r>
      <w:r>
        <w:rPr>
          <w:rFonts w:ascii="宋体" w:hAnsi="宋体" w:cs="仿宋_GB2312"/>
          <w:bCs/>
          <w:color w:val="auto"/>
          <w:sz w:val="24"/>
          <w:highlight w:val="none"/>
          <w:u w:val="single"/>
        </w:rPr>
        <w:t>.</w:t>
      </w:r>
      <w:r>
        <w:rPr>
          <w:rFonts w:hint="eastAsia" w:ascii="宋体" w:hAnsi="宋体" w:cs="仿宋_GB2312"/>
          <w:bCs/>
          <w:color w:val="auto"/>
          <w:sz w:val="24"/>
          <w:highlight w:val="none"/>
          <w:u w:val="single"/>
        </w:rPr>
        <w:t xml:space="preserve">7 </w:t>
      </w:r>
      <w:r>
        <w:rPr>
          <w:rFonts w:ascii="宋体" w:hAnsi="宋体" w:cs="仿宋_GB2312"/>
          <w:bCs/>
          <w:color w:val="auto"/>
          <w:sz w:val="24"/>
          <w:highlight w:val="none"/>
          <w:u w:val="single"/>
        </w:rPr>
        <w:t>特殊质量标准和要求：实际施工质量必须达到或超过合同质量等级。</w:t>
      </w:r>
    </w:p>
    <w:p w14:paraId="79C9B6F9">
      <w:pPr>
        <w:tabs>
          <w:tab w:val="left" w:pos="142"/>
          <w:tab w:val="left" w:pos="284"/>
        </w:tabs>
        <w:snapToGrid w:val="0"/>
        <w:spacing w:line="360" w:lineRule="auto"/>
        <w:ind w:firstLine="482" w:firstLineChars="200"/>
        <w:rPr>
          <w:rFonts w:ascii="宋体" w:hAnsi="宋体" w:cs="仿宋_GB2312"/>
          <w:b/>
          <w:color w:val="auto"/>
          <w:sz w:val="24"/>
          <w:highlight w:val="none"/>
          <w:u w:val="none"/>
        </w:rPr>
      </w:pPr>
      <w:r>
        <w:rPr>
          <w:rFonts w:hint="eastAsia" w:ascii="宋体" w:hAnsi="宋体" w:cs="仿宋_GB2312"/>
          <w:b/>
          <w:color w:val="auto"/>
          <w:sz w:val="24"/>
          <w:highlight w:val="none"/>
          <w:u w:val="none"/>
          <w:lang w:eastAsia="zh-CN"/>
        </w:rPr>
        <w:t>16.</w:t>
      </w:r>
      <w:r>
        <w:rPr>
          <w:rFonts w:hint="eastAsia" w:ascii="宋体" w:hAnsi="宋体" w:cs="仿宋_GB2312"/>
          <w:b/>
          <w:color w:val="auto"/>
          <w:sz w:val="24"/>
          <w:highlight w:val="none"/>
          <w:u w:val="none"/>
        </w:rPr>
        <w:t>检查和返工</w:t>
      </w:r>
    </w:p>
    <w:p w14:paraId="4A7D6D89">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ascii="宋体" w:hAnsi="宋体" w:cs="仿宋_GB2312"/>
          <w:bCs/>
          <w:color w:val="auto"/>
          <w:sz w:val="24"/>
          <w:highlight w:val="none"/>
        </w:rPr>
        <w:t>1</w:t>
      </w:r>
      <w:r>
        <w:rPr>
          <w:rFonts w:hint="eastAsia" w:ascii="宋体" w:hAnsi="宋体" w:cs="仿宋_GB2312"/>
          <w:bCs/>
          <w:color w:val="auto"/>
          <w:sz w:val="24"/>
          <w:highlight w:val="none"/>
        </w:rPr>
        <w:t>6</w:t>
      </w:r>
      <w:r>
        <w:rPr>
          <w:rFonts w:ascii="宋体" w:hAnsi="宋体" w:cs="仿宋_GB2312"/>
          <w:bCs/>
          <w:color w:val="auto"/>
          <w:sz w:val="24"/>
          <w:highlight w:val="none"/>
        </w:rPr>
        <w:t>.</w:t>
      </w:r>
      <w:r>
        <w:rPr>
          <w:rFonts w:hint="eastAsia" w:ascii="宋体" w:hAnsi="宋体" w:cs="仿宋_GB2312"/>
          <w:bCs/>
          <w:color w:val="auto"/>
          <w:sz w:val="24"/>
          <w:highlight w:val="none"/>
        </w:rPr>
        <w:t>1工程师的检查检验：</w:t>
      </w:r>
      <w:r>
        <w:rPr>
          <w:rFonts w:hint="eastAsia" w:ascii="宋体" w:hAnsi="宋体" w:cs="仿宋_GB2312"/>
          <w:bCs/>
          <w:color w:val="auto"/>
          <w:sz w:val="24"/>
          <w:highlight w:val="none"/>
          <w:u w:val="single"/>
        </w:rPr>
        <w:t>工程师按规范、标准、设计图纸要求和频率所进行的检查检测不应成为承包人工期顺延的理由</w:t>
      </w:r>
      <w:r>
        <w:rPr>
          <w:rFonts w:hint="eastAsia" w:ascii="宋体" w:hAnsi="宋体" w:cs="仿宋_GB2312"/>
          <w:bCs/>
          <w:color w:val="auto"/>
          <w:sz w:val="24"/>
          <w:highlight w:val="none"/>
        </w:rPr>
        <w:t>。</w:t>
      </w:r>
    </w:p>
    <w:p w14:paraId="48DFFD02">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17.</w:t>
      </w:r>
      <w:r>
        <w:rPr>
          <w:rFonts w:hint="eastAsia" w:ascii="宋体" w:hAnsi="宋体" w:cs="仿宋_GB2312"/>
          <w:b/>
          <w:color w:val="auto"/>
          <w:sz w:val="24"/>
          <w:highlight w:val="none"/>
        </w:rPr>
        <w:t>隐蔽工程和中间验收：</w:t>
      </w:r>
    </w:p>
    <w:p w14:paraId="53FA0034">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ascii="宋体" w:hAnsi="宋体" w:cs="仿宋_GB2312"/>
          <w:color w:val="auto"/>
          <w:sz w:val="24"/>
          <w:highlight w:val="none"/>
        </w:rPr>
        <w:t>1</w:t>
      </w:r>
      <w:r>
        <w:rPr>
          <w:rFonts w:hint="eastAsia" w:ascii="宋体" w:hAnsi="宋体" w:cs="仿宋_GB2312"/>
          <w:color w:val="auto"/>
          <w:sz w:val="24"/>
          <w:highlight w:val="none"/>
        </w:rPr>
        <w:t>7</w:t>
      </w:r>
      <w:r>
        <w:rPr>
          <w:rFonts w:ascii="宋体" w:hAnsi="宋体" w:cs="仿宋_GB2312"/>
          <w:color w:val="auto"/>
          <w:sz w:val="24"/>
          <w:highlight w:val="none"/>
        </w:rPr>
        <w:t xml:space="preserve">.1 </w:t>
      </w:r>
      <w:r>
        <w:rPr>
          <w:rFonts w:hint="eastAsia" w:ascii="宋体" w:hAnsi="宋体" w:cs="仿宋_GB2312"/>
          <w:color w:val="auto"/>
          <w:sz w:val="24"/>
          <w:highlight w:val="none"/>
        </w:rPr>
        <w:t>双方约定中间验收部位：</w:t>
      </w:r>
      <w:r>
        <w:rPr>
          <w:rFonts w:hint="eastAsia" w:ascii="宋体" w:hAnsi="宋体" w:cs="仿宋_GB2312"/>
          <w:color w:val="auto"/>
          <w:sz w:val="24"/>
          <w:highlight w:val="none"/>
          <w:u w:val="single"/>
        </w:rPr>
        <w:t>按建筑工程施工及验收规范要求执行。</w:t>
      </w:r>
    </w:p>
    <w:p w14:paraId="38E6B9DC">
      <w:pPr>
        <w:tabs>
          <w:tab w:val="left" w:pos="142"/>
          <w:tab w:val="left" w:pos="284"/>
        </w:tabs>
        <w:snapToGrid w:val="0"/>
        <w:spacing w:line="360" w:lineRule="auto"/>
        <w:ind w:firstLine="482" w:firstLineChars="200"/>
        <w:rPr>
          <w:rFonts w:ascii="宋体" w:hAnsi="宋体" w:cs="仿宋_GB2312"/>
          <w:color w:val="auto"/>
          <w:sz w:val="24"/>
          <w:highlight w:val="none"/>
        </w:rPr>
      </w:pPr>
      <w:r>
        <w:rPr>
          <w:rFonts w:hint="eastAsia" w:ascii="宋体" w:hAnsi="宋体" w:cs="仿宋_GB2312"/>
          <w:b/>
          <w:bCs/>
          <w:color w:val="auto"/>
          <w:sz w:val="24"/>
          <w:highlight w:val="none"/>
          <w:lang w:eastAsia="zh-CN"/>
        </w:rPr>
        <w:t>18.</w:t>
      </w:r>
      <w:r>
        <w:rPr>
          <w:rFonts w:hint="eastAsia" w:ascii="宋体" w:hAnsi="宋体" w:cs="仿宋_GB2312"/>
          <w:b/>
          <w:bCs/>
          <w:color w:val="auto"/>
          <w:sz w:val="24"/>
          <w:highlight w:val="none"/>
        </w:rPr>
        <w:t>重新检验：</w:t>
      </w:r>
    </w:p>
    <w:p w14:paraId="06750724">
      <w:pPr>
        <w:tabs>
          <w:tab w:val="left" w:pos="142"/>
          <w:tab w:val="left" w:pos="284"/>
        </w:tabs>
        <w:snapToGrid w:val="0"/>
        <w:spacing w:line="360" w:lineRule="auto"/>
        <w:ind w:firstLine="480" w:firstLineChars="200"/>
        <w:rPr>
          <w:rFonts w:ascii="宋体" w:hAnsi="宋体" w:cs="仿宋_GB2312"/>
          <w:b/>
          <w:bCs/>
          <w:color w:val="auto"/>
          <w:sz w:val="24"/>
          <w:highlight w:val="none"/>
          <w:u w:val="single"/>
        </w:rPr>
      </w:pPr>
      <w:r>
        <w:rPr>
          <w:rFonts w:hint="eastAsia" w:ascii="宋体" w:hAnsi="宋体" w:cs="仿宋_GB2312"/>
          <w:color w:val="auto"/>
          <w:sz w:val="24"/>
          <w:highlight w:val="none"/>
          <w:u w:val="single"/>
        </w:rPr>
        <w:t>无论工程师是否进行验收，当其要求对已经隐蔽的工程重新检验时，承包人应按要求进行，并在检验后重新覆盖或修复（费用承担按本合同通用条款规定执行）</w:t>
      </w:r>
      <w:r>
        <w:rPr>
          <w:rFonts w:hint="eastAsia" w:ascii="宋体" w:hAnsi="宋体" w:cs="仿宋_GB2312"/>
          <w:bCs/>
          <w:color w:val="auto"/>
          <w:sz w:val="24"/>
          <w:highlight w:val="none"/>
          <w:u w:val="single"/>
        </w:rPr>
        <w:t>。</w:t>
      </w:r>
    </w:p>
    <w:p w14:paraId="529F97DD">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19.</w:t>
      </w:r>
      <w:r>
        <w:rPr>
          <w:rFonts w:hint="eastAsia" w:ascii="宋体" w:hAnsi="宋体" w:cs="仿宋_GB2312"/>
          <w:b/>
          <w:color w:val="auto"/>
          <w:sz w:val="24"/>
          <w:highlight w:val="none"/>
        </w:rPr>
        <w:t>工程试车</w:t>
      </w:r>
    </w:p>
    <w:p w14:paraId="4F91E46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9</w:t>
      </w:r>
      <w:r>
        <w:rPr>
          <w:rFonts w:ascii="宋体" w:hAnsi="宋体" w:cs="仿宋_GB2312"/>
          <w:color w:val="auto"/>
          <w:sz w:val="24"/>
          <w:highlight w:val="none"/>
        </w:rPr>
        <w:t xml:space="preserve">.5 </w:t>
      </w:r>
      <w:r>
        <w:rPr>
          <w:rFonts w:hint="eastAsia" w:ascii="宋体" w:hAnsi="宋体" w:cs="仿宋_GB2312"/>
          <w:color w:val="auto"/>
          <w:sz w:val="24"/>
          <w:highlight w:val="none"/>
        </w:rPr>
        <w:t>试车费用的承担：</w:t>
      </w:r>
      <w:r>
        <w:rPr>
          <w:rFonts w:hint="eastAsia" w:ascii="宋体" w:hAnsi="宋体" w:cs="仿宋_GB2312"/>
          <w:color w:val="auto"/>
          <w:sz w:val="24"/>
          <w:highlight w:val="none"/>
          <w:u w:val="single"/>
          <w:lang w:val="en-US" w:eastAsia="zh-CN"/>
        </w:rPr>
        <w:t>如若有，费用包含在投标报价中，不再另行结算及支付</w:t>
      </w:r>
      <w:r>
        <w:rPr>
          <w:rFonts w:hint="eastAsia" w:ascii="宋体" w:hAnsi="宋体" w:cs="仿宋_GB2312"/>
          <w:color w:val="auto"/>
          <w:sz w:val="24"/>
          <w:highlight w:val="none"/>
        </w:rPr>
        <w:t>。</w:t>
      </w:r>
    </w:p>
    <w:p w14:paraId="2AF5466D">
      <w:pPr>
        <w:tabs>
          <w:tab w:val="left" w:pos="142"/>
          <w:tab w:val="left" w:pos="284"/>
        </w:tabs>
        <w:snapToGrid w:val="0"/>
        <w:spacing w:line="360" w:lineRule="auto"/>
        <w:ind w:firstLine="482" w:firstLineChars="200"/>
        <w:rPr>
          <w:rFonts w:ascii="宋体" w:hAnsi="宋体" w:cs="仿宋_GB2312"/>
          <w:color w:val="auto"/>
          <w:sz w:val="24"/>
          <w:highlight w:val="none"/>
        </w:rPr>
      </w:pPr>
      <w:r>
        <w:rPr>
          <w:rFonts w:hint="eastAsia" w:ascii="宋体" w:hAnsi="宋体" w:cs="仿宋_GB2312"/>
          <w:b/>
          <w:color w:val="auto"/>
          <w:sz w:val="24"/>
          <w:highlight w:val="none"/>
        </w:rPr>
        <w:t>五、安全施工</w:t>
      </w:r>
    </w:p>
    <w:p w14:paraId="1E9B7DBF">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20.</w:t>
      </w:r>
      <w:r>
        <w:rPr>
          <w:rFonts w:hint="eastAsia" w:ascii="宋体" w:hAnsi="宋体" w:cs="仿宋_GB2312"/>
          <w:b/>
          <w:color w:val="auto"/>
          <w:sz w:val="24"/>
          <w:highlight w:val="none"/>
        </w:rPr>
        <w:t>安全施工与检查</w:t>
      </w:r>
    </w:p>
    <w:p w14:paraId="4E33BA10">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20</w:t>
      </w:r>
      <w:r>
        <w:rPr>
          <w:rFonts w:ascii="宋体" w:hAnsi="宋体" w:cs="仿宋_GB2312"/>
          <w:color w:val="auto"/>
          <w:sz w:val="24"/>
          <w:highlight w:val="none"/>
        </w:rPr>
        <w:t>.</w:t>
      </w:r>
      <w:r>
        <w:rPr>
          <w:rFonts w:hint="eastAsia" w:ascii="宋体" w:hAnsi="宋体" w:cs="仿宋_GB2312"/>
          <w:color w:val="auto"/>
          <w:sz w:val="24"/>
          <w:highlight w:val="none"/>
        </w:rPr>
        <w:t xml:space="preserve">1 </w:t>
      </w:r>
      <w:r>
        <w:rPr>
          <w:rFonts w:hint="eastAsia" w:ascii="宋体" w:hAnsi="宋体" w:cs="仿宋_GB2312"/>
          <w:color w:val="auto"/>
          <w:sz w:val="24"/>
          <w:highlight w:val="none"/>
          <w:u w:val="single"/>
        </w:rPr>
        <w:t>承包人应按照法律法规及发包人的要求建立安全责任制，明确各部门安全工作的岗位责任人，建立健全正常运转的各种安全工作保证体系和规章制度，将安全生产目标分解落实到实处。</w:t>
      </w:r>
    </w:p>
    <w:p w14:paraId="3175E210">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20</w:t>
      </w:r>
      <w:r>
        <w:rPr>
          <w:rFonts w:ascii="宋体" w:hAnsi="宋体" w:cs="仿宋_GB2312"/>
          <w:color w:val="auto"/>
          <w:sz w:val="24"/>
          <w:highlight w:val="none"/>
        </w:rPr>
        <w:t>.</w:t>
      </w:r>
      <w:r>
        <w:rPr>
          <w:rFonts w:hint="eastAsia" w:ascii="宋体" w:hAnsi="宋体" w:cs="仿宋_GB2312"/>
          <w:color w:val="auto"/>
          <w:sz w:val="24"/>
          <w:highlight w:val="none"/>
        </w:rPr>
        <w:t xml:space="preserve">2 </w:t>
      </w:r>
      <w:r>
        <w:rPr>
          <w:rFonts w:hint="eastAsia" w:ascii="宋体" w:hAnsi="宋体" w:cs="仿宋_GB2312"/>
          <w:color w:val="auto"/>
          <w:sz w:val="24"/>
          <w:highlight w:val="none"/>
          <w:u w:val="single"/>
        </w:rPr>
        <w:t>承包人按规定数量配置安全员。</w:t>
      </w:r>
    </w:p>
    <w:p w14:paraId="126E4905">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20</w:t>
      </w:r>
      <w:r>
        <w:rPr>
          <w:rFonts w:ascii="宋体" w:hAnsi="宋体" w:cs="仿宋_GB2312"/>
          <w:color w:val="auto"/>
          <w:sz w:val="24"/>
          <w:highlight w:val="none"/>
        </w:rPr>
        <w:t>.</w:t>
      </w:r>
      <w:r>
        <w:rPr>
          <w:rFonts w:hint="eastAsia" w:ascii="宋体" w:hAnsi="宋体" w:cs="仿宋_GB2312"/>
          <w:color w:val="auto"/>
          <w:sz w:val="24"/>
          <w:highlight w:val="none"/>
        </w:rPr>
        <w:t xml:space="preserve">3 </w:t>
      </w:r>
      <w:r>
        <w:rPr>
          <w:rFonts w:hint="eastAsia" w:ascii="宋体" w:hAnsi="宋体" w:cs="仿宋_GB2312"/>
          <w:color w:val="auto"/>
          <w:sz w:val="24"/>
          <w:highlight w:val="none"/>
          <w:u w:val="single"/>
        </w:rPr>
        <w:t>承包人在开工前须向质量安全监督机构提交备案的书面资料。</w:t>
      </w:r>
    </w:p>
    <w:p w14:paraId="2BF40A0D">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20</w:t>
      </w:r>
      <w:r>
        <w:rPr>
          <w:rFonts w:ascii="宋体" w:hAnsi="宋体" w:cs="仿宋_GB2312"/>
          <w:color w:val="auto"/>
          <w:sz w:val="24"/>
          <w:highlight w:val="none"/>
        </w:rPr>
        <w:t>.</w:t>
      </w:r>
      <w:r>
        <w:rPr>
          <w:rFonts w:hint="eastAsia" w:ascii="宋体" w:hAnsi="宋体" w:cs="仿宋_GB2312"/>
          <w:color w:val="auto"/>
          <w:sz w:val="24"/>
          <w:highlight w:val="none"/>
        </w:rPr>
        <w:t xml:space="preserve">4 </w:t>
      </w:r>
      <w:r>
        <w:rPr>
          <w:rFonts w:hint="eastAsia" w:ascii="宋体" w:hAnsi="宋体" w:cs="仿宋_GB2312"/>
          <w:color w:val="auto"/>
          <w:sz w:val="24"/>
          <w:highlight w:val="none"/>
          <w:u w:val="single"/>
        </w:rPr>
        <w:t>承包人在编制施工组织设计时，应当根据工程的特点编制相应的安全技术措施。</w:t>
      </w:r>
    </w:p>
    <w:p w14:paraId="4C326844">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20</w:t>
      </w:r>
      <w:r>
        <w:rPr>
          <w:rFonts w:ascii="宋体" w:hAnsi="宋体" w:cs="仿宋_GB2312"/>
          <w:color w:val="auto"/>
          <w:sz w:val="24"/>
          <w:highlight w:val="none"/>
        </w:rPr>
        <w:t>.</w:t>
      </w:r>
      <w:r>
        <w:rPr>
          <w:rFonts w:hint="eastAsia" w:ascii="宋体" w:hAnsi="宋体" w:cs="仿宋_GB2312"/>
          <w:color w:val="auto"/>
          <w:sz w:val="24"/>
          <w:highlight w:val="none"/>
        </w:rPr>
        <w:t xml:space="preserve">5 </w:t>
      </w:r>
      <w:r>
        <w:rPr>
          <w:rFonts w:hint="eastAsia" w:ascii="宋体" w:hAnsi="宋体" w:cs="仿宋_GB2312"/>
          <w:color w:val="auto"/>
          <w:sz w:val="24"/>
          <w:highlight w:val="none"/>
          <w:u w:val="single"/>
        </w:rPr>
        <w:t>承包人按有关安全和防护的规定组织施工生产，不得使用</w:t>
      </w:r>
      <w:r>
        <w:rPr>
          <w:rFonts w:hint="eastAsia" w:ascii="宋体" w:hAnsi="宋体" w:cs="仿宋_GB2312"/>
          <w:color w:val="auto"/>
          <w:sz w:val="24"/>
          <w:highlight w:val="none"/>
          <w:u w:val="single"/>
          <w:lang w:eastAsia="zh-CN"/>
        </w:rPr>
        <w:t>不符</w:t>
      </w:r>
      <w:r>
        <w:rPr>
          <w:rFonts w:hint="eastAsia" w:ascii="宋体" w:hAnsi="宋体" w:cs="仿宋_GB2312"/>
          <w:color w:val="auto"/>
          <w:sz w:val="24"/>
          <w:highlight w:val="none"/>
          <w:u w:val="single"/>
        </w:rPr>
        <w:t>合标准的防护器材、机具和材料。</w:t>
      </w:r>
    </w:p>
    <w:p w14:paraId="44D6E6D9">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20</w:t>
      </w:r>
      <w:r>
        <w:rPr>
          <w:rFonts w:ascii="宋体" w:hAnsi="宋体" w:cs="仿宋_GB2312"/>
          <w:color w:val="auto"/>
          <w:sz w:val="24"/>
          <w:highlight w:val="none"/>
        </w:rPr>
        <w:t>.</w:t>
      </w:r>
      <w:r>
        <w:rPr>
          <w:rFonts w:hint="eastAsia" w:ascii="宋体" w:hAnsi="宋体" w:cs="仿宋_GB2312"/>
          <w:color w:val="auto"/>
          <w:sz w:val="24"/>
          <w:highlight w:val="none"/>
        </w:rPr>
        <w:t xml:space="preserve">6 </w:t>
      </w:r>
      <w:r>
        <w:rPr>
          <w:rFonts w:hint="eastAsia" w:ascii="宋体" w:hAnsi="宋体" w:cs="仿宋_GB2312"/>
          <w:color w:val="auto"/>
          <w:sz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0362ED20">
      <w:pPr>
        <w:tabs>
          <w:tab w:val="left" w:pos="142"/>
          <w:tab w:val="left" w:pos="284"/>
        </w:tabs>
        <w:adjustRightInd w:val="0"/>
        <w:snapToGrid w:val="0"/>
        <w:spacing w:line="360" w:lineRule="auto"/>
        <w:ind w:right="11"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none"/>
        </w:rPr>
        <w:t>20</w:t>
      </w:r>
      <w:r>
        <w:rPr>
          <w:rFonts w:ascii="宋体" w:hAnsi="宋体" w:cs="仿宋_GB2312"/>
          <w:color w:val="auto"/>
          <w:sz w:val="24"/>
          <w:highlight w:val="none"/>
          <w:u w:val="none"/>
        </w:rPr>
        <w:t>.</w:t>
      </w:r>
      <w:r>
        <w:rPr>
          <w:rFonts w:hint="eastAsia" w:ascii="宋体" w:hAnsi="宋体" w:cs="仿宋_GB2312"/>
          <w:color w:val="auto"/>
          <w:sz w:val="24"/>
          <w:highlight w:val="none"/>
          <w:u w:val="none"/>
        </w:rPr>
        <w:t xml:space="preserve">7 </w:t>
      </w:r>
      <w:r>
        <w:rPr>
          <w:rFonts w:hint="eastAsia" w:ascii="宋体" w:hAnsi="宋体" w:cs="仿宋_GB2312"/>
          <w:color w:val="auto"/>
          <w:sz w:val="24"/>
          <w:highlight w:val="none"/>
          <w:u w:val="single"/>
        </w:rPr>
        <w:t>对于承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14:paraId="052F9362">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21.</w:t>
      </w:r>
      <w:r>
        <w:rPr>
          <w:rFonts w:hint="eastAsia" w:ascii="宋体" w:hAnsi="宋体" w:cs="仿宋_GB2312"/>
          <w:b/>
          <w:color w:val="auto"/>
          <w:sz w:val="24"/>
          <w:highlight w:val="none"/>
        </w:rPr>
        <w:t>安全防护</w:t>
      </w:r>
    </w:p>
    <w:p w14:paraId="0D35D745">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21</w:t>
      </w:r>
      <w:r>
        <w:rPr>
          <w:rFonts w:ascii="宋体" w:hAnsi="宋体" w:cs="仿宋_GB2312"/>
          <w:color w:val="auto"/>
          <w:sz w:val="24"/>
          <w:highlight w:val="none"/>
          <w:u w:val="single"/>
        </w:rPr>
        <w:t>.1</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承包人应</w:t>
      </w:r>
      <w:r>
        <w:rPr>
          <w:rFonts w:hint="eastAsia" w:ascii="宋体" w:hAnsi="宋体" w:cs="仿宋_GB2312"/>
          <w:color w:val="auto"/>
          <w:sz w:val="24"/>
          <w:highlight w:val="none"/>
          <w:u w:val="single"/>
        </w:rPr>
        <w:t>按照法律法规及发包人的要求</w:t>
      </w:r>
      <w:r>
        <w:rPr>
          <w:rFonts w:ascii="宋体" w:hAnsi="宋体" w:cs="仿宋_GB2312"/>
          <w:color w:val="auto"/>
          <w:sz w:val="24"/>
          <w:highlight w:val="none"/>
          <w:u w:val="single"/>
        </w:rPr>
        <w:t>建立健全建筑施工安全生产组织机构和安全保证体系，落实安全生产责任制，按照工程建设安全生产的有关管理规定，采取相应措施，负责现场全部作业的安全，并对此承担全部责任。对于承包人或其分包人所雇用的工人出现的伤亡事故或损失，应由承包人自行负责（但由于发包人或监理单位有责任的除外）。对于这类伤亡或损失，发包人不负责任，不负担涉及这类伤亡或损失的索赔、诉讼、损害赔偿及其它费用。</w:t>
      </w:r>
    </w:p>
    <w:p w14:paraId="65901C2D">
      <w:pPr>
        <w:tabs>
          <w:tab w:val="left" w:pos="142"/>
          <w:tab w:val="left" w:pos="284"/>
        </w:tabs>
        <w:snapToGrid w:val="0"/>
        <w:spacing w:line="360" w:lineRule="auto"/>
        <w:ind w:firstLine="480" w:firstLineChars="200"/>
        <w:rPr>
          <w:rFonts w:ascii="宋体" w:hAnsi="宋体" w:cs="仿宋_GB2312"/>
          <w:b/>
          <w:color w:val="auto"/>
          <w:sz w:val="24"/>
          <w:highlight w:val="none"/>
        </w:rPr>
      </w:pPr>
      <w:r>
        <w:rPr>
          <w:rFonts w:hint="eastAsia" w:ascii="宋体" w:hAnsi="宋体" w:cs="仿宋_GB2312"/>
          <w:color w:val="auto"/>
          <w:sz w:val="24"/>
          <w:highlight w:val="none"/>
          <w:u w:val="single"/>
        </w:rPr>
        <w:t>21</w:t>
      </w:r>
      <w:r>
        <w:rPr>
          <w:rFonts w:ascii="宋体" w:hAnsi="宋体" w:cs="仿宋_GB2312"/>
          <w:color w:val="auto"/>
          <w:sz w:val="24"/>
          <w:highlight w:val="none"/>
          <w:u w:val="single"/>
        </w:rPr>
        <w:t>.2</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本工程安全生产、文明施工工作须按照《广州市安全文明施工样板工地评选办法</w:t>
      </w:r>
      <w:r>
        <w:rPr>
          <w:rFonts w:hint="eastAsia" w:ascii="宋体" w:hAnsi="宋体" w:cs="仿宋_GB2312"/>
          <w:color w:val="auto"/>
          <w:sz w:val="24"/>
          <w:highlight w:val="none"/>
          <w:u w:val="single"/>
        </w:rPr>
        <w:t>（2</w:t>
      </w:r>
      <w:r>
        <w:rPr>
          <w:rFonts w:ascii="宋体" w:hAnsi="宋体" w:cs="仿宋_GB2312"/>
          <w:color w:val="auto"/>
          <w:sz w:val="24"/>
          <w:highlight w:val="none"/>
          <w:u w:val="single"/>
        </w:rPr>
        <w:t>017</w:t>
      </w:r>
      <w:r>
        <w:rPr>
          <w:rFonts w:hint="eastAsia" w:ascii="宋体" w:hAnsi="宋体" w:cs="仿宋_GB2312"/>
          <w:color w:val="auto"/>
          <w:sz w:val="24"/>
          <w:highlight w:val="none"/>
          <w:u w:val="single"/>
        </w:rPr>
        <w:t>年修订）</w:t>
      </w:r>
      <w:r>
        <w:rPr>
          <w:rFonts w:ascii="宋体" w:hAnsi="宋体" w:cs="仿宋_GB2312"/>
          <w:color w:val="auto"/>
          <w:sz w:val="24"/>
          <w:highlight w:val="none"/>
          <w:u w:val="single"/>
        </w:rPr>
        <w:t>》的要求开展创优工作。</w:t>
      </w:r>
    </w:p>
    <w:p w14:paraId="6495C755">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21</w:t>
      </w:r>
      <w:r>
        <w:rPr>
          <w:rFonts w:ascii="宋体" w:hAnsi="宋体" w:cs="仿宋_GB2312"/>
          <w:color w:val="auto"/>
          <w:sz w:val="24"/>
          <w:highlight w:val="none"/>
        </w:rPr>
        <w:t>.3</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承包人应在施工现场采取维护安全、防范危险、预防火灾等措施，在特殊作业环境应对作业人员采取劳动保护措施。</w:t>
      </w:r>
    </w:p>
    <w:p w14:paraId="610CF1AD">
      <w:pPr>
        <w:tabs>
          <w:tab w:val="left" w:pos="142"/>
          <w:tab w:val="left" w:pos="284"/>
        </w:tabs>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21</w:t>
      </w:r>
      <w:r>
        <w:rPr>
          <w:rFonts w:ascii="宋体" w:hAnsi="宋体" w:cs="仿宋_GB2312"/>
          <w:color w:val="auto"/>
          <w:sz w:val="24"/>
          <w:highlight w:val="none"/>
        </w:rPr>
        <w:t>.4</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承包人应采取安全防护措施，避免施工活动对周边的建筑物和构筑物造成损害。承包人应加强周边学校、居民住宅等设施的环境保护，制定文明施工措施，施工现场严格按照《广州市建设工程文明施工管理规定》（广州市人民政府令第</w:t>
      </w:r>
      <w:r>
        <w:rPr>
          <w:rFonts w:ascii="宋体" w:hAnsi="宋体" w:cs="仿宋_GB2312"/>
          <w:color w:val="auto"/>
          <w:sz w:val="24"/>
          <w:highlight w:val="none"/>
          <w:u w:val="single"/>
        </w:rPr>
        <w:t>62</w:t>
      </w:r>
      <w:r>
        <w:rPr>
          <w:rFonts w:hint="eastAsia" w:ascii="宋体" w:hAnsi="宋体" w:cs="仿宋_GB2312"/>
          <w:color w:val="auto"/>
          <w:sz w:val="24"/>
          <w:highlight w:val="none"/>
          <w:u w:val="single"/>
        </w:rPr>
        <w:t>号）、《广州市建设工程现场文明施工管理办法》（穗建质〔2008〕937号）、《关于进一步加强我区建设工地文明施工管理的通知》（穗开规建〔2006〕74号）及其他相关规定实施，以上文件要求不一致的，以后发布文件为准，若相关部门发布新文件规定的，按新规定执行。</w:t>
      </w:r>
    </w:p>
    <w:p w14:paraId="48A065F8">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21</w:t>
      </w:r>
      <w:r>
        <w:rPr>
          <w:rFonts w:ascii="宋体" w:hAnsi="宋体" w:cs="仿宋_GB2312"/>
          <w:color w:val="auto"/>
          <w:sz w:val="24"/>
          <w:highlight w:val="none"/>
        </w:rPr>
        <w:t>.5</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承包人应按规定对工程施工人员进行安全教育和管理。</w:t>
      </w:r>
    </w:p>
    <w:p w14:paraId="4C74B90E">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21</w:t>
      </w:r>
      <w:r>
        <w:rPr>
          <w:rFonts w:ascii="宋体" w:hAnsi="宋体" w:cs="仿宋_GB2312"/>
          <w:color w:val="auto"/>
          <w:sz w:val="24"/>
          <w:highlight w:val="none"/>
        </w:rPr>
        <w:t>.6</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承包人应书面记录专项安全施工组织设计方案审查、安全检查、安全技术交底、安全隐患整改、安全教育等重要安全管理活动。</w:t>
      </w:r>
    </w:p>
    <w:p w14:paraId="34EC1F62">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21</w:t>
      </w:r>
      <w:r>
        <w:rPr>
          <w:rFonts w:ascii="宋体" w:hAnsi="宋体" w:cs="仿宋_GB2312"/>
          <w:color w:val="auto"/>
          <w:sz w:val="24"/>
          <w:highlight w:val="none"/>
        </w:rPr>
        <w:t>.</w:t>
      </w:r>
      <w:r>
        <w:rPr>
          <w:rFonts w:hint="eastAsia" w:ascii="宋体" w:hAnsi="宋体" w:cs="仿宋_GB2312"/>
          <w:color w:val="auto"/>
          <w:sz w:val="24"/>
          <w:highlight w:val="none"/>
        </w:rPr>
        <w:t xml:space="preserve">7 </w:t>
      </w:r>
      <w:r>
        <w:rPr>
          <w:rFonts w:hint="eastAsia" w:ascii="宋体" w:hAnsi="宋体" w:cs="仿宋_GB2312"/>
          <w:color w:val="auto"/>
          <w:sz w:val="24"/>
          <w:highlight w:val="none"/>
          <w:u w:val="single"/>
        </w:rPr>
        <w:t>承包人在施工期间要确保工程外场地清洁及道路畅通，如</w:t>
      </w:r>
      <w:r>
        <w:rPr>
          <w:rFonts w:hint="eastAsia" w:ascii="宋体" w:hAnsi="宋体" w:cs="仿宋_GB2312"/>
          <w:color w:val="auto"/>
          <w:sz w:val="24"/>
          <w:highlight w:val="none"/>
          <w:u w:val="single"/>
          <w:lang w:eastAsia="zh-CN"/>
        </w:rPr>
        <w:t>需</w:t>
      </w:r>
      <w:r>
        <w:rPr>
          <w:rFonts w:hint="eastAsia" w:ascii="宋体" w:hAnsi="宋体" w:cs="仿宋_GB2312"/>
          <w:color w:val="auto"/>
          <w:sz w:val="24"/>
          <w:highlight w:val="none"/>
          <w:u w:val="single"/>
        </w:rPr>
        <w:t>使用他方道路，则还必须负责养护、保洁责任，否则责任自负。施工和警示标志明显，因施工造成人身损害和财产损失的，由承包人承担责任。</w:t>
      </w:r>
    </w:p>
    <w:p w14:paraId="617CCF8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21</w:t>
      </w:r>
      <w:r>
        <w:rPr>
          <w:rFonts w:ascii="宋体" w:hAnsi="宋体" w:cs="仿宋_GB2312"/>
          <w:color w:val="auto"/>
          <w:sz w:val="24"/>
          <w:highlight w:val="none"/>
        </w:rPr>
        <w:t>.</w:t>
      </w:r>
      <w:r>
        <w:rPr>
          <w:rFonts w:hint="eastAsia" w:ascii="宋体" w:hAnsi="宋体" w:cs="仿宋_GB2312"/>
          <w:color w:val="auto"/>
          <w:sz w:val="24"/>
          <w:highlight w:val="none"/>
        </w:rPr>
        <w:t xml:space="preserve">8 </w:t>
      </w:r>
      <w:r>
        <w:rPr>
          <w:rFonts w:hint="eastAsia" w:ascii="宋体" w:hAnsi="宋体" w:cs="仿宋_GB2312"/>
          <w:color w:val="auto"/>
          <w:sz w:val="24"/>
          <w:highlight w:val="none"/>
          <w:u w:val="single"/>
        </w:rPr>
        <w:t>承包人必须考虑安全、环保等因素在局部施工范围进行围蔽施工，现场围蔽不符合国家有关安全措施及技术要求的，不得开展施工作业，由此造成的工期延长，由承包人负责，当作延误工期处理。</w:t>
      </w:r>
    </w:p>
    <w:p w14:paraId="0C31B76C">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21</w:t>
      </w:r>
      <w:r>
        <w:rPr>
          <w:rFonts w:ascii="宋体" w:hAnsi="宋体" w:cs="仿宋_GB2312"/>
          <w:color w:val="auto"/>
          <w:sz w:val="24"/>
          <w:highlight w:val="none"/>
        </w:rPr>
        <w:t>.</w:t>
      </w:r>
      <w:r>
        <w:rPr>
          <w:rFonts w:hint="eastAsia" w:ascii="宋体" w:hAnsi="宋体" w:cs="仿宋_GB2312"/>
          <w:color w:val="auto"/>
          <w:sz w:val="24"/>
          <w:highlight w:val="none"/>
        </w:rPr>
        <w:t xml:space="preserve">9 </w:t>
      </w:r>
      <w:r>
        <w:rPr>
          <w:rFonts w:hint="eastAsia" w:ascii="宋体" w:hAnsi="宋体" w:cs="仿宋_GB2312"/>
          <w:color w:val="auto"/>
          <w:sz w:val="24"/>
          <w:highlight w:val="none"/>
          <w:u w:val="single"/>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注意对现有的道路、供水管、排水管、绿化、路灯、电力与通讯设施等进行保护，如因承包人原因损坏，承包人应无条件修复，由此引起的任何安全事故由承包人负责，并承担由此产生的一切费用。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p>
    <w:p w14:paraId="6A56741D">
      <w:pPr>
        <w:tabs>
          <w:tab w:val="left" w:pos="142"/>
          <w:tab w:val="left" w:pos="284"/>
        </w:tabs>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22.</w:t>
      </w:r>
      <w:r>
        <w:rPr>
          <w:rFonts w:hint="eastAsia" w:ascii="宋体" w:hAnsi="宋体" w:cs="仿宋_GB2312"/>
          <w:b/>
          <w:color w:val="auto"/>
          <w:sz w:val="24"/>
          <w:highlight w:val="none"/>
        </w:rPr>
        <w:t>事故处理</w:t>
      </w:r>
    </w:p>
    <w:p w14:paraId="11B15A20">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22.</w:t>
      </w:r>
      <w:r>
        <w:rPr>
          <w:rFonts w:ascii="宋体" w:hAnsi="宋体" w:cs="仿宋_GB2312"/>
          <w:color w:val="auto"/>
          <w:sz w:val="24"/>
          <w:highlight w:val="none"/>
        </w:rPr>
        <w:t>1</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在施工过程中，发生安全事故，发包人和承包人应立即组织人员和设备进行紧急抢救和抢修，减少人员伤亡和财产损失，防止事故扩大，并保护事故现场。需要移动现场物品时，应作出标记和书面记录，妥善保管有关证据。</w:t>
      </w:r>
    </w:p>
    <w:p w14:paraId="5BDB2C14">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22</w:t>
      </w:r>
      <w:r>
        <w:rPr>
          <w:rFonts w:ascii="宋体" w:hAnsi="宋体" w:cs="仿宋_GB2312"/>
          <w:color w:val="auto"/>
          <w:sz w:val="24"/>
          <w:highlight w:val="none"/>
        </w:rPr>
        <w:t>.2</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如发生安全事故，除按法定程序办理有关事宜外，还必须按以下程序进行处理：</w:t>
      </w:r>
    </w:p>
    <w:p w14:paraId="0236ECC9">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22</w:t>
      </w:r>
      <w:r>
        <w:rPr>
          <w:rFonts w:ascii="宋体" w:hAnsi="宋体" w:cs="仿宋_GB2312"/>
          <w:color w:val="auto"/>
          <w:sz w:val="24"/>
          <w:highlight w:val="none"/>
        </w:rPr>
        <w:t>.2.1</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报告安全事故：安全事故发生后，承包人应在</w:t>
      </w:r>
      <w:r>
        <w:rPr>
          <w:rFonts w:ascii="宋体" w:hAnsi="宋体" w:cs="仿宋_GB2312"/>
          <w:color w:val="auto"/>
          <w:sz w:val="24"/>
          <w:highlight w:val="none"/>
          <w:u w:val="single"/>
        </w:rPr>
        <w:t>1</w:t>
      </w:r>
      <w:r>
        <w:rPr>
          <w:rFonts w:hint="eastAsia" w:ascii="宋体" w:hAnsi="宋体" w:cs="仿宋_GB2312"/>
          <w:color w:val="auto"/>
          <w:sz w:val="24"/>
          <w:highlight w:val="none"/>
          <w:u w:val="single"/>
        </w:rPr>
        <w:t>小时内用最快的信息传递手段，将发生事故的时间、地点、伤亡人数、事故原因等情况，报监理工程师和发包人。</w:t>
      </w:r>
    </w:p>
    <w:p w14:paraId="1026959E">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22</w:t>
      </w:r>
      <w:r>
        <w:rPr>
          <w:rFonts w:ascii="宋体" w:hAnsi="宋体" w:cs="仿宋_GB2312"/>
          <w:color w:val="auto"/>
          <w:sz w:val="24"/>
          <w:highlight w:val="none"/>
        </w:rPr>
        <w:t>.2.2</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事故处理：承包人负责抢救伤员、排除险情，防止事故扩大蔓延，保护好现场，并做好标志，启动保险理赔程序。</w:t>
      </w:r>
    </w:p>
    <w:p w14:paraId="33468387">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22</w:t>
      </w:r>
      <w:r>
        <w:rPr>
          <w:rFonts w:ascii="宋体" w:hAnsi="宋体" w:cs="仿宋_GB2312"/>
          <w:color w:val="auto"/>
          <w:sz w:val="24"/>
          <w:highlight w:val="none"/>
        </w:rPr>
        <w:t>.2.3</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事故调查：承包人应组织内部技术安全、质量部门的人员组成调查组，开展调查，并配合做好发包人或政府有关部门组织的调查工作。</w:t>
      </w:r>
    </w:p>
    <w:p w14:paraId="33309435">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22</w:t>
      </w:r>
      <w:r>
        <w:rPr>
          <w:rFonts w:ascii="宋体" w:hAnsi="宋体" w:cs="仿宋_GB2312"/>
          <w:color w:val="auto"/>
          <w:sz w:val="24"/>
          <w:highlight w:val="none"/>
        </w:rPr>
        <w:t>.2.4</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调查报告：承包人应把事故发生经过、原因、性质、损失、责任、处理意见、纠正和预防措施撰写成调查报告，送监理工程师会审后报发包人。</w:t>
      </w:r>
    </w:p>
    <w:p w14:paraId="69B277A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22.</w:t>
      </w:r>
      <w:r>
        <w:rPr>
          <w:rFonts w:ascii="宋体" w:hAnsi="宋体" w:cs="仿宋_GB2312"/>
          <w:color w:val="auto"/>
          <w:sz w:val="24"/>
          <w:highlight w:val="none"/>
          <w:u w:val="single"/>
        </w:rPr>
        <w:t>3</w:t>
      </w:r>
      <w:r>
        <w:rPr>
          <w:rFonts w:hint="eastAsia" w:ascii="宋体" w:hAnsi="宋体" w:cs="仿宋_GB2312"/>
          <w:color w:val="auto"/>
          <w:sz w:val="24"/>
          <w:highlight w:val="none"/>
          <w:u w:val="single"/>
        </w:rPr>
        <w:t xml:space="preserve"> 因承包人责任造成工程质量安全事故的，除行政主管部门按国家规定给予承包人处罚外，承包人还应赔偿发包人的一切经济损失。</w:t>
      </w:r>
    </w:p>
    <w:p w14:paraId="7EA4A5DE">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六、合同价款与支付</w:t>
      </w:r>
    </w:p>
    <w:p w14:paraId="0D7C26F2">
      <w:pPr>
        <w:tabs>
          <w:tab w:val="left" w:pos="142"/>
          <w:tab w:val="left" w:pos="284"/>
        </w:tabs>
        <w:snapToGrid w:val="0"/>
        <w:spacing w:line="360" w:lineRule="auto"/>
        <w:ind w:left="0" w:firstLine="482" w:firstLineChars="200"/>
        <w:rPr>
          <w:rFonts w:ascii="宋体" w:hAnsi="宋体"/>
          <w:color w:val="auto"/>
          <w:sz w:val="24"/>
          <w:szCs w:val="24"/>
          <w:highlight w:val="none"/>
          <w:u w:val="single"/>
        </w:rPr>
      </w:pPr>
      <w:r>
        <w:rPr>
          <w:rFonts w:hint="eastAsia" w:ascii="宋体" w:hAnsi="宋体"/>
          <w:b/>
          <w:color w:val="auto"/>
          <w:sz w:val="24"/>
          <w:szCs w:val="24"/>
          <w:highlight w:val="none"/>
          <w:lang w:eastAsia="zh-CN"/>
        </w:rPr>
        <w:t>23.</w:t>
      </w:r>
      <w:r>
        <w:rPr>
          <w:rFonts w:hint="eastAsia" w:ascii="宋体" w:hAnsi="宋体"/>
          <w:b/>
          <w:color w:val="auto"/>
          <w:sz w:val="24"/>
          <w:szCs w:val="24"/>
          <w:highlight w:val="none"/>
        </w:rPr>
        <w:t>合同价款及调整</w:t>
      </w:r>
    </w:p>
    <w:p w14:paraId="6EEEB79A">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23.</w:t>
      </w:r>
      <w:r>
        <w:rPr>
          <w:rFonts w:hint="eastAsia" w:ascii="宋体" w:hAnsi="宋体"/>
          <w:color w:val="auto"/>
          <w:sz w:val="24"/>
          <w:szCs w:val="24"/>
          <w:highlight w:val="none"/>
        </w:rPr>
        <w:t xml:space="preserve">1 </w:t>
      </w:r>
      <w:r>
        <w:rPr>
          <w:rFonts w:hint="eastAsia" w:ascii="宋体" w:hAnsi="宋体"/>
          <w:bCs/>
          <w:snapToGrid w:val="0"/>
          <w:color w:val="auto"/>
          <w:sz w:val="24"/>
          <w:szCs w:val="24"/>
          <w:highlight w:val="none"/>
        </w:rPr>
        <w:t>本工程施工采用分部分项工程量清单综合单价包干及项目措施费总价包干，</w:t>
      </w:r>
      <w:r>
        <w:rPr>
          <w:rFonts w:hint="eastAsia" w:ascii="宋体" w:hAnsi="宋体"/>
          <w:color w:val="auto"/>
          <w:sz w:val="24"/>
          <w:szCs w:val="24"/>
          <w:highlight w:val="none"/>
        </w:rPr>
        <w:t>具体办法如下：</w:t>
      </w:r>
    </w:p>
    <w:p w14:paraId="570676CB">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1）分部分项工程量清单费：分部分项工程量清单综合单价固定不变，工程量按实计量。</w:t>
      </w:r>
      <w:r>
        <w:rPr>
          <w:rFonts w:hint="eastAsia" w:ascii="宋体" w:hAnsi="宋体"/>
          <w:color w:val="auto"/>
          <w:sz w:val="24"/>
          <w:szCs w:val="24"/>
          <w:highlight w:val="none"/>
        </w:rPr>
        <w:t xml:space="preserve">  </w:t>
      </w:r>
    </w:p>
    <w:p w14:paraId="2E084082">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2）措施项目费：措施项目</w:t>
      </w:r>
      <w:r>
        <w:rPr>
          <w:rFonts w:hint="eastAsia" w:ascii="宋体" w:hAnsi="宋体"/>
          <w:color w:val="auto"/>
          <w:sz w:val="24"/>
          <w:szCs w:val="24"/>
          <w:highlight w:val="none"/>
        </w:rPr>
        <w:t>费固定不变，包干使用，结算时不予调整。</w:t>
      </w:r>
    </w:p>
    <w:p w14:paraId="0D9F913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3）其他项目部分：本合同的暂定价部分</w:t>
      </w:r>
      <w:r>
        <w:rPr>
          <w:rFonts w:hint="eastAsia" w:ascii="宋体" w:hAnsi="宋体"/>
          <w:color w:val="auto"/>
          <w:sz w:val="24"/>
          <w:szCs w:val="24"/>
          <w:highlight w:val="none"/>
        </w:rPr>
        <w:t>按实际发生计取</w:t>
      </w:r>
      <w:r>
        <w:rPr>
          <w:rFonts w:ascii="宋体" w:hAnsi="宋体"/>
          <w:color w:val="auto"/>
          <w:sz w:val="24"/>
          <w:szCs w:val="24"/>
          <w:highlight w:val="none"/>
        </w:rPr>
        <w:t>，最终价格由监理单位、造价咨询公司、发包人、</w:t>
      </w:r>
      <w:r>
        <w:rPr>
          <w:rFonts w:hint="eastAsia" w:ascii="宋体" w:hAnsi="宋体"/>
          <w:color w:val="auto"/>
          <w:sz w:val="24"/>
          <w:szCs w:val="24"/>
          <w:highlight w:val="none"/>
        </w:rPr>
        <w:t>承包人</w:t>
      </w:r>
      <w:r>
        <w:rPr>
          <w:rFonts w:ascii="宋体" w:hAnsi="宋体"/>
          <w:color w:val="auto"/>
          <w:sz w:val="24"/>
          <w:szCs w:val="24"/>
          <w:highlight w:val="none"/>
        </w:rPr>
        <w:t>共同确认。（若实际没有发生，在结算时</w:t>
      </w:r>
      <w:r>
        <w:rPr>
          <w:rFonts w:hint="eastAsia" w:ascii="宋体" w:hAnsi="宋体"/>
          <w:color w:val="auto"/>
          <w:sz w:val="24"/>
          <w:szCs w:val="24"/>
          <w:highlight w:val="none"/>
        </w:rPr>
        <w:t>发包人有权</w:t>
      </w:r>
      <w:r>
        <w:rPr>
          <w:rFonts w:ascii="宋体" w:hAnsi="宋体"/>
          <w:color w:val="auto"/>
          <w:sz w:val="24"/>
          <w:szCs w:val="24"/>
          <w:highlight w:val="none"/>
        </w:rPr>
        <w:t>扣除未发生项目的费用）。</w:t>
      </w:r>
    </w:p>
    <w:p w14:paraId="3D93E572">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4）预算包干费内容：a、因地形影响造成的场内料具二次运输；b、施工材料</w:t>
      </w:r>
      <w:r>
        <w:rPr>
          <w:rFonts w:hint="eastAsia" w:ascii="宋体" w:hAnsi="宋体"/>
          <w:color w:val="auto"/>
          <w:sz w:val="24"/>
          <w:szCs w:val="24"/>
          <w:highlight w:val="none"/>
        </w:rPr>
        <w:t>堆放</w:t>
      </w:r>
      <w:r>
        <w:rPr>
          <w:rFonts w:ascii="宋体" w:hAnsi="宋体"/>
          <w:color w:val="auto"/>
          <w:sz w:val="24"/>
          <w:szCs w:val="24"/>
          <w:highlight w:val="none"/>
        </w:rPr>
        <w:t>场地的整理；c、水电安装后的补洞工料费；d、工程成品保护费；e、施工中的临时停水停电；f、日间照明施工增加费；g、完工清场后的垃圾外运</w:t>
      </w:r>
      <w:r>
        <w:rPr>
          <w:rFonts w:hint="eastAsia" w:ascii="宋体" w:hAnsi="宋体"/>
          <w:color w:val="auto"/>
          <w:sz w:val="24"/>
          <w:szCs w:val="24"/>
          <w:highlight w:val="none"/>
        </w:rPr>
        <w:t>；h、以及其他根据法律法规规定和/或本合同约定应由承包人负责和承担的费用等</w:t>
      </w:r>
      <w:r>
        <w:rPr>
          <w:rFonts w:ascii="宋体" w:hAnsi="宋体"/>
          <w:color w:val="auto"/>
          <w:sz w:val="24"/>
          <w:szCs w:val="24"/>
          <w:highlight w:val="none"/>
        </w:rPr>
        <w:t>。已经包含在分部分项综合单价中，结算不另计取费用。</w:t>
      </w:r>
    </w:p>
    <w:p w14:paraId="6DD60BCC">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严格执行广东省、广州市、黄埔区、广州开发区建设行政主管部门发布的有关绿色施工、新型防护等文件规定，费用已包含在</w:t>
      </w:r>
      <w:r>
        <w:rPr>
          <w:rFonts w:hint="eastAsia" w:ascii="宋体" w:hAnsi="宋体"/>
          <w:color w:val="auto"/>
          <w:sz w:val="24"/>
          <w:szCs w:val="24"/>
          <w:highlight w:val="none"/>
          <w:lang w:val="en-US" w:eastAsia="zh-CN"/>
        </w:rPr>
        <w:t>投标报价</w:t>
      </w:r>
      <w:r>
        <w:rPr>
          <w:rFonts w:hint="eastAsia" w:ascii="宋体" w:hAnsi="宋体"/>
          <w:color w:val="auto"/>
          <w:sz w:val="24"/>
          <w:szCs w:val="24"/>
          <w:highlight w:val="none"/>
        </w:rPr>
        <w:t>内。</w:t>
      </w:r>
    </w:p>
    <w:p w14:paraId="478F7297">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5）材料检验试验费</w:t>
      </w:r>
      <w:r>
        <w:rPr>
          <w:rFonts w:hint="eastAsia" w:ascii="宋体" w:hAnsi="宋体"/>
          <w:color w:val="auto"/>
          <w:sz w:val="24"/>
          <w:szCs w:val="24"/>
          <w:highlight w:val="none"/>
        </w:rPr>
        <w:t>，费用在投标下浮率中综合考虑，不再单独计取。</w:t>
      </w:r>
    </w:p>
    <w:p w14:paraId="652BF0D5">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（6）总承包服务费按本合同结算总价的【</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】%计算，由发包人支付给</w:t>
      </w:r>
      <w:r>
        <w:rPr>
          <w:rFonts w:hint="eastAsia" w:ascii="宋体" w:hAnsi="宋体"/>
          <w:color w:val="auto"/>
          <w:sz w:val="24"/>
          <w:szCs w:val="24"/>
          <w:highlight w:val="none"/>
          <w:lang w:val="en-US" w:eastAsia="zh-CN"/>
        </w:rPr>
        <w:t>施工</w:t>
      </w:r>
      <w:r>
        <w:rPr>
          <w:rFonts w:hint="eastAsia" w:ascii="宋体" w:hAnsi="宋体"/>
          <w:color w:val="auto"/>
          <w:sz w:val="24"/>
          <w:szCs w:val="24"/>
          <w:highlight w:val="none"/>
        </w:rPr>
        <w:t>总承包</w:t>
      </w:r>
      <w:r>
        <w:rPr>
          <w:rFonts w:hint="eastAsia" w:ascii="宋体" w:hAnsi="宋体"/>
          <w:color w:val="auto"/>
          <w:sz w:val="24"/>
          <w:szCs w:val="24"/>
          <w:highlight w:val="none"/>
          <w:lang w:val="en-US" w:eastAsia="zh-CN"/>
        </w:rPr>
        <w:t>管理</w:t>
      </w:r>
      <w:r>
        <w:rPr>
          <w:rFonts w:hint="eastAsia" w:ascii="宋体" w:hAnsi="宋体"/>
          <w:color w:val="auto"/>
          <w:sz w:val="24"/>
          <w:szCs w:val="24"/>
          <w:highlight w:val="none"/>
        </w:rPr>
        <w:t>单位，承包人不需另外计取。</w:t>
      </w:r>
    </w:p>
    <w:p w14:paraId="61C2FD62">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工程量及设计量清单投标报价及结算说明，承包人应严格执行该说明，该说明与招标文件互为补充说明，具有同等法律效力，该说明约定的原则适用于投标报价、施工过程变更计量计价及竣工结算计量计价。</w:t>
      </w:r>
    </w:p>
    <w:p w14:paraId="107F88EC">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23.2 因下列原因，合同双方可协商调整合同价款：</w:t>
      </w:r>
    </w:p>
    <w:p w14:paraId="07B483EE">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因法律法规、政策变化调整；</w:t>
      </w:r>
    </w:p>
    <w:p w14:paraId="3335EBCC">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经发包人确认的</w:t>
      </w:r>
      <w:r>
        <w:rPr>
          <w:rFonts w:ascii="宋体" w:hAnsi="宋体"/>
          <w:color w:val="auto"/>
          <w:sz w:val="24"/>
          <w:szCs w:val="24"/>
          <w:highlight w:val="none"/>
        </w:rPr>
        <w:t>工程变更；</w:t>
      </w:r>
    </w:p>
    <w:p w14:paraId="36A3BCA3">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发生工程量</w:t>
      </w:r>
      <w:r>
        <w:rPr>
          <w:rFonts w:ascii="宋体" w:hAnsi="宋体"/>
          <w:color w:val="auto"/>
          <w:sz w:val="24"/>
          <w:szCs w:val="24"/>
          <w:highlight w:val="none"/>
        </w:rPr>
        <w:t>清单</w:t>
      </w:r>
      <w:r>
        <w:rPr>
          <w:rFonts w:hint="eastAsia" w:ascii="宋体" w:hAnsi="宋体"/>
          <w:color w:val="auto"/>
          <w:sz w:val="24"/>
          <w:szCs w:val="24"/>
          <w:highlight w:val="none"/>
          <w:lang w:val="en-US" w:eastAsia="zh-CN"/>
        </w:rPr>
        <w:t>缺陷</w:t>
      </w:r>
      <w:r>
        <w:rPr>
          <w:rFonts w:ascii="宋体" w:hAnsi="宋体"/>
          <w:color w:val="auto"/>
          <w:sz w:val="24"/>
          <w:szCs w:val="24"/>
          <w:highlight w:val="none"/>
        </w:rPr>
        <w:t>事件；</w:t>
      </w:r>
    </w:p>
    <w:p w14:paraId="428896A7">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物价涨落事件（此种情况下按本合同专用条款2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.4条执行）；</w:t>
      </w:r>
    </w:p>
    <w:p w14:paraId="0D084B8E">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23.3合同价款调整系因法律法规、政策变化调整而调整（此种情况下仅调整规费和税金）的，按相关法律法规及政策规定调整，物价涨落事件按本合同专用条款2</w:t>
      </w:r>
      <w:r>
        <w:rPr>
          <w:rFonts w:hint="eastAsia" w:ascii="宋体" w:hAnsi="宋体"/>
          <w:color w:val="auto"/>
          <w:sz w:val="24"/>
          <w:szCs w:val="24"/>
          <w:highlight w:val="none"/>
          <w:lang w:eastAsia="zh-CN"/>
        </w:rPr>
        <w:t>3</w:t>
      </w:r>
      <w:r>
        <w:rPr>
          <w:rFonts w:hint="eastAsia" w:ascii="宋体" w:hAnsi="宋体"/>
          <w:color w:val="auto"/>
          <w:sz w:val="24"/>
          <w:szCs w:val="24"/>
          <w:highlight w:val="none"/>
        </w:rPr>
        <w:t>.4条执行，除此之外，合同价款调整按以下规定调整：</w:t>
      </w:r>
    </w:p>
    <w:p w14:paraId="1247339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（1）工程量清单中已有适用于变更工程的单价或总价，按工程量清单已有的价格；</w:t>
      </w:r>
    </w:p>
    <w:p w14:paraId="5094149B">
      <w:pPr>
        <w:tabs>
          <w:tab w:val="left" w:pos="142"/>
          <w:tab w:val="left" w:pos="284"/>
        </w:tabs>
        <w:spacing w:line="360" w:lineRule="auto"/>
        <w:ind w:left="0" w:firstLine="480" w:firstLineChars="200"/>
        <w:rPr>
          <w:rStyle w:val="42"/>
          <w:rFonts w:ascii="宋体" w:hAnsi="宋体"/>
          <w:color w:val="auto"/>
          <w:sz w:val="24"/>
          <w:szCs w:val="24"/>
          <w:highlight w:val="none"/>
          <w:u w:val="none"/>
        </w:rPr>
      </w:pPr>
      <w:r>
        <w:rPr>
          <w:rFonts w:hint="eastAsia" w:ascii="宋体" w:hAnsi="宋体"/>
          <w:color w:val="auto"/>
          <w:sz w:val="24"/>
          <w:szCs w:val="24"/>
          <w:highlight w:val="none"/>
        </w:rPr>
        <w:t>（2）工程量清单中只有类似于变更工程的单价或总价，可以参照类似价格，则按类似项目的综合单价对相应子目、消耗量、单价等进行调整换算，原管理费、利润水平不变。如中标的投标文件工程量清单中类似项目的综合单价有两个以上，则由发包人按消耗量最少、管理费和利润取费最低的优先顺序选择类似项目综合单价进行换算。如换算时出现类似项目中没有的材料单价，</w:t>
      </w:r>
      <w:r>
        <w:rPr>
          <w:rFonts w:ascii="宋体" w:hAnsi="宋体"/>
          <w:strike/>
          <w:color w:val="auto"/>
          <w:sz w:val="24"/>
          <w:szCs w:val="24"/>
          <w:highlight w:val="none"/>
        </w:rPr>
        <w:fldChar w:fldCharType="begin"/>
      </w:r>
      <w:r>
        <w:rPr>
          <w:rFonts w:ascii="宋体" w:hAnsi="宋体"/>
          <w:strike/>
          <w:color w:val="auto"/>
          <w:sz w:val="24"/>
          <w:szCs w:val="24"/>
          <w:highlight w:val="none"/>
        </w:rPr>
        <w:instrText xml:space="preserve"> </w:instrText>
      </w:r>
      <w:r>
        <w:rPr>
          <w:rFonts w:hint="eastAsia" w:ascii="宋体" w:hAnsi="宋体"/>
          <w:strike/>
          <w:color w:val="auto"/>
          <w:sz w:val="24"/>
          <w:szCs w:val="24"/>
          <w:highlight w:val="none"/>
        </w:rPr>
        <w:instrText xml:space="preserve">HYPERLINK "https://www.msn.cn/zh-cn/feed"</w:instrText>
      </w:r>
      <w:r>
        <w:rPr>
          <w:rFonts w:ascii="宋体" w:hAnsi="宋体"/>
          <w:strike/>
          <w:color w:val="auto"/>
          <w:sz w:val="24"/>
          <w:szCs w:val="24"/>
          <w:highlight w:val="none"/>
        </w:rPr>
        <w:instrText xml:space="preserve"> </w:instrText>
      </w:r>
      <w:r>
        <w:rPr>
          <w:rFonts w:ascii="宋体" w:hAnsi="宋体"/>
          <w:strike/>
          <w:color w:val="auto"/>
          <w:sz w:val="24"/>
          <w:szCs w:val="24"/>
          <w:highlight w:val="none"/>
        </w:rPr>
        <w:fldChar w:fldCharType="separate"/>
      </w:r>
      <w:r>
        <w:rPr>
          <w:rStyle w:val="37"/>
          <w:rFonts w:hint="eastAsia" w:ascii="宋体" w:hAnsi="宋体"/>
          <w:color w:val="auto"/>
          <w:sz w:val="24"/>
          <w:szCs w:val="24"/>
          <w:highlight w:val="none"/>
          <w:u w:val="none"/>
        </w:rPr>
        <w:t>按广州市</w:t>
      </w:r>
      <w:r>
        <w:rPr>
          <w:rFonts w:hint="eastAsia"/>
          <w:color w:val="auto"/>
          <w:sz w:val="24"/>
          <w:szCs w:val="24"/>
          <w:highlight w:val="none"/>
        </w:rPr>
        <w:t>建设工程</w:t>
      </w:r>
      <w:r>
        <w:rPr>
          <w:rStyle w:val="37"/>
          <w:rFonts w:hint="eastAsia" w:ascii="宋体" w:hAnsi="宋体"/>
          <w:color w:val="auto"/>
          <w:sz w:val="24"/>
          <w:szCs w:val="24"/>
          <w:highlight w:val="none"/>
          <w:u w:val="none"/>
        </w:rPr>
        <w:t>造价管理站</w:t>
      </w:r>
      <w:r>
        <w:rPr>
          <w:rStyle w:val="37"/>
          <w:rFonts w:hint="eastAsia"/>
          <w:color w:val="auto"/>
          <w:sz w:val="24"/>
          <w:szCs w:val="24"/>
          <w:highlight w:val="none"/>
          <w:lang w:val="en-US" w:eastAsia="zh-CN"/>
        </w:rPr>
        <w:t>日期</w:t>
      </w:r>
      <w:r>
        <w:rPr>
          <w:rStyle w:val="37"/>
          <w:rFonts w:hint="eastAsia" w:ascii="宋体" w:hAnsi="宋体"/>
          <w:color w:val="auto"/>
          <w:sz w:val="24"/>
          <w:szCs w:val="24"/>
          <w:highlight w:val="none"/>
          <w:u w:val="none"/>
        </w:rPr>
        <w:t>同期《广州地区建设工程常用材料税前综合价格》或实际施工时所使用的主材单价计算，由承包人报监理单位、造价咨询单位审查，需经发包人书面同意；</w:t>
      </w:r>
    </w:p>
    <w:p w14:paraId="5BE760D7">
      <w:pPr>
        <w:tabs>
          <w:tab w:val="left" w:pos="142"/>
          <w:tab w:val="left" w:pos="284"/>
        </w:tabs>
        <w:snapToGrid w:val="0"/>
        <w:spacing w:line="360" w:lineRule="auto"/>
        <w:ind w:firstLine="480" w:firstLineChars="200"/>
        <w:rPr>
          <w:rFonts w:ascii="宋体" w:hAnsi="宋体"/>
          <w:color w:val="auto"/>
          <w:sz w:val="24"/>
          <w:szCs w:val="24"/>
          <w:highlight w:val="none"/>
        </w:rPr>
      </w:pPr>
      <w:r>
        <w:rPr>
          <w:rFonts w:ascii="宋体" w:hAnsi="宋体"/>
          <w:strike/>
          <w:color w:val="auto"/>
          <w:sz w:val="24"/>
          <w:szCs w:val="24"/>
          <w:highlight w:val="none"/>
        </w:rPr>
        <w:fldChar w:fldCharType="end"/>
      </w:r>
      <w:r>
        <w:rPr>
          <w:rFonts w:hint="eastAsia" w:ascii="宋体" w:hAnsi="宋体"/>
          <w:color w:val="auto"/>
          <w:sz w:val="24"/>
          <w:szCs w:val="24"/>
          <w:highlight w:val="none"/>
        </w:rPr>
        <w:t>（3）工程量清单中没有适用或类似于变更工程的单价或总价，由承包人依据变更工程资料、计量规则和</w:t>
      </w:r>
      <w:r>
        <w:rPr>
          <w:rFonts w:hint="eastAsia" w:ascii="宋体" w:hAnsi="宋体"/>
          <w:color w:val="auto"/>
          <w:sz w:val="24"/>
          <w:szCs w:val="24"/>
          <w:highlight w:val="none"/>
          <w:lang w:val="en-US" w:eastAsia="zh-CN"/>
        </w:rPr>
        <w:t>建设工程工程量清单计价标准（GB/T50500-2024）</w:t>
      </w:r>
      <w:r>
        <w:rPr>
          <w:rFonts w:hint="eastAsia" w:ascii="宋体" w:hAnsi="宋体"/>
          <w:color w:val="auto"/>
          <w:sz w:val="24"/>
          <w:szCs w:val="24"/>
          <w:highlight w:val="none"/>
        </w:rPr>
        <w:t>及2018年综合定额、</w:t>
      </w:r>
      <w:r>
        <w:rPr>
          <w:rFonts w:hint="eastAsia" w:ascii="宋体" w:hAnsi="宋体"/>
          <w:color w:val="auto"/>
          <w:sz w:val="24"/>
          <w:szCs w:val="24"/>
          <w:highlight w:val="none"/>
          <w:lang w:val="en-US" w:eastAsia="zh-CN"/>
        </w:rPr>
        <w:t>广东省计价管理办法、</w:t>
      </w:r>
      <w:r>
        <w:rPr>
          <w:rFonts w:hint="eastAsia" w:ascii="宋体" w:hAnsi="宋体"/>
          <w:color w:val="auto"/>
          <w:sz w:val="24"/>
          <w:szCs w:val="24"/>
          <w:highlight w:val="none"/>
        </w:rPr>
        <w:t>广州市建设工程造价管理站投标期《广州市建设工程常用材料综合价格》，如《广州市建设工程常用材料综合价格》没有的则由承包人参考发包人《设备材料参考品牌表》选定满足设计要求和发包人对产品档次的要求，并符合国家（行业）产品标准的厂家和品牌后报发包人批准，价格</w:t>
      </w:r>
      <w:r>
        <w:rPr>
          <w:rFonts w:hint="eastAsia" w:ascii="宋体" w:hAnsi="宋体"/>
          <w:color w:val="auto"/>
          <w:sz w:val="24"/>
          <w:szCs w:val="24"/>
          <w:highlight w:val="none"/>
          <w:lang w:eastAsia="zh-CN"/>
        </w:rPr>
        <w:t>报</w:t>
      </w:r>
      <w:r>
        <w:rPr>
          <w:rFonts w:hint="eastAsia" w:ascii="宋体" w:hAnsi="宋体"/>
          <w:color w:val="auto"/>
          <w:sz w:val="24"/>
          <w:szCs w:val="24"/>
          <w:highlight w:val="none"/>
        </w:rPr>
        <w:t>监理单位、造价单位和发包人书面审核确认。如在发包人《设备材料参考品牌表》之外的材料设备，则以市场询价方式，由承包人申报三个厂家（品牌）及报价报给监理单位、造价单位和发包人书面审核确认。如有必要由发包人、承包人、监理人、造价咨询单位共同组成询价小组，制定相应的询价办法进行询价，并提供合规的询价单。（注：以上的材料价格全部指的是税前价）。经市场询价发现所选用品牌的价格严重偏离市场实际价格，发包人有权按市场实际价格调整该材料的价格。编制综合单价分析表和总价报监理单位、造价咨询公司、发包人审核，承包人按审核后的综合单价和暂定工程量进行施工，最终按发包人审定的综合单价、实际工程量和承包人投标下浮率进行结算（即结算价格=综合单价*实际工程量*（1-承包人投标下浮率），下同）。如相关定额没有相类似或相关定额的项目，承包人参照定额编制原则；按</w:t>
      </w:r>
      <w:r>
        <w:rPr>
          <w:rFonts w:hint="eastAsia" w:ascii="宋体" w:hAnsi="宋体"/>
          <w:color w:val="auto"/>
          <w:sz w:val="24"/>
          <w:szCs w:val="24"/>
          <w:highlight w:val="none"/>
          <w:lang w:val="en-US" w:eastAsia="zh-CN"/>
        </w:rPr>
        <w:t>日期</w:t>
      </w:r>
      <w:r>
        <w:rPr>
          <w:rFonts w:hint="eastAsia" w:ascii="宋体" w:hAnsi="宋体"/>
          <w:color w:val="auto"/>
          <w:sz w:val="24"/>
          <w:szCs w:val="24"/>
          <w:highlight w:val="none"/>
        </w:rPr>
        <w:t>当期《广州</w:t>
      </w:r>
      <w:r>
        <w:rPr>
          <w:rFonts w:hint="eastAsia" w:ascii="宋体" w:hAnsi="宋体"/>
          <w:color w:val="auto"/>
          <w:sz w:val="24"/>
          <w:szCs w:val="24"/>
          <w:highlight w:val="none"/>
          <w:lang w:val="en-US" w:eastAsia="zh-CN"/>
        </w:rPr>
        <w:t>市</w:t>
      </w:r>
      <w:r>
        <w:rPr>
          <w:rFonts w:hint="eastAsia" w:ascii="宋体" w:hAnsi="宋体"/>
          <w:color w:val="auto"/>
          <w:sz w:val="24"/>
          <w:szCs w:val="24"/>
          <w:highlight w:val="none"/>
        </w:rPr>
        <w:t>建设工程常用材料综合价格》（或实际施工时所使用的主材单价计算，由承包人报监理单位、造价咨询单位审查，需经发包人同意），编制综合单价分析表和总价报监理单位、造价咨询公司、发包人审核，承包人按审核后的综合单价和暂定工程量进行施工，最终按发包人审定的综合单价、实际工程量和承包人投标下浮率进行结算。其中，承包人投标下浮率</w:t>
      </w:r>
      <w:r>
        <w:rPr>
          <w:rFonts w:ascii="宋体" w:hAnsi="宋体"/>
          <w:color w:val="auto"/>
          <w:sz w:val="24"/>
          <w:szCs w:val="24"/>
          <w:highlight w:val="none"/>
        </w:rPr>
        <w:t>=（1-中标价格÷</w:t>
      </w:r>
      <w:r>
        <w:rPr>
          <w:rFonts w:hint="eastAsia" w:ascii="宋体" w:hAnsi="宋体"/>
          <w:color w:val="auto"/>
          <w:sz w:val="24"/>
          <w:szCs w:val="24"/>
          <w:highlight w:val="none"/>
          <w:lang w:val="en-US" w:eastAsia="zh-CN"/>
        </w:rPr>
        <w:t>最高投标限价</w:t>
      </w:r>
      <w:r>
        <w:rPr>
          <w:rFonts w:ascii="宋体" w:hAnsi="宋体"/>
          <w:color w:val="auto"/>
          <w:sz w:val="24"/>
          <w:szCs w:val="24"/>
          <w:highlight w:val="none"/>
        </w:rPr>
        <w:t>）×100%</w:t>
      </w:r>
    </w:p>
    <w:p w14:paraId="567AEC79">
      <w:pPr>
        <w:tabs>
          <w:tab w:val="left" w:pos="142"/>
          <w:tab w:val="left" w:pos="284"/>
        </w:tabs>
        <w:snapToGrid w:val="0"/>
        <w:spacing w:line="360" w:lineRule="auto"/>
        <w:ind w:left="0" w:firstLine="480" w:firstLineChars="200"/>
        <w:rPr>
          <w:rFonts w:ascii="宋体" w:hAnsi="宋体"/>
          <w:color w:val="auto"/>
          <w:sz w:val="24"/>
          <w:szCs w:val="24"/>
          <w:highlight w:val="none"/>
        </w:rPr>
      </w:pPr>
      <w:bookmarkStart w:id="45" w:name="_Hlk44580109"/>
      <w:r>
        <w:rPr>
          <w:rFonts w:hint="eastAsia" w:ascii="宋体" w:hAnsi="宋体"/>
          <w:color w:val="auto"/>
          <w:sz w:val="24"/>
          <w:szCs w:val="24"/>
          <w:highlight w:val="none"/>
        </w:rPr>
        <w:t>投标下浮率：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4CECC07">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最高投标限价</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元。</w:t>
      </w:r>
    </w:p>
    <w:bookmarkEnd w:id="45"/>
    <w:p w14:paraId="4C75FBDD">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4）清单中主材为暂定价的项目，按实际施工时所使用的主材市场单价，由承包人报监理单位审查，</w:t>
      </w:r>
      <w:r>
        <w:rPr>
          <w:rFonts w:hint="eastAsia" w:ascii="宋体" w:hAnsi="宋体"/>
          <w:color w:val="auto"/>
          <w:sz w:val="24"/>
          <w:szCs w:val="24"/>
          <w:highlight w:val="none"/>
        </w:rPr>
        <w:t>造价公司审核后，发包人同意后，仅调整主材的价差（含定额规定的消耗量，不调整其他一切费用）。</w:t>
      </w:r>
    </w:p>
    <w:p w14:paraId="654C2686">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承包人在工程量清单所填写之措施项目的款项或单价应被视为包含根据本合同进行施工的全部工程，包括发包人根据合同条款所指令的任何增减变更（含变更、签证），即工程措施项目费不应因进行变更工程而作出调整。</w:t>
      </w:r>
    </w:p>
    <w:p w14:paraId="356EC955">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23.4 物价涨落事件</w:t>
      </w:r>
    </w:p>
    <w:p w14:paraId="762E95D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工程开工后，如出现人工、材料（只限于电线、电缆、母线槽）价格上涨幅度（施工期加权平均计算）超过承包人投标基准日的《广州市建设工程常用材料综合价格》的10%时，10%以内（含10%）的涨幅部分由承包人承担，超过10%的涨幅部分由发包人补偿给承包人；如出现人工、材料（只限于电线、电缆、母线槽）价格下落幅度（施工期加权平均计算）超过承包人投标期的《广州市建设工程常用材料综合价格》的10%（含10%）时，超过10%的减幅部分承包人应归还发包人所有。结算金额按上述价格上涨、下落幅度（按广州市造价管理站《广州市建设工程常用材料综合价格》）、结合承包人投标报价的下浮系数（如上浮，则不考虑下浮系数）计算，具体计算公式为：</w:t>
      </w:r>
    </w:p>
    <w:p w14:paraId="74387D9A">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当价格上涨超过10%时，价差调增＝（施工期内所有月份的《广州市建设工程常用材料综合价格》加权平均值－承包人投标期的《广州市建设工程常用材料综合价格》×1.1）×材料数量×（1＋税率）×（1－投标下浮率）</w:t>
      </w:r>
    </w:p>
    <w:p w14:paraId="363764D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当价格下跌超过10%时，价差调减＝（承包人投标期的《广州市建设工程常用材料综合价格》×0.9－施工期内所有月份的《广州地区建设工程常用材料综合价格》加权平均值）×材料数量×（1＋税率）×（1－投标下浮率）</w:t>
      </w:r>
    </w:p>
    <w:p w14:paraId="06259675">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color w:val="auto"/>
          <w:sz w:val="24"/>
          <w:szCs w:val="24"/>
          <w:highlight w:val="none"/>
        </w:rPr>
        <w:t>如</w:t>
      </w:r>
      <w:r>
        <w:rPr>
          <w:rFonts w:hint="eastAsia" w:ascii="宋体" w:hAnsi="宋体"/>
          <w:color w:val="auto"/>
          <w:sz w:val="24"/>
          <w:szCs w:val="24"/>
          <w:highlight w:val="none"/>
        </w:rPr>
        <w:t>材料（只限于电线、电缆、母线槽）在《广州市建设工程常用材料综合价格》中没有相应规格，按如下方法调整：</w:t>
      </w:r>
    </w:p>
    <w:p w14:paraId="6B09B901">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按照基准日当天上海期铜收市的有色金属电解铜（1#）单价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元/吨（以新浪财经网站https://finance.sina.com.cn/futures/quotes/CU0.shtml为准）作为基准价A</w:t>
      </w:r>
      <w:r>
        <w:rPr>
          <w:rFonts w:hint="eastAsia" w:ascii="宋体" w:hAnsi="宋体"/>
          <w:color w:val="auto"/>
          <w:sz w:val="24"/>
          <w:szCs w:val="24"/>
          <w:highlight w:val="none"/>
          <w:lang w:eastAsia="zh-CN"/>
        </w:rPr>
        <w:t>，</w:t>
      </w:r>
      <w:r>
        <w:rPr>
          <w:rFonts w:hint="eastAsia" w:ascii="宋体" w:hAnsi="宋体"/>
          <w:color w:val="auto"/>
          <w:sz w:val="24"/>
          <w:szCs w:val="24"/>
          <w:highlight w:val="none"/>
        </w:rPr>
        <w:t>施工期间，以每批材料入场报验时间当天（以材料进场报验单时间为准）对应的上海期铜收市的有色金属电解铜（1#）税前单价作为价格B</w:t>
      </w:r>
      <w:r>
        <w:rPr>
          <w:rFonts w:hint="eastAsia" w:ascii="宋体" w:hAnsi="宋体"/>
          <w:color w:val="auto"/>
          <w:sz w:val="24"/>
          <w:szCs w:val="24"/>
          <w:highlight w:val="none"/>
          <w:lang w:eastAsia="zh-CN"/>
        </w:rPr>
        <w:t>，</w:t>
      </w:r>
      <w:r>
        <w:rPr>
          <w:rFonts w:hint="eastAsia" w:ascii="宋体" w:hAnsi="宋体"/>
          <w:color w:val="auto"/>
          <w:sz w:val="24"/>
          <w:szCs w:val="24"/>
          <w:highlight w:val="none"/>
        </w:rPr>
        <w:t>当（B-A）/A超过±10%（不含本数）</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则执行调价原则。涨价时：调价公式为（B-A*110%）/1000*电缆电线铜芯截面面积*8.9/1000*材料数量×（1＋税率）×（1－投标下浮率）。跌价时：调价公式为（B-A*90%）/1000*电缆电线铜芯截面面积*8.9/1000*材料数量×（1＋税率）×（1－投标下浮率）。</w:t>
      </w:r>
    </w:p>
    <w:p w14:paraId="6F0B4589">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说明：1）上海期铜收市的有色金属电解铜（1#）价格按工作日时间周1~5开市（除国家规定的节假日外），所以下单时间都对应当月所在的时间对应收市铜价。</w:t>
      </w:r>
    </w:p>
    <w:p w14:paraId="1E778172">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承包人应在以上情况发生后，将调整原因、金额以书面形式通知监理单位，经监理单位和发包人批准后作为调整合同价款及拨付工程进度款的依据。监理单位收到后审核并签署初审意见，发包人最迟于结算前予以审定。</w:t>
      </w:r>
    </w:p>
    <w:p w14:paraId="69ADC2C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5</w:t>
      </w:r>
      <w:r>
        <w:rPr>
          <w:rFonts w:hint="eastAsia" w:ascii="宋体" w:hAnsi="宋体"/>
          <w:color w:val="auto"/>
          <w:sz w:val="24"/>
          <w:szCs w:val="24"/>
          <w:highlight w:val="none"/>
        </w:rPr>
        <w:t xml:space="preserve"> 承包人在本合同签订前已到工地现场踏勘，已充分了解工地位置、情况、道路、储存空间、装卸限制及任何其他足以影响承包价的情况，任何因忽视或误解工地情况导致的索赔（增补）或工期延长申请将不被批准。</w:t>
      </w:r>
    </w:p>
    <w:p w14:paraId="4A177B94">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24.</w:t>
      </w:r>
      <w:r>
        <w:rPr>
          <w:rFonts w:hint="eastAsia" w:ascii="宋体" w:hAnsi="宋体"/>
          <w:b/>
          <w:color w:val="auto"/>
          <w:sz w:val="24"/>
          <w:szCs w:val="24"/>
          <w:highlight w:val="none"/>
        </w:rPr>
        <w:t>工程预付款</w:t>
      </w:r>
    </w:p>
    <w:p w14:paraId="01ECCAB1">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24.1 发包人应按以下进度向承包人支付工程预付款：</w:t>
      </w:r>
    </w:p>
    <w:p w14:paraId="74288751">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（1）本合同生效，在</w:t>
      </w:r>
      <w:r>
        <w:rPr>
          <w:rFonts w:ascii="宋体" w:hAnsi="宋体"/>
          <w:color w:val="auto"/>
          <w:sz w:val="24"/>
          <w:szCs w:val="24"/>
          <w:highlight w:val="none"/>
        </w:rPr>
        <w:t>满足本合同预付款支付条件时，</w:t>
      </w:r>
      <w:r>
        <w:rPr>
          <w:rFonts w:hint="eastAsia" w:ascii="宋体" w:hAnsi="宋体"/>
          <w:color w:val="auto"/>
          <w:sz w:val="24"/>
          <w:szCs w:val="24"/>
          <w:highlight w:val="none"/>
        </w:rPr>
        <w:t>发包人在收到以发包人为抬头工程所在地区税务部门开具合法合规的增值税专用发票，发包人或监理单位（经发包人同意）签发开工令，发包人核定本工程有效履约保函后</w:t>
      </w:r>
      <w:r>
        <w:rPr>
          <w:rFonts w:ascii="宋体" w:hAnsi="宋体"/>
          <w:color w:val="auto"/>
          <w:sz w:val="24"/>
          <w:szCs w:val="24"/>
          <w:highlight w:val="none"/>
        </w:rPr>
        <w:t>15</w:t>
      </w:r>
      <w:r>
        <w:rPr>
          <w:rFonts w:hint="eastAsia" w:ascii="宋体" w:hAnsi="宋体"/>
          <w:color w:val="auto"/>
          <w:sz w:val="24"/>
          <w:szCs w:val="24"/>
          <w:highlight w:val="none"/>
        </w:rPr>
        <w:t>个日历天内支付合同暂定总价款【若工程量清单中有暂定金则扣除暂定金（含暂列金额和暂估价）部分】的10％作为工程预付款。</w:t>
      </w:r>
    </w:p>
    <w:p w14:paraId="51DC3646">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（2）承包人在收到工程预付款后应保证专款专用，否则发包人将视作承包人违约。</w:t>
      </w:r>
    </w:p>
    <w:p w14:paraId="081AF1FA">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工程预付款的支付条件详见</w:t>
      </w:r>
      <w:r>
        <w:rPr>
          <w:rFonts w:hint="eastAsia" w:ascii="宋体" w:hAnsi="宋体"/>
          <w:b/>
          <w:bCs/>
          <w:color w:val="auto"/>
          <w:sz w:val="24"/>
          <w:szCs w:val="24"/>
          <w:highlight w:val="none"/>
        </w:rPr>
        <w:t>第26.</w:t>
      </w:r>
      <w:r>
        <w:rPr>
          <w:rFonts w:ascii="宋体" w:hAnsi="宋体"/>
          <w:b/>
          <w:bCs/>
          <w:color w:val="auto"/>
          <w:sz w:val="24"/>
          <w:szCs w:val="24"/>
          <w:highlight w:val="none"/>
        </w:rPr>
        <w:t>3</w:t>
      </w:r>
      <w:r>
        <w:rPr>
          <w:rFonts w:hint="eastAsia" w:ascii="宋体" w:hAnsi="宋体"/>
          <w:b/>
          <w:bCs/>
          <w:color w:val="auto"/>
          <w:sz w:val="24"/>
          <w:szCs w:val="24"/>
          <w:highlight w:val="none"/>
        </w:rPr>
        <w:t>条</w:t>
      </w:r>
      <w:r>
        <w:rPr>
          <w:rFonts w:hint="eastAsia" w:ascii="宋体" w:hAnsi="宋体"/>
          <w:color w:val="auto"/>
          <w:sz w:val="24"/>
          <w:szCs w:val="24"/>
          <w:highlight w:val="none"/>
        </w:rPr>
        <w:t>。</w:t>
      </w:r>
    </w:p>
    <w:p w14:paraId="0CC1AF6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24.2 扣回工程预付款的时间、比例：</w:t>
      </w:r>
      <w:bookmarkStart w:id="46" w:name="_Hlk90303805"/>
      <w:r>
        <w:rPr>
          <w:rFonts w:hint="eastAsia" w:ascii="宋体" w:hAnsi="宋体"/>
          <w:color w:val="auto"/>
          <w:sz w:val="24"/>
          <w:szCs w:val="24"/>
          <w:highlight w:val="none"/>
        </w:rPr>
        <w:t>工程预付款从工程发生的第一次进度款支付起，每次按审定月度已完成工程计量的80％之中的50％比例扣回，直至预付款全部扣回完毕止。</w:t>
      </w:r>
    </w:p>
    <w:bookmarkEnd w:id="46"/>
    <w:p w14:paraId="7D73DDDB">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24.3 在合同解除时，预付款尚未抵扣完的，发包人有权要求承包人返还尚未抵扣完的预付款。承包人未能返还的，发包人有权按如下程序扣回预付款的余额：</w:t>
      </w:r>
    </w:p>
    <w:p w14:paraId="61132506">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（1）从应付给承包人的款项中或属于承包人的款项中扣除；</w:t>
      </w:r>
    </w:p>
    <w:p w14:paraId="36804ACC">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（2）应付给承包人的款项或属于承包人的款项不足以抵扣时，发包人有权从履约保函中扣除尚未抵扣完的预付款；</w:t>
      </w:r>
    </w:p>
    <w:p w14:paraId="1F050531">
      <w:pPr>
        <w:tabs>
          <w:tab w:val="left" w:pos="142"/>
          <w:tab w:val="left" w:pos="284"/>
        </w:tabs>
        <w:snapToGrid w:val="0"/>
        <w:spacing w:line="360" w:lineRule="auto"/>
        <w:ind w:left="178" w:leftChars="85"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25.</w:t>
      </w:r>
      <w:r>
        <w:rPr>
          <w:rFonts w:hint="eastAsia" w:ascii="宋体" w:hAnsi="宋体"/>
          <w:b/>
          <w:color w:val="auto"/>
          <w:sz w:val="24"/>
          <w:szCs w:val="24"/>
          <w:highlight w:val="none"/>
        </w:rPr>
        <w:t>工程量确认</w:t>
      </w:r>
    </w:p>
    <w:p w14:paraId="1EA4DE87">
      <w:pPr>
        <w:tabs>
          <w:tab w:val="left" w:pos="142"/>
          <w:tab w:val="left" w:pos="284"/>
        </w:tabs>
        <w:spacing w:line="360" w:lineRule="auto"/>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承包人向工程师提交已完工程量报告的时间：承包人自开工之日起每月5</w:t>
      </w:r>
      <w:r>
        <w:rPr>
          <w:rFonts w:hint="eastAsia" w:ascii="宋体" w:hAnsi="宋体"/>
          <w:color w:val="auto"/>
          <w:sz w:val="24"/>
          <w:szCs w:val="24"/>
          <w:highlight w:val="none"/>
          <w:lang w:eastAsia="zh-CN"/>
        </w:rPr>
        <w:t>日前</w:t>
      </w:r>
      <w:r>
        <w:rPr>
          <w:rFonts w:hint="eastAsia" w:ascii="宋体" w:hAnsi="宋体"/>
          <w:color w:val="auto"/>
          <w:sz w:val="24"/>
          <w:szCs w:val="24"/>
          <w:highlight w:val="none"/>
        </w:rPr>
        <w:t>报告上月已完成工程状况。承包人未依约提交已完工程量报告的，工程师有权不予认可该等工程量。工程量确认均需工程师计量和发包人书面确认，工程师逾期计量，或发包人逾期确认的，不自动视为对工程量的确认。</w:t>
      </w:r>
    </w:p>
    <w:p w14:paraId="35F99D96">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26.</w:t>
      </w:r>
      <w:r>
        <w:rPr>
          <w:rFonts w:hint="eastAsia" w:ascii="宋体" w:hAnsi="宋体"/>
          <w:b/>
          <w:color w:val="auto"/>
          <w:sz w:val="24"/>
          <w:szCs w:val="24"/>
          <w:highlight w:val="none"/>
        </w:rPr>
        <w:t>工程款（进度款）支付</w:t>
      </w:r>
    </w:p>
    <w:p w14:paraId="441F5457">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26.1 双方约定的工程款支付的方式和时间：</w:t>
      </w:r>
    </w:p>
    <w:p w14:paraId="00F36713">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（1）承包人每月5日之前上报上一个月已完成工程量报表，经监理单位、</w:t>
      </w:r>
      <w:r>
        <w:rPr>
          <w:rFonts w:ascii="宋体" w:hAnsi="宋体"/>
          <w:color w:val="auto"/>
          <w:sz w:val="24"/>
          <w:szCs w:val="24"/>
          <w:highlight w:val="none"/>
        </w:rPr>
        <w:t>造价咨询公司</w:t>
      </w:r>
      <w:r>
        <w:rPr>
          <w:rFonts w:hint="eastAsia" w:ascii="宋体" w:hAnsi="宋体"/>
          <w:color w:val="auto"/>
          <w:sz w:val="24"/>
          <w:szCs w:val="24"/>
          <w:highlight w:val="none"/>
        </w:rPr>
        <w:t>审核及发包人确认后，发包人依据经审定月度完成工程量对应工程价款的80％支付工程进度款（若有暂定金扣除未计量部分暂定金）；</w:t>
      </w:r>
    </w:p>
    <w:p w14:paraId="14C5F2BC">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（2）工程各分区分别通过发包人和供电部门最终验收并送电后，发包人依据经审定各分区工程所有已完成工程量对应工程价款的85％支付工程进度款；</w:t>
      </w:r>
    </w:p>
    <w:p w14:paraId="08FDDDE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项目各分区竣备</w:t>
      </w:r>
      <w:r>
        <w:rPr>
          <w:rFonts w:hint="eastAsia" w:ascii="宋体" w:hAnsi="宋体"/>
          <w:color w:val="auto"/>
          <w:sz w:val="24"/>
          <w:szCs w:val="24"/>
          <w:highlight w:val="none"/>
        </w:rPr>
        <w:t>联合验收后，经发包人审定工程结算前，发包人依据经审定各分区工程所有已完成工程量对应工程价款的</w:t>
      </w:r>
      <w:r>
        <w:rPr>
          <w:rFonts w:hint="eastAsia" w:ascii="宋体" w:hAnsi="宋体"/>
          <w:color w:val="auto"/>
          <w:sz w:val="24"/>
          <w:szCs w:val="24"/>
          <w:highlight w:val="none"/>
          <w:lang w:eastAsia="zh-CN"/>
        </w:rPr>
        <w:t>9</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％支付工程进度款；</w:t>
      </w:r>
    </w:p>
    <w:p w14:paraId="0E37CB51">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（4）经发包人审定工程结算且收到承包人请款申请及发票（包含质保金在内的全额发票）后支付工程款至结算价的9</w:t>
      </w:r>
      <w:r>
        <w:rPr>
          <w:rFonts w:ascii="宋体" w:hAnsi="宋体"/>
          <w:color w:val="auto"/>
          <w:sz w:val="24"/>
          <w:szCs w:val="24"/>
          <w:highlight w:val="none"/>
        </w:rPr>
        <w:t>7</w:t>
      </w:r>
      <w:r>
        <w:rPr>
          <w:rFonts w:hint="eastAsia" w:ascii="宋体" w:hAnsi="宋体"/>
          <w:color w:val="auto"/>
          <w:sz w:val="24"/>
          <w:szCs w:val="24"/>
          <w:highlight w:val="none"/>
        </w:rPr>
        <w:t>%；</w:t>
      </w:r>
    </w:p>
    <w:p w14:paraId="0D7FA813">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（5）工程竣工结算付款时一次性扣留合同结算价的3%作为质量保证金，在竣工验收合格2年后承包人按合同约定履行保修义务的前提下30天内一次性无息返还</w:t>
      </w:r>
      <w:r>
        <w:rPr>
          <w:rFonts w:hint="eastAsia" w:ascii="宋体" w:hAnsi="宋体"/>
          <w:bCs/>
          <w:color w:val="auto"/>
          <w:sz w:val="24"/>
          <w:szCs w:val="24"/>
          <w:highlight w:val="none"/>
        </w:rPr>
        <w:t>（扣除部分除外）</w:t>
      </w:r>
      <w:r>
        <w:rPr>
          <w:rFonts w:hint="eastAsia" w:ascii="宋体" w:hAnsi="宋体"/>
          <w:color w:val="auto"/>
          <w:sz w:val="24"/>
          <w:szCs w:val="24"/>
          <w:highlight w:val="none"/>
        </w:rPr>
        <w:t>。</w:t>
      </w:r>
    </w:p>
    <w:p w14:paraId="755FA13A">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26.3 工程价款的支付条件：</w:t>
      </w:r>
    </w:p>
    <w:p w14:paraId="70B918BA">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1）支付工程预付款：承包人已与发包人签订本工程施工合同</w:t>
      </w:r>
      <w:r>
        <w:rPr>
          <w:rFonts w:hint="eastAsia" w:ascii="宋体" w:hAnsi="宋体"/>
          <w:color w:val="auto"/>
          <w:sz w:val="24"/>
          <w:szCs w:val="24"/>
          <w:highlight w:val="none"/>
          <w:lang w:eastAsia="zh-CN"/>
        </w:rPr>
        <w:t>，</w:t>
      </w:r>
      <w:r>
        <w:rPr>
          <w:rFonts w:ascii="宋体" w:hAnsi="宋体"/>
          <w:color w:val="auto"/>
          <w:sz w:val="24"/>
          <w:szCs w:val="24"/>
          <w:highlight w:val="none"/>
        </w:rPr>
        <w:t>承包人承诺的项目管理人员，机械设备到位。</w:t>
      </w:r>
      <w:r>
        <w:rPr>
          <w:rFonts w:hint="eastAsia" w:ascii="宋体" w:hAnsi="宋体"/>
          <w:color w:val="auto"/>
          <w:sz w:val="24"/>
          <w:szCs w:val="24"/>
          <w:highlight w:val="none"/>
        </w:rPr>
        <w:t>发包人或监理单位（经发包人同意）签发开工令且承包人</w:t>
      </w:r>
      <w:r>
        <w:rPr>
          <w:rFonts w:ascii="宋体" w:hAnsi="宋体"/>
          <w:color w:val="auto"/>
          <w:sz w:val="24"/>
          <w:szCs w:val="24"/>
          <w:highlight w:val="none"/>
        </w:rPr>
        <w:t>履约保函已按发包人要求准时提交，承包人已经向发包人开具以发包人为抬头</w:t>
      </w:r>
      <w:r>
        <w:rPr>
          <w:rFonts w:hint="eastAsia" w:ascii="宋体" w:hAnsi="宋体"/>
          <w:color w:val="auto"/>
          <w:sz w:val="24"/>
          <w:szCs w:val="24"/>
          <w:highlight w:val="none"/>
        </w:rPr>
        <w:t>的</w:t>
      </w:r>
      <w:r>
        <w:rPr>
          <w:rFonts w:ascii="宋体" w:hAnsi="宋体"/>
          <w:color w:val="auto"/>
          <w:sz w:val="24"/>
          <w:szCs w:val="24"/>
          <w:highlight w:val="none"/>
        </w:rPr>
        <w:t>合法合规的增值税</w:t>
      </w:r>
      <w:r>
        <w:rPr>
          <w:rFonts w:hint="eastAsia" w:ascii="宋体" w:hAnsi="宋体"/>
          <w:color w:val="auto"/>
          <w:sz w:val="24"/>
          <w:szCs w:val="24"/>
          <w:highlight w:val="none"/>
        </w:rPr>
        <w:t>专用</w:t>
      </w:r>
      <w:r>
        <w:rPr>
          <w:rFonts w:ascii="宋体" w:hAnsi="宋体"/>
          <w:color w:val="auto"/>
          <w:sz w:val="24"/>
          <w:szCs w:val="24"/>
          <w:highlight w:val="none"/>
        </w:rPr>
        <w:t>发票，且工程经总监理工程师批准正式动工。</w:t>
      </w:r>
    </w:p>
    <w:p w14:paraId="07F69A53">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2）支付工程款（进度款）：承包人必须及时向监理工程师提供其完成工程量的计量支付汇总报表和相应的分项工程计量支付报表。完成的全部分项工程数量均需有监理</w:t>
      </w:r>
      <w:r>
        <w:rPr>
          <w:rFonts w:hint="eastAsia" w:ascii="宋体" w:hAnsi="宋体"/>
          <w:color w:val="auto"/>
          <w:sz w:val="24"/>
          <w:szCs w:val="24"/>
          <w:highlight w:val="none"/>
        </w:rPr>
        <w:t>工程师的签认手续，计算依据和相关的质量合格证明资料，需通过测量确定数量的必须附有完整的测量资料且有监理工程师的签认。承包人</w:t>
      </w:r>
      <w:r>
        <w:rPr>
          <w:rFonts w:ascii="宋体" w:hAnsi="宋体"/>
          <w:color w:val="auto"/>
          <w:sz w:val="24"/>
          <w:szCs w:val="24"/>
          <w:highlight w:val="none"/>
        </w:rPr>
        <w:t>不得拖欠工人工资，</w:t>
      </w:r>
      <w:r>
        <w:rPr>
          <w:rFonts w:hint="eastAsia" w:ascii="宋体" w:hAnsi="宋体"/>
          <w:color w:val="auto"/>
          <w:sz w:val="24"/>
          <w:szCs w:val="24"/>
          <w:highlight w:val="none"/>
        </w:rPr>
        <w:t>如承包人未依约支付工人工资的，发包人可相应顺延进度款的支付，承包人不得提出异议。</w:t>
      </w:r>
    </w:p>
    <w:p w14:paraId="1A8B1448">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3）支付工程款（进度款）期限：</w:t>
      </w:r>
    </w:p>
    <w:p w14:paraId="6495D57C">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本工程施工期间的进度款支付期：以月为单位。承包人应在每月5日</w:t>
      </w:r>
      <w:r>
        <w:rPr>
          <w:rFonts w:ascii="宋体" w:hAnsi="宋体"/>
          <w:color w:val="auto"/>
          <w:sz w:val="24"/>
          <w:szCs w:val="24"/>
          <w:highlight w:val="none"/>
        </w:rPr>
        <w:t>之前向</w:t>
      </w:r>
      <w:r>
        <w:rPr>
          <w:rFonts w:hint="eastAsia" w:ascii="宋体" w:hAnsi="宋体"/>
          <w:color w:val="auto"/>
          <w:sz w:val="24"/>
          <w:szCs w:val="24"/>
          <w:highlight w:val="none"/>
        </w:rPr>
        <w:t>监理工程师提交支付申请和已</w:t>
      </w:r>
      <w:r>
        <w:rPr>
          <w:rFonts w:ascii="宋体" w:hAnsi="宋体"/>
          <w:color w:val="auto"/>
          <w:sz w:val="24"/>
          <w:szCs w:val="24"/>
          <w:highlight w:val="none"/>
        </w:rPr>
        <w:t>完工程价款报表</w:t>
      </w:r>
      <w:r>
        <w:rPr>
          <w:rFonts w:hint="eastAsia" w:ascii="宋体" w:hAnsi="宋体"/>
          <w:color w:val="auto"/>
          <w:sz w:val="24"/>
          <w:szCs w:val="24"/>
          <w:highlight w:val="none"/>
        </w:rPr>
        <w:t>，经监理单位完成</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造价咨询公司</w:t>
      </w:r>
      <w:r>
        <w:rPr>
          <w:rFonts w:hint="eastAsia" w:ascii="宋体" w:hAnsi="宋体"/>
          <w:color w:val="auto"/>
          <w:sz w:val="24"/>
          <w:szCs w:val="24"/>
          <w:highlight w:val="none"/>
        </w:rPr>
        <w:t>完成</w:t>
      </w:r>
      <w:r>
        <w:rPr>
          <w:rFonts w:ascii="宋体" w:hAnsi="宋体"/>
          <w:color w:val="auto"/>
          <w:sz w:val="24"/>
          <w:szCs w:val="24"/>
          <w:highlight w:val="none"/>
        </w:rPr>
        <w:t>复审</w:t>
      </w:r>
      <w:r>
        <w:rPr>
          <w:rFonts w:hint="eastAsia" w:ascii="宋体" w:hAnsi="宋体"/>
          <w:color w:val="auto"/>
          <w:sz w:val="24"/>
          <w:szCs w:val="24"/>
          <w:highlight w:val="none"/>
        </w:rPr>
        <w:t>及</w:t>
      </w:r>
      <w:r>
        <w:rPr>
          <w:rFonts w:ascii="宋体" w:hAnsi="宋体"/>
          <w:color w:val="auto"/>
          <w:sz w:val="24"/>
          <w:szCs w:val="24"/>
          <w:highlight w:val="none"/>
        </w:rPr>
        <w:t>发包人审核并具备付款申请条件后，进</w:t>
      </w:r>
      <w:r>
        <w:rPr>
          <w:rFonts w:hint="eastAsia" w:ascii="宋体" w:hAnsi="宋体"/>
          <w:color w:val="auto"/>
          <w:sz w:val="24"/>
          <w:szCs w:val="24"/>
          <w:highlight w:val="none"/>
        </w:rPr>
        <w:t>行支付</w:t>
      </w:r>
      <w:r>
        <w:rPr>
          <w:rFonts w:ascii="宋体" w:hAnsi="宋体"/>
          <w:color w:val="auto"/>
          <w:sz w:val="24"/>
          <w:szCs w:val="24"/>
          <w:highlight w:val="none"/>
        </w:rPr>
        <w:t>。</w:t>
      </w:r>
    </w:p>
    <w:p w14:paraId="632BF340">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（4）工程竣工验收合格后且承包人协作完成提交竣工归档资料及其他相关资料（完成城建档案资料备案），工程竣工验收报告经发包人认可后</w:t>
      </w:r>
      <w:r>
        <w:rPr>
          <w:rFonts w:ascii="宋体" w:hAnsi="宋体"/>
          <w:color w:val="auto"/>
          <w:sz w:val="24"/>
          <w:szCs w:val="24"/>
          <w:highlight w:val="none"/>
        </w:rPr>
        <w:t>，</w:t>
      </w:r>
      <w:r>
        <w:rPr>
          <w:rFonts w:hint="eastAsia" w:ascii="宋体" w:hAnsi="宋体"/>
          <w:color w:val="auto"/>
          <w:sz w:val="24"/>
          <w:szCs w:val="24"/>
          <w:highlight w:val="none"/>
        </w:rPr>
        <w:t>承包人编制本工程的结算书并递交竣工结算报告及完整的结算资料，且必须在工程竣工验收报告经发包人认可后的</w:t>
      </w:r>
      <w:r>
        <w:rPr>
          <w:rFonts w:ascii="宋体" w:hAnsi="宋体"/>
          <w:color w:val="auto"/>
          <w:sz w:val="24"/>
          <w:szCs w:val="24"/>
          <w:highlight w:val="none"/>
        </w:rPr>
        <w:t>90</w:t>
      </w:r>
      <w:r>
        <w:rPr>
          <w:rFonts w:hint="eastAsia" w:ascii="宋体" w:hAnsi="宋体"/>
          <w:color w:val="auto"/>
          <w:sz w:val="24"/>
          <w:szCs w:val="24"/>
          <w:highlight w:val="none"/>
        </w:rPr>
        <w:t>个日历天内将编制的结算资料送发包人</w:t>
      </w:r>
      <w:r>
        <w:rPr>
          <w:rFonts w:ascii="宋体" w:hAnsi="宋体"/>
          <w:color w:val="auto"/>
          <w:sz w:val="24"/>
          <w:szCs w:val="24"/>
          <w:highlight w:val="none"/>
        </w:rPr>
        <w:t>、</w:t>
      </w:r>
      <w:r>
        <w:rPr>
          <w:rFonts w:hint="eastAsia" w:ascii="宋体" w:hAnsi="宋体"/>
          <w:color w:val="auto"/>
          <w:sz w:val="24"/>
          <w:szCs w:val="24"/>
          <w:highlight w:val="none"/>
        </w:rPr>
        <w:t>监理单位审核，经监理单位审核后，送造价咨询公司等单位审核后再送发包人复审，并以发包人审定的本工程结算资料为准。如遇审计部门等发现本合同结算价款存在超付情形，发包人有权要求承包人返还该部分款项。</w:t>
      </w:r>
    </w:p>
    <w:p w14:paraId="281FCC19">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承包人申请支付每期工程款的同时应当提供以发包人为抬头工程所在地区税务部门按税率开具的合法等额的增值税专用发票。承包人因收取费用所需缴纳的税费，由承包人自行承担。承包人未按约定向发包人开具发票的，发包人可暂停支付工程款。</w:t>
      </w:r>
    </w:p>
    <w:p w14:paraId="66E5997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（6）保留工程结算总价的3%作为工程质保金，在竣工验收合格两年后承包人按合同约定履行保修义务的前提下30天内一次性无息支付保修金</w:t>
      </w:r>
      <w:r>
        <w:rPr>
          <w:rFonts w:hint="eastAsia" w:ascii="宋体" w:hAnsi="宋体"/>
          <w:bCs/>
          <w:color w:val="auto"/>
          <w:sz w:val="24"/>
          <w:szCs w:val="24"/>
          <w:highlight w:val="none"/>
        </w:rPr>
        <w:t>（扣除部分除外）</w:t>
      </w:r>
      <w:r>
        <w:rPr>
          <w:rFonts w:hint="eastAsia" w:ascii="宋体" w:hAnsi="宋体"/>
          <w:color w:val="auto"/>
          <w:sz w:val="24"/>
          <w:szCs w:val="24"/>
          <w:highlight w:val="none"/>
        </w:rPr>
        <w:t>。在缺陷责任期满时，承包人没有完成缺陷责任的，发包人有权扣留与未履行责任剩余工作所需金额相应的质量保证金余额，不免除承包人依合同约定应承担的尚未履行完的义务，并有权要求延长缺陷责任期，直至完成剩余工作为止。</w:t>
      </w:r>
    </w:p>
    <w:p w14:paraId="113E82BE">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26.4、工程结算依据</w:t>
      </w:r>
    </w:p>
    <w:p w14:paraId="262A7231">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1）经</w:t>
      </w:r>
      <w:r>
        <w:rPr>
          <w:rFonts w:hint="eastAsia" w:ascii="宋体" w:hAnsi="宋体"/>
          <w:color w:val="auto"/>
          <w:sz w:val="24"/>
          <w:szCs w:val="24"/>
          <w:highlight w:val="none"/>
        </w:rPr>
        <w:t>双方签订的合同及其组成部分</w:t>
      </w:r>
      <w:r>
        <w:rPr>
          <w:rFonts w:ascii="宋体" w:hAnsi="宋体"/>
          <w:color w:val="auto"/>
          <w:sz w:val="24"/>
          <w:szCs w:val="24"/>
          <w:highlight w:val="none"/>
        </w:rPr>
        <w:t>；</w:t>
      </w:r>
    </w:p>
    <w:p w14:paraId="456B79FF">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（2）执行国家标准《建设工程工程量清单计价标准》（GB/T 50500-2024）；套用《广东省建设工程计价依据（2018）》及《广东省房屋建筑与装饰工程综合定额（2018）》；《广东省通用安装工程综合定额（2018）》；《广东省市政工程综合定额（2018）》《广东省园林绿化工程综合定额（2018）》；《广州市建设工程造价管理站关于营业税改征增值税后广州市建设工程计价有关问题的通知》（穗建造价</w:t>
      </w:r>
      <w:r>
        <w:rPr>
          <w:rFonts w:hint="eastAsia" w:ascii="宋体" w:hAnsi="宋体"/>
          <w:color w:val="auto"/>
          <w:sz w:val="24"/>
          <w:szCs w:val="24"/>
          <w:highlight w:val="none"/>
          <w:lang w:eastAsia="zh-CN"/>
        </w:rPr>
        <w:t>〔2016〕</w:t>
      </w:r>
      <w:r>
        <w:rPr>
          <w:rFonts w:hint="eastAsia" w:ascii="宋体" w:hAnsi="宋体"/>
          <w:color w:val="auto"/>
          <w:sz w:val="24"/>
          <w:szCs w:val="24"/>
          <w:highlight w:val="none"/>
        </w:rPr>
        <w:t>31号）及广东省广州市有关计价文件规定；定额中没有的子目由发包人与承包人共同协商确定。人工、材料设备、机械的价格执行《广州市建设工程造价管理站关于营业税改征增值税后广州市建设工程计价有关问题的通知》（穗建造价</w:t>
      </w:r>
      <w:r>
        <w:rPr>
          <w:rFonts w:hint="eastAsia" w:ascii="宋体" w:hAnsi="宋体"/>
          <w:color w:val="auto"/>
          <w:sz w:val="24"/>
          <w:szCs w:val="24"/>
          <w:highlight w:val="none"/>
          <w:lang w:eastAsia="zh-CN"/>
        </w:rPr>
        <w:t>〔2016〕</w:t>
      </w:r>
      <w:r>
        <w:rPr>
          <w:rFonts w:hint="eastAsia" w:ascii="宋体" w:hAnsi="宋体"/>
          <w:color w:val="auto"/>
          <w:sz w:val="24"/>
          <w:szCs w:val="24"/>
          <w:highlight w:val="none"/>
        </w:rPr>
        <w:t>31号）及基准日期执行的《广州市建设工程常用材料综合价格》。若上述资料均没有，则材料设备、机械的价格由承包人、造价咨询公司、监理单位及发包人组成询价小组共同询价，按发包人提供的材料参考品牌表七天内完成材料的询价过程后报发包人最终审定；如发包人提供的材料参考品牌表未提及的材料，由承包人向发包人提出材料品牌建议，经发包人同意后再询价，报发包人审核的材料品牌的询价文件不少于5个。发包人确定不少于三个的材料品牌及相对应的价格，以供承包人选用。材料供应商的最终报价应考虑承包人对发包人的报价下浮数。材料供应商的付款方式，由承包人确定。</w:t>
      </w:r>
    </w:p>
    <w:p w14:paraId="47340E51">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（3）按经发包人确认的施工图、竣工图、报价文件等有效的书面单据为依据，进行结算。</w:t>
      </w:r>
    </w:p>
    <w:p w14:paraId="33161BBC">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（4）工程完工全部验收合格后</w:t>
      </w:r>
      <w:r>
        <w:rPr>
          <w:rFonts w:ascii="宋体" w:hAnsi="宋体"/>
          <w:color w:val="auto"/>
          <w:sz w:val="24"/>
          <w:szCs w:val="24"/>
          <w:highlight w:val="none"/>
        </w:rPr>
        <w:t>90</w:t>
      </w:r>
      <w:r>
        <w:rPr>
          <w:rFonts w:hint="eastAsia" w:ascii="宋体" w:hAnsi="宋体"/>
          <w:color w:val="auto"/>
          <w:sz w:val="24"/>
          <w:szCs w:val="24"/>
          <w:highlight w:val="none"/>
        </w:rPr>
        <w:t>天内承包人应向发包人报送完整的结算资料，若承包人所报工程的质量达不到验收规范要求或资料不齐全，发包人有权拒绝结算。</w:t>
      </w:r>
    </w:p>
    <w:p w14:paraId="7232BAC2">
      <w:pPr>
        <w:tabs>
          <w:tab w:val="left" w:pos="142"/>
          <w:tab w:val="left" w:pos="284"/>
        </w:tabs>
        <w:snapToGrid w:val="0"/>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5）变更价款的结算：</w:t>
      </w:r>
      <w:r>
        <w:rPr>
          <w:rFonts w:hint="eastAsia" w:ascii="宋体" w:hAnsi="宋体"/>
          <w:color w:val="auto"/>
          <w:sz w:val="24"/>
          <w:szCs w:val="24"/>
          <w:highlight w:val="none"/>
        </w:rPr>
        <w:t>按合同价款变更调整方法执行。</w:t>
      </w:r>
    </w:p>
    <w:p w14:paraId="1F339EE9">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七、材料设备供应</w:t>
      </w:r>
    </w:p>
    <w:p w14:paraId="1A6422D8">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27.</w:t>
      </w:r>
      <w:r>
        <w:rPr>
          <w:rFonts w:hint="eastAsia" w:ascii="宋体" w:hAnsi="宋体" w:cs="仿宋_GB2312"/>
          <w:b/>
          <w:color w:val="auto"/>
          <w:sz w:val="24"/>
          <w:highlight w:val="none"/>
        </w:rPr>
        <w:t>发包人供应</w:t>
      </w:r>
    </w:p>
    <w:p w14:paraId="0E9975EA">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7</w:t>
      </w:r>
      <w:r>
        <w:rPr>
          <w:rFonts w:ascii="宋体" w:hAnsi="宋体" w:cs="仿宋_GB2312"/>
          <w:color w:val="auto"/>
          <w:sz w:val="24"/>
          <w:highlight w:val="none"/>
        </w:rPr>
        <w:t>.</w:t>
      </w:r>
      <w:r>
        <w:rPr>
          <w:rFonts w:hint="eastAsia" w:ascii="宋体" w:hAnsi="宋体" w:cs="仿宋_GB2312"/>
          <w:color w:val="auto"/>
          <w:sz w:val="24"/>
          <w:highlight w:val="none"/>
        </w:rPr>
        <w:t>1</w:t>
      </w:r>
      <w:r>
        <w:rPr>
          <w:rFonts w:ascii="宋体" w:hAnsi="宋体" w:cs="仿宋_GB2312"/>
          <w:color w:val="auto"/>
          <w:sz w:val="24"/>
          <w:highlight w:val="none"/>
        </w:rPr>
        <w:t xml:space="preserve"> </w:t>
      </w:r>
      <w:r>
        <w:rPr>
          <w:rFonts w:hint="eastAsia" w:ascii="宋体" w:hAnsi="宋体" w:cs="仿宋_GB2312"/>
          <w:color w:val="auto"/>
          <w:sz w:val="24"/>
          <w:highlight w:val="none"/>
        </w:rPr>
        <w:t>发包人供应的材料设备与一览表不符时，双方约定发包人承担责任如下：</w:t>
      </w:r>
    </w:p>
    <w:p w14:paraId="304D4363">
      <w:pPr>
        <w:numPr>
          <w:ilvl w:val="0"/>
          <w:numId w:val="5"/>
        </w:numPr>
        <w:tabs>
          <w:tab w:val="left" w:pos="142"/>
          <w:tab w:val="left" w:pos="284"/>
        </w:tabs>
        <w:snapToGrid w:val="0"/>
        <w:spacing w:line="360" w:lineRule="auto"/>
        <w:ind w:left="0"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材料设备单价与一览表不符：</w:t>
      </w:r>
      <w:r>
        <w:rPr>
          <w:rFonts w:ascii="宋体" w:hAnsi="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280pt;margin-top:0pt;height:0pt;width:0.05pt;z-index:25165926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OXkENMAAAAFAQAADwAAAAAAAAABACAAAAAiAAAAZHJzL2Rvd25y&#10;ZXYueG1sUEsBAhQAFAAAAAgAh07iQInL/jzKAQAAqQMAAA4AAAAAAAAAAQAgAAAAIgEAAGRycy9l&#10;Mm9Eb2MueG1sUEsFBgAAAAAGAAYAWQEAAF4FAAAAAA==&#10;">
                <v:fill on="f" focussize="0,0"/>
                <v:stroke color="#000000" joinstyle="round"/>
                <v:imagedata o:title=""/>
                <o:lock v:ext="edit" aspectratio="f"/>
              </v:line>
            </w:pict>
          </mc:Fallback>
        </mc:AlternateConten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1F1EFB58">
      <w:pPr>
        <w:numPr>
          <w:ilvl w:val="0"/>
          <w:numId w:val="5"/>
        </w:numPr>
        <w:tabs>
          <w:tab w:val="left" w:pos="142"/>
          <w:tab w:val="left" w:pos="284"/>
        </w:tabs>
        <w:snapToGrid w:val="0"/>
        <w:spacing w:line="360" w:lineRule="auto"/>
        <w:ind w:left="0"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材料设备的品种、规格、型号、质量等级与一览表不符：</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029D124C">
      <w:pPr>
        <w:numPr>
          <w:ilvl w:val="0"/>
          <w:numId w:val="5"/>
        </w:numPr>
        <w:tabs>
          <w:tab w:val="left" w:pos="142"/>
          <w:tab w:val="left" w:pos="284"/>
        </w:tabs>
        <w:snapToGrid w:val="0"/>
        <w:spacing w:line="360" w:lineRule="auto"/>
        <w:ind w:left="0" w:firstLine="480" w:firstLineChars="200"/>
        <w:rPr>
          <w:rFonts w:ascii="宋体" w:hAnsi="宋体" w:cs="仿宋_GB2312"/>
          <w:color w:val="auto"/>
          <w:sz w:val="24"/>
          <w:highlight w:val="none"/>
        </w:rPr>
      </w:pPr>
      <w:r>
        <w:rPr>
          <w:rFonts w:hint="eastAsia" w:ascii="宋体" w:hAnsi="宋体" w:cs="仿宋_GB2312"/>
          <w:color w:val="auto"/>
          <w:sz w:val="24"/>
          <w:highlight w:val="none"/>
        </w:rPr>
        <w:t>承包人可代为调剂串换的材料：</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5ED3B158">
      <w:pPr>
        <w:numPr>
          <w:ilvl w:val="0"/>
          <w:numId w:val="5"/>
        </w:numPr>
        <w:tabs>
          <w:tab w:val="left" w:pos="142"/>
          <w:tab w:val="left" w:pos="284"/>
        </w:tabs>
        <w:snapToGrid w:val="0"/>
        <w:spacing w:line="360" w:lineRule="auto"/>
        <w:ind w:left="0" w:firstLine="480" w:firstLineChars="200"/>
        <w:rPr>
          <w:rFonts w:ascii="宋体" w:hAnsi="宋体" w:cs="仿宋_GB2312"/>
          <w:color w:val="auto"/>
          <w:sz w:val="24"/>
          <w:highlight w:val="none"/>
        </w:rPr>
      </w:pPr>
      <w:r>
        <w:rPr>
          <w:rFonts w:hint="eastAsia" w:ascii="宋体" w:hAnsi="宋体" w:cs="仿宋_GB2312"/>
          <w:color w:val="auto"/>
          <w:sz w:val="24"/>
          <w:highlight w:val="none"/>
        </w:rPr>
        <w:t>到货地点与一览表不符：</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7A475E99">
      <w:pPr>
        <w:tabs>
          <w:tab w:val="left" w:pos="142"/>
          <w:tab w:val="left" w:pos="284"/>
          <w:tab w:val="left" w:pos="700"/>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5</w:t>
      </w:r>
      <w:r>
        <w:rPr>
          <w:rFonts w:hint="eastAsia" w:ascii="宋体" w:hAnsi="宋体" w:cs="仿宋_GB2312"/>
          <w:color w:val="auto"/>
          <w:sz w:val="24"/>
          <w:highlight w:val="none"/>
        </w:rPr>
        <w:t>）供应数量与一览表不符：</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1F051E6D">
      <w:pPr>
        <w:tabs>
          <w:tab w:val="left" w:pos="142"/>
          <w:tab w:val="left" w:pos="284"/>
          <w:tab w:val="left" w:pos="700"/>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6</w:t>
      </w:r>
      <w:r>
        <w:rPr>
          <w:rFonts w:hint="eastAsia" w:ascii="宋体" w:hAnsi="宋体" w:cs="仿宋_GB2312"/>
          <w:color w:val="auto"/>
          <w:sz w:val="24"/>
          <w:highlight w:val="none"/>
        </w:rPr>
        <w:t>）到货时间与一览表不符；</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226D0567">
      <w:pPr>
        <w:tabs>
          <w:tab w:val="left" w:pos="142"/>
          <w:tab w:val="left" w:pos="284"/>
          <w:tab w:val="left" w:pos="700"/>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7</w:t>
      </w:r>
      <w:r>
        <w:rPr>
          <w:rFonts w:ascii="宋体" w:hAnsi="宋体" w:cs="仿宋_GB2312"/>
          <w:color w:val="auto"/>
          <w:sz w:val="24"/>
          <w:highlight w:val="none"/>
        </w:rPr>
        <w:t>.</w:t>
      </w:r>
      <w:r>
        <w:rPr>
          <w:rFonts w:hint="eastAsia" w:ascii="宋体" w:hAnsi="宋体" w:cs="仿宋_GB2312"/>
          <w:color w:val="auto"/>
          <w:sz w:val="24"/>
          <w:highlight w:val="none"/>
        </w:rPr>
        <w:t>2</w:t>
      </w:r>
      <w:r>
        <w:rPr>
          <w:rFonts w:ascii="宋体" w:hAnsi="宋体" w:cs="仿宋_GB2312"/>
          <w:color w:val="auto"/>
          <w:sz w:val="24"/>
          <w:highlight w:val="none"/>
        </w:rPr>
        <w:t xml:space="preserve"> </w:t>
      </w:r>
      <w:r>
        <w:rPr>
          <w:rFonts w:hint="eastAsia" w:ascii="宋体" w:hAnsi="宋体" w:cs="仿宋_GB2312"/>
          <w:color w:val="auto"/>
          <w:sz w:val="24"/>
          <w:highlight w:val="none"/>
        </w:rPr>
        <w:t>发包人供应材料设备的结算方法：</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4B751709">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28.</w:t>
      </w:r>
      <w:r>
        <w:rPr>
          <w:rFonts w:hint="eastAsia" w:ascii="宋体" w:hAnsi="宋体" w:cs="仿宋_GB2312"/>
          <w:b/>
          <w:color w:val="auto"/>
          <w:sz w:val="24"/>
          <w:highlight w:val="none"/>
        </w:rPr>
        <w:t>承包人采购材料设备</w:t>
      </w:r>
    </w:p>
    <w:p w14:paraId="66018D35">
      <w:pPr>
        <w:tabs>
          <w:tab w:val="left" w:pos="142"/>
          <w:tab w:val="left" w:pos="284"/>
        </w:tabs>
        <w:snapToGrid w:val="0"/>
        <w:spacing w:line="360" w:lineRule="auto"/>
        <w:ind w:firstLine="480" w:firstLineChars="200"/>
        <w:rPr>
          <w:rFonts w:ascii="宋体" w:hAnsi="宋体"/>
          <w:b/>
          <w:bCs/>
          <w:color w:val="auto"/>
          <w:highlight w:val="none"/>
        </w:rPr>
      </w:pPr>
      <w:r>
        <w:rPr>
          <w:rFonts w:ascii="宋体" w:hAnsi="宋体" w:cs="仿宋_GB2312"/>
          <w:color w:val="auto"/>
          <w:sz w:val="24"/>
          <w:highlight w:val="none"/>
        </w:rPr>
        <w:t>2</w:t>
      </w:r>
      <w:r>
        <w:rPr>
          <w:rFonts w:hint="eastAsia" w:ascii="宋体" w:hAnsi="宋体" w:cs="仿宋_GB2312"/>
          <w:color w:val="auto"/>
          <w:sz w:val="24"/>
          <w:highlight w:val="none"/>
        </w:rPr>
        <w:t>8</w:t>
      </w:r>
      <w:r>
        <w:rPr>
          <w:rFonts w:ascii="宋体" w:hAnsi="宋体" w:cs="仿宋_GB2312"/>
          <w:color w:val="auto"/>
          <w:sz w:val="24"/>
          <w:highlight w:val="none"/>
        </w:rPr>
        <w:t xml:space="preserve">.1 </w:t>
      </w:r>
      <w:r>
        <w:rPr>
          <w:rFonts w:hint="eastAsia" w:ascii="宋体" w:hAnsi="宋体" w:cs="仿宋_GB2312"/>
          <w:color w:val="auto"/>
          <w:sz w:val="24"/>
          <w:highlight w:val="none"/>
        </w:rPr>
        <w:t>承包人采购材料设备的约定：</w:t>
      </w:r>
    </w:p>
    <w:p w14:paraId="64931B65">
      <w:pPr>
        <w:pStyle w:val="114"/>
        <w:shd w:val="clear" w:color="auto" w:fill="auto"/>
        <w:tabs>
          <w:tab w:val="left" w:pos="142"/>
          <w:tab w:val="left" w:pos="284"/>
        </w:tabs>
        <w:spacing w:line="360" w:lineRule="auto"/>
        <w:ind w:left="63" w:firstLine="480" w:firstLineChars="200"/>
        <w:rPr>
          <w:rFonts w:hAnsi="宋体" w:cs="仿宋_GB2312"/>
          <w:b w:val="0"/>
          <w:bCs w:val="0"/>
          <w:color w:val="auto"/>
          <w:spacing w:val="0"/>
          <w:kern w:val="2"/>
          <w:szCs w:val="22"/>
          <w:highlight w:val="none"/>
        </w:rPr>
      </w:pPr>
      <w:r>
        <w:rPr>
          <w:rFonts w:hint="eastAsia" w:hAnsi="宋体" w:cs="仿宋_GB2312"/>
          <w:b w:val="0"/>
          <w:bCs w:val="0"/>
          <w:color w:val="auto"/>
          <w:spacing w:val="0"/>
          <w:kern w:val="2"/>
          <w:szCs w:val="22"/>
          <w:highlight w:val="none"/>
        </w:rPr>
        <w:t>（1）本工程项目的材料、设备及配件须达到现行中华人民共和国以及广东省、广州市、黄埔区和开发区或行业的工程建设标准、规范的要求，产品应有生产许可证书、出厂合格证书，经监理工程师和发包人代表认可后方可使用。</w:t>
      </w:r>
    </w:p>
    <w:p w14:paraId="7A8ED62B">
      <w:pPr>
        <w:pStyle w:val="114"/>
        <w:shd w:val="clear" w:color="auto" w:fill="auto"/>
        <w:tabs>
          <w:tab w:val="left" w:pos="142"/>
          <w:tab w:val="left" w:pos="284"/>
        </w:tabs>
        <w:spacing w:line="360" w:lineRule="auto"/>
        <w:ind w:left="63" w:firstLine="480" w:firstLineChars="200"/>
        <w:rPr>
          <w:rFonts w:hAnsi="宋体" w:cs="仿宋_GB2312"/>
          <w:b w:val="0"/>
          <w:bCs w:val="0"/>
          <w:color w:val="auto"/>
          <w:spacing w:val="0"/>
          <w:kern w:val="2"/>
          <w:szCs w:val="22"/>
          <w:highlight w:val="none"/>
        </w:rPr>
      </w:pPr>
      <w:r>
        <w:rPr>
          <w:rFonts w:hint="eastAsia" w:hAnsi="宋体" w:cs="仿宋_GB2312"/>
          <w:b w:val="0"/>
          <w:bCs w:val="0"/>
          <w:color w:val="auto"/>
          <w:spacing w:val="0"/>
          <w:kern w:val="2"/>
          <w:szCs w:val="22"/>
          <w:highlight w:val="none"/>
        </w:rPr>
        <w:t>（2）本工程项目的部分材料、设备及配件（须按照穗建技</w:t>
      </w:r>
      <w:r>
        <w:rPr>
          <w:rFonts w:hint="eastAsia" w:hAnsi="宋体" w:cs="仿宋_GB2312"/>
          <w:b w:val="0"/>
          <w:bCs w:val="0"/>
          <w:color w:val="auto"/>
          <w:spacing w:val="0"/>
          <w:kern w:val="2"/>
          <w:szCs w:val="22"/>
          <w:highlight w:val="none"/>
          <w:lang w:eastAsia="zh-CN"/>
        </w:rPr>
        <w:t>〔2006〕678号</w:t>
      </w:r>
      <w:r>
        <w:rPr>
          <w:rFonts w:hint="eastAsia" w:hAnsi="宋体" w:cs="仿宋_GB2312"/>
          <w:b w:val="0"/>
          <w:bCs w:val="0"/>
          <w:color w:val="auto"/>
          <w:spacing w:val="0"/>
          <w:kern w:val="2"/>
          <w:szCs w:val="22"/>
          <w:highlight w:val="none"/>
        </w:rPr>
        <w:t>文、《中华人民共和国水污染法》及国家、广东省、广州市、黄埔区和开发区的关于环保方面的相关法律、法规的规定的要求，其产品说明书和产品标识上注明的性能指标须符合建筑节能要求，主要性能指标满足环保要求。</w:t>
      </w:r>
    </w:p>
    <w:p w14:paraId="54BB1FB6">
      <w:pPr>
        <w:pStyle w:val="114"/>
        <w:shd w:val="clear" w:color="auto" w:fill="auto"/>
        <w:tabs>
          <w:tab w:val="left" w:pos="142"/>
          <w:tab w:val="left" w:pos="284"/>
        </w:tabs>
        <w:spacing w:line="360" w:lineRule="auto"/>
        <w:ind w:left="0" w:leftChars="0" w:firstLine="480" w:firstLineChars="200"/>
        <w:rPr>
          <w:rFonts w:hAnsi="宋体" w:cs="仿宋_GB2312"/>
          <w:b w:val="0"/>
          <w:bCs w:val="0"/>
          <w:color w:val="auto"/>
          <w:spacing w:val="0"/>
          <w:kern w:val="2"/>
          <w:szCs w:val="22"/>
          <w:highlight w:val="none"/>
        </w:rPr>
      </w:pPr>
      <w:r>
        <w:rPr>
          <w:rFonts w:hint="eastAsia" w:hAnsi="宋体" w:cs="仿宋_GB2312"/>
          <w:b w:val="0"/>
          <w:bCs w:val="0"/>
          <w:color w:val="auto"/>
          <w:spacing w:val="0"/>
          <w:kern w:val="2"/>
          <w:szCs w:val="22"/>
          <w:highlight w:val="none"/>
        </w:rPr>
        <w:t>（3）本工程采用的部分主要材料的品牌须选用相当于《设备材料参考</w:t>
      </w:r>
      <w:r>
        <w:rPr>
          <w:rFonts w:hint="eastAsia" w:hAnsi="宋体" w:cs="仿宋_GB2312"/>
          <w:b w:val="0"/>
          <w:bCs w:val="0"/>
          <w:color w:val="auto"/>
          <w:spacing w:val="0"/>
          <w:kern w:val="2"/>
          <w:szCs w:val="22"/>
          <w:highlight w:val="none"/>
          <w:lang w:val="en-US" w:eastAsia="zh-CN"/>
        </w:rPr>
        <w:t>品牌</w:t>
      </w:r>
      <w:r>
        <w:rPr>
          <w:rFonts w:hint="eastAsia" w:hAnsi="宋体" w:cs="仿宋_GB2312"/>
          <w:b w:val="0"/>
          <w:bCs w:val="0"/>
          <w:color w:val="auto"/>
          <w:spacing w:val="0"/>
          <w:kern w:val="2"/>
          <w:szCs w:val="22"/>
          <w:highlight w:val="none"/>
        </w:rPr>
        <w:t>表》同等档次（或以上）的产品。若市场没有参考品牌，应报监理单位、造价咨询公司、发包人认可。选择高档次品牌的，不补价差；选择低档次品牌的，由造价咨询公司、发包人审核后在应付工程价款中扣除材料差价；根据发包人要求修改的，由发包人参与询价，最终以发包人审定为准。计价原则：经发包人同意</w:t>
      </w:r>
      <w:r>
        <w:rPr>
          <w:rFonts w:hAnsi="宋体" w:cs="仿宋_GB2312"/>
          <w:b w:val="0"/>
          <w:bCs w:val="0"/>
          <w:color w:val="auto"/>
          <w:spacing w:val="0"/>
          <w:kern w:val="2"/>
          <w:szCs w:val="22"/>
          <w:highlight w:val="none"/>
        </w:rPr>
        <w:t>的</w:t>
      </w:r>
      <w:r>
        <w:rPr>
          <w:rFonts w:hint="eastAsia" w:hAnsi="宋体" w:cs="仿宋_GB2312"/>
          <w:b w:val="0"/>
          <w:bCs w:val="0"/>
          <w:color w:val="auto"/>
          <w:spacing w:val="0"/>
          <w:kern w:val="2"/>
          <w:szCs w:val="22"/>
          <w:highlight w:val="none"/>
        </w:rPr>
        <w:t>品牌材料的材料费按照固定单价包干，固定材料单价为不含税落地价，直接计入《投标报价清单》相应项综合单价中的主材价计算，结算时不再计取材料税金和其他任何费用。若经发包人认可的实际施工图上的材料（包括材料的名称、规格及施工厚度如抹灰或找平砼厚度等）与《投标报价清单》中描述不一致的，结算时只能替换该项综合单价中的材料价格，该项综合单价中人工费及其他费不得改变。</w:t>
      </w:r>
    </w:p>
    <w:p w14:paraId="29BC7F22">
      <w:pPr>
        <w:pStyle w:val="114"/>
        <w:shd w:val="clear" w:color="auto" w:fill="auto"/>
        <w:tabs>
          <w:tab w:val="left" w:pos="142"/>
          <w:tab w:val="left" w:pos="284"/>
        </w:tabs>
        <w:spacing w:line="360" w:lineRule="auto"/>
        <w:ind w:left="63" w:firstLine="480" w:firstLineChars="200"/>
        <w:rPr>
          <w:rFonts w:hAnsi="宋体" w:cs="仿宋_GB2312"/>
          <w:b w:val="0"/>
          <w:bCs w:val="0"/>
          <w:color w:val="auto"/>
          <w:spacing w:val="0"/>
          <w:kern w:val="2"/>
          <w:szCs w:val="22"/>
          <w:highlight w:val="none"/>
        </w:rPr>
      </w:pPr>
      <w:r>
        <w:rPr>
          <w:rFonts w:hAnsi="宋体" w:cs="仿宋_GB2312"/>
          <w:b w:val="0"/>
          <w:bCs w:val="0"/>
          <w:color w:val="auto"/>
          <w:spacing w:val="0"/>
          <w:kern w:val="2"/>
          <w:szCs w:val="22"/>
          <w:highlight w:val="none"/>
        </w:rPr>
        <w:t>2</w:t>
      </w:r>
      <w:r>
        <w:rPr>
          <w:rFonts w:hint="eastAsia" w:hAnsi="宋体" w:cs="仿宋_GB2312"/>
          <w:b w:val="0"/>
          <w:bCs w:val="0"/>
          <w:color w:val="auto"/>
          <w:spacing w:val="0"/>
          <w:kern w:val="2"/>
          <w:szCs w:val="22"/>
          <w:highlight w:val="none"/>
        </w:rPr>
        <w:t>8</w:t>
      </w:r>
      <w:r>
        <w:rPr>
          <w:rFonts w:hAnsi="宋体" w:cs="仿宋_GB2312"/>
          <w:b w:val="0"/>
          <w:bCs w:val="0"/>
          <w:color w:val="auto"/>
          <w:spacing w:val="0"/>
          <w:kern w:val="2"/>
          <w:szCs w:val="22"/>
          <w:highlight w:val="none"/>
        </w:rPr>
        <w:t>.2</w:t>
      </w:r>
      <w:r>
        <w:rPr>
          <w:rFonts w:hint="eastAsia" w:hAnsi="宋体" w:cs="仿宋_GB2312"/>
          <w:b w:val="0"/>
          <w:bCs w:val="0"/>
          <w:color w:val="auto"/>
          <w:spacing w:val="0"/>
          <w:kern w:val="2"/>
          <w:szCs w:val="22"/>
          <w:highlight w:val="none"/>
        </w:rPr>
        <w:t xml:space="preserve"> 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14:paraId="3F65F20D">
      <w:pPr>
        <w:pStyle w:val="114"/>
        <w:shd w:val="clear" w:color="auto" w:fill="auto"/>
        <w:tabs>
          <w:tab w:val="left" w:pos="142"/>
          <w:tab w:val="left" w:pos="284"/>
        </w:tabs>
        <w:spacing w:line="360" w:lineRule="auto"/>
        <w:ind w:left="63" w:firstLine="480" w:firstLineChars="200"/>
        <w:rPr>
          <w:rFonts w:hAnsi="宋体" w:cs="仿宋_GB2312"/>
          <w:b w:val="0"/>
          <w:bCs w:val="0"/>
          <w:color w:val="auto"/>
          <w:spacing w:val="0"/>
          <w:kern w:val="2"/>
          <w:szCs w:val="22"/>
          <w:highlight w:val="none"/>
        </w:rPr>
      </w:pPr>
      <w:r>
        <w:rPr>
          <w:rFonts w:hint="eastAsia" w:hAnsi="宋体" w:cs="仿宋_GB2312"/>
          <w:b w:val="0"/>
          <w:bCs w:val="0"/>
          <w:color w:val="auto"/>
          <w:spacing w:val="0"/>
          <w:kern w:val="2"/>
          <w:szCs w:val="22"/>
          <w:highlight w:val="none"/>
        </w:rPr>
        <w:t>28.3承包人需要使用代用材料时，应经发包人认可后才能使用。如承包人经发包人许可使用代用材料，则结算时仅调整主材的价格（含定额规定的消耗量），承包人报发包人审查</w:t>
      </w:r>
      <w:r>
        <w:rPr>
          <w:rFonts w:hint="eastAsia" w:hAnsi="宋体" w:cs="仿宋_GB2312"/>
          <w:b w:val="0"/>
          <w:bCs w:val="0"/>
          <w:color w:val="auto"/>
          <w:spacing w:val="0"/>
          <w:kern w:val="2"/>
          <w:szCs w:val="22"/>
          <w:highlight w:val="none"/>
          <w:lang w:eastAsia="zh-CN"/>
        </w:rPr>
        <w:t>，</w:t>
      </w:r>
      <w:r>
        <w:rPr>
          <w:rFonts w:hint="eastAsia" w:hAnsi="宋体" w:cs="仿宋_GB2312"/>
          <w:b w:val="0"/>
          <w:bCs w:val="0"/>
          <w:color w:val="auto"/>
          <w:spacing w:val="0"/>
          <w:kern w:val="2"/>
          <w:szCs w:val="22"/>
          <w:highlight w:val="none"/>
        </w:rPr>
        <w:t>按发包人确认的单价且【不得超过同期《广州市建设工程材料指导价》】计算，并执行投标下浮率，最终以发包人审定为准。</w:t>
      </w:r>
    </w:p>
    <w:p w14:paraId="4503A720">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八、工程变更</w:t>
      </w:r>
    </w:p>
    <w:p w14:paraId="382F5EA0">
      <w:pPr>
        <w:tabs>
          <w:tab w:val="left" w:pos="142"/>
          <w:tab w:val="left" w:pos="284"/>
        </w:tabs>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 xml:space="preserve">29.工程设计变更 </w:t>
      </w:r>
    </w:p>
    <w:p w14:paraId="0C4DFE77">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 xml:space="preserve">.1 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2727C2A5">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1）增减合同中约定的工程量；</w:t>
      </w:r>
    </w:p>
    <w:p w14:paraId="3B62FC3F">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2）改变有关工程的施工时间和顺序；</w:t>
      </w:r>
    </w:p>
    <w:p w14:paraId="5F73E197">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3）其他有关工程变更需要的附加工作。</w:t>
      </w:r>
    </w:p>
    <w:p w14:paraId="7BA23C7D">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4）改变任何</w:t>
      </w:r>
      <w:r>
        <w:rPr>
          <w:rFonts w:hint="eastAsia" w:ascii="宋体" w:hAnsi="宋体"/>
          <w:color w:val="auto"/>
          <w:sz w:val="24"/>
          <w:szCs w:val="24"/>
          <w:highlight w:val="none"/>
        </w:rPr>
        <w:t>上述</w:t>
      </w:r>
      <w:r>
        <w:rPr>
          <w:rFonts w:ascii="宋体" w:hAnsi="宋体"/>
          <w:color w:val="auto"/>
          <w:sz w:val="24"/>
          <w:szCs w:val="24"/>
          <w:highlight w:val="none"/>
        </w:rPr>
        <w:t>工作的性质或质量或种类或数量。</w:t>
      </w:r>
    </w:p>
    <w:p w14:paraId="19F77110">
      <w:pPr>
        <w:tabs>
          <w:tab w:val="left" w:pos="142"/>
          <w:tab w:val="left" w:pos="284"/>
        </w:tabs>
        <w:spacing w:line="360" w:lineRule="auto"/>
        <w:ind w:left="0" w:firstLine="480" w:firstLineChars="200"/>
        <w:rPr>
          <w:rFonts w:ascii="宋体" w:hAnsi="宋体"/>
          <w:bCs/>
          <w:color w:val="auto"/>
          <w:sz w:val="24"/>
          <w:szCs w:val="24"/>
          <w:highlight w:val="none"/>
        </w:rPr>
      </w:pPr>
      <w:r>
        <w:rPr>
          <w:rFonts w:hint="eastAsia" w:ascii="宋体" w:hAnsi="宋体"/>
          <w:bCs/>
          <w:color w:val="auto"/>
          <w:sz w:val="24"/>
          <w:szCs w:val="24"/>
          <w:highlight w:val="none"/>
        </w:rPr>
        <w:t>发包人有权指示或通过监理工程师指示工程或其中任何部分的形式、质量或数量作出任何变更，承包方应及时按变更进行施工，不得拒绝，否则发包人有权委托第三方实施，承包人应按相应费用的1.5倍向发包人承担违约赔偿责任，造成发包人损失的，承包人应负责全额赔偿。</w:t>
      </w:r>
    </w:p>
    <w:p w14:paraId="44B92AA2">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 xml:space="preserve">.2 </w:t>
      </w:r>
      <w:r>
        <w:rPr>
          <w:rFonts w:hint="eastAsia" w:ascii="宋体" w:hAnsi="宋体"/>
          <w:color w:val="auto"/>
          <w:sz w:val="24"/>
          <w:szCs w:val="24"/>
          <w:highlight w:val="none"/>
        </w:rPr>
        <w:t>如实施过程中发现设计上有错误或严重不合理，承包人应以书面形式通知发包人和监理工程师，经监理工程师审查并报发包人同意后，由发包人与设计单位商定修改或变更设计方案进行实施。否则由此导致返工、不能达到约定质量标准等责任和损失由承包人负责，工期不顺延。承包人如需对设计图纸进行变更，须经发包人及设计单位同意，因承包人擅自变更设计发生的费用和由此导致发包人的损失，由承包人承担，工期不予顺延。</w:t>
      </w:r>
    </w:p>
    <w:p w14:paraId="0EA56F0F">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因承包人施工质量问题或施工安排不当导致设计变更而发生的费用，由承包人承担，工期不予顺延。</w:t>
      </w:r>
    </w:p>
    <w:p w14:paraId="7BA23CA1">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 xml:space="preserve">.3 </w:t>
      </w:r>
      <w:r>
        <w:rPr>
          <w:rFonts w:hint="eastAsia" w:ascii="宋体" w:hAnsi="宋体"/>
          <w:color w:val="auto"/>
          <w:sz w:val="24"/>
          <w:szCs w:val="24"/>
          <w:highlight w:val="none"/>
        </w:rPr>
        <w:t>变更应由监理工程师发出变更指令，没有监理工程师的指令，承包人不得进行上述变更。</w:t>
      </w:r>
    </w:p>
    <w:p w14:paraId="19FCF6CF">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 xml:space="preserve"> </w:t>
      </w:r>
      <w:r>
        <w:rPr>
          <w:rFonts w:ascii="宋体" w:hAnsi="宋体"/>
          <w:color w:val="auto"/>
          <w:sz w:val="24"/>
          <w:szCs w:val="24"/>
          <w:highlight w:val="none"/>
        </w:rPr>
        <w:t>按施工图纸实施使得工程量少于施工合同工程量清单中已确定或有规定的数量的，则该项工程量减少不需要任何指令。</w:t>
      </w:r>
    </w:p>
    <w:p w14:paraId="18952284">
      <w:pPr>
        <w:tabs>
          <w:tab w:val="left" w:pos="142"/>
          <w:tab w:val="left" w:pos="284"/>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 xml:space="preserve">.5 </w:t>
      </w:r>
      <w:r>
        <w:rPr>
          <w:rFonts w:hint="eastAsia" w:ascii="宋体" w:hAnsi="宋体"/>
          <w:color w:val="auto"/>
          <w:sz w:val="24"/>
          <w:szCs w:val="24"/>
          <w:highlight w:val="none"/>
        </w:rPr>
        <w:t>所有变更均应获得发包人书面批准才能生效。</w:t>
      </w:r>
    </w:p>
    <w:p w14:paraId="2C59E816">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.6</w:t>
      </w:r>
      <w:r>
        <w:rPr>
          <w:rFonts w:hint="eastAsia" w:ascii="宋体" w:hAnsi="宋体"/>
          <w:color w:val="auto"/>
          <w:sz w:val="24"/>
          <w:szCs w:val="24"/>
          <w:highlight w:val="none"/>
        </w:rPr>
        <w:t xml:space="preserve"> </w:t>
      </w:r>
      <w:r>
        <w:rPr>
          <w:rFonts w:ascii="宋体" w:hAnsi="宋体"/>
          <w:color w:val="auto"/>
          <w:sz w:val="24"/>
          <w:szCs w:val="24"/>
          <w:highlight w:val="none"/>
        </w:rPr>
        <w:t>当发包人提出变更通知，承包人认为产生了增加费用，承包人应在发包人提出通知要求后3</w:t>
      </w:r>
      <w:r>
        <w:rPr>
          <w:rFonts w:hint="eastAsia" w:ascii="宋体" w:hAnsi="宋体"/>
          <w:color w:val="auto"/>
          <w:sz w:val="24"/>
          <w:szCs w:val="24"/>
          <w:highlight w:val="none"/>
          <w:lang w:eastAsia="zh-CN"/>
        </w:rPr>
        <w:t>～</w:t>
      </w:r>
      <w:r>
        <w:rPr>
          <w:rFonts w:ascii="宋体" w:hAnsi="宋体"/>
          <w:color w:val="auto"/>
          <w:sz w:val="24"/>
          <w:szCs w:val="24"/>
          <w:highlight w:val="none"/>
        </w:rPr>
        <w:t>7个日历</w:t>
      </w:r>
      <w:r>
        <w:rPr>
          <w:rFonts w:hint="eastAsia" w:ascii="宋体" w:hAnsi="宋体"/>
          <w:bCs/>
          <w:color w:val="auto"/>
          <w:sz w:val="24"/>
          <w:szCs w:val="24"/>
          <w:highlight w:val="none"/>
        </w:rPr>
        <w:t>天（</w:t>
      </w:r>
      <w:r>
        <w:rPr>
          <w:rFonts w:hint="eastAsia" w:ascii="宋体" w:hAnsi="宋体"/>
          <w:color w:val="auto"/>
          <w:sz w:val="24"/>
          <w:szCs w:val="24"/>
          <w:highlight w:val="none"/>
        </w:rPr>
        <w:t>时间视变更大小而定）内向发包人提交增加费用报告，报告内应说明变更原因、增加费用金额、增加费用计算书，经总监理工程师和发包人同意后方可实施。若承包人不在规定的时间内提供增加费用报告，该类变更所涉及的增加费用视为包括在承包人投标报价中。且发包人保留调整价款减少的权利，承包人不得异议。发包人提出变更通知的时间是指承包人收取变更通知时进行登记交接的时间。经总监理工程师和发包人发出同意实施的指令，承包人不得以任何理由拒绝施工。发包人提出变更通知的时间是指承包人收取变更通知时进行登记交接的时间。</w:t>
      </w:r>
    </w:p>
    <w:p w14:paraId="10296E6F">
      <w:pPr>
        <w:tabs>
          <w:tab w:val="left" w:pos="142"/>
          <w:tab w:val="left" w:pos="284"/>
        </w:tabs>
        <w:spacing w:line="360" w:lineRule="auto"/>
        <w:ind w:left="0" w:firstLine="480" w:firstLineChars="200"/>
        <w:rPr>
          <w:rFonts w:ascii="宋体" w:hAnsi="宋体"/>
          <w:color w:val="auto"/>
          <w:sz w:val="24"/>
          <w:szCs w:val="24"/>
          <w:highlight w:val="none"/>
          <w:u w:val="none"/>
        </w:rPr>
      </w:pPr>
      <w:r>
        <w:rPr>
          <w:rFonts w:ascii="宋体" w:hAnsi="宋体"/>
          <w:color w:val="auto"/>
          <w:sz w:val="24"/>
          <w:szCs w:val="24"/>
          <w:highlight w:val="none"/>
          <w:u w:val="none"/>
        </w:rPr>
        <w:t>2</w:t>
      </w:r>
      <w:r>
        <w:rPr>
          <w:rFonts w:hint="eastAsia" w:ascii="宋体" w:hAnsi="宋体"/>
          <w:color w:val="auto"/>
          <w:sz w:val="24"/>
          <w:szCs w:val="24"/>
          <w:highlight w:val="none"/>
          <w:u w:val="none"/>
        </w:rPr>
        <w:t>9</w:t>
      </w:r>
      <w:r>
        <w:rPr>
          <w:rFonts w:ascii="宋体" w:hAnsi="宋体"/>
          <w:color w:val="auto"/>
          <w:sz w:val="24"/>
          <w:szCs w:val="24"/>
          <w:highlight w:val="none"/>
          <w:u w:val="none"/>
        </w:rPr>
        <w:t>.7</w:t>
      </w:r>
      <w:r>
        <w:rPr>
          <w:rFonts w:hint="eastAsia" w:ascii="宋体" w:hAnsi="宋体"/>
          <w:color w:val="auto"/>
          <w:sz w:val="24"/>
          <w:szCs w:val="24"/>
          <w:highlight w:val="none"/>
          <w:u w:val="none"/>
        </w:rPr>
        <w:t xml:space="preserve"> 工程变更价款按专用条款</w:t>
      </w:r>
      <w:r>
        <w:rPr>
          <w:rFonts w:hint="eastAsia" w:ascii="宋体" w:hAnsi="宋体"/>
          <w:color w:val="auto"/>
          <w:sz w:val="24"/>
          <w:szCs w:val="24"/>
          <w:highlight w:val="none"/>
        </w:rPr>
        <w:t>第</w:t>
      </w:r>
      <w:r>
        <w:rPr>
          <w:rFonts w:ascii="宋体" w:hAnsi="宋体"/>
          <w:color w:val="auto"/>
          <w:sz w:val="24"/>
          <w:szCs w:val="24"/>
          <w:highlight w:val="none"/>
          <w:u w:val="none"/>
        </w:rPr>
        <w:t>2</w:t>
      </w:r>
      <w:r>
        <w:rPr>
          <w:rFonts w:hint="eastAsia" w:ascii="宋体" w:hAnsi="宋体"/>
          <w:color w:val="auto"/>
          <w:sz w:val="24"/>
          <w:szCs w:val="24"/>
          <w:highlight w:val="none"/>
          <w:u w:val="none"/>
        </w:rPr>
        <w:t>3</w:t>
      </w:r>
      <w:r>
        <w:rPr>
          <w:rFonts w:ascii="宋体" w:hAnsi="宋体"/>
          <w:color w:val="auto"/>
          <w:sz w:val="24"/>
          <w:szCs w:val="24"/>
          <w:highlight w:val="none"/>
          <w:u w:val="none"/>
        </w:rPr>
        <w:t>.3</w:t>
      </w:r>
      <w:r>
        <w:rPr>
          <w:rFonts w:hint="eastAsia" w:ascii="宋体" w:hAnsi="宋体"/>
          <w:color w:val="auto"/>
          <w:sz w:val="24"/>
          <w:szCs w:val="24"/>
          <w:highlight w:val="none"/>
          <w:u w:val="none"/>
        </w:rPr>
        <w:t>条执行。</w:t>
      </w:r>
    </w:p>
    <w:p w14:paraId="207E5505">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.8</w:t>
      </w:r>
      <w:r>
        <w:rPr>
          <w:rFonts w:hint="eastAsia" w:ascii="宋体" w:hAnsi="宋体"/>
          <w:color w:val="auto"/>
          <w:sz w:val="24"/>
          <w:szCs w:val="24"/>
          <w:highlight w:val="none"/>
        </w:rPr>
        <w:t xml:space="preserve"> </w:t>
      </w:r>
      <w:r>
        <w:rPr>
          <w:rFonts w:ascii="宋体" w:hAnsi="宋体"/>
          <w:color w:val="auto"/>
          <w:sz w:val="24"/>
          <w:szCs w:val="24"/>
          <w:highlight w:val="none"/>
        </w:rPr>
        <w:t>非发包人原因引起的施工方案变更应视为是施工措施改变，增加的费用应由承包人承担</w:t>
      </w:r>
      <w:r>
        <w:rPr>
          <w:rFonts w:hint="eastAsia" w:ascii="宋体" w:hAnsi="宋体"/>
          <w:color w:val="auto"/>
          <w:sz w:val="24"/>
          <w:szCs w:val="24"/>
          <w:highlight w:val="none"/>
        </w:rPr>
        <w:t>。</w:t>
      </w:r>
      <w:r>
        <w:rPr>
          <w:rFonts w:ascii="宋体" w:hAnsi="宋体"/>
          <w:color w:val="auto"/>
          <w:sz w:val="24"/>
          <w:szCs w:val="24"/>
          <w:highlight w:val="none"/>
        </w:rPr>
        <w:t>如果施工方案的变更是因招标图纸与施工图纸不同或施工图纸变更引起的，承包人应在提出施工方案变更的同时向发包人提交增加费用报告，经总监理工程师和发包人</w:t>
      </w:r>
      <w:r>
        <w:rPr>
          <w:rFonts w:hint="eastAsia" w:ascii="宋体" w:hAnsi="宋体"/>
          <w:color w:val="auto"/>
          <w:sz w:val="24"/>
          <w:szCs w:val="24"/>
          <w:highlight w:val="none"/>
        </w:rPr>
        <w:t>书面</w:t>
      </w:r>
      <w:r>
        <w:rPr>
          <w:rFonts w:ascii="宋体" w:hAnsi="宋体"/>
          <w:color w:val="auto"/>
          <w:sz w:val="24"/>
          <w:szCs w:val="24"/>
          <w:highlight w:val="none"/>
        </w:rPr>
        <w:t>同意后方可实施</w:t>
      </w:r>
      <w:r>
        <w:rPr>
          <w:rFonts w:hint="eastAsia" w:ascii="宋体" w:hAnsi="宋体"/>
          <w:color w:val="auto"/>
          <w:sz w:val="24"/>
          <w:szCs w:val="24"/>
          <w:highlight w:val="none"/>
        </w:rPr>
        <w:t>，</w:t>
      </w:r>
      <w:r>
        <w:rPr>
          <w:rFonts w:ascii="宋体" w:hAnsi="宋体"/>
          <w:color w:val="auto"/>
          <w:sz w:val="24"/>
          <w:szCs w:val="24"/>
          <w:highlight w:val="none"/>
        </w:rPr>
        <w:t>若承包人不按规定提供增加费用报告并经发包人批准，该类指令所涉及的增加费用视为包</w:t>
      </w:r>
      <w:r>
        <w:rPr>
          <w:rFonts w:hint="eastAsia" w:ascii="宋体" w:hAnsi="宋体"/>
          <w:color w:val="auto"/>
          <w:sz w:val="24"/>
          <w:szCs w:val="24"/>
          <w:highlight w:val="none"/>
        </w:rPr>
        <w:t>含在合同综合单价中，发包人不另行支付。</w:t>
      </w:r>
    </w:p>
    <w:p w14:paraId="2990593D">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9</w:t>
      </w:r>
      <w:r>
        <w:rPr>
          <w:rFonts w:ascii="宋体" w:hAnsi="宋体"/>
          <w:color w:val="auto"/>
          <w:sz w:val="24"/>
          <w:szCs w:val="24"/>
          <w:highlight w:val="none"/>
        </w:rPr>
        <w:t>.9</w:t>
      </w:r>
      <w:r>
        <w:rPr>
          <w:rFonts w:hint="eastAsia" w:ascii="宋体" w:hAnsi="宋体"/>
          <w:color w:val="auto"/>
          <w:sz w:val="24"/>
          <w:szCs w:val="24"/>
          <w:highlight w:val="none"/>
        </w:rPr>
        <w:t xml:space="preserve"> </w:t>
      </w:r>
      <w:r>
        <w:rPr>
          <w:rFonts w:ascii="宋体" w:hAnsi="宋体"/>
          <w:color w:val="auto"/>
          <w:sz w:val="24"/>
          <w:szCs w:val="24"/>
          <w:highlight w:val="none"/>
        </w:rPr>
        <w:t>在变更实施过程中，承包人应在发生变更的必要工序提请监理工程师确认实际发生的情况，以此作为将来费用计量的依据，否则监理工程师可以拒绝计量，发包人无须支付相关费用，费用由承包人</w:t>
      </w:r>
      <w:r>
        <w:rPr>
          <w:rFonts w:hint="eastAsia" w:ascii="宋体" w:hAnsi="宋体"/>
          <w:color w:val="auto"/>
          <w:sz w:val="24"/>
          <w:szCs w:val="24"/>
          <w:highlight w:val="none"/>
        </w:rPr>
        <w:t>承担</w:t>
      </w:r>
      <w:r>
        <w:rPr>
          <w:rFonts w:ascii="宋体" w:hAnsi="宋体"/>
          <w:color w:val="auto"/>
          <w:sz w:val="24"/>
          <w:szCs w:val="24"/>
          <w:highlight w:val="none"/>
        </w:rPr>
        <w:t>。</w:t>
      </w:r>
    </w:p>
    <w:p w14:paraId="21BC4A62">
      <w:pPr>
        <w:tabs>
          <w:tab w:val="left" w:pos="142"/>
          <w:tab w:val="left" w:pos="284"/>
        </w:tabs>
        <w:spacing w:line="360" w:lineRule="auto"/>
        <w:ind w:left="0"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29.1</w:t>
      </w:r>
      <w:r>
        <w:rPr>
          <w:rFonts w:ascii="宋体" w:hAnsi="宋体"/>
          <w:color w:val="auto"/>
          <w:sz w:val="24"/>
          <w:szCs w:val="24"/>
          <w:highlight w:val="none"/>
        </w:rPr>
        <w:t>0</w:t>
      </w:r>
      <w:r>
        <w:rPr>
          <w:rFonts w:hint="eastAsia" w:ascii="宋体" w:hAnsi="宋体"/>
          <w:color w:val="auto"/>
          <w:sz w:val="24"/>
          <w:szCs w:val="24"/>
          <w:highlight w:val="none"/>
        </w:rPr>
        <w:t xml:space="preserve"> 承包人承诺：所有变更工程引起的计价、计量调整、报批和审批过程，均不得影响变更的执行，承包人不得以此为理由公开或变相拖延或延误变更工程，否则，承包人将承担由此造成的经济损失及工期延误的责任。</w:t>
      </w:r>
    </w:p>
    <w:p w14:paraId="4F7E678B">
      <w:pPr>
        <w:pStyle w:val="119"/>
        <w:shd w:val="clear" w:color="auto" w:fill="auto"/>
        <w:tabs>
          <w:tab w:val="left" w:pos="142"/>
          <w:tab w:val="left" w:pos="284"/>
        </w:tabs>
        <w:spacing w:line="360" w:lineRule="auto"/>
        <w:ind w:left="0" w:leftChars="0" w:firstLine="489"/>
        <w:rPr>
          <w:rFonts w:ascii="宋体" w:eastAsia="宋体"/>
          <w:color w:val="auto"/>
          <w:sz w:val="24"/>
          <w:szCs w:val="24"/>
          <w:highlight w:val="none"/>
        </w:rPr>
      </w:pPr>
      <w:r>
        <w:rPr>
          <w:rFonts w:hint="eastAsia" w:ascii="宋体" w:eastAsia="宋体"/>
          <w:color w:val="auto"/>
          <w:sz w:val="24"/>
          <w:szCs w:val="24"/>
          <w:highlight w:val="none"/>
          <w:lang w:eastAsia="zh-CN"/>
        </w:rPr>
        <w:t>30.</w:t>
      </w:r>
      <w:r>
        <w:rPr>
          <w:rFonts w:ascii="宋体" w:eastAsia="宋体"/>
          <w:color w:val="auto"/>
          <w:sz w:val="24"/>
          <w:szCs w:val="24"/>
          <w:highlight w:val="none"/>
        </w:rPr>
        <w:t>工程其它变更</w:t>
      </w:r>
    </w:p>
    <w:p w14:paraId="3F572673">
      <w:pPr>
        <w:tabs>
          <w:tab w:val="left" w:pos="142"/>
          <w:tab w:val="left" w:pos="284"/>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30</w:t>
      </w:r>
      <w:r>
        <w:rPr>
          <w:rFonts w:ascii="宋体" w:hAnsi="宋体"/>
          <w:color w:val="auto"/>
          <w:sz w:val="24"/>
          <w:szCs w:val="24"/>
          <w:highlight w:val="none"/>
        </w:rPr>
        <w:t>.1</w:t>
      </w:r>
      <w:r>
        <w:rPr>
          <w:rFonts w:hint="eastAsia" w:ascii="宋体" w:hAnsi="宋体"/>
          <w:color w:val="auto"/>
          <w:sz w:val="24"/>
          <w:szCs w:val="24"/>
          <w:highlight w:val="none"/>
        </w:rPr>
        <w:t xml:space="preserve"> </w:t>
      </w:r>
      <w:r>
        <w:rPr>
          <w:rFonts w:ascii="宋体" w:hAnsi="宋体"/>
          <w:color w:val="auto"/>
          <w:sz w:val="24"/>
          <w:szCs w:val="24"/>
          <w:highlight w:val="none"/>
        </w:rPr>
        <w:t>签证：现场签证是指施工合同所确定的工程内容以外，因非</w:t>
      </w:r>
      <w:r>
        <w:rPr>
          <w:rFonts w:hint="eastAsia" w:ascii="宋体" w:hAnsi="宋体"/>
          <w:color w:val="auto"/>
          <w:sz w:val="24"/>
          <w:szCs w:val="24"/>
          <w:highlight w:val="none"/>
        </w:rPr>
        <w:t>承包人</w:t>
      </w:r>
      <w:r>
        <w:rPr>
          <w:rFonts w:ascii="宋体" w:hAnsi="宋体"/>
          <w:color w:val="auto"/>
          <w:sz w:val="24"/>
          <w:szCs w:val="24"/>
          <w:highlight w:val="none"/>
        </w:rPr>
        <w:t>原因</w:t>
      </w:r>
      <w:r>
        <w:rPr>
          <w:rFonts w:hint="eastAsia" w:ascii="宋体" w:hAnsi="宋体"/>
          <w:color w:val="auto"/>
          <w:sz w:val="24"/>
          <w:szCs w:val="24"/>
          <w:highlight w:val="none"/>
          <w:lang w:eastAsia="zh-CN"/>
        </w:rPr>
        <w:t>造成</w:t>
      </w:r>
      <w:r>
        <w:rPr>
          <w:rFonts w:ascii="宋体" w:hAnsi="宋体"/>
          <w:color w:val="auto"/>
          <w:sz w:val="24"/>
          <w:szCs w:val="24"/>
          <w:highlight w:val="none"/>
        </w:rPr>
        <w:t>施工过程中实际发生且须支付工程费用的工程实施内容。</w:t>
      </w:r>
    </w:p>
    <w:p w14:paraId="0D6AD349">
      <w:pPr>
        <w:tabs>
          <w:tab w:val="left" w:pos="142"/>
          <w:tab w:val="left" w:pos="284"/>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30</w:t>
      </w:r>
      <w:r>
        <w:rPr>
          <w:rFonts w:ascii="宋体" w:hAnsi="宋体"/>
          <w:color w:val="auto"/>
          <w:sz w:val="24"/>
          <w:szCs w:val="24"/>
          <w:highlight w:val="none"/>
        </w:rPr>
        <w:t>.2</w:t>
      </w:r>
      <w:r>
        <w:rPr>
          <w:rFonts w:hint="eastAsia" w:ascii="宋体" w:hAnsi="宋体"/>
          <w:color w:val="auto"/>
          <w:sz w:val="24"/>
          <w:szCs w:val="24"/>
          <w:highlight w:val="none"/>
        </w:rPr>
        <w:t xml:space="preserve"> </w:t>
      </w:r>
      <w:r>
        <w:rPr>
          <w:rFonts w:ascii="宋体" w:hAnsi="宋体"/>
          <w:color w:val="auto"/>
          <w:sz w:val="24"/>
          <w:szCs w:val="24"/>
          <w:highlight w:val="none"/>
        </w:rPr>
        <w:t>签证的计价：按合同中工程变更的计价有关规定执行。</w:t>
      </w:r>
    </w:p>
    <w:p w14:paraId="56385243">
      <w:pPr>
        <w:tabs>
          <w:tab w:val="left" w:pos="142"/>
          <w:tab w:val="left" w:pos="284"/>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30</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3签证实施前所需的施工方案：若签证事件发生时，需使用没有被监理工程师批准过的施工方案，则必须将该施工方案提前报监理工程师和发包人批准，涉及工程量和单价等有可能影响造价的还须经造价咨询公司审核，再报发包人批准后才能实施，否则发包人将单方面按最经济的施工方案对该签证进行计价，承包人须服从。</w:t>
      </w:r>
    </w:p>
    <w:p w14:paraId="49B8BDC4">
      <w:pPr>
        <w:pStyle w:val="119"/>
        <w:shd w:val="clear" w:color="auto" w:fill="auto"/>
        <w:tabs>
          <w:tab w:val="left" w:pos="142"/>
          <w:tab w:val="left" w:pos="284"/>
        </w:tabs>
        <w:spacing w:line="360" w:lineRule="auto"/>
        <w:ind w:left="0" w:leftChars="0" w:firstLine="489"/>
        <w:rPr>
          <w:rFonts w:ascii="宋体" w:eastAsia="宋体"/>
          <w:color w:val="auto"/>
          <w:sz w:val="24"/>
          <w:szCs w:val="24"/>
          <w:highlight w:val="none"/>
        </w:rPr>
      </w:pPr>
      <w:r>
        <w:rPr>
          <w:rFonts w:hint="eastAsia" w:ascii="宋体" w:eastAsia="宋体"/>
          <w:color w:val="auto"/>
          <w:sz w:val="24"/>
          <w:szCs w:val="24"/>
          <w:highlight w:val="none"/>
          <w:lang w:eastAsia="zh-CN"/>
        </w:rPr>
        <w:t>31.</w:t>
      </w:r>
      <w:r>
        <w:rPr>
          <w:rFonts w:ascii="宋体" w:eastAsia="宋体"/>
          <w:color w:val="auto"/>
          <w:sz w:val="24"/>
          <w:szCs w:val="24"/>
          <w:highlight w:val="none"/>
        </w:rPr>
        <w:t>确定变更价款</w:t>
      </w:r>
    </w:p>
    <w:p w14:paraId="4F54D17B">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 xml:space="preserve"> 发生上述规定的变更后，承包人在收到发包人变更通知的</w:t>
      </w:r>
      <w:r>
        <w:rPr>
          <w:rFonts w:ascii="宋体" w:hAnsi="宋体"/>
          <w:color w:val="auto"/>
          <w:sz w:val="24"/>
          <w:szCs w:val="24"/>
          <w:highlight w:val="none"/>
        </w:rPr>
        <w:t>7天内按合同文件规定的计价方式内容编出变更工程预算送交监理单位，监理单位在14天内审核并签署意见后报发包人，发包人确认后作为调整工程价款的依据。若承包人不按</w:t>
      </w:r>
      <w:r>
        <w:rPr>
          <w:rFonts w:hint="eastAsia" w:ascii="宋体" w:hAnsi="宋体"/>
          <w:color w:val="auto"/>
          <w:sz w:val="24"/>
          <w:szCs w:val="24"/>
          <w:highlight w:val="none"/>
        </w:rPr>
        <w:t>约定</w:t>
      </w:r>
      <w:r>
        <w:rPr>
          <w:rFonts w:ascii="宋体" w:hAnsi="宋体"/>
          <w:color w:val="auto"/>
          <w:sz w:val="24"/>
          <w:szCs w:val="24"/>
          <w:highlight w:val="none"/>
        </w:rPr>
        <w:t>提供变更工程预算并经发包人</w:t>
      </w:r>
      <w:r>
        <w:rPr>
          <w:rFonts w:hint="eastAsia" w:ascii="宋体" w:hAnsi="宋体"/>
          <w:color w:val="auto"/>
          <w:sz w:val="24"/>
          <w:szCs w:val="24"/>
          <w:highlight w:val="none"/>
        </w:rPr>
        <w:t>确认</w:t>
      </w:r>
      <w:r>
        <w:rPr>
          <w:rFonts w:ascii="宋体" w:hAnsi="宋体"/>
          <w:color w:val="auto"/>
          <w:sz w:val="24"/>
          <w:szCs w:val="24"/>
          <w:highlight w:val="none"/>
        </w:rPr>
        <w:t>，</w:t>
      </w:r>
      <w:r>
        <w:rPr>
          <w:rFonts w:hint="eastAsia" w:ascii="宋体" w:hAnsi="宋体"/>
          <w:color w:val="auto"/>
          <w:sz w:val="24"/>
          <w:szCs w:val="24"/>
          <w:highlight w:val="none"/>
        </w:rPr>
        <w:t>则视为相关变更</w:t>
      </w:r>
      <w:r>
        <w:rPr>
          <w:rFonts w:ascii="宋体" w:hAnsi="宋体"/>
          <w:color w:val="auto"/>
          <w:sz w:val="24"/>
          <w:szCs w:val="24"/>
          <w:highlight w:val="none"/>
        </w:rPr>
        <w:t>增加费用</w:t>
      </w:r>
      <w:r>
        <w:rPr>
          <w:rFonts w:hint="eastAsia" w:ascii="宋体" w:hAnsi="宋体"/>
          <w:color w:val="auto"/>
          <w:sz w:val="24"/>
          <w:szCs w:val="24"/>
          <w:highlight w:val="none"/>
        </w:rPr>
        <w:t>已经</w:t>
      </w:r>
      <w:r>
        <w:rPr>
          <w:rFonts w:ascii="宋体" w:hAnsi="宋体"/>
          <w:color w:val="auto"/>
          <w:sz w:val="24"/>
          <w:szCs w:val="24"/>
          <w:highlight w:val="none"/>
        </w:rPr>
        <w:t>包</w:t>
      </w:r>
      <w:r>
        <w:rPr>
          <w:rFonts w:hint="eastAsia" w:ascii="宋体" w:hAnsi="宋体"/>
          <w:color w:val="auto"/>
          <w:sz w:val="24"/>
          <w:szCs w:val="24"/>
          <w:highlight w:val="none"/>
        </w:rPr>
        <w:t>含在本合同暂定总价款中，发包人不另行支付。</w:t>
      </w:r>
    </w:p>
    <w:p w14:paraId="03F54E41">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 xml:space="preserve"> 工程签证单及工程变更引起的措施费的增加均</w:t>
      </w:r>
      <w:r>
        <w:rPr>
          <w:rFonts w:hint="eastAsia" w:ascii="宋体" w:hAnsi="宋体"/>
          <w:color w:val="auto"/>
          <w:sz w:val="24"/>
          <w:szCs w:val="24"/>
          <w:highlight w:val="none"/>
          <w:lang w:eastAsia="zh-CN"/>
        </w:rPr>
        <w:t>不作</w:t>
      </w:r>
      <w:r>
        <w:rPr>
          <w:rFonts w:hint="eastAsia" w:ascii="宋体" w:hAnsi="宋体"/>
          <w:color w:val="auto"/>
          <w:sz w:val="24"/>
          <w:szCs w:val="24"/>
          <w:highlight w:val="none"/>
        </w:rPr>
        <w:t>调整，承包人在投标和签署本合同时已考虑该等风险并同意此安排。</w:t>
      </w:r>
    </w:p>
    <w:p w14:paraId="74C7BCAC">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31</w:t>
      </w:r>
      <w:r>
        <w:rPr>
          <w:rFonts w:ascii="宋体" w:hAnsi="宋体"/>
          <w:color w:val="auto"/>
          <w:sz w:val="24"/>
          <w:szCs w:val="24"/>
          <w:highlight w:val="none"/>
        </w:rPr>
        <w:t>.3</w:t>
      </w:r>
      <w:r>
        <w:rPr>
          <w:rFonts w:hint="eastAsia" w:ascii="宋体" w:hAnsi="宋体"/>
          <w:color w:val="auto"/>
          <w:sz w:val="24"/>
          <w:szCs w:val="24"/>
          <w:highlight w:val="none"/>
        </w:rPr>
        <w:t xml:space="preserve"> 在工程变更价款计算时，承包人应按招标文件相关规定编制变更工程的预算，提供变更依据及详细的计算资料，报监理单位和发包人批准。</w:t>
      </w:r>
    </w:p>
    <w:p w14:paraId="2D9E0101">
      <w:pPr>
        <w:tabs>
          <w:tab w:val="left" w:pos="142"/>
          <w:tab w:val="left" w:pos="284"/>
        </w:tabs>
        <w:adjustRightInd w:val="0"/>
        <w:snapToGrid w:val="0"/>
        <w:spacing w:line="360" w:lineRule="auto"/>
        <w:ind w:right="11" w:firstLine="482" w:firstLineChars="200"/>
        <w:jc w:val="both"/>
        <w:outlineLvl w:val="2"/>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eastAsia="zh-CN"/>
        </w:rPr>
        <w:t>32.</w:t>
      </w:r>
      <w:r>
        <w:rPr>
          <w:rFonts w:hint="eastAsia" w:ascii="宋体" w:hAnsi="宋体" w:cs="宋体"/>
          <w:b/>
          <w:bCs/>
          <w:snapToGrid w:val="0"/>
          <w:color w:val="auto"/>
          <w:kern w:val="0"/>
          <w:sz w:val="24"/>
          <w:highlight w:val="none"/>
        </w:rPr>
        <w:t>暂估价</w:t>
      </w:r>
    </w:p>
    <w:p w14:paraId="21995A35">
      <w:pPr>
        <w:pStyle w:val="33"/>
        <w:tabs>
          <w:tab w:val="left" w:pos="142"/>
          <w:tab w:val="left" w:pos="284"/>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 招标暂估价项目</w:t>
      </w:r>
    </w:p>
    <w:p w14:paraId="13266ABD">
      <w:pPr>
        <w:pStyle w:val="33"/>
        <w:tabs>
          <w:tab w:val="left" w:pos="142"/>
          <w:tab w:val="left" w:pos="284"/>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必须招标暂估价项目合同双方当事人的权利、义务</w:t>
      </w:r>
    </w:p>
    <w:p w14:paraId="43D99313">
      <w:pPr>
        <w:pStyle w:val="33"/>
        <w:tabs>
          <w:tab w:val="left" w:pos="142"/>
          <w:tab w:val="left" w:pos="284"/>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材料、工程设备：</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293BE8D1">
      <w:pPr>
        <w:pStyle w:val="33"/>
        <w:tabs>
          <w:tab w:val="left" w:pos="142"/>
          <w:tab w:val="left" w:pos="284"/>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专业工程：</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5AB25A37">
      <w:pPr>
        <w:tabs>
          <w:tab w:val="left" w:pos="142"/>
          <w:tab w:val="left" w:pos="284"/>
        </w:tabs>
        <w:adjustRightInd w:val="0"/>
        <w:snapToGrid w:val="0"/>
        <w:spacing w:line="360" w:lineRule="auto"/>
        <w:ind w:right="11" w:firstLine="482" w:firstLineChars="200"/>
        <w:jc w:val="both"/>
        <w:outlineLvl w:val="2"/>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lang w:eastAsia="zh-CN"/>
        </w:rPr>
        <w:t>33.</w:t>
      </w:r>
      <w:r>
        <w:rPr>
          <w:rFonts w:hint="eastAsia" w:ascii="宋体" w:hAnsi="宋体" w:cs="宋体"/>
          <w:b/>
          <w:bCs/>
          <w:snapToGrid w:val="0"/>
          <w:color w:val="auto"/>
          <w:kern w:val="0"/>
          <w:sz w:val="24"/>
          <w:highlight w:val="none"/>
        </w:rPr>
        <w:t>暂列金额</w:t>
      </w:r>
    </w:p>
    <w:p w14:paraId="073BC40E">
      <w:pPr>
        <w:pStyle w:val="114"/>
        <w:shd w:val="clear" w:color="auto" w:fill="auto"/>
        <w:tabs>
          <w:tab w:val="left" w:pos="142"/>
          <w:tab w:val="left" w:pos="284"/>
        </w:tabs>
        <w:spacing w:line="360" w:lineRule="auto"/>
        <w:ind w:left="0" w:leftChars="0" w:firstLine="506" w:firstLineChars="200"/>
        <w:rPr>
          <w:rFonts w:hAnsi="宋体"/>
          <w:color w:val="auto"/>
          <w:highlight w:val="none"/>
        </w:rPr>
      </w:pPr>
      <w:r>
        <w:rPr>
          <w:rFonts w:hint="eastAsia" w:hAnsi="宋体"/>
          <w:color w:val="auto"/>
          <w:highlight w:val="none"/>
        </w:rPr>
        <w:t xml:space="preserve">33.1 合同工程的暂列金额为 </w:t>
      </w:r>
      <w:r>
        <w:rPr>
          <w:rFonts w:hint="eastAsia" w:hAnsi="宋体"/>
          <w:color w:val="auto"/>
          <w:highlight w:val="none"/>
          <w:u w:val="single"/>
        </w:rPr>
        <w:t xml:space="preserve">    </w:t>
      </w:r>
      <w:r>
        <w:rPr>
          <w:rFonts w:hint="eastAsia" w:hAnsi="宋体"/>
          <w:color w:val="auto"/>
          <w:highlight w:val="none"/>
          <w:u w:val="single"/>
          <w:lang w:val="en-US" w:eastAsia="zh-CN"/>
        </w:rPr>
        <w:t>/</w:t>
      </w:r>
      <w:r>
        <w:rPr>
          <w:rFonts w:hint="eastAsia" w:hAnsi="宋体"/>
          <w:color w:val="auto"/>
          <w:highlight w:val="none"/>
          <w:u w:val="single"/>
        </w:rPr>
        <w:t xml:space="preserve">      </w:t>
      </w:r>
      <w:r>
        <w:rPr>
          <w:rFonts w:hint="eastAsia" w:hAnsi="宋体"/>
          <w:color w:val="auto"/>
          <w:highlight w:val="none"/>
        </w:rPr>
        <w:t>元。</w:t>
      </w:r>
    </w:p>
    <w:p w14:paraId="1ADCF8EC">
      <w:pPr>
        <w:pStyle w:val="114"/>
        <w:shd w:val="clear" w:color="auto" w:fill="auto"/>
        <w:tabs>
          <w:tab w:val="left" w:pos="142"/>
          <w:tab w:val="left" w:pos="284"/>
        </w:tabs>
        <w:spacing w:line="360" w:lineRule="auto"/>
        <w:ind w:left="0" w:leftChars="0" w:firstLine="506" w:firstLineChars="200"/>
        <w:rPr>
          <w:rFonts w:hAnsi="宋体"/>
          <w:color w:val="auto"/>
          <w:highlight w:val="none"/>
        </w:rPr>
      </w:pPr>
      <w:r>
        <w:rPr>
          <w:rFonts w:hint="eastAsia" w:hAnsi="宋体"/>
          <w:color w:val="auto"/>
          <w:highlight w:val="none"/>
        </w:rPr>
        <w:t>九、竣工验收与结算</w:t>
      </w:r>
    </w:p>
    <w:p w14:paraId="2A46332D">
      <w:pPr>
        <w:pStyle w:val="119"/>
        <w:shd w:val="clear" w:color="auto" w:fill="auto"/>
        <w:tabs>
          <w:tab w:val="left" w:pos="142"/>
          <w:tab w:val="left" w:pos="284"/>
        </w:tabs>
        <w:spacing w:line="360" w:lineRule="auto"/>
        <w:ind w:left="0" w:leftChars="0" w:firstLine="489"/>
        <w:rPr>
          <w:rFonts w:ascii="宋体" w:eastAsia="宋体"/>
          <w:color w:val="auto"/>
          <w:sz w:val="24"/>
          <w:szCs w:val="24"/>
          <w:highlight w:val="none"/>
        </w:rPr>
      </w:pPr>
      <w:r>
        <w:rPr>
          <w:rFonts w:ascii="宋体" w:eastAsia="宋体"/>
          <w:color w:val="auto"/>
          <w:sz w:val="24"/>
          <w:szCs w:val="24"/>
          <w:highlight w:val="none"/>
        </w:rPr>
        <w:t>3</w:t>
      </w:r>
      <w:r>
        <w:rPr>
          <w:rFonts w:hint="eastAsia" w:ascii="宋体" w:eastAsia="宋体"/>
          <w:color w:val="auto"/>
          <w:sz w:val="24"/>
          <w:szCs w:val="24"/>
          <w:highlight w:val="none"/>
        </w:rPr>
        <w:t>4</w:t>
      </w:r>
      <w:r>
        <w:rPr>
          <w:rFonts w:ascii="宋体" w:eastAsia="宋体"/>
          <w:color w:val="auto"/>
          <w:sz w:val="24"/>
          <w:szCs w:val="24"/>
          <w:highlight w:val="none"/>
        </w:rPr>
        <w:t>.</w:t>
      </w:r>
      <w:r>
        <w:rPr>
          <w:rFonts w:hint="eastAsia" w:ascii="宋体" w:eastAsia="宋体"/>
          <w:color w:val="auto"/>
          <w:sz w:val="24"/>
          <w:szCs w:val="24"/>
          <w:highlight w:val="none"/>
        </w:rPr>
        <w:t xml:space="preserve"> </w:t>
      </w:r>
      <w:r>
        <w:rPr>
          <w:rFonts w:ascii="宋体" w:eastAsia="宋体"/>
          <w:color w:val="auto"/>
          <w:sz w:val="24"/>
          <w:szCs w:val="24"/>
          <w:highlight w:val="none"/>
        </w:rPr>
        <w:t xml:space="preserve">竣工验收 </w:t>
      </w:r>
    </w:p>
    <w:p w14:paraId="62261D16">
      <w:pPr>
        <w:tabs>
          <w:tab w:val="left" w:pos="142"/>
          <w:tab w:val="left" w:pos="284"/>
        </w:tabs>
        <w:spacing w:line="360" w:lineRule="auto"/>
        <w:ind w:left="0" w:firstLine="480" w:firstLineChars="200"/>
        <w:rPr>
          <w:rFonts w:ascii="宋体" w:hAnsi="宋体"/>
          <w:color w:val="auto"/>
          <w:sz w:val="24"/>
          <w:szCs w:val="24"/>
          <w:highlight w:val="none"/>
          <w:u w:val="single"/>
        </w:rPr>
      </w:pPr>
      <w:r>
        <w:rPr>
          <w:rFonts w:ascii="宋体" w:hAnsi="宋体"/>
          <w:color w:val="auto"/>
          <w:sz w:val="24"/>
          <w:szCs w:val="24"/>
          <w:highlight w:val="none"/>
        </w:rPr>
        <w:t>3</w:t>
      </w:r>
      <w:r>
        <w:rPr>
          <w:rFonts w:hint="eastAsia" w:ascii="宋体" w:hAnsi="宋体"/>
          <w:color w:val="auto"/>
          <w:sz w:val="24"/>
          <w:szCs w:val="24"/>
          <w:highlight w:val="none"/>
        </w:rPr>
        <w:t>4</w:t>
      </w:r>
      <w:r>
        <w:rPr>
          <w:rFonts w:ascii="宋体" w:hAnsi="宋体"/>
          <w:color w:val="auto"/>
          <w:sz w:val="24"/>
          <w:szCs w:val="24"/>
          <w:highlight w:val="none"/>
        </w:rPr>
        <w:t>.1</w:t>
      </w:r>
      <w:r>
        <w:rPr>
          <w:rFonts w:hint="eastAsia" w:ascii="宋体" w:hAnsi="宋体"/>
          <w:color w:val="auto"/>
          <w:sz w:val="24"/>
          <w:szCs w:val="24"/>
          <w:highlight w:val="none"/>
        </w:rPr>
        <w:t xml:space="preserve"> </w:t>
      </w:r>
      <w:r>
        <w:rPr>
          <w:rFonts w:ascii="宋体" w:hAnsi="宋体"/>
          <w:color w:val="auto"/>
          <w:sz w:val="24"/>
          <w:szCs w:val="24"/>
          <w:highlight w:val="none"/>
        </w:rPr>
        <w:t>承包人提供竣工图的约定：</w:t>
      </w:r>
      <w:r>
        <w:rPr>
          <w:rFonts w:hint="eastAsia" w:ascii="宋体" w:hAnsi="宋体"/>
          <w:color w:val="auto"/>
          <w:sz w:val="24"/>
          <w:szCs w:val="24"/>
          <w:highlight w:val="none"/>
        </w:rPr>
        <w:t>承包人工程竣工资料必须按照国家、广东省及广州市、黄埔区有关竣工资料档案管理的要求进行整理归档。承包单位在工程竣工验收后三十个日历天内，向发包人提供符合要求按规格编制成册的工程竣工图及有关的技术档案资料一式捌份。</w:t>
      </w:r>
    </w:p>
    <w:p w14:paraId="6B36C9BA">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4</w:t>
      </w:r>
      <w:r>
        <w:rPr>
          <w:rFonts w:ascii="宋体" w:hAnsi="宋体"/>
          <w:color w:val="auto"/>
          <w:sz w:val="24"/>
          <w:szCs w:val="24"/>
          <w:highlight w:val="none"/>
        </w:rPr>
        <w:t>.2</w:t>
      </w:r>
      <w:r>
        <w:rPr>
          <w:rFonts w:hint="eastAsia" w:ascii="宋体" w:hAnsi="宋体"/>
          <w:color w:val="auto"/>
          <w:sz w:val="24"/>
          <w:szCs w:val="24"/>
          <w:highlight w:val="none"/>
        </w:rPr>
        <w:t xml:space="preserve"> </w:t>
      </w:r>
      <w:r>
        <w:rPr>
          <w:rFonts w:ascii="宋体" w:hAnsi="宋体"/>
          <w:color w:val="auto"/>
          <w:sz w:val="24"/>
          <w:szCs w:val="24"/>
          <w:highlight w:val="none"/>
        </w:rPr>
        <w:t>竣工验收备案：</w:t>
      </w:r>
      <w:r>
        <w:rPr>
          <w:rFonts w:hint="eastAsia" w:ascii="宋体" w:hAnsi="宋体"/>
          <w:color w:val="auto"/>
          <w:sz w:val="24"/>
          <w:szCs w:val="24"/>
          <w:highlight w:val="none"/>
        </w:rPr>
        <w:t>承包人</w:t>
      </w:r>
      <w:r>
        <w:rPr>
          <w:rFonts w:ascii="宋体" w:hAnsi="宋体"/>
          <w:color w:val="auto"/>
          <w:sz w:val="24"/>
          <w:szCs w:val="24"/>
          <w:highlight w:val="none"/>
        </w:rPr>
        <w:t>应保证工程竣工验收符合供电局的要求，并最终以供电局通过验收为准。</w:t>
      </w:r>
      <w:r>
        <w:rPr>
          <w:rFonts w:hint="eastAsia" w:ascii="宋体" w:hAnsi="宋体"/>
          <w:color w:val="auto"/>
          <w:sz w:val="24"/>
          <w:szCs w:val="24"/>
          <w:highlight w:val="none"/>
        </w:rPr>
        <w:t>同时</w:t>
      </w:r>
      <w:r>
        <w:rPr>
          <w:rFonts w:ascii="宋体" w:hAnsi="宋体"/>
          <w:color w:val="auto"/>
          <w:sz w:val="24"/>
          <w:szCs w:val="24"/>
          <w:highlight w:val="none"/>
        </w:rPr>
        <w:t>，承包人应按供电部门的要求办理</w:t>
      </w:r>
      <w:r>
        <w:rPr>
          <w:rFonts w:hint="eastAsia" w:ascii="宋体" w:hAnsi="宋体"/>
          <w:color w:val="auto"/>
          <w:sz w:val="24"/>
          <w:szCs w:val="24"/>
          <w:highlight w:val="none"/>
        </w:rPr>
        <w:t>工程</w:t>
      </w:r>
      <w:r>
        <w:rPr>
          <w:rFonts w:ascii="宋体" w:hAnsi="宋体"/>
          <w:color w:val="auto"/>
          <w:sz w:val="24"/>
          <w:szCs w:val="24"/>
          <w:highlight w:val="none"/>
        </w:rPr>
        <w:t>竣工</w:t>
      </w:r>
      <w:r>
        <w:rPr>
          <w:rFonts w:hint="eastAsia" w:ascii="宋体" w:hAnsi="宋体"/>
          <w:color w:val="auto"/>
          <w:sz w:val="24"/>
          <w:szCs w:val="24"/>
          <w:highlight w:val="none"/>
        </w:rPr>
        <w:t>验收</w:t>
      </w:r>
      <w:r>
        <w:rPr>
          <w:rFonts w:ascii="宋体" w:hAnsi="宋体"/>
          <w:color w:val="auto"/>
          <w:sz w:val="24"/>
          <w:szCs w:val="24"/>
          <w:highlight w:val="none"/>
        </w:rPr>
        <w:t>备案手续。</w:t>
      </w:r>
      <w:r>
        <w:rPr>
          <w:rFonts w:hint="eastAsia" w:ascii="宋体" w:hAnsi="宋体"/>
          <w:color w:val="auto"/>
          <w:sz w:val="24"/>
          <w:szCs w:val="24"/>
          <w:highlight w:val="none"/>
        </w:rPr>
        <w:t>至此，才视为工程通过供电部门最终验收。</w:t>
      </w:r>
    </w:p>
    <w:p w14:paraId="2FE5E4A0">
      <w:pPr>
        <w:tabs>
          <w:tab w:val="left" w:pos="142"/>
          <w:tab w:val="left" w:pos="284"/>
        </w:tabs>
        <w:spacing w:line="360" w:lineRule="auto"/>
        <w:ind w:left="0" w:firstLine="480" w:firstLineChars="200"/>
        <w:rPr>
          <w:rFonts w:ascii="宋体" w:hAnsi="宋体"/>
          <w:color w:val="auto"/>
          <w:sz w:val="24"/>
          <w:szCs w:val="24"/>
          <w:highlight w:val="none"/>
          <w:u w:val="single"/>
        </w:rPr>
      </w:pPr>
      <w:r>
        <w:rPr>
          <w:rFonts w:ascii="宋体" w:hAnsi="宋体"/>
          <w:color w:val="auto"/>
          <w:sz w:val="24"/>
          <w:szCs w:val="24"/>
          <w:highlight w:val="none"/>
        </w:rPr>
        <w:t>3</w:t>
      </w:r>
      <w:r>
        <w:rPr>
          <w:rFonts w:hint="eastAsia" w:ascii="宋体" w:hAnsi="宋体"/>
          <w:color w:val="auto"/>
          <w:sz w:val="24"/>
          <w:szCs w:val="24"/>
          <w:highlight w:val="none"/>
        </w:rPr>
        <w:t>4</w:t>
      </w:r>
      <w:r>
        <w:rPr>
          <w:rFonts w:ascii="宋体" w:hAnsi="宋体"/>
          <w:color w:val="auto"/>
          <w:sz w:val="24"/>
          <w:szCs w:val="24"/>
          <w:highlight w:val="none"/>
        </w:rPr>
        <w:t>.3</w:t>
      </w:r>
      <w:r>
        <w:rPr>
          <w:rFonts w:hint="eastAsia" w:ascii="宋体" w:hAnsi="宋体"/>
          <w:color w:val="auto"/>
          <w:sz w:val="24"/>
          <w:szCs w:val="24"/>
          <w:highlight w:val="none"/>
        </w:rPr>
        <w:t xml:space="preserve"> </w:t>
      </w:r>
      <w:r>
        <w:rPr>
          <w:rFonts w:ascii="宋体" w:hAnsi="宋体"/>
          <w:color w:val="auto"/>
          <w:sz w:val="24"/>
          <w:szCs w:val="24"/>
          <w:highlight w:val="none"/>
        </w:rPr>
        <w:t>中间交工工程的</w:t>
      </w:r>
      <w:r>
        <w:rPr>
          <w:rFonts w:hint="eastAsia" w:ascii="宋体" w:hAnsi="宋体"/>
          <w:color w:val="auto"/>
          <w:sz w:val="24"/>
          <w:szCs w:val="24"/>
          <w:highlight w:val="none"/>
        </w:rPr>
        <w:t>范围和竣工时间：</w:t>
      </w:r>
      <w:r>
        <w:rPr>
          <w:rFonts w:hint="eastAsia" w:ascii="宋体" w:hAnsi="宋体"/>
          <w:color w:val="auto"/>
          <w:sz w:val="24"/>
          <w:szCs w:val="24"/>
          <w:highlight w:val="none"/>
          <w:u w:val="single"/>
        </w:rPr>
        <w:t xml:space="preserve">  / </w:t>
      </w:r>
    </w:p>
    <w:p w14:paraId="218091F0">
      <w:pPr>
        <w:tabs>
          <w:tab w:val="left" w:pos="142"/>
          <w:tab w:val="left" w:pos="284"/>
        </w:tabs>
        <w:spacing w:line="360" w:lineRule="auto"/>
        <w:ind w:left="0"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35.</w:t>
      </w:r>
      <w:r>
        <w:rPr>
          <w:rFonts w:ascii="宋体" w:hAnsi="宋体"/>
          <w:b/>
          <w:bCs/>
          <w:color w:val="auto"/>
          <w:sz w:val="24"/>
          <w:szCs w:val="24"/>
          <w:highlight w:val="none"/>
        </w:rPr>
        <w:t>工程移交</w:t>
      </w:r>
    </w:p>
    <w:p w14:paraId="5C6B666C">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ascii="宋体" w:hAnsi="宋体"/>
          <w:color w:val="auto"/>
          <w:sz w:val="24"/>
          <w:szCs w:val="24"/>
          <w:highlight w:val="none"/>
        </w:rPr>
        <w:t>35.</w:t>
      </w:r>
      <w:r>
        <w:rPr>
          <w:rFonts w:hint="eastAsia" w:ascii="宋体" w:hAnsi="宋体"/>
          <w:color w:val="auto"/>
          <w:sz w:val="24"/>
          <w:szCs w:val="24"/>
          <w:highlight w:val="none"/>
        </w:rPr>
        <w:t xml:space="preserve">1 </w:t>
      </w:r>
      <w:r>
        <w:rPr>
          <w:rFonts w:ascii="宋体" w:hAnsi="宋体"/>
          <w:color w:val="auto"/>
          <w:sz w:val="24"/>
          <w:szCs w:val="24"/>
          <w:highlight w:val="none"/>
        </w:rPr>
        <w:t>承包人应于工程竣工验收合格后15天内按要求提供相关资料，整理汇编成工程移交手册，协助项目总承包施工管理单位及项目产权管理单位尽快熟悉工程项目各部分（建筑单体、小区市政、周边管线等）的情况，为项目产权管理单位的接收、使用、维护、管理</w:t>
      </w:r>
      <w:r>
        <w:rPr>
          <w:rFonts w:hint="eastAsia" w:ascii="宋体" w:hAnsi="宋体"/>
          <w:color w:val="auto"/>
          <w:sz w:val="24"/>
          <w:szCs w:val="24"/>
          <w:highlight w:val="none"/>
          <w:lang w:eastAsia="zh-CN"/>
        </w:rPr>
        <w:t>做准备</w:t>
      </w:r>
      <w:r>
        <w:rPr>
          <w:rFonts w:ascii="宋体" w:hAnsi="宋体"/>
          <w:color w:val="auto"/>
          <w:sz w:val="24"/>
          <w:szCs w:val="24"/>
          <w:highlight w:val="none"/>
        </w:rPr>
        <w:t>。</w:t>
      </w:r>
      <w:r>
        <w:rPr>
          <w:rFonts w:hint="eastAsia" w:ascii="宋体" w:hAnsi="宋体" w:cs="宋体"/>
          <w:snapToGrid w:val="0"/>
          <w:color w:val="auto"/>
          <w:kern w:val="0"/>
          <w:sz w:val="24"/>
          <w:highlight w:val="none"/>
        </w:rPr>
        <w:t>移交手册包括但不限于以下内容：</w:t>
      </w:r>
    </w:p>
    <w:p w14:paraId="1F452CF4">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（1）工程项目各部分、各系统的工程概况；</w:t>
      </w:r>
    </w:p>
    <w:p w14:paraId="3BDA5FD0">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（2）工程项目全部的图纸及清单；</w:t>
      </w:r>
    </w:p>
    <w:p w14:paraId="439A79DE">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（3）工程项目的承包人、主要材料设备供货商清单、联系人及电话；</w:t>
      </w:r>
    </w:p>
    <w:p w14:paraId="1842022F">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（4）各系统的设计功能、使用功能或使用说明；</w:t>
      </w:r>
    </w:p>
    <w:p w14:paraId="375A71F5">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（5）主要设备的运行参数；</w:t>
      </w:r>
    </w:p>
    <w:p w14:paraId="23D29647">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（6）主要材料设备的数量；</w:t>
      </w:r>
    </w:p>
    <w:p w14:paraId="60DBE633">
      <w:pPr>
        <w:tabs>
          <w:tab w:val="left" w:pos="142"/>
          <w:tab w:val="left" w:pos="284"/>
        </w:tabs>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（7）工程、材料、设备的保修书（包括保修内容、期限、联系人、电话等）。</w:t>
      </w:r>
    </w:p>
    <w:p w14:paraId="6F1B2C8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35.2 承包人应在进行第38.1条工作的同时编写工程项目移交计划，配合</w:t>
      </w:r>
      <w:r>
        <w:rPr>
          <w:rFonts w:hint="eastAsia" w:ascii="宋体" w:hAnsi="宋体" w:cs="宋体"/>
          <w:color w:val="auto"/>
          <w:sz w:val="24"/>
          <w:highlight w:val="none"/>
        </w:rPr>
        <w:t>项目总承包施工管理单位</w:t>
      </w:r>
      <w:r>
        <w:rPr>
          <w:rFonts w:hint="eastAsia" w:ascii="宋体" w:hAnsi="宋体" w:cs="宋体"/>
          <w:snapToGrid w:val="0"/>
          <w:color w:val="auto"/>
          <w:kern w:val="0"/>
          <w:sz w:val="24"/>
          <w:highlight w:val="none"/>
        </w:rPr>
        <w:t>按如下程序进行工程项目移交：</w:t>
      </w:r>
    </w:p>
    <w:p w14:paraId="00876C58">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（1）按移交手册的资料清单移交图纸、资料；</w:t>
      </w:r>
    </w:p>
    <w:p w14:paraId="66541BD9">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（2）按移交手册的数量清单清点主要材料设备的数量；</w:t>
      </w:r>
    </w:p>
    <w:p w14:paraId="43BD304B">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（3）按移交手册的设计、使用功能说明进行必要的功能性试验（或组织各方参加政府指定机构、第三方检测机构进行的功能性试验）；</w:t>
      </w:r>
    </w:p>
    <w:p w14:paraId="4BF29818">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（4）按移交手册的说明进行系统的试运行（或组织各方参加政府指定机构、第三方检测机构进行的功能性试验），测试主要设备的运行参数；</w:t>
      </w:r>
    </w:p>
    <w:p w14:paraId="34C1AB4F">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（5）对移交过程中发现的质量问题进行记录并及时组织责任方进行维修，验收合格后重新组织移交；</w:t>
      </w:r>
    </w:p>
    <w:p w14:paraId="04D5C055">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（6）应编制培训计划，并按合同要求对项目产权管理单位人员进行培训。</w:t>
      </w:r>
    </w:p>
    <w:p w14:paraId="17402D10">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35.3 承包人应按照国家《城市建设档案管理规定</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广州市城市建设档案管理办法》和发包人有关整理工程档案的要求，在工程施工期间及时收集、汇总、整理、编制竣工档案。</w:t>
      </w:r>
    </w:p>
    <w:p w14:paraId="140D6A6C">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35.4 承包人移交竣工档案的时限：承包人应于工程竣工验收后三十个日历天内将竣工档案提交</w:t>
      </w:r>
      <w:r>
        <w:rPr>
          <w:rFonts w:hint="eastAsia" w:ascii="宋体" w:hAnsi="宋体" w:cs="宋体"/>
          <w:color w:val="auto"/>
          <w:sz w:val="24"/>
          <w:highlight w:val="none"/>
        </w:rPr>
        <w:t>项目总承包施工管理单位及</w:t>
      </w:r>
      <w:r>
        <w:rPr>
          <w:rFonts w:hint="eastAsia" w:ascii="宋体" w:hAnsi="宋体" w:cs="宋体"/>
          <w:snapToGrid w:val="0"/>
          <w:color w:val="auto"/>
          <w:kern w:val="0"/>
          <w:sz w:val="24"/>
          <w:highlight w:val="none"/>
        </w:rPr>
        <w:t>工程监理单位审查。经</w:t>
      </w:r>
      <w:r>
        <w:rPr>
          <w:rFonts w:hint="eastAsia" w:ascii="宋体" w:hAnsi="宋体" w:cs="宋体"/>
          <w:color w:val="auto"/>
          <w:sz w:val="24"/>
          <w:highlight w:val="none"/>
        </w:rPr>
        <w:t>项目总承包施工管理单位及</w:t>
      </w:r>
      <w:r>
        <w:rPr>
          <w:rFonts w:hint="eastAsia" w:ascii="宋体" w:hAnsi="宋体" w:cs="宋体"/>
          <w:snapToGrid w:val="0"/>
          <w:color w:val="auto"/>
          <w:kern w:val="0"/>
          <w:sz w:val="24"/>
          <w:highlight w:val="none"/>
        </w:rPr>
        <w:t>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61B8802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35.5 电子版竣工图的编制，以发包人提供的电子版施工图为基础。承包人在移交竣工档案时，应一并移交发包人提供的电子版施工图。</w:t>
      </w:r>
    </w:p>
    <w:p w14:paraId="7E187C74">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35.6 本合同项下所有工程资料、文件，包括电子版施工图和电子版竣工图的所有权和知识产权归属发包人所有，非经发包人许可，承包人不得以任何方式复制、备份、转让和利用，否则由此引起的任何纠纷和责任由承包人承担。</w:t>
      </w:r>
    </w:p>
    <w:p w14:paraId="0C6B61C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35.7 承包人应督促其工程分包单位及时做好竣工资料整理工作，于分包工程竣工验收后</w:t>
      </w:r>
      <w:r>
        <w:rPr>
          <w:rFonts w:hint="eastAsia" w:ascii="宋体" w:hAnsi="宋体" w:cs="宋体"/>
          <w:snapToGrid w:val="0"/>
          <w:color w:val="auto"/>
          <w:kern w:val="0"/>
          <w:sz w:val="24"/>
          <w:highlight w:val="none"/>
          <w:lang w:val="en-US" w:eastAsia="zh-CN"/>
        </w:rPr>
        <w:t>1</w:t>
      </w:r>
      <w:r>
        <w:rPr>
          <w:rFonts w:hint="eastAsia" w:ascii="宋体" w:hAnsi="宋体" w:cs="宋体"/>
          <w:snapToGrid w:val="0"/>
          <w:color w:val="auto"/>
          <w:kern w:val="0"/>
          <w:sz w:val="24"/>
          <w:highlight w:val="none"/>
        </w:rPr>
        <w:t>5天内将全部档案资料移交给承包人，由承包人汇总、归档，并在承包人移交竣工档案时一并移交。</w:t>
      </w:r>
    </w:p>
    <w:p w14:paraId="0E920D72">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35.8 因承包人的原因致使发包人未能按照国家规定向政府有关部门移交工程竣工档案而受到经济处罚的，由承包人承担全额赔偿责任。</w:t>
      </w:r>
    </w:p>
    <w:p w14:paraId="141A8A36">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35.9 由承包人先移交给发包人、然后再由发包人移交给项目产权管理单位的工程项目，承包人仍应按发包人的要求及上述约定予以协助。</w:t>
      </w:r>
    </w:p>
    <w:p w14:paraId="5934EB25">
      <w:pPr>
        <w:tabs>
          <w:tab w:val="left" w:pos="142"/>
          <w:tab w:val="left" w:pos="284"/>
        </w:tabs>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35.10 工程项目移交给项目产权管理单位后，由项目产权管理单位替代发包人在本合同中的地位，承继发包人的权利义务；承包人不得以任何理由拒绝或拖延向项目产权管理单位履行合同。</w:t>
      </w:r>
    </w:p>
    <w:p w14:paraId="5E2DC6C0">
      <w:pPr>
        <w:tabs>
          <w:tab w:val="left" w:pos="142"/>
          <w:tab w:val="left" w:pos="284"/>
        </w:tabs>
        <w:adjustRightInd w:val="0"/>
        <w:snapToGrid w:val="0"/>
        <w:spacing w:line="360" w:lineRule="auto"/>
        <w:ind w:right="11" w:firstLine="480" w:firstLineChars="200"/>
        <w:rPr>
          <w:color w:val="auto"/>
          <w:highlight w:val="none"/>
        </w:rPr>
      </w:pPr>
      <w:r>
        <w:rPr>
          <w:rFonts w:hint="eastAsia" w:ascii="宋体" w:hAnsi="宋体" w:cs="宋体"/>
          <w:snapToGrid w:val="0"/>
          <w:color w:val="auto"/>
          <w:kern w:val="0"/>
          <w:sz w:val="24"/>
          <w:highlight w:val="none"/>
        </w:rPr>
        <w:t>35.11 承包人参与移交或协助移交的所有费用均已包含在承包人投标报价之内。</w:t>
      </w:r>
    </w:p>
    <w:p w14:paraId="1D2EAB90">
      <w:pPr>
        <w:pStyle w:val="119"/>
        <w:shd w:val="clear" w:color="auto" w:fill="auto"/>
        <w:tabs>
          <w:tab w:val="left" w:pos="142"/>
          <w:tab w:val="left" w:pos="284"/>
        </w:tabs>
        <w:spacing w:line="360" w:lineRule="auto"/>
        <w:ind w:left="0" w:leftChars="0" w:firstLine="489"/>
        <w:rPr>
          <w:rFonts w:ascii="宋体" w:eastAsia="宋体"/>
          <w:color w:val="auto"/>
          <w:sz w:val="24"/>
          <w:szCs w:val="24"/>
          <w:highlight w:val="none"/>
        </w:rPr>
      </w:pPr>
      <w:r>
        <w:rPr>
          <w:rFonts w:hint="eastAsia" w:ascii="宋体" w:eastAsia="宋体"/>
          <w:color w:val="auto"/>
          <w:sz w:val="24"/>
          <w:szCs w:val="24"/>
          <w:highlight w:val="none"/>
          <w:lang w:eastAsia="zh-CN"/>
        </w:rPr>
        <w:t>36.</w:t>
      </w:r>
      <w:r>
        <w:rPr>
          <w:rFonts w:hint="eastAsia" w:ascii="宋体" w:eastAsia="宋体"/>
          <w:color w:val="auto"/>
          <w:sz w:val="24"/>
          <w:szCs w:val="24"/>
          <w:highlight w:val="none"/>
        </w:rPr>
        <w:t>竣工结算</w:t>
      </w:r>
    </w:p>
    <w:p w14:paraId="227877CD">
      <w:pPr>
        <w:tabs>
          <w:tab w:val="left" w:pos="142"/>
          <w:tab w:val="left" w:pos="284"/>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6</w:t>
      </w:r>
      <w:r>
        <w:rPr>
          <w:rFonts w:ascii="宋体" w:hAnsi="宋体"/>
          <w:color w:val="auto"/>
          <w:sz w:val="24"/>
          <w:szCs w:val="24"/>
          <w:highlight w:val="none"/>
        </w:rPr>
        <w:t>.1</w:t>
      </w:r>
      <w:r>
        <w:rPr>
          <w:rFonts w:hint="eastAsia" w:ascii="宋体" w:hAnsi="宋体"/>
          <w:color w:val="auto"/>
          <w:sz w:val="24"/>
          <w:szCs w:val="24"/>
          <w:highlight w:val="none"/>
        </w:rPr>
        <w:t xml:space="preserve"> 竣工结算办法：所有工程量（含暂定工程量）的结算均以发包人审定的金额为准。工程竣工后，承包人编制本工程的结算书送监理单位审核，经监理单位审核后送全过程造价咨询审核后，按规定送发包人审核，并最终以发包人审定本工程的结算为准。如遇审计部门等发现本合同结算价款存在超付情形，发包人有权要求承包人返还该部分款项。</w:t>
      </w:r>
    </w:p>
    <w:p w14:paraId="0298A7B4">
      <w:pPr>
        <w:tabs>
          <w:tab w:val="left" w:pos="142"/>
          <w:tab w:val="left" w:pos="284"/>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竣工结算提交时间：承包人须按</w:t>
      </w:r>
      <w:r>
        <w:rPr>
          <w:rFonts w:hint="eastAsia" w:ascii="宋体" w:hAnsi="宋体"/>
          <w:color w:val="auto"/>
          <w:sz w:val="24"/>
          <w:szCs w:val="24"/>
          <w:highlight w:val="none"/>
          <w:lang w:val="en-US" w:eastAsia="zh-CN"/>
        </w:rPr>
        <w:t>发包人</w:t>
      </w:r>
      <w:r>
        <w:rPr>
          <w:rFonts w:hint="eastAsia" w:ascii="宋体" w:hAnsi="宋体"/>
          <w:color w:val="auto"/>
          <w:sz w:val="24"/>
          <w:szCs w:val="24"/>
          <w:highlight w:val="none"/>
        </w:rPr>
        <w:t>施工类合同结算编审指引及集团公司有关规定编制及办理建设项目工程结算。</w:t>
      </w:r>
    </w:p>
    <w:p w14:paraId="356648A8">
      <w:pPr>
        <w:tabs>
          <w:tab w:val="left" w:pos="142"/>
          <w:tab w:val="left" w:pos="284"/>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最终审定，审定的竣工结算合同总价视同是经承包人认可的工程竣工结算合同总价。</w:t>
      </w:r>
    </w:p>
    <w:p w14:paraId="44DA8F60">
      <w:pPr>
        <w:tabs>
          <w:tab w:val="left" w:pos="142"/>
          <w:tab w:val="left" w:pos="284"/>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w:t>
      </w:r>
      <w:r>
        <w:rPr>
          <w:rFonts w:ascii="宋体" w:hAnsi="宋体"/>
          <w:color w:val="auto"/>
          <w:sz w:val="24"/>
          <w:szCs w:val="24"/>
          <w:highlight w:val="none"/>
        </w:rPr>
        <w:t>2</w:t>
      </w:r>
      <w:r>
        <w:rPr>
          <w:rFonts w:hint="eastAsia" w:ascii="宋体" w:hAnsi="宋体"/>
          <w:color w:val="auto"/>
          <w:sz w:val="24"/>
          <w:szCs w:val="24"/>
          <w:highlight w:val="none"/>
        </w:rPr>
        <w:t xml:space="preserve"> 承包人提交的结算报告虽有错误或不完整，但其中有部分手续齐全并可以单独结算的，发包人可就该部分先行审核。承包人应对自己所申报的结算金额负责，高估冒算率不得超过10%，申报结算金额超出实际结算金额10%的部分按超出部分的10%支付违约金。（公式：高估冒算违约金金额=[（申报金额-实际结算金额）÷实际结算金额]×10%）</w:t>
      </w:r>
    </w:p>
    <w:p w14:paraId="0FBB4213">
      <w:pPr>
        <w:tabs>
          <w:tab w:val="left" w:pos="142"/>
          <w:tab w:val="left" w:pos="284"/>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w:t>
      </w:r>
      <w:r>
        <w:rPr>
          <w:rFonts w:ascii="宋体" w:hAnsi="宋体"/>
          <w:color w:val="auto"/>
          <w:sz w:val="24"/>
          <w:szCs w:val="24"/>
          <w:highlight w:val="none"/>
        </w:rPr>
        <w:t>3</w:t>
      </w:r>
      <w:r>
        <w:rPr>
          <w:rFonts w:hint="eastAsia" w:ascii="宋体" w:hAnsi="宋体"/>
          <w:color w:val="auto"/>
          <w:sz w:val="24"/>
          <w:szCs w:val="24"/>
          <w:highlight w:val="none"/>
        </w:rPr>
        <w:t xml:space="preserve"> 由于承包人未按发包人要求及时报审结算资料或报送资料不齐全、不完整引起的结算滞后或影响支付，应由承包人负责，承包人所主张的材料款、人工工资等申请将不被接受，应由承包人承担责任。</w:t>
      </w:r>
    </w:p>
    <w:p w14:paraId="1DE29178">
      <w:pPr>
        <w:tabs>
          <w:tab w:val="left" w:pos="142"/>
          <w:tab w:val="left" w:pos="284"/>
        </w:tabs>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lang w:eastAsia="zh-CN"/>
        </w:rPr>
        <w:t>37.</w:t>
      </w:r>
      <w:r>
        <w:rPr>
          <w:rFonts w:hint="eastAsia" w:ascii="宋体" w:hAnsi="宋体"/>
          <w:b/>
          <w:bCs/>
          <w:color w:val="auto"/>
          <w:sz w:val="24"/>
          <w:szCs w:val="24"/>
          <w:highlight w:val="none"/>
        </w:rPr>
        <w:t>缺陷责任及质量保修：</w:t>
      </w:r>
      <w:r>
        <w:rPr>
          <w:rFonts w:hint="eastAsia" w:ascii="宋体" w:hAnsi="宋体"/>
          <w:color w:val="auto"/>
          <w:sz w:val="24"/>
          <w:szCs w:val="24"/>
          <w:highlight w:val="none"/>
        </w:rPr>
        <w:t>按附件工程质量保修书执行</w:t>
      </w:r>
    </w:p>
    <w:p w14:paraId="17F375C6">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十、违约、索赔和争议</w:t>
      </w:r>
    </w:p>
    <w:p w14:paraId="71F9E3D9">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38.</w:t>
      </w:r>
      <w:r>
        <w:rPr>
          <w:rFonts w:hint="eastAsia" w:ascii="宋体" w:hAnsi="宋体" w:cs="仿宋_GB2312"/>
          <w:b/>
          <w:color w:val="auto"/>
          <w:sz w:val="24"/>
          <w:highlight w:val="none"/>
        </w:rPr>
        <w:t>违约</w:t>
      </w:r>
    </w:p>
    <w:p w14:paraId="1AA7018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8</w:t>
      </w:r>
      <w:r>
        <w:rPr>
          <w:rFonts w:ascii="宋体" w:hAnsi="宋体" w:cs="仿宋_GB2312"/>
          <w:color w:val="auto"/>
          <w:sz w:val="24"/>
          <w:highlight w:val="none"/>
        </w:rPr>
        <w:t>.1</w:t>
      </w:r>
      <w:r>
        <w:rPr>
          <w:rFonts w:hint="eastAsia" w:ascii="宋体" w:hAnsi="宋体" w:cs="仿宋_GB2312"/>
          <w:color w:val="auto"/>
          <w:sz w:val="24"/>
          <w:highlight w:val="none"/>
        </w:rPr>
        <w:t xml:space="preserve"> 本合同中关于发包人违约的具体责任如下：</w:t>
      </w:r>
    </w:p>
    <w:p w14:paraId="13F18D81">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本合同通用条款第</w:t>
      </w:r>
      <w:r>
        <w:rPr>
          <w:rFonts w:ascii="宋体" w:hAnsi="宋体" w:cs="仿宋_GB2312"/>
          <w:color w:val="auto"/>
          <w:sz w:val="24"/>
          <w:highlight w:val="none"/>
        </w:rPr>
        <w:t>3</w:t>
      </w:r>
      <w:r>
        <w:rPr>
          <w:rFonts w:hint="eastAsia" w:ascii="宋体" w:hAnsi="宋体" w:cs="仿宋_GB2312"/>
          <w:color w:val="auto"/>
          <w:sz w:val="24"/>
          <w:highlight w:val="none"/>
        </w:rPr>
        <w:t>8</w:t>
      </w:r>
      <w:r>
        <w:rPr>
          <w:rFonts w:ascii="宋体" w:hAnsi="宋体" w:cs="仿宋_GB2312"/>
          <w:color w:val="auto"/>
          <w:sz w:val="24"/>
          <w:highlight w:val="none"/>
        </w:rPr>
        <w:t>.1</w:t>
      </w:r>
      <w:r>
        <w:rPr>
          <w:rFonts w:hint="eastAsia" w:ascii="宋体" w:hAnsi="宋体" w:cs="仿宋_GB2312"/>
          <w:color w:val="auto"/>
          <w:sz w:val="24"/>
          <w:highlight w:val="none"/>
        </w:rPr>
        <w:t>条约定发包人违约应承担的责任：</w:t>
      </w:r>
      <w:r>
        <w:rPr>
          <w:rFonts w:hint="eastAsia" w:ascii="宋体" w:hAnsi="宋体" w:cs="仿宋_GB2312"/>
          <w:color w:val="auto"/>
          <w:sz w:val="24"/>
          <w:highlight w:val="none"/>
          <w:u w:val="single"/>
        </w:rPr>
        <w:t>顺延工期，但不作费用赔偿或承担其他责任</w:t>
      </w:r>
      <w:r>
        <w:rPr>
          <w:rFonts w:hint="eastAsia" w:ascii="宋体" w:hAnsi="宋体" w:cs="仿宋_GB2312"/>
          <w:color w:val="auto"/>
          <w:sz w:val="24"/>
          <w:highlight w:val="none"/>
        </w:rPr>
        <w:t>。</w:t>
      </w:r>
    </w:p>
    <w:p w14:paraId="34CE46F6">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双方约定的发包人其他违约责任：</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68850E93">
      <w:pPr>
        <w:tabs>
          <w:tab w:val="left" w:pos="142"/>
          <w:tab w:val="left" w:pos="284"/>
        </w:tabs>
        <w:snapToGrid w:val="0"/>
        <w:spacing w:line="360" w:lineRule="auto"/>
        <w:ind w:firstLine="480" w:firstLineChars="200"/>
        <w:rPr>
          <w:rFonts w:ascii="宋体" w:hAnsi="宋体" w:cs="仿宋_GB2312"/>
          <w:color w:val="auto"/>
          <w:sz w:val="24"/>
          <w:highlight w:val="none"/>
          <w:u w:val="none"/>
        </w:rPr>
      </w:pPr>
      <w:r>
        <w:rPr>
          <w:rFonts w:hint="eastAsia" w:ascii="宋体" w:hAnsi="宋体" w:cs="仿宋_GB2312"/>
          <w:color w:val="auto"/>
          <w:sz w:val="24"/>
          <w:highlight w:val="none"/>
          <w:u w:val="none"/>
        </w:rPr>
        <w:t>38.2 本合同中关于承包人违约的具体责任如下：</w:t>
      </w:r>
    </w:p>
    <w:p w14:paraId="538D1AF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（1）本合同通用条款第14.2款约定承包人违约应承担的违约责任：该项违约，按本条款第（6）条的工期延误方面的违约责任规定执行。</w:t>
      </w:r>
    </w:p>
    <w:p w14:paraId="6750F98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2）</w:t>
      </w:r>
      <w:r>
        <w:rPr>
          <w:rFonts w:hint="eastAsia" w:ascii="宋体" w:hAnsi="宋体" w:cs="仿宋_GB2312"/>
          <w:color w:val="auto"/>
          <w:sz w:val="24"/>
          <w:highlight w:val="none"/>
        </w:rPr>
        <w:t>本合同约定</w:t>
      </w:r>
      <w:r>
        <w:rPr>
          <w:rFonts w:hint="eastAsia" w:ascii="宋体" w:hAnsi="宋体" w:cs="仿宋_GB2312"/>
          <w:color w:val="auto"/>
          <w:sz w:val="24"/>
          <w:highlight w:val="none"/>
          <w:u w:val="single"/>
        </w:rPr>
        <w:t>承包人</w:t>
      </w:r>
      <w:r>
        <w:rPr>
          <w:rFonts w:hint="eastAsia" w:ascii="宋体" w:hAnsi="宋体" w:cs="仿宋_GB2312"/>
          <w:color w:val="auto"/>
          <w:sz w:val="24"/>
          <w:highlight w:val="none"/>
          <w:u w:val="single"/>
          <w:lang w:val="en-US" w:eastAsia="zh-CN"/>
        </w:rPr>
        <w:t>各分区阶段</w:t>
      </w:r>
      <w:r>
        <w:rPr>
          <w:rFonts w:hint="eastAsia" w:ascii="宋体" w:hAnsi="宋体" w:cs="仿宋_GB2312"/>
          <w:color w:val="auto"/>
          <w:sz w:val="24"/>
          <w:highlight w:val="none"/>
          <w:u w:val="single"/>
        </w:rPr>
        <w:t>未能在发包人要求期限内完成发包人委托办理的工作，则发包人有权要求承包人承担违约责任。</w:t>
      </w:r>
      <w:r>
        <w:rPr>
          <w:rFonts w:hint="eastAsia" w:ascii="宋体" w:hAnsi="宋体" w:cs="仿宋_GB2312"/>
          <w:bCs/>
          <w:color w:val="auto"/>
          <w:sz w:val="24"/>
          <w:highlight w:val="none"/>
          <w:u w:val="single"/>
        </w:rPr>
        <w:t>除因发包人原因或因特殊情况且经发包人书面认可外，承包人未能按前述约定完成前述委托办理之工作的，则承包人应向发包人支付相当于暂定合同总价款</w:t>
      </w:r>
      <w:r>
        <w:rPr>
          <w:rFonts w:ascii="宋体" w:hAnsi="宋体" w:cs="仿宋_GB2312"/>
          <w:bCs/>
          <w:color w:val="auto"/>
          <w:sz w:val="24"/>
          <w:highlight w:val="none"/>
          <w:u w:val="single"/>
        </w:rPr>
        <w:t>1‰的违约金；因承包人原因造成前述工作完成时间迟延，且造成本工程之工期延误的，承包人需按本合同约定承担相应的工期</w:t>
      </w:r>
      <w:r>
        <w:rPr>
          <w:rFonts w:hint="eastAsia" w:ascii="宋体" w:hAnsi="宋体" w:cs="仿宋_GB2312"/>
          <w:bCs/>
          <w:color w:val="auto"/>
          <w:sz w:val="24"/>
          <w:highlight w:val="none"/>
          <w:u w:val="single"/>
        </w:rPr>
        <w:t>延误</w:t>
      </w:r>
      <w:r>
        <w:rPr>
          <w:rFonts w:ascii="宋体" w:hAnsi="宋体" w:cs="仿宋_GB2312"/>
          <w:bCs/>
          <w:color w:val="auto"/>
          <w:sz w:val="24"/>
          <w:highlight w:val="none"/>
          <w:u w:val="single"/>
        </w:rPr>
        <w:t>责任。</w:t>
      </w:r>
    </w:p>
    <w:p w14:paraId="2880C067">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（3）本合同约定承包人违约应承担的责任按以下工期延误方面的违约责任执行。</w:t>
      </w:r>
    </w:p>
    <w:p w14:paraId="6E61F087">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u w:val="single"/>
        </w:rPr>
        <w:t>因发生本合同专用条款第1</w:t>
      </w:r>
      <w:r>
        <w:rPr>
          <w:rFonts w:hint="eastAsia" w:ascii="宋体" w:hAnsi="宋体" w:cs="仿宋_GB2312"/>
          <w:color w:val="auto"/>
          <w:sz w:val="24"/>
          <w:highlight w:val="none"/>
          <w:u w:val="single"/>
          <w:lang w:val="en-US" w:eastAsia="zh-CN"/>
        </w:rPr>
        <w:t>2</w:t>
      </w:r>
      <w:r>
        <w:rPr>
          <w:rFonts w:hint="eastAsia" w:ascii="宋体" w:hAnsi="宋体" w:cs="仿宋_GB2312"/>
          <w:color w:val="auto"/>
          <w:sz w:val="24"/>
          <w:highlight w:val="none"/>
          <w:u w:val="single"/>
        </w:rPr>
        <w:t>.1条原因而暂停施工的，工期不予顺延</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承包人必须承担由此发生的费用，并每停工一天，并按每日2000元的标准向发包人承担违约责任直至复工，</w:t>
      </w:r>
      <w:r>
        <w:rPr>
          <w:rFonts w:hint="eastAsia" w:ascii="宋体" w:hAnsi="宋体" w:cs="仿宋_GB2312"/>
          <w:color w:val="auto"/>
          <w:sz w:val="24"/>
          <w:highlight w:val="none"/>
        </w:rPr>
        <w:t>但违约金的金额最高不超本合同暂定价的5% 。为了保证工程质量安全，出现本专用条款第1</w:t>
      </w: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.2条情况的，造成工期延误的，按以下工期延误方面的违约责任执行</w:t>
      </w:r>
      <w:r>
        <w:rPr>
          <w:rFonts w:hint="eastAsia" w:ascii="宋体" w:hAnsi="宋体" w:cs="仿宋_GB2312"/>
          <w:color w:val="auto"/>
          <w:sz w:val="24"/>
          <w:highlight w:val="none"/>
          <w:u w:val="single"/>
        </w:rPr>
        <w:t>。</w:t>
      </w:r>
    </w:p>
    <w:p w14:paraId="3E556554">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bCs/>
          <w:color w:val="auto"/>
          <w:sz w:val="24"/>
          <w:highlight w:val="none"/>
        </w:rPr>
        <w:t>（5）如果由于承包人原因使工程未达到约定的质量标准并对总承包单位的工程质量及工程进度产生影响，承包人需按本合同暂定总价5%的违约金，并赔偿由此给总承包单位所带来的一切损失。</w:t>
      </w:r>
    </w:p>
    <w:p w14:paraId="6D1D0BC6">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w:t>
      </w:r>
      <w:r>
        <w:rPr>
          <w:rFonts w:ascii="宋体" w:hAnsi="宋体" w:cs="仿宋_GB2312"/>
          <w:color w:val="auto"/>
          <w:sz w:val="24"/>
          <w:highlight w:val="none"/>
        </w:rPr>
        <w:t>）</w:t>
      </w:r>
      <w:r>
        <w:rPr>
          <w:rFonts w:hint="eastAsia" w:ascii="宋体" w:hAnsi="宋体" w:cs="仿宋_GB2312"/>
          <w:color w:val="auto"/>
          <w:sz w:val="24"/>
          <w:highlight w:val="none"/>
        </w:rPr>
        <w:t>双方约定的承包人其他违约责任：</w:t>
      </w:r>
    </w:p>
    <w:p w14:paraId="0E5996F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①工期延误方面的违约责任</w:t>
      </w:r>
    </w:p>
    <w:p w14:paraId="1E01CBD1">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ascii="宋体" w:hAnsi="宋体" w:cs="仿宋_GB2312"/>
          <w:color w:val="auto"/>
          <w:sz w:val="24"/>
          <w:highlight w:val="none"/>
        </w:rPr>
        <w:t>1）承包人必须按期完成</w:t>
      </w:r>
      <w:r>
        <w:rPr>
          <w:rFonts w:hint="eastAsia" w:ascii="宋体" w:hAnsi="宋体" w:cs="仿宋_GB2312"/>
          <w:color w:val="auto"/>
          <w:sz w:val="24"/>
          <w:highlight w:val="none"/>
          <w:lang w:val="en-US" w:eastAsia="zh-CN"/>
        </w:rPr>
        <w:t>各分区</w:t>
      </w:r>
      <w:r>
        <w:rPr>
          <w:rFonts w:ascii="宋体" w:hAnsi="宋体" w:cs="仿宋_GB2312"/>
          <w:color w:val="auto"/>
          <w:sz w:val="24"/>
          <w:highlight w:val="none"/>
        </w:rPr>
        <w:t>主要工序的施工任务，若属承包人原因逾期达10个日历天未完成</w:t>
      </w:r>
      <w:r>
        <w:rPr>
          <w:rFonts w:hint="eastAsia" w:ascii="宋体" w:hAnsi="宋体" w:cs="仿宋_GB2312"/>
          <w:color w:val="auto"/>
          <w:sz w:val="24"/>
          <w:highlight w:val="none"/>
        </w:rPr>
        <w:t>主要节点的施工任务时，发包人可要求撤换</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，承包人应予以执行，并在总工期不调整的前提下自行消化节点工期的延误；逾期</w:t>
      </w:r>
      <w:r>
        <w:rPr>
          <w:rFonts w:ascii="宋体" w:hAnsi="宋体" w:cs="仿宋_GB2312"/>
          <w:color w:val="auto"/>
          <w:sz w:val="24"/>
          <w:highlight w:val="none"/>
        </w:rPr>
        <w:t>20个日历天未完成主要节点的施工任务时，发包人可</w:t>
      </w:r>
      <w:r>
        <w:rPr>
          <w:rFonts w:hint="eastAsia" w:ascii="宋体" w:hAnsi="宋体" w:cs="仿宋_GB2312"/>
          <w:color w:val="auto"/>
          <w:sz w:val="24"/>
          <w:highlight w:val="none"/>
        </w:rPr>
        <w:t>单方面解除合同，并由承包人承担相应的违约责任，从延误的第一天起，每天支付违约金5,000元。违约金在工程进度款内扣除，承包人不得有异议。</w:t>
      </w:r>
    </w:p>
    <w:p w14:paraId="45F4BFF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2）如果检查发现承包人没有按施工组织设计的进度安排推进工程建设，使主要工序主要节点的工期延误超过10个日历天，没有按发包人的意见撤换现场负责人</w:t>
      </w:r>
      <w:r>
        <w:rPr>
          <w:rFonts w:hint="eastAsia" w:ascii="宋体" w:hAnsi="宋体" w:cs="仿宋_GB2312"/>
          <w:color w:val="auto"/>
          <w:sz w:val="24"/>
          <w:highlight w:val="none"/>
        </w:rPr>
        <w:t>，</w:t>
      </w:r>
      <w:r>
        <w:rPr>
          <w:rFonts w:ascii="宋体" w:hAnsi="宋体" w:cs="仿宋_GB2312"/>
          <w:color w:val="auto"/>
          <w:sz w:val="24"/>
          <w:highlight w:val="none"/>
        </w:rPr>
        <w:t>或者按发包人的意见撤换现场负责人后，仍然无法有效控制工程进度，发包人将发出书面警告，警告发出后15个日历天内，主要节点的工期延误仍然超过10个日历天，发包人将在警告发出后第16个日历天起将承包人的</w:t>
      </w:r>
      <w:r>
        <w:rPr>
          <w:rFonts w:hint="eastAsia" w:ascii="宋体" w:hAnsi="宋体" w:cs="仿宋_GB2312"/>
          <w:color w:val="auto"/>
          <w:sz w:val="24"/>
          <w:highlight w:val="none"/>
          <w:lang w:eastAsia="zh-CN"/>
        </w:rPr>
        <w:t>不良记录</w:t>
      </w:r>
      <w:r>
        <w:rPr>
          <w:rFonts w:ascii="宋体" w:hAnsi="宋体" w:cs="仿宋_GB2312"/>
          <w:color w:val="auto"/>
          <w:sz w:val="24"/>
          <w:highlight w:val="none"/>
        </w:rPr>
        <w:t>报</w:t>
      </w:r>
      <w:r>
        <w:rPr>
          <w:rFonts w:hint="eastAsia" w:ascii="宋体" w:hAnsi="宋体" w:cs="仿宋_GB2312"/>
          <w:color w:val="auto"/>
          <w:sz w:val="24"/>
          <w:highlight w:val="none"/>
        </w:rPr>
        <w:t>上级主管部门</w:t>
      </w:r>
      <w:r>
        <w:rPr>
          <w:rFonts w:ascii="宋体" w:hAnsi="宋体" w:cs="仿宋_GB2312"/>
          <w:color w:val="auto"/>
          <w:sz w:val="24"/>
          <w:highlight w:val="none"/>
        </w:rPr>
        <w:t>备案</w:t>
      </w:r>
      <w:r>
        <w:rPr>
          <w:rFonts w:hint="eastAsia" w:ascii="宋体" w:hAnsi="宋体" w:cs="仿宋_GB2312"/>
          <w:bCs/>
          <w:color w:val="auto"/>
          <w:sz w:val="24"/>
          <w:highlight w:val="none"/>
          <w:u w:val="single"/>
        </w:rPr>
        <w:t>；因承包人原因造成工程延误，其中属于工期延误，从延误的第一天起，每天支付违约金</w:t>
      </w:r>
      <w:r>
        <w:rPr>
          <w:rFonts w:ascii="宋体" w:hAnsi="宋体" w:cs="仿宋_GB2312"/>
          <w:bCs/>
          <w:color w:val="auto"/>
          <w:sz w:val="24"/>
          <w:highlight w:val="none"/>
          <w:u w:val="single"/>
        </w:rPr>
        <w:t>5</w:t>
      </w:r>
      <w:r>
        <w:rPr>
          <w:rFonts w:hint="eastAsia" w:ascii="宋体" w:hAnsi="宋体" w:cs="仿宋_GB2312"/>
          <w:bCs/>
          <w:color w:val="auto"/>
          <w:sz w:val="24"/>
          <w:highlight w:val="none"/>
          <w:u w:val="single"/>
        </w:rPr>
        <w:t>,</w:t>
      </w:r>
      <w:r>
        <w:rPr>
          <w:rFonts w:ascii="宋体" w:hAnsi="宋体" w:cs="仿宋_GB2312"/>
          <w:bCs/>
          <w:color w:val="auto"/>
          <w:sz w:val="24"/>
          <w:highlight w:val="none"/>
          <w:u w:val="single"/>
        </w:rPr>
        <w:t>000元，如在下一节点赶回工期，可免</w:t>
      </w:r>
      <w:r>
        <w:rPr>
          <w:rFonts w:hint="eastAsia" w:ascii="宋体" w:hAnsi="宋体" w:cs="仿宋_GB2312"/>
          <w:bCs/>
          <w:color w:val="auto"/>
          <w:sz w:val="24"/>
          <w:highlight w:val="none"/>
          <w:u w:val="single"/>
        </w:rPr>
        <w:t>除上述违约金。</w:t>
      </w:r>
      <w:r>
        <w:rPr>
          <w:rFonts w:hint="eastAsia" w:ascii="宋体" w:hAnsi="宋体" w:cs="仿宋_GB2312"/>
          <w:bCs/>
          <w:color w:val="auto"/>
          <w:sz w:val="24"/>
          <w:highlight w:val="none"/>
        </w:rPr>
        <w:t>违约金</w:t>
      </w:r>
      <w:r>
        <w:rPr>
          <w:rFonts w:hint="eastAsia" w:ascii="宋体" w:hAnsi="宋体" w:cs="仿宋_GB2312"/>
          <w:color w:val="auto"/>
          <w:sz w:val="24"/>
          <w:highlight w:val="none"/>
        </w:rPr>
        <w:t>在工程进度款内扣除，承包人不得有异议。</w:t>
      </w:r>
    </w:p>
    <w:p w14:paraId="5975DCB8">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）工程实际进度与经总监理工程师确认的进度计划或者更新进度计划不符时，如承包人未能在总监理工程师发布指令后</w:t>
      </w:r>
      <w:r>
        <w:rPr>
          <w:rFonts w:hint="eastAsia" w:ascii="宋体" w:hAnsi="宋体" w:cs="仿宋_GB2312"/>
          <w:color w:val="auto"/>
          <w:sz w:val="24"/>
          <w:highlight w:val="none"/>
        </w:rPr>
        <w:t>10</w:t>
      </w:r>
      <w:r>
        <w:rPr>
          <w:rFonts w:ascii="宋体" w:hAnsi="宋体" w:cs="仿宋_GB2312"/>
          <w:color w:val="auto"/>
          <w:sz w:val="24"/>
          <w:highlight w:val="none"/>
        </w:rPr>
        <w:t>个日历</w:t>
      </w:r>
      <w:r>
        <w:rPr>
          <w:rFonts w:hint="eastAsia" w:ascii="宋体" w:hAnsi="宋体" w:cs="仿宋_GB2312"/>
          <w:bCs/>
          <w:color w:val="auto"/>
          <w:sz w:val="24"/>
          <w:highlight w:val="none"/>
        </w:rPr>
        <w:t>天</w:t>
      </w:r>
      <w:r>
        <w:rPr>
          <w:rFonts w:hint="eastAsia" w:ascii="宋体" w:hAnsi="宋体" w:cs="仿宋_GB2312"/>
          <w:color w:val="auto"/>
          <w:sz w:val="24"/>
          <w:highlight w:val="none"/>
        </w:rPr>
        <w:t>内采取有效措施，工程进度仍然延误，发包人有权部分或全部解除合同，将未完工程另行发包给其他有能力的承包商，承包人必须无条件服从，由此所造成的损失全部由承包人承担，并按本合同暂定总价款的30%承担违约责任。</w:t>
      </w:r>
    </w:p>
    <w:p w14:paraId="19A16533">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u w:val="single"/>
        </w:rPr>
        <w:t>因承包人原因造成竣工时间延误，逾期竣工违约金的计算方法为：按合同工期计算，承包人若因自身原因推迟竣工，</w:t>
      </w:r>
      <w:r>
        <w:rPr>
          <w:rFonts w:hint="eastAsia" w:ascii="宋体" w:hAnsi="宋体" w:cs="仿宋_GB2312"/>
          <w:color w:val="auto"/>
          <w:sz w:val="24"/>
          <w:highlight w:val="none"/>
        </w:rPr>
        <w:t>每</w:t>
      </w:r>
      <w:r>
        <w:rPr>
          <w:rFonts w:ascii="宋体" w:hAnsi="宋体" w:cs="仿宋_GB2312"/>
          <w:color w:val="auto"/>
          <w:sz w:val="24"/>
          <w:highlight w:val="none"/>
        </w:rPr>
        <w:t>逾期一天，</w:t>
      </w:r>
      <w:r>
        <w:rPr>
          <w:rFonts w:hint="eastAsia" w:ascii="宋体" w:hAnsi="宋体" w:cs="仿宋_GB2312"/>
          <w:color w:val="auto"/>
          <w:sz w:val="24"/>
          <w:highlight w:val="none"/>
        </w:rPr>
        <w:t>应按每日5000元的标准向发包人支付违约金。如</w:t>
      </w:r>
      <w:r>
        <w:rPr>
          <w:rFonts w:hint="eastAsia" w:ascii="宋体" w:hAnsi="宋体" w:cs="仿宋_GB2312"/>
          <w:color w:val="auto"/>
          <w:sz w:val="24"/>
          <w:highlight w:val="none"/>
          <w:u w:val="single"/>
        </w:rPr>
        <w:t>竣工工期逾期60日历天以上，视作承包人无能力履行合同，发包人除可根据前述约定追究承包人违约金外，发包人有权解除与承包人的合同，解除合同通知送达承包人之日即合同解除。</w:t>
      </w:r>
    </w:p>
    <w:p w14:paraId="5FB40DA6">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u w:val="single"/>
        </w:rPr>
        <w:t>如因承包人原因导致发包人解除合同的，承包人必须无条件在合同解除后9个日历天内退场。如逾期不退场或退场不清，则承包人滞留在工地上的材料、设备等均视</w:t>
      </w:r>
      <w:r>
        <w:rPr>
          <w:rFonts w:hint="eastAsia" w:ascii="宋体" w:hAnsi="宋体" w:cs="仿宋_GB2312"/>
          <w:color w:val="auto"/>
          <w:sz w:val="24"/>
          <w:highlight w:val="none"/>
          <w:u w:val="single"/>
          <w:lang w:eastAsia="zh-CN"/>
        </w:rPr>
        <w:t>作</w:t>
      </w:r>
      <w:r>
        <w:rPr>
          <w:rFonts w:hint="eastAsia" w:ascii="宋体" w:hAnsi="宋体" w:cs="仿宋_GB2312"/>
          <w:color w:val="auto"/>
          <w:sz w:val="24"/>
          <w:highlight w:val="none"/>
          <w:u w:val="single"/>
        </w:rPr>
        <w:t>无主财产处理，承包人应自行承担由此引起的一切法律责任和后果。承包人在合同解除后10个日历天内移交资料，如不在规定的时间内移交，每逾期一天，则需向发包人支付2000元违约金。如果移交的工程资料影响工程竣工，承包人在验收前须无条件补齐。承包人对完工工程有义务在解除合同后10个日历天内向发包人提交完工验收报告及完整的备案资料；发包人验收确认后，承包人可随即提交完工结算报告和完整的真实资料，及时结算。完工工程计量需按招标文件规定、合同约定，经监理单位评定为合格的工程，承包人方可要求与发包人办理结算。并按合同约定进行结算，按原合同约定付款。完工工程验收、结算，均按国家有关的建筑法律法规规定及原合同约定的程序进行。承包人承担所有违约责任后，如仍不能弥补发包人实际损失的，超过部分仍由承包人承担。</w:t>
      </w:r>
    </w:p>
    <w:p w14:paraId="197C7505">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）深化设计的工期</w:t>
      </w:r>
      <w:r>
        <w:rPr>
          <w:rFonts w:hint="eastAsia" w:ascii="宋体" w:hAnsi="宋体" w:cs="仿宋_GB2312"/>
          <w:color w:val="auto"/>
          <w:sz w:val="24"/>
          <w:highlight w:val="none"/>
        </w:rPr>
        <w:t>延误（如有）</w:t>
      </w:r>
      <w:r>
        <w:rPr>
          <w:rFonts w:ascii="宋体" w:hAnsi="宋体" w:cs="仿宋_GB2312"/>
          <w:color w:val="auto"/>
          <w:sz w:val="24"/>
          <w:highlight w:val="none"/>
        </w:rPr>
        <w:t>：</w:t>
      </w:r>
    </w:p>
    <w:p w14:paraId="56A200E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承包</w:t>
      </w:r>
      <w:r>
        <w:rPr>
          <w:rFonts w:ascii="宋体" w:hAnsi="宋体" w:cs="仿宋_GB2312"/>
          <w:color w:val="auto"/>
          <w:sz w:val="24"/>
          <w:highlight w:val="none"/>
        </w:rPr>
        <w:t>人应在</w:t>
      </w:r>
      <w:r>
        <w:rPr>
          <w:rFonts w:hint="eastAsia" w:ascii="宋体" w:hAnsi="宋体" w:cs="仿宋_GB2312"/>
          <w:color w:val="auto"/>
          <w:sz w:val="24"/>
          <w:highlight w:val="none"/>
        </w:rPr>
        <w:t>收到</w:t>
      </w:r>
      <w:r>
        <w:rPr>
          <w:rFonts w:ascii="宋体" w:hAnsi="宋体" w:cs="仿宋_GB2312"/>
          <w:color w:val="auto"/>
          <w:sz w:val="24"/>
          <w:highlight w:val="none"/>
        </w:rPr>
        <w:t>中标通知书之日起5</w:t>
      </w:r>
      <w:r>
        <w:rPr>
          <w:rFonts w:hint="eastAsia" w:ascii="宋体" w:hAnsi="宋体" w:cs="仿宋_GB2312"/>
          <w:color w:val="auto"/>
          <w:sz w:val="24"/>
          <w:highlight w:val="none"/>
        </w:rPr>
        <w:t>日</w:t>
      </w:r>
      <w:r>
        <w:rPr>
          <w:rFonts w:ascii="宋体" w:hAnsi="宋体" w:cs="仿宋_GB2312"/>
          <w:color w:val="auto"/>
          <w:sz w:val="24"/>
          <w:highlight w:val="none"/>
        </w:rPr>
        <w:t>内</w:t>
      </w:r>
      <w:r>
        <w:rPr>
          <w:rFonts w:hint="eastAsia" w:ascii="宋体" w:hAnsi="宋体" w:cs="仿宋_GB2312"/>
          <w:color w:val="auto"/>
          <w:sz w:val="24"/>
          <w:highlight w:val="none"/>
        </w:rPr>
        <w:t>向</w:t>
      </w:r>
      <w:r>
        <w:rPr>
          <w:rFonts w:ascii="宋体" w:hAnsi="宋体" w:cs="仿宋_GB2312"/>
          <w:color w:val="auto"/>
          <w:sz w:val="24"/>
          <w:highlight w:val="none"/>
        </w:rPr>
        <w:t>发包人提交深化设计图纸，由发包人确认。逾期提交的，</w:t>
      </w:r>
      <w:r>
        <w:rPr>
          <w:rFonts w:hint="eastAsia" w:ascii="宋体" w:hAnsi="宋体" w:cs="仿宋_GB2312"/>
          <w:color w:val="auto"/>
          <w:sz w:val="24"/>
          <w:highlight w:val="none"/>
        </w:rPr>
        <w:t>承包人应在</w:t>
      </w:r>
      <w:r>
        <w:rPr>
          <w:rFonts w:ascii="宋体" w:hAnsi="宋体" w:cs="仿宋_GB2312"/>
          <w:color w:val="auto"/>
          <w:sz w:val="24"/>
          <w:highlight w:val="none"/>
        </w:rPr>
        <w:t>发包人</w:t>
      </w:r>
      <w:r>
        <w:rPr>
          <w:rFonts w:hint="eastAsia" w:ascii="宋体" w:hAnsi="宋体" w:cs="仿宋_GB2312"/>
          <w:color w:val="auto"/>
          <w:sz w:val="24"/>
          <w:highlight w:val="none"/>
        </w:rPr>
        <w:t>限定的合理期限内提交，同时，每</w:t>
      </w:r>
      <w:r>
        <w:rPr>
          <w:rFonts w:ascii="宋体" w:hAnsi="宋体" w:cs="仿宋_GB2312"/>
          <w:color w:val="auto"/>
          <w:sz w:val="24"/>
          <w:highlight w:val="none"/>
        </w:rPr>
        <w:t>逾期一</w:t>
      </w:r>
      <w:r>
        <w:rPr>
          <w:rFonts w:hint="eastAsia" w:ascii="宋体" w:hAnsi="宋体" w:cs="仿宋_GB2312"/>
          <w:color w:val="auto"/>
          <w:sz w:val="24"/>
          <w:highlight w:val="none"/>
        </w:rPr>
        <w:t>日</w:t>
      </w:r>
      <w:r>
        <w:rPr>
          <w:rFonts w:ascii="宋体" w:hAnsi="宋体" w:cs="仿宋_GB2312"/>
          <w:color w:val="auto"/>
          <w:sz w:val="24"/>
          <w:highlight w:val="none"/>
        </w:rPr>
        <w:t>，</w:t>
      </w:r>
      <w:r>
        <w:rPr>
          <w:rFonts w:hint="eastAsia" w:ascii="宋体" w:hAnsi="宋体" w:cs="仿宋_GB2312"/>
          <w:color w:val="auto"/>
          <w:sz w:val="24"/>
          <w:highlight w:val="none"/>
        </w:rPr>
        <w:t>每日</w:t>
      </w:r>
      <w:r>
        <w:rPr>
          <w:rFonts w:ascii="宋体" w:hAnsi="宋体" w:cs="仿宋_GB2312"/>
          <w:color w:val="auto"/>
          <w:sz w:val="24"/>
          <w:highlight w:val="none"/>
        </w:rPr>
        <w:t>应</w:t>
      </w:r>
      <w:r>
        <w:rPr>
          <w:rFonts w:hint="eastAsia" w:ascii="宋体" w:hAnsi="宋体" w:cs="仿宋_GB2312"/>
          <w:color w:val="auto"/>
          <w:sz w:val="24"/>
          <w:highlight w:val="none"/>
        </w:rPr>
        <w:t>支付</w:t>
      </w:r>
      <w:r>
        <w:rPr>
          <w:rFonts w:ascii="宋体" w:hAnsi="宋体" w:cs="仿宋_GB2312"/>
          <w:color w:val="auto"/>
          <w:sz w:val="24"/>
          <w:highlight w:val="none"/>
        </w:rPr>
        <w:t>违约金</w:t>
      </w:r>
      <w:r>
        <w:rPr>
          <w:rFonts w:hint="eastAsia" w:ascii="宋体" w:hAnsi="宋体" w:cs="仿宋_GB2312"/>
          <w:color w:val="auto"/>
          <w:sz w:val="24"/>
          <w:highlight w:val="none"/>
        </w:rPr>
        <w:t>2000元，直至承包人提交经发包人确认的深化</w:t>
      </w:r>
      <w:r>
        <w:rPr>
          <w:rFonts w:ascii="宋体" w:hAnsi="宋体" w:cs="仿宋_GB2312"/>
          <w:color w:val="auto"/>
          <w:sz w:val="24"/>
          <w:highlight w:val="none"/>
        </w:rPr>
        <w:t>设计</w:t>
      </w:r>
      <w:r>
        <w:rPr>
          <w:rFonts w:hint="eastAsia" w:ascii="宋体" w:hAnsi="宋体" w:cs="仿宋_GB2312"/>
          <w:color w:val="auto"/>
          <w:sz w:val="24"/>
          <w:highlight w:val="none"/>
        </w:rPr>
        <w:t xml:space="preserve">图纸。     </w:t>
      </w:r>
    </w:p>
    <w:p w14:paraId="20089D3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承包人</w:t>
      </w:r>
      <w:r>
        <w:rPr>
          <w:rFonts w:ascii="宋体" w:hAnsi="宋体" w:cs="仿宋_GB2312"/>
          <w:color w:val="auto"/>
          <w:sz w:val="24"/>
          <w:highlight w:val="none"/>
        </w:rPr>
        <w:t>应按投标文件中承诺的</w:t>
      </w:r>
      <w:r>
        <w:rPr>
          <w:rFonts w:hint="eastAsia" w:ascii="宋体" w:hAnsi="宋体" w:cs="仿宋_GB2312"/>
          <w:color w:val="auto"/>
          <w:sz w:val="24"/>
          <w:highlight w:val="none"/>
        </w:rPr>
        <w:t>期限</w:t>
      </w:r>
      <w:r>
        <w:rPr>
          <w:rFonts w:ascii="宋体" w:hAnsi="宋体" w:cs="仿宋_GB2312"/>
          <w:color w:val="auto"/>
          <w:sz w:val="24"/>
          <w:highlight w:val="none"/>
        </w:rPr>
        <w:t>提交</w:t>
      </w:r>
      <w:r>
        <w:rPr>
          <w:rFonts w:hint="eastAsia" w:ascii="宋体" w:hAnsi="宋体" w:cs="仿宋_GB2312"/>
          <w:color w:val="auto"/>
          <w:sz w:val="24"/>
          <w:highlight w:val="none"/>
        </w:rPr>
        <w:t>最终深化</w:t>
      </w:r>
      <w:r>
        <w:rPr>
          <w:rFonts w:ascii="宋体" w:hAnsi="宋体" w:cs="仿宋_GB2312"/>
          <w:color w:val="auto"/>
          <w:sz w:val="24"/>
          <w:highlight w:val="none"/>
        </w:rPr>
        <w:t>设计方案，逾期提交的，</w:t>
      </w:r>
      <w:r>
        <w:rPr>
          <w:rFonts w:hint="eastAsia" w:ascii="宋体" w:hAnsi="宋体" w:cs="仿宋_GB2312"/>
          <w:color w:val="auto"/>
          <w:sz w:val="24"/>
          <w:highlight w:val="none"/>
        </w:rPr>
        <w:t>承包人应在</w:t>
      </w:r>
      <w:r>
        <w:rPr>
          <w:rFonts w:ascii="宋体" w:hAnsi="宋体" w:cs="仿宋_GB2312"/>
          <w:color w:val="auto"/>
          <w:sz w:val="24"/>
          <w:highlight w:val="none"/>
        </w:rPr>
        <w:t>发包人</w:t>
      </w:r>
      <w:r>
        <w:rPr>
          <w:rFonts w:hint="eastAsia" w:ascii="宋体" w:hAnsi="宋体" w:cs="仿宋_GB2312"/>
          <w:color w:val="auto"/>
          <w:sz w:val="24"/>
          <w:highlight w:val="none"/>
        </w:rPr>
        <w:t>限定的合理期限内提交，同时，每</w:t>
      </w:r>
      <w:r>
        <w:rPr>
          <w:rFonts w:ascii="宋体" w:hAnsi="宋体" w:cs="仿宋_GB2312"/>
          <w:color w:val="auto"/>
          <w:sz w:val="24"/>
          <w:highlight w:val="none"/>
        </w:rPr>
        <w:t>逾期一</w:t>
      </w:r>
      <w:r>
        <w:rPr>
          <w:rFonts w:hint="eastAsia" w:ascii="宋体" w:hAnsi="宋体" w:cs="仿宋_GB2312"/>
          <w:color w:val="auto"/>
          <w:sz w:val="24"/>
          <w:highlight w:val="none"/>
        </w:rPr>
        <w:t>日</w:t>
      </w:r>
      <w:r>
        <w:rPr>
          <w:rFonts w:ascii="宋体" w:hAnsi="宋体" w:cs="仿宋_GB2312"/>
          <w:color w:val="auto"/>
          <w:sz w:val="24"/>
          <w:highlight w:val="none"/>
        </w:rPr>
        <w:t>，应</w:t>
      </w:r>
      <w:r>
        <w:rPr>
          <w:rFonts w:hint="eastAsia" w:ascii="宋体" w:hAnsi="宋体" w:cs="仿宋_GB2312"/>
          <w:color w:val="auto"/>
          <w:sz w:val="24"/>
          <w:highlight w:val="none"/>
        </w:rPr>
        <w:t>支付</w:t>
      </w:r>
      <w:r>
        <w:rPr>
          <w:rFonts w:ascii="宋体" w:hAnsi="宋体" w:cs="仿宋_GB2312"/>
          <w:color w:val="auto"/>
          <w:sz w:val="24"/>
          <w:highlight w:val="none"/>
        </w:rPr>
        <w:t>违约金</w:t>
      </w:r>
      <w:r>
        <w:rPr>
          <w:rFonts w:hint="eastAsia" w:ascii="宋体" w:hAnsi="宋体" w:cs="仿宋_GB2312"/>
          <w:color w:val="auto"/>
          <w:sz w:val="24"/>
          <w:highlight w:val="none"/>
        </w:rPr>
        <w:t>2000元直至提交经发包人确认的最终深化</w:t>
      </w:r>
      <w:r>
        <w:rPr>
          <w:rFonts w:ascii="宋体" w:hAnsi="宋体" w:cs="仿宋_GB2312"/>
          <w:color w:val="auto"/>
          <w:sz w:val="24"/>
          <w:highlight w:val="none"/>
        </w:rPr>
        <w:t>设计方案</w:t>
      </w:r>
      <w:r>
        <w:rPr>
          <w:rFonts w:hint="eastAsia" w:ascii="宋体" w:hAnsi="宋体" w:cs="仿宋_GB2312"/>
          <w:color w:val="auto"/>
          <w:sz w:val="24"/>
          <w:highlight w:val="none"/>
        </w:rPr>
        <w:t xml:space="preserve"> 。</w:t>
      </w:r>
    </w:p>
    <w:p w14:paraId="05833865">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lang w:eastAsia="zh-CN"/>
        </w:rPr>
        <w:t>6）</w:t>
      </w:r>
      <w:r>
        <w:rPr>
          <w:rFonts w:hint="eastAsia" w:ascii="宋体" w:hAnsi="宋体" w:cs="仿宋_GB2312"/>
          <w:color w:val="auto"/>
          <w:sz w:val="24"/>
          <w:highlight w:val="none"/>
          <w:u w:val="single"/>
        </w:rPr>
        <w:t>承包人与发包人（含监理单位），或发包人聘请的造价咨询单位因任何事由发生分歧时，不得作为影响施工的借口，暂停施工或拖延工程进度。如承包人以存在分歧拒绝施工，或者实质上拖延工程进度，应承担由此引起的工期延误违约责任。经发包人发出整改指令后一个月内仍未改正的，发包人有权解除合同，承包人除承担工期延误违约责任外，还应赔偿发包人由此带来的一切损失。</w:t>
      </w:r>
    </w:p>
    <w:p w14:paraId="16173B22">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u w:val="single"/>
        </w:rPr>
        <w:t>7）承包人违反合同约定和发包人的规定，逾期完成竣工档案的整理、移交、送审备案工作的，每逾期一天，承包人支付违约金2000元。</w:t>
      </w:r>
    </w:p>
    <w:p w14:paraId="144442EC">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②工程质量方面的违约责任</w:t>
      </w:r>
    </w:p>
    <w:p w14:paraId="19C81AB9">
      <w:pPr>
        <w:numPr>
          <w:ilvl w:val="0"/>
          <w:numId w:val="6"/>
        </w:num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本合同通用条款第15.1款约定承包人违约应承担的违约责任：工程质量不符合合同规定的，应负责无偿修理或返工</w:t>
      </w:r>
      <w:r>
        <w:rPr>
          <w:rFonts w:hint="eastAsia" w:ascii="宋体" w:hAnsi="宋体" w:cs="仿宋_GB2312"/>
          <w:color w:val="auto"/>
          <w:sz w:val="24"/>
          <w:highlight w:val="none"/>
        </w:rPr>
        <w:t>；给发包人造成其他损失的，承包人还需负责赔偿；由于修理或返工造成逾期交付的，承包人需要逾期交付的违约责任，每</w:t>
      </w:r>
      <w:r>
        <w:rPr>
          <w:rFonts w:ascii="宋体" w:hAnsi="宋体" w:cs="仿宋_GB2312"/>
          <w:color w:val="auto"/>
          <w:sz w:val="24"/>
          <w:highlight w:val="none"/>
        </w:rPr>
        <w:t>逾期一天，</w:t>
      </w:r>
      <w:r>
        <w:rPr>
          <w:rFonts w:hint="eastAsia" w:ascii="宋体" w:hAnsi="宋体" w:cs="仿宋_GB2312"/>
          <w:color w:val="auto"/>
          <w:sz w:val="24"/>
          <w:highlight w:val="none"/>
        </w:rPr>
        <w:t>应按每日5000元的标准向发包人支付违约金。</w:t>
      </w:r>
      <w:r>
        <w:rPr>
          <w:rFonts w:hint="eastAsia" w:ascii="宋体" w:hAnsi="宋体" w:cs="仿宋_GB2312"/>
          <w:color w:val="auto"/>
          <w:sz w:val="24"/>
          <w:highlight w:val="none"/>
          <w:u w:val="single"/>
        </w:rPr>
        <w:t>逾期交付60日历天以上，</w:t>
      </w:r>
      <w:r>
        <w:rPr>
          <w:rFonts w:hint="eastAsia" w:ascii="宋体" w:hAnsi="宋体" w:cs="仿宋_GB2312"/>
          <w:color w:val="auto"/>
          <w:sz w:val="24"/>
          <w:highlight w:val="none"/>
        </w:rPr>
        <w:t>发包人有权选择解除部分或全部解除合同，将未完工程另行发包给其他有能力的承包商，承包人必须无条件服从，由此所造成的损失全部由承包人承担，并不免除承包人的违约赔偿责任。</w:t>
      </w:r>
    </w:p>
    <w:p w14:paraId="2CB5ED85">
      <w:pPr>
        <w:numPr>
          <w:ilvl w:val="0"/>
          <w:numId w:val="6"/>
        </w:num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本工程如发生</w:t>
      </w:r>
      <w:r>
        <w:rPr>
          <w:rFonts w:hint="eastAsia" w:ascii="宋体" w:hAnsi="宋体" w:cs="仿宋_GB2312"/>
          <w:color w:val="auto"/>
          <w:sz w:val="24"/>
          <w:highlight w:val="none"/>
          <w:u w:val="none"/>
        </w:rPr>
        <w:t>质量</w:t>
      </w:r>
      <w:r>
        <w:rPr>
          <w:rFonts w:hint="eastAsia" w:ascii="宋体" w:hAnsi="宋体" w:cs="仿宋_GB2312"/>
          <w:color w:val="auto"/>
          <w:sz w:val="24"/>
          <w:highlight w:val="none"/>
        </w:rPr>
        <w:t>安全责任事故，承包人应赔偿发包人的全部经济损失；如造成人员伤亡的，承包人还须按照相应法律法规以及当地政府相关文件规定承担责任。发生重大安全事故的，则发包人还有权单方面解除合同和要求承包人支付暂定合同总价款金额的20</w:t>
      </w:r>
      <w:r>
        <w:rPr>
          <w:rFonts w:ascii="宋体" w:hAnsi="宋体" w:cs="仿宋_GB2312"/>
          <w:color w:val="auto"/>
          <w:sz w:val="24"/>
          <w:highlight w:val="none"/>
        </w:rPr>
        <w:t>%作为违约金。</w:t>
      </w:r>
      <w:r>
        <w:rPr>
          <w:rFonts w:hint="eastAsia" w:ascii="宋体" w:hAnsi="宋体" w:cs="仿宋_GB2312"/>
          <w:color w:val="auto"/>
          <w:sz w:val="24"/>
          <w:highlight w:val="none"/>
        </w:rPr>
        <w:t>如违约金不能弥补发包人全部损失的，承包人还应予以赔偿。</w:t>
      </w:r>
      <w:r>
        <w:rPr>
          <w:rFonts w:ascii="宋体" w:hAnsi="宋体" w:cs="仿宋_GB2312"/>
          <w:color w:val="auto"/>
          <w:sz w:val="24"/>
          <w:highlight w:val="none"/>
        </w:rPr>
        <w:t xml:space="preserve"> </w:t>
      </w:r>
    </w:p>
    <w:p w14:paraId="5A65D7A3">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）本工程承包人必须考虑安全、环保等因素在局部施工范围进行围蔽施工，现场围蔽不符合国家有关安全措施及技术要求的，不得开展施工作业，由此造成的工期延长，由承包人自己负责，当作延误工期处理。</w:t>
      </w:r>
    </w:p>
    <w:p w14:paraId="100E7DA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w:t>
      </w:r>
      <w:r>
        <w:rPr>
          <w:rFonts w:ascii="宋体" w:hAnsi="宋体" w:cs="仿宋_GB2312"/>
          <w:color w:val="auto"/>
          <w:sz w:val="24"/>
          <w:highlight w:val="none"/>
        </w:rPr>
        <w:t>）工程保修期内发现重大质量不合格问题（该重大质量问题应界定为达不到要求的质量标准，属质量保修问题</w:t>
      </w:r>
      <w:r>
        <w:rPr>
          <w:rFonts w:hint="eastAsia" w:ascii="宋体" w:hAnsi="宋体" w:cs="仿宋_GB2312"/>
          <w:color w:val="auto"/>
          <w:sz w:val="24"/>
          <w:highlight w:val="none"/>
        </w:rPr>
        <w:t>的</w:t>
      </w:r>
      <w:r>
        <w:rPr>
          <w:rFonts w:ascii="宋体" w:hAnsi="宋体" w:cs="仿宋_GB2312"/>
          <w:color w:val="auto"/>
          <w:sz w:val="24"/>
          <w:highlight w:val="none"/>
        </w:rPr>
        <w:t>除外），承包人必须在规定的期限返工达到合同约定的质量等级并赔偿由此造成发包人的损失</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同时按该不合格项目所处分项工程造价的3</w:t>
      </w:r>
      <w:r>
        <w:rPr>
          <w:rFonts w:ascii="宋体" w:hAnsi="宋体" w:cs="仿宋_GB2312"/>
          <w:color w:val="auto"/>
          <w:sz w:val="24"/>
          <w:highlight w:val="none"/>
        </w:rPr>
        <w:t>%向发包人支付违约金</w:t>
      </w:r>
      <w:r>
        <w:rPr>
          <w:rFonts w:hint="eastAsia" w:ascii="宋体" w:hAnsi="宋体" w:cs="仿宋_GB2312"/>
          <w:color w:val="auto"/>
          <w:sz w:val="24"/>
          <w:highlight w:val="none"/>
        </w:rPr>
        <w:t>，发包人有权从质保金中直接扣除该等违约金，并要求承包人在5个工作日内补足质保金</w:t>
      </w:r>
      <w:r>
        <w:rPr>
          <w:rFonts w:ascii="宋体" w:hAnsi="宋体" w:cs="仿宋_GB2312"/>
          <w:color w:val="auto"/>
          <w:sz w:val="24"/>
          <w:highlight w:val="none"/>
        </w:rPr>
        <w:t>。工程保修期从分项工程返工验收合格之日起重新计算。</w:t>
      </w:r>
    </w:p>
    <w:p w14:paraId="16F6552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w:t>
      </w:r>
      <w:r>
        <w:rPr>
          <w:rFonts w:hint="eastAsia" w:ascii="宋体" w:hAnsi="宋体" w:cs="仿宋_GB2312"/>
          <w:bCs/>
          <w:color w:val="auto"/>
          <w:sz w:val="24"/>
          <w:highlight w:val="none"/>
          <w:u w:val="single"/>
        </w:rPr>
        <w:t>承包人在施工中偷工减料，使用不合格的建筑材料、建筑构件配件或设备、不按照工程设计图纸、施工技术标准施工，或者未对建筑材料、建筑构配件、设备进行检验，或者未对涉及结构安全的试块、试件以及有关材料取样送检的，应负责无偿修理或返工，并应支付合同暂定总价款</w:t>
      </w:r>
      <w:r>
        <w:rPr>
          <w:rFonts w:ascii="宋体" w:hAnsi="宋体" w:cs="仿宋_GB2312"/>
          <w:bCs/>
          <w:color w:val="auto"/>
          <w:sz w:val="24"/>
          <w:highlight w:val="none"/>
          <w:u w:val="single"/>
        </w:rPr>
        <w:t>3%的违约金给发包人。</w:t>
      </w:r>
      <w:r>
        <w:rPr>
          <w:rFonts w:hint="eastAsia" w:ascii="宋体" w:hAnsi="宋体" w:cs="仿宋_GB2312"/>
          <w:color w:val="auto"/>
          <w:sz w:val="24"/>
          <w:highlight w:val="none"/>
        </w:rPr>
        <w:t>发包人并有权选择解除部分或全部解除合同，将未完工程另行发包给其他有能力的承包商，承包人必须无条件服从，由此所造成的损失全部由承包人承担，并不免除承包人的违约赔偿责任。</w:t>
      </w:r>
    </w:p>
    <w:p w14:paraId="032E17A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承包人在缺陷责任期内，未能对工程接收证书所列的缺陷清单的内容或缺陷责任期内发生的缺陷进行修复，而又拒绝按发包人或监理单位指示再进行修复，发包人可委托其他单位修复，所需费用由承包人承担，发包人有权在工程质保金中抵扣，保修金不足抵扣的，承包人应予补足。</w:t>
      </w:r>
    </w:p>
    <w:p w14:paraId="1A4D607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7）对施工质量问题存在争议，应请国家认可的第三方机构出具检测报告，检测费用由责任方承担。</w:t>
      </w:r>
    </w:p>
    <w:p w14:paraId="257B95EC">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③安全生产、文明施工方面的违约责任</w:t>
      </w:r>
    </w:p>
    <w:p w14:paraId="1133488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 xml:space="preserve">1） </w:t>
      </w:r>
      <w:r>
        <w:rPr>
          <w:rFonts w:hint="eastAsia" w:ascii="宋体" w:hAnsi="宋体" w:cs="仿宋_GB2312"/>
          <w:color w:val="auto"/>
          <w:sz w:val="24"/>
          <w:highlight w:val="none"/>
        </w:rPr>
        <w:t>承包人在政府行政主管部门组织的质量安全检查中，被发现存在严重的安全隐患，被通报批评，或被新闻媒体曝光造成不良影响的，被通报或被曝光</w:t>
      </w:r>
      <w:r>
        <w:rPr>
          <w:rFonts w:ascii="宋体" w:hAnsi="宋体" w:cs="仿宋_GB2312"/>
          <w:color w:val="auto"/>
          <w:sz w:val="24"/>
          <w:highlight w:val="none"/>
        </w:rPr>
        <w:t>1次，承包人向发包人支付违约金10</w:t>
      </w:r>
      <w:r>
        <w:rPr>
          <w:rFonts w:hint="eastAsia" w:ascii="宋体" w:hAnsi="宋体" w:cs="仿宋_GB2312"/>
          <w:color w:val="auto"/>
          <w:sz w:val="24"/>
          <w:highlight w:val="none"/>
        </w:rPr>
        <w:t>万元；造成严重社会影响或累计被通报或被曝光</w:t>
      </w:r>
      <w:r>
        <w:rPr>
          <w:rFonts w:ascii="宋体" w:hAnsi="宋体" w:cs="仿宋_GB2312"/>
          <w:color w:val="auto"/>
          <w:sz w:val="24"/>
          <w:highlight w:val="none"/>
        </w:rPr>
        <w:t>3次以上（含）的，发包人有权解除合同，将本工程另行发包，并不免除承包人应承担的违约赔偿责任。</w:t>
      </w:r>
    </w:p>
    <w:p w14:paraId="7772ACB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 xml:space="preserve">2） </w:t>
      </w:r>
      <w:r>
        <w:rPr>
          <w:rFonts w:hint="eastAsia" w:ascii="宋体" w:hAnsi="宋体" w:cs="仿宋_GB2312"/>
          <w:color w:val="auto"/>
          <w:sz w:val="24"/>
          <w:highlight w:val="none"/>
        </w:rPr>
        <w:t>承包人在发包人、总监理工程师进行的日常质量安全检查中，被发现存在安全隐患的，承包人应限期改正。若同样问题被发现</w:t>
      </w:r>
      <w:r>
        <w:rPr>
          <w:rFonts w:ascii="宋体" w:hAnsi="宋体" w:cs="仿宋_GB2312"/>
          <w:color w:val="auto"/>
          <w:sz w:val="24"/>
          <w:highlight w:val="none"/>
        </w:rPr>
        <w:t>2次的或累计类似问题被发现3次，</w:t>
      </w:r>
      <w:r>
        <w:rPr>
          <w:rFonts w:hint="eastAsia" w:ascii="宋体" w:hAnsi="宋体" w:cs="仿宋_GB2312"/>
          <w:color w:val="auto"/>
          <w:sz w:val="24"/>
          <w:highlight w:val="none"/>
        </w:rPr>
        <w:t>从第3次开始，承包人向发包人支付违约金1万元/次；此类问题的认定，以发包人、总监理工程师书面通知、指令、通报和会议纪要为准。</w:t>
      </w:r>
    </w:p>
    <w:p w14:paraId="055A1AB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3）承包人在施工过程中因其自身原因造成周围环境卫生状况较差，被其他施工单位或周围居民投诉的，承包人必须在当天内整改。</w:t>
      </w:r>
      <w:r>
        <w:rPr>
          <w:rFonts w:hint="eastAsia" w:ascii="宋体" w:hAnsi="宋体" w:cs="仿宋_GB2312"/>
          <w:color w:val="auto"/>
          <w:sz w:val="24"/>
          <w:highlight w:val="none"/>
        </w:rPr>
        <w:t>若承包人对被投诉问题故意拖延整改，经查实，每次承包人须向发包人支付违约金2万元，累计达到三次的，发包人有权单方解除本合同，并要求承包人按前述标准支付违约金，如违约金不能弥补发包人全部损失的，承包人还应予以赔偿。</w:t>
      </w:r>
    </w:p>
    <w:p w14:paraId="6CBEC327">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有权扣减更改部分的造价（该造价按广东省相关综合定额和取费标准计算，不下浮）；同时，每擅自更改一次，承包人应向发包人支付违约金2000元人民币。</w:t>
      </w:r>
    </w:p>
    <w:p w14:paraId="6D519A9D">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承包人应严格遵守国家、广东省、广州市、黄埔区及开发区有关防火、爆破和施工安全以及文明施工、深夜施工、环卫和城市管理等规定，建立规章制度和防护措施，并组织施工。在相关部门的检查中，若承包人违法施工被通报批评或者被新闻媒体曝光的，每发生一次，应向发包人支付2000元违约金，如发包人因此被相关部门处罚的，罚金由承包人承担。</w:t>
      </w:r>
    </w:p>
    <w:p w14:paraId="6EA5650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如果承包人未按招投标文件及本合同要求做好安全、文明施工相关措施，经监理工程师或发包人检查发现的，每发现一次，应向发包人支付2000元违约金，并按发包人或监理单位要求限期整改，未在限期内完成整改的，每延期一天，应向发包人支付2000元违约金。</w:t>
      </w:r>
    </w:p>
    <w:p w14:paraId="5A20CDD3">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在施工过程中发生安全事故的，除按照国家、广东省、广州市、黄埔区及开发区规定进行处理外。若导致人员伤亡的，承包人按下列办法向发包人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2000元。</w:t>
      </w:r>
    </w:p>
    <w:p w14:paraId="3784F83C">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eastAsia="zh-CN"/>
        </w:rPr>
        <w:t>8）</w:t>
      </w:r>
      <w:r>
        <w:rPr>
          <w:rFonts w:hint="eastAsia" w:ascii="宋体" w:hAnsi="宋体" w:cs="仿宋_GB2312"/>
          <w:color w:val="auto"/>
          <w:sz w:val="24"/>
          <w:highlight w:val="non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hint="eastAsia" w:ascii="宋体" w:hAnsi="宋体" w:cs="仿宋_GB2312"/>
          <w:color w:val="auto"/>
          <w:sz w:val="24"/>
          <w:highlight w:val="none"/>
          <w:lang w:eastAsia="zh-CN"/>
        </w:rPr>
        <w:t>〔2008〕60号</w:t>
      </w:r>
      <w:r>
        <w:rPr>
          <w:rFonts w:hint="eastAsia" w:ascii="宋体" w:hAnsi="宋体" w:cs="仿宋_GB2312"/>
          <w:color w:val="auto"/>
          <w:sz w:val="24"/>
          <w:highlight w:val="none"/>
        </w:rPr>
        <w:t>）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2000元违约金。同时，发包人将根据承包人违反余泥渣土运输管理有关规定而造成的不良后果的严重程度，上报区建设行政主管部门进行处理。</w:t>
      </w:r>
    </w:p>
    <w:p w14:paraId="0333F4C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④工程分包、转包方面的违约责任</w:t>
      </w:r>
    </w:p>
    <w:p w14:paraId="7B4368F6">
      <w:pPr>
        <w:numPr>
          <w:ilvl w:val="0"/>
          <w:numId w:val="7"/>
        </w:num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合同约定的工程项目，承包人不得转包</w:t>
      </w:r>
      <w:r>
        <w:rPr>
          <w:rFonts w:hint="eastAsia" w:ascii="宋体" w:hAnsi="宋体" w:cs="仿宋_GB2312"/>
          <w:color w:val="auto"/>
          <w:sz w:val="24"/>
          <w:highlight w:val="none"/>
        </w:rPr>
        <w:t>或违法分包</w:t>
      </w:r>
      <w:r>
        <w:rPr>
          <w:rFonts w:ascii="宋体" w:hAnsi="宋体" w:cs="仿宋_GB2312"/>
          <w:color w:val="auto"/>
          <w:sz w:val="24"/>
          <w:highlight w:val="none"/>
        </w:rPr>
        <w:t>。否则，发包人有权单方面终止合同，并令其立即退场，工程项目另行处理，承包人履约保证金不予退还，并承担由此而造成的经济损失。发包人的损失超过履约</w:t>
      </w:r>
      <w:r>
        <w:rPr>
          <w:rFonts w:hint="eastAsia" w:ascii="宋体" w:hAnsi="宋体" w:cs="仿宋_GB2312"/>
          <w:color w:val="auto"/>
          <w:sz w:val="24"/>
          <w:highlight w:val="none"/>
        </w:rPr>
        <w:t>保证金的部分，承包人还应承担赔偿责任。</w:t>
      </w:r>
    </w:p>
    <w:p w14:paraId="641E954F">
      <w:pPr>
        <w:numPr>
          <w:ilvl w:val="0"/>
          <w:numId w:val="8"/>
        </w:num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承包人违反合同约定进行转包或</w:t>
      </w:r>
      <w:r>
        <w:rPr>
          <w:rFonts w:hint="eastAsia" w:ascii="宋体" w:hAnsi="宋体" w:cs="仿宋_GB2312"/>
          <w:color w:val="auto"/>
          <w:sz w:val="24"/>
          <w:highlight w:val="none"/>
        </w:rPr>
        <w:t>违法</w:t>
      </w:r>
      <w:r>
        <w:rPr>
          <w:rFonts w:ascii="宋体" w:hAnsi="宋体" w:cs="仿宋_GB2312"/>
          <w:color w:val="auto"/>
          <w:sz w:val="24"/>
          <w:highlight w:val="none"/>
        </w:rPr>
        <w:t>分包的，发包人有权解除合同。发包人因此解除合同的，承包人按合同</w:t>
      </w:r>
      <w:r>
        <w:rPr>
          <w:rFonts w:hint="eastAsia" w:ascii="宋体" w:hAnsi="宋体" w:cs="仿宋_GB2312"/>
          <w:color w:val="auto"/>
          <w:sz w:val="24"/>
          <w:highlight w:val="none"/>
        </w:rPr>
        <w:t>暂定</w:t>
      </w:r>
      <w:r>
        <w:rPr>
          <w:rFonts w:ascii="宋体" w:hAnsi="宋体" w:cs="仿宋_GB2312"/>
          <w:color w:val="auto"/>
          <w:sz w:val="24"/>
          <w:highlight w:val="none"/>
        </w:rPr>
        <w:t>总价款的10%承担违约金，违约金不足以弥补发包人损失的，承包人另行承担全部赔偿责任</w:t>
      </w:r>
      <w:r>
        <w:rPr>
          <w:rFonts w:hint="eastAsia" w:ascii="宋体" w:hAnsi="宋体" w:cs="仿宋_GB2312"/>
          <w:color w:val="auto"/>
          <w:sz w:val="24"/>
          <w:highlight w:val="none"/>
        </w:rPr>
        <w:t>。</w:t>
      </w:r>
    </w:p>
    <w:p w14:paraId="0452F6B5">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⑤项目管理机构人员、机械设备、劳动力到位方面的违约责任</w:t>
      </w:r>
    </w:p>
    <w:p w14:paraId="7DCF2CA8">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1）如果承包人没按投标文件中的机械设备投入计划投入机械设备，经监理工程师或发包人检查发现的，每次向发包人支付违约金2000元。</w:t>
      </w:r>
    </w:p>
    <w:p w14:paraId="0FF11DF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2）如果承包人没按投标文件中的人力投入计划投入人力，经监理工程师和发包人检查发现的，每次向发包人支付违约金2000元。</w:t>
      </w:r>
    </w:p>
    <w:p w14:paraId="301887F2">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3）如果检查发现承包人超过三次没按承诺书承诺投入的人力、机械、物力组织施工，发包人将在超过三次的时间起将承包人的</w:t>
      </w:r>
      <w:r>
        <w:rPr>
          <w:rFonts w:hint="eastAsia" w:ascii="宋体" w:hAnsi="宋体" w:cs="仿宋_GB2312"/>
          <w:color w:val="auto"/>
          <w:sz w:val="24"/>
          <w:highlight w:val="none"/>
          <w:lang w:eastAsia="zh-CN"/>
        </w:rPr>
        <w:t>不良记录</w:t>
      </w:r>
      <w:r>
        <w:rPr>
          <w:rFonts w:hint="eastAsia" w:ascii="宋体" w:hAnsi="宋体" w:cs="仿宋_GB2312"/>
          <w:color w:val="auto"/>
          <w:sz w:val="24"/>
          <w:highlight w:val="none"/>
        </w:rPr>
        <w:t>报区相关职能部门备案。并每次按2000元标准要求承包人支付违约金，发包人有权在进度款中直接扣除该等违约金。</w:t>
      </w:r>
    </w:p>
    <w:p w14:paraId="38240D4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4）承包人的</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、项目技术负责人及主要施工管理人员在未征得发包人书面同意之前不得更换。如果擅自更换</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或项目技术负责人，发包人可以对承包人的这种更换要求承包人支付违约金2000元；承包人</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主要施工管理人员实际工作能力和工作表现达不到发包人要求的（包括个人原因引起的纠纷、治安等问题），发包人有权向承包人提出撤换，承包人应在收到发包人指令10个日历天内予以更换，若承包人在约定的时间不及时更换，每超一天向发包人支付1000元人民币违约金，直至更换为止；</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未经批准，擅自离开施工现场的，每发现一次，承包人需支付1000元的违约金。承包人提交项目管理机构及施工现场管理人员安排报告的期限：开工前7天。如果擅自更换主要施工管理人员，每更换一人支付违约金1000元。承包人主要施工管理人员离开施工现场的批准要求：经总监和发包人代表书面批准。承包人主要施工管理人员擅自离开施工现场的违约责任 1000元/人/次。投标文件中</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人选，不得兼任其他工程</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，必须常驻在现场，如经发包人书面警告后仍不改正的，发包人可按单方面终止本合同处理。上述违约金优先在当月进度款中扣除，不够扣除的余额在以后月份中扣，直至扣完。</w:t>
      </w:r>
    </w:p>
    <w:p w14:paraId="5A1D553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⑥承包人拖欠农民工工资，被农民工投诉属实的，承包人必须在3天内发放拖欠的款项。若继续拖延被投诉2次以上的，经查实，承包人除应立即支付拖欠款项外，还应向发包人支付2万元违约金。因承包人拖欠农民工工资，导致农民工采取停工、集聚围阻发包人办公地点甚至政府办公部门等过激行动的，承包人应向发包人支付5万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14:paraId="325C3B89">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⑦其他方面的违约责任</w:t>
      </w:r>
    </w:p>
    <w:p w14:paraId="1764D4F5">
      <w:pPr>
        <w:numPr>
          <w:ilvl w:val="0"/>
          <w:numId w:val="9"/>
        </w:numPr>
        <w:tabs>
          <w:tab w:val="left" w:pos="142"/>
          <w:tab w:val="left" w:pos="284"/>
        </w:tabs>
        <w:snapToGrid w:val="0"/>
        <w:spacing w:line="360" w:lineRule="auto"/>
        <w:ind w:left="0" w:firstLine="480" w:firstLineChars="200"/>
        <w:rPr>
          <w:rFonts w:ascii="宋体" w:hAnsi="宋体" w:cs="仿宋_GB2312"/>
          <w:color w:val="auto"/>
          <w:sz w:val="24"/>
          <w:highlight w:val="none"/>
        </w:rPr>
      </w:pPr>
      <w:r>
        <w:rPr>
          <w:rFonts w:hint="eastAsia" w:ascii="宋体" w:hAnsi="宋体" w:cs="仿宋_GB2312"/>
          <w:color w:val="auto"/>
          <w:sz w:val="24"/>
          <w:highlight w:val="none"/>
        </w:rPr>
        <w:t>如果发生工期延长事件，承包人必须在事件发生后的3个日历天内向监理工程师提交工期延长申请报告，经监理工程师审核并确认责任界限后，如果属于非承包人自身原因造成的，报发包人书面批准后给予顺延工期；逾期不申报，则视为承包人放弃了以该事件申请工期延长及索赔（如有）的权利，当作工期延误处理。</w:t>
      </w:r>
    </w:p>
    <w:p w14:paraId="124A7AD9">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2）如承包人在工程实施工程中发生不满足建筑节能、环保方面要求的事情，经监理工程师或发包人代表检查发现的，每次要求承包人支付违约金2000元。</w:t>
      </w:r>
    </w:p>
    <w:p w14:paraId="4E578104">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3）如承包人将工程预付款挪用或占用，不能保证工程预付款专款专用，发包人有权每次要求承包人支付违约金20万元。</w:t>
      </w:r>
    </w:p>
    <w:p w14:paraId="0DFD5A69">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4）承包人应严格执行黄埔开发区泥头车运输经营管理办法，杜绝使用非法泥头车；如有违反，一经发现，发包人将向有关部门举报并严肃处理，同时要求承包人支付违约金2000元/次。</w:t>
      </w:r>
    </w:p>
    <w:p w14:paraId="4B822D75">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5）发包人发出邀请承包人的法人代表到场通知后三天内仍不到场的，第四天开始发包人有权要求承包人支付违约金1000元/天。</w:t>
      </w:r>
    </w:p>
    <w:p w14:paraId="5C16CE00">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6）发包人有权决定违约金直接从当期工程进度款内扣除，不足扣除的，可以兑付履约保函及后续工程进度款、结算款中扣除。</w:t>
      </w:r>
    </w:p>
    <w:p w14:paraId="71E9B070">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7）在施工过程中如有以下情形之一的发包人有权邀请承包人的法人代表约谈：</w:t>
      </w:r>
    </w:p>
    <w:p w14:paraId="2D229BB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a.任一个主要节点工期延误20天以上。</w:t>
      </w:r>
    </w:p>
    <w:p w14:paraId="23BDA6C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b.发现存在严重的安全隐患，被通报批评，或被新闻媒体曝光造成不良影响的，被通报或被曝光。</w:t>
      </w:r>
    </w:p>
    <w:p w14:paraId="3DB5246C">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c.承包人违反合同约定进行转包或违法分包。</w:t>
      </w:r>
    </w:p>
    <w:p w14:paraId="6943192D">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d.</w:t>
      </w:r>
      <w:r>
        <w:rPr>
          <w:rFonts w:hint="eastAsia"/>
          <w:color w:val="auto"/>
          <w:highlight w:val="none"/>
        </w:rPr>
        <w:t xml:space="preserve"> </w:t>
      </w:r>
      <w:r>
        <w:rPr>
          <w:rFonts w:hint="eastAsia" w:ascii="宋体" w:hAnsi="宋体" w:cs="仿宋_GB2312"/>
          <w:color w:val="auto"/>
          <w:sz w:val="24"/>
          <w:highlight w:val="none"/>
        </w:rPr>
        <w:t>承包人未征得发包人书面同意，擅自更换</w:t>
      </w:r>
      <w:r>
        <w:rPr>
          <w:rFonts w:hint="eastAsia" w:ascii="宋体" w:hAnsi="宋体" w:cs="仿宋_GB2312"/>
          <w:color w:val="auto"/>
          <w:sz w:val="24"/>
          <w:highlight w:val="none"/>
          <w:lang w:eastAsia="zh-CN"/>
        </w:rPr>
        <w:t>项目经理</w:t>
      </w:r>
      <w:r>
        <w:rPr>
          <w:rFonts w:hint="eastAsia" w:ascii="宋体" w:hAnsi="宋体" w:cs="仿宋_GB2312"/>
          <w:color w:val="auto"/>
          <w:sz w:val="24"/>
          <w:highlight w:val="none"/>
        </w:rPr>
        <w:t>、项目技术负责人及主要施工管理人员。</w:t>
      </w:r>
    </w:p>
    <w:p w14:paraId="4E29BA4C">
      <w:pPr>
        <w:tabs>
          <w:tab w:val="left" w:pos="142"/>
          <w:tab w:val="left" w:pos="284"/>
        </w:tabs>
        <w:snapToGrid w:val="0"/>
        <w:spacing w:line="360" w:lineRule="auto"/>
        <w:ind w:firstLine="480" w:firstLineChars="200"/>
        <w:rPr>
          <w:rFonts w:ascii="宋体" w:hAnsi="宋体" w:cs="仿宋_GB2312"/>
          <w:b/>
          <w:strike/>
          <w:color w:val="auto"/>
          <w:sz w:val="24"/>
          <w:highlight w:val="none"/>
        </w:rPr>
      </w:pPr>
      <w:r>
        <w:rPr>
          <w:rFonts w:hint="eastAsia" w:ascii="宋体" w:hAnsi="宋体" w:cs="仿宋_GB2312"/>
          <w:color w:val="auto"/>
          <w:sz w:val="24"/>
          <w:highlight w:val="none"/>
          <w:lang w:eastAsia="zh-CN"/>
        </w:rPr>
        <w:t>e.</w:t>
      </w:r>
      <w:r>
        <w:rPr>
          <w:rFonts w:hint="eastAsia" w:ascii="宋体" w:hAnsi="宋体" w:cs="仿宋_GB2312"/>
          <w:color w:val="auto"/>
          <w:sz w:val="24"/>
          <w:highlight w:val="none"/>
        </w:rPr>
        <w:t>检查发现承包人未按承诺书承诺投入的人力、机械、物力组织施工。</w:t>
      </w:r>
    </w:p>
    <w:p w14:paraId="31DCE57A">
      <w:pPr>
        <w:tabs>
          <w:tab w:val="left" w:pos="142"/>
          <w:tab w:val="left" w:pos="284"/>
        </w:tabs>
        <w:autoSpaceDE w:val="0"/>
        <w:autoSpaceDN w:val="0"/>
        <w:adjustRightInd w:val="0"/>
        <w:spacing w:line="360" w:lineRule="auto"/>
        <w:ind w:right="-106" w:firstLine="486" w:firstLineChars="200"/>
        <w:rPr>
          <w:rFonts w:ascii="宋体" w:hAnsi="宋体" w:cs="宋体"/>
          <w:b/>
          <w:bCs/>
          <w:color w:val="auto"/>
          <w:spacing w:val="1"/>
          <w:kern w:val="0"/>
          <w:sz w:val="24"/>
          <w:highlight w:val="none"/>
        </w:rPr>
      </w:pPr>
      <w:r>
        <w:rPr>
          <w:rFonts w:ascii="宋体" w:hAnsi="宋体" w:cs="宋体"/>
          <w:b/>
          <w:bCs/>
          <w:color w:val="auto"/>
          <w:spacing w:val="1"/>
          <w:kern w:val="0"/>
          <w:sz w:val="24"/>
          <w:highlight w:val="none"/>
        </w:rPr>
        <w:t>3</w:t>
      </w:r>
      <w:r>
        <w:rPr>
          <w:rFonts w:hint="eastAsia" w:ascii="宋体" w:hAnsi="宋体" w:cs="宋体"/>
          <w:b/>
          <w:bCs/>
          <w:color w:val="auto"/>
          <w:spacing w:val="1"/>
          <w:kern w:val="0"/>
          <w:sz w:val="24"/>
          <w:highlight w:val="none"/>
        </w:rPr>
        <w:t>9</w:t>
      </w:r>
      <w:r>
        <w:rPr>
          <w:rFonts w:ascii="宋体" w:hAnsi="宋体" w:cs="宋体"/>
          <w:b/>
          <w:bCs/>
          <w:color w:val="auto"/>
          <w:spacing w:val="1"/>
          <w:kern w:val="0"/>
          <w:sz w:val="24"/>
          <w:highlight w:val="none"/>
        </w:rPr>
        <w:t xml:space="preserve">.索赔 </w:t>
      </w:r>
    </w:p>
    <w:p w14:paraId="025C5A6E">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39.2 承包人向发包人索赔的程序</w:t>
      </w:r>
    </w:p>
    <w:p w14:paraId="2C05F106">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7AFC3C75">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39A85E13">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（3）承包人应在发出索赔意向通知后的14天内，向监理单位报送一份说明索赔所依据的理由和索赔款额的具体细节</w:t>
      </w:r>
      <w:r>
        <w:rPr>
          <w:rFonts w:hint="eastAsia" w:ascii="宋体" w:hAnsi="宋体" w:cs="仿宋_GB2312"/>
          <w:bCs/>
          <w:color w:val="auto"/>
          <w:sz w:val="24"/>
          <w:highlight w:val="none"/>
          <w:lang w:eastAsia="zh-CN"/>
        </w:rPr>
        <w:t>账目的</w:t>
      </w:r>
      <w:r>
        <w:rPr>
          <w:rFonts w:hint="eastAsia" w:ascii="宋体" w:hAnsi="宋体" w:cs="仿宋_GB2312"/>
          <w:bCs/>
          <w:color w:val="auto"/>
          <w:sz w:val="24"/>
          <w:highlight w:val="none"/>
        </w:rPr>
        <w:t>索赔报告。如果索赔事件尚未结束，承包人在索赔事件结束后的14天内，再报一份最终索赔报告给监理单位。</w:t>
      </w:r>
    </w:p>
    <w:p w14:paraId="0B2DC543">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（4）监理单位在收到承包人索赔报告或最终索赔报告后14天内，将处理意见书面通知发包人、承包人双方。若双方接受，此索赔事件结束；若任何一方不接受，经再次协商仍达不成一致的，则按合同条款第4</w:t>
      </w:r>
      <w:r>
        <w:rPr>
          <w:rFonts w:hint="eastAsia" w:ascii="宋体" w:hAnsi="宋体" w:cs="仿宋_GB2312"/>
          <w:bCs/>
          <w:color w:val="auto"/>
          <w:sz w:val="24"/>
          <w:highlight w:val="none"/>
          <w:lang w:val="en-US" w:eastAsia="zh-CN"/>
        </w:rPr>
        <w:t>0</w:t>
      </w:r>
      <w:r>
        <w:rPr>
          <w:rFonts w:hint="eastAsia" w:ascii="宋体" w:hAnsi="宋体" w:cs="仿宋_GB2312"/>
          <w:bCs/>
          <w:color w:val="auto"/>
          <w:sz w:val="24"/>
          <w:highlight w:val="none"/>
        </w:rPr>
        <w:t>条的约定处理。</w:t>
      </w:r>
    </w:p>
    <w:p w14:paraId="75F56451">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39.3承包人未能按合同约定履行自己的各项义务或发生错误，发包人按如下约定向承包人索赔：</w:t>
      </w:r>
    </w:p>
    <w:p w14:paraId="6216747B">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（1）发包人将自己的索赔意向书面通知承包人（同时抄送其担保银行），要求承包人在限期内纠正其违约行为，否则发包人将考虑按合同约定作出相关处理决定。</w:t>
      </w:r>
    </w:p>
    <w:p w14:paraId="127F72AB">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14:paraId="3E5ED7BF">
      <w:pPr>
        <w:tabs>
          <w:tab w:val="left" w:pos="142"/>
          <w:tab w:val="left" w:pos="284"/>
        </w:tabs>
        <w:snapToGrid w:val="0"/>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3）如果通过向银行索赔的方式依然不能完全弥补发包人的损失，则发包人有权在应支付给承包人的工程款中直接扣取。同时发包人有权要求承包人在规定时间内按专用条款第44条的约定向发包人补充提交履约保函。</w:t>
      </w:r>
    </w:p>
    <w:p w14:paraId="57879B1E">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40.</w:t>
      </w:r>
      <w:r>
        <w:rPr>
          <w:rFonts w:hint="eastAsia" w:ascii="宋体" w:hAnsi="宋体" w:cs="仿宋_GB2312"/>
          <w:b/>
          <w:color w:val="auto"/>
          <w:sz w:val="24"/>
          <w:highlight w:val="none"/>
        </w:rPr>
        <w:t>争议</w:t>
      </w:r>
    </w:p>
    <w:p w14:paraId="0856BAD9">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40</w:t>
      </w:r>
      <w:r>
        <w:rPr>
          <w:rFonts w:ascii="宋体" w:hAnsi="宋体" w:cs="仿宋_GB2312"/>
          <w:color w:val="auto"/>
          <w:sz w:val="24"/>
          <w:highlight w:val="none"/>
        </w:rPr>
        <w:t xml:space="preserve">.1 </w:t>
      </w:r>
      <w:r>
        <w:rPr>
          <w:rFonts w:hint="eastAsia" w:ascii="宋体" w:hAnsi="宋体" w:cs="仿宋_GB2312"/>
          <w:color w:val="auto"/>
          <w:sz w:val="24"/>
          <w:highlight w:val="none"/>
        </w:rPr>
        <w:t>双方约定，在履行合同过程中产生争议时：</w:t>
      </w:r>
    </w:p>
    <w:p w14:paraId="024ACE5C">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（1）请</w:t>
      </w:r>
      <w:r>
        <w:rPr>
          <w:rFonts w:hint="eastAsia" w:ascii="宋体" w:hAnsi="宋体" w:cs="仿宋_GB2312"/>
          <w:color w:val="auto"/>
          <w:sz w:val="24"/>
          <w:highlight w:val="none"/>
          <w:u w:val="single"/>
        </w:rPr>
        <w:t>/</w:t>
      </w:r>
      <w:r>
        <w:rPr>
          <w:rFonts w:hint="eastAsia" w:ascii="宋体" w:hAnsi="宋体" w:cs="仿宋_GB2312"/>
          <w:color w:val="auto"/>
          <w:sz w:val="24"/>
          <w:highlight w:val="none"/>
        </w:rPr>
        <w:t>调解</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如调解不成，按40.1(2</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执行；</w:t>
      </w:r>
    </w:p>
    <w:p w14:paraId="0ADB4364">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（2）向工程所在地人民法院提起诉讼。</w:t>
      </w:r>
    </w:p>
    <w:p w14:paraId="18B50E01">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十一、其他</w:t>
      </w:r>
    </w:p>
    <w:p w14:paraId="74E6E915">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41.</w:t>
      </w:r>
      <w:r>
        <w:rPr>
          <w:rFonts w:hint="eastAsia" w:ascii="宋体" w:hAnsi="宋体" w:cs="仿宋_GB2312"/>
          <w:b/>
          <w:color w:val="auto"/>
          <w:sz w:val="24"/>
          <w:highlight w:val="none"/>
        </w:rPr>
        <w:t>工程分包</w:t>
      </w:r>
    </w:p>
    <w:p w14:paraId="5988CC71">
      <w:pPr>
        <w:tabs>
          <w:tab w:val="left" w:pos="142"/>
          <w:tab w:val="left" w:pos="284"/>
        </w:tabs>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41</w:t>
      </w:r>
      <w:r>
        <w:rPr>
          <w:rFonts w:ascii="宋体" w:hAnsi="宋体" w:cs="仿宋_GB2312"/>
          <w:color w:val="auto"/>
          <w:sz w:val="24"/>
          <w:highlight w:val="none"/>
        </w:rPr>
        <w:t xml:space="preserve">.1 </w:t>
      </w:r>
      <w:r>
        <w:rPr>
          <w:rFonts w:hint="eastAsia" w:ascii="宋体" w:hAnsi="宋体" w:cs="仿宋_GB2312"/>
          <w:color w:val="auto"/>
          <w:sz w:val="24"/>
          <w:highlight w:val="none"/>
        </w:rPr>
        <w:t>本工程发包人同意承包人分包的工程：</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7017EC3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分包施工单位为：</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60CE83D3">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41</w:t>
      </w:r>
      <w:r>
        <w:rPr>
          <w:rFonts w:ascii="宋体" w:hAnsi="宋体" w:cs="仿宋_GB2312"/>
          <w:color w:val="auto"/>
          <w:sz w:val="24"/>
          <w:highlight w:val="none"/>
        </w:rPr>
        <w:t>.2</w:t>
      </w:r>
      <w:r>
        <w:rPr>
          <w:rFonts w:hint="eastAsia" w:ascii="宋体" w:hAnsi="宋体" w:cs="仿宋_GB2312"/>
          <w:color w:val="auto"/>
          <w:sz w:val="24"/>
          <w:highlight w:val="none"/>
        </w:rPr>
        <w:t>工程总承包服务：</w:t>
      </w:r>
    </w:p>
    <w:p w14:paraId="6DA4212C">
      <w:pPr>
        <w:tabs>
          <w:tab w:val="left" w:pos="142"/>
          <w:tab w:val="left" w:pos="284"/>
        </w:tabs>
        <w:adjustRightInd w:val="0"/>
        <w:snapToGrid w:val="0"/>
        <w:spacing w:line="360" w:lineRule="auto"/>
        <w:ind w:right="11" w:firstLine="480" w:firstLineChars="200"/>
        <w:rPr>
          <w:rFonts w:ascii="宋体" w:hAnsi="宋体" w:cs="仿宋_GB2312"/>
          <w:color w:val="auto"/>
          <w:sz w:val="24"/>
          <w:highlight w:val="none"/>
        </w:rPr>
      </w:pPr>
      <w:r>
        <w:rPr>
          <w:rFonts w:hint="eastAsia" w:ascii="宋体" w:hAnsi="宋体" w:cs="仿宋_GB2312"/>
          <w:color w:val="auto"/>
          <w:sz w:val="24"/>
          <w:highlight w:val="none"/>
          <w:lang w:eastAsia="zh-CN"/>
        </w:rPr>
        <w:t>（1）</w:t>
      </w:r>
      <w:r>
        <w:rPr>
          <w:rFonts w:hint="eastAsia" w:ascii="宋体" w:hAnsi="宋体" w:cs="仿宋_GB2312"/>
          <w:color w:val="auto"/>
          <w:sz w:val="24"/>
          <w:highlight w:val="none"/>
        </w:rPr>
        <w:t>项目总承包施工管理单位负责对本工程进行统一组织管理、相关资料汇总整理、提供现有脚手架、垂直运输等服务所需的费用，本工程承包人需无条件接受项目总承包施工管理单位的管理</w:t>
      </w:r>
      <w:r>
        <w:rPr>
          <w:rFonts w:hint="eastAsia" w:ascii="宋体" w:hAnsi="宋体" w:cs="宋体"/>
          <w:color w:val="auto"/>
          <w:sz w:val="24"/>
          <w:highlight w:val="none"/>
        </w:rPr>
        <w:t>。总承包服务费，按照本合同结算总价的1.5%由发包人另行支付给该项目总承包单位。除前述总承包服务费，其余总承包服务费由承包人在投标下浮率中综合考虑，包含在承包人投标报价内，发包人不再单独计算。</w:t>
      </w:r>
    </w:p>
    <w:p w14:paraId="4C9987ED">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（2）承包人投标时应根据总承包的合同工期进度计划并现场实地勘察，中标后自行与总承包单位协商垂直运输设备使用计划，投标时承包人应在投标报价中综合考虑此项所引起的费用，不再单独列项报价。</w:t>
      </w:r>
    </w:p>
    <w:p w14:paraId="39005B00">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w:t>
      </w:r>
      <w:r>
        <w:rPr>
          <w:rFonts w:hint="eastAsia" w:ascii="宋体" w:hAnsi="宋体" w:cs="仿宋_GB2312"/>
          <w:color w:val="auto"/>
          <w:sz w:val="24"/>
          <w:highlight w:val="none"/>
        </w:rPr>
        <w:t>3）承包人应根据相关规定及发包人的要求与总承包单位进行交接等配合服务。</w:t>
      </w:r>
    </w:p>
    <w:p w14:paraId="5DAFE8EA">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42.</w:t>
      </w:r>
      <w:r>
        <w:rPr>
          <w:rFonts w:hint="eastAsia" w:ascii="宋体" w:hAnsi="宋体" w:cs="仿宋_GB2312"/>
          <w:b/>
          <w:color w:val="auto"/>
          <w:sz w:val="24"/>
          <w:highlight w:val="none"/>
        </w:rPr>
        <w:t>不可抗力</w:t>
      </w:r>
    </w:p>
    <w:p w14:paraId="408731A6">
      <w:pPr>
        <w:tabs>
          <w:tab w:val="left" w:pos="142"/>
          <w:tab w:val="left" w:pos="284"/>
        </w:tabs>
        <w:spacing w:line="360" w:lineRule="auto"/>
        <w:ind w:left="0" w:firstLine="480" w:firstLineChars="200"/>
        <w:rPr>
          <w:rFonts w:ascii="宋体" w:hAnsi="宋体" w:cs="仿宋_GB2312"/>
          <w:strike/>
          <w:color w:val="auto"/>
          <w:sz w:val="24"/>
          <w:highlight w:val="none"/>
        </w:rPr>
      </w:pPr>
      <w:r>
        <w:rPr>
          <w:rFonts w:hint="eastAsia" w:ascii="宋体" w:hAnsi="宋体" w:cs="仿宋_GB2312"/>
          <w:color w:val="auto"/>
          <w:sz w:val="24"/>
          <w:highlight w:val="none"/>
        </w:rPr>
        <w:t>42</w:t>
      </w:r>
      <w:r>
        <w:rPr>
          <w:rFonts w:ascii="宋体" w:hAnsi="宋体" w:cs="仿宋_GB2312"/>
          <w:color w:val="auto"/>
          <w:sz w:val="24"/>
          <w:highlight w:val="none"/>
        </w:rPr>
        <w:t xml:space="preserve">.1 </w:t>
      </w:r>
      <w:r>
        <w:rPr>
          <w:rFonts w:hint="eastAsia" w:ascii="宋体" w:hAnsi="宋体" w:cs="仿宋_GB2312"/>
          <w:color w:val="auto"/>
          <w:sz w:val="24"/>
          <w:highlight w:val="none"/>
        </w:rPr>
        <w:t>双方关于不可抗力的约定：按本合同通用条款及专用条款第12</w:t>
      </w:r>
      <w:r>
        <w:rPr>
          <w:rFonts w:ascii="宋体" w:hAnsi="宋体" w:cs="仿宋_GB2312"/>
          <w:color w:val="auto"/>
          <w:sz w:val="24"/>
          <w:highlight w:val="none"/>
        </w:rPr>
        <w:t>.3</w:t>
      </w:r>
      <w:r>
        <w:rPr>
          <w:rFonts w:hint="eastAsia" w:ascii="宋体" w:hAnsi="宋体" w:cs="仿宋_GB2312"/>
          <w:color w:val="auto"/>
          <w:sz w:val="24"/>
          <w:highlight w:val="none"/>
        </w:rPr>
        <w:t>条执行。</w:t>
      </w:r>
    </w:p>
    <w:p w14:paraId="1D888293">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43.</w:t>
      </w:r>
      <w:r>
        <w:rPr>
          <w:rFonts w:hint="eastAsia" w:ascii="宋体" w:hAnsi="宋体" w:cs="仿宋_GB2312"/>
          <w:b/>
          <w:color w:val="auto"/>
          <w:sz w:val="24"/>
          <w:highlight w:val="none"/>
        </w:rPr>
        <w:t>保险</w:t>
      </w:r>
    </w:p>
    <w:p w14:paraId="19061001">
      <w:pPr>
        <w:tabs>
          <w:tab w:val="left" w:pos="142"/>
          <w:tab w:val="left" w:pos="284"/>
        </w:tabs>
        <w:spacing w:line="360" w:lineRule="auto"/>
        <w:ind w:left="0" w:firstLine="480" w:firstLineChars="200"/>
        <w:rPr>
          <w:rFonts w:ascii="宋体" w:hAnsi="宋体" w:cs="仿宋_GB2312"/>
          <w:color w:val="auto"/>
          <w:sz w:val="24"/>
          <w:highlight w:val="none"/>
        </w:rPr>
      </w:pPr>
      <w:r>
        <w:rPr>
          <w:rFonts w:hint="eastAsia" w:ascii="宋体" w:hAnsi="宋体" w:cs="仿宋_GB2312"/>
          <w:color w:val="auto"/>
          <w:sz w:val="24"/>
          <w:highlight w:val="none"/>
        </w:rPr>
        <w:t>43</w:t>
      </w:r>
      <w:r>
        <w:rPr>
          <w:rFonts w:ascii="宋体" w:hAnsi="宋体" w:cs="仿宋_GB2312"/>
          <w:color w:val="auto"/>
          <w:sz w:val="24"/>
          <w:highlight w:val="none"/>
        </w:rPr>
        <w:t>.</w:t>
      </w:r>
      <w:r>
        <w:rPr>
          <w:rFonts w:hint="eastAsia" w:ascii="宋体" w:hAnsi="宋体" w:cs="仿宋_GB2312"/>
          <w:color w:val="auto"/>
          <w:sz w:val="24"/>
          <w:highlight w:val="none"/>
        </w:rPr>
        <w:t>1本工程双方约定投保内容如下：</w:t>
      </w:r>
    </w:p>
    <w:p w14:paraId="18A0BE99">
      <w:pPr>
        <w:tabs>
          <w:tab w:val="left" w:pos="142"/>
          <w:tab w:val="left" w:pos="284"/>
        </w:tabs>
        <w:spacing w:line="360" w:lineRule="auto"/>
        <w:ind w:left="0"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1）发包人投保内容</w:t>
      </w:r>
      <w:r>
        <w:rPr>
          <w:rFonts w:hint="eastAsia" w:ascii="宋体" w:hAnsi="宋体" w:cs="仿宋_GB2312"/>
          <w:color w:val="auto"/>
          <w:sz w:val="24"/>
          <w:highlight w:val="none"/>
          <w:lang w:eastAsia="zh-CN"/>
        </w:rPr>
        <w:t>：</w:t>
      </w:r>
    </w:p>
    <w:p w14:paraId="69BCAAF4">
      <w:pPr>
        <w:tabs>
          <w:tab w:val="left" w:pos="142"/>
          <w:tab w:val="left" w:pos="284"/>
        </w:tabs>
        <w:spacing w:line="360" w:lineRule="auto"/>
        <w:ind w:left="0" w:firstLine="480" w:firstLineChars="200"/>
        <w:rPr>
          <w:rFonts w:ascii="宋体" w:hAnsi="宋体" w:cs="仿宋_GB2312"/>
          <w:color w:val="auto"/>
          <w:sz w:val="24"/>
          <w:highlight w:val="none"/>
        </w:rPr>
      </w:pPr>
      <w:r>
        <w:rPr>
          <w:rFonts w:hint="eastAsia" w:ascii="宋体" w:hAnsi="宋体" w:cs="仿宋_GB2312"/>
          <w:color w:val="auto"/>
          <w:sz w:val="24"/>
          <w:highlight w:val="none"/>
        </w:rPr>
        <w:t>发包人委托承包人办理的保险事项</w:t>
      </w:r>
      <w:r>
        <w:rPr>
          <w:rFonts w:hint="eastAsia" w:ascii="宋体" w:hAnsi="宋体" w:cs="仿宋_GB2312"/>
          <w:color w:val="auto"/>
          <w:sz w:val="24"/>
          <w:highlight w:val="none"/>
          <w:lang w:eastAsia="zh-CN"/>
        </w:rPr>
        <w:t>：</w:t>
      </w:r>
      <w:r>
        <w:rPr>
          <w:rFonts w:ascii="宋体" w:hAnsi="宋体" w:cs="仿宋_GB2312"/>
          <w:color w:val="auto"/>
          <w:sz w:val="24"/>
          <w:highlight w:val="none"/>
        </w:rPr>
        <w:t xml:space="preserve"> </w:t>
      </w:r>
    </w:p>
    <w:p w14:paraId="05F73566">
      <w:pPr>
        <w:tabs>
          <w:tab w:val="left" w:pos="142"/>
          <w:tab w:val="left" w:pos="284"/>
        </w:tabs>
        <w:spacing w:line="360" w:lineRule="auto"/>
        <w:ind w:left="0"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2）承包人投保内容：</w:t>
      </w:r>
      <w:r>
        <w:rPr>
          <w:rFonts w:hint="eastAsia" w:ascii="宋体" w:hAnsi="宋体" w:cs="仿宋_GB2312"/>
          <w:color w:val="auto"/>
          <w:sz w:val="24"/>
          <w:highlight w:val="none"/>
        </w:rPr>
        <w:t>承包人雇主责任险、施工机械设备及工程材料保险、人身伤害险、第三者责任险、安全生产责任险及其他按政府规定应办理的</w:t>
      </w:r>
      <w:r>
        <w:rPr>
          <w:rFonts w:hint="eastAsia" w:ascii="宋体" w:hAnsi="宋体" w:cs="仿宋_GB2312"/>
          <w:color w:val="auto"/>
          <w:sz w:val="24"/>
          <w:highlight w:val="none"/>
          <w:lang w:eastAsia="zh-CN"/>
        </w:rPr>
        <w:t>其他</w:t>
      </w:r>
      <w:r>
        <w:rPr>
          <w:rFonts w:hint="eastAsia" w:ascii="宋体" w:hAnsi="宋体" w:cs="仿宋_GB2312"/>
          <w:color w:val="auto"/>
          <w:sz w:val="24"/>
          <w:highlight w:val="none"/>
        </w:rPr>
        <w:t>保险项目</w:t>
      </w:r>
      <w:r>
        <w:rPr>
          <w:rFonts w:hint="eastAsia" w:ascii="宋体" w:hAnsi="宋体" w:cs="仿宋_GB2312"/>
          <w:color w:val="auto"/>
          <w:sz w:val="24"/>
          <w:highlight w:val="none"/>
          <w:lang w:eastAsia="zh-CN"/>
        </w:rPr>
        <w:t>及其</w:t>
      </w:r>
      <w:r>
        <w:rPr>
          <w:rFonts w:hint="eastAsia" w:ascii="宋体" w:hAnsi="宋体" w:cs="仿宋_GB2312"/>
          <w:color w:val="auto"/>
          <w:sz w:val="24"/>
          <w:highlight w:val="none"/>
        </w:rPr>
        <w:t>认为所需的但不包含在发包人保险范围内的其他保险。</w:t>
      </w:r>
    </w:p>
    <w:p w14:paraId="77C84CF6">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44.</w:t>
      </w:r>
      <w:r>
        <w:rPr>
          <w:rFonts w:hint="eastAsia" w:ascii="宋体" w:hAnsi="宋体" w:cs="仿宋_GB2312"/>
          <w:b/>
          <w:color w:val="auto"/>
          <w:sz w:val="24"/>
          <w:highlight w:val="none"/>
        </w:rPr>
        <w:t>担保</w:t>
      </w:r>
    </w:p>
    <w:p w14:paraId="5A3D8170">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44</w:t>
      </w:r>
      <w:r>
        <w:rPr>
          <w:rFonts w:ascii="宋体" w:hAnsi="宋体" w:cs="仿宋_GB2312"/>
          <w:color w:val="auto"/>
          <w:sz w:val="24"/>
          <w:highlight w:val="none"/>
        </w:rPr>
        <w:t xml:space="preserve">.1 </w:t>
      </w:r>
      <w:r>
        <w:rPr>
          <w:rFonts w:hint="eastAsia" w:ascii="宋体" w:hAnsi="宋体" w:cs="仿宋_GB2312"/>
          <w:color w:val="auto"/>
          <w:sz w:val="24"/>
          <w:highlight w:val="none"/>
        </w:rPr>
        <w:t>本工程双方约定担保事项如下：</w:t>
      </w:r>
    </w:p>
    <w:p w14:paraId="049B7A23">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1）</w:t>
      </w:r>
      <w:r>
        <w:rPr>
          <w:rFonts w:hint="eastAsia" w:ascii="宋体" w:hAnsi="宋体" w:cs="仿宋_GB2312"/>
          <w:color w:val="auto"/>
          <w:sz w:val="24"/>
          <w:highlight w:val="none"/>
        </w:rPr>
        <w:t>发包人向承包人提供履约担保，担保方式为：</w:t>
      </w:r>
      <w:r>
        <w:rPr>
          <w:rFonts w:ascii="宋体" w:hAnsi="宋体" w:cs="仿宋_GB2312"/>
          <w:color w:val="auto"/>
          <w:sz w:val="24"/>
          <w:highlight w:val="none"/>
          <w:u w:val="single"/>
        </w:rPr>
        <w:t xml:space="preserve">   /   </w:t>
      </w:r>
      <w:r>
        <w:rPr>
          <w:rFonts w:hint="eastAsia" w:ascii="宋体" w:hAnsi="宋体" w:cs="仿宋_GB2312"/>
          <w:color w:val="auto"/>
          <w:sz w:val="24"/>
          <w:highlight w:val="none"/>
        </w:rPr>
        <w:t>。</w:t>
      </w:r>
    </w:p>
    <w:p w14:paraId="5BA93906">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2）</w:t>
      </w:r>
      <w:r>
        <w:rPr>
          <w:rFonts w:hint="eastAsia" w:ascii="宋体" w:hAnsi="宋体" w:cs="仿宋_GB2312"/>
          <w:color w:val="auto"/>
          <w:sz w:val="24"/>
          <w:highlight w:val="none"/>
        </w:rPr>
        <w:t>承包人按如下方式向发包人提供履约担保：</w:t>
      </w:r>
    </w:p>
    <w:p w14:paraId="05FD90BF">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① 履约担保：承包人向发包人提交担保金额为中标价</w:t>
      </w:r>
      <w:r>
        <w:rPr>
          <w:rFonts w:ascii="宋体" w:hAnsi="宋体" w:cs="仿宋_GB2312"/>
          <w:color w:val="auto"/>
          <w:sz w:val="24"/>
          <w:highlight w:val="none"/>
        </w:rPr>
        <w:t>10%</w:t>
      </w:r>
      <w:r>
        <w:rPr>
          <w:rFonts w:hint="eastAsia" w:ascii="宋体" w:hAnsi="宋体" w:cs="仿宋_GB2312"/>
          <w:color w:val="auto"/>
          <w:sz w:val="24"/>
          <w:highlight w:val="none"/>
        </w:rPr>
        <w:t>的履约担保，合同签订后</w:t>
      </w:r>
      <w:bookmarkStart w:id="47" w:name="_Hlk90385888"/>
      <w:r>
        <w:rPr>
          <w:rFonts w:hint="eastAsia" w:ascii="宋体" w:hAnsi="宋体" w:cs="仿宋_GB2312"/>
          <w:color w:val="auto"/>
          <w:sz w:val="24"/>
          <w:highlight w:val="none"/>
        </w:rPr>
        <w:t>1</w:t>
      </w:r>
      <w:r>
        <w:rPr>
          <w:rFonts w:ascii="宋体" w:hAnsi="宋体" w:cs="仿宋_GB2312"/>
          <w:color w:val="auto"/>
          <w:sz w:val="24"/>
          <w:highlight w:val="none"/>
        </w:rPr>
        <w:t>5</w:t>
      </w:r>
      <w:r>
        <w:rPr>
          <w:rFonts w:hint="eastAsia" w:ascii="宋体" w:hAnsi="宋体" w:cs="仿宋_GB2312"/>
          <w:color w:val="auto"/>
          <w:sz w:val="24"/>
          <w:highlight w:val="none"/>
        </w:rPr>
        <w:t>个工作日内</w:t>
      </w:r>
      <w:bookmarkEnd w:id="47"/>
      <w:r>
        <w:rPr>
          <w:rFonts w:hint="eastAsia" w:ascii="宋体" w:hAnsi="宋体" w:cs="仿宋_GB2312"/>
          <w:color w:val="auto"/>
          <w:sz w:val="24"/>
          <w:highlight w:val="none"/>
        </w:rPr>
        <w:t>以采用银行保函、担保公司担保或履约保证保险的形式提交。履约担保为银行保函的，须为</w:t>
      </w:r>
      <w:r>
        <w:rPr>
          <w:rFonts w:hint="eastAsia" w:ascii="宋体" w:hAnsi="宋体" w:cs="仿宋_GB2312"/>
          <w:b/>
          <w:bCs/>
          <w:color w:val="auto"/>
          <w:sz w:val="24"/>
          <w:highlight w:val="none"/>
        </w:rPr>
        <w:t>银行</w:t>
      </w:r>
      <w:r>
        <w:rPr>
          <w:rFonts w:hint="eastAsia" w:ascii="宋体" w:hAnsi="宋体" w:cs="仿宋_GB2312"/>
          <w:color w:val="auto"/>
          <w:sz w:val="24"/>
          <w:highlight w:val="none"/>
        </w:rPr>
        <w:t>开具的无条件、不可撤销的保函，保函有效期至工程竣工验收合格之日满【3】个月后止。履约银行保函到期但工程尚未竣工的，承包人应自觉办理保函延期手续，确保担保期限不出现空缺，否则，发包人不予支付工程款。</w:t>
      </w:r>
    </w:p>
    <w:p w14:paraId="6BA6A2A3">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② 履约担保的返还方式：履约担保在项目单位工程竣工验收完成之</w:t>
      </w:r>
      <w:r>
        <w:rPr>
          <w:rFonts w:hint="eastAsia" w:ascii="宋体" w:hAnsi="宋体" w:cs="仿宋_GB2312"/>
          <w:color w:val="auto"/>
          <w:sz w:val="24"/>
          <w:highlight w:val="none"/>
          <w:lang w:eastAsia="zh-CN"/>
        </w:rPr>
        <w:t>日起</w:t>
      </w:r>
      <w:r>
        <w:rPr>
          <w:rFonts w:hint="eastAsia" w:ascii="宋体" w:hAnsi="宋体" w:cs="仿宋_GB2312"/>
          <w:color w:val="auto"/>
          <w:sz w:val="24"/>
          <w:highlight w:val="none"/>
        </w:rPr>
        <w:t>3个月期限届满并完成相关手续后无息退还。</w:t>
      </w:r>
    </w:p>
    <w:p w14:paraId="72BA2A58">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并直接在履约担保中扣除，或兑付履约保函，承包人应在发包人要求期限内补足履约担保。</w:t>
      </w:r>
    </w:p>
    <w:p w14:paraId="6AF757CB">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（4）如上述保函的担保期出现空缺，则发包人有权不予支付预付款和当期工程款，并视同承包人未完全履行合同义务发包人有权提出索赔，具体索赔金额由发包人评估未来履约风险予以确定，单次不低于1万元。</w:t>
      </w:r>
    </w:p>
    <w:p w14:paraId="2DF00141">
      <w:pPr>
        <w:tabs>
          <w:tab w:val="left" w:pos="142"/>
          <w:tab w:val="left" w:pos="284"/>
        </w:tabs>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（5）合同签订后15个工作日内必须提供履约保函，否则视同承包人未完全履行合同义务。</w:t>
      </w:r>
    </w:p>
    <w:p w14:paraId="6B6CF3DA">
      <w:pPr>
        <w:tabs>
          <w:tab w:val="left" w:pos="142"/>
          <w:tab w:val="left" w:pos="284"/>
        </w:tabs>
        <w:snapToGrid w:val="0"/>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lang w:eastAsia="zh-CN"/>
        </w:rPr>
        <w:t>49.</w:t>
      </w:r>
      <w:r>
        <w:rPr>
          <w:rFonts w:hint="eastAsia" w:ascii="宋体" w:hAnsi="宋体" w:cs="仿宋_GB2312"/>
          <w:b/>
          <w:color w:val="auto"/>
          <w:sz w:val="24"/>
          <w:highlight w:val="none"/>
        </w:rPr>
        <w:t>合同份数</w:t>
      </w:r>
    </w:p>
    <w:p w14:paraId="4DD3D8D9">
      <w:pPr>
        <w:tabs>
          <w:tab w:val="left" w:pos="142"/>
          <w:tab w:val="left" w:pos="284"/>
        </w:tabs>
        <w:spacing w:line="360" w:lineRule="auto"/>
        <w:ind w:left="0" w:firstLine="480" w:firstLineChars="200"/>
        <w:rPr>
          <w:rFonts w:ascii="宋体" w:hAnsi="宋体"/>
          <w:color w:val="auto"/>
          <w:highlight w:val="none"/>
        </w:rPr>
      </w:pPr>
      <w:r>
        <w:rPr>
          <w:rFonts w:ascii="宋体" w:hAnsi="宋体" w:cs="仿宋_GB2312"/>
          <w:color w:val="auto"/>
          <w:sz w:val="24"/>
          <w:highlight w:val="none"/>
        </w:rPr>
        <w:t>4</w:t>
      </w:r>
      <w:r>
        <w:rPr>
          <w:rFonts w:hint="eastAsia" w:ascii="宋体" w:hAnsi="宋体" w:cs="仿宋_GB2312"/>
          <w:color w:val="auto"/>
          <w:sz w:val="24"/>
          <w:highlight w:val="none"/>
        </w:rPr>
        <w:t>9</w:t>
      </w:r>
      <w:r>
        <w:rPr>
          <w:rFonts w:ascii="宋体" w:hAnsi="宋体" w:cs="仿宋_GB2312"/>
          <w:color w:val="auto"/>
          <w:sz w:val="24"/>
          <w:highlight w:val="none"/>
        </w:rPr>
        <w:t>.1双方约定合同正本份数：发包人、承包人各壹份；副本份数：</w:t>
      </w:r>
      <w:r>
        <w:rPr>
          <w:rFonts w:hint="eastAsia" w:ascii="宋体" w:hAnsi="宋体" w:cs="仿宋_GB2312"/>
          <w:color w:val="auto"/>
          <w:sz w:val="24"/>
          <w:highlight w:val="none"/>
        </w:rPr>
        <w:t>共捌份，发包人肆份，承包人叁份，监理人壹份。正本和副本不一致的，以正本为准。</w:t>
      </w:r>
    </w:p>
    <w:p w14:paraId="5332D0D3">
      <w:pPr>
        <w:tabs>
          <w:tab w:val="left" w:pos="142"/>
          <w:tab w:val="left" w:pos="284"/>
        </w:tabs>
        <w:spacing w:before="100" w:after="100" w:line="360" w:lineRule="auto"/>
        <w:ind w:left="0" w:leftChars="0" w:right="24"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50</w:t>
      </w:r>
      <w:r>
        <w:rPr>
          <w:rFonts w:ascii="宋体" w:hAnsi="宋体" w:cs="宋体"/>
          <w:b/>
          <w:bCs/>
          <w:color w:val="auto"/>
          <w:kern w:val="0"/>
          <w:sz w:val="24"/>
          <w:szCs w:val="24"/>
          <w:highlight w:val="none"/>
        </w:rPr>
        <w:t>.补充条款</w:t>
      </w:r>
    </w:p>
    <w:p w14:paraId="5F82203E">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1施工期间承包人要确保承包工程内外场地清洁及道路畅通。如需使用他方道路，则还必须负责养护、保洁责任，否则责任自负。施工和警示标志需明显，因施工造成第三人人身损害和财产损失的，由承包人承担责任。</w:t>
      </w:r>
    </w:p>
    <w:p w14:paraId="1E1BD274">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2承包人应注意对原有的道路、供水管、排水管、绿化、路灯、电力与通讯设施等进行保护，如有损坏（属承包人原因的）承包人应无条件修复，由此引起的任何安全事故由承包人负责，并承担由此产生的一切费用。若</w:t>
      </w:r>
      <w:r>
        <w:rPr>
          <w:rFonts w:hint="eastAsia" w:ascii="宋体" w:hAnsi="宋体"/>
          <w:color w:val="auto"/>
          <w:sz w:val="24"/>
          <w:szCs w:val="24"/>
          <w:highlight w:val="none"/>
        </w:rPr>
        <w:t>经发包人书面通知承包人修复，承包人仍</w:t>
      </w:r>
      <w:r>
        <w:rPr>
          <w:rFonts w:ascii="宋体" w:hAnsi="宋体"/>
          <w:color w:val="auto"/>
          <w:sz w:val="24"/>
          <w:szCs w:val="24"/>
          <w:highlight w:val="none"/>
        </w:rPr>
        <w:t>不能按</w:t>
      </w:r>
      <w:r>
        <w:rPr>
          <w:rFonts w:hint="eastAsia" w:ascii="宋体" w:hAnsi="宋体"/>
          <w:color w:val="auto"/>
          <w:sz w:val="24"/>
          <w:szCs w:val="24"/>
          <w:highlight w:val="none"/>
        </w:rPr>
        <w:t>通知</w:t>
      </w:r>
      <w:r>
        <w:rPr>
          <w:rFonts w:ascii="宋体" w:hAnsi="宋体"/>
          <w:color w:val="auto"/>
          <w:sz w:val="24"/>
          <w:szCs w:val="24"/>
          <w:highlight w:val="none"/>
        </w:rPr>
        <w:t>要求</w:t>
      </w:r>
      <w:r>
        <w:rPr>
          <w:rFonts w:hint="eastAsia" w:ascii="宋体" w:hAnsi="宋体"/>
          <w:color w:val="auto"/>
          <w:sz w:val="24"/>
          <w:szCs w:val="24"/>
          <w:highlight w:val="none"/>
        </w:rPr>
        <w:t>的合理期限</w:t>
      </w:r>
      <w:r>
        <w:rPr>
          <w:rFonts w:ascii="宋体" w:hAnsi="宋体"/>
          <w:color w:val="auto"/>
          <w:sz w:val="24"/>
          <w:szCs w:val="24"/>
          <w:highlight w:val="none"/>
        </w:rPr>
        <w:t>修复则由发包人委托</w:t>
      </w:r>
      <w:r>
        <w:rPr>
          <w:rFonts w:hint="eastAsia" w:ascii="宋体" w:hAnsi="宋体"/>
          <w:color w:val="auto"/>
          <w:sz w:val="24"/>
          <w:szCs w:val="24"/>
          <w:highlight w:val="none"/>
          <w:lang w:eastAsia="zh-CN"/>
        </w:rPr>
        <w:t>其他</w:t>
      </w:r>
      <w:r>
        <w:rPr>
          <w:rFonts w:ascii="宋体" w:hAnsi="宋体"/>
          <w:color w:val="auto"/>
          <w:sz w:val="24"/>
          <w:szCs w:val="24"/>
          <w:highlight w:val="none"/>
        </w:rPr>
        <w:t>单位修复，费用从承包人工程款中</w:t>
      </w:r>
      <w:r>
        <w:rPr>
          <w:rFonts w:hint="eastAsia" w:ascii="宋体" w:hAnsi="宋体"/>
          <w:color w:val="auto"/>
          <w:sz w:val="24"/>
          <w:szCs w:val="24"/>
          <w:highlight w:val="none"/>
        </w:rPr>
        <w:t>直接扣除</w:t>
      </w:r>
      <w:r>
        <w:rPr>
          <w:rFonts w:ascii="宋体" w:hAnsi="宋体"/>
          <w:color w:val="auto"/>
          <w:sz w:val="24"/>
          <w:szCs w:val="24"/>
          <w:highlight w:val="none"/>
        </w:rPr>
        <w:t>。</w:t>
      </w:r>
    </w:p>
    <w:p w14:paraId="2C655D25">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 xml:space="preserve">.3 </w:t>
      </w:r>
      <w:r>
        <w:rPr>
          <w:rFonts w:hint="eastAsia" w:ascii="宋体" w:hAnsi="宋体"/>
          <w:color w:val="auto"/>
          <w:sz w:val="24"/>
          <w:szCs w:val="24"/>
          <w:highlight w:val="none"/>
        </w:rPr>
        <w:t>承包人须按照发包人与监理人的要求做好施工</w:t>
      </w:r>
      <w:r>
        <w:rPr>
          <w:rFonts w:ascii="宋体" w:hAnsi="宋体"/>
          <w:color w:val="auto"/>
          <w:sz w:val="24"/>
          <w:szCs w:val="24"/>
          <w:highlight w:val="none"/>
        </w:rPr>
        <w:t>总承包已完工部分的</w:t>
      </w:r>
      <w:r>
        <w:rPr>
          <w:rFonts w:hint="eastAsia" w:ascii="宋体" w:hAnsi="宋体"/>
          <w:color w:val="auto"/>
          <w:sz w:val="24"/>
          <w:szCs w:val="24"/>
          <w:highlight w:val="none"/>
        </w:rPr>
        <w:t>衔接及</w:t>
      </w:r>
      <w:r>
        <w:rPr>
          <w:rFonts w:ascii="宋体" w:hAnsi="宋体"/>
          <w:color w:val="auto"/>
          <w:sz w:val="24"/>
          <w:szCs w:val="24"/>
          <w:highlight w:val="none"/>
        </w:rPr>
        <w:t>成品保护</w:t>
      </w:r>
      <w:r>
        <w:rPr>
          <w:rFonts w:hint="eastAsia" w:ascii="宋体" w:hAnsi="宋体"/>
          <w:color w:val="auto"/>
          <w:sz w:val="24"/>
          <w:szCs w:val="24"/>
          <w:highlight w:val="none"/>
        </w:rPr>
        <w:t>工作，费用包含在</w:t>
      </w:r>
      <w:r>
        <w:rPr>
          <w:rFonts w:hint="eastAsia" w:ascii="宋体" w:hAnsi="宋体"/>
          <w:color w:val="auto"/>
          <w:sz w:val="24"/>
          <w:szCs w:val="24"/>
          <w:highlight w:val="none"/>
          <w:lang w:val="en-US" w:eastAsia="zh-CN"/>
        </w:rPr>
        <w:t>投标报价</w:t>
      </w:r>
      <w:r>
        <w:rPr>
          <w:rFonts w:hint="eastAsia" w:ascii="宋体" w:hAnsi="宋体"/>
          <w:color w:val="auto"/>
          <w:sz w:val="24"/>
          <w:szCs w:val="24"/>
          <w:highlight w:val="none"/>
        </w:rPr>
        <w:t>中。</w:t>
      </w:r>
    </w:p>
    <w:p w14:paraId="47B32656">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 xml:space="preserve">.4 </w:t>
      </w:r>
      <w:r>
        <w:rPr>
          <w:rFonts w:hint="eastAsia" w:ascii="宋体" w:hAnsi="宋体"/>
          <w:color w:val="auto"/>
          <w:sz w:val="24"/>
          <w:szCs w:val="24"/>
          <w:highlight w:val="none"/>
        </w:rPr>
        <w:t>承包人须按照发包人与监理单位签订的《建设工程监理合同》接受监理人的全过程监理。</w:t>
      </w:r>
    </w:p>
    <w:p w14:paraId="3ED29F89">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 xml:space="preserve">.5 </w:t>
      </w:r>
      <w:r>
        <w:rPr>
          <w:rFonts w:hint="eastAsia" w:ascii="宋体" w:hAnsi="宋体"/>
          <w:color w:val="auto"/>
          <w:sz w:val="24"/>
          <w:szCs w:val="24"/>
          <w:highlight w:val="none"/>
        </w:rPr>
        <w:t>本工程结算以发包人审定的结算为准，如果审计机构依法对本工程实施审计，承包人及监理单位应积极配合。</w:t>
      </w:r>
    </w:p>
    <w:p w14:paraId="313F32FF">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 xml:space="preserve">.6 </w:t>
      </w:r>
      <w:r>
        <w:rPr>
          <w:rFonts w:hint="eastAsia" w:ascii="宋体" w:hAnsi="宋体"/>
          <w:color w:val="auto"/>
          <w:sz w:val="24"/>
          <w:szCs w:val="24"/>
          <w:highlight w:val="none"/>
        </w:rPr>
        <w:t>发生须紧急抢修事故，承包人接到通知后，应立即到达事故现场抢修；否则，发包人可以另行委托单位抢修，属承包人施工质量问题造成的修复等费用全部由承包人承担。</w:t>
      </w:r>
    </w:p>
    <w:p w14:paraId="60942D83">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 xml:space="preserve">.7 </w:t>
      </w:r>
      <w:r>
        <w:rPr>
          <w:rFonts w:hint="eastAsia" w:ascii="宋体" w:hAnsi="宋体"/>
          <w:color w:val="auto"/>
          <w:sz w:val="24"/>
          <w:szCs w:val="24"/>
          <w:highlight w:val="none"/>
        </w:rPr>
        <w:t>现场施工时，施工员（技术员）不在施工现场不得施工，否则发包人可随时要求停工，工期延误由承包人负责。</w:t>
      </w:r>
    </w:p>
    <w:p w14:paraId="2FA2E25E">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 xml:space="preserve">.8 </w:t>
      </w:r>
      <w:r>
        <w:rPr>
          <w:rFonts w:hint="eastAsia" w:ascii="宋体" w:hAnsi="宋体"/>
          <w:color w:val="auto"/>
          <w:sz w:val="24"/>
          <w:szCs w:val="24"/>
          <w:highlight w:val="none"/>
        </w:rPr>
        <w:t>施工期间承包人要做好施工范围内的门前“三包”工作。</w:t>
      </w:r>
    </w:p>
    <w:p w14:paraId="16D2F995">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.9</w:t>
      </w:r>
      <w:r>
        <w:rPr>
          <w:rFonts w:hint="eastAsia" w:ascii="宋体" w:hAnsi="宋体"/>
          <w:color w:val="auto"/>
          <w:sz w:val="24"/>
          <w:szCs w:val="24"/>
          <w:highlight w:val="none"/>
        </w:rPr>
        <w:t>承包人必须严格按广州市、黄埔区和开发区有关的文明施工规定及要求组织工程施工。</w:t>
      </w:r>
    </w:p>
    <w:p w14:paraId="36BD7CE8">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.1</w:t>
      </w:r>
      <w:r>
        <w:rPr>
          <w:rFonts w:hint="eastAsia" w:ascii="宋体" w:hAnsi="宋体"/>
          <w:color w:val="auto"/>
          <w:sz w:val="24"/>
          <w:szCs w:val="24"/>
          <w:highlight w:val="none"/>
        </w:rPr>
        <w:t>0 本招标工程的保修期按建设部颁发的《房屋建筑工程质量保修办法》规定的保修期限实行。保修期自竣工验收签字之日起计，在保修期内因施工质量而造成返修，其费用由承包人负责。工程质量按现行验评标准组织验收认定。</w:t>
      </w:r>
    </w:p>
    <w:p w14:paraId="1E6D9777">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50</w:t>
      </w:r>
      <w:r>
        <w:rPr>
          <w:rFonts w:ascii="宋体" w:hAnsi="宋体"/>
          <w:color w:val="auto"/>
          <w:sz w:val="24"/>
          <w:szCs w:val="24"/>
          <w:highlight w:val="none"/>
        </w:rPr>
        <w:t>.1</w:t>
      </w:r>
      <w:r>
        <w:rPr>
          <w:rFonts w:hint="eastAsia" w:ascii="宋体" w:hAnsi="宋体"/>
          <w:color w:val="auto"/>
          <w:sz w:val="24"/>
          <w:szCs w:val="24"/>
          <w:highlight w:val="none"/>
        </w:rPr>
        <w:t>1 档案管理：</w:t>
      </w:r>
    </w:p>
    <w:p w14:paraId="6D587922">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1）要执行发包人有关工程档案管理的各项规定，承包人所提交的档案案卷质量要符合档案规定要求。</w:t>
      </w:r>
    </w:p>
    <w:p w14:paraId="762C0370">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2）承包人向发包人档案室提交一式</w:t>
      </w:r>
      <w:r>
        <w:rPr>
          <w:rFonts w:hint="eastAsia" w:ascii="宋体" w:hAnsi="宋体"/>
          <w:color w:val="auto"/>
          <w:sz w:val="24"/>
          <w:szCs w:val="24"/>
          <w:highlight w:val="none"/>
        </w:rPr>
        <w:t>捌</w:t>
      </w:r>
      <w:r>
        <w:rPr>
          <w:rFonts w:ascii="宋体" w:hAnsi="宋体"/>
          <w:color w:val="auto"/>
          <w:sz w:val="24"/>
          <w:szCs w:val="24"/>
          <w:highlight w:val="none"/>
        </w:rPr>
        <w:t>套的档案。</w:t>
      </w:r>
    </w:p>
    <w:p w14:paraId="118CC3B8">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3）承包人须配合发包人并提供主体工程竣工备案所需的承包人承包范围内工程资料，若承包人怠于提供，则按</w:t>
      </w:r>
      <w:r>
        <w:rPr>
          <w:rFonts w:hint="eastAsia" w:ascii="宋体" w:hAnsi="宋体"/>
          <w:color w:val="auto"/>
          <w:sz w:val="24"/>
          <w:szCs w:val="24"/>
          <w:highlight w:val="none"/>
        </w:rPr>
        <w:t>本</w:t>
      </w:r>
      <w:r>
        <w:rPr>
          <w:rFonts w:ascii="宋体" w:hAnsi="宋体"/>
          <w:color w:val="auto"/>
          <w:sz w:val="24"/>
          <w:szCs w:val="24"/>
          <w:highlight w:val="none"/>
        </w:rPr>
        <w:t>合同</w:t>
      </w:r>
      <w:r>
        <w:rPr>
          <w:rFonts w:hint="eastAsia" w:ascii="宋体" w:hAnsi="宋体"/>
          <w:color w:val="auto"/>
          <w:sz w:val="24"/>
          <w:szCs w:val="24"/>
          <w:highlight w:val="none"/>
        </w:rPr>
        <w:t>结算</w:t>
      </w:r>
      <w:r>
        <w:rPr>
          <w:rFonts w:ascii="宋体" w:hAnsi="宋体"/>
          <w:color w:val="auto"/>
          <w:sz w:val="24"/>
          <w:szCs w:val="24"/>
          <w:highlight w:val="none"/>
        </w:rPr>
        <w:t>价款的1%</w:t>
      </w:r>
      <w:r>
        <w:rPr>
          <w:rFonts w:hint="eastAsia" w:ascii="宋体" w:hAnsi="宋体"/>
          <w:color w:val="auto"/>
          <w:sz w:val="24"/>
          <w:szCs w:val="24"/>
          <w:highlight w:val="none"/>
        </w:rPr>
        <w:t>向发包人支付违约金</w:t>
      </w:r>
      <w:r>
        <w:rPr>
          <w:rFonts w:ascii="宋体" w:hAnsi="宋体"/>
          <w:color w:val="auto"/>
          <w:sz w:val="24"/>
          <w:szCs w:val="24"/>
          <w:highlight w:val="none"/>
        </w:rPr>
        <w:t>。</w:t>
      </w:r>
    </w:p>
    <w:p w14:paraId="603D3033">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4）单项或分部工程竣工一个月后，承包人应向发包人提出申请，经检查合格，三个月内必须办理移交手续。</w:t>
      </w:r>
    </w:p>
    <w:p w14:paraId="266F03DF">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5）承包人所提交的工程档案若达不到合同要求，不予办理结算，直至档案移交验收合格。</w:t>
      </w:r>
    </w:p>
    <w:p w14:paraId="0BF458B5">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各方在履行合同过程产生争议的，经</w:t>
      </w:r>
      <w:r>
        <w:rPr>
          <w:rFonts w:hint="eastAsia" w:ascii="宋体" w:hAnsi="宋体"/>
          <w:color w:val="auto"/>
          <w:sz w:val="24"/>
          <w:szCs w:val="24"/>
          <w:highlight w:val="none"/>
          <w:u w:val="single"/>
        </w:rPr>
        <w:t>/</w:t>
      </w:r>
      <w:r>
        <w:rPr>
          <w:rFonts w:ascii="宋体" w:hAnsi="宋体"/>
          <w:color w:val="auto"/>
          <w:sz w:val="24"/>
          <w:szCs w:val="24"/>
          <w:highlight w:val="none"/>
        </w:rPr>
        <w:t xml:space="preserve"> </w:t>
      </w:r>
      <w:r>
        <w:rPr>
          <w:rFonts w:hint="eastAsia" w:ascii="宋体" w:hAnsi="宋体"/>
          <w:color w:val="auto"/>
          <w:sz w:val="24"/>
          <w:szCs w:val="24"/>
          <w:highlight w:val="none"/>
        </w:rPr>
        <w:t>调解后，各方仍未达成一致意见，任何一方有权向工程所在地有管辖权提起诉讼。</w:t>
      </w:r>
    </w:p>
    <w:p w14:paraId="37FBD14D">
      <w:pPr>
        <w:tabs>
          <w:tab w:val="left" w:pos="142"/>
          <w:tab w:val="left" w:pos="284"/>
        </w:tabs>
        <w:spacing w:line="360" w:lineRule="auto"/>
        <w:ind w:left="0"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3</w:t>
      </w:r>
      <w:r>
        <w:rPr>
          <w:rFonts w:ascii="宋体" w:hAnsi="宋体"/>
          <w:color w:val="auto"/>
          <w:sz w:val="24"/>
          <w:szCs w:val="24"/>
          <w:highlight w:val="none"/>
        </w:rPr>
        <w:t>未尽事宜，经各方友好协商解决。</w:t>
      </w:r>
    </w:p>
    <w:p w14:paraId="52993DA1">
      <w:pPr>
        <w:tabs>
          <w:tab w:val="left" w:pos="142"/>
          <w:tab w:val="left" w:pos="284"/>
        </w:tabs>
        <w:spacing w:before="100" w:after="100" w:line="360" w:lineRule="auto"/>
        <w:ind w:left="0" w:leftChars="0" w:right="24"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eastAsia="zh-CN"/>
        </w:rPr>
        <w:t>51.</w:t>
      </w:r>
      <w:r>
        <w:rPr>
          <w:rFonts w:hint="eastAsia" w:ascii="宋体" w:hAnsi="宋体" w:cs="宋体"/>
          <w:b/>
          <w:bCs/>
          <w:color w:val="auto"/>
          <w:kern w:val="0"/>
          <w:sz w:val="24"/>
          <w:szCs w:val="24"/>
          <w:highlight w:val="none"/>
        </w:rPr>
        <w:t>承包人的其他违约责任</w:t>
      </w:r>
    </w:p>
    <w:p w14:paraId="5BDE2E57">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.1</w:t>
      </w:r>
      <w:r>
        <w:rPr>
          <w:rFonts w:hint="eastAsia" w:ascii="宋体" w:hAnsi="宋体"/>
          <w:color w:val="auto"/>
          <w:sz w:val="24"/>
          <w:szCs w:val="24"/>
          <w:highlight w:val="none"/>
        </w:rPr>
        <w:t xml:space="preserve"> </w:t>
      </w:r>
      <w:r>
        <w:rPr>
          <w:rFonts w:ascii="宋体" w:hAnsi="宋体"/>
          <w:color w:val="auto"/>
          <w:sz w:val="24"/>
          <w:szCs w:val="24"/>
          <w:highlight w:val="none"/>
        </w:rPr>
        <w:t>承包人人员资格的特别规定：所有特殊工种人员均应符合有关规定，获得上岗资格，持有有关部门颁发的资质证书或上岗证，并在施工上岗之前提供给监理工程师审查，施工中持证上岗，并佩戴单位上岗证。在特殊工种的施工中，若发现不佩戴岗位证的人员，不持有资格证书施工，则按每发现一次，</w:t>
      </w:r>
      <w:r>
        <w:rPr>
          <w:rFonts w:hint="eastAsia" w:ascii="宋体" w:hAnsi="宋体"/>
          <w:color w:val="auto"/>
          <w:sz w:val="24"/>
          <w:szCs w:val="24"/>
          <w:highlight w:val="none"/>
        </w:rPr>
        <w:t>承包人应按</w:t>
      </w:r>
      <w:r>
        <w:rPr>
          <w:rFonts w:ascii="宋体" w:hAnsi="宋体"/>
          <w:color w:val="auto"/>
          <w:sz w:val="24"/>
          <w:szCs w:val="24"/>
          <w:highlight w:val="none"/>
        </w:rPr>
        <w:t>500元/人次</w:t>
      </w:r>
      <w:r>
        <w:rPr>
          <w:rFonts w:hint="eastAsia" w:ascii="宋体" w:hAnsi="宋体"/>
          <w:color w:val="auto"/>
          <w:sz w:val="24"/>
          <w:szCs w:val="24"/>
          <w:highlight w:val="none"/>
        </w:rPr>
        <w:t>向发包人支付违约金</w:t>
      </w:r>
      <w:r>
        <w:rPr>
          <w:rFonts w:ascii="宋体" w:hAnsi="宋体"/>
          <w:color w:val="auto"/>
          <w:sz w:val="24"/>
          <w:szCs w:val="24"/>
          <w:highlight w:val="none"/>
        </w:rPr>
        <w:t>。累计5次则停工整顿</w:t>
      </w:r>
      <w:r>
        <w:rPr>
          <w:rFonts w:hint="eastAsia" w:ascii="宋体" w:hAnsi="宋体"/>
          <w:color w:val="auto"/>
          <w:sz w:val="24"/>
          <w:szCs w:val="24"/>
          <w:highlight w:val="none"/>
        </w:rPr>
        <w:t>，且因此造成工期延误的责任全部由承包人承担。</w:t>
      </w:r>
    </w:p>
    <w:p w14:paraId="75A4AC2C">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.2</w:t>
      </w:r>
      <w:r>
        <w:rPr>
          <w:rFonts w:hint="eastAsia" w:ascii="宋体" w:hAnsi="宋体"/>
          <w:color w:val="auto"/>
          <w:sz w:val="24"/>
          <w:szCs w:val="24"/>
          <w:highlight w:val="none"/>
        </w:rPr>
        <w:t xml:space="preserve"> </w:t>
      </w:r>
      <w:r>
        <w:rPr>
          <w:rFonts w:ascii="宋体" w:hAnsi="宋体"/>
          <w:color w:val="auto"/>
          <w:sz w:val="24"/>
          <w:szCs w:val="24"/>
          <w:highlight w:val="none"/>
        </w:rPr>
        <w:t>承包人</w:t>
      </w:r>
      <w:r>
        <w:rPr>
          <w:rFonts w:hint="eastAsia" w:ascii="宋体" w:hAnsi="宋体"/>
          <w:color w:val="auto"/>
          <w:sz w:val="24"/>
          <w:szCs w:val="24"/>
          <w:highlight w:val="none"/>
          <w:lang w:eastAsia="zh-CN"/>
        </w:rPr>
        <w:t>必须</w:t>
      </w:r>
      <w:r>
        <w:rPr>
          <w:rFonts w:ascii="宋体" w:hAnsi="宋体"/>
          <w:color w:val="auto"/>
          <w:sz w:val="24"/>
          <w:szCs w:val="24"/>
          <w:highlight w:val="none"/>
        </w:rPr>
        <w:t>服从监理</w:t>
      </w:r>
      <w:r>
        <w:rPr>
          <w:rFonts w:hint="eastAsia" w:ascii="宋体" w:hAnsi="宋体"/>
          <w:color w:val="auto"/>
          <w:sz w:val="24"/>
          <w:szCs w:val="24"/>
          <w:highlight w:val="none"/>
        </w:rPr>
        <w:t>单位</w:t>
      </w:r>
      <w:r>
        <w:rPr>
          <w:rFonts w:ascii="宋体" w:hAnsi="宋体"/>
          <w:color w:val="auto"/>
          <w:sz w:val="24"/>
          <w:szCs w:val="24"/>
          <w:highlight w:val="none"/>
        </w:rPr>
        <w:t>、发包人的管理，对影响工程质量、进度，不利于</w:t>
      </w:r>
      <w:r>
        <w:rPr>
          <w:rFonts w:hint="eastAsia" w:ascii="宋体" w:hAnsi="宋体"/>
          <w:color w:val="auto"/>
          <w:sz w:val="24"/>
          <w:szCs w:val="24"/>
          <w:highlight w:val="none"/>
        </w:rPr>
        <w:t>双方合作的不友好人员，发包人有权通知承包人调整人员并使不友好人员离开工地。在施工过程中如不服从管理与监理、发包人发生吵架、侮辱性语言</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承包人应向发包人支付违约金</w:t>
      </w:r>
      <w:r>
        <w:rPr>
          <w:rFonts w:ascii="宋体" w:hAnsi="宋体"/>
          <w:color w:val="auto"/>
          <w:sz w:val="24"/>
          <w:szCs w:val="24"/>
          <w:highlight w:val="none"/>
        </w:rPr>
        <w:t>500元/人</w:t>
      </w:r>
      <w:r>
        <w:rPr>
          <w:rFonts w:hint="eastAsia" w:ascii="宋体" w:hAnsi="宋体"/>
          <w:color w:val="auto"/>
          <w:sz w:val="24"/>
          <w:szCs w:val="24"/>
          <w:highlight w:val="none"/>
        </w:rPr>
        <w:t>/</w:t>
      </w:r>
      <w:r>
        <w:rPr>
          <w:rFonts w:ascii="宋体" w:hAnsi="宋体"/>
          <w:color w:val="auto"/>
          <w:sz w:val="24"/>
          <w:szCs w:val="24"/>
          <w:highlight w:val="none"/>
        </w:rPr>
        <w:t>次，如与监理</w:t>
      </w:r>
      <w:r>
        <w:rPr>
          <w:rFonts w:hint="eastAsia" w:ascii="宋体" w:hAnsi="宋体"/>
          <w:color w:val="auto"/>
          <w:sz w:val="24"/>
          <w:szCs w:val="24"/>
          <w:highlight w:val="none"/>
        </w:rPr>
        <w:t>单位</w:t>
      </w:r>
      <w:r>
        <w:rPr>
          <w:rFonts w:ascii="宋体" w:hAnsi="宋体"/>
          <w:color w:val="auto"/>
          <w:sz w:val="24"/>
          <w:szCs w:val="24"/>
          <w:highlight w:val="none"/>
        </w:rPr>
        <w:t>、发包人、其他施工单位发生肢体冲突、打架斗殴的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承包人应向发包人支付</w:t>
      </w:r>
      <w:r>
        <w:rPr>
          <w:rFonts w:hint="eastAsia" w:ascii="宋体" w:hAnsi="宋体"/>
          <w:color w:val="auto"/>
          <w:sz w:val="24"/>
          <w:szCs w:val="24"/>
          <w:highlight w:val="none"/>
          <w:lang w:eastAsia="zh-CN"/>
        </w:rPr>
        <w:t>违约金</w:t>
      </w:r>
      <w:r>
        <w:rPr>
          <w:rFonts w:ascii="宋体" w:hAnsi="宋体"/>
          <w:color w:val="auto"/>
          <w:sz w:val="24"/>
          <w:szCs w:val="24"/>
          <w:highlight w:val="none"/>
        </w:rPr>
        <w:t>2000</w:t>
      </w:r>
      <w:r>
        <w:rPr>
          <w:rFonts w:hint="eastAsia" w:ascii="宋体" w:hAnsi="宋体"/>
          <w:color w:val="auto"/>
          <w:sz w:val="24"/>
          <w:szCs w:val="24"/>
          <w:highlight w:val="none"/>
        </w:rPr>
        <w:t>元</w:t>
      </w:r>
      <w:r>
        <w:rPr>
          <w:rFonts w:ascii="宋体" w:hAnsi="宋体"/>
          <w:color w:val="auto"/>
          <w:sz w:val="24"/>
          <w:szCs w:val="24"/>
          <w:highlight w:val="none"/>
        </w:rPr>
        <w:t>/人</w:t>
      </w:r>
      <w:r>
        <w:rPr>
          <w:rFonts w:hint="eastAsia" w:ascii="宋体" w:hAnsi="宋体"/>
          <w:color w:val="auto"/>
          <w:sz w:val="24"/>
          <w:szCs w:val="24"/>
          <w:highlight w:val="none"/>
        </w:rPr>
        <w:t>/</w:t>
      </w:r>
      <w:r>
        <w:rPr>
          <w:rFonts w:ascii="宋体" w:hAnsi="宋体"/>
          <w:color w:val="auto"/>
          <w:sz w:val="24"/>
          <w:szCs w:val="24"/>
          <w:highlight w:val="none"/>
        </w:rPr>
        <w:t>次，情节严重的移送公安部门处理。</w:t>
      </w:r>
    </w:p>
    <w:p w14:paraId="496E1BC1">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.3</w:t>
      </w:r>
      <w:r>
        <w:rPr>
          <w:rFonts w:hint="eastAsia" w:ascii="宋体" w:hAnsi="宋体"/>
          <w:color w:val="auto"/>
          <w:sz w:val="24"/>
          <w:szCs w:val="24"/>
          <w:highlight w:val="none"/>
        </w:rPr>
        <w:t xml:space="preserve"> </w:t>
      </w:r>
      <w:r>
        <w:rPr>
          <w:rFonts w:ascii="宋体" w:hAnsi="宋体"/>
          <w:color w:val="auto"/>
          <w:sz w:val="24"/>
          <w:szCs w:val="24"/>
          <w:highlight w:val="none"/>
        </w:rPr>
        <w:t>违反工程建设标准强制性条文（质量、安全）累计达三次的停工整改，</w:t>
      </w:r>
      <w:r>
        <w:rPr>
          <w:rFonts w:hint="eastAsia" w:ascii="宋体" w:hAnsi="宋体"/>
          <w:color w:val="auto"/>
          <w:sz w:val="24"/>
          <w:szCs w:val="24"/>
          <w:highlight w:val="none"/>
        </w:rPr>
        <w:t>承包人应向发包人支付</w:t>
      </w:r>
      <w:r>
        <w:rPr>
          <w:rFonts w:ascii="宋体" w:hAnsi="宋体"/>
          <w:color w:val="auto"/>
          <w:sz w:val="24"/>
          <w:szCs w:val="24"/>
          <w:highlight w:val="none"/>
        </w:rPr>
        <w:t>违约金</w:t>
      </w:r>
      <w:r>
        <w:rPr>
          <w:rFonts w:hint="eastAsia" w:ascii="宋体" w:hAnsi="宋体"/>
          <w:color w:val="auto"/>
          <w:sz w:val="24"/>
          <w:szCs w:val="24"/>
          <w:highlight w:val="none"/>
        </w:rPr>
        <w:t>2</w:t>
      </w:r>
      <w:r>
        <w:rPr>
          <w:rFonts w:ascii="宋体" w:hAnsi="宋体"/>
          <w:color w:val="auto"/>
          <w:sz w:val="24"/>
          <w:szCs w:val="24"/>
          <w:highlight w:val="none"/>
        </w:rPr>
        <w:t>000</w:t>
      </w:r>
      <w:r>
        <w:rPr>
          <w:rFonts w:hint="eastAsia" w:ascii="宋体" w:hAnsi="宋体"/>
          <w:color w:val="auto"/>
          <w:sz w:val="24"/>
          <w:szCs w:val="24"/>
          <w:highlight w:val="none"/>
        </w:rPr>
        <w:t>元</w:t>
      </w:r>
      <w:r>
        <w:rPr>
          <w:rFonts w:ascii="宋体" w:hAnsi="宋体"/>
          <w:color w:val="auto"/>
          <w:sz w:val="24"/>
          <w:szCs w:val="24"/>
          <w:highlight w:val="none"/>
        </w:rPr>
        <w:t>/人</w:t>
      </w:r>
      <w:r>
        <w:rPr>
          <w:rFonts w:hint="eastAsia" w:ascii="宋体" w:hAnsi="宋体"/>
          <w:color w:val="auto"/>
          <w:sz w:val="24"/>
          <w:szCs w:val="24"/>
          <w:highlight w:val="none"/>
        </w:rPr>
        <w:t>/</w:t>
      </w:r>
      <w:r>
        <w:rPr>
          <w:rFonts w:ascii="宋体" w:hAnsi="宋体"/>
          <w:color w:val="auto"/>
          <w:sz w:val="24"/>
          <w:szCs w:val="24"/>
          <w:highlight w:val="none"/>
        </w:rPr>
        <w:t>次。</w:t>
      </w:r>
    </w:p>
    <w:p w14:paraId="202B9A0D">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w:t>
      </w:r>
      <w:r>
        <w:rPr>
          <w:rFonts w:hint="eastAsia" w:ascii="宋体" w:hAnsi="宋体"/>
          <w:color w:val="auto"/>
          <w:sz w:val="24"/>
          <w:szCs w:val="24"/>
          <w:highlight w:val="none"/>
        </w:rPr>
        <w:t>4 承包人违反安全及文明施工规定的视情节轻重承担违约金</w:t>
      </w:r>
      <w:r>
        <w:rPr>
          <w:rFonts w:ascii="宋体" w:hAnsi="宋体"/>
          <w:color w:val="auto"/>
          <w:sz w:val="24"/>
          <w:szCs w:val="24"/>
          <w:highlight w:val="none"/>
        </w:rPr>
        <w:t>50-2,000</w:t>
      </w:r>
      <w:r>
        <w:rPr>
          <w:rFonts w:hint="eastAsia" w:ascii="宋体" w:hAnsi="宋体"/>
          <w:color w:val="auto"/>
          <w:sz w:val="24"/>
          <w:szCs w:val="24"/>
          <w:highlight w:val="none"/>
        </w:rPr>
        <w:t>元</w:t>
      </w:r>
      <w:r>
        <w:rPr>
          <w:rFonts w:ascii="宋体" w:hAnsi="宋体"/>
          <w:color w:val="auto"/>
          <w:sz w:val="24"/>
          <w:szCs w:val="24"/>
          <w:highlight w:val="none"/>
        </w:rPr>
        <w:t>/次，经监理确认后，发包人有权从</w:t>
      </w:r>
      <w:r>
        <w:rPr>
          <w:rFonts w:hint="eastAsia" w:ascii="宋体" w:hAnsi="宋体"/>
          <w:color w:val="auto"/>
          <w:sz w:val="24"/>
          <w:szCs w:val="24"/>
          <w:highlight w:val="none"/>
          <w:lang w:eastAsia="zh-CN"/>
        </w:rPr>
        <w:t>应付</w:t>
      </w:r>
      <w:r>
        <w:rPr>
          <w:rFonts w:ascii="宋体" w:hAnsi="宋体"/>
          <w:color w:val="auto"/>
          <w:sz w:val="24"/>
          <w:szCs w:val="24"/>
          <w:highlight w:val="none"/>
        </w:rPr>
        <w:t>工程款中直接扣除。</w:t>
      </w:r>
    </w:p>
    <w:p w14:paraId="43C19D85">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w:t>
      </w:r>
      <w:r>
        <w:rPr>
          <w:rFonts w:hint="eastAsia" w:ascii="宋体" w:hAnsi="宋体"/>
          <w:color w:val="auto"/>
          <w:sz w:val="24"/>
          <w:szCs w:val="24"/>
          <w:highlight w:val="none"/>
        </w:rPr>
        <w:t>5 发生造价减少的变更和签证，如承包人在</w:t>
      </w:r>
      <w:r>
        <w:rPr>
          <w:rFonts w:ascii="宋体" w:hAnsi="宋体"/>
          <w:color w:val="auto"/>
          <w:sz w:val="24"/>
          <w:szCs w:val="24"/>
          <w:highlight w:val="none"/>
        </w:rPr>
        <w:t>14个日历天之内不申报的，发包人有权在竣工结算审计时予以减少扣除，并且承包人须承担违约金</w:t>
      </w:r>
      <w:r>
        <w:rPr>
          <w:rFonts w:hint="eastAsia" w:ascii="宋体" w:hAnsi="宋体"/>
          <w:color w:val="auto"/>
          <w:sz w:val="24"/>
          <w:szCs w:val="24"/>
          <w:highlight w:val="none"/>
        </w:rPr>
        <w:t>2000元</w:t>
      </w:r>
      <w:r>
        <w:rPr>
          <w:rFonts w:ascii="宋体" w:hAnsi="宋体"/>
          <w:color w:val="auto"/>
          <w:sz w:val="24"/>
          <w:szCs w:val="24"/>
          <w:highlight w:val="none"/>
        </w:rPr>
        <w:t>/次；若承包人在竣工结算时隐瞒不报的，发包人有权在竣工结算审计时予以扣除，并且承包人须</w:t>
      </w:r>
      <w:r>
        <w:rPr>
          <w:rFonts w:hint="eastAsia" w:ascii="宋体" w:hAnsi="宋体"/>
          <w:color w:val="auto"/>
          <w:sz w:val="24"/>
          <w:szCs w:val="24"/>
          <w:highlight w:val="none"/>
        </w:rPr>
        <w:t>按5000元</w:t>
      </w:r>
      <w:r>
        <w:rPr>
          <w:rFonts w:ascii="宋体" w:hAnsi="宋体"/>
          <w:color w:val="auto"/>
          <w:sz w:val="24"/>
          <w:szCs w:val="24"/>
          <w:highlight w:val="none"/>
        </w:rPr>
        <w:t>/次</w:t>
      </w:r>
      <w:r>
        <w:rPr>
          <w:rFonts w:hint="eastAsia" w:ascii="宋体" w:hAnsi="宋体"/>
          <w:color w:val="auto"/>
          <w:sz w:val="24"/>
          <w:szCs w:val="24"/>
          <w:highlight w:val="none"/>
        </w:rPr>
        <w:t>的标准支付</w:t>
      </w:r>
      <w:r>
        <w:rPr>
          <w:rFonts w:ascii="宋体" w:hAnsi="宋体"/>
          <w:color w:val="auto"/>
          <w:sz w:val="24"/>
          <w:szCs w:val="24"/>
          <w:highlight w:val="none"/>
        </w:rPr>
        <w:t>违约金。</w:t>
      </w:r>
    </w:p>
    <w:p w14:paraId="75C4C504">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w:t>
      </w:r>
      <w:r>
        <w:rPr>
          <w:rFonts w:hint="eastAsia" w:ascii="宋体" w:hAnsi="宋体"/>
          <w:color w:val="auto"/>
          <w:sz w:val="24"/>
          <w:szCs w:val="24"/>
          <w:highlight w:val="none"/>
        </w:rPr>
        <w:t>6 单位工程竣工验收合格后</w:t>
      </w:r>
      <w:r>
        <w:rPr>
          <w:rFonts w:ascii="宋体" w:hAnsi="宋体"/>
          <w:color w:val="auto"/>
          <w:sz w:val="24"/>
          <w:szCs w:val="24"/>
          <w:highlight w:val="none"/>
        </w:rPr>
        <w:t>15个日历天内，除经发包人书面同意外，一切施工人员、临时设施、施工机械、设备和器材必须撤离施工现场，否则，承包人按每天</w:t>
      </w:r>
      <w:r>
        <w:rPr>
          <w:rFonts w:hint="eastAsia" w:ascii="宋体" w:hAnsi="宋体"/>
          <w:color w:val="auto"/>
          <w:sz w:val="24"/>
          <w:szCs w:val="24"/>
          <w:highlight w:val="none"/>
        </w:rPr>
        <w:t>2000元支付违约金，违约金累计计算，发包人可直接从剩余应付款项中扣减。</w:t>
      </w:r>
      <w:r>
        <w:rPr>
          <w:rFonts w:ascii="宋体" w:hAnsi="宋体"/>
          <w:color w:val="auto"/>
          <w:sz w:val="24"/>
          <w:szCs w:val="24"/>
          <w:highlight w:val="none"/>
        </w:rPr>
        <w:t>如逾期不退场或退场不清，则承包人滞留在工地上的材料、设备等均视</w:t>
      </w:r>
      <w:r>
        <w:rPr>
          <w:rFonts w:hint="eastAsia" w:ascii="宋体" w:hAnsi="宋体"/>
          <w:color w:val="auto"/>
          <w:sz w:val="24"/>
          <w:szCs w:val="24"/>
          <w:highlight w:val="none"/>
          <w:lang w:eastAsia="zh-CN"/>
        </w:rPr>
        <w:t>作</w:t>
      </w:r>
      <w:r>
        <w:rPr>
          <w:rFonts w:ascii="宋体" w:hAnsi="宋体"/>
          <w:color w:val="auto"/>
          <w:sz w:val="24"/>
          <w:szCs w:val="24"/>
          <w:highlight w:val="none"/>
        </w:rPr>
        <w:t>无主财产处理，</w:t>
      </w:r>
      <w:r>
        <w:rPr>
          <w:rFonts w:hint="eastAsia" w:ascii="宋体" w:hAnsi="宋体"/>
          <w:color w:val="auto"/>
          <w:sz w:val="24"/>
          <w:szCs w:val="24"/>
          <w:highlight w:val="none"/>
        </w:rPr>
        <w:t>发包人不</w:t>
      </w:r>
      <w:r>
        <w:rPr>
          <w:rFonts w:ascii="宋体" w:hAnsi="宋体"/>
          <w:color w:val="auto"/>
          <w:sz w:val="24"/>
          <w:szCs w:val="24"/>
          <w:highlight w:val="none"/>
        </w:rPr>
        <w:t>承担由此引起的一切法律责任。</w:t>
      </w:r>
      <w:r>
        <w:rPr>
          <w:rFonts w:hint="eastAsia" w:ascii="宋体" w:hAnsi="宋体"/>
          <w:color w:val="auto"/>
          <w:sz w:val="24"/>
          <w:szCs w:val="24"/>
          <w:highlight w:val="none"/>
        </w:rPr>
        <w:t>承包人在撤场过程中造成成品或其他承包人已完工程损坏的，由承包人承担全部赔偿责任。</w:t>
      </w:r>
    </w:p>
    <w:p w14:paraId="18C71228">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w:t>
      </w:r>
      <w:r>
        <w:rPr>
          <w:rFonts w:hint="eastAsia" w:ascii="宋体" w:hAnsi="宋体"/>
          <w:color w:val="auto"/>
          <w:sz w:val="24"/>
          <w:szCs w:val="24"/>
          <w:highlight w:val="none"/>
        </w:rPr>
        <w:t>7 竣工资料的提交如延迟提供影响工程竣工验收和备案的，每延迟1个日历天承包人支付违约金2000元，延迟</w:t>
      </w:r>
      <w:r>
        <w:rPr>
          <w:rFonts w:ascii="宋体" w:hAnsi="宋体"/>
          <w:color w:val="auto"/>
          <w:sz w:val="24"/>
          <w:szCs w:val="24"/>
          <w:highlight w:val="none"/>
        </w:rPr>
        <w:t>10</w:t>
      </w:r>
      <w:r>
        <w:rPr>
          <w:rFonts w:hint="eastAsia" w:ascii="宋体" w:hAnsi="宋体"/>
          <w:color w:val="auto"/>
          <w:sz w:val="24"/>
          <w:szCs w:val="24"/>
          <w:highlight w:val="none"/>
        </w:rPr>
        <w:t>个日历天以上的，每延迟一天承包人支付违约金1万元，累计计算，发包人并有权停止支付工程款。</w:t>
      </w:r>
    </w:p>
    <w:p w14:paraId="28104AFF">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w:t>
      </w:r>
      <w:r>
        <w:rPr>
          <w:rFonts w:hint="eastAsia" w:ascii="宋体" w:hAnsi="宋体"/>
          <w:color w:val="auto"/>
          <w:sz w:val="24"/>
          <w:szCs w:val="24"/>
          <w:highlight w:val="none"/>
        </w:rPr>
        <w:t>8 发包人已按合同、程序足额支付工程款，承包人仍然因自身管理原因发生的民工讨薪事件，乃至于出现民工恶意讨薪事件的，则每发生一次该类事件，承包人需支付违约金5</w:t>
      </w:r>
      <w:r>
        <w:rPr>
          <w:rFonts w:ascii="宋体" w:hAnsi="宋体"/>
          <w:color w:val="auto"/>
          <w:sz w:val="24"/>
          <w:szCs w:val="24"/>
          <w:highlight w:val="none"/>
        </w:rPr>
        <w:t>万元</w:t>
      </w:r>
      <w:r>
        <w:rPr>
          <w:rFonts w:hint="eastAsia" w:ascii="宋体" w:hAnsi="宋体"/>
          <w:color w:val="auto"/>
          <w:sz w:val="24"/>
          <w:szCs w:val="24"/>
          <w:highlight w:val="none"/>
          <w:lang w:eastAsia="zh-CN"/>
        </w:rPr>
        <w:t>；</w:t>
      </w:r>
      <w:r>
        <w:rPr>
          <w:rFonts w:ascii="宋体" w:hAnsi="宋体"/>
          <w:color w:val="auto"/>
          <w:sz w:val="24"/>
          <w:szCs w:val="24"/>
          <w:highlight w:val="none"/>
        </w:rPr>
        <w:t>若前述事件经</w:t>
      </w:r>
      <w:r>
        <w:rPr>
          <w:rFonts w:hint="eastAsia" w:ascii="宋体" w:hAnsi="宋体"/>
          <w:color w:val="auto"/>
          <w:sz w:val="24"/>
          <w:szCs w:val="24"/>
          <w:highlight w:val="none"/>
        </w:rPr>
        <w:t>黄埔</w:t>
      </w:r>
      <w:r>
        <w:rPr>
          <w:rFonts w:ascii="宋体" w:hAnsi="宋体"/>
          <w:color w:val="auto"/>
          <w:sz w:val="24"/>
          <w:szCs w:val="24"/>
          <w:highlight w:val="none"/>
        </w:rPr>
        <w:t>区信访办或其他政府部门处理并认定为承包人责任的，则发包人可追加要求</w:t>
      </w:r>
      <w:r>
        <w:rPr>
          <w:rFonts w:hint="eastAsia" w:ascii="宋体" w:hAnsi="宋体"/>
          <w:color w:val="auto"/>
          <w:sz w:val="24"/>
          <w:szCs w:val="24"/>
          <w:highlight w:val="none"/>
        </w:rPr>
        <w:t>承包人承担合同违约金20万元</w:t>
      </w:r>
      <w:r>
        <w:rPr>
          <w:rFonts w:ascii="宋体" w:hAnsi="宋体"/>
          <w:color w:val="auto"/>
          <w:sz w:val="24"/>
          <w:szCs w:val="24"/>
          <w:highlight w:val="none"/>
        </w:rPr>
        <w:t>/次</w:t>
      </w:r>
      <w:r>
        <w:rPr>
          <w:rFonts w:hint="eastAsia" w:ascii="宋体" w:hAnsi="宋体"/>
          <w:color w:val="auto"/>
          <w:sz w:val="24"/>
          <w:szCs w:val="24"/>
          <w:highlight w:val="none"/>
        </w:rPr>
        <w:t>，发包人有权在进度款或结算款中直接扣除前述违约金。</w:t>
      </w:r>
    </w:p>
    <w:p w14:paraId="1419D089">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w:t>
      </w:r>
      <w:r>
        <w:rPr>
          <w:rFonts w:hint="eastAsia" w:ascii="宋体" w:hAnsi="宋体"/>
          <w:color w:val="auto"/>
          <w:sz w:val="24"/>
          <w:szCs w:val="24"/>
          <w:highlight w:val="none"/>
        </w:rPr>
        <w:t>9 因承包人工程质量问题导致买房人向发包人索赔的，全部赔偿责任由承包人承担，发包人有权从应付承包人的款项中直接扣除；因工程质量问题导致买房人解除合同的，承包人承担由此产生的全部违约责任和赔偿责任。</w:t>
      </w:r>
    </w:p>
    <w:p w14:paraId="3D61DE94">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.1</w:t>
      </w:r>
      <w:r>
        <w:rPr>
          <w:rFonts w:hint="eastAsia" w:ascii="宋体" w:hAnsi="宋体"/>
          <w:color w:val="auto"/>
          <w:sz w:val="24"/>
          <w:szCs w:val="24"/>
          <w:highlight w:val="none"/>
        </w:rPr>
        <w:t>0 在保修期内，因承包人原因造成的工程质量缺陷及其他质量问题，经承包人对同一部位</w:t>
      </w:r>
      <w:r>
        <w:rPr>
          <w:rFonts w:ascii="宋体" w:hAnsi="宋体"/>
          <w:color w:val="auto"/>
          <w:sz w:val="24"/>
          <w:szCs w:val="24"/>
          <w:highlight w:val="none"/>
        </w:rPr>
        <w:t xml:space="preserve"> 3 </w:t>
      </w:r>
      <w:r>
        <w:rPr>
          <w:rFonts w:hint="eastAsia" w:ascii="宋体" w:hAnsi="宋体"/>
          <w:color w:val="auto"/>
          <w:sz w:val="24"/>
          <w:szCs w:val="24"/>
          <w:highlight w:val="none"/>
        </w:rPr>
        <w:t>次修理，仍不能修复，影响买房人正常居住使用的，导致买房人索赔或者解除合同的，承包人承担由此产生的全部违约责任和赔偿责任。</w:t>
      </w:r>
    </w:p>
    <w:p w14:paraId="6EA4A031">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.1</w:t>
      </w:r>
      <w:r>
        <w:rPr>
          <w:rFonts w:hint="eastAsia" w:ascii="宋体" w:hAnsi="宋体"/>
          <w:color w:val="auto"/>
          <w:sz w:val="24"/>
          <w:szCs w:val="24"/>
          <w:highlight w:val="none"/>
        </w:rPr>
        <w:t>1 因承包人施工问题造成发包人受到第三方索赔的，承包人须赔偿因此而给发包人造成的全部经济损失（包括生效的法律文书确认的或赔偿协议书确认的质量问题违约金，解除合同的损失赔偿、律师费、诉讼费或仲裁费、诉讼保全担保费等）。</w:t>
      </w:r>
    </w:p>
    <w:p w14:paraId="3CA25C21">
      <w:pPr>
        <w:tabs>
          <w:tab w:val="left" w:pos="142"/>
          <w:tab w:val="left" w:pos="284"/>
        </w:tabs>
        <w:spacing w:line="360" w:lineRule="auto"/>
        <w:ind w:left="0"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.1</w:t>
      </w:r>
      <w:r>
        <w:rPr>
          <w:rFonts w:hint="eastAsia" w:ascii="宋体" w:hAnsi="宋体"/>
          <w:color w:val="auto"/>
          <w:sz w:val="24"/>
          <w:szCs w:val="24"/>
          <w:highlight w:val="none"/>
        </w:rPr>
        <w:t>2 由于施工现场条件所限，施工现场不具备施工员工宿舍及食堂，只考虑项目管理人员宿舍与食堂。其余人员宿舍及食堂由承包人自行就近异地解决，费用已包含在本次竞争性投标报价中，也不具备较大量材料堆放和加工，承包人自行异地解决，费用</w:t>
      </w:r>
      <w:r>
        <w:rPr>
          <w:rFonts w:hint="eastAsia" w:ascii="宋体" w:hAnsi="宋体"/>
          <w:color w:val="auto"/>
          <w:sz w:val="24"/>
          <w:szCs w:val="24"/>
          <w:highlight w:val="none"/>
          <w:lang w:eastAsia="zh-CN"/>
        </w:rPr>
        <w:t>也</w:t>
      </w:r>
      <w:r>
        <w:rPr>
          <w:rFonts w:hint="eastAsia" w:ascii="宋体" w:hAnsi="宋体"/>
          <w:color w:val="auto"/>
          <w:sz w:val="24"/>
          <w:szCs w:val="24"/>
          <w:highlight w:val="none"/>
        </w:rPr>
        <w:t>已包含在投标报价内，现场必须考虑免费提供发包人办公区。</w:t>
      </w:r>
    </w:p>
    <w:p w14:paraId="3BB54038">
      <w:pPr>
        <w:spacing w:line="360" w:lineRule="auto"/>
        <w:ind w:left="178" w:firstLine="480"/>
        <w:rPr>
          <w:rFonts w:ascii="宋体" w:hAnsi="宋体"/>
          <w:color w:val="auto"/>
          <w:sz w:val="24"/>
          <w:szCs w:val="24"/>
          <w:highlight w:val="none"/>
        </w:rPr>
      </w:pPr>
      <w:r>
        <w:rPr>
          <w:rFonts w:ascii="宋体" w:hAnsi="宋体"/>
          <w:color w:val="auto"/>
          <w:sz w:val="24"/>
          <w:szCs w:val="24"/>
          <w:highlight w:val="none"/>
        </w:rPr>
        <w:br w:type="page"/>
      </w:r>
      <w:r>
        <w:rPr>
          <w:rFonts w:hint="eastAsia" w:ascii="宋体" w:hAnsi="宋体"/>
          <w:color w:val="auto"/>
          <w:sz w:val="24"/>
          <w:szCs w:val="24"/>
          <w:highlight w:val="none"/>
        </w:rPr>
        <w:t xml:space="preserve">第四部分 </w:t>
      </w:r>
      <w:r>
        <w:rPr>
          <w:rFonts w:ascii="宋体" w:hAnsi="宋体"/>
          <w:color w:val="auto"/>
          <w:sz w:val="24"/>
          <w:szCs w:val="24"/>
          <w:highlight w:val="none"/>
        </w:rPr>
        <w:t xml:space="preserve">  </w:t>
      </w:r>
      <w:r>
        <w:rPr>
          <w:rFonts w:hint="eastAsia" w:ascii="宋体" w:hAnsi="宋体"/>
          <w:color w:val="auto"/>
          <w:sz w:val="24"/>
          <w:szCs w:val="24"/>
          <w:highlight w:val="none"/>
        </w:rPr>
        <w:t>合同附件</w:t>
      </w:r>
    </w:p>
    <w:p w14:paraId="336D8334">
      <w:pPr>
        <w:spacing w:line="360" w:lineRule="auto"/>
        <w:rPr>
          <w:rFonts w:ascii="宋体" w:hAnsi="宋体"/>
          <w:color w:val="auto"/>
          <w:sz w:val="24"/>
          <w:szCs w:val="24"/>
          <w:highlight w:val="none"/>
        </w:rPr>
      </w:pPr>
    </w:p>
    <w:p w14:paraId="0B4F3A16">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：工程质量保修书</w:t>
      </w:r>
    </w:p>
    <w:p w14:paraId="79740973">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2：</w:t>
      </w:r>
      <w:r>
        <w:rPr>
          <w:rFonts w:hint="eastAsia" w:ascii="宋体" w:hAnsi="宋体"/>
          <w:color w:val="auto"/>
          <w:sz w:val="24"/>
          <w:szCs w:val="24"/>
          <w:highlight w:val="none"/>
        </w:rPr>
        <w:t>安全生产合同</w:t>
      </w:r>
    </w:p>
    <w:p w14:paraId="739B681A">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附件3：设备材料参考品牌表</w:t>
      </w:r>
    </w:p>
    <w:p w14:paraId="2BF599DE">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附件4：保函参考格式</w:t>
      </w:r>
    </w:p>
    <w:p w14:paraId="081CAD32">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附件5：技术要求</w:t>
      </w:r>
    </w:p>
    <w:p w14:paraId="4F2D1EF2">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附件6：界面划分表</w:t>
      </w:r>
    </w:p>
    <w:p w14:paraId="11090435">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附件7：廉政合同</w:t>
      </w:r>
    </w:p>
    <w:p w14:paraId="21F31403">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附件8</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：分包工程三方管理协议书范本</w:t>
      </w:r>
    </w:p>
    <w:p w14:paraId="055377C2">
      <w:pPr>
        <w:pStyle w:val="6"/>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附件8.</w:t>
      </w:r>
      <w:r>
        <w:rPr>
          <w:rFonts w:hint="eastAsia" w:ascii="宋体" w:hAnsi="宋体"/>
          <w:color w:val="auto"/>
          <w:sz w:val="24"/>
          <w:szCs w:val="24"/>
          <w:highlight w:val="none"/>
          <w:lang w:eastAsia="zh-CN"/>
        </w:rPr>
        <w:t>2</w:t>
      </w:r>
      <w:r>
        <w:rPr>
          <w:rFonts w:hint="eastAsia" w:ascii="宋体" w:hAnsi="宋体"/>
          <w:color w:val="auto"/>
          <w:sz w:val="24"/>
          <w:szCs w:val="24"/>
          <w:highlight w:val="none"/>
        </w:rPr>
        <w:t>：安全生产合同</w:t>
      </w:r>
    </w:p>
    <w:p w14:paraId="6E25F795">
      <w:pPr>
        <w:pStyle w:val="6"/>
        <w:spacing w:line="360" w:lineRule="auto"/>
        <w:ind w:firstLine="0"/>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附件8.</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：工程建设领域农民工工资委托代发服务三方协议</w:t>
      </w:r>
    </w:p>
    <w:p w14:paraId="4198127A">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附件9：工程量清单（另册）</w:t>
      </w:r>
    </w:p>
    <w:p w14:paraId="0209BC33">
      <w:pPr>
        <w:spacing w:line="360" w:lineRule="auto"/>
        <w:ind w:left="178" w:firstLine="480"/>
        <w:rPr>
          <w:rFonts w:ascii="宋体" w:hAnsi="宋体"/>
          <w:color w:val="auto"/>
          <w:sz w:val="24"/>
          <w:szCs w:val="24"/>
          <w:highlight w:val="none"/>
        </w:rPr>
      </w:pPr>
      <w:bookmarkStart w:id="48" w:name="_Hlk90887965"/>
      <w:r>
        <w:rPr>
          <w:rFonts w:hint="eastAsia" w:ascii="宋体" w:hAnsi="宋体"/>
          <w:color w:val="auto"/>
          <w:sz w:val="24"/>
          <w:szCs w:val="24"/>
          <w:highlight w:val="none"/>
        </w:rPr>
        <w:t>附件10：项目管理人员、机构配备表</w:t>
      </w:r>
      <w:bookmarkEnd w:id="48"/>
    </w:p>
    <w:p w14:paraId="4A8596E4">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附件11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招标答疑纪要</w:t>
      </w:r>
    </w:p>
    <w:p w14:paraId="01FA82AC">
      <w:pPr>
        <w:spacing w:line="360" w:lineRule="auto"/>
        <w:ind w:left="178" w:firstLine="480"/>
        <w:rPr>
          <w:rFonts w:ascii="宋体" w:hAnsi="宋体"/>
          <w:color w:val="auto"/>
          <w:sz w:val="24"/>
          <w:szCs w:val="24"/>
          <w:highlight w:val="none"/>
        </w:rPr>
      </w:pPr>
    </w:p>
    <w:p w14:paraId="0273C2CD">
      <w:pPr>
        <w:spacing w:line="360" w:lineRule="auto"/>
        <w:ind w:left="178" w:firstLine="480"/>
        <w:rPr>
          <w:rFonts w:ascii="宋体" w:hAnsi="宋体"/>
          <w:color w:val="auto"/>
          <w:sz w:val="24"/>
          <w:szCs w:val="24"/>
          <w:highlight w:val="none"/>
        </w:rPr>
      </w:pPr>
    </w:p>
    <w:p w14:paraId="2E04DC70">
      <w:pPr>
        <w:spacing w:line="360" w:lineRule="auto"/>
        <w:ind w:left="178" w:firstLine="480"/>
        <w:rPr>
          <w:rFonts w:ascii="宋体" w:hAnsi="宋体"/>
          <w:color w:val="auto"/>
          <w:sz w:val="24"/>
          <w:szCs w:val="24"/>
          <w:highlight w:val="none"/>
        </w:rPr>
      </w:pPr>
    </w:p>
    <w:p w14:paraId="0B897460">
      <w:pPr>
        <w:spacing w:line="360" w:lineRule="auto"/>
        <w:ind w:left="178" w:firstLine="480"/>
        <w:rPr>
          <w:rFonts w:ascii="宋体" w:hAnsi="宋体"/>
          <w:color w:val="auto"/>
          <w:sz w:val="24"/>
          <w:szCs w:val="24"/>
          <w:highlight w:val="none"/>
        </w:rPr>
      </w:pPr>
    </w:p>
    <w:p w14:paraId="334241D8">
      <w:pPr>
        <w:spacing w:line="360" w:lineRule="auto"/>
        <w:ind w:left="178" w:firstLine="480"/>
        <w:rPr>
          <w:rFonts w:ascii="宋体" w:hAnsi="宋体"/>
          <w:color w:val="auto"/>
          <w:sz w:val="24"/>
          <w:szCs w:val="24"/>
          <w:highlight w:val="none"/>
        </w:rPr>
      </w:pPr>
    </w:p>
    <w:p w14:paraId="0FE4D370">
      <w:pPr>
        <w:adjustRightInd w:val="0"/>
        <w:snapToGrid w:val="0"/>
        <w:spacing w:before="120" w:beforeLines="50" w:after="120" w:afterLines="50" w:line="360" w:lineRule="auto"/>
        <w:ind w:right="840"/>
        <w:rPr>
          <w:rFonts w:ascii="宋体" w:hAnsi="宋体" w:cs="宋体"/>
          <w:b/>
          <w:bCs/>
          <w:color w:val="auto"/>
          <w:szCs w:val="21"/>
          <w:highlight w:val="none"/>
        </w:rPr>
      </w:pPr>
      <w:r>
        <w:rPr>
          <w:rFonts w:ascii="宋体" w:hAnsi="宋体" w:cs="宋体"/>
          <w:b/>
          <w:bCs/>
          <w:color w:val="auto"/>
          <w:szCs w:val="21"/>
          <w:highlight w:val="none"/>
        </w:rPr>
        <w:br w:type="page"/>
      </w:r>
      <w:r>
        <w:rPr>
          <w:rFonts w:hint="eastAsia" w:ascii="宋体" w:hAnsi="宋体" w:cs="宋体"/>
          <w:b/>
          <w:bCs/>
          <w:color w:val="auto"/>
          <w:szCs w:val="21"/>
          <w:highlight w:val="none"/>
        </w:rPr>
        <w:t>附件1：</w:t>
      </w:r>
    </w:p>
    <w:p w14:paraId="58902C9A">
      <w:pPr>
        <w:adjustRightInd w:val="0"/>
        <w:snapToGrid w:val="0"/>
        <w:spacing w:before="120" w:beforeLines="50" w:after="120" w:afterLines="50" w:line="360" w:lineRule="auto"/>
        <w:ind w:left="178" w:right="84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工程质量保修书</w:t>
      </w:r>
    </w:p>
    <w:p w14:paraId="2E0C03A3">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发包人：（全称）</w:t>
      </w:r>
      <w:r>
        <w:rPr>
          <w:rFonts w:hint="eastAsia" w:ascii="宋体" w:hAnsi="宋体"/>
          <w:color w:val="auto"/>
          <w:sz w:val="24"/>
          <w:szCs w:val="24"/>
          <w:highlight w:val="none"/>
          <w:u w:val="single"/>
        </w:rPr>
        <w:t>广州市启韵房地产开发有限公司</w:t>
      </w:r>
      <w:r>
        <w:rPr>
          <w:color w:val="auto"/>
          <w:szCs w:val="21"/>
          <w:highlight w:val="none"/>
          <w:u w:val="single"/>
        </w:rPr>
        <w:t xml:space="preserve"> </w:t>
      </w:r>
    </w:p>
    <w:p w14:paraId="1DF44914">
      <w:pPr>
        <w:adjustRightInd w:val="0"/>
        <w:snapToGrid w:val="0"/>
        <w:spacing w:before="120" w:beforeLines="50" w:after="120" w:afterLines="50" w:line="360" w:lineRule="auto"/>
        <w:ind w:left="178" w:right="840" w:firstLine="480" w:firstLineChars="200"/>
        <w:rPr>
          <w:color w:val="auto"/>
          <w:szCs w:val="21"/>
          <w:highlight w:val="none"/>
          <w:u w:val="single"/>
        </w:rPr>
      </w:pPr>
      <w:r>
        <w:rPr>
          <w:rFonts w:hint="eastAsia" w:ascii="宋体" w:hAnsi="宋体" w:cs="宋体"/>
          <w:color w:val="auto"/>
          <w:sz w:val="24"/>
          <w:szCs w:val="24"/>
          <w:highlight w:val="none"/>
        </w:rPr>
        <w:t>承包人：（全称）</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p>
    <w:p w14:paraId="3FA434F8">
      <w:pPr>
        <w:spacing w:line="360" w:lineRule="auto"/>
        <w:ind w:left="178" w:firstLine="480"/>
        <w:rPr>
          <w:rFonts w:ascii="宋体" w:hAnsi="宋体" w:cs="宋体"/>
          <w:color w:val="auto"/>
          <w:sz w:val="24"/>
          <w:szCs w:val="24"/>
          <w:highlight w:val="none"/>
        </w:rPr>
      </w:pPr>
    </w:p>
    <w:p w14:paraId="1990EA7C">
      <w:pPr>
        <w:spacing w:line="360" w:lineRule="auto"/>
        <w:ind w:left="178" w:firstLine="480"/>
        <w:rPr>
          <w:rFonts w:ascii="宋体" w:hAnsi="宋体" w:cs="宋体"/>
          <w:b/>
          <w:bCs/>
          <w:color w:val="auto"/>
          <w:sz w:val="24"/>
          <w:szCs w:val="24"/>
          <w:highlight w:val="none"/>
          <w:u w:val="single"/>
        </w:rPr>
      </w:pPr>
      <w:r>
        <w:rPr>
          <w:rFonts w:hint="eastAsia" w:ascii="宋体" w:hAnsi="宋体" w:cs="宋体"/>
          <w:color w:val="auto"/>
          <w:sz w:val="24"/>
          <w:szCs w:val="24"/>
          <w:highlight w:val="none"/>
        </w:rPr>
        <w:t>发包人和承包人根据《中华人民共和国建筑法》和《建设工程质量管理条例》，经协商一致就</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ascii="宋体" w:hAnsi="宋体" w:cs="宋体"/>
          <w:b/>
          <w:bCs/>
          <w:color w:val="auto"/>
          <w:sz w:val="24"/>
          <w:szCs w:val="24"/>
          <w:highlight w:val="none"/>
          <w:u w:val="single"/>
        </w:rPr>
        <w:t xml:space="preserve"> </w:t>
      </w:r>
      <w:r>
        <w:rPr>
          <w:rFonts w:hint="eastAsia" w:ascii="宋体" w:hAnsi="宋体" w:cs="宋体"/>
          <w:color w:val="auto"/>
          <w:sz w:val="24"/>
          <w:szCs w:val="24"/>
          <w:highlight w:val="none"/>
        </w:rPr>
        <w:t>签订工程质量保修书。</w:t>
      </w:r>
    </w:p>
    <w:p w14:paraId="67804919">
      <w:pPr>
        <w:adjustRightInd w:val="0"/>
        <w:snapToGrid w:val="0"/>
        <w:spacing w:before="120" w:beforeLines="50" w:after="120" w:afterLines="50" w:line="360" w:lineRule="auto"/>
        <w:ind w:left="178" w:right="84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一、工程质量保修范围和内容</w:t>
      </w:r>
    </w:p>
    <w:p w14:paraId="3F812ACF">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承包人在质量保修期内，按照有关法律规定和合同约定，承担工程质量保修责任。</w:t>
      </w:r>
    </w:p>
    <w:p w14:paraId="59542229">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质量保修范围包括电气管线、设备安装和装修工程</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，以及双方约定的其他项目。具体保修的内容，双方约定如下：</w:t>
      </w:r>
    </w:p>
    <w:p w14:paraId="0BAF6C5E">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保修期内，凡属承包人原因造成工程缺陷、损坏等，均属于承包人保修责任 。</w:t>
      </w:r>
    </w:p>
    <w:p w14:paraId="63DD1415">
      <w:pPr>
        <w:adjustRightInd w:val="0"/>
        <w:snapToGrid w:val="0"/>
        <w:spacing w:before="120" w:beforeLines="50" w:after="120" w:afterLines="50" w:line="360" w:lineRule="auto"/>
        <w:ind w:left="178" w:right="84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二、质量保修期</w:t>
      </w:r>
    </w:p>
    <w:p w14:paraId="335863D7">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根据《建设工程质量管理条例》及有关规定，工程的质量保修期如下：</w:t>
      </w:r>
    </w:p>
    <w:p w14:paraId="60FAEC65">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地基基础工程和主体结构工程为设计文件规定的工程合理使用年限；</w:t>
      </w:r>
    </w:p>
    <w:p w14:paraId="154BCEDD">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 xml:space="preserve">屋面防水工程、有防水要求的卫生间、房间和外墙面的防渗为 </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年；</w:t>
      </w:r>
    </w:p>
    <w:p w14:paraId="184BA48B">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 xml:space="preserve">装修工程为 </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年；</w:t>
      </w:r>
    </w:p>
    <w:p w14:paraId="28F41B13">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rPr>
        <w:t>电气管线、给排水管道、设备安装工程为</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年；</w:t>
      </w:r>
    </w:p>
    <w:p w14:paraId="37BF72AE">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供热与供冷系统为</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个采暖期、供冷期；</w:t>
      </w:r>
    </w:p>
    <w:p w14:paraId="469F61B1">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住宅小区内的给排水设施、道路等配套工程为</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年；</w:t>
      </w:r>
    </w:p>
    <w:p w14:paraId="6B738D07">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其他项目保修期限约定如下：</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AF63B8E">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质量保修期自工程竣工验收合格之日起计算。</w:t>
      </w:r>
    </w:p>
    <w:p w14:paraId="635793B8">
      <w:pPr>
        <w:adjustRightInd w:val="0"/>
        <w:snapToGrid w:val="0"/>
        <w:spacing w:before="120" w:beforeLines="50" w:after="120" w:afterLines="50" w:line="360" w:lineRule="auto"/>
        <w:ind w:left="178" w:right="84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三、缺陷责任期</w:t>
      </w:r>
    </w:p>
    <w:p w14:paraId="31CAF195">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工程缺陷责任期为</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个月，缺陷责任期自工程竣工验收合格之日起计算。</w:t>
      </w:r>
    </w:p>
    <w:p w14:paraId="51A29EA5">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缺陷责任期终止后，发包人应退还剩余的质量保证金，具体返还的步骤为：工程竣工结算付款时一次性扣留合同结算总额3%的质量保证金，在缺陷责任期满并颁发缺陷责任期终止证书后14天内一次性无息返还承包人质量保证金；但根据法律法规的规定和施工合同、本协议书的约定，应扣除相应质量保证金的，发包人返还扣除后的剩余质量保证金（如有）。</w:t>
      </w:r>
    </w:p>
    <w:p w14:paraId="66ACFEA6">
      <w:pPr>
        <w:adjustRightInd w:val="0"/>
        <w:snapToGrid w:val="0"/>
        <w:spacing w:before="120" w:beforeLines="50" w:after="120" w:afterLines="50" w:line="360" w:lineRule="auto"/>
        <w:ind w:left="178" w:right="84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四、质量保修责任</w:t>
      </w:r>
    </w:p>
    <w:p w14:paraId="15B216ED">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属于保修范围、内容的项目，承包人应当在接到保修通知之日起7天内派人保修，并在发包人（或者委托人）确认的合理期限内保质保量完成保修。发生紧急情况需抢修的，发包人可以口头通知承包人立即进场抢修并在口头通知后48小时内书面确认。</w:t>
      </w:r>
    </w:p>
    <w:p w14:paraId="6C2635CC">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承包人不在约定期限内派人保修或者保修后验收不合格</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，发包人可以委托第三方进场修理，</w:t>
      </w:r>
      <w:r>
        <w:rPr>
          <w:rFonts w:hint="eastAsia" w:ascii="宋体" w:hAnsi="宋体" w:cs="宋体"/>
          <w:color w:val="auto"/>
          <w:sz w:val="24"/>
          <w:szCs w:val="24"/>
          <w:highlight w:val="none"/>
          <w:lang w:eastAsia="zh-CN"/>
        </w:rPr>
        <w:t>由</w:t>
      </w:r>
      <w:r>
        <w:rPr>
          <w:rFonts w:hint="eastAsia" w:ascii="宋体" w:hAnsi="宋体" w:cs="宋体"/>
          <w:color w:val="auto"/>
          <w:sz w:val="24"/>
          <w:szCs w:val="24"/>
          <w:highlight w:val="none"/>
        </w:rPr>
        <w:t>由此产生的全部费用（包括合理利润）由承包人承担，并由承包人承担维修费用20%的违约金，并且不免除承包人的保修责任。</w:t>
      </w:r>
    </w:p>
    <w:p w14:paraId="10EAB9B0">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发生紧急事故需抢修的，承包人在接到事故通知后，应当立即到达（2小时内）事故现场抢修，承包人不进行抢修或者拖延抢修的，发包人可以委托第三方抢修，并由承包人承担全部抢修费用及其维修费用50%的违约金，并且不免除承包人的保修责任。</w:t>
      </w:r>
    </w:p>
    <w:p w14:paraId="17E2620B">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由此产生的全部费用（包括合理利润）由承包人承担。</w:t>
      </w:r>
    </w:p>
    <w:p w14:paraId="62D7EFF3">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rPr>
        <w:t>质量保修完成后，由发包人组织验收。</w:t>
      </w:r>
    </w:p>
    <w:p w14:paraId="111D20B6">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五、保修费用</w:t>
      </w:r>
    </w:p>
    <w:p w14:paraId="257C9B05">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保修费用由造成质量缺陷的责任方承担。</w:t>
      </w:r>
    </w:p>
    <w:p w14:paraId="3853CB6F">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六、双方约定的其他工程质量保修事项：返还保修金时需扣除承包人应承担而未支付的维修费用（含违约金）。</w:t>
      </w:r>
    </w:p>
    <w:p w14:paraId="01B03925">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工程质量保修书由发包人、承包人在工程竣工验收前共同签署，作为施工合同附件，其有效期限至保修期满。</w:t>
      </w:r>
    </w:p>
    <w:p w14:paraId="608CEF6B">
      <w:pPr>
        <w:adjustRightInd w:val="0"/>
        <w:snapToGrid w:val="0"/>
        <w:spacing w:before="120" w:beforeLines="50" w:after="120" w:afterLines="50" w:line="360" w:lineRule="auto"/>
        <w:ind w:right="840"/>
        <w:rPr>
          <w:rFonts w:ascii="宋体" w:hAnsi="宋体" w:cs="宋体"/>
          <w:color w:val="auto"/>
          <w:sz w:val="24"/>
          <w:szCs w:val="24"/>
          <w:highlight w:val="none"/>
        </w:rPr>
      </w:pPr>
    </w:p>
    <w:p w14:paraId="19C9D7CF">
      <w:pPr>
        <w:adjustRightInd w:val="0"/>
        <w:snapToGrid w:val="0"/>
        <w:spacing w:before="120" w:beforeLines="50" w:after="120" w:afterLines="50" w:line="360" w:lineRule="auto"/>
        <w:ind w:right="840" w:firstLine="480" w:firstLineChars="200"/>
        <w:rPr>
          <w:rFonts w:ascii="宋体" w:hAnsi="宋体" w:cs="宋体"/>
          <w:color w:val="auto"/>
          <w:sz w:val="24"/>
          <w:szCs w:val="24"/>
          <w:highlight w:val="none"/>
        </w:rPr>
      </w:pPr>
      <w:r>
        <w:rPr>
          <w:rFonts w:ascii="宋体" w:hAnsi="宋体" w:cs="宋体"/>
          <w:color w:val="auto"/>
          <w:sz w:val="24"/>
          <w:szCs w:val="24"/>
          <w:highlight w:val="none"/>
        </w:rPr>
        <w:br w:type="page"/>
      </w:r>
    </w:p>
    <w:p w14:paraId="6F68D4F2">
      <w:pPr>
        <w:adjustRightInd w:val="0"/>
        <w:snapToGrid w:val="0"/>
        <w:spacing w:before="120" w:beforeLines="50" w:after="120" w:afterLines="50" w:line="360" w:lineRule="auto"/>
        <w:ind w:right="840" w:firstLine="480" w:firstLineChars="200"/>
        <w:rPr>
          <w:rFonts w:ascii="宋体" w:hAnsi="宋体" w:cs="宋体"/>
          <w:color w:val="auto"/>
          <w:sz w:val="24"/>
          <w:szCs w:val="24"/>
          <w:highlight w:val="none"/>
        </w:rPr>
      </w:pPr>
    </w:p>
    <w:p w14:paraId="23BE4353">
      <w:pPr>
        <w:adjustRightInd w:val="0"/>
        <w:snapToGrid w:val="0"/>
        <w:spacing w:before="120" w:beforeLines="50" w:after="120" w:afterLines="50" w:line="360" w:lineRule="auto"/>
        <w:ind w:right="84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（以上无正文）</w:t>
      </w:r>
    </w:p>
    <w:tbl>
      <w:tblPr>
        <w:tblStyle w:val="35"/>
        <w:tblpPr w:leftFromText="180" w:rightFromText="180" w:vertAnchor="text" w:horzAnchor="margin" w:tblpXSpec="center" w:tblpY="338"/>
        <w:tblW w:w="9729" w:type="dxa"/>
        <w:tblInd w:w="0" w:type="dxa"/>
        <w:tblLayout w:type="fixed"/>
        <w:tblCellMar>
          <w:top w:w="0" w:type="dxa"/>
          <w:left w:w="108" w:type="dxa"/>
          <w:bottom w:w="0" w:type="dxa"/>
          <w:right w:w="108" w:type="dxa"/>
        </w:tblCellMar>
      </w:tblPr>
      <w:tblGrid>
        <w:gridCol w:w="4987"/>
        <w:gridCol w:w="4742"/>
      </w:tblGrid>
      <w:tr w14:paraId="26CCAC33">
        <w:tblPrEx>
          <w:tblCellMar>
            <w:top w:w="0" w:type="dxa"/>
            <w:left w:w="108" w:type="dxa"/>
            <w:bottom w:w="0" w:type="dxa"/>
            <w:right w:w="108" w:type="dxa"/>
          </w:tblCellMar>
        </w:tblPrEx>
        <w:trPr>
          <w:trHeight w:val="1246" w:hRule="atLeast"/>
        </w:trPr>
        <w:tc>
          <w:tcPr>
            <w:tcW w:w="4987" w:type="dxa"/>
            <w:vAlign w:val="center"/>
          </w:tcPr>
          <w:p w14:paraId="552980EC">
            <w:pPr>
              <w:spacing w:line="360" w:lineRule="auto"/>
              <w:rPr>
                <w:color w:val="auto"/>
                <w:sz w:val="24"/>
                <w:szCs w:val="24"/>
                <w:highlight w:val="none"/>
              </w:rPr>
            </w:pPr>
            <w:r>
              <w:rPr>
                <w:rFonts w:hint="eastAsia"/>
                <w:color w:val="auto"/>
                <w:sz w:val="24"/>
                <w:szCs w:val="24"/>
                <w:highlight w:val="none"/>
              </w:rPr>
              <w:t xml:space="preserve">发包人（盖章）： </w:t>
            </w:r>
          </w:p>
          <w:p w14:paraId="3443B94C">
            <w:pPr>
              <w:spacing w:line="360" w:lineRule="auto"/>
              <w:rPr>
                <w:color w:val="auto"/>
                <w:sz w:val="24"/>
                <w:szCs w:val="24"/>
                <w:highlight w:val="none"/>
              </w:rPr>
            </w:pPr>
            <w:r>
              <w:rPr>
                <w:rFonts w:hint="eastAsia" w:ascii="宋体" w:hAnsi="宋体"/>
                <w:color w:val="auto"/>
                <w:sz w:val="24"/>
                <w:szCs w:val="24"/>
                <w:highlight w:val="none"/>
              </w:rPr>
              <w:t xml:space="preserve"> 广州市启韵房地产开发有限公司</w:t>
            </w:r>
          </w:p>
        </w:tc>
        <w:tc>
          <w:tcPr>
            <w:tcW w:w="4742" w:type="dxa"/>
          </w:tcPr>
          <w:p w14:paraId="2528711A">
            <w:pPr>
              <w:spacing w:line="360" w:lineRule="auto"/>
              <w:ind w:left="1499" w:leftChars="28" w:hanging="1440" w:hangingChars="600"/>
              <w:rPr>
                <w:color w:val="auto"/>
                <w:sz w:val="24"/>
                <w:szCs w:val="24"/>
                <w:highlight w:val="none"/>
              </w:rPr>
            </w:pPr>
          </w:p>
          <w:p w14:paraId="1B87B9C8">
            <w:pPr>
              <w:spacing w:line="360" w:lineRule="auto"/>
              <w:rPr>
                <w:color w:val="auto"/>
                <w:sz w:val="24"/>
                <w:szCs w:val="24"/>
                <w:highlight w:val="none"/>
              </w:rPr>
            </w:pPr>
            <w:r>
              <w:rPr>
                <w:rFonts w:hint="eastAsia"/>
                <w:color w:val="auto"/>
                <w:sz w:val="24"/>
                <w:szCs w:val="24"/>
                <w:highlight w:val="none"/>
              </w:rPr>
              <w:t>承包人（盖章）：</w:t>
            </w:r>
          </w:p>
          <w:p w14:paraId="40EEDE23">
            <w:pPr>
              <w:spacing w:line="360" w:lineRule="auto"/>
              <w:ind w:left="1499" w:leftChars="28" w:hanging="1440" w:hangingChars="600"/>
              <w:rPr>
                <w:color w:val="auto"/>
                <w:sz w:val="24"/>
                <w:szCs w:val="24"/>
                <w:highlight w:val="none"/>
              </w:rPr>
            </w:pPr>
            <w:r>
              <w:rPr>
                <w:rFonts w:hint="eastAsia"/>
                <w:color w:val="auto"/>
                <w:sz w:val="24"/>
                <w:szCs w:val="24"/>
                <w:highlight w:val="none"/>
              </w:rPr>
              <w:t xml:space="preserve"> </w:t>
            </w:r>
          </w:p>
        </w:tc>
      </w:tr>
      <w:tr w14:paraId="1C0D22B3">
        <w:tblPrEx>
          <w:tblCellMar>
            <w:top w:w="0" w:type="dxa"/>
            <w:left w:w="108" w:type="dxa"/>
            <w:bottom w:w="0" w:type="dxa"/>
            <w:right w:w="108" w:type="dxa"/>
          </w:tblCellMar>
        </w:tblPrEx>
        <w:trPr>
          <w:trHeight w:val="1175" w:hRule="atLeast"/>
        </w:trPr>
        <w:tc>
          <w:tcPr>
            <w:tcW w:w="4987" w:type="dxa"/>
            <w:vAlign w:val="center"/>
          </w:tcPr>
          <w:p w14:paraId="14F6DEF2">
            <w:pPr>
              <w:spacing w:line="360" w:lineRule="auto"/>
              <w:rPr>
                <w:color w:val="auto"/>
                <w:sz w:val="24"/>
                <w:szCs w:val="24"/>
                <w:highlight w:val="none"/>
              </w:rPr>
            </w:pPr>
            <w:r>
              <w:rPr>
                <w:rFonts w:hint="eastAsia"/>
                <w:color w:val="auto"/>
                <w:sz w:val="24"/>
                <w:szCs w:val="24"/>
                <w:highlight w:val="none"/>
              </w:rPr>
              <w:t>法定代表（签字）：</w:t>
            </w:r>
          </w:p>
        </w:tc>
        <w:tc>
          <w:tcPr>
            <w:tcW w:w="4742" w:type="dxa"/>
            <w:vAlign w:val="center"/>
          </w:tcPr>
          <w:p w14:paraId="5DD3A927">
            <w:pPr>
              <w:spacing w:line="360" w:lineRule="auto"/>
              <w:rPr>
                <w:color w:val="auto"/>
                <w:sz w:val="24"/>
                <w:szCs w:val="24"/>
                <w:highlight w:val="none"/>
              </w:rPr>
            </w:pPr>
            <w:r>
              <w:rPr>
                <w:rFonts w:hint="eastAsia"/>
                <w:color w:val="auto"/>
                <w:sz w:val="24"/>
                <w:szCs w:val="24"/>
                <w:highlight w:val="none"/>
              </w:rPr>
              <w:t>法定代表（签字）：</w:t>
            </w:r>
          </w:p>
        </w:tc>
      </w:tr>
      <w:tr w14:paraId="360C7F43">
        <w:tblPrEx>
          <w:tblCellMar>
            <w:top w:w="0" w:type="dxa"/>
            <w:left w:w="108" w:type="dxa"/>
            <w:bottom w:w="0" w:type="dxa"/>
            <w:right w:w="108" w:type="dxa"/>
          </w:tblCellMar>
        </w:tblPrEx>
        <w:trPr>
          <w:trHeight w:val="1320" w:hRule="atLeast"/>
        </w:trPr>
        <w:tc>
          <w:tcPr>
            <w:tcW w:w="4987" w:type="dxa"/>
            <w:vAlign w:val="center"/>
          </w:tcPr>
          <w:p w14:paraId="3EF8E539">
            <w:pPr>
              <w:adjustRightInd w:val="0"/>
              <w:snapToGrid w:val="0"/>
              <w:spacing w:line="360" w:lineRule="auto"/>
              <w:rPr>
                <w:color w:val="auto"/>
                <w:sz w:val="24"/>
                <w:szCs w:val="24"/>
                <w:highlight w:val="none"/>
              </w:rPr>
            </w:pPr>
            <w:r>
              <w:rPr>
                <w:rFonts w:hint="eastAsia"/>
                <w:color w:val="auto"/>
                <w:sz w:val="24"/>
                <w:szCs w:val="24"/>
                <w:highlight w:val="none"/>
              </w:rPr>
              <w:t>地     址：</w:t>
            </w:r>
            <w:r>
              <w:rPr>
                <w:rFonts w:hint="eastAsia" w:asciiTheme="minorEastAsia" w:hAnsiTheme="minorEastAsia"/>
                <w:color w:val="auto"/>
                <w:sz w:val="24"/>
                <w:szCs w:val="24"/>
                <w:highlight w:val="none"/>
              </w:rPr>
              <w:t xml:space="preserve"> </w:t>
            </w:r>
          </w:p>
          <w:p w14:paraId="6D7E9E63">
            <w:pPr>
              <w:spacing w:line="360" w:lineRule="auto"/>
              <w:ind w:left="1320" w:right="124" w:rightChars="59" w:hanging="1320" w:hangingChars="550"/>
              <w:rPr>
                <w:color w:val="auto"/>
                <w:sz w:val="24"/>
                <w:szCs w:val="24"/>
                <w:highlight w:val="none"/>
              </w:rPr>
            </w:pPr>
            <w:r>
              <w:rPr>
                <w:rFonts w:hint="eastAsia"/>
                <w:color w:val="auto"/>
                <w:sz w:val="24"/>
                <w:szCs w:val="24"/>
                <w:highlight w:val="none"/>
              </w:rPr>
              <w:t xml:space="preserve"> </w:t>
            </w:r>
          </w:p>
        </w:tc>
        <w:tc>
          <w:tcPr>
            <w:tcW w:w="4742" w:type="dxa"/>
          </w:tcPr>
          <w:p w14:paraId="2D8F1E46">
            <w:pPr>
              <w:spacing w:line="360" w:lineRule="auto"/>
              <w:ind w:left="1200" w:hanging="1200" w:hangingChars="500"/>
              <w:rPr>
                <w:color w:val="auto"/>
                <w:sz w:val="24"/>
                <w:szCs w:val="24"/>
                <w:highlight w:val="none"/>
              </w:rPr>
            </w:pPr>
            <w:r>
              <w:rPr>
                <w:rFonts w:hint="eastAsia"/>
                <w:color w:val="auto"/>
                <w:sz w:val="24"/>
                <w:szCs w:val="24"/>
                <w:highlight w:val="none"/>
              </w:rPr>
              <w:t xml:space="preserve">地     址： </w:t>
            </w:r>
          </w:p>
          <w:p w14:paraId="668922E4">
            <w:pPr>
              <w:spacing w:line="360" w:lineRule="auto"/>
              <w:ind w:left="1200" w:hanging="1200" w:hangingChars="500"/>
              <w:rPr>
                <w:color w:val="auto"/>
                <w:sz w:val="24"/>
                <w:szCs w:val="24"/>
                <w:highlight w:val="none"/>
                <w:u w:val="single"/>
              </w:rPr>
            </w:pPr>
            <w:r>
              <w:rPr>
                <w:rFonts w:hint="eastAsia"/>
                <w:color w:val="auto"/>
                <w:sz w:val="24"/>
                <w:szCs w:val="24"/>
                <w:highlight w:val="none"/>
              </w:rPr>
              <w:t xml:space="preserve"> </w:t>
            </w:r>
          </w:p>
        </w:tc>
      </w:tr>
      <w:tr w14:paraId="33FDF525">
        <w:tblPrEx>
          <w:tblCellMar>
            <w:top w:w="0" w:type="dxa"/>
            <w:left w:w="108" w:type="dxa"/>
            <w:bottom w:w="0" w:type="dxa"/>
            <w:right w:w="108" w:type="dxa"/>
          </w:tblCellMar>
        </w:tblPrEx>
        <w:trPr>
          <w:trHeight w:val="926" w:hRule="atLeast"/>
        </w:trPr>
        <w:tc>
          <w:tcPr>
            <w:tcW w:w="4987" w:type="dxa"/>
            <w:vAlign w:val="center"/>
          </w:tcPr>
          <w:p w14:paraId="187AFF8A">
            <w:pPr>
              <w:spacing w:line="360" w:lineRule="auto"/>
              <w:rPr>
                <w:color w:val="auto"/>
                <w:sz w:val="24"/>
                <w:szCs w:val="24"/>
                <w:highlight w:val="none"/>
              </w:rPr>
            </w:pPr>
            <w:r>
              <w:rPr>
                <w:rFonts w:hint="eastAsia"/>
                <w:color w:val="auto"/>
                <w:sz w:val="24"/>
                <w:szCs w:val="24"/>
                <w:highlight w:val="none"/>
              </w:rPr>
              <w:t>邮政编码： /</w:t>
            </w:r>
          </w:p>
        </w:tc>
        <w:tc>
          <w:tcPr>
            <w:tcW w:w="4742" w:type="dxa"/>
            <w:vAlign w:val="center"/>
          </w:tcPr>
          <w:p w14:paraId="41AA0E93">
            <w:pPr>
              <w:spacing w:line="360" w:lineRule="auto"/>
              <w:rPr>
                <w:rFonts w:eastAsia="等线"/>
                <w:color w:val="auto"/>
                <w:sz w:val="24"/>
                <w:szCs w:val="24"/>
                <w:highlight w:val="none"/>
              </w:rPr>
            </w:pPr>
            <w:r>
              <w:rPr>
                <w:rFonts w:hint="eastAsia"/>
                <w:color w:val="auto"/>
                <w:sz w:val="24"/>
                <w:szCs w:val="24"/>
                <w:highlight w:val="none"/>
              </w:rPr>
              <w:t>邮政编码：</w:t>
            </w:r>
            <w:r>
              <w:rPr>
                <w:rFonts w:ascii="宋体" w:hAnsi="宋体" w:eastAsia="等线"/>
                <w:color w:val="auto"/>
                <w:sz w:val="24"/>
                <w:szCs w:val="24"/>
                <w:highlight w:val="none"/>
              </w:rPr>
              <w:t xml:space="preserve"> </w:t>
            </w:r>
            <w:r>
              <w:rPr>
                <w:rFonts w:hint="eastAsia" w:ascii="宋体" w:hAnsi="宋体" w:eastAsia="等线"/>
                <w:color w:val="auto"/>
                <w:sz w:val="24"/>
                <w:szCs w:val="24"/>
                <w:highlight w:val="none"/>
              </w:rPr>
              <w:t xml:space="preserve">  /</w:t>
            </w:r>
          </w:p>
        </w:tc>
      </w:tr>
      <w:tr w14:paraId="170CBA23">
        <w:tblPrEx>
          <w:tblCellMar>
            <w:top w:w="0" w:type="dxa"/>
            <w:left w:w="108" w:type="dxa"/>
            <w:bottom w:w="0" w:type="dxa"/>
            <w:right w:w="108" w:type="dxa"/>
          </w:tblCellMar>
        </w:tblPrEx>
        <w:trPr>
          <w:trHeight w:val="939" w:hRule="atLeast"/>
        </w:trPr>
        <w:tc>
          <w:tcPr>
            <w:tcW w:w="4987" w:type="dxa"/>
            <w:vAlign w:val="center"/>
          </w:tcPr>
          <w:p w14:paraId="30B25AD1">
            <w:pPr>
              <w:spacing w:line="360" w:lineRule="auto"/>
              <w:rPr>
                <w:color w:val="auto"/>
                <w:sz w:val="24"/>
                <w:szCs w:val="24"/>
                <w:highlight w:val="none"/>
              </w:rPr>
            </w:pPr>
            <w:r>
              <w:rPr>
                <w:rFonts w:hint="eastAsia"/>
                <w:color w:val="auto"/>
                <w:sz w:val="24"/>
                <w:szCs w:val="24"/>
                <w:highlight w:val="none"/>
              </w:rPr>
              <w:t>电     话： /</w:t>
            </w:r>
          </w:p>
        </w:tc>
        <w:tc>
          <w:tcPr>
            <w:tcW w:w="4742" w:type="dxa"/>
            <w:vAlign w:val="center"/>
          </w:tcPr>
          <w:p w14:paraId="4552DD9D">
            <w:pPr>
              <w:spacing w:line="360" w:lineRule="auto"/>
              <w:rPr>
                <w:color w:val="auto"/>
                <w:sz w:val="24"/>
                <w:szCs w:val="24"/>
                <w:highlight w:val="none"/>
              </w:rPr>
            </w:pPr>
            <w:r>
              <w:rPr>
                <w:rFonts w:hint="eastAsia"/>
                <w:color w:val="auto"/>
                <w:sz w:val="24"/>
                <w:szCs w:val="24"/>
                <w:highlight w:val="none"/>
              </w:rPr>
              <w:t>电     话： /</w:t>
            </w:r>
          </w:p>
        </w:tc>
      </w:tr>
      <w:tr w14:paraId="7D7388F9">
        <w:tblPrEx>
          <w:tblCellMar>
            <w:top w:w="0" w:type="dxa"/>
            <w:left w:w="108" w:type="dxa"/>
            <w:bottom w:w="0" w:type="dxa"/>
            <w:right w:w="108" w:type="dxa"/>
          </w:tblCellMar>
        </w:tblPrEx>
        <w:trPr>
          <w:trHeight w:val="936" w:hRule="atLeast"/>
        </w:trPr>
        <w:tc>
          <w:tcPr>
            <w:tcW w:w="4987" w:type="dxa"/>
            <w:vAlign w:val="center"/>
          </w:tcPr>
          <w:p w14:paraId="5E4D8BFB">
            <w:pPr>
              <w:spacing w:line="360" w:lineRule="auto"/>
              <w:rPr>
                <w:color w:val="auto"/>
                <w:sz w:val="24"/>
                <w:szCs w:val="24"/>
                <w:highlight w:val="none"/>
              </w:rPr>
            </w:pPr>
            <w:r>
              <w:rPr>
                <w:rFonts w:hint="eastAsia"/>
                <w:color w:val="auto"/>
                <w:sz w:val="24"/>
                <w:szCs w:val="24"/>
                <w:highlight w:val="none"/>
              </w:rPr>
              <w:t>传     真：  /</w:t>
            </w:r>
          </w:p>
        </w:tc>
        <w:tc>
          <w:tcPr>
            <w:tcW w:w="4742" w:type="dxa"/>
            <w:vAlign w:val="center"/>
          </w:tcPr>
          <w:p w14:paraId="60001005">
            <w:pPr>
              <w:spacing w:line="360" w:lineRule="auto"/>
              <w:rPr>
                <w:rFonts w:eastAsia="等线"/>
                <w:color w:val="auto"/>
                <w:sz w:val="24"/>
                <w:szCs w:val="24"/>
                <w:highlight w:val="none"/>
              </w:rPr>
            </w:pPr>
            <w:r>
              <w:rPr>
                <w:rFonts w:hint="eastAsia"/>
                <w:color w:val="auto"/>
                <w:sz w:val="24"/>
                <w:szCs w:val="24"/>
                <w:highlight w:val="none"/>
              </w:rPr>
              <w:t>传     真：</w:t>
            </w:r>
            <w:r>
              <w:rPr>
                <w:rFonts w:ascii="宋体" w:hAnsi="宋体" w:eastAsia="等线"/>
                <w:color w:val="auto"/>
                <w:sz w:val="24"/>
                <w:szCs w:val="24"/>
                <w:highlight w:val="none"/>
              </w:rPr>
              <w:t xml:space="preserve"> </w:t>
            </w:r>
            <w:r>
              <w:rPr>
                <w:rFonts w:hint="eastAsia" w:ascii="宋体" w:hAnsi="宋体" w:eastAsia="等线"/>
                <w:color w:val="auto"/>
                <w:sz w:val="24"/>
                <w:szCs w:val="24"/>
                <w:highlight w:val="none"/>
              </w:rPr>
              <w:t xml:space="preserve"> /</w:t>
            </w:r>
          </w:p>
        </w:tc>
      </w:tr>
      <w:tr w14:paraId="71F5646D">
        <w:tblPrEx>
          <w:tblCellMar>
            <w:top w:w="0" w:type="dxa"/>
            <w:left w:w="108" w:type="dxa"/>
            <w:bottom w:w="0" w:type="dxa"/>
            <w:right w:w="108" w:type="dxa"/>
          </w:tblCellMar>
        </w:tblPrEx>
        <w:trPr>
          <w:trHeight w:val="941" w:hRule="atLeast"/>
        </w:trPr>
        <w:tc>
          <w:tcPr>
            <w:tcW w:w="4987" w:type="dxa"/>
            <w:vAlign w:val="center"/>
          </w:tcPr>
          <w:p w14:paraId="545AADA5">
            <w:pPr>
              <w:spacing w:line="360" w:lineRule="auto"/>
              <w:rPr>
                <w:color w:val="auto"/>
                <w:sz w:val="24"/>
                <w:szCs w:val="24"/>
                <w:highlight w:val="none"/>
              </w:rPr>
            </w:pPr>
            <w:r>
              <w:rPr>
                <w:rFonts w:hint="eastAsia"/>
                <w:color w:val="auto"/>
                <w:sz w:val="24"/>
                <w:szCs w:val="24"/>
                <w:highlight w:val="none"/>
              </w:rPr>
              <w:t>开户银行：</w:t>
            </w:r>
            <w:r>
              <w:rPr>
                <w:rFonts w:hint="eastAsia" w:asciiTheme="minorEastAsia" w:hAnsiTheme="minorEastAsia"/>
                <w:color w:val="auto"/>
                <w:sz w:val="24"/>
                <w:szCs w:val="24"/>
                <w:highlight w:val="none"/>
              </w:rPr>
              <w:t xml:space="preserve"> </w:t>
            </w:r>
          </w:p>
          <w:p w14:paraId="35C47014">
            <w:pPr>
              <w:spacing w:line="360" w:lineRule="auto"/>
              <w:rPr>
                <w:color w:val="auto"/>
                <w:sz w:val="24"/>
                <w:szCs w:val="24"/>
                <w:highlight w:val="none"/>
              </w:rPr>
            </w:pPr>
            <w:r>
              <w:rPr>
                <w:rFonts w:hint="eastAsia" w:ascii="宋体" w:hAnsi="宋体"/>
                <w:color w:val="auto"/>
                <w:sz w:val="24"/>
                <w:szCs w:val="24"/>
                <w:highlight w:val="none"/>
              </w:rPr>
              <w:t xml:space="preserve"> </w:t>
            </w:r>
          </w:p>
        </w:tc>
        <w:tc>
          <w:tcPr>
            <w:tcW w:w="4742" w:type="dxa"/>
            <w:vAlign w:val="center"/>
          </w:tcPr>
          <w:p w14:paraId="4C0C80A3">
            <w:pPr>
              <w:spacing w:line="360" w:lineRule="auto"/>
              <w:rPr>
                <w:color w:val="auto"/>
                <w:sz w:val="24"/>
                <w:szCs w:val="24"/>
                <w:highlight w:val="none"/>
              </w:rPr>
            </w:pPr>
            <w:r>
              <w:rPr>
                <w:rFonts w:hint="eastAsia"/>
                <w:color w:val="auto"/>
                <w:sz w:val="24"/>
                <w:szCs w:val="24"/>
                <w:highlight w:val="none"/>
              </w:rPr>
              <w:t>开户银行：</w:t>
            </w:r>
          </w:p>
          <w:p w14:paraId="16AFD119">
            <w:pPr>
              <w:spacing w:line="360" w:lineRule="auto"/>
              <w:rPr>
                <w:color w:val="auto"/>
                <w:sz w:val="24"/>
                <w:szCs w:val="24"/>
                <w:highlight w:val="none"/>
              </w:rPr>
            </w:pPr>
            <w:r>
              <w:rPr>
                <w:rFonts w:hint="eastAsia"/>
                <w:color w:val="auto"/>
                <w:sz w:val="24"/>
                <w:szCs w:val="24"/>
                <w:highlight w:val="none"/>
              </w:rPr>
              <w:t xml:space="preserve"> </w:t>
            </w:r>
          </w:p>
        </w:tc>
      </w:tr>
      <w:tr w14:paraId="0FE00E86">
        <w:tblPrEx>
          <w:tblCellMar>
            <w:top w:w="0" w:type="dxa"/>
            <w:left w:w="108" w:type="dxa"/>
            <w:bottom w:w="0" w:type="dxa"/>
            <w:right w:w="108" w:type="dxa"/>
          </w:tblCellMar>
        </w:tblPrEx>
        <w:trPr>
          <w:trHeight w:val="777" w:hRule="atLeast"/>
        </w:trPr>
        <w:tc>
          <w:tcPr>
            <w:tcW w:w="4987" w:type="dxa"/>
            <w:vAlign w:val="center"/>
          </w:tcPr>
          <w:p w14:paraId="6E1A9A36">
            <w:pPr>
              <w:spacing w:line="360" w:lineRule="auto"/>
              <w:rPr>
                <w:color w:val="auto"/>
                <w:sz w:val="24"/>
                <w:szCs w:val="24"/>
                <w:highlight w:val="none"/>
              </w:rPr>
            </w:pPr>
            <w:r>
              <w:rPr>
                <w:rFonts w:hint="eastAsia"/>
                <w:color w:val="auto"/>
                <w:sz w:val="24"/>
                <w:szCs w:val="24"/>
                <w:highlight w:val="none"/>
              </w:rPr>
              <w:t>开户账号：</w:t>
            </w:r>
            <w:r>
              <w:rPr>
                <w:rFonts w:hint="eastAsia" w:asciiTheme="minorEastAsia" w:hAnsiTheme="minorEastAsia"/>
                <w:color w:val="auto"/>
                <w:sz w:val="24"/>
                <w:szCs w:val="24"/>
                <w:highlight w:val="none"/>
              </w:rPr>
              <w:t xml:space="preserve"> </w:t>
            </w:r>
          </w:p>
        </w:tc>
        <w:tc>
          <w:tcPr>
            <w:tcW w:w="4742" w:type="dxa"/>
            <w:vAlign w:val="center"/>
          </w:tcPr>
          <w:p w14:paraId="0D9B0A1F">
            <w:pPr>
              <w:spacing w:line="360" w:lineRule="auto"/>
              <w:rPr>
                <w:color w:val="auto"/>
                <w:sz w:val="24"/>
                <w:szCs w:val="24"/>
                <w:highlight w:val="none"/>
              </w:rPr>
            </w:pPr>
            <w:r>
              <w:rPr>
                <w:rFonts w:hint="eastAsia"/>
                <w:color w:val="auto"/>
                <w:sz w:val="24"/>
                <w:szCs w:val="24"/>
                <w:highlight w:val="none"/>
              </w:rPr>
              <w:t xml:space="preserve">开户账号： </w:t>
            </w:r>
          </w:p>
        </w:tc>
      </w:tr>
      <w:tr w14:paraId="0DEA7ED3">
        <w:tblPrEx>
          <w:tblCellMar>
            <w:top w:w="0" w:type="dxa"/>
            <w:left w:w="108" w:type="dxa"/>
            <w:bottom w:w="0" w:type="dxa"/>
            <w:right w:w="108" w:type="dxa"/>
          </w:tblCellMar>
        </w:tblPrEx>
        <w:trPr>
          <w:trHeight w:val="777" w:hRule="atLeast"/>
        </w:trPr>
        <w:tc>
          <w:tcPr>
            <w:tcW w:w="4987" w:type="dxa"/>
            <w:vAlign w:val="center"/>
          </w:tcPr>
          <w:p w14:paraId="2199D431">
            <w:pPr>
              <w:spacing w:line="360" w:lineRule="auto"/>
              <w:rPr>
                <w:color w:val="auto"/>
                <w:sz w:val="24"/>
                <w:szCs w:val="24"/>
                <w:highlight w:val="none"/>
              </w:rPr>
            </w:pPr>
            <w:r>
              <w:rPr>
                <w:rFonts w:hint="eastAsia"/>
                <w:color w:val="auto"/>
                <w:sz w:val="24"/>
                <w:szCs w:val="24"/>
                <w:highlight w:val="none"/>
              </w:rPr>
              <w:t>税号：</w:t>
            </w:r>
            <w:r>
              <w:rPr>
                <w:rFonts w:hint="eastAsia" w:ascii="宋体" w:hAnsi="宋体"/>
                <w:color w:val="auto"/>
                <w:sz w:val="24"/>
                <w:szCs w:val="24"/>
                <w:highlight w:val="none"/>
              </w:rPr>
              <w:t xml:space="preserve"> </w:t>
            </w:r>
          </w:p>
        </w:tc>
        <w:tc>
          <w:tcPr>
            <w:tcW w:w="4742" w:type="dxa"/>
            <w:vAlign w:val="center"/>
          </w:tcPr>
          <w:p w14:paraId="256E2768">
            <w:pPr>
              <w:spacing w:line="360" w:lineRule="auto"/>
              <w:rPr>
                <w:color w:val="auto"/>
                <w:sz w:val="24"/>
                <w:szCs w:val="24"/>
                <w:highlight w:val="none"/>
              </w:rPr>
            </w:pPr>
            <w:r>
              <w:rPr>
                <w:rFonts w:hint="eastAsia"/>
                <w:color w:val="auto"/>
                <w:sz w:val="24"/>
                <w:szCs w:val="24"/>
                <w:highlight w:val="none"/>
              </w:rPr>
              <w:t xml:space="preserve">税号： </w:t>
            </w:r>
          </w:p>
        </w:tc>
      </w:tr>
    </w:tbl>
    <w:p w14:paraId="78102769">
      <w:pPr>
        <w:spacing w:line="360" w:lineRule="auto"/>
        <w:rPr>
          <w:rFonts w:ascii="宋体" w:cs="宋体"/>
          <w:color w:val="auto"/>
          <w:sz w:val="24"/>
          <w:highlight w:val="none"/>
        </w:rPr>
        <w:sectPr>
          <w:footerReference r:id="rId8" w:type="first"/>
          <w:footerReference r:id="rId7" w:type="default"/>
          <w:pgSz w:w="11907" w:h="16840"/>
          <w:pgMar w:top="1134" w:right="1418" w:bottom="1134" w:left="1418" w:header="720" w:footer="720" w:gutter="0"/>
          <w:cols w:space="720" w:num="1"/>
          <w:titlePg/>
          <w:docGrid w:linePitch="286" w:charSpace="0"/>
        </w:sectPr>
      </w:pPr>
    </w:p>
    <w:p w14:paraId="1EC4E148">
      <w:pPr>
        <w:adjustRightInd w:val="0"/>
        <w:snapToGrid w:val="0"/>
        <w:spacing w:before="120" w:beforeLines="50" w:after="120" w:afterLines="50" w:line="360" w:lineRule="auto"/>
        <w:ind w:right="840"/>
        <w:rPr>
          <w:rFonts w:ascii="宋体" w:hAnsi="宋体" w:cs="宋体"/>
          <w:b/>
          <w:color w:val="auto"/>
          <w:szCs w:val="21"/>
          <w:highlight w:val="none"/>
        </w:rPr>
      </w:pPr>
      <w:r>
        <w:rPr>
          <w:rFonts w:hint="eastAsia" w:ascii="宋体" w:hAnsi="宋体" w:cs="宋体"/>
          <w:b/>
          <w:color w:val="auto"/>
          <w:szCs w:val="21"/>
          <w:highlight w:val="none"/>
        </w:rPr>
        <w:t>附件2：安全生产合同</w:t>
      </w:r>
    </w:p>
    <w:p w14:paraId="02033D7C">
      <w:pPr>
        <w:spacing w:line="360" w:lineRule="auto"/>
        <w:ind w:left="178" w:firstLine="600" w:firstLineChars="250"/>
        <w:rPr>
          <w:rFonts w:ascii="宋体" w:hAnsi="宋体" w:cs="宋体"/>
          <w:color w:val="auto"/>
          <w:sz w:val="24"/>
          <w:szCs w:val="24"/>
          <w:highlight w:val="none"/>
          <w:u w:val="single"/>
        </w:rPr>
      </w:pPr>
      <w:r>
        <w:rPr>
          <w:rFonts w:hint="eastAsia" w:ascii="宋体" w:hAnsi="宋体" w:cs="宋体"/>
          <w:color w:val="auto"/>
          <w:sz w:val="24"/>
          <w:szCs w:val="24"/>
          <w:highlight w:val="none"/>
        </w:rPr>
        <w:t>发包人：（全称）</w:t>
      </w:r>
      <w:r>
        <w:rPr>
          <w:rFonts w:hint="eastAsia" w:ascii="宋体" w:hAnsi="宋体" w:cs="宋体"/>
          <w:color w:val="auto"/>
          <w:sz w:val="24"/>
          <w:szCs w:val="24"/>
          <w:highlight w:val="none"/>
          <w:u w:val="single"/>
        </w:rPr>
        <w:t xml:space="preserve"> 广州市启韵房地产开发有限公司</w:t>
      </w:r>
    </w:p>
    <w:p w14:paraId="515A659C">
      <w:pPr>
        <w:adjustRightInd w:val="0"/>
        <w:snapToGrid w:val="0"/>
        <w:spacing w:before="120" w:beforeLines="50" w:after="120" w:afterLines="50" w:line="360" w:lineRule="auto"/>
        <w:ind w:left="63" w:leftChars="30" w:right="840" w:firstLine="676" w:firstLineChars="282"/>
        <w:rPr>
          <w:color w:val="auto"/>
          <w:sz w:val="24"/>
          <w:szCs w:val="24"/>
          <w:highlight w:val="none"/>
        </w:rPr>
      </w:pPr>
      <w:r>
        <w:rPr>
          <w:rFonts w:hint="eastAsia" w:ascii="宋体" w:hAnsi="宋体" w:cs="宋体"/>
          <w:color w:val="auto"/>
          <w:sz w:val="24"/>
          <w:szCs w:val="24"/>
          <w:highlight w:val="none"/>
        </w:rPr>
        <w:t>承包人：（全称）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14:paraId="13F8E7EB">
      <w:pPr>
        <w:spacing w:line="360" w:lineRule="auto"/>
        <w:ind w:left="178" w:firstLine="480"/>
        <w:rPr>
          <w:b/>
          <w:bCs/>
          <w:color w:val="auto"/>
          <w:sz w:val="24"/>
          <w:szCs w:val="24"/>
          <w:highlight w:val="none"/>
          <w:u w:val="single"/>
        </w:rPr>
      </w:pPr>
      <w:r>
        <w:rPr>
          <w:rFonts w:hint="eastAsia"/>
          <w:color w:val="auto"/>
          <w:sz w:val="24"/>
          <w:szCs w:val="24"/>
          <w:highlight w:val="none"/>
        </w:rPr>
        <w:t>为在</w:t>
      </w:r>
      <w:r>
        <w:rPr>
          <w:rFonts w:hint="eastAsia"/>
          <w:color w:val="auto"/>
          <w:sz w:val="24"/>
          <w:szCs w:val="24"/>
          <w:highlight w:val="none"/>
          <w:u w:val="single"/>
        </w:rPr>
        <w:t xml:space="preserve"> 悦辰花园项目（原名：领隽城市花园项目）三期A区、B区及会所高低压配电工程</w:t>
      </w:r>
      <w:r>
        <w:rPr>
          <w:rFonts w:hint="eastAsia"/>
          <w:color w:val="auto"/>
          <w:sz w:val="24"/>
          <w:szCs w:val="24"/>
          <w:highlight w:val="none"/>
        </w:rPr>
        <w:t>及合同实施过程中创造安全、高效的施工环境，切实搞好本项目的安全管理工作，本项目发包人</w:t>
      </w:r>
      <w:r>
        <w:rPr>
          <w:rFonts w:hint="eastAsia" w:ascii="宋体" w:hAnsi="宋体" w:cs="宋体"/>
          <w:color w:val="auto"/>
          <w:sz w:val="24"/>
          <w:szCs w:val="24"/>
          <w:highlight w:val="none"/>
          <w:u w:val="single"/>
        </w:rPr>
        <w:t>广州市启韵房地产开发有限公司</w:t>
      </w:r>
      <w:r>
        <w:rPr>
          <w:color w:val="auto"/>
          <w:sz w:val="24"/>
          <w:szCs w:val="24"/>
          <w:highlight w:val="none"/>
          <w:u w:val="single"/>
        </w:rPr>
        <w:t xml:space="preserve"> </w:t>
      </w:r>
      <w:r>
        <w:rPr>
          <w:rFonts w:hint="eastAsia"/>
          <w:color w:val="auto"/>
          <w:sz w:val="24"/>
          <w:szCs w:val="24"/>
          <w:highlight w:val="none"/>
        </w:rPr>
        <w:t xml:space="preserve">、承包人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，特此签订安全生产合同。</w:t>
      </w:r>
    </w:p>
    <w:p w14:paraId="4EE5EF79">
      <w:pPr>
        <w:adjustRightInd w:val="0"/>
        <w:snapToGrid w:val="0"/>
        <w:spacing w:before="120" w:beforeLines="50" w:after="120" w:afterLines="50" w:line="360" w:lineRule="auto"/>
        <w:ind w:left="178" w:firstLine="482"/>
        <w:rPr>
          <w:b/>
          <w:bCs/>
          <w:color w:val="auto"/>
          <w:sz w:val="24"/>
          <w:szCs w:val="24"/>
          <w:highlight w:val="none"/>
        </w:rPr>
      </w:pPr>
      <w:r>
        <w:rPr>
          <w:rFonts w:hint="eastAsia"/>
          <w:b/>
          <w:bCs/>
          <w:color w:val="auto"/>
          <w:sz w:val="24"/>
          <w:szCs w:val="24"/>
          <w:highlight w:val="none"/>
        </w:rPr>
        <w:t>一、发包人职责</w:t>
      </w:r>
    </w:p>
    <w:p w14:paraId="6620CB46">
      <w:pPr>
        <w:spacing w:line="360" w:lineRule="auto"/>
        <w:ind w:left="178" w:firstLine="48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严格遵守国家有关安全生产的法律法规，认真执行工程承包合同中的有关安全要求。</w:t>
      </w:r>
    </w:p>
    <w:p w14:paraId="13231FDD">
      <w:pPr>
        <w:spacing w:line="360" w:lineRule="auto"/>
        <w:ind w:left="178" w:firstLine="48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按照“安全第一、预防为主”和坚持“管生产必须管安全”的原则进行安全生产管理，做到生产和安全工作同时计划、布置、检查、总结和评比。</w:t>
      </w:r>
    </w:p>
    <w:p w14:paraId="458A162F">
      <w:pPr>
        <w:spacing w:line="360" w:lineRule="auto"/>
        <w:ind w:left="178" w:firstLine="480"/>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重要的安全设施必须坚持与主体工程“三同时”的原则，即：同时设计、审批；同时施工；同时验收，投入使用。</w:t>
      </w:r>
    </w:p>
    <w:p w14:paraId="5D81EC0E">
      <w:pPr>
        <w:spacing w:line="360" w:lineRule="auto"/>
        <w:ind w:left="178" w:firstLine="480"/>
        <w:rPr>
          <w:color w:val="auto"/>
          <w:sz w:val="24"/>
          <w:szCs w:val="24"/>
          <w:highlight w:val="none"/>
        </w:rPr>
      </w:pPr>
      <w:r>
        <w:rPr>
          <w:rFonts w:hint="eastAsia"/>
          <w:color w:val="auto"/>
          <w:sz w:val="24"/>
          <w:szCs w:val="24"/>
          <w:highlight w:val="none"/>
          <w:lang w:eastAsia="zh-CN"/>
        </w:rPr>
        <w:t>4.</w:t>
      </w:r>
      <w:r>
        <w:rPr>
          <w:rFonts w:hint="eastAsia"/>
          <w:color w:val="auto"/>
          <w:sz w:val="24"/>
          <w:szCs w:val="24"/>
          <w:highlight w:val="none"/>
        </w:rPr>
        <w:t>定期召开安全生产调度会，及时转达中央及地方有关安全生产的精神。</w:t>
      </w:r>
    </w:p>
    <w:p w14:paraId="5C49ACE7">
      <w:pPr>
        <w:spacing w:line="360" w:lineRule="auto"/>
        <w:ind w:left="178" w:firstLine="480"/>
        <w:rPr>
          <w:b/>
          <w:bCs/>
          <w:color w:val="auto"/>
          <w:sz w:val="24"/>
          <w:szCs w:val="24"/>
          <w:highlight w:val="none"/>
        </w:rPr>
      </w:pPr>
      <w:r>
        <w:rPr>
          <w:rFonts w:hint="eastAsia"/>
          <w:color w:val="auto"/>
          <w:sz w:val="24"/>
          <w:szCs w:val="24"/>
          <w:highlight w:val="none"/>
          <w:lang w:eastAsia="zh-CN"/>
        </w:rPr>
        <w:t>5.</w:t>
      </w:r>
      <w:r>
        <w:rPr>
          <w:rFonts w:hint="eastAsia"/>
          <w:color w:val="auto"/>
          <w:sz w:val="24"/>
          <w:szCs w:val="24"/>
          <w:highlight w:val="none"/>
        </w:rPr>
        <w:t>组织对承包人施工现场安全生产检查，监督承包人及时处理发现的各种安全隐患。</w:t>
      </w:r>
    </w:p>
    <w:p w14:paraId="117AEF44">
      <w:pPr>
        <w:adjustRightInd w:val="0"/>
        <w:snapToGrid w:val="0"/>
        <w:spacing w:before="120" w:beforeLines="50" w:after="120" w:afterLines="50" w:line="360" w:lineRule="auto"/>
        <w:ind w:left="178" w:firstLine="482"/>
        <w:rPr>
          <w:b/>
          <w:bCs/>
          <w:color w:val="auto"/>
          <w:sz w:val="24"/>
          <w:szCs w:val="24"/>
          <w:highlight w:val="none"/>
        </w:rPr>
      </w:pPr>
      <w:r>
        <w:rPr>
          <w:rFonts w:hint="eastAsia"/>
          <w:b/>
          <w:bCs/>
          <w:color w:val="auto"/>
          <w:sz w:val="24"/>
          <w:szCs w:val="24"/>
          <w:highlight w:val="none"/>
        </w:rPr>
        <w:t>二、承包人职责</w:t>
      </w:r>
    </w:p>
    <w:p w14:paraId="3439B2E9">
      <w:pPr>
        <w:spacing w:line="360" w:lineRule="auto"/>
        <w:ind w:left="178" w:firstLine="48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严格遵守国家有关安全生产的法律法规，认真执行工程承包合同中的有关安全要求。</w:t>
      </w:r>
    </w:p>
    <w:p w14:paraId="249158C2">
      <w:pPr>
        <w:spacing w:line="360" w:lineRule="auto"/>
        <w:ind w:left="178" w:firstLine="48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坚持“安全第一、预防为主”和“管生产必须管安全”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706C238">
      <w:pPr>
        <w:spacing w:line="360" w:lineRule="auto"/>
        <w:ind w:left="178" w:firstLine="480"/>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建立健全安全生产责任制，从</w:t>
      </w:r>
      <w:r>
        <w:rPr>
          <w:rFonts w:hint="eastAsia"/>
          <w:color w:val="auto"/>
          <w:sz w:val="24"/>
          <w:szCs w:val="24"/>
          <w:highlight w:val="none"/>
          <w:lang w:eastAsia="zh-CN"/>
        </w:rPr>
        <w:t>派驻</w:t>
      </w:r>
      <w:r>
        <w:rPr>
          <w:rFonts w:hint="eastAsia"/>
          <w:color w:val="auto"/>
          <w:sz w:val="24"/>
          <w:szCs w:val="24"/>
          <w:highlight w:val="none"/>
        </w:rPr>
        <w:t>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1%</w:t>
      </w:r>
      <w:r>
        <w:rPr>
          <w:rFonts w:hint="eastAsia"/>
          <w:color w:val="auto"/>
          <w:sz w:val="24"/>
          <w:szCs w:val="24"/>
          <w:highlight w:val="none"/>
          <w:lang w:eastAsia="zh-CN"/>
        </w:rPr>
        <w:t>～</w:t>
      </w:r>
      <w:r>
        <w:rPr>
          <w:rFonts w:hint="eastAsia"/>
          <w:color w:val="auto"/>
          <w:sz w:val="24"/>
          <w:szCs w:val="24"/>
          <w:highlight w:val="none"/>
        </w:rPr>
        <w:t>3%配备安全员，专职负责所有的安全和治安保卫工作及预防事故的发生。安全机构人员，有权按有关规定发布指令，并采取保护性措施防止事故发生。</w:t>
      </w:r>
    </w:p>
    <w:p w14:paraId="5955E3F1">
      <w:pPr>
        <w:spacing w:line="360" w:lineRule="auto"/>
        <w:ind w:left="178" w:firstLine="480"/>
        <w:rPr>
          <w:color w:val="auto"/>
          <w:sz w:val="24"/>
          <w:szCs w:val="24"/>
          <w:highlight w:val="none"/>
        </w:rPr>
      </w:pPr>
      <w:r>
        <w:rPr>
          <w:rFonts w:hint="eastAsia"/>
          <w:color w:val="auto"/>
          <w:sz w:val="24"/>
          <w:szCs w:val="24"/>
          <w:highlight w:val="none"/>
          <w:lang w:eastAsia="zh-CN"/>
        </w:rPr>
        <w:t>4.</w:t>
      </w:r>
      <w:r>
        <w:rPr>
          <w:rFonts w:hint="eastAsia"/>
          <w:color w:val="auto"/>
          <w:sz w:val="24"/>
          <w:szCs w:val="24"/>
          <w:highlight w:val="none"/>
        </w:rPr>
        <w:t>承包人在任何时候都应采取各种合理的预防措施，防止其员工发生各种违法、违禁、暴力或妨碍治安的行为。</w:t>
      </w:r>
    </w:p>
    <w:p w14:paraId="4F16694B">
      <w:pPr>
        <w:spacing w:line="360" w:lineRule="auto"/>
        <w:ind w:left="178" w:firstLine="480"/>
        <w:rPr>
          <w:color w:val="auto"/>
          <w:sz w:val="24"/>
          <w:szCs w:val="24"/>
          <w:highlight w:val="none"/>
        </w:rPr>
      </w:pPr>
      <w:r>
        <w:rPr>
          <w:rFonts w:hint="eastAsia"/>
          <w:color w:val="auto"/>
          <w:sz w:val="24"/>
          <w:szCs w:val="24"/>
          <w:highlight w:val="none"/>
          <w:lang w:eastAsia="zh-CN"/>
        </w:rPr>
        <w:t>5.</w:t>
      </w:r>
      <w:r>
        <w:rPr>
          <w:rFonts w:hint="eastAsia"/>
          <w:color w:val="auto"/>
          <w:sz w:val="24"/>
          <w:szCs w:val="24"/>
          <w:highlight w:val="none"/>
        </w:rPr>
        <w:t>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14:paraId="29D24CCC">
      <w:pPr>
        <w:spacing w:line="360" w:lineRule="auto"/>
        <w:ind w:left="178" w:firstLine="480"/>
        <w:rPr>
          <w:color w:val="auto"/>
          <w:sz w:val="24"/>
          <w:szCs w:val="24"/>
          <w:highlight w:val="none"/>
        </w:rPr>
      </w:pPr>
      <w:r>
        <w:rPr>
          <w:rFonts w:hint="eastAsia"/>
          <w:color w:val="auto"/>
          <w:sz w:val="24"/>
          <w:szCs w:val="24"/>
          <w:highlight w:val="none"/>
          <w:lang w:eastAsia="zh-CN"/>
        </w:rPr>
        <w:t>6.</w:t>
      </w:r>
      <w:r>
        <w:rPr>
          <w:rFonts w:hint="eastAsia"/>
          <w:color w:val="auto"/>
          <w:sz w:val="24"/>
          <w:szCs w:val="24"/>
          <w:highlight w:val="none"/>
        </w:rPr>
        <w:t>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14:paraId="03D8ECD4">
      <w:pPr>
        <w:spacing w:line="360" w:lineRule="auto"/>
        <w:ind w:left="178" w:firstLine="480"/>
        <w:rPr>
          <w:color w:val="auto"/>
          <w:sz w:val="24"/>
          <w:szCs w:val="24"/>
          <w:highlight w:val="none"/>
        </w:rPr>
      </w:pPr>
      <w:r>
        <w:rPr>
          <w:rFonts w:hint="eastAsia"/>
          <w:color w:val="auto"/>
          <w:sz w:val="24"/>
          <w:szCs w:val="24"/>
          <w:highlight w:val="none"/>
          <w:lang w:eastAsia="zh-CN"/>
        </w:rPr>
        <w:t>7.</w:t>
      </w:r>
      <w:r>
        <w:rPr>
          <w:rFonts w:hint="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340235C4">
      <w:pPr>
        <w:spacing w:line="360" w:lineRule="auto"/>
        <w:ind w:left="178" w:firstLine="480"/>
        <w:rPr>
          <w:color w:val="auto"/>
          <w:sz w:val="24"/>
          <w:szCs w:val="24"/>
          <w:highlight w:val="none"/>
        </w:rPr>
      </w:pPr>
      <w:r>
        <w:rPr>
          <w:rFonts w:hint="eastAsia"/>
          <w:color w:val="auto"/>
          <w:sz w:val="24"/>
          <w:szCs w:val="24"/>
          <w:highlight w:val="none"/>
          <w:lang w:eastAsia="zh-CN"/>
        </w:rPr>
        <w:t>8.</w:t>
      </w:r>
      <w:r>
        <w:rPr>
          <w:rFonts w:hint="eastAsia"/>
          <w:color w:val="auto"/>
          <w:sz w:val="24"/>
          <w:szCs w:val="24"/>
          <w:highlight w:val="none"/>
        </w:rPr>
        <w:t>所有施工机具设备和高空作业的设备均应定期检查，并有安全员的签名记录，保证其经常处于完好状态，不合格的机具、设备和劳动保护用品严禁使用。</w:t>
      </w:r>
    </w:p>
    <w:p w14:paraId="53D5753F">
      <w:pPr>
        <w:spacing w:line="360" w:lineRule="auto"/>
        <w:ind w:left="178" w:firstLine="480"/>
        <w:rPr>
          <w:color w:val="auto"/>
          <w:sz w:val="24"/>
          <w:szCs w:val="24"/>
          <w:highlight w:val="none"/>
        </w:rPr>
      </w:pPr>
      <w:r>
        <w:rPr>
          <w:rFonts w:hint="eastAsia"/>
          <w:color w:val="auto"/>
          <w:sz w:val="24"/>
          <w:szCs w:val="24"/>
          <w:highlight w:val="none"/>
          <w:lang w:eastAsia="zh-CN"/>
        </w:rPr>
        <w:t>9.</w:t>
      </w:r>
      <w:r>
        <w:rPr>
          <w:rFonts w:hint="eastAsia"/>
          <w:color w:val="auto"/>
          <w:sz w:val="24"/>
          <w:szCs w:val="24"/>
          <w:highlight w:val="none"/>
        </w:rPr>
        <w:t>施工中采用新技术、新工艺、新设备、新</w:t>
      </w:r>
      <w:r>
        <w:rPr>
          <w:rFonts w:hint="eastAsia"/>
          <w:color w:val="auto"/>
          <w:sz w:val="24"/>
          <w:szCs w:val="24"/>
          <w:highlight w:val="none"/>
          <w:lang w:eastAsia="zh-CN"/>
        </w:rPr>
        <w:t>材料</w:t>
      </w:r>
      <w:r>
        <w:rPr>
          <w:rFonts w:hint="eastAsia"/>
          <w:color w:val="auto"/>
          <w:sz w:val="24"/>
          <w:szCs w:val="24"/>
          <w:highlight w:val="none"/>
        </w:rPr>
        <w:t>，必须制定相应的安全技术措施，施工现场必须具有相关的安全标志牌。</w:t>
      </w:r>
    </w:p>
    <w:p w14:paraId="3EFFD1F2">
      <w:pPr>
        <w:spacing w:line="360" w:lineRule="auto"/>
        <w:ind w:left="178" w:firstLine="480"/>
        <w:rPr>
          <w:color w:val="auto"/>
          <w:sz w:val="24"/>
          <w:szCs w:val="24"/>
          <w:highlight w:val="none"/>
        </w:rPr>
      </w:pPr>
      <w:r>
        <w:rPr>
          <w:rFonts w:hint="eastAsia"/>
          <w:color w:val="auto"/>
          <w:sz w:val="24"/>
          <w:szCs w:val="24"/>
          <w:highlight w:val="none"/>
          <w:lang w:eastAsia="zh-CN"/>
        </w:rPr>
        <w:t>10.</w:t>
      </w:r>
      <w:r>
        <w:rPr>
          <w:rFonts w:hint="eastAsia"/>
          <w:color w:val="auto"/>
          <w:sz w:val="24"/>
          <w:szCs w:val="24"/>
          <w:highlight w:val="none"/>
        </w:rPr>
        <w:t>承包人必须按照本工程项目特点，组织制定本工程实施中的生产安全事故应急</w:t>
      </w:r>
      <w:r>
        <w:rPr>
          <w:rFonts w:hint="eastAsia"/>
          <w:color w:val="auto"/>
          <w:sz w:val="24"/>
          <w:szCs w:val="24"/>
          <w:highlight w:val="none"/>
          <w:lang w:eastAsia="zh-CN"/>
        </w:rPr>
        <w:t>救援</w:t>
      </w:r>
      <w:r>
        <w:rPr>
          <w:rFonts w:hint="eastAsia"/>
          <w:color w:val="auto"/>
          <w:sz w:val="24"/>
          <w:szCs w:val="24"/>
          <w:highlight w:val="none"/>
        </w:rPr>
        <w:t>预案；如果发生安全事故，即按照《国务院关于特大安全事故行政责任追究的规定》以及其它有关规定，</w:t>
      </w:r>
      <w:r>
        <w:rPr>
          <w:rFonts w:hint="eastAsia"/>
          <w:color w:val="auto"/>
          <w:sz w:val="24"/>
          <w:szCs w:val="24"/>
          <w:highlight w:val="none"/>
          <w:lang w:eastAsia="zh-CN"/>
        </w:rPr>
        <w:t>及时</w:t>
      </w:r>
      <w:r>
        <w:rPr>
          <w:rFonts w:hint="eastAsia"/>
          <w:color w:val="auto"/>
          <w:sz w:val="24"/>
          <w:szCs w:val="24"/>
          <w:highlight w:val="none"/>
        </w:rPr>
        <w:t>上报有关部门，并坚持“三不放过”的原则，严格处理相关责任人。</w:t>
      </w:r>
    </w:p>
    <w:p w14:paraId="77260581">
      <w:pPr>
        <w:adjustRightInd w:val="0"/>
        <w:snapToGrid w:val="0"/>
        <w:spacing w:before="120" w:beforeLines="50" w:after="120" w:afterLines="50" w:line="360" w:lineRule="auto"/>
        <w:ind w:left="178" w:firstLine="482"/>
        <w:rPr>
          <w:b/>
          <w:bCs/>
          <w:color w:val="auto"/>
          <w:sz w:val="24"/>
          <w:szCs w:val="24"/>
          <w:highlight w:val="none"/>
        </w:rPr>
      </w:pPr>
      <w:r>
        <w:rPr>
          <w:rFonts w:hint="eastAsia"/>
          <w:b/>
          <w:bCs/>
          <w:color w:val="auto"/>
          <w:sz w:val="24"/>
          <w:szCs w:val="24"/>
          <w:highlight w:val="none"/>
        </w:rPr>
        <w:t>三、违约责任</w:t>
      </w:r>
    </w:p>
    <w:p w14:paraId="08AE28D7">
      <w:pPr>
        <w:spacing w:line="360" w:lineRule="auto"/>
        <w:ind w:left="178" w:firstLine="480"/>
        <w:rPr>
          <w:color w:val="auto"/>
          <w:sz w:val="24"/>
          <w:szCs w:val="24"/>
          <w:highlight w:val="none"/>
        </w:rPr>
      </w:pPr>
      <w:r>
        <w:rPr>
          <w:rFonts w:hint="eastAsia"/>
          <w:color w:val="auto"/>
          <w:sz w:val="24"/>
          <w:szCs w:val="24"/>
          <w:highlight w:val="none"/>
        </w:rPr>
        <w:t>如因发包人或承包人违约造成安全事故，将依法追究责任。</w:t>
      </w:r>
    </w:p>
    <w:p w14:paraId="1C618711">
      <w:pPr>
        <w:spacing w:line="360" w:lineRule="auto"/>
        <w:ind w:left="178" w:firstLine="480"/>
        <w:rPr>
          <w:color w:val="auto"/>
          <w:sz w:val="24"/>
          <w:szCs w:val="24"/>
          <w:highlight w:val="none"/>
        </w:rPr>
      </w:pPr>
      <w:r>
        <w:rPr>
          <w:rFonts w:hint="eastAsia"/>
          <w:color w:val="auto"/>
          <w:sz w:val="24"/>
          <w:szCs w:val="24"/>
          <w:highlight w:val="none"/>
        </w:rPr>
        <w:t>本合同份数与施工合同相同。由双方法定代表或授权代表签署加盖公章后生效。全部工程竣工验收后失效。</w:t>
      </w:r>
    </w:p>
    <w:p w14:paraId="64874B2D">
      <w:pPr>
        <w:spacing w:before="120" w:after="120" w:line="360" w:lineRule="auto"/>
        <w:ind w:left="178" w:firstLine="480"/>
        <w:rPr>
          <w:color w:val="auto"/>
          <w:sz w:val="24"/>
          <w:szCs w:val="24"/>
          <w:highlight w:val="none"/>
        </w:rPr>
      </w:pPr>
      <w:r>
        <w:rPr>
          <w:rFonts w:hint="eastAsia"/>
          <w:color w:val="auto"/>
          <w:sz w:val="24"/>
          <w:szCs w:val="24"/>
          <w:highlight w:val="none"/>
        </w:rPr>
        <w:t>（以下无正文）</w:t>
      </w:r>
    </w:p>
    <w:p w14:paraId="355BD96F">
      <w:pPr>
        <w:adjustRightInd w:val="0"/>
        <w:snapToGrid w:val="0"/>
        <w:spacing w:before="120" w:beforeLines="50" w:after="120" w:afterLines="50" w:line="360" w:lineRule="auto"/>
        <w:ind w:right="840"/>
        <w:rPr>
          <w:color w:val="auto"/>
          <w:sz w:val="24"/>
          <w:szCs w:val="24"/>
          <w:highlight w:val="none"/>
        </w:rPr>
      </w:pPr>
      <w:r>
        <w:rPr>
          <w:color w:val="auto"/>
          <w:sz w:val="24"/>
          <w:szCs w:val="24"/>
          <w:highlight w:val="none"/>
        </w:rPr>
        <w:br w:type="page"/>
      </w:r>
    </w:p>
    <w:tbl>
      <w:tblPr>
        <w:tblStyle w:val="35"/>
        <w:tblpPr w:leftFromText="180" w:rightFromText="180" w:vertAnchor="text" w:horzAnchor="margin" w:tblpXSpec="center" w:tblpY="338"/>
        <w:tblW w:w="9729" w:type="dxa"/>
        <w:tblInd w:w="0" w:type="dxa"/>
        <w:tblLayout w:type="fixed"/>
        <w:tblCellMar>
          <w:top w:w="0" w:type="dxa"/>
          <w:left w:w="108" w:type="dxa"/>
          <w:bottom w:w="0" w:type="dxa"/>
          <w:right w:w="108" w:type="dxa"/>
        </w:tblCellMar>
      </w:tblPr>
      <w:tblGrid>
        <w:gridCol w:w="4987"/>
        <w:gridCol w:w="4742"/>
      </w:tblGrid>
      <w:tr w14:paraId="79009090">
        <w:tblPrEx>
          <w:tblCellMar>
            <w:top w:w="0" w:type="dxa"/>
            <w:left w:w="108" w:type="dxa"/>
            <w:bottom w:w="0" w:type="dxa"/>
            <w:right w:w="108" w:type="dxa"/>
          </w:tblCellMar>
        </w:tblPrEx>
        <w:trPr>
          <w:trHeight w:val="1246" w:hRule="atLeast"/>
        </w:trPr>
        <w:tc>
          <w:tcPr>
            <w:tcW w:w="4987" w:type="dxa"/>
            <w:vAlign w:val="center"/>
          </w:tcPr>
          <w:p w14:paraId="1FB15A3B">
            <w:pPr>
              <w:spacing w:line="360" w:lineRule="auto"/>
              <w:rPr>
                <w:color w:val="auto"/>
                <w:sz w:val="24"/>
                <w:szCs w:val="24"/>
                <w:highlight w:val="none"/>
              </w:rPr>
            </w:pPr>
            <w:r>
              <w:rPr>
                <w:rFonts w:hint="eastAsia"/>
                <w:color w:val="auto"/>
                <w:sz w:val="24"/>
                <w:szCs w:val="24"/>
                <w:highlight w:val="none"/>
              </w:rPr>
              <w:t xml:space="preserve">发包人（盖章）： </w:t>
            </w:r>
          </w:p>
          <w:p w14:paraId="71DF5A47">
            <w:pPr>
              <w:spacing w:line="360" w:lineRule="auto"/>
              <w:rPr>
                <w:color w:val="auto"/>
                <w:sz w:val="24"/>
                <w:szCs w:val="24"/>
                <w:highlight w:val="none"/>
              </w:rPr>
            </w:pPr>
            <w:r>
              <w:rPr>
                <w:rFonts w:hint="eastAsia" w:ascii="宋体" w:hAnsi="宋体"/>
                <w:color w:val="auto"/>
                <w:sz w:val="24"/>
                <w:szCs w:val="24"/>
                <w:highlight w:val="none"/>
              </w:rPr>
              <w:t xml:space="preserve"> 广州市启韵房地产开发有限公司</w:t>
            </w:r>
          </w:p>
        </w:tc>
        <w:tc>
          <w:tcPr>
            <w:tcW w:w="4742" w:type="dxa"/>
          </w:tcPr>
          <w:p w14:paraId="2097559F">
            <w:pPr>
              <w:spacing w:line="360" w:lineRule="auto"/>
              <w:ind w:left="1499" w:leftChars="28" w:hanging="1440" w:hangingChars="600"/>
              <w:rPr>
                <w:color w:val="auto"/>
                <w:sz w:val="24"/>
                <w:szCs w:val="24"/>
                <w:highlight w:val="none"/>
              </w:rPr>
            </w:pPr>
          </w:p>
          <w:p w14:paraId="68BC89F4">
            <w:pPr>
              <w:spacing w:line="360" w:lineRule="auto"/>
              <w:rPr>
                <w:color w:val="auto"/>
                <w:sz w:val="24"/>
                <w:szCs w:val="24"/>
                <w:highlight w:val="none"/>
              </w:rPr>
            </w:pPr>
            <w:r>
              <w:rPr>
                <w:rFonts w:hint="eastAsia"/>
                <w:color w:val="auto"/>
                <w:sz w:val="24"/>
                <w:szCs w:val="24"/>
                <w:highlight w:val="none"/>
              </w:rPr>
              <w:t>承包人（盖章）：</w:t>
            </w:r>
          </w:p>
          <w:p w14:paraId="240543A3">
            <w:pPr>
              <w:spacing w:line="360" w:lineRule="auto"/>
              <w:ind w:left="1499" w:leftChars="28" w:hanging="1440" w:hangingChars="600"/>
              <w:rPr>
                <w:color w:val="auto"/>
                <w:sz w:val="24"/>
                <w:szCs w:val="24"/>
                <w:highlight w:val="none"/>
              </w:rPr>
            </w:pPr>
            <w:r>
              <w:rPr>
                <w:rFonts w:hint="eastAsia"/>
                <w:color w:val="auto"/>
                <w:sz w:val="24"/>
                <w:szCs w:val="24"/>
                <w:highlight w:val="none"/>
              </w:rPr>
              <w:t xml:space="preserve"> </w:t>
            </w:r>
          </w:p>
        </w:tc>
      </w:tr>
      <w:tr w14:paraId="4A8CDD60">
        <w:tblPrEx>
          <w:tblCellMar>
            <w:top w:w="0" w:type="dxa"/>
            <w:left w:w="108" w:type="dxa"/>
            <w:bottom w:w="0" w:type="dxa"/>
            <w:right w:w="108" w:type="dxa"/>
          </w:tblCellMar>
        </w:tblPrEx>
        <w:trPr>
          <w:trHeight w:val="1175" w:hRule="atLeast"/>
        </w:trPr>
        <w:tc>
          <w:tcPr>
            <w:tcW w:w="4987" w:type="dxa"/>
            <w:vAlign w:val="center"/>
          </w:tcPr>
          <w:p w14:paraId="25B6E80A">
            <w:pPr>
              <w:spacing w:line="360" w:lineRule="auto"/>
              <w:rPr>
                <w:color w:val="auto"/>
                <w:sz w:val="24"/>
                <w:szCs w:val="24"/>
                <w:highlight w:val="none"/>
              </w:rPr>
            </w:pPr>
            <w:r>
              <w:rPr>
                <w:rFonts w:hint="eastAsia"/>
                <w:color w:val="auto"/>
                <w:sz w:val="24"/>
                <w:szCs w:val="24"/>
                <w:highlight w:val="none"/>
              </w:rPr>
              <w:t>法定代表（签字）：</w:t>
            </w:r>
          </w:p>
        </w:tc>
        <w:tc>
          <w:tcPr>
            <w:tcW w:w="4742" w:type="dxa"/>
            <w:vAlign w:val="center"/>
          </w:tcPr>
          <w:p w14:paraId="74F0878B">
            <w:pPr>
              <w:spacing w:line="360" w:lineRule="auto"/>
              <w:rPr>
                <w:color w:val="auto"/>
                <w:sz w:val="24"/>
                <w:szCs w:val="24"/>
                <w:highlight w:val="none"/>
              </w:rPr>
            </w:pPr>
            <w:r>
              <w:rPr>
                <w:rFonts w:hint="eastAsia"/>
                <w:color w:val="auto"/>
                <w:sz w:val="24"/>
                <w:szCs w:val="24"/>
                <w:highlight w:val="none"/>
              </w:rPr>
              <w:t>法定代表（签字）：</w:t>
            </w:r>
          </w:p>
        </w:tc>
      </w:tr>
      <w:tr w14:paraId="105667A0">
        <w:tblPrEx>
          <w:tblCellMar>
            <w:top w:w="0" w:type="dxa"/>
            <w:left w:w="108" w:type="dxa"/>
            <w:bottom w:w="0" w:type="dxa"/>
            <w:right w:w="108" w:type="dxa"/>
          </w:tblCellMar>
        </w:tblPrEx>
        <w:trPr>
          <w:trHeight w:val="1320" w:hRule="atLeast"/>
        </w:trPr>
        <w:tc>
          <w:tcPr>
            <w:tcW w:w="4987" w:type="dxa"/>
            <w:vAlign w:val="center"/>
          </w:tcPr>
          <w:p w14:paraId="19158BB6">
            <w:pPr>
              <w:adjustRightInd w:val="0"/>
              <w:snapToGrid w:val="0"/>
              <w:spacing w:line="360" w:lineRule="auto"/>
              <w:rPr>
                <w:color w:val="auto"/>
                <w:sz w:val="24"/>
                <w:szCs w:val="24"/>
                <w:highlight w:val="none"/>
              </w:rPr>
            </w:pPr>
            <w:r>
              <w:rPr>
                <w:rFonts w:hint="eastAsia"/>
                <w:color w:val="auto"/>
                <w:sz w:val="24"/>
                <w:szCs w:val="24"/>
                <w:highlight w:val="none"/>
              </w:rPr>
              <w:t>地     址：</w:t>
            </w:r>
            <w:r>
              <w:rPr>
                <w:rFonts w:hint="eastAsia" w:asciiTheme="minorEastAsia" w:hAnsiTheme="minorEastAsia"/>
                <w:color w:val="auto"/>
                <w:sz w:val="24"/>
                <w:szCs w:val="24"/>
                <w:highlight w:val="none"/>
              </w:rPr>
              <w:t xml:space="preserve"> </w:t>
            </w:r>
          </w:p>
          <w:p w14:paraId="6A9D84CE">
            <w:pPr>
              <w:spacing w:line="360" w:lineRule="auto"/>
              <w:ind w:left="1320" w:right="124" w:rightChars="59" w:hanging="1320" w:hangingChars="550"/>
              <w:rPr>
                <w:color w:val="auto"/>
                <w:sz w:val="24"/>
                <w:szCs w:val="24"/>
                <w:highlight w:val="none"/>
              </w:rPr>
            </w:pPr>
            <w:r>
              <w:rPr>
                <w:rFonts w:hint="eastAsia"/>
                <w:color w:val="auto"/>
                <w:sz w:val="24"/>
                <w:szCs w:val="24"/>
                <w:highlight w:val="none"/>
              </w:rPr>
              <w:t xml:space="preserve"> </w:t>
            </w:r>
          </w:p>
        </w:tc>
        <w:tc>
          <w:tcPr>
            <w:tcW w:w="4742" w:type="dxa"/>
          </w:tcPr>
          <w:p w14:paraId="37FCBBD0">
            <w:pPr>
              <w:spacing w:line="360" w:lineRule="auto"/>
              <w:ind w:left="1200" w:hanging="1200" w:hangingChars="500"/>
              <w:rPr>
                <w:color w:val="auto"/>
                <w:sz w:val="24"/>
                <w:szCs w:val="24"/>
                <w:highlight w:val="none"/>
              </w:rPr>
            </w:pPr>
            <w:r>
              <w:rPr>
                <w:rFonts w:hint="eastAsia"/>
                <w:color w:val="auto"/>
                <w:sz w:val="24"/>
                <w:szCs w:val="24"/>
                <w:highlight w:val="none"/>
              </w:rPr>
              <w:t xml:space="preserve">地     址： </w:t>
            </w:r>
          </w:p>
          <w:p w14:paraId="75BDE065">
            <w:pPr>
              <w:spacing w:line="360" w:lineRule="auto"/>
              <w:ind w:left="1200" w:hanging="1200" w:hangingChars="500"/>
              <w:rPr>
                <w:color w:val="auto"/>
                <w:sz w:val="24"/>
                <w:szCs w:val="24"/>
                <w:highlight w:val="none"/>
                <w:u w:val="single"/>
              </w:rPr>
            </w:pPr>
            <w:r>
              <w:rPr>
                <w:rFonts w:hint="eastAsia"/>
                <w:color w:val="auto"/>
                <w:sz w:val="24"/>
                <w:szCs w:val="24"/>
                <w:highlight w:val="none"/>
              </w:rPr>
              <w:t xml:space="preserve"> </w:t>
            </w:r>
          </w:p>
        </w:tc>
      </w:tr>
      <w:tr w14:paraId="1AA41229">
        <w:tblPrEx>
          <w:tblCellMar>
            <w:top w:w="0" w:type="dxa"/>
            <w:left w:w="108" w:type="dxa"/>
            <w:bottom w:w="0" w:type="dxa"/>
            <w:right w:w="108" w:type="dxa"/>
          </w:tblCellMar>
        </w:tblPrEx>
        <w:trPr>
          <w:trHeight w:val="926" w:hRule="atLeast"/>
        </w:trPr>
        <w:tc>
          <w:tcPr>
            <w:tcW w:w="4987" w:type="dxa"/>
            <w:vAlign w:val="center"/>
          </w:tcPr>
          <w:p w14:paraId="5DD20C03">
            <w:pPr>
              <w:spacing w:line="360" w:lineRule="auto"/>
              <w:rPr>
                <w:color w:val="auto"/>
                <w:sz w:val="24"/>
                <w:szCs w:val="24"/>
                <w:highlight w:val="none"/>
              </w:rPr>
            </w:pPr>
            <w:r>
              <w:rPr>
                <w:rFonts w:hint="eastAsia"/>
                <w:color w:val="auto"/>
                <w:sz w:val="24"/>
                <w:szCs w:val="24"/>
                <w:highlight w:val="none"/>
              </w:rPr>
              <w:t>邮政编码： /</w:t>
            </w:r>
          </w:p>
        </w:tc>
        <w:tc>
          <w:tcPr>
            <w:tcW w:w="4742" w:type="dxa"/>
            <w:vAlign w:val="center"/>
          </w:tcPr>
          <w:p w14:paraId="5E23B358">
            <w:pPr>
              <w:spacing w:line="360" w:lineRule="auto"/>
              <w:rPr>
                <w:rFonts w:eastAsia="等线"/>
                <w:color w:val="auto"/>
                <w:sz w:val="24"/>
                <w:szCs w:val="24"/>
                <w:highlight w:val="none"/>
              </w:rPr>
            </w:pPr>
            <w:r>
              <w:rPr>
                <w:rFonts w:hint="eastAsia"/>
                <w:color w:val="auto"/>
                <w:sz w:val="24"/>
                <w:szCs w:val="24"/>
                <w:highlight w:val="none"/>
              </w:rPr>
              <w:t>邮政编码：</w:t>
            </w:r>
            <w:r>
              <w:rPr>
                <w:rFonts w:ascii="宋体" w:hAnsi="宋体" w:eastAsia="等线"/>
                <w:color w:val="auto"/>
                <w:sz w:val="24"/>
                <w:szCs w:val="24"/>
                <w:highlight w:val="none"/>
              </w:rPr>
              <w:t xml:space="preserve"> </w:t>
            </w:r>
            <w:r>
              <w:rPr>
                <w:rFonts w:hint="eastAsia" w:ascii="宋体" w:hAnsi="宋体" w:eastAsia="等线"/>
                <w:color w:val="auto"/>
                <w:sz w:val="24"/>
                <w:szCs w:val="24"/>
                <w:highlight w:val="none"/>
              </w:rPr>
              <w:t xml:space="preserve">  /</w:t>
            </w:r>
          </w:p>
        </w:tc>
      </w:tr>
      <w:tr w14:paraId="527DEB4B">
        <w:tblPrEx>
          <w:tblCellMar>
            <w:top w:w="0" w:type="dxa"/>
            <w:left w:w="108" w:type="dxa"/>
            <w:bottom w:w="0" w:type="dxa"/>
            <w:right w:w="108" w:type="dxa"/>
          </w:tblCellMar>
        </w:tblPrEx>
        <w:trPr>
          <w:trHeight w:val="939" w:hRule="atLeast"/>
        </w:trPr>
        <w:tc>
          <w:tcPr>
            <w:tcW w:w="4987" w:type="dxa"/>
            <w:vAlign w:val="center"/>
          </w:tcPr>
          <w:p w14:paraId="2359648C">
            <w:pPr>
              <w:spacing w:line="360" w:lineRule="auto"/>
              <w:rPr>
                <w:color w:val="auto"/>
                <w:sz w:val="24"/>
                <w:szCs w:val="24"/>
                <w:highlight w:val="none"/>
              </w:rPr>
            </w:pPr>
            <w:r>
              <w:rPr>
                <w:rFonts w:hint="eastAsia"/>
                <w:color w:val="auto"/>
                <w:sz w:val="24"/>
                <w:szCs w:val="24"/>
                <w:highlight w:val="none"/>
              </w:rPr>
              <w:t>电     话： /</w:t>
            </w:r>
          </w:p>
        </w:tc>
        <w:tc>
          <w:tcPr>
            <w:tcW w:w="4742" w:type="dxa"/>
            <w:vAlign w:val="center"/>
          </w:tcPr>
          <w:p w14:paraId="3773046F">
            <w:pPr>
              <w:spacing w:line="360" w:lineRule="auto"/>
              <w:rPr>
                <w:color w:val="auto"/>
                <w:sz w:val="24"/>
                <w:szCs w:val="24"/>
                <w:highlight w:val="none"/>
              </w:rPr>
            </w:pPr>
            <w:r>
              <w:rPr>
                <w:rFonts w:hint="eastAsia"/>
                <w:color w:val="auto"/>
                <w:sz w:val="24"/>
                <w:szCs w:val="24"/>
                <w:highlight w:val="none"/>
              </w:rPr>
              <w:t>电     话： /</w:t>
            </w:r>
          </w:p>
        </w:tc>
      </w:tr>
      <w:tr w14:paraId="6A815F3D">
        <w:tblPrEx>
          <w:tblCellMar>
            <w:top w:w="0" w:type="dxa"/>
            <w:left w:w="108" w:type="dxa"/>
            <w:bottom w:w="0" w:type="dxa"/>
            <w:right w:w="108" w:type="dxa"/>
          </w:tblCellMar>
        </w:tblPrEx>
        <w:trPr>
          <w:trHeight w:val="936" w:hRule="atLeast"/>
        </w:trPr>
        <w:tc>
          <w:tcPr>
            <w:tcW w:w="4987" w:type="dxa"/>
            <w:vAlign w:val="center"/>
          </w:tcPr>
          <w:p w14:paraId="43B87556">
            <w:pPr>
              <w:spacing w:line="360" w:lineRule="auto"/>
              <w:rPr>
                <w:color w:val="auto"/>
                <w:sz w:val="24"/>
                <w:szCs w:val="24"/>
                <w:highlight w:val="none"/>
              </w:rPr>
            </w:pPr>
            <w:r>
              <w:rPr>
                <w:rFonts w:hint="eastAsia"/>
                <w:color w:val="auto"/>
                <w:sz w:val="24"/>
                <w:szCs w:val="24"/>
                <w:highlight w:val="none"/>
              </w:rPr>
              <w:t>传     真：  /</w:t>
            </w:r>
          </w:p>
        </w:tc>
        <w:tc>
          <w:tcPr>
            <w:tcW w:w="4742" w:type="dxa"/>
            <w:vAlign w:val="center"/>
          </w:tcPr>
          <w:p w14:paraId="167A3CF6">
            <w:pPr>
              <w:spacing w:line="360" w:lineRule="auto"/>
              <w:rPr>
                <w:rFonts w:eastAsia="等线"/>
                <w:color w:val="auto"/>
                <w:sz w:val="24"/>
                <w:szCs w:val="24"/>
                <w:highlight w:val="none"/>
              </w:rPr>
            </w:pPr>
            <w:r>
              <w:rPr>
                <w:rFonts w:hint="eastAsia"/>
                <w:color w:val="auto"/>
                <w:sz w:val="24"/>
                <w:szCs w:val="24"/>
                <w:highlight w:val="none"/>
              </w:rPr>
              <w:t>传     真：</w:t>
            </w:r>
            <w:r>
              <w:rPr>
                <w:rFonts w:ascii="宋体" w:hAnsi="宋体" w:eastAsia="等线"/>
                <w:color w:val="auto"/>
                <w:sz w:val="24"/>
                <w:szCs w:val="24"/>
                <w:highlight w:val="none"/>
              </w:rPr>
              <w:t xml:space="preserve"> </w:t>
            </w:r>
            <w:r>
              <w:rPr>
                <w:rFonts w:hint="eastAsia" w:ascii="宋体" w:hAnsi="宋体" w:eastAsia="等线"/>
                <w:color w:val="auto"/>
                <w:sz w:val="24"/>
                <w:szCs w:val="24"/>
                <w:highlight w:val="none"/>
              </w:rPr>
              <w:t xml:space="preserve"> /</w:t>
            </w:r>
          </w:p>
        </w:tc>
      </w:tr>
      <w:tr w14:paraId="790DCD25">
        <w:tblPrEx>
          <w:tblCellMar>
            <w:top w:w="0" w:type="dxa"/>
            <w:left w:w="108" w:type="dxa"/>
            <w:bottom w:w="0" w:type="dxa"/>
            <w:right w:w="108" w:type="dxa"/>
          </w:tblCellMar>
        </w:tblPrEx>
        <w:trPr>
          <w:trHeight w:val="941" w:hRule="atLeast"/>
        </w:trPr>
        <w:tc>
          <w:tcPr>
            <w:tcW w:w="4987" w:type="dxa"/>
            <w:vAlign w:val="center"/>
          </w:tcPr>
          <w:p w14:paraId="002F9802">
            <w:pPr>
              <w:spacing w:line="360" w:lineRule="auto"/>
              <w:rPr>
                <w:color w:val="auto"/>
                <w:sz w:val="24"/>
                <w:szCs w:val="24"/>
                <w:highlight w:val="none"/>
              </w:rPr>
            </w:pPr>
            <w:r>
              <w:rPr>
                <w:rFonts w:hint="eastAsia"/>
                <w:color w:val="auto"/>
                <w:sz w:val="24"/>
                <w:szCs w:val="24"/>
                <w:highlight w:val="none"/>
              </w:rPr>
              <w:t>开户银行：</w:t>
            </w:r>
            <w:r>
              <w:rPr>
                <w:rFonts w:hint="eastAsia" w:asciiTheme="minorEastAsia" w:hAnsiTheme="minorEastAsia"/>
                <w:color w:val="auto"/>
                <w:sz w:val="24"/>
                <w:szCs w:val="24"/>
                <w:highlight w:val="none"/>
              </w:rPr>
              <w:t xml:space="preserve"> </w:t>
            </w:r>
          </w:p>
          <w:p w14:paraId="3CE726F8">
            <w:pPr>
              <w:spacing w:line="360" w:lineRule="auto"/>
              <w:rPr>
                <w:color w:val="auto"/>
                <w:sz w:val="24"/>
                <w:szCs w:val="24"/>
                <w:highlight w:val="none"/>
              </w:rPr>
            </w:pPr>
            <w:r>
              <w:rPr>
                <w:rFonts w:hint="eastAsia" w:ascii="宋体" w:hAnsi="宋体"/>
                <w:color w:val="auto"/>
                <w:sz w:val="24"/>
                <w:szCs w:val="24"/>
                <w:highlight w:val="none"/>
              </w:rPr>
              <w:t xml:space="preserve"> </w:t>
            </w:r>
          </w:p>
        </w:tc>
        <w:tc>
          <w:tcPr>
            <w:tcW w:w="4742" w:type="dxa"/>
            <w:vAlign w:val="center"/>
          </w:tcPr>
          <w:p w14:paraId="0ACED250">
            <w:pPr>
              <w:spacing w:line="360" w:lineRule="auto"/>
              <w:rPr>
                <w:color w:val="auto"/>
                <w:sz w:val="24"/>
                <w:szCs w:val="24"/>
                <w:highlight w:val="none"/>
              </w:rPr>
            </w:pPr>
            <w:r>
              <w:rPr>
                <w:rFonts w:hint="eastAsia"/>
                <w:color w:val="auto"/>
                <w:sz w:val="24"/>
                <w:szCs w:val="24"/>
                <w:highlight w:val="none"/>
              </w:rPr>
              <w:t xml:space="preserve">开户银行： </w:t>
            </w:r>
          </w:p>
          <w:p w14:paraId="3B66FD3C">
            <w:pPr>
              <w:spacing w:line="360" w:lineRule="auto"/>
              <w:rPr>
                <w:color w:val="auto"/>
                <w:sz w:val="24"/>
                <w:szCs w:val="24"/>
                <w:highlight w:val="none"/>
              </w:rPr>
            </w:pPr>
            <w:r>
              <w:rPr>
                <w:rFonts w:hint="eastAsia"/>
                <w:color w:val="auto"/>
                <w:sz w:val="24"/>
                <w:szCs w:val="24"/>
                <w:highlight w:val="none"/>
              </w:rPr>
              <w:t xml:space="preserve"> </w:t>
            </w:r>
          </w:p>
        </w:tc>
      </w:tr>
      <w:tr w14:paraId="03158885">
        <w:tblPrEx>
          <w:tblCellMar>
            <w:top w:w="0" w:type="dxa"/>
            <w:left w:w="108" w:type="dxa"/>
            <w:bottom w:w="0" w:type="dxa"/>
            <w:right w:w="108" w:type="dxa"/>
          </w:tblCellMar>
        </w:tblPrEx>
        <w:trPr>
          <w:trHeight w:val="777" w:hRule="atLeast"/>
        </w:trPr>
        <w:tc>
          <w:tcPr>
            <w:tcW w:w="4987" w:type="dxa"/>
            <w:vAlign w:val="center"/>
          </w:tcPr>
          <w:p w14:paraId="2184094B">
            <w:pPr>
              <w:spacing w:line="360" w:lineRule="auto"/>
              <w:rPr>
                <w:color w:val="auto"/>
                <w:sz w:val="24"/>
                <w:szCs w:val="24"/>
                <w:highlight w:val="none"/>
              </w:rPr>
            </w:pPr>
            <w:r>
              <w:rPr>
                <w:rFonts w:hint="eastAsia"/>
                <w:color w:val="auto"/>
                <w:sz w:val="24"/>
                <w:szCs w:val="24"/>
                <w:highlight w:val="none"/>
              </w:rPr>
              <w:t>开户账号：</w:t>
            </w:r>
            <w:r>
              <w:rPr>
                <w:rFonts w:hint="eastAsia" w:asciiTheme="minorEastAsia" w:hAnsiTheme="minorEastAsia"/>
                <w:color w:val="auto"/>
                <w:sz w:val="24"/>
                <w:szCs w:val="24"/>
                <w:highlight w:val="none"/>
              </w:rPr>
              <w:t xml:space="preserve"> </w:t>
            </w:r>
          </w:p>
        </w:tc>
        <w:tc>
          <w:tcPr>
            <w:tcW w:w="4742" w:type="dxa"/>
            <w:vAlign w:val="center"/>
          </w:tcPr>
          <w:p w14:paraId="616537AB">
            <w:pPr>
              <w:spacing w:line="360" w:lineRule="auto"/>
              <w:rPr>
                <w:color w:val="auto"/>
                <w:sz w:val="24"/>
                <w:szCs w:val="24"/>
                <w:highlight w:val="none"/>
              </w:rPr>
            </w:pPr>
            <w:r>
              <w:rPr>
                <w:rFonts w:hint="eastAsia"/>
                <w:color w:val="auto"/>
                <w:sz w:val="24"/>
                <w:szCs w:val="24"/>
                <w:highlight w:val="none"/>
              </w:rPr>
              <w:t xml:space="preserve">开户账号： </w:t>
            </w:r>
          </w:p>
        </w:tc>
      </w:tr>
      <w:tr w14:paraId="74889041">
        <w:tblPrEx>
          <w:tblCellMar>
            <w:top w:w="0" w:type="dxa"/>
            <w:left w:w="108" w:type="dxa"/>
            <w:bottom w:w="0" w:type="dxa"/>
            <w:right w:w="108" w:type="dxa"/>
          </w:tblCellMar>
        </w:tblPrEx>
        <w:trPr>
          <w:trHeight w:val="777" w:hRule="atLeast"/>
        </w:trPr>
        <w:tc>
          <w:tcPr>
            <w:tcW w:w="4987" w:type="dxa"/>
            <w:vAlign w:val="center"/>
          </w:tcPr>
          <w:p w14:paraId="6C231148">
            <w:pPr>
              <w:spacing w:line="360" w:lineRule="auto"/>
              <w:rPr>
                <w:color w:val="auto"/>
                <w:sz w:val="24"/>
                <w:szCs w:val="24"/>
                <w:highlight w:val="none"/>
              </w:rPr>
            </w:pPr>
            <w:r>
              <w:rPr>
                <w:rFonts w:hint="eastAsia"/>
                <w:color w:val="auto"/>
                <w:sz w:val="24"/>
                <w:szCs w:val="24"/>
                <w:highlight w:val="none"/>
              </w:rPr>
              <w:t>税号：</w:t>
            </w:r>
            <w:r>
              <w:rPr>
                <w:rFonts w:hint="eastAsia" w:ascii="宋体" w:hAnsi="宋体"/>
                <w:color w:val="auto"/>
                <w:sz w:val="24"/>
                <w:szCs w:val="24"/>
                <w:highlight w:val="none"/>
              </w:rPr>
              <w:t xml:space="preserve"> </w:t>
            </w:r>
          </w:p>
        </w:tc>
        <w:tc>
          <w:tcPr>
            <w:tcW w:w="4742" w:type="dxa"/>
            <w:vAlign w:val="center"/>
          </w:tcPr>
          <w:p w14:paraId="185AF57E">
            <w:pPr>
              <w:spacing w:line="360" w:lineRule="auto"/>
              <w:rPr>
                <w:color w:val="auto"/>
                <w:sz w:val="24"/>
                <w:szCs w:val="24"/>
                <w:highlight w:val="none"/>
              </w:rPr>
            </w:pPr>
            <w:r>
              <w:rPr>
                <w:rFonts w:hint="eastAsia"/>
                <w:color w:val="auto"/>
                <w:sz w:val="24"/>
                <w:szCs w:val="24"/>
                <w:highlight w:val="none"/>
              </w:rPr>
              <w:t xml:space="preserve">税号： </w:t>
            </w:r>
          </w:p>
        </w:tc>
      </w:tr>
    </w:tbl>
    <w:p w14:paraId="3612F145">
      <w:pPr>
        <w:adjustRightInd w:val="0"/>
        <w:snapToGrid w:val="0"/>
        <w:spacing w:before="120" w:beforeLines="50" w:after="120" w:afterLines="50" w:line="360" w:lineRule="auto"/>
        <w:ind w:right="840"/>
        <w:rPr>
          <w:color w:val="auto"/>
          <w:sz w:val="24"/>
          <w:szCs w:val="24"/>
          <w:highlight w:val="none"/>
        </w:rPr>
      </w:pPr>
    </w:p>
    <w:p w14:paraId="0FBEADE0">
      <w:pPr>
        <w:adjustRightInd w:val="0"/>
        <w:snapToGrid w:val="0"/>
        <w:spacing w:before="120" w:beforeLines="50" w:after="120" w:afterLines="50" w:line="480" w:lineRule="auto"/>
        <w:ind w:left="63" w:leftChars="30"/>
        <w:rPr>
          <w:color w:val="auto"/>
          <w:szCs w:val="21"/>
          <w:highlight w:val="none"/>
        </w:rPr>
      </w:pPr>
    </w:p>
    <w:p w14:paraId="21211AA2">
      <w:pPr>
        <w:adjustRightInd w:val="0"/>
        <w:snapToGrid w:val="0"/>
        <w:spacing w:before="120" w:beforeLines="50" w:after="120" w:afterLines="50" w:line="480" w:lineRule="auto"/>
        <w:ind w:left="63" w:leftChars="30"/>
        <w:rPr>
          <w:rFonts w:ascii="宋体" w:hAnsi="宋体"/>
          <w:b/>
          <w:bCs/>
          <w:color w:val="auto"/>
          <w:szCs w:val="21"/>
          <w:highlight w:val="none"/>
        </w:rPr>
      </w:pPr>
    </w:p>
    <w:p w14:paraId="0E076B6E">
      <w:pPr>
        <w:adjustRightInd w:val="0"/>
        <w:snapToGrid w:val="0"/>
        <w:spacing w:before="120" w:beforeLines="50" w:after="120" w:afterLines="50" w:line="480" w:lineRule="auto"/>
        <w:ind w:left="63" w:leftChars="30"/>
        <w:rPr>
          <w:rFonts w:ascii="宋体" w:hAnsi="宋体"/>
          <w:b/>
          <w:bCs/>
          <w:color w:val="auto"/>
          <w:szCs w:val="21"/>
          <w:highlight w:val="none"/>
        </w:rPr>
      </w:pPr>
    </w:p>
    <w:p w14:paraId="4DB125BD">
      <w:pPr>
        <w:adjustRightInd w:val="0"/>
        <w:snapToGrid w:val="0"/>
        <w:spacing w:before="120" w:beforeLines="50" w:after="120" w:afterLines="50" w:line="480" w:lineRule="auto"/>
        <w:ind w:left="63" w:leftChars="30"/>
        <w:rPr>
          <w:rFonts w:ascii="宋体" w:hAnsi="宋体"/>
          <w:b/>
          <w:bCs/>
          <w:color w:val="auto"/>
          <w:szCs w:val="21"/>
          <w:highlight w:val="none"/>
        </w:rPr>
      </w:pPr>
    </w:p>
    <w:p w14:paraId="2001A824">
      <w:pPr>
        <w:adjustRightInd w:val="0"/>
        <w:snapToGrid w:val="0"/>
        <w:spacing w:before="120" w:beforeLines="50" w:after="120" w:afterLines="50" w:line="480" w:lineRule="auto"/>
        <w:ind w:left="63" w:leftChars="30"/>
        <w:rPr>
          <w:rFonts w:ascii="宋体" w:hAnsi="宋体"/>
          <w:b/>
          <w:bCs/>
          <w:color w:val="auto"/>
          <w:szCs w:val="21"/>
          <w:highlight w:val="none"/>
        </w:rPr>
      </w:pPr>
    </w:p>
    <w:p w14:paraId="7A9C36CE">
      <w:pPr>
        <w:adjustRightInd w:val="0"/>
        <w:snapToGrid w:val="0"/>
        <w:spacing w:before="120" w:beforeLines="50" w:after="120" w:afterLines="50" w:line="480" w:lineRule="auto"/>
        <w:rPr>
          <w:rFonts w:ascii="宋体" w:hAnsi="宋体"/>
          <w:b/>
          <w:bCs/>
          <w:color w:val="auto"/>
          <w:szCs w:val="21"/>
          <w:highlight w:val="none"/>
        </w:rPr>
        <w:sectPr>
          <w:headerReference r:id="rId9" w:type="default"/>
          <w:footerReference r:id="rId10" w:type="default"/>
          <w:footerReference r:id="rId11" w:type="even"/>
          <w:endnotePr>
            <w:numFmt w:val="decimal"/>
          </w:endnotePr>
          <w:pgSz w:w="11907" w:h="16840"/>
          <w:pgMar w:top="1134" w:right="1304" w:bottom="851" w:left="1304" w:header="851" w:footer="567" w:gutter="0"/>
          <w:cols w:space="720" w:num="1"/>
          <w:titlePg/>
          <w:docGrid w:linePitch="312" w:charSpace="0"/>
        </w:sectPr>
      </w:pPr>
    </w:p>
    <w:p w14:paraId="55EF72D9">
      <w:pPr>
        <w:adjustRightInd w:val="0"/>
        <w:snapToGrid w:val="0"/>
        <w:spacing w:before="120" w:beforeLines="50" w:after="120" w:afterLines="50" w:line="360" w:lineRule="auto"/>
        <w:ind w:right="840"/>
        <w:rPr>
          <w:rFonts w:ascii="宋体" w:hAnsi="宋体" w:cs="宋体"/>
          <w:b/>
          <w:color w:val="auto"/>
          <w:szCs w:val="21"/>
          <w:highlight w:val="none"/>
        </w:rPr>
      </w:pPr>
      <w:r>
        <w:rPr>
          <w:rFonts w:hint="eastAsia" w:ascii="宋体" w:hAnsi="宋体" w:cs="宋体"/>
          <w:b/>
          <w:color w:val="auto"/>
          <w:szCs w:val="21"/>
          <w:highlight w:val="none"/>
        </w:rPr>
        <w:t>附件3：设备材料参考品牌表</w:t>
      </w:r>
    </w:p>
    <w:tbl>
      <w:tblPr>
        <w:tblStyle w:val="35"/>
        <w:tblW w:w="14854" w:type="dxa"/>
        <w:tblInd w:w="93" w:type="dxa"/>
        <w:tblLayout w:type="autofit"/>
        <w:tblCellMar>
          <w:top w:w="0" w:type="dxa"/>
          <w:left w:w="108" w:type="dxa"/>
          <w:bottom w:w="0" w:type="dxa"/>
          <w:right w:w="108" w:type="dxa"/>
        </w:tblCellMar>
      </w:tblPr>
      <w:tblGrid>
        <w:gridCol w:w="829"/>
        <w:gridCol w:w="1538"/>
        <w:gridCol w:w="2276"/>
        <w:gridCol w:w="2211"/>
        <w:gridCol w:w="2289"/>
        <w:gridCol w:w="2145"/>
        <w:gridCol w:w="2143"/>
        <w:gridCol w:w="1423"/>
      </w:tblGrid>
      <w:tr w14:paraId="38424FE2">
        <w:tblPrEx>
          <w:tblCellMar>
            <w:top w:w="0" w:type="dxa"/>
            <w:left w:w="108" w:type="dxa"/>
            <w:bottom w:w="0" w:type="dxa"/>
            <w:right w:w="108" w:type="dxa"/>
          </w:tblCellMar>
        </w:tblPrEx>
        <w:trPr>
          <w:trHeight w:val="71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5E15CBF7">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序号</w:t>
            </w:r>
          </w:p>
        </w:tc>
        <w:tc>
          <w:tcPr>
            <w:tcW w:w="12602" w:type="dxa"/>
            <w:gridSpan w:val="6"/>
            <w:tcBorders>
              <w:top w:val="single" w:color="000000" w:sz="4" w:space="0"/>
              <w:left w:val="single" w:color="000000" w:sz="4" w:space="0"/>
              <w:bottom w:val="single" w:color="000000" w:sz="4" w:space="0"/>
              <w:right w:val="single" w:color="000000" w:sz="4" w:space="0"/>
            </w:tcBorders>
            <w:vAlign w:val="center"/>
          </w:tcPr>
          <w:p w14:paraId="053EBA78">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材料设备名称</w:t>
            </w:r>
          </w:p>
        </w:tc>
        <w:tc>
          <w:tcPr>
            <w:tcW w:w="1423" w:type="dxa"/>
            <w:tcBorders>
              <w:top w:val="single" w:color="000000" w:sz="4" w:space="0"/>
              <w:left w:val="single" w:color="000000" w:sz="4" w:space="0"/>
              <w:bottom w:val="single" w:color="000000" w:sz="4" w:space="0"/>
              <w:right w:val="single" w:color="000000" w:sz="4" w:space="0"/>
            </w:tcBorders>
            <w:vAlign w:val="center"/>
          </w:tcPr>
          <w:p w14:paraId="52844B1C">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备注</w:t>
            </w:r>
          </w:p>
        </w:tc>
      </w:tr>
      <w:tr w14:paraId="0C9CEB07">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62FF5B5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538" w:type="dxa"/>
            <w:tcBorders>
              <w:top w:val="single" w:color="000000" w:sz="4" w:space="0"/>
              <w:left w:val="single" w:color="000000" w:sz="4" w:space="0"/>
              <w:bottom w:val="single" w:color="000000" w:sz="4" w:space="0"/>
              <w:right w:val="single" w:color="000000" w:sz="4" w:space="0"/>
            </w:tcBorders>
            <w:vAlign w:val="center"/>
          </w:tcPr>
          <w:p w14:paraId="79608C1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全绝缘全密封气体绝缘柜</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开关房</w:t>
            </w:r>
            <w:r>
              <w:rPr>
                <w:rFonts w:hint="eastAsia" w:ascii="宋体" w:hAnsi="宋体" w:cs="宋体"/>
                <w:color w:val="auto"/>
                <w:kern w:val="0"/>
                <w:sz w:val="24"/>
                <w:szCs w:val="24"/>
                <w:highlight w:val="none"/>
                <w:lang w:eastAsia="zh-CN" w:bidi="ar"/>
              </w:rPr>
              <w:t>）</w:t>
            </w:r>
          </w:p>
        </w:tc>
        <w:tc>
          <w:tcPr>
            <w:tcW w:w="2276" w:type="dxa"/>
            <w:tcBorders>
              <w:top w:val="single" w:color="000000" w:sz="4" w:space="0"/>
              <w:left w:val="single" w:color="000000" w:sz="4" w:space="0"/>
              <w:bottom w:val="single" w:color="000000" w:sz="4" w:space="0"/>
              <w:right w:val="single" w:color="000000" w:sz="4" w:space="0"/>
            </w:tcBorders>
            <w:vAlign w:val="center"/>
          </w:tcPr>
          <w:p w14:paraId="07EC67D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施耐德（施耐德电气（中国）有限公司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1358703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ABB（ABB（中国）有限公司）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42D5779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西门子（西门子（中国有限公司）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1258FF7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珠海沃顿电气有限公司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7B4D79DA">
            <w:pPr>
              <w:jc w:val="center"/>
              <w:rPr>
                <w:rFonts w:ascii="宋体" w:hAnsi="宋体" w:cs="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6648A98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34A9BDEC">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7AF1217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538" w:type="dxa"/>
            <w:tcBorders>
              <w:top w:val="single" w:color="000000" w:sz="4" w:space="0"/>
              <w:left w:val="single" w:color="000000" w:sz="4" w:space="0"/>
              <w:bottom w:val="single" w:color="000000" w:sz="4" w:space="0"/>
              <w:right w:val="single" w:color="000000" w:sz="4" w:space="0"/>
            </w:tcBorders>
            <w:vAlign w:val="center"/>
          </w:tcPr>
          <w:p w14:paraId="0F9EB03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高压综合继保</w:t>
            </w:r>
          </w:p>
        </w:tc>
        <w:tc>
          <w:tcPr>
            <w:tcW w:w="2276" w:type="dxa"/>
            <w:tcBorders>
              <w:top w:val="single" w:color="000000" w:sz="4" w:space="0"/>
              <w:left w:val="single" w:color="000000" w:sz="4" w:space="0"/>
              <w:bottom w:val="single" w:color="000000" w:sz="4" w:space="0"/>
              <w:right w:val="single" w:color="000000" w:sz="4" w:space="0"/>
            </w:tcBorders>
            <w:vAlign w:val="center"/>
          </w:tcPr>
          <w:p w14:paraId="55DB3F4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国电南京自动化股份有限公司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5716F54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许继集团有限公司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26CBD1D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国电南瑞科技股份有限公司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743E48B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广州千硕电气有限公司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1479BC3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安科瑞电气股份有限公司</w:t>
            </w:r>
          </w:p>
        </w:tc>
        <w:tc>
          <w:tcPr>
            <w:tcW w:w="1423" w:type="dxa"/>
            <w:tcBorders>
              <w:top w:val="single" w:color="000000" w:sz="4" w:space="0"/>
              <w:left w:val="single" w:color="000000" w:sz="4" w:space="0"/>
              <w:bottom w:val="single" w:color="000000" w:sz="4" w:space="0"/>
              <w:right w:val="single" w:color="000000" w:sz="4" w:space="0"/>
            </w:tcBorders>
            <w:vAlign w:val="center"/>
          </w:tcPr>
          <w:p w14:paraId="1D35D14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58C7BE1B">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6EE7E49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538" w:type="dxa"/>
            <w:tcBorders>
              <w:top w:val="single" w:color="000000" w:sz="4" w:space="0"/>
              <w:left w:val="single" w:color="000000" w:sz="4" w:space="0"/>
              <w:bottom w:val="single" w:color="000000" w:sz="4" w:space="0"/>
              <w:right w:val="single" w:color="000000" w:sz="4" w:space="0"/>
            </w:tcBorders>
            <w:vAlign w:val="center"/>
          </w:tcPr>
          <w:p w14:paraId="513A7217">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20KV变压器</w:t>
            </w:r>
          </w:p>
        </w:tc>
        <w:tc>
          <w:tcPr>
            <w:tcW w:w="2276" w:type="dxa"/>
            <w:tcBorders>
              <w:top w:val="single" w:color="000000" w:sz="4" w:space="0"/>
              <w:left w:val="single" w:color="000000" w:sz="4" w:space="0"/>
              <w:bottom w:val="single" w:color="000000" w:sz="4" w:space="0"/>
              <w:right w:val="single" w:color="000000" w:sz="4" w:space="0"/>
            </w:tcBorders>
            <w:vAlign w:val="center"/>
          </w:tcPr>
          <w:p w14:paraId="4A37BD6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海鸿电气有限公司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5769616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顺特电气设备有限公司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00CB39A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广州穗特电气有限公司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0F6EEE0C">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江苏华鹏变压器有限公司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2DAEEEF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特变电工股份有限公司</w:t>
            </w:r>
          </w:p>
        </w:tc>
        <w:tc>
          <w:tcPr>
            <w:tcW w:w="1423" w:type="dxa"/>
            <w:tcBorders>
              <w:top w:val="single" w:color="000000" w:sz="4" w:space="0"/>
              <w:left w:val="single" w:color="000000" w:sz="4" w:space="0"/>
              <w:bottom w:val="single" w:color="000000" w:sz="4" w:space="0"/>
              <w:right w:val="single" w:color="000000" w:sz="4" w:space="0"/>
            </w:tcBorders>
            <w:vAlign w:val="center"/>
          </w:tcPr>
          <w:p w14:paraId="2B117BD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3691E57A">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1D4E45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538" w:type="dxa"/>
            <w:tcBorders>
              <w:top w:val="single" w:color="000000" w:sz="4" w:space="0"/>
              <w:left w:val="single" w:color="000000" w:sz="4" w:space="0"/>
              <w:bottom w:val="single" w:color="000000" w:sz="4" w:space="0"/>
              <w:right w:val="single" w:color="000000" w:sz="4" w:space="0"/>
            </w:tcBorders>
            <w:vAlign w:val="center"/>
          </w:tcPr>
          <w:p w14:paraId="5F48CD9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KYN柜/全绝</w:t>
            </w:r>
            <w:r>
              <w:rPr>
                <w:rFonts w:hint="eastAsia" w:ascii="宋体" w:hAnsi="宋体" w:cs="宋体"/>
                <w:color w:val="auto"/>
                <w:kern w:val="0"/>
                <w:sz w:val="24"/>
                <w:szCs w:val="24"/>
                <w:highlight w:val="none"/>
                <w:lang w:eastAsia="zh-CN" w:bidi="ar"/>
              </w:rPr>
              <w:t>缘</w:t>
            </w:r>
            <w:r>
              <w:rPr>
                <w:rFonts w:hint="eastAsia" w:ascii="宋体" w:hAnsi="宋体" w:cs="宋体"/>
                <w:color w:val="auto"/>
                <w:kern w:val="0"/>
                <w:sz w:val="24"/>
                <w:szCs w:val="24"/>
                <w:highlight w:val="none"/>
                <w:lang w:bidi="ar"/>
              </w:rPr>
              <w:t>全密封气体绝</w:t>
            </w:r>
            <w:r>
              <w:rPr>
                <w:rFonts w:hint="eastAsia" w:ascii="宋体" w:hAnsi="宋体" w:cs="宋体"/>
                <w:color w:val="auto"/>
                <w:kern w:val="0"/>
                <w:sz w:val="24"/>
                <w:szCs w:val="24"/>
                <w:highlight w:val="none"/>
                <w:lang w:eastAsia="zh-CN" w:bidi="ar"/>
              </w:rPr>
              <w:t>缘</w:t>
            </w:r>
            <w:r>
              <w:rPr>
                <w:rFonts w:hint="eastAsia" w:ascii="宋体" w:hAnsi="宋体" w:cs="宋体"/>
                <w:color w:val="auto"/>
                <w:kern w:val="0"/>
                <w:sz w:val="24"/>
                <w:szCs w:val="24"/>
                <w:highlight w:val="none"/>
                <w:lang w:bidi="ar"/>
              </w:rPr>
              <w:t>柜/低压柜/箱</w:t>
            </w:r>
          </w:p>
        </w:tc>
        <w:tc>
          <w:tcPr>
            <w:tcW w:w="2276" w:type="dxa"/>
            <w:tcBorders>
              <w:top w:val="single" w:color="000000" w:sz="4" w:space="0"/>
              <w:left w:val="single" w:color="000000" w:sz="4" w:space="0"/>
              <w:bottom w:val="single" w:color="000000" w:sz="4" w:space="0"/>
              <w:right w:val="single" w:color="000000" w:sz="4" w:space="0"/>
            </w:tcBorders>
            <w:vAlign w:val="center"/>
          </w:tcPr>
          <w:p w14:paraId="07053BD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广州白云电器设备股份有限公司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6ED4460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广州雷诺尔电气有限公司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608F152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广州穗特电气有限公司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6C2AF27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广州南方电力集团电器有限公司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46A5EBF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广东省顺德开关厂有限公司</w:t>
            </w:r>
          </w:p>
        </w:tc>
        <w:tc>
          <w:tcPr>
            <w:tcW w:w="1423" w:type="dxa"/>
            <w:tcBorders>
              <w:top w:val="single" w:color="000000" w:sz="4" w:space="0"/>
              <w:left w:val="single" w:color="000000" w:sz="4" w:space="0"/>
              <w:bottom w:val="single" w:color="000000" w:sz="4" w:space="0"/>
              <w:right w:val="single" w:color="000000" w:sz="4" w:space="0"/>
            </w:tcBorders>
            <w:vAlign w:val="center"/>
          </w:tcPr>
          <w:p w14:paraId="665A704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44A0ED54">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161D4E11">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538" w:type="dxa"/>
            <w:tcBorders>
              <w:top w:val="single" w:color="000000" w:sz="4" w:space="0"/>
              <w:left w:val="single" w:color="000000" w:sz="4" w:space="0"/>
              <w:bottom w:val="single" w:color="000000" w:sz="4" w:space="0"/>
              <w:right w:val="single" w:color="000000" w:sz="4" w:space="0"/>
            </w:tcBorders>
            <w:vAlign w:val="center"/>
          </w:tcPr>
          <w:p w14:paraId="7D48A65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专变/公变低压开关及元器件、浪涌保护器</w:t>
            </w:r>
          </w:p>
        </w:tc>
        <w:tc>
          <w:tcPr>
            <w:tcW w:w="2276" w:type="dxa"/>
            <w:tcBorders>
              <w:top w:val="single" w:color="000000" w:sz="4" w:space="0"/>
              <w:left w:val="single" w:color="000000" w:sz="4" w:space="0"/>
              <w:bottom w:val="single" w:color="000000" w:sz="4" w:space="0"/>
              <w:right w:val="single" w:color="000000" w:sz="4" w:space="0"/>
            </w:tcBorders>
            <w:vAlign w:val="center"/>
          </w:tcPr>
          <w:p w14:paraId="6722FC8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上海电器股份有限公司人民电器厂</w:t>
            </w:r>
          </w:p>
        </w:tc>
        <w:tc>
          <w:tcPr>
            <w:tcW w:w="2211" w:type="dxa"/>
            <w:tcBorders>
              <w:top w:val="single" w:color="000000" w:sz="4" w:space="0"/>
              <w:left w:val="single" w:color="000000" w:sz="4" w:space="0"/>
              <w:bottom w:val="single" w:color="000000" w:sz="4" w:space="0"/>
              <w:right w:val="single" w:color="000000" w:sz="4" w:space="0"/>
            </w:tcBorders>
            <w:vAlign w:val="center"/>
          </w:tcPr>
          <w:p w14:paraId="443D95B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泰永长征（贵州泰永长征技术股份有限公司）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09A45CF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常熟开关（常熟开关制造有限公司）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018EB238">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罗格朗（罗格朗低压电器（无锡）有限公司）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5A57BCF3">
            <w:pPr>
              <w:jc w:val="center"/>
              <w:rPr>
                <w:rFonts w:ascii="宋体" w:hAnsi="宋体" w:cs="宋体"/>
                <w:color w:val="auto"/>
                <w:sz w:val="24"/>
                <w:szCs w:val="24"/>
                <w:highlight w:val="none"/>
              </w:rPr>
            </w:pPr>
            <w:r>
              <w:rPr>
                <w:rFonts w:hint="eastAsia" w:ascii="宋体" w:hAnsi="宋体" w:cs="宋体"/>
                <w:color w:val="auto"/>
                <w:sz w:val="24"/>
                <w:szCs w:val="24"/>
                <w:highlight w:val="none"/>
              </w:rPr>
              <w:t>上海良信电器股份有限公司</w:t>
            </w:r>
          </w:p>
        </w:tc>
        <w:tc>
          <w:tcPr>
            <w:tcW w:w="1423" w:type="dxa"/>
            <w:tcBorders>
              <w:top w:val="single" w:color="000000" w:sz="4" w:space="0"/>
              <w:left w:val="single" w:color="000000" w:sz="4" w:space="0"/>
              <w:bottom w:val="single" w:color="000000" w:sz="4" w:space="0"/>
              <w:right w:val="single" w:color="000000" w:sz="4" w:space="0"/>
            </w:tcBorders>
            <w:vAlign w:val="center"/>
          </w:tcPr>
          <w:p w14:paraId="72F88F5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77EB819D">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6CBD83C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538" w:type="dxa"/>
            <w:tcBorders>
              <w:top w:val="single" w:color="000000" w:sz="4" w:space="0"/>
              <w:left w:val="single" w:color="000000" w:sz="4" w:space="0"/>
              <w:bottom w:val="single" w:color="000000" w:sz="4" w:space="0"/>
              <w:right w:val="single" w:color="000000" w:sz="4" w:space="0"/>
            </w:tcBorders>
            <w:vAlign w:val="center"/>
          </w:tcPr>
          <w:p w14:paraId="3D76834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电容补偿/有源滤波器</w:t>
            </w:r>
          </w:p>
        </w:tc>
        <w:tc>
          <w:tcPr>
            <w:tcW w:w="2276" w:type="dxa"/>
            <w:tcBorders>
              <w:top w:val="single" w:color="000000" w:sz="4" w:space="0"/>
              <w:left w:val="single" w:color="000000" w:sz="4" w:space="0"/>
              <w:bottom w:val="single" w:color="000000" w:sz="4" w:space="0"/>
              <w:right w:val="single" w:color="000000" w:sz="4" w:space="0"/>
            </w:tcBorders>
            <w:vAlign w:val="center"/>
          </w:tcPr>
          <w:p w14:paraId="0697F86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广州丰源信息科技有限公司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0F21D36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国电南京自动化股份有限公司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1FB6CDB0">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南京深科博业电气股份有限公司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42FD9B2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苏州工业园区苏容电气有限公司  </w:t>
            </w:r>
          </w:p>
        </w:tc>
        <w:tc>
          <w:tcPr>
            <w:tcW w:w="2143" w:type="dxa"/>
            <w:tcBorders>
              <w:top w:val="single" w:color="000000" w:sz="4" w:space="0"/>
              <w:left w:val="single" w:color="000000" w:sz="4" w:space="0"/>
              <w:bottom w:val="single" w:color="000000" w:sz="4" w:space="0"/>
              <w:right w:val="single" w:color="000000" w:sz="4" w:space="0"/>
            </w:tcBorders>
            <w:vAlign w:val="center"/>
          </w:tcPr>
          <w:p w14:paraId="1636D6B5">
            <w:pPr>
              <w:pStyle w:val="221"/>
              <w:spacing w:after="0" w:line="313" w:lineRule="exact"/>
              <w:ind w:firstLine="0"/>
              <w:jc w:val="center"/>
              <w:rPr>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50D78A8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6B16EB7D">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20D852E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538" w:type="dxa"/>
            <w:tcBorders>
              <w:top w:val="single" w:color="000000" w:sz="4" w:space="0"/>
              <w:left w:val="single" w:color="000000" w:sz="4" w:space="0"/>
              <w:bottom w:val="single" w:color="000000" w:sz="4" w:space="0"/>
              <w:right w:val="single" w:color="000000" w:sz="4" w:space="0"/>
            </w:tcBorders>
            <w:vAlign w:val="center"/>
          </w:tcPr>
          <w:p w14:paraId="25F247B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多功能仪表</w:t>
            </w:r>
          </w:p>
        </w:tc>
        <w:tc>
          <w:tcPr>
            <w:tcW w:w="2276" w:type="dxa"/>
            <w:tcBorders>
              <w:top w:val="single" w:color="000000" w:sz="4" w:space="0"/>
              <w:left w:val="single" w:color="000000" w:sz="4" w:space="0"/>
              <w:bottom w:val="single" w:color="000000" w:sz="4" w:space="0"/>
              <w:right w:val="single" w:color="000000" w:sz="4" w:space="0"/>
            </w:tcBorders>
            <w:vAlign w:val="center"/>
          </w:tcPr>
          <w:p w14:paraId="5AB5BD0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深圳中电电力技术股份有限公司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092179F5">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深圳润诚达电力科技有限公司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6450594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深圳市西研科技有限公司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797D2E1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珠海派诺科技股份有限公司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525DFE8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安科瑞电气股份有限公司</w:t>
            </w:r>
          </w:p>
        </w:tc>
        <w:tc>
          <w:tcPr>
            <w:tcW w:w="1423" w:type="dxa"/>
            <w:tcBorders>
              <w:top w:val="single" w:color="000000" w:sz="4" w:space="0"/>
              <w:left w:val="single" w:color="000000" w:sz="4" w:space="0"/>
              <w:bottom w:val="single" w:color="000000" w:sz="4" w:space="0"/>
              <w:right w:val="single" w:color="000000" w:sz="4" w:space="0"/>
            </w:tcBorders>
            <w:vAlign w:val="center"/>
          </w:tcPr>
          <w:p w14:paraId="7AFA302B">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026FBE9B">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6954FCA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8</w:t>
            </w:r>
          </w:p>
        </w:tc>
        <w:tc>
          <w:tcPr>
            <w:tcW w:w="1538" w:type="dxa"/>
            <w:tcBorders>
              <w:top w:val="single" w:color="000000" w:sz="4" w:space="0"/>
              <w:left w:val="single" w:color="000000" w:sz="4" w:space="0"/>
              <w:bottom w:val="single" w:color="000000" w:sz="4" w:space="0"/>
              <w:right w:val="single" w:color="000000" w:sz="4" w:space="0"/>
            </w:tcBorders>
            <w:vAlign w:val="center"/>
          </w:tcPr>
          <w:p w14:paraId="7C6CFE8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高低压电缆</w:t>
            </w:r>
          </w:p>
        </w:tc>
        <w:tc>
          <w:tcPr>
            <w:tcW w:w="2276" w:type="dxa"/>
            <w:tcBorders>
              <w:top w:val="single" w:color="000000" w:sz="4" w:space="0"/>
              <w:left w:val="single" w:color="000000" w:sz="4" w:space="0"/>
              <w:bottom w:val="single" w:color="000000" w:sz="4" w:space="0"/>
              <w:right w:val="single" w:color="000000" w:sz="4" w:space="0"/>
            </w:tcBorders>
            <w:vAlign w:val="center"/>
          </w:tcPr>
          <w:p w14:paraId="7C6CC6BF">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广州南洋电缆有限公司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7411817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广州电缆有限公司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5EA0008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广东天虹电缆有限公司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3B421117">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广东电缆厂有限公司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70968076">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金龙羽集团股份有限公司</w:t>
            </w:r>
          </w:p>
        </w:tc>
        <w:tc>
          <w:tcPr>
            <w:tcW w:w="1423" w:type="dxa"/>
            <w:tcBorders>
              <w:top w:val="single" w:color="000000" w:sz="4" w:space="0"/>
              <w:left w:val="single" w:color="000000" w:sz="4" w:space="0"/>
              <w:bottom w:val="single" w:color="000000" w:sz="4" w:space="0"/>
              <w:right w:val="single" w:color="000000" w:sz="4" w:space="0"/>
            </w:tcBorders>
            <w:vAlign w:val="center"/>
          </w:tcPr>
          <w:p w14:paraId="58CB184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6F827C26">
        <w:tblPrEx>
          <w:tblCellMar>
            <w:top w:w="0" w:type="dxa"/>
            <w:left w:w="108" w:type="dxa"/>
            <w:bottom w:w="0" w:type="dxa"/>
            <w:right w:w="108" w:type="dxa"/>
          </w:tblCellMar>
        </w:tblPrEx>
        <w:trPr>
          <w:trHeight w:val="112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13EFED1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9</w:t>
            </w:r>
          </w:p>
        </w:tc>
        <w:tc>
          <w:tcPr>
            <w:tcW w:w="1538" w:type="dxa"/>
            <w:tcBorders>
              <w:top w:val="single" w:color="000000" w:sz="4" w:space="0"/>
              <w:left w:val="single" w:color="000000" w:sz="4" w:space="0"/>
              <w:bottom w:val="single" w:color="000000" w:sz="4" w:space="0"/>
              <w:right w:val="single" w:color="000000" w:sz="4" w:space="0"/>
            </w:tcBorders>
            <w:vAlign w:val="center"/>
          </w:tcPr>
          <w:p w14:paraId="7668633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母线槽</w:t>
            </w:r>
          </w:p>
        </w:tc>
        <w:tc>
          <w:tcPr>
            <w:tcW w:w="2276" w:type="dxa"/>
            <w:tcBorders>
              <w:top w:val="single" w:color="000000" w:sz="4" w:space="0"/>
              <w:left w:val="single" w:color="000000" w:sz="4" w:space="0"/>
              <w:bottom w:val="single" w:color="000000" w:sz="4" w:space="0"/>
              <w:right w:val="single" w:color="000000" w:sz="4" w:space="0"/>
            </w:tcBorders>
            <w:vAlign w:val="center"/>
          </w:tcPr>
          <w:p w14:paraId="1DB2A16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江苏海纬集团有限公司</w:t>
            </w:r>
          </w:p>
        </w:tc>
        <w:tc>
          <w:tcPr>
            <w:tcW w:w="2211" w:type="dxa"/>
            <w:tcBorders>
              <w:top w:val="nil"/>
              <w:left w:val="nil"/>
              <w:bottom w:val="nil"/>
              <w:right w:val="nil"/>
            </w:tcBorders>
            <w:vAlign w:val="center"/>
          </w:tcPr>
          <w:p w14:paraId="68E79CD9">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广州白云电器设备股份有限公司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1879314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广州半径电力铜材有限公司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7C63978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广东长电科技有限公司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13B9EF9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广州南方电力集团电器有限公司</w:t>
            </w:r>
          </w:p>
        </w:tc>
        <w:tc>
          <w:tcPr>
            <w:tcW w:w="1423" w:type="dxa"/>
            <w:tcBorders>
              <w:top w:val="single" w:color="000000" w:sz="4" w:space="0"/>
              <w:left w:val="single" w:color="000000" w:sz="4" w:space="0"/>
              <w:bottom w:val="single" w:color="000000" w:sz="4" w:space="0"/>
              <w:right w:val="single" w:color="000000" w:sz="4" w:space="0"/>
            </w:tcBorders>
            <w:vAlign w:val="center"/>
          </w:tcPr>
          <w:p w14:paraId="5F2A296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3A8C4222">
        <w:tblPrEx>
          <w:tblCellMar>
            <w:top w:w="0" w:type="dxa"/>
            <w:left w:w="108" w:type="dxa"/>
            <w:bottom w:w="0" w:type="dxa"/>
            <w:right w:w="108" w:type="dxa"/>
          </w:tblCellMar>
        </w:tblPrEx>
        <w:trPr>
          <w:trHeight w:val="88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7BE1BF0D">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w:t>
            </w:r>
          </w:p>
        </w:tc>
        <w:tc>
          <w:tcPr>
            <w:tcW w:w="1538" w:type="dxa"/>
            <w:tcBorders>
              <w:top w:val="single" w:color="000000" w:sz="4" w:space="0"/>
              <w:left w:val="single" w:color="000000" w:sz="4" w:space="0"/>
              <w:bottom w:val="single" w:color="000000" w:sz="4" w:space="0"/>
              <w:right w:val="single" w:color="000000" w:sz="4" w:space="0"/>
            </w:tcBorders>
            <w:vAlign w:val="center"/>
          </w:tcPr>
          <w:p w14:paraId="1E6B62AA">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电缆桥架、金属线管、金属软管</w:t>
            </w:r>
          </w:p>
        </w:tc>
        <w:tc>
          <w:tcPr>
            <w:tcW w:w="2276" w:type="dxa"/>
            <w:tcBorders>
              <w:top w:val="single" w:color="000000" w:sz="4" w:space="0"/>
              <w:left w:val="single" w:color="000000" w:sz="4" w:space="0"/>
              <w:bottom w:val="single" w:color="000000" w:sz="4" w:space="0"/>
              <w:right w:val="single" w:color="000000" w:sz="4" w:space="0"/>
            </w:tcBorders>
            <w:vAlign w:val="center"/>
          </w:tcPr>
          <w:p w14:paraId="18B4E0DD">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广州市番禺天虹工业开发有限公司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6E232E3D">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广东一通科技股份有限公司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56B1BD97">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zh-TW" w:eastAsia="zh-TW" w:bidi="ar"/>
              </w:rPr>
              <w:t>深圳市深龙达电器有限公司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7BC32531">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广东同亿电气有限公司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0876B2C1">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广州富力通管道设备有限公司</w:t>
            </w:r>
          </w:p>
        </w:tc>
        <w:tc>
          <w:tcPr>
            <w:tcW w:w="1423" w:type="dxa"/>
            <w:tcBorders>
              <w:top w:val="single" w:color="000000" w:sz="4" w:space="0"/>
              <w:left w:val="single" w:color="000000" w:sz="4" w:space="0"/>
              <w:bottom w:val="single" w:color="000000" w:sz="4" w:space="0"/>
              <w:right w:val="single" w:color="000000" w:sz="4" w:space="0"/>
            </w:tcBorders>
            <w:vAlign w:val="center"/>
          </w:tcPr>
          <w:p w14:paraId="4CB44372">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参照或相当于</w:t>
            </w:r>
          </w:p>
        </w:tc>
      </w:tr>
      <w:tr w14:paraId="0BF19C79">
        <w:tblPrEx>
          <w:tblCellMar>
            <w:top w:w="0" w:type="dxa"/>
            <w:left w:w="108" w:type="dxa"/>
            <w:bottom w:w="0" w:type="dxa"/>
            <w:right w:w="108" w:type="dxa"/>
          </w:tblCellMar>
        </w:tblPrEx>
        <w:trPr>
          <w:trHeight w:val="88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31D1E466">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11</w:t>
            </w:r>
          </w:p>
        </w:tc>
        <w:tc>
          <w:tcPr>
            <w:tcW w:w="1538" w:type="dxa"/>
            <w:tcBorders>
              <w:top w:val="single" w:color="000000" w:sz="4" w:space="0"/>
              <w:left w:val="single" w:color="000000" w:sz="4" w:space="0"/>
              <w:bottom w:val="single" w:color="000000" w:sz="4" w:space="0"/>
              <w:right w:val="single" w:color="000000" w:sz="4" w:space="0"/>
            </w:tcBorders>
            <w:vAlign w:val="center"/>
          </w:tcPr>
          <w:p w14:paraId="5C33F2EC">
            <w:pPr>
              <w:pStyle w:val="221"/>
              <w:spacing w:after="0" w:line="240" w:lineRule="auto"/>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发电机</w:t>
            </w:r>
          </w:p>
        </w:tc>
        <w:tc>
          <w:tcPr>
            <w:tcW w:w="2276" w:type="dxa"/>
            <w:tcBorders>
              <w:top w:val="single" w:color="000000" w:sz="4" w:space="0"/>
              <w:left w:val="single" w:color="000000" w:sz="4" w:space="0"/>
              <w:bottom w:val="single" w:color="000000" w:sz="4" w:space="0"/>
              <w:right w:val="single" w:color="000000" w:sz="4" w:space="0"/>
            </w:tcBorders>
            <w:vAlign w:val="center"/>
          </w:tcPr>
          <w:p w14:paraId="4FFB27B8">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英格（阳江）电气股份有限公司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712F8B77">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、安徽德科电气科技有限公司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48065B53">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无锡法拉第电机有限公司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36EA6C2D">
            <w:pPr>
              <w:pStyle w:val="221"/>
              <w:spacing w:after="0" w:line="302"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上海马拉松革新电气有限公司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5A44B8D6">
            <w:pPr>
              <w:widowControl/>
              <w:jc w:val="center"/>
              <w:textAlignment w:val="center"/>
              <w:rPr>
                <w:rFonts w:ascii="宋体" w:hAnsi="宋体" w:cs="宋体"/>
                <w:color w:val="auto"/>
                <w:kern w:val="0"/>
                <w:sz w:val="24"/>
                <w:szCs w:val="24"/>
                <w:highlight w:val="none"/>
                <w:lang w:bidi="ar"/>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1973D651">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参照或相当于</w:t>
            </w:r>
          </w:p>
        </w:tc>
      </w:tr>
      <w:tr w14:paraId="1B61DD7D">
        <w:tblPrEx>
          <w:tblCellMar>
            <w:top w:w="0" w:type="dxa"/>
            <w:left w:w="108" w:type="dxa"/>
            <w:bottom w:w="0" w:type="dxa"/>
            <w:right w:w="108" w:type="dxa"/>
          </w:tblCellMar>
        </w:tblPrEx>
        <w:trPr>
          <w:trHeight w:val="88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4F0C8687">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12</w:t>
            </w:r>
          </w:p>
        </w:tc>
        <w:tc>
          <w:tcPr>
            <w:tcW w:w="1538" w:type="dxa"/>
            <w:tcBorders>
              <w:top w:val="single" w:color="000000" w:sz="4" w:space="0"/>
              <w:left w:val="single" w:color="000000" w:sz="4" w:space="0"/>
              <w:bottom w:val="single" w:color="000000" w:sz="4" w:space="0"/>
              <w:right w:val="single" w:color="000000" w:sz="4" w:space="0"/>
            </w:tcBorders>
            <w:vAlign w:val="center"/>
          </w:tcPr>
          <w:p w14:paraId="2E91C834">
            <w:pPr>
              <w:pStyle w:val="221"/>
              <w:spacing w:after="0" w:line="240" w:lineRule="auto"/>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柴油机</w:t>
            </w:r>
          </w:p>
        </w:tc>
        <w:tc>
          <w:tcPr>
            <w:tcW w:w="2276" w:type="dxa"/>
            <w:tcBorders>
              <w:top w:val="single" w:color="000000" w:sz="4" w:space="0"/>
              <w:left w:val="single" w:color="000000" w:sz="4" w:space="0"/>
              <w:bottom w:val="single" w:color="000000" w:sz="4" w:space="0"/>
              <w:right w:val="single" w:color="000000" w:sz="4" w:space="0"/>
            </w:tcBorders>
            <w:vAlign w:val="center"/>
          </w:tcPr>
          <w:p w14:paraId="29BA4098">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上海柴油机股份有限公司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694CC88E">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广西玉柴机器 集团有限公司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41B6D869">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潍柴动力股份有限公司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1E991268">
            <w:pPr>
              <w:pStyle w:val="221"/>
              <w:spacing w:after="0" w:line="302"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康明斯（中国）投资有限公司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7163E696">
            <w:pPr>
              <w:widowControl/>
              <w:jc w:val="center"/>
              <w:textAlignment w:val="center"/>
              <w:rPr>
                <w:rFonts w:ascii="宋体" w:hAnsi="宋体" w:cs="宋体"/>
                <w:color w:val="auto"/>
                <w:kern w:val="0"/>
                <w:sz w:val="24"/>
                <w:szCs w:val="24"/>
                <w:highlight w:val="none"/>
                <w:lang w:bidi="ar"/>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2091FB49">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参照或相当于</w:t>
            </w:r>
          </w:p>
        </w:tc>
      </w:tr>
      <w:tr w14:paraId="5C364CFC">
        <w:tblPrEx>
          <w:tblCellMar>
            <w:top w:w="0" w:type="dxa"/>
            <w:left w:w="108" w:type="dxa"/>
            <w:bottom w:w="0" w:type="dxa"/>
            <w:right w:w="108" w:type="dxa"/>
          </w:tblCellMar>
        </w:tblPrEx>
        <w:trPr>
          <w:trHeight w:val="880"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147AC035">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13</w:t>
            </w:r>
          </w:p>
        </w:tc>
        <w:tc>
          <w:tcPr>
            <w:tcW w:w="1538" w:type="dxa"/>
            <w:tcBorders>
              <w:top w:val="single" w:color="000000" w:sz="4" w:space="0"/>
              <w:left w:val="single" w:color="000000" w:sz="4" w:space="0"/>
              <w:bottom w:val="single" w:color="000000" w:sz="4" w:space="0"/>
              <w:right w:val="single" w:color="000000" w:sz="4" w:space="0"/>
            </w:tcBorders>
            <w:vAlign w:val="center"/>
          </w:tcPr>
          <w:p w14:paraId="442C62C8">
            <w:pPr>
              <w:pStyle w:val="221"/>
              <w:spacing w:after="0" w:line="240" w:lineRule="auto"/>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发电机成套（环保）</w:t>
            </w:r>
          </w:p>
        </w:tc>
        <w:tc>
          <w:tcPr>
            <w:tcW w:w="2276" w:type="dxa"/>
            <w:tcBorders>
              <w:top w:val="single" w:color="000000" w:sz="4" w:space="0"/>
              <w:left w:val="single" w:color="000000" w:sz="4" w:space="0"/>
              <w:bottom w:val="single" w:color="000000" w:sz="4" w:space="0"/>
              <w:right w:val="single" w:color="000000" w:sz="4" w:space="0"/>
            </w:tcBorders>
            <w:vAlign w:val="center"/>
          </w:tcPr>
          <w:p w14:paraId="75D66EF7">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广州市沃尔奔达机器设备有限公司</w:t>
            </w:r>
          </w:p>
        </w:tc>
        <w:tc>
          <w:tcPr>
            <w:tcW w:w="2211" w:type="dxa"/>
            <w:tcBorders>
              <w:top w:val="single" w:color="000000" w:sz="4" w:space="0"/>
              <w:left w:val="single" w:color="000000" w:sz="4" w:space="0"/>
              <w:bottom w:val="single" w:color="000000" w:sz="4" w:space="0"/>
              <w:right w:val="single" w:color="000000" w:sz="4" w:space="0"/>
            </w:tcBorders>
            <w:vAlign w:val="center"/>
          </w:tcPr>
          <w:p w14:paraId="3E6BF18B">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深圳市永智机电设备有限公司</w:t>
            </w:r>
          </w:p>
        </w:tc>
        <w:tc>
          <w:tcPr>
            <w:tcW w:w="2289" w:type="dxa"/>
            <w:tcBorders>
              <w:top w:val="single" w:color="000000" w:sz="4" w:space="0"/>
              <w:left w:val="single" w:color="000000" w:sz="4" w:space="0"/>
              <w:bottom w:val="single" w:color="000000" w:sz="4" w:space="0"/>
              <w:right w:val="single" w:color="000000" w:sz="4" w:space="0"/>
            </w:tcBorders>
            <w:vAlign w:val="center"/>
          </w:tcPr>
          <w:p w14:paraId="4E1E260E">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广州资源设备成套工程有限公司</w:t>
            </w:r>
          </w:p>
        </w:tc>
        <w:tc>
          <w:tcPr>
            <w:tcW w:w="2145" w:type="dxa"/>
            <w:tcBorders>
              <w:top w:val="single" w:color="000000" w:sz="4" w:space="0"/>
              <w:left w:val="single" w:color="000000" w:sz="4" w:space="0"/>
              <w:bottom w:val="single" w:color="000000" w:sz="4" w:space="0"/>
              <w:right w:val="single" w:color="000000" w:sz="4" w:space="0"/>
            </w:tcBorders>
            <w:vAlign w:val="center"/>
          </w:tcPr>
          <w:p w14:paraId="75A6C8A4">
            <w:pPr>
              <w:pStyle w:val="221"/>
              <w:spacing w:after="0" w:line="310" w:lineRule="exact"/>
              <w:ind w:firstLine="0"/>
              <w:jc w:val="center"/>
              <w:rPr>
                <w:color w:val="auto"/>
                <w:kern w:val="0"/>
                <w:sz w:val="24"/>
                <w:szCs w:val="24"/>
                <w:highlight w:val="none"/>
                <w:lang w:val="en-US" w:eastAsia="zh-CN" w:bidi="ar"/>
              </w:rPr>
            </w:pPr>
            <w:r>
              <w:rPr>
                <w:rFonts w:hint="eastAsia"/>
                <w:color w:val="auto"/>
                <w:kern w:val="0"/>
                <w:sz w:val="24"/>
                <w:szCs w:val="24"/>
                <w:highlight w:val="none"/>
                <w:lang w:val="en-US" w:eastAsia="zh-CN" w:bidi="ar"/>
              </w:rPr>
              <w:t>深圳市沃尔奔达新能源股份有限公司</w:t>
            </w:r>
          </w:p>
        </w:tc>
        <w:tc>
          <w:tcPr>
            <w:tcW w:w="2143" w:type="dxa"/>
            <w:tcBorders>
              <w:top w:val="single" w:color="000000" w:sz="4" w:space="0"/>
              <w:left w:val="single" w:color="000000" w:sz="4" w:space="0"/>
              <w:bottom w:val="single" w:color="000000" w:sz="4" w:space="0"/>
              <w:right w:val="single" w:color="000000" w:sz="4" w:space="0"/>
            </w:tcBorders>
            <w:vAlign w:val="center"/>
          </w:tcPr>
          <w:p w14:paraId="1A6C2874">
            <w:pPr>
              <w:widowControl/>
              <w:jc w:val="center"/>
              <w:textAlignment w:val="center"/>
              <w:rPr>
                <w:rFonts w:ascii="宋体" w:hAnsi="宋体" w:cs="宋体"/>
                <w:color w:val="auto"/>
                <w:kern w:val="0"/>
                <w:sz w:val="24"/>
                <w:szCs w:val="24"/>
                <w:highlight w:val="none"/>
                <w:lang w:bidi="ar"/>
              </w:rPr>
            </w:pPr>
          </w:p>
        </w:tc>
        <w:tc>
          <w:tcPr>
            <w:tcW w:w="1423" w:type="dxa"/>
            <w:tcBorders>
              <w:top w:val="single" w:color="000000" w:sz="4" w:space="0"/>
              <w:left w:val="single" w:color="000000" w:sz="4" w:space="0"/>
              <w:bottom w:val="single" w:color="000000" w:sz="4" w:space="0"/>
              <w:right w:val="single" w:color="000000" w:sz="4" w:space="0"/>
            </w:tcBorders>
            <w:vAlign w:val="center"/>
          </w:tcPr>
          <w:p w14:paraId="42589AC5">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参照或相当于</w:t>
            </w:r>
          </w:p>
        </w:tc>
      </w:tr>
    </w:tbl>
    <w:p w14:paraId="2A343C16">
      <w:pPr>
        <w:jc w:val="center"/>
        <w:rPr>
          <w:b/>
          <w:bCs/>
          <w:color w:val="auto"/>
          <w:sz w:val="28"/>
          <w:szCs w:val="28"/>
          <w:highlight w:val="none"/>
        </w:rPr>
      </w:pPr>
    </w:p>
    <w:p w14:paraId="30F1D7FB">
      <w:pPr>
        <w:adjustRightInd w:val="0"/>
        <w:snapToGrid w:val="0"/>
        <w:spacing w:before="120" w:beforeLines="50" w:after="120" w:afterLines="50" w:line="480" w:lineRule="auto"/>
        <w:rPr>
          <w:rFonts w:ascii="宋体" w:hAnsi="宋体"/>
          <w:b/>
          <w:bCs/>
          <w:color w:val="auto"/>
          <w:szCs w:val="21"/>
          <w:highlight w:val="none"/>
        </w:rPr>
        <w:sectPr>
          <w:endnotePr>
            <w:numFmt w:val="decimal"/>
          </w:endnotePr>
          <w:pgSz w:w="16840" w:h="11907" w:orient="landscape"/>
          <w:pgMar w:top="1304" w:right="1134" w:bottom="1304" w:left="851" w:header="851" w:footer="567" w:gutter="0"/>
          <w:cols w:space="720" w:num="1"/>
          <w:titlePg/>
          <w:docGrid w:linePitch="312" w:charSpace="0"/>
        </w:sectPr>
      </w:pPr>
    </w:p>
    <w:p w14:paraId="48F796AB">
      <w:pPr>
        <w:adjustRightInd w:val="0"/>
        <w:snapToGrid w:val="0"/>
        <w:spacing w:before="120" w:beforeLines="50" w:after="120" w:afterLines="50" w:line="480" w:lineRule="auto"/>
        <w:rPr>
          <w:rFonts w:ascii="宋体" w:hAnsi="宋体"/>
          <w:b/>
          <w:bCs/>
          <w:color w:val="auto"/>
          <w:szCs w:val="21"/>
          <w:highlight w:val="none"/>
        </w:rPr>
      </w:pPr>
      <w:r>
        <w:rPr>
          <w:rFonts w:hint="eastAsia" w:ascii="宋体" w:hAnsi="宋体"/>
          <w:b/>
          <w:bCs/>
          <w:color w:val="auto"/>
          <w:szCs w:val="21"/>
          <w:highlight w:val="none"/>
        </w:rPr>
        <w:t>附件4：保函参考格式</w:t>
      </w:r>
    </w:p>
    <w:p w14:paraId="5D5BF9D5">
      <w:pPr>
        <w:jc w:val="center"/>
        <w:rPr>
          <w:rFonts w:ascii="彩虹小标宋" w:hAnsi="宋体" w:eastAsia="彩虹小标宋"/>
          <w:bCs/>
          <w:color w:val="auto"/>
          <w:sz w:val="24"/>
          <w:szCs w:val="24"/>
          <w:highlight w:val="none"/>
          <w:u w:val="single"/>
        </w:rPr>
      </w:pPr>
      <w:r>
        <w:rPr>
          <w:rFonts w:hint="eastAsia" w:ascii="彩虹小标宋" w:hAnsi="宋体" w:eastAsia="彩虹小标宋"/>
          <w:bCs/>
          <w:color w:val="auto"/>
          <w:sz w:val="24"/>
          <w:szCs w:val="24"/>
          <w:highlight w:val="none"/>
        </w:rPr>
        <w:t>履 约 保 函</w:t>
      </w:r>
    </w:p>
    <w:p w14:paraId="2C8C46CF">
      <w:pPr>
        <w:spacing w:line="480" w:lineRule="exact"/>
        <w:ind w:firstLine="5400"/>
        <w:rPr>
          <w:rFonts w:ascii="宋体" w:hAnsi="宋体"/>
          <w:color w:val="auto"/>
          <w:sz w:val="24"/>
          <w:szCs w:val="24"/>
          <w:highlight w:val="none"/>
        </w:rPr>
      </w:pPr>
      <w:r>
        <w:rPr>
          <w:rFonts w:hint="eastAsia" w:ascii="宋体" w:hAnsi="宋体"/>
          <w:color w:val="auto"/>
          <w:sz w:val="24"/>
          <w:szCs w:val="24"/>
          <w:highlight w:val="none"/>
        </w:rPr>
        <w:t>编号：</w:t>
      </w:r>
    </w:p>
    <w:p w14:paraId="1C85324B">
      <w:pPr>
        <w:spacing w:line="480" w:lineRule="exact"/>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（下称“你方”或“受益人”）</w:t>
      </w:r>
      <w:r>
        <w:rPr>
          <w:rFonts w:hint="eastAsia" w:ascii="宋体" w:hAnsi="宋体"/>
          <w:color w:val="auto"/>
          <w:sz w:val="24"/>
          <w:szCs w:val="24"/>
          <w:highlight w:val="none"/>
        </w:rPr>
        <w:t>：</w:t>
      </w:r>
    </w:p>
    <w:p w14:paraId="3CE71879">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（下称“</w:t>
      </w:r>
      <w:r>
        <w:rPr>
          <w:rFonts w:hint="eastAsia" w:ascii="宋体" w:hAnsi="宋体"/>
          <w:snapToGrid w:val="0"/>
          <w:color w:val="auto"/>
          <w:kern w:val="0"/>
          <w:sz w:val="24"/>
          <w:szCs w:val="24"/>
          <w:highlight w:val="none"/>
        </w:rPr>
        <w:t>保函申请人</w:t>
      </w:r>
      <w:r>
        <w:rPr>
          <w:rFonts w:ascii="宋体" w:hAnsi="宋体"/>
          <w:color w:val="auto"/>
          <w:sz w:val="24"/>
          <w:szCs w:val="24"/>
          <w:highlight w:val="none"/>
        </w:rPr>
        <w:t>”</w:t>
      </w:r>
      <w:r>
        <w:rPr>
          <w:rFonts w:hint="eastAsia" w:ascii="宋体" w:hAnsi="宋体"/>
          <w:color w:val="auto"/>
          <w:sz w:val="24"/>
          <w:szCs w:val="24"/>
          <w:highlight w:val="none"/>
        </w:rPr>
        <w:t>）与你方签订了编号为</w:t>
      </w:r>
      <w:r>
        <w:rPr>
          <w:rFonts w:hint="eastAsia" w:ascii="宋体" w:hAnsi="宋体"/>
          <w:color w:val="auto"/>
          <w:sz w:val="24"/>
          <w:szCs w:val="24"/>
          <w:highlight w:val="none"/>
          <w:u w:val="single"/>
        </w:rPr>
        <w:t xml:space="preserve"> ，发包人合同编号：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、承包人合同编号：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（合同或协议名称），我行愿就</w:t>
      </w:r>
      <w:r>
        <w:rPr>
          <w:rFonts w:hint="eastAsia" w:ascii="宋体" w:hAnsi="宋体"/>
          <w:snapToGrid w:val="0"/>
          <w:color w:val="auto"/>
          <w:kern w:val="0"/>
          <w:sz w:val="24"/>
          <w:szCs w:val="24"/>
          <w:highlight w:val="none"/>
        </w:rPr>
        <w:t>保函申请人</w:t>
      </w:r>
      <w:r>
        <w:rPr>
          <w:rFonts w:hint="eastAsia" w:ascii="宋体" w:hAnsi="宋体"/>
          <w:color w:val="auto"/>
          <w:sz w:val="24"/>
          <w:szCs w:val="24"/>
          <w:highlight w:val="none"/>
        </w:rPr>
        <w:t>履行上述合同或协议约定的义务向你方开立无条件、不可撤销、见索即付的独立保函：</w:t>
      </w:r>
    </w:p>
    <w:p w14:paraId="08A2C0C3">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一、本保函项下我行承担的保函最高限额为（币种、金额、大写） ¥</w:t>
      </w:r>
      <w:r>
        <w:rPr>
          <w:rFonts w:ascii="宋体" w:hAnsi="宋体"/>
          <w:color w:val="auto"/>
          <w:sz w:val="24"/>
          <w:szCs w:val="24"/>
          <w:highlight w:val="none"/>
          <w:u w:val="single"/>
        </w:rPr>
        <w:t xml:space="preserve">       </w:t>
      </w:r>
      <w:r>
        <w:rPr>
          <w:rFonts w:ascii="宋体" w:hAnsi="宋体"/>
          <w:color w:val="auto"/>
          <w:sz w:val="24"/>
          <w:szCs w:val="24"/>
          <w:highlight w:val="none"/>
        </w:rPr>
        <w:t>元，人民币：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（下称“保函金额”）。</w:t>
      </w:r>
    </w:p>
    <w:p w14:paraId="66C9B468">
      <w:pPr>
        <w:adjustRightInd w:val="0"/>
        <w:snapToGrid w:val="0"/>
        <w:spacing w:line="480" w:lineRule="exact"/>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二、我行在本保函项下开具的为无条件、不可撤销、见索即付的独立保函。</w:t>
      </w:r>
    </w:p>
    <w:p w14:paraId="631AE321">
      <w:pPr>
        <w:spacing w:line="480" w:lineRule="exact"/>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三、本保函的有效期为以下第</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种：</w:t>
      </w:r>
    </w:p>
    <w:p w14:paraId="198851AA">
      <w:pPr>
        <w:spacing w:line="480" w:lineRule="exact"/>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1.本保函有效期至</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年</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月</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日止。</w:t>
      </w:r>
    </w:p>
    <w:p w14:paraId="1DB1B715">
      <w:pPr>
        <w:adjustRightInd w:val="0"/>
        <w:snapToGrid w:val="0"/>
        <w:spacing w:line="480" w:lineRule="exact"/>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snapToGrid w:val="0"/>
          <w:color w:val="auto"/>
          <w:kern w:val="0"/>
          <w:sz w:val="24"/>
          <w:szCs w:val="24"/>
          <w:highlight w:val="none"/>
          <w:u w:val="single"/>
        </w:rPr>
        <w:t xml:space="preserve">自本保函开立之日起至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竣工验收完成后3个月内。</w:t>
      </w:r>
    </w:p>
    <w:p w14:paraId="45C96FAE">
      <w:pPr>
        <w:spacing w:line="480" w:lineRule="exact"/>
        <w:ind w:firstLine="480" w:firstLineChars="200"/>
        <w:jc w:val="left"/>
        <w:rPr>
          <w:rFonts w:ascii="宋体" w:hAnsi="宋体"/>
          <w:snapToGrid w:val="0"/>
          <w:color w:val="auto"/>
          <w:kern w:val="0"/>
          <w:sz w:val="24"/>
          <w:szCs w:val="24"/>
          <w:highlight w:val="none"/>
        </w:rPr>
      </w:pPr>
      <w:r>
        <w:rPr>
          <w:rFonts w:hint="eastAsia" w:ascii="宋体" w:hAnsi="宋体"/>
          <w:color w:val="auto"/>
          <w:sz w:val="24"/>
          <w:szCs w:val="24"/>
          <w:highlight w:val="none"/>
        </w:rPr>
        <w:t>四、在本保函的有效期内</w:t>
      </w:r>
      <w:r>
        <w:rPr>
          <w:rFonts w:hint="eastAsia" w:ascii="宋体" w:hAnsi="宋体"/>
          <w:snapToGrid w:val="0"/>
          <w:color w:val="auto"/>
          <w:kern w:val="0"/>
          <w:sz w:val="24"/>
          <w:szCs w:val="24"/>
          <w:highlight w:val="none"/>
        </w:rPr>
        <w:t>，我行将在收到你方提交的本保函原件及符合下列全部条件的索赔通知后</w:t>
      </w:r>
      <w:r>
        <w:rPr>
          <w:rFonts w:hint="eastAsia" w:ascii="宋体" w:hAnsi="宋体"/>
          <w:snapToGrid w:val="0"/>
          <w:color w:val="auto"/>
          <w:kern w:val="0"/>
          <w:sz w:val="24"/>
          <w:szCs w:val="24"/>
          <w:highlight w:val="none"/>
          <w:u w:val="single"/>
        </w:rPr>
        <w:t xml:space="preserve">   5  </w:t>
      </w:r>
      <w:r>
        <w:rPr>
          <w:rFonts w:hint="eastAsia" w:ascii="宋体" w:hAnsi="宋体"/>
          <w:snapToGrid w:val="0"/>
          <w:color w:val="auto"/>
          <w:kern w:val="0"/>
          <w:sz w:val="24"/>
          <w:szCs w:val="24"/>
          <w:highlight w:val="none"/>
        </w:rPr>
        <w:t>个工作日内，以上述保函金额为限支付你方索赔金额：</w:t>
      </w:r>
    </w:p>
    <w:p w14:paraId="5BCE31E3">
      <w:pPr>
        <w:adjustRightInd w:val="0"/>
        <w:snapToGrid w:val="0"/>
        <w:spacing w:line="480" w:lineRule="exact"/>
        <w:ind w:firstLine="480" w:firstLineChars="200"/>
        <w:rPr>
          <w:color w:val="auto"/>
          <w:sz w:val="24"/>
          <w:szCs w:val="24"/>
          <w:highlight w:val="none"/>
        </w:rPr>
      </w:pPr>
      <w:r>
        <w:rPr>
          <w:rFonts w:hint="eastAsia" w:ascii="宋体" w:hAnsi="宋体"/>
          <w:snapToGrid w:val="0"/>
          <w:color w:val="auto"/>
          <w:kern w:val="0"/>
          <w:sz w:val="24"/>
          <w:szCs w:val="24"/>
          <w:highlight w:val="none"/>
        </w:rPr>
        <w:t>（一）索赔通知必须以书面形式提出，列明索赔金额，并由你方法定代表人（负责人）或授权代理人签字并加盖公章；</w:t>
      </w:r>
    </w:p>
    <w:p w14:paraId="105CBCD7">
      <w:pPr>
        <w:adjustRightInd w:val="0"/>
        <w:snapToGrid w:val="0"/>
        <w:spacing w:line="480" w:lineRule="exact"/>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（二）索赔通知必须同时附有：</w:t>
      </w:r>
    </w:p>
    <w:p w14:paraId="50C542BF">
      <w:pPr>
        <w:adjustRightInd w:val="0"/>
        <w:snapToGrid w:val="0"/>
        <w:spacing w:line="480" w:lineRule="exact"/>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一项书面声明，声明索赔款项并未由保函申请人或其代理人直接或间接地支付给你方。</w:t>
      </w:r>
    </w:p>
    <w:p w14:paraId="3A9E6D88">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（三）索赔通知必须在本保函有效期内到达以下地址：</w:t>
      </w:r>
    </w:p>
    <w:p w14:paraId="6ADCD392">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4AD67B9">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在你方向我行提出索赔通知时，我行将不坚持要求你方先向</w:t>
      </w:r>
      <w:r>
        <w:rPr>
          <w:rFonts w:hint="eastAsia" w:ascii="宋体" w:hAnsi="宋体"/>
          <w:snapToGrid w:val="0"/>
          <w:color w:val="auto"/>
          <w:kern w:val="0"/>
          <w:sz w:val="24"/>
          <w:szCs w:val="24"/>
          <w:highlight w:val="none"/>
        </w:rPr>
        <w:t>保函申请人</w:t>
      </w:r>
      <w:r>
        <w:rPr>
          <w:rFonts w:hint="eastAsia" w:ascii="宋体" w:hAnsi="宋体"/>
          <w:color w:val="auto"/>
          <w:sz w:val="24"/>
          <w:szCs w:val="24"/>
          <w:highlight w:val="none"/>
        </w:rPr>
        <w:t>提出索赔或要求你方提供除本保函原件和索赔通知外的其他任何证明材料。</w:t>
      </w:r>
    </w:p>
    <w:p w14:paraId="7B70FC65">
      <w:pPr>
        <w:adjustRightInd w:val="0"/>
        <w:snapToGrid w:val="0"/>
        <w:spacing w:line="480" w:lineRule="exact"/>
        <w:ind w:firstLine="480" w:firstLineChars="200"/>
        <w:rPr>
          <w:rFonts w:ascii="宋体" w:hAnsi="宋体"/>
          <w:color w:val="auto"/>
          <w:sz w:val="24"/>
          <w:szCs w:val="24"/>
          <w:highlight w:val="none"/>
        </w:rPr>
      </w:pPr>
      <w:r>
        <w:rPr>
          <w:rFonts w:hint="eastAsia" w:ascii="宋体" w:hAnsi="宋体"/>
          <w:snapToGrid w:val="0"/>
          <w:color w:val="auto"/>
          <w:kern w:val="0"/>
          <w:sz w:val="24"/>
          <w:szCs w:val="24"/>
          <w:highlight w:val="none"/>
        </w:rPr>
        <w:t>五、</w:t>
      </w:r>
      <w:r>
        <w:rPr>
          <w:rFonts w:hint="eastAsia" w:ascii="宋体" w:hAnsi="宋体"/>
          <w:color w:val="auto"/>
          <w:sz w:val="24"/>
          <w:szCs w:val="24"/>
          <w:highlight w:val="none"/>
        </w:rPr>
        <w:t>本保函金额将随我行</w:t>
      </w:r>
      <w:r>
        <w:rPr>
          <w:rFonts w:hint="eastAsia" w:ascii="宋体" w:hAnsi="宋体"/>
          <w:snapToGrid w:val="0"/>
          <w:color w:val="auto"/>
          <w:kern w:val="0"/>
          <w:sz w:val="24"/>
          <w:szCs w:val="24"/>
          <w:highlight w:val="none"/>
        </w:rPr>
        <w:t>按你方索赔通知要求分次支付</w:t>
      </w:r>
      <w:r>
        <w:rPr>
          <w:rFonts w:hint="eastAsia" w:ascii="宋体" w:hAnsi="宋体"/>
          <w:color w:val="auto"/>
          <w:sz w:val="24"/>
          <w:szCs w:val="24"/>
          <w:highlight w:val="none"/>
        </w:rPr>
        <w:t>而相应递减。</w:t>
      </w:r>
    </w:p>
    <w:p w14:paraId="388FA6E1">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六、本保函项下的权利不得转让，不得设定担保。受益人未经我行书面同意转让本保函或其项下任何权利，我行在本保函项下的义务与责任全部消灭。</w:t>
      </w:r>
    </w:p>
    <w:p w14:paraId="7A01C6B3">
      <w:pPr>
        <w:spacing w:line="480" w:lineRule="exact"/>
        <w:ind w:firstLine="480" w:firstLineChars="200"/>
        <w:rPr>
          <w:rFonts w:ascii="宋体" w:hAnsi="宋体"/>
          <w:color w:val="auto"/>
          <w:sz w:val="24"/>
          <w:szCs w:val="24"/>
          <w:highlight w:val="none"/>
        </w:rPr>
      </w:pPr>
      <w:r>
        <w:rPr>
          <w:rFonts w:hint="eastAsia" w:ascii="宋体" w:hAnsi="宋体"/>
          <w:snapToGrid w:val="0"/>
          <w:color w:val="auto"/>
          <w:kern w:val="0"/>
          <w:sz w:val="24"/>
          <w:szCs w:val="24"/>
          <w:highlight w:val="none"/>
        </w:rPr>
        <w:t>七、</w:t>
      </w:r>
      <w:r>
        <w:rPr>
          <w:rFonts w:hint="eastAsia" w:ascii="宋体" w:hAnsi="宋体"/>
          <w:color w:val="auto"/>
          <w:sz w:val="24"/>
          <w:szCs w:val="24"/>
          <w:highlight w:val="none"/>
        </w:rPr>
        <w:t>因本保函发生争议协商解决不成，按以下第</w:t>
      </w:r>
      <w:r>
        <w:rPr>
          <w:rFonts w:hint="eastAsia" w:ascii="宋体" w:hAnsi="宋体"/>
          <w:color w:val="auto"/>
          <w:sz w:val="24"/>
          <w:szCs w:val="24"/>
          <w:highlight w:val="none"/>
          <w:u w:val="single"/>
        </w:rPr>
        <w:t xml:space="preserve">  （一）   </w:t>
      </w:r>
      <w:r>
        <w:rPr>
          <w:rFonts w:hint="eastAsia" w:ascii="宋体" w:hAnsi="宋体"/>
          <w:color w:val="auto"/>
          <w:sz w:val="24"/>
          <w:szCs w:val="24"/>
          <w:highlight w:val="none"/>
        </w:rPr>
        <w:t>种方式解决：</w:t>
      </w:r>
    </w:p>
    <w:p w14:paraId="3130AD60">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（一）向工程所在地有管辖权的人民法院起诉。</w:t>
      </w:r>
    </w:p>
    <w:p w14:paraId="33780861">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（二）提交</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仲裁委员会（仲裁地点为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按照申请仲裁时该会现行有效的仲裁规则进行仲裁。仲裁裁决是终局的，对双方均有约束力。</w:t>
      </w:r>
    </w:p>
    <w:p w14:paraId="1EE6362D">
      <w:pPr>
        <w:spacing w:line="480" w:lineRule="exact"/>
        <w:ind w:firstLine="480" w:firstLineChars="200"/>
        <w:rPr>
          <w:rFonts w:ascii="宋体" w:hAnsi="宋体"/>
          <w:color w:val="auto"/>
          <w:sz w:val="24"/>
          <w:szCs w:val="24"/>
          <w:highlight w:val="none"/>
        </w:rPr>
      </w:pPr>
      <w:r>
        <w:rPr>
          <w:rFonts w:hint="eastAsia" w:ascii="宋体" w:hAnsi="宋体"/>
          <w:snapToGrid w:val="0"/>
          <w:color w:val="auto"/>
          <w:kern w:val="0"/>
          <w:sz w:val="24"/>
          <w:szCs w:val="24"/>
          <w:highlight w:val="none"/>
        </w:rPr>
        <w:t>八、</w:t>
      </w:r>
      <w:r>
        <w:rPr>
          <w:rFonts w:hint="eastAsia" w:ascii="宋体" w:hAnsi="宋体"/>
          <w:color w:val="auto"/>
          <w:sz w:val="24"/>
          <w:szCs w:val="24"/>
          <w:highlight w:val="none"/>
        </w:rPr>
        <w:t>本保函有效期届满，本保函失效，我行在本保函项下的责任消灭，受益人应立即将本保函原件退还我行；受益人未履行上述义务，本保函仍在有效期届至之日失效。</w:t>
      </w:r>
    </w:p>
    <w:p w14:paraId="00B91406">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九、本保函适用中华人民共和国法律。</w:t>
      </w:r>
    </w:p>
    <w:p w14:paraId="5741DC15">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十、其他条款：</w:t>
      </w:r>
    </w:p>
    <w:p w14:paraId="14A4EA6C">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1.本保函有效期届满，本保函自动失效，我行在本保函项下的义务与责任自动全部消灭，此后提出的任何索赔均为无效索赔，我行无义务作出任何赔付。</w:t>
      </w:r>
    </w:p>
    <w:p w14:paraId="15C1F98B">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2.所有索赔通知必须在我行营业时间内到达本保函规定的地址，即每个银行营业日【   】点前，否则视为在下一个银行营业日到达。                                                  </w:t>
      </w:r>
    </w:p>
    <w:p w14:paraId="4D8F07D6">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32C7B61">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C85FB86">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十一、本保函自我行负责人或授权代理人签字并加盖公章之日起生效。</w:t>
      </w:r>
    </w:p>
    <w:p w14:paraId="1B0F21DF">
      <w:pPr>
        <w:spacing w:line="480" w:lineRule="exact"/>
        <w:rPr>
          <w:rFonts w:ascii="宋体" w:hAnsi="宋体"/>
          <w:color w:val="auto"/>
          <w:sz w:val="24"/>
          <w:szCs w:val="24"/>
          <w:highlight w:val="none"/>
        </w:rPr>
      </w:pPr>
    </w:p>
    <w:p w14:paraId="2E93187E">
      <w:pPr>
        <w:spacing w:line="480" w:lineRule="exact"/>
        <w:rPr>
          <w:rFonts w:ascii="宋体" w:hAnsi="宋体"/>
          <w:color w:val="auto"/>
          <w:sz w:val="24"/>
          <w:szCs w:val="24"/>
          <w:highlight w:val="none"/>
        </w:rPr>
      </w:pPr>
    </w:p>
    <w:p w14:paraId="5C1F6141">
      <w:pPr>
        <w:spacing w:line="480" w:lineRule="exact"/>
        <w:rPr>
          <w:rFonts w:ascii="宋体" w:hAnsi="宋体"/>
          <w:color w:val="auto"/>
          <w:sz w:val="24"/>
          <w:szCs w:val="24"/>
          <w:highlight w:val="none"/>
        </w:rPr>
      </w:pPr>
    </w:p>
    <w:p w14:paraId="3AE2DF64">
      <w:pPr>
        <w:spacing w:line="480" w:lineRule="exact"/>
        <w:rPr>
          <w:rFonts w:ascii="宋体" w:hAnsi="宋体"/>
          <w:color w:val="auto"/>
          <w:sz w:val="24"/>
          <w:szCs w:val="24"/>
          <w:highlight w:val="none"/>
        </w:rPr>
      </w:pPr>
    </w:p>
    <w:p w14:paraId="2CA0E4EF">
      <w:pPr>
        <w:spacing w:line="480" w:lineRule="exact"/>
        <w:ind w:firstLine="3600" w:firstLineChars="1500"/>
        <w:rPr>
          <w:rFonts w:ascii="宋体" w:hAnsi="宋体"/>
          <w:color w:val="auto"/>
          <w:sz w:val="24"/>
          <w:szCs w:val="24"/>
          <w:highlight w:val="none"/>
        </w:rPr>
      </w:pPr>
      <w:r>
        <w:rPr>
          <w:rFonts w:hint="eastAsia" w:ascii="宋体" w:hAnsi="宋体"/>
          <w:color w:val="auto"/>
          <w:sz w:val="24"/>
          <w:szCs w:val="24"/>
          <w:highlight w:val="none"/>
        </w:rPr>
        <w:t>开立人（公章）：</w:t>
      </w:r>
    </w:p>
    <w:p w14:paraId="337B63FD">
      <w:pPr>
        <w:spacing w:line="480" w:lineRule="exact"/>
        <w:ind w:firstLine="3600" w:firstLineChars="1500"/>
        <w:rPr>
          <w:rFonts w:ascii="宋体" w:hAnsi="宋体"/>
          <w:color w:val="auto"/>
          <w:sz w:val="24"/>
          <w:szCs w:val="24"/>
          <w:highlight w:val="none"/>
        </w:rPr>
      </w:pPr>
      <w:r>
        <w:rPr>
          <w:rFonts w:hint="eastAsia" w:ascii="宋体" w:hAnsi="宋体"/>
          <w:color w:val="auto"/>
          <w:sz w:val="24"/>
          <w:szCs w:val="24"/>
          <w:highlight w:val="none"/>
        </w:rPr>
        <w:t>负责人或授权代理人（签字）：</w:t>
      </w:r>
    </w:p>
    <w:p w14:paraId="1FB7BF79">
      <w:pPr>
        <w:spacing w:line="480" w:lineRule="exact"/>
        <w:ind w:firstLine="3600" w:firstLineChars="1500"/>
        <w:rPr>
          <w:rFonts w:ascii="宋体" w:hAnsi="宋体"/>
          <w:color w:val="auto"/>
          <w:sz w:val="24"/>
          <w:szCs w:val="24"/>
          <w:highlight w:val="none"/>
        </w:rPr>
      </w:pPr>
      <w:r>
        <w:rPr>
          <w:rFonts w:hint="eastAsia" w:ascii="宋体" w:hAnsi="宋体"/>
          <w:color w:val="auto"/>
          <w:sz w:val="24"/>
          <w:szCs w:val="24"/>
          <w:highlight w:val="none"/>
        </w:rPr>
        <w:t>签发日期</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7394146">
      <w:pPr>
        <w:adjustRightInd w:val="0"/>
        <w:snapToGrid w:val="0"/>
        <w:spacing w:before="120" w:beforeLines="50" w:after="120" w:afterLines="50" w:line="480" w:lineRule="auto"/>
        <w:rPr>
          <w:rFonts w:ascii="宋体" w:hAnsi="宋体"/>
          <w:b/>
          <w:bCs/>
          <w:color w:val="auto"/>
          <w:sz w:val="24"/>
          <w:szCs w:val="24"/>
          <w:highlight w:val="none"/>
        </w:rPr>
      </w:pPr>
    </w:p>
    <w:p w14:paraId="1A89FCBD">
      <w:pPr>
        <w:adjustRightInd w:val="0"/>
        <w:snapToGrid w:val="0"/>
        <w:spacing w:before="120" w:beforeLines="50" w:after="120" w:afterLines="50" w:line="480" w:lineRule="auto"/>
        <w:rPr>
          <w:rFonts w:ascii="宋体" w:hAnsi="宋体"/>
          <w:b/>
          <w:bCs/>
          <w:color w:val="auto"/>
          <w:sz w:val="24"/>
          <w:szCs w:val="24"/>
          <w:highlight w:val="none"/>
        </w:rPr>
      </w:pPr>
    </w:p>
    <w:p w14:paraId="3AB19E20">
      <w:pPr>
        <w:adjustRightInd w:val="0"/>
        <w:snapToGrid w:val="0"/>
        <w:spacing w:before="120" w:beforeLines="50" w:after="120" w:afterLines="50" w:line="480" w:lineRule="auto"/>
        <w:rPr>
          <w:rFonts w:ascii="宋体" w:hAnsi="宋体"/>
          <w:b/>
          <w:bCs/>
          <w:color w:val="auto"/>
          <w:sz w:val="24"/>
          <w:szCs w:val="24"/>
          <w:highlight w:val="none"/>
        </w:rPr>
      </w:pPr>
    </w:p>
    <w:p w14:paraId="4B0C05B2">
      <w:pPr>
        <w:adjustRightInd w:val="0"/>
        <w:snapToGrid w:val="0"/>
        <w:spacing w:before="120" w:beforeLines="50" w:after="120" w:afterLines="50" w:line="480" w:lineRule="auto"/>
        <w:rPr>
          <w:rFonts w:ascii="宋体" w:hAnsi="宋体"/>
          <w:b/>
          <w:bCs/>
          <w:color w:val="auto"/>
          <w:sz w:val="24"/>
          <w:szCs w:val="24"/>
          <w:highlight w:val="none"/>
        </w:rPr>
      </w:pPr>
    </w:p>
    <w:p w14:paraId="27434FDD">
      <w:pPr>
        <w:adjustRightInd w:val="0"/>
        <w:snapToGrid w:val="0"/>
        <w:spacing w:before="120" w:beforeLines="50" w:after="120" w:afterLines="50" w:line="480" w:lineRule="auto"/>
        <w:rPr>
          <w:rFonts w:ascii="宋体" w:hAnsi="宋体"/>
          <w:b/>
          <w:bCs/>
          <w:color w:val="auto"/>
          <w:sz w:val="24"/>
          <w:szCs w:val="24"/>
          <w:highlight w:val="none"/>
        </w:rPr>
      </w:pPr>
    </w:p>
    <w:p w14:paraId="5C5B8EBA">
      <w:pPr>
        <w:adjustRightInd w:val="0"/>
        <w:snapToGrid w:val="0"/>
        <w:spacing w:before="120" w:beforeLines="50" w:after="120" w:afterLines="50" w:line="480" w:lineRule="auto"/>
        <w:rPr>
          <w:rFonts w:ascii="宋体" w:hAnsi="宋体"/>
          <w:b/>
          <w:bCs/>
          <w:color w:val="auto"/>
          <w:sz w:val="24"/>
          <w:szCs w:val="24"/>
          <w:highlight w:val="none"/>
        </w:rPr>
      </w:pPr>
    </w:p>
    <w:p w14:paraId="3F7F4D50">
      <w:pPr>
        <w:pStyle w:val="34"/>
        <w:ind w:firstLine="489"/>
        <w:rPr>
          <w:rFonts w:ascii="宋体" w:hAnsi="宋体"/>
          <w:b/>
          <w:bCs/>
          <w:color w:val="auto"/>
          <w:szCs w:val="24"/>
          <w:highlight w:val="none"/>
        </w:rPr>
      </w:pPr>
    </w:p>
    <w:p w14:paraId="11C5C471">
      <w:pPr>
        <w:pStyle w:val="34"/>
        <w:ind w:firstLine="489"/>
        <w:rPr>
          <w:rFonts w:ascii="宋体" w:hAnsi="宋体"/>
          <w:b/>
          <w:bCs/>
          <w:color w:val="auto"/>
          <w:szCs w:val="24"/>
          <w:highlight w:val="none"/>
        </w:rPr>
      </w:pPr>
    </w:p>
    <w:p w14:paraId="6B0DD660">
      <w:pPr>
        <w:adjustRightInd w:val="0"/>
        <w:snapToGrid w:val="0"/>
        <w:spacing w:before="120" w:beforeLines="50" w:after="120" w:afterLines="50" w:line="480" w:lineRule="auto"/>
        <w:rPr>
          <w:rFonts w:ascii="宋体" w:hAnsi="宋体"/>
          <w:b/>
          <w:bCs/>
          <w:color w:val="auto"/>
          <w:sz w:val="24"/>
          <w:szCs w:val="24"/>
          <w:highlight w:val="none"/>
        </w:rPr>
      </w:pPr>
    </w:p>
    <w:p w14:paraId="0CE60AFA">
      <w:pPr>
        <w:adjustRightInd w:val="0"/>
        <w:snapToGrid w:val="0"/>
        <w:spacing w:before="120" w:beforeLines="50" w:after="120" w:afterLines="50" w:line="480" w:lineRule="auto"/>
        <w:rPr>
          <w:rFonts w:ascii="宋体" w:hAnsi="宋体"/>
          <w:b/>
          <w:bCs/>
          <w:color w:val="auto"/>
          <w:szCs w:val="21"/>
          <w:highlight w:val="none"/>
        </w:rPr>
      </w:pPr>
    </w:p>
    <w:p w14:paraId="703FD416">
      <w:pPr>
        <w:adjustRightInd w:val="0"/>
        <w:snapToGrid w:val="0"/>
        <w:spacing w:before="120" w:beforeLines="50" w:after="120" w:afterLines="50" w:line="480" w:lineRule="auto"/>
        <w:rPr>
          <w:rFonts w:ascii="宋体" w:hAnsi="宋体"/>
          <w:b/>
          <w:bCs/>
          <w:color w:val="auto"/>
          <w:szCs w:val="21"/>
          <w:highlight w:val="none"/>
        </w:rPr>
      </w:pPr>
      <w:r>
        <w:rPr>
          <w:rFonts w:hint="eastAsia" w:ascii="宋体" w:hAnsi="宋体"/>
          <w:b/>
          <w:bCs/>
          <w:color w:val="auto"/>
          <w:szCs w:val="21"/>
          <w:highlight w:val="none"/>
        </w:rPr>
        <w:t>附件5：技术要求</w:t>
      </w:r>
    </w:p>
    <w:p w14:paraId="5BB843D4">
      <w:pPr>
        <w:adjustRightInd w:val="0"/>
        <w:snapToGrid w:val="0"/>
        <w:spacing w:before="120" w:beforeLines="50" w:after="120" w:afterLines="50"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（一）通用质量及技术要求</w:t>
      </w:r>
    </w:p>
    <w:p w14:paraId="470F152D">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 xml:space="preserve">  1. 依据</w:t>
      </w:r>
    </w:p>
    <w:p w14:paraId="28AC2E2D">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   除另有注明外，本工程必须符合现行有效的所有国家、地方、行业标准，标书的技术、商务要求，满足本工程设计图纸要求，满足广州市及黄埔区供电部门的有关规定，符合供电局的审图意见书要求，相关标准、规范包括但不限于（以下标准、规范有最新版本或规定的，适用最新版本及规定）：</w:t>
      </w:r>
    </w:p>
    <w:p w14:paraId="70742B1E">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 《工程建设标准强制性条文》2013年版</w:t>
      </w:r>
    </w:p>
    <w:p w14:paraId="33A715A3">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1.1.2 《建筑电气工程施工质量验收规范》（GB50303-2015）</w:t>
      </w:r>
    </w:p>
    <w:p w14:paraId="2BF5CBBC">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1.1.3 《建筑电气工程施工质量验收规范—条文说明》（GB50303-2015）</w:t>
      </w:r>
    </w:p>
    <w:p w14:paraId="0F95A3A5">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1.1.4 《建筑设计防火规范》 （GB 50016-2014）</w:t>
      </w:r>
    </w:p>
    <w:p w14:paraId="7AB3BB31">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.1.5 </w:t>
      </w:r>
      <w:r>
        <w:rPr>
          <w:rFonts w:hint="eastAsia" w:ascii="宋体" w:hAnsi="宋体"/>
          <w:color w:val="auto"/>
          <w:sz w:val="24"/>
          <w:szCs w:val="24"/>
          <w:highlight w:val="none"/>
        </w:rPr>
        <w:t>《建筑防火通用规范》（</w:t>
      </w:r>
      <w:r>
        <w:rPr>
          <w:rFonts w:ascii="宋体" w:hAnsi="宋体"/>
          <w:color w:val="auto"/>
          <w:sz w:val="24"/>
          <w:szCs w:val="24"/>
          <w:highlight w:val="none"/>
        </w:rPr>
        <w:t>GB 55037-2022</w:t>
      </w:r>
      <w:r>
        <w:rPr>
          <w:rFonts w:hint="eastAsia" w:ascii="宋体" w:hAnsi="宋体"/>
          <w:color w:val="auto"/>
          <w:sz w:val="24"/>
          <w:szCs w:val="24"/>
          <w:highlight w:val="none"/>
        </w:rPr>
        <w:t>）</w:t>
      </w:r>
    </w:p>
    <w:p w14:paraId="5C21473A">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6</w:t>
      </w:r>
      <w:r>
        <w:rPr>
          <w:rFonts w:hint="eastAsia" w:ascii="宋体" w:hAnsi="宋体"/>
          <w:color w:val="auto"/>
          <w:sz w:val="24"/>
          <w:szCs w:val="24"/>
          <w:highlight w:val="none"/>
        </w:rPr>
        <w:t xml:space="preserve"> 《城市区域环境振动标准》（GB10070-88）</w:t>
      </w:r>
    </w:p>
    <w:p w14:paraId="03B662A7">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7</w:t>
      </w:r>
      <w:r>
        <w:rPr>
          <w:rFonts w:hint="eastAsia" w:ascii="宋体" w:hAnsi="宋体"/>
          <w:color w:val="auto"/>
          <w:sz w:val="24"/>
          <w:szCs w:val="24"/>
          <w:highlight w:val="none"/>
        </w:rPr>
        <w:t xml:space="preserve"> 《声环境质量标准》（GB 3096-2008）</w:t>
      </w:r>
    </w:p>
    <w:p w14:paraId="06F34756">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8</w:t>
      </w:r>
      <w:r>
        <w:rPr>
          <w:rFonts w:hint="eastAsia" w:ascii="宋体" w:hAnsi="宋体"/>
          <w:color w:val="auto"/>
          <w:sz w:val="24"/>
          <w:szCs w:val="24"/>
          <w:highlight w:val="none"/>
        </w:rPr>
        <w:t xml:space="preserve"> 《低压成套开关设备验收规程》（CECS 49</w:t>
      </w:r>
      <w:r>
        <w:rPr>
          <w:rFonts w:hint="eastAsia" w:ascii="宋体" w:hAnsi="宋体"/>
          <w:color w:val="auto"/>
          <w:sz w:val="24"/>
          <w:szCs w:val="24"/>
          <w:highlight w:val="none"/>
          <w:lang w:eastAsia="zh-CN"/>
        </w:rPr>
        <w:t>:</w:t>
      </w:r>
      <w:r>
        <w:rPr>
          <w:rFonts w:hint="eastAsia" w:ascii="宋体" w:hAnsi="宋体"/>
          <w:color w:val="auto"/>
          <w:sz w:val="24"/>
          <w:szCs w:val="24"/>
          <w:highlight w:val="none"/>
        </w:rPr>
        <w:t>93）</w:t>
      </w:r>
    </w:p>
    <w:p w14:paraId="3E04573A">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9</w:t>
      </w:r>
      <w:r>
        <w:rPr>
          <w:rFonts w:hint="eastAsia" w:ascii="宋体" w:hAnsi="宋体"/>
          <w:color w:val="auto"/>
          <w:sz w:val="24"/>
          <w:szCs w:val="24"/>
          <w:highlight w:val="none"/>
        </w:rPr>
        <w:t xml:space="preserve"> 《低压配电设计规范》（GB50054-2011）</w:t>
      </w:r>
    </w:p>
    <w:p w14:paraId="4793339F">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10</w:t>
      </w:r>
      <w:r>
        <w:rPr>
          <w:rFonts w:hint="eastAsia" w:ascii="宋体" w:hAnsi="宋体"/>
          <w:color w:val="auto"/>
          <w:sz w:val="24"/>
          <w:szCs w:val="24"/>
          <w:highlight w:val="none"/>
        </w:rPr>
        <w:t xml:space="preserve"> 《20KV及以下变电所设计规范》（GB50053-2013）</w:t>
      </w:r>
    </w:p>
    <w:p w14:paraId="753035A6">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1</w:t>
      </w:r>
      <w:r>
        <w:rPr>
          <w:rFonts w:hint="eastAsia" w:ascii="宋体" w:hAnsi="宋体"/>
          <w:color w:val="auto"/>
          <w:sz w:val="24"/>
          <w:szCs w:val="24"/>
          <w:highlight w:val="none"/>
        </w:rPr>
        <w:t>《3~110KV高压配电装置设计规范》（GB50060-2008）</w:t>
      </w:r>
    </w:p>
    <w:p w14:paraId="558707CE">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2</w:t>
      </w:r>
      <w:r>
        <w:rPr>
          <w:rFonts w:hint="eastAsia" w:ascii="宋体" w:hAnsi="宋体"/>
          <w:color w:val="auto"/>
          <w:sz w:val="24"/>
          <w:szCs w:val="24"/>
          <w:highlight w:val="none"/>
        </w:rPr>
        <w:t>《电气装置安装工程高压电器施工及验收规范》（GB50147-2010）</w:t>
      </w:r>
    </w:p>
    <w:p w14:paraId="38435642">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3</w:t>
      </w:r>
      <w:r>
        <w:rPr>
          <w:rFonts w:hint="eastAsia" w:ascii="宋体" w:hAnsi="宋体"/>
          <w:color w:val="auto"/>
          <w:sz w:val="24"/>
          <w:szCs w:val="24"/>
          <w:highlight w:val="none"/>
        </w:rPr>
        <w:t>《电气装置安装工程低压电器施工及验收规范》（GB50254-2014）</w:t>
      </w:r>
    </w:p>
    <w:p w14:paraId="0A50F573">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4</w:t>
      </w:r>
      <w:r>
        <w:rPr>
          <w:rFonts w:hint="eastAsia" w:ascii="宋体" w:hAnsi="宋体"/>
          <w:color w:val="auto"/>
          <w:sz w:val="24"/>
          <w:szCs w:val="24"/>
          <w:highlight w:val="none"/>
        </w:rPr>
        <w:t>《电气装置安装工程电气设备交接试验标准》（GB50150-20</w:t>
      </w:r>
      <w:r>
        <w:rPr>
          <w:rFonts w:ascii="宋体" w:hAnsi="宋体"/>
          <w:color w:val="auto"/>
          <w:sz w:val="24"/>
          <w:szCs w:val="24"/>
          <w:highlight w:val="none"/>
        </w:rPr>
        <w:t>1</w:t>
      </w:r>
      <w:r>
        <w:rPr>
          <w:rFonts w:hint="eastAsia" w:ascii="宋体" w:hAnsi="宋体"/>
          <w:color w:val="auto"/>
          <w:sz w:val="24"/>
          <w:szCs w:val="24"/>
          <w:highlight w:val="none"/>
        </w:rPr>
        <w:t>6）</w:t>
      </w:r>
    </w:p>
    <w:p w14:paraId="5EE4FD97">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5</w:t>
      </w:r>
      <w:r>
        <w:rPr>
          <w:rFonts w:hint="eastAsia" w:ascii="宋体" w:hAnsi="宋体"/>
          <w:color w:val="auto"/>
          <w:sz w:val="24"/>
          <w:szCs w:val="24"/>
          <w:highlight w:val="none"/>
        </w:rPr>
        <w:t>《干式电力变压器选用、验收、运行及维护规程》（CECS 115-2000）</w:t>
      </w:r>
    </w:p>
    <w:p w14:paraId="11E16845">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6</w:t>
      </w:r>
      <w:r>
        <w:rPr>
          <w:rFonts w:hint="eastAsia" w:ascii="宋体" w:hAnsi="宋体"/>
          <w:color w:val="auto"/>
          <w:sz w:val="24"/>
          <w:szCs w:val="24"/>
          <w:highlight w:val="none"/>
        </w:rPr>
        <w:t>《电气装置安装工程电力变流设备施工及验收规范》（GB50255-2014）</w:t>
      </w:r>
    </w:p>
    <w:p w14:paraId="0F69CD73">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7</w:t>
      </w:r>
      <w:r>
        <w:rPr>
          <w:rFonts w:hint="eastAsia" w:ascii="宋体" w:hAnsi="宋体"/>
          <w:color w:val="auto"/>
          <w:sz w:val="24"/>
          <w:szCs w:val="24"/>
          <w:highlight w:val="none"/>
        </w:rPr>
        <w:t>《建筑安装工程施工图集 3 电气工程》（柳涌主编  建筑工业出版社）</w:t>
      </w:r>
    </w:p>
    <w:p w14:paraId="68FB78F6">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8</w:t>
      </w:r>
      <w:r>
        <w:rPr>
          <w:rFonts w:hint="eastAsia" w:ascii="宋体" w:hAnsi="宋体"/>
          <w:color w:val="auto"/>
          <w:sz w:val="24"/>
          <w:szCs w:val="24"/>
          <w:highlight w:val="none"/>
        </w:rPr>
        <w:t>《电气装置安装工程电缆线路施工及验收规范》（GB50168-20</w:t>
      </w:r>
      <w:r>
        <w:rPr>
          <w:rFonts w:ascii="宋体" w:hAnsi="宋体"/>
          <w:color w:val="auto"/>
          <w:sz w:val="24"/>
          <w:szCs w:val="24"/>
          <w:highlight w:val="none"/>
        </w:rPr>
        <w:t>18</w:t>
      </w:r>
      <w:r>
        <w:rPr>
          <w:rFonts w:hint="eastAsia" w:ascii="宋体" w:hAnsi="宋体"/>
          <w:color w:val="auto"/>
          <w:sz w:val="24"/>
          <w:szCs w:val="24"/>
          <w:highlight w:val="none"/>
        </w:rPr>
        <w:t>）</w:t>
      </w:r>
    </w:p>
    <w:p w14:paraId="125C5A73">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1.1.1</w:t>
      </w:r>
      <w:r>
        <w:rPr>
          <w:rFonts w:ascii="宋体" w:hAnsi="宋体"/>
          <w:color w:val="auto"/>
          <w:sz w:val="24"/>
          <w:szCs w:val="24"/>
          <w:highlight w:val="none"/>
        </w:rPr>
        <w:t>9</w:t>
      </w:r>
      <w:r>
        <w:rPr>
          <w:rFonts w:hint="eastAsia" w:ascii="宋体" w:hAnsi="宋体"/>
          <w:color w:val="auto"/>
          <w:sz w:val="24"/>
          <w:szCs w:val="24"/>
          <w:highlight w:val="none"/>
        </w:rPr>
        <w:t>《电气装置安装工程电力变压器、油浸电抗器、互感器施工及验收规范》（GB 50148-2010）</w:t>
      </w:r>
    </w:p>
    <w:p w14:paraId="7C06A286">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20</w:t>
      </w:r>
      <w:r>
        <w:rPr>
          <w:rFonts w:hint="eastAsia" w:ascii="宋体" w:hAnsi="宋体"/>
          <w:color w:val="auto"/>
          <w:sz w:val="24"/>
          <w:szCs w:val="24"/>
          <w:highlight w:val="none"/>
        </w:rPr>
        <w:t>《电气装置安装工程接地装置施工及验收规范》（GB50169-20</w:t>
      </w:r>
      <w:r>
        <w:rPr>
          <w:rFonts w:ascii="宋体" w:hAnsi="宋体"/>
          <w:color w:val="auto"/>
          <w:sz w:val="24"/>
          <w:szCs w:val="24"/>
          <w:highlight w:val="none"/>
        </w:rPr>
        <w:t>1</w:t>
      </w:r>
      <w:r>
        <w:rPr>
          <w:rFonts w:hint="eastAsia" w:ascii="宋体" w:hAnsi="宋体"/>
          <w:color w:val="auto"/>
          <w:sz w:val="24"/>
          <w:szCs w:val="24"/>
          <w:highlight w:val="none"/>
        </w:rPr>
        <w:t>6）</w:t>
      </w:r>
    </w:p>
    <w:p w14:paraId="2595EA17">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1.1.2</w:t>
      </w:r>
      <w:r>
        <w:rPr>
          <w:rFonts w:ascii="宋体" w:hAnsi="宋体"/>
          <w:color w:val="auto"/>
          <w:sz w:val="24"/>
          <w:szCs w:val="24"/>
          <w:highlight w:val="none"/>
        </w:rPr>
        <w:t>1</w:t>
      </w:r>
      <w:r>
        <w:rPr>
          <w:rFonts w:hint="eastAsia" w:ascii="宋体" w:hAnsi="宋体"/>
          <w:color w:val="auto"/>
          <w:sz w:val="24"/>
          <w:szCs w:val="24"/>
          <w:highlight w:val="none"/>
        </w:rPr>
        <w:t>《3.6kV～40.5kV交流金属封闭开关设备和控制设备》（GB</w:t>
      </w:r>
      <w:r>
        <w:rPr>
          <w:rFonts w:ascii="宋体" w:hAnsi="宋体"/>
          <w:color w:val="auto"/>
          <w:sz w:val="24"/>
          <w:szCs w:val="24"/>
          <w:highlight w:val="none"/>
        </w:rPr>
        <w:t>/T</w:t>
      </w:r>
      <w:r>
        <w:rPr>
          <w:rFonts w:hint="eastAsia" w:ascii="宋体" w:hAnsi="宋体"/>
          <w:color w:val="auto"/>
          <w:sz w:val="24"/>
          <w:szCs w:val="24"/>
          <w:highlight w:val="none"/>
        </w:rPr>
        <w:t xml:space="preserve"> 3906-20</w:t>
      </w:r>
      <w:r>
        <w:rPr>
          <w:rFonts w:ascii="宋体" w:hAnsi="宋体"/>
          <w:color w:val="auto"/>
          <w:sz w:val="24"/>
          <w:szCs w:val="24"/>
          <w:highlight w:val="none"/>
        </w:rPr>
        <w:t>20</w:t>
      </w:r>
      <w:r>
        <w:rPr>
          <w:rFonts w:hint="eastAsia" w:ascii="宋体" w:hAnsi="宋体"/>
          <w:color w:val="auto"/>
          <w:sz w:val="24"/>
          <w:szCs w:val="24"/>
          <w:highlight w:val="none"/>
        </w:rPr>
        <w:t>）</w:t>
      </w:r>
    </w:p>
    <w:p w14:paraId="03422E21">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1.1.2</w:t>
      </w:r>
      <w:r>
        <w:rPr>
          <w:rFonts w:ascii="宋体" w:hAnsi="宋体"/>
          <w:color w:val="auto"/>
          <w:sz w:val="24"/>
          <w:szCs w:val="24"/>
          <w:highlight w:val="none"/>
        </w:rPr>
        <w:t>2</w:t>
      </w:r>
      <w:r>
        <w:rPr>
          <w:rFonts w:hint="eastAsia" w:ascii="宋体" w:hAnsi="宋体"/>
          <w:color w:val="auto"/>
          <w:sz w:val="24"/>
          <w:szCs w:val="24"/>
          <w:highlight w:val="none"/>
        </w:rPr>
        <w:t>《高压开关设备和控制设备标准的共用技术要求》（GB 11022-2011）</w:t>
      </w:r>
    </w:p>
    <w:p w14:paraId="1CF05D31">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1.1.2</w:t>
      </w:r>
      <w:r>
        <w:rPr>
          <w:rFonts w:ascii="宋体" w:hAnsi="宋体"/>
          <w:color w:val="auto"/>
          <w:sz w:val="24"/>
          <w:szCs w:val="24"/>
          <w:highlight w:val="none"/>
        </w:rPr>
        <w:t>3</w:t>
      </w:r>
      <w:r>
        <w:rPr>
          <w:rFonts w:hint="eastAsia" w:ascii="宋体" w:hAnsi="宋体"/>
          <w:color w:val="auto"/>
          <w:sz w:val="24"/>
          <w:szCs w:val="24"/>
          <w:highlight w:val="none"/>
        </w:rPr>
        <w:t>《高压开关设备常温下的机械试验》（GB 3309-1989）</w:t>
      </w:r>
    </w:p>
    <w:p w14:paraId="4C33D2EE">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1.1.2</w:t>
      </w:r>
      <w:r>
        <w:rPr>
          <w:rFonts w:ascii="宋体" w:hAnsi="宋体"/>
          <w:color w:val="auto"/>
          <w:sz w:val="24"/>
          <w:szCs w:val="24"/>
          <w:highlight w:val="none"/>
        </w:rPr>
        <w:t>4</w:t>
      </w:r>
      <w:r>
        <w:rPr>
          <w:rFonts w:hint="eastAsia" w:ascii="宋体" w:hAnsi="宋体"/>
          <w:color w:val="auto"/>
          <w:sz w:val="24"/>
          <w:szCs w:val="24"/>
          <w:highlight w:val="none"/>
        </w:rPr>
        <w:t>《高压交流断路器》（</w:t>
      </w:r>
      <w:r>
        <w:rPr>
          <w:rFonts w:ascii="宋体" w:hAnsi="宋体"/>
          <w:color w:val="auto"/>
          <w:sz w:val="24"/>
          <w:szCs w:val="24"/>
          <w:highlight w:val="none"/>
        </w:rPr>
        <w:t>DL/T 402-2016</w:t>
      </w:r>
      <w:r>
        <w:rPr>
          <w:rFonts w:hint="eastAsia" w:ascii="宋体" w:hAnsi="宋体"/>
          <w:color w:val="auto"/>
          <w:sz w:val="24"/>
          <w:szCs w:val="24"/>
          <w:highlight w:val="none"/>
        </w:rPr>
        <w:t>）</w:t>
      </w:r>
    </w:p>
    <w:p w14:paraId="7B2FD2CB">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1.1.2</w:t>
      </w:r>
      <w:r>
        <w:rPr>
          <w:rFonts w:ascii="宋体" w:hAnsi="宋体"/>
          <w:color w:val="auto"/>
          <w:sz w:val="24"/>
          <w:szCs w:val="24"/>
          <w:highlight w:val="none"/>
        </w:rPr>
        <w:t>5</w:t>
      </w:r>
      <w:r>
        <w:rPr>
          <w:rFonts w:hint="eastAsia" w:ascii="宋体" w:hAnsi="宋体"/>
          <w:color w:val="auto"/>
          <w:sz w:val="24"/>
          <w:szCs w:val="24"/>
          <w:highlight w:val="none"/>
        </w:rPr>
        <w:t>《电力装置的继电保护和自动装置设计规范》（GB 50062-2008）</w:t>
      </w:r>
    </w:p>
    <w:p w14:paraId="74B6A9E2">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以上有国家、地方、行业标准规范如果有最新的规范，以最新为准。</w:t>
      </w:r>
    </w:p>
    <w:p w14:paraId="1EA031C6">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技术用房的低压配电系统应采用频率50Hz、电压380V、三相五线制，交流电源接地应采用TN-S系统，采用专用配电箱</w:t>
      </w:r>
      <w:r>
        <w:rPr>
          <w:rFonts w:hint="eastAsia" w:ascii="宋体" w:hAnsi="宋体"/>
          <w:color w:val="auto"/>
          <w:sz w:val="24"/>
          <w:szCs w:val="24"/>
          <w:highlight w:val="none"/>
          <w:lang w:eastAsia="zh-CN"/>
        </w:rPr>
        <w:t>（</w:t>
      </w:r>
      <w:r>
        <w:rPr>
          <w:rFonts w:hint="eastAsia" w:ascii="宋体" w:hAnsi="宋体"/>
          <w:color w:val="auto"/>
          <w:sz w:val="24"/>
          <w:szCs w:val="24"/>
          <w:highlight w:val="none"/>
        </w:rPr>
        <w:t>柜</w:t>
      </w:r>
      <w:r>
        <w:rPr>
          <w:rFonts w:hint="eastAsia" w:ascii="宋体" w:hAnsi="宋体"/>
          <w:color w:val="auto"/>
          <w:sz w:val="24"/>
          <w:szCs w:val="24"/>
          <w:highlight w:val="none"/>
          <w:lang w:eastAsia="zh-CN"/>
        </w:rPr>
        <w:t>）</w:t>
      </w:r>
      <w:r>
        <w:rPr>
          <w:rFonts w:hint="eastAsia" w:ascii="宋体" w:hAnsi="宋体"/>
          <w:color w:val="auto"/>
          <w:sz w:val="24"/>
          <w:szCs w:val="24"/>
          <w:highlight w:val="none"/>
        </w:rPr>
        <w:t>并应靠近用电设备安装。专用配电箱</w:t>
      </w:r>
      <w:r>
        <w:rPr>
          <w:rFonts w:hint="eastAsia" w:ascii="宋体" w:hAnsi="宋体"/>
          <w:color w:val="auto"/>
          <w:sz w:val="24"/>
          <w:szCs w:val="24"/>
          <w:highlight w:val="none"/>
          <w:lang w:eastAsia="zh-CN"/>
        </w:rPr>
        <w:t>（</w:t>
      </w:r>
      <w:r>
        <w:rPr>
          <w:rFonts w:hint="eastAsia" w:ascii="宋体" w:hAnsi="宋体"/>
          <w:color w:val="auto"/>
          <w:sz w:val="24"/>
          <w:szCs w:val="24"/>
          <w:highlight w:val="none"/>
        </w:rPr>
        <w:t>柜</w:t>
      </w:r>
      <w:r>
        <w:rPr>
          <w:rFonts w:hint="eastAsia" w:ascii="宋体" w:hAnsi="宋体"/>
          <w:color w:val="auto"/>
          <w:sz w:val="24"/>
          <w:szCs w:val="24"/>
          <w:highlight w:val="none"/>
          <w:lang w:eastAsia="zh-CN"/>
        </w:rPr>
        <w:t>）</w:t>
      </w:r>
      <w:r>
        <w:rPr>
          <w:rFonts w:hint="eastAsia" w:ascii="宋体" w:hAnsi="宋体"/>
          <w:color w:val="auto"/>
          <w:sz w:val="24"/>
          <w:szCs w:val="24"/>
          <w:highlight w:val="none"/>
        </w:rPr>
        <w:t>应采用双路供电并宜设末端自投装置，宜配备浪涌保护器、电源监测和报警装置，并应提供可接入网管系统的远程通信接口。供电负荷应均匀地分配在三相线路上，三相负荷不平衡度小于20％。</w:t>
      </w:r>
    </w:p>
    <w:p w14:paraId="02A23759">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lang w:eastAsia="zh-CN"/>
        </w:rPr>
        <w:t>3.</w:t>
      </w:r>
      <w:r>
        <w:rPr>
          <w:rFonts w:hint="eastAsia" w:ascii="宋体" w:hAnsi="宋体"/>
          <w:color w:val="auto"/>
          <w:sz w:val="24"/>
          <w:szCs w:val="24"/>
          <w:highlight w:val="none"/>
        </w:rPr>
        <w:tab/>
      </w:r>
      <w:r>
        <w:rPr>
          <w:rFonts w:hint="eastAsia" w:ascii="宋体" w:hAnsi="宋体"/>
          <w:color w:val="auto"/>
          <w:sz w:val="24"/>
          <w:szCs w:val="24"/>
          <w:highlight w:val="none"/>
        </w:rPr>
        <w:t>当供电电压的波动幅度超出额定电压值的—10％～＋5％时，应采用调压稳压措施</w:t>
      </w:r>
    </w:p>
    <w:p w14:paraId="24321093">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lang w:eastAsia="zh-CN"/>
        </w:rPr>
        <w:t>4.</w:t>
      </w:r>
      <w:r>
        <w:rPr>
          <w:rFonts w:hint="eastAsia" w:ascii="宋体" w:hAnsi="宋体"/>
          <w:color w:val="auto"/>
          <w:sz w:val="24"/>
          <w:szCs w:val="24"/>
          <w:highlight w:val="none"/>
        </w:rPr>
        <w:t>设备机房照明设计应符合下列规定：</w:t>
      </w:r>
    </w:p>
    <w:p w14:paraId="2FB29692">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4.1 照明分正常照明和应急照明；</w:t>
      </w:r>
    </w:p>
    <w:p w14:paraId="71472E3C">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4.2 正常照明在距地0．75m处，媒体内容中心设备机房照度设计不应低于500lx，其他设备机房照度不应低于300lx；</w:t>
      </w:r>
    </w:p>
    <w:p w14:paraId="52C5B3C6">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rPr>
        <w:t>4.3 应设置备用照明，照度宜为全部正常照明照度的50％。</w:t>
      </w:r>
    </w:p>
    <w:p w14:paraId="058E9610">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lang w:eastAsia="zh-CN"/>
        </w:rPr>
        <w:t>5.</w:t>
      </w:r>
      <w:r>
        <w:rPr>
          <w:rFonts w:hint="eastAsia" w:ascii="宋体" w:hAnsi="宋体"/>
          <w:color w:val="auto"/>
          <w:sz w:val="24"/>
          <w:szCs w:val="24"/>
          <w:highlight w:val="none"/>
        </w:rPr>
        <w:t>低压电线和电缆，线间和线对地间的绝缘电阻值必须大于0．5MΩ。导电体相间及对地的绝缘电阻值大于20MΩ是参照封闭母线及插接式母线的标准执行。</w:t>
      </w:r>
    </w:p>
    <w:p w14:paraId="4A1FA334">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lang w:eastAsia="zh-CN"/>
        </w:rPr>
        <w:t>6.</w:t>
      </w:r>
      <w:r>
        <w:rPr>
          <w:rFonts w:hint="eastAsia" w:ascii="宋体" w:hAnsi="宋体"/>
          <w:color w:val="auto"/>
          <w:sz w:val="24"/>
          <w:szCs w:val="24"/>
          <w:highlight w:val="none"/>
        </w:rPr>
        <w:t>配电屏、柜宜在基础槽钢上安装，并应采用螺栓连接，柜体应可靠接地；落地安装的低压电器底部宜高出地面50mm～100mm.</w:t>
      </w:r>
    </w:p>
    <w:p w14:paraId="3AC4CEFE">
      <w:pPr>
        <w:adjustRightInd w:val="0"/>
        <w:snapToGrid w:val="0"/>
        <w:spacing w:line="360" w:lineRule="auto"/>
        <w:ind w:left="63" w:leftChars="30"/>
        <w:rPr>
          <w:rFonts w:ascii="宋体" w:hAnsi="宋体"/>
          <w:color w:val="auto"/>
          <w:sz w:val="24"/>
          <w:szCs w:val="24"/>
          <w:highlight w:val="none"/>
        </w:rPr>
      </w:pPr>
      <w:r>
        <w:rPr>
          <w:rFonts w:hint="eastAsia" w:ascii="宋体" w:hAnsi="宋体"/>
          <w:color w:val="auto"/>
          <w:sz w:val="24"/>
          <w:szCs w:val="24"/>
          <w:highlight w:val="none"/>
          <w:lang w:eastAsia="zh-CN"/>
        </w:rPr>
        <w:t>7.</w:t>
      </w:r>
      <w:r>
        <w:rPr>
          <w:rFonts w:hint="eastAsia" w:ascii="宋体" w:hAnsi="宋体"/>
          <w:color w:val="auto"/>
          <w:sz w:val="24"/>
          <w:szCs w:val="24"/>
          <w:highlight w:val="none"/>
        </w:rPr>
        <w:t>防火墙上不应开设门、窗、洞口，确需开设时，应设置不可开启或火灾时能自动关闭的甲级防火门、窗。</w:t>
      </w:r>
    </w:p>
    <w:p w14:paraId="2B45BC98">
      <w:pPr>
        <w:adjustRightInd w:val="0"/>
        <w:snapToGrid w:val="0"/>
        <w:spacing w:line="360" w:lineRule="auto"/>
        <w:ind w:left="63" w:leftChars="30"/>
        <w:rPr>
          <w:rFonts w:ascii="宋体" w:hAnsi="宋体"/>
          <w:b/>
          <w:bCs/>
          <w:color w:val="auto"/>
          <w:szCs w:val="21"/>
          <w:highlight w:val="none"/>
        </w:rPr>
      </w:pPr>
    </w:p>
    <w:p w14:paraId="2D60D049">
      <w:pPr>
        <w:adjustRightInd w:val="0"/>
        <w:snapToGrid w:val="0"/>
        <w:spacing w:line="360" w:lineRule="auto"/>
        <w:ind w:left="63" w:leftChars="30"/>
        <w:rPr>
          <w:rFonts w:ascii="宋体" w:hAnsi="宋体"/>
          <w:b/>
          <w:bCs/>
          <w:color w:val="auto"/>
          <w:szCs w:val="21"/>
          <w:highlight w:val="none"/>
        </w:rPr>
        <w:sectPr>
          <w:endnotePr>
            <w:numFmt w:val="decimal"/>
          </w:endnotePr>
          <w:pgSz w:w="11907" w:h="16840"/>
          <w:pgMar w:top="1134" w:right="1304" w:bottom="851" w:left="1304" w:header="851" w:footer="567" w:gutter="0"/>
          <w:cols w:space="720" w:num="1"/>
          <w:titlePg/>
          <w:docGrid w:linePitch="312" w:charSpace="0"/>
        </w:sectPr>
      </w:pPr>
    </w:p>
    <w:p w14:paraId="76235BC7">
      <w:pPr>
        <w:adjustRightInd w:val="0"/>
        <w:snapToGrid w:val="0"/>
        <w:spacing w:before="120" w:beforeLines="50" w:after="120" w:afterLines="50" w:line="480" w:lineRule="auto"/>
        <w:ind w:left="63" w:leftChars="30"/>
        <w:rPr>
          <w:rFonts w:ascii="宋体" w:hAnsi="宋体"/>
          <w:b/>
          <w:bCs/>
          <w:color w:val="auto"/>
          <w:szCs w:val="21"/>
          <w:highlight w:val="none"/>
        </w:rPr>
      </w:pPr>
    </w:p>
    <w:p w14:paraId="4584EAA3">
      <w:pPr>
        <w:adjustRightInd w:val="0"/>
        <w:snapToGrid w:val="0"/>
        <w:spacing w:before="120" w:beforeLines="50" w:after="120" w:afterLines="50" w:line="480" w:lineRule="auto"/>
        <w:ind w:left="63" w:leftChars="30"/>
        <w:rPr>
          <w:rFonts w:ascii="宋体" w:hAnsi="宋体"/>
          <w:b/>
          <w:bCs/>
          <w:color w:val="auto"/>
          <w:szCs w:val="21"/>
          <w:highlight w:val="none"/>
        </w:rPr>
      </w:pPr>
      <w:r>
        <w:rPr>
          <w:rFonts w:hint="eastAsia" w:ascii="宋体" w:hAnsi="宋体"/>
          <w:b/>
          <w:bCs/>
          <w:color w:val="auto"/>
          <w:szCs w:val="21"/>
          <w:highlight w:val="none"/>
        </w:rPr>
        <w:t>附件6：界面划分表</w:t>
      </w:r>
    </w:p>
    <w:p w14:paraId="172A471C">
      <w:pPr>
        <w:jc w:val="center"/>
        <w:rPr>
          <w:rFonts w:ascii="宋体" w:hAnsi="宋体" w:cs="宋体"/>
          <w:color w:val="auto"/>
          <w:sz w:val="32"/>
          <w:szCs w:val="32"/>
          <w:highlight w:val="none"/>
        </w:rPr>
      </w:pPr>
      <w:r>
        <w:rPr>
          <w:rFonts w:hint="eastAsia" w:ascii="宋体" w:hAnsi="宋体" w:cs="宋体"/>
          <w:color w:val="auto"/>
          <w:sz w:val="32"/>
          <w:szCs w:val="32"/>
          <w:highlight w:val="none"/>
        </w:rPr>
        <w:t>高低压配电工程走线示意图</w:t>
      </w:r>
    </w:p>
    <w:p w14:paraId="4BF6B31F">
      <w:pPr>
        <w:jc w:val="center"/>
        <w:rPr>
          <w:rFonts w:ascii="宋体" w:hAnsi="宋体" w:cs="宋体"/>
          <w:color w:val="auto"/>
          <w:sz w:val="32"/>
          <w:szCs w:val="32"/>
          <w:highlight w:val="none"/>
        </w:rPr>
      </w:pPr>
    </w:p>
    <w:p w14:paraId="52427DB5">
      <w:pPr>
        <w:rPr>
          <w:color w:val="auto"/>
          <w:szCs w:val="24"/>
          <w:highlight w:val="none"/>
        </w:rPr>
      </w:pPr>
    </w:p>
    <w:p w14:paraId="5BDD739A">
      <w:pPr>
        <w:rPr>
          <w:color w:val="auto"/>
          <w:szCs w:val="24"/>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7051040</wp:posOffset>
                </wp:positionH>
                <wp:positionV relativeFrom="paragraph">
                  <wp:posOffset>81280</wp:posOffset>
                </wp:positionV>
                <wp:extent cx="1143000" cy="305435"/>
                <wp:effectExtent l="4445" t="4445" r="10795" b="10160"/>
                <wp:wrapNone/>
                <wp:docPr id="9" name="文本框 11"/>
                <wp:cNvGraphicFramePr/>
                <a:graphic xmlns:a="http://schemas.openxmlformats.org/drawingml/2006/main">
                  <a:graphicData uri="http://schemas.microsoft.com/office/word/2010/wordprocessingShape">
                    <wps:wsp>
                      <wps:cNvSpPr txBox="1"/>
                      <wps:spPr>
                        <a:xfrm>
                          <a:off x="0" y="0"/>
                          <a:ext cx="1143000" cy="30543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18D68E4">
                            <w:pPr>
                              <w:jc w:val="center"/>
                              <w:rPr>
                                <w:sz w:val="24"/>
                                <w:szCs w:val="32"/>
                              </w:rPr>
                            </w:pPr>
                            <w:r>
                              <w:rPr>
                                <w:rFonts w:hint="eastAsia"/>
                                <w:sz w:val="24"/>
                                <w:szCs w:val="32"/>
                              </w:rPr>
                              <w:t>发电机房</w:t>
                            </w:r>
                          </w:p>
                        </w:txbxContent>
                      </wps:txbx>
                      <wps:bodyPr wrap="square" upright="1"/>
                    </wps:wsp>
                  </a:graphicData>
                </a:graphic>
              </wp:anchor>
            </w:drawing>
          </mc:Choice>
          <mc:Fallback>
            <w:pict>
              <v:shape id="文本框 11" o:spid="_x0000_s1026" o:spt="202" type="#_x0000_t202" style="position:absolute;left:0pt;margin-left:555.2pt;margin-top:6.4pt;height:24.05pt;width:90pt;z-index:251667456;mso-width-relative:page;mso-height-relative:page;" fillcolor="#6D6D6D" filled="t" stroked="t" coordsize="21600,21600" o:gfxdata="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D2KpdkAAAALAQAA&#10;DwAAAAAAAAABACAAAAAiAAAAZHJzL2Rvd25yZXYueG1sUEsBAhQAFAAAAAgAh07iQEk6SfsYAgAA&#10;RQQAAA4AAAAAAAAAAQAgAAAAKAEAAGRycy9lMm9Eb2MueG1sUEsFBgAAAAAGAAYAWQEAALIFAAAA&#10;AA==&#10;">
                <v:fill on="t" focussize="0,0"/>
                <v:stroke weight="0.5pt" color="#000000" joinstyle="miter"/>
                <v:imagedata o:title=""/>
                <o:lock v:ext="edit" aspectratio="f"/>
                <v:textbox>
                  <w:txbxContent>
                    <w:p w14:paraId="018D68E4">
                      <w:pPr>
                        <w:jc w:val="center"/>
                        <w:rPr>
                          <w:sz w:val="24"/>
                          <w:szCs w:val="32"/>
                        </w:rPr>
                      </w:pPr>
                      <w:r>
                        <w:rPr>
                          <w:rFonts w:hint="eastAsia"/>
                          <w:sz w:val="24"/>
                          <w:szCs w:val="32"/>
                        </w:rPr>
                        <w:t>发电机房</w:t>
                      </w:r>
                    </w:p>
                  </w:txbxContent>
                </v:textbox>
              </v:shape>
            </w:pict>
          </mc:Fallback>
        </mc:AlternateContent>
      </w:r>
    </w:p>
    <w:p w14:paraId="59A8B588">
      <w:pPr>
        <w:tabs>
          <w:tab w:val="left" w:pos="10242"/>
        </w:tabs>
        <w:rPr>
          <w:color w:val="auto"/>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6838950</wp:posOffset>
                </wp:positionH>
                <wp:positionV relativeFrom="paragraph">
                  <wp:posOffset>76200</wp:posOffset>
                </wp:positionV>
                <wp:extent cx="212090" cy="4445"/>
                <wp:effectExtent l="0" t="0" r="0" b="0"/>
                <wp:wrapNone/>
                <wp:docPr id="13" name="直接连接符 22"/>
                <wp:cNvGraphicFramePr/>
                <a:graphic xmlns:a="http://schemas.openxmlformats.org/drawingml/2006/main">
                  <a:graphicData uri="http://schemas.microsoft.com/office/word/2010/wordprocessingShape">
                    <wps:wsp>
                      <wps:cNvCnPr/>
                      <wps:spPr>
                        <a:xfrm flipH="1" flipV="1">
                          <a:off x="0" y="0"/>
                          <a:ext cx="212090" cy="444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22" o:spid="_x0000_s1026" o:spt="20" style="position:absolute;left:0pt;flip:x y;margin-left:538.5pt;margin-top:6pt;height:0.35pt;width:16.7pt;z-index:251671552;mso-width-relative:page;mso-height-relative:page;" filled="f" stroked="t" coordsize="21600,21600" o:gfxdata="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x2Cn1gAAAAsBAAAPAAAAAAAAAAEAIAAAACIAAABkcnMvZG93bnJl&#10;di54bWxQSwECFAAUAAAACACHTuJAhJb2xP8BAAD6AwAADgAAAAAAAAABACAAAAAlAQAAZHJzL2Uy&#10;b0RvYy54bWxQSwUGAAAAAAYABgBZAQAAlgUAAAAA&#10;">
                <v:fill on="f" focussize="0,0"/>
                <v:stroke weight="0.5pt" color="#000000" joinstyle="miter"/>
                <v:imagedata o:title=""/>
                <o:lock v:ext="edit" aspectratio="f"/>
              </v:lin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6838950</wp:posOffset>
                </wp:positionH>
                <wp:positionV relativeFrom="paragraph">
                  <wp:posOffset>76200</wp:posOffset>
                </wp:positionV>
                <wp:extent cx="23495" cy="618490"/>
                <wp:effectExtent l="29210" t="0" r="53975" b="6350"/>
                <wp:wrapNone/>
                <wp:docPr id="12" name="直接箭头连接符 15"/>
                <wp:cNvGraphicFramePr/>
                <a:graphic xmlns:a="http://schemas.openxmlformats.org/drawingml/2006/main">
                  <a:graphicData uri="http://schemas.microsoft.com/office/word/2010/wordprocessingShape">
                    <wps:wsp>
                      <wps:cNvCnPr/>
                      <wps:spPr>
                        <a:xfrm>
                          <a:off x="0" y="0"/>
                          <a:ext cx="23495" cy="61849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5" o:spid="_x0000_s1026" o:spt="32" type="#_x0000_t32" style="position:absolute;left:0pt;margin-left:538.5pt;margin-top:6pt;height:48.7pt;width:1.85pt;z-index:251670528;mso-width-relative:page;mso-height-relative:page;" filled="f" stroked="t" coordsize="21600,21600" o:gfxdata="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pJ1dfYAAAADAEAAA8AAAAAAAAAAQAg&#10;AAAAIgAAAGRycy9kb3ducmV2LnhtbFBLAQIUABQAAAAIAIdO4kAbIxAXDgIAAPwDAAAOAAAAAAAA&#10;AAEAIAAAACcBAABkcnMvZTJvRG9jLnhtbFBLBQYAAAAABgAGAFkBAACnBQAAAAA=&#10;">
                <v:fill on="f" focussize="0,0"/>
                <v:stroke weight="0.5pt" color="#000000" joinstyle="miter" endarrow="open"/>
                <v:imagedata o:title=""/>
                <o:lock v:ext="edit" aspectratio="f"/>
              </v:shape>
            </w:pict>
          </mc:Fallback>
        </mc:AlternateContent>
      </w:r>
    </w:p>
    <w:p w14:paraId="38491366">
      <w:pPr>
        <w:tabs>
          <w:tab w:val="left" w:pos="10212"/>
        </w:tabs>
        <w:ind w:firstLine="10500" w:firstLineChars="5000"/>
        <w:rPr>
          <w:color w:val="auto"/>
          <w:szCs w:val="2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122555</wp:posOffset>
                </wp:positionV>
                <wp:extent cx="930275" cy="705485"/>
                <wp:effectExtent l="4445" t="4445" r="10160" b="6350"/>
                <wp:wrapNone/>
                <wp:docPr id="5" name="文本框 7"/>
                <wp:cNvGraphicFramePr/>
                <a:graphic xmlns:a="http://schemas.openxmlformats.org/drawingml/2006/main">
                  <a:graphicData uri="http://schemas.microsoft.com/office/word/2010/wordprocessingShape">
                    <wps:wsp>
                      <wps:cNvSpPr txBox="1"/>
                      <wps:spPr>
                        <a:xfrm>
                          <a:off x="0" y="0"/>
                          <a:ext cx="930275" cy="70548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25DC1045">
                            <w:pPr>
                              <w:jc w:val="center"/>
                              <w:rPr>
                                <w:sz w:val="24"/>
                                <w:szCs w:val="32"/>
                              </w:rPr>
                            </w:pPr>
                            <w:r>
                              <w:rPr>
                                <w:rFonts w:hint="eastAsia"/>
                                <w:sz w:val="24"/>
                                <w:szCs w:val="32"/>
                              </w:rPr>
                              <w:t>红线外变电站或开关房</w:t>
                            </w:r>
                          </w:p>
                        </w:txbxContent>
                      </wps:txbx>
                      <wps:bodyPr wrap="square" upright="1"/>
                    </wps:wsp>
                  </a:graphicData>
                </a:graphic>
              </wp:anchor>
            </w:drawing>
          </mc:Choice>
          <mc:Fallback>
            <w:pict>
              <v:shape id="文本框 7" o:spid="_x0000_s1026" o:spt="202" type="#_x0000_t202" style="position:absolute;left:0pt;margin-left:-10.25pt;margin-top:9.65pt;height:55.55pt;width:73.25pt;z-index:251663360;mso-width-relative:page;mso-height-relative:page;" fillcolor="#6D6D6D" filled="t" stroked="t" coordsize="21600,21600" o:gfxdata="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0wSh9oAAAAKAQAADwAA&#10;AAAAAAABACAAAAAiAAAAZHJzL2Rvd25yZXYueG1sUEsBAhQAFAAAAAgAh07iQHJ9OO8UAgAAQwQA&#10;AA4AAAAAAAAAAQAgAAAAKQEAAGRycy9lMm9Eb2MueG1sUEsFBgAAAAAGAAYAWQEAAK8FAAAAAA==&#10;">
                <v:fill on="t" focussize="0,0"/>
                <v:stroke weight="0.5pt" color="#000000" joinstyle="miter"/>
                <v:imagedata o:title=""/>
                <o:lock v:ext="edit" aspectratio="f"/>
                <v:textbox>
                  <w:txbxContent>
                    <w:p w14:paraId="25DC1045">
                      <w:pPr>
                        <w:jc w:val="center"/>
                        <w:rPr>
                          <w:sz w:val="24"/>
                          <w:szCs w:val="32"/>
                        </w:rPr>
                      </w:pPr>
                      <w:r>
                        <w:rPr>
                          <w:rFonts w:hint="eastAsia"/>
                          <w:sz w:val="24"/>
                          <w:szCs w:val="32"/>
                        </w:rPr>
                        <w:t>红线外变电站或开关房</w:t>
                      </w:r>
                    </w:p>
                  </w:txbxContent>
                </v:textbox>
              </v:shape>
            </w:pict>
          </mc:Fallback>
        </mc:AlternateContent>
      </w:r>
      <w:r>
        <w:rPr>
          <w:rFonts w:hint="eastAsia" w:ascii="微软雅黑" w:hAnsi="微软雅黑" w:eastAsia="微软雅黑" w:cs="微软雅黑"/>
          <w:color w:val="auto"/>
          <w:sz w:val="22"/>
          <w:szCs w:val="28"/>
          <w:highlight w:val="none"/>
        </w:rPr>
        <w:t>⑹</w:t>
      </w:r>
    </w:p>
    <w:p w14:paraId="667A0698">
      <w:pPr>
        <w:tabs>
          <w:tab w:val="left" w:pos="10482"/>
        </w:tabs>
        <w:rPr>
          <w:color w:val="auto"/>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4843780</wp:posOffset>
                </wp:positionH>
                <wp:positionV relativeFrom="paragraph">
                  <wp:posOffset>85090</wp:posOffset>
                </wp:positionV>
                <wp:extent cx="1184910" cy="333375"/>
                <wp:effectExtent l="4445" t="4445" r="14605" b="12700"/>
                <wp:wrapNone/>
                <wp:docPr id="4" name="文本框 6"/>
                <wp:cNvGraphicFramePr/>
                <a:graphic xmlns:a="http://schemas.openxmlformats.org/drawingml/2006/main">
                  <a:graphicData uri="http://schemas.microsoft.com/office/word/2010/wordprocessingShape">
                    <wps:wsp>
                      <wps:cNvSpPr txBox="1"/>
                      <wps:spPr>
                        <a:xfrm>
                          <a:off x="0" y="0"/>
                          <a:ext cx="1184910" cy="33337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027906DF">
                            <w:pPr>
                              <w:jc w:val="center"/>
                              <w:rPr>
                                <w:sz w:val="24"/>
                                <w:szCs w:val="32"/>
                              </w:rPr>
                            </w:pPr>
                            <w:r>
                              <w:rPr>
                                <w:rFonts w:hint="eastAsia"/>
                                <w:sz w:val="24"/>
                                <w:szCs w:val="32"/>
                              </w:rPr>
                              <w:t>专变房/公变房</w:t>
                            </w:r>
                          </w:p>
                        </w:txbxContent>
                      </wps:txbx>
                      <wps:bodyPr wrap="square" upright="1"/>
                    </wps:wsp>
                  </a:graphicData>
                </a:graphic>
              </wp:anchor>
            </w:drawing>
          </mc:Choice>
          <mc:Fallback>
            <w:pict>
              <v:shape id="文本框 6" o:spid="_x0000_s1026" o:spt="202" type="#_x0000_t202" style="position:absolute;left:0pt;margin-left:381.4pt;margin-top:6.7pt;height:26.25pt;width:93.3pt;z-index:251662336;mso-width-relative:page;mso-height-relative:page;" fillcolor="#6D6D6D" filled="t" stroked="t" coordsize="21600,21600" o:gfxdata="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U03v2gAAAAkBAAAPAAAA&#10;AAAAAAEAIAAAACIAAABkcnMvZG93bnJldi54bWxQSwECFAAUAAAACACHTuJA80nqsBMCAABEBAAA&#10;DgAAAAAAAAABACAAAAApAQAAZHJzL2Uyb0RvYy54bWxQSwUGAAAAAAYABgBZAQAArgUAAAAA&#10;">
                <v:fill on="t" focussize="0,0"/>
                <v:stroke weight="0.5pt" color="#000000" joinstyle="miter"/>
                <v:imagedata o:title=""/>
                <o:lock v:ext="edit" aspectratio="f"/>
                <v:textbox>
                  <w:txbxContent>
                    <w:p w14:paraId="027906DF">
                      <w:pPr>
                        <w:jc w:val="center"/>
                        <w:rPr>
                          <w:sz w:val="24"/>
                          <w:szCs w:val="32"/>
                        </w:rPr>
                      </w:pPr>
                      <w:r>
                        <w:rPr>
                          <w:rFonts w:hint="eastAsia"/>
                          <w:sz w:val="24"/>
                          <w:szCs w:val="32"/>
                        </w:rPr>
                        <w:t>专变房/公变房</w:t>
                      </w:r>
                    </w:p>
                  </w:txbxContent>
                </v:textbox>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7851775</wp:posOffset>
                </wp:positionH>
                <wp:positionV relativeFrom="paragraph">
                  <wp:posOffset>14605</wp:posOffset>
                </wp:positionV>
                <wp:extent cx="1200150" cy="1805305"/>
                <wp:effectExtent l="4445" t="4445" r="14605" b="19050"/>
                <wp:wrapNone/>
                <wp:docPr id="8" name="文本框 10"/>
                <wp:cNvGraphicFramePr/>
                <a:graphic xmlns:a="http://schemas.openxmlformats.org/drawingml/2006/main">
                  <a:graphicData uri="http://schemas.microsoft.com/office/word/2010/wordprocessingShape">
                    <wps:wsp>
                      <wps:cNvSpPr txBox="1"/>
                      <wps:spPr>
                        <a:xfrm>
                          <a:off x="0" y="0"/>
                          <a:ext cx="1200150" cy="1805305"/>
                        </a:xfrm>
                        <a:prstGeom prst="rect">
                          <a:avLst/>
                        </a:prstGeom>
                        <a:solidFill>
                          <a:srgbClr val="808080"/>
                        </a:solidFill>
                        <a:ln w="6350" cap="flat" cmpd="sng">
                          <a:solidFill>
                            <a:srgbClr val="000000"/>
                          </a:solidFill>
                          <a:prstDash val="solid"/>
                          <a:miter/>
                          <a:headEnd type="none" w="med" len="med"/>
                          <a:tailEnd type="none" w="med" len="med"/>
                        </a:ln>
                      </wps:spPr>
                      <wps:txbx>
                        <w:txbxContent>
                          <w:p w14:paraId="16C9C488">
                            <w:pPr>
                              <w:jc w:val="center"/>
                              <w:rPr>
                                <w:sz w:val="24"/>
                                <w:szCs w:val="32"/>
                                <w:highlight w:val="darkGray"/>
                              </w:rPr>
                            </w:pPr>
                            <w:r>
                              <w:rPr>
                                <w:rFonts w:hint="eastAsia" w:ascii="宋体" w:hAnsi="宋体" w:cs="宋体"/>
                                <w:color w:val="000000"/>
                                <w:kern w:val="0"/>
                                <w:sz w:val="24"/>
                                <w:highlight w:val="darkGray"/>
                              </w:rPr>
                              <w:t>应急发电车系统工程、住宅电表一户一表及母线、电缆安装工程；充电桩一户一表安装工程及电缆安装工程</w:t>
                            </w:r>
                          </w:p>
                        </w:txbxContent>
                      </wps:txbx>
                      <wps:bodyPr wrap="square" upright="1"/>
                    </wps:wsp>
                  </a:graphicData>
                </a:graphic>
              </wp:anchor>
            </w:drawing>
          </mc:Choice>
          <mc:Fallback>
            <w:pict>
              <v:shape id="文本框 10" o:spid="_x0000_s1026" o:spt="202" type="#_x0000_t202" style="position:absolute;left:0pt;margin-left:618.25pt;margin-top:1.15pt;height:142.15pt;width:94.5pt;z-index:251666432;mso-width-relative:page;mso-height-relative:page;" fillcolor="#808080" filled="t" stroked="t" coordsize="21600,21600" o:gfxdata="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XMiUdgAAAALAQAADwAAAAAA&#10;AAABACAAAAAiAAAAZHJzL2Rvd25yZXYueG1sUEsBAhQAFAAAAAgAh07iQPpdjggTAgAARgQAAA4A&#10;AAAAAAAAAQAgAAAAJwEAAGRycy9lMm9Eb2MueG1sUEsFBgAAAAAGAAYAWQEAAKwFAAAAAA==&#10;">
                <v:fill on="t" focussize="0,0"/>
                <v:stroke weight="0.5pt" color="#000000" joinstyle="miter"/>
                <v:imagedata o:title=""/>
                <o:lock v:ext="edit" aspectratio="f"/>
                <v:textbox>
                  <w:txbxContent>
                    <w:p w14:paraId="16C9C488">
                      <w:pPr>
                        <w:jc w:val="center"/>
                        <w:rPr>
                          <w:sz w:val="24"/>
                          <w:szCs w:val="32"/>
                          <w:highlight w:val="darkGray"/>
                        </w:rPr>
                      </w:pPr>
                      <w:r>
                        <w:rPr>
                          <w:rFonts w:hint="eastAsia" w:ascii="宋体" w:hAnsi="宋体" w:cs="宋体"/>
                          <w:color w:val="000000"/>
                          <w:kern w:val="0"/>
                          <w:sz w:val="24"/>
                          <w:highlight w:val="darkGray"/>
                        </w:rPr>
                        <w:t>应急发电车系统工程、住宅电表一户一表及母线、电缆安装工程；充电桩一户一表安装工程及电缆安装工程</w:t>
                      </w:r>
                    </w:p>
                  </w:txbxContent>
                </v:textbox>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2393315</wp:posOffset>
                </wp:positionH>
                <wp:positionV relativeFrom="paragraph">
                  <wp:posOffset>71755</wp:posOffset>
                </wp:positionV>
                <wp:extent cx="771525" cy="362585"/>
                <wp:effectExtent l="4445" t="4445" r="16510" b="13970"/>
                <wp:wrapNone/>
                <wp:docPr id="7" name="文本框 9"/>
                <wp:cNvGraphicFramePr/>
                <a:graphic xmlns:a="http://schemas.openxmlformats.org/drawingml/2006/main">
                  <a:graphicData uri="http://schemas.microsoft.com/office/word/2010/wordprocessingShape">
                    <wps:wsp>
                      <wps:cNvSpPr txBox="1"/>
                      <wps:spPr>
                        <a:xfrm>
                          <a:off x="0" y="0"/>
                          <a:ext cx="771525" cy="36258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78B3B075">
                            <w:pPr>
                              <w:jc w:val="center"/>
                              <w:rPr>
                                <w:sz w:val="24"/>
                                <w:szCs w:val="32"/>
                              </w:rPr>
                            </w:pPr>
                            <w:r>
                              <w:rPr>
                                <w:rFonts w:hint="eastAsia"/>
                                <w:sz w:val="24"/>
                                <w:szCs w:val="32"/>
                              </w:rPr>
                              <w:t>开关房</w:t>
                            </w:r>
                          </w:p>
                        </w:txbxContent>
                      </wps:txbx>
                      <wps:bodyPr wrap="square" upright="1"/>
                    </wps:wsp>
                  </a:graphicData>
                </a:graphic>
              </wp:anchor>
            </w:drawing>
          </mc:Choice>
          <mc:Fallback>
            <w:pict>
              <v:shape id="文本框 9" o:spid="_x0000_s1026" o:spt="202" type="#_x0000_t202" style="position:absolute;left:0pt;margin-left:188.45pt;margin-top:5.65pt;height:28.55pt;width:60.75pt;z-index:251665408;mso-width-relative:page;mso-height-relative:page;" fillcolor="#6D6D6D" filled="t" stroked="t" coordsize="21600,21600" o:gfxdata="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0HzxO2gAAAAkBAAAP&#10;AAAAAAAAAAEAIAAAACIAAABkcnMvZG93bnJldi54bWxQSwECFAAUAAAACACHTuJAoGI/ARYCAABD&#10;BAAADgAAAAAAAAABACAAAAApAQAAZHJzL2Uyb0RvYy54bWxQSwUGAAAAAAYABgBZAQAAsQUAAAAA&#10;">
                <v:fill on="t" focussize="0,0"/>
                <v:stroke weight="0.5pt" color="#000000" joinstyle="miter"/>
                <v:imagedata o:title=""/>
                <o:lock v:ext="edit" aspectratio="f"/>
                <v:textbox>
                  <w:txbxContent>
                    <w:p w14:paraId="78B3B075">
                      <w:pPr>
                        <w:jc w:val="center"/>
                        <w:rPr>
                          <w:sz w:val="24"/>
                          <w:szCs w:val="32"/>
                        </w:rPr>
                      </w:pPr>
                      <w:r>
                        <w:rPr>
                          <w:rFonts w:hint="eastAsia"/>
                          <w:sz w:val="24"/>
                          <w:szCs w:val="32"/>
                        </w:rPr>
                        <w:t>开关房</w:t>
                      </w:r>
                    </w:p>
                  </w:txbxContent>
                </v:textbox>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3612515</wp:posOffset>
                </wp:positionH>
                <wp:positionV relativeFrom="paragraph">
                  <wp:posOffset>100330</wp:posOffset>
                </wp:positionV>
                <wp:extent cx="887095" cy="343535"/>
                <wp:effectExtent l="5080" t="5080" r="6985" b="17145"/>
                <wp:wrapNone/>
                <wp:docPr id="2" name="文本框 4"/>
                <wp:cNvGraphicFramePr/>
                <a:graphic xmlns:a="http://schemas.openxmlformats.org/drawingml/2006/main">
                  <a:graphicData uri="http://schemas.microsoft.com/office/word/2010/wordprocessingShape">
                    <wps:wsp>
                      <wps:cNvSpPr txBox="1"/>
                      <wps:spPr>
                        <a:xfrm>
                          <a:off x="0" y="0"/>
                          <a:ext cx="887095" cy="343535"/>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379D75BB">
                            <w:pPr>
                              <w:jc w:val="center"/>
                              <w:rPr>
                                <w:sz w:val="24"/>
                                <w:szCs w:val="32"/>
                              </w:rPr>
                            </w:pPr>
                            <w:r>
                              <w:rPr>
                                <w:rFonts w:hint="eastAsia"/>
                                <w:sz w:val="24"/>
                                <w:szCs w:val="32"/>
                              </w:rPr>
                              <w:t>高压室</w:t>
                            </w:r>
                          </w:p>
                        </w:txbxContent>
                      </wps:txbx>
                      <wps:bodyPr wrap="square" upright="1"/>
                    </wps:wsp>
                  </a:graphicData>
                </a:graphic>
              </wp:anchor>
            </w:drawing>
          </mc:Choice>
          <mc:Fallback>
            <w:pict>
              <v:shape id="文本框 4" o:spid="_x0000_s1026" o:spt="202" type="#_x0000_t202" style="position:absolute;left:0pt;margin-left:284.45pt;margin-top:7.9pt;height:27.05pt;width:69.85pt;z-index:251660288;mso-width-relative:page;mso-height-relative:page;" fillcolor="#6D6D6D" filled="t" stroked="t" coordsize="21600,21600" o:gfxdata="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y3fgtkAAAAJAQAADwAA&#10;AAAAAAABACAAAAAiAAAAZHJzL2Rvd25yZXYueG1sUEsBAhQAFAAAAAgAh07iQFLzCz8VAgAAQwQA&#10;AA4AAAAAAAAAAQAgAAAAKAEAAGRycy9lMm9Eb2MueG1sUEsFBgAAAAAGAAYAWQEAAK8FAAAAAA==&#10;">
                <v:fill on="t" focussize="0,0"/>
                <v:stroke weight="0.5pt" color="#000000" joinstyle="miter"/>
                <v:imagedata o:title=""/>
                <o:lock v:ext="edit" aspectratio="f"/>
                <v:textbox>
                  <w:txbxContent>
                    <w:p w14:paraId="379D75BB">
                      <w:pPr>
                        <w:jc w:val="center"/>
                        <w:rPr>
                          <w:sz w:val="24"/>
                          <w:szCs w:val="32"/>
                        </w:rPr>
                      </w:pPr>
                      <w:r>
                        <w:rPr>
                          <w:rFonts w:hint="eastAsia"/>
                          <w:sz w:val="24"/>
                          <w:szCs w:val="32"/>
                        </w:rPr>
                        <w:t>高压室</w:t>
                      </w:r>
                    </w:p>
                  </w:txbxContent>
                </v:textbox>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6384290</wp:posOffset>
                </wp:positionH>
                <wp:positionV relativeFrom="paragraph">
                  <wp:posOffset>100330</wp:posOffset>
                </wp:positionV>
                <wp:extent cx="990600" cy="353060"/>
                <wp:effectExtent l="4445" t="4445" r="10795" b="8255"/>
                <wp:wrapNone/>
                <wp:docPr id="6" name="文本框 8"/>
                <wp:cNvGraphicFramePr/>
                <a:graphic xmlns:a="http://schemas.openxmlformats.org/drawingml/2006/main">
                  <a:graphicData uri="http://schemas.microsoft.com/office/word/2010/wordprocessingShape">
                    <wps:wsp>
                      <wps:cNvSpPr txBox="1"/>
                      <wps:spPr>
                        <a:xfrm>
                          <a:off x="0" y="0"/>
                          <a:ext cx="990600" cy="353060"/>
                        </a:xfrm>
                        <a:prstGeom prst="rect">
                          <a:avLst/>
                        </a:prstGeom>
                        <a:solidFill>
                          <a:srgbClr val="6D6D6D"/>
                        </a:solidFill>
                        <a:ln w="6350" cap="flat" cmpd="sng">
                          <a:solidFill>
                            <a:srgbClr val="000000"/>
                          </a:solidFill>
                          <a:prstDash val="solid"/>
                          <a:miter/>
                          <a:headEnd type="none" w="med" len="med"/>
                          <a:tailEnd type="none" w="med" len="med"/>
                        </a:ln>
                      </wps:spPr>
                      <wps:txbx>
                        <w:txbxContent>
                          <w:p w14:paraId="3E9843AE">
                            <w:pPr>
                              <w:jc w:val="center"/>
                              <w:rPr>
                                <w:sz w:val="24"/>
                                <w:szCs w:val="32"/>
                              </w:rPr>
                            </w:pPr>
                            <w:r>
                              <w:rPr>
                                <w:rFonts w:hint="eastAsia"/>
                                <w:sz w:val="24"/>
                                <w:szCs w:val="32"/>
                              </w:rPr>
                              <w:t>低压配电房</w:t>
                            </w:r>
                          </w:p>
                        </w:txbxContent>
                      </wps:txbx>
                      <wps:bodyPr wrap="square" upright="1"/>
                    </wps:wsp>
                  </a:graphicData>
                </a:graphic>
              </wp:anchor>
            </w:drawing>
          </mc:Choice>
          <mc:Fallback>
            <w:pict>
              <v:shape id="文本框 8" o:spid="_x0000_s1026" o:spt="202" type="#_x0000_t202" style="position:absolute;left:0pt;margin-left:502.7pt;margin-top:7.9pt;height:27.8pt;width:78pt;z-index:251664384;mso-width-relative:page;mso-height-relative:page;" fillcolor="#6D6D6D" filled="t" stroked="t" coordsize="21600,21600" o:gfxdata="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6Lxo2AAAAAsBAAAPAAAAAAAA&#10;AAEAIAAAACIAAABkcnMvZG93bnJldi54bWxQSwECFAAUAAAACACHTuJAKSDQzBICAABDBAAADgAA&#10;AAAAAAABACAAAAAnAQAAZHJzL2Uyb0RvYy54bWxQSwUGAAAAAAYABgBZAQAAqwUAAAAA&#10;">
                <v:fill on="t" focussize="0,0"/>
                <v:stroke weight="0.5pt" color="#000000" joinstyle="miter"/>
                <v:imagedata o:title=""/>
                <o:lock v:ext="edit" aspectratio="f"/>
                <v:textbox>
                  <w:txbxContent>
                    <w:p w14:paraId="3E9843AE">
                      <w:pPr>
                        <w:jc w:val="center"/>
                        <w:rPr>
                          <w:sz w:val="24"/>
                          <w:szCs w:val="32"/>
                        </w:rPr>
                      </w:pPr>
                      <w:r>
                        <w:rPr>
                          <w:rFonts w:hint="eastAsia"/>
                          <w:sz w:val="24"/>
                          <w:szCs w:val="32"/>
                        </w:rPr>
                        <w:t>低压配电房</w:t>
                      </w:r>
                    </w:p>
                  </w:txbxContent>
                </v:textbox>
              </v:shape>
            </w:pict>
          </mc:Fallback>
        </mc:AlternateContent>
      </w:r>
      <w:r>
        <w:rPr>
          <w:rFonts w:hint="eastAsia"/>
          <w:color w:val="auto"/>
          <w:szCs w:val="24"/>
          <w:highlight w:val="none"/>
        </w:rPr>
        <w:tab/>
      </w:r>
    </w:p>
    <w:p w14:paraId="725BED8D">
      <w:pPr>
        <w:rPr>
          <w:color w:val="auto"/>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6031865</wp:posOffset>
                </wp:positionH>
                <wp:positionV relativeFrom="paragraph">
                  <wp:posOffset>63500</wp:posOffset>
                </wp:positionV>
                <wp:extent cx="361315" cy="6350"/>
                <wp:effectExtent l="0" t="47625" r="4445" b="52705"/>
                <wp:wrapNone/>
                <wp:docPr id="16" name="直接箭头连接符 2"/>
                <wp:cNvGraphicFramePr/>
                <a:graphic xmlns:a="http://schemas.openxmlformats.org/drawingml/2006/main">
                  <a:graphicData uri="http://schemas.microsoft.com/office/word/2010/wordprocessingShape">
                    <wps:wsp>
                      <wps:cNvCnPr/>
                      <wps:spPr>
                        <a:xfrm flipV="1">
                          <a:off x="0" y="0"/>
                          <a:ext cx="361315" cy="63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2" o:spid="_x0000_s1026" o:spt="32" type="#_x0000_t32" style="position:absolute;left:0pt;flip:y;margin-left:474.95pt;margin-top:5pt;height:0.5pt;width:28.45pt;z-index:251674624;mso-width-relative:page;mso-height-relative:page;" filled="f" stroked="t" coordsize="21600,21600" o:gfxdata="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x0dqtYAAAAKAQAADwAAAAAAAAABACAA&#10;AAAiAAAAZHJzL2Rvd25yZXYueG1sUEsBAhQAFAAAAAgAh07iQD1ArMcPAgAABAQAAA4AAAAAAAAA&#10;AQAgAAAAJQEAAGRycy9lMm9Eb2MueG1sUEsFBgAAAAAGAAYAWQEAAKYFAAAAAA==&#10;">
                <v:fill on="f" focussize="0,0"/>
                <v:stroke weight="0.5pt" color="#000000"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4493895</wp:posOffset>
                </wp:positionH>
                <wp:positionV relativeFrom="paragraph">
                  <wp:posOffset>64135</wp:posOffset>
                </wp:positionV>
                <wp:extent cx="330835" cy="3810"/>
                <wp:effectExtent l="0" t="48260" r="4445" b="54610"/>
                <wp:wrapNone/>
                <wp:docPr id="3" name="直接箭头连接符 5"/>
                <wp:cNvGraphicFramePr/>
                <a:graphic xmlns:a="http://schemas.openxmlformats.org/drawingml/2006/main">
                  <a:graphicData uri="http://schemas.microsoft.com/office/word/2010/wordprocessingShape">
                    <wps:wsp>
                      <wps:cNvCnPr/>
                      <wps:spPr>
                        <a:xfrm flipV="1">
                          <a:off x="0" y="0"/>
                          <a:ext cx="330835" cy="381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5" o:spid="_x0000_s1026" o:spt="32" type="#_x0000_t32" style="position:absolute;left:0pt;flip:y;margin-left:353.85pt;margin-top:5.05pt;height:0.3pt;width:26.05pt;z-index:251661312;mso-width-relative:page;mso-height-relative:page;" filled="f" stroked="t" coordsize="21600,21600" o:gfxdata="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rvwj9YAAAAJAQAADwAAAAAAAAAB&#10;ACAAAAAiAAAAZHJzL2Rvd25yZXYueG1sUEsBAhQAFAAAAAgAh07iQLMJA+4SAgAAAwQAAA4AAAAA&#10;AAAAAQAgAAAAJQEAAGRycy9lMm9Eb2MueG1sUEsFBgAAAAAGAAYAWQEAAKkFAAAAAA==&#10;">
                <v:fill on="f" focussize="0,0"/>
                <v:stroke weight="0.5pt" color="#000000"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803275</wp:posOffset>
                </wp:positionH>
                <wp:positionV relativeFrom="paragraph">
                  <wp:posOffset>71755</wp:posOffset>
                </wp:positionV>
                <wp:extent cx="709295" cy="2540"/>
                <wp:effectExtent l="0" t="48895" r="6985" b="55245"/>
                <wp:wrapNone/>
                <wp:docPr id="11" name="直接箭头连接符 14"/>
                <wp:cNvGraphicFramePr/>
                <a:graphic xmlns:a="http://schemas.openxmlformats.org/drawingml/2006/main">
                  <a:graphicData uri="http://schemas.microsoft.com/office/word/2010/wordprocessingShape">
                    <wps:wsp>
                      <wps:cNvCnPr/>
                      <wps:spPr>
                        <a:xfrm flipV="1">
                          <a:off x="0" y="0"/>
                          <a:ext cx="709295" cy="254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4" o:spid="_x0000_s1026" o:spt="32" type="#_x0000_t32" style="position:absolute;left:0pt;flip:y;margin-left:63.25pt;margin-top:5.65pt;height:0.2pt;width:55.85pt;z-index:251669504;mso-width-relative:page;mso-height-relative:page;" filled="f" stroked="t" coordsize="21600,21600" o:gfxdata="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3IaH3YAAAACQEAAA8AAAAA&#10;AAAAAQAgAAAAIgAAAGRycy9kb3ducmV2LnhtbFBLAQIUABQAAAAIAIdO4kAK6PzNFAIAAAUEAAAO&#10;AAAAAAAAAAEAIAAAACcBAABkcnMvZTJvRG9jLnhtbFBLBQYAAAAABgAGAFkBAACtBQAAAAA=&#10;">
                <v:fill on="f" focussize="0,0"/>
                <v:stroke weight="0.5pt" color="#000000"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1579245</wp:posOffset>
                </wp:positionH>
                <wp:positionV relativeFrom="paragraph">
                  <wp:posOffset>90805</wp:posOffset>
                </wp:positionV>
                <wp:extent cx="822960" cy="1270"/>
                <wp:effectExtent l="0" t="48260" r="0" b="57150"/>
                <wp:wrapNone/>
                <wp:docPr id="14" name="直接箭头连接符 18"/>
                <wp:cNvGraphicFramePr/>
                <a:graphic xmlns:a="http://schemas.openxmlformats.org/drawingml/2006/main">
                  <a:graphicData uri="http://schemas.microsoft.com/office/word/2010/wordprocessingShape">
                    <wps:wsp>
                      <wps:cNvCnPr/>
                      <wps:spPr>
                        <a:xfrm>
                          <a:off x="0" y="0"/>
                          <a:ext cx="822960" cy="12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8" o:spid="_x0000_s1026" o:spt="32" type="#_x0000_t32" style="position:absolute;left:0pt;margin-left:124.35pt;margin-top:7.15pt;height:0.1pt;width:64.8pt;z-index:251672576;mso-width-relative:page;mso-height-relative:page;" filled="f" stroked="t" coordsize="21600,21600" o:gfxdata="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UCmz2QAAAAkBAAAPAAAAAAAAAAEAIAAA&#10;ACIAAABkcnMvZG93bnJldi54bWxQSwECFAAUAAAACACHTuJAjTfhIQsCAAD7AwAADgAAAAAAAAAB&#10;ACAAAAAoAQAAZHJzL2Uyb0RvYy54bWxQSwUGAAAAAAYABgBZAQAApQUAAAAA&#10;">
                <v:fill on="f" focussize="0,0"/>
                <v:stroke weight="0.5pt" color="#000000"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7374890</wp:posOffset>
                </wp:positionH>
                <wp:positionV relativeFrom="paragraph">
                  <wp:posOffset>68580</wp:posOffset>
                </wp:positionV>
                <wp:extent cx="476885" cy="10160"/>
                <wp:effectExtent l="0" t="47625" r="10795" b="48895"/>
                <wp:wrapNone/>
                <wp:docPr id="10" name="直接箭头连接符 13"/>
                <wp:cNvGraphicFramePr/>
                <a:graphic xmlns:a="http://schemas.openxmlformats.org/drawingml/2006/main">
                  <a:graphicData uri="http://schemas.microsoft.com/office/word/2010/wordprocessingShape">
                    <wps:wsp>
                      <wps:cNvCnPr/>
                      <wps:spPr>
                        <a:xfrm flipV="1">
                          <a:off x="0" y="0"/>
                          <a:ext cx="476885" cy="1016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3" o:spid="_x0000_s1026" o:spt="32" type="#_x0000_t32" style="position:absolute;left:0pt;flip:y;margin-left:580.7pt;margin-top:5.4pt;height:0.8pt;width:37.55pt;z-index:251668480;mso-width-relative:page;mso-height-relative:page;" filled="f" stroked="t" coordsize="21600,21600" o:gfxdata="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o92ydcAAAALAQAADwAAAAAA&#10;AAABACAAAAAiAAAAZHJzL2Rvd25yZXYueG1sUEsBAhQAFAAAAAgAh07iQFCUwBgUAgAABgQAAA4A&#10;AAAAAAAAAQAgAAAAJgEAAGRycy9lMm9Eb2MueG1sUEsFBgAAAAAGAAYAWQEAAKwFAAAAAA==&#10;">
                <v:fill on="f" focussize="0,0"/>
                <v:stroke weight="0.5pt" color="#000000"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3145790</wp:posOffset>
                </wp:positionH>
                <wp:positionV relativeFrom="paragraph">
                  <wp:posOffset>73025</wp:posOffset>
                </wp:positionV>
                <wp:extent cx="471805" cy="4445"/>
                <wp:effectExtent l="0" t="45720" r="635" b="56515"/>
                <wp:wrapNone/>
                <wp:docPr id="15" name="直接箭头连接符 19"/>
                <wp:cNvGraphicFramePr/>
                <a:graphic xmlns:a="http://schemas.openxmlformats.org/drawingml/2006/main">
                  <a:graphicData uri="http://schemas.microsoft.com/office/word/2010/wordprocessingShape">
                    <wps:wsp>
                      <wps:cNvCnPr/>
                      <wps:spPr>
                        <a:xfrm>
                          <a:off x="0" y="0"/>
                          <a:ext cx="471805" cy="444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9" o:spid="_x0000_s1026" o:spt="32" type="#_x0000_t32" style="position:absolute;left:0pt;margin-left:247.7pt;margin-top:5.75pt;height:0.35pt;width:37.15pt;z-index:251673600;mso-width-relative:page;mso-height-relative:page;" filled="f" stroked="t" coordsize="21600,21600" o:gfxdata="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9xck3YAAAACQEAAA8AAAAAAAAAAQAgAAAA&#10;IgAAAGRycy9kb3ducmV2LnhtbFBLAQIUABQAAAAIAIdO4kBkFOVZCwIAAPsDAAAOAAAAAAAAAAEA&#10;IAAAACcBAABkcnMvZTJvRG9jLnhtbFBLBQYAAAAABgAGAFkBAACkBQAAAAA=&#10;">
                <v:fill on="f" focussize="0,0"/>
                <v:stroke weight="0.5pt" color="#000000" joinstyle="miter" endarrow="open"/>
                <v:imagedata o:title=""/>
                <o:lock v:ext="edit" aspectratio="f"/>
              </v:shape>
            </w:pict>
          </mc:Fallback>
        </mc:AlternateContent>
      </w:r>
      <w:r>
        <w:rPr>
          <w:rFonts w:hint="eastAsia"/>
          <w:color w:val="auto"/>
          <w:szCs w:val="24"/>
          <w:highlight w:val="none"/>
        </w:rPr>
        <w:t xml:space="preserve">                  </w:t>
      </w:r>
    </w:p>
    <w:p w14:paraId="4BB52F7C">
      <w:pPr>
        <w:tabs>
          <w:tab w:val="left" w:pos="1542"/>
          <w:tab w:val="left" w:pos="3942"/>
          <w:tab w:val="left" w:pos="6402"/>
          <w:tab w:val="left" w:pos="8907"/>
          <w:tab w:val="left" w:pos="11457"/>
        </w:tabs>
        <w:ind w:firstLine="1540" w:firstLineChars="700"/>
        <w:jc w:val="left"/>
        <w:rPr>
          <w:rFonts w:ascii="微软雅黑" w:hAnsi="微软雅黑" w:eastAsia="微软雅黑" w:cs="微软雅黑"/>
          <w:color w:val="auto"/>
          <w:sz w:val="22"/>
          <w:szCs w:val="28"/>
          <w:highlight w:val="none"/>
        </w:rPr>
      </w:pPr>
      <w:r>
        <w:rPr>
          <w:rFonts w:hint="eastAsia" w:ascii="微软雅黑" w:hAnsi="微软雅黑" w:eastAsia="微软雅黑" w:cs="微软雅黑"/>
          <w:color w:val="auto"/>
          <w:sz w:val="22"/>
          <w:szCs w:val="28"/>
          <w:highlight w:val="none"/>
        </w:rPr>
        <w:t>⑴  项目红线    ⑵</w:t>
      </w:r>
      <w:r>
        <w:rPr>
          <w:rFonts w:hint="eastAsia" w:ascii="微软雅黑" w:hAnsi="微软雅黑" w:eastAsia="微软雅黑" w:cs="微软雅黑"/>
          <w:color w:val="auto"/>
          <w:sz w:val="22"/>
          <w:szCs w:val="28"/>
          <w:highlight w:val="none"/>
        </w:rPr>
        <w:tab/>
      </w:r>
      <w:r>
        <w:rPr>
          <w:rFonts w:hint="eastAsia" w:ascii="微软雅黑" w:hAnsi="微软雅黑" w:eastAsia="微软雅黑" w:cs="微软雅黑"/>
          <w:color w:val="auto"/>
          <w:sz w:val="22"/>
          <w:szCs w:val="28"/>
          <w:highlight w:val="none"/>
        </w:rPr>
        <w:t xml:space="preserve">            ⑶</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 xml:space="preserve">          </w:t>
      </w:r>
      <w:r>
        <w:rPr>
          <w:rFonts w:hint="eastAsia" w:ascii="微软雅黑" w:hAnsi="微软雅黑" w:eastAsia="微软雅黑" w:cs="微软雅黑"/>
          <w:color w:val="auto"/>
          <w:sz w:val="22"/>
          <w:szCs w:val="28"/>
          <w:highlight w:val="none"/>
        </w:rPr>
        <w:t>⑷</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 xml:space="preserve">      </w:t>
      </w:r>
      <w:r>
        <w:rPr>
          <w:rFonts w:hint="eastAsia" w:ascii="微软雅黑" w:hAnsi="微软雅黑" w:eastAsia="微软雅黑" w:cs="微软雅黑"/>
          <w:color w:val="auto"/>
          <w:sz w:val="22"/>
          <w:szCs w:val="28"/>
          <w:highlight w:val="none"/>
        </w:rPr>
        <w:t>⑸                   ⑺</w:t>
      </w:r>
    </w:p>
    <w:p w14:paraId="00EB8C3B">
      <w:pPr>
        <w:rPr>
          <w:rFonts w:ascii="微软雅黑" w:hAnsi="微软雅黑" w:eastAsia="微软雅黑" w:cs="微软雅黑"/>
          <w:color w:val="auto"/>
          <w:sz w:val="22"/>
          <w:szCs w:val="28"/>
          <w:highlight w:val="none"/>
        </w:rPr>
      </w:pPr>
    </w:p>
    <w:p w14:paraId="676F614A">
      <w:pPr>
        <w:jc w:val="left"/>
        <w:rPr>
          <w:color w:val="auto"/>
          <w:szCs w:val="24"/>
          <w:highlight w:val="none"/>
        </w:rPr>
      </w:pPr>
    </w:p>
    <w:p w14:paraId="36F43405">
      <w:pPr>
        <w:tabs>
          <w:tab w:val="left" w:pos="5277"/>
        </w:tabs>
        <w:ind w:firstLine="4830" w:firstLineChars="2300"/>
        <w:jc w:val="left"/>
        <w:rPr>
          <w:color w:val="auto"/>
          <w:szCs w:val="24"/>
          <w:highlight w:val="none"/>
        </w:rPr>
      </w:pPr>
    </w:p>
    <w:p w14:paraId="517C647B">
      <w:pPr>
        <w:tabs>
          <w:tab w:val="left" w:pos="6177"/>
        </w:tabs>
        <w:jc w:val="left"/>
        <w:rPr>
          <w:color w:val="auto"/>
          <w:szCs w:val="24"/>
          <w:highlight w:val="none"/>
        </w:rPr>
      </w:pPr>
    </w:p>
    <w:p w14:paraId="2C279328">
      <w:pPr>
        <w:jc w:val="left"/>
        <w:rPr>
          <w:color w:val="auto"/>
          <w:szCs w:val="24"/>
          <w:highlight w:val="none"/>
        </w:rPr>
      </w:pPr>
    </w:p>
    <w:p w14:paraId="05454285">
      <w:pPr>
        <w:jc w:val="left"/>
        <w:rPr>
          <w:color w:val="auto"/>
          <w:szCs w:val="24"/>
          <w:highlight w:val="none"/>
        </w:rPr>
      </w:pPr>
    </w:p>
    <w:p w14:paraId="4D15ABC0">
      <w:pPr>
        <w:jc w:val="left"/>
        <w:rPr>
          <w:color w:val="auto"/>
          <w:szCs w:val="24"/>
          <w:highlight w:val="none"/>
        </w:rPr>
      </w:pPr>
    </w:p>
    <w:p w14:paraId="536AD0DF">
      <w:pPr>
        <w:jc w:val="left"/>
        <w:rPr>
          <w:color w:val="auto"/>
          <w:szCs w:val="24"/>
          <w:highlight w:val="none"/>
        </w:rPr>
      </w:pPr>
    </w:p>
    <w:p w14:paraId="43DBD8F9">
      <w:pPr>
        <w:jc w:val="left"/>
        <w:rPr>
          <w:color w:val="auto"/>
          <w:szCs w:val="24"/>
          <w:highlight w:val="none"/>
        </w:rPr>
      </w:pPr>
    </w:p>
    <w:p w14:paraId="641F99C1">
      <w:pPr>
        <w:jc w:val="left"/>
        <w:rPr>
          <w:color w:val="auto"/>
          <w:szCs w:val="24"/>
          <w:highlight w:val="none"/>
        </w:rPr>
      </w:pPr>
    </w:p>
    <w:p w14:paraId="2B5A5E07">
      <w:pPr>
        <w:jc w:val="left"/>
        <w:rPr>
          <w:color w:val="auto"/>
          <w:szCs w:val="24"/>
          <w:highlight w:val="none"/>
        </w:rPr>
      </w:pPr>
    </w:p>
    <w:p w14:paraId="44D5EF03">
      <w:pPr>
        <w:jc w:val="left"/>
        <w:rPr>
          <w:color w:val="auto"/>
          <w:szCs w:val="24"/>
          <w:highlight w:val="none"/>
        </w:rPr>
      </w:pPr>
    </w:p>
    <w:p w14:paraId="5E3F0FF8">
      <w:pPr>
        <w:jc w:val="left"/>
        <w:rPr>
          <w:color w:val="auto"/>
          <w:szCs w:val="24"/>
          <w:highlight w:val="none"/>
        </w:rPr>
      </w:pPr>
    </w:p>
    <w:p w14:paraId="34547AAE">
      <w:pPr>
        <w:jc w:val="left"/>
        <w:rPr>
          <w:color w:val="auto"/>
          <w:szCs w:val="24"/>
          <w:highlight w:val="none"/>
        </w:rPr>
      </w:pPr>
    </w:p>
    <w:p w14:paraId="27F33A08">
      <w:pPr>
        <w:jc w:val="left"/>
        <w:rPr>
          <w:color w:val="auto"/>
          <w:szCs w:val="24"/>
          <w:highlight w:val="none"/>
        </w:rPr>
      </w:pPr>
    </w:p>
    <w:p w14:paraId="3906100F">
      <w:pPr>
        <w:jc w:val="left"/>
        <w:rPr>
          <w:color w:val="auto"/>
          <w:szCs w:val="24"/>
          <w:highlight w:val="none"/>
        </w:rPr>
      </w:pPr>
    </w:p>
    <w:p w14:paraId="38A2F068">
      <w:pPr>
        <w:jc w:val="left"/>
        <w:rPr>
          <w:color w:val="auto"/>
          <w:szCs w:val="24"/>
          <w:highlight w:val="none"/>
        </w:rPr>
      </w:pPr>
    </w:p>
    <w:p w14:paraId="5DEDA144">
      <w:pPr>
        <w:jc w:val="left"/>
        <w:rPr>
          <w:color w:val="auto"/>
          <w:szCs w:val="24"/>
          <w:highlight w:val="none"/>
        </w:rPr>
      </w:pPr>
    </w:p>
    <w:p w14:paraId="0050A598">
      <w:pPr>
        <w:jc w:val="left"/>
        <w:rPr>
          <w:color w:val="auto"/>
          <w:szCs w:val="24"/>
          <w:highlight w:val="none"/>
        </w:rPr>
      </w:pPr>
    </w:p>
    <w:p w14:paraId="30ED5D4F">
      <w:pPr>
        <w:jc w:val="left"/>
        <w:rPr>
          <w:color w:val="auto"/>
          <w:szCs w:val="24"/>
          <w:highlight w:val="none"/>
        </w:rPr>
      </w:pPr>
    </w:p>
    <w:p w14:paraId="1D21762C">
      <w:pPr>
        <w:adjustRightInd w:val="0"/>
        <w:snapToGrid w:val="0"/>
        <w:spacing w:before="120" w:beforeLines="50" w:after="120" w:afterLines="50" w:line="480" w:lineRule="auto"/>
        <w:ind w:left="63" w:leftChars="30"/>
        <w:jc w:val="center"/>
        <w:rPr>
          <w:b/>
          <w:bCs/>
          <w:color w:val="auto"/>
          <w:sz w:val="18"/>
          <w:szCs w:val="18"/>
          <w:highlight w:val="none"/>
        </w:rPr>
      </w:pPr>
      <w:r>
        <w:rPr>
          <w:rFonts w:hint="eastAsia"/>
          <w:b/>
          <w:bCs/>
          <w:color w:val="auto"/>
          <w:sz w:val="24"/>
          <w:szCs w:val="32"/>
          <w:highlight w:val="none"/>
        </w:rPr>
        <w:t>高低压配电工程外电单位</w:t>
      </w:r>
      <w:r>
        <w:rPr>
          <w:rFonts w:hint="eastAsia"/>
          <w:b/>
          <w:bCs/>
          <w:color w:val="auto"/>
          <w:sz w:val="24"/>
          <w:szCs w:val="32"/>
          <w:highlight w:val="none"/>
          <w:lang w:eastAsia="zh-CN"/>
        </w:rPr>
        <w:t>、</w:t>
      </w:r>
      <w:r>
        <w:rPr>
          <w:rFonts w:hint="eastAsia"/>
          <w:b/>
          <w:bCs/>
          <w:color w:val="auto"/>
          <w:sz w:val="24"/>
          <w:szCs w:val="32"/>
          <w:highlight w:val="none"/>
        </w:rPr>
        <w:t>总承包施工管理单位施工界面</w:t>
      </w:r>
    </w:p>
    <w:p w14:paraId="27BF2903">
      <w:pPr>
        <w:adjustRightInd w:val="0"/>
        <w:snapToGrid w:val="0"/>
        <w:spacing w:before="120" w:beforeLines="50" w:after="120" w:afterLines="50" w:line="480" w:lineRule="auto"/>
        <w:ind w:left="63" w:leftChars="30"/>
        <w:rPr>
          <w:b/>
          <w:bCs/>
          <w:color w:val="auto"/>
          <w:szCs w:val="21"/>
          <w:highlight w:val="none"/>
        </w:rPr>
      </w:pPr>
    </w:p>
    <w:tbl>
      <w:tblPr>
        <w:tblStyle w:val="35"/>
        <w:tblW w:w="14725" w:type="dxa"/>
        <w:tblInd w:w="93" w:type="dxa"/>
        <w:tblLayout w:type="autofit"/>
        <w:tblCellMar>
          <w:top w:w="0" w:type="dxa"/>
          <w:left w:w="108" w:type="dxa"/>
          <w:bottom w:w="0" w:type="dxa"/>
          <w:right w:w="108" w:type="dxa"/>
        </w:tblCellMar>
      </w:tblPr>
      <w:tblGrid>
        <w:gridCol w:w="600"/>
        <w:gridCol w:w="1215"/>
        <w:gridCol w:w="6523"/>
        <w:gridCol w:w="6387"/>
      </w:tblGrid>
      <w:tr w14:paraId="53EBBD2D">
        <w:tblPrEx>
          <w:tblCellMar>
            <w:top w:w="0" w:type="dxa"/>
            <w:left w:w="108" w:type="dxa"/>
            <w:bottom w:w="0" w:type="dxa"/>
            <w:right w:w="108" w:type="dxa"/>
          </w:tblCellMar>
        </w:tblPrEx>
        <w:trPr>
          <w:trHeight w:val="405" w:hRule="atLeast"/>
        </w:trPr>
        <w:tc>
          <w:tcPr>
            <w:tcW w:w="14725" w:type="dxa"/>
            <w:gridSpan w:val="4"/>
            <w:tcBorders>
              <w:top w:val="nil"/>
              <w:left w:val="single" w:color="000000" w:sz="4" w:space="0"/>
              <w:bottom w:val="single" w:color="000000" w:sz="4" w:space="0"/>
              <w:right w:val="nil"/>
            </w:tcBorders>
            <w:shd w:val="clear" w:color="auto" w:fill="FFFFFF" w:themeFill="background1"/>
            <w:vAlign w:val="center"/>
          </w:tcPr>
          <w:p w14:paraId="6B952650">
            <w:pPr>
              <w:widowControl/>
              <w:jc w:val="center"/>
              <w:textAlignment w:val="center"/>
              <w:rPr>
                <w:rFonts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住宅总分包合同界面</w:t>
            </w:r>
          </w:p>
        </w:tc>
      </w:tr>
      <w:tr w14:paraId="124BC40C">
        <w:tblPrEx>
          <w:tblCellMar>
            <w:top w:w="0" w:type="dxa"/>
            <w:left w:w="108" w:type="dxa"/>
            <w:bottom w:w="0" w:type="dxa"/>
            <w:right w:w="108" w:type="dxa"/>
          </w:tblCellMar>
        </w:tblPrEx>
        <w:trPr>
          <w:trHeight w:val="495" w:hRule="atLeast"/>
        </w:trPr>
        <w:tc>
          <w:tcPr>
            <w:tcW w:w="600"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15C559C4">
            <w:pPr>
              <w:widowControl/>
              <w:jc w:val="center"/>
              <w:textAlignment w:val="center"/>
              <w:rPr>
                <w:rFonts w:ascii="宋体" w:hAnsi="宋体" w:cs="宋体"/>
                <w:b/>
                <w:bCs/>
                <w:color w:val="auto"/>
                <w:sz w:val="20"/>
                <w:highlight w:val="none"/>
              </w:rPr>
            </w:pPr>
            <w:r>
              <w:rPr>
                <w:rFonts w:hint="eastAsia" w:ascii="宋体" w:hAnsi="宋体" w:cs="宋体"/>
                <w:b/>
                <w:bCs/>
                <w:color w:val="auto"/>
                <w:kern w:val="0"/>
                <w:sz w:val="20"/>
                <w:highlight w:val="none"/>
                <w:lang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1175B1">
            <w:pPr>
              <w:widowControl/>
              <w:jc w:val="center"/>
              <w:textAlignment w:val="center"/>
              <w:rPr>
                <w:rFonts w:ascii="宋体" w:hAnsi="宋体" w:cs="宋体"/>
                <w:b/>
                <w:bCs/>
                <w:color w:val="auto"/>
                <w:sz w:val="20"/>
                <w:highlight w:val="none"/>
              </w:rPr>
            </w:pPr>
            <w:r>
              <w:rPr>
                <w:rFonts w:hint="eastAsia" w:ascii="宋体" w:hAnsi="宋体" w:cs="宋体"/>
                <w:b/>
                <w:bCs/>
                <w:color w:val="auto"/>
                <w:kern w:val="0"/>
                <w:sz w:val="20"/>
                <w:highlight w:val="none"/>
                <w:lang w:bidi="ar"/>
              </w:rPr>
              <w:t>配合内容</w:t>
            </w:r>
          </w:p>
        </w:tc>
        <w:tc>
          <w:tcPr>
            <w:tcW w:w="1291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DCD7B2">
            <w:pPr>
              <w:widowControl/>
              <w:jc w:val="center"/>
              <w:textAlignment w:val="center"/>
              <w:rPr>
                <w:rFonts w:ascii="宋体" w:hAnsi="宋体" w:cs="宋体"/>
                <w:b/>
                <w:bCs/>
                <w:color w:val="auto"/>
                <w:sz w:val="20"/>
                <w:highlight w:val="none"/>
              </w:rPr>
            </w:pPr>
            <w:r>
              <w:rPr>
                <w:rFonts w:hint="eastAsia" w:ascii="宋体" w:hAnsi="宋体" w:cs="宋体"/>
                <w:b/>
                <w:bCs/>
                <w:color w:val="auto"/>
                <w:kern w:val="0"/>
                <w:sz w:val="20"/>
                <w:highlight w:val="none"/>
                <w:lang w:bidi="ar"/>
              </w:rPr>
              <w:t>各承包人工作内容和责任分工表</w:t>
            </w:r>
          </w:p>
        </w:tc>
      </w:tr>
      <w:tr w14:paraId="3ECFB14D">
        <w:tblPrEx>
          <w:tblCellMar>
            <w:top w:w="0" w:type="dxa"/>
            <w:left w:w="108" w:type="dxa"/>
            <w:bottom w:w="0" w:type="dxa"/>
            <w:right w:w="108" w:type="dxa"/>
          </w:tblCellMar>
        </w:tblPrEx>
        <w:trPr>
          <w:trHeight w:val="495" w:hRule="atLeast"/>
        </w:trPr>
        <w:tc>
          <w:tcPr>
            <w:tcW w:w="600"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7FACC7EA">
            <w:pPr>
              <w:jc w:val="center"/>
              <w:rPr>
                <w:rFonts w:ascii="宋体" w:hAnsi="宋体" w:cs="宋体"/>
                <w:b/>
                <w:bCs/>
                <w:color w:val="auto"/>
                <w:sz w:val="20"/>
                <w:highlight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E47C2">
            <w:pPr>
              <w:jc w:val="center"/>
              <w:rPr>
                <w:rFonts w:ascii="宋体" w:hAnsi="宋体" w:cs="宋体"/>
                <w:b/>
                <w:bCs/>
                <w:color w:val="auto"/>
                <w:sz w:val="20"/>
                <w:highlight w:val="none"/>
              </w:rPr>
            </w:pPr>
          </w:p>
        </w:tc>
        <w:tc>
          <w:tcPr>
            <w:tcW w:w="6523" w:type="dxa"/>
            <w:tcBorders>
              <w:top w:val="single" w:color="000000" w:sz="4" w:space="0"/>
              <w:left w:val="single" w:color="000000" w:sz="4" w:space="0"/>
              <w:bottom w:val="nil"/>
              <w:right w:val="single" w:color="000000" w:sz="4" w:space="0"/>
            </w:tcBorders>
            <w:shd w:val="clear" w:color="auto" w:fill="FFFFFF" w:themeFill="background1"/>
            <w:vAlign w:val="center"/>
          </w:tcPr>
          <w:p w14:paraId="61939898">
            <w:pPr>
              <w:widowControl/>
              <w:jc w:val="center"/>
              <w:textAlignment w:val="center"/>
              <w:rPr>
                <w:rFonts w:ascii="宋体" w:hAnsi="宋体" w:cs="宋体"/>
                <w:b/>
                <w:bCs/>
                <w:color w:val="auto"/>
                <w:sz w:val="20"/>
                <w:highlight w:val="none"/>
              </w:rPr>
            </w:pPr>
            <w:r>
              <w:rPr>
                <w:rFonts w:hint="eastAsia" w:ascii="宋体" w:hAnsi="宋体" w:cs="宋体"/>
                <w:b/>
                <w:bCs/>
                <w:color w:val="auto"/>
                <w:kern w:val="0"/>
                <w:sz w:val="20"/>
                <w:highlight w:val="none"/>
                <w:lang w:bidi="ar"/>
              </w:rPr>
              <w:t>总承包施工管理单位</w:t>
            </w:r>
          </w:p>
        </w:tc>
        <w:tc>
          <w:tcPr>
            <w:tcW w:w="6387" w:type="dxa"/>
            <w:tcBorders>
              <w:top w:val="single" w:color="000000" w:sz="4" w:space="0"/>
              <w:left w:val="single" w:color="000000" w:sz="4" w:space="0"/>
              <w:bottom w:val="nil"/>
              <w:right w:val="single" w:color="000000" w:sz="4" w:space="0"/>
            </w:tcBorders>
            <w:shd w:val="clear" w:color="auto" w:fill="FFFFFF" w:themeFill="background1"/>
            <w:vAlign w:val="center"/>
          </w:tcPr>
          <w:p w14:paraId="7651E51E">
            <w:pPr>
              <w:widowControl/>
              <w:jc w:val="center"/>
              <w:textAlignment w:val="center"/>
              <w:rPr>
                <w:rFonts w:ascii="宋体" w:hAnsi="宋体" w:cs="宋体"/>
                <w:b/>
                <w:bCs/>
                <w:color w:val="auto"/>
                <w:sz w:val="20"/>
                <w:highlight w:val="none"/>
              </w:rPr>
            </w:pPr>
            <w:r>
              <w:rPr>
                <w:rFonts w:hint="eastAsia" w:ascii="宋体" w:hAnsi="宋体" w:cs="宋体"/>
                <w:b/>
                <w:bCs/>
                <w:color w:val="auto"/>
                <w:kern w:val="0"/>
                <w:sz w:val="20"/>
                <w:highlight w:val="none"/>
                <w:lang w:bidi="ar"/>
              </w:rPr>
              <w:t>外电单位</w:t>
            </w:r>
          </w:p>
        </w:tc>
      </w:tr>
      <w:tr w14:paraId="61A61AF2">
        <w:tblPrEx>
          <w:tblCellMar>
            <w:top w:w="0" w:type="dxa"/>
            <w:left w:w="108" w:type="dxa"/>
            <w:bottom w:w="0" w:type="dxa"/>
            <w:right w:w="108" w:type="dxa"/>
          </w:tblCellMar>
        </w:tblPrEx>
        <w:trPr>
          <w:trHeight w:val="11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D1A520">
            <w:pPr>
              <w:jc w:val="center"/>
              <w:rPr>
                <w:rFonts w:ascii="宋体" w:hAnsi="宋体" w:cs="宋体"/>
                <w:color w:val="auto"/>
                <w:sz w:val="20"/>
                <w:highlight w:val="none"/>
              </w:rPr>
            </w:pPr>
            <w:r>
              <w:rPr>
                <w:rFonts w:hint="eastAsia" w:ascii="宋体" w:hAnsi="宋体" w:cs="宋体"/>
                <w:color w:val="auto"/>
                <w:sz w:val="20"/>
                <w:highlight w:val="none"/>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88169">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20KV高低压配电</w:t>
            </w:r>
          </w:p>
        </w:tc>
        <w:tc>
          <w:tcPr>
            <w:tcW w:w="65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9693E">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开关房、高低压配电房外轮廓墙砌筑，以防火门为分界的外轮廓墙抹灰、装修。</w:t>
            </w:r>
          </w:p>
        </w:tc>
        <w:tc>
          <w:tcPr>
            <w:tcW w:w="6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75007">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按电房深化图完成总包已实施外的其他电房内部隔墙砌筑、电缆沟、内部装修，电房防火门安装</w:t>
            </w:r>
            <w:r>
              <w:rPr>
                <w:rFonts w:hint="eastAsia" w:ascii="宋体" w:hAnsi="宋体" w:cs="宋体"/>
                <w:color w:val="auto"/>
                <w:kern w:val="0"/>
                <w:sz w:val="20"/>
                <w:highlight w:val="none"/>
                <w:lang w:eastAsia="zh-CN" w:bidi="ar"/>
              </w:rPr>
              <w:t>，</w:t>
            </w:r>
            <w:r>
              <w:rPr>
                <w:rFonts w:hint="eastAsia" w:ascii="宋体" w:hAnsi="宋体" w:cs="宋体"/>
                <w:color w:val="auto"/>
                <w:kern w:val="0"/>
                <w:sz w:val="20"/>
                <w:highlight w:val="none"/>
                <w:lang w:bidi="ar"/>
              </w:rPr>
              <w:t>由变电站至开关房的所有管路、线缆、设备安装</w:t>
            </w:r>
          </w:p>
        </w:tc>
      </w:tr>
      <w:tr w14:paraId="45B00331">
        <w:tblPrEx>
          <w:tblCellMar>
            <w:top w:w="0" w:type="dxa"/>
            <w:left w:w="108" w:type="dxa"/>
            <w:bottom w:w="0" w:type="dxa"/>
            <w:right w:w="108" w:type="dxa"/>
          </w:tblCellMar>
        </w:tblPrEx>
        <w:trPr>
          <w:trHeight w:val="1734"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4A02A">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613476">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公变系统</w:t>
            </w:r>
          </w:p>
        </w:tc>
        <w:tc>
          <w:tcPr>
            <w:tcW w:w="65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267E76">
            <w:pPr>
              <w:widowControl/>
              <w:jc w:val="left"/>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照明系统由公变低压柜下装出线到楼层配电箱的所有管路、桥架、线缆、设备安装；</w:t>
            </w:r>
            <w:r>
              <w:rPr>
                <w:rFonts w:hint="eastAsia" w:ascii="宋体" w:hAnsi="宋体" w:cs="宋体"/>
                <w:color w:val="auto"/>
                <w:kern w:val="0"/>
                <w:sz w:val="20"/>
                <w:highlight w:val="none"/>
                <w:lang w:bidi="ar"/>
              </w:rPr>
              <w:br w:type="textWrapping"/>
            </w:r>
            <w:r>
              <w:rPr>
                <w:rFonts w:hint="eastAsia" w:ascii="宋体" w:hAnsi="宋体" w:cs="宋体"/>
                <w:color w:val="auto"/>
                <w:kern w:val="0"/>
                <w:sz w:val="20"/>
                <w:highlight w:val="none"/>
                <w:lang w:bidi="ar"/>
              </w:rPr>
              <w:t>由电表箱下装出线到所有户内配电箱的所有管路、桥架、线缆、设备安装（包括户内配电箱）。</w:t>
            </w:r>
          </w:p>
          <w:p w14:paraId="6ECE6EC6">
            <w:pPr>
              <w:widowControl/>
              <w:jc w:val="left"/>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充电桩电表箱到车位的桥架供货及安装。</w:t>
            </w:r>
          </w:p>
        </w:tc>
        <w:tc>
          <w:tcPr>
            <w:tcW w:w="6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7C9014">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由开关房至公变低压柜（含低压柜）、从低压柜到叠墅/高层住宅电表箱（含电表箱）的所有管路、桥架、线缆、母线槽、设备安装；</w:t>
            </w:r>
            <w:r>
              <w:rPr>
                <w:rFonts w:hint="eastAsia" w:ascii="宋体" w:hAnsi="宋体" w:cs="宋体"/>
                <w:color w:val="auto"/>
                <w:kern w:val="0"/>
                <w:sz w:val="20"/>
                <w:highlight w:val="none"/>
                <w:lang w:bidi="ar"/>
              </w:rPr>
              <w:br w:type="textWrapping"/>
            </w:r>
            <w:r>
              <w:rPr>
                <w:rFonts w:hint="eastAsia" w:ascii="宋体" w:hAnsi="宋体" w:cs="宋体"/>
                <w:color w:val="auto"/>
                <w:kern w:val="0"/>
                <w:sz w:val="20"/>
                <w:highlight w:val="none"/>
                <w:lang w:bidi="ar"/>
              </w:rPr>
              <w:t>由公变低压柜到充电桩电表箱（含电表箱）的所有管路、线缆、母线槽、设备安装。</w:t>
            </w:r>
          </w:p>
        </w:tc>
      </w:tr>
      <w:tr w14:paraId="6977875D">
        <w:tblPrEx>
          <w:tblCellMar>
            <w:top w:w="0" w:type="dxa"/>
            <w:left w:w="108" w:type="dxa"/>
            <w:bottom w:w="0" w:type="dxa"/>
            <w:right w:w="108" w:type="dxa"/>
          </w:tblCellMar>
        </w:tblPrEx>
        <w:trPr>
          <w:trHeight w:val="579"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743ED">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580DC">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专变系统</w:t>
            </w:r>
          </w:p>
        </w:tc>
        <w:tc>
          <w:tcPr>
            <w:tcW w:w="65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D66BD">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由低压柜下装出线至各用电配电箱（含配电箱）的所有管路、桥架、线缆、设备安装；</w:t>
            </w:r>
          </w:p>
        </w:tc>
        <w:tc>
          <w:tcPr>
            <w:tcW w:w="6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BB534C">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由开关房至专变低压柜（含低压柜）的所有管路、线缆、母线槽、设备安装</w:t>
            </w:r>
          </w:p>
        </w:tc>
      </w:tr>
      <w:tr w14:paraId="1AD86E2A">
        <w:tblPrEx>
          <w:tblCellMar>
            <w:top w:w="0" w:type="dxa"/>
            <w:left w:w="108" w:type="dxa"/>
            <w:bottom w:w="0" w:type="dxa"/>
            <w:right w:w="108" w:type="dxa"/>
          </w:tblCellMar>
        </w:tblPrEx>
        <w:trPr>
          <w:trHeight w:val="10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90E543">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7F316">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高低压配电房辅助用设备安装</w:t>
            </w:r>
          </w:p>
        </w:tc>
        <w:tc>
          <w:tcPr>
            <w:tcW w:w="65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F5723A">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消防通风设备、预留接地点（不含接地系统）等。</w:t>
            </w:r>
          </w:p>
        </w:tc>
        <w:tc>
          <w:tcPr>
            <w:tcW w:w="6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BEFBD">
            <w:pPr>
              <w:widowControl/>
              <w:jc w:val="left"/>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供电局要求的总包已实施外的其他排风、接地网或其他设备。</w:t>
            </w:r>
          </w:p>
          <w:p w14:paraId="7899093D">
            <w:pPr>
              <w:widowControl/>
              <w:jc w:val="left"/>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配网自动化终端设备及线路的安装、调试。</w:t>
            </w:r>
          </w:p>
          <w:p w14:paraId="2204525D">
            <w:pPr>
              <w:widowControl/>
              <w:jc w:val="left"/>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高低压配电房辅助用设备，包括灯具、插座。</w:t>
            </w:r>
          </w:p>
        </w:tc>
      </w:tr>
      <w:tr w14:paraId="4191DCCD">
        <w:tblPrEx>
          <w:tblCellMar>
            <w:top w:w="0" w:type="dxa"/>
            <w:left w:w="108" w:type="dxa"/>
            <w:bottom w:w="0" w:type="dxa"/>
            <w:right w:w="108" w:type="dxa"/>
          </w:tblCellMar>
        </w:tblPrEx>
        <w:trPr>
          <w:trHeight w:val="4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06F375">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6C42B">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高低压配电房（含开关房）土建装修</w:t>
            </w:r>
          </w:p>
        </w:tc>
        <w:tc>
          <w:tcPr>
            <w:tcW w:w="65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0786B">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电房外轮廓墙砌筑，以防火门为分界的外轮廓墙抹灰、装修</w:t>
            </w:r>
          </w:p>
        </w:tc>
        <w:tc>
          <w:tcPr>
            <w:tcW w:w="6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86FB3">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按电房深化图完成总包已实施外的其他电房内部隔墙砌筑、电缆沟、内部装修，电房防火门安装。</w:t>
            </w:r>
          </w:p>
        </w:tc>
      </w:tr>
      <w:tr w14:paraId="2E9AB452">
        <w:tblPrEx>
          <w:tblCellMar>
            <w:top w:w="0" w:type="dxa"/>
            <w:left w:w="108" w:type="dxa"/>
            <w:bottom w:w="0" w:type="dxa"/>
            <w:right w:w="108" w:type="dxa"/>
          </w:tblCellMar>
        </w:tblPrEx>
        <w:trPr>
          <w:trHeight w:val="8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D075D9">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5D1BC">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预埋工程</w:t>
            </w:r>
          </w:p>
        </w:tc>
        <w:tc>
          <w:tcPr>
            <w:tcW w:w="65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8BF335">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负责一次结构的套管预埋、线管预埋</w:t>
            </w:r>
          </w:p>
        </w:tc>
        <w:tc>
          <w:tcPr>
            <w:tcW w:w="63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FE3742">
            <w:pPr>
              <w:widowControl/>
              <w:jc w:val="left"/>
              <w:textAlignment w:val="center"/>
              <w:rPr>
                <w:rFonts w:ascii="宋体" w:hAnsi="宋体" w:cs="宋体"/>
                <w:color w:val="auto"/>
                <w:sz w:val="20"/>
                <w:highlight w:val="none"/>
              </w:rPr>
            </w:pPr>
            <w:r>
              <w:rPr>
                <w:rFonts w:hint="eastAsia" w:ascii="宋体" w:hAnsi="宋体" w:cs="宋体"/>
                <w:color w:val="auto"/>
                <w:kern w:val="0"/>
                <w:sz w:val="20"/>
                <w:highlight w:val="none"/>
                <w:lang w:bidi="ar"/>
              </w:rPr>
              <w:t>负责套管内防火封堵或防水封堵、电房区域内未使用的底盒白盖板</w:t>
            </w:r>
          </w:p>
        </w:tc>
      </w:tr>
    </w:tbl>
    <w:p w14:paraId="0004835D">
      <w:pPr>
        <w:adjustRightInd w:val="0"/>
        <w:snapToGrid w:val="0"/>
        <w:spacing w:before="120" w:beforeLines="50" w:after="120" w:afterLines="50" w:line="480" w:lineRule="auto"/>
        <w:rPr>
          <w:b/>
          <w:bCs/>
          <w:color w:val="auto"/>
          <w:szCs w:val="21"/>
          <w:highlight w:val="none"/>
        </w:rPr>
        <w:sectPr>
          <w:endnotePr>
            <w:numFmt w:val="decimal"/>
          </w:endnotePr>
          <w:pgSz w:w="16840" w:h="11907" w:orient="landscape"/>
          <w:pgMar w:top="1304" w:right="1134" w:bottom="1304" w:left="851" w:header="851" w:footer="567" w:gutter="0"/>
          <w:cols w:space="720" w:num="1"/>
          <w:titlePg/>
          <w:docGrid w:linePitch="312" w:charSpace="0"/>
        </w:sectPr>
      </w:pPr>
    </w:p>
    <w:p w14:paraId="48302488">
      <w:pPr>
        <w:adjustRightInd w:val="0"/>
        <w:snapToGrid w:val="0"/>
        <w:spacing w:before="120" w:beforeLines="50" w:after="120" w:afterLines="50" w:line="480" w:lineRule="auto"/>
        <w:ind w:left="63" w:leftChars="30"/>
        <w:rPr>
          <w:rFonts w:ascii="宋体" w:hAnsi="宋体" w:cs="宋体"/>
          <w:b/>
          <w:color w:val="auto"/>
          <w:sz w:val="24"/>
          <w:szCs w:val="24"/>
          <w:highlight w:val="none"/>
        </w:rPr>
      </w:pPr>
      <w:r>
        <w:rPr>
          <w:rFonts w:hint="eastAsia" w:ascii="宋体" w:hAnsi="宋体" w:cs="Times New Roman"/>
          <w:b/>
          <w:bCs/>
          <w:color w:val="auto"/>
          <w:sz w:val="21"/>
          <w:szCs w:val="21"/>
          <w:highlight w:val="none"/>
        </w:rPr>
        <w:t>附件7</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rPr>
        <w:t>廉政合同</w:t>
      </w:r>
    </w:p>
    <w:p w14:paraId="79F65384">
      <w:pPr>
        <w:spacing w:line="360" w:lineRule="auto"/>
        <w:ind w:left="178" w:firstLine="480"/>
        <w:rPr>
          <w:rFonts w:ascii="宋体" w:hAnsi="宋体" w:cs="宋体"/>
          <w:color w:val="auto"/>
          <w:sz w:val="24"/>
          <w:szCs w:val="24"/>
          <w:highlight w:val="none"/>
          <w:u w:val="single"/>
        </w:rPr>
      </w:pPr>
      <w:r>
        <w:rPr>
          <w:rFonts w:hint="eastAsia" w:ascii="宋体" w:hAnsi="宋体" w:cs="宋体"/>
          <w:color w:val="auto"/>
          <w:sz w:val="24"/>
          <w:szCs w:val="24"/>
          <w:highlight w:val="none"/>
        </w:rPr>
        <w:t>发包人：（全称）</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u w:val="single"/>
        </w:rPr>
        <w:t xml:space="preserve"> 广州市启韵房地产开发有限公司</w:t>
      </w:r>
      <w:r>
        <w:rPr>
          <w:rFonts w:ascii="宋体" w:hAnsi="宋体" w:cs="宋体"/>
          <w:color w:val="auto"/>
          <w:sz w:val="24"/>
          <w:szCs w:val="24"/>
          <w:highlight w:val="none"/>
          <w:u w:val="single"/>
        </w:rPr>
        <w:t xml:space="preserve"> </w:t>
      </w:r>
    </w:p>
    <w:p w14:paraId="79EEDC0C">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承包人：（全称）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color w:val="auto"/>
          <w:sz w:val="24"/>
          <w:szCs w:val="24"/>
          <w:highlight w:val="none"/>
        </w:rPr>
        <w:t xml:space="preserve">  </w:t>
      </w:r>
    </w:p>
    <w:p w14:paraId="5B7CA42E">
      <w:pPr>
        <w:spacing w:line="360" w:lineRule="auto"/>
        <w:ind w:left="178" w:firstLine="480"/>
        <w:rPr>
          <w:rFonts w:ascii="宋体" w:hAnsi="宋体" w:cs="宋体"/>
          <w:color w:val="auto"/>
          <w:sz w:val="24"/>
          <w:szCs w:val="24"/>
          <w:highlight w:val="none"/>
        </w:rPr>
      </w:pPr>
    </w:p>
    <w:p w14:paraId="57B3613C">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根据国家、省有关廉政建设的规定，为做好合同工程的廉政建设，保证工程质量与施工安全，提高建设资金的有效使用和投资效益，合同双方当事人就加强合同工程的廉政建设，订立本合同。 </w:t>
      </w:r>
    </w:p>
    <w:p w14:paraId="17A6238D">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1  双方权利和义务</w:t>
      </w:r>
    </w:p>
    <w:p w14:paraId="5BAE8926">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1.1  严格遵守国家、省有关法律法规的规定。</w:t>
      </w:r>
    </w:p>
    <w:p w14:paraId="51D06818">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1.2  严格执行合同工程一切合同文件，自觉按合同办事。</w:t>
      </w:r>
    </w:p>
    <w:p w14:paraId="43365322">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1.3  合同双方当事人的业务活动应坚持公平、公开、公正和诚信的原则（法律认定的商业秘密和合同文件另有规定除外），不得损害国家和集体利益，不得违反工程建设管理规章制度。</w:t>
      </w:r>
    </w:p>
    <w:p w14:paraId="16202734">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1.4  建立健全廉政制度，开展廉政教育，设立廉政告示牌，公布举报电话，监督并认真查处违法违纪行为。</w:t>
      </w:r>
    </w:p>
    <w:p w14:paraId="6A8CC649">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1.5  发现对方在业务活动中有违反廉政建设规定的行为，应及时给予提醒和纠正。</w:t>
      </w:r>
    </w:p>
    <w:p w14:paraId="359FDAE7">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1.6  发现对方严重违反合同的行为，有向其上级部门举报、建议给予处理并要求告知处理结果的权利。没有上级部门的，可按本合同第二部分《通用条款》第 87 条规定</w:t>
      </w:r>
      <w:r>
        <w:rPr>
          <w:rFonts w:hint="eastAsia" w:ascii="宋体" w:hAnsi="宋体" w:cs="宋体"/>
          <w:color w:val="auto"/>
          <w:sz w:val="24"/>
          <w:szCs w:val="24"/>
          <w:highlight w:val="none"/>
          <w:lang w:eastAsia="zh-CN"/>
        </w:rPr>
        <w:t>处理</w:t>
      </w:r>
      <w:r>
        <w:rPr>
          <w:rFonts w:hint="eastAsia" w:ascii="宋体" w:hAnsi="宋体" w:cs="宋体"/>
          <w:color w:val="auto"/>
          <w:sz w:val="24"/>
          <w:szCs w:val="24"/>
          <w:highlight w:val="none"/>
        </w:rPr>
        <w:t>。</w:t>
      </w:r>
    </w:p>
    <w:p w14:paraId="509D9779">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2  发包人义务</w:t>
      </w:r>
    </w:p>
    <w:p w14:paraId="48C8E8B4">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2.1  发包人及其工作人员不得索要或接受承包人的礼金、有价证券和贵重物品，不得在承包人报销任何应由发包人或工作人员个人支付的费用等。</w:t>
      </w:r>
    </w:p>
    <w:p w14:paraId="5E9422DF">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2.2  发包人及其工作人员不得参加承包人安排的宴请（工作餐除外）和娱乐活动；不得接受承包人提供的通讯工具、交通工具和高档办公用品等。</w:t>
      </w:r>
    </w:p>
    <w:p w14:paraId="740AAAE9">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2.3  发包人及其工作人员不得要求或者接受承包人为其住房装修、婚丧嫁娶活动、配偶子女的工作安排以及出国出境、旅游等提供方便等。</w:t>
      </w:r>
    </w:p>
    <w:p w14:paraId="584BAE0B">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2.4  发包人及其工作人员不得以任何理由向承包人推荐分包人、推销材料和工程设备，不得要求承包人购买合同以外的材料和工程设备。</w:t>
      </w:r>
    </w:p>
    <w:p w14:paraId="6A60D082">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2.5  发包人及其工作人员要秉公办事，不准营私舞弊，不准利用职权私自为合同工程安排施工队伍，也不得从事与合同工程有关的各种有偿中介活动。</w:t>
      </w:r>
    </w:p>
    <w:p w14:paraId="1F2BF660">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2.6  发包人及其工作人员（含其配偶、子女）不得从事与合同工程有关的材料和工程设备供应、工程分包、劳务等经济活动。</w:t>
      </w:r>
    </w:p>
    <w:p w14:paraId="749790F8">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3  承包人义务</w:t>
      </w:r>
    </w:p>
    <w:p w14:paraId="75A180F6">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3.1  承包人不得以任何理由向发包人及其工作人员行贿或馈赠礼金、有价证券、贵重礼品。</w:t>
      </w:r>
    </w:p>
    <w:p w14:paraId="4FDD5BC5">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3.2  承包人不得以任何名义为发包人及其工作人员报销应由发包人或工作人员个人支付的任何费用。</w:t>
      </w:r>
    </w:p>
    <w:p w14:paraId="7A167EE3">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3.3  承包人不得以任何理由安排发包人及其工作人员参加宴请（工作餐除外）及娱乐活动。</w:t>
      </w:r>
    </w:p>
    <w:p w14:paraId="4C0EC100">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3.4  承包人不得为发包人和个人购置或提供通讯工具、交通工具和高档办公用品等。</w:t>
      </w:r>
    </w:p>
    <w:p w14:paraId="6D0F0479">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3.5  承包人不得为发包人及其工作人员的住房装修、婚丧嫁娶活动、配偶子女工作安排以及出国出境、旅游等提供方便。</w:t>
      </w:r>
    </w:p>
    <w:p w14:paraId="742B903D">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4  违约责任</w:t>
      </w:r>
    </w:p>
    <w:p w14:paraId="46495EC8">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4.1  发包人及其工作人员违反本合同第1条和第2条规定，应依据有关规定给予廉政建设规定的处分；涉嫌犯罪的，移交司法机关追究刑事责任；给承包人造成经济损失的，应予赔偿。</w:t>
      </w:r>
    </w:p>
    <w:p w14:paraId="07C60AC8">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4.2  承包人及其工作人员违反本合同第 1 条和第 3 条规定，应按照廉政建设的有关规定给予处分；情节严重的，给予承包人 1～3 年内不得进入工程建设市场的处罚；涉嫌犯罪的，移交司法机关追究刑事责任；给发包人造成损失的，应予赔偿；</w:t>
      </w:r>
    </w:p>
    <w:p w14:paraId="53985241">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rPr>
        <w:tab/>
      </w:r>
      <w:r>
        <w:rPr>
          <w:rFonts w:hint="eastAsia" w:ascii="宋体" w:hAnsi="宋体" w:cs="宋体"/>
          <w:color w:val="auto"/>
          <w:sz w:val="24"/>
          <w:szCs w:val="24"/>
          <w:highlight w:val="none"/>
        </w:rPr>
        <w:t>双方约定</w:t>
      </w:r>
    </w:p>
    <w:p w14:paraId="159858EA">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本合同由合同双方当事人或其上级部门负责监督执行，并由合同双方当事人或其上级部门相互约请对本合同执行情况进行检查。</w:t>
      </w:r>
    </w:p>
    <w:p w14:paraId="1097BF8F">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6  合同法律效力</w:t>
      </w:r>
    </w:p>
    <w:p w14:paraId="289C8D6B">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本合同与施工合同具有同等的法律效力。</w:t>
      </w:r>
    </w:p>
    <w:p w14:paraId="18EA0BC1">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7  合同份数</w:t>
      </w:r>
    </w:p>
    <w:p w14:paraId="65D1A255">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rPr>
        <w:t>本合同份数与施工合同相同。有上级部门的，合同双方当事人应送交其上级部门各一份。</w:t>
      </w:r>
    </w:p>
    <w:p w14:paraId="364D9210">
      <w:pPr>
        <w:spacing w:line="360" w:lineRule="auto"/>
        <w:ind w:left="178" w:firstLine="480"/>
        <w:rPr>
          <w:rFonts w:ascii="宋体" w:hAnsi="宋体" w:cs="宋体"/>
          <w:color w:val="auto"/>
          <w:sz w:val="24"/>
          <w:szCs w:val="24"/>
          <w:highlight w:val="none"/>
        </w:rPr>
      </w:pPr>
    </w:p>
    <w:p w14:paraId="58E93AF7">
      <w:pPr>
        <w:spacing w:line="360" w:lineRule="auto"/>
        <w:ind w:left="178" w:firstLine="480"/>
        <w:rPr>
          <w:rFonts w:ascii="宋体" w:hAnsi="宋体" w:cs="宋体"/>
          <w:color w:val="auto"/>
          <w:sz w:val="24"/>
          <w:szCs w:val="24"/>
          <w:highlight w:val="none"/>
        </w:rPr>
      </w:pPr>
    </w:p>
    <w:p w14:paraId="0687F6B1">
      <w:pPr>
        <w:spacing w:line="360" w:lineRule="auto"/>
        <w:ind w:left="178" w:firstLine="48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以下无正文</w:t>
      </w:r>
      <w:r>
        <w:rPr>
          <w:rFonts w:hint="eastAsia" w:ascii="宋体" w:hAnsi="宋体" w:cs="宋体"/>
          <w:color w:val="auto"/>
          <w:sz w:val="24"/>
          <w:szCs w:val="24"/>
          <w:highlight w:val="none"/>
          <w:lang w:eastAsia="zh-CN"/>
        </w:rPr>
        <w:t>）</w:t>
      </w:r>
    </w:p>
    <w:tbl>
      <w:tblPr>
        <w:tblStyle w:val="35"/>
        <w:tblpPr w:leftFromText="180" w:rightFromText="180" w:vertAnchor="text" w:horzAnchor="margin" w:tblpXSpec="center" w:tblpY="338"/>
        <w:tblW w:w="9729" w:type="dxa"/>
        <w:tblInd w:w="0" w:type="dxa"/>
        <w:tblLayout w:type="fixed"/>
        <w:tblCellMar>
          <w:top w:w="0" w:type="dxa"/>
          <w:left w:w="108" w:type="dxa"/>
          <w:bottom w:w="0" w:type="dxa"/>
          <w:right w:w="108" w:type="dxa"/>
        </w:tblCellMar>
      </w:tblPr>
      <w:tblGrid>
        <w:gridCol w:w="4987"/>
        <w:gridCol w:w="4742"/>
      </w:tblGrid>
      <w:tr w14:paraId="3D4D5C2D">
        <w:tblPrEx>
          <w:tblCellMar>
            <w:top w:w="0" w:type="dxa"/>
            <w:left w:w="108" w:type="dxa"/>
            <w:bottom w:w="0" w:type="dxa"/>
            <w:right w:w="108" w:type="dxa"/>
          </w:tblCellMar>
        </w:tblPrEx>
        <w:trPr>
          <w:trHeight w:val="1246" w:hRule="atLeast"/>
        </w:trPr>
        <w:tc>
          <w:tcPr>
            <w:tcW w:w="4987" w:type="dxa"/>
            <w:vAlign w:val="center"/>
          </w:tcPr>
          <w:p w14:paraId="290F996D">
            <w:pPr>
              <w:spacing w:line="360" w:lineRule="auto"/>
              <w:rPr>
                <w:color w:val="auto"/>
                <w:sz w:val="24"/>
                <w:szCs w:val="24"/>
                <w:highlight w:val="none"/>
              </w:rPr>
            </w:pPr>
            <w:r>
              <w:rPr>
                <w:rFonts w:hint="eastAsia"/>
                <w:color w:val="auto"/>
                <w:sz w:val="24"/>
                <w:szCs w:val="24"/>
                <w:highlight w:val="none"/>
              </w:rPr>
              <w:t xml:space="preserve">发包人（盖章）： </w:t>
            </w:r>
          </w:p>
          <w:p w14:paraId="567DBC1E">
            <w:pPr>
              <w:spacing w:line="360" w:lineRule="auto"/>
              <w:rPr>
                <w:color w:val="auto"/>
                <w:sz w:val="24"/>
                <w:szCs w:val="24"/>
                <w:highlight w:val="none"/>
              </w:rPr>
            </w:pPr>
            <w:r>
              <w:rPr>
                <w:rFonts w:hint="eastAsia" w:ascii="宋体" w:hAnsi="宋体"/>
                <w:color w:val="auto"/>
                <w:sz w:val="24"/>
                <w:szCs w:val="24"/>
                <w:highlight w:val="none"/>
              </w:rPr>
              <w:t xml:space="preserve"> 广州市启韵房地产开发有限公司</w:t>
            </w:r>
          </w:p>
        </w:tc>
        <w:tc>
          <w:tcPr>
            <w:tcW w:w="4742" w:type="dxa"/>
          </w:tcPr>
          <w:p w14:paraId="30A6BCB7">
            <w:pPr>
              <w:spacing w:line="360" w:lineRule="auto"/>
              <w:ind w:left="1499" w:leftChars="28" w:hanging="1440" w:hangingChars="600"/>
              <w:rPr>
                <w:color w:val="auto"/>
                <w:sz w:val="24"/>
                <w:szCs w:val="24"/>
                <w:highlight w:val="none"/>
              </w:rPr>
            </w:pPr>
          </w:p>
          <w:p w14:paraId="07A28EF4">
            <w:pPr>
              <w:spacing w:line="360" w:lineRule="auto"/>
              <w:rPr>
                <w:color w:val="auto"/>
                <w:sz w:val="24"/>
                <w:szCs w:val="24"/>
                <w:highlight w:val="none"/>
              </w:rPr>
            </w:pPr>
            <w:r>
              <w:rPr>
                <w:rFonts w:hint="eastAsia"/>
                <w:color w:val="auto"/>
                <w:sz w:val="24"/>
                <w:szCs w:val="24"/>
                <w:highlight w:val="none"/>
              </w:rPr>
              <w:t>承包人（盖章）：</w:t>
            </w:r>
          </w:p>
          <w:p w14:paraId="0252CB49">
            <w:pPr>
              <w:spacing w:line="360" w:lineRule="auto"/>
              <w:ind w:left="1499" w:leftChars="28" w:hanging="1440" w:hangingChars="600"/>
              <w:rPr>
                <w:color w:val="auto"/>
                <w:sz w:val="24"/>
                <w:szCs w:val="24"/>
                <w:highlight w:val="none"/>
              </w:rPr>
            </w:pPr>
            <w:r>
              <w:rPr>
                <w:rFonts w:hint="eastAsia"/>
                <w:color w:val="auto"/>
                <w:sz w:val="24"/>
                <w:szCs w:val="24"/>
                <w:highlight w:val="none"/>
              </w:rPr>
              <w:t xml:space="preserve"> </w:t>
            </w:r>
          </w:p>
        </w:tc>
      </w:tr>
      <w:tr w14:paraId="6186586D">
        <w:tblPrEx>
          <w:tblCellMar>
            <w:top w:w="0" w:type="dxa"/>
            <w:left w:w="108" w:type="dxa"/>
            <w:bottom w:w="0" w:type="dxa"/>
            <w:right w:w="108" w:type="dxa"/>
          </w:tblCellMar>
        </w:tblPrEx>
        <w:trPr>
          <w:trHeight w:val="1175" w:hRule="atLeast"/>
        </w:trPr>
        <w:tc>
          <w:tcPr>
            <w:tcW w:w="4987" w:type="dxa"/>
            <w:vAlign w:val="center"/>
          </w:tcPr>
          <w:p w14:paraId="5BD60E14">
            <w:pPr>
              <w:spacing w:line="360" w:lineRule="auto"/>
              <w:rPr>
                <w:color w:val="auto"/>
                <w:sz w:val="24"/>
                <w:szCs w:val="24"/>
                <w:highlight w:val="none"/>
              </w:rPr>
            </w:pPr>
            <w:r>
              <w:rPr>
                <w:rFonts w:hint="eastAsia"/>
                <w:color w:val="auto"/>
                <w:sz w:val="24"/>
                <w:szCs w:val="24"/>
                <w:highlight w:val="none"/>
              </w:rPr>
              <w:t>法定代表（签字）：</w:t>
            </w:r>
          </w:p>
        </w:tc>
        <w:tc>
          <w:tcPr>
            <w:tcW w:w="4742" w:type="dxa"/>
            <w:vAlign w:val="center"/>
          </w:tcPr>
          <w:p w14:paraId="3DE6FD0B">
            <w:pPr>
              <w:spacing w:line="360" w:lineRule="auto"/>
              <w:rPr>
                <w:color w:val="auto"/>
                <w:sz w:val="24"/>
                <w:szCs w:val="24"/>
                <w:highlight w:val="none"/>
              </w:rPr>
            </w:pPr>
            <w:r>
              <w:rPr>
                <w:rFonts w:hint="eastAsia"/>
                <w:color w:val="auto"/>
                <w:sz w:val="24"/>
                <w:szCs w:val="24"/>
                <w:highlight w:val="none"/>
              </w:rPr>
              <w:t>法定代表（签字）：</w:t>
            </w:r>
          </w:p>
        </w:tc>
      </w:tr>
      <w:tr w14:paraId="03C0EE9E">
        <w:tblPrEx>
          <w:tblCellMar>
            <w:top w:w="0" w:type="dxa"/>
            <w:left w:w="108" w:type="dxa"/>
            <w:bottom w:w="0" w:type="dxa"/>
            <w:right w:w="108" w:type="dxa"/>
          </w:tblCellMar>
        </w:tblPrEx>
        <w:trPr>
          <w:trHeight w:val="1320" w:hRule="atLeast"/>
        </w:trPr>
        <w:tc>
          <w:tcPr>
            <w:tcW w:w="4987" w:type="dxa"/>
            <w:vAlign w:val="center"/>
          </w:tcPr>
          <w:p w14:paraId="79FB27BC">
            <w:pPr>
              <w:adjustRightInd w:val="0"/>
              <w:snapToGrid w:val="0"/>
              <w:spacing w:line="360" w:lineRule="auto"/>
              <w:rPr>
                <w:color w:val="auto"/>
                <w:sz w:val="24"/>
                <w:szCs w:val="24"/>
                <w:highlight w:val="none"/>
              </w:rPr>
            </w:pPr>
            <w:r>
              <w:rPr>
                <w:rFonts w:hint="eastAsia"/>
                <w:color w:val="auto"/>
                <w:sz w:val="24"/>
                <w:szCs w:val="24"/>
                <w:highlight w:val="none"/>
              </w:rPr>
              <w:t>地     址：</w:t>
            </w:r>
            <w:r>
              <w:rPr>
                <w:rFonts w:hint="eastAsia" w:asciiTheme="minorEastAsia" w:hAnsiTheme="minorEastAsia"/>
                <w:color w:val="auto"/>
                <w:sz w:val="24"/>
                <w:szCs w:val="24"/>
                <w:highlight w:val="none"/>
              </w:rPr>
              <w:t xml:space="preserve"> </w:t>
            </w:r>
          </w:p>
          <w:p w14:paraId="333044D8">
            <w:pPr>
              <w:spacing w:line="360" w:lineRule="auto"/>
              <w:ind w:left="1320" w:right="124" w:rightChars="59" w:hanging="1320" w:hangingChars="550"/>
              <w:rPr>
                <w:color w:val="auto"/>
                <w:sz w:val="24"/>
                <w:szCs w:val="24"/>
                <w:highlight w:val="none"/>
              </w:rPr>
            </w:pPr>
            <w:r>
              <w:rPr>
                <w:rFonts w:hint="eastAsia"/>
                <w:color w:val="auto"/>
                <w:sz w:val="24"/>
                <w:szCs w:val="24"/>
                <w:highlight w:val="none"/>
              </w:rPr>
              <w:t xml:space="preserve"> </w:t>
            </w:r>
          </w:p>
        </w:tc>
        <w:tc>
          <w:tcPr>
            <w:tcW w:w="4742" w:type="dxa"/>
          </w:tcPr>
          <w:p w14:paraId="5DCDDB5F">
            <w:pPr>
              <w:spacing w:line="360" w:lineRule="auto"/>
              <w:ind w:left="1200" w:hanging="1200" w:hangingChars="500"/>
              <w:rPr>
                <w:color w:val="auto"/>
                <w:sz w:val="24"/>
                <w:szCs w:val="24"/>
                <w:highlight w:val="none"/>
              </w:rPr>
            </w:pPr>
            <w:r>
              <w:rPr>
                <w:rFonts w:hint="eastAsia"/>
                <w:color w:val="auto"/>
                <w:sz w:val="24"/>
                <w:szCs w:val="24"/>
                <w:highlight w:val="none"/>
              </w:rPr>
              <w:t xml:space="preserve">地     址： </w:t>
            </w:r>
          </w:p>
          <w:p w14:paraId="3D65C199">
            <w:pPr>
              <w:spacing w:line="360" w:lineRule="auto"/>
              <w:ind w:left="1200" w:hanging="1200" w:hangingChars="500"/>
              <w:rPr>
                <w:color w:val="auto"/>
                <w:sz w:val="24"/>
                <w:szCs w:val="24"/>
                <w:highlight w:val="none"/>
                <w:u w:val="single"/>
              </w:rPr>
            </w:pPr>
            <w:r>
              <w:rPr>
                <w:rFonts w:hint="eastAsia"/>
                <w:color w:val="auto"/>
                <w:sz w:val="24"/>
                <w:szCs w:val="24"/>
                <w:highlight w:val="none"/>
              </w:rPr>
              <w:t xml:space="preserve"> </w:t>
            </w:r>
          </w:p>
        </w:tc>
      </w:tr>
      <w:tr w14:paraId="30F4AD49">
        <w:tblPrEx>
          <w:tblCellMar>
            <w:top w:w="0" w:type="dxa"/>
            <w:left w:w="108" w:type="dxa"/>
            <w:bottom w:w="0" w:type="dxa"/>
            <w:right w:w="108" w:type="dxa"/>
          </w:tblCellMar>
        </w:tblPrEx>
        <w:trPr>
          <w:trHeight w:val="926" w:hRule="atLeast"/>
        </w:trPr>
        <w:tc>
          <w:tcPr>
            <w:tcW w:w="4987" w:type="dxa"/>
            <w:vAlign w:val="center"/>
          </w:tcPr>
          <w:p w14:paraId="1B8EC352">
            <w:pPr>
              <w:spacing w:line="360" w:lineRule="auto"/>
              <w:rPr>
                <w:color w:val="auto"/>
                <w:sz w:val="24"/>
                <w:szCs w:val="24"/>
                <w:highlight w:val="none"/>
              </w:rPr>
            </w:pPr>
            <w:r>
              <w:rPr>
                <w:rFonts w:hint="eastAsia"/>
                <w:color w:val="auto"/>
                <w:sz w:val="24"/>
                <w:szCs w:val="24"/>
                <w:highlight w:val="none"/>
              </w:rPr>
              <w:t>邮政编码： /</w:t>
            </w:r>
          </w:p>
        </w:tc>
        <w:tc>
          <w:tcPr>
            <w:tcW w:w="4742" w:type="dxa"/>
            <w:vAlign w:val="center"/>
          </w:tcPr>
          <w:p w14:paraId="4EE7E2CD">
            <w:pPr>
              <w:spacing w:line="360" w:lineRule="auto"/>
              <w:rPr>
                <w:rFonts w:eastAsia="等线"/>
                <w:color w:val="auto"/>
                <w:sz w:val="24"/>
                <w:szCs w:val="24"/>
                <w:highlight w:val="none"/>
              </w:rPr>
            </w:pPr>
            <w:r>
              <w:rPr>
                <w:rFonts w:hint="eastAsia"/>
                <w:color w:val="auto"/>
                <w:sz w:val="24"/>
                <w:szCs w:val="24"/>
                <w:highlight w:val="none"/>
              </w:rPr>
              <w:t>邮政编码：</w:t>
            </w:r>
            <w:r>
              <w:rPr>
                <w:rFonts w:ascii="宋体" w:hAnsi="宋体" w:eastAsia="等线"/>
                <w:color w:val="auto"/>
                <w:sz w:val="24"/>
                <w:szCs w:val="24"/>
                <w:highlight w:val="none"/>
              </w:rPr>
              <w:t xml:space="preserve"> </w:t>
            </w:r>
            <w:r>
              <w:rPr>
                <w:rFonts w:hint="eastAsia" w:ascii="宋体" w:hAnsi="宋体" w:eastAsia="等线"/>
                <w:color w:val="auto"/>
                <w:sz w:val="24"/>
                <w:szCs w:val="24"/>
                <w:highlight w:val="none"/>
              </w:rPr>
              <w:t xml:space="preserve">  /</w:t>
            </w:r>
          </w:p>
        </w:tc>
      </w:tr>
      <w:tr w14:paraId="62632BCC">
        <w:tblPrEx>
          <w:tblCellMar>
            <w:top w:w="0" w:type="dxa"/>
            <w:left w:w="108" w:type="dxa"/>
            <w:bottom w:w="0" w:type="dxa"/>
            <w:right w:w="108" w:type="dxa"/>
          </w:tblCellMar>
        </w:tblPrEx>
        <w:trPr>
          <w:trHeight w:val="939" w:hRule="atLeast"/>
        </w:trPr>
        <w:tc>
          <w:tcPr>
            <w:tcW w:w="4987" w:type="dxa"/>
            <w:vAlign w:val="center"/>
          </w:tcPr>
          <w:p w14:paraId="35A8A90E">
            <w:pPr>
              <w:spacing w:line="360" w:lineRule="auto"/>
              <w:rPr>
                <w:color w:val="auto"/>
                <w:sz w:val="24"/>
                <w:szCs w:val="24"/>
                <w:highlight w:val="none"/>
              </w:rPr>
            </w:pPr>
            <w:r>
              <w:rPr>
                <w:rFonts w:hint="eastAsia"/>
                <w:color w:val="auto"/>
                <w:sz w:val="24"/>
                <w:szCs w:val="24"/>
                <w:highlight w:val="none"/>
              </w:rPr>
              <w:t>电     话： /</w:t>
            </w:r>
          </w:p>
        </w:tc>
        <w:tc>
          <w:tcPr>
            <w:tcW w:w="4742" w:type="dxa"/>
            <w:vAlign w:val="center"/>
          </w:tcPr>
          <w:p w14:paraId="226A4844">
            <w:pPr>
              <w:spacing w:line="360" w:lineRule="auto"/>
              <w:rPr>
                <w:color w:val="auto"/>
                <w:sz w:val="24"/>
                <w:szCs w:val="24"/>
                <w:highlight w:val="none"/>
              </w:rPr>
            </w:pPr>
            <w:r>
              <w:rPr>
                <w:rFonts w:hint="eastAsia"/>
                <w:color w:val="auto"/>
                <w:sz w:val="24"/>
                <w:szCs w:val="24"/>
                <w:highlight w:val="none"/>
              </w:rPr>
              <w:t>电     话： /</w:t>
            </w:r>
          </w:p>
        </w:tc>
      </w:tr>
      <w:tr w14:paraId="45569E11">
        <w:tblPrEx>
          <w:tblCellMar>
            <w:top w:w="0" w:type="dxa"/>
            <w:left w:w="108" w:type="dxa"/>
            <w:bottom w:w="0" w:type="dxa"/>
            <w:right w:w="108" w:type="dxa"/>
          </w:tblCellMar>
        </w:tblPrEx>
        <w:trPr>
          <w:trHeight w:val="936" w:hRule="atLeast"/>
        </w:trPr>
        <w:tc>
          <w:tcPr>
            <w:tcW w:w="4987" w:type="dxa"/>
            <w:vAlign w:val="center"/>
          </w:tcPr>
          <w:p w14:paraId="11941BCF">
            <w:pPr>
              <w:spacing w:line="360" w:lineRule="auto"/>
              <w:rPr>
                <w:color w:val="auto"/>
                <w:sz w:val="24"/>
                <w:szCs w:val="24"/>
                <w:highlight w:val="none"/>
              </w:rPr>
            </w:pPr>
            <w:r>
              <w:rPr>
                <w:rFonts w:hint="eastAsia"/>
                <w:color w:val="auto"/>
                <w:sz w:val="24"/>
                <w:szCs w:val="24"/>
                <w:highlight w:val="none"/>
              </w:rPr>
              <w:t>传     真：  /</w:t>
            </w:r>
          </w:p>
        </w:tc>
        <w:tc>
          <w:tcPr>
            <w:tcW w:w="4742" w:type="dxa"/>
            <w:vAlign w:val="center"/>
          </w:tcPr>
          <w:p w14:paraId="79FBA0D9">
            <w:pPr>
              <w:spacing w:line="360" w:lineRule="auto"/>
              <w:rPr>
                <w:rFonts w:eastAsia="等线"/>
                <w:color w:val="auto"/>
                <w:sz w:val="24"/>
                <w:szCs w:val="24"/>
                <w:highlight w:val="none"/>
              </w:rPr>
            </w:pPr>
            <w:r>
              <w:rPr>
                <w:rFonts w:hint="eastAsia"/>
                <w:color w:val="auto"/>
                <w:sz w:val="24"/>
                <w:szCs w:val="24"/>
                <w:highlight w:val="none"/>
              </w:rPr>
              <w:t>传     真：</w:t>
            </w:r>
            <w:r>
              <w:rPr>
                <w:rFonts w:ascii="宋体" w:hAnsi="宋体" w:eastAsia="等线"/>
                <w:color w:val="auto"/>
                <w:sz w:val="24"/>
                <w:szCs w:val="24"/>
                <w:highlight w:val="none"/>
              </w:rPr>
              <w:t xml:space="preserve"> </w:t>
            </w:r>
            <w:r>
              <w:rPr>
                <w:rFonts w:hint="eastAsia" w:ascii="宋体" w:hAnsi="宋体" w:eastAsia="等线"/>
                <w:color w:val="auto"/>
                <w:sz w:val="24"/>
                <w:szCs w:val="24"/>
                <w:highlight w:val="none"/>
              </w:rPr>
              <w:t xml:space="preserve"> /</w:t>
            </w:r>
          </w:p>
        </w:tc>
      </w:tr>
      <w:tr w14:paraId="57BFEBE8">
        <w:tblPrEx>
          <w:tblCellMar>
            <w:top w:w="0" w:type="dxa"/>
            <w:left w:w="108" w:type="dxa"/>
            <w:bottom w:w="0" w:type="dxa"/>
            <w:right w:w="108" w:type="dxa"/>
          </w:tblCellMar>
        </w:tblPrEx>
        <w:trPr>
          <w:trHeight w:val="941" w:hRule="atLeast"/>
        </w:trPr>
        <w:tc>
          <w:tcPr>
            <w:tcW w:w="4987" w:type="dxa"/>
            <w:vAlign w:val="center"/>
          </w:tcPr>
          <w:p w14:paraId="26FAC7F8">
            <w:pPr>
              <w:spacing w:line="360" w:lineRule="auto"/>
              <w:rPr>
                <w:color w:val="auto"/>
                <w:sz w:val="24"/>
                <w:szCs w:val="24"/>
                <w:highlight w:val="none"/>
              </w:rPr>
            </w:pPr>
            <w:r>
              <w:rPr>
                <w:rFonts w:hint="eastAsia"/>
                <w:color w:val="auto"/>
                <w:sz w:val="24"/>
                <w:szCs w:val="24"/>
                <w:highlight w:val="none"/>
              </w:rPr>
              <w:t>开户银行：</w:t>
            </w:r>
            <w:r>
              <w:rPr>
                <w:rFonts w:hint="eastAsia" w:asciiTheme="minorEastAsia" w:hAnsiTheme="minorEastAsia"/>
                <w:color w:val="auto"/>
                <w:sz w:val="24"/>
                <w:szCs w:val="24"/>
                <w:highlight w:val="none"/>
              </w:rPr>
              <w:t xml:space="preserve"> </w:t>
            </w:r>
          </w:p>
          <w:p w14:paraId="7DD64E1B">
            <w:pPr>
              <w:spacing w:line="360" w:lineRule="auto"/>
              <w:rPr>
                <w:color w:val="auto"/>
                <w:sz w:val="24"/>
                <w:szCs w:val="24"/>
                <w:highlight w:val="none"/>
              </w:rPr>
            </w:pPr>
            <w:r>
              <w:rPr>
                <w:rFonts w:hint="eastAsia" w:ascii="宋体" w:hAnsi="宋体"/>
                <w:color w:val="auto"/>
                <w:sz w:val="24"/>
                <w:szCs w:val="24"/>
                <w:highlight w:val="none"/>
              </w:rPr>
              <w:t xml:space="preserve"> </w:t>
            </w:r>
          </w:p>
        </w:tc>
        <w:tc>
          <w:tcPr>
            <w:tcW w:w="4742" w:type="dxa"/>
            <w:vAlign w:val="center"/>
          </w:tcPr>
          <w:p w14:paraId="217F59EC">
            <w:pPr>
              <w:spacing w:line="360" w:lineRule="auto"/>
              <w:rPr>
                <w:color w:val="auto"/>
                <w:sz w:val="24"/>
                <w:szCs w:val="24"/>
                <w:highlight w:val="none"/>
              </w:rPr>
            </w:pPr>
            <w:r>
              <w:rPr>
                <w:rFonts w:hint="eastAsia"/>
                <w:color w:val="auto"/>
                <w:sz w:val="24"/>
                <w:szCs w:val="24"/>
                <w:highlight w:val="none"/>
              </w:rPr>
              <w:t xml:space="preserve">开户银行： </w:t>
            </w:r>
          </w:p>
          <w:p w14:paraId="2DA96CCE">
            <w:pPr>
              <w:spacing w:line="360" w:lineRule="auto"/>
              <w:rPr>
                <w:color w:val="auto"/>
                <w:sz w:val="24"/>
                <w:szCs w:val="24"/>
                <w:highlight w:val="none"/>
              </w:rPr>
            </w:pPr>
            <w:r>
              <w:rPr>
                <w:rFonts w:hint="eastAsia"/>
                <w:color w:val="auto"/>
                <w:sz w:val="24"/>
                <w:szCs w:val="24"/>
                <w:highlight w:val="none"/>
              </w:rPr>
              <w:t xml:space="preserve"> </w:t>
            </w:r>
          </w:p>
        </w:tc>
      </w:tr>
      <w:tr w14:paraId="48CA8341">
        <w:tblPrEx>
          <w:tblCellMar>
            <w:top w:w="0" w:type="dxa"/>
            <w:left w:w="108" w:type="dxa"/>
            <w:bottom w:w="0" w:type="dxa"/>
            <w:right w:w="108" w:type="dxa"/>
          </w:tblCellMar>
        </w:tblPrEx>
        <w:trPr>
          <w:trHeight w:val="777" w:hRule="atLeast"/>
        </w:trPr>
        <w:tc>
          <w:tcPr>
            <w:tcW w:w="4987" w:type="dxa"/>
            <w:vAlign w:val="center"/>
          </w:tcPr>
          <w:p w14:paraId="78CA11A6">
            <w:pPr>
              <w:spacing w:line="360" w:lineRule="auto"/>
              <w:rPr>
                <w:color w:val="auto"/>
                <w:sz w:val="24"/>
                <w:szCs w:val="24"/>
                <w:highlight w:val="none"/>
              </w:rPr>
            </w:pPr>
            <w:r>
              <w:rPr>
                <w:rFonts w:hint="eastAsia"/>
                <w:color w:val="auto"/>
                <w:sz w:val="24"/>
                <w:szCs w:val="24"/>
                <w:highlight w:val="none"/>
              </w:rPr>
              <w:t>开户账号：</w:t>
            </w:r>
            <w:r>
              <w:rPr>
                <w:rFonts w:hint="eastAsia" w:asciiTheme="minorEastAsia" w:hAnsiTheme="minorEastAsia"/>
                <w:color w:val="auto"/>
                <w:sz w:val="24"/>
                <w:szCs w:val="24"/>
                <w:highlight w:val="none"/>
              </w:rPr>
              <w:t xml:space="preserve"> </w:t>
            </w:r>
          </w:p>
        </w:tc>
        <w:tc>
          <w:tcPr>
            <w:tcW w:w="4742" w:type="dxa"/>
            <w:vAlign w:val="center"/>
          </w:tcPr>
          <w:p w14:paraId="7B13FC7F">
            <w:pPr>
              <w:spacing w:line="360" w:lineRule="auto"/>
              <w:rPr>
                <w:color w:val="auto"/>
                <w:sz w:val="24"/>
                <w:szCs w:val="24"/>
                <w:highlight w:val="none"/>
              </w:rPr>
            </w:pPr>
            <w:r>
              <w:rPr>
                <w:rFonts w:hint="eastAsia"/>
                <w:color w:val="auto"/>
                <w:sz w:val="24"/>
                <w:szCs w:val="24"/>
                <w:highlight w:val="none"/>
              </w:rPr>
              <w:t xml:space="preserve">开户账号： </w:t>
            </w:r>
          </w:p>
        </w:tc>
      </w:tr>
      <w:tr w14:paraId="5C0A14F5">
        <w:tblPrEx>
          <w:tblCellMar>
            <w:top w:w="0" w:type="dxa"/>
            <w:left w:w="108" w:type="dxa"/>
            <w:bottom w:w="0" w:type="dxa"/>
            <w:right w:w="108" w:type="dxa"/>
          </w:tblCellMar>
        </w:tblPrEx>
        <w:trPr>
          <w:trHeight w:val="777" w:hRule="atLeast"/>
        </w:trPr>
        <w:tc>
          <w:tcPr>
            <w:tcW w:w="4987" w:type="dxa"/>
            <w:vAlign w:val="center"/>
          </w:tcPr>
          <w:p w14:paraId="1C1A3CD7">
            <w:pPr>
              <w:spacing w:line="360" w:lineRule="auto"/>
              <w:rPr>
                <w:color w:val="auto"/>
                <w:sz w:val="24"/>
                <w:szCs w:val="24"/>
                <w:highlight w:val="none"/>
              </w:rPr>
            </w:pPr>
            <w:r>
              <w:rPr>
                <w:rFonts w:hint="eastAsia"/>
                <w:color w:val="auto"/>
                <w:sz w:val="24"/>
                <w:szCs w:val="24"/>
                <w:highlight w:val="none"/>
              </w:rPr>
              <w:t>税号：</w:t>
            </w:r>
            <w:r>
              <w:rPr>
                <w:rFonts w:hint="eastAsia" w:ascii="宋体" w:hAnsi="宋体"/>
                <w:color w:val="auto"/>
                <w:sz w:val="24"/>
                <w:szCs w:val="24"/>
                <w:highlight w:val="none"/>
              </w:rPr>
              <w:t xml:space="preserve"> </w:t>
            </w:r>
            <w:r>
              <w:rPr>
                <w:rFonts w:hint="eastAsia" w:asciiTheme="minorEastAsia" w:hAnsiTheme="minorEastAsia"/>
                <w:color w:val="auto"/>
                <w:sz w:val="24"/>
                <w:szCs w:val="24"/>
                <w:highlight w:val="none"/>
              </w:rPr>
              <w:t xml:space="preserve"> </w:t>
            </w:r>
          </w:p>
        </w:tc>
        <w:tc>
          <w:tcPr>
            <w:tcW w:w="4742" w:type="dxa"/>
            <w:vAlign w:val="center"/>
          </w:tcPr>
          <w:p w14:paraId="359CD0FC">
            <w:pPr>
              <w:spacing w:line="360" w:lineRule="auto"/>
              <w:rPr>
                <w:color w:val="auto"/>
                <w:sz w:val="24"/>
                <w:szCs w:val="24"/>
                <w:highlight w:val="none"/>
              </w:rPr>
            </w:pPr>
            <w:r>
              <w:rPr>
                <w:rFonts w:hint="eastAsia"/>
                <w:color w:val="auto"/>
                <w:sz w:val="24"/>
                <w:szCs w:val="24"/>
                <w:highlight w:val="none"/>
              </w:rPr>
              <w:t xml:space="preserve">税号： </w:t>
            </w:r>
          </w:p>
        </w:tc>
      </w:tr>
    </w:tbl>
    <w:p w14:paraId="09D2EACD">
      <w:pPr>
        <w:spacing w:line="360" w:lineRule="auto"/>
        <w:ind w:left="178" w:firstLine="480"/>
        <w:rPr>
          <w:rFonts w:ascii="宋体" w:hAnsi="宋体" w:cs="宋体"/>
          <w:color w:val="auto"/>
          <w:sz w:val="24"/>
          <w:szCs w:val="24"/>
          <w:highlight w:val="none"/>
        </w:rPr>
      </w:pPr>
    </w:p>
    <w:p w14:paraId="7B866E3F">
      <w:pPr>
        <w:spacing w:line="360" w:lineRule="auto"/>
        <w:ind w:left="178" w:firstLine="480"/>
        <w:rPr>
          <w:rFonts w:ascii="宋体" w:hAnsi="宋体" w:cs="宋体"/>
          <w:color w:val="auto"/>
          <w:sz w:val="24"/>
          <w:szCs w:val="24"/>
          <w:highlight w:val="none"/>
        </w:rPr>
      </w:pPr>
    </w:p>
    <w:p w14:paraId="6F40546E">
      <w:pPr>
        <w:spacing w:line="360" w:lineRule="auto"/>
        <w:ind w:left="178" w:firstLine="480"/>
        <w:rPr>
          <w:color w:val="auto"/>
          <w:highlight w:val="none"/>
        </w:rPr>
      </w:pPr>
    </w:p>
    <w:p w14:paraId="11F3EF3C">
      <w:pPr>
        <w:spacing w:line="360" w:lineRule="auto"/>
        <w:jc w:val="left"/>
        <w:rPr>
          <w:b/>
          <w:bCs/>
          <w:color w:val="auto"/>
          <w:highlight w:val="none"/>
        </w:rPr>
      </w:pPr>
      <w:r>
        <w:rPr>
          <w:rFonts w:hint="eastAsia"/>
          <w:b/>
          <w:bCs/>
          <w:color w:val="auto"/>
          <w:highlight w:val="none"/>
        </w:rPr>
        <w:br w:type="page"/>
      </w:r>
    </w:p>
    <w:p w14:paraId="562D7A3B">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附件8.1：</w:t>
      </w:r>
    </w:p>
    <w:p w14:paraId="29B7146F">
      <w:pPr>
        <w:spacing w:line="360" w:lineRule="auto"/>
        <w:jc w:val="center"/>
        <w:rPr>
          <w:rFonts w:ascii="宋体" w:hAnsi="宋体" w:cs="宋体"/>
          <w:b/>
          <w:color w:val="auto"/>
          <w:sz w:val="32"/>
          <w:highlight w:val="none"/>
        </w:rPr>
      </w:pPr>
      <w:r>
        <w:rPr>
          <w:rFonts w:hint="eastAsia" w:ascii="宋体" w:hAnsi="宋体" w:cs="宋体"/>
          <w:b/>
          <w:color w:val="auto"/>
          <w:sz w:val="32"/>
          <w:highlight w:val="none"/>
          <w:shd w:val="clear" w:color="auto" w:fill="FFFFFF"/>
        </w:rPr>
        <w:t>分包工程</w:t>
      </w:r>
      <w:r>
        <w:rPr>
          <w:rFonts w:ascii="宋体" w:hAnsi="宋体" w:cs="宋体"/>
          <w:b/>
          <w:color w:val="auto"/>
          <w:sz w:val="32"/>
          <w:highlight w:val="none"/>
          <w:shd w:val="clear" w:color="auto" w:fill="FFFFFF"/>
        </w:rPr>
        <w:t>三方</w:t>
      </w:r>
      <w:r>
        <w:rPr>
          <w:rFonts w:hint="eastAsia" w:ascii="宋体" w:hAnsi="宋体" w:cs="宋体"/>
          <w:b/>
          <w:color w:val="auto"/>
          <w:sz w:val="32"/>
          <w:highlight w:val="none"/>
          <w:shd w:val="clear" w:color="auto" w:fill="FFFFFF"/>
        </w:rPr>
        <w:t>管理</w:t>
      </w:r>
      <w:r>
        <w:rPr>
          <w:rFonts w:ascii="宋体" w:hAnsi="宋体" w:cs="宋体"/>
          <w:b/>
          <w:color w:val="auto"/>
          <w:sz w:val="32"/>
          <w:highlight w:val="none"/>
          <w:shd w:val="clear" w:color="auto" w:fill="FFFFFF"/>
        </w:rPr>
        <w:t>协议书范本</w:t>
      </w:r>
    </w:p>
    <w:p w14:paraId="6F97A87C">
      <w:pPr>
        <w:spacing w:line="360" w:lineRule="auto"/>
        <w:ind w:firstLine="600"/>
        <w:jc w:val="left"/>
        <w:rPr>
          <w:rFonts w:eastAsia="Times New Roman"/>
          <w:color w:val="auto"/>
          <w:sz w:val="24"/>
          <w:szCs w:val="24"/>
          <w:highlight w:val="none"/>
        </w:rPr>
      </w:pPr>
      <w:r>
        <w:rPr>
          <w:rFonts w:hint="eastAsia" w:ascii="仿宋" w:hAnsi="仿宋" w:eastAsia="仿宋" w:cs="仿宋"/>
          <w:color w:val="auto"/>
          <w:sz w:val="28"/>
          <w:highlight w:val="none"/>
        </w:rPr>
        <w:t>发包方</w:t>
      </w:r>
      <w:r>
        <w:rPr>
          <w:rFonts w:ascii="仿宋" w:hAnsi="仿宋" w:eastAsia="仿宋" w:cs="仿宋"/>
          <w:color w:val="auto"/>
          <w:sz w:val="28"/>
          <w:highlight w:val="none"/>
        </w:rPr>
        <w:t>：__________</w:t>
      </w:r>
    </w:p>
    <w:p w14:paraId="282785CC">
      <w:pPr>
        <w:spacing w:line="360" w:lineRule="auto"/>
        <w:ind w:firstLine="600"/>
        <w:jc w:val="left"/>
        <w:rPr>
          <w:rFonts w:hint="default" w:ascii="仿宋" w:hAnsi="仿宋" w:eastAsia="仿宋" w:cs="仿宋"/>
          <w:color w:val="auto"/>
          <w:sz w:val="28"/>
          <w:highlight w:val="none"/>
          <w:u w:val="single"/>
        </w:rPr>
      </w:pPr>
      <w:r>
        <w:rPr>
          <w:rFonts w:ascii="仿宋" w:hAnsi="仿宋" w:eastAsia="仿宋" w:cs="仿宋"/>
          <w:color w:val="auto"/>
          <w:sz w:val="28"/>
          <w:highlight w:val="none"/>
        </w:rPr>
        <w:t>总包方：</w:t>
      </w:r>
      <w:r>
        <w:rPr>
          <w:rFonts w:hint="eastAsia" w:ascii="仿宋" w:hAnsi="仿宋" w:eastAsia="仿宋" w:cs="仿宋"/>
          <w:color w:val="auto"/>
          <w:sz w:val="28"/>
          <w:highlight w:val="none"/>
          <w:u w:val="single"/>
          <w:lang w:val="en-US" w:eastAsia="zh-CN"/>
        </w:rPr>
        <w:t xml:space="preserve">          </w:t>
      </w:r>
    </w:p>
    <w:p w14:paraId="0F44BA67">
      <w:pPr>
        <w:spacing w:line="360" w:lineRule="auto"/>
        <w:ind w:firstLine="600"/>
        <w:jc w:val="left"/>
        <w:rPr>
          <w:rFonts w:ascii="仿宋" w:hAnsi="仿宋" w:eastAsia="仿宋" w:cs="仿宋"/>
          <w:color w:val="auto"/>
          <w:sz w:val="28"/>
          <w:highlight w:val="none"/>
        </w:rPr>
      </w:pPr>
      <w:r>
        <w:rPr>
          <w:rFonts w:ascii="仿宋" w:hAnsi="仿宋" w:eastAsia="仿宋" w:cs="仿宋"/>
          <w:color w:val="auto"/>
          <w:sz w:val="28"/>
          <w:highlight w:val="none"/>
        </w:rPr>
        <w:t>分包方：__________</w:t>
      </w:r>
    </w:p>
    <w:p w14:paraId="5AAFCC58">
      <w:pPr>
        <w:spacing w:line="360" w:lineRule="auto"/>
        <w:ind w:firstLine="600"/>
        <w:jc w:val="left"/>
        <w:rPr>
          <w:rFonts w:ascii="仿宋" w:hAnsi="仿宋" w:eastAsia="仿宋" w:cs="仿宋"/>
          <w:color w:val="auto"/>
          <w:sz w:val="28"/>
          <w:highlight w:val="none"/>
        </w:rPr>
      </w:pPr>
    </w:p>
    <w:p w14:paraId="253F3E63">
      <w:pPr>
        <w:spacing w:line="360" w:lineRule="auto"/>
        <w:ind w:firstLine="600"/>
        <w:jc w:val="left"/>
        <w:rPr>
          <w:rFonts w:eastAsia="Times New Roman"/>
          <w:color w:val="auto"/>
          <w:sz w:val="24"/>
          <w:szCs w:val="24"/>
          <w:highlight w:val="none"/>
        </w:rPr>
      </w:pPr>
      <w:r>
        <w:rPr>
          <w:rFonts w:ascii="仿宋" w:hAnsi="仿宋" w:eastAsia="仿宋" w:cs="仿宋"/>
          <w:color w:val="auto"/>
          <w:sz w:val="28"/>
          <w:highlight w:val="none"/>
        </w:rPr>
        <w:t>为明确施工过程中</w:t>
      </w:r>
      <w:r>
        <w:rPr>
          <w:rFonts w:hint="eastAsia" w:ascii="仿宋" w:hAnsi="仿宋" w:eastAsia="仿宋" w:cs="仿宋"/>
          <w:color w:val="auto"/>
          <w:sz w:val="28"/>
          <w:highlight w:val="none"/>
        </w:rPr>
        <w:t>发包方</w:t>
      </w:r>
      <w:r>
        <w:rPr>
          <w:rFonts w:ascii="仿宋" w:hAnsi="仿宋" w:eastAsia="仿宋" w:cs="仿宋"/>
          <w:color w:val="auto"/>
          <w:sz w:val="28"/>
          <w:highlight w:val="none"/>
        </w:rPr>
        <w:t>、总包方及分包方三方的责任，依照《中华人民共和国</w:t>
      </w:r>
      <w:r>
        <w:rPr>
          <w:rFonts w:hint="eastAsia" w:ascii="仿宋" w:hAnsi="仿宋" w:eastAsia="仿宋" w:cs="仿宋"/>
          <w:color w:val="auto"/>
          <w:sz w:val="28"/>
          <w:highlight w:val="none"/>
        </w:rPr>
        <w:t>民法典</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中华人民共和国建筑法》及其他有关法律、法规、遵循平等、自愿、公平和诚实信用的原则，</w:t>
      </w:r>
      <w:r>
        <w:rPr>
          <w:rFonts w:hint="eastAsia" w:ascii="仿宋" w:hAnsi="仿宋" w:eastAsia="仿宋" w:cs="仿宋"/>
          <w:color w:val="auto"/>
          <w:sz w:val="28"/>
          <w:highlight w:val="none"/>
        </w:rPr>
        <w:t>发包</w:t>
      </w:r>
      <w:r>
        <w:rPr>
          <w:rFonts w:ascii="仿宋" w:hAnsi="仿宋" w:eastAsia="仿宋" w:cs="仿宋"/>
          <w:color w:val="auto"/>
          <w:sz w:val="28"/>
          <w:highlight w:val="none"/>
        </w:rPr>
        <w:t>、总包、分包三方就各自的权利义务，经协商一致，订立本协议。</w:t>
      </w:r>
    </w:p>
    <w:p w14:paraId="06491D75">
      <w:pPr>
        <w:spacing w:line="360" w:lineRule="auto"/>
        <w:ind w:firstLine="600"/>
        <w:jc w:val="left"/>
        <w:rPr>
          <w:rFonts w:ascii="仿宋" w:hAnsi="仿宋" w:eastAsia="仿宋" w:cs="仿宋"/>
          <w:b/>
          <w:color w:val="auto"/>
          <w:sz w:val="28"/>
          <w:highlight w:val="none"/>
        </w:rPr>
      </w:pPr>
      <w:r>
        <w:rPr>
          <w:rFonts w:ascii="仿宋" w:hAnsi="仿宋" w:eastAsia="仿宋" w:cs="仿宋"/>
          <w:b/>
          <w:color w:val="auto"/>
          <w:sz w:val="28"/>
          <w:highlight w:val="none"/>
        </w:rPr>
        <w:t>一、</w:t>
      </w:r>
      <w:r>
        <w:rPr>
          <w:rFonts w:hint="eastAsia" w:ascii="仿宋" w:hAnsi="仿宋" w:eastAsia="仿宋" w:cs="仿宋"/>
          <w:b/>
          <w:color w:val="auto"/>
          <w:sz w:val="28"/>
          <w:highlight w:val="none"/>
        </w:rPr>
        <w:t>工程概况</w:t>
      </w:r>
      <w:r>
        <w:rPr>
          <w:rFonts w:ascii="仿宋" w:hAnsi="仿宋" w:eastAsia="仿宋" w:cs="仿宋"/>
          <w:b/>
          <w:color w:val="auto"/>
          <w:sz w:val="28"/>
          <w:highlight w:val="none"/>
        </w:rPr>
        <w:t>：</w:t>
      </w:r>
    </w:p>
    <w:p w14:paraId="3DFBBB8A">
      <w:pPr>
        <w:spacing w:line="360" w:lineRule="auto"/>
        <w:ind w:firstLine="600"/>
        <w:jc w:val="left"/>
        <w:rPr>
          <w:rFonts w:ascii="仿宋" w:hAnsi="仿宋" w:eastAsia="仿宋" w:cs="仿宋"/>
          <w:b/>
          <w:color w:val="auto"/>
          <w:sz w:val="28"/>
          <w:highlight w:val="none"/>
        </w:rPr>
      </w:pPr>
      <w:r>
        <w:rPr>
          <w:rFonts w:hint="eastAsia" w:ascii="仿宋" w:hAnsi="仿宋" w:eastAsia="仿宋" w:cs="仿宋"/>
          <w:b/>
          <w:color w:val="auto"/>
          <w:sz w:val="28"/>
          <w:highlight w:val="none"/>
        </w:rPr>
        <w:t>工程名称：</w:t>
      </w:r>
      <w:r>
        <w:rPr>
          <w:rFonts w:hint="eastAsia" w:ascii="仿宋" w:hAnsi="仿宋" w:eastAsia="仿宋" w:cs="仿宋"/>
          <w:b/>
          <w:color w:val="auto"/>
          <w:sz w:val="28"/>
          <w:highlight w:val="none"/>
          <w:u w:val="single"/>
        </w:rPr>
        <w:t xml:space="preserve"> 高低压配电   </w:t>
      </w:r>
      <w:r>
        <w:rPr>
          <w:rFonts w:ascii="仿宋" w:hAnsi="仿宋" w:eastAsia="仿宋" w:cs="仿宋"/>
          <w:b/>
          <w:color w:val="auto"/>
          <w:sz w:val="28"/>
          <w:highlight w:val="none"/>
        </w:rPr>
        <w:t>工程。</w:t>
      </w:r>
    </w:p>
    <w:p w14:paraId="7D567326">
      <w:pPr>
        <w:spacing w:line="360" w:lineRule="auto"/>
        <w:ind w:firstLine="562" w:firstLineChars="200"/>
        <w:rPr>
          <w:rFonts w:ascii="仿宋" w:hAnsi="仿宋" w:eastAsia="仿宋" w:cs="仿宋"/>
          <w:color w:val="auto"/>
          <w:sz w:val="28"/>
          <w:highlight w:val="none"/>
        </w:rPr>
      </w:pPr>
      <w:r>
        <w:rPr>
          <w:rFonts w:hint="eastAsia" w:ascii="仿宋" w:hAnsi="仿宋" w:eastAsia="仿宋" w:cs="仿宋"/>
          <w:b/>
          <w:color w:val="auto"/>
          <w:sz w:val="28"/>
          <w:highlight w:val="none"/>
        </w:rPr>
        <w:t>工程地点：</w:t>
      </w:r>
      <w:r>
        <w:rPr>
          <w:rFonts w:hint="eastAsia" w:ascii="仿宋" w:hAnsi="仿宋" w:eastAsia="仿宋" w:cs="仿宋"/>
          <w:color w:val="auto"/>
          <w:sz w:val="28"/>
          <w:highlight w:val="none"/>
        </w:rPr>
        <w:t>广州市黄埔区</w:t>
      </w:r>
    </w:p>
    <w:p w14:paraId="788C66B9">
      <w:pPr>
        <w:spacing w:line="360" w:lineRule="auto"/>
        <w:ind w:firstLine="1968" w:firstLineChars="700"/>
        <w:rPr>
          <w:rFonts w:ascii="仿宋" w:hAnsi="仿宋" w:eastAsia="仿宋" w:cs="仿宋"/>
          <w:b/>
          <w:color w:val="auto"/>
          <w:sz w:val="28"/>
          <w:highlight w:val="none"/>
        </w:rPr>
      </w:pPr>
      <w:r>
        <w:rPr>
          <w:rFonts w:hint="eastAsia" w:ascii="仿宋" w:hAnsi="仿宋" w:eastAsia="仿宋" w:cs="仿宋"/>
          <w:b/>
          <w:color w:val="auto"/>
          <w:sz w:val="28"/>
          <w:highlight w:val="none"/>
        </w:rPr>
        <w:t>承包范围：高低压配电工程</w:t>
      </w:r>
    </w:p>
    <w:p w14:paraId="3D4DB308">
      <w:pPr>
        <w:pStyle w:val="222"/>
        <w:rPr>
          <w:color w:val="auto"/>
          <w:highlight w:val="none"/>
        </w:rPr>
      </w:pPr>
    </w:p>
    <w:p w14:paraId="68D9FC11">
      <w:pPr>
        <w:spacing w:line="360" w:lineRule="auto"/>
        <w:ind w:firstLine="600"/>
        <w:jc w:val="left"/>
        <w:rPr>
          <w:rFonts w:eastAsia="Times New Roman"/>
          <w:color w:val="auto"/>
          <w:sz w:val="24"/>
          <w:szCs w:val="24"/>
          <w:highlight w:val="none"/>
        </w:rPr>
      </w:pPr>
      <w:r>
        <w:rPr>
          <w:rFonts w:hint="eastAsia" w:ascii="仿宋" w:hAnsi="仿宋" w:eastAsia="仿宋" w:cs="仿宋"/>
          <w:b/>
          <w:color w:val="auto"/>
          <w:sz w:val="28"/>
          <w:highlight w:val="none"/>
        </w:rPr>
        <w:t>二</w:t>
      </w:r>
      <w:r>
        <w:rPr>
          <w:rFonts w:ascii="仿宋" w:hAnsi="仿宋" w:eastAsia="仿宋" w:cs="仿宋"/>
          <w:b/>
          <w:color w:val="auto"/>
          <w:sz w:val="28"/>
          <w:highlight w:val="none"/>
        </w:rPr>
        <w:t>、</w:t>
      </w:r>
      <w:r>
        <w:rPr>
          <w:rFonts w:hint="eastAsia" w:ascii="仿宋" w:hAnsi="仿宋" w:eastAsia="仿宋" w:cs="仿宋"/>
          <w:b/>
          <w:color w:val="auto"/>
          <w:sz w:val="28"/>
          <w:highlight w:val="none"/>
        </w:rPr>
        <w:t>工程造价及工程款支付：</w:t>
      </w:r>
      <w:r>
        <w:rPr>
          <w:rFonts w:hint="eastAsia" w:ascii="仿宋" w:hAnsi="仿宋" w:eastAsia="仿宋" w:cs="仿宋"/>
          <w:color w:val="auto"/>
          <w:sz w:val="28"/>
          <w:highlight w:val="none"/>
        </w:rPr>
        <w:t>暂定含税总金额</w:t>
      </w:r>
      <w:r>
        <w:rPr>
          <w:rFonts w:ascii="仿宋" w:hAnsi="仿宋" w:eastAsia="仿宋" w:cs="仿宋"/>
          <w:color w:val="auto"/>
          <w:sz w:val="28"/>
          <w:highlight w:val="none"/>
        </w:rPr>
        <w:t>人民币____元整，</w:t>
      </w:r>
      <w:r>
        <w:rPr>
          <w:rFonts w:hint="eastAsia" w:ascii="仿宋" w:hAnsi="仿宋" w:eastAsia="仿宋" w:cs="仿宋"/>
          <w:color w:val="auto"/>
          <w:sz w:val="28"/>
          <w:highlight w:val="none"/>
        </w:rPr>
        <w:t>税金总额</w:t>
      </w:r>
      <w:r>
        <w:rPr>
          <w:rFonts w:ascii="仿宋" w:hAnsi="仿宋" w:eastAsia="仿宋" w:cs="仿宋"/>
          <w:color w:val="auto"/>
          <w:sz w:val="28"/>
          <w:highlight w:val="none"/>
        </w:rPr>
        <w:t>人民币____元整</w:t>
      </w:r>
      <w:r>
        <w:rPr>
          <w:rFonts w:hint="eastAsia" w:ascii="仿宋" w:hAnsi="仿宋" w:eastAsia="仿宋" w:cs="仿宋"/>
          <w:color w:val="auto"/>
          <w:sz w:val="28"/>
          <w:highlight w:val="none"/>
        </w:rPr>
        <w:t xml:space="preserve">（税率  %），由发包方支付，具体支付方式以双方签订的分包协议为准。                    </w:t>
      </w:r>
    </w:p>
    <w:p w14:paraId="0DA800EE">
      <w:pPr>
        <w:spacing w:line="360" w:lineRule="auto"/>
        <w:ind w:firstLine="600"/>
        <w:jc w:val="left"/>
        <w:rPr>
          <w:rFonts w:eastAsia="Times New Roman"/>
          <w:color w:val="auto"/>
          <w:sz w:val="24"/>
          <w:szCs w:val="24"/>
          <w:highlight w:val="none"/>
        </w:rPr>
      </w:pPr>
      <w:r>
        <w:rPr>
          <w:rFonts w:hint="eastAsia" w:ascii="仿宋" w:hAnsi="仿宋" w:eastAsia="仿宋" w:cs="仿宋"/>
          <w:b/>
          <w:color w:val="auto"/>
          <w:sz w:val="28"/>
          <w:highlight w:val="none"/>
        </w:rPr>
        <w:t>三</w:t>
      </w:r>
      <w:r>
        <w:rPr>
          <w:rFonts w:ascii="仿宋" w:hAnsi="仿宋" w:eastAsia="仿宋" w:cs="仿宋"/>
          <w:b/>
          <w:color w:val="auto"/>
          <w:sz w:val="28"/>
          <w:highlight w:val="none"/>
        </w:rPr>
        <w:t>、</w:t>
      </w:r>
      <w:r>
        <w:rPr>
          <w:rFonts w:hint="eastAsia" w:ascii="仿宋" w:hAnsi="仿宋" w:eastAsia="仿宋" w:cs="仿宋"/>
          <w:b/>
          <w:color w:val="auto"/>
          <w:sz w:val="28"/>
          <w:highlight w:val="none"/>
        </w:rPr>
        <w:t>发包方</w:t>
      </w:r>
      <w:r>
        <w:rPr>
          <w:rFonts w:ascii="仿宋" w:hAnsi="仿宋" w:eastAsia="仿宋" w:cs="仿宋"/>
          <w:b/>
          <w:color w:val="auto"/>
          <w:sz w:val="28"/>
          <w:highlight w:val="none"/>
        </w:rPr>
        <w:t>责任</w:t>
      </w:r>
    </w:p>
    <w:p w14:paraId="01385B65">
      <w:pPr>
        <w:spacing w:line="360" w:lineRule="auto"/>
        <w:ind w:firstLine="600"/>
        <w:jc w:val="left"/>
        <w:rPr>
          <w:rFonts w:ascii="仿宋" w:hAnsi="仿宋" w:eastAsia="仿宋" w:cs="仿宋"/>
          <w:color w:val="auto"/>
          <w:sz w:val="28"/>
          <w:highlight w:val="none"/>
        </w:rPr>
      </w:pPr>
      <w:r>
        <w:rPr>
          <w:rFonts w:ascii="仿宋" w:hAnsi="仿宋" w:eastAsia="仿宋" w:cs="仿宋"/>
          <w:b/>
          <w:color w:val="auto"/>
          <w:sz w:val="28"/>
          <w:highlight w:val="none"/>
        </w:rPr>
        <w:t>1.</w:t>
      </w:r>
      <w:r>
        <w:rPr>
          <w:rFonts w:ascii="仿宋" w:hAnsi="仿宋" w:eastAsia="仿宋" w:cs="仿宋"/>
          <w:color w:val="auto"/>
          <w:sz w:val="28"/>
          <w:highlight w:val="none"/>
        </w:rPr>
        <w:t>负责现场的协调和管理，处理总包方、分包方之间的相关事宜。</w:t>
      </w:r>
    </w:p>
    <w:p w14:paraId="6A16D641">
      <w:pPr>
        <w:widowControl/>
        <w:spacing w:line="360" w:lineRule="auto"/>
        <w:ind w:firstLine="6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2.负责要求分包人根据总包合同工期节点要求按期进场施工；</w:t>
      </w:r>
    </w:p>
    <w:p w14:paraId="09266E09">
      <w:pPr>
        <w:widowControl/>
        <w:spacing w:line="360" w:lineRule="auto"/>
        <w:ind w:firstLine="6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3.负责及时向总包方、分包方下发足够数量的各专业施工蓝图；</w:t>
      </w:r>
    </w:p>
    <w:p w14:paraId="2257F5DC">
      <w:pPr>
        <w:widowControl/>
        <w:spacing w:line="360" w:lineRule="auto"/>
        <w:ind w:firstLine="600"/>
        <w:jc w:val="left"/>
        <w:rPr>
          <w:rFonts w:ascii="仿宋" w:hAnsi="仿宋" w:eastAsia="仿宋" w:cs="仿宋"/>
          <w:color w:val="auto"/>
          <w:sz w:val="28"/>
          <w:highlight w:val="none"/>
        </w:rPr>
      </w:pPr>
      <w:r>
        <w:rPr>
          <w:rFonts w:hint="eastAsia" w:ascii="仿宋" w:hAnsi="仿宋" w:eastAsia="仿宋" w:cs="仿宋"/>
          <w:b/>
          <w:color w:val="auto"/>
          <w:sz w:val="28"/>
          <w:highlight w:val="none"/>
        </w:rPr>
        <w:t>4</w:t>
      </w:r>
      <w:r>
        <w:rPr>
          <w:rFonts w:ascii="仿宋" w:hAnsi="仿宋" w:eastAsia="仿宋" w:cs="仿宋"/>
          <w:b/>
          <w:color w:val="auto"/>
          <w:sz w:val="28"/>
          <w:highlight w:val="none"/>
        </w:rPr>
        <w:t>.</w:t>
      </w:r>
      <w:r>
        <w:rPr>
          <w:rFonts w:ascii="仿宋" w:hAnsi="仿宋" w:eastAsia="仿宋" w:cs="仿宋"/>
          <w:color w:val="auto"/>
          <w:sz w:val="28"/>
          <w:highlight w:val="none"/>
        </w:rPr>
        <w:t>负责及时向分包方支付工程进度款及尾款</w:t>
      </w:r>
      <w:r>
        <w:rPr>
          <w:rFonts w:hint="eastAsia" w:ascii="仿宋" w:hAnsi="仿宋" w:eastAsia="仿宋" w:cs="仿宋"/>
          <w:color w:val="auto"/>
          <w:sz w:val="28"/>
          <w:highlight w:val="none"/>
        </w:rPr>
        <w:t>；</w:t>
      </w:r>
    </w:p>
    <w:p w14:paraId="237FC14E">
      <w:pPr>
        <w:widowControl/>
        <w:spacing w:line="360" w:lineRule="auto"/>
        <w:ind w:firstLine="6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5.监督总包方与分包方另行签订《总承包管理协议》及《安全管理协议》《工人工资管理协议》。</w:t>
      </w:r>
    </w:p>
    <w:p w14:paraId="772792A4">
      <w:pPr>
        <w:pStyle w:val="222"/>
        <w:rPr>
          <w:color w:val="auto"/>
          <w:highlight w:val="none"/>
        </w:rPr>
      </w:pPr>
    </w:p>
    <w:p w14:paraId="44319E74">
      <w:pPr>
        <w:spacing w:line="360" w:lineRule="auto"/>
        <w:ind w:firstLine="600"/>
        <w:jc w:val="left"/>
        <w:rPr>
          <w:rFonts w:eastAsia="Times New Roman"/>
          <w:color w:val="auto"/>
          <w:sz w:val="24"/>
          <w:szCs w:val="24"/>
          <w:highlight w:val="none"/>
        </w:rPr>
      </w:pPr>
      <w:r>
        <w:rPr>
          <w:rFonts w:hint="eastAsia" w:ascii="仿宋" w:hAnsi="仿宋" w:eastAsia="仿宋" w:cs="仿宋"/>
          <w:b/>
          <w:color w:val="auto"/>
          <w:sz w:val="28"/>
          <w:highlight w:val="none"/>
        </w:rPr>
        <w:t>四</w:t>
      </w:r>
      <w:r>
        <w:rPr>
          <w:rFonts w:ascii="仿宋" w:hAnsi="仿宋" w:eastAsia="仿宋" w:cs="仿宋"/>
          <w:b/>
          <w:color w:val="auto"/>
          <w:sz w:val="28"/>
          <w:highlight w:val="none"/>
        </w:rPr>
        <w:t>、总包方的工作</w:t>
      </w:r>
    </w:p>
    <w:p w14:paraId="3E98B22A">
      <w:pPr>
        <w:spacing w:line="360" w:lineRule="auto"/>
        <w:ind w:firstLine="600"/>
        <w:jc w:val="left"/>
        <w:rPr>
          <w:rFonts w:eastAsia="Times New Roman"/>
          <w:color w:val="auto"/>
          <w:sz w:val="24"/>
          <w:szCs w:val="24"/>
          <w:highlight w:val="none"/>
        </w:rPr>
      </w:pPr>
      <w:r>
        <w:rPr>
          <w:rFonts w:ascii="仿宋" w:hAnsi="仿宋" w:eastAsia="仿宋" w:cs="仿宋"/>
          <w:b/>
          <w:color w:val="auto"/>
          <w:sz w:val="28"/>
          <w:highlight w:val="none"/>
        </w:rPr>
        <w:t>1.</w:t>
      </w:r>
      <w:r>
        <w:rPr>
          <w:rFonts w:ascii="仿宋" w:hAnsi="仿宋" w:eastAsia="仿宋" w:cs="仿宋"/>
          <w:color w:val="auto"/>
          <w:sz w:val="28"/>
          <w:highlight w:val="none"/>
        </w:rPr>
        <w:t>负责对分包单位进场后的现场安全文明施工管理、服务、配合、协调。</w:t>
      </w:r>
    </w:p>
    <w:p w14:paraId="02F7CFED">
      <w:pPr>
        <w:spacing w:line="360" w:lineRule="auto"/>
        <w:ind w:firstLine="600"/>
        <w:jc w:val="left"/>
        <w:rPr>
          <w:rFonts w:eastAsia="Times New Roman"/>
          <w:color w:val="auto"/>
          <w:sz w:val="24"/>
          <w:szCs w:val="24"/>
          <w:highlight w:val="none"/>
        </w:rPr>
      </w:pPr>
      <w:r>
        <w:rPr>
          <w:rFonts w:ascii="仿宋" w:hAnsi="仿宋" w:eastAsia="仿宋" w:cs="仿宋"/>
          <w:b/>
          <w:color w:val="auto"/>
          <w:sz w:val="28"/>
          <w:highlight w:val="none"/>
        </w:rPr>
        <w:t>2.</w:t>
      </w:r>
      <w:r>
        <w:rPr>
          <w:rFonts w:ascii="仿宋" w:hAnsi="仿宋" w:eastAsia="仿宋" w:cs="仿宋"/>
          <w:color w:val="auto"/>
          <w:sz w:val="28"/>
          <w:highlight w:val="none"/>
        </w:rPr>
        <w:t>负责现场临时水电的统一管理。</w:t>
      </w:r>
    </w:p>
    <w:p w14:paraId="77F06254">
      <w:pPr>
        <w:spacing w:line="360" w:lineRule="auto"/>
        <w:ind w:firstLine="600"/>
        <w:jc w:val="left"/>
        <w:rPr>
          <w:rFonts w:eastAsia="Times New Roman"/>
          <w:color w:val="auto"/>
          <w:sz w:val="24"/>
          <w:szCs w:val="24"/>
          <w:highlight w:val="none"/>
        </w:rPr>
      </w:pPr>
      <w:r>
        <w:rPr>
          <w:rFonts w:ascii="仿宋" w:hAnsi="仿宋" w:eastAsia="仿宋" w:cs="仿宋"/>
          <w:b/>
          <w:color w:val="auto"/>
          <w:sz w:val="28"/>
          <w:highlight w:val="none"/>
        </w:rPr>
        <w:t>3.</w:t>
      </w:r>
      <w:r>
        <w:rPr>
          <w:rFonts w:ascii="仿宋" w:hAnsi="仿宋" w:eastAsia="仿宋" w:cs="仿宋"/>
          <w:color w:val="auto"/>
          <w:sz w:val="28"/>
          <w:highlight w:val="none"/>
        </w:rPr>
        <w:t>在不妨碍</w:t>
      </w:r>
      <w:r>
        <w:rPr>
          <w:rFonts w:hint="eastAsia" w:ascii="仿宋" w:hAnsi="仿宋" w:eastAsia="仿宋" w:cs="仿宋"/>
          <w:color w:val="auto"/>
          <w:sz w:val="28"/>
          <w:highlight w:val="none"/>
        </w:rPr>
        <w:t>总包方</w:t>
      </w:r>
      <w:r>
        <w:rPr>
          <w:rFonts w:ascii="仿宋" w:hAnsi="仿宋" w:eastAsia="仿宋" w:cs="仿宋"/>
          <w:color w:val="auto"/>
          <w:sz w:val="28"/>
          <w:highlight w:val="none"/>
        </w:rPr>
        <w:t>优先使用的前提下，合理安排分包</w:t>
      </w:r>
      <w:r>
        <w:rPr>
          <w:rFonts w:hint="eastAsia" w:ascii="仿宋" w:hAnsi="仿宋" w:eastAsia="仿宋" w:cs="仿宋"/>
          <w:color w:val="auto"/>
          <w:sz w:val="28"/>
          <w:highlight w:val="none"/>
        </w:rPr>
        <w:t>方</w:t>
      </w:r>
      <w:r>
        <w:rPr>
          <w:rFonts w:ascii="仿宋" w:hAnsi="仿宋" w:eastAsia="仿宋" w:cs="仿宋"/>
          <w:color w:val="auto"/>
          <w:sz w:val="28"/>
          <w:highlight w:val="none"/>
        </w:rPr>
        <w:t>使用总包现场内的施工机械、脚手架等设备。</w:t>
      </w:r>
    </w:p>
    <w:p w14:paraId="5BF9294D">
      <w:pPr>
        <w:spacing w:line="360" w:lineRule="auto"/>
        <w:ind w:firstLine="600"/>
        <w:jc w:val="left"/>
        <w:rPr>
          <w:rFonts w:ascii="仿宋" w:hAnsi="仿宋" w:eastAsia="仿宋" w:cs="仿宋"/>
          <w:color w:val="auto"/>
          <w:sz w:val="28"/>
          <w:highlight w:val="none"/>
        </w:rPr>
      </w:pPr>
      <w:r>
        <w:rPr>
          <w:rFonts w:ascii="仿宋" w:hAnsi="仿宋" w:eastAsia="仿宋" w:cs="仿宋"/>
          <w:b/>
          <w:color w:val="auto"/>
          <w:sz w:val="28"/>
          <w:highlight w:val="none"/>
        </w:rPr>
        <w:t>4.</w:t>
      </w:r>
      <w:r>
        <w:rPr>
          <w:rFonts w:hint="eastAsia" w:ascii="仿宋" w:hAnsi="仿宋" w:eastAsia="仿宋" w:cs="仿宋"/>
          <w:color w:val="auto"/>
          <w:sz w:val="28"/>
          <w:highlight w:val="none"/>
        </w:rPr>
        <w:t> 向分包方提供现场工作证，同时向分包方提供有关规章制度，便于分包方遵照执行。</w:t>
      </w:r>
    </w:p>
    <w:p w14:paraId="00B25840">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5.  配合发包方，为分包方进场施工提供方便，负责提供分包方进场生产</w:t>
      </w:r>
      <w:r>
        <w:rPr>
          <w:rFonts w:hint="eastAsia" w:ascii="仿宋" w:hAnsi="仿宋" w:eastAsia="仿宋" w:cs="仿宋"/>
          <w:color w:val="auto"/>
          <w:sz w:val="28"/>
          <w:highlight w:val="none"/>
          <w:lang w:eastAsia="zh-CN"/>
        </w:rPr>
        <w:t>必需的</w:t>
      </w:r>
      <w:r>
        <w:rPr>
          <w:rFonts w:hint="eastAsia" w:ascii="仿宋" w:hAnsi="仿宋" w:eastAsia="仿宋" w:cs="仿宋"/>
          <w:color w:val="auto"/>
          <w:sz w:val="28"/>
          <w:highlight w:val="none"/>
        </w:rPr>
        <w:t>场地。</w:t>
      </w:r>
    </w:p>
    <w:p w14:paraId="54F04A98">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6.  总包方为本工程提供配合和管理，对本工程进行施工总协调，参加本工程的单位工程验收和竣工验收。</w:t>
      </w:r>
    </w:p>
    <w:p w14:paraId="216A7DAB">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7.  </w:t>
      </w:r>
      <w:r>
        <w:rPr>
          <w:rFonts w:hint="eastAsia" w:ascii="仿宋" w:hAnsi="仿宋" w:eastAsia="仿宋" w:cs="仿宋"/>
          <w:color w:val="auto"/>
          <w:kern w:val="0"/>
          <w:sz w:val="28"/>
          <w:szCs w:val="24"/>
          <w:highlight w:val="none"/>
          <w:lang w:bidi="ar"/>
        </w:rPr>
        <w:t>分包方工程资料归档完整并经总包方审核通过后，自行保管。待总包方整体移交档案馆前，分包方按总包方要求进行整理、扫描、归档及移交工作。</w:t>
      </w:r>
      <w:r>
        <w:rPr>
          <w:rFonts w:hint="eastAsia" w:ascii="仿宋" w:hAnsi="仿宋" w:eastAsia="仿宋" w:cs="仿宋"/>
          <w:color w:val="auto"/>
          <w:sz w:val="28"/>
          <w:highlight w:val="none"/>
        </w:rPr>
        <w:t> </w:t>
      </w:r>
    </w:p>
    <w:p w14:paraId="0D63BCE6">
      <w:pPr>
        <w:pStyle w:val="222"/>
        <w:rPr>
          <w:color w:val="auto"/>
          <w:highlight w:val="none"/>
        </w:rPr>
      </w:pPr>
    </w:p>
    <w:p w14:paraId="46528ABD">
      <w:pPr>
        <w:spacing w:line="360" w:lineRule="auto"/>
        <w:ind w:firstLine="600"/>
        <w:jc w:val="left"/>
        <w:rPr>
          <w:rFonts w:eastAsia="Times New Roman"/>
          <w:color w:val="auto"/>
          <w:sz w:val="24"/>
          <w:szCs w:val="24"/>
          <w:highlight w:val="none"/>
        </w:rPr>
      </w:pPr>
      <w:r>
        <w:rPr>
          <w:rFonts w:hint="eastAsia" w:ascii="仿宋" w:hAnsi="仿宋" w:eastAsia="仿宋" w:cs="仿宋"/>
          <w:b/>
          <w:color w:val="auto"/>
          <w:sz w:val="28"/>
          <w:highlight w:val="none"/>
        </w:rPr>
        <w:t>五</w:t>
      </w:r>
      <w:r>
        <w:rPr>
          <w:rFonts w:ascii="仿宋" w:hAnsi="仿宋" w:eastAsia="仿宋" w:cs="仿宋"/>
          <w:b/>
          <w:color w:val="auto"/>
          <w:sz w:val="28"/>
          <w:highlight w:val="none"/>
        </w:rPr>
        <w:t>、分包方的工作</w:t>
      </w:r>
    </w:p>
    <w:p w14:paraId="67A13D90">
      <w:pPr>
        <w:widowControl/>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1.</w:t>
      </w:r>
      <w:r>
        <w:rPr>
          <w:rFonts w:hint="eastAsia" w:ascii="仿宋" w:hAnsi="仿宋" w:eastAsia="仿宋" w:cs="仿宋"/>
          <w:color w:val="auto"/>
          <w:kern w:val="0"/>
          <w:sz w:val="28"/>
          <w:szCs w:val="24"/>
          <w:highlight w:val="none"/>
          <w:lang w:bidi="ar"/>
        </w:rPr>
        <w:t>分包单位进场的人员、材料、施工机具、机械设备均应满足总包方各项管理要求</w:t>
      </w:r>
    </w:p>
    <w:p w14:paraId="2FC3B367">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2.  分包方必须严格按工程有关文件采用的技术规范、工程质量标准、施工图要求组织实施，质量必须达到</w:t>
      </w:r>
      <w:r>
        <w:rPr>
          <w:rFonts w:hint="eastAsia" w:ascii="仿宋" w:hAnsi="仿宋" w:eastAsia="仿宋" w:cs="仿宋"/>
          <w:color w:val="auto"/>
          <w:kern w:val="0"/>
          <w:sz w:val="28"/>
          <w:szCs w:val="24"/>
          <w:highlight w:val="none"/>
          <w:lang w:bidi="ar"/>
        </w:rPr>
        <w:t>合同约定标准；严格执行样板引路制度，未经样板验收的工序严禁大面施工，否则分包方承担相应的违约责任。</w:t>
      </w:r>
    </w:p>
    <w:p w14:paraId="01C63417">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3.  </w:t>
      </w:r>
      <w:r>
        <w:rPr>
          <w:rFonts w:hint="eastAsia" w:ascii="仿宋" w:hAnsi="仿宋" w:eastAsia="仿宋" w:cs="仿宋"/>
          <w:color w:val="auto"/>
          <w:kern w:val="0"/>
          <w:sz w:val="28"/>
          <w:szCs w:val="24"/>
          <w:highlight w:val="none"/>
          <w:lang w:bidi="ar"/>
        </w:rPr>
        <w:t>分包方进场后须及时上报项目管理组织架构，经发包方、总包方审核确认。审核通过后如需进行人员变更，必须提前一周以书面形式上报发包方及总包方，经审批通过方可变更。否则，分包方承担相应违约责任。</w:t>
      </w:r>
    </w:p>
    <w:p w14:paraId="2BC8F647">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4.  对工程进度、质量、安全、环保文明施工、保修等承担直接责任。</w:t>
      </w:r>
    </w:p>
    <w:p w14:paraId="579CC3CE">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5.  以下总包方认为分包方无法胜任的工作人员，经发包方同意，必须在24小时内调离本工程项目，同时，分包方应在48小时内用发包方批准的合格的人员代替上述调离的人员。</w:t>
      </w:r>
    </w:p>
    <w:p w14:paraId="3410A7A7">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1）</w:t>
      </w:r>
      <w:r>
        <w:rPr>
          <w:rFonts w:hint="eastAsia" w:ascii="仿宋" w:hAnsi="仿宋" w:eastAsia="仿宋" w:cs="仿宋"/>
          <w:color w:val="auto"/>
          <w:sz w:val="28"/>
          <w:highlight w:val="none"/>
        </w:rPr>
        <w:t xml:space="preserve"> 对施工进度及质量达不到合同要求负有责任的施工人员；</w:t>
      </w:r>
    </w:p>
    <w:p w14:paraId="7DFC8822">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2）</w:t>
      </w:r>
      <w:r>
        <w:rPr>
          <w:rFonts w:hint="eastAsia" w:ascii="仿宋" w:hAnsi="仿宋" w:eastAsia="仿宋" w:cs="仿宋"/>
          <w:color w:val="auto"/>
          <w:sz w:val="28"/>
          <w:highlight w:val="none"/>
        </w:rPr>
        <w:t xml:space="preserve"> 专业水平达不到岗位要求、工作责任心不强的施工人员；</w:t>
      </w:r>
    </w:p>
    <w:p w14:paraId="5BFF71B7">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3）</w:t>
      </w:r>
      <w:r>
        <w:rPr>
          <w:rFonts w:hint="eastAsia" w:ascii="仿宋" w:hAnsi="仿宋" w:eastAsia="仿宋" w:cs="仿宋"/>
          <w:color w:val="auto"/>
          <w:sz w:val="28"/>
          <w:highlight w:val="none"/>
        </w:rPr>
        <w:t xml:space="preserve"> </w:t>
      </w:r>
      <w:r>
        <w:rPr>
          <w:rFonts w:hint="eastAsia" w:ascii="仿宋" w:hAnsi="仿宋" w:eastAsia="仿宋" w:cs="仿宋"/>
          <w:color w:val="auto"/>
          <w:sz w:val="28"/>
          <w:highlight w:val="none"/>
          <w:lang w:eastAsia="zh-CN"/>
        </w:rPr>
        <w:t>违反</w:t>
      </w:r>
      <w:r>
        <w:rPr>
          <w:rFonts w:hint="eastAsia" w:ascii="仿宋" w:hAnsi="仿宋" w:eastAsia="仿宋" w:cs="仿宋"/>
          <w:color w:val="auto"/>
          <w:sz w:val="28"/>
          <w:highlight w:val="none"/>
        </w:rPr>
        <w:t>发包方或总包方工地现场管理规定者；</w:t>
      </w:r>
    </w:p>
    <w:p w14:paraId="71BA72F0">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4）</w:t>
      </w:r>
      <w:r>
        <w:rPr>
          <w:rFonts w:hint="eastAsia" w:ascii="仿宋" w:hAnsi="仿宋" w:eastAsia="仿宋" w:cs="仿宋"/>
          <w:color w:val="auto"/>
          <w:sz w:val="28"/>
          <w:highlight w:val="none"/>
        </w:rPr>
        <w:t xml:space="preserve"> 无证上岗者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适用于按规定必须上岗证</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w:t>
      </w:r>
    </w:p>
    <w:p w14:paraId="18D84BE3">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5）</w:t>
      </w:r>
      <w:r>
        <w:rPr>
          <w:rFonts w:hint="eastAsia" w:ascii="仿宋" w:hAnsi="仿宋" w:eastAsia="仿宋" w:cs="仿宋"/>
          <w:color w:val="auto"/>
          <w:sz w:val="28"/>
          <w:highlight w:val="none"/>
        </w:rPr>
        <w:t xml:space="preserve"> 与本工程施工无关的人员等；</w:t>
      </w:r>
    </w:p>
    <w:p w14:paraId="3CE4101E">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6）</w:t>
      </w:r>
      <w:r>
        <w:rPr>
          <w:rFonts w:hint="eastAsia" w:ascii="仿宋" w:hAnsi="仿宋" w:eastAsia="仿宋" w:cs="仿宋"/>
          <w:color w:val="auto"/>
          <w:sz w:val="28"/>
          <w:highlight w:val="none"/>
        </w:rPr>
        <w:t xml:space="preserve"> 不服从总包现场管理者。</w:t>
      </w:r>
    </w:p>
    <w:p w14:paraId="144B21C6">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6.  遵守总包方施工现场各项管理制度，服从总包方的管理，做好分包范围内的现场文明施工。</w:t>
      </w:r>
    </w:p>
    <w:p w14:paraId="215B585D">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7.  及时向发包方、总包方提供工程进度计划及工程进度报表并对报表的正确性、完整性负主要责任。  </w:t>
      </w:r>
    </w:p>
    <w:p w14:paraId="48599A70">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8.  自行组织和配合与监理、总包方的预检、隐检、材料检验、试验等达到工程合格标准所要求的一切工作，提供满足专项验收要求的所有技术资料。  </w:t>
      </w:r>
    </w:p>
    <w:p w14:paraId="30868C6F">
      <w:pPr>
        <w:spacing w:line="360" w:lineRule="auto"/>
        <w:ind w:firstLine="600"/>
        <w:jc w:val="left"/>
        <w:rPr>
          <w:rFonts w:ascii="仿宋" w:hAnsi="仿宋" w:eastAsia="仿宋" w:cs="仿宋"/>
          <w:color w:val="auto"/>
          <w:sz w:val="28"/>
          <w:szCs w:val="24"/>
          <w:highlight w:val="none"/>
        </w:rPr>
      </w:pPr>
      <w:r>
        <w:rPr>
          <w:rFonts w:hint="eastAsia" w:ascii="仿宋" w:hAnsi="仿宋" w:eastAsia="仿宋" w:cs="仿宋"/>
          <w:color w:val="auto"/>
          <w:sz w:val="28"/>
          <w:highlight w:val="none"/>
        </w:rPr>
        <w:t>9.  负责对自施部分及其施工范围内接收的成品保护工作。 </w:t>
      </w:r>
    </w:p>
    <w:p w14:paraId="34C65EAF">
      <w:pPr>
        <w:spacing w:line="360" w:lineRule="auto"/>
        <w:ind w:firstLine="600"/>
        <w:jc w:val="left"/>
        <w:rPr>
          <w:rFonts w:ascii="仿宋" w:hAnsi="仿宋" w:eastAsia="仿宋" w:cs="仿宋"/>
          <w:color w:val="auto"/>
          <w:sz w:val="28"/>
          <w:highlight w:val="none"/>
        </w:rPr>
      </w:pPr>
      <w:r>
        <w:rPr>
          <w:rFonts w:hint="eastAsia" w:ascii="仿宋" w:hAnsi="仿宋" w:eastAsia="仿宋" w:cs="仿宋"/>
          <w:bCs/>
          <w:color w:val="auto"/>
          <w:sz w:val="28"/>
          <w:highlight w:val="none"/>
        </w:rPr>
        <w:t>10</w:t>
      </w:r>
      <w:r>
        <w:rPr>
          <w:rFonts w:ascii="仿宋" w:hAnsi="仿宋" w:eastAsia="仿宋" w:cs="仿宋"/>
          <w:bCs/>
          <w:color w:val="auto"/>
          <w:sz w:val="28"/>
          <w:highlight w:val="none"/>
        </w:rPr>
        <w:t>.</w:t>
      </w:r>
      <w:r>
        <w:rPr>
          <w:rFonts w:ascii="仿宋" w:hAnsi="仿宋" w:eastAsia="仿宋" w:cs="仿宋"/>
          <w:color w:val="auto"/>
          <w:sz w:val="28"/>
          <w:highlight w:val="none"/>
        </w:rPr>
        <w:t>按照规范及</w:t>
      </w:r>
      <w:r>
        <w:rPr>
          <w:rFonts w:hint="eastAsia" w:ascii="仿宋" w:hAnsi="仿宋" w:eastAsia="仿宋" w:cs="仿宋"/>
          <w:color w:val="auto"/>
          <w:sz w:val="28"/>
          <w:highlight w:val="none"/>
        </w:rPr>
        <w:t>广州市黄埔区</w:t>
      </w:r>
      <w:r>
        <w:rPr>
          <w:rFonts w:ascii="仿宋" w:hAnsi="仿宋" w:eastAsia="仿宋" w:cs="仿宋"/>
          <w:color w:val="auto"/>
          <w:sz w:val="28"/>
          <w:highlight w:val="none"/>
        </w:rPr>
        <w:t>档案馆要求及时填报</w:t>
      </w:r>
      <w:r>
        <w:rPr>
          <w:rFonts w:hint="eastAsia" w:ascii="仿宋" w:hAnsi="仿宋" w:eastAsia="仿宋" w:cs="仿宋"/>
          <w:color w:val="auto"/>
          <w:sz w:val="28"/>
          <w:highlight w:val="none"/>
        </w:rPr>
        <w:t>本</w:t>
      </w:r>
      <w:r>
        <w:rPr>
          <w:rFonts w:ascii="仿宋" w:hAnsi="仿宋" w:eastAsia="仿宋" w:cs="仿宋"/>
          <w:color w:val="auto"/>
          <w:sz w:val="28"/>
          <w:highlight w:val="none"/>
        </w:rPr>
        <w:t>工程的各种相关技术资料，并将填报的各种资料</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包括竣工所需要的资料</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及时、完整的提供给总包，并对资料的正确性、完整性、真实性、可靠性负责。</w:t>
      </w:r>
    </w:p>
    <w:p w14:paraId="392B29AE">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11.分包方书面委托总包方代收代发分包方的农民工工资，分包方需及时按照总包方的格式要求整理提交工人工资资料，实施总承包代发工人工资。</w:t>
      </w:r>
    </w:p>
    <w:p w14:paraId="47EAC457">
      <w:pPr>
        <w:widowControl/>
        <w:spacing w:line="360" w:lineRule="auto"/>
        <w:jc w:val="left"/>
        <w:rPr>
          <w:rFonts w:ascii="仿宋" w:hAnsi="仿宋" w:eastAsia="仿宋" w:cs="仿宋"/>
          <w:color w:val="auto"/>
          <w:kern w:val="0"/>
          <w:sz w:val="28"/>
          <w:szCs w:val="24"/>
          <w:highlight w:val="none"/>
          <w:lang w:bidi="ar"/>
        </w:rPr>
      </w:pPr>
      <w:r>
        <w:rPr>
          <w:rFonts w:hint="eastAsia" w:ascii="仿宋" w:hAnsi="仿宋" w:eastAsia="仿宋" w:cs="仿宋"/>
          <w:color w:val="auto"/>
          <w:kern w:val="0"/>
          <w:sz w:val="28"/>
          <w:szCs w:val="24"/>
          <w:highlight w:val="none"/>
          <w:lang w:bidi="ar"/>
        </w:rPr>
        <w:t xml:space="preserve">    12.</w:t>
      </w:r>
      <w:r>
        <w:rPr>
          <w:rFonts w:ascii="仿宋" w:hAnsi="仿宋" w:eastAsia="仿宋" w:cs="仿宋"/>
          <w:color w:val="auto"/>
          <w:kern w:val="0"/>
          <w:sz w:val="28"/>
          <w:szCs w:val="24"/>
          <w:highlight w:val="none"/>
          <w:lang w:bidi="ar"/>
        </w:rPr>
        <w:t>分包单位</w:t>
      </w:r>
      <w:r>
        <w:rPr>
          <w:rFonts w:hint="eastAsia" w:ascii="仿宋" w:hAnsi="仿宋" w:eastAsia="仿宋" w:cs="仿宋"/>
          <w:color w:val="auto"/>
          <w:kern w:val="0"/>
          <w:sz w:val="28"/>
          <w:szCs w:val="24"/>
          <w:highlight w:val="none"/>
          <w:lang w:bidi="ar"/>
        </w:rPr>
        <w:t>必须</w:t>
      </w:r>
      <w:r>
        <w:rPr>
          <w:rFonts w:ascii="仿宋" w:hAnsi="仿宋" w:eastAsia="仿宋" w:cs="仿宋"/>
          <w:color w:val="auto"/>
          <w:kern w:val="0"/>
          <w:sz w:val="28"/>
          <w:szCs w:val="24"/>
          <w:highlight w:val="none"/>
          <w:lang w:bidi="ar"/>
        </w:rPr>
        <w:t>服从总包单位的安全管理要求，参加总包单位组织的各项安全检查、安全教育、安全验收、应急演练、安全会议等安全管理活动</w:t>
      </w:r>
      <w:r>
        <w:rPr>
          <w:rFonts w:hint="eastAsia" w:ascii="仿宋" w:hAnsi="仿宋" w:eastAsia="仿宋" w:cs="仿宋"/>
          <w:color w:val="auto"/>
          <w:kern w:val="0"/>
          <w:sz w:val="28"/>
          <w:szCs w:val="24"/>
          <w:highlight w:val="none"/>
          <w:lang w:bidi="ar"/>
        </w:rPr>
        <w:t>。</w:t>
      </w:r>
    </w:p>
    <w:p w14:paraId="147B0610">
      <w:pPr>
        <w:widowControl/>
        <w:spacing w:line="360" w:lineRule="auto"/>
        <w:ind w:firstLine="600"/>
        <w:jc w:val="left"/>
        <w:rPr>
          <w:rFonts w:ascii="仿宋" w:hAnsi="仿宋" w:eastAsia="仿宋" w:cs="仿宋"/>
          <w:color w:val="auto"/>
          <w:kern w:val="0"/>
          <w:sz w:val="28"/>
          <w:szCs w:val="24"/>
          <w:highlight w:val="none"/>
          <w:lang w:bidi="ar"/>
        </w:rPr>
      </w:pPr>
      <w:r>
        <w:rPr>
          <w:rFonts w:hint="eastAsia" w:ascii="仿宋" w:hAnsi="仿宋" w:eastAsia="仿宋" w:cs="仿宋"/>
          <w:color w:val="auto"/>
          <w:sz w:val="28"/>
          <w:highlight w:val="none"/>
          <w:lang w:bidi="ar"/>
        </w:rPr>
        <w:t>13.对分包安全检查不合格项目及时整改，如分包的现场安全管理隐患整改拖延或多次整改不合格，总包方提请发包方及监理方同意后有权直接采取措施整改闭合安全隐患，产生费用报发包方及监理审核同意后由分包单位承担。</w:t>
      </w:r>
    </w:p>
    <w:p w14:paraId="4EA46017">
      <w:pPr>
        <w:widowControl/>
        <w:numPr>
          <w:ilvl w:val="255"/>
          <w:numId w:val="0"/>
        </w:numPr>
        <w:spacing w:line="360" w:lineRule="auto"/>
        <w:ind w:firstLine="600"/>
        <w:jc w:val="left"/>
        <w:rPr>
          <w:rFonts w:ascii="仿宋" w:hAnsi="仿宋" w:eastAsia="仿宋" w:cs="仿宋"/>
          <w:color w:val="auto"/>
          <w:kern w:val="0"/>
          <w:sz w:val="28"/>
          <w:szCs w:val="24"/>
          <w:highlight w:val="none"/>
          <w:lang w:bidi="ar"/>
        </w:rPr>
      </w:pPr>
      <w:r>
        <w:rPr>
          <w:rFonts w:hint="eastAsia" w:ascii="仿宋" w:hAnsi="仿宋" w:eastAsia="仿宋" w:cs="仿宋"/>
          <w:color w:val="auto"/>
          <w:kern w:val="0"/>
          <w:sz w:val="28"/>
          <w:szCs w:val="24"/>
          <w:highlight w:val="none"/>
          <w:lang w:bidi="ar"/>
        </w:rPr>
        <w:t>14.</w:t>
      </w:r>
      <w:r>
        <w:rPr>
          <w:rFonts w:ascii="仿宋" w:hAnsi="仿宋" w:eastAsia="仿宋" w:cs="仿宋"/>
          <w:color w:val="auto"/>
          <w:kern w:val="0"/>
          <w:sz w:val="28"/>
          <w:szCs w:val="24"/>
          <w:highlight w:val="none"/>
          <w:lang w:bidi="ar"/>
        </w:rPr>
        <w:t>分包单位因自身原因，造成总体工期或其他分包单位工期延迟，分包单位独立承担一切连带责任，并且采取一切合理有效措施，在后期的施工中加快进度，否则总包有权对工期进行索赔。</w:t>
      </w:r>
    </w:p>
    <w:p w14:paraId="130728C0">
      <w:pPr>
        <w:widowControl/>
        <w:numPr>
          <w:ilvl w:val="255"/>
          <w:numId w:val="0"/>
        </w:numPr>
        <w:spacing w:line="360" w:lineRule="auto"/>
        <w:ind w:firstLine="600"/>
        <w:jc w:val="left"/>
        <w:rPr>
          <w:rFonts w:ascii="仿宋" w:hAnsi="仿宋" w:eastAsia="仿宋" w:cs="仿宋"/>
          <w:color w:val="auto"/>
          <w:kern w:val="0"/>
          <w:sz w:val="28"/>
          <w:szCs w:val="24"/>
          <w:highlight w:val="none"/>
          <w:lang w:bidi="ar"/>
        </w:rPr>
      </w:pPr>
    </w:p>
    <w:p w14:paraId="14B311CA">
      <w:pPr>
        <w:spacing w:line="360" w:lineRule="auto"/>
        <w:ind w:firstLine="600"/>
        <w:jc w:val="left"/>
        <w:rPr>
          <w:rFonts w:ascii="仿宋" w:hAnsi="仿宋" w:eastAsia="仿宋" w:cs="仿宋"/>
          <w:color w:val="auto"/>
          <w:sz w:val="28"/>
          <w:highlight w:val="none"/>
        </w:rPr>
      </w:pPr>
    </w:p>
    <w:p w14:paraId="34BE232A">
      <w:pPr>
        <w:spacing w:line="360" w:lineRule="auto"/>
        <w:ind w:firstLine="600"/>
        <w:jc w:val="left"/>
        <w:rPr>
          <w:rFonts w:eastAsia="Times New Roman"/>
          <w:color w:val="auto"/>
          <w:sz w:val="24"/>
          <w:szCs w:val="24"/>
          <w:highlight w:val="none"/>
        </w:rPr>
      </w:pPr>
      <w:r>
        <w:rPr>
          <w:rFonts w:hint="eastAsia" w:ascii="仿宋" w:hAnsi="仿宋" w:eastAsia="仿宋" w:cs="仿宋"/>
          <w:b/>
          <w:color w:val="auto"/>
          <w:sz w:val="28"/>
          <w:highlight w:val="none"/>
        </w:rPr>
        <w:t>六</w:t>
      </w:r>
      <w:r>
        <w:rPr>
          <w:rFonts w:ascii="仿宋" w:hAnsi="仿宋" w:eastAsia="仿宋" w:cs="仿宋"/>
          <w:b/>
          <w:color w:val="auto"/>
          <w:sz w:val="28"/>
          <w:highlight w:val="none"/>
        </w:rPr>
        <w:t>、工程质量</w:t>
      </w:r>
    </w:p>
    <w:p w14:paraId="7D57BF3F">
      <w:pPr>
        <w:spacing w:line="360" w:lineRule="auto"/>
        <w:ind w:firstLine="600"/>
        <w:jc w:val="left"/>
        <w:rPr>
          <w:rFonts w:eastAsia="Times New Roman"/>
          <w:color w:val="auto"/>
          <w:sz w:val="24"/>
          <w:szCs w:val="24"/>
          <w:highlight w:val="none"/>
        </w:rPr>
      </w:pPr>
      <w:r>
        <w:rPr>
          <w:rFonts w:ascii="仿宋" w:hAnsi="仿宋" w:eastAsia="仿宋" w:cs="仿宋"/>
          <w:b/>
          <w:color w:val="auto"/>
          <w:sz w:val="28"/>
          <w:highlight w:val="none"/>
        </w:rPr>
        <w:t>1.</w:t>
      </w:r>
      <w:r>
        <w:rPr>
          <w:rFonts w:ascii="仿宋" w:hAnsi="仿宋" w:eastAsia="仿宋" w:cs="仿宋"/>
          <w:color w:val="auto"/>
          <w:sz w:val="28"/>
          <w:highlight w:val="none"/>
        </w:rPr>
        <w:t>分包单位就该项分包的工程质量向</w:t>
      </w:r>
      <w:r>
        <w:rPr>
          <w:rFonts w:hint="eastAsia" w:ascii="仿宋" w:hAnsi="仿宋" w:eastAsia="仿宋" w:cs="仿宋"/>
          <w:color w:val="auto"/>
          <w:sz w:val="28"/>
          <w:highlight w:val="none"/>
        </w:rPr>
        <w:t>发包方</w:t>
      </w:r>
      <w:r>
        <w:rPr>
          <w:rFonts w:ascii="仿宋" w:hAnsi="仿宋" w:eastAsia="仿宋" w:cs="仿宋"/>
          <w:color w:val="auto"/>
          <w:sz w:val="28"/>
          <w:highlight w:val="none"/>
        </w:rPr>
        <w:t>承担直接责任。</w:t>
      </w:r>
    </w:p>
    <w:p w14:paraId="2A50CE8C">
      <w:pPr>
        <w:spacing w:line="360" w:lineRule="auto"/>
        <w:ind w:firstLine="600"/>
        <w:jc w:val="left"/>
        <w:rPr>
          <w:rFonts w:ascii="仿宋" w:hAnsi="仿宋" w:eastAsia="仿宋" w:cs="仿宋"/>
          <w:color w:val="auto"/>
          <w:sz w:val="28"/>
          <w:highlight w:val="none"/>
        </w:rPr>
      </w:pPr>
      <w:r>
        <w:rPr>
          <w:rFonts w:ascii="仿宋" w:hAnsi="仿宋" w:eastAsia="仿宋" w:cs="仿宋"/>
          <w:b/>
          <w:color w:val="auto"/>
          <w:sz w:val="28"/>
          <w:highlight w:val="none"/>
        </w:rPr>
        <w:t>2.</w:t>
      </w:r>
      <w:r>
        <w:rPr>
          <w:rFonts w:ascii="仿宋" w:hAnsi="仿宋" w:eastAsia="仿宋" w:cs="仿宋"/>
          <w:color w:val="auto"/>
          <w:sz w:val="28"/>
          <w:highlight w:val="none"/>
        </w:rPr>
        <w:t>任何由于分包方的材料使用不当或材料不合格、或施工工艺、方法不符合要求、施工程序不当造成的质量问题、工程隐患，分包方应承担全部责任。</w:t>
      </w:r>
    </w:p>
    <w:p w14:paraId="791091AB">
      <w:pPr>
        <w:spacing w:line="360" w:lineRule="auto"/>
        <w:ind w:firstLine="600"/>
        <w:jc w:val="left"/>
        <w:rPr>
          <w:rFonts w:ascii="仿宋" w:hAnsi="仿宋" w:eastAsia="仿宋" w:cs="仿宋"/>
          <w:b/>
          <w:color w:val="auto"/>
          <w:sz w:val="28"/>
          <w:highlight w:val="none"/>
        </w:rPr>
      </w:pPr>
    </w:p>
    <w:p w14:paraId="0BB151E6">
      <w:pPr>
        <w:spacing w:line="360" w:lineRule="auto"/>
        <w:ind w:firstLine="600"/>
        <w:jc w:val="left"/>
        <w:rPr>
          <w:rFonts w:ascii="仿宋" w:hAnsi="仿宋" w:eastAsia="仿宋" w:cs="仿宋"/>
          <w:b/>
          <w:color w:val="auto"/>
          <w:sz w:val="28"/>
          <w:highlight w:val="none"/>
        </w:rPr>
      </w:pPr>
      <w:r>
        <w:rPr>
          <w:rFonts w:hint="eastAsia" w:ascii="仿宋" w:hAnsi="仿宋" w:eastAsia="仿宋" w:cs="仿宋"/>
          <w:b/>
          <w:color w:val="auto"/>
          <w:sz w:val="28"/>
          <w:highlight w:val="none"/>
        </w:rPr>
        <w:t>七、保险</w:t>
      </w:r>
    </w:p>
    <w:p w14:paraId="2C9F92F0">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1.  分包方负责分包方在施工现场人员的生命财产安全，分包方发生的财产损失、工人工伤等，责任均由分包方自身承担。分包方应购买相应工伤保险、商业保险、安全生产责任险，并向发包方、总包方提供在施工现场施工人员的保险有效发票单据复印件。</w:t>
      </w:r>
    </w:p>
    <w:p w14:paraId="00D4C560">
      <w:pPr>
        <w:pStyle w:val="222"/>
        <w:rPr>
          <w:color w:val="auto"/>
          <w:highlight w:val="none"/>
        </w:rPr>
      </w:pPr>
    </w:p>
    <w:p w14:paraId="7DA4B296">
      <w:pPr>
        <w:spacing w:line="360" w:lineRule="auto"/>
        <w:ind w:firstLine="600"/>
        <w:jc w:val="left"/>
        <w:rPr>
          <w:rFonts w:eastAsia="Times New Roman"/>
          <w:color w:val="auto"/>
          <w:sz w:val="24"/>
          <w:szCs w:val="24"/>
          <w:highlight w:val="none"/>
        </w:rPr>
      </w:pPr>
      <w:r>
        <w:rPr>
          <w:rFonts w:hint="eastAsia" w:ascii="仿宋" w:hAnsi="仿宋" w:eastAsia="仿宋" w:cs="仿宋"/>
          <w:b/>
          <w:color w:val="auto"/>
          <w:sz w:val="28"/>
          <w:highlight w:val="none"/>
        </w:rPr>
        <w:t>八</w:t>
      </w:r>
      <w:r>
        <w:rPr>
          <w:rFonts w:ascii="仿宋" w:hAnsi="仿宋" w:eastAsia="仿宋" w:cs="仿宋"/>
          <w:b/>
          <w:color w:val="auto"/>
          <w:sz w:val="28"/>
          <w:highlight w:val="none"/>
        </w:rPr>
        <w:t>、违约责任</w:t>
      </w:r>
    </w:p>
    <w:p w14:paraId="326425F8">
      <w:pPr>
        <w:widowControl/>
        <w:spacing w:line="360" w:lineRule="auto"/>
        <w:ind w:firstLine="600"/>
        <w:jc w:val="left"/>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lang w:bidi="ar"/>
        </w:rPr>
        <w:t>1.发包方根据与分包方签订的分包合同，对分包方产生的违约责任进行相应处罚；</w:t>
      </w:r>
    </w:p>
    <w:p w14:paraId="47117BAD">
      <w:pPr>
        <w:widowControl/>
        <w:spacing w:line="360" w:lineRule="auto"/>
        <w:ind w:firstLine="600"/>
        <w:jc w:val="left"/>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lang w:bidi="ar"/>
        </w:rPr>
        <w:t>2.总包方根据与分包方签订的《总承包管理协议》及《安全管理协议》</w:t>
      </w:r>
      <w:r>
        <w:rPr>
          <w:rFonts w:hint="eastAsia" w:ascii="仿宋" w:hAnsi="仿宋" w:eastAsia="仿宋" w:cs="仿宋"/>
          <w:bCs/>
          <w:color w:val="auto"/>
          <w:sz w:val="28"/>
          <w:szCs w:val="28"/>
          <w:highlight w:val="none"/>
          <w:lang w:bidi="ar"/>
        </w:rPr>
        <w:t>《工人工资管理协议》。</w:t>
      </w:r>
      <w:r>
        <w:rPr>
          <w:rFonts w:hint="eastAsia" w:ascii="仿宋" w:hAnsi="仿宋" w:eastAsia="仿宋" w:cs="仿宋"/>
          <w:bCs/>
          <w:color w:val="auto"/>
          <w:kern w:val="0"/>
          <w:sz w:val="28"/>
          <w:szCs w:val="28"/>
          <w:highlight w:val="none"/>
          <w:lang w:bidi="ar"/>
        </w:rPr>
        <w:t>分包单位不服从总包管理的，根据协议约定承担违约责任。</w:t>
      </w:r>
    </w:p>
    <w:p w14:paraId="04C27ADC">
      <w:pPr>
        <w:pStyle w:val="222"/>
        <w:rPr>
          <w:color w:val="auto"/>
          <w:highlight w:val="none"/>
        </w:rPr>
      </w:pPr>
    </w:p>
    <w:p w14:paraId="33F009B0">
      <w:pPr>
        <w:spacing w:line="360" w:lineRule="auto"/>
        <w:ind w:firstLine="600"/>
        <w:jc w:val="left"/>
        <w:rPr>
          <w:rFonts w:ascii="仿宋" w:hAnsi="仿宋" w:eastAsia="仿宋" w:cs="仿宋"/>
          <w:b/>
          <w:color w:val="auto"/>
          <w:sz w:val="28"/>
          <w:highlight w:val="none"/>
        </w:rPr>
      </w:pPr>
      <w:r>
        <w:rPr>
          <w:rFonts w:hint="eastAsia" w:ascii="仿宋" w:hAnsi="仿宋" w:eastAsia="仿宋" w:cs="仿宋"/>
          <w:b/>
          <w:color w:val="auto"/>
          <w:sz w:val="28"/>
          <w:highlight w:val="none"/>
        </w:rPr>
        <w:t>九、  争议、诉讼</w:t>
      </w:r>
    </w:p>
    <w:p w14:paraId="1AB06E85">
      <w:pPr>
        <w:spacing w:line="360" w:lineRule="auto"/>
        <w:ind w:firstLine="600"/>
        <w:rPr>
          <w:rFonts w:ascii="仿宋" w:hAnsi="仿宋" w:eastAsia="仿宋" w:cs="仿宋"/>
          <w:color w:val="auto"/>
          <w:sz w:val="28"/>
          <w:highlight w:val="none"/>
        </w:rPr>
      </w:pPr>
      <w:r>
        <w:rPr>
          <w:rFonts w:hint="eastAsia" w:ascii="仿宋" w:hAnsi="仿宋" w:eastAsia="仿宋" w:cs="仿宋"/>
          <w:color w:val="auto"/>
          <w:sz w:val="28"/>
          <w:highlight w:val="none"/>
        </w:rPr>
        <w:t>1.  发包、总包、分包三方在履行合同时发生争议，可以和解或者要求有关主管部门调解，当事人不愿和解、调解或者和解调解不成的，相关各方在工程所在地人民法院起诉。</w:t>
      </w:r>
    </w:p>
    <w:p w14:paraId="7D8CA606">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2.  发生争议后，除非出现下列情况的，三方都应继续履行合同，保持施工连续，保护好已完工程：</w:t>
      </w:r>
    </w:p>
    <w:p w14:paraId="17CA3FD9">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1）</w:t>
      </w:r>
      <w:r>
        <w:rPr>
          <w:rFonts w:hint="eastAsia" w:ascii="仿宋" w:hAnsi="仿宋" w:eastAsia="仿宋" w:cs="仿宋"/>
          <w:color w:val="auto"/>
          <w:sz w:val="28"/>
          <w:highlight w:val="none"/>
        </w:rPr>
        <w:t>单方违约导致合同确已无法履行，三方协议停止施工；</w:t>
      </w:r>
    </w:p>
    <w:p w14:paraId="4500317D">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2）</w:t>
      </w:r>
      <w:r>
        <w:rPr>
          <w:rFonts w:hint="eastAsia" w:ascii="仿宋" w:hAnsi="仿宋" w:eastAsia="仿宋" w:cs="仿宋"/>
          <w:color w:val="auto"/>
          <w:sz w:val="28"/>
          <w:highlight w:val="none"/>
        </w:rPr>
        <w:t>调解要求停止施工，且为三方接受；</w:t>
      </w:r>
    </w:p>
    <w:p w14:paraId="33775117">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lang w:eastAsia="zh-CN"/>
        </w:rPr>
        <w:t>3）</w:t>
      </w:r>
      <w:r>
        <w:rPr>
          <w:rFonts w:hint="eastAsia" w:ascii="仿宋" w:hAnsi="仿宋" w:eastAsia="仿宋" w:cs="仿宋"/>
          <w:color w:val="auto"/>
          <w:sz w:val="28"/>
          <w:highlight w:val="none"/>
        </w:rPr>
        <w:t>法院要求停工；</w:t>
      </w:r>
    </w:p>
    <w:p w14:paraId="036EC08B">
      <w:pPr>
        <w:spacing w:line="360" w:lineRule="auto"/>
        <w:ind w:firstLine="600"/>
        <w:jc w:val="left"/>
        <w:rPr>
          <w:rFonts w:ascii="仿宋" w:hAnsi="仿宋" w:eastAsia="仿宋" w:cs="仿宋"/>
          <w:color w:val="auto"/>
          <w:sz w:val="28"/>
          <w:highlight w:val="none"/>
        </w:rPr>
      </w:pPr>
    </w:p>
    <w:p w14:paraId="4ADD3829">
      <w:pPr>
        <w:spacing w:line="360" w:lineRule="auto"/>
        <w:ind w:firstLine="562" w:firstLineChars="200"/>
        <w:jc w:val="left"/>
        <w:rPr>
          <w:rFonts w:ascii="仿宋" w:hAnsi="仿宋" w:eastAsia="仿宋" w:cs="仿宋"/>
          <w:b/>
          <w:color w:val="auto"/>
          <w:sz w:val="28"/>
          <w:highlight w:val="none"/>
        </w:rPr>
      </w:pPr>
      <w:r>
        <w:rPr>
          <w:rFonts w:hint="eastAsia" w:ascii="仿宋" w:hAnsi="仿宋" w:eastAsia="仿宋" w:cs="仿宋"/>
          <w:b/>
          <w:color w:val="auto"/>
          <w:sz w:val="28"/>
          <w:highlight w:val="none"/>
        </w:rPr>
        <w:t>十、  合同生效与终止</w:t>
      </w:r>
    </w:p>
    <w:p w14:paraId="23C0686B">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1.  本合同自三方签字盖章之日起生效；</w:t>
      </w:r>
    </w:p>
    <w:p w14:paraId="27729D73">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2.  除正常质量保修外，建设、总包、分包三方履行合同文件的全部义务，分包方向总包方提供完整的竣工验收等资料，并向发包方交付竣工工程，本合同即告终止。</w:t>
      </w:r>
    </w:p>
    <w:p w14:paraId="730F10AD">
      <w:pPr>
        <w:pStyle w:val="222"/>
        <w:rPr>
          <w:color w:val="auto"/>
          <w:highlight w:val="none"/>
        </w:rPr>
      </w:pPr>
    </w:p>
    <w:p w14:paraId="23FFBD20">
      <w:pPr>
        <w:spacing w:line="360" w:lineRule="auto"/>
        <w:ind w:firstLine="562" w:firstLineChars="200"/>
        <w:jc w:val="left"/>
        <w:rPr>
          <w:rFonts w:eastAsia="Times New Roman"/>
          <w:color w:val="auto"/>
          <w:sz w:val="24"/>
          <w:szCs w:val="24"/>
          <w:highlight w:val="none"/>
        </w:rPr>
      </w:pPr>
      <w:r>
        <w:rPr>
          <w:rFonts w:hint="eastAsia" w:ascii="仿宋" w:hAnsi="仿宋" w:eastAsia="仿宋" w:cs="仿宋"/>
          <w:b/>
          <w:color w:val="auto"/>
          <w:sz w:val="28"/>
          <w:highlight w:val="none"/>
        </w:rPr>
        <w:t>十一</w:t>
      </w:r>
      <w:r>
        <w:rPr>
          <w:rFonts w:ascii="仿宋" w:hAnsi="仿宋" w:eastAsia="仿宋" w:cs="仿宋"/>
          <w:b/>
          <w:color w:val="auto"/>
          <w:sz w:val="28"/>
          <w:highlight w:val="none"/>
        </w:rPr>
        <w:t>、其他</w:t>
      </w:r>
    </w:p>
    <w:p w14:paraId="25074D44">
      <w:pPr>
        <w:spacing w:line="360" w:lineRule="auto"/>
        <w:ind w:firstLine="600"/>
        <w:jc w:val="left"/>
        <w:rPr>
          <w:rFonts w:eastAsia="Times New Roman"/>
          <w:color w:val="auto"/>
          <w:sz w:val="24"/>
          <w:szCs w:val="24"/>
          <w:highlight w:val="none"/>
        </w:rPr>
      </w:pPr>
      <w:r>
        <w:rPr>
          <w:rFonts w:ascii="仿宋" w:hAnsi="仿宋" w:eastAsia="仿宋" w:cs="仿宋"/>
          <w:color w:val="auto"/>
          <w:sz w:val="28"/>
          <w:highlight w:val="none"/>
        </w:rPr>
        <w:t>本协议一式六份，正副本各三份，建设、总包、分包方各执两份，每份具有同等法律效力。</w:t>
      </w:r>
    </w:p>
    <w:p w14:paraId="242BFEF9">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附件：</w:t>
      </w:r>
    </w:p>
    <w:p w14:paraId="46E1650F">
      <w:pPr>
        <w:numPr>
          <w:ilvl w:val="0"/>
          <w:numId w:val="10"/>
        </w:numPr>
        <w:spacing w:line="360" w:lineRule="auto"/>
        <w:ind w:firstLine="600"/>
        <w:jc w:val="left"/>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总包方与分包方另行签订《总承包管理协议》范本</w:t>
      </w:r>
    </w:p>
    <w:p w14:paraId="4FEEB8AE">
      <w:pPr>
        <w:numPr>
          <w:ilvl w:val="0"/>
          <w:numId w:val="10"/>
        </w:numPr>
        <w:spacing w:line="360" w:lineRule="auto"/>
        <w:ind w:firstLine="600"/>
        <w:jc w:val="left"/>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w:t>
      </w:r>
      <w:r>
        <w:rPr>
          <w:rFonts w:hint="eastAsia" w:ascii="仿宋" w:hAnsi="仿宋" w:eastAsia="仿宋" w:cs="仿宋"/>
          <w:bCs/>
          <w:color w:val="auto"/>
          <w:kern w:val="0"/>
          <w:sz w:val="28"/>
          <w:szCs w:val="28"/>
          <w:highlight w:val="none"/>
          <w:lang w:bidi="ar"/>
        </w:rPr>
        <w:t>安全管理协议</w:t>
      </w:r>
      <w:r>
        <w:rPr>
          <w:rFonts w:hint="eastAsia" w:ascii="仿宋" w:hAnsi="仿宋" w:eastAsia="仿宋" w:cs="仿宋"/>
          <w:color w:val="auto"/>
          <w:kern w:val="0"/>
          <w:sz w:val="28"/>
          <w:szCs w:val="28"/>
          <w:highlight w:val="none"/>
          <w:lang w:bidi="ar"/>
        </w:rPr>
        <w:t>》范本</w:t>
      </w:r>
    </w:p>
    <w:p w14:paraId="142FC8F3">
      <w:pPr>
        <w:numPr>
          <w:ilvl w:val="0"/>
          <w:numId w:val="10"/>
        </w:numPr>
        <w:spacing w:line="360" w:lineRule="auto"/>
        <w:ind w:firstLine="600"/>
        <w:jc w:val="left"/>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《工人工资管理协议》</w:t>
      </w:r>
    </w:p>
    <w:p w14:paraId="083CCEAC">
      <w:pPr>
        <w:spacing w:line="360" w:lineRule="auto"/>
        <w:ind w:firstLine="600"/>
        <w:jc w:val="left"/>
        <w:rPr>
          <w:rFonts w:ascii="仿宋" w:hAnsi="仿宋" w:eastAsia="仿宋" w:cs="仿宋"/>
          <w:color w:val="auto"/>
          <w:sz w:val="28"/>
          <w:highlight w:val="none"/>
        </w:rPr>
      </w:pPr>
    </w:p>
    <w:p w14:paraId="1FD15F66">
      <w:pPr>
        <w:spacing w:line="360" w:lineRule="auto"/>
        <w:ind w:firstLine="600"/>
        <w:jc w:val="left"/>
        <w:rPr>
          <w:rFonts w:eastAsia="Times New Roman"/>
          <w:color w:val="auto"/>
          <w:sz w:val="24"/>
          <w:szCs w:val="24"/>
          <w:highlight w:val="none"/>
        </w:rPr>
      </w:pPr>
      <w:r>
        <w:rPr>
          <w:rFonts w:ascii="仿宋" w:hAnsi="仿宋" w:eastAsia="仿宋" w:cs="仿宋"/>
          <w:color w:val="auto"/>
          <w:sz w:val="28"/>
          <w:highlight w:val="none"/>
        </w:rPr>
        <w:t>兹证明双方签订如下：</w:t>
      </w:r>
    </w:p>
    <w:p w14:paraId="3E458766">
      <w:pPr>
        <w:spacing w:line="360" w:lineRule="auto"/>
        <w:ind w:firstLine="600"/>
        <w:jc w:val="left"/>
        <w:rPr>
          <w:rFonts w:ascii="仿宋" w:hAnsi="仿宋" w:eastAsia="仿宋" w:cs="仿宋"/>
          <w:color w:val="auto"/>
          <w:sz w:val="28"/>
          <w:highlight w:val="none"/>
        </w:rPr>
      </w:pPr>
      <w:r>
        <w:rPr>
          <w:rFonts w:hint="eastAsia" w:ascii="仿宋" w:hAnsi="仿宋" w:eastAsia="仿宋" w:cs="仿宋"/>
          <w:color w:val="auto"/>
          <w:sz w:val="28"/>
          <w:highlight w:val="none"/>
        </w:rPr>
        <w:t>发包方</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签章</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w:t>
      </w:r>
    </w:p>
    <w:p w14:paraId="0C682881">
      <w:pPr>
        <w:spacing w:line="360" w:lineRule="auto"/>
        <w:ind w:firstLine="2100" w:firstLineChars="750"/>
        <w:jc w:val="left"/>
        <w:rPr>
          <w:rFonts w:eastAsia="Times New Roman"/>
          <w:color w:val="auto"/>
          <w:sz w:val="24"/>
          <w:szCs w:val="24"/>
          <w:highlight w:val="none"/>
        </w:rPr>
      </w:pPr>
      <w:r>
        <w:rPr>
          <w:rFonts w:ascii="仿宋" w:hAnsi="仿宋" w:eastAsia="仿宋" w:cs="仿宋"/>
          <w:color w:val="auto"/>
          <w:sz w:val="28"/>
          <w:highlight w:val="none"/>
        </w:rPr>
        <w:t>__________法人代表</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或授权委托人</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签署：____年____月____日</w:t>
      </w:r>
    </w:p>
    <w:p w14:paraId="12E6852E">
      <w:pPr>
        <w:spacing w:line="360" w:lineRule="auto"/>
        <w:ind w:firstLine="600"/>
        <w:jc w:val="left"/>
        <w:rPr>
          <w:rFonts w:ascii="仿宋" w:hAnsi="仿宋" w:eastAsia="仿宋" w:cs="仿宋"/>
          <w:color w:val="auto"/>
          <w:sz w:val="28"/>
          <w:highlight w:val="none"/>
        </w:rPr>
      </w:pPr>
      <w:r>
        <w:rPr>
          <w:rFonts w:ascii="仿宋" w:hAnsi="仿宋" w:eastAsia="仿宋" w:cs="仿宋"/>
          <w:color w:val="auto"/>
          <w:sz w:val="28"/>
          <w:highlight w:val="none"/>
        </w:rPr>
        <w:t>总包方</w:t>
      </w:r>
      <w:r>
        <w:rPr>
          <w:rFonts w:hint="eastAsia" w:ascii="仿宋" w:hAnsi="仿宋" w:eastAsia="仿宋" w:cs="仿宋"/>
          <w:color w:val="auto"/>
          <w:sz w:val="28"/>
          <w:highlight w:val="none"/>
        </w:rPr>
        <w:t>牵头方</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签章</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w:t>
      </w:r>
    </w:p>
    <w:p w14:paraId="308FDE8C">
      <w:pPr>
        <w:spacing w:line="360" w:lineRule="auto"/>
        <w:ind w:firstLine="2100" w:firstLineChars="750"/>
        <w:jc w:val="left"/>
        <w:rPr>
          <w:rFonts w:ascii="仿宋" w:hAnsi="仿宋" w:eastAsia="仿宋" w:cs="仿宋"/>
          <w:color w:val="auto"/>
          <w:sz w:val="28"/>
          <w:highlight w:val="none"/>
        </w:rPr>
      </w:pPr>
      <w:r>
        <w:rPr>
          <w:rFonts w:ascii="仿宋" w:hAnsi="仿宋" w:eastAsia="仿宋" w:cs="仿宋"/>
          <w:color w:val="auto"/>
          <w:sz w:val="28"/>
          <w:highlight w:val="none"/>
        </w:rPr>
        <w:t>__________法人代表</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或授权委托人</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签署：____年____月____日</w:t>
      </w:r>
    </w:p>
    <w:p w14:paraId="1A597A7A">
      <w:pPr>
        <w:spacing w:line="360" w:lineRule="auto"/>
        <w:ind w:firstLine="600"/>
        <w:jc w:val="left"/>
        <w:rPr>
          <w:rFonts w:ascii="仿宋" w:hAnsi="仿宋" w:eastAsia="仿宋" w:cs="仿宋"/>
          <w:color w:val="auto"/>
          <w:sz w:val="28"/>
          <w:highlight w:val="none"/>
        </w:rPr>
      </w:pPr>
      <w:r>
        <w:rPr>
          <w:rFonts w:ascii="仿宋" w:hAnsi="仿宋" w:eastAsia="仿宋" w:cs="仿宋"/>
          <w:color w:val="auto"/>
          <w:sz w:val="28"/>
          <w:highlight w:val="none"/>
        </w:rPr>
        <w:t>总包方</w:t>
      </w:r>
      <w:r>
        <w:rPr>
          <w:rFonts w:hint="eastAsia" w:ascii="仿宋" w:hAnsi="仿宋" w:eastAsia="仿宋" w:cs="仿宋"/>
          <w:color w:val="auto"/>
          <w:sz w:val="28"/>
          <w:highlight w:val="none"/>
        </w:rPr>
        <w:t>成员方</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签章</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w:t>
      </w:r>
    </w:p>
    <w:p w14:paraId="75BC5716">
      <w:pPr>
        <w:spacing w:line="360" w:lineRule="auto"/>
        <w:ind w:firstLine="2100" w:firstLineChars="750"/>
        <w:jc w:val="left"/>
        <w:rPr>
          <w:rFonts w:ascii="仿宋" w:hAnsi="仿宋" w:eastAsia="仿宋" w:cs="仿宋"/>
          <w:color w:val="auto"/>
          <w:sz w:val="28"/>
          <w:highlight w:val="none"/>
        </w:rPr>
      </w:pPr>
      <w:r>
        <w:rPr>
          <w:rFonts w:ascii="仿宋" w:hAnsi="仿宋" w:eastAsia="仿宋" w:cs="仿宋"/>
          <w:color w:val="auto"/>
          <w:sz w:val="28"/>
          <w:highlight w:val="none"/>
        </w:rPr>
        <w:t>__________法人代表</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或授权委托人</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签署：____年____月____日</w:t>
      </w:r>
    </w:p>
    <w:p w14:paraId="5565CCBE">
      <w:pPr>
        <w:spacing w:line="360" w:lineRule="auto"/>
        <w:ind w:firstLine="600"/>
        <w:jc w:val="left"/>
        <w:rPr>
          <w:rFonts w:ascii="仿宋" w:hAnsi="仿宋" w:eastAsia="仿宋" w:cs="仿宋"/>
          <w:color w:val="auto"/>
          <w:sz w:val="28"/>
          <w:highlight w:val="none"/>
        </w:rPr>
      </w:pPr>
      <w:r>
        <w:rPr>
          <w:rFonts w:ascii="仿宋" w:hAnsi="仿宋" w:eastAsia="仿宋" w:cs="仿宋"/>
          <w:color w:val="auto"/>
          <w:sz w:val="28"/>
          <w:highlight w:val="none"/>
        </w:rPr>
        <w:t>分包方</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签章</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w:t>
      </w:r>
    </w:p>
    <w:p w14:paraId="3D6C887D">
      <w:pPr>
        <w:spacing w:line="360" w:lineRule="auto"/>
        <w:ind w:firstLine="2100" w:firstLineChars="750"/>
        <w:jc w:val="left"/>
        <w:rPr>
          <w:rFonts w:eastAsia="Times New Roman"/>
          <w:color w:val="auto"/>
          <w:sz w:val="24"/>
          <w:szCs w:val="24"/>
          <w:highlight w:val="none"/>
        </w:rPr>
      </w:pPr>
      <w:r>
        <w:rPr>
          <w:rFonts w:ascii="仿宋" w:hAnsi="仿宋" w:eastAsia="仿宋" w:cs="仿宋"/>
          <w:color w:val="auto"/>
          <w:sz w:val="28"/>
          <w:highlight w:val="none"/>
        </w:rPr>
        <w:t>__________法人代表</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或授权委托人</w:t>
      </w:r>
      <w:r>
        <w:rPr>
          <w:rFonts w:hint="eastAsia" w:ascii="仿宋" w:hAnsi="仿宋" w:eastAsia="仿宋" w:cs="仿宋"/>
          <w:color w:val="auto"/>
          <w:sz w:val="28"/>
          <w:highlight w:val="none"/>
          <w:lang w:eastAsia="zh-CN"/>
        </w:rPr>
        <w:t>）</w:t>
      </w:r>
      <w:r>
        <w:rPr>
          <w:rFonts w:ascii="仿宋" w:hAnsi="仿宋" w:eastAsia="仿宋" w:cs="仿宋"/>
          <w:color w:val="auto"/>
          <w:sz w:val="28"/>
          <w:highlight w:val="none"/>
        </w:rPr>
        <w:t>签署：____年____月____日</w:t>
      </w:r>
    </w:p>
    <w:p w14:paraId="07BCF9BB">
      <w:pPr>
        <w:pStyle w:val="3"/>
        <w:spacing w:after="280" w:afterAutospacing="1" w:line="360" w:lineRule="auto"/>
        <w:jc w:val="center"/>
        <w:rPr>
          <w:rFonts w:ascii="宋体" w:hAnsi="宋体" w:cs="宋体"/>
          <w:color w:val="auto"/>
          <w:highlight w:val="none"/>
          <w:shd w:val="clear" w:color="auto" w:fill="FFFFFF"/>
        </w:rPr>
      </w:pPr>
    </w:p>
    <w:p w14:paraId="77C537FF">
      <w:pPr>
        <w:rPr>
          <w:rFonts w:ascii="宋体" w:hAnsi="宋体" w:cs="宋体"/>
          <w:b/>
          <w:color w:val="auto"/>
          <w:sz w:val="32"/>
          <w:highlight w:val="none"/>
          <w:shd w:val="clear" w:color="auto" w:fill="FFFFFF"/>
        </w:rPr>
      </w:pPr>
    </w:p>
    <w:p w14:paraId="64023343">
      <w:pPr>
        <w:rPr>
          <w:rFonts w:ascii="宋体" w:hAnsi="宋体" w:cs="宋体"/>
          <w:b/>
          <w:color w:val="auto"/>
          <w:sz w:val="32"/>
          <w:highlight w:val="none"/>
          <w:shd w:val="clear" w:color="auto" w:fill="FFFFFF"/>
        </w:rPr>
      </w:pPr>
    </w:p>
    <w:p w14:paraId="43757452">
      <w:pPr>
        <w:rPr>
          <w:rFonts w:ascii="宋体" w:hAnsi="宋体" w:cs="宋体"/>
          <w:b/>
          <w:color w:val="auto"/>
          <w:sz w:val="32"/>
          <w:highlight w:val="none"/>
          <w:shd w:val="clear" w:color="auto" w:fill="FFFFFF"/>
        </w:rPr>
      </w:pPr>
    </w:p>
    <w:p w14:paraId="0BFC459C">
      <w:pPr>
        <w:rPr>
          <w:rFonts w:ascii="宋体" w:hAnsi="宋体" w:cs="宋体"/>
          <w:b/>
          <w:color w:val="auto"/>
          <w:sz w:val="32"/>
          <w:highlight w:val="none"/>
          <w:shd w:val="clear" w:color="auto" w:fill="FFFFFF"/>
        </w:rPr>
      </w:pPr>
    </w:p>
    <w:p w14:paraId="680720A6">
      <w:pPr>
        <w:spacing w:after="280" w:afterAutospacing="1" w:line="360" w:lineRule="auto"/>
        <w:ind w:firstLine="600"/>
        <w:jc w:val="left"/>
        <w:rPr>
          <w:color w:val="auto"/>
          <w:highlight w:val="none"/>
        </w:rPr>
      </w:pPr>
    </w:p>
    <w:p w14:paraId="747C7C3C">
      <w:pPr>
        <w:spacing w:after="280" w:afterAutospacing="1" w:line="360" w:lineRule="auto"/>
        <w:ind w:firstLine="600"/>
        <w:jc w:val="left"/>
        <w:rPr>
          <w:color w:val="auto"/>
          <w:highlight w:val="none"/>
        </w:rPr>
      </w:pPr>
    </w:p>
    <w:p w14:paraId="66B6F445">
      <w:pPr>
        <w:spacing w:after="280" w:afterAutospacing="1" w:line="360" w:lineRule="auto"/>
        <w:ind w:firstLine="600"/>
        <w:jc w:val="left"/>
        <w:rPr>
          <w:color w:val="auto"/>
          <w:highlight w:val="none"/>
        </w:rPr>
      </w:pPr>
    </w:p>
    <w:p w14:paraId="13C5D941">
      <w:pPr>
        <w:spacing w:after="280" w:afterAutospacing="1" w:line="360" w:lineRule="auto"/>
        <w:ind w:firstLine="600"/>
        <w:jc w:val="left"/>
        <w:rPr>
          <w:color w:val="auto"/>
          <w:highlight w:val="none"/>
        </w:rPr>
      </w:pPr>
    </w:p>
    <w:p w14:paraId="282C5274">
      <w:pPr>
        <w:pStyle w:val="6"/>
        <w:rPr>
          <w:color w:val="auto"/>
          <w:highlight w:val="none"/>
        </w:rPr>
      </w:pPr>
    </w:p>
    <w:p w14:paraId="4763FCB0">
      <w:pPr>
        <w:pStyle w:val="6"/>
        <w:rPr>
          <w:color w:val="auto"/>
          <w:highlight w:val="none"/>
        </w:rPr>
      </w:pPr>
    </w:p>
    <w:p w14:paraId="61E1CFE4">
      <w:pPr>
        <w:spacing w:after="280" w:afterAutospacing="1" w:line="360" w:lineRule="auto"/>
        <w:ind w:firstLine="600"/>
        <w:jc w:val="left"/>
        <w:rPr>
          <w:color w:val="auto"/>
          <w:highlight w:val="none"/>
        </w:rPr>
      </w:pPr>
    </w:p>
    <w:p w14:paraId="2EF14382">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附件8.2：</w:t>
      </w:r>
    </w:p>
    <w:p w14:paraId="78B7985B">
      <w:pPr>
        <w:pStyle w:val="3"/>
        <w:jc w:val="center"/>
        <w:rPr>
          <w:rFonts w:ascii="宋体" w:hAnsi="宋体"/>
          <w:b w:val="0"/>
          <w:color w:val="auto"/>
          <w:szCs w:val="24"/>
          <w:highlight w:val="none"/>
          <w:lang w:val="zh-CN"/>
        </w:rPr>
      </w:pPr>
      <w:r>
        <w:rPr>
          <w:rFonts w:hint="eastAsia" w:ascii="宋体" w:hAnsi="宋体"/>
          <w:color w:val="auto"/>
          <w:szCs w:val="24"/>
          <w:highlight w:val="none"/>
          <w:lang w:val="zh-CN"/>
        </w:rPr>
        <w:t>安全生产合同</w:t>
      </w:r>
    </w:p>
    <w:p w14:paraId="365CDBDC">
      <w:pPr>
        <w:spacing w:line="360" w:lineRule="auto"/>
        <w:ind w:left="178" w:firstLine="480"/>
        <w:rPr>
          <w:rFonts w:ascii="宋体" w:hAnsi="宋体"/>
          <w:color w:val="auto"/>
          <w:sz w:val="24"/>
          <w:szCs w:val="24"/>
          <w:highlight w:val="none"/>
          <w:u w:val="single"/>
        </w:rPr>
      </w:pPr>
      <w:r>
        <w:rPr>
          <w:rFonts w:hint="eastAsia" w:ascii="宋体" w:hAnsi="宋体"/>
          <w:color w:val="auto"/>
          <w:sz w:val="24"/>
          <w:szCs w:val="24"/>
          <w:highlight w:val="none"/>
        </w:rPr>
        <w:t>总承包人（全称）：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236B6A0E">
      <w:pPr>
        <w:spacing w:line="360" w:lineRule="auto"/>
        <w:ind w:left="178" w:firstLine="480"/>
        <w:rPr>
          <w:rFonts w:ascii="宋体" w:hAnsi="宋体"/>
          <w:color w:val="auto"/>
          <w:sz w:val="24"/>
          <w:szCs w:val="24"/>
          <w:highlight w:val="none"/>
          <w:u w:val="single"/>
        </w:rPr>
      </w:pP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包</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人（全称）：                       </w:t>
      </w:r>
    </w:p>
    <w:p w14:paraId="6AD05A79">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为在施工总承包施工及合同实施过程中创造安全、高效的施工环境，切实搞好本项目的安全管理工作，本项目总承包人、分包人，特此签订安全生产合同：</w:t>
      </w:r>
    </w:p>
    <w:p w14:paraId="562BC76C">
      <w:pPr>
        <w:adjustRightInd w:val="0"/>
        <w:snapToGrid w:val="0"/>
        <w:spacing w:line="360" w:lineRule="auto"/>
        <w:ind w:left="178" w:firstLine="482"/>
        <w:rPr>
          <w:rFonts w:ascii="宋体" w:hAnsi="宋体"/>
          <w:b/>
          <w:bCs/>
          <w:color w:val="auto"/>
          <w:sz w:val="24"/>
          <w:szCs w:val="24"/>
          <w:highlight w:val="none"/>
        </w:rPr>
      </w:pPr>
      <w:r>
        <w:rPr>
          <w:rFonts w:hint="eastAsia" w:ascii="宋体" w:hAnsi="宋体"/>
          <w:b/>
          <w:bCs/>
          <w:color w:val="auto"/>
          <w:sz w:val="24"/>
          <w:szCs w:val="24"/>
          <w:highlight w:val="none"/>
        </w:rPr>
        <w:t>一、总承包人职责</w:t>
      </w:r>
    </w:p>
    <w:p w14:paraId="688E50A0">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严格遵守国家有关安全生产的法律法规，认真执行工程承包合同中的有关安全要求。</w:t>
      </w:r>
    </w:p>
    <w:p w14:paraId="36B7F486">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按照“安全第一、预防为主”和坚持“管生产必须管安全”的原则进行安全生产管理，做到生产和安全工作同时计划、布置、检查、总结和评比。</w:t>
      </w:r>
    </w:p>
    <w:p w14:paraId="4A2C8FD2">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3.</w:t>
      </w:r>
      <w:r>
        <w:rPr>
          <w:rFonts w:hint="eastAsia" w:ascii="宋体" w:hAnsi="宋体"/>
          <w:color w:val="auto"/>
          <w:sz w:val="24"/>
          <w:szCs w:val="24"/>
          <w:highlight w:val="none"/>
        </w:rPr>
        <w:t>重要的安全设施必须坚持与主体工程“三同时”的原则，即：同时设计、审批；同时施工；同时验收，投入使用。</w:t>
      </w:r>
    </w:p>
    <w:p w14:paraId="2A964EA5">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4.</w:t>
      </w:r>
      <w:r>
        <w:rPr>
          <w:rFonts w:hint="eastAsia" w:ascii="宋体" w:hAnsi="宋体"/>
          <w:color w:val="auto"/>
          <w:sz w:val="24"/>
          <w:szCs w:val="24"/>
          <w:highlight w:val="none"/>
        </w:rPr>
        <w:t>定期召开安全生产调度会，及时转达中央及地方有关安全生产的精神。</w:t>
      </w:r>
    </w:p>
    <w:p w14:paraId="6353E43C">
      <w:pPr>
        <w:spacing w:line="360" w:lineRule="auto"/>
        <w:ind w:left="178" w:firstLine="480"/>
        <w:rPr>
          <w:rFonts w:ascii="宋体" w:hAnsi="宋体"/>
          <w:b/>
          <w:bCs/>
          <w:color w:val="auto"/>
          <w:sz w:val="24"/>
          <w:szCs w:val="24"/>
          <w:highlight w:val="none"/>
        </w:rPr>
      </w:pPr>
      <w:r>
        <w:rPr>
          <w:rFonts w:hint="eastAsia" w:ascii="宋体" w:hAnsi="宋体"/>
          <w:color w:val="auto"/>
          <w:sz w:val="24"/>
          <w:szCs w:val="24"/>
          <w:highlight w:val="none"/>
          <w:lang w:eastAsia="zh-CN"/>
        </w:rPr>
        <w:t>5.</w:t>
      </w:r>
      <w:r>
        <w:rPr>
          <w:rFonts w:hint="eastAsia" w:ascii="宋体" w:hAnsi="宋体"/>
          <w:color w:val="auto"/>
          <w:sz w:val="24"/>
          <w:szCs w:val="24"/>
          <w:highlight w:val="none"/>
        </w:rPr>
        <w:t>组织对承包人施工现场安全生产检查，监督承包人及时处理发现的各种安全隐患。</w:t>
      </w:r>
    </w:p>
    <w:p w14:paraId="2467B8E6">
      <w:pPr>
        <w:adjustRightInd w:val="0"/>
        <w:snapToGrid w:val="0"/>
        <w:spacing w:line="360" w:lineRule="auto"/>
        <w:ind w:left="178" w:firstLine="482"/>
        <w:rPr>
          <w:rFonts w:ascii="宋体" w:hAnsi="宋体"/>
          <w:b/>
          <w:bCs/>
          <w:color w:val="auto"/>
          <w:sz w:val="24"/>
          <w:szCs w:val="24"/>
          <w:highlight w:val="none"/>
        </w:rPr>
      </w:pPr>
      <w:r>
        <w:rPr>
          <w:rFonts w:hint="eastAsia" w:ascii="宋体" w:hAnsi="宋体"/>
          <w:b/>
          <w:bCs/>
          <w:color w:val="auto"/>
          <w:sz w:val="24"/>
          <w:szCs w:val="24"/>
          <w:highlight w:val="none"/>
        </w:rPr>
        <w:t>二、分包人职责</w:t>
      </w:r>
    </w:p>
    <w:p w14:paraId="3A2D26FF">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严格遵守国家有关安全生产的法律法规，认真执行工程承包合同中的有关安全要求。</w:t>
      </w:r>
    </w:p>
    <w:p w14:paraId="713DDD80">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坚持“安全第一、预防为主”和“管生产必须管安全”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D6761AC">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3.</w:t>
      </w:r>
      <w:r>
        <w:rPr>
          <w:rFonts w:hint="eastAsia" w:ascii="宋体" w:hAnsi="宋体"/>
          <w:color w:val="auto"/>
          <w:sz w:val="24"/>
          <w:szCs w:val="24"/>
          <w:highlight w:val="none"/>
        </w:rPr>
        <w:t>建立健全安全生产责任制，从派住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w:t>
      </w:r>
      <w:r>
        <w:rPr>
          <w:rFonts w:ascii="宋体" w:hAnsi="宋体"/>
          <w:color w:val="auto"/>
          <w:sz w:val="24"/>
          <w:szCs w:val="24"/>
          <w:highlight w:val="none"/>
        </w:rPr>
        <w:t>1%</w:t>
      </w:r>
      <w:r>
        <w:rPr>
          <w:rFonts w:hint="eastAsia" w:ascii="宋体" w:hAnsi="宋体"/>
          <w:color w:val="auto"/>
          <w:sz w:val="24"/>
          <w:szCs w:val="24"/>
          <w:highlight w:val="none"/>
          <w:lang w:eastAsia="zh-CN"/>
        </w:rPr>
        <w:t>～</w:t>
      </w:r>
      <w:r>
        <w:rPr>
          <w:rFonts w:ascii="宋体" w:hAnsi="宋体"/>
          <w:color w:val="auto"/>
          <w:sz w:val="24"/>
          <w:szCs w:val="24"/>
          <w:highlight w:val="none"/>
        </w:rPr>
        <w:t>3%</w:t>
      </w:r>
      <w:r>
        <w:rPr>
          <w:rFonts w:hint="eastAsia" w:ascii="宋体" w:hAnsi="宋体"/>
          <w:color w:val="auto"/>
          <w:sz w:val="24"/>
          <w:szCs w:val="24"/>
          <w:highlight w:val="none"/>
        </w:rPr>
        <w:t>配备安全员，专职负责所有的安全和治安保卫工作及预防事故的发生。安全机构人员，有权按有关规定发布指令，并采取保护性措施防止事故发生。</w:t>
      </w:r>
    </w:p>
    <w:p w14:paraId="321AEC29">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4.</w:t>
      </w:r>
      <w:r>
        <w:rPr>
          <w:rFonts w:hint="eastAsia" w:ascii="宋体" w:hAnsi="宋体"/>
          <w:color w:val="auto"/>
          <w:sz w:val="24"/>
          <w:szCs w:val="24"/>
          <w:highlight w:val="none"/>
        </w:rPr>
        <w:t>分包人在任何时候都应采取各种合理的预防措施，防止其员工发生各种违法、违禁、暴力或妨碍治安的行为。</w:t>
      </w:r>
    </w:p>
    <w:p w14:paraId="4DE2B14B">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5.</w:t>
      </w:r>
      <w:r>
        <w:rPr>
          <w:rFonts w:hint="eastAsia" w:ascii="宋体" w:hAnsi="宋体"/>
          <w:color w:val="auto"/>
          <w:sz w:val="24"/>
          <w:szCs w:val="24"/>
          <w:highlight w:val="none"/>
        </w:rPr>
        <w:t>分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14:paraId="0CB86044">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6.</w:t>
      </w:r>
      <w:r>
        <w:rPr>
          <w:rFonts w:hint="eastAsia" w:ascii="宋体" w:hAnsi="宋体"/>
          <w:color w:val="auto"/>
          <w:sz w:val="24"/>
          <w:szCs w:val="24"/>
          <w:highlight w:val="none"/>
        </w:rPr>
        <w:t>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14:paraId="1851D843">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7.</w:t>
      </w:r>
      <w:r>
        <w:rPr>
          <w:rFonts w:hint="eastAsia" w:ascii="宋体" w:hAnsi="宋体"/>
          <w:color w:val="auto"/>
          <w:sz w:val="24"/>
          <w:szCs w:val="24"/>
          <w:highlight w:val="none"/>
        </w:rPr>
        <w:t>操作人员上岗，必须按规定穿戴防护用品。施工负责人和安全检查员应随时检查劳动防护用品的穿戴情况，不按规定穿戴防护用品的人员不得上岗。</w:t>
      </w:r>
    </w:p>
    <w:p w14:paraId="16E247BA">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8.</w:t>
      </w:r>
      <w:r>
        <w:rPr>
          <w:rFonts w:hint="eastAsia" w:ascii="宋体" w:hAnsi="宋体"/>
          <w:color w:val="auto"/>
          <w:sz w:val="24"/>
          <w:szCs w:val="24"/>
          <w:highlight w:val="none"/>
        </w:rPr>
        <w:t>所有施工机具设备和高空作业的设备均应定期检查，并有安全员的签名记录，保证其经常处于完好状态，不合格的机具、设备和劳动保护用品严禁使用。</w:t>
      </w:r>
    </w:p>
    <w:p w14:paraId="01E665B1">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9.</w:t>
      </w:r>
      <w:r>
        <w:rPr>
          <w:rFonts w:hint="eastAsia" w:ascii="宋体" w:hAnsi="宋体"/>
          <w:color w:val="auto"/>
          <w:sz w:val="24"/>
          <w:szCs w:val="24"/>
          <w:highlight w:val="none"/>
        </w:rPr>
        <w:t>施工中采用新技术、新工艺、新设备、新</w:t>
      </w:r>
      <w:r>
        <w:rPr>
          <w:rFonts w:hint="eastAsia" w:ascii="宋体" w:hAnsi="宋体"/>
          <w:color w:val="auto"/>
          <w:sz w:val="24"/>
          <w:szCs w:val="24"/>
          <w:highlight w:val="none"/>
          <w:lang w:eastAsia="zh-CN"/>
        </w:rPr>
        <w:t>材料</w:t>
      </w:r>
      <w:r>
        <w:rPr>
          <w:rFonts w:hint="eastAsia" w:ascii="宋体" w:hAnsi="宋体"/>
          <w:color w:val="auto"/>
          <w:sz w:val="24"/>
          <w:szCs w:val="24"/>
          <w:highlight w:val="none"/>
        </w:rPr>
        <w:t>，必须制定相应的安全技术措施，施工现场必须具有相关的安全标志牌。</w:t>
      </w:r>
    </w:p>
    <w:p w14:paraId="7ED7F6D6">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lang w:eastAsia="zh-CN"/>
        </w:rPr>
        <w:t>10.</w:t>
      </w:r>
      <w:r>
        <w:rPr>
          <w:rFonts w:hint="eastAsia" w:ascii="宋体" w:hAnsi="宋体"/>
          <w:color w:val="auto"/>
          <w:sz w:val="24"/>
          <w:szCs w:val="24"/>
          <w:highlight w:val="none"/>
        </w:rPr>
        <w:t>承包人必须按照本工程项目特点，组织制定本工程实施中的生产安全事故应急</w:t>
      </w:r>
      <w:r>
        <w:rPr>
          <w:rFonts w:hint="eastAsia" w:ascii="宋体" w:hAnsi="宋体"/>
          <w:color w:val="auto"/>
          <w:sz w:val="24"/>
          <w:szCs w:val="24"/>
          <w:highlight w:val="none"/>
          <w:lang w:eastAsia="zh-CN"/>
        </w:rPr>
        <w:t>救援</w:t>
      </w:r>
      <w:r>
        <w:rPr>
          <w:rFonts w:hint="eastAsia" w:ascii="宋体" w:hAnsi="宋体"/>
          <w:color w:val="auto"/>
          <w:sz w:val="24"/>
          <w:szCs w:val="24"/>
          <w:highlight w:val="none"/>
        </w:rPr>
        <w:t>预案；如果发生安全事故，即按照《国务院关于特大安全事故行政责任追究的规定》以及其它有关规定，</w:t>
      </w:r>
      <w:r>
        <w:rPr>
          <w:rFonts w:hint="eastAsia" w:ascii="宋体" w:hAnsi="宋体"/>
          <w:color w:val="auto"/>
          <w:sz w:val="24"/>
          <w:szCs w:val="24"/>
          <w:highlight w:val="none"/>
          <w:lang w:eastAsia="zh-CN"/>
        </w:rPr>
        <w:t>及时</w:t>
      </w:r>
      <w:r>
        <w:rPr>
          <w:rFonts w:hint="eastAsia" w:ascii="宋体" w:hAnsi="宋体"/>
          <w:color w:val="auto"/>
          <w:sz w:val="24"/>
          <w:szCs w:val="24"/>
          <w:highlight w:val="none"/>
        </w:rPr>
        <w:t>上报有关部门，并坚持“三不放过”的原则，严格处理相关责任人。</w:t>
      </w:r>
    </w:p>
    <w:p w14:paraId="3E257125">
      <w:pPr>
        <w:adjustRightInd w:val="0"/>
        <w:snapToGrid w:val="0"/>
        <w:spacing w:line="360" w:lineRule="auto"/>
        <w:ind w:left="178" w:firstLine="482"/>
        <w:rPr>
          <w:rFonts w:ascii="宋体" w:hAnsi="宋体"/>
          <w:b/>
          <w:bCs/>
          <w:color w:val="auto"/>
          <w:sz w:val="24"/>
          <w:szCs w:val="24"/>
          <w:highlight w:val="none"/>
        </w:rPr>
      </w:pPr>
      <w:r>
        <w:rPr>
          <w:rFonts w:hint="eastAsia" w:ascii="宋体" w:hAnsi="宋体"/>
          <w:b/>
          <w:bCs/>
          <w:color w:val="auto"/>
          <w:sz w:val="24"/>
          <w:szCs w:val="24"/>
          <w:highlight w:val="none"/>
        </w:rPr>
        <w:t>三、违约责任</w:t>
      </w:r>
    </w:p>
    <w:p w14:paraId="3D727D85">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如因总承包人或分包人违约造成安全事故，将依法追究责任。</w:t>
      </w:r>
    </w:p>
    <w:p w14:paraId="6C46326D">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本合同份数与施工合同相同。由双方法定代表或授权代表签署加盖公章后生效。全部工程竣工验收后失效。</w:t>
      </w:r>
    </w:p>
    <w:p w14:paraId="5C097B01">
      <w:pPr>
        <w:spacing w:line="360" w:lineRule="auto"/>
        <w:ind w:left="178" w:firstLine="480"/>
        <w:rPr>
          <w:rFonts w:ascii="宋体" w:hAnsi="宋体"/>
          <w:color w:val="auto"/>
          <w:sz w:val="24"/>
          <w:szCs w:val="24"/>
          <w:highlight w:val="none"/>
        </w:rPr>
      </w:pPr>
      <w:r>
        <w:rPr>
          <w:rFonts w:hint="eastAsia" w:ascii="宋体" w:hAnsi="宋体"/>
          <w:color w:val="auto"/>
          <w:sz w:val="24"/>
          <w:szCs w:val="24"/>
          <w:highlight w:val="none"/>
        </w:rPr>
        <w:t>（以下无正文）</w:t>
      </w:r>
    </w:p>
    <w:p w14:paraId="72C0B57E">
      <w:pPr>
        <w:adjustRightInd w:val="0"/>
        <w:snapToGrid w:val="0"/>
        <w:spacing w:line="360" w:lineRule="auto"/>
        <w:ind w:left="178" w:firstLine="480"/>
        <w:rPr>
          <w:rFonts w:ascii="宋体" w:hAnsi="宋体"/>
          <w:color w:val="auto"/>
          <w:sz w:val="24"/>
          <w:szCs w:val="24"/>
          <w:highlight w:val="none"/>
        </w:rPr>
      </w:pPr>
    </w:p>
    <w:p w14:paraId="65FFA4B2">
      <w:pPr>
        <w:adjustRightInd w:val="0"/>
        <w:snapToGrid w:val="0"/>
        <w:spacing w:line="360" w:lineRule="auto"/>
        <w:ind w:left="178" w:firstLine="480"/>
        <w:rPr>
          <w:rFonts w:ascii="宋体" w:hAnsi="宋体"/>
          <w:color w:val="auto"/>
          <w:sz w:val="24"/>
          <w:szCs w:val="24"/>
          <w:highlight w:val="none"/>
        </w:rPr>
      </w:pPr>
    </w:p>
    <w:p w14:paraId="1B5E3F85">
      <w:pPr>
        <w:adjustRightInd w:val="0"/>
        <w:snapToGrid w:val="0"/>
        <w:spacing w:line="360" w:lineRule="auto"/>
        <w:ind w:left="178" w:firstLine="480"/>
        <w:rPr>
          <w:rFonts w:ascii="宋体" w:hAnsi="宋体"/>
          <w:color w:val="auto"/>
          <w:sz w:val="24"/>
          <w:szCs w:val="24"/>
          <w:highlight w:val="none"/>
        </w:rPr>
      </w:pPr>
    </w:p>
    <w:tbl>
      <w:tblPr>
        <w:tblStyle w:val="35"/>
        <w:tblW w:w="9446" w:type="dxa"/>
        <w:tblInd w:w="0" w:type="dxa"/>
        <w:tblLayout w:type="fixed"/>
        <w:tblCellMar>
          <w:top w:w="0" w:type="dxa"/>
          <w:left w:w="108" w:type="dxa"/>
          <w:bottom w:w="0" w:type="dxa"/>
          <w:right w:w="108" w:type="dxa"/>
        </w:tblCellMar>
      </w:tblPr>
      <w:tblGrid>
        <w:gridCol w:w="1560"/>
        <w:gridCol w:w="2546"/>
        <w:gridCol w:w="491"/>
        <w:gridCol w:w="1578"/>
        <w:gridCol w:w="3271"/>
      </w:tblGrid>
      <w:tr w14:paraId="609C3B25">
        <w:tblPrEx>
          <w:tblCellMar>
            <w:top w:w="0" w:type="dxa"/>
            <w:left w:w="108" w:type="dxa"/>
            <w:bottom w:w="0" w:type="dxa"/>
            <w:right w:w="108" w:type="dxa"/>
          </w:tblCellMar>
        </w:tblPrEx>
        <w:trPr>
          <w:trHeight w:val="1009" w:hRule="atLeast"/>
        </w:trPr>
        <w:tc>
          <w:tcPr>
            <w:tcW w:w="1560" w:type="dxa"/>
            <w:vAlign w:val="center"/>
          </w:tcPr>
          <w:p w14:paraId="09B798A7">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lang w:val="en-US" w:eastAsia="zh-CN"/>
              </w:rPr>
              <w:t>总承包</w:t>
            </w:r>
            <w:r>
              <w:rPr>
                <w:rFonts w:hint="eastAsia" w:ascii="宋体" w:hAnsi="宋体"/>
                <w:b/>
                <w:color w:val="auto"/>
                <w:sz w:val="24"/>
                <w:szCs w:val="24"/>
                <w:highlight w:val="none"/>
              </w:rPr>
              <w:t>人：</w:t>
            </w:r>
          </w:p>
        </w:tc>
        <w:tc>
          <w:tcPr>
            <w:tcW w:w="2546" w:type="dxa"/>
            <w:vAlign w:val="center"/>
          </w:tcPr>
          <w:p w14:paraId="6367EF25">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254E4C4A">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47D1714C">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承包人：</w:t>
            </w:r>
          </w:p>
        </w:tc>
        <w:tc>
          <w:tcPr>
            <w:tcW w:w="3271" w:type="dxa"/>
            <w:vAlign w:val="center"/>
          </w:tcPr>
          <w:p w14:paraId="48F45636">
            <w:pPr>
              <w:widowControl/>
              <w:wordWrap w:val="0"/>
              <w:topLinePunct/>
              <w:adjustRightInd w:val="0"/>
              <w:snapToGrid w:val="0"/>
              <w:spacing w:line="480" w:lineRule="exact"/>
              <w:rPr>
                <w:rFonts w:ascii="宋体" w:hAnsi="宋体"/>
                <w:color w:val="auto"/>
                <w:sz w:val="24"/>
                <w:szCs w:val="24"/>
                <w:highlight w:val="none"/>
              </w:rPr>
            </w:pPr>
          </w:p>
        </w:tc>
      </w:tr>
      <w:tr w14:paraId="6610D2C4">
        <w:tblPrEx>
          <w:tblCellMar>
            <w:top w:w="0" w:type="dxa"/>
            <w:left w:w="108" w:type="dxa"/>
            <w:bottom w:w="0" w:type="dxa"/>
            <w:right w:w="108" w:type="dxa"/>
          </w:tblCellMar>
        </w:tblPrEx>
        <w:trPr>
          <w:trHeight w:val="702" w:hRule="atLeast"/>
        </w:trPr>
        <w:tc>
          <w:tcPr>
            <w:tcW w:w="1560" w:type="dxa"/>
            <w:vAlign w:val="center"/>
          </w:tcPr>
          <w:p w14:paraId="6495D900">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单位地址：</w:t>
            </w:r>
          </w:p>
        </w:tc>
        <w:tc>
          <w:tcPr>
            <w:tcW w:w="2546" w:type="dxa"/>
            <w:vAlign w:val="center"/>
          </w:tcPr>
          <w:p w14:paraId="63B2B7AE">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5A3D7084">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02125DC9">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单位地址：</w:t>
            </w:r>
          </w:p>
        </w:tc>
        <w:tc>
          <w:tcPr>
            <w:tcW w:w="3271" w:type="dxa"/>
            <w:vAlign w:val="center"/>
          </w:tcPr>
          <w:p w14:paraId="15A495BB">
            <w:pPr>
              <w:widowControl/>
              <w:wordWrap w:val="0"/>
              <w:topLinePunct/>
              <w:adjustRightInd w:val="0"/>
              <w:snapToGrid w:val="0"/>
              <w:spacing w:line="480" w:lineRule="exact"/>
              <w:rPr>
                <w:rFonts w:ascii="宋体" w:hAnsi="宋体"/>
                <w:color w:val="auto"/>
                <w:sz w:val="24"/>
                <w:szCs w:val="24"/>
                <w:highlight w:val="none"/>
              </w:rPr>
            </w:pPr>
          </w:p>
        </w:tc>
      </w:tr>
      <w:tr w14:paraId="301EC2EA">
        <w:tblPrEx>
          <w:tblCellMar>
            <w:top w:w="0" w:type="dxa"/>
            <w:left w:w="108" w:type="dxa"/>
            <w:bottom w:w="0" w:type="dxa"/>
            <w:right w:w="108" w:type="dxa"/>
          </w:tblCellMar>
        </w:tblPrEx>
        <w:trPr>
          <w:trHeight w:val="672" w:hRule="atLeast"/>
        </w:trPr>
        <w:tc>
          <w:tcPr>
            <w:tcW w:w="1560" w:type="dxa"/>
            <w:vAlign w:val="center"/>
          </w:tcPr>
          <w:p w14:paraId="2E72A403">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法定代表人：</w:t>
            </w:r>
          </w:p>
        </w:tc>
        <w:tc>
          <w:tcPr>
            <w:tcW w:w="2546" w:type="dxa"/>
            <w:vAlign w:val="center"/>
          </w:tcPr>
          <w:p w14:paraId="7F0AD5C3">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5DB78F67">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66053C1B">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法定代表人：</w:t>
            </w:r>
          </w:p>
        </w:tc>
        <w:tc>
          <w:tcPr>
            <w:tcW w:w="3271" w:type="dxa"/>
            <w:vAlign w:val="center"/>
          </w:tcPr>
          <w:p w14:paraId="71DFC1E8">
            <w:pPr>
              <w:widowControl/>
              <w:wordWrap w:val="0"/>
              <w:topLinePunct/>
              <w:adjustRightInd w:val="0"/>
              <w:snapToGrid w:val="0"/>
              <w:spacing w:line="480" w:lineRule="exact"/>
              <w:rPr>
                <w:rFonts w:ascii="宋体" w:hAnsi="宋体"/>
                <w:color w:val="auto"/>
                <w:sz w:val="24"/>
                <w:szCs w:val="24"/>
                <w:highlight w:val="none"/>
              </w:rPr>
            </w:pPr>
          </w:p>
        </w:tc>
      </w:tr>
      <w:tr w14:paraId="0ACBD13F">
        <w:tblPrEx>
          <w:tblCellMar>
            <w:top w:w="0" w:type="dxa"/>
            <w:left w:w="108" w:type="dxa"/>
            <w:bottom w:w="0" w:type="dxa"/>
            <w:right w:w="108" w:type="dxa"/>
          </w:tblCellMar>
        </w:tblPrEx>
        <w:trPr>
          <w:trHeight w:val="696" w:hRule="atLeast"/>
        </w:trPr>
        <w:tc>
          <w:tcPr>
            <w:tcW w:w="1560" w:type="dxa"/>
            <w:vAlign w:val="center"/>
          </w:tcPr>
          <w:p w14:paraId="2728588F">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委托代理人：</w:t>
            </w:r>
          </w:p>
        </w:tc>
        <w:tc>
          <w:tcPr>
            <w:tcW w:w="2546" w:type="dxa"/>
            <w:vAlign w:val="center"/>
          </w:tcPr>
          <w:p w14:paraId="51DA3FB6">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3CCB1A2F">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56B85A95">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委托代理人：</w:t>
            </w:r>
          </w:p>
        </w:tc>
        <w:tc>
          <w:tcPr>
            <w:tcW w:w="3271" w:type="dxa"/>
            <w:vAlign w:val="center"/>
          </w:tcPr>
          <w:p w14:paraId="7977FA57">
            <w:pPr>
              <w:widowControl/>
              <w:wordWrap w:val="0"/>
              <w:topLinePunct/>
              <w:adjustRightInd w:val="0"/>
              <w:snapToGrid w:val="0"/>
              <w:spacing w:line="480" w:lineRule="exact"/>
              <w:rPr>
                <w:rFonts w:ascii="宋体" w:hAnsi="宋体"/>
                <w:color w:val="auto"/>
                <w:sz w:val="24"/>
                <w:szCs w:val="24"/>
                <w:highlight w:val="none"/>
              </w:rPr>
            </w:pPr>
          </w:p>
        </w:tc>
      </w:tr>
      <w:tr w14:paraId="3870D9AF">
        <w:tblPrEx>
          <w:tblCellMar>
            <w:top w:w="0" w:type="dxa"/>
            <w:left w:w="108" w:type="dxa"/>
            <w:bottom w:w="0" w:type="dxa"/>
            <w:right w:w="108" w:type="dxa"/>
          </w:tblCellMar>
        </w:tblPrEx>
        <w:trPr>
          <w:trHeight w:val="579" w:hRule="atLeast"/>
        </w:trPr>
        <w:tc>
          <w:tcPr>
            <w:tcW w:w="1560" w:type="dxa"/>
            <w:vAlign w:val="center"/>
          </w:tcPr>
          <w:p w14:paraId="4827181B">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电</w:t>
            </w:r>
            <w:r>
              <w:rPr>
                <w:rFonts w:ascii="宋体" w:hAnsi="宋体"/>
                <w:b/>
                <w:color w:val="auto"/>
                <w:sz w:val="24"/>
                <w:szCs w:val="24"/>
                <w:highlight w:val="none"/>
              </w:rPr>
              <w:t xml:space="preserve">    </w:t>
            </w:r>
            <w:r>
              <w:rPr>
                <w:rFonts w:hint="eastAsia" w:ascii="宋体" w:hAnsi="宋体"/>
                <w:b/>
                <w:color w:val="auto"/>
                <w:sz w:val="24"/>
                <w:szCs w:val="24"/>
                <w:highlight w:val="none"/>
              </w:rPr>
              <w:t>话：</w:t>
            </w:r>
          </w:p>
        </w:tc>
        <w:tc>
          <w:tcPr>
            <w:tcW w:w="2546" w:type="dxa"/>
            <w:vAlign w:val="center"/>
          </w:tcPr>
          <w:p w14:paraId="1ED4A2D2">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5E77120D">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18FC6CAB">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电</w:t>
            </w:r>
            <w:r>
              <w:rPr>
                <w:rFonts w:ascii="宋体" w:hAnsi="宋体"/>
                <w:b/>
                <w:color w:val="auto"/>
                <w:sz w:val="24"/>
                <w:szCs w:val="24"/>
                <w:highlight w:val="none"/>
              </w:rPr>
              <w:t xml:space="preserve">    </w:t>
            </w:r>
            <w:r>
              <w:rPr>
                <w:rFonts w:hint="eastAsia" w:ascii="宋体" w:hAnsi="宋体"/>
                <w:b/>
                <w:color w:val="auto"/>
                <w:sz w:val="24"/>
                <w:szCs w:val="24"/>
                <w:highlight w:val="none"/>
              </w:rPr>
              <w:t>话：</w:t>
            </w:r>
          </w:p>
        </w:tc>
        <w:tc>
          <w:tcPr>
            <w:tcW w:w="3271" w:type="dxa"/>
            <w:vAlign w:val="center"/>
          </w:tcPr>
          <w:p w14:paraId="26E19DD6">
            <w:pPr>
              <w:widowControl/>
              <w:wordWrap w:val="0"/>
              <w:topLinePunct/>
              <w:adjustRightInd w:val="0"/>
              <w:snapToGrid w:val="0"/>
              <w:spacing w:line="480" w:lineRule="exact"/>
              <w:rPr>
                <w:rFonts w:ascii="宋体" w:hAnsi="宋体"/>
                <w:color w:val="auto"/>
                <w:sz w:val="24"/>
                <w:szCs w:val="24"/>
                <w:highlight w:val="none"/>
              </w:rPr>
            </w:pPr>
          </w:p>
        </w:tc>
      </w:tr>
      <w:tr w14:paraId="28E38359">
        <w:tblPrEx>
          <w:tblCellMar>
            <w:top w:w="0" w:type="dxa"/>
            <w:left w:w="108" w:type="dxa"/>
            <w:bottom w:w="0" w:type="dxa"/>
            <w:right w:w="108" w:type="dxa"/>
          </w:tblCellMar>
        </w:tblPrEx>
        <w:trPr>
          <w:trHeight w:val="701" w:hRule="atLeast"/>
        </w:trPr>
        <w:tc>
          <w:tcPr>
            <w:tcW w:w="1560" w:type="dxa"/>
            <w:vAlign w:val="center"/>
          </w:tcPr>
          <w:p w14:paraId="5C5BD83A">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传</w:t>
            </w:r>
            <w:r>
              <w:rPr>
                <w:rFonts w:ascii="宋体" w:hAnsi="宋体"/>
                <w:b/>
                <w:color w:val="auto"/>
                <w:sz w:val="24"/>
                <w:szCs w:val="24"/>
                <w:highlight w:val="none"/>
              </w:rPr>
              <w:t xml:space="preserve">    </w:t>
            </w:r>
            <w:r>
              <w:rPr>
                <w:rFonts w:hint="eastAsia" w:ascii="宋体" w:hAnsi="宋体"/>
                <w:b/>
                <w:color w:val="auto"/>
                <w:sz w:val="24"/>
                <w:szCs w:val="24"/>
                <w:highlight w:val="none"/>
              </w:rPr>
              <w:t>真：</w:t>
            </w:r>
          </w:p>
        </w:tc>
        <w:tc>
          <w:tcPr>
            <w:tcW w:w="2546" w:type="dxa"/>
            <w:vAlign w:val="center"/>
          </w:tcPr>
          <w:p w14:paraId="4A83181D">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2240F1B8">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3085E9E0">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传</w:t>
            </w:r>
            <w:r>
              <w:rPr>
                <w:rFonts w:ascii="宋体" w:hAnsi="宋体"/>
                <w:b/>
                <w:color w:val="auto"/>
                <w:sz w:val="24"/>
                <w:szCs w:val="24"/>
                <w:highlight w:val="none"/>
              </w:rPr>
              <w:t xml:space="preserve">    </w:t>
            </w:r>
            <w:r>
              <w:rPr>
                <w:rFonts w:hint="eastAsia" w:ascii="宋体" w:hAnsi="宋体"/>
                <w:b/>
                <w:color w:val="auto"/>
                <w:sz w:val="24"/>
                <w:szCs w:val="24"/>
                <w:highlight w:val="none"/>
              </w:rPr>
              <w:t>真：</w:t>
            </w:r>
          </w:p>
        </w:tc>
        <w:tc>
          <w:tcPr>
            <w:tcW w:w="3271" w:type="dxa"/>
            <w:vAlign w:val="center"/>
          </w:tcPr>
          <w:p w14:paraId="1C69FB89">
            <w:pPr>
              <w:widowControl/>
              <w:wordWrap w:val="0"/>
              <w:topLinePunct/>
              <w:adjustRightInd w:val="0"/>
              <w:snapToGrid w:val="0"/>
              <w:spacing w:line="480" w:lineRule="exact"/>
              <w:rPr>
                <w:rFonts w:ascii="宋体" w:hAnsi="宋体"/>
                <w:color w:val="auto"/>
                <w:sz w:val="24"/>
                <w:szCs w:val="24"/>
                <w:highlight w:val="none"/>
              </w:rPr>
            </w:pPr>
          </w:p>
        </w:tc>
      </w:tr>
      <w:tr w14:paraId="673E0C37">
        <w:tblPrEx>
          <w:tblCellMar>
            <w:top w:w="0" w:type="dxa"/>
            <w:left w:w="108" w:type="dxa"/>
            <w:bottom w:w="0" w:type="dxa"/>
            <w:right w:w="108" w:type="dxa"/>
          </w:tblCellMar>
        </w:tblPrEx>
        <w:trPr>
          <w:trHeight w:val="724" w:hRule="atLeast"/>
        </w:trPr>
        <w:tc>
          <w:tcPr>
            <w:tcW w:w="1560" w:type="dxa"/>
            <w:vAlign w:val="center"/>
          </w:tcPr>
          <w:p w14:paraId="3B32B93C">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税号</w:t>
            </w:r>
          </w:p>
        </w:tc>
        <w:tc>
          <w:tcPr>
            <w:tcW w:w="2546" w:type="dxa"/>
            <w:vAlign w:val="center"/>
          </w:tcPr>
          <w:p w14:paraId="23F90CB6">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24697AC2">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7D9739BE">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税号</w:t>
            </w:r>
          </w:p>
        </w:tc>
        <w:tc>
          <w:tcPr>
            <w:tcW w:w="3271" w:type="dxa"/>
            <w:vAlign w:val="center"/>
          </w:tcPr>
          <w:p w14:paraId="2D8F22FD">
            <w:pPr>
              <w:widowControl/>
              <w:wordWrap w:val="0"/>
              <w:topLinePunct/>
              <w:adjustRightInd w:val="0"/>
              <w:snapToGrid w:val="0"/>
              <w:spacing w:line="480" w:lineRule="exact"/>
              <w:rPr>
                <w:rFonts w:ascii="宋体" w:hAnsi="宋体"/>
                <w:color w:val="auto"/>
                <w:sz w:val="24"/>
                <w:szCs w:val="24"/>
                <w:highlight w:val="none"/>
              </w:rPr>
            </w:pPr>
          </w:p>
        </w:tc>
      </w:tr>
      <w:tr w14:paraId="2CD84BDB">
        <w:tblPrEx>
          <w:tblCellMar>
            <w:top w:w="0" w:type="dxa"/>
            <w:left w:w="108" w:type="dxa"/>
            <w:bottom w:w="0" w:type="dxa"/>
            <w:right w:w="108" w:type="dxa"/>
          </w:tblCellMar>
        </w:tblPrEx>
        <w:trPr>
          <w:trHeight w:val="1131" w:hRule="atLeast"/>
        </w:trPr>
        <w:tc>
          <w:tcPr>
            <w:tcW w:w="1560" w:type="dxa"/>
            <w:vAlign w:val="center"/>
          </w:tcPr>
          <w:p w14:paraId="52677EAF">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开户银行：</w:t>
            </w:r>
          </w:p>
        </w:tc>
        <w:tc>
          <w:tcPr>
            <w:tcW w:w="2546" w:type="dxa"/>
            <w:vAlign w:val="center"/>
          </w:tcPr>
          <w:p w14:paraId="6773DE35">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632080E7">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70FDFC1A">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开户银行：</w:t>
            </w:r>
          </w:p>
        </w:tc>
        <w:tc>
          <w:tcPr>
            <w:tcW w:w="3271" w:type="dxa"/>
            <w:vAlign w:val="center"/>
          </w:tcPr>
          <w:p w14:paraId="5ABD57A5">
            <w:pPr>
              <w:widowControl/>
              <w:wordWrap w:val="0"/>
              <w:topLinePunct/>
              <w:adjustRightInd w:val="0"/>
              <w:snapToGrid w:val="0"/>
              <w:spacing w:line="480" w:lineRule="exact"/>
              <w:rPr>
                <w:rFonts w:ascii="宋体" w:hAnsi="宋体"/>
                <w:color w:val="auto"/>
                <w:sz w:val="24"/>
                <w:szCs w:val="24"/>
                <w:highlight w:val="none"/>
              </w:rPr>
            </w:pPr>
          </w:p>
        </w:tc>
      </w:tr>
      <w:tr w14:paraId="0B85D3F7">
        <w:tblPrEx>
          <w:tblCellMar>
            <w:top w:w="0" w:type="dxa"/>
            <w:left w:w="108" w:type="dxa"/>
            <w:bottom w:w="0" w:type="dxa"/>
            <w:right w:w="108" w:type="dxa"/>
          </w:tblCellMar>
        </w:tblPrEx>
        <w:trPr>
          <w:trHeight w:val="694" w:hRule="atLeast"/>
        </w:trPr>
        <w:tc>
          <w:tcPr>
            <w:tcW w:w="1560" w:type="dxa"/>
            <w:vAlign w:val="center"/>
          </w:tcPr>
          <w:p w14:paraId="00E2CE27">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账</w:t>
            </w:r>
            <w:r>
              <w:rPr>
                <w:rFonts w:ascii="宋体" w:hAnsi="宋体"/>
                <w:b/>
                <w:color w:val="auto"/>
                <w:sz w:val="24"/>
                <w:szCs w:val="24"/>
                <w:highlight w:val="none"/>
              </w:rPr>
              <w:t xml:space="preserve">    </w:t>
            </w:r>
            <w:r>
              <w:rPr>
                <w:rFonts w:hint="eastAsia" w:ascii="宋体" w:hAnsi="宋体"/>
                <w:b/>
                <w:color w:val="auto"/>
                <w:sz w:val="24"/>
                <w:szCs w:val="24"/>
                <w:highlight w:val="none"/>
              </w:rPr>
              <w:t>号：</w:t>
            </w:r>
          </w:p>
        </w:tc>
        <w:tc>
          <w:tcPr>
            <w:tcW w:w="2546" w:type="dxa"/>
            <w:vAlign w:val="center"/>
          </w:tcPr>
          <w:p w14:paraId="180B6D7C">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0973F42F">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406B6EA7">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账</w:t>
            </w:r>
            <w:r>
              <w:rPr>
                <w:rFonts w:ascii="宋体" w:hAnsi="宋体"/>
                <w:b/>
                <w:color w:val="auto"/>
                <w:sz w:val="24"/>
                <w:szCs w:val="24"/>
                <w:highlight w:val="none"/>
              </w:rPr>
              <w:t xml:space="preserve">    </w:t>
            </w:r>
            <w:r>
              <w:rPr>
                <w:rFonts w:hint="eastAsia" w:ascii="宋体" w:hAnsi="宋体"/>
                <w:b/>
                <w:color w:val="auto"/>
                <w:sz w:val="24"/>
                <w:szCs w:val="24"/>
                <w:highlight w:val="none"/>
              </w:rPr>
              <w:t>号：</w:t>
            </w:r>
          </w:p>
        </w:tc>
        <w:tc>
          <w:tcPr>
            <w:tcW w:w="3271" w:type="dxa"/>
            <w:vAlign w:val="center"/>
          </w:tcPr>
          <w:p w14:paraId="7480C801">
            <w:pPr>
              <w:widowControl/>
              <w:wordWrap w:val="0"/>
              <w:topLinePunct/>
              <w:adjustRightInd w:val="0"/>
              <w:snapToGrid w:val="0"/>
              <w:spacing w:line="480" w:lineRule="exact"/>
              <w:rPr>
                <w:rFonts w:ascii="宋体" w:hAnsi="宋体"/>
                <w:color w:val="auto"/>
                <w:sz w:val="24"/>
                <w:szCs w:val="24"/>
                <w:highlight w:val="none"/>
              </w:rPr>
            </w:pPr>
          </w:p>
        </w:tc>
      </w:tr>
      <w:tr w14:paraId="474B6970">
        <w:tblPrEx>
          <w:tblCellMar>
            <w:top w:w="0" w:type="dxa"/>
            <w:left w:w="108" w:type="dxa"/>
            <w:bottom w:w="0" w:type="dxa"/>
            <w:right w:w="108" w:type="dxa"/>
          </w:tblCellMar>
        </w:tblPrEx>
        <w:trPr>
          <w:trHeight w:val="70" w:hRule="atLeast"/>
        </w:trPr>
        <w:tc>
          <w:tcPr>
            <w:tcW w:w="1560" w:type="dxa"/>
            <w:vAlign w:val="center"/>
          </w:tcPr>
          <w:p w14:paraId="2821591D">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邮政编码：</w:t>
            </w:r>
          </w:p>
        </w:tc>
        <w:tc>
          <w:tcPr>
            <w:tcW w:w="2546" w:type="dxa"/>
            <w:vAlign w:val="center"/>
          </w:tcPr>
          <w:p w14:paraId="226471B9">
            <w:pPr>
              <w:widowControl/>
              <w:wordWrap w:val="0"/>
              <w:topLinePunct/>
              <w:adjustRightInd w:val="0"/>
              <w:snapToGrid w:val="0"/>
              <w:spacing w:line="480" w:lineRule="exact"/>
              <w:rPr>
                <w:rFonts w:ascii="宋体" w:hAnsi="宋体"/>
                <w:color w:val="auto"/>
                <w:sz w:val="24"/>
                <w:szCs w:val="24"/>
                <w:highlight w:val="none"/>
              </w:rPr>
            </w:pPr>
          </w:p>
        </w:tc>
        <w:tc>
          <w:tcPr>
            <w:tcW w:w="491" w:type="dxa"/>
          </w:tcPr>
          <w:p w14:paraId="026B84ED">
            <w:pPr>
              <w:widowControl/>
              <w:wordWrap w:val="0"/>
              <w:topLinePunct/>
              <w:adjustRightInd w:val="0"/>
              <w:snapToGrid w:val="0"/>
              <w:spacing w:line="480" w:lineRule="exact"/>
              <w:rPr>
                <w:rFonts w:ascii="宋体" w:hAnsi="宋体"/>
                <w:b/>
                <w:color w:val="auto"/>
                <w:sz w:val="24"/>
                <w:szCs w:val="24"/>
                <w:highlight w:val="none"/>
              </w:rPr>
            </w:pPr>
          </w:p>
        </w:tc>
        <w:tc>
          <w:tcPr>
            <w:tcW w:w="1578" w:type="dxa"/>
            <w:vAlign w:val="center"/>
          </w:tcPr>
          <w:p w14:paraId="71D72CD8">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邮政编码：</w:t>
            </w:r>
          </w:p>
        </w:tc>
        <w:tc>
          <w:tcPr>
            <w:tcW w:w="3271" w:type="dxa"/>
            <w:vAlign w:val="center"/>
          </w:tcPr>
          <w:p w14:paraId="66E055E0">
            <w:pPr>
              <w:widowControl/>
              <w:wordWrap w:val="0"/>
              <w:topLinePunct/>
              <w:adjustRightInd w:val="0"/>
              <w:snapToGrid w:val="0"/>
              <w:spacing w:line="480" w:lineRule="exact"/>
              <w:rPr>
                <w:rFonts w:ascii="宋体" w:hAnsi="宋体"/>
                <w:color w:val="auto"/>
                <w:sz w:val="24"/>
                <w:szCs w:val="24"/>
                <w:highlight w:val="none"/>
              </w:rPr>
            </w:pPr>
          </w:p>
        </w:tc>
      </w:tr>
    </w:tbl>
    <w:p w14:paraId="3318B937">
      <w:pPr>
        <w:adjustRightInd w:val="0"/>
        <w:snapToGrid w:val="0"/>
        <w:spacing w:line="360" w:lineRule="auto"/>
        <w:ind w:left="178" w:right="840"/>
        <w:rPr>
          <w:rFonts w:ascii="宋体" w:hAnsi="宋体"/>
          <w:color w:val="auto"/>
          <w:sz w:val="24"/>
          <w:szCs w:val="24"/>
          <w:highlight w:val="none"/>
        </w:rPr>
      </w:pPr>
    </w:p>
    <w:p w14:paraId="5686506A">
      <w:pPr>
        <w:adjustRightInd w:val="0"/>
        <w:snapToGrid w:val="0"/>
        <w:spacing w:line="360" w:lineRule="auto"/>
        <w:ind w:left="178" w:right="840"/>
        <w:rPr>
          <w:rFonts w:ascii="宋体" w:hAnsi="宋体"/>
          <w:color w:val="auto"/>
          <w:sz w:val="24"/>
          <w:szCs w:val="24"/>
          <w:highlight w:val="none"/>
        </w:rPr>
      </w:pPr>
    </w:p>
    <w:p w14:paraId="79C7DFC0">
      <w:pPr>
        <w:pStyle w:val="6"/>
        <w:rPr>
          <w:color w:val="auto"/>
          <w:highlight w:val="none"/>
        </w:rPr>
      </w:pPr>
    </w:p>
    <w:p w14:paraId="03DFC283">
      <w:pPr>
        <w:pStyle w:val="6"/>
        <w:rPr>
          <w:color w:val="auto"/>
          <w:highlight w:val="none"/>
        </w:rPr>
      </w:pPr>
    </w:p>
    <w:p w14:paraId="3A35D583">
      <w:pPr>
        <w:pStyle w:val="6"/>
        <w:rPr>
          <w:color w:val="auto"/>
          <w:highlight w:val="none"/>
        </w:rPr>
      </w:pPr>
    </w:p>
    <w:p w14:paraId="3E4CC5BA">
      <w:pPr>
        <w:pStyle w:val="6"/>
        <w:rPr>
          <w:color w:val="auto"/>
          <w:highlight w:val="none"/>
        </w:rPr>
      </w:pPr>
    </w:p>
    <w:p w14:paraId="224A40D2">
      <w:pPr>
        <w:pStyle w:val="6"/>
        <w:rPr>
          <w:color w:val="auto"/>
          <w:highlight w:val="none"/>
        </w:rPr>
      </w:pPr>
    </w:p>
    <w:p w14:paraId="15A5805F">
      <w:pPr>
        <w:pStyle w:val="6"/>
        <w:rPr>
          <w:color w:val="auto"/>
          <w:highlight w:val="none"/>
        </w:rPr>
      </w:pPr>
    </w:p>
    <w:p w14:paraId="093A8C50">
      <w:pPr>
        <w:pStyle w:val="6"/>
        <w:rPr>
          <w:color w:val="auto"/>
          <w:highlight w:val="none"/>
        </w:rPr>
      </w:pPr>
    </w:p>
    <w:p w14:paraId="26259DB3">
      <w:pPr>
        <w:pStyle w:val="6"/>
        <w:rPr>
          <w:color w:val="auto"/>
          <w:highlight w:val="none"/>
        </w:rPr>
      </w:pPr>
    </w:p>
    <w:p w14:paraId="0C1F9E31">
      <w:pPr>
        <w:pStyle w:val="6"/>
        <w:rPr>
          <w:color w:val="auto"/>
          <w:highlight w:val="none"/>
        </w:rPr>
      </w:pPr>
    </w:p>
    <w:p w14:paraId="34048030">
      <w:pPr>
        <w:pStyle w:val="6"/>
        <w:rPr>
          <w:color w:val="auto"/>
          <w:highlight w:val="none"/>
        </w:rPr>
      </w:pPr>
    </w:p>
    <w:p w14:paraId="2BB688BB">
      <w:pPr>
        <w:pStyle w:val="6"/>
        <w:rPr>
          <w:color w:val="auto"/>
          <w:highlight w:val="none"/>
        </w:rPr>
      </w:pPr>
    </w:p>
    <w:p w14:paraId="14A838DD">
      <w:pPr>
        <w:pStyle w:val="6"/>
        <w:rPr>
          <w:color w:val="auto"/>
          <w:highlight w:val="none"/>
        </w:rPr>
      </w:pPr>
    </w:p>
    <w:p w14:paraId="149A4257">
      <w:pPr>
        <w:pStyle w:val="6"/>
        <w:rPr>
          <w:color w:val="auto"/>
          <w:highlight w:val="none"/>
        </w:rPr>
      </w:pPr>
    </w:p>
    <w:p w14:paraId="7CEFC517">
      <w:pPr>
        <w:pStyle w:val="6"/>
        <w:rPr>
          <w:color w:val="auto"/>
          <w:highlight w:val="none"/>
        </w:rPr>
      </w:pPr>
    </w:p>
    <w:p w14:paraId="1568FA1F">
      <w:pPr>
        <w:pStyle w:val="6"/>
        <w:rPr>
          <w:color w:val="auto"/>
          <w:highlight w:val="none"/>
        </w:rPr>
      </w:pPr>
    </w:p>
    <w:p w14:paraId="775026FD">
      <w:pPr>
        <w:pStyle w:val="6"/>
        <w:rPr>
          <w:color w:val="auto"/>
          <w:highlight w:val="none"/>
        </w:rPr>
      </w:pPr>
    </w:p>
    <w:p w14:paraId="58F4ACCC">
      <w:pPr>
        <w:pStyle w:val="6"/>
        <w:rPr>
          <w:color w:val="auto"/>
          <w:highlight w:val="none"/>
        </w:rPr>
      </w:pPr>
    </w:p>
    <w:p w14:paraId="3D95F5BC">
      <w:pPr>
        <w:pStyle w:val="6"/>
        <w:rPr>
          <w:color w:val="auto"/>
          <w:highlight w:val="none"/>
        </w:rPr>
      </w:pPr>
    </w:p>
    <w:p w14:paraId="3D010F27">
      <w:pPr>
        <w:pStyle w:val="6"/>
        <w:rPr>
          <w:color w:val="auto"/>
          <w:highlight w:val="none"/>
        </w:rPr>
      </w:pPr>
    </w:p>
    <w:p w14:paraId="6CAF2D8C">
      <w:pPr>
        <w:pStyle w:val="6"/>
        <w:rPr>
          <w:color w:val="auto"/>
          <w:highlight w:val="none"/>
        </w:rPr>
      </w:pPr>
    </w:p>
    <w:p w14:paraId="177340A8">
      <w:pPr>
        <w:pStyle w:val="6"/>
        <w:rPr>
          <w:color w:val="auto"/>
          <w:highlight w:val="none"/>
        </w:rPr>
      </w:pPr>
    </w:p>
    <w:p w14:paraId="3B843CFB">
      <w:pPr>
        <w:pStyle w:val="6"/>
        <w:rPr>
          <w:color w:val="auto"/>
          <w:highlight w:val="none"/>
        </w:rPr>
      </w:pPr>
    </w:p>
    <w:p w14:paraId="5B243BC1">
      <w:pPr>
        <w:spacing w:after="280" w:afterAutospacing="1" w:line="360" w:lineRule="auto"/>
        <w:ind w:firstLine="600"/>
        <w:jc w:val="left"/>
        <w:rPr>
          <w:color w:val="auto"/>
          <w:highlight w:val="none"/>
        </w:rPr>
      </w:pPr>
    </w:p>
    <w:p w14:paraId="18153B66">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附件8.3：</w:t>
      </w:r>
    </w:p>
    <w:p w14:paraId="01947B32">
      <w:pPr>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工程建设领域农民工工资</w:t>
      </w:r>
    </w:p>
    <w:p w14:paraId="3846D70D">
      <w:pPr>
        <w:spacing w:line="36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委托代发服务三方协议</w:t>
      </w:r>
    </w:p>
    <w:p w14:paraId="10B4D5CF">
      <w:pPr>
        <w:pStyle w:val="6"/>
        <w:ind w:firstLine="883"/>
        <w:jc w:val="center"/>
        <w:rPr>
          <w:rFonts w:ascii="仿宋" w:hAnsi="仿宋" w:eastAsia="仿宋" w:cs="仿宋"/>
          <w:b/>
          <w:color w:val="auto"/>
          <w:sz w:val="44"/>
          <w:szCs w:val="44"/>
          <w:highlight w:val="none"/>
        </w:rPr>
      </w:pPr>
    </w:p>
    <w:p w14:paraId="047B1B1A">
      <w:pPr>
        <w:adjustRightInd w:val="0"/>
        <w:snapToGrid w:val="0"/>
        <w:spacing w:line="360" w:lineRule="auto"/>
        <w:jc w:val="left"/>
        <w:rPr>
          <w:color w:val="auto"/>
          <w:highlight w:val="none"/>
          <w:u w:val="single"/>
        </w:rPr>
      </w:pPr>
      <w:r>
        <w:rPr>
          <w:rFonts w:hint="eastAsia"/>
          <w:color w:val="auto"/>
          <w:highlight w:val="none"/>
          <w:u w:val="single"/>
        </w:rPr>
        <w:t>甲方：（建设单位）</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01CB7111">
      <w:pPr>
        <w:adjustRightInd w:val="0"/>
        <w:snapToGrid w:val="0"/>
        <w:spacing w:line="360" w:lineRule="auto"/>
        <w:rPr>
          <w:color w:val="auto"/>
          <w:highlight w:val="none"/>
          <w:u w:val="single"/>
        </w:rPr>
      </w:pPr>
      <w:r>
        <w:rPr>
          <w:rFonts w:hint="eastAsia"/>
          <w:color w:val="auto"/>
          <w:highlight w:val="none"/>
          <w:u w:val="single"/>
        </w:rPr>
        <w:t>乙方：（总包单位）</w:t>
      </w:r>
      <w:r>
        <w:rPr>
          <w:color w:val="auto"/>
          <w:highlight w:val="none"/>
          <w:u w:val="single"/>
        </w:rPr>
        <w:t xml:space="preserve">                           </w:t>
      </w:r>
    </w:p>
    <w:p w14:paraId="74BD4AA0">
      <w:pPr>
        <w:adjustRightInd w:val="0"/>
        <w:snapToGrid w:val="0"/>
        <w:spacing w:line="360" w:lineRule="auto"/>
        <w:rPr>
          <w:color w:val="auto"/>
          <w:highlight w:val="none"/>
        </w:rPr>
      </w:pPr>
      <w:r>
        <w:rPr>
          <w:rFonts w:hint="eastAsia"/>
          <w:color w:val="auto"/>
          <w:highlight w:val="none"/>
          <w:u w:val="single"/>
        </w:rPr>
        <w:t>丙方：（分包单位）</w:t>
      </w:r>
      <w:r>
        <w:rPr>
          <w:color w:val="auto"/>
          <w:highlight w:val="none"/>
          <w:u w:val="single"/>
        </w:rPr>
        <w:t xml:space="preserve">                           </w:t>
      </w:r>
      <w:r>
        <w:rPr>
          <w:color w:val="auto"/>
          <w:highlight w:val="none"/>
        </w:rPr>
        <w:t xml:space="preserve">                    </w:t>
      </w:r>
      <w:r>
        <w:rPr>
          <w:rFonts w:hint="eastAsia"/>
          <w:color w:val="auto"/>
          <w:highlight w:val="none"/>
        </w:rPr>
        <w:t xml:space="preserve">                           </w:t>
      </w:r>
    </w:p>
    <w:p w14:paraId="1CE4D7D6">
      <w:pPr>
        <w:adjustRightInd w:val="0"/>
        <w:snapToGrid w:val="0"/>
        <w:spacing w:line="360" w:lineRule="auto"/>
        <w:ind w:firstLine="477" w:firstLineChars="199"/>
        <w:jc w:val="left"/>
        <w:rPr>
          <w:color w:val="auto"/>
          <w:sz w:val="24"/>
          <w:highlight w:val="none"/>
        </w:rPr>
      </w:pPr>
      <w:r>
        <w:rPr>
          <w:rFonts w:hint="eastAsia"/>
          <w:color w:val="auto"/>
          <w:sz w:val="24"/>
          <w:highlight w:val="none"/>
        </w:rPr>
        <w:t>鉴于</w:t>
      </w:r>
    </w:p>
    <w:p w14:paraId="1238F2F4">
      <w:pPr>
        <w:widowControl/>
        <w:spacing w:line="360" w:lineRule="auto"/>
        <w:ind w:firstLine="480" w:firstLineChars="200"/>
        <w:jc w:val="left"/>
        <w:rPr>
          <w:color w:val="auto"/>
          <w:sz w:val="24"/>
          <w:highlight w:val="none"/>
        </w:rPr>
      </w:pPr>
      <w:r>
        <w:rPr>
          <w:rFonts w:hint="eastAsia"/>
          <w:color w:val="auto"/>
          <w:sz w:val="24"/>
          <w:highlight w:val="none"/>
          <w:lang w:eastAsia="zh-CN"/>
        </w:rPr>
        <w:t>1.</w:t>
      </w:r>
      <w:r>
        <w:rPr>
          <w:rFonts w:hint="eastAsia"/>
          <w:color w:val="auto"/>
          <w:sz w:val="24"/>
          <w:highlight w:val="none"/>
        </w:rPr>
        <w:t>发包方与总承包方于2023年就</w:t>
      </w:r>
      <w:r>
        <w:rPr>
          <w:rFonts w:hint="eastAsia"/>
          <w:bCs/>
          <w:color w:val="auto"/>
          <w:sz w:val="24"/>
          <w:szCs w:val="24"/>
          <w:highlight w:val="none"/>
          <w:u w:val="single"/>
        </w:rPr>
        <w:t>悦辰花园项目三期</w:t>
      </w:r>
      <w:r>
        <w:rPr>
          <w:rFonts w:hint="eastAsia"/>
          <w:color w:val="auto"/>
          <w:sz w:val="24"/>
          <w:highlight w:val="none"/>
        </w:rPr>
        <w:t>工程事项签署了《悦辰花园项目（原名：领隽城市花园项目）三期工程施工总承包合同》（合同编号：</w:t>
      </w:r>
      <w:r>
        <w:rPr>
          <w:rFonts w:hint="eastAsia"/>
          <w:color w:val="auto"/>
          <w:sz w:val="24"/>
          <w:szCs w:val="24"/>
          <w:highlight w:val="none"/>
        </w:rPr>
        <w:t>号</w:t>
      </w:r>
      <w:r>
        <w:rPr>
          <w:rFonts w:hint="eastAsia"/>
          <w:color w:val="auto"/>
          <w:sz w:val="24"/>
          <w:highlight w:val="none"/>
        </w:rPr>
        <w:t>）。</w:t>
      </w:r>
    </w:p>
    <w:p w14:paraId="2DCD35B0">
      <w:pPr>
        <w:adjustRightInd w:val="0"/>
        <w:snapToGrid w:val="0"/>
        <w:spacing w:line="360" w:lineRule="auto"/>
        <w:ind w:firstLine="477" w:firstLineChars="199"/>
        <w:jc w:val="left"/>
        <w:rPr>
          <w:color w:val="auto"/>
          <w:sz w:val="24"/>
          <w:highlight w:val="none"/>
        </w:rPr>
      </w:pPr>
      <w:r>
        <w:rPr>
          <w:rFonts w:hint="eastAsia"/>
          <w:color w:val="auto"/>
          <w:sz w:val="24"/>
          <w:highlight w:val="none"/>
          <w:lang w:eastAsia="zh-CN"/>
        </w:rPr>
        <w:t>2.</w:t>
      </w:r>
      <w:r>
        <w:rPr>
          <w:rFonts w:hint="eastAsia"/>
          <w:color w:val="auto"/>
          <w:sz w:val="24"/>
          <w:highlight w:val="none"/>
        </w:rPr>
        <w:t>发包方与分包方</w:t>
      </w:r>
      <w:r>
        <w:rPr>
          <w:rFonts w:hint="eastAsia" w:ascii="宋体" w:hAnsi="宋体"/>
          <w:color w:val="auto"/>
          <w:sz w:val="24"/>
          <w:highlight w:val="none"/>
        </w:rPr>
        <w:t>于</w:t>
      </w:r>
      <w:r>
        <w:rPr>
          <w:rFonts w:hint="eastAsia"/>
          <w:color w:val="auto"/>
          <w:sz w:val="24"/>
          <w:highlight w:val="none"/>
        </w:rPr>
        <w:t>202</w:t>
      </w:r>
      <w:r>
        <w:rPr>
          <w:rFonts w:hint="eastAsia"/>
          <w:color w:val="auto"/>
          <w:sz w:val="24"/>
          <w:highlight w:val="none"/>
          <w:u w:val="single"/>
        </w:rPr>
        <w:t xml:space="preserve">   </w:t>
      </w:r>
      <w:r>
        <w:rPr>
          <w:rFonts w:hint="eastAsia"/>
          <w:color w:val="auto"/>
          <w:sz w:val="24"/>
          <w:highlight w:val="none"/>
        </w:rPr>
        <w:t>年</w:t>
      </w:r>
      <w:r>
        <w:rPr>
          <w:rFonts w:hint="eastAsia" w:ascii="宋体" w:hAnsi="宋体"/>
          <w:color w:val="auto"/>
          <w:sz w:val="24"/>
          <w:highlight w:val="none"/>
        </w:rPr>
        <w:t>就</w:t>
      </w:r>
      <w:r>
        <w:rPr>
          <w:rFonts w:hint="eastAsia"/>
          <w:bCs/>
          <w:color w:val="auto"/>
          <w:sz w:val="24"/>
          <w:szCs w:val="24"/>
          <w:highlight w:val="none"/>
          <w:u w:val="single"/>
        </w:rPr>
        <w:t>悦辰花园项目三期</w:t>
      </w:r>
      <w:r>
        <w:rPr>
          <w:rFonts w:hint="eastAsia"/>
          <w:bCs/>
          <w:color w:val="auto"/>
          <w:sz w:val="24"/>
          <w:szCs w:val="24"/>
          <w:highlight w:val="none"/>
          <w:u w:val="single"/>
          <w:lang w:val="en-US" w:eastAsia="zh-CN"/>
        </w:rPr>
        <w:t xml:space="preserve">      </w:t>
      </w:r>
      <w:r>
        <w:rPr>
          <w:rFonts w:hint="eastAsia"/>
          <w:bCs/>
          <w:color w:val="auto"/>
          <w:sz w:val="24"/>
          <w:szCs w:val="24"/>
          <w:highlight w:val="none"/>
          <w:u w:val="single"/>
        </w:rPr>
        <w:t xml:space="preserve"> </w:t>
      </w:r>
      <w:r>
        <w:rPr>
          <w:rFonts w:hint="eastAsia"/>
          <w:bCs/>
          <w:color w:val="auto"/>
          <w:sz w:val="24"/>
          <w:szCs w:val="24"/>
          <w:highlight w:val="none"/>
        </w:rPr>
        <w:t xml:space="preserve"> </w:t>
      </w:r>
      <w:r>
        <w:rPr>
          <w:rFonts w:hint="eastAsia"/>
          <w:color w:val="auto"/>
          <w:sz w:val="24"/>
          <w:highlight w:val="none"/>
        </w:rPr>
        <w:t>工程</w:t>
      </w:r>
      <w:r>
        <w:rPr>
          <w:rFonts w:hint="eastAsia" w:ascii="宋体" w:hAnsi="宋体"/>
          <w:color w:val="auto"/>
          <w:sz w:val="24"/>
          <w:highlight w:val="none"/>
        </w:rPr>
        <w:t>签署了</w:t>
      </w:r>
      <w:r>
        <w:rPr>
          <w:rFonts w:hint="eastAsia"/>
          <w:color w:val="auto"/>
          <w:sz w:val="24"/>
          <w:highlight w:val="none"/>
        </w:rPr>
        <w:t>《</w:t>
      </w:r>
      <w:r>
        <w:rPr>
          <w:rFonts w:hint="eastAsia"/>
          <w:bCs/>
          <w:color w:val="auto"/>
          <w:sz w:val="24"/>
          <w:szCs w:val="24"/>
          <w:highlight w:val="none"/>
          <w:u w:val="single"/>
        </w:rPr>
        <w:t>悦辰花园项目三期     工程施工专业承包合同</w:t>
      </w:r>
      <w:r>
        <w:rPr>
          <w:rFonts w:hint="eastAsia"/>
          <w:color w:val="auto"/>
          <w:sz w:val="24"/>
          <w:highlight w:val="none"/>
        </w:rPr>
        <w:t>》（合同编号： ，以下简称“原分包合同”）。</w:t>
      </w:r>
    </w:p>
    <w:p w14:paraId="34915982">
      <w:pPr>
        <w:adjustRightInd w:val="0"/>
        <w:snapToGrid w:val="0"/>
        <w:spacing w:line="360" w:lineRule="auto"/>
        <w:ind w:firstLine="417" w:firstLineChars="199"/>
        <w:jc w:val="left"/>
        <w:rPr>
          <w:rFonts w:ascii="宋体" w:hAnsi="宋体"/>
          <w:color w:val="auto"/>
          <w:sz w:val="24"/>
          <w:highlight w:val="none"/>
        </w:rPr>
      </w:pPr>
      <w:r>
        <w:rPr>
          <w:rFonts w:hint="eastAsia"/>
          <w:color w:val="auto"/>
          <w:highlight w:val="none"/>
        </w:rPr>
        <w:t xml:space="preserve">根据国务院《保障农民工工资支付条例》（国令第724号）第三十一条“工程建设领域推行分包单位农民工工资委托施工总承包单位代发制度”，以及《广州市根治拖欠农民工工资工作领导小组办公室关于广州市建设领域工程项目全面实施农民工工资总包代发制度的通知》等规定，为落实好有关总包代发工作， </w:t>
      </w:r>
      <w:r>
        <w:rPr>
          <w:rFonts w:hint="eastAsia"/>
          <w:color w:val="auto"/>
          <w:sz w:val="24"/>
          <w:highlight w:val="none"/>
        </w:rPr>
        <w:t>为保障农民工工资按时足额支付，经三方友好协商，现就本项目丙方分包范围内的农民工工资由乙方代发事宜，达成如下一致协议，作为原分包合同的补充，以资各方遵守执行。</w:t>
      </w:r>
    </w:p>
    <w:p w14:paraId="4723AF63">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一、</w:t>
      </w:r>
      <w:r>
        <w:rPr>
          <w:rFonts w:hint="eastAsia" w:ascii="宋体" w:hAnsi="宋体"/>
          <w:color w:val="auto"/>
          <w:highlight w:val="none"/>
        </w:rPr>
        <w:t>丙方书面委托乙方代收代发丙方的农民工工资，每笔工程进度款待丙方具备分包合同约定的全部付款条件后，丙方同意甲方在支付工程款时依据分包合同的约定及时足额将本分包工程相应的人工费直接拨付至乙方的农民工工资专用账户。乙</w:t>
      </w:r>
      <w:r>
        <w:rPr>
          <w:rFonts w:hint="eastAsia" w:ascii="宋体" w:hAnsi="宋体"/>
          <w:color w:val="auto"/>
          <w:sz w:val="24"/>
          <w:highlight w:val="none"/>
        </w:rPr>
        <w:t>方应按政府要求开设农民工工资专款账户，开立的收款账户信息如下，</w:t>
      </w:r>
      <w:r>
        <w:rPr>
          <w:rFonts w:hint="eastAsia" w:ascii="宋体" w:hAnsi="宋体"/>
          <w:color w:val="auto"/>
          <w:highlight w:val="none"/>
        </w:rPr>
        <w:t>甲方向下述账户拨付人工费应视为甲方向丙方支付工程进度款</w:t>
      </w:r>
      <w:r>
        <w:rPr>
          <w:rFonts w:hint="eastAsia" w:ascii="宋体" w:hAnsi="宋体"/>
          <w:color w:val="auto"/>
          <w:sz w:val="24"/>
          <w:highlight w:val="none"/>
        </w:rPr>
        <w:t>：</w:t>
      </w:r>
    </w:p>
    <w:p w14:paraId="3F0C36A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账户名： </w:t>
      </w:r>
    </w:p>
    <w:p w14:paraId="5299FF7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开户行： </w:t>
      </w:r>
    </w:p>
    <w:p w14:paraId="78EA145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账号： </w:t>
      </w:r>
    </w:p>
    <w:p w14:paraId="471AB8C6">
      <w:pPr>
        <w:adjustRightInd w:val="0"/>
        <w:snapToGrid w:val="0"/>
        <w:spacing w:line="360" w:lineRule="auto"/>
        <w:ind w:firstLine="480" w:firstLineChars="200"/>
        <w:rPr>
          <w:rFonts w:ascii="宋体" w:hAnsi="宋体"/>
          <w:color w:val="auto"/>
          <w:sz w:val="24"/>
          <w:highlight w:val="none"/>
        </w:rPr>
      </w:pPr>
    </w:p>
    <w:p w14:paraId="672F7119">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二、分包合同人工费和其他工程款支付</w:t>
      </w:r>
    </w:p>
    <w:p w14:paraId="2212BEE0">
      <w:pPr>
        <w:adjustRightInd w:val="0"/>
        <w:snapToGrid w:val="0"/>
        <w:spacing w:line="360" w:lineRule="auto"/>
        <w:rPr>
          <w:rFonts w:ascii="宋体" w:hAnsi="宋体"/>
          <w:i/>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原分包合同金额为人民币：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44315557">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发包方每月支付分包进度款时，其中的人工费，具体为分包合同总价的</w:t>
      </w:r>
      <w:r>
        <w:rPr>
          <w:rFonts w:hint="eastAsia" w:ascii="宋体" w:hAnsi="宋体"/>
          <w:iCs/>
          <w:color w:val="auto"/>
          <w:sz w:val="24"/>
          <w:highlight w:val="none"/>
        </w:rPr>
        <w:t xml:space="preserve"> （  </w:t>
      </w:r>
      <w:r>
        <w:rPr>
          <w:rFonts w:ascii="宋体" w:hAnsi="宋体"/>
          <w:iCs/>
          <w:color w:val="auto"/>
          <w:sz w:val="24"/>
          <w:highlight w:val="none"/>
        </w:rPr>
        <w:t>%</w:t>
      </w:r>
      <w:r>
        <w:rPr>
          <w:rFonts w:hint="eastAsia" w:ascii="宋体" w:hAnsi="宋体"/>
          <w:iCs/>
          <w:color w:val="auto"/>
          <w:sz w:val="24"/>
          <w:highlight w:val="none"/>
        </w:rPr>
        <w:t xml:space="preserve">） </w:t>
      </w:r>
      <w:r>
        <w:rPr>
          <w:rFonts w:hint="eastAsia" w:ascii="宋体" w:hAnsi="宋体"/>
          <w:color w:val="auto"/>
          <w:sz w:val="24"/>
          <w:highlight w:val="none"/>
        </w:rPr>
        <w:t>由甲方向乙方开设的前述农民工工资专款账户直接支付，乙方代丙方收取该笔农民工工资款项后，代分包方发放分包工程农民工工资；除此之外的其他分包工程款由甲方支付进丙方收款账户，由丙方管理与使用。</w:t>
      </w:r>
    </w:p>
    <w:p w14:paraId="33A3CCC3">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rPr>
        <w:t>丙方应配合乙方对分包方的劳动用工进行监督管理，以实名制管理信息为基础，按月考核农民工工作量并编制工资支付表，经农民工本人签字捺印确认后，与农民工考勤表、当月工程进度等情况一并提交给乙方，协助乙方做好分包工程农民工工资支付工作。</w:t>
      </w:r>
    </w:p>
    <w:p w14:paraId="2DF32CBB">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4.</w:t>
      </w:r>
      <w:r>
        <w:rPr>
          <w:rFonts w:hint="eastAsia" w:ascii="宋体" w:hAnsi="宋体"/>
          <w:color w:val="auto"/>
          <w:sz w:val="24"/>
          <w:highlight w:val="none"/>
        </w:rPr>
        <w:t>乙方应严格按政府要求以及合同约定履行本项目的农民工工资代付义务，包括但不限于通过其农民工工资账户及时、足额地向分包方的农民工代付工资、禁止挪用分包工程的农民工工资费用等，否则，应按法律规定和合同约定承担责任。</w:t>
      </w:r>
      <w:r>
        <w:rPr>
          <w:rFonts w:hint="eastAsia" w:ascii="宋体" w:hAnsi="宋体"/>
          <w:color w:val="auto"/>
          <w:highlight w:val="none"/>
        </w:rPr>
        <w:t>农民工工资个税（若发生）由丙方承担并自行申报缴税。</w:t>
      </w:r>
    </w:p>
    <w:p w14:paraId="6507DE3E">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5.</w:t>
      </w:r>
      <w:r>
        <w:rPr>
          <w:rFonts w:hint="eastAsia" w:ascii="宋体" w:hAnsi="宋体"/>
          <w:color w:val="auto"/>
          <w:sz w:val="24"/>
          <w:highlight w:val="none"/>
        </w:rPr>
        <w:t>乙方仅在发包方支付至农民工工资专用账户的金额范围内承担代付责任，如因甲方未能及时拨款或丙方未能及时上报、漏报、错报等原因导致乙方无法代发或迟发工人工资，出现工人工资纠纷，相应责任由丙方自行承担，与乙方无关。</w:t>
      </w:r>
    </w:p>
    <w:p w14:paraId="79E5E855">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6.</w:t>
      </w:r>
      <w:r>
        <w:rPr>
          <w:rFonts w:hint="eastAsia" w:ascii="宋体" w:hAnsi="宋体"/>
          <w:color w:val="auto"/>
          <w:sz w:val="24"/>
          <w:highlight w:val="none"/>
        </w:rPr>
        <w:t>丙方承诺向乙方提供的劳务人员花名册、身份证复印件、工资卡信息（开户行和卡号）、劳动用工合同（原件或加盖分包人公章的复印件）、操作证件、委托付款函、工资表、考勤表等资料内容全部真实，并与现场及资料对应，若不能对应导致错发、漏发，由丙方自行承担相应责任。</w:t>
      </w:r>
    </w:p>
    <w:p w14:paraId="040EEFBB">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eastAsia="zh-CN"/>
        </w:rPr>
        <w:t>7.</w:t>
      </w:r>
      <w:r>
        <w:rPr>
          <w:rFonts w:hint="eastAsia" w:ascii="宋体" w:hAnsi="宋体"/>
          <w:color w:val="auto"/>
          <w:sz w:val="24"/>
          <w:highlight w:val="none"/>
        </w:rPr>
        <w:t>工程完工且经各方确认未拖欠农民工工资的，由甲方申请注销农民工工资专用账户。该账户内余额若属于丙方的，由总承包方在30日内退回丙方。</w:t>
      </w:r>
    </w:p>
    <w:p w14:paraId="4C0F8D29">
      <w:pPr>
        <w:adjustRightInd w:val="0"/>
        <w:snapToGrid w:val="0"/>
        <w:spacing w:line="360" w:lineRule="auto"/>
        <w:rPr>
          <w:rFonts w:ascii="宋体" w:hAnsi="宋体"/>
          <w:color w:val="auto"/>
          <w:highlight w:val="none"/>
        </w:rPr>
      </w:pPr>
      <w:r>
        <w:rPr>
          <w:rFonts w:hint="eastAsia" w:ascii="宋体" w:hAnsi="宋体"/>
          <w:color w:val="auto"/>
          <w:highlight w:val="none"/>
          <w:lang w:eastAsia="zh-CN"/>
        </w:rPr>
        <w:t>8.</w:t>
      </w:r>
      <w:r>
        <w:rPr>
          <w:rFonts w:hint="eastAsia" w:ascii="宋体" w:hAnsi="宋体"/>
          <w:color w:val="auto"/>
          <w:highlight w:val="none"/>
        </w:rPr>
        <w:t>乙方每次代发的农民工工资总额不超过当次甲方就该分包工程向乙方拨付的人工费用总额。</w:t>
      </w:r>
    </w:p>
    <w:p w14:paraId="0BA72887">
      <w:pPr>
        <w:adjustRightInd w:val="0"/>
        <w:snapToGrid w:val="0"/>
        <w:spacing w:line="360" w:lineRule="auto"/>
        <w:rPr>
          <w:rFonts w:ascii="宋体" w:hAnsi="宋体"/>
          <w:color w:val="auto"/>
          <w:highlight w:val="none"/>
        </w:rPr>
      </w:pPr>
    </w:p>
    <w:p w14:paraId="26CA7339">
      <w:pPr>
        <w:pStyle w:val="86"/>
        <w:spacing w:line="360" w:lineRule="auto"/>
        <w:ind w:left="425" w:hanging="424" w:hangingChars="177"/>
        <w:rPr>
          <w:rFonts w:ascii="宋体" w:hAnsi="宋体"/>
          <w:color w:val="auto"/>
          <w:sz w:val="24"/>
          <w:highlight w:val="none"/>
        </w:rPr>
      </w:pPr>
      <w:r>
        <w:rPr>
          <w:rFonts w:hint="eastAsia" w:ascii="宋体" w:cs="宋体"/>
          <w:color w:val="auto"/>
          <w:kern w:val="0"/>
          <w:sz w:val="24"/>
          <w:highlight w:val="none"/>
        </w:rPr>
        <w:t>三、</w:t>
      </w:r>
      <w:r>
        <w:rPr>
          <w:rFonts w:hint="eastAsia" w:ascii="宋体" w:hAnsi="宋体"/>
          <w:color w:val="auto"/>
          <w:sz w:val="24"/>
          <w:highlight w:val="none"/>
        </w:rPr>
        <w:t>本协议为原分包合同之补充协议，与原分包合同具有同等法律效力，本协议与原分包合同共同组成一份完整协议，如有冲突，以本协议约定为准，原分包合同其他条款保持不变并继续有效；本协议未约定事宜，按原分包合同约定执行。</w:t>
      </w:r>
    </w:p>
    <w:p w14:paraId="3FB323AE">
      <w:pPr>
        <w:pStyle w:val="86"/>
        <w:spacing w:line="360" w:lineRule="auto"/>
        <w:ind w:left="425" w:hanging="424" w:hangingChars="177"/>
        <w:rPr>
          <w:rFonts w:ascii="宋体" w:hAnsi="宋体"/>
          <w:color w:val="auto"/>
          <w:sz w:val="24"/>
          <w:highlight w:val="none"/>
        </w:rPr>
      </w:pPr>
    </w:p>
    <w:p w14:paraId="566C991C">
      <w:pPr>
        <w:numPr>
          <w:ilvl w:val="0"/>
          <w:numId w:val="11"/>
        </w:numPr>
        <w:spacing w:line="360" w:lineRule="auto"/>
        <w:rPr>
          <w:rFonts w:ascii="宋体" w:hAnsi="宋体"/>
          <w:color w:val="auto"/>
          <w:sz w:val="24"/>
          <w:highlight w:val="none"/>
        </w:rPr>
      </w:pPr>
      <w:r>
        <w:rPr>
          <w:rFonts w:hint="eastAsia" w:ascii="宋体" w:hAnsi="宋体"/>
          <w:color w:val="auto"/>
          <w:sz w:val="24"/>
          <w:highlight w:val="none"/>
        </w:rPr>
        <w:t>本协议自各方签字盖章之日起生效。</w:t>
      </w:r>
    </w:p>
    <w:p w14:paraId="1F3AAB47">
      <w:pPr>
        <w:numPr>
          <w:ilvl w:val="255"/>
          <w:numId w:val="0"/>
        </w:numPr>
        <w:spacing w:line="360" w:lineRule="auto"/>
        <w:rPr>
          <w:rFonts w:ascii="宋体" w:hAnsi="宋体"/>
          <w:color w:val="auto"/>
          <w:sz w:val="24"/>
          <w:highlight w:val="none"/>
        </w:rPr>
      </w:pPr>
    </w:p>
    <w:p w14:paraId="28C9900C">
      <w:pPr>
        <w:spacing w:line="360" w:lineRule="auto"/>
        <w:rPr>
          <w:rFonts w:ascii="宋体" w:hAnsi="宋体"/>
          <w:color w:val="auto"/>
          <w:szCs w:val="21"/>
          <w:highlight w:val="none"/>
        </w:rPr>
      </w:pPr>
      <w:r>
        <w:rPr>
          <w:rFonts w:hint="eastAsia" w:ascii="宋体" w:hAnsi="宋体"/>
          <w:color w:val="auto"/>
          <w:sz w:val="24"/>
          <w:highlight w:val="none"/>
        </w:rPr>
        <w:t>五、本协议一式叁份，甲、乙、丙方各执一份，每份均具有同等法律效力</w:t>
      </w:r>
      <w:r>
        <w:rPr>
          <w:rFonts w:hint="eastAsia" w:ascii="宋体" w:hAnsi="宋体"/>
          <w:color w:val="auto"/>
          <w:szCs w:val="21"/>
          <w:highlight w:val="none"/>
        </w:rPr>
        <w:t>。</w:t>
      </w:r>
    </w:p>
    <w:p w14:paraId="57A7DA40">
      <w:pPr>
        <w:spacing w:line="360" w:lineRule="auto"/>
        <w:rPr>
          <w:rFonts w:ascii="宋体" w:hAnsi="宋体"/>
          <w:color w:val="auto"/>
          <w:szCs w:val="21"/>
          <w:highlight w:val="none"/>
        </w:rPr>
      </w:pPr>
    </w:p>
    <w:p w14:paraId="5D6CA470">
      <w:pPr>
        <w:spacing w:line="360" w:lineRule="auto"/>
        <w:rPr>
          <w:color w:val="auto"/>
          <w:sz w:val="24"/>
          <w:highlight w:val="none"/>
        </w:rPr>
      </w:pPr>
      <w:r>
        <w:rPr>
          <w:rFonts w:hint="eastAsia"/>
          <w:color w:val="auto"/>
          <w:sz w:val="24"/>
          <w:highlight w:val="none"/>
        </w:rPr>
        <w:t>（以下无正文）</w:t>
      </w:r>
    </w:p>
    <w:p w14:paraId="2BED38B3">
      <w:pPr>
        <w:spacing w:line="360" w:lineRule="auto"/>
        <w:rPr>
          <w:color w:val="auto"/>
          <w:sz w:val="24"/>
          <w:highlight w:val="none"/>
        </w:rPr>
      </w:pPr>
    </w:p>
    <w:p w14:paraId="46A506F7">
      <w:pPr>
        <w:spacing w:line="360" w:lineRule="auto"/>
        <w:rPr>
          <w:rFonts w:ascii="宋体" w:hAnsi="宋体"/>
          <w:color w:val="auto"/>
          <w:sz w:val="24"/>
          <w:highlight w:val="none"/>
        </w:rPr>
      </w:pPr>
    </w:p>
    <w:p w14:paraId="440906B3">
      <w:pPr>
        <w:spacing w:line="360" w:lineRule="auto"/>
        <w:rPr>
          <w:rFonts w:ascii="宋体" w:hAnsi="宋体"/>
          <w:color w:val="auto"/>
          <w:sz w:val="24"/>
          <w:highlight w:val="none"/>
        </w:rPr>
      </w:pPr>
      <w:r>
        <w:rPr>
          <w:rFonts w:hint="eastAsia" w:ascii="宋体" w:hAnsi="宋体"/>
          <w:color w:val="auto"/>
          <w:sz w:val="24"/>
          <w:highlight w:val="none"/>
        </w:rPr>
        <w:t>各方于</w:t>
      </w:r>
      <w:r>
        <w:rPr>
          <w:rFonts w:hint="eastAsia" w:ascii="Arial" w:hAnsi="Arial" w:cs="Arial"/>
          <w:color w:val="auto"/>
          <w:sz w:val="24"/>
          <w:highlight w:val="none"/>
          <w:u w:val="single"/>
        </w:rPr>
        <w:t xml:space="preserve">      </w:t>
      </w:r>
      <w:r>
        <w:rPr>
          <w:rFonts w:ascii="Arial" w:hAnsi="Arial" w:cs="Arial"/>
          <w:color w:val="auto"/>
          <w:sz w:val="24"/>
          <w:highlight w:val="none"/>
          <w:u w:val="single"/>
        </w:rPr>
        <w:t xml:space="preserve"> </w:t>
      </w:r>
      <w:r>
        <w:rPr>
          <w:rFonts w:ascii="Arial" w:hAnsi="宋体" w:cs="Arial"/>
          <w:color w:val="auto"/>
          <w:sz w:val="24"/>
          <w:highlight w:val="none"/>
        </w:rPr>
        <w:t>年</w:t>
      </w:r>
      <w:r>
        <w:rPr>
          <w:rFonts w:ascii="Arial" w:hAnsi="Arial" w:cs="Arial"/>
          <w:color w:val="auto"/>
          <w:sz w:val="24"/>
          <w:highlight w:val="none"/>
          <w:u w:val="single"/>
        </w:rPr>
        <w:t xml:space="preserve">    </w:t>
      </w:r>
      <w:r>
        <w:rPr>
          <w:rFonts w:ascii="Arial" w:hAnsi="宋体" w:cs="Arial"/>
          <w:color w:val="auto"/>
          <w:sz w:val="24"/>
          <w:highlight w:val="none"/>
        </w:rPr>
        <w:t>月</w:t>
      </w:r>
      <w:r>
        <w:rPr>
          <w:rFonts w:ascii="Arial" w:hAnsi="Arial" w:cs="Arial"/>
          <w:color w:val="auto"/>
          <w:sz w:val="24"/>
          <w:highlight w:val="none"/>
          <w:u w:val="single"/>
        </w:rPr>
        <w:t xml:space="preserve">    </w:t>
      </w:r>
      <w:r>
        <w:rPr>
          <w:rFonts w:ascii="Arial" w:hAnsi="宋体" w:cs="Arial"/>
          <w:color w:val="auto"/>
          <w:sz w:val="24"/>
          <w:highlight w:val="none"/>
        </w:rPr>
        <w:t>日</w:t>
      </w:r>
      <w:r>
        <w:rPr>
          <w:rFonts w:hint="eastAsia" w:ascii="Arial" w:hAnsi="宋体" w:cs="Arial"/>
          <w:color w:val="auto"/>
          <w:sz w:val="24"/>
          <w:highlight w:val="none"/>
        </w:rPr>
        <w:t>签署于广州市黄埔区。</w:t>
      </w:r>
    </w:p>
    <w:p w14:paraId="2952DA1E">
      <w:pPr>
        <w:spacing w:line="360" w:lineRule="auto"/>
        <w:ind w:firstLine="360" w:firstLineChars="150"/>
        <w:rPr>
          <w:color w:val="auto"/>
          <w:sz w:val="24"/>
          <w:highlight w:val="none"/>
        </w:rPr>
      </w:pPr>
    </w:p>
    <w:tbl>
      <w:tblPr>
        <w:tblStyle w:val="35"/>
        <w:tblW w:w="7520" w:type="dxa"/>
        <w:tblInd w:w="0" w:type="dxa"/>
        <w:tblLayout w:type="autofit"/>
        <w:tblCellMar>
          <w:top w:w="0" w:type="dxa"/>
          <w:left w:w="108" w:type="dxa"/>
          <w:bottom w:w="0" w:type="dxa"/>
          <w:right w:w="108" w:type="dxa"/>
        </w:tblCellMar>
      </w:tblPr>
      <w:tblGrid>
        <w:gridCol w:w="7520"/>
      </w:tblGrid>
      <w:tr w14:paraId="465A2846">
        <w:tblPrEx>
          <w:tblCellMar>
            <w:top w:w="0" w:type="dxa"/>
            <w:left w:w="108" w:type="dxa"/>
            <w:bottom w:w="0" w:type="dxa"/>
            <w:right w:w="108" w:type="dxa"/>
          </w:tblCellMar>
        </w:tblPrEx>
        <w:trPr>
          <w:trHeight w:val="695" w:hRule="atLeast"/>
        </w:trPr>
        <w:tc>
          <w:tcPr>
            <w:tcW w:w="7520" w:type="dxa"/>
          </w:tcPr>
          <w:p w14:paraId="6A86899C">
            <w:pPr>
              <w:tabs>
                <w:tab w:val="left" w:pos="1545"/>
              </w:tabs>
              <w:rPr>
                <w:rFonts w:ascii="Arial" w:hAnsi="Arial" w:cs="Arial"/>
                <w:color w:val="auto"/>
                <w:sz w:val="24"/>
                <w:highlight w:val="none"/>
              </w:rPr>
            </w:pPr>
            <w:r>
              <w:rPr>
                <w:rFonts w:hint="eastAsia" w:ascii="Arial" w:hAnsi="宋体" w:cs="Arial"/>
                <w:color w:val="auto"/>
                <w:sz w:val="24"/>
                <w:highlight w:val="none"/>
              </w:rPr>
              <w:t>发包方</w:t>
            </w:r>
            <w:r>
              <w:rPr>
                <w:rFonts w:ascii="Arial" w:hAnsi="宋体" w:cs="Arial"/>
                <w:color w:val="auto"/>
                <w:sz w:val="24"/>
                <w:highlight w:val="none"/>
              </w:rPr>
              <w:t>（盖章）：</w:t>
            </w:r>
            <w:r>
              <w:rPr>
                <w:rFonts w:hint="eastAsia"/>
                <w:color w:val="auto"/>
                <w:sz w:val="24"/>
                <w:szCs w:val="24"/>
                <w:highlight w:val="none"/>
              </w:rPr>
              <w:t xml:space="preserve"> </w:t>
            </w:r>
            <w:r>
              <w:rPr>
                <w:rFonts w:ascii="Arial" w:hAnsi="Arial" w:cs="Arial"/>
                <w:color w:val="auto"/>
                <w:sz w:val="24"/>
                <w:highlight w:val="none"/>
                <w:u w:val="single"/>
              </w:rPr>
              <w:t xml:space="preserve">     </w:t>
            </w:r>
          </w:p>
        </w:tc>
      </w:tr>
      <w:tr w14:paraId="0B7FE641">
        <w:tblPrEx>
          <w:tblCellMar>
            <w:top w:w="0" w:type="dxa"/>
            <w:left w:w="108" w:type="dxa"/>
            <w:bottom w:w="0" w:type="dxa"/>
            <w:right w:w="108" w:type="dxa"/>
          </w:tblCellMar>
        </w:tblPrEx>
        <w:trPr>
          <w:trHeight w:val="695" w:hRule="atLeast"/>
        </w:trPr>
        <w:tc>
          <w:tcPr>
            <w:tcW w:w="7520" w:type="dxa"/>
          </w:tcPr>
          <w:p w14:paraId="0BC7CFE9">
            <w:pPr>
              <w:tabs>
                <w:tab w:val="left" w:pos="1545"/>
              </w:tabs>
              <w:rPr>
                <w:rFonts w:ascii="Arial" w:hAnsi="Arial" w:cs="Arial"/>
                <w:color w:val="auto"/>
                <w:sz w:val="24"/>
                <w:highlight w:val="none"/>
              </w:rPr>
            </w:pPr>
            <w:r>
              <w:rPr>
                <w:rFonts w:hint="eastAsia" w:ascii="Arial" w:hAnsi="Arial" w:cs="Arial"/>
                <w:color w:val="auto"/>
                <w:sz w:val="24"/>
                <w:highlight w:val="none"/>
              </w:rPr>
              <w:t>授权代表：</w:t>
            </w:r>
          </w:p>
        </w:tc>
      </w:tr>
      <w:tr w14:paraId="55454661">
        <w:tblPrEx>
          <w:tblCellMar>
            <w:top w:w="0" w:type="dxa"/>
            <w:left w:w="108" w:type="dxa"/>
            <w:bottom w:w="0" w:type="dxa"/>
            <w:right w:w="108" w:type="dxa"/>
          </w:tblCellMar>
        </w:tblPrEx>
        <w:trPr>
          <w:trHeight w:val="695" w:hRule="atLeast"/>
        </w:trPr>
        <w:tc>
          <w:tcPr>
            <w:tcW w:w="7520" w:type="dxa"/>
          </w:tcPr>
          <w:p w14:paraId="44B0FF77">
            <w:pPr>
              <w:tabs>
                <w:tab w:val="left" w:pos="1545"/>
              </w:tabs>
              <w:rPr>
                <w:rFonts w:ascii="Arial" w:hAnsi="Arial" w:cs="Arial"/>
                <w:color w:val="auto"/>
                <w:sz w:val="24"/>
                <w:highlight w:val="none"/>
              </w:rPr>
            </w:pPr>
          </w:p>
        </w:tc>
      </w:tr>
      <w:tr w14:paraId="22FB0652">
        <w:tblPrEx>
          <w:tblCellMar>
            <w:top w:w="0" w:type="dxa"/>
            <w:left w:w="108" w:type="dxa"/>
            <w:bottom w:w="0" w:type="dxa"/>
            <w:right w:w="108" w:type="dxa"/>
          </w:tblCellMar>
        </w:tblPrEx>
        <w:trPr>
          <w:trHeight w:val="695" w:hRule="atLeast"/>
        </w:trPr>
        <w:tc>
          <w:tcPr>
            <w:tcW w:w="7520" w:type="dxa"/>
          </w:tcPr>
          <w:p w14:paraId="5DA9E262">
            <w:pPr>
              <w:tabs>
                <w:tab w:val="left" w:pos="1545"/>
              </w:tabs>
              <w:rPr>
                <w:rFonts w:ascii="Arial" w:hAnsi="Arial" w:cs="Arial"/>
                <w:color w:val="auto"/>
                <w:sz w:val="24"/>
                <w:highlight w:val="none"/>
                <w:u w:val="thick"/>
              </w:rPr>
            </w:pPr>
            <w:r>
              <w:rPr>
                <w:rFonts w:hint="eastAsia" w:ascii="Arial" w:hAnsi="Arial" w:cs="Arial"/>
                <w:color w:val="auto"/>
                <w:sz w:val="24"/>
                <w:highlight w:val="none"/>
              </w:rPr>
              <w:t>总承包方（盖章）：</w:t>
            </w:r>
            <w:r>
              <w:rPr>
                <w:rFonts w:hint="eastAsia" w:ascii="宋体" w:hAnsi="宋体"/>
                <w:color w:val="auto"/>
                <w:sz w:val="24"/>
                <w:highlight w:val="none"/>
                <w:u w:val="single"/>
              </w:rPr>
              <w:t xml:space="preserve"> </w:t>
            </w:r>
            <w:r>
              <w:rPr>
                <w:rFonts w:ascii="Arial" w:hAnsi="Arial" w:cs="Arial"/>
                <w:color w:val="auto"/>
                <w:sz w:val="24"/>
                <w:highlight w:val="none"/>
                <w:u w:val="single"/>
              </w:rPr>
              <w:t xml:space="preserve"> </w:t>
            </w:r>
          </w:p>
          <w:p w14:paraId="595EC010">
            <w:pPr>
              <w:tabs>
                <w:tab w:val="left" w:pos="1545"/>
              </w:tabs>
              <w:rPr>
                <w:rFonts w:ascii="Arial" w:hAnsi="Arial" w:cs="Arial"/>
                <w:color w:val="auto"/>
                <w:sz w:val="24"/>
                <w:highlight w:val="none"/>
              </w:rPr>
            </w:pPr>
          </w:p>
        </w:tc>
      </w:tr>
      <w:tr w14:paraId="72B96243">
        <w:tblPrEx>
          <w:tblCellMar>
            <w:top w:w="0" w:type="dxa"/>
            <w:left w:w="108" w:type="dxa"/>
            <w:bottom w:w="0" w:type="dxa"/>
            <w:right w:w="108" w:type="dxa"/>
          </w:tblCellMar>
        </w:tblPrEx>
        <w:trPr>
          <w:trHeight w:val="695" w:hRule="atLeast"/>
        </w:trPr>
        <w:tc>
          <w:tcPr>
            <w:tcW w:w="7520" w:type="dxa"/>
          </w:tcPr>
          <w:p w14:paraId="132E4FD5">
            <w:pPr>
              <w:tabs>
                <w:tab w:val="left" w:pos="1545"/>
              </w:tabs>
              <w:rPr>
                <w:rFonts w:ascii="Arial" w:hAnsi="Arial" w:cs="Arial"/>
                <w:color w:val="auto"/>
                <w:sz w:val="24"/>
                <w:highlight w:val="none"/>
              </w:rPr>
            </w:pPr>
            <w:r>
              <w:rPr>
                <w:rFonts w:hint="eastAsia" w:ascii="Arial" w:hAnsi="Arial" w:cs="Arial"/>
                <w:color w:val="auto"/>
                <w:sz w:val="24"/>
                <w:highlight w:val="none"/>
              </w:rPr>
              <w:t>授权代表：</w:t>
            </w:r>
          </w:p>
        </w:tc>
      </w:tr>
      <w:tr w14:paraId="6A6616F3">
        <w:tblPrEx>
          <w:tblCellMar>
            <w:top w:w="0" w:type="dxa"/>
            <w:left w:w="108" w:type="dxa"/>
            <w:bottom w:w="0" w:type="dxa"/>
            <w:right w:w="108" w:type="dxa"/>
          </w:tblCellMar>
        </w:tblPrEx>
        <w:trPr>
          <w:trHeight w:val="695" w:hRule="atLeast"/>
        </w:trPr>
        <w:tc>
          <w:tcPr>
            <w:tcW w:w="7520" w:type="dxa"/>
          </w:tcPr>
          <w:p w14:paraId="4CFB93E8">
            <w:pPr>
              <w:tabs>
                <w:tab w:val="left" w:pos="1545"/>
              </w:tabs>
              <w:rPr>
                <w:rFonts w:ascii="Arial" w:hAnsi="Arial" w:cs="Arial"/>
                <w:color w:val="auto"/>
                <w:sz w:val="24"/>
                <w:highlight w:val="none"/>
              </w:rPr>
            </w:pPr>
          </w:p>
        </w:tc>
      </w:tr>
      <w:tr w14:paraId="244DE732">
        <w:tblPrEx>
          <w:tblCellMar>
            <w:top w:w="0" w:type="dxa"/>
            <w:left w:w="108" w:type="dxa"/>
            <w:bottom w:w="0" w:type="dxa"/>
            <w:right w:w="108" w:type="dxa"/>
          </w:tblCellMar>
        </w:tblPrEx>
        <w:trPr>
          <w:trHeight w:val="695" w:hRule="atLeast"/>
        </w:trPr>
        <w:tc>
          <w:tcPr>
            <w:tcW w:w="7520" w:type="dxa"/>
          </w:tcPr>
          <w:p w14:paraId="698B6927">
            <w:pPr>
              <w:tabs>
                <w:tab w:val="left" w:pos="1545"/>
              </w:tabs>
              <w:rPr>
                <w:rFonts w:ascii="Arial" w:hAnsi="Arial" w:cs="Arial"/>
                <w:color w:val="auto"/>
                <w:sz w:val="24"/>
                <w:highlight w:val="none"/>
              </w:rPr>
            </w:pPr>
            <w:r>
              <w:rPr>
                <w:rFonts w:hint="eastAsia" w:ascii="Arial" w:hAnsi="Arial" w:cs="Arial"/>
                <w:color w:val="auto"/>
                <w:sz w:val="24"/>
                <w:highlight w:val="none"/>
              </w:rPr>
              <w:t>分包方（盖章）：</w:t>
            </w:r>
            <w:r>
              <w:rPr>
                <w:rFonts w:hint="eastAsia" w:ascii="宋体" w:hAnsi="宋体" w:cs="Arial Unicode MS"/>
                <w:b/>
                <w:color w:val="auto"/>
                <w:sz w:val="24"/>
                <w:szCs w:val="24"/>
                <w:highlight w:val="none"/>
                <w:u w:val="single"/>
              </w:rPr>
              <w:t xml:space="preserve"> </w:t>
            </w:r>
            <w:r>
              <w:rPr>
                <w:rFonts w:ascii="Arial" w:hAnsi="Arial" w:cs="Arial"/>
                <w:color w:val="auto"/>
                <w:sz w:val="24"/>
                <w:highlight w:val="none"/>
                <w:u w:val="single"/>
              </w:rPr>
              <w:t xml:space="preserve"> </w:t>
            </w:r>
          </w:p>
        </w:tc>
      </w:tr>
      <w:tr w14:paraId="4E962FD4">
        <w:tblPrEx>
          <w:tblCellMar>
            <w:top w:w="0" w:type="dxa"/>
            <w:left w:w="108" w:type="dxa"/>
            <w:bottom w:w="0" w:type="dxa"/>
            <w:right w:w="108" w:type="dxa"/>
          </w:tblCellMar>
        </w:tblPrEx>
        <w:trPr>
          <w:trHeight w:val="695" w:hRule="atLeast"/>
        </w:trPr>
        <w:tc>
          <w:tcPr>
            <w:tcW w:w="7520" w:type="dxa"/>
          </w:tcPr>
          <w:p w14:paraId="5BAB1D76">
            <w:pPr>
              <w:tabs>
                <w:tab w:val="left" w:pos="1545"/>
              </w:tabs>
              <w:rPr>
                <w:rFonts w:ascii="Arial" w:hAnsi="Arial" w:cs="Arial"/>
                <w:color w:val="auto"/>
                <w:sz w:val="24"/>
                <w:highlight w:val="none"/>
              </w:rPr>
            </w:pPr>
            <w:r>
              <w:rPr>
                <w:rFonts w:hint="eastAsia" w:ascii="Arial" w:hAnsi="Arial" w:cs="Arial"/>
                <w:color w:val="auto"/>
                <w:sz w:val="24"/>
                <w:highlight w:val="none"/>
              </w:rPr>
              <w:t>授权代表：</w:t>
            </w:r>
          </w:p>
        </w:tc>
      </w:tr>
    </w:tbl>
    <w:p w14:paraId="72B5AA6F">
      <w:pPr>
        <w:adjustRightInd w:val="0"/>
        <w:snapToGrid w:val="0"/>
        <w:spacing w:line="360" w:lineRule="auto"/>
        <w:ind w:firstLine="630" w:firstLineChars="300"/>
        <w:rPr>
          <w:color w:val="auto"/>
          <w:highlight w:val="none"/>
        </w:rPr>
      </w:pPr>
      <w:r>
        <w:rPr>
          <w:rFonts w:hint="eastAsia"/>
          <w:color w:val="auto"/>
          <w:highlight w:val="none"/>
        </w:rPr>
        <w:t xml:space="preserve">甲方（公章）：     </w:t>
      </w:r>
    </w:p>
    <w:p w14:paraId="3E585D09">
      <w:pPr>
        <w:adjustRightInd w:val="0"/>
        <w:snapToGrid w:val="0"/>
        <w:spacing w:line="360" w:lineRule="auto"/>
        <w:ind w:firstLine="630" w:firstLineChars="300"/>
        <w:rPr>
          <w:color w:val="auto"/>
          <w:highlight w:val="none"/>
        </w:rPr>
      </w:pPr>
    </w:p>
    <w:p w14:paraId="5EF5EDB9">
      <w:pPr>
        <w:adjustRightInd w:val="0"/>
        <w:snapToGrid w:val="0"/>
        <w:spacing w:line="360" w:lineRule="auto"/>
        <w:ind w:firstLine="630" w:firstLineChars="300"/>
        <w:rPr>
          <w:color w:val="auto"/>
          <w:highlight w:val="none"/>
        </w:rPr>
      </w:pPr>
      <w:r>
        <w:rPr>
          <w:rFonts w:hint="eastAsia"/>
          <w:color w:val="auto"/>
          <w:highlight w:val="none"/>
        </w:rPr>
        <w:t>甲方法定代表人或授权人（签字）：</w:t>
      </w:r>
    </w:p>
    <w:p w14:paraId="1BADA8AD">
      <w:pPr>
        <w:adjustRightInd w:val="0"/>
        <w:snapToGrid w:val="0"/>
        <w:spacing w:line="360" w:lineRule="auto"/>
        <w:ind w:firstLine="630" w:firstLineChars="300"/>
        <w:rPr>
          <w:color w:val="auto"/>
          <w:highlight w:val="none"/>
        </w:rPr>
      </w:pPr>
    </w:p>
    <w:p w14:paraId="702CBFD9">
      <w:pPr>
        <w:adjustRightInd w:val="0"/>
        <w:snapToGrid w:val="0"/>
        <w:spacing w:line="360" w:lineRule="auto"/>
        <w:ind w:firstLine="630" w:firstLineChars="300"/>
        <w:rPr>
          <w:color w:val="auto"/>
          <w:highlight w:val="none"/>
        </w:rPr>
      </w:pPr>
      <w:r>
        <w:rPr>
          <w:rFonts w:hint="eastAsia"/>
          <w:color w:val="auto"/>
          <w:highlight w:val="none"/>
        </w:rPr>
        <w:t>乙方（公章）：</w:t>
      </w:r>
    </w:p>
    <w:p w14:paraId="7FC8E136">
      <w:pPr>
        <w:adjustRightInd w:val="0"/>
        <w:snapToGrid w:val="0"/>
        <w:spacing w:line="360" w:lineRule="auto"/>
        <w:ind w:firstLine="630" w:firstLineChars="300"/>
        <w:rPr>
          <w:color w:val="auto"/>
          <w:highlight w:val="none"/>
        </w:rPr>
      </w:pPr>
    </w:p>
    <w:p w14:paraId="5874DEB5">
      <w:pPr>
        <w:adjustRightInd w:val="0"/>
        <w:snapToGrid w:val="0"/>
        <w:spacing w:line="360" w:lineRule="auto"/>
        <w:ind w:firstLine="630" w:firstLineChars="300"/>
        <w:rPr>
          <w:color w:val="auto"/>
          <w:highlight w:val="none"/>
        </w:rPr>
      </w:pPr>
      <w:r>
        <w:rPr>
          <w:rFonts w:hint="eastAsia"/>
          <w:color w:val="auto"/>
          <w:highlight w:val="none"/>
        </w:rPr>
        <w:t>乙方法定代表人或授权人（签字）：</w:t>
      </w:r>
    </w:p>
    <w:p w14:paraId="1690BCF8">
      <w:pPr>
        <w:adjustRightInd w:val="0"/>
        <w:snapToGrid w:val="0"/>
        <w:spacing w:line="360" w:lineRule="auto"/>
        <w:ind w:firstLine="630" w:firstLineChars="300"/>
        <w:rPr>
          <w:color w:val="auto"/>
          <w:highlight w:val="none"/>
        </w:rPr>
      </w:pPr>
    </w:p>
    <w:p w14:paraId="49AE2932">
      <w:pPr>
        <w:adjustRightInd w:val="0"/>
        <w:snapToGrid w:val="0"/>
        <w:spacing w:line="360" w:lineRule="auto"/>
        <w:ind w:firstLine="630" w:firstLineChars="300"/>
        <w:rPr>
          <w:color w:val="auto"/>
          <w:highlight w:val="none"/>
        </w:rPr>
      </w:pPr>
      <w:r>
        <w:rPr>
          <w:rFonts w:hint="eastAsia"/>
          <w:color w:val="auto"/>
          <w:highlight w:val="none"/>
        </w:rPr>
        <w:t>丙方（公章）：</w:t>
      </w:r>
    </w:p>
    <w:p w14:paraId="396F385C">
      <w:pPr>
        <w:adjustRightInd w:val="0"/>
        <w:snapToGrid w:val="0"/>
        <w:spacing w:line="360" w:lineRule="auto"/>
        <w:ind w:firstLine="630" w:firstLineChars="300"/>
        <w:rPr>
          <w:color w:val="auto"/>
          <w:highlight w:val="none"/>
        </w:rPr>
      </w:pPr>
    </w:p>
    <w:p w14:paraId="7AD1E90D">
      <w:pPr>
        <w:adjustRightInd w:val="0"/>
        <w:snapToGrid w:val="0"/>
        <w:spacing w:line="360" w:lineRule="auto"/>
        <w:ind w:firstLine="630" w:firstLineChars="300"/>
        <w:rPr>
          <w:color w:val="auto"/>
          <w:highlight w:val="none"/>
        </w:rPr>
      </w:pPr>
      <w:r>
        <w:rPr>
          <w:rFonts w:hint="eastAsia"/>
          <w:color w:val="auto"/>
          <w:highlight w:val="none"/>
        </w:rPr>
        <w:t>丙方法定代表人或授权人（签字）：</w:t>
      </w:r>
    </w:p>
    <w:p w14:paraId="61E68A70">
      <w:pPr>
        <w:adjustRightInd w:val="0"/>
        <w:snapToGrid w:val="0"/>
        <w:spacing w:line="360" w:lineRule="auto"/>
        <w:ind w:firstLine="630" w:firstLineChars="300"/>
        <w:rPr>
          <w:color w:val="auto"/>
          <w:highlight w:val="none"/>
        </w:rPr>
      </w:pPr>
    </w:p>
    <w:p w14:paraId="6459C81F">
      <w:pPr>
        <w:adjustRightInd w:val="0"/>
        <w:snapToGrid w:val="0"/>
        <w:spacing w:line="360" w:lineRule="auto"/>
        <w:ind w:firstLine="630" w:firstLineChars="300"/>
        <w:rPr>
          <w:color w:val="auto"/>
          <w:highlight w:val="none"/>
        </w:rPr>
      </w:pPr>
      <w:r>
        <w:rPr>
          <w:rFonts w:hint="eastAsia"/>
          <w:color w:val="auto"/>
          <w:highlight w:val="none"/>
        </w:rPr>
        <w:t xml:space="preserve">签订时间：   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p w14:paraId="635F3A81">
      <w:pPr>
        <w:pStyle w:val="6"/>
        <w:ind w:firstLine="560"/>
        <w:rPr>
          <w:rFonts w:ascii="宋体" w:hAnsi="宋体"/>
          <w:bCs/>
          <w:color w:val="auto"/>
          <w:szCs w:val="21"/>
          <w:highlight w:val="none"/>
        </w:rPr>
      </w:pPr>
    </w:p>
    <w:p w14:paraId="5754609F">
      <w:pPr>
        <w:pStyle w:val="6"/>
        <w:ind w:firstLine="560"/>
        <w:rPr>
          <w:rFonts w:ascii="宋体" w:hAnsi="宋体"/>
          <w:bCs/>
          <w:color w:val="auto"/>
          <w:szCs w:val="21"/>
          <w:highlight w:val="none"/>
        </w:rPr>
      </w:pPr>
    </w:p>
    <w:p w14:paraId="5B0B93F8">
      <w:pPr>
        <w:pStyle w:val="6"/>
        <w:ind w:firstLine="560"/>
        <w:rPr>
          <w:rFonts w:ascii="宋体" w:hAnsi="宋体"/>
          <w:bCs/>
          <w:color w:val="auto"/>
          <w:szCs w:val="21"/>
          <w:highlight w:val="none"/>
        </w:rPr>
      </w:pPr>
    </w:p>
    <w:p w14:paraId="6638739F">
      <w:pPr>
        <w:pStyle w:val="6"/>
        <w:ind w:firstLine="560"/>
        <w:rPr>
          <w:rFonts w:ascii="宋体" w:hAnsi="宋体"/>
          <w:bCs/>
          <w:color w:val="auto"/>
          <w:szCs w:val="21"/>
          <w:highlight w:val="none"/>
        </w:rPr>
      </w:pPr>
    </w:p>
    <w:p w14:paraId="1EB8957F">
      <w:pPr>
        <w:pStyle w:val="6"/>
        <w:ind w:firstLine="560"/>
        <w:rPr>
          <w:rFonts w:ascii="宋体" w:hAnsi="宋体"/>
          <w:bCs/>
          <w:color w:val="auto"/>
          <w:szCs w:val="21"/>
          <w:highlight w:val="none"/>
        </w:rPr>
      </w:pPr>
    </w:p>
    <w:p w14:paraId="2A4BF0D8">
      <w:pPr>
        <w:pStyle w:val="6"/>
        <w:ind w:firstLine="560"/>
        <w:rPr>
          <w:rFonts w:ascii="宋体" w:hAnsi="宋体"/>
          <w:bCs/>
          <w:color w:val="auto"/>
          <w:szCs w:val="21"/>
          <w:highlight w:val="none"/>
        </w:rPr>
      </w:pPr>
    </w:p>
    <w:p w14:paraId="3E6361CA">
      <w:pPr>
        <w:pStyle w:val="6"/>
        <w:ind w:firstLine="560"/>
        <w:rPr>
          <w:rFonts w:ascii="宋体" w:hAnsi="宋体"/>
          <w:bCs/>
          <w:color w:val="auto"/>
          <w:szCs w:val="21"/>
          <w:highlight w:val="none"/>
        </w:rPr>
      </w:pPr>
    </w:p>
    <w:p w14:paraId="05AB5BA0">
      <w:pPr>
        <w:pStyle w:val="6"/>
        <w:ind w:firstLine="560"/>
        <w:rPr>
          <w:rFonts w:ascii="宋体" w:hAnsi="宋体"/>
          <w:bCs/>
          <w:color w:val="auto"/>
          <w:szCs w:val="21"/>
          <w:highlight w:val="none"/>
        </w:rPr>
      </w:pPr>
    </w:p>
    <w:p w14:paraId="19E6C96B">
      <w:pPr>
        <w:pStyle w:val="6"/>
        <w:ind w:firstLine="560"/>
        <w:rPr>
          <w:rFonts w:ascii="宋体" w:hAnsi="宋体"/>
          <w:bCs/>
          <w:color w:val="auto"/>
          <w:szCs w:val="21"/>
          <w:highlight w:val="none"/>
        </w:rPr>
      </w:pPr>
    </w:p>
    <w:p w14:paraId="79EECD47">
      <w:pPr>
        <w:spacing w:line="360" w:lineRule="auto"/>
        <w:jc w:val="left"/>
        <w:rPr>
          <w:b/>
          <w:bCs/>
          <w:color w:val="auto"/>
          <w:highlight w:val="none"/>
        </w:rPr>
      </w:pPr>
      <w:r>
        <w:rPr>
          <w:rFonts w:hint="eastAsia"/>
          <w:b/>
          <w:bCs/>
          <w:color w:val="auto"/>
          <w:highlight w:val="none"/>
        </w:rPr>
        <w:t>附件9：工程</w:t>
      </w:r>
      <w:r>
        <w:rPr>
          <w:rFonts w:hint="eastAsia"/>
          <w:b/>
          <w:bCs/>
          <w:color w:val="auto"/>
          <w:highlight w:val="none"/>
          <w:lang w:val="en-US" w:eastAsia="zh-CN"/>
        </w:rPr>
        <w:t>量</w:t>
      </w:r>
      <w:r>
        <w:rPr>
          <w:rFonts w:hint="eastAsia"/>
          <w:b/>
          <w:bCs/>
          <w:color w:val="auto"/>
          <w:highlight w:val="none"/>
        </w:rPr>
        <w:t>清单（另册）</w:t>
      </w:r>
    </w:p>
    <w:p w14:paraId="59461A85">
      <w:pPr>
        <w:spacing w:line="360" w:lineRule="auto"/>
        <w:jc w:val="left"/>
        <w:rPr>
          <w:b/>
          <w:bCs/>
          <w:color w:val="auto"/>
          <w:highlight w:val="none"/>
        </w:rPr>
      </w:pPr>
      <w:r>
        <w:rPr>
          <w:rFonts w:hint="eastAsia"/>
          <w:b/>
          <w:bCs/>
          <w:color w:val="auto"/>
          <w:highlight w:val="none"/>
        </w:rPr>
        <w:br w:type="page"/>
      </w:r>
      <w:r>
        <w:rPr>
          <w:rFonts w:hint="eastAsia"/>
          <w:b/>
          <w:bCs/>
          <w:color w:val="auto"/>
          <w:highlight w:val="none"/>
        </w:rPr>
        <w:t>附件10：项目管理人员、机构配备表（与投标承诺配置一致）</w:t>
      </w:r>
    </w:p>
    <w:p w14:paraId="71745893">
      <w:pPr>
        <w:jc w:val="center"/>
        <w:rPr>
          <w:b/>
          <w:bCs/>
          <w:color w:val="auto"/>
          <w:sz w:val="28"/>
          <w:szCs w:val="28"/>
          <w:highlight w:val="none"/>
        </w:rPr>
      </w:pPr>
      <w:r>
        <w:rPr>
          <w:rFonts w:hint="eastAsia"/>
          <w:b/>
          <w:bCs/>
          <w:color w:val="auto"/>
          <w:sz w:val="28"/>
          <w:szCs w:val="28"/>
          <w:highlight w:val="none"/>
        </w:rPr>
        <w:t>施工项目管理团队人员信息表</w:t>
      </w:r>
    </w:p>
    <w:tbl>
      <w:tblPr>
        <w:tblStyle w:val="3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188"/>
        <w:gridCol w:w="1577"/>
        <w:gridCol w:w="1577"/>
        <w:gridCol w:w="1346"/>
        <w:gridCol w:w="3032"/>
      </w:tblGrid>
      <w:tr w14:paraId="0D47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Pr>
          <w:p w14:paraId="1776EDB3">
            <w:pPr>
              <w:adjustRightInd w:val="0"/>
              <w:snapToGrid w:val="0"/>
              <w:spacing w:before="120" w:beforeLines="50"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88" w:type="dxa"/>
          </w:tcPr>
          <w:p w14:paraId="4889ADE4">
            <w:pPr>
              <w:adjustRightInd w:val="0"/>
              <w:snapToGrid w:val="0"/>
              <w:spacing w:before="120" w:beforeLines="50"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77" w:type="dxa"/>
          </w:tcPr>
          <w:p w14:paraId="64E0D0B4">
            <w:pPr>
              <w:adjustRightInd w:val="0"/>
              <w:snapToGrid w:val="0"/>
              <w:spacing w:before="120" w:beforeLines="50"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电话</w:t>
            </w:r>
          </w:p>
        </w:tc>
        <w:tc>
          <w:tcPr>
            <w:tcW w:w="1577" w:type="dxa"/>
          </w:tcPr>
          <w:p w14:paraId="1FB3712B">
            <w:pPr>
              <w:adjustRightInd w:val="0"/>
              <w:snapToGrid w:val="0"/>
              <w:spacing w:before="120" w:beforeLines="50"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346" w:type="dxa"/>
          </w:tcPr>
          <w:p w14:paraId="4209480D">
            <w:pPr>
              <w:adjustRightInd w:val="0"/>
              <w:snapToGrid w:val="0"/>
              <w:spacing w:before="120" w:beforeLines="50"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032" w:type="dxa"/>
          </w:tcPr>
          <w:p w14:paraId="791DF4DC">
            <w:pPr>
              <w:adjustRightInd w:val="0"/>
              <w:snapToGrid w:val="0"/>
              <w:spacing w:before="120" w:beforeLines="50"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r>
              <w:rPr>
                <w:rFonts w:hint="eastAsia" w:ascii="宋体" w:hAnsi="宋体" w:cs="宋体"/>
                <w:b/>
                <w:bCs/>
                <w:color w:val="auto"/>
                <w:kern w:val="0"/>
                <w:szCs w:val="21"/>
                <w:highlight w:val="none"/>
                <w:lang w:eastAsia="zh-CN"/>
              </w:rPr>
              <w:t>证书</w:t>
            </w:r>
            <w:r>
              <w:rPr>
                <w:rFonts w:hint="eastAsia" w:ascii="宋体" w:hAnsi="宋体" w:cs="宋体"/>
                <w:b/>
                <w:bCs/>
                <w:color w:val="auto"/>
                <w:kern w:val="0"/>
                <w:szCs w:val="21"/>
                <w:highlight w:val="none"/>
              </w:rPr>
              <w:t>或资格证书编号</w:t>
            </w:r>
          </w:p>
        </w:tc>
      </w:tr>
      <w:tr w14:paraId="3B0A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C718981">
            <w:pPr>
              <w:adjustRightInd w:val="0"/>
              <w:snapToGrid w:val="0"/>
              <w:spacing w:before="120" w:beforeLines="50" w:line="360" w:lineRule="auto"/>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1188" w:type="dxa"/>
            <w:vAlign w:val="center"/>
          </w:tcPr>
          <w:p w14:paraId="7AB4C338">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03B245BE">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692A2A04">
            <w:pPr>
              <w:adjustRightInd w:val="0"/>
              <w:snapToGrid w:val="0"/>
              <w:spacing w:before="120" w:beforeLines="50" w:line="360" w:lineRule="auto"/>
              <w:jc w:val="center"/>
              <w:rPr>
                <w:rFonts w:ascii="宋体" w:hAnsi="宋体" w:cs="宋体"/>
                <w:color w:val="auto"/>
                <w:kern w:val="0"/>
                <w:sz w:val="20"/>
                <w:highlight w:val="none"/>
              </w:rPr>
            </w:pPr>
          </w:p>
        </w:tc>
        <w:tc>
          <w:tcPr>
            <w:tcW w:w="1346" w:type="dxa"/>
            <w:vAlign w:val="center"/>
          </w:tcPr>
          <w:p w14:paraId="119ACACD">
            <w:pPr>
              <w:adjustRightInd w:val="0"/>
              <w:snapToGrid w:val="0"/>
              <w:spacing w:before="120" w:beforeLines="50" w:line="360" w:lineRule="auto"/>
              <w:jc w:val="center"/>
              <w:rPr>
                <w:rFonts w:ascii="宋体" w:hAnsi="宋体" w:cs="宋体"/>
                <w:color w:val="auto"/>
                <w:kern w:val="0"/>
                <w:sz w:val="20"/>
                <w:highlight w:val="none"/>
              </w:rPr>
            </w:pPr>
          </w:p>
        </w:tc>
        <w:tc>
          <w:tcPr>
            <w:tcW w:w="3032" w:type="dxa"/>
            <w:vAlign w:val="center"/>
          </w:tcPr>
          <w:p w14:paraId="7A62CACC">
            <w:pPr>
              <w:adjustRightInd w:val="0"/>
              <w:snapToGrid w:val="0"/>
              <w:spacing w:before="120" w:beforeLines="50" w:line="360" w:lineRule="auto"/>
              <w:jc w:val="left"/>
              <w:rPr>
                <w:rFonts w:ascii="宋体" w:hAnsi="宋体" w:cs="宋体"/>
                <w:color w:val="auto"/>
                <w:kern w:val="0"/>
                <w:sz w:val="20"/>
                <w:highlight w:val="none"/>
              </w:rPr>
            </w:pPr>
          </w:p>
        </w:tc>
      </w:tr>
      <w:tr w14:paraId="4B30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F344843">
            <w:pPr>
              <w:adjustRightInd w:val="0"/>
              <w:snapToGrid w:val="0"/>
              <w:spacing w:before="120" w:beforeLines="50" w:line="360" w:lineRule="auto"/>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1188" w:type="dxa"/>
            <w:vAlign w:val="center"/>
          </w:tcPr>
          <w:p w14:paraId="03C4F0D6">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3557E196">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077618E7">
            <w:pPr>
              <w:adjustRightInd w:val="0"/>
              <w:snapToGrid w:val="0"/>
              <w:spacing w:before="120" w:beforeLines="50" w:line="360" w:lineRule="auto"/>
              <w:jc w:val="center"/>
              <w:rPr>
                <w:rFonts w:ascii="宋体" w:hAnsi="宋体" w:cs="宋体"/>
                <w:color w:val="auto"/>
                <w:kern w:val="0"/>
                <w:sz w:val="20"/>
                <w:highlight w:val="none"/>
              </w:rPr>
            </w:pPr>
          </w:p>
        </w:tc>
        <w:tc>
          <w:tcPr>
            <w:tcW w:w="1346" w:type="dxa"/>
            <w:vAlign w:val="center"/>
          </w:tcPr>
          <w:p w14:paraId="58A60E7D">
            <w:pPr>
              <w:adjustRightInd w:val="0"/>
              <w:snapToGrid w:val="0"/>
              <w:spacing w:before="120" w:beforeLines="50" w:line="360" w:lineRule="auto"/>
              <w:jc w:val="center"/>
              <w:rPr>
                <w:rFonts w:ascii="宋体" w:hAnsi="宋体" w:cs="宋体"/>
                <w:color w:val="auto"/>
                <w:kern w:val="0"/>
                <w:sz w:val="20"/>
                <w:highlight w:val="none"/>
              </w:rPr>
            </w:pPr>
          </w:p>
        </w:tc>
        <w:tc>
          <w:tcPr>
            <w:tcW w:w="3032" w:type="dxa"/>
            <w:vAlign w:val="center"/>
          </w:tcPr>
          <w:p w14:paraId="7586B091">
            <w:pPr>
              <w:adjustRightInd w:val="0"/>
              <w:snapToGrid w:val="0"/>
              <w:spacing w:before="120" w:beforeLines="50" w:line="360" w:lineRule="auto"/>
              <w:jc w:val="left"/>
              <w:rPr>
                <w:rFonts w:ascii="宋体" w:hAnsi="宋体" w:cs="宋体"/>
                <w:color w:val="auto"/>
                <w:kern w:val="0"/>
                <w:sz w:val="20"/>
                <w:highlight w:val="none"/>
              </w:rPr>
            </w:pPr>
          </w:p>
        </w:tc>
      </w:tr>
      <w:tr w14:paraId="7E52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99" w:type="dxa"/>
            <w:vAlign w:val="center"/>
          </w:tcPr>
          <w:p w14:paraId="2346A070">
            <w:pPr>
              <w:adjustRightInd w:val="0"/>
              <w:snapToGrid w:val="0"/>
              <w:spacing w:before="120"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188" w:type="dxa"/>
            <w:vAlign w:val="center"/>
          </w:tcPr>
          <w:p w14:paraId="6785B21D">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0F0F030A">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4DF45DD0">
            <w:pPr>
              <w:adjustRightInd w:val="0"/>
              <w:snapToGrid w:val="0"/>
              <w:spacing w:before="120" w:beforeLines="50" w:line="360" w:lineRule="auto"/>
              <w:jc w:val="center"/>
              <w:rPr>
                <w:rFonts w:ascii="宋体" w:hAnsi="宋体" w:cs="宋体"/>
                <w:color w:val="auto"/>
                <w:kern w:val="0"/>
                <w:sz w:val="20"/>
                <w:highlight w:val="none"/>
              </w:rPr>
            </w:pPr>
          </w:p>
        </w:tc>
        <w:tc>
          <w:tcPr>
            <w:tcW w:w="1346" w:type="dxa"/>
            <w:vAlign w:val="center"/>
          </w:tcPr>
          <w:p w14:paraId="32BFE3D5">
            <w:pPr>
              <w:adjustRightInd w:val="0"/>
              <w:snapToGrid w:val="0"/>
              <w:spacing w:before="120" w:beforeLines="50" w:line="360" w:lineRule="auto"/>
              <w:jc w:val="center"/>
              <w:rPr>
                <w:rFonts w:ascii="宋体" w:hAnsi="宋体" w:cs="宋体"/>
                <w:color w:val="auto"/>
                <w:kern w:val="0"/>
                <w:sz w:val="20"/>
                <w:highlight w:val="none"/>
              </w:rPr>
            </w:pPr>
          </w:p>
        </w:tc>
        <w:tc>
          <w:tcPr>
            <w:tcW w:w="3032" w:type="dxa"/>
            <w:vAlign w:val="center"/>
          </w:tcPr>
          <w:p w14:paraId="0694321B">
            <w:pPr>
              <w:adjustRightInd w:val="0"/>
              <w:snapToGrid w:val="0"/>
              <w:spacing w:before="120" w:beforeLines="50" w:line="360" w:lineRule="auto"/>
              <w:jc w:val="left"/>
              <w:rPr>
                <w:rFonts w:ascii="宋体" w:hAnsi="宋体" w:cs="宋体"/>
                <w:color w:val="auto"/>
                <w:kern w:val="0"/>
                <w:sz w:val="20"/>
                <w:highlight w:val="none"/>
              </w:rPr>
            </w:pPr>
          </w:p>
        </w:tc>
      </w:tr>
      <w:tr w14:paraId="028E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F53559A">
            <w:pPr>
              <w:adjustRightInd w:val="0"/>
              <w:snapToGrid w:val="0"/>
              <w:spacing w:before="120"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188" w:type="dxa"/>
            <w:vAlign w:val="center"/>
          </w:tcPr>
          <w:p w14:paraId="4B07DD52">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07C26D9B">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48F38C7B">
            <w:pPr>
              <w:adjustRightInd w:val="0"/>
              <w:snapToGrid w:val="0"/>
              <w:spacing w:before="120" w:beforeLines="50" w:line="360" w:lineRule="auto"/>
              <w:jc w:val="center"/>
              <w:rPr>
                <w:rFonts w:ascii="宋体" w:hAnsi="宋体" w:cs="宋体"/>
                <w:color w:val="auto"/>
                <w:kern w:val="0"/>
                <w:sz w:val="20"/>
                <w:highlight w:val="none"/>
              </w:rPr>
            </w:pPr>
          </w:p>
        </w:tc>
        <w:tc>
          <w:tcPr>
            <w:tcW w:w="1346" w:type="dxa"/>
            <w:vAlign w:val="center"/>
          </w:tcPr>
          <w:p w14:paraId="426114DD">
            <w:pPr>
              <w:adjustRightInd w:val="0"/>
              <w:snapToGrid w:val="0"/>
              <w:spacing w:before="120" w:beforeLines="50" w:line="360" w:lineRule="auto"/>
              <w:jc w:val="center"/>
              <w:rPr>
                <w:rFonts w:ascii="宋体" w:hAnsi="宋体" w:cs="宋体"/>
                <w:color w:val="auto"/>
                <w:kern w:val="0"/>
                <w:sz w:val="20"/>
                <w:highlight w:val="none"/>
              </w:rPr>
            </w:pPr>
          </w:p>
        </w:tc>
        <w:tc>
          <w:tcPr>
            <w:tcW w:w="3032" w:type="dxa"/>
            <w:vAlign w:val="center"/>
          </w:tcPr>
          <w:p w14:paraId="216A3562">
            <w:pPr>
              <w:adjustRightInd w:val="0"/>
              <w:snapToGrid w:val="0"/>
              <w:spacing w:before="120" w:beforeLines="50" w:line="360" w:lineRule="auto"/>
              <w:jc w:val="left"/>
              <w:rPr>
                <w:rFonts w:ascii="宋体" w:hAnsi="宋体" w:cs="宋体"/>
                <w:color w:val="auto"/>
                <w:kern w:val="0"/>
                <w:sz w:val="20"/>
                <w:highlight w:val="none"/>
              </w:rPr>
            </w:pPr>
          </w:p>
        </w:tc>
      </w:tr>
      <w:tr w14:paraId="3DEF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7C027D7">
            <w:pPr>
              <w:adjustRightInd w:val="0"/>
              <w:snapToGrid w:val="0"/>
              <w:spacing w:before="120"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188" w:type="dxa"/>
            <w:vAlign w:val="center"/>
          </w:tcPr>
          <w:p w14:paraId="61C535FA">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65B4A49D">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5E1C1158">
            <w:pPr>
              <w:adjustRightInd w:val="0"/>
              <w:snapToGrid w:val="0"/>
              <w:spacing w:before="120" w:beforeLines="50" w:line="360" w:lineRule="auto"/>
              <w:jc w:val="center"/>
              <w:rPr>
                <w:rFonts w:ascii="宋体" w:hAnsi="宋体" w:cs="宋体"/>
                <w:color w:val="auto"/>
                <w:kern w:val="0"/>
                <w:sz w:val="20"/>
                <w:highlight w:val="none"/>
              </w:rPr>
            </w:pPr>
          </w:p>
        </w:tc>
        <w:tc>
          <w:tcPr>
            <w:tcW w:w="1346" w:type="dxa"/>
            <w:vAlign w:val="center"/>
          </w:tcPr>
          <w:p w14:paraId="75D255E6">
            <w:pPr>
              <w:adjustRightInd w:val="0"/>
              <w:snapToGrid w:val="0"/>
              <w:spacing w:before="120" w:beforeLines="50" w:line="360" w:lineRule="auto"/>
              <w:jc w:val="center"/>
              <w:rPr>
                <w:rFonts w:ascii="宋体" w:hAnsi="宋体" w:cs="宋体"/>
                <w:color w:val="auto"/>
                <w:kern w:val="0"/>
                <w:sz w:val="20"/>
                <w:highlight w:val="none"/>
              </w:rPr>
            </w:pPr>
          </w:p>
        </w:tc>
        <w:tc>
          <w:tcPr>
            <w:tcW w:w="3032" w:type="dxa"/>
            <w:vAlign w:val="center"/>
          </w:tcPr>
          <w:p w14:paraId="21365F34">
            <w:pPr>
              <w:adjustRightInd w:val="0"/>
              <w:snapToGrid w:val="0"/>
              <w:spacing w:before="120" w:beforeLines="50" w:line="360" w:lineRule="auto"/>
              <w:jc w:val="left"/>
              <w:rPr>
                <w:rFonts w:ascii="宋体" w:hAnsi="宋体" w:cs="宋体"/>
                <w:color w:val="auto"/>
                <w:kern w:val="0"/>
                <w:sz w:val="20"/>
                <w:highlight w:val="none"/>
              </w:rPr>
            </w:pPr>
          </w:p>
        </w:tc>
      </w:tr>
      <w:tr w14:paraId="0342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76FE9AA">
            <w:pPr>
              <w:adjustRightInd w:val="0"/>
              <w:snapToGrid w:val="0"/>
              <w:spacing w:before="120" w:beforeLines="50"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188" w:type="dxa"/>
            <w:vAlign w:val="center"/>
          </w:tcPr>
          <w:p w14:paraId="3B63E2B8">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01FD7D05">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74B1E9ED">
            <w:pPr>
              <w:adjustRightInd w:val="0"/>
              <w:snapToGrid w:val="0"/>
              <w:spacing w:before="120" w:beforeLines="50" w:line="360" w:lineRule="auto"/>
              <w:jc w:val="center"/>
              <w:rPr>
                <w:rFonts w:ascii="宋体" w:hAnsi="宋体" w:cs="宋体"/>
                <w:color w:val="auto"/>
                <w:kern w:val="0"/>
                <w:sz w:val="20"/>
                <w:highlight w:val="none"/>
              </w:rPr>
            </w:pPr>
          </w:p>
        </w:tc>
        <w:tc>
          <w:tcPr>
            <w:tcW w:w="1346" w:type="dxa"/>
            <w:vAlign w:val="center"/>
          </w:tcPr>
          <w:p w14:paraId="68682361">
            <w:pPr>
              <w:adjustRightInd w:val="0"/>
              <w:snapToGrid w:val="0"/>
              <w:spacing w:before="120" w:beforeLines="50" w:line="360" w:lineRule="auto"/>
              <w:jc w:val="center"/>
              <w:rPr>
                <w:rFonts w:ascii="宋体" w:hAnsi="宋体" w:cs="宋体"/>
                <w:color w:val="auto"/>
                <w:kern w:val="0"/>
                <w:sz w:val="20"/>
                <w:highlight w:val="none"/>
              </w:rPr>
            </w:pPr>
          </w:p>
        </w:tc>
        <w:tc>
          <w:tcPr>
            <w:tcW w:w="3032" w:type="dxa"/>
            <w:vAlign w:val="center"/>
          </w:tcPr>
          <w:p w14:paraId="7E2241C9">
            <w:pPr>
              <w:adjustRightInd w:val="0"/>
              <w:snapToGrid w:val="0"/>
              <w:spacing w:before="120" w:beforeLines="50" w:line="360" w:lineRule="auto"/>
              <w:jc w:val="left"/>
              <w:rPr>
                <w:rFonts w:ascii="宋体" w:hAnsi="宋体" w:cs="宋体"/>
                <w:color w:val="auto"/>
                <w:kern w:val="0"/>
                <w:sz w:val="20"/>
                <w:highlight w:val="none"/>
              </w:rPr>
            </w:pPr>
          </w:p>
        </w:tc>
      </w:tr>
      <w:tr w14:paraId="67A8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28F04A1">
            <w:pPr>
              <w:adjustRightInd w:val="0"/>
              <w:snapToGrid w:val="0"/>
              <w:spacing w:before="120" w:beforeLines="50"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188" w:type="dxa"/>
            <w:vAlign w:val="center"/>
          </w:tcPr>
          <w:p w14:paraId="33B16976">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38279D99">
            <w:pPr>
              <w:adjustRightInd w:val="0"/>
              <w:snapToGrid w:val="0"/>
              <w:spacing w:before="120" w:beforeLines="50" w:line="360" w:lineRule="auto"/>
              <w:jc w:val="center"/>
              <w:rPr>
                <w:rFonts w:ascii="宋体" w:hAnsi="宋体" w:cs="宋体"/>
                <w:color w:val="auto"/>
                <w:kern w:val="0"/>
                <w:sz w:val="20"/>
                <w:highlight w:val="none"/>
              </w:rPr>
            </w:pPr>
          </w:p>
        </w:tc>
        <w:tc>
          <w:tcPr>
            <w:tcW w:w="1577" w:type="dxa"/>
            <w:vAlign w:val="center"/>
          </w:tcPr>
          <w:p w14:paraId="62D5C63B">
            <w:pPr>
              <w:adjustRightInd w:val="0"/>
              <w:snapToGrid w:val="0"/>
              <w:spacing w:before="120" w:beforeLines="50" w:line="360" w:lineRule="auto"/>
              <w:jc w:val="center"/>
              <w:rPr>
                <w:rFonts w:ascii="宋体" w:hAnsi="宋体" w:cs="宋体"/>
                <w:color w:val="auto"/>
                <w:kern w:val="0"/>
                <w:sz w:val="20"/>
                <w:highlight w:val="none"/>
              </w:rPr>
            </w:pPr>
          </w:p>
        </w:tc>
        <w:tc>
          <w:tcPr>
            <w:tcW w:w="1346" w:type="dxa"/>
            <w:vAlign w:val="center"/>
          </w:tcPr>
          <w:p w14:paraId="3E22A27F">
            <w:pPr>
              <w:adjustRightInd w:val="0"/>
              <w:snapToGrid w:val="0"/>
              <w:spacing w:before="120" w:beforeLines="50" w:line="360" w:lineRule="auto"/>
              <w:jc w:val="center"/>
              <w:rPr>
                <w:rFonts w:ascii="宋体" w:hAnsi="宋体" w:cs="宋体"/>
                <w:color w:val="auto"/>
                <w:kern w:val="0"/>
                <w:sz w:val="20"/>
                <w:highlight w:val="none"/>
              </w:rPr>
            </w:pPr>
          </w:p>
        </w:tc>
        <w:tc>
          <w:tcPr>
            <w:tcW w:w="3032" w:type="dxa"/>
            <w:vAlign w:val="center"/>
          </w:tcPr>
          <w:p w14:paraId="51C0AC8A">
            <w:pPr>
              <w:adjustRightInd w:val="0"/>
              <w:snapToGrid w:val="0"/>
              <w:spacing w:before="120" w:beforeLines="50" w:line="360" w:lineRule="auto"/>
              <w:jc w:val="left"/>
              <w:rPr>
                <w:rFonts w:ascii="宋体" w:hAnsi="宋体" w:cs="宋体"/>
                <w:color w:val="auto"/>
                <w:kern w:val="0"/>
                <w:sz w:val="20"/>
                <w:highlight w:val="none"/>
              </w:rPr>
            </w:pPr>
          </w:p>
        </w:tc>
      </w:tr>
    </w:tbl>
    <w:p w14:paraId="35CC80B0">
      <w:pPr>
        <w:tabs>
          <w:tab w:val="left" w:pos="3339"/>
        </w:tabs>
        <w:rPr>
          <w:color w:val="auto"/>
          <w:highlight w:val="none"/>
        </w:rPr>
      </w:pPr>
    </w:p>
    <w:p w14:paraId="0171ADB8">
      <w:pPr>
        <w:tabs>
          <w:tab w:val="left" w:pos="3339"/>
        </w:tabs>
        <w:rPr>
          <w:color w:val="auto"/>
          <w:highlight w:val="none"/>
        </w:rPr>
      </w:pPr>
    </w:p>
    <w:p w14:paraId="01220DCA">
      <w:pPr>
        <w:tabs>
          <w:tab w:val="left" w:pos="3339"/>
        </w:tabs>
        <w:rPr>
          <w:b/>
          <w:bCs/>
          <w:color w:val="auto"/>
          <w:highlight w:val="none"/>
        </w:rPr>
      </w:pPr>
    </w:p>
    <w:p w14:paraId="1277BCBA">
      <w:pPr>
        <w:tabs>
          <w:tab w:val="left" w:pos="3339"/>
        </w:tabs>
        <w:rPr>
          <w:b/>
          <w:bCs/>
          <w:color w:val="auto"/>
          <w:highlight w:val="none"/>
        </w:rPr>
      </w:pPr>
    </w:p>
    <w:p w14:paraId="168FEF58">
      <w:pPr>
        <w:tabs>
          <w:tab w:val="left" w:pos="3339"/>
        </w:tabs>
        <w:rPr>
          <w:b/>
          <w:bCs/>
          <w:color w:val="auto"/>
          <w:highlight w:val="none"/>
        </w:rPr>
      </w:pPr>
    </w:p>
    <w:p w14:paraId="2ADDBDE7">
      <w:pPr>
        <w:tabs>
          <w:tab w:val="left" w:pos="3339"/>
        </w:tabs>
        <w:rPr>
          <w:b/>
          <w:bCs/>
          <w:color w:val="auto"/>
          <w:highlight w:val="none"/>
        </w:rPr>
      </w:pPr>
    </w:p>
    <w:p w14:paraId="17CB0839">
      <w:pPr>
        <w:tabs>
          <w:tab w:val="left" w:pos="3339"/>
        </w:tabs>
        <w:rPr>
          <w:b/>
          <w:bCs/>
          <w:color w:val="auto"/>
          <w:highlight w:val="none"/>
        </w:rPr>
      </w:pPr>
    </w:p>
    <w:p w14:paraId="63071E80">
      <w:pPr>
        <w:tabs>
          <w:tab w:val="left" w:pos="3339"/>
        </w:tabs>
        <w:rPr>
          <w:b/>
          <w:bCs/>
          <w:color w:val="auto"/>
          <w:highlight w:val="none"/>
        </w:rPr>
      </w:pPr>
    </w:p>
    <w:p w14:paraId="232A0801">
      <w:pPr>
        <w:tabs>
          <w:tab w:val="left" w:pos="3339"/>
        </w:tabs>
        <w:rPr>
          <w:b/>
          <w:bCs/>
          <w:color w:val="auto"/>
          <w:highlight w:val="none"/>
        </w:rPr>
      </w:pPr>
    </w:p>
    <w:p w14:paraId="1E81D506">
      <w:pPr>
        <w:pStyle w:val="34"/>
        <w:ind w:firstLine="489"/>
        <w:rPr>
          <w:b/>
          <w:bCs/>
          <w:color w:val="auto"/>
          <w:highlight w:val="none"/>
        </w:rPr>
      </w:pPr>
    </w:p>
    <w:p w14:paraId="75D605AB">
      <w:pPr>
        <w:pStyle w:val="34"/>
        <w:ind w:firstLine="489"/>
        <w:rPr>
          <w:b/>
          <w:bCs/>
          <w:color w:val="auto"/>
          <w:highlight w:val="none"/>
        </w:rPr>
      </w:pPr>
    </w:p>
    <w:p w14:paraId="2EA45DB2">
      <w:pPr>
        <w:pStyle w:val="34"/>
        <w:ind w:firstLine="489"/>
        <w:rPr>
          <w:b/>
          <w:bCs/>
          <w:color w:val="auto"/>
          <w:highlight w:val="none"/>
        </w:rPr>
      </w:pPr>
    </w:p>
    <w:p w14:paraId="72AB30C8">
      <w:pPr>
        <w:pStyle w:val="34"/>
        <w:ind w:firstLine="489"/>
        <w:rPr>
          <w:b/>
          <w:bCs/>
          <w:color w:val="auto"/>
          <w:highlight w:val="none"/>
        </w:rPr>
      </w:pPr>
    </w:p>
    <w:p w14:paraId="2C7B4E8F">
      <w:pPr>
        <w:pStyle w:val="34"/>
        <w:ind w:firstLine="489"/>
        <w:rPr>
          <w:b/>
          <w:bCs/>
          <w:color w:val="auto"/>
          <w:highlight w:val="none"/>
        </w:rPr>
      </w:pPr>
    </w:p>
    <w:p w14:paraId="11819EFE">
      <w:pPr>
        <w:pStyle w:val="34"/>
        <w:ind w:firstLine="489"/>
        <w:rPr>
          <w:b/>
          <w:bCs/>
          <w:color w:val="auto"/>
          <w:highlight w:val="none"/>
        </w:rPr>
      </w:pPr>
    </w:p>
    <w:p w14:paraId="34BD1DFD">
      <w:pPr>
        <w:pStyle w:val="34"/>
        <w:ind w:firstLine="489"/>
        <w:rPr>
          <w:b/>
          <w:bCs/>
          <w:color w:val="auto"/>
          <w:highlight w:val="none"/>
        </w:rPr>
      </w:pPr>
    </w:p>
    <w:p w14:paraId="563430BA">
      <w:pPr>
        <w:pStyle w:val="34"/>
        <w:ind w:firstLine="489"/>
        <w:rPr>
          <w:b/>
          <w:bCs/>
          <w:color w:val="auto"/>
          <w:highlight w:val="none"/>
        </w:rPr>
      </w:pPr>
    </w:p>
    <w:p w14:paraId="2B3E23CB">
      <w:pPr>
        <w:pStyle w:val="34"/>
        <w:ind w:firstLine="489"/>
        <w:rPr>
          <w:b/>
          <w:bCs/>
          <w:color w:val="auto"/>
          <w:highlight w:val="none"/>
        </w:rPr>
      </w:pPr>
    </w:p>
    <w:p w14:paraId="09EFDC85">
      <w:pPr>
        <w:pStyle w:val="34"/>
        <w:ind w:firstLine="489"/>
        <w:rPr>
          <w:b/>
          <w:bCs/>
          <w:color w:val="auto"/>
          <w:highlight w:val="none"/>
        </w:rPr>
      </w:pPr>
    </w:p>
    <w:p w14:paraId="51EB8F84">
      <w:pPr>
        <w:pStyle w:val="34"/>
        <w:ind w:firstLine="489"/>
        <w:rPr>
          <w:b/>
          <w:bCs/>
          <w:color w:val="auto"/>
          <w:highlight w:val="none"/>
        </w:rPr>
      </w:pPr>
    </w:p>
    <w:p w14:paraId="54ED9371">
      <w:pPr>
        <w:pStyle w:val="34"/>
        <w:ind w:firstLine="489"/>
        <w:rPr>
          <w:b/>
          <w:bCs/>
          <w:color w:val="auto"/>
          <w:highlight w:val="none"/>
        </w:rPr>
      </w:pPr>
    </w:p>
    <w:p w14:paraId="393E43BF">
      <w:pPr>
        <w:tabs>
          <w:tab w:val="left" w:pos="3339"/>
        </w:tabs>
        <w:rPr>
          <w:b/>
          <w:bCs/>
          <w:color w:val="auto"/>
          <w:highlight w:val="none"/>
        </w:rPr>
      </w:pPr>
    </w:p>
    <w:p w14:paraId="24B9CD3B">
      <w:pPr>
        <w:tabs>
          <w:tab w:val="left" w:pos="3339"/>
        </w:tabs>
        <w:rPr>
          <w:b/>
          <w:bCs/>
          <w:color w:val="auto"/>
          <w:highlight w:val="none"/>
        </w:rPr>
      </w:pPr>
    </w:p>
    <w:p w14:paraId="070317EB">
      <w:pPr>
        <w:tabs>
          <w:tab w:val="left" w:pos="3339"/>
        </w:tabs>
        <w:rPr>
          <w:b/>
          <w:bCs/>
          <w:color w:val="auto"/>
          <w:highlight w:val="none"/>
        </w:rPr>
      </w:pPr>
    </w:p>
    <w:p w14:paraId="1CB950CA">
      <w:pPr>
        <w:tabs>
          <w:tab w:val="left" w:pos="3339"/>
        </w:tabs>
        <w:rPr>
          <w:b/>
          <w:bCs/>
          <w:color w:val="auto"/>
          <w:highlight w:val="none"/>
        </w:rPr>
      </w:pPr>
    </w:p>
    <w:p w14:paraId="0C5D14A0">
      <w:pPr>
        <w:tabs>
          <w:tab w:val="left" w:pos="3339"/>
        </w:tabs>
        <w:rPr>
          <w:b/>
          <w:bCs/>
          <w:color w:val="auto"/>
          <w:highlight w:val="none"/>
        </w:rPr>
      </w:pPr>
    </w:p>
    <w:p w14:paraId="69ECFD4A">
      <w:pPr>
        <w:tabs>
          <w:tab w:val="left" w:pos="3339"/>
        </w:tabs>
        <w:rPr>
          <w:b/>
          <w:bCs/>
          <w:color w:val="auto"/>
          <w:highlight w:val="none"/>
        </w:rPr>
      </w:pPr>
    </w:p>
    <w:p w14:paraId="43BDDE71">
      <w:pPr>
        <w:tabs>
          <w:tab w:val="left" w:pos="3339"/>
        </w:tabs>
        <w:rPr>
          <w:b/>
          <w:bCs/>
          <w:color w:val="auto"/>
          <w:highlight w:val="none"/>
        </w:rPr>
      </w:pPr>
    </w:p>
    <w:p w14:paraId="660B77BB">
      <w:pPr>
        <w:tabs>
          <w:tab w:val="left" w:pos="3339"/>
        </w:tabs>
        <w:rPr>
          <w:b/>
          <w:bCs/>
          <w:color w:val="auto"/>
          <w:highlight w:val="none"/>
        </w:rPr>
      </w:pPr>
    </w:p>
    <w:p w14:paraId="60FD233D">
      <w:pPr>
        <w:tabs>
          <w:tab w:val="left" w:pos="3339"/>
        </w:tabs>
        <w:rPr>
          <w:b/>
          <w:bCs/>
          <w:color w:val="auto"/>
          <w:highlight w:val="none"/>
        </w:rPr>
      </w:pPr>
    </w:p>
    <w:p w14:paraId="6A3DC0FC">
      <w:pPr>
        <w:tabs>
          <w:tab w:val="left" w:pos="3339"/>
        </w:tabs>
        <w:rPr>
          <w:b/>
          <w:bCs/>
          <w:color w:val="auto"/>
          <w:highlight w:val="none"/>
        </w:rPr>
      </w:pPr>
    </w:p>
    <w:p w14:paraId="5E217DFA">
      <w:pPr>
        <w:tabs>
          <w:tab w:val="left" w:pos="3339"/>
        </w:tabs>
        <w:rPr>
          <w:b/>
          <w:bCs/>
          <w:color w:val="auto"/>
          <w:highlight w:val="none"/>
        </w:rPr>
      </w:pPr>
    </w:p>
    <w:p w14:paraId="45EAD861">
      <w:pPr>
        <w:tabs>
          <w:tab w:val="left" w:pos="3339"/>
        </w:tabs>
        <w:rPr>
          <w:b/>
          <w:bCs/>
          <w:color w:val="auto"/>
          <w:highlight w:val="none"/>
        </w:rPr>
      </w:pPr>
    </w:p>
    <w:p w14:paraId="5D7BE50B">
      <w:pPr>
        <w:tabs>
          <w:tab w:val="left" w:pos="3339"/>
        </w:tabs>
        <w:rPr>
          <w:b/>
          <w:bCs/>
          <w:color w:val="auto"/>
          <w:highlight w:val="none"/>
        </w:rPr>
      </w:pPr>
    </w:p>
    <w:p w14:paraId="750EAEBC">
      <w:pPr>
        <w:tabs>
          <w:tab w:val="left" w:pos="3339"/>
        </w:tabs>
        <w:rPr>
          <w:b/>
          <w:bCs/>
          <w:color w:val="auto"/>
          <w:highlight w:val="none"/>
        </w:rPr>
      </w:pPr>
      <w:r>
        <w:rPr>
          <w:rFonts w:hint="eastAsia"/>
          <w:b/>
          <w:bCs/>
          <w:color w:val="auto"/>
          <w:highlight w:val="none"/>
        </w:rPr>
        <w:t>附件11：招标答疑纪要</w:t>
      </w:r>
    </w:p>
    <w:p w14:paraId="4F525709">
      <w:pPr>
        <w:tabs>
          <w:tab w:val="left" w:pos="3339"/>
        </w:tabs>
        <w:rPr>
          <w:b/>
          <w:bCs/>
          <w:color w:val="auto"/>
          <w:highlight w:val="none"/>
        </w:rPr>
      </w:pPr>
    </w:p>
    <w:p w14:paraId="24E1CDF6">
      <w:pPr>
        <w:tabs>
          <w:tab w:val="left" w:pos="3339"/>
        </w:tabs>
        <w:rPr>
          <w:color w:val="auto"/>
          <w:highlight w:val="none"/>
        </w:rPr>
      </w:pPr>
    </w:p>
    <w:sectPr>
      <w:pgSz w:w="11906" w:h="16838"/>
      <w:pgMar w:top="1089" w:right="1418" w:bottom="1418" w:left="158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彩虹小标宋">
    <w:altName w:val="微软雅黑"/>
    <w:panose1 w:val="020B0604020202020204"/>
    <w:charset w:val="86"/>
    <w:family w:val="script"/>
    <w:pitch w:val="default"/>
    <w:sig w:usb0="00000000" w:usb1="00000000" w:usb2="0000001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BCE3">
    <w:pPr>
      <w:pStyle w:val="22"/>
      <w:jc w:val="center"/>
    </w:pPr>
  </w:p>
  <w:p w14:paraId="33284E9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6D11">
    <w:pPr>
      <w:pStyle w:val="22"/>
      <w:jc w:val="center"/>
    </w:pPr>
  </w:p>
  <w:p w14:paraId="67DB0B27">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BD4E">
    <w:pPr>
      <w:pStyle w:val="22"/>
      <w:jc w:val="center"/>
    </w:pPr>
    <w:r>
      <w:fldChar w:fldCharType="begin"/>
    </w:r>
    <w:r>
      <w:instrText xml:space="preserve">PAGE   \* MERGEFORMAT</w:instrText>
    </w:r>
    <w:r>
      <w:fldChar w:fldCharType="separate"/>
    </w:r>
    <w:r>
      <w:rPr>
        <w:lang w:val="zh-CN"/>
      </w:rPr>
      <w:t>4</w:t>
    </w:r>
    <w:r>
      <w:fldChar w:fldCharType="end"/>
    </w:r>
  </w:p>
  <w:p w14:paraId="6B461786">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529F">
    <w:pPr>
      <w:pStyle w:val="22"/>
      <w:jc w:val="center"/>
    </w:pPr>
    <w:r>
      <w:fldChar w:fldCharType="begin"/>
    </w:r>
    <w:r>
      <w:instrText xml:space="preserve">PAGE   \* MERGEFORMAT</w:instrText>
    </w:r>
    <w:r>
      <w:fldChar w:fldCharType="separate"/>
    </w:r>
    <w:r>
      <w:rPr>
        <w:lang w:val="zh-CN"/>
      </w:rPr>
      <w:t>2</w:t>
    </w:r>
    <w:r>
      <w:fldChar w:fldCharType="end"/>
    </w:r>
  </w:p>
  <w:p w14:paraId="4FA1A89A">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8B28">
    <w:pPr>
      <w:pStyle w:val="22"/>
      <w:jc w:val="center"/>
    </w:pPr>
    <w:r>
      <w:fldChar w:fldCharType="begin"/>
    </w:r>
    <w:r>
      <w:instrText xml:space="preserve">PAGE   \* MERGEFORMAT</w:instrText>
    </w:r>
    <w:r>
      <w:fldChar w:fldCharType="separate"/>
    </w:r>
    <w:r>
      <w:rPr>
        <w:lang w:val="zh-CN"/>
      </w:rPr>
      <w:t>4</w:t>
    </w:r>
    <w:r>
      <w:fldChar w:fldCharType="end"/>
    </w:r>
  </w:p>
  <w:p w14:paraId="30EE301C">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8AC3">
    <w:pPr>
      <w:pStyle w:val="22"/>
      <w:jc w:val="center"/>
    </w:pPr>
    <w:r>
      <w:fldChar w:fldCharType="begin"/>
    </w:r>
    <w:r>
      <w:instrText xml:space="preserve">PAGE   \* MERGEFORMAT</w:instrText>
    </w:r>
    <w:r>
      <w:fldChar w:fldCharType="separate"/>
    </w:r>
    <w:r>
      <w:rPr>
        <w:lang w:val="zh-CN"/>
      </w:rPr>
      <w:t>2</w:t>
    </w:r>
    <w:r>
      <w:fldChar w:fldCharType="end"/>
    </w:r>
  </w:p>
  <w:p w14:paraId="362FFE35">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1B04">
    <w:pPr>
      <w:pStyle w:val="22"/>
      <w:ind w:left="178" w:firstLine="360"/>
      <w:jc w:val="center"/>
    </w:pPr>
    <w:r>
      <w:fldChar w:fldCharType="begin"/>
    </w:r>
    <w:r>
      <w:rPr>
        <w:rStyle w:val="40"/>
      </w:rPr>
      <w:instrText xml:space="preserve"> PAGE </w:instrText>
    </w:r>
    <w:r>
      <w:fldChar w:fldCharType="separate"/>
    </w:r>
    <w:r>
      <w:rPr>
        <w:rStyle w:val="40"/>
      </w:rPr>
      <w:t>43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B57F">
    <w:pPr>
      <w:pStyle w:val="22"/>
      <w:framePr w:wrap="around" w:vAnchor="text" w:hAnchor="margin" w:xAlign="right" w:y="1"/>
      <w:ind w:left="178" w:firstLine="482"/>
      <w:rPr>
        <w:rStyle w:val="40"/>
      </w:rPr>
    </w:pPr>
    <w:r>
      <w:fldChar w:fldCharType="begin"/>
    </w:r>
    <w:r>
      <w:rPr>
        <w:rStyle w:val="40"/>
      </w:rPr>
      <w:instrText xml:space="preserve">PAGE  </w:instrText>
    </w:r>
    <w:r>
      <w:fldChar w:fldCharType="separate"/>
    </w:r>
    <w:r>
      <w:rPr>
        <w:rStyle w:val="40"/>
      </w:rPr>
      <w:t>8</w:t>
    </w:r>
    <w:r>
      <w:fldChar w:fldCharType="end"/>
    </w:r>
  </w:p>
  <w:p w14:paraId="5088981C">
    <w:pPr>
      <w:pStyle w:val="22"/>
      <w:ind w:left="178"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A8FC">
    <w:pPr>
      <w:pStyle w:val="23"/>
      <w:pBdr>
        <w:bottom w:val="none" w:color="auto" w:sz="0" w:space="0"/>
      </w:pBdr>
      <w:ind w:left="178" w:firstLine="361"/>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AF6C6"/>
    <w:multiLevelType w:val="singleLevel"/>
    <w:tmpl w:val="B7CAF6C6"/>
    <w:lvl w:ilvl="0" w:tentative="0">
      <w:start w:val="1"/>
      <w:numFmt w:val="decimal"/>
      <w:suff w:val="nothing"/>
      <w:lvlText w:val="（%1）"/>
      <w:lvlJc w:val="left"/>
    </w:lvl>
  </w:abstractNum>
  <w:abstractNum w:abstractNumId="1">
    <w:nsid w:val="B853A3E8"/>
    <w:multiLevelType w:val="singleLevel"/>
    <w:tmpl w:val="B853A3E8"/>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tabs>
          <w:tab w:val="left" w:pos="1080"/>
        </w:tabs>
        <w:ind w:left="1080" w:hanging="600"/>
      </w:pPr>
      <w:rPr>
        <w:rFonts w:cs="Times New Roman"/>
      </w:rPr>
    </w:lvl>
  </w:abstractNum>
  <w:abstractNum w:abstractNumId="3">
    <w:nsid w:val="227C52F0"/>
    <w:multiLevelType w:val="singleLevel"/>
    <w:tmpl w:val="227C52F0"/>
    <w:lvl w:ilvl="0" w:tentative="0">
      <w:start w:val="2"/>
      <w:numFmt w:val="decimal"/>
      <w:suff w:val="nothing"/>
      <w:lvlText w:val="（%1）"/>
      <w:lvlJc w:val="left"/>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5">
    <w:nsid w:val="2C63210E"/>
    <w:multiLevelType w:val="singleLevel"/>
    <w:tmpl w:val="2C63210E"/>
    <w:lvl w:ilvl="0" w:tentative="0">
      <w:start w:val="1"/>
      <w:numFmt w:val="decimal"/>
      <w:suff w:val="nothing"/>
      <w:lvlText w:val="%1）"/>
      <w:lvlJc w:val="left"/>
      <w:pPr>
        <w:ind w:left="150"/>
      </w:pPr>
    </w:lvl>
  </w:abstractNum>
  <w:abstractNum w:abstractNumId="6">
    <w:nsid w:val="3D02DD4E"/>
    <w:multiLevelType w:val="singleLevel"/>
    <w:tmpl w:val="3D02DD4E"/>
    <w:lvl w:ilvl="0" w:tentative="0">
      <w:start w:val="4"/>
      <w:numFmt w:val="chineseCounting"/>
      <w:suff w:val="nothing"/>
      <w:lvlText w:val="%1、"/>
      <w:lvlJc w:val="left"/>
      <w:rPr>
        <w:rFonts w:hint="eastAsia"/>
      </w:rPr>
    </w:lvl>
  </w:abstractNum>
  <w:abstractNum w:abstractNumId="7">
    <w:nsid w:val="6029C4CF"/>
    <w:multiLevelType w:val="singleLevel"/>
    <w:tmpl w:val="6029C4CF"/>
    <w:lvl w:ilvl="0" w:tentative="0">
      <w:start w:val="2"/>
      <w:numFmt w:val="decimal"/>
      <w:suff w:val="nothing"/>
      <w:lvlText w:val="%1）"/>
      <w:lvlJc w:val="left"/>
    </w:lvl>
  </w:abstractNum>
  <w:abstractNum w:abstractNumId="8">
    <w:nsid w:val="6EB49404"/>
    <w:multiLevelType w:val="singleLevel"/>
    <w:tmpl w:val="6EB49404"/>
    <w:lvl w:ilvl="0" w:tentative="0">
      <w:start w:val="1"/>
      <w:numFmt w:val="decimal"/>
      <w:lvlText w:val="%1."/>
      <w:lvlJc w:val="left"/>
      <w:pPr>
        <w:tabs>
          <w:tab w:val="left" w:pos="312"/>
        </w:tabs>
      </w:pPr>
    </w:lvl>
  </w:abstractNum>
  <w:abstractNum w:abstractNumId="9">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7DA639EA"/>
    <w:multiLevelType w:val="singleLevel"/>
    <w:tmpl w:val="7DA639EA"/>
    <w:lvl w:ilvl="0" w:tentative="0">
      <w:start w:val="1"/>
      <w:numFmt w:val="decimal"/>
      <w:suff w:val="nothing"/>
      <w:lvlText w:val="%1）"/>
      <w:lvlJc w:val="left"/>
    </w:lvl>
  </w:abstractNum>
  <w:num w:numId="1">
    <w:abstractNumId w:val="4"/>
  </w:num>
  <w:num w:numId="2">
    <w:abstractNumId w:val="9"/>
  </w:num>
  <w:num w:numId="3">
    <w:abstractNumId w:val="3"/>
  </w:num>
  <w:num w:numId="4">
    <w:abstractNumId w:val="0"/>
  </w:num>
  <w:num w:numId="5">
    <w:abstractNumId w:val="2"/>
    <w:lvlOverride w:ilvl="0">
      <w:startOverride w:val="1"/>
    </w:lvlOverride>
  </w:num>
  <w:num w:numId="6">
    <w:abstractNumId w:val="1"/>
  </w:num>
  <w:num w:numId="7">
    <w:abstractNumId w:val="10"/>
  </w:num>
  <w:num w:numId="8">
    <w:abstractNumId w:val="7"/>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3E74E3"/>
    <w:rsid w:val="000008CF"/>
    <w:rsid w:val="0000266A"/>
    <w:rsid w:val="00003546"/>
    <w:rsid w:val="00005B14"/>
    <w:rsid w:val="000068EA"/>
    <w:rsid w:val="00011D0E"/>
    <w:rsid w:val="00013020"/>
    <w:rsid w:val="00014FAB"/>
    <w:rsid w:val="000216A4"/>
    <w:rsid w:val="00023352"/>
    <w:rsid w:val="000252FC"/>
    <w:rsid w:val="0002591A"/>
    <w:rsid w:val="00026594"/>
    <w:rsid w:val="000269CA"/>
    <w:rsid w:val="0002717C"/>
    <w:rsid w:val="0002764D"/>
    <w:rsid w:val="000300DA"/>
    <w:rsid w:val="0003077E"/>
    <w:rsid w:val="00030F49"/>
    <w:rsid w:val="0003300A"/>
    <w:rsid w:val="00033AB9"/>
    <w:rsid w:val="00034188"/>
    <w:rsid w:val="00034FD9"/>
    <w:rsid w:val="00035110"/>
    <w:rsid w:val="00035A9E"/>
    <w:rsid w:val="00035D2C"/>
    <w:rsid w:val="000365A6"/>
    <w:rsid w:val="00037FE6"/>
    <w:rsid w:val="0004078F"/>
    <w:rsid w:val="00041707"/>
    <w:rsid w:val="00041C93"/>
    <w:rsid w:val="00041FA9"/>
    <w:rsid w:val="000434AF"/>
    <w:rsid w:val="000452D4"/>
    <w:rsid w:val="00047178"/>
    <w:rsid w:val="000502AF"/>
    <w:rsid w:val="00050C82"/>
    <w:rsid w:val="00054564"/>
    <w:rsid w:val="00054852"/>
    <w:rsid w:val="00056BDC"/>
    <w:rsid w:val="00057DEB"/>
    <w:rsid w:val="00057DF0"/>
    <w:rsid w:val="000604FF"/>
    <w:rsid w:val="000625F8"/>
    <w:rsid w:val="00062C57"/>
    <w:rsid w:val="00064EA8"/>
    <w:rsid w:val="000654EB"/>
    <w:rsid w:val="00067F9A"/>
    <w:rsid w:val="000700F8"/>
    <w:rsid w:val="000704CA"/>
    <w:rsid w:val="000716A3"/>
    <w:rsid w:val="00071DD0"/>
    <w:rsid w:val="00072217"/>
    <w:rsid w:val="00072618"/>
    <w:rsid w:val="0007272F"/>
    <w:rsid w:val="00072F67"/>
    <w:rsid w:val="0007545C"/>
    <w:rsid w:val="00075915"/>
    <w:rsid w:val="00076877"/>
    <w:rsid w:val="00077798"/>
    <w:rsid w:val="000809AB"/>
    <w:rsid w:val="00080CAF"/>
    <w:rsid w:val="0008219F"/>
    <w:rsid w:val="000821B5"/>
    <w:rsid w:val="00084055"/>
    <w:rsid w:val="0008448F"/>
    <w:rsid w:val="0008494D"/>
    <w:rsid w:val="00084DF4"/>
    <w:rsid w:val="00085A32"/>
    <w:rsid w:val="00087A83"/>
    <w:rsid w:val="00090707"/>
    <w:rsid w:val="000929DE"/>
    <w:rsid w:val="0009416C"/>
    <w:rsid w:val="000A0192"/>
    <w:rsid w:val="000A0AD9"/>
    <w:rsid w:val="000A256D"/>
    <w:rsid w:val="000A416C"/>
    <w:rsid w:val="000A561D"/>
    <w:rsid w:val="000A6BC4"/>
    <w:rsid w:val="000B0041"/>
    <w:rsid w:val="000B0C24"/>
    <w:rsid w:val="000B109B"/>
    <w:rsid w:val="000B26EF"/>
    <w:rsid w:val="000B2B3E"/>
    <w:rsid w:val="000B6C2E"/>
    <w:rsid w:val="000B7E30"/>
    <w:rsid w:val="000C21EE"/>
    <w:rsid w:val="000C35B9"/>
    <w:rsid w:val="000C35C5"/>
    <w:rsid w:val="000C4A7E"/>
    <w:rsid w:val="000C5052"/>
    <w:rsid w:val="000C522E"/>
    <w:rsid w:val="000C52D8"/>
    <w:rsid w:val="000C59AF"/>
    <w:rsid w:val="000C666D"/>
    <w:rsid w:val="000C7F86"/>
    <w:rsid w:val="000D25B5"/>
    <w:rsid w:val="000D452B"/>
    <w:rsid w:val="000D4F9B"/>
    <w:rsid w:val="000D5015"/>
    <w:rsid w:val="000D553B"/>
    <w:rsid w:val="000D7505"/>
    <w:rsid w:val="000D7737"/>
    <w:rsid w:val="000D7811"/>
    <w:rsid w:val="000D7C14"/>
    <w:rsid w:val="000E0371"/>
    <w:rsid w:val="000E0FF4"/>
    <w:rsid w:val="000E1211"/>
    <w:rsid w:val="000E3ECA"/>
    <w:rsid w:val="000E5790"/>
    <w:rsid w:val="000F0FEA"/>
    <w:rsid w:val="000F124F"/>
    <w:rsid w:val="000F1459"/>
    <w:rsid w:val="000F153A"/>
    <w:rsid w:val="000F3D6D"/>
    <w:rsid w:val="000F59CF"/>
    <w:rsid w:val="000F6777"/>
    <w:rsid w:val="000F7BF3"/>
    <w:rsid w:val="00100B23"/>
    <w:rsid w:val="00101E10"/>
    <w:rsid w:val="00102148"/>
    <w:rsid w:val="00102CA3"/>
    <w:rsid w:val="00104E5E"/>
    <w:rsid w:val="00107D63"/>
    <w:rsid w:val="0011258F"/>
    <w:rsid w:val="001146D1"/>
    <w:rsid w:val="00115DD3"/>
    <w:rsid w:val="0011697A"/>
    <w:rsid w:val="0011783E"/>
    <w:rsid w:val="00117A65"/>
    <w:rsid w:val="00117E9B"/>
    <w:rsid w:val="00122244"/>
    <w:rsid w:val="00123073"/>
    <w:rsid w:val="00123726"/>
    <w:rsid w:val="00124224"/>
    <w:rsid w:val="0012435C"/>
    <w:rsid w:val="0012656E"/>
    <w:rsid w:val="00126D73"/>
    <w:rsid w:val="00127228"/>
    <w:rsid w:val="0013343A"/>
    <w:rsid w:val="00133DD8"/>
    <w:rsid w:val="00134FA5"/>
    <w:rsid w:val="0013526B"/>
    <w:rsid w:val="00135A87"/>
    <w:rsid w:val="001361AC"/>
    <w:rsid w:val="001367FE"/>
    <w:rsid w:val="00137212"/>
    <w:rsid w:val="00137EBC"/>
    <w:rsid w:val="0014311E"/>
    <w:rsid w:val="0014392E"/>
    <w:rsid w:val="00143AB5"/>
    <w:rsid w:val="00144755"/>
    <w:rsid w:val="0014788F"/>
    <w:rsid w:val="00147B55"/>
    <w:rsid w:val="001518A7"/>
    <w:rsid w:val="00151DC4"/>
    <w:rsid w:val="00153564"/>
    <w:rsid w:val="001609DA"/>
    <w:rsid w:val="00160F3A"/>
    <w:rsid w:val="00161627"/>
    <w:rsid w:val="00161B8B"/>
    <w:rsid w:val="001624A1"/>
    <w:rsid w:val="001625C5"/>
    <w:rsid w:val="0016306F"/>
    <w:rsid w:val="00164CE0"/>
    <w:rsid w:val="00165865"/>
    <w:rsid w:val="00165DDB"/>
    <w:rsid w:val="00166A92"/>
    <w:rsid w:val="00167EE2"/>
    <w:rsid w:val="00173B58"/>
    <w:rsid w:val="00173CE7"/>
    <w:rsid w:val="0017645F"/>
    <w:rsid w:val="00176815"/>
    <w:rsid w:val="00177D07"/>
    <w:rsid w:val="001812DC"/>
    <w:rsid w:val="00181BE2"/>
    <w:rsid w:val="00182652"/>
    <w:rsid w:val="00184803"/>
    <w:rsid w:val="00187AA5"/>
    <w:rsid w:val="00190724"/>
    <w:rsid w:val="00192264"/>
    <w:rsid w:val="001949CC"/>
    <w:rsid w:val="001950A4"/>
    <w:rsid w:val="001A06B1"/>
    <w:rsid w:val="001A1B84"/>
    <w:rsid w:val="001A1FFD"/>
    <w:rsid w:val="001A28EE"/>
    <w:rsid w:val="001A30B6"/>
    <w:rsid w:val="001A527B"/>
    <w:rsid w:val="001A67C0"/>
    <w:rsid w:val="001A78FE"/>
    <w:rsid w:val="001B1A54"/>
    <w:rsid w:val="001B3DE5"/>
    <w:rsid w:val="001B4837"/>
    <w:rsid w:val="001B559C"/>
    <w:rsid w:val="001B6133"/>
    <w:rsid w:val="001B61B6"/>
    <w:rsid w:val="001C0182"/>
    <w:rsid w:val="001C0DB5"/>
    <w:rsid w:val="001C30CE"/>
    <w:rsid w:val="001C37F3"/>
    <w:rsid w:val="001C3F24"/>
    <w:rsid w:val="001C4653"/>
    <w:rsid w:val="001C5439"/>
    <w:rsid w:val="001C6B94"/>
    <w:rsid w:val="001D02A4"/>
    <w:rsid w:val="001D1C2D"/>
    <w:rsid w:val="001D4120"/>
    <w:rsid w:val="001D4F96"/>
    <w:rsid w:val="001D62FA"/>
    <w:rsid w:val="001E39F3"/>
    <w:rsid w:val="001E4233"/>
    <w:rsid w:val="001E48F2"/>
    <w:rsid w:val="001E50B2"/>
    <w:rsid w:val="001E62AA"/>
    <w:rsid w:val="001F0A2D"/>
    <w:rsid w:val="001F10D8"/>
    <w:rsid w:val="001F1E09"/>
    <w:rsid w:val="001F2F92"/>
    <w:rsid w:val="001F603E"/>
    <w:rsid w:val="001F6739"/>
    <w:rsid w:val="001F6757"/>
    <w:rsid w:val="0020254F"/>
    <w:rsid w:val="00202F17"/>
    <w:rsid w:val="0020367D"/>
    <w:rsid w:val="00203C7C"/>
    <w:rsid w:val="00203D54"/>
    <w:rsid w:val="0020470B"/>
    <w:rsid w:val="00205B5B"/>
    <w:rsid w:val="0020605E"/>
    <w:rsid w:val="00210FF0"/>
    <w:rsid w:val="00210FFF"/>
    <w:rsid w:val="00211470"/>
    <w:rsid w:val="00211750"/>
    <w:rsid w:val="002117CF"/>
    <w:rsid w:val="00212663"/>
    <w:rsid w:val="00212C6F"/>
    <w:rsid w:val="002143D4"/>
    <w:rsid w:val="002157B0"/>
    <w:rsid w:val="00216EC0"/>
    <w:rsid w:val="002219DC"/>
    <w:rsid w:val="00226AEE"/>
    <w:rsid w:val="00227235"/>
    <w:rsid w:val="00227B3D"/>
    <w:rsid w:val="002352C7"/>
    <w:rsid w:val="002371C7"/>
    <w:rsid w:val="00241973"/>
    <w:rsid w:val="00242F69"/>
    <w:rsid w:val="00243C0D"/>
    <w:rsid w:val="00243E34"/>
    <w:rsid w:val="002440ED"/>
    <w:rsid w:val="00247FD4"/>
    <w:rsid w:val="00250538"/>
    <w:rsid w:val="00252E99"/>
    <w:rsid w:val="00253D8A"/>
    <w:rsid w:val="00254768"/>
    <w:rsid w:val="002577F2"/>
    <w:rsid w:val="00260AEE"/>
    <w:rsid w:val="00261845"/>
    <w:rsid w:val="00262F37"/>
    <w:rsid w:val="00263A9C"/>
    <w:rsid w:val="0026555F"/>
    <w:rsid w:val="00266220"/>
    <w:rsid w:val="00266991"/>
    <w:rsid w:val="002709A8"/>
    <w:rsid w:val="0027129B"/>
    <w:rsid w:val="00272804"/>
    <w:rsid w:val="00272BC7"/>
    <w:rsid w:val="00274594"/>
    <w:rsid w:val="00275D3D"/>
    <w:rsid w:val="00280F84"/>
    <w:rsid w:val="00283C87"/>
    <w:rsid w:val="00283FB0"/>
    <w:rsid w:val="002863F7"/>
    <w:rsid w:val="00290CEA"/>
    <w:rsid w:val="00292240"/>
    <w:rsid w:val="00292995"/>
    <w:rsid w:val="00293A07"/>
    <w:rsid w:val="002949E7"/>
    <w:rsid w:val="00295D8D"/>
    <w:rsid w:val="002965FA"/>
    <w:rsid w:val="0029668A"/>
    <w:rsid w:val="002A058B"/>
    <w:rsid w:val="002A06B7"/>
    <w:rsid w:val="002A1EF3"/>
    <w:rsid w:val="002A2C8C"/>
    <w:rsid w:val="002A2E5C"/>
    <w:rsid w:val="002A3CD6"/>
    <w:rsid w:val="002A5684"/>
    <w:rsid w:val="002A76FF"/>
    <w:rsid w:val="002A781F"/>
    <w:rsid w:val="002B2211"/>
    <w:rsid w:val="002B5413"/>
    <w:rsid w:val="002B578C"/>
    <w:rsid w:val="002B5C97"/>
    <w:rsid w:val="002C36BE"/>
    <w:rsid w:val="002C45D6"/>
    <w:rsid w:val="002C4AF8"/>
    <w:rsid w:val="002C5231"/>
    <w:rsid w:val="002C6495"/>
    <w:rsid w:val="002C7C7A"/>
    <w:rsid w:val="002D0161"/>
    <w:rsid w:val="002D095C"/>
    <w:rsid w:val="002D0D6B"/>
    <w:rsid w:val="002D1B5A"/>
    <w:rsid w:val="002D30C5"/>
    <w:rsid w:val="002D53DE"/>
    <w:rsid w:val="002D6AA7"/>
    <w:rsid w:val="002E09AA"/>
    <w:rsid w:val="002E2046"/>
    <w:rsid w:val="002E3305"/>
    <w:rsid w:val="002E3B26"/>
    <w:rsid w:val="002E45EA"/>
    <w:rsid w:val="002E6DC1"/>
    <w:rsid w:val="002E7A2B"/>
    <w:rsid w:val="002F2512"/>
    <w:rsid w:val="002F3C97"/>
    <w:rsid w:val="002F5105"/>
    <w:rsid w:val="002F59C4"/>
    <w:rsid w:val="002F61EE"/>
    <w:rsid w:val="00301EDC"/>
    <w:rsid w:val="0030506F"/>
    <w:rsid w:val="003052A2"/>
    <w:rsid w:val="0030538D"/>
    <w:rsid w:val="00307518"/>
    <w:rsid w:val="0031265B"/>
    <w:rsid w:val="00312F32"/>
    <w:rsid w:val="00314218"/>
    <w:rsid w:val="003143D2"/>
    <w:rsid w:val="00314FC2"/>
    <w:rsid w:val="00316639"/>
    <w:rsid w:val="00317DD7"/>
    <w:rsid w:val="003206C5"/>
    <w:rsid w:val="003316FA"/>
    <w:rsid w:val="00333909"/>
    <w:rsid w:val="003402EA"/>
    <w:rsid w:val="00340FC4"/>
    <w:rsid w:val="00341B3A"/>
    <w:rsid w:val="00341D0B"/>
    <w:rsid w:val="003424EF"/>
    <w:rsid w:val="00344F2B"/>
    <w:rsid w:val="0034524F"/>
    <w:rsid w:val="003472E8"/>
    <w:rsid w:val="00350EAB"/>
    <w:rsid w:val="003539F3"/>
    <w:rsid w:val="00355F80"/>
    <w:rsid w:val="003606CC"/>
    <w:rsid w:val="003615E5"/>
    <w:rsid w:val="00361D0A"/>
    <w:rsid w:val="00362AFD"/>
    <w:rsid w:val="00362BCF"/>
    <w:rsid w:val="00363029"/>
    <w:rsid w:val="00363241"/>
    <w:rsid w:val="00364CBD"/>
    <w:rsid w:val="00370BFF"/>
    <w:rsid w:val="003717E7"/>
    <w:rsid w:val="00372F94"/>
    <w:rsid w:val="00373987"/>
    <w:rsid w:val="0037398B"/>
    <w:rsid w:val="0037566E"/>
    <w:rsid w:val="00376462"/>
    <w:rsid w:val="003766AF"/>
    <w:rsid w:val="00377562"/>
    <w:rsid w:val="00381AD0"/>
    <w:rsid w:val="00383776"/>
    <w:rsid w:val="00383B27"/>
    <w:rsid w:val="00383DDB"/>
    <w:rsid w:val="00391182"/>
    <w:rsid w:val="00391329"/>
    <w:rsid w:val="003918C4"/>
    <w:rsid w:val="003927E7"/>
    <w:rsid w:val="00392954"/>
    <w:rsid w:val="00397124"/>
    <w:rsid w:val="003A1892"/>
    <w:rsid w:val="003A2690"/>
    <w:rsid w:val="003A2D1C"/>
    <w:rsid w:val="003A3B7D"/>
    <w:rsid w:val="003A46CB"/>
    <w:rsid w:val="003A621B"/>
    <w:rsid w:val="003B0F06"/>
    <w:rsid w:val="003B1096"/>
    <w:rsid w:val="003B469C"/>
    <w:rsid w:val="003B495E"/>
    <w:rsid w:val="003B5255"/>
    <w:rsid w:val="003B6411"/>
    <w:rsid w:val="003B70EE"/>
    <w:rsid w:val="003B78A1"/>
    <w:rsid w:val="003C1C6F"/>
    <w:rsid w:val="003C235D"/>
    <w:rsid w:val="003C2A9C"/>
    <w:rsid w:val="003C3CAA"/>
    <w:rsid w:val="003C3FAA"/>
    <w:rsid w:val="003C4DE8"/>
    <w:rsid w:val="003C4FFA"/>
    <w:rsid w:val="003C6538"/>
    <w:rsid w:val="003C6C04"/>
    <w:rsid w:val="003C7484"/>
    <w:rsid w:val="003D2FB5"/>
    <w:rsid w:val="003D405B"/>
    <w:rsid w:val="003D4659"/>
    <w:rsid w:val="003D4ACF"/>
    <w:rsid w:val="003D5255"/>
    <w:rsid w:val="003D5B06"/>
    <w:rsid w:val="003D5D3B"/>
    <w:rsid w:val="003D6235"/>
    <w:rsid w:val="003D6344"/>
    <w:rsid w:val="003D6AFB"/>
    <w:rsid w:val="003D7D9C"/>
    <w:rsid w:val="003E23EB"/>
    <w:rsid w:val="003E4703"/>
    <w:rsid w:val="003E4963"/>
    <w:rsid w:val="003E5EDF"/>
    <w:rsid w:val="003E74E3"/>
    <w:rsid w:val="003E7E6E"/>
    <w:rsid w:val="003F0D2A"/>
    <w:rsid w:val="003F0E8A"/>
    <w:rsid w:val="003F19FC"/>
    <w:rsid w:val="003F382C"/>
    <w:rsid w:val="003F3AF4"/>
    <w:rsid w:val="003F6787"/>
    <w:rsid w:val="00400AC3"/>
    <w:rsid w:val="00400C6E"/>
    <w:rsid w:val="004010AA"/>
    <w:rsid w:val="00401C42"/>
    <w:rsid w:val="00403910"/>
    <w:rsid w:val="00406BD4"/>
    <w:rsid w:val="004078BA"/>
    <w:rsid w:val="00411B7E"/>
    <w:rsid w:val="004137A7"/>
    <w:rsid w:val="0041432A"/>
    <w:rsid w:val="00414534"/>
    <w:rsid w:val="00415052"/>
    <w:rsid w:val="00417074"/>
    <w:rsid w:val="0041757D"/>
    <w:rsid w:val="004205DD"/>
    <w:rsid w:val="004205E2"/>
    <w:rsid w:val="00420878"/>
    <w:rsid w:val="0042195B"/>
    <w:rsid w:val="00422D84"/>
    <w:rsid w:val="004234E9"/>
    <w:rsid w:val="00423785"/>
    <w:rsid w:val="00424BA1"/>
    <w:rsid w:val="00427532"/>
    <w:rsid w:val="00430680"/>
    <w:rsid w:val="0043073D"/>
    <w:rsid w:val="004307CE"/>
    <w:rsid w:val="00430CAA"/>
    <w:rsid w:val="00431142"/>
    <w:rsid w:val="004317C9"/>
    <w:rsid w:val="004319D4"/>
    <w:rsid w:val="004328BA"/>
    <w:rsid w:val="004329DA"/>
    <w:rsid w:val="00432B1B"/>
    <w:rsid w:val="0043372B"/>
    <w:rsid w:val="00433C46"/>
    <w:rsid w:val="00434197"/>
    <w:rsid w:val="004361B3"/>
    <w:rsid w:val="00436FA5"/>
    <w:rsid w:val="00437678"/>
    <w:rsid w:val="00437BA4"/>
    <w:rsid w:val="00437FE6"/>
    <w:rsid w:val="0044335F"/>
    <w:rsid w:val="00443575"/>
    <w:rsid w:val="00443913"/>
    <w:rsid w:val="004450BE"/>
    <w:rsid w:val="004454BA"/>
    <w:rsid w:val="0045051B"/>
    <w:rsid w:val="00451803"/>
    <w:rsid w:val="00451AFC"/>
    <w:rsid w:val="00452FB3"/>
    <w:rsid w:val="00453FBC"/>
    <w:rsid w:val="00454176"/>
    <w:rsid w:val="004567A1"/>
    <w:rsid w:val="004576FD"/>
    <w:rsid w:val="00460FB1"/>
    <w:rsid w:val="00461653"/>
    <w:rsid w:val="00461833"/>
    <w:rsid w:val="0046473F"/>
    <w:rsid w:val="00465052"/>
    <w:rsid w:val="0046631E"/>
    <w:rsid w:val="00466DA9"/>
    <w:rsid w:val="00470A33"/>
    <w:rsid w:val="004720AF"/>
    <w:rsid w:val="004742AB"/>
    <w:rsid w:val="004748A0"/>
    <w:rsid w:val="00474BC6"/>
    <w:rsid w:val="004772D6"/>
    <w:rsid w:val="00480540"/>
    <w:rsid w:val="0048100B"/>
    <w:rsid w:val="0048160A"/>
    <w:rsid w:val="0048165B"/>
    <w:rsid w:val="0048299A"/>
    <w:rsid w:val="004834FF"/>
    <w:rsid w:val="00483B5E"/>
    <w:rsid w:val="00483C41"/>
    <w:rsid w:val="00484A52"/>
    <w:rsid w:val="00485732"/>
    <w:rsid w:val="00487D68"/>
    <w:rsid w:val="004912AB"/>
    <w:rsid w:val="00491E02"/>
    <w:rsid w:val="00491EA9"/>
    <w:rsid w:val="00492CFD"/>
    <w:rsid w:val="00494742"/>
    <w:rsid w:val="0049760D"/>
    <w:rsid w:val="004A1381"/>
    <w:rsid w:val="004A3421"/>
    <w:rsid w:val="004A5AF7"/>
    <w:rsid w:val="004A6826"/>
    <w:rsid w:val="004A7F73"/>
    <w:rsid w:val="004B20D5"/>
    <w:rsid w:val="004B28E3"/>
    <w:rsid w:val="004B3F65"/>
    <w:rsid w:val="004B4B7A"/>
    <w:rsid w:val="004B4BBA"/>
    <w:rsid w:val="004B5B79"/>
    <w:rsid w:val="004B7B4E"/>
    <w:rsid w:val="004B7E42"/>
    <w:rsid w:val="004C06EA"/>
    <w:rsid w:val="004C139A"/>
    <w:rsid w:val="004C4163"/>
    <w:rsid w:val="004D079E"/>
    <w:rsid w:val="004D1143"/>
    <w:rsid w:val="004D1F8D"/>
    <w:rsid w:val="004D27A2"/>
    <w:rsid w:val="004D2C71"/>
    <w:rsid w:val="004D3DBD"/>
    <w:rsid w:val="004D413F"/>
    <w:rsid w:val="004D4DE5"/>
    <w:rsid w:val="004D54F0"/>
    <w:rsid w:val="004D56D5"/>
    <w:rsid w:val="004E0845"/>
    <w:rsid w:val="004E095A"/>
    <w:rsid w:val="004E1CCE"/>
    <w:rsid w:val="004E32A4"/>
    <w:rsid w:val="004E4AFB"/>
    <w:rsid w:val="004F0F22"/>
    <w:rsid w:val="004F68C4"/>
    <w:rsid w:val="004F718A"/>
    <w:rsid w:val="004F747A"/>
    <w:rsid w:val="004F7B19"/>
    <w:rsid w:val="004F7FE9"/>
    <w:rsid w:val="00500A23"/>
    <w:rsid w:val="005019B1"/>
    <w:rsid w:val="00503A4F"/>
    <w:rsid w:val="00505D88"/>
    <w:rsid w:val="00507F65"/>
    <w:rsid w:val="005102F4"/>
    <w:rsid w:val="0051446D"/>
    <w:rsid w:val="00514A2C"/>
    <w:rsid w:val="00515577"/>
    <w:rsid w:val="005158CD"/>
    <w:rsid w:val="00516213"/>
    <w:rsid w:val="00520B8B"/>
    <w:rsid w:val="00520E63"/>
    <w:rsid w:val="0053044F"/>
    <w:rsid w:val="00530498"/>
    <w:rsid w:val="00531BE1"/>
    <w:rsid w:val="005338FD"/>
    <w:rsid w:val="00534C5D"/>
    <w:rsid w:val="00534D9A"/>
    <w:rsid w:val="00534E38"/>
    <w:rsid w:val="00534F03"/>
    <w:rsid w:val="00535206"/>
    <w:rsid w:val="005360A9"/>
    <w:rsid w:val="00536247"/>
    <w:rsid w:val="00540FE4"/>
    <w:rsid w:val="0054202C"/>
    <w:rsid w:val="00543D66"/>
    <w:rsid w:val="00543DF6"/>
    <w:rsid w:val="005443BA"/>
    <w:rsid w:val="0054487E"/>
    <w:rsid w:val="00544F70"/>
    <w:rsid w:val="005466EF"/>
    <w:rsid w:val="005522F8"/>
    <w:rsid w:val="00553DA8"/>
    <w:rsid w:val="00554703"/>
    <w:rsid w:val="00555E4E"/>
    <w:rsid w:val="00557F42"/>
    <w:rsid w:val="00561084"/>
    <w:rsid w:val="00565F02"/>
    <w:rsid w:val="00571D74"/>
    <w:rsid w:val="00571DD4"/>
    <w:rsid w:val="005723D9"/>
    <w:rsid w:val="00572A29"/>
    <w:rsid w:val="00575805"/>
    <w:rsid w:val="0057657D"/>
    <w:rsid w:val="00576616"/>
    <w:rsid w:val="005767BF"/>
    <w:rsid w:val="00580785"/>
    <w:rsid w:val="0058333D"/>
    <w:rsid w:val="005863A5"/>
    <w:rsid w:val="005868F7"/>
    <w:rsid w:val="00586FFD"/>
    <w:rsid w:val="00587534"/>
    <w:rsid w:val="00590037"/>
    <w:rsid w:val="005900A6"/>
    <w:rsid w:val="00591F62"/>
    <w:rsid w:val="005924D2"/>
    <w:rsid w:val="0059488B"/>
    <w:rsid w:val="00594DE9"/>
    <w:rsid w:val="00596ADC"/>
    <w:rsid w:val="005A19F2"/>
    <w:rsid w:val="005A3677"/>
    <w:rsid w:val="005A3839"/>
    <w:rsid w:val="005A38B6"/>
    <w:rsid w:val="005A405E"/>
    <w:rsid w:val="005A4237"/>
    <w:rsid w:val="005A4822"/>
    <w:rsid w:val="005A5685"/>
    <w:rsid w:val="005B1FE8"/>
    <w:rsid w:val="005B39E4"/>
    <w:rsid w:val="005B3D30"/>
    <w:rsid w:val="005B40E2"/>
    <w:rsid w:val="005B417E"/>
    <w:rsid w:val="005B43B7"/>
    <w:rsid w:val="005B6DE9"/>
    <w:rsid w:val="005C11D2"/>
    <w:rsid w:val="005C2A24"/>
    <w:rsid w:val="005C5EBA"/>
    <w:rsid w:val="005C6BBA"/>
    <w:rsid w:val="005C6F3D"/>
    <w:rsid w:val="005C7027"/>
    <w:rsid w:val="005D0280"/>
    <w:rsid w:val="005D0357"/>
    <w:rsid w:val="005D2B95"/>
    <w:rsid w:val="005E0243"/>
    <w:rsid w:val="005E145D"/>
    <w:rsid w:val="005E1551"/>
    <w:rsid w:val="005E3050"/>
    <w:rsid w:val="005E4587"/>
    <w:rsid w:val="005E6326"/>
    <w:rsid w:val="005E6BE2"/>
    <w:rsid w:val="005E7038"/>
    <w:rsid w:val="005F017B"/>
    <w:rsid w:val="005F0366"/>
    <w:rsid w:val="005F0432"/>
    <w:rsid w:val="005F0AE3"/>
    <w:rsid w:val="005F1336"/>
    <w:rsid w:val="005F1E35"/>
    <w:rsid w:val="005F30D8"/>
    <w:rsid w:val="005F3511"/>
    <w:rsid w:val="00600452"/>
    <w:rsid w:val="0060247C"/>
    <w:rsid w:val="0060360A"/>
    <w:rsid w:val="006047B9"/>
    <w:rsid w:val="00604855"/>
    <w:rsid w:val="00605B71"/>
    <w:rsid w:val="006061A2"/>
    <w:rsid w:val="00610625"/>
    <w:rsid w:val="006118F7"/>
    <w:rsid w:val="00611D66"/>
    <w:rsid w:val="0061266B"/>
    <w:rsid w:val="00613024"/>
    <w:rsid w:val="0061658E"/>
    <w:rsid w:val="00616699"/>
    <w:rsid w:val="00617638"/>
    <w:rsid w:val="006204FB"/>
    <w:rsid w:val="0062076F"/>
    <w:rsid w:val="006210D0"/>
    <w:rsid w:val="006211D0"/>
    <w:rsid w:val="00621747"/>
    <w:rsid w:val="00624684"/>
    <w:rsid w:val="00625317"/>
    <w:rsid w:val="00625F8E"/>
    <w:rsid w:val="00630457"/>
    <w:rsid w:val="0063161E"/>
    <w:rsid w:val="00634D64"/>
    <w:rsid w:val="00635BA6"/>
    <w:rsid w:val="00637427"/>
    <w:rsid w:val="00640381"/>
    <w:rsid w:val="006430BE"/>
    <w:rsid w:val="00645163"/>
    <w:rsid w:val="006515B8"/>
    <w:rsid w:val="00652A41"/>
    <w:rsid w:val="006548BA"/>
    <w:rsid w:val="00656D2A"/>
    <w:rsid w:val="00657A43"/>
    <w:rsid w:val="006602B4"/>
    <w:rsid w:val="00661E8E"/>
    <w:rsid w:val="00664C75"/>
    <w:rsid w:val="006660F1"/>
    <w:rsid w:val="00667C47"/>
    <w:rsid w:val="00667D7F"/>
    <w:rsid w:val="00674AE9"/>
    <w:rsid w:val="00675543"/>
    <w:rsid w:val="00676068"/>
    <w:rsid w:val="00676989"/>
    <w:rsid w:val="00680676"/>
    <w:rsid w:val="006822DE"/>
    <w:rsid w:val="00682724"/>
    <w:rsid w:val="00683E19"/>
    <w:rsid w:val="00683E82"/>
    <w:rsid w:val="00683F96"/>
    <w:rsid w:val="00684885"/>
    <w:rsid w:val="00687757"/>
    <w:rsid w:val="00693767"/>
    <w:rsid w:val="00693C12"/>
    <w:rsid w:val="00694D13"/>
    <w:rsid w:val="006966B6"/>
    <w:rsid w:val="00696A2F"/>
    <w:rsid w:val="006974B7"/>
    <w:rsid w:val="00697CE2"/>
    <w:rsid w:val="006A177F"/>
    <w:rsid w:val="006A192E"/>
    <w:rsid w:val="006A2DEE"/>
    <w:rsid w:val="006A348F"/>
    <w:rsid w:val="006A39B1"/>
    <w:rsid w:val="006A46BF"/>
    <w:rsid w:val="006A6467"/>
    <w:rsid w:val="006A65E0"/>
    <w:rsid w:val="006A75C2"/>
    <w:rsid w:val="006A7776"/>
    <w:rsid w:val="006A7D2B"/>
    <w:rsid w:val="006B23B4"/>
    <w:rsid w:val="006B5888"/>
    <w:rsid w:val="006B5BFC"/>
    <w:rsid w:val="006C097A"/>
    <w:rsid w:val="006C2A32"/>
    <w:rsid w:val="006C2D86"/>
    <w:rsid w:val="006C55D4"/>
    <w:rsid w:val="006C59F3"/>
    <w:rsid w:val="006C7B0F"/>
    <w:rsid w:val="006D31A5"/>
    <w:rsid w:val="006D3622"/>
    <w:rsid w:val="006D3A5D"/>
    <w:rsid w:val="006D4251"/>
    <w:rsid w:val="006D50E8"/>
    <w:rsid w:val="006D527A"/>
    <w:rsid w:val="006D65EF"/>
    <w:rsid w:val="006D7EF0"/>
    <w:rsid w:val="006E0B87"/>
    <w:rsid w:val="006E3A78"/>
    <w:rsid w:val="006E5444"/>
    <w:rsid w:val="006E5CF5"/>
    <w:rsid w:val="006E7440"/>
    <w:rsid w:val="006F1BFF"/>
    <w:rsid w:val="006F22A1"/>
    <w:rsid w:val="006F2902"/>
    <w:rsid w:val="006F3B3C"/>
    <w:rsid w:val="006F46BC"/>
    <w:rsid w:val="006F4EB8"/>
    <w:rsid w:val="006F538A"/>
    <w:rsid w:val="006F55C6"/>
    <w:rsid w:val="006F6B2A"/>
    <w:rsid w:val="006F73AF"/>
    <w:rsid w:val="006F7927"/>
    <w:rsid w:val="00700BEC"/>
    <w:rsid w:val="0070179D"/>
    <w:rsid w:val="0070387E"/>
    <w:rsid w:val="00703B95"/>
    <w:rsid w:val="00703D9F"/>
    <w:rsid w:val="00703DA1"/>
    <w:rsid w:val="00705108"/>
    <w:rsid w:val="00705E2E"/>
    <w:rsid w:val="007063C1"/>
    <w:rsid w:val="00706C14"/>
    <w:rsid w:val="00707F6F"/>
    <w:rsid w:val="00707FD8"/>
    <w:rsid w:val="007101F1"/>
    <w:rsid w:val="00710B69"/>
    <w:rsid w:val="007111C7"/>
    <w:rsid w:val="00711DDE"/>
    <w:rsid w:val="00713ADC"/>
    <w:rsid w:val="00713C52"/>
    <w:rsid w:val="00713DEB"/>
    <w:rsid w:val="00714518"/>
    <w:rsid w:val="007156C7"/>
    <w:rsid w:val="00720FFC"/>
    <w:rsid w:val="00721A27"/>
    <w:rsid w:val="00721DFD"/>
    <w:rsid w:val="00727B35"/>
    <w:rsid w:val="00727D5C"/>
    <w:rsid w:val="00727D8A"/>
    <w:rsid w:val="007301B2"/>
    <w:rsid w:val="007325C7"/>
    <w:rsid w:val="007327B2"/>
    <w:rsid w:val="00735263"/>
    <w:rsid w:val="007401AD"/>
    <w:rsid w:val="0074161D"/>
    <w:rsid w:val="00742850"/>
    <w:rsid w:val="007431BD"/>
    <w:rsid w:val="00743FAF"/>
    <w:rsid w:val="007442E8"/>
    <w:rsid w:val="00750AE2"/>
    <w:rsid w:val="00751330"/>
    <w:rsid w:val="007561A1"/>
    <w:rsid w:val="0075686D"/>
    <w:rsid w:val="00756DE1"/>
    <w:rsid w:val="00761548"/>
    <w:rsid w:val="00762BEE"/>
    <w:rsid w:val="00766105"/>
    <w:rsid w:val="00766DEC"/>
    <w:rsid w:val="00767BFB"/>
    <w:rsid w:val="00770809"/>
    <w:rsid w:val="00771E7F"/>
    <w:rsid w:val="00772607"/>
    <w:rsid w:val="00773C02"/>
    <w:rsid w:val="007740AA"/>
    <w:rsid w:val="00774318"/>
    <w:rsid w:val="00774DD6"/>
    <w:rsid w:val="007751BC"/>
    <w:rsid w:val="007757D6"/>
    <w:rsid w:val="00775A3B"/>
    <w:rsid w:val="00776B19"/>
    <w:rsid w:val="00777086"/>
    <w:rsid w:val="00780352"/>
    <w:rsid w:val="00780D1B"/>
    <w:rsid w:val="007834A2"/>
    <w:rsid w:val="00783B72"/>
    <w:rsid w:val="00792728"/>
    <w:rsid w:val="00793EBB"/>
    <w:rsid w:val="00793FF4"/>
    <w:rsid w:val="00794637"/>
    <w:rsid w:val="00795391"/>
    <w:rsid w:val="00796726"/>
    <w:rsid w:val="00797BFE"/>
    <w:rsid w:val="00797C76"/>
    <w:rsid w:val="007A2CDD"/>
    <w:rsid w:val="007A403B"/>
    <w:rsid w:val="007A4210"/>
    <w:rsid w:val="007A6440"/>
    <w:rsid w:val="007A798B"/>
    <w:rsid w:val="007B176E"/>
    <w:rsid w:val="007B190C"/>
    <w:rsid w:val="007B1C87"/>
    <w:rsid w:val="007B48A0"/>
    <w:rsid w:val="007B497C"/>
    <w:rsid w:val="007B665C"/>
    <w:rsid w:val="007B7386"/>
    <w:rsid w:val="007B7761"/>
    <w:rsid w:val="007C1A80"/>
    <w:rsid w:val="007C2DB6"/>
    <w:rsid w:val="007C32AA"/>
    <w:rsid w:val="007C451D"/>
    <w:rsid w:val="007C505B"/>
    <w:rsid w:val="007C57D2"/>
    <w:rsid w:val="007D3E17"/>
    <w:rsid w:val="007D63B9"/>
    <w:rsid w:val="007D7372"/>
    <w:rsid w:val="007E11D6"/>
    <w:rsid w:val="007E1B79"/>
    <w:rsid w:val="007E35E0"/>
    <w:rsid w:val="007E6EEF"/>
    <w:rsid w:val="007F1F94"/>
    <w:rsid w:val="007F2C2C"/>
    <w:rsid w:val="007F300B"/>
    <w:rsid w:val="007F32F9"/>
    <w:rsid w:val="007F359B"/>
    <w:rsid w:val="007F4082"/>
    <w:rsid w:val="007F76F0"/>
    <w:rsid w:val="007F7A45"/>
    <w:rsid w:val="0080284E"/>
    <w:rsid w:val="00802DE1"/>
    <w:rsid w:val="008036DF"/>
    <w:rsid w:val="008053A6"/>
    <w:rsid w:val="008056E1"/>
    <w:rsid w:val="00806735"/>
    <w:rsid w:val="008112DD"/>
    <w:rsid w:val="008116B8"/>
    <w:rsid w:val="00813CBE"/>
    <w:rsid w:val="00814D83"/>
    <w:rsid w:val="0081535B"/>
    <w:rsid w:val="00816B93"/>
    <w:rsid w:val="00821166"/>
    <w:rsid w:val="008216F3"/>
    <w:rsid w:val="0082360B"/>
    <w:rsid w:val="008255E6"/>
    <w:rsid w:val="00825963"/>
    <w:rsid w:val="00826606"/>
    <w:rsid w:val="008266D4"/>
    <w:rsid w:val="008268A9"/>
    <w:rsid w:val="0083001B"/>
    <w:rsid w:val="0083212A"/>
    <w:rsid w:val="00832907"/>
    <w:rsid w:val="00832A20"/>
    <w:rsid w:val="00835F25"/>
    <w:rsid w:val="00835F45"/>
    <w:rsid w:val="0084051C"/>
    <w:rsid w:val="008405D0"/>
    <w:rsid w:val="00843704"/>
    <w:rsid w:val="008439A9"/>
    <w:rsid w:val="00843BA9"/>
    <w:rsid w:val="00843BC0"/>
    <w:rsid w:val="0084674E"/>
    <w:rsid w:val="008471D7"/>
    <w:rsid w:val="00847E9A"/>
    <w:rsid w:val="008507D2"/>
    <w:rsid w:val="00850C13"/>
    <w:rsid w:val="00854158"/>
    <w:rsid w:val="008569A7"/>
    <w:rsid w:val="00857763"/>
    <w:rsid w:val="00862223"/>
    <w:rsid w:val="0086540A"/>
    <w:rsid w:val="008674F5"/>
    <w:rsid w:val="00870499"/>
    <w:rsid w:val="008709A5"/>
    <w:rsid w:val="00870BAF"/>
    <w:rsid w:val="00872F93"/>
    <w:rsid w:val="008763BD"/>
    <w:rsid w:val="00876C7D"/>
    <w:rsid w:val="00880016"/>
    <w:rsid w:val="00881EB5"/>
    <w:rsid w:val="00882B6D"/>
    <w:rsid w:val="008840E9"/>
    <w:rsid w:val="00885952"/>
    <w:rsid w:val="00890036"/>
    <w:rsid w:val="00892A4C"/>
    <w:rsid w:val="00892AC8"/>
    <w:rsid w:val="00894EDA"/>
    <w:rsid w:val="00895B39"/>
    <w:rsid w:val="00895C45"/>
    <w:rsid w:val="00895D4C"/>
    <w:rsid w:val="00895EF9"/>
    <w:rsid w:val="00896928"/>
    <w:rsid w:val="00897E44"/>
    <w:rsid w:val="00897FCE"/>
    <w:rsid w:val="008A2978"/>
    <w:rsid w:val="008A2E0A"/>
    <w:rsid w:val="008A4C5D"/>
    <w:rsid w:val="008A5BA9"/>
    <w:rsid w:val="008A67B0"/>
    <w:rsid w:val="008A6AC5"/>
    <w:rsid w:val="008A7A91"/>
    <w:rsid w:val="008B1457"/>
    <w:rsid w:val="008B3F0A"/>
    <w:rsid w:val="008C0486"/>
    <w:rsid w:val="008C0962"/>
    <w:rsid w:val="008C3E27"/>
    <w:rsid w:val="008C6B07"/>
    <w:rsid w:val="008C6FC8"/>
    <w:rsid w:val="008D16F3"/>
    <w:rsid w:val="008D19BB"/>
    <w:rsid w:val="008D4E9C"/>
    <w:rsid w:val="008D5286"/>
    <w:rsid w:val="008D621A"/>
    <w:rsid w:val="008D67B9"/>
    <w:rsid w:val="008D7635"/>
    <w:rsid w:val="008D7ECA"/>
    <w:rsid w:val="008E3200"/>
    <w:rsid w:val="008E321E"/>
    <w:rsid w:val="008E474F"/>
    <w:rsid w:val="008E7E2A"/>
    <w:rsid w:val="008F1007"/>
    <w:rsid w:val="008F3056"/>
    <w:rsid w:val="008F3764"/>
    <w:rsid w:val="008F4A6D"/>
    <w:rsid w:val="008F69F9"/>
    <w:rsid w:val="008F7182"/>
    <w:rsid w:val="00901893"/>
    <w:rsid w:val="009024AA"/>
    <w:rsid w:val="0090331B"/>
    <w:rsid w:val="00904CD9"/>
    <w:rsid w:val="00905339"/>
    <w:rsid w:val="00910EF9"/>
    <w:rsid w:val="00911811"/>
    <w:rsid w:val="00912189"/>
    <w:rsid w:val="0091238E"/>
    <w:rsid w:val="00913589"/>
    <w:rsid w:val="00915280"/>
    <w:rsid w:val="00916B19"/>
    <w:rsid w:val="009204BD"/>
    <w:rsid w:val="00921A7D"/>
    <w:rsid w:val="00923B24"/>
    <w:rsid w:val="00923FC9"/>
    <w:rsid w:val="00926906"/>
    <w:rsid w:val="00926B05"/>
    <w:rsid w:val="00926F83"/>
    <w:rsid w:val="0092749A"/>
    <w:rsid w:val="00932514"/>
    <w:rsid w:val="00933BDA"/>
    <w:rsid w:val="00933EBB"/>
    <w:rsid w:val="009355F7"/>
    <w:rsid w:val="0093703D"/>
    <w:rsid w:val="00937610"/>
    <w:rsid w:val="00940011"/>
    <w:rsid w:val="00940A3C"/>
    <w:rsid w:val="00941832"/>
    <w:rsid w:val="00942C36"/>
    <w:rsid w:val="00943D79"/>
    <w:rsid w:val="00953A37"/>
    <w:rsid w:val="009546F2"/>
    <w:rsid w:val="00955226"/>
    <w:rsid w:val="00962C92"/>
    <w:rsid w:val="00970622"/>
    <w:rsid w:val="0097069C"/>
    <w:rsid w:val="00970EB5"/>
    <w:rsid w:val="00974C16"/>
    <w:rsid w:val="00974E0B"/>
    <w:rsid w:val="0098064B"/>
    <w:rsid w:val="00984629"/>
    <w:rsid w:val="009854E5"/>
    <w:rsid w:val="00986C20"/>
    <w:rsid w:val="009906E0"/>
    <w:rsid w:val="009916C8"/>
    <w:rsid w:val="0099178B"/>
    <w:rsid w:val="00991F03"/>
    <w:rsid w:val="00992AF2"/>
    <w:rsid w:val="0099365E"/>
    <w:rsid w:val="00994018"/>
    <w:rsid w:val="009940DD"/>
    <w:rsid w:val="009959DE"/>
    <w:rsid w:val="009967B0"/>
    <w:rsid w:val="009970D2"/>
    <w:rsid w:val="009A08BF"/>
    <w:rsid w:val="009A13A3"/>
    <w:rsid w:val="009A1589"/>
    <w:rsid w:val="009A2389"/>
    <w:rsid w:val="009A30FC"/>
    <w:rsid w:val="009A373B"/>
    <w:rsid w:val="009A54C6"/>
    <w:rsid w:val="009A60B4"/>
    <w:rsid w:val="009B020F"/>
    <w:rsid w:val="009B1AB9"/>
    <w:rsid w:val="009B1D5F"/>
    <w:rsid w:val="009B2F6B"/>
    <w:rsid w:val="009B3565"/>
    <w:rsid w:val="009B530B"/>
    <w:rsid w:val="009B6B39"/>
    <w:rsid w:val="009B7E98"/>
    <w:rsid w:val="009C2638"/>
    <w:rsid w:val="009C3942"/>
    <w:rsid w:val="009C5508"/>
    <w:rsid w:val="009C7AEC"/>
    <w:rsid w:val="009D0A90"/>
    <w:rsid w:val="009D1371"/>
    <w:rsid w:val="009D1A37"/>
    <w:rsid w:val="009D34C1"/>
    <w:rsid w:val="009D3BF2"/>
    <w:rsid w:val="009D4AB3"/>
    <w:rsid w:val="009D54ED"/>
    <w:rsid w:val="009D5551"/>
    <w:rsid w:val="009D727A"/>
    <w:rsid w:val="009D755F"/>
    <w:rsid w:val="009E0A27"/>
    <w:rsid w:val="009E0EDD"/>
    <w:rsid w:val="009E326A"/>
    <w:rsid w:val="009E3E49"/>
    <w:rsid w:val="009E46A2"/>
    <w:rsid w:val="009E4737"/>
    <w:rsid w:val="009E7A4F"/>
    <w:rsid w:val="009E7B7F"/>
    <w:rsid w:val="009F09C9"/>
    <w:rsid w:val="009F25BA"/>
    <w:rsid w:val="009F2E23"/>
    <w:rsid w:val="009F55AD"/>
    <w:rsid w:val="009F676F"/>
    <w:rsid w:val="009F7B07"/>
    <w:rsid w:val="00A03864"/>
    <w:rsid w:val="00A04F47"/>
    <w:rsid w:val="00A106BB"/>
    <w:rsid w:val="00A10F63"/>
    <w:rsid w:val="00A12E38"/>
    <w:rsid w:val="00A16445"/>
    <w:rsid w:val="00A2033A"/>
    <w:rsid w:val="00A209DA"/>
    <w:rsid w:val="00A2120C"/>
    <w:rsid w:val="00A21229"/>
    <w:rsid w:val="00A22DC7"/>
    <w:rsid w:val="00A27775"/>
    <w:rsid w:val="00A30A3D"/>
    <w:rsid w:val="00A32690"/>
    <w:rsid w:val="00A32CDB"/>
    <w:rsid w:val="00A33488"/>
    <w:rsid w:val="00A33E6D"/>
    <w:rsid w:val="00A3506C"/>
    <w:rsid w:val="00A3647F"/>
    <w:rsid w:val="00A36B4C"/>
    <w:rsid w:val="00A37645"/>
    <w:rsid w:val="00A401D5"/>
    <w:rsid w:val="00A40335"/>
    <w:rsid w:val="00A42BE3"/>
    <w:rsid w:val="00A44153"/>
    <w:rsid w:val="00A443DF"/>
    <w:rsid w:val="00A46132"/>
    <w:rsid w:val="00A4747D"/>
    <w:rsid w:val="00A47A2A"/>
    <w:rsid w:val="00A47C7B"/>
    <w:rsid w:val="00A53983"/>
    <w:rsid w:val="00A54394"/>
    <w:rsid w:val="00A54AC7"/>
    <w:rsid w:val="00A55FC1"/>
    <w:rsid w:val="00A561EE"/>
    <w:rsid w:val="00A56CF1"/>
    <w:rsid w:val="00A62133"/>
    <w:rsid w:val="00A62E0E"/>
    <w:rsid w:val="00A638D6"/>
    <w:rsid w:val="00A6402B"/>
    <w:rsid w:val="00A653EE"/>
    <w:rsid w:val="00A65CD7"/>
    <w:rsid w:val="00A662E5"/>
    <w:rsid w:val="00A66359"/>
    <w:rsid w:val="00A66D0B"/>
    <w:rsid w:val="00A67B75"/>
    <w:rsid w:val="00A72BF5"/>
    <w:rsid w:val="00A72E98"/>
    <w:rsid w:val="00A74C98"/>
    <w:rsid w:val="00A7590E"/>
    <w:rsid w:val="00A77061"/>
    <w:rsid w:val="00A770BA"/>
    <w:rsid w:val="00A775A8"/>
    <w:rsid w:val="00A8012A"/>
    <w:rsid w:val="00A8072B"/>
    <w:rsid w:val="00A80AD6"/>
    <w:rsid w:val="00A84C67"/>
    <w:rsid w:val="00A86306"/>
    <w:rsid w:val="00A901EA"/>
    <w:rsid w:val="00A93683"/>
    <w:rsid w:val="00A93BE0"/>
    <w:rsid w:val="00A9439A"/>
    <w:rsid w:val="00A94C44"/>
    <w:rsid w:val="00A95D21"/>
    <w:rsid w:val="00A9623A"/>
    <w:rsid w:val="00A974DE"/>
    <w:rsid w:val="00AA0375"/>
    <w:rsid w:val="00AA1161"/>
    <w:rsid w:val="00AA11AA"/>
    <w:rsid w:val="00AA1BA0"/>
    <w:rsid w:val="00AA3BEC"/>
    <w:rsid w:val="00AA3C08"/>
    <w:rsid w:val="00AA3C91"/>
    <w:rsid w:val="00AA3D4D"/>
    <w:rsid w:val="00AA45D6"/>
    <w:rsid w:val="00AA63B3"/>
    <w:rsid w:val="00AA6C6F"/>
    <w:rsid w:val="00AB111F"/>
    <w:rsid w:val="00AB24D8"/>
    <w:rsid w:val="00AB2747"/>
    <w:rsid w:val="00AB291E"/>
    <w:rsid w:val="00AC1755"/>
    <w:rsid w:val="00AC1ABA"/>
    <w:rsid w:val="00AC2B42"/>
    <w:rsid w:val="00AC3246"/>
    <w:rsid w:val="00AC6E9E"/>
    <w:rsid w:val="00AC6FD6"/>
    <w:rsid w:val="00AD0ABB"/>
    <w:rsid w:val="00AD3267"/>
    <w:rsid w:val="00AD45AA"/>
    <w:rsid w:val="00AD620D"/>
    <w:rsid w:val="00AD7000"/>
    <w:rsid w:val="00AE0C83"/>
    <w:rsid w:val="00AE277A"/>
    <w:rsid w:val="00AE317B"/>
    <w:rsid w:val="00AE3B57"/>
    <w:rsid w:val="00AE3DB6"/>
    <w:rsid w:val="00AE5580"/>
    <w:rsid w:val="00AE69D8"/>
    <w:rsid w:val="00AE69EF"/>
    <w:rsid w:val="00AE7A39"/>
    <w:rsid w:val="00AF03DB"/>
    <w:rsid w:val="00AF1660"/>
    <w:rsid w:val="00AF476E"/>
    <w:rsid w:val="00AF4D3C"/>
    <w:rsid w:val="00B00C2F"/>
    <w:rsid w:val="00B00E5E"/>
    <w:rsid w:val="00B022FC"/>
    <w:rsid w:val="00B03B40"/>
    <w:rsid w:val="00B051F0"/>
    <w:rsid w:val="00B05204"/>
    <w:rsid w:val="00B0581D"/>
    <w:rsid w:val="00B05899"/>
    <w:rsid w:val="00B10EDD"/>
    <w:rsid w:val="00B11D2A"/>
    <w:rsid w:val="00B123DE"/>
    <w:rsid w:val="00B130AC"/>
    <w:rsid w:val="00B14375"/>
    <w:rsid w:val="00B143CC"/>
    <w:rsid w:val="00B14458"/>
    <w:rsid w:val="00B159EA"/>
    <w:rsid w:val="00B1735E"/>
    <w:rsid w:val="00B20CFD"/>
    <w:rsid w:val="00B21BF0"/>
    <w:rsid w:val="00B22675"/>
    <w:rsid w:val="00B22A07"/>
    <w:rsid w:val="00B23034"/>
    <w:rsid w:val="00B2388E"/>
    <w:rsid w:val="00B2504A"/>
    <w:rsid w:val="00B25DB8"/>
    <w:rsid w:val="00B304FE"/>
    <w:rsid w:val="00B31309"/>
    <w:rsid w:val="00B31591"/>
    <w:rsid w:val="00B32152"/>
    <w:rsid w:val="00B34286"/>
    <w:rsid w:val="00B34567"/>
    <w:rsid w:val="00B34E34"/>
    <w:rsid w:val="00B35E93"/>
    <w:rsid w:val="00B36497"/>
    <w:rsid w:val="00B4030F"/>
    <w:rsid w:val="00B42A17"/>
    <w:rsid w:val="00B439ED"/>
    <w:rsid w:val="00B44599"/>
    <w:rsid w:val="00B458C5"/>
    <w:rsid w:val="00B46B21"/>
    <w:rsid w:val="00B47994"/>
    <w:rsid w:val="00B502A3"/>
    <w:rsid w:val="00B5198D"/>
    <w:rsid w:val="00B537B1"/>
    <w:rsid w:val="00B56679"/>
    <w:rsid w:val="00B647A3"/>
    <w:rsid w:val="00B71AC2"/>
    <w:rsid w:val="00B7208C"/>
    <w:rsid w:val="00B73525"/>
    <w:rsid w:val="00B73802"/>
    <w:rsid w:val="00B73A66"/>
    <w:rsid w:val="00B77BD1"/>
    <w:rsid w:val="00B816E0"/>
    <w:rsid w:val="00B83288"/>
    <w:rsid w:val="00B835BC"/>
    <w:rsid w:val="00B842B0"/>
    <w:rsid w:val="00B84853"/>
    <w:rsid w:val="00B85CC4"/>
    <w:rsid w:val="00B86EBD"/>
    <w:rsid w:val="00B87103"/>
    <w:rsid w:val="00B900A5"/>
    <w:rsid w:val="00B903D9"/>
    <w:rsid w:val="00B9095E"/>
    <w:rsid w:val="00B91B24"/>
    <w:rsid w:val="00B95388"/>
    <w:rsid w:val="00B95DFD"/>
    <w:rsid w:val="00B95E0A"/>
    <w:rsid w:val="00B963B8"/>
    <w:rsid w:val="00B96C38"/>
    <w:rsid w:val="00BA060B"/>
    <w:rsid w:val="00BA0ADD"/>
    <w:rsid w:val="00BA2DE0"/>
    <w:rsid w:val="00BA35FA"/>
    <w:rsid w:val="00BA3621"/>
    <w:rsid w:val="00BA4381"/>
    <w:rsid w:val="00BA7418"/>
    <w:rsid w:val="00BB4024"/>
    <w:rsid w:val="00BB660B"/>
    <w:rsid w:val="00BB6922"/>
    <w:rsid w:val="00BB7D93"/>
    <w:rsid w:val="00BC28AB"/>
    <w:rsid w:val="00BC3313"/>
    <w:rsid w:val="00BC426F"/>
    <w:rsid w:val="00BC473A"/>
    <w:rsid w:val="00BC53FF"/>
    <w:rsid w:val="00BC705C"/>
    <w:rsid w:val="00BC7A3C"/>
    <w:rsid w:val="00BC7FE6"/>
    <w:rsid w:val="00BD036A"/>
    <w:rsid w:val="00BD080B"/>
    <w:rsid w:val="00BD20AA"/>
    <w:rsid w:val="00BD2BE9"/>
    <w:rsid w:val="00BD4477"/>
    <w:rsid w:val="00BD5AAA"/>
    <w:rsid w:val="00BD7057"/>
    <w:rsid w:val="00BE0E65"/>
    <w:rsid w:val="00BE106B"/>
    <w:rsid w:val="00BE259E"/>
    <w:rsid w:val="00BE3427"/>
    <w:rsid w:val="00BE3B9F"/>
    <w:rsid w:val="00BE666B"/>
    <w:rsid w:val="00BE6878"/>
    <w:rsid w:val="00BF1FBA"/>
    <w:rsid w:val="00BF1FE7"/>
    <w:rsid w:val="00BF203A"/>
    <w:rsid w:val="00BF45D3"/>
    <w:rsid w:val="00BF52BE"/>
    <w:rsid w:val="00BF6A69"/>
    <w:rsid w:val="00BF74E8"/>
    <w:rsid w:val="00C005FF"/>
    <w:rsid w:val="00C00776"/>
    <w:rsid w:val="00C00DE0"/>
    <w:rsid w:val="00C0147D"/>
    <w:rsid w:val="00C01D99"/>
    <w:rsid w:val="00C02253"/>
    <w:rsid w:val="00C03E35"/>
    <w:rsid w:val="00C040A7"/>
    <w:rsid w:val="00C057A1"/>
    <w:rsid w:val="00C05C31"/>
    <w:rsid w:val="00C0683B"/>
    <w:rsid w:val="00C07F27"/>
    <w:rsid w:val="00C10C01"/>
    <w:rsid w:val="00C1460D"/>
    <w:rsid w:val="00C14F4C"/>
    <w:rsid w:val="00C159FF"/>
    <w:rsid w:val="00C20570"/>
    <w:rsid w:val="00C21775"/>
    <w:rsid w:val="00C22D06"/>
    <w:rsid w:val="00C22E4E"/>
    <w:rsid w:val="00C22F69"/>
    <w:rsid w:val="00C2348B"/>
    <w:rsid w:val="00C234C0"/>
    <w:rsid w:val="00C2440A"/>
    <w:rsid w:val="00C25097"/>
    <w:rsid w:val="00C25125"/>
    <w:rsid w:val="00C26887"/>
    <w:rsid w:val="00C27FDF"/>
    <w:rsid w:val="00C31E3C"/>
    <w:rsid w:val="00C33D57"/>
    <w:rsid w:val="00C363E5"/>
    <w:rsid w:val="00C36BB8"/>
    <w:rsid w:val="00C4162E"/>
    <w:rsid w:val="00C41915"/>
    <w:rsid w:val="00C4265A"/>
    <w:rsid w:val="00C43024"/>
    <w:rsid w:val="00C4366C"/>
    <w:rsid w:val="00C44FC7"/>
    <w:rsid w:val="00C4588A"/>
    <w:rsid w:val="00C45CF0"/>
    <w:rsid w:val="00C45F7E"/>
    <w:rsid w:val="00C4686F"/>
    <w:rsid w:val="00C5026F"/>
    <w:rsid w:val="00C5093C"/>
    <w:rsid w:val="00C50C20"/>
    <w:rsid w:val="00C54F58"/>
    <w:rsid w:val="00C54F67"/>
    <w:rsid w:val="00C55433"/>
    <w:rsid w:val="00C55AF3"/>
    <w:rsid w:val="00C56FB1"/>
    <w:rsid w:val="00C62FF0"/>
    <w:rsid w:val="00C63FF4"/>
    <w:rsid w:val="00C662C2"/>
    <w:rsid w:val="00C6701E"/>
    <w:rsid w:val="00C6749E"/>
    <w:rsid w:val="00C67E13"/>
    <w:rsid w:val="00C72645"/>
    <w:rsid w:val="00C728F2"/>
    <w:rsid w:val="00C729F0"/>
    <w:rsid w:val="00C72BD7"/>
    <w:rsid w:val="00C74CBB"/>
    <w:rsid w:val="00C75B85"/>
    <w:rsid w:val="00C774CE"/>
    <w:rsid w:val="00C77EFE"/>
    <w:rsid w:val="00C82C27"/>
    <w:rsid w:val="00C84D57"/>
    <w:rsid w:val="00C85675"/>
    <w:rsid w:val="00C87432"/>
    <w:rsid w:val="00C913C3"/>
    <w:rsid w:val="00C9310E"/>
    <w:rsid w:val="00C941CE"/>
    <w:rsid w:val="00C951DC"/>
    <w:rsid w:val="00C9617A"/>
    <w:rsid w:val="00C968CF"/>
    <w:rsid w:val="00CA05B9"/>
    <w:rsid w:val="00CA0FAF"/>
    <w:rsid w:val="00CA2D6A"/>
    <w:rsid w:val="00CA31E6"/>
    <w:rsid w:val="00CA5103"/>
    <w:rsid w:val="00CA6EC9"/>
    <w:rsid w:val="00CB05F4"/>
    <w:rsid w:val="00CB0764"/>
    <w:rsid w:val="00CB0B4A"/>
    <w:rsid w:val="00CB17BC"/>
    <w:rsid w:val="00CB2620"/>
    <w:rsid w:val="00CB3699"/>
    <w:rsid w:val="00CB552D"/>
    <w:rsid w:val="00CB7318"/>
    <w:rsid w:val="00CB76E4"/>
    <w:rsid w:val="00CC0C8F"/>
    <w:rsid w:val="00CC1608"/>
    <w:rsid w:val="00CC2D63"/>
    <w:rsid w:val="00CC40D7"/>
    <w:rsid w:val="00CC479D"/>
    <w:rsid w:val="00CC5434"/>
    <w:rsid w:val="00CD180C"/>
    <w:rsid w:val="00CD203A"/>
    <w:rsid w:val="00CD66C8"/>
    <w:rsid w:val="00CD6EA1"/>
    <w:rsid w:val="00CD7881"/>
    <w:rsid w:val="00CD7997"/>
    <w:rsid w:val="00CD7FFA"/>
    <w:rsid w:val="00CE000D"/>
    <w:rsid w:val="00CE02DC"/>
    <w:rsid w:val="00CE0F1E"/>
    <w:rsid w:val="00CE1CC2"/>
    <w:rsid w:val="00CE31AA"/>
    <w:rsid w:val="00CE3F49"/>
    <w:rsid w:val="00CE49CF"/>
    <w:rsid w:val="00CE5E3C"/>
    <w:rsid w:val="00CE6176"/>
    <w:rsid w:val="00CF0D55"/>
    <w:rsid w:val="00CF217F"/>
    <w:rsid w:val="00CF244B"/>
    <w:rsid w:val="00CF3531"/>
    <w:rsid w:val="00CF7610"/>
    <w:rsid w:val="00D000A7"/>
    <w:rsid w:val="00D0070C"/>
    <w:rsid w:val="00D009B5"/>
    <w:rsid w:val="00D0126E"/>
    <w:rsid w:val="00D01634"/>
    <w:rsid w:val="00D04805"/>
    <w:rsid w:val="00D04AE8"/>
    <w:rsid w:val="00D060CA"/>
    <w:rsid w:val="00D06296"/>
    <w:rsid w:val="00D106F5"/>
    <w:rsid w:val="00D115ED"/>
    <w:rsid w:val="00D125A4"/>
    <w:rsid w:val="00D14CF0"/>
    <w:rsid w:val="00D15A19"/>
    <w:rsid w:val="00D167D9"/>
    <w:rsid w:val="00D2186F"/>
    <w:rsid w:val="00D228D8"/>
    <w:rsid w:val="00D22DA0"/>
    <w:rsid w:val="00D24037"/>
    <w:rsid w:val="00D24318"/>
    <w:rsid w:val="00D26186"/>
    <w:rsid w:val="00D261D6"/>
    <w:rsid w:val="00D27854"/>
    <w:rsid w:val="00D312FA"/>
    <w:rsid w:val="00D329BC"/>
    <w:rsid w:val="00D33189"/>
    <w:rsid w:val="00D33D0C"/>
    <w:rsid w:val="00D34DC5"/>
    <w:rsid w:val="00D35FA0"/>
    <w:rsid w:val="00D36E07"/>
    <w:rsid w:val="00D4075C"/>
    <w:rsid w:val="00D46594"/>
    <w:rsid w:val="00D501E5"/>
    <w:rsid w:val="00D50226"/>
    <w:rsid w:val="00D50C74"/>
    <w:rsid w:val="00D543CA"/>
    <w:rsid w:val="00D557A3"/>
    <w:rsid w:val="00D55D7D"/>
    <w:rsid w:val="00D564DE"/>
    <w:rsid w:val="00D57EF8"/>
    <w:rsid w:val="00D602CA"/>
    <w:rsid w:val="00D60A21"/>
    <w:rsid w:val="00D61F64"/>
    <w:rsid w:val="00D63C7C"/>
    <w:rsid w:val="00D64187"/>
    <w:rsid w:val="00D65957"/>
    <w:rsid w:val="00D66BA9"/>
    <w:rsid w:val="00D67C5D"/>
    <w:rsid w:val="00D70929"/>
    <w:rsid w:val="00D71EFC"/>
    <w:rsid w:val="00D72D2B"/>
    <w:rsid w:val="00D74325"/>
    <w:rsid w:val="00D767D6"/>
    <w:rsid w:val="00D77360"/>
    <w:rsid w:val="00D82447"/>
    <w:rsid w:val="00D8260B"/>
    <w:rsid w:val="00D83DD6"/>
    <w:rsid w:val="00D84111"/>
    <w:rsid w:val="00D85354"/>
    <w:rsid w:val="00D853CA"/>
    <w:rsid w:val="00D9124B"/>
    <w:rsid w:val="00D927A5"/>
    <w:rsid w:val="00D9454A"/>
    <w:rsid w:val="00D9477A"/>
    <w:rsid w:val="00D96083"/>
    <w:rsid w:val="00DA0790"/>
    <w:rsid w:val="00DA6DCB"/>
    <w:rsid w:val="00DA7B22"/>
    <w:rsid w:val="00DB08C6"/>
    <w:rsid w:val="00DB23FD"/>
    <w:rsid w:val="00DB39EE"/>
    <w:rsid w:val="00DC0659"/>
    <w:rsid w:val="00DC3031"/>
    <w:rsid w:val="00DC38DF"/>
    <w:rsid w:val="00DC48DA"/>
    <w:rsid w:val="00DC4BEC"/>
    <w:rsid w:val="00DC524A"/>
    <w:rsid w:val="00DC70B6"/>
    <w:rsid w:val="00DD042B"/>
    <w:rsid w:val="00DD125D"/>
    <w:rsid w:val="00DD362A"/>
    <w:rsid w:val="00DD3E6B"/>
    <w:rsid w:val="00DD733A"/>
    <w:rsid w:val="00DE17BD"/>
    <w:rsid w:val="00DE2654"/>
    <w:rsid w:val="00DE4754"/>
    <w:rsid w:val="00DE4CD6"/>
    <w:rsid w:val="00DE55F8"/>
    <w:rsid w:val="00DE5F0E"/>
    <w:rsid w:val="00DF10A5"/>
    <w:rsid w:val="00DF4387"/>
    <w:rsid w:val="00DF43EE"/>
    <w:rsid w:val="00DF4FE2"/>
    <w:rsid w:val="00DF5E96"/>
    <w:rsid w:val="00DF7498"/>
    <w:rsid w:val="00E00807"/>
    <w:rsid w:val="00E00BDC"/>
    <w:rsid w:val="00E017D8"/>
    <w:rsid w:val="00E04298"/>
    <w:rsid w:val="00E05332"/>
    <w:rsid w:val="00E11622"/>
    <w:rsid w:val="00E125DE"/>
    <w:rsid w:val="00E1283D"/>
    <w:rsid w:val="00E14563"/>
    <w:rsid w:val="00E17946"/>
    <w:rsid w:val="00E210C9"/>
    <w:rsid w:val="00E21AEE"/>
    <w:rsid w:val="00E226EB"/>
    <w:rsid w:val="00E22FF9"/>
    <w:rsid w:val="00E23A58"/>
    <w:rsid w:val="00E24573"/>
    <w:rsid w:val="00E248B1"/>
    <w:rsid w:val="00E25785"/>
    <w:rsid w:val="00E26494"/>
    <w:rsid w:val="00E26F12"/>
    <w:rsid w:val="00E2791F"/>
    <w:rsid w:val="00E27C90"/>
    <w:rsid w:val="00E3130F"/>
    <w:rsid w:val="00E314F1"/>
    <w:rsid w:val="00E31F3E"/>
    <w:rsid w:val="00E330B6"/>
    <w:rsid w:val="00E37CA6"/>
    <w:rsid w:val="00E400C5"/>
    <w:rsid w:val="00E404AE"/>
    <w:rsid w:val="00E43116"/>
    <w:rsid w:val="00E45657"/>
    <w:rsid w:val="00E45AB2"/>
    <w:rsid w:val="00E46118"/>
    <w:rsid w:val="00E47EAE"/>
    <w:rsid w:val="00E51DDA"/>
    <w:rsid w:val="00E51FD9"/>
    <w:rsid w:val="00E53177"/>
    <w:rsid w:val="00E534DD"/>
    <w:rsid w:val="00E54541"/>
    <w:rsid w:val="00E56132"/>
    <w:rsid w:val="00E603EE"/>
    <w:rsid w:val="00E614A8"/>
    <w:rsid w:val="00E6488B"/>
    <w:rsid w:val="00E64F27"/>
    <w:rsid w:val="00E6522E"/>
    <w:rsid w:val="00E66275"/>
    <w:rsid w:val="00E66FC7"/>
    <w:rsid w:val="00E671C7"/>
    <w:rsid w:val="00E67327"/>
    <w:rsid w:val="00E70415"/>
    <w:rsid w:val="00E71968"/>
    <w:rsid w:val="00E71B95"/>
    <w:rsid w:val="00E71E62"/>
    <w:rsid w:val="00E72FAB"/>
    <w:rsid w:val="00E735B6"/>
    <w:rsid w:val="00E757D5"/>
    <w:rsid w:val="00E75E0D"/>
    <w:rsid w:val="00E76637"/>
    <w:rsid w:val="00E7687A"/>
    <w:rsid w:val="00E77DE7"/>
    <w:rsid w:val="00E810CB"/>
    <w:rsid w:val="00E817AF"/>
    <w:rsid w:val="00E818A5"/>
    <w:rsid w:val="00E8635E"/>
    <w:rsid w:val="00E908C3"/>
    <w:rsid w:val="00E933E1"/>
    <w:rsid w:val="00EA02BB"/>
    <w:rsid w:val="00EA1518"/>
    <w:rsid w:val="00EA1DE5"/>
    <w:rsid w:val="00EA24E5"/>
    <w:rsid w:val="00EA26EB"/>
    <w:rsid w:val="00EA38F8"/>
    <w:rsid w:val="00EA392C"/>
    <w:rsid w:val="00EA423A"/>
    <w:rsid w:val="00EA4E41"/>
    <w:rsid w:val="00EA5D1E"/>
    <w:rsid w:val="00EA68CA"/>
    <w:rsid w:val="00EB0111"/>
    <w:rsid w:val="00EB1075"/>
    <w:rsid w:val="00EB2A9B"/>
    <w:rsid w:val="00EB2D19"/>
    <w:rsid w:val="00EB306F"/>
    <w:rsid w:val="00EB4739"/>
    <w:rsid w:val="00EB5168"/>
    <w:rsid w:val="00EB6CFC"/>
    <w:rsid w:val="00EB792C"/>
    <w:rsid w:val="00EC1F95"/>
    <w:rsid w:val="00EC246D"/>
    <w:rsid w:val="00EC2CB4"/>
    <w:rsid w:val="00EC3521"/>
    <w:rsid w:val="00EC4FDF"/>
    <w:rsid w:val="00EC533F"/>
    <w:rsid w:val="00EC738E"/>
    <w:rsid w:val="00ED0238"/>
    <w:rsid w:val="00ED0D26"/>
    <w:rsid w:val="00ED2FD9"/>
    <w:rsid w:val="00ED413F"/>
    <w:rsid w:val="00ED4FBD"/>
    <w:rsid w:val="00ED53A7"/>
    <w:rsid w:val="00ED7E2A"/>
    <w:rsid w:val="00EE050E"/>
    <w:rsid w:val="00EE053F"/>
    <w:rsid w:val="00EE1906"/>
    <w:rsid w:val="00EE20F9"/>
    <w:rsid w:val="00EE2ECF"/>
    <w:rsid w:val="00EE3F5B"/>
    <w:rsid w:val="00EE5706"/>
    <w:rsid w:val="00EE5831"/>
    <w:rsid w:val="00EE7109"/>
    <w:rsid w:val="00EE780D"/>
    <w:rsid w:val="00EE7B43"/>
    <w:rsid w:val="00EF0EC7"/>
    <w:rsid w:val="00EF21A6"/>
    <w:rsid w:val="00EF2573"/>
    <w:rsid w:val="00EF4179"/>
    <w:rsid w:val="00EF48B8"/>
    <w:rsid w:val="00EF48CF"/>
    <w:rsid w:val="00EF7A05"/>
    <w:rsid w:val="00F00121"/>
    <w:rsid w:val="00F0014F"/>
    <w:rsid w:val="00F0022A"/>
    <w:rsid w:val="00F003DF"/>
    <w:rsid w:val="00F003F3"/>
    <w:rsid w:val="00F0069C"/>
    <w:rsid w:val="00F01E3C"/>
    <w:rsid w:val="00F04254"/>
    <w:rsid w:val="00F05752"/>
    <w:rsid w:val="00F06EC0"/>
    <w:rsid w:val="00F07A1D"/>
    <w:rsid w:val="00F10024"/>
    <w:rsid w:val="00F118A4"/>
    <w:rsid w:val="00F11CD5"/>
    <w:rsid w:val="00F151E3"/>
    <w:rsid w:val="00F15990"/>
    <w:rsid w:val="00F23079"/>
    <w:rsid w:val="00F2325D"/>
    <w:rsid w:val="00F24B17"/>
    <w:rsid w:val="00F257AE"/>
    <w:rsid w:val="00F2604F"/>
    <w:rsid w:val="00F264BA"/>
    <w:rsid w:val="00F308E3"/>
    <w:rsid w:val="00F31112"/>
    <w:rsid w:val="00F316AC"/>
    <w:rsid w:val="00F3306E"/>
    <w:rsid w:val="00F34A36"/>
    <w:rsid w:val="00F34AF4"/>
    <w:rsid w:val="00F34D61"/>
    <w:rsid w:val="00F40288"/>
    <w:rsid w:val="00F405ED"/>
    <w:rsid w:val="00F4105E"/>
    <w:rsid w:val="00F4249C"/>
    <w:rsid w:val="00F42AB5"/>
    <w:rsid w:val="00F436C5"/>
    <w:rsid w:val="00F442BF"/>
    <w:rsid w:val="00F444E0"/>
    <w:rsid w:val="00F453C9"/>
    <w:rsid w:val="00F454C9"/>
    <w:rsid w:val="00F46234"/>
    <w:rsid w:val="00F46988"/>
    <w:rsid w:val="00F47044"/>
    <w:rsid w:val="00F47066"/>
    <w:rsid w:val="00F53CFF"/>
    <w:rsid w:val="00F542C6"/>
    <w:rsid w:val="00F56238"/>
    <w:rsid w:val="00F574A5"/>
    <w:rsid w:val="00F60261"/>
    <w:rsid w:val="00F63ADC"/>
    <w:rsid w:val="00F64FDF"/>
    <w:rsid w:val="00F66340"/>
    <w:rsid w:val="00F6661E"/>
    <w:rsid w:val="00F66EF7"/>
    <w:rsid w:val="00F67D01"/>
    <w:rsid w:val="00F71F24"/>
    <w:rsid w:val="00F72DE8"/>
    <w:rsid w:val="00F74448"/>
    <w:rsid w:val="00F7492B"/>
    <w:rsid w:val="00F76064"/>
    <w:rsid w:val="00F801D3"/>
    <w:rsid w:val="00F86F1F"/>
    <w:rsid w:val="00F90EDF"/>
    <w:rsid w:val="00F91050"/>
    <w:rsid w:val="00F91A44"/>
    <w:rsid w:val="00F92B02"/>
    <w:rsid w:val="00F95A55"/>
    <w:rsid w:val="00F96036"/>
    <w:rsid w:val="00F97669"/>
    <w:rsid w:val="00FA086E"/>
    <w:rsid w:val="00FA286B"/>
    <w:rsid w:val="00FA30B0"/>
    <w:rsid w:val="00FA387B"/>
    <w:rsid w:val="00FA3A45"/>
    <w:rsid w:val="00FA4599"/>
    <w:rsid w:val="00FA4889"/>
    <w:rsid w:val="00FA71F8"/>
    <w:rsid w:val="00FA7AEA"/>
    <w:rsid w:val="00FB0135"/>
    <w:rsid w:val="00FB12CD"/>
    <w:rsid w:val="00FB1368"/>
    <w:rsid w:val="00FB2530"/>
    <w:rsid w:val="00FB394D"/>
    <w:rsid w:val="00FB5181"/>
    <w:rsid w:val="00FB64CB"/>
    <w:rsid w:val="00FC08E3"/>
    <w:rsid w:val="00FC1C20"/>
    <w:rsid w:val="00FC1C46"/>
    <w:rsid w:val="00FC24C1"/>
    <w:rsid w:val="00FC64CB"/>
    <w:rsid w:val="00FC669E"/>
    <w:rsid w:val="00FC7C24"/>
    <w:rsid w:val="00FD315B"/>
    <w:rsid w:val="00FD38C3"/>
    <w:rsid w:val="00FD47DC"/>
    <w:rsid w:val="00FD4D4A"/>
    <w:rsid w:val="00FD50CB"/>
    <w:rsid w:val="00FD525F"/>
    <w:rsid w:val="00FD692D"/>
    <w:rsid w:val="00FE06AD"/>
    <w:rsid w:val="00FE0DCE"/>
    <w:rsid w:val="00FE1751"/>
    <w:rsid w:val="00FE6C7A"/>
    <w:rsid w:val="00FF0397"/>
    <w:rsid w:val="00FF04DA"/>
    <w:rsid w:val="00FF1898"/>
    <w:rsid w:val="00FF2CC2"/>
    <w:rsid w:val="00FF3CA5"/>
    <w:rsid w:val="00FF4080"/>
    <w:rsid w:val="00FF4AA9"/>
    <w:rsid w:val="00FF4C8E"/>
    <w:rsid w:val="00FF729E"/>
    <w:rsid w:val="00FF7FFC"/>
    <w:rsid w:val="01484ABD"/>
    <w:rsid w:val="01D134FA"/>
    <w:rsid w:val="01DA3585"/>
    <w:rsid w:val="02AE55E9"/>
    <w:rsid w:val="02B44AB4"/>
    <w:rsid w:val="02DA018C"/>
    <w:rsid w:val="034026E5"/>
    <w:rsid w:val="03561F09"/>
    <w:rsid w:val="03942A31"/>
    <w:rsid w:val="03A32151"/>
    <w:rsid w:val="03C50E3C"/>
    <w:rsid w:val="043D6C25"/>
    <w:rsid w:val="051F4CBF"/>
    <w:rsid w:val="057C377D"/>
    <w:rsid w:val="05B35B63"/>
    <w:rsid w:val="05B66C8F"/>
    <w:rsid w:val="05E4213E"/>
    <w:rsid w:val="06562220"/>
    <w:rsid w:val="069C40D7"/>
    <w:rsid w:val="07057966"/>
    <w:rsid w:val="07267E44"/>
    <w:rsid w:val="07DF7C06"/>
    <w:rsid w:val="08183C31"/>
    <w:rsid w:val="08401BD6"/>
    <w:rsid w:val="085D1644"/>
    <w:rsid w:val="08805332"/>
    <w:rsid w:val="08E76D5A"/>
    <w:rsid w:val="08EC0C19"/>
    <w:rsid w:val="091772A2"/>
    <w:rsid w:val="09615163"/>
    <w:rsid w:val="0A2E2D1E"/>
    <w:rsid w:val="0A4D3E16"/>
    <w:rsid w:val="0A680E55"/>
    <w:rsid w:val="0A7E6870"/>
    <w:rsid w:val="0A942F35"/>
    <w:rsid w:val="0AAE6186"/>
    <w:rsid w:val="0AD33E3F"/>
    <w:rsid w:val="0AE011B0"/>
    <w:rsid w:val="0B1B1342"/>
    <w:rsid w:val="0B293A5F"/>
    <w:rsid w:val="0B40583E"/>
    <w:rsid w:val="0B4F0EBC"/>
    <w:rsid w:val="0B8B290F"/>
    <w:rsid w:val="0C1C5B5E"/>
    <w:rsid w:val="0C5E75FA"/>
    <w:rsid w:val="0D46352A"/>
    <w:rsid w:val="0D602253"/>
    <w:rsid w:val="0E21353B"/>
    <w:rsid w:val="0E6321E9"/>
    <w:rsid w:val="0E912047"/>
    <w:rsid w:val="0F7E6283"/>
    <w:rsid w:val="0FD06B9F"/>
    <w:rsid w:val="10637A13"/>
    <w:rsid w:val="10775B28"/>
    <w:rsid w:val="10841567"/>
    <w:rsid w:val="111D7BC2"/>
    <w:rsid w:val="1122167C"/>
    <w:rsid w:val="11625DC1"/>
    <w:rsid w:val="11836198"/>
    <w:rsid w:val="11953177"/>
    <w:rsid w:val="12931A43"/>
    <w:rsid w:val="13143247"/>
    <w:rsid w:val="13337B71"/>
    <w:rsid w:val="13352B8C"/>
    <w:rsid w:val="133A673D"/>
    <w:rsid w:val="13954387"/>
    <w:rsid w:val="13BA3DEE"/>
    <w:rsid w:val="13EC2BEC"/>
    <w:rsid w:val="13F53078"/>
    <w:rsid w:val="141C258C"/>
    <w:rsid w:val="146B6E96"/>
    <w:rsid w:val="14BC5091"/>
    <w:rsid w:val="14C91E0F"/>
    <w:rsid w:val="15022718"/>
    <w:rsid w:val="15542020"/>
    <w:rsid w:val="155E69FB"/>
    <w:rsid w:val="15A703A2"/>
    <w:rsid w:val="15FA6724"/>
    <w:rsid w:val="16C14AA9"/>
    <w:rsid w:val="172B2AF8"/>
    <w:rsid w:val="17426602"/>
    <w:rsid w:val="17942BA8"/>
    <w:rsid w:val="17E47920"/>
    <w:rsid w:val="18115FA7"/>
    <w:rsid w:val="18455F3D"/>
    <w:rsid w:val="18495740"/>
    <w:rsid w:val="18C80D5B"/>
    <w:rsid w:val="19C857A0"/>
    <w:rsid w:val="19F94F44"/>
    <w:rsid w:val="1A1B310D"/>
    <w:rsid w:val="1A562397"/>
    <w:rsid w:val="1A7171D0"/>
    <w:rsid w:val="1AC9081A"/>
    <w:rsid w:val="1ADC30CC"/>
    <w:rsid w:val="1AF20311"/>
    <w:rsid w:val="1B19589E"/>
    <w:rsid w:val="1B3A75C2"/>
    <w:rsid w:val="1B6C5E15"/>
    <w:rsid w:val="1C2F704B"/>
    <w:rsid w:val="1C330677"/>
    <w:rsid w:val="1C7865F4"/>
    <w:rsid w:val="1CA52338"/>
    <w:rsid w:val="1CD81789"/>
    <w:rsid w:val="1CEB47D9"/>
    <w:rsid w:val="1CF77E61"/>
    <w:rsid w:val="1D4961E3"/>
    <w:rsid w:val="1D4C1EFF"/>
    <w:rsid w:val="1D71656A"/>
    <w:rsid w:val="1E27187A"/>
    <w:rsid w:val="1E4A0464"/>
    <w:rsid w:val="1E513FF3"/>
    <w:rsid w:val="1E6E2AC4"/>
    <w:rsid w:val="1EB3600A"/>
    <w:rsid w:val="1F4F7E1F"/>
    <w:rsid w:val="1F5D2893"/>
    <w:rsid w:val="1F841754"/>
    <w:rsid w:val="1FF236DB"/>
    <w:rsid w:val="1FFB7C68"/>
    <w:rsid w:val="200B2564"/>
    <w:rsid w:val="21244775"/>
    <w:rsid w:val="21B207FA"/>
    <w:rsid w:val="21ED35E0"/>
    <w:rsid w:val="223B259E"/>
    <w:rsid w:val="228C6EF6"/>
    <w:rsid w:val="22DA20BB"/>
    <w:rsid w:val="22F11171"/>
    <w:rsid w:val="23076F50"/>
    <w:rsid w:val="23502079"/>
    <w:rsid w:val="23F92711"/>
    <w:rsid w:val="241810C1"/>
    <w:rsid w:val="24343749"/>
    <w:rsid w:val="24B71E88"/>
    <w:rsid w:val="24C13991"/>
    <w:rsid w:val="252C2672"/>
    <w:rsid w:val="25B20DC9"/>
    <w:rsid w:val="25BB6651"/>
    <w:rsid w:val="26125743"/>
    <w:rsid w:val="26F23447"/>
    <w:rsid w:val="277A214A"/>
    <w:rsid w:val="2866491E"/>
    <w:rsid w:val="28FB4835"/>
    <w:rsid w:val="28FC461D"/>
    <w:rsid w:val="290A2CCA"/>
    <w:rsid w:val="29656152"/>
    <w:rsid w:val="29BB3FC4"/>
    <w:rsid w:val="29BE6AD0"/>
    <w:rsid w:val="2A3D0E7D"/>
    <w:rsid w:val="2A420242"/>
    <w:rsid w:val="2AF43C32"/>
    <w:rsid w:val="2BCF1FA9"/>
    <w:rsid w:val="2C923702"/>
    <w:rsid w:val="2C9F5E1F"/>
    <w:rsid w:val="2D3622E0"/>
    <w:rsid w:val="2D3C541C"/>
    <w:rsid w:val="2D6B7AAF"/>
    <w:rsid w:val="2E7C3929"/>
    <w:rsid w:val="2EEE0998"/>
    <w:rsid w:val="321F28F3"/>
    <w:rsid w:val="32D3237F"/>
    <w:rsid w:val="330C763F"/>
    <w:rsid w:val="335A2AA0"/>
    <w:rsid w:val="339C4E66"/>
    <w:rsid w:val="34A14AA6"/>
    <w:rsid w:val="34E268A9"/>
    <w:rsid w:val="351E1E02"/>
    <w:rsid w:val="35216984"/>
    <w:rsid w:val="35307067"/>
    <w:rsid w:val="358E5B04"/>
    <w:rsid w:val="35912868"/>
    <w:rsid w:val="360B1E2F"/>
    <w:rsid w:val="3639699D"/>
    <w:rsid w:val="36631C6B"/>
    <w:rsid w:val="368A369C"/>
    <w:rsid w:val="36F95B75"/>
    <w:rsid w:val="37092813"/>
    <w:rsid w:val="374B6987"/>
    <w:rsid w:val="37A83DDA"/>
    <w:rsid w:val="37DD1B17"/>
    <w:rsid w:val="38312021"/>
    <w:rsid w:val="384749E2"/>
    <w:rsid w:val="391F631E"/>
    <w:rsid w:val="39665CFB"/>
    <w:rsid w:val="398352EA"/>
    <w:rsid w:val="39A015B6"/>
    <w:rsid w:val="39A71E6F"/>
    <w:rsid w:val="39F94DC1"/>
    <w:rsid w:val="3A2D5C58"/>
    <w:rsid w:val="3A2D6818"/>
    <w:rsid w:val="3A573895"/>
    <w:rsid w:val="3B070E17"/>
    <w:rsid w:val="3B0A6B5A"/>
    <w:rsid w:val="3B141B02"/>
    <w:rsid w:val="3BB53761"/>
    <w:rsid w:val="3C27003F"/>
    <w:rsid w:val="3C47079A"/>
    <w:rsid w:val="3CC2593E"/>
    <w:rsid w:val="3CC33464"/>
    <w:rsid w:val="3D801355"/>
    <w:rsid w:val="3E29379B"/>
    <w:rsid w:val="3E8D1BB6"/>
    <w:rsid w:val="3F1F4E57"/>
    <w:rsid w:val="3F3C70BB"/>
    <w:rsid w:val="3FC96659"/>
    <w:rsid w:val="401D732F"/>
    <w:rsid w:val="40893A08"/>
    <w:rsid w:val="410700C1"/>
    <w:rsid w:val="41517290"/>
    <w:rsid w:val="41D721E6"/>
    <w:rsid w:val="42446DF5"/>
    <w:rsid w:val="42777D8C"/>
    <w:rsid w:val="43233385"/>
    <w:rsid w:val="43741014"/>
    <w:rsid w:val="43C55D14"/>
    <w:rsid w:val="43CF3F4E"/>
    <w:rsid w:val="44017717"/>
    <w:rsid w:val="443A225E"/>
    <w:rsid w:val="44953938"/>
    <w:rsid w:val="44D2693A"/>
    <w:rsid w:val="44D46029"/>
    <w:rsid w:val="450B3BFA"/>
    <w:rsid w:val="455A248C"/>
    <w:rsid w:val="455F15D9"/>
    <w:rsid w:val="45B65867"/>
    <w:rsid w:val="463E3B5B"/>
    <w:rsid w:val="4646138E"/>
    <w:rsid w:val="468974CC"/>
    <w:rsid w:val="468D2805"/>
    <w:rsid w:val="469D6AD4"/>
    <w:rsid w:val="46FC4F2D"/>
    <w:rsid w:val="47484C91"/>
    <w:rsid w:val="47863A0C"/>
    <w:rsid w:val="47D12ED9"/>
    <w:rsid w:val="47D84FA9"/>
    <w:rsid w:val="47DC362C"/>
    <w:rsid w:val="480037BE"/>
    <w:rsid w:val="482E20D9"/>
    <w:rsid w:val="48BB76E5"/>
    <w:rsid w:val="48CC18F2"/>
    <w:rsid w:val="49283241"/>
    <w:rsid w:val="49465201"/>
    <w:rsid w:val="49494CF1"/>
    <w:rsid w:val="49685044"/>
    <w:rsid w:val="499F0DB5"/>
    <w:rsid w:val="49C5433C"/>
    <w:rsid w:val="4A8A3270"/>
    <w:rsid w:val="4AC95734"/>
    <w:rsid w:val="4AD940A8"/>
    <w:rsid w:val="4ADA02F6"/>
    <w:rsid w:val="4C660D11"/>
    <w:rsid w:val="4CCF550D"/>
    <w:rsid w:val="4CF03E01"/>
    <w:rsid w:val="4D113D78"/>
    <w:rsid w:val="4DB357B9"/>
    <w:rsid w:val="4DF76467"/>
    <w:rsid w:val="4E094A4F"/>
    <w:rsid w:val="4EEC0718"/>
    <w:rsid w:val="4F245FE4"/>
    <w:rsid w:val="4F5663A6"/>
    <w:rsid w:val="4F65535D"/>
    <w:rsid w:val="502A24C2"/>
    <w:rsid w:val="50D13879"/>
    <w:rsid w:val="51894824"/>
    <w:rsid w:val="521450B8"/>
    <w:rsid w:val="52FC165E"/>
    <w:rsid w:val="533A799C"/>
    <w:rsid w:val="54040192"/>
    <w:rsid w:val="542C587B"/>
    <w:rsid w:val="544103A3"/>
    <w:rsid w:val="54640C31"/>
    <w:rsid w:val="54BA77D7"/>
    <w:rsid w:val="54ED0D18"/>
    <w:rsid w:val="551F7236"/>
    <w:rsid w:val="55514116"/>
    <w:rsid w:val="55CC3212"/>
    <w:rsid w:val="55CC4CE0"/>
    <w:rsid w:val="55D41DE6"/>
    <w:rsid w:val="569F05C6"/>
    <w:rsid w:val="56B858CA"/>
    <w:rsid w:val="56D33994"/>
    <w:rsid w:val="56E755A0"/>
    <w:rsid w:val="571F7091"/>
    <w:rsid w:val="573E1C0D"/>
    <w:rsid w:val="578C0BCA"/>
    <w:rsid w:val="57B65C47"/>
    <w:rsid w:val="57C6225F"/>
    <w:rsid w:val="57C76067"/>
    <w:rsid w:val="58093FC9"/>
    <w:rsid w:val="58DA7713"/>
    <w:rsid w:val="58FA7DB6"/>
    <w:rsid w:val="59367040"/>
    <w:rsid w:val="59B241EC"/>
    <w:rsid w:val="5ABB6E4F"/>
    <w:rsid w:val="5B02096B"/>
    <w:rsid w:val="5B1E7D8B"/>
    <w:rsid w:val="5B765E19"/>
    <w:rsid w:val="5BF907F8"/>
    <w:rsid w:val="5C65278F"/>
    <w:rsid w:val="5C9F314E"/>
    <w:rsid w:val="5E045F07"/>
    <w:rsid w:val="5E165E99"/>
    <w:rsid w:val="5E427066"/>
    <w:rsid w:val="5E8C325E"/>
    <w:rsid w:val="5F0279C4"/>
    <w:rsid w:val="5F125E59"/>
    <w:rsid w:val="5F530220"/>
    <w:rsid w:val="60114363"/>
    <w:rsid w:val="608508AD"/>
    <w:rsid w:val="608E0ADF"/>
    <w:rsid w:val="60983192"/>
    <w:rsid w:val="60C72C73"/>
    <w:rsid w:val="60D35E71"/>
    <w:rsid w:val="61BA27D8"/>
    <w:rsid w:val="61C3168D"/>
    <w:rsid w:val="61DF188E"/>
    <w:rsid w:val="61DF3FED"/>
    <w:rsid w:val="624B51DE"/>
    <w:rsid w:val="62A34EDD"/>
    <w:rsid w:val="636F7240"/>
    <w:rsid w:val="639E3FE1"/>
    <w:rsid w:val="649317EA"/>
    <w:rsid w:val="64973772"/>
    <w:rsid w:val="64DE5ADA"/>
    <w:rsid w:val="65606335"/>
    <w:rsid w:val="66112985"/>
    <w:rsid w:val="6654397F"/>
    <w:rsid w:val="66C35C8B"/>
    <w:rsid w:val="66D9725C"/>
    <w:rsid w:val="66E300DB"/>
    <w:rsid w:val="671F55B7"/>
    <w:rsid w:val="672E61E6"/>
    <w:rsid w:val="67401A64"/>
    <w:rsid w:val="676C00D0"/>
    <w:rsid w:val="67705E13"/>
    <w:rsid w:val="67E55CCA"/>
    <w:rsid w:val="685F20A2"/>
    <w:rsid w:val="685F7C35"/>
    <w:rsid w:val="6861575B"/>
    <w:rsid w:val="687B5CCF"/>
    <w:rsid w:val="68F95994"/>
    <w:rsid w:val="696A7DFD"/>
    <w:rsid w:val="69AE49D0"/>
    <w:rsid w:val="69B8584F"/>
    <w:rsid w:val="6A3C022E"/>
    <w:rsid w:val="6A764478"/>
    <w:rsid w:val="6AE15198"/>
    <w:rsid w:val="6B606189"/>
    <w:rsid w:val="6B814EF0"/>
    <w:rsid w:val="6B91563F"/>
    <w:rsid w:val="6BC404DB"/>
    <w:rsid w:val="6C031981"/>
    <w:rsid w:val="6C5332A1"/>
    <w:rsid w:val="6C6145E6"/>
    <w:rsid w:val="6CC369E5"/>
    <w:rsid w:val="6D2C27DC"/>
    <w:rsid w:val="6D3A58A1"/>
    <w:rsid w:val="6D5E04BB"/>
    <w:rsid w:val="6DAC0D0D"/>
    <w:rsid w:val="6DD574D6"/>
    <w:rsid w:val="6E272FA3"/>
    <w:rsid w:val="6E462B47"/>
    <w:rsid w:val="6F467459"/>
    <w:rsid w:val="6F6D70DC"/>
    <w:rsid w:val="70BE18A2"/>
    <w:rsid w:val="70DF5DB7"/>
    <w:rsid w:val="70E94540"/>
    <w:rsid w:val="70FF4A6B"/>
    <w:rsid w:val="715F2A54"/>
    <w:rsid w:val="71C21B0F"/>
    <w:rsid w:val="726A7902"/>
    <w:rsid w:val="727662A7"/>
    <w:rsid w:val="72783704"/>
    <w:rsid w:val="72B15F0F"/>
    <w:rsid w:val="730833CD"/>
    <w:rsid w:val="73240DE3"/>
    <w:rsid w:val="73A1150A"/>
    <w:rsid w:val="73E03B5A"/>
    <w:rsid w:val="73E86F29"/>
    <w:rsid w:val="74911176"/>
    <w:rsid w:val="74EE278D"/>
    <w:rsid w:val="758D4034"/>
    <w:rsid w:val="758F7D6B"/>
    <w:rsid w:val="75907680"/>
    <w:rsid w:val="75962DC2"/>
    <w:rsid w:val="759F7FC4"/>
    <w:rsid w:val="76590886"/>
    <w:rsid w:val="767C2950"/>
    <w:rsid w:val="781C0323"/>
    <w:rsid w:val="784529A4"/>
    <w:rsid w:val="78A0598A"/>
    <w:rsid w:val="78B4031B"/>
    <w:rsid w:val="78D6184E"/>
    <w:rsid w:val="7927654D"/>
    <w:rsid w:val="793F3897"/>
    <w:rsid w:val="795F5CE7"/>
    <w:rsid w:val="797177C8"/>
    <w:rsid w:val="79AB0A12"/>
    <w:rsid w:val="79AE4579"/>
    <w:rsid w:val="79B75A86"/>
    <w:rsid w:val="79C43D9C"/>
    <w:rsid w:val="79E838CA"/>
    <w:rsid w:val="79FF0D7D"/>
    <w:rsid w:val="7A17211E"/>
    <w:rsid w:val="7A5213A8"/>
    <w:rsid w:val="7A771A35"/>
    <w:rsid w:val="7ACF29F8"/>
    <w:rsid w:val="7B4F116B"/>
    <w:rsid w:val="7CF36E72"/>
    <w:rsid w:val="7DC4436B"/>
    <w:rsid w:val="7E6E2528"/>
    <w:rsid w:val="7E9957F7"/>
    <w:rsid w:val="7F741DC0"/>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paragraph" w:styleId="5">
    <w:name w:val="heading 4"/>
    <w:basedOn w:val="4"/>
    <w:next w:val="6"/>
    <w:link w:val="48"/>
    <w:qFormat/>
    <w:uiPriority w:val="9"/>
    <w:pPr>
      <w:numPr>
        <w:ilvl w:val="3"/>
        <w:numId w:val="1"/>
      </w:numPr>
      <w:spacing w:beforeLines="50" w:afterLines="50" w:line="360" w:lineRule="auto"/>
      <w:jc w:val="center"/>
      <w:outlineLvl w:val="3"/>
    </w:pPr>
    <w:rPr>
      <w:rFonts w:ascii="Arial" w:hAnsi="Arial"/>
      <w:b w:val="0"/>
      <w:bCs w:val="0"/>
      <w:color w:val="000000"/>
      <w:sz w:val="24"/>
      <w:szCs w:val="24"/>
      <w:lang w:val="zh-CN"/>
    </w:rPr>
  </w:style>
  <w:style w:type="paragraph" w:styleId="7">
    <w:name w:val="heading 5"/>
    <w:basedOn w:val="5"/>
    <w:next w:val="6"/>
    <w:link w:val="50"/>
    <w:qFormat/>
    <w:uiPriority w:val="0"/>
    <w:pPr>
      <w:numPr>
        <w:ilvl w:val="4"/>
      </w:numPr>
      <w:spacing w:line="240" w:lineRule="exact"/>
      <w:outlineLvl w:val="4"/>
    </w:pPr>
  </w:style>
  <w:style w:type="paragraph" w:styleId="8">
    <w:name w:val="heading 6"/>
    <w:basedOn w:val="1"/>
    <w:next w:val="1"/>
    <w:link w:val="51"/>
    <w:qFormat/>
    <w:uiPriority w:val="0"/>
    <w:pPr>
      <w:keepNext/>
      <w:keepLines/>
      <w:numPr>
        <w:ilvl w:val="5"/>
        <w:numId w:val="2"/>
      </w:numPr>
      <w:spacing w:before="240" w:after="64" w:line="320" w:lineRule="auto"/>
      <w:outlineLvl w:val="5"/>
    </w:pPr>
    <w:rPr>
      <w:rFonts w:ascii="Arial" w:hAnsi="Arial" w:eastAsia="黑体"/>
      <w:b/>
      <w:bCs/>
      <w:sz w:val="24"/>
      <w:szCs w:val="24"/>
      <w:lang w:val="zh-CN"/>
    </w:rPr>
  </w:style>
  <w:style w:type="paragraph" w:styleId="9">
    <w:name w:val="heading 7"/>
    <w:basedOn w:val="1"/>
    <w:next w:val="6"/>
    <w:link w:val="52"/>
    <w:qFormat/>
    <w:uiPriority w:val="0"/>
    <w:pPr>
      <w:keepNext/>
      <w:keepLines/>
      <w:numPr>
        <w:ilvl w:val="6"/>
        <w:numId w:val="1"/>
      </w:numPr>
      <w:spacing w:before="240" w:after="64" w:line="320" w:lineRule="auto"/>
      <w:outlineLvl w:val="6"/>
    </w:pPr>
    <w:rPr>
      <w:b/>
      <w:sz w:val="24"/>
      <w:lang w:val="zh-CN"/>
    </w:rPr>
  </w:style>
  <w:style w:type="paragraph" w:styleId="10">
    <w:name w:val="heading 8"/>
    <w:basedOn w:val="1"/>
    <w:next w:val="6"/>
    <w:link w:val="53"/>
    <w:qFormat/>
    <w:uiPriority w:val="0"/>
    <w:pPr>
      <w:keepNext/>
      <w:keepLines/>
      <w:numPr>
        <w:ilvl w:val="7"/>
        <w:numId w:val="1"/>
      </w:numPr>
      <w:spacing w:before="240" w:after="64" w:line="320" w:lineRule="auto"/>
      <w:outlineLvl w:val="7"/>
    </w:pPr>
    <w:rPr>
      <w:rFonts w:ascii="Arial" w:hAnsi="Arial" w:eastAsia="黑体"/>
      <w:sz w:val="24"/>
      <w:lang w:val="zh-CN"/>
    </w:rPr>
  </w:style>
  <w:style w:type="paragraph" w:styleId="11">
    <w:name w:val="heading 9"/>
    <w:basedOn w:val="1"/>
    <w:next w:val="6"/>
    <w:link w:val="54"/>
    <w:qFormat/>
    <w:uiPriority w:val="0"/>
    <w:pPr>
      <w:keepNext/>
      <w:keepLines/>
      <w:numPr>
        <w:ilvl w:val="8"/>
        <w:numId w:val="1"/>
      </w:numPr>
      <w:spacing w:before="240" w:after="64" w:line="320" w:lineRule="auto"/>
      <w:outlineLvl w:val="8"/>
    </w:pPr>
    <w:rPr>
      <w:rFonts w:ascii="Arial" w:hAnsi="Arial" w:eastAsia="黑体"/>
      <w:lang w:val="zh-CN"/>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9"/>
    <w:qFormat/>
    <w:uiPriority w:val="0"/>
    <w:pPr>
      <w:ind w:firstLine="420"/>
    </w:pPr>
  </w:style>
  <w:style w:type="paragraph" w:styleId="12">
    <w:name w:val="Document Map"/>
    <w:basedOn w:val="1"/>
    <w:link w:val="55"/>
    <w:qFormat/>
    <w:uiPriority w:val="99"/>
    <w:pPr>
      <w:shd w:val="clear" w:color="auto" w:fill="000080"/>
    </w:pPr>
  </w:style>
  <w:style w:type="paragraph" w:styleId="13">
    <w:name w:val="annotation text"/>
    <w:basedOn w:val="1"/>
    <w:link w:val="56"/>
    <w:qFormat/>
    <w:uiPriority w:val="0"/>
    <w:pPr>
      <w:jc w:val="left"/>
    </w:pPr>
    <w:rPr>
      <w:szCs w:val="24"/>
    </w:rPr>
  </w:style>
  <w:style w:type="paragraph" w:styleId="14">
    <w:name w:val="Body Text"/>
    <w:basedOn w:val="1"/>
    <w:link w:val="57"/>
    <w:qFormat/>
    <w:uiPriority w:val="0"/>
    <w:pPr>
      <w:spacing w:before="2040"/>
      <w:jc w:val="center"/>
    </w:pPr>
    <w:rPr>
      <w:b/>
      <w:sz w:val="72"/>
    </w:rPr>
  </w:style>
  <w:style w:type="paragraph" w:styleId="15">
    <w:name w:val="Body Text Indent"/>
    <w:basedOn w:val="1"/>
    <w:link w:val="58"/>
    <w:qFormat/>
    <w:uiPriority w:val="0"/>
    <w:pPr>
      <w:ind w:firstLine="540"/>
    </w:pPr>
    <w:rPr>
      <w:rFonts w:ascii="宋体"/>
      <w:sz w:val="24"/>
    </w:rPr>
  </w:style>
  <w:style w:type="paragraph" w:styleId="16">
    <w:name w:val="toc 3"/>
    <w:basedOn w:val="1"/>
    <w:next w:val="1"/>
    <w:qFormat/>
    <w:uiPriority w:val="39"/>
    <w:pPr>
      <w:spacing w:line="360" w:lineRule="auto"/>
      <w:ind w:left="840" w:leftChars="400"/>
    </w:pPr>
    <w:rPr>
      <w:sz w:val="24"/>
    </w:rPr>
  </w:style>
  <w:style w:type="paragraph" w:styleId="17">
    <w:name w:val="Plain Text"/>
    <w:basedOn w:val="1"/>
    <w:link w:val="59"/>
    <w:qFormat/>
    <w:uiPriority w:val="0"/>
    <w:rPr>
      <w:rFonts w:ascii="宋体" w:hAnsi="Courier New"/>
    </w:rPr>
  </w:style>
  <w:style w:type="paragraph" w:styleId="18">
    <w:name w:val="Date"/>
    <w:basedOn w:val="1"/>
    <w:next w:val="1"/>
    <w:link w:val="60"/>
    <w:qFormat/>
    <w:uiPriority w:val="0"/>
    <w:pPr>
      <w:ind w:left="100" w:leftChars="2500"/>
    </w:pPr>
    <w:rPr>
      <w:szCs w:val="24"/>
    </w:rPr>
  </w:style>
  <w:style w:type="paragraph" w:styleId="19">
    <w:name w:val="Body Text Indent 2"/>
    <w:basedOn w:val="1"/>
    <w:link w:val="61"/>
    <w:qFormat/>
    <w:uiPriority w:val="0"/>
    <w:pPr>
      <w:ind w:firstLine="600"/>
    </w:pPr>
    <w:rPr>
      <w:rFonts w:eastAsia="楷体_GB2312"/>
      <w:sz w:val="24"/>
    </w:rPr>
  </w:style>
  <w:style w:type="paragraph" w:styleId="20">
    <w:name w:val="endnote text"/>
    <w:basedOn w:val="1"/>
    <w:link w:val="62"/>
    <w:qFormat/>
    <w:uiPriority w:val="0"/>
    <w:pPr>
      <w:snapToGrid w:val="0"/>
      <w:jc w:val="left"/>
    </w:pPr>
    <w:rPr>
      <w:rFonts w:ascii="等线" w:hAnsi="等线" w:eastAsia="等线"/>
      <w:szCs w:val="22"/>
    </w:rPr>
  </w:style>
  <w:style w:type="paragraph" w:styleId="21">
    <w:name w:val="Balloon Text"/>
    <w:basedOn w:val="1"/>
    <w:link w:val="63"/>
    <w:qFormat/>
    <w:uiPriority w:val="0"/>
    <w:rPr>
      <w:sz w:val="18"/>
      <w:szCs w:val="18"/>
    </w:rPr>
  </w:style>
  <w:style w:type="paragraph" w:styleId="22">
    <w:name w:val="footer"/>
    <w:basedOn w:val="1"/>
    <w:link w:val="64"/>
    <w:qFormat/>
    <w:uiPriority w:val="99"/>
    <w:pPr>
      <w:tabs>
        <w:tab w:val="center" w:pos="4153"/>
        <w:tab w:val="right" w:pos="8306"/>
      </w:tabs>
      <w:snapToGrid w:val="0"/>
      <w:jc w:val="left"/>
    </w:pPr>
    <w:rPr>
      <w:sz w:val="18"/>
    </w:rPr>
  </w:style>
  <w:style w:type="paragraph" w:styleId="23">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line="360" w:lineRule="auto"/>
    </w:pPr>
    <w:rPr>
      <w:sz w:val="24"/>
    </w:rPr>
  </w:style>
  <w:style w:type="paragraph" w:styleId="25">
    <w:name w:val="footnote text"/>
    <w:basedOn w:val="1"/>
    <w:link w:val="66"/>
    <w:qFormat/>
    <w:uiPriority w:val="99"/>
    <w:pPr>
      <w:snapToGrid w:val="0"/>
      <w:spacing w:line="360" w:lineRule="auto"/>
      <w:ind w:firstLine="523" w:firstLineChars="218"/>
      <w:jc w:val="left"/>
    </w:pPr>
    <w:rPr>
      <w:rFonts w:ascii="宋体" w:hAnsi="宋体" w:eastAsia="等线"/>
      <w:sz w:val="18"/>
      <w:szCs w:val="18"/>
    </w:rPr>
  </w:style>
  <w:style w:type="paragraph" w:styleId="26">
    <w:name w:val="Body Text Indent 3"/>
    <w:basedOn w:val="1"/>
    <w:link w:val="67"/>
    <w:qFormat/>
    <w:uiPriority w:val="0"/>
    <w:pPr>
      <w:tabs>
        <w:tab w:val="left" w:pos="0"/>
      </w:tabs>
      <w:spacing w:line="400" w:lineRule="exact"/>
      <w:ind w:left="563" w:leftChars="228" w:hanging="84" w:hangingChars="35"/>
    </w:pPr>
    <w:rPr>
      <w:rFonts w:ascii="等线" w:hAnsi="等线" w:eastAsia="等线"/>
      <w:color w:val="000000"/>
      <w:sz w:val="24"/>
      <w:szCs w:val="22"/>
    </w:rPr>
  </w:style>
  <w:style w:type="paragraph" w:styleId="27">
    <w:name w:val="toc 2"/>
    <w:basedOn w:val="1"/>
    <w:next w:val="1"/>
    <w:qFormat/>
    <w:uiPriority w:val="39"/>
    <w:pPr>
      <w:tabs>
        <w:tab w:val="right" w:leader="dot" w:pos="8890"/>
      </w:tabs>
      <w:spacing w:line="360" w:lineRule="auto"/>
      <w:ind w:left="420" w:leftChars="200"/>
    </w:pPr>
    <w:rPr>
      <w:sz w:val="24"/>
    </w:rPr>
  </w:style>
  <w:style w:type="paragraph" w:styleId="28">
    <w:name w:val="Body Text 2"/>
    <w:basedOn w:val="1"/>
    <w:link w:val="68"/>
    <w:qFormat/>
    <w:uiPriority w:val="0"/>
    <w:pPr>
      <w:tabs>
        <w:tab w:val="left" w:pos="180"/>
      </w:tabs>
      <w:spacing w:line="360" w:lineRule="auto"/>
    </w:pPr>
    <w:rPr>
      <w:sz w:val="24"/>
    </w:rPr>
  </w:style>
  <w:style w:type="paragraph" w:styleId="29">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cs="宋体"/>
      <w:sz w:val="24"/>
      <w:szCs w:val="24"/>
    </w:rPr>
  </w:style>
  <w:style w:type="paragraph" w:styleId="30">
    <w:name w:val="index 1"/>
    <w:basedOn w:val="1"/>
    <w:next w:val="1"/>
    <w:qFormat/>
    <w:uiPriority w:val="0"/>
    <w:rPr>
      <w:rFonts w:eastAsia="仿宋_GB2312"/>
      <w:sz w:val="28"/>
    </w:rPr>
  </w:style>
  <w:style w:type="paragraph" w:styleId="31">
    <w:name w:val="Title"/>
    <w:basedOn w:val="1"/>
    <w:link w:val="70"/>
    <w:qFormat/>
    <w:uiPriority w:val="0"/>
    <w:pPr>
      <w:spacing w:before="120" w:after="60"/>
      <w:jc w:val="center"/>
    </w:pPr>
    <w:rPr>
      <w:rFonts w:ascii="Arial" w:hAnsi="Arial" w:eastAsia="等线"/>
      <w:b/>
      <w:sz w:val="44"/>
      <w:szCs w:val="22"/>
    </w:rPr>
  </w:style>
  <w:style w:type="paragraph" w:styleId="32">
    <w:name w:val="annotation subject"/>
    <w:basedOn w:val="13"/>
    <w:next w:val="13"/>
    <w:link w:val="71"/>
    <w:qFormat/>
    <w:uiPriority w:val="0"/>
    <w:rPr>
      <w:b/>
      <w:bCs/>
    </w:rPr>
  </w:style>
  <w:style w:type="paragraph" w:styleId="33">
    <w:name w:val="Body Text First Indent"/>
    <w:basedOn w:val="14"/>
    <w:link w:val="72"/>
    <w:qFormat/>
    <w:uiPriority w:val="99"/>
    <w:pPr>
      <w:spacing w:before="0" w:after="120"/>
      <w:ind w:firstLine="420" w:firstLineChars="100"/>
      <w:jc w:val="both"/>
    </w:pPr>
    <w:rPr>
      <w:b w:val="0"/>
      <w:sz w:val="21"/>
    </w:rPr>
  </w:style>
  <w:style w:type="paragraph" w:styleId="34">
    <w:name w:val="Body Text First Indent 2"/>
    <w:basedOn w:val="15"/>
    <w:semiHidden/>
    <w:unhideWhenUsed/>
    <w:qFormat/>
    <w:uiPriority w:val="99"/>
    <w:pPr>
      <w:ind w:firstLine="420" w:firstLineChars="200"/>
    </w:pPr>
    <w:rPr>
      <w:rFonts w:asciiTheme="minorHAnsi" w:hAnsiTheme="minorHAnsi" w:eastAsiaTheme="minorEastAsia" w:cstheme="minorBidi"/>
      <w:szCs w:val="22"/>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rPr>
  </w:style>
  <w:style w:type="character" w:styleId="39">
    <w:name w:val="endnote reference"/>
    <w:qFormat/>
    <w:uiPriority w:val="0"/>
    <w:rPr>
      <w:vertAlign w:val="superscript"/>
    </w:rPr>
  </w:style>
  <w:style w:type="character" w:styleId="40">
    <w:name w:val="page number"/>
    <w:qFormat/>
    <w:uiPriority w:val="0"/>
  </w:style>
  <w:style w:type="character" w:styleId="41">
    <w:name w:val="FollowedHyperlink"/>
    <w:unhideWhenUsed/>
    <w:qFormat/>
    <w:uiPriority w:val="99"/>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99"/>
    <w:rPr>
      <w:vertAlign w:val="superscript"/>
    </w:rPr>
  </w:style>
  <w:style w:type="character" w:customStyle="1" w:styleId="45">
    <w:name w:val="标题 1 字符"/>
    <w:link w:val="2"/>
    <w:qFormat/>
    <w:uiPriority w:val="0"/>
    <w:rPr>
      <w:b/>
      <w:bCs/>
      <w:kern w:val="44"/>
      <w:sz w:val="44"/>
      <w:szCs w:val="44"/>
    </w:rPr>
  </w:style>
  <w:style w:type="character" w:customStyle="1" w:styleId="46">
    <w:name w:val="标题 2 字符1"/>
    <w:link w:val="3"/>
    <w:qFormat/>
    <w:uiPriority w:val="0"/>
    <w:rPr>
      <w:rFonts w:ascii="Cambria" w:hAnsi="Cambria" w:eastAsia="宋体" w:cs="Times New Roman"/>
      <w:b/>
      <w:bCs/>
      <w:kern w:val="2"/>
      <w:sz w:val="32"/>
      <w:szCs w:val="32"/>
    </w:rPr>
  </w:style>
  <w:style w:type="character" w:customStyle="1" w:styleId="47">
    <w:name w:val="标题 3 字符"/>
    <w:link w:val="4"/>
    <w:qFormat/>
    <w:uiPriority w:val="0"/>
    <w:rPr>
      <w:b/>
      <w:bCs/>
      <w:kern w:val="2"/>
      <w:sz w:val="32"/>
      <w:szCs w:val="32"/>
    </w:rPr>
  </w:style>
  <w:style w:type="character" w:customStyle="1" w:styleId="48">
    <w:name w:val="标题 4 字符"/>
    <w:link w:val="5"/>
    <w:qFormat/>
    <w:uiPriority w:val="9"/>
    <w:rPr>
      <w:rFonts w:ascii="Arial" w:hAnsi="Arial"/>
      <w:color w:val="000000"/>
      <w:kern w:val="2"/>
      <w:sz w:val="24"/>
      <w:szCs w:val="24"/>
      <w:lang w:val="zh-CN"/>
    </w:rPr>
  </w:style>
  <w:style w:type="character" w:customStyle="1" w:styleId="49">
    <w:name w:val="正文缩进 字符"/>
    <w:link w:val="6"/>
    <w:qFormat/>
    <w:uiPriority w:val="0"/>
    <w:rPr>
      <w:kern w:val="2"/>
      <w:sz w:val="21"/>
    </w:rPr>
  </w:style>
  <w:style w:type="character" w:customStyle="1" w:styleId="50">
    <w:name w:val="标题 5 字符"/>
    <w:link w:val="7"/>
    <w:qFormat/>
    <w:uiPriority w:val="0"/>
    <w:rPr>
      <w:rFonts w:ascii="Arial" w:hAnsi="Arial"/>
      <w:color w:val="000000"/>
      <w:kern w:val="2"/>
      <w:sz w:val="24"/>
      <w:szCs w:val="24"/>
      <w:lang w:val="zh-CN"/>
    </w:rPr>
  </w:style>
  <w:style w:type="character" w:customStyle="1" w:styleId="51">
    <w:name w:val="标题 6 字符"/>
    <w:link w:val="8"/>
    <w:qFormat/>
    <w:uiPriority w:val="0"/>
    <w:rPr>
      <w:rFonts w:ascii="Arial" w:hAnsi="Arial" w:eastAsia="黑体"/>
      <w:b/>
      <w:bCs/>
      <w:kern w:val="2"/>
      <w:sz w:val="24"/>
      <w:szCs w:val="24"/>
      <w:lang w:val="zh-CN"/>
    </w:rPr>
  </w:style>
  <w:style w:type="character" w:customStyle="1" w:styleId="52">
    <w:name w:val="标题 7 字符"/>
    <w:link w:val="9"/>
    <w:qFormat/>
    <w:uiPriority w:val="0"/>
    <w:rPr>
      <w:b/>
      <w:kern w:val="2"/>
      <w:sz w:val="24"/>
      <w:lang w:val="zh-CN"/>
    </w:rPr>
  </w:style>
  <w:style w:type="character" w:customStyle="1" w:styleId="53">
    <w:name w:val="标题 8 字符"/>
    <w:link w:val="10"/>
    <w:qFormat/>
    <w:uiPriority w:val="0"/>
    <w:rPr>
      <w:rFonts w:ascii="Arial" w:hAnsi="Arial" w:eastAsia="黑体"/>
      <w:kern w:val="2"/>
      <w:sz w:val="24"/>
      <w:lang w:val="zh-CN"/>
    </w:rPr>
  </w:style>
  <w:style w:type="character" w:customStyle="1" w:styleId="54">
    <w:name w:val="标题 9 字符"/>
    <w:link w:val="11"/>
    <w:qFormat/>
    <w:uiPriority w:val="0"/>
    <w:rPr>
      <w:rFonts w:ascii="Arial" w:hAnsi="Arial" w:eastAsia="黑体"/>
      <w:kern w:val="2"/>
      <w:sz w:val="21"/>
      <w:lang w:val="zh-CN"/>
    </w:rPr>
  </w:style>
  <w:style w:type="character" w:customStyle="1" w:styleId="55">
    <w:name w:val="文档结构图 字符"/>
    <w:link w:val="12"/>
    <w:qFormat/>
    <w:locked/>
    <w:uiPriority w:val="99"/>
    <w:rPr>
      <w:kern w:val="2"/>
      <w:sz w:val="21"/>
      <w:shd w:val="clear" w:color="auto" w:fill="000080"/>
    </w:rPr>
  </w:style>
  <w:style w:type="character" w:customStyle="1" w:styleId="56">
    <w:name w:val="批注文字 字符1"/>
    <w:link w:val="13"/>
    <w:qFormat/>
    <w:uiPriority w:val="0"/>
    <w:rPr>
      <w:kern w:val="2"/>
      <w:sz w:val="21"/>
      <w:szCs w:val="24"/>
    </w:rPr>
  </w:style>
  <w:style w:type="character" w:customStyle="1" w:styleId="57">
    <w:name w:val="正文文本 字符"/>
    <w:link w:val="14"/>
    <w:qFormat/>
    <w:uiPriority w:val="0"/>
    <w:rPr>
      <w:b/>
      <w:kern w:val="2"/>
      <w:sz w:val="72"/>
    </w:rPr>
  </w:style>
  <w:style w:type="character" w:customStyle="1" w:styleId="58">
    <w:name w:val="正文文本缩进 字符"/>
    <w:link w:val="15"/>
    <w:qFormat/>
    <w:uiPriority w:val="0"/>
    <w:rPr>
      <w:rFonts w:ascii="宋体"/>
      <w:kern w:val="2"/>
      <w:sz w:val="24"/>
    </w:rPr>
  </w:style>
  <w:style w:type="character" w:customStyle="1" w:styleId="59">
    <w:name w:val="纯文本 字符"/>
    <w:link w:val="17"/>
    <w:qFormat/>
    <w:uiPriority w:val="0"/>
    <w:rPr>
      <w:rFonts w:ascii="宋体" w:hAnsi="Courier New"/>
      <w:kern w:val="2"/>
      <w:sz w:val="21"/>
    </w:rPr>
  </w:style>
  <w:style w:type="character" w:customStyle="1" w:styleId="60">
    <w:name w:val="日期 字符1"/>
    <w:link w:val="18"/>
    <w:qFormat/>
    <w:uiPriority w:val="0"/>
    <w:rPr>
      <w:kern w:val="2"/>
      <w:sz w:val="21"/>
      <w:szCs w:val="24"/>
    </w:rPr>
  </w:style>
  <w:style w:type="character" w:customStyle="1" w:styleId="61">
    <w:name w:val="正文文本缩进 2 字符"/>
    <w:link w:val="19"/>
    <w:qFormat/>
    <w:uiPriority w:val="0"/>
    <w:rPr>
      <w:rFonts w:eastAsia="楷体_GB2312"/>
      <w:kern w:val="2"/>
      <w:sz w:val="24"/>
    </w:rPr>
  </w:style>
  <w:style w:type="character" w:customStyle="1" w:styleId="62">
    <w:name w:val="尾注文本 字符"/>
    <w:link w:val="20"/>
    <w:qFormat/>
    <w:uiPriority w:val="0"/>
    <w:rPr>
      <w:rFonts w:ascii="等线" w:hAnsi="等线" w:eastAsia="等线"/>
      <w:kern w:val="2"/>
      <w:sz w:val="21"/>
      <w:szCs w:val="22"/>
    </w:rPr>
  </w:style>
  <w:style w:type="character" w:customStyle="1" w:styleId="63">
    <w:name w:val="批注框文本 字符"/>
    <w:link w:val="21"/>
    <w:qFormat/>
    <w:uiPriority w:val="0"/>
    <w:rPr>
      <w:kern w:val="2"/>
      <w:sz w:val="18"/>
      <w:szCs w:val="18"/>
    </w:rPr>
  </w:style>
  <w:style w:type="character" w:customStyle="1" w:styleId="64">
    <w:name w:val="页脚 字符"/>
    <w:link w:val="22"/>
    <w:qFormat/>
    <w:uiPriority w:val="99"/>
    <w:rPr>
      <w:kern w:val="2"/>
      <w:sz w:val="18"/>
    </w:rPr>
  </w:style>
  <w:style w:type="character" w:customStyle="1" w:styleId="65">
    <w:name w:val="页眉 字符"/>
    <w:link w:val="23"/>
    <w:qFormat/>
    <w:uiPriority w:val="0"/>
    <w:rPr>
      <w:kern w:val="2"/>
      <w:sz w:val="18"/>
      <w:szCs w:val="18"/>
    </w:rPr>
  </w:style>
  <w:style w:type="character" w:customStyle="1" w:styleId="66">
    <w:name w:val="脚注文本 字符"/>
    <w:link w:val="25"/>
    <w:qFormat/>
    <w:uiPriority w:val="99"/>
    <w:rPr>
      <w:rFonts w:ascii="宋体" w:hAnsi="宋体" w:eastAsia="等线"/>
      <w:kern w:val="2"/>
      <w:sz w:val="18"/>
      <w:szCs w:val="18"/>
    </w:rPr>
  </w:style>
  <w:style w:type="character" w:customStyle="1" w:styleId="67">
    <w:name w:val="正文文本缩进 3 字符"/>
    <w:link w:val="26"/>
    <w:qFormat/>
    <w:uiPriority w:val="0"/>
    <w:rPr>
      <w:rFonts w:ascii="等线" w:hAnsi="等线" w:eastAsia="等线"/>
      <w:color w:val="000000"/>
      <w:kern w:val="2"/>
      <w:sz w:val="24"/>
      <w:szCs w:val="22"/>
    </w:rPr>
  </w:style>
  <w:style w:type="character" w:customStyle="1" w:styleId="68">
    <w:name w:val="正文文本 2 字符"/>
    <w:link w:val="28"/>
    <w:qFormat/>
    <w:uiPriority w:val="0"/>
    <w:rPr>
      <w:kern w:val="2"/>
      <w:sz w:val="24"/>
    </w:rPr>
  </w:style>
  <w:style w:type="character" w:customStyle="1" w:styleId="69">
    <w:name w:val="HTML 预设格式 字符"/>
    <w:link w:val="29"/>
    <w:qFormat/>
    <w:uiPriority w:val="99"/>
    <w:rPr>
      <w:rFonts w:ascii="宋体" w:hAnsi="宋体" w:eastAsia="等线" w:cs="宋体"/>
      <w:kern w:val="2"/>
      <w:sz w:val="24"/>
      <w:szCs w:val="24"/>
    </w:rPr>
  </w:style>
  <w:style w:type="character" w:customStyle="1" w:styleId="70">
    <w:name w:val="标题 字符"/>
    <w:link w:val="31"/>
    <w:qFormat/>
    <w:uiPriority w:val="0"/>
    <w:rPr>
      <w:rFonts w:ascii="Arial" w:hAnsi="Arial" w:eastAsia="等线"/>
      <w:b/>
      <w:kern w:val="2"/>
      <w:sz w:val="44"/>
      <w:szCs w:val="22"/>
    </w:rPr>
  </w:style>
  <w:style w:type="character" w:customStyle="1" w:styleId="71">
    <w:name w:val="批注主题 字符1"/>
    <w:link w:val="32"/>
    <w:qFormat/>
    <w:uiPriority w:val="0"/>
    <w:rPr>
      <w:b/>
      <w:bCs/>
      <w:kern w:val="2"/>
      <w:sz w:val="21"/>
      <w:szCs w:val="24"/>
    </w:rPr>
  </w:style>
  <w:style w:type="character" w:customStyle="1" w:styleId="72">
    <w:name w:val="正文文本首行缩进 字符1"/>
    <w:link w:val="33"/>
    <w:qFormat/>
    <w:uiPriority w:val="99"/>
    <w:rPr>
      <w:kern w:val="2"/>
      <w:sz w:val="21"/>
    </w:rPr>
  </w:style>
  <w:style w:type="paragraph" w:customStyle="1" w:styleId="73">
    <w:name w:val="reader-word-layer reader-word-s4-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reader-word-layer reader-word-s4-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reader-word-layer reader-word-s4-3"/>
    <w:basedOn w:val="1"/>
    <w:qFormat/>
    <w:uiPriority w:val="0"/>
    <w:pPr>
      <w:widowControl/>
      <w:spacing w:before="100" w:beforeAutospacing="1" w:after="100" w:afterAutospacing="1"/>
      <w:jc w:val="left"/>
    </w:pPr>
    <w:rPr>
      <w:rFonts w:ascii="宋体" w:hAnsi="宋体" w:cs="宋体"/>
      <w:kern w:val="0"/>
      <w:sz w:val="24"/>
      <w:szCs w:val="24"/>
    </w:rPr>
  </w:style>
  <w:style w:type="paragraph" w:styleId="76">
    <w:name w:val="No Spacing"/>
    <w:link w:val="77"/>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77">
    <w:name w:val="无间隔 字符"/>
    <w:link w:val="76"/>
    <w:qFormat/>
    <w:uiPriority w:val="1"/>
    <w:rPr>
      <w:kern w:val="2"/>
      <w:sz w:val="21"/>
    </w:rPr>
  </w:style>
  <w:style w:type="character" w:customStyle="1" w:styleId="78">
    <w:name w:val="_Style 77"/>
    <w:qFormat/>
    <w:uiPriority w:val="19"/>
    <w:rPr>
      <w:i/>
      <w:iCs/>
      <w:color w:val="808080"/>
    </w:rPr>
  </w:style>
  <w:style w:type="paragraph" w:customStyle="1" w:styleId="79">
    <w:name w:val="列出段落1"/>
    <w:basedOn w:val="1"/>
    <w:qFormat/>
    <w:uiPriority w:val="0"/>
    <w:pPr>
      <w:ind w:firstLine="420" w:firstLineChars="200"/>
    </w:pPr>
    <w:rPr>
      <w:rFonts w:ascii="Calibri" w:hAnsi="Calibri"/>
      <w:szCs w:val="22"/>
    </w:rPr>
  </w:style>
  <w:style w:type="paragraph" w:customStyle="1" w:styleId="80">
    <w:name w:val="Char"/>
    <w:basedOn w:val="1"/>
    <w:qFormat/>
    <w:uiPriority w:val="0"/>
  </w:style>
  <w:style w:type="paragraph" w:customStyle="1" w:styleId="81">
    <w:name w:val="p17"/>
    <w:basedOn w:val="1"/>
    <w:qFormat/>
    <w:uiPriority w:val="0"/>
    <w:pPr>
      <w:widowControl/>
    </w:pPr>
    <w:rPr>
      <w:kern w:val="0"/>
      <w:szCs w:val="21"/>
    </w:rPr>
  </w:style>
  <w:style w:type="character" w:customStyle="1" w:styleId="82">
    <w:name w:val="批注文字 字符"/>
    <w:qFormat/>
    <w:uiPriority w:val="0"/>
    <w:rPr>
      <w:kern w:val="2"/>
      <w:sz w:val="21"/>
    </w:rPr>
  </w:style>
  <w:style w:type="character" w:customStyle="1" w:styleId="83">
    <w:name w:val="批注主题 字符"/>
    <w:qFormat/>
    <w:uiPriority w:val="0"/>
    <w:rPr>
      <w:b/>
      <w:bCs/>
      <w:kern w:val="2"/>
      <w:sz w:val="21"/>
    </w:rPr>
  </w:style>
  <w:style w:type="character" w:customStyle="1" w:styleId="84">
    <w:name w:val="日期 字符"/>
    <w:qFormat/>
    <w:uiPriority w:val="0"/>
    <w:rPr>
      <w:kern w:val="2"/>
      <w:sz w:val="21"/>
    </w:rPr>
  </w:style>
  <w:style w:type="paragraph" w:customStyle="1" w:styleId="85">
    <w:name w:val="_Style 84"/>
    <w:qFormat/>
    <w:uiPriority w:val="99"/>
    <w:rPr>
      <w:rFonts w:ascii="Times New Roman" w:hAnsi="Times New Roman" w:eastAsia="宋体" w:cs="Times New Roman"/>
      <w:kern w:val="2"/>
      <w:sz w:val="21"/>
      <w:lang w:val="en-US" w:eastAsia="zh-CN" w:bidi="ar-SA"/>
    </w:rPr>
  </w:style>
  <w:style w:type="paragraph" w:styleId="86">
    <w:name w:val="List Paragraph"/>
    <w:basedOn w:val="1"/>
    <w:qFormat/>
    <w:uiPriority w:val="99"/>
    <w:pPr>
      <w:ind w:firstLine="420" w:firstLineChars="200"/>
    </w:pPr>
    <w:rPr>
      <w:szCs w:val="24"/>
    </w:rPr>
  </w:style>
  <w:style w:type="paragraph" w:customStyle="1" w:styleId="87">
    <w:name w:val="正文 New"/>
    <w:basedOn w:val="1"/>
    <w:qFormat/>
    <w:uiPriority w:val="0"/>
    <w:rPr>
      <w:rFonts w:ascii="Calibri" w:hAnsi="Calibri"/>
      <w:szCs w:val="24"/>
    </w:rPr>
  </w:style>
  <w:style w:type="character" w:customStyle="1" w:styleId="88">
    <w:name w:val="正文文本首行缩进 字符"/>
    <w:qFormat/>
    <w:uiPriority w:val="0"/>
    <w:rPr>
      <w:kern w:val="2"/>
      <w:sz w:val="21"/>
    </w:rPr>
  </w:style>
  <w:style w:type="character" w:customStyle="1" w:styleId="89">
    <w:name w:val="标题 2 字符"/>
    <w:qFormat/>
    <w:uiPriority w:val="0"/>
    <w:rPr>
      <w:rFonts w:ascii="Cambria" w:hAnsi="Cambria" w:eastAsia="宋体" w:cs="Times New Roman"/>
      <w:b/>
      <w:bCs/>
      <w:kern w:val="2"/>
      <w:sz w:val="32"/>
      <w:szCs w:val="32"/>
    </w:rPr>
  </w:style>
  <w:style w:type="character" w:customStyle="1" w:styleId="90">
    <w:name w:val="Heading 1 Char"/>
    <w:qFormat/>
    <w:locked/>
    <w:uiPriority w:val="0"/>
    <w:rPr>
      <w:rFonts w:ascii="Times New Roman" w:hAnsi="Times New Roman" w:eastAsia="宋体" w:cs="Times New Roman"/>
      <w:b/>
      <w:bCs/>
      <w:kern w:val="44"/>
      <w:sz w:val="44"/>
      <w:szCs w:val="44"/>
    </w:rPr>
  </w:style>
  <w:style w:type="character" w:customStyle="1" w:styleId="91">
    <w:name w:val="Char Char25"/>
    <w:qFormat/>
    <w:uiPriority w:val="0"/>
    <w:rPr>
      <w:rFonts w:ascii="Cambria" w:hAnsi="Cambria" w:eastAsia="宋体" w:cs="Times New Roman"/>
      <w:b/>
      <w:bCs/>
      <w:kern w:val="2"/>
      <w:sz w:val="32"/>
      <w:szCs w:val="32"/>
    </w:rPr>
  </w:style>
  <w:style w:type="character" w:customStyle="1" w:styleId="92">
    <w:name w:val="Char Char26"/>
    <w:qFormat/>
    <w:uiPriority w:val="0"/>
    <w:rPr>
      <w:b/>
      <w:bCs/>
      <w:kern w:val="44"/>
      <w:sz w:val="44"/>
      <w:szCs w:val="44"/>
    </w:rPr>
  </w:style>
  <w:style w:type="paragraph" w:customStyle="1" w:styleId="93">
    <w:name w:val="_Style 36"/>
    <w:basedOn w:val="14"/>
    <w:next w:val="33"/>
    <w:link w:val="94"/>
    <w:qFormat/>
    <w:uiPriority w:val="0"/>
    <w:pPr>
      <w:spacing w:before="0" w:after="120"/>
      <w:ind w:firstLine="420" w:firstLineChars="100"/>
      <w:jc w:val="both"/>
    </w:pPr>
    <w:rPr>
      <w:rFonts w:ascii="等线" w:hAnsi="等线" w:eastAsia="等线"/>
      <w:b w:val="0"/>
      <w:sz w:val="21"/>
      <w:szCs w:val="22"/>
    </w:rPr>
  </w:style>
  <w:style w:type="character" w:customStyle="1" w:styleId="94">
    <w:name w:val="正文首行缩进 Char"/>
    <w:link w:val="93"/>
    <w:qFormat/>
    <w:uiPriority w:val="0"/>
    <w:rPr>
      <w:rFonts w:ascii="等线" w:hAnsi="等线" w:eastAsia="等线"/>
      <w:kern w:val="2"/>
      <w:sz w:val="21"/>
      <w:szCs w:val="22"/>
    </w:rPr>
  </w:style>
  <w:style w:type="character" w:customStyle="1" w:styleId="95">
    <w:name w:val="不明显强调1"/>
    <w:qFormat/>
    <w:uiPriority w:val="19"/>
    <w:rPr>
      <w:i/>
      <w:iCs/>
      <w:color w:val="808080"/>
    </w:rPr>
  </w:style>
  <w:style w:type="paragraph" w:customStyle="1" w:styleId="96">
    <w:name w:val="列出段落2"/>
    <w:basedOn w:val="1"/>
    <w:qFormat/>
    <w:uiPriority w:val="34"/>
    <w:pPr>
      <w:ind w:firstLine="420" w:firstLineChars="200"/>
    </w:pPr>
    <w:rPr>
      <w:rFonts w:ascii="Calibri" w:hAnsi="Calibri"/>
      <w:szCs w:val="22"/>
    </w:rPr>
  </w:style>
  <w:style w:type="character" w:customStyle="1" w:styleId="97">
    <w:name w:val="批注主题 Char Char"/>
    <w:qFormat/>
    <w:uiPriority w:val="0"/>
    <w:rPr>
      <w:b/>
      <w:bCs/>
      <w:kern w:val="2"/>
      <w:sz w:val="30"/>
      <w:szCs w:val="24"/>
    </w:rPr>
  </w:style>
  <w:style w:type="character" w:customStyle="1" w:styleId="98">
    <w:name w:val="apple-converted-space"/>
    <w:qFormat/>
    <w:uiPriority w:val="0"/>
  </w:style>
  <w:style w:type="character" w:customStyle="1" w:styleId="99">
    <w:name w:val="正文文本 Char Char"/>
    <w:qFormat/>
    <w:uiPriority w:val="0"/>
    <w:rPr>
      <w:kern w:val="2"/>
      <w:sz w:val="30"/>
      <w:szCs w:val="24"/>
    </w:rPr>
  </w:style>
  <w:style w:type="character" w:customStyle="1" w:styleId="100">
    <w:name w:val="页眉 Char Char"/>
    <w:qFormat/>
    <w:uiPriority w:val="0"/>
    <w:rPr>
      <w:kern w:val="2"/>
      <w:sz w:val="18"/>
      <w:szCs w:val="18"/>
    </w:rPr>
  </w:style>
  <w:style w:type="character" w:customStyle="1" w:styleId="101">
    <w:name w:val="标题 2 Char Char"/>
    <w:qFormat/>
    <w:uiPriority w:val="0"/>
    <w:rPr>
      <w:rFonts w:ascii="Arial" w:hAnsi="Arial" w:eastAsia="黑体"/>
      <w:b/>
      <w:bCs/>
      <w:kern w:val="2"/>
      <w:sz w:val="32"/>
      <w:szCs w:val="32"/>
    </w:rPr>
  </w:style>
  <w:style w:type="character" w:customStyle="1" w:styleId="102">
    <w:name w:val="批注框文本 Char Char"/>
    <w:qFormat/>
    <w:uiPriority w:val="0"/>
    <w:rPr>
      <w:kern w:val="2"/>
      <w:sz w:val="18"/>
      <w:szCs w:val="18"/>
    </w:rPr>
  </w:style>
  <w:style w:type="character" w:customStyle="1" w:styleId="103">
    <w:name w:val="批注文字 Char"/>
    <w:qFormat/>
    <w:uiPriority w:val="0"/>
    <w:rPr>
      <w:rFonts w:ascii="宋体" w:hAnsi="宋体"/>
      <w:kern w:val="2"/>
      <w:sz w:val="24"/>
      <w:szCs w:val="24"/>
    </w:rPr>
  </w:style>
  <w:style w:type="character" w:customStyle="1" w:styleId="104">
    <w:name w:val="正文文本缩进 3 Char Char"/>
    <w:qFormat/>
    <w:uiPriority w:val="0"/>
    <w:rPr>
      <w:kern w:val="2"/>
      <w:sz w:val="16"/>
      <w:szCs w:val="16"/>
    </w:rPr>
  </w:style>
  <w:style w:type="character" w:customStyle="1" w:styleId="105">
    <w:name w:val="正文文本缩进 Char Char"/>
    <w:qFormat/>
    <w:uiPriority w:val="0"/>
    <w:rPr>
      <w:kern w:val="2"/>
      <w:sz w:val="30"/>
      <w:szCs w:val="24"/>
    </w:rPr>
  </w:style>
  <w:style w:type="character" w:customStyle="1" w:styleId="106">
    <w:name w:val="纯文本 Char Char"/>
    <w:qFormat/>
    <w:uiPriority w:val="0"/>
    <w:rPr>
      <w:rFonts w:ascii="宋体" w:hAnsi="Courier New"/>
      <w:kern w:val="2"/>
      <w:sz w:val="24"/>
    </w:rPr>
  </w:style>
  <w:style w:type="character" w:customStyle="1" w:styleId="107">
    <w:name w:val="合同大标题 Char"/>
    <w:link w:val="108"/>
    <w:qFormat/>
    <w:uiPriority w:val="0"/>
    <w:rPr>
      <w:rFonts w:ascii="宋体" w:cs="宋体"/>
      <w:b/>
      <w:bCs/>
      <w:spacing w:val="6"/>
      <w:sz w:val="24"/>
      <w:szCs w:val="24"/>
      <w:shd w:val="clear" w:color="auto" w:fill="FFFFFF"/>
    </w:rPr>
  </w:style>
  <w:style w:type="paragraph" w:customStyle="1" w:styleId="108">
    <w:name w:val="合同大标题"/>
    <w:basedOn w:val="1"/>
    <w:link w:val="107"/>
    <w:qFormat/>
    <w:uiPriority w:val="0"/>
    <w:pPr>
      <w:shd w:val="clear" w:color="auto" w:fill="FFFFFF"/>
      <w:spacing w:before="100" w:after="100" w:line="330" w:lineRule="atLeast"/>
      <w:ind w:left="178" w:leftChars="74" w:right="24" w:firstLine="506" w:firstLineChars="200"/>
    </w:pPr>
    <w:rPr>
      <w:rFonts w:ascii="宋体" w:cs="宋体"/>
      <w:b/>
      <w:bCs/>
      <w:spacing w:val="6"/>
      <w:kern w:val="0"/>
      <w:sz w:val="24"/>
      <w:szCs w:val="24"/>
    </w:rPr>
  </w:style>
  <w:style w:type="character" w:customStyle="1" w:styleId="109">
    <w:name w:val="正文首行缩进 Char Char"/>
    <w:qFormat/>
    <w:uiPriority w:val="0"/>
  </w:style>
  <w:style w:type="character" w:customStyle="1" w:styleId="110">
    <w:name w:val="标题 3 Char1"/>
    <w:semiHidden/>
    <w:qFormat/>
    <w:uiPriority w:val="9"/>
    <w:rPr>
      <w:rFonts w:ascii="宋体" w:hAnsi="宋体" w:eastAsia="宋体" w:cs="宋体"/>
      <w:b/>
      <w:bCs/>
      <w:kern w:val="0"/>
      <w:sz w:val="32"/>
      <w:szCs w:val="32"/>
    </w:rPr>
  </w:style>
  <w:style w:type="character" w:customStyle="1" w:styleId="111">
    <w:name w:val="页码1"/>
    <w:qFormat/>
    <w:uiPriority w:val="0"/>
  </w:style>
  <w:style w:type="character" w:customStyle="1" w:styleId="112">
    <w:name w:val="标题 3 Char Char"/>
    <w:qFormat/>
    <w:uiPriority w:val="0"/>
    <w:rPr>
      <w:rFonts w:ascii="宋体" w:hAnsi="宋体" w:eastAsia="宋体"/>
      <w:b/>
      <w:bCs/>
      <w:color w:val="FF0000"/>
      <w:kern w:val="2"/>
      <w:sz w:val="24"/>
      <w:szCs w:val="24"/>
      <w:lang w:val="zh-CN" w:eastAsia="zh-CN" w:bidi="ar-SA"/>
    </w:rPr>
  </w:style>
  <w:style w:type="character" w:customStyle="1" w:styleId="113">
    <w:name w:val="合同大标题1 Char"/>
    <w:link w:val="114"/>
    <w:qFormat/>
    <w:uiPriority w:val="0"/>
    <w:rPr>
      <w:rFonts w:ascii="宋体" w:cs="宋体"/>
      <w:b/>
      <w:bCs/>
      <w:spacing w:val="6"/>
      <w:sz w:val="24"/>
      <w:szCs w:val="24"/>
      <w:shd w:val="clear" w:color="auto" w:fill="FFFFFF"/>
    </w:rPr>
  </w:style>
  <w:style w:type="paragraph" w:customStyle="1" w:styleId="114">
    <w:name w:val="合同大标题1"/>
    <w:basedOn w:val="1"/>
    <w:link w:val="113"/>
    <w:qFormat/>
    <w:uiPriority w:val="0"/>
    <w:pPr>
      <w:shd w:val="clear" w:color="auto" w:fill="FFFFFF"/>
      <w:spacing w:before="100" w:after="100" w:line="330" w:lineRule="atLeast"/>
      <w:ind w:left="72" w:leftChars="30" w:right="24" w:firstLine="240" w:firstLineChars="95"/>
    </w:pPr>
    <w:rPr>
      <w:rFonts w:ascii="宋体" w:cs="宋体"/>
      <w:b/>
      <w:bCs/>
      <w:spacing w:val="6"/>
      <w:kern w:val="0"/>
      <w:sz w:val="24"/>
      <w:szCs w:val="24"/>
    </w:rPr>
  </w:style>
  <w:style w:type="character" w:customStyle="1" w:styleId="115">
    <w:name w:val="正文文本缩进 2 Char Char"/>
    <w:qFormat/>
    <w:uiPriority w:val="0"/>
    <w:rPr>
      <w:kern w:val="2"/>
      <w:sz w:val="30"/>
      <w:szCs w:val="24"/>
    </w:rPr>
  </w:style>
  <w:style w:type="character" w:customStyle="1" w:styleId="116">
    <w:name w:val="页脚 Char Char"/>
    <w:qFormat/>
    <w:uiPriority w:val="0"/>
    <w:rPr>
      <w:kern w:val="2"/>
      <w:sz w:val="18"/>
      <w:szCs w:val="18"/>
    </w:rPr>
  </w:style>
  <w:style w:type="character" w:customStyle="1" w:styleId="117">
    <w:name w:val="批注文字 Char Char"/>
    <w:qFormat/>
    <w:uiPriority w:val="0"/>
    <w:rPr>
      <w:kern w:val="2"/>
      <w:sz w:val="30"/>
      <w:szCs w:val="24"/>
    </w:rPr>
  </w:style>
  <w:style w:type="character" w:customStyle="1" w:styleId="118">
    <w:name w:val="合同小标题 Char"/>
    <w:link w:val="119"/>
    <w:qFormat/>
    <w:uiPriority w:val="0"/>
    <w:rPr>
      <w:rFonts w:ascii="黑体" w:hAnsi="宋体" w:eastAsia="黑体" w:cs="宋体"/>
      <w:b/>
      <w:bCs/>
      <w:shd w:val="clear" w:color="auto" w:fill="FFFFFF"/>
    </w:rPr>
  </w:style>
  <w:style w:type="paragraph" w:customStyle="1" w:styleId="119">
    <w:name w:val="合同小标题"/>
    <w:basedOn w:val="1"/>
    <w:link w:val="118"/>
    <w:qFormat/>
    <w:uiPriority w:val="0"/>
    <w:pPr>
      <w:shd w:val="clear" w:color="auto" w:fill="FFFFFF"/>
      <w:spacing w:before="100" w:after="100" w:line="330" w:lineRule="atLeast"/>
      <w:ind w:left="178" w:leftChars="74" w:right="24" w:firstLine="422" w:firstLineChars="200"/>
    </w:pPr>
    <w:rPr>
      <w:rFonts w:ascii="黑体" w:hAnsi="宋体" w:eastAsia="黑体" w:cs="宋体"/>
      <w:b/>
      <w:bCs/>
      <w:kern w:val="0"/>
      <w:sz w:val="20"/>
    </w:rPr>
  </w:style>
  <w:style w:type="character" w:customStyle="1" w:styleId="120">
    <w:name w:val="正文文本 Char1"/>
    <w:semiHidden/>
    <w:qFormat/>
    <w:uiPriority w:val="99"/>
    <w:rPr>
      <w:rFonts w:ascii="Times New Roman" w:hAnsi="Times New Roman" w:eastAsia="宋体" w:cs="Times New Roman"/>
      <w:szCs w:val="20"/>
    </w:rPr>
  </w:style>
  <w:style w:type="paragraph" w:customStyle="1" w:styleId="121">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122">
    <w:name w:val="页眉 Char1"/>
    <w:semiHidden/>
    <w:qFormat/>
    <w:uiPriority w:val="99"/>
    <w:rPr>
      <w:rFonts w:ascii="Times New Roman" w:hAnsi="Times New Roman" w:eastAsia="宋体" w:cs="Times New Roman"/>
      <w:sz w:val="18"/>
      <w:szCs w:val="18"/>
    </w:rPr>
  </w:style>
  <w:style w:type="character" w:customStyle="1" w:styleId="123">
    <w:name w:val="批注框文本 Char1"/>
    <w:semiHidden/>
    <w:qFormat/>
    <w:uiPriority w:val="99"/>
    <w:rPr>
      <w:rFonts w:ascii="Times New Roman" w:hAnsi="Times New Roman" w:eastAsia="宋体" w:cs="Times New Roman"/>
      <w:sz w:val="18"/>
      <w:szCs w:val="18"/>
    </w:rPr>
  </w:style>
  <w:style w:type="character" w:customStyle="1" w:styleId="124">
    <w:name w:val="日期 Char1"/>
    <w:semiHidden/>
    <w:qFormat/>
    <w:uiPriority w:val="99"/>
    <w:rPr>
      <w:rFonts w:ascii="Times New Roman" w:hAnsi="Times New Roman" w:eastAsia="宋体" w:cs="Times New Roman"/>
      <w:szCs w:val="20"/>
    </w:rPr>
  </w:style>
  <w:style w:type="character" w:customStyle="1" w:styleId="125">
    <w:name w:val="HTML 预设格式 字符1"/>
    <w:qFormat/>
    <w:uiPriority w:val="0"/>
    <w:rPr>
      <w:rFonts w:ascii="Courier New" w:hAnsi="Courier New" w:cs="Courier New"/>
      <w:sz w:val="20"/>
      <w:szCs w:val="20"/>
    </w:rPr>
  </w:style>
  <w:style w:type="character" w:customStyle="1" w:styleId="126">
    <w:name w:val="HTML 预设格式 Char1"/>
    <w:semiHidden/>
    <w:qFormat/>
    <w:uiPriority w:val="99"/>
    <w:rPr>
      <w:rFonts w:ascii="Courier New" w:hAnsi="Courier New" w:eastAsia="宋体" w:cs="Courier New"/>
      <w:sz w:val="20"/>
      <w:szCs w:val="20"/>
    </w:rPr>
  </w:style>
  <w:style w:type="character" w:customStyle="1" w:styleId="127">
    <w:name w:val="正文文本 2 Char1"/>
    <w:semiHidden/>
    <w:qFormat/>
    <w:uiPriority w:val="99"/>
    <w:rPr>
      <w:rFonts w:ascii="Times New Roman" w:hAnsi="Times New Roman" w:eastAsia="宋体" w:cs="Times New Roman"/>
      <w:szCs w:val="20"/>
    </w:rPr>
  </w:style>
  <w:style w:type="paragraph" w:customStyle="1" w:styleId="128">
    <w:name w:val="Char Char Char Char"/>
    <w:basedOn w:val="1"/>
    <w:qFormat/>
    <w:uiPriority w:val="0"/>
    <w:rPr>
      <w:sz w:val="30"/>
      <w:szCs w:val="24"/>
    </w:rPr>
  </w:style>
  <w:style w:type="character" w:customStyle="1" w:styleId="129">
    <w:name w:val="标题 字符1"/>
    <w:qFormat/>
    <w:uiPriority w:val="0"/>
    <w:rPr>
      <w:rFonts w:ascii="等线 Light" w:hAnsi="等线 Light" w:eastAsia="等线 Light" w:cs="Times New Roman"/>
      <w:b/>
      <w:bCs/>
      <w:sz w:val="32"/>
      <w:szCs w:val="32"/>
    </w:rPr>
  </w:style>
  <w:style w:type="character" w:customStyle="1" w:styleId="130">
    <w:name w:val="标题 Char1"/>
    <w:qFormat/>
    <w:uiPriority w:val="10"/>
    <w:rPr>
      <w:rFonts w:ascii="Cambria" w:hAnsi="Cambria" w:eastAsia="宋体" w:cs="Times New Roman"/>
      <w:b/>
      <w:bCs/>
      <w:sz w:val="32"/>
      <w:szCs w:val="32"/>
    </w:rPr>
  </w:style>
  <w:style w:type="character" w:customStyle="1" w:styleId="131">
    <w:name w:val="尾注文本 字符1"/>
    <w:qFormat/>
    <w:uiPriority w:val="0"/>
  </w:style>
  <w:style w:type="character" w:customStyle="1" w:styleId="132">
    <w:name w:val="尾注文本 Char1"/>
    <w:semiHidden/>
    <w:qFormat/>
    <w:uiPriority w:val="99"/>
    <w:rPr>
      <w:rFonts w:ascii="Times New Roman" w:hAnsi="Times New Roman" w:eastAsia="宋体" w:cs="Times New Roman"/>
      <w:szCs w:val="20"/>
    </w:rPr>
  </w:style>
  <w:style w:type="character" w:customStyle="1" w:styleId="133">
    <w:name w:val="正文首行缩进 Char1"/>
    <w:semiHidden/>
    <w:qFormat/>
    <w:uiPriority w:val="99"/>
  </w:style>
  <w:style w:type="character" w:customStyle="1" w:styleId="134">
    <w:name w:val="批注主题 Char1"/>
    <w:semiHidden/>
    <w:qFormat/>
    <w:uiPriority w:val="99"/>
    <w:rPr>
      <w:rFonts w:ascii="Times New Roman" w:hAnsi="Times New Roman" w:eastAsia="宋体" w:cs="Times New Roman"/>
      <w:b/>
      <w:bCs/>
      <w:kern w:val="2"/>
      <w:sz w:val="21"/>
      <w:szCs w:val="20"/>
    </w:rPr>
  </w:style>
  <w:style w:type="character" w:customStyle="1" w:styleId="135">
    <w:name w:val="文档结构图 字符1"/>
    <w:qFormat/>
    <w:uiPriority w:val="0"/>
    <w:rPr>
      <w:rFonts w:ascii="Microsoft YaHei UI" w:eastAsia="Microsoft YaHei UI"/>
      <w:sz w:val="18"/>
      <w:szCs w:val="18"/>
    </w:rPr>
  </w:style>
  <w:style w:type="character" w:customStyle="1" w:styleId="136">
    <w:name w:val="文档结构图 Char1"/>
    <w:semiHidden/>
    <w:qFormat/>
    <w:uiPriority w:val="99"/>
    <w:rPr>
      <w:rFonts w:ascii="宋体" w:hAnsi="Times New Roman" w:eastAsia="宋体" w:cs="Times New Roman"/>
      <w:sz w:val="18"/>
      <w:szCs w:val="18"/>
    </w:rPr>
  </w:style>
  <w:style w:type="paragraph" w:customStyle="1" w:styleId="137">
    <w:name w:val="页脚 New New New New New New New New New New New New New New New New New New"/>
    <w:basedOn w:val="1"/>
    <w:qFormat/>
    <w:uiPriority w:val="0"/>
    <w:pPr>
      <w:tabs>
        <w:tab w:val="center" w:pos="4153"/>
        <w:tab w:val="right" w:pos="8306"/>
      </w:tabs>
      <w:snapToGrid w:val="0"/>
      <w:jc w:val="left"/>
    </w:pPr>
    <w:rPr>
      <w:sz w:val="18"/>
      <w:szCs w:val="18"/>
    </w:rPr>
  </w:style>
  <w:style w:type="character" w:customStyle="1" w:styleId="138">
    <w:name w:val="正文文本缩进 Char1"/>
    <w:semiHidden/>
    <w:qFormat/>
    <w:uiPriority w:val="99"/>
    <w:rPr>
      <w:rFonts w:ascii="Times New Roman" w:hAnsi="Times New Roman" w:eastAsia="宋体" w:cs="Times New Roman"/>
      <w:szCs w:val="20"/>
    </w:rPr>
  </w:style>
  <w:style w:type="character" w:customStyle="1" w:styleId="139">
    <w:name w:val="脚注文本 字符1"/>
    <w:qFormat/>
    <w:uiPriority w:val="0"/>
    <w:rPr>
      <w:sz w:val="18"/>
      <w:szCs w:val="18"/>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页脚 Char1"/>
    <w:semiHidden/>
    <w:qFormat/>
    <w:uiPriority w:val="99"/>
    <w:rPr>
      <w:rFonts w:ascii="Times New Roman" w:hAnsi="Times New Roman" w:eastAsia="宋体" w:cs="Times New Roman"/>
      <w:sz w:val="18"/>
      <w:szCs w:val="18"/>
    </w:rPr>
  </w:style>
  <w:style w:type="character" w:customStyle="1" w:styleId="142">
    <w:name w:val="正文文本缩进 2 Char1"/>
    <w:semiHidden/>
    <w:qFormat/>
    <w:uiPriority w:val="99"/>
    <w:rPr>
      <w:rFonts w:ascii="Times New Roman" w:hAnsi="Times New Roman" w:eastAsia="宋体" w:cs="Times New Roman"/>
      <w:szCs w:val="20"/>
    </w:rPr>
  </w:style>
  <w:style w:type="character" w:customStyle="1" w:styleId="143">
    <w:name w:val="纯文本 Char1"/>
    <w:semiHidden/>
    <w:qFormat/>
    <w:uiPriority w:val="99"/>
    <w:rPr>
      <w:rFonts w:ascii="宋体" w:hAnsi="Courier New" w:eastAsia="宋体" w:cs="Courier New"/>
      <w:szCs w:val="21"/>
    </w:rPr>
  </w:style>
  <w:style w:type="paragraph" w:customStyle="1" w:styleId="14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145">
    <w:name w:val="正文文本缩进 3 字符1"/>
    <w:qFormat/>
    <w:uiPriority w:val="0"/>
    <w:rPr>
      <w:sz w:val="16"/>
      <w:szCs w:val="16"/>
    </w:rPr>
  </w:style>
  <w:style w:type="character" w:customStyle="1" w:styleId="146">
    <w:name w:val="正文文本缩进 3 Char1"/>
    <w:semiHidden/>
    <w:qFormat/>
    <w:uiPriority w:val="99"/>
    <w:rPr>
      <w:rFonts w:ascii="Times New Roman" w:hAnsi="Times New Roman" w:eastAsia="宋体" w:cs="Times New Roman"/>
      <w:sz w:val="16"/>
      <w:szCs w:val="16"/>
    </w:rPr>
  </w:style>
  <w:style w:type="paragraph" w:customStyle="1" w:styleId="147">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p0"/>
    <w:basedOn w:val="1"/>
    <w:qFormat/>
    <w:uiPriority w:val="0"/>
    <w:pPr>
      <w:widowControl/>
    </w:pPr>
    <w:rPr>
      <w:kern w:val="0"/>
      <w:szCs w:val="21"/>
    </w:rPr>
  </w:style>
  <w:style w:type="paragraph" w:customStyle="1" w:styleId="150">
    <w:name w:val="页脚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51">
    <w:name w:val="文档结构图1"/>
    <w:basedOn w:val="1"/>
    <w:qFormat/>
    <w:uiPriority w:val="0"/>
    <w:pPr>
      <w:shd w:val="clear" w:color="auto" w:fill="000080"/>
    </w:pPr>
    <w:rPr>
      <w:sz w:val="30"/>
      <w:szCs w:val="24"/>
    </w:rPr>
  </w:style>
  <w:style w:type="paragraph" w:customStyle="1" w:styleId="15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5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5">
    <w:name w:val="Char Char Char1 Char"/>
    <w:basedOn w:val="12"/>
    <w:qFormat/>
    <w:uiPriority w:val="0"/>
    <w:rPr>
      <w:rFonts w:ascii="Tahoma" w:hAnsi="Tahoma" w:eastAsia="等线"/>
      <w:sz w:val="24"/>
      <w:szCs w:val="24"/>
    </w:rPr>
  </w:style>
  <w:style w:type="paragraph" w:customStyle="1" w:styleId="156">
    <w:name w:val="普通(网站)1"/>
    <w:basedOn w:val="1"/>
    <w:qFormat/>
    <w:uiPriority w:val="0"/>
    <w:pPr>
      <w:widowControl/>
      <w:spacing w:line="500" w:lineRule="exact"/>
      <w:ind w:firstLine="510"/>
    </w:pPr>
    <w:rPr>
      <w:rFonts w:ascii="仿宋_GB2312" w:hAnsi="宋体" w:eastAsia="仿宋_GB2312"/>
      <w:color w:val="000000"/>
      <w:spacing w:val="-10"/>
      <w:kern w:val="0"/>
    </w:rPr>
  </w:style>
  <w:style w:type="paragraph" w:customStyle="1" w:styleId="157">
    <w:name w:val="正文缩进 New"/>
    <w:basedOn w:val="153"/>
    <w:qFormat/>
    <w:uiPriority w:val="0"/>
    <w:pPr>
      <w:ind w:firstLine="420"/>
    </w:pPr>
    <w:rPr>
      <w:rFonts w:ascii="Times New Roman" w:hAnsi="Times New Roman" w:cs="Times New Roman"/>
      <w:snapToGrid/>
      <w:kern w:val="2"/>
      <w:szCs w:val="20"/>
    </w:rPr>
  </w:style>
  <w:style w:type="paragraph" w:customStyle="1" w:styleId="158">
    <w:name w:val="页脚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59">
    <w:name w:val="纯文本1"/>
    <w:basedOn w:val="1"/>
    <w:qFormat/>
    <w:uiPriority w:val="0"/>
    <w:rPr>
      <w:rFonts w:ascii="宋体" w:hAnsi="Courier New"/>
      <w:sz w:val="24"/>
    </w:rPr>
  </w:style>
  <w:style w:type="paragraph" w:customStyle="1" w:styleId="160">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1">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2">
    <w:name w:val="页脚 New New New New New New New New"/>
    <w:basedOn w:val="1"/>
    <w:qFormat/>
    <w:uiPriority w:val="0"/>
    <w:pPr>
      <w:tabs>
        <w:tab w:val="center" w:pos="4153"/>
        <w:tab w:val="right" w:pos="8306"/>
      </w:tabs>
      <w:snapToGrid w:val="0"/>
      <w:jc w:val="left"/>
    </w:pPr>
    <w:rPr>
      <w:sz w:val="18"/>
      <w:szCs w:val="18"/>
    </w:rPr>
  </w:style>
  <w:style w:type="paragraph" w:customStyle="1" w:styleId="163">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4">
    <w:name w:val="公文抬头"/>
    <w:basedOn w:val="6"/>
    <w:qFormat/>
    <w:uiPriority w:val="0"/>
    <w:pPr>
      <w:ind w:firstLine="0"/>
    </w:pPr>
    <w:rPr>
      <w:rFonts w:ascii="仿宋_GB2312" w:eastAsia="仿宋_GB2312"/>
      <w:sz w:val="30"/>
      <w:szCs w:val="24"/>
    </w:rPr>
  </w:style>
  <w:style w:type="paragraph" w:customStyle="1" w:styleId="165">
    <w:name w:val="Char1 Char Char Char Char Char Char1"/>
    <w:basedOn w:val="1"/>
    <w:qFormat/>
    <w:uiPriority w:val="0"/>
    <w:rPr>
      <w:sz w:val="30"/>
      <w:szCs w:val="24"/>
    </w:rPr>
  </w:style>
  <w:style w:type="paragraph" w:customStyle="1" w:styleId="166">
    <w:name w:val="页脚 New"/>
    <w:basedOn w:val="167"/>
    <w:qFormat/>
    <w:uiPriority w:val="0"/>
    <w:pPr>
      <w:tabs>
        <w:tab w:val="center" w:pos="4153"/>
        <w:tab w:val="right" w:pos="8306"/>
      </w:tabs>
      <w:snapToGrid w:val="0"/>
      <w:jc w:val="left"/>
    </w:pPr>
    <w:rPr>
      <w:sz w:val="18"/>
    </w:rPr>
  </w:style>
  <w:style w:type="paragraph" w:customStyle="1" w:styleId="167">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8">
    <w:name w:val="正文首行缩进1"/>
    <w:basedOn w:val="14"/>
    <w:qFormat/>
    <w:uiPriority w:val="0"/>
    <w:pPr>
      <w:spacing w:before="0" w:after="120"/>
      <w:ind w:firstLine="420" w:firstLineChars="100"/>
      <w:jc w:val="both"/>
    </w:pPr>
    <w:rPr>
      <w:rFonts w:ascii="Calibri" w:hAnsi="Calibri"/>
      <w:b w:val="0"/>
      <w:sz w:val="30"/>
      <w:szCs w:val="24"/>
      <w:lang w:val="zh-CN"/>
    </w:rPr>
  </w:style>
  <w:style w:type="paragraph" w:customStyle="1" w:styleId="169">
    <w:name w:val="页脚 New New New New New New New New New New New New"/>
    <w:basedOn w:val="1"/>
    <w:qFormat/>
    <w:uiPriority w:val="0"/>
    <w:pPr>
      <w:tabs>
        <w:tab w:val="center" w:pos="4153"/>
        <w:tab w:val="right" w:pos="8306"/>
      </w:tabs>
      <w:snapToGrid w:val="0"/>
      <w:jc w:val="left"/>
    </w:pPr>
    <w:rPr>
      <w:sz w:val="18"/>
      <w:szCs w:val="18"/>
    </w:rPr>
  </w:style>
  <w:style w:type="paragraph" w:customStyle="1" w:styleId="170">
    <w:name w:val="正文文本缩进1"/>
    <w:basedOn w:val="1"/>
    <w:qFormat/>
    <w:uiPriority w:val="0"/>
    <w:pPr>
      <w:ind w:firstLine="480"/>
    </w:pPr>
    <w:rPr>
      <w:sz w:val="24"/>
    </w:rPr>
  </w:style>
  <w:style w:type="paragraph" w:customStyle="1" w:styleId="171">
    <w:name w:val="页眉 New New"/>
    <w:basedOn w:val="161"/>
    <w:qFormat/>
    <w:uiPriority w:val="0"/>
    <w:pPr>
      <w:pBdr>
        <w:bottom w:val="single" w:color="auto" w:sz="6" w:space="1"/>
      </w:pBdr>
      <w:tabs>
        <w:tab w:val="center" w:pos="4153"/>
        <w:tab w:val="right" w:pos="8306"/>
      </w:tabs>
      <w:snapToGrid w:val="0"/>
      <w:jc w:val="center"/>
    </w:pPr>
    <w:rPr>
      <w:sz w:val="18"/>
    </w:rPr>
  </w:style>
  <w:style w:type="paragraph" w:customStyle="1" w:styleId="172">
    <w:name w:val="Char1"/>
    <w:basedOn w:val="1"/>
    <w:qFormat/>
    <w:uiPriority w:val="0"/>
    <w:pPr>
      <w:ind w:left="567" w:hanging="279"/>
    </w:pPr>
    <w:rPr>
      <w:sz w:val="24"/>
      <w:szCs w:val="24"/>
    </w:rPr>
  </w:style>
  <w:style w:type="paragraph" w:customStyle="1" w:styleId="173">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页脚 New New New New New New New New New New"/>
    <w:basedOn w:val="1"/>
    <w:qFormat/>
    <w:uiPriority w:val="0"/>
    <w:pPr>
      <w:tabs>
        <w:tab w:val="center" w:pos="4153"/>
        <w:tab w:val="right" w:pos="8306"/>
      </w:tabs>
      <w:snapToGrid w:val="0"/>
      <w:jc w:val="left"/>
    </w:pPr>
    <w:rPr>
      <w:sz w:val="18"/>
      <w:szCs w:val="18"/>
    </w:rPr>
  </w:style>
  <w:style w:type="paragraph" w:customStyle="1" w:styleId="175">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176">
    <w:name w:val="页脚 New New New New New New New New New"/>
    <w:basedOn w:val="1"/>
    <w:qFormat/>
    <w:uiPriority w:val="0"/>
    <w:pPr>
      <w:tabs>
        <w:tab w:val="center" w:pos="4153"/>
        <w:tab w:val="right" w:pos="8306"/>
      </w:tabs>
      <w:snapToGrid w:val="0"/>
      <w:jc w:val="left"/>
    </w:pPr>
    <w:rPr>
      <w:sz w:val="18"/>
      <w:szCs w:val="18"/>
    </w:rPr>
  </w:style>
  <w:style w:type="paragraph" w:customStyle="1" w:styleId="177">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TOC 标题1"/>
    <w:basedOn w:val="2"/>
    <w:next w:val="1"/>
    <w:qFormat/>
    <w:uiPriority w:val="39"/>
    <w:pPr>
      <w:widowControl/>
      <w:spacing w:before="480" w:after="0" w:line="276" w:lineRule="auto"/>
      <w:jc w:val="left"/>
      <w:outlineLvl w:val="9"/>
    </w:pPr>
    <w:rPr>
      <w:rFonts w:ascii="Cambria" w:hAnsi="Cambria"/>
      <w:bCs w:val="0"/>
      <w:color w:val="365F91"/>
      <w:kern w:val="0"/>
      <w:sz w:val="28"/>
      <w:szCs w:val="28"/>
      <w:lang w:val="zh-CN"/>
    </w:rPr>
  </w:style>
  <w:style w:type="paragraph" w:customStyle="1" w:styleId="179">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80">
    <w:name w:val="页脚 New New"/>
    <w:basedOn w:val="161"/>
    <w:qFormat/>
    <w:uiPriority w:val="0"/>
    <w:pPr>
      <w:tabs>
        <w:tab w:val="center" w:pos="4153"/>
        <w:tab w:val="right" w:pos="8306"/>
      </w:tabs>
      <w:snapToGrid w:val="0"/>
      <w:jc w:val="left"/>
    </w:pPr>
    <w:rPr>
      <w:sz w:val="18"/>
    </w:rPr>
  </w:style>
  <w:style w:type="paragraph" w:customStyle="1" w:styleId="181">
    <w:name w:val="正文缩进1"/>
    <w:basedOn w:val="1"/>
    <w:qFormat/>
    <w:uiPriority w:val="0"/>
    <w:pPr>
      <w:ind w:firstLine="420" w:firstLineChars="200"/>
    </w:pPr>
    <w:rPr>
      <w:sz w:val="30"/>
      <w:szCs w:val="24"/>
    </w:rPr>
  </w:style>
  <w:style w:type="paragraph" w:customStyle="1" w:styleId="182">
    <w:name w:val="正文文本缩进 21"/>
    <w:basedOn w:val="1"/>
    <w:qFormat/>
    <w:uiPriority w:val="0"/>
    <w:pPr>
      <w:spacing w:line="420" w:lineRule="exact"/>
      <w:ind w:firstLine="480"/>
    </w:pPr>
    <w:rPr>
      <w:b/>
      <w:sz w:val="24"/>
    </w:rPr>
  </w:style>
  <w:style w:type="paragraph" w:customStyle="1" w:styleId="183">
    <w:name w:val="页脚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84">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页眉 New"/>
    <w:basedOn w:val="167"/>
    <w:qFormat/>
    <w:uiPriority w:val="0"/>
    <w:pPr>
      <w:pBdr>
        <w:bottom w:val="single" w:color="auto" w:sz="6" w:space="1"/>
      </w:pBdr>
      <w:tabs>
        <w:tab w:val="center" w:pos="4153"/>
        <w:tab w:val="right" w:pos="8306"/>
      </w:tabs>
      <w:snapToGrid w:val="0"/>
      <w:jc w:val="center"/>
    </w:pPr>
    <w:rPr>
      <w:sz w:val="18"/>
    </w:rPr>
  </w:style>
  <w:style w:type="paragraph" w:customStyle="1" w:styleId="186">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7">
    <w:name w:val="Char1 Char Char Char Char Char Char1 Char Char Char"/>
    <w:basedOn w:val="1"/>
    <w:qFormat/>
    <w:uiPriority w:val="0"/>
    <w:rPr>
      <w:sz w:val="30"/>
      <w:szCs w:val="24"/>
    </w:rPr>
  </w:style>
  <w:style w:type="paragraph" w:customStyle="1" w:styleId="188">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页脚 New New New New"/>
    <w:basedOn w:val="1"/>
    <w:qFormat/>
    <w:uiPriority w:val="0"/>
    <w:pPr>
      <w:tabs>
        <w:tab w:val="center" w:pos="4153"/>
        <w:tab w:val="right" w:pos="8306"/>
      </w:tabs>
      <w:snapToGrid w:val="0"/>
      <w:jc w:val="left"/>
    </w:pPr>
    <w:rPr>
      <w:sz w:val="18"/>
      <w:szCs w:val="18"/>
    </w:rPr>
  </w:style>
  <w:style w:type="paragraph" w:customStyle="1" w:styleId="190">
    <w:name w:val="页脚 New New New New New"/>
    <w:basedOn w:val="1"/>
    <w:qFormat/>
    <w:uiPriority w:val="0"/>
    <w:pPr>
      <w:tabs>
        <w:tab w:val="center" w:pos="4153"/>
        <w:tab w:val="right" w:pos="8306"/>
      </w:tabs>
      <w:snapToGrid w:val="0"/>
      <w:jc w:val="left"/>
    </w:pPr>
    <w:rPr>
      <w:sz w:val="18"/>
      <w:szCs w:val="18"/>
    </w:rPr>
  </w:style>
  <w:style w:type="paragraph" w:customStyle="1" w:styleId="19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92">
    <w:name w:val="标题 2 New"/>
    <w:basedOn w:val="153"/>
    <w:next w:val="153"/>
    <w:qFormat/>
    <w:uiPriority w:val="0"/>
    <w:pPr>
      <w:keepNext/>
      <w:keepLines/>
      <w:spacing w:before="260" w:after="260" w:line="416" w:lineRule="auto"/>
      <w:outlineLvl w:val="1"/>
    </w:pPr>
    <w:rPr>
      <w:rFonts w:ascii="Arial" w:hAnsi="Arial" w:eastAsia="仿宋_GB2312"/>
      <w:b/>
      <w:bCs/>
      <w:sz w:val="3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页脚 New New New New New New New"/>
    <w:basedOn w:val="1"/>
    <w:qFormat/>
    <w:uiPriority w:val="0"/>
    <w:pPr>
      <w:tabs>
        <w:tab w:val="center" w:pos="4153"/>
        <w:tab w:val="right" w:pos="8306"/>
      </w:tabs>
      <w:snapToGrid w:val="0"/>
      <w:jc w:val="left"/>
    </w:pPr>
    <w:rPr>
      <w:sz w:val="18"/>
      <w:szCs w:val="18"/>
    </w:rPr>
  </w:style>
  <w:style w:type="paragraph" w:customStyle="1" w:styleId="195">
    <w:name w:val="正文文本 New"/>
    <w:basedOn w:val="121"/>
    <w:qFormat/>
    <w:uiPriority w:val="0"/>
    <w:pPr>
      <w:spacing w:after="120"/>
    </w:pPr>
  </w:style>
  <w:style w:type="paragraph" w:customStyle="1" w:styleId="196">
    <w:name w:val="页脚 New New New New New New"/>
    <w:basedOn w:val="1"/>
    <w:qFormat/>
    <w:uiPriority w:val="0"/>
    <w:pPr>
      <w:tabs>
        <w:tab w:val="center" w:pos="4153"/>
        <w:tab w:val="right" w:pos="8306"/>
      </w:tabs>
      <w:snapToGrid w:val="0"/>
      <w:jc w:val="left"/>
    </w:pPr>
    <w:rPr>
      <w:sz w:val="18"/>
      <w:szCs w:val="18"/>
    </w:rPr>
  </w:style>
  <w:style w:type="paragraph" w:customStyle="1" w:styleId="197">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9">
    <w:name w:val="纯文本 New"/>
    <w:basedOn w:val="121"/>
    <w:qFormat/>
    <w:uiPriority w:val="0"/>
    <w:rPr>
      <w:rFonts w:ascii="宋体" w:hAnsi="Courier New"/>
      <w:sz w:val="24"/>
      <w:szCs w:val="20"/>
    </w:rPr>
  </w:style>
  <w:style w:type="paragraph" w:customStyle="1" w:styleId="200">
    <w:name w:val="公文标题"/>
    <w:basedOn w:val="4"/>
    <w:qFormat/>
    <w:uiPriority w:val="0"/>
    <w:pPr>
      <w:spacing w:before="0" w:after="0" w:line="240" w:lineRule="auto"/>
      <w:ind w:left="1469" w:right="1542"/>
      <w:jc w:val="center"/>
    </w:pPr>
    <w:rPr>
      <w:bCs w:val="0"/>
      <w:sz w:val="44"/>
      <w:szCs w:val="24"/>
      <w:lang w:val="zh-CN"/>
    </w:rPr>
  </w:style>
  <w:style w:type="paragraph" w:customStyle="1" w:styleId="201">
    <w:name w:val="发文落款"/>
    <w:basedOn w:val="198"/>
    <w:qFormat/>
    <w:uiPriority w:val="0"/>
    <w:pPr>
      <w:ind w:left="4094" w:right="607" w:firstLine="0"/>
      <w:jc w:val="center"/>
    </w:pPr>
  </w:style>
  <w:style w:type="paragraph" w:customStyle="1" w:styleId="202">
    <w:name w:val="正文首行缩进 New"/>
    <w:basedOn w:val="195"/>
    <w:qFormat/>
    <w:uiPriority w:val="0"/>
    <w:pPr>
      <w:ind w:firstLine="420" w:firstLineChars="100"/>
    </w:pPr>
  </w:style>
  <w:style w:type="paragraph" w:customStyle="1" w:styleId="203">
    <w:name w:val="表头"/>
    <w:basedOn w:val="1"/>
    <w:qFormat/>
    <w:uiPriority w:val="0"/>
    <w:pPr>
      <w:spacing w:line="360" w:lineRule="auto"/>
      <w:jc w:val="center"/>
    </w:pPr>
    <w:rPr>
      <w:rFonts w:ascii="黑体" w:eastAsia="黑体"/>
      <w:kern w:val="0"/>
      <w:sz w:val="24"/>
    </w:rPr>
  </w:style>
  <w:style w:type="paragraph" w:customStyle="1" w:styleId="204">
    <w:name w:val="页脚 New New New"/>
    <w:basedOn w:val="1"/>
    <w:qFormat/>
    <w:uiPriority w:val="0"/>
    <w:pPr>
      <w:tabs>
        <w:tab w:val="center" w:pos="4153"/>
        <w:tab w:val="right" w:pos="8306"/>
      </w:tabs>
      <w:snapToGrid w:val="0"/>
      <w:jc w:val="left"/>
    </w:pPr>
    <w:rPr>
      <w:sz w:val="18"/>
      <w:szCs w:val="18"/>
    </w:rPr>
  </w:style>
  <w:style w:type="paragraph" w:customStyle="1" w:styleId="205">
    <w:name w:val="页脚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06">
    <w:name w:val="页脚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07">
    <w:name w:val="修订1"/>
    <w:qFormat/>
    <w:uiPriority w:val="99"/>
    <w:rPr>
      <w:rFonts w:ascii="Times New Roman" w:hAnsi="Times New Roman" w:eastAsia="宋体" w:cs="Times New Roman"/>
      <w:kern w:val="2"/>
      <w:sz w:val="30"/>
      <w:szCs w:val="24"/>
      <w:lang w:val="en-US" w:eastAsia="zh-CN" w:bidi="ar-SA"/>
    </w:rPr>
  </w:style>
  <w:style w:type="paragraph" w:customStyle="1" w:styleId="208">
    <w:name w:val="页脚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09">
    <w:name w:val="页脚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10">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1">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页脚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13">
    <w:name w:val="msolistparagraph"/>
    <w:basedOn w:val="1"/>
    <w:qFormat/>
    <w:uiPriority w:val="0"/>
    <w:pPr>
      <w:spacing w:line="360" w:lineRule="auto"/>
      <w:ind w:left="74" w:leftChars="74" w:firstLine="420" w:firstLineChars="200"/>
    </w:pPr>
    <w:rPr>
      <w:rFonts w:ascii="宋体" w:hAnsi="宋体" w:cs="宋体"/>
      <w:kern w:val="0"/>
      <w:sz w:val="24"/>
      <w:szCs w:val="24"/>
    </w:rPr>
  </w:style>
  <w:style w:type="paragraph" w:customStyle="1" w:styleId="214">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15">
    <w:name w:val="页脚 New New New New New New New New New New New"/>
    <w:basedOn w:val="1"/>
    <w:qFormat/>
    <w:uiPriority w:val="0"/>
    <w:pPr>
      <w:tabs>
        <w:tab w:val="center" w:pos="4153"/>
        <w:tab w:val="right" w:pos="8306"/>
      </w:tabs>
      <w:snapToGrid w:val="0"/>
      <w:jc w:val="left"/>
    </w:pPr>
    <w:rPr>
      <w:sz w:val="18"/>
      <w:szCs w:val="18"/>
    </w:rPr>
  </w:style>
  <w:style w:type="paragraph" w:customStyle="1" w:styleId="216">
    <w:name w:val="Char Char"/>
    <w:basedOn w:val="1"/>
    <w:qFormat/>
    <w:uiPriority w:val="0"/>
    <w:pPr>
      <w:adjustRightInd w:val="0"/>
      <w:spacing w:line="360" w:lineRule="atLeast"/>
    </w:pPr>
    <w:rPr>
      <w:szCs w:val="24"/>
    </w:rPr>
  </w:style>
  <w:style w:type="character" w:customStyle="1" w:styleId="217">
    <w:name w:val="NormalCharacter"/>
    <w:qFormat/>
    <w:uiPriority w:val="0"/>
  </w:style>
  <w:style w:type="paragraph" w:customStyle="1" w:styleId="218">
    <w:name w:val="Normal Indent1"/>
    <w:basedOn w:val="1"/>
    <w:unhideWhenUsed/>
    <w:qFormat/>
    <w:uiPriority w:val="0"/>
    <w:pPr>
      <w:ind w:firstLine="420"/>
    </w:pPr>
    <w:rPr>
      <w:rFonts w:ascii="Calibri" w:hAnsi="Calibri"/>
      <w:kern w:val="0"/>
      <w:sz w:val="20"/>
    </w:rPr>
  </w:style>
  <w:style w:type="character" w:customStyle="1" w:styleId="219">
    <w:name w:val="页脚 字符1"/>
    <w:qFormat/>
    <w:uiPriority w:val="99"/>
    <w:rPr>
      <w:sz w:val="18"/>
      <w:szCs w:val="18"/>
    </w:rPr>
  </w:style>
  <w:style w:type="character" w:customStyle="1" w:styleId="220">
    <w:name w:val="_Style 219"/>
    <w:unhideWhenUsed/>
    <w:qFormat/>
    <w:uiPriority w:val="99"/>
    <w:rPr>
      <w:color w:val="605E5C"/>
      <w:shd w:val="clear" w:color="auto" w:fill="E1DFDD"/>
    </w:rPr>
  </w:style>
  <w:style w:type="paragraph" w:customStyle="1" w:styleId="221">
    <w:name w:val="Other|1"/>
    <w:basedOn w:val="1"/>
    <w:qFormat/>
    <w:uiPriority w:val="0"/>
    <w:pPr>
      <w:spacing w:after="160" w:line="432" w:lineRule="auto"/>
      <w:ind w:firstLine="400"/>
    </w:pPr>
    <w:rPr>
      <w:rFonts w:ascii="宋体" w:hAnsi="宋体" w:cs="宋体"/>
      <w:sz w:val="22"/>
      <w:szCs w:val="22"/>
      <w:lang w:val="zh-TW" w:eastAsia="zh-TW" w:bidi="zh-TW"/>
    </w:rPr>
  </w:style>
  <w:style w:type="paragraph" w:customStyle="1" w:styleId="222">
    <w:name w:val="_Style 3"/>
    <w:basedOn w:val="1"/>
    <w:qFormat/>
    <w:uiPriority w:val="99"/>
    <w:pPr>
      <w:spacing w:line="360" w:lineRule="auto"/>
      <w:jc w:val="center"/>
    </w:pPr>
    <w:rPr>
      <w:rFonts w:ascii="等线" w:hAnsi="等线" w:eastAsia="等线"/>
    </w:rPr>
  </w:style>
  <w:style w:type="paragraph" w:customStyle="1" w:styleId="22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bb</Company>
  <Pages>109</Pages>
  <Words>24321</Words>
  <Characters>25285</Characters>
  <Lines>610</Lines>
  <Paragraphs>171</Paragraphs>
  <TotalTime>39</TotalTime>
  <ScaleCrop>false</ScaleCrop>
  <LinksUpToDate>false</LinksUpToDate>
  <CharactersWithSpaces>25878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2020-02-04T07:33:00Z</dcterms:created>
  <dc:creator>aa</dc:creator>
  <cp:lastModifiedBy>fang</cp:lastModifiedBy>
  <cp:lastPrinted>2025-08-19T07:04:00Z</cp:lastPrinted>
  <dcterms:modified xsi:type="dcterms:W3CDTF">2025-10-20T06:16:30Z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8CDE62CD8C1C4AB09E36FBDAA4977D5A_13</vt:lpwstr>
  </property>
  <property fmtid="{D5CDD505-2E9C-101B-9397-08002B2CF9AE}" pid="4" name="KSOTemplateDocerSaveRecord">
    <vt:lpwstr>eyJoZGlkIjoiZjEwNjAwOTczYzEzZGEzZDgwZWE1ZWM5Mzg2ODc5NWUiLCJ1c2VySWQiOiI1MTIxMDM0MDAifQ==</vt:lpwstr>
  </property>
</Properties>
</file>