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ADD82">
      <w:pPr>
        <w:wordWrap w:val="0"/>
        <w:spacing w:line="360" w:lineRule="auto"/>
        <w:jc w:val="center"/>
        <w:rPr>
          <w:rFonts w:ascii="宋体" w:hAnsi="宋体" w:eastAsia="宋体" w:cs="宋体"/>
          <w:b/>
          <w:color w:val="auto"/>
          <w:sz w:val="48"/>
          <w:szCs w:val="48"/>
          <w:highlight w:val="none"/>
          <w:lang w:bidi="ar"/>
        </w:rPr>
      </w:pPr>
    </w:p>
    <w:p w14:paraId="62ED6145">
      <w:pPr>
        <w:wordWrap w:val="0"/>
        <w:spacing w:line="360" w:lineRule="auto"/>
        <w:jc w:val="center"/>
        <w:rPr>
          <w:rFonts w:hint="eastAsia" w:ascii="宋体" w:hAnsi="宋体" w:eastAsia="宋体" w:cs="宋体"/>
          <w:b/>
          <w:color w:val="auto"/>
          <w:sz w:val="48"/>
          <w:szCs w:val="48"/>
          <w:highlight w:val="none"/>
          <w:lang w:eastAsia="zh-CN" w:bidi="ar"/>
        </w:rPr>
      </w:pPr>
      <w:r>
        <w:rPr>
          <w:rFonts w:hint="eastAsia" w:ascii="宋体" w:hAnsi="宋体" w:eastAsia="宋体" w:cs="宋体"/>
          <w:b/>
          <w:color w:val="auto"/>
          <w:sz w:val="48"/>
          <w:szCs w:val="48"/>
          <w:highlight w:val="none"/>
          <w:lang w:eastAsia="zh-CN" w:bidi="ar"/>
        </w:rPr>
        <w:t>广州海珠湿地水生态保护修复工程</w:t>
      </w:r>
    </w:p>
    <w:p w14:paraId="358C680C">
      <w:pPr>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b/>
          <w:color w:val="auto"/>
          <w:sz w:val="48"/>
          <w:szCs w:val="48"/>
          <w:highlight w:val="none"/>
          <w:lang w:eastAsia="zh-CN" w:bidi="ar"/>
        </w:rPr>
        <w:t>勘察设计</w:t>
      </w:r>
    </w:p>
    <w:p w14:paraId="59D7DCB1">
      <w:pPr>
        <w:wordWrap w:val="0"/>
        <w:spacing w:line="360" w:lineRule="auto"/>
        <w:rPr>
          <w:rFonts w:ascii="宋体" w:hAnsi="宋体" w:eastAsia="宋体" w:cs="宋体"/>
          <w:b/>
          <w:color w:val="auto"/>
          <w:spacing w:val="40"/>
          <w:sz w:val="44"/>
          <w:szCs w:val="44"/>
          <w:highlight w:val="none"/>
        </w:rPr>
      </w:pPr>
    </w:p>
    <w:p w14:paraId="79DBD4B3">
      <w:pPr>
        <w:wordWrap w:val="0"/>
        <w:spacing w:line="360" w:lineRule="auto"/>
        <w:jc w:val="left"/>
        <w:rPr>
          <w:rFonts w:ascii="宋体" w:hAnsi="宋体" w:eastAsia="宋体" w:cs="宋体"/>
          <w:color w:val="auto"/>
          <w:sz w:val="36"/>
          <w:szCs w:val="36"/>
          <w:highlight w:val="none"/>
          <w:u w:val="single"/>
          <w:lang w:bidi="ar"/>
        </w:rPr>
      </w:pPr>
    </w:p>
    <w:p w14:paraId="3D41FC24">
      <w:pPr>
        <w:wordWrap w:val="0"/>
        <w:spacing w:line="360" w:lineRule="auto"/>
        <w:jc w:val="left"/>
        <w:rPr>
          <w:rFonts w:ascii="宋体" w:hAnsi="宋体" w:eastAsia="宋体" w:cs="宋体"/>
          <w:color w:val="auto"/>
          <w:sz w:val="36"/>
          <w:szCs w:val="36"/>
          <w:highlight w:val="none"/>
          <w:u w:val="single"/>
          <w:lang w:bidi="ar"/>
        </w:rPr>
      </w:pPr>
    </w:p>
    <w:p w14:paraId="2EFABC6D">
      <w:pPr>
        <w:wordWrap w:val="0"/>
        <w:spacing w:line="360" w:lineRule="auto"/>
        <w:jc w:val="left"/>
        <w:rPr>
          <w:rFonts w:ascii="宋体" w:hAnsi="宋体" w:eastAsia="宋体" w:cs="宋体"/>
          <w:color w:val="auto"/>
          <w:sz w:val="36"/>
          <w:szCs w:val="36"/>
          <w:highlight w:val="none"/>
          <w:u w:val="single"/>
          <w:lang w:bidi="ar"/>
        </w:rPr>
      </w:pPr>
    </w:p>
    <w:p w14:paraId="25216FCE">
      <w:pPr>
        <w:wordWrap w:val="0"/>
        <w:spacing w:line="360" w:lineRule="auto"/>
        <w:jc w:val="left"/>
        <w:rPr>
          <w:rFonts w:ascii="宋体" w:hAnsi="宋体" w:eastAsia="宋体" w:cs="宋体"/>
          <w:color w:val="auto"/>
          <w:sz w:val="36"/>
          <w:szCs w:val="36"/>
          <w:highlight w:val="none"/>
          <w:u w:val="single"/>
        </w:rPr>
      </w:pPr>
    </w:p>
    <w:p w14:paraId="4B7AFADC">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招标文件</w:t>
      </w:r>
    </w:p>
    <w:p w14:paraId="7BB1229F">
      <w:pPr>
        <w:wordWrap w:val="0"/>
        <w:spacing w:line="360" w:lineRule="auto"/>
        <w:rPr>
          <w:rFonts w:ascii="宋体" w:hAnsi="宋体" w:eastAsia="宋体" w:cs="宋体"/>
          <w:color w:val="auto"/>
          <w:sz w:val="32"/>
          <w:szCs w:val="32"/>
          <w:highlight w:val="none"/>
        </w:rPr>
      </w:pPr>
    </w:p>
    <w:p w14:paraId="54214F3F">
      <w:pPr>
        <w:wordWrap w:val="0"/>
        <w:spacing w:line="360" w:lineRule="auto"/>
        <w:rPr>
          <w:rFonts w:ascii="宋体" w:hAnsi="宋体" w:eastAsia="宋体" w:cs="宋体"/>
          <w:color w:val="auto"/>
          <w:sz w:val="52"/>
          <w:szCs w:val="52"/>
          <w:highlight w:val="none"/>
        </w:rPr>
      </w:pPr>
    </w:p>
    <w:p w14:paraId="2A31AC60">
      <w:pPr>
        <w:wordWrap w:val="0"/>
        <w:spacing w:line="360" w:lineRule="auto"/>
        <w:rPr>
          <w:rFonts w:ascii="宋体" w:hAnsi="宋体" w:eastAsia="宋体" w:cs="宋体"/>
          <w:color w:val="auto"/>
          <w:sz w:val="52"/>
          <w:szCs w:val="52"/>
          <w:highlight w:val="none"/>
          <w:lang w:bidi="ar"/>
        </w:rPr>
      </w:pPr>
    </w:p>
    <w:p w14:paraId="348529D2">
      <w:pPr>
        <w:wordWrap w:val="0"/>
        <w:spacing w:line="360" w:lineRule="auto"/>
        <w:rPr>
          <w:rFonts w:ascii="宋体" w:hAnsi="宋体" w:eastAsia="宋体" w:cs="宋体"/>
          <w:color w:val="auto"/>
          <w:sz w:val="52"/>
          <w:szCs w:val="52"/>
          <w:highlight w:val="none"/>
          <w:lang w:bidi="ar"/>
        </w:rPr>
      </w:pPr>
    </w:p>
    <w:p w14:paraId="66CB755C">
      <w:pPr>
        <w:wordWrap w:val="0"/>
        <w:spacing w:line="360" w:lineRule="auto"/>
        <w:rPr>
          <w:rFonts w:ascii="宋体" w:hAnsi="宋体" w:eastAsia="宋体" w:cs="宋体"/>
          <w:color w:val="auto"/>
          <w:sz w:val="52"/>
          <w:szCs w:val="52"/>
          <w:highlight w:val="none"/>
          <w:lang w:bidi="ar"/>
        </w:rPr>
      </w:pPr>
    </w:p>
    <w:p w14:paraId="4DCCB5CF">
      <w:pPr>
        <w:wordWrap w:val="0"/>
        <w:spacing w:line="360" w:lineRule="auto"/>
        <w:ind w:firstLine="992" w:firstLineChars="31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kern w:val="2"/>
          <w:sz w:val="32"/>
          <w:szCs w:val="32"/>
          <w:highlight w:val="none"/>
          <w:u w:val="single"/>
          <w:shd w:val="clear"/>
          <w:lang w:eastAsia="zh-CN" w:bidi="ar"/>
        </w:rPr>
        <w:t>广州市海珠区林业和湿地管理局</w:t>
      </w:r>
    </w:p>
    <w:p w14:paraId="5D4474D4">
      <w:pPr>
        <w:wordWrap w:val="0"/>
        <w:spacing w:line="360" w:lineRule="auto"/>
        <w:ind w:firstLine="992" w:firstLineChars="31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kern w:val="2"/>
          <w:sz w:val="32"/>
          <w:szCs w:val="32"/>
          <w:highlight w:val="none"/>
          <w:u w:val="single"/>
          <w:shd w:val="clear"/>
          <w:lang w:eastAsia="zh-CN" w:bidi="ar"/>
        </w:rPr>
        <w:t>广州市政府采购中心</w:t>
      </w:r>
    </w:p>
    <w:p w14:paraId="569B7CD6">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u w:val="single"/>
          <w:lang w:val="en-US" w:eastAsia="zh-CN" w:bidi="ar"/>
        </w:rPr>
        <w:t>10</w:t>
      </w:r>
      <w:r>
        <w:rPr>
          <w:rFonts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月</w:t>
      </w:r>
    </w:p>
    <w:p w14:paraId="61D2A360">
      <w:pPr>
        <w:wordWrap w:val="0"/>
        <w:spacing w:line="360" w:lineRule="auto"/>
        <w:rPr>
          <w:rFonts w:ascii="Calibri" w:hAnsi="Calibri" w:eastAsia="宋体" w:cs="Times New Roman"/>
          <w:b/>
          <w:color w:val="auto"/>
          <w:sz w:val="36"/>
          <w:szCs w:val="36"/>
          <w:highlight w:val="none"/>
        </w:rPr>
        <w:sectPr>
          <w:footerReference r:id="rId3" w:type="default"/>
          <w:type w:val="continuous"/>
          <w:pgSz w:w="11905" w:h="16838"/>
          <w:pgMar w:top="1440" w:right="1800" w:bottom="1440" w:left="1800" w:header="720" w:footer="720" w:gutter="0"/>
          <w:pgNumType w:start="0"/>
          <w:cols w:space="425" w:num="1"/>
          <w:titlePg/>
          <w:docGrid w:type="lines" w:linePitch="312" w:charSpace="0"/>
        </w:sectPr>
      </w:pPr>
    </w:p>
    <w:p w14:paraId="00A5DAEC">
      <w:pPr>
        <w:widowControl/>
        <w:wordWrap w:val="0"/>
        <w:jc w:val="left"/>
        <w:rPr>
          <w:rFonts w:ascii="Times New Roman" w:hAnsi="Times New Roman" w:eastAsia="宋体" w:cs="Times New Roman"/>
          <w:color w:val="auto"/>
          <w:kern w:val="0"/>
          <w:sz w:val="20"/>
          <w:szCs w:val="20"/>
          <w:highlight w:val="none"/>
        </w:rPr>
      </w:pPr>
      <w:r>
        <w:rPr>
          <w:rFonts w:ascii="Times New Roman" w:hAnsi="Times New Roman" w:eastAsia="宋体" w:cs="Times New Roman"/>
          <w:color w:val="auto"/>
          <w:kern w:val="0"/>
          <w:sz w:val="20"/>
          <w:szCs w:val="20"/>
          <w:highlight w:val="none"/>
        </w:rPr>
        <w:br w:type="page"/>
      </w:r>
    </w:p>
    <w:p w14:paraId="2DEF3C7A">
      <w:pPr>
        <w:wordWrap w:val="0"/>
        <w:spacing w:after="120"/>
        <w:ind w:firstLine="200" w:firstLineChars="100"/>
        <w:rPr>
          <w:rFonts w:ascii="Times New Roman" w:hAnsi="Times New Roman" w:eastAsia="宋体" w:cs="Times New Roman"/>
          <w:color w:val="auto"/>
          <w:kern w:val="0"/>
          <w:sz w:val="20"/>
          <w:szCs w:val="20"/>
          <w:highlight w:val="none"/>
        </w:rPr>
      </w:pPr>
    </w:p>
    <w:p w14:paraId="73CE7F88">
      <w:pPr>
        <w:keepNext/>
        <w:keepLines/>
        <w:widowControl/>
        <w:wordWrap w:val="0"/>
        <w:spacing w:before="480" w:line="276"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CN"/>
        </w:rPr>
        <w:t>目 录</w:t>
      </w:r>
    </w:p>
    <w:p w14:paraId="5903B8F5">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rFonts w:hint="eastAsia" w:ascii="宋体" w:hAnsi="宋体" w:cs="宋体"/>
          <w:bCs w:val="0"/>
          <w:caps w:val="0"/>
          <w:color w:val="auto"/>
          <w:sz w:val="24"/>
          <w:szCs w:val="24"/>
          <w:highlight w:val="none"/>
        </w:rPr>
        <w:fldChar w:fldCharType="begin"/>
      </w:r>
      <w:r>
        <w:rPr>
          <w:rFonts w:hint="eastAsia" w:ascii="宋体" w:hAnsi="宋体" w:cs="宋体"/>
          <w:bCs w:val="0"/>
          <w:caps w:val="0"/>
          <w:color w:val="auto"/>
          <w:sz w:val="24"/>
          <w:szCs w:val="24"/>
          <w:highlight w:val="none"/>
        </w:rPr>
        <w:instrText xml:space="preserve"> TOC \o "1-3" \h \z \u </w:instrText>
      </w:r>
      <w:r>
        <w:rPr>
          <w:rFonts w:hint="eastAsia" w:ascii="宋体" w:hAnsi="宋体" w:cs="宋体"/>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"_Toc193357935" </w:instrText>
      </w:r>
      <w:r>
        <w:rPr>
          <w:color w:val="auto"/>
          <w:highlight w:val="none"/>
        </w:rPr>
        <w:fldChar w:fldCharType="separate"/>
      </w:r>
      <w:r>
        <w:rPr>
          <w:rStyle w:val="52"/>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_Toc193357935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E789058">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"_Toc193357936" </w:instrText>
      </w:r>
      <w:r>
        <w:rPr>
          <w:color w:val="auto"/>
          <w:highlight w:val="none"/>
        </w:rPr>
        <w:fldChar w:fldCharType="separate"/>
      </w:r>
      <w:r>
        <w:rPr>
          <w:rStyle w:val="52"/>
          <w:color w:val="auto"/>
          <w:highlight w:val="none"/>
          <w:lang w:bidi="ar"/>
        </w:rPr>
        <w:t>第一章  招标公告</w:t>
      </w:r>
      <w:r>
        <w:rPr>
          <w:color w:val="auto"/>
          <w:highlight w:val="none"/>
        </w:rPr>
        <w:tab/>
      </w:r>
      <w:r>
        <w:rPr>
          <w:color w:val="auto"/>
          <w:highlight w:val="none"/>
        </w:rPr>
        <w:fldChar w:fldCharType="begin"/>
      </w:r>
      <w:r>
        <w:rPr>
          <w:color w:val="auto"/>
          <w:highlight w:val="none"/>
        </w:rPr>
        <w:instrText xml:space="preserve"> PAGEREF _Toc193357936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4467859">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"_Toc193357937" </w:instrText>
      </w:r>
      <w:r>
        <w:rPr>
          <w:color w:val="auto"/>
          <w:highlight w:val="none"/>
        </w:rPr>
        <w:fldChar w:fldCharType="separate"/>
      </w:r>
      <w:r>
        <w:rPr>
          <w:rStyle w:val="52"/>
          <w:color w:val="auto"/>
          <w:highlight w:val="none"/>
          <w:lang w:bidi="ar"/>
        </w:rPr>
        <w:t>第二章  投标人须知</w:t>
      </w:r>
      <w:r>
        <w:rPr>
          <w:color w:val="auto"/>
          <w:highlight w:val="none"/>
        </w:rPr>
        <w:tab/>
      </w:r>
      <w:r>
        <w:rPr>
          <w:color w:val="auto"/>
          <w:highlight w:val="none"/>
        </w:rPr>
        <w:fldChar w:fldCharType="begin"/>
      </w:r>
      <w:r>
        <w:rPr>
          <w:color w:val="auto"/>
          <w:highlight w:val="none"/>
        </w:rPr>
        <w:instrText xml:space="preserve"> PAGEREF _Toc193357937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9DDF251">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"_Toc193358002" </w:instrText>
      </w:r>
      <w:r>
        <w:rPr>
          <w:color w:val="auto"/>
          <w:highlight w:val="none"/>
        </w:rPr>
        <w:fldChar w:fldCharType="separate"/>
      </w:r>
      <w:r>
        <w:rPr>
          <w:rStyle w:val="52"/>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_Toc193358002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7CB9E6D">
      <w:pPr>
        <w:pStyle w:val="32"/>
        <w:tabs>
          <w:tab w:val="right" w:leader="dot" w:pos="8289"/>
        </w:tabs>
        <w:wordWrap w:val="0"/>
        <w:rPr>
          <w:rFonts w:hint="eastAsia"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"_Toc193358019" </w:instrText>
      </w:r>
      <w:r>
        <w:rPr>
          <w:color w:val="auto"/>
          <w:highlight w:val="none"/>
        </w:rPr>
        <w:fldChar w:fldCharType="separate"/>
      </w:r>
      <w:r>
        <w:rPr>
          <w:rStyle w:val="52"/>
          <w:color w:val="auto"/>
          <w:highlight w:val="none"/>
        </w:rPr>
        <w:t>第四章  合同条款及格式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6</w:t>
      </w:r>
    </w:p>
    <w:p w14:paraId="7CFC6251">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"_Toc193358020" </w:instrText>
      </w:r>
      <w:r>
        <w:rPr>
          <w:color w:val="auto"/>
          <w:highlight w:val="none"/>
        </w:rPr>
        <w:fldChar w:fldCharType="separate"/>
      </w:r>
      <w:r>
        <w:rPr>
          <w:rStyle w:val="52"/>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_Toc193358020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2B1E62F">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"_Toc193358021" </w:instrText>
      </w:r>
      <w:r>
        <w:rPr>
          <w:color w:val="auto"/>
          <w:highlight w:val="none"/>
        </w:rPr>
        <w:fldChar w:fldCharType="separate"/>
      </w:r>
      <w:r>
        <w:rPr>
          <w:rStyle w:val="52"/>
          <w:color w:val="auto"/>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_Toc193358021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B612608">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"_Toc193358022" </w:instrText>
      </w:r>
      <w:r>
        <w:rPr>
          <w:color w:val="auto"/>
          <w:highlight w:val="none"/>
        </w:rPr>
        <w:fldChar w:fldCharType="separate"/>
      </w:r>
      <w:r>
        <w:rPr>
          <w:rStyle w:val="52"/>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_Toc193358022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5160A49">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"_Toc193358023" </w:instrText>
      </w:r>
      <w:r>
        <w:rPr>
          <w:color w:val="auto"/>
          <w:highlight w:val="none"/>
        </w:rPr>
        <w:fldChar w:fldCharType="separate"/>
      </w:r>
      <w:r>
        <w:rPr>
          <w:rStyle w:val="52"/>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_Toc193358023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7524A165">
      <w:pPr>
        <w:wordWrap w:val="0"/>
        <w:spacing w:line="360" w:lineRule="auto"/>
        <w:rPr>
          <w:rFonts w:ascii="宋体" w:hAnsi="宋体" w:eastAsia="宋体" w:cs="宋体"/>
          <w:color w:val="auto"/>
          <w:kern w:val="0"/>
          <w:szCs w:val="21"/>
          <w:highlight w:val="none"/>
        </w:rPr>
      </w:pPr>
      <w:r>
        <w:rPr>
          <w:rFonts w:hint="eastAsia" w:ascii="宋体" w:hAnsi="宋体" w:eastAsia="宋体" w:cs="宋体"/>
          <w:bCs/>
          <w:color w:val="auto"/>
          <w:sz w:val="24"/>
          <w:szCs w:val="24"/>
          <w:highlight w:val="none"/>
          <w:lang w:val="zh-CN"/>
        </w:rPr>
        <w:fldChar w:fldCharType="end"/>
      </w:r>
    </w:p>
    <w:p w14:paraId="5A2808C4">
      <w:pPr>
        <w:wordWrap w:val="0"/>
        <w:autoSpaceDE w:val="0"/>
        <w:autoSpaceDN w:val="0"/>
        <w:spacing w:line="2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page"/>
      </w:r>
    </w:p>
    <w:p w14:paraId="001DEFB5">
      <w:pPr>
        <w:pStyle w:val="3"/>
        <w:rPr>
          <w:color w:val="auto"/>
          <w:highlight w:val="none"/>
        </w:rPr>
      </w:pPr>
      <w:bookmarkStart w:id="0" w:name="_Toc111186720"/>
      <w:bookmarkStart w:id="1" w:name="_Toc193357935"/>
      <w:r>
        <w:rPr>
          <w:rFonts w:hint="eastAsia"/>
          <w:color w:val="auto"/>
          <w:highlight w:val="none"/>
        </w:rPr>
        <w:t>第一卷</w:t>
      </w:r>
      <w:bookmarkEnd w:id="0"/>
      <w:bookmarkEnd w:id="1"/>
    </w:p>
    <w:p w14:paraId="4A1670E8">
      <w:pPr>
        <w:widowControl/>
        <w:wordWrap w:val="0"/>
        <w:jc w:val="left"/>
        <w:rPr>
          <w:rFonts w:ascii="宋体" w:hAnsi="宋体" w:eastAsia="宋体" w:cs="宋体"/>
          <w:color w:val="auto"/>
          <w:spacing w:val="2"/>
          <w:kern w:val="0"/>
          <w:sz w:val="44"/>
          <w:szCs w:val="44"/>
          <w:highlight w:val="none"/>
        </w:rPr>
        <w:sectPr>
          <w:footerReference r:id="rId4" w:type="default"/>
          <w:type w:val="continuous"/>
          <w:pgSz w:w="11905" w:h="16838"/>
          <w:pgMar w:top="1440" w:right="1803" w:bottom="1440" w:left="1803" w:header="720" w:footer="720" w:gutter="0"/>
          <w:pgNumType w:start="0"/>
          <w:cols w:space="720" w:num="1"/>
          <w:titlePg/>
          <w:docGrid w:linePitch="286" w:charSpace="0"/>
        </w:sectPr>
      </w:pPr>
    </w:p>
    <w:p w14:paraId="04DA4883">
      <w:pPr>
        <w:pStyle w:val="3"/>
        <w:rPr>
          <w:color w:val="auto"/>
          <w:highlight w:val="none"/>
          <w:lang w:bidi="ar"/>
        </w:rPr>
      </w:pPr>
      <w:bookmarkStart w:id="2" w:name="_Toc193357936"/>
      <w:bookmarkStart w:id="3" w:name="_Toc111186721"/>
      <w:r>
        <w:rPr>
          <w:rFonts w:hint="eastAsia"/>
          <w:color w:val="auto"/>
          <w:highlight w:val="none"/>
          <w:lang w:bidi="ar"/>
        </w:rPr>
        <w:t>第一章  招标公告</w:t>
      </w:r>
      <w:bookmarkEnd w:id="2"/>
      <w:bookmarkEnd w:id="3"/>
    </w:p>
    <w:p w14:paraId="5FC352E9">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77753AD2">
      <w:pPr>
        <w:widowControl/>
        <w:wordWrap w:val="0"/>
        <w:jc w:val="left"/>
        <w:rPr>
          <w:rFonts w:ascii="宋体" w:hAnsi="宋体" w:eastAsia="宋体" w:cs="宋体"/>
          <w:color w:val="auto"/>
          <w:spacing w:val="2"/>
          <w:kern w:val="0"/>
          <w:sz w:val="44"/>
          <w:szCs w:val="44"/>
          <w:highlight w:val="none"/>
        </w:rPr>
      </w:pPr>
      <w:r>
        <w:rPr>
          <w:rFonts w:ascii="宋体" w:hAnsi="宋体" w:eastAsia="宋体" w:cs="宋体"/>
          <w:color w:val="auto"/>
          <w:spacing w:val="2"/>
          <w:kern w:val="0"/>
          <w:sz w:val="44"/>
          <w:szCs w:val="44"/>
          <w:highlight w:val="none"/>
        </w:rPr>
        <w:br w:type="page"/>
      </w:r>
    </w:p>
    <w:p w14:paraId="296CB108">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02A8FC6F">
      <w:pPr>
        <w:pStyle w:val="3"/>
        <w:rPr>
          <w:color w:val="auto"/>
          <w:highlight w:val="none"/>
          <w:lang w:bidi="ar"/>
        </w:rPr>
      </w:pPr>
      <w:bookmarkStart w:id="4" w:name="_Toc111186722"/>
      <w:bookmarkStart w:id="5" w:name="_Toc193357937"/>
      <w:r>
        <w:rPr>
          <w:rFonts w:hint="eastAsia"/>
          <w:color w:val="auto"/>
          <w:highlight w:val="none"/>
          <w:lang w:bidi="ar"/>
        </w:rPr>
        <w:t>第二章  投标人须知</w:t>
      </w:r>
      <w:bookmarkEnd w:id="4"/>
      <w:bookmarkEnd w:id="5"/>
    </w:p>
    <w:p w14:paraId="44CF18E8">
      <w:pPr>
        <w:pStyle w:val="4"/>
        <w:wordWrap w:val="0"/>
        <w:rPr>
          <w:color w:val="auto"/>
          <w:highlight w:val="none"/>
          <w:lang w:bidi="ar"/>
        </w:rPr>
      </w:pPr>
      <w:bookmarkStart w:id="6" w:name="_Toc26350"/>
      <w:bookmarkStart w:id="7" w:name="_Toc111186723"/>
      <w:bookmarkStart w:id="8" w:name="_Toc193357938"/>
      <w:r>
        <w:rPr>
          <w:rFonts w:hint="eastAsia"/>
          <w:color w:val="auto"/>
          <w:highlight w:val="none"/>
          <w:lang w:bidi="ar"/>
        </w:rPr>
        <w:t>投标人须知前附表</w:t>
      </w:r>
      <w:bookmarkEnd w:id="6"/>
      <w:bookmarkEnd w:id="7"/>
      <w:bookmarkEnd w:id="8"/>
    </w:p>
    <w:tbl>
      <w:tblPr>
        <w:tblStyle w:val="45"/>
        <w:tblW w:w="49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07"/>
        <w:gridCol w:w="5925"/>
      </w:tblGrid>
      <w:tr w14:paraId="05994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440" w:type="pct"/>
            <w:vAlign w:val="center"/>
          </w:tcPr>
          <w:p w14:paraId="147FEA57">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066" w:type="pct"/>
            <w:vAlign w:val="center"/>
          </w:tcPr>
          <w:p w14:paraId="58F52518">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条款名称</w:t>
            </w:r>
          </w:p>
        </w:tc>
        <w:tc>
          <w:tcPr>
            <w:tcW w:w="3494" w:type="pct"/>
            <w:vAlign w:val="center"/>
          </w:tcPr>
          <w:p w14:paraId="3964550F">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编列内容</w:t>
            </w:r>
          </w:p>
        </w:tc>
      </w:tr>
      <w:tr w14:paraId="5F9C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4E9A99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066" w:type="pct"/>
            <w:vAlign w:val="center"/>
          </w:tcPr>
          <w:p w14:paraId="215E36A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3494" w:type="pct"/>
            <w:vAlign w:val="center"/>
          </w:tcPr>
          <w:p w14:paraId="6452407F">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广州市海珠区林业和湿地管理局</w:t>
            </w:r>
          </w:p>
          <w:p w14:paraId="46AD0E2D">
            <w:pPr>
              <w:wordWrap w:val="0"/>
              <w:spacing w:line="276" w:lineRule="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val="en-US" w:eastAsia="zh-CN"/>
              </w:rPr>
              <w:t xml:space="preserve"> 广州市海珠区新滘路168号           </w:t>
            </w:r>
          </w:p>
          <w:p w14:paraId="23998776">
            <w:pPr>
              <w:wordWrap w:val="0"/>
              <w:spacing w:line="276"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 xml:space="preserve">周小军   </w:t>
            </w:r>
          </w:p>
          <w:p w14:paraId="6263B11C">
            <w:pPr>
              <w:wordWrap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val="en-US" w:eastAsia="zh-CN"/>
              </w:rPr>
              <w:t xml:space="preserve">188188851106     </w:t>
            </w:r>
          </w:p>
        </w:tc>
      </w:tr>
      <w:tr w14:paraId="0024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CA3E13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066" w:type="pct"/>
            <w:vAlign w:val="center"/>
          </w:tcPr>
          <w:p w14:paraId="35CFA51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3494" w:type="pct"/>
            <w:vAlign w:val="center"/>
          </w:tcPr>
          <w:p w14:paraId="31E08033">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广州市政府采购中心</w:t>
            </w:r>
          </w:p>
          <w:p w14:paraId="3C44D4AD">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val="en-US" w:eastAsia="zh-CN"/>
              </w:rPr>
              <w:t>广</w:t>
            </w:r>
            <w:r>
              <w:rPr>
                <w:rFonts w:hint="eastAsia" w:ascii="宋体" w:hAnsi="宋体" w:eastAsia="宋体" w:cs="宋体"/>
                <w:color w:val="auto"/>
                <w:szCs w:val="21"/>
                <w:highlight w:val="none"/>
                <w:u w:val="single"/>
              </w:rPr>
              <w:t>州市天河区天润路445号</w:t>
            </w:r>
          </w:p>
          <w:p w14:paraId="070542A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邹</w:t>
            </w:r>
            <w:r>
              <w:rPr>
                <w:rFonts w:hint="eastAsia" w:ascii="宋体" w:hAnsi="宋体" w:eastAsia="宋体" w:cs="宋体"/>
                <w:color w:val="auto"/>
                <w:szCs w:val="21"/>
                <w:highlight w:val="none"/>
                <w:u w:val="single"/>
              </w:rPr>
              <w:t>工</w:t>
            </w:r>
          </w:p>
          <w:p w14:paraId="3E1C3730">
            <w:pPr>
              <w:wordWrap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ascii="宋体" w:hAnsi="宋体" w:eastAsia="宋体" w:cs="宋体"/>
                <w:color w:val="auto"/>
                <w:szCs w:val="21"/>
                <w:highlight w:val="none"/>
                <w:u w:val="single"/>
              </w:rPr>
              <w:t>020-</w:t>
            </w:r>
            <w:r>
              <w:rPr>
                <w:rFonts w:hint="eastAsia" w:ascii="宋体" w:hAnsi="宋体" w:eastAsia="宋体" w:cs="宋体"/>
                <w:color w:val="auto"/>
                <w:szCs w:val="21"/>
                <w:highlight w:val="none"/>
                <w:u w:val="single"/>
                <w:lang w:val="en-US" w:eastAsia="zh-CN"/>
              </w:rPr>
              <w:t>28866112</w:t>
            </w:r>
          </w:p>
        </w:tc>
      </w:tr>
      <w:tr w14:paraId="5254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678846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066" w:type="pct"/>
            <w:vAlign w:val="center"/>
          </w:tcPr>
          <w:p w14:paraId="37830BE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3494" w:type="pct"/>
            <w:vAlign w:val="center"/>
          </w:tcPr>
          <w:p w14:paraId="41F69128">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广州海珠湿地水生态保护修复工程勘察设计</w:t>
            </w:r>
          </w:p>
        </w:tc>
      </w:tr>
      <w:tr w14:paraId="61464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084EF16">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066" w:type="pct"/>
            <w:vAlign w:val="center"/>
          </w:tcPr>
          <w:p w14:paraId="7CC0914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3494" w:type="pct"/>
            <w:vAlign w:val="center"/>
          </w:tcPr>
          <w:p w14:paraId="15625DA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69E4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914DD2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w:t>
            </w:r>
          </w:p>
        </w:tc>
        <w:tc>
          <w:tcPr>
            <w:tcW w:w="1066" w:type="pct"/>
            <w:vAlign w:val="center"/>
          </w:tcPr>
          <w:p w14:paraId="4E5B4C5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3494" w:type="pct"/>
            <w:vAlign w:val="center"/>
          </w:tcPr>
          <w:p w14:paraId="249C6EE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282C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83C21A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1.1.7</w:t>
            </w:r>
          </w:p>
        </w:tc>
        <w:tc>
          <w:tcPr>
            <w:tcW w:w="1066" w:type="pct"/>
            <w:vAlign w:val="center"/>
          </w:tcPr>
          <w:p w14:paraId="08346FA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项目投资估算</w:t>
            </w:r>
          </w:p>
        </w:tc>
        <w:tc>
          <w:tcPr>
            <w:tcW w:w="3494" w:type="pct"/>
            <w:vAlign w:val="center"/>
          </w:tcPr>
          <w:p w14:paraId="393A79C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5899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931B2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066" w:type="pct"/>
            <w:vAlign w:val="center"/>
          </w:tcPr>
          <w:p w14:paraId="554D572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3494" w:type="pct"/>
            <w:vAlign w:val="center"/>
          </w:tcPr>
          <w:p w14:paraId="55E99DE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46EE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A26600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066" w:type="pct"/>
            <w:vAlign w:val="center"/>
          </w:tcPr>
          <w:p w14:paraId="61A6D11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3494" w:type="pct"/>
            <w:vAlign w:val="center"/>
          </w:tcPr>
          <w:p w14:paraId="6E3A748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14:paraId="7440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CF44C5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066" w:type="pct"/>
            <w:vAlign w:val="center"/>
          </w:tcPr>
          <w:p w14:paraId="05A5C09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494" w:type="pct"/>
            <w:vAlign w:val="center"/>
          </w:tcPr>
          <w:p w14:paraId="7C89BB24">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0C414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0478165">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066" w:type="pct"/>
            <w:vAlign w:val="center"/>
          </w:tcPr>
          <w:p w14:paraId="3ED22BA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勘察设计服务期限</w:t>
            </w:r>
          </w:p>
        </w:tc>
        <w:tc>
          <w:tcPr>
            <w:tcW w:w="3494" w:type="pct"/>
            <w:vAlign w:val="center"/>
          </w:tcPr>
          <w:p w14:paraId="097000A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0FF4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6EF5F7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066" w:type="pct"/>
            <w:vAlign w:val="center"/>
          </w:tcPr>
          <w:p w14:paraId="08E4C4F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494" w:type="pct"/>
            <w:vAlign w:val="center"/>
          </w:tcPr>
          <w:p w14:paraId="2A4273C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1、勘察质量标准：符合国家、省、市及行业现行相关规定、规范、标准和本项目勘察设计要求。</w:t>
            </w:r>
          </w:p>
          <w:p w14:paraId="212DDD41">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2、设计质量标准：符合国家、省、市及行业现行相关规定、规范、标准和本项目设计任务要求。</w:t>
            </w:r>
          </w:p>
          <w:p w14:paraId="61C45E11">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注：具体以合同约定为准。</w:t>
            </w:r>
          </w:p>
        </w:tc>
      </w:tr>
      <w:tr w14:paraId="793B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A22BC0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1066" w:type="pct"/>
            <w:vAlign w:val="center"/>
          </w:tcPr>
          <w:p w14:paraId="2F31E6E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3494" w:type="pct"/>
            <w:vAlign w:val="center"/>
          </w:tcPr>
          <w:p w14:paraId="50C2267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14:paraId="4C67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412B8D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066" w:type="pct"/>
            <w:vAlign w:val="center"/>
          </w:tcPr>
          <w:p w14:paraId="18BE97F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3494" w:type="pct"/>
            <w:vAlign w:val="center"/>
          </w:tcPr>
          <w:p w14:paraId="32FC1CE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0F6F728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详见招标公告</w:t>
            </w:r>
          </w:p>
        </w:tc>
      </w:tr>
      <w:tr w14:paraId="30A1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0AE21E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w:t>
            </w:r>
          </w:p>
        </w:tc>
        <w:tc>
          <w:tcPr>
            <w:tcW w:w="1066" w:type="pct"/>
            <w:vAlign w:val="center"/>
          </w:tcPr>
          <w:p w14:paraId="4654F5F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3494" w:type="pct"/>
            <w:vAlign w:val="center"/>
          </w:tcPr>
          <w:p w14:paraId="7E1FACA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311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CA4272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066" w:type="pct"/>
            <w:vAlign w:val="center"/>
          </w:tcPr>
          <w:p w14:paraId="15B022F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494" w:type="pct"/>
            <w:vAlign w:val="center"/>
          </w:tcPr>
          <w:p w14:paraId="4D6D5D5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■不组织，投标人自行考察。</w:t>
            </w:r>
          </w:p>
          <w:p w14:paraId="777B8E5A">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补充说明如下：</w:t>
            </w:r>
          </w:p>
          <w:p w14:paraId="31B2953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65339F7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6B541E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（3）由招标人提供的资料和数据，只是为了使投标人能够利用招标人现有的资料。招标人对投标人由此而作出的推论、解释和结论概不负责。</w:t>
            </w:r>
          </w:p>
          <w:p w14:paraId="4274133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（4）不论投标结果如何，投标人应承担其投标文件编制与递交所涉及的一切费用，发包人对上述费用不负任何责任。</w:t>
            </w:r>
          </w:p>
          <w:p w14:paraId="6483B8F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w:t>
            </w:r>
          </w:p>
          <w:p w14:paraId="05A4A28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w:t>
            </w:r>
          </w:p>
        </w:tc>
      </w:tr>
      <w:tr w14:paraId="00A92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815297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066" w:type="pct"/>
            <w:vAlign w:val="center"/>
          </w:tcPr>
          <w:p w14:paraId="59CFE68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3494" w:type="pct"/>
            <w:vAlign w:val="center"/>
          </w:tcPr>
          <w:p w14:paraId="214CD87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■不召开</w:t>
            </w:r>
          </w:p>
          <w:p w14:paraId="6A51A01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w:t>
            </w:r>
          </w:p>
          <w:p w14:paraId="668A532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w:t>
            </w:r>
          </w:p>
        </w:tc>
      </w:tr>
      <w:tr w14:paraId="127ED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restart"/>
            <w:vAlign w:val="center"/>
          </w:tcPr>
          <w:p w14:paraId="4FC4621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1.10.2</w:t>
            </w:r>
          </w:p>
        </w:tc>
        <w:tc>
          <w:tcPr>
            <w:tcW w:w="1066" w:type="pct"/>
            <w:vMerge w:val="restart"/>
            <w:vAlign w:val="center"/>
          </w:tcPr>
          <w:p w14:paraId="2D732A6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3494" w:type="pct"/>
            <w:vAlign w:val="center"/>
          </w:tcPr>
          <w:p w14:paraId="0AF7A02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bidi="ar"/>
              </w:rPr>
              <w:t xml:space="preserve"> / （本项目不召开投标预备会）。</w:t>
            </w:r>
          </w:p>
        </w:tc>
      </w:tr>
      <w:tr w14:paraId="52C4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continue"/>
            <w:vAlign w:val="center"/>
          </w:tcPr>
          <w:p w14:paraId="63D895F7">
            <w:pPr>
              <w:widowControl/>
              <w:wordWrap w:val="0"/>
              <w:spacing w:line="276" w:lineRule="auto"/>
              <w:jc w:val="center"/>
              <w:rPr>
                <w:rFonts w:ascii="宋体" w:hAnsi="宋体" w:eastAsia="宋体" w:cs="宋体"/>
                <w:color w:val="auto"/>
                <w:kern w:val="0"/>
                <w:szCs w:val="21"/>
                <w:highlight w:val="none"/>
              </w:rPr>
            </w:pPr>
          </w:p>
        </w:tc>
        <w:tc>
          <w:tcPr>
            <w:tcW w:w="1066" w:type="pct"/>
            <w:vMerge w:val="continue"/>
            <w:vAlign w:val="center"/>
          </w:tcPr>
          <w:p w14:paraId="52D1BF1E">
            <w:pPr>
              <w:wordWrap w:val="0"/>
              <w:spacing w:line="276" w:lineRule="auto"/>
              <w:jc w:val="center"/>
              <w:rPr>
                <w:rFonts w:ascii="宋体" w:hAnsi="宋体" w:eastAsia="宋体" w:cs="宋体"/>
                <w:color w:val="auto"/>
                <w:szCs w:val="21"/>
                <w:highlight w:val="none"/>
              </w:rPr>
            </w:pPr>
          </w:p>
        </w:tc>
        <w:tc>
          <w:tcPr>
            <w:tcW w:w="3494" w:type="pct"/>
            <w:vAlign w:val="center"/>
          </w:tcPr>
          <w:p w14:paraId="1A0CDF5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lang w:bidi="ar"/>
              </w:rPr>
              <w:t xml:space="preserve"> / （本项目不召开投标预备会）。</w:t>
            </w:r>
          </w:p>
        </w:tc>
      </w:tr>
      <w:tr w14:paraId="6733F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39D15C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w:t>
            </w:r>
          </w:p>
        </w:tc>
        <w:tc>
          <w:tcPr>
            <w:tcW w:w="1066" w:type="pct"/>
            <w:vAlign w:val="center"/>
          </w:tcPr>
          <w:p w14:paraId="3422B12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3494" w:type="pct"/>
            <w:vAlign w:val="center"/>
          </w:tcPr>
          <w:p w14:paraId="23EEA49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  （不召开投标预备会，此为投标预备会的答疑澄清）。</w:t>
            </w:r>
          </w:p>
        </w:tc>
      </w:tr>
      <w:tr w14:paraId="6A92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141215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7"/>
                <w:kern w:val="0"/>
                <w:szCs w:val="21"/>
                <w:highlight w:val="none"/>
              </w:rPr>
              <w:t>1</w:t>
            </w:r>
            <w:r>
              <w:rPr>
                <w:rFonts w:hint="eastAsia" w:ascii="宋体" w:hAnsi="宋体" w:eastAsia="宋体" w:cs="宋体"/>
                <w:color w:val="auto"/>
                <w:kern w:val="0"/>
                <w:szCs w:val="21"/>
                <w:highlight w:val="none"/>
              </w:rPr>
              <w:t>1.1</w:t>
            </w:r>
          </w:p>
        </w:tc>
        <w:tc>
          <w:tcPr>
            <w:tcW w:w="1066" w:type="pct"/>
            <w:vAlign w:val="center"/>
          </w:tcPr>
          <w:p w14:paraId="7B658B3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494" w:type="pct"/>
            <w:vAlign w:val="center"/>
          </w:tcPr>
          <w:p w14:paraId="531F9BF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5E86919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■允许，分包内容要求：</w:t>
            </w:r>
            <w:r>
              <w:rPr>
                <w:rFonts w:hint="eastAsia" w:ascii="宋体" w:hAnsi="宋体" w:eastAsia="宋体" w:cs="宋体"/>
                <w:color w:val="auto"/>
                <w:szCs w:val="21"/>
                <w:highlight w:val="none"/>
                <w:u w:val="single"/>
              </w:rPr>
              <w:t>如果投标人不具备承接任务所需要的全部专业技能和资质，可以通过中标后分包的方式来获得全部专业技能和资质。主体、关键性设计工作不得外包。除主体、关键性设计工作外的其它设计工作，分包必须报招标人审核同意。</w:t>
            </w:r>
          </w:p>
          <w:p w14:paraId="36157B9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分包金额要求：/</w:t>
            </w:r>
          </w:p>
          <w:p w14:paraId="123B646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对分包人的资质要求：</w:t>
            </w:r>
            <w:r>
              <w:rPr>
                <w:rFonts w:hint="eastAsia" w:ascii="宋体" w:hAnsi="宋体" w:eastAsia="宋体" w:cs="宋体"/>
                <w:color w:val="auto"/>
                <w:szCs w:val="21"/>
                <w:highlight w:val="none"/>
                <w:u w:val="single"/>
              </w:rPr>
              <w:t>按国家规定。</w:t>
            </w:r>
          </w:p>
        </w:tc>
      </w:tr>
      <w:tr w14:paraId="57633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D1802D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1.12.1</w:t>
            </w:r>
          </w:p>
        </w:tc>
        <w:tc>
          <w:tcPr>
            <w:tcW w:w="1066" w:type="pct"/>
            <w:vAlign w:val="center"/>
          </w:tcPr>
          <w:p w14:paraId="6452499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3494" w:type="pct"/>
            <w:vAlign w:val="center"/>
          </w:tcPr>
          <w:p w14:paraId="7A29B8F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780B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CC1B1A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1.12.3</w:t>
            </w:r>
          </w:p>
        </w:tc>
        <w:tc>
          <w:tcPr>
            <w:tcW w:w="1066" w:type="pct"/>
            <w:vAlign w:val="center"/>
          </w:tcPr>
          <w:p w14:paraId="780170D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3494" w:type="pct"/>
            <w:vAlign w:val="center"/>
          </w:tcPr>
          <w:p w14:paraId="45E66F2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575BA8C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□允许，偏差范围：</w:t>
            </w:r>
            <w:r>
              <w:rPr>
                <w:rFonts w:hint="eastAsia" w:ascii="宋体" w:hAnsi="宋体" w:eastAsia="宋体" w:cs="宋体"/>
                <w:color w:val="auto"/>
                <w:szCs w:val="21"/>
                <w:highlight w:val="none"/>
                <w:u w:val="single"/>
              </w:rPr>
              <w:t>/。</w:t>
            </w:r>
          </w:p>
          <w:p w14:paraId="5D6F19F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偏差幅度：</w:t>
            </w:r>
            <w:r>
              <w:rPr>
                <w:rFonts w:hint="eastAsia" w:ascii="宋体" w:hAnsi="宋体" w:eastAsia="宋体" w:cs="宋体"/>
                <w:color w:val="auto"/>
                <w:szCs w:val="21"/>
                <w:highlight w:val="none"/>
                <w:u w:val="single"/>
              </w:rPr>
              <w:t>/。</w:t>
            </w:r>
          </w:p>
        </w:tc>
      </w:tr>
      <w:tr w14:paraId="7E18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43282E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066" w:type="pct"/>
            <w:vAlign w:val="center"/>
          </w:tcPr>
          <w:p w14:paraId="2D102FC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3494" w:type="pct"/>
            <w:vAlign w:val="center"/>
          </w:tcPr>
          <w:p w14:paraId="5886330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2FD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80B434C">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066" w:type="pct"/>
            <w:vAlign w:val="center"/>
          </w:tcPr>
          <w:p w14:paraId="10C1400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招标文件的答疑</w:t>
            </w:r>
          </w:p>
        </w:tc>
        <w:tc>
          <w:tcPr>
            <w:tcW w:w="3494" w:type="pct"/>
            <w:vAlign w:val="center"/>
          </w:tcPr>
          <w:p w14:paraId="7840262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 xml:space="preserve">在投标截止时间 </w:t>
            </w:r>
            <w:r>
              <w:rPr>
                <w:rFonts w:hint="eastAsia" w:ascii="宋体" w:hAnsi="宋体" w:eastAsia="宋体" w:cs="宋体"/>
                <w:color w:val="auto"/>
                <w:szCs w:val="21"/>
                <w:highlight w:val="none"/>
                <w:u w:val="single"/>
                <w:lang w:val="en-US" w:eastAsia="zh-CN"/>
              </w:rPr>
              <w:t>18</w:t>
            </w:r>
            <w:r>
              <w:rPr>
                <w:rFonts w:hint="eastAsia" w:ascii="宋体" w:hAnsi="宋体" w:eastAsia="宋体" w:cs="宋体"/>
                <w:color w:val="auto"/>
                <w:szCs w:val="21"/>
                <w:highlight w:val="none"/>
                <w:u w:val="single"/>
              </w:rPr>
              <w:t>天前</w:t>
            </w:r>
            <w:bookmarkStart w:id="234" w:name="_GoBack"/>
            <w:bookmarkEnd w:id="234"/>
            <w:r>
              <w:rPr>
                <w:rFonts w:hint="eastAsia" w:ascii="宋体" w:hAnsi="宋体" w:eastAsia="宋体" w:cs="宋体"/>
                <w:color w:val="auto"/>
                <w:szCs w:val="21"/>
                <w:highlight w:val="none"/>
                <w:u w:val="single"/>
              </w:rPr>
              <w:t>。</w:t>
            </w:r>
          </w:p>
          <w:p w14:paraId="0594B03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投标人的疑问通过广州交易集团有限公司（广州公共资源交易中心）网站提交。</w:t>
            </w:r>
          </w:p>
          <w:p w14:paraId="6CD664B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u w:val="single"/>
              </w:rPr>
              <w:t>按照广州交易集团有限公司（广州公共资源交易中心）网站关于全流程电子化项目的相关指南进行操作，提问一律不得署名。</w:t>
            </w:r>
          </w:p>
        </w:tc>
      </w:tr>
      <w:tr w14:paraId="2D2C1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440" w:type="pct"/>
            <w:vAlign w:val="center"/>
          </w:tcPr>
          <w:p w14:paraId="7B394EF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066" w:type="pct"/>
            <w:vAlign w:val="center"/>
          </w:tcPr>
          <w:p w14:paraId="1E43B15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招标文件的澄清和修改</w:t>
            </w:r>
          </w:p>
        </w:tc>
        <w:tc>
          <w:tcPr>
            <w:tcW w:w="3494" w:type="pct"/>
            <w:vAlign w:val="center"/>
          </w:tcPr>
          <w:p w14:paraId="74F51A2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招标文件的修改期限：</w:t>
            </w:r>
            <w:r>
              <w:rPr>
                <w:rFonts w:hint="eastAsia" w:ascii="宋体" w:hAnsi="宋体" w:eastAsia="宋体" w:cs="宋体"/>
                <w:color w:val="auto"/>
                <w:szCs w:val="21"/>
                <w:highlight w:val="none"/>
                <w:u w:val="single"/>
              </w:rPr>
              <w:t>在投标截止时间 15 天前。</w:t>
            </w:r>
          </w:p>
        </w:tc>
      </w:tr>
      <w:tr w14:paraId="6FA22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6776F0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066" w:type="pct"/>
            <w:vAlign w:val="center"/>
          </w:tcPr>
          <w:p w14:paraId="740F5DF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3494" w:type="pct"/>
            <w:vAlign w:val="center"/>
          </w:tcPr>
          <w:p w14:paraId="5803002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投标人认为有必要提供的其他资料，格式自定。</w:t>
            </w:r>
          </w:p>
        </w:tc>
      </w:tr>
      <w:tr w14:paraId="78F80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C93941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1066" w:type="pct"/>
            <w:vAlign w:val="center"/>
          </w:tcPr>
          <w:p w14:paraId="4ADD5E8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3494" w:type="pct"/>
            <w:vAlign w:val="center"/>
          </w:tcPr>
          <w:p w14:paraId="7CDC2D6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投标人的报价为含税报价。</w:t>
            </w:r>
          </w:p>
        </w:tc>
      </w:tr>
      <w:tr w14:paraId="38B85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A4615B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p>
        </w:tc>
        <w:tc>
          <w:tcPr>
            <w:tcW w:w="1066" w:type="pct"/>
            <w:vAlign w:val="center"/>
          </w:tcPr>
          <w:p w14:paraId="15F7CED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3494" w:type="pct"/>
            <w:vAlign w:val="center"/>
          </w:tcPr>
          <w:p w14:paraId="2674693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1、勘察费报价：投标人自行报价。勘察费报价为投标人完成本工程所需的所有勘察工作，包括但不限于岩土勘察、物探等的实物工作收费、进出场费、技术工作收费等全部成本、利润、税金以及风险等。</w:t>
            </w:r>
          </w:p>
          <w:p w14:paraId="3E20EA7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2、设计费报价：投标人自行报价。设计费报价为投标人完成本工程所有专业方案设计、初步设计等工作及履行合同的成本、利润、税金及风险等。</w:t>
            </w:r>
          </w:p>
          <w:p w14:paraId="2945C1CD">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投标人在相应的最高投标限价内根据</w:t>
            </w:r>
            <w:r>
              <w:rPr>
                <w:rFonts w:hint="eastAsia" w:ascii="宋体" w:hAnsi="宋体" w:eastAsia="宋体" w:cs="宋体"/>
                <w:color w:val="auto"/>
                <w:szCs w:val="21"/>
                <w:highlight w:val="none"/>
                <w:u w:val="single"/>
                <w:lang w:val="en-US" w:eastAsia="zh-CN"/>
              </w:rPr>
              <w:t>投标人</w:t>
            </w:r>
            <w:r>
              <w:rPr>
                <w:rFonts w:hint="eastAsia" w:ascii="宋体" w:hAnsi="宋体" w:eastAsia="宋体" w:cs="宋体"/>
                <w:color w:val="auto"/>
                <w:szCs w:val="21"/>
                <w:highlight w:val="none"/>
                <w:u w:val="single"/>
              </w:rPr>
              <w:t>自身实力进行报价（以元为单位，保留两位小数，第三位小数四舍五入）,并按此计算设计报价下浮率[报价下浮率=1-（投标报价/最高投标限价）×100%]。报价下浮率保留两位小数，第三位小数四舍五入。</w:t>
            </w:r>
          </w:p>
          <w:p w14:paraId="68E54BDF">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投标报价超过相应的最高投标限价将被否决。</w:t>
            </w:r>
          </w:p>
          <w:p w14:paraId="579276C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结算方式以签</w:t>
            </w:r>
            <w:r>
              <w:rPr>
                <w:rFonts w:hint="eastAsia" w:ascii="宋体" w:hAnsi="宋体" w:eastAsia="宋体" w:cs="宋体"/>
                <w:color w:val="auto"/>
                <w:szCs w:val="21"/>
                <w:highlight w:val="none"/>
                <w:u w:val="single"/>
                <w:lang w:val="en-US" w:eastAsia="zh-CN"/>
              </w:rPr>
              <w:t>订</w:t>
            </w:r>
            <w:r>
              <w:rPr>
                <w:rFonts w:hint="eastAsia" w:ascii="宋体" w:hAnsi="宋体" w:eastAsia="宋体" w:cs="宋体"/>
                <w:color w:val="auto"/>
                <w:szCs w:val="21"/>
                <w:highlight w:val="none"/>
                <w:u w:val="single"/>
              </w:rPr>
              <w:t>的合同约定的相应条款执行。</w:t>
            </w:r>
          </w:p>
        </w:tc>
      </w:tr>
      <w:tr w14:paraId="68E8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0E6BE4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1066" w:type="pct"/>
            <w:vAlign w:val="center"/>
          </w:tcPr>
          <w:p w14:paraId="2D1E813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494" w:type="pct"/>
            <w:vAlign w:val="center"/>
          </w:tcPr>
          <w:p w14:paraId="64A4DDB5">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4DD24AE4">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w:t>
            </w:r>
            <w:r>
              <w:rPr>
                <w:rFonts w:hint="eastAsia" w:ascii="宋体" w:hAnsi="宋体" w:eastAsia="宋体" w:cs="宋体"/>
                <w:color w:val="auto"/>
                <w:szCs w:val="21"/>
                <w:highlight w:val="none"/>
                <w:u w:val="single"/>
                <w:lang w:val="en-US" w:eastAsia="zh-CN"/>
              </w:rPr>
              <w:t>377</w:t>
            </w:r>
            <w:r>
              <w:rPr>
                <w:rFonts w:hint="eastAsia" w:ascii="宋体" w:hAnsi="宋体" w:eastAsia="宋体" w:cs="宋体"/>
                <w:color w:val="auto"/>
                <w:szCs w:val="21"/>
                <w:highlight w:val="none"/>
                <w:u w:val="single"/>
              </w:rPr>
              <w:t>万元</w:t>
            </w:r>
            <w:r>
              <w:rPr>
                <w:rFonts w:hint="eastAsia" w:ascii="宋体" w:hAnsi="宋体" w:eastAsia="宋体" w:cs="宋体"/>
                <w:color w:val="auto"/>
                <w:szCs w:val="21"/>
                <w:highlight w:val="none"/>
                <w:u w:val="single"/>
                <w:lang w:eastAsia="zh-CN"/>
              </w:rPr>
              <w:t>。</w:t>
            </w:r>
          </w:p>
          <w:p w14:paraId="56114EB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注：投标报价由投标人根据招标文件要求以及</w:t>
            </w:r>
            <w:r>
              <w:rPr>
                <w:rFonts w:hint="eastAsia" w:ascii="宋体" w:hAnsi="宋体" w:eastAsia="宋体" w:cs="宋体"/>
                <w:color w:val="auto"/>
                <w:szCs w:val="21"/>
                <w:highlight w:val="none"/>
                <w:u w:val="single"/>
                <w:lang w:val="en-US" w:eastAsia="zh-CN"/>
              </w:rPr>
              <w:t>投标人</w:t>
            </w:r>
            <w:r>
              <w:rPr>
                <w:rFonts w:hint="eastAsia" w:ascii="宋体" w:hAnsi="宋体" w:eastAsia="宋体" w:cs="宋体"/>
                <w:color w:val="auto"/>
                <w:szCs w:val="21"/>
                <w:highlight w:val="none"/>
                <w:u w:val="single"/>
              </w:rPr>
              <w:t>自身情况填报。投标人未按要求报价或投标报价（含投标总报价、勘察费报价、设计费报价）超过上述相应最高投标限价的为无效标。</w:t>
            </w:r>
          </w:p>
        </w:tc>
      </w:tr>
      <w:tr w14:paraId="322B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B8E460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3.2.5</w:t>
            </w:r>
          </w:p>
        </w:tc>
        <w:tc>
          <w:tcPr>
            <w:tcW w:w="1066" w:type="pct"/>
            <w:vAlign w:val="center"/>
          </w:tcPr>
          <w:p w14:paraId="7407051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3494" w:type="pct"/>
            <w:vAlign w:val="center"/>
          </w:tcPr>
          <w:p w14:paraId="706734B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投标人必须详细审阅全部招标文件，充分考虑职责和义务，全面地理解招标文件对投标报价的要求，并按招标人提出的条件及内容进行报价。</w:t>
            </w:r>
            <w:r>
              <w:rPr>
                <w:rFonts w:hint="eastAsia" w:ascii="宋体" w:hAnsi="宋体" w:eastAsia="宋体" w:cs="宋体"/>
                <w:color w:val="auto"/>
                <w:szCs w:val="21"/>
                <w:highlight w:val="none"/>
                <w:lang w:bidi="ar"/>
              </w:rPr>
              <w:t>所有报价均以人民币表示，以元为单位，保留小数点后两位小数，第三位小数四舍五入。</w:t>
            </w:r>
          </w:p>
        </w:tc>
      </w:tr>
      <w:tr w14:paraId="7DD9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C6AFA9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066" w:type="pct"/>
            <w:vAlign w:val="center"/>
          </w:tcPr>
          <w:p w14:paraId="22A91A2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494" w:type="pct"/>
            <w:vAlign w:val="center"/>
          </w:tcPr>
          <w:p w14:paraId="31DD24BD">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90</w:t>
            </w:r>
            <w:r>
              <w:rPr>
                <w:rFonts w:hint="eastAsia" w:ascii="宋体" w:hAnsi="宋体" w:eastAsia="宋体" w:cs="宋体"/>
                <w:color w:val="auto"/>
                <w:szCs w:val="21"/>
                <w:highlight w:val="none"/>
              </w:rPr>
              <w:t>日历天（从投标截止之日计起）</w:t>
            </w:r>
          </w:p>
        </w:tc>
      </w:tr>
      <w:tr w14:paraId="6E6D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170737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1066" w:type="pct"/>
            <w:vAlign w:val="center"/>
          </w:tcPr>
          <w:p w14:paraId="0F941E0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94" w:type="pct"/>
            <w:vAlign w:val="center"/>
          </w:tcPr>
          <w:p w14:paraId="18AD254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046A491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w:t>
            </w:r>
          </w:p>
          <w:p w14:paraId="299685CB">
            <w:pPr>
              <w:widowControl/>
              <w:wordWrap w:val="0"/>
              <w:topLinePunct/>
              <w:spacing w:after="120"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缴纳金额：</w:t>
            </w:r>
            <w:r>
              <w:rPr>
                <w:rFonts w:hint="eastAsia" w:ascii="宋体" w:hAnsi="宋体" w:eastAsia="宋体" w:cs="宋体"/>
                <w:color w:val="auto"/>
                <w:kern w:val="0"/>
                <w:szCs w:val="21"/>
                <w:highlight w:val="none"/>
                <w:u w:val="single"/>
                <w:lang w:val="zh-CN"/>
              </w:rPr>
              <w:t>/。</w:t>
            </w:r>
          </w:p>
          <w:p w14:paraId="0E78EAF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0E2E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B52198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3.4.4</w:t>
            </w:r>
          </w:p>
        </w:tc>
        <w:tc>
          <w:tcPr>
            <w:tcW w:w="1066" w:type="pct"/>
            <w:vAlign w:val="center"/>
          </w:tcPr>
          <w:p w14:paraId="00BFA9E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其他可以不予退还投标保证金的情形</w:t>
            </w:r>
          </w:p>
        </w:tc>
        <w:tc>
          <w:tcPr>
            <w:tcW w:w="3494" w:type="pct"/>
            <w:vAlign w:val="center"/>
          </w:tcPr>
          <w:p w14:paraId="7D2145B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299ED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FE307D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1066" w:type="pct"/>
            <w:vAlign w:val="center"/>
          </w:tcPr>
          <w:p w14:paraId="40394E8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3494" w:type="pct"/>
            <w:vAlign w:val="center"/>
          </w:tcPr>
          <w:p w14:paraId="59FEFA2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1FD6D69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□有，具体要求：</w:t>
            </w:r>
          </w:p>
        </w:tc>
      </w:tr>
      <w:tr w14:paraId="7B5F7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3334C05">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3.5.2</w:t>
            </w:r>
          </w:p>
        </w:tc>
        <w:tc>
          <w:tcPr>
            <w:tcW w:w="1066" w:type="pct"/>
            <w:vAlign w:val="center"/>
          </w:tcPr>
          <w:p w14:paraId="52DEF39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3494" w:type="pct"/>
            <w:vAlign w:val="center"/>
          </w:tcPr>
          <w:p w14:paraId="04B7061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2EA7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D8BA9B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w:t>
            </w:r>
          </w:p>
        </w:tc>
        <w:tc>
          <w:tcPr>
            <w:tcW w:w="1066" w:type="pct"/>
            <w:vAlign w:val="center"/>
          </w:tcPr>
          <w:p w14:paraId="6708613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3494" w:type="pct"/>
            <w:vAlign w:val="center"/>
          </w:tcPr>
          <w:p w14:paraId="747F7F3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3C27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902F22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066" w:type="pct"/>
            <w:vAlign w:val="center"/>
          </w:tcPr>
          <w:p w14:paraId="1736C7D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3494" w:type="pct"/>
            <w:vAlign w:val="center"/>
          </w:tcPr>
          <w:p w14:paraId="3C24FA3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8D14F8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2A61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35BF80C">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066" w:type="pct"/>
            <w:vAlign w:val="center"/>
          </w:tcPr>
          <w:p w14:paraId="74AECA7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3494" w:type="pct"/>
            <w:vAlign w:val="center"/>
          </w:tcPr>
          <w:p w14:paraId="36A3D354">
            <w:pPr>
              <w:wordWrap w:val="0"/>
              <w:spacing w:line="276" w:lineRule="auto"/>
              <w:rPr>
                <w:rFonts w:ascii="宋体" w:hAnsi="宋体" w:eastAsia="宋体"/>
                <w:color w:val="auto"/>
                <w:szCs w:val="24"/>
                <w:highlight w:val="none"/>
                <w:u w:val="single"/>
              </w:rPr>
            </w:pPr>
            <w:r>
              <w:rPr>
                <w:rFonts w:ascii="宋体" w:hAnsi="宋体" w:eastAsia="宋体"/>
                <w:color w:val="auto"/>
                <w:szCs w:val="24"/>
                <w:highlight w:val="none"/>
                <w:u w:val="single"/>
              </w:rPr>
              <w:t>投标文件格式规定需个人签字的，应签字或签章后扫描上传</w:t>
            </w:r>
            <w:r>
              <w:rPr>
                <w:rFonts w:hint="eastAsia"/>
                <w:color w:val="auto"/>
                <w:szCs w:val="21"/>
                <w:highlight w:val="none"/>
                <w:u w:val="single"/>
              </w:rPr>
              <w:t>（</w:t>
            </w:r>
            <w:r>
              <w:rPr>
                <w:rFonts w:ascii="Calibri" w:hAnsi="Calibri" w:eastAsia="宋体" w:cs="Times New Roman"/>
                <w:color w:val="auto"/>
                <w:szCs w:val="24"/>
                <w:highlight w:val="none"/>
                <w:u w:val="single"/>
              </w:rPr>
              <w:t>可靠的电子签名与手写签名或者盖章具有同等的法律效力</w:t>
            </w:r>
            <w:r>
              <w:rPr>
                <w:rFonts w:hint="eastAsia"/>
                <w:color w:val="auto"/>
                <w:szCs w:val="21"/>
                <w:highlight w:val="none"/>
                <w:u w:val="single"/>
              </w:rPr>
              <w:t>）</w:t>
            </w:r>
            <w:r>
              <w:rPr>
                <w:rFonts w:ascii="宋体" w:hAnsi="宋体" w:eastAsia="宋体"/>
                <w:color w:val="auto"/>
                <w:szCs w:val="24"/>
                <w:highlight w:val="none"/>
                <w:u w:val="single"/>
              </w:rPr>
              <w:t>。投标文件格式规定盖单位公章的页面必须盖单位公章</w:t>
            </w:r>
            <w:r>
              <w:rPr>
                <w:rFonts w:hint="eastAsia" w:ascii="宋体" w:hAnsi="宋体" w:eastAsia="宋体"/>
                <w:color w:val="auto"/>
                <w:szCs w:val="24"/>
                <w:highlight w:val="none"/>
                <w:u w:val="single"/>
              </w:rPr>
              <w:t>或电子公章</w:t>
            </w:r>
            <w:r>
              <w:rPr>
                <w:rFonts w:ascii="宋体" w:hAnsi="宋体" w:eastAsia="宋体"/>
                <w:color w:val="auto"/>
                <w:szCs w:val="24"/>
                <w:highlight w:val="none"/>
                <w:u w:val="single"/>
              </w:rPr>
              <w:t>（公章与电子公章具有相同法律效力）</w:t>
            </w:r>
            <w:r>
              <w:rPr>
                <w:rFonts w:hint="eastAsia" w:ascii="宋体" w:hAnsi="宋体" w:eastAsia="宋体"/>
                <w:color w:val="auto"/>
                <w:szCs w:val="24"/>
                <w:highlight w:val="none"/>
                <w:u w:val="single"/>
              </w:rPr>
              <w:t>。</w:t>
            </w:r>
          </w:p>
        </w:tc>
      </w:tr>
      <w:tr w14:paraId="62E97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DCB96B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066" w:type="pct"/>
            <w:vAlign w:val="center"/>
          </w:tcPr>
          <w:p w14:paraId="21121B7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封套上应载明的信息（适用于提交备用光盘或U盘的情况）</w:t>
            </w:r>
          </w:p>
        </w:tc>
        <w:tc>
          <w:tcPr>
            <w:tcW w:w="3494" w:type="pct"/>
            <w:vAlign w:val="center"/>
          </w:tcPr>
          <w:p w14:paraId="7957D09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如有提交投标文件光盘备用，封套上应注明如下信息：</w:t>
            </w:r>
          </w:p>
          <w:p w14:paraId="5804F7FD">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刻录好的投标文件光盘分别密封在不透明的密封袋并作标记，其中：</w:t>
            </w:r>
          </w:p>
          <w:p w14:paraId="0BEEA0E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1.“商务文件（含资格审查文件）光盘”应在密封袋上写明（1）招标人名称；（2）“[项目名称] 商务文件（含资格审查文件）光盘”字样；（3）投标人名称；并在封口处加盖投标人单位公章；</w:t>
            </w:r>
          </w:p>
          <w:p w14:paraId="15809E3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2.“技术文件光盘”、“保密文件光盘”应仅在密封袋上写明“[项目名称][技术文件光盘或保密文件光盘]”字样，并不得盖章或加具其它可以识别投标人身份的标记。</w:t>
            </w:r>
          </w:p>
        </w:tc>
      </w:tr>
      <w:tr w14:paraId="479EA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6ED492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1066" w:type="pct"/>
            <w:vAlign w:val="center"/>
          </w:tcPr>
          <w:p w14:paraId="0DCA3CE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494" w:type="pct"/>
            <w:vAlign w:val="center"/>
          </w:tcPr>
          <w:p w14:paraId="3C009DA4">
            <w:pPr>
              <w:wordWrap w:val="0"/>
              <w:spacing w:line="276" w:lineRule="auto"/>
              <w:rPr>
                <w:rFonts w:ascii="宋体" w:hAnsi="宋体" w:eastAsia="宋体" w:cs="宋体"/>
                <w:color w:val="auto"/>
                <w:szCs w:val="21"/>
                <w:highlight w:val="none"/>
              </w:rPr>
            </w:pPr>
            <w:r>
              <w:rPr>
                <w:rFonts w:ascii="宋体" w:hAnsi="Times New Roman" w:eastAsia="宋体"/>
                <w:color w:val="auto"/>
                <w:szCs w:val="24"/>
                <w:highlight w:val="none"/>
              </w:rPr>
              <w:t>投标截止时间：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分（北京时间），以广州交易集团有限公司（广州公共资源交易中心）网站发布信息为准。</w:t>
            </w:r>
          </w:p>
        </w:tc>
      </w:tr>
      <w:tr w14:paraId="5B7F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77C33F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1066" w:type="pct"/>
            <w:vAlign w:val="center"/>
          </w:tcPr>
          <w:p w14:paraId="7F46831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3494" w:type="pct"/>
            <w:vAlign w:val="center"/>
          </w:tcPr>
          <w:p w14:paraId="00687A11">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1.开标时间：</w:t>
            </w:r>
            <w:r>
              <w:rPr>
                <w:rFonts w:hint="eastAsia" w:ascii="宋体" w:hAnsi="宋体" w:eastAsia="宋体" w:cs="宋体"/>
                <w:color w:val="auto"/>
                <w:szCs w:val="21"/>
                <w:highlight w:val="none"/>
                <w:u w:val="single"/>
                <w:lang w:bidi="ar"/>
              </w:rPr>
              <w:t>同投标截止时间</w:t>
            </w:r>
          </w:p>
          <w:p w14:paraId="2CD291A5">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2.开标地点：</w:t>
            </w:r>
            <w:r>
              <w:rPr>
                <w:rFonts w:hint="eastAsia" w:ascii="宋体" w:hAnsi="宋体" w:eastAsia="宋体" w:cs="宋体"/>
                <w:color w:val="auto"/>
                <w:szCs w:val="21"/>
                <w:highlight w:val="none"/>
                <w:u w:val="single"/>
                <w:lang w:bidi="ar"/>
              </w:rPr>
              <w:t>广州交易集团有限公司（广州公共资源交易中心）指定开标室。</w:t>
            </w:r>
          </w:p>
          <w:p w14:paraId="6D93292A">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3.递交投标文件备用光盘时间：____年____月____日____时____分至____年____月____日____时____分；递交地点：</w:t>
            </w:r>
            <w:r>
              <w:rPr>
                <w:rFonts w:hint="eastAsia" w:ascii="宋体" w:hAnsi="宋体" w:eastAsia="宋体" w:cs="宋体"/>
                <w:color w:val="auto"/>
                <w:szCs w:val="21"/>
                <w:highlight w:val="none"/>
                <w:u w:val="single"/>
                <w:lang w:bidi="ar"/>
              </w:rPr>
              <w:t>广州交易集团有限公司（广州公共资源交易中心）指定开标室</w:t>
            </w:r>
            <w:r>
              <w:rPr>
                <w:rFonts w:hint="eastAsia" w:ascii="宋体" w:hAnsi="宋体" w:eastAsia="宋体" w:cs="宋体"/>
                <w:color w:val="auto"/>
                <w:szCs w:val="21"/>
                <w:highlight w:val="none"/>
                <w:lang w:bidi="ar"/>
              </w:rPr>
              <w:t>。(建议安排在投标文件截止时间前 15 分钟至投标文件截止时间）</w:t>
            </w:r>
          </w:p>
          <w:p w14:paraId="2833C312">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4.提交投标文件光盘备用</w:t>
            </w:r>
          </w:p>
          <w:p w14:paraId="07591495">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E3285B6">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5.补救方案</w:t>
            </w:r>
          </w:p>
          <w:p w14:paraId="6F9B8711">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D7BA446">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（2）评标时突发情况的补救方案：若遇不可抗力发生（指网络瘫痪、服务器损坏、交易系统故障短期无法恢复等因素），由评标委员会开启投标人递交的全部投标文件光盘，并按光盘内容进行评审。</w:t>
            </w:r>
          </w:p>
          <w:p w14:paraId="16C34188">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（3）除发生上述情况外，开标评标均以投标人通过交易平台网上递交的电子投标文件为准。</w:t>
            </w:r>
          </w:p>
          <w:p w14:paraId="2616FEA8">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6.开标时，投标人代表有权参加现场开标或在线开标，也可以自主决定不参加开标，投标人选择参加在线开标的，具体按照交易平台相关指南进行操作。</w:t>
            </w:r>
          </w:p>
          <w:p w14:paraId="018F6FA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7.上述时间及地点是否有改变，请密切留意补充公告或招标答疑纪要的相关信息。</w:t>
            </w:r>
          </w:p>
        </w:tc>
      </w:tr>
      <w:tr w14:paraId="1536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3FFAFB5">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066" w:type="pct"/>
            <w:vAlign w:val="center"/>
          </w:tcPr>
          <w:p w14:paraId="0434D0D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3494" w:type="pct"/>
            <w:vAlign w:val="center"/>
          </w:tcPr>
          <w:p w14:paraId="7222D2C2">
            <w:pPr>
              <w:wordWrap w:val="0"/>
              <w:spacing w:line="276" w:lineRule="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评标委员会构成：</w:t>
            </w:r>
            <w:r>
              <w:rPr>
                <w:rFonts w:hint="eastAsia" w:ascii="宋体" w:hAnsi="宋体" w:eastAsia="宋体" w:cs="宋体"/>
                <w:color w:val="auto"/>
                <w:szCs w:val="21"/>
                <w:highlight w:val="none"/>
                <w:u w:val="single"/>
                <w:lang w:val="en-US" w:eastAsia="zh-CN" w:bidi="ar"/>
              </w:rPr>
              <w:t>7</w:t>
            </w:r>
            <w:r>
              <w:rPr>
                <w:rFonts w:hint="eastAsia" w:ascii="宋体" w:hAnsi="宋体" w:eastAsia="宋体" w:cs="宋体"/>
                <w:color w:val="auto"/>
                <w:szCs w:val="21"/>
                <w:highlight w:val="none"/>
                <w:u w:val="none"/>
                <w:lang w:bidi="ar"/>
              </w:rPr>
              <w:t>人</w:t>
            </w:r>
          </w:p>
          <w:p w14:paraId="5EDA179D">
            <w:pPr>
              <w:wordWrap w:val="0"/>
              <w:spacing w:line="276" w:lineRule="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其中招标人代表</w:t>
            </w:r>
            <w:r>
              <w:rPr>
                <w:rFonts w:hint="eastAsia" w:ascii="宋体" w:hAnsi="宋体" w:eastAsia="宋体" w:cs="宋体"/>
                <w:color w:val="auto"/>
                <w:szCs w:val="21"/>
                <w:highlight w:val="none"/>
                <w:u w:val="single"/>
                <w:lang w:val="en-US" w:eastAsia="zh-CN" w:bidi="ar"/>
              </w:rPr>
              <w:t>0</w:t>
            </w:r>
            <w:r>
              <w:rPr>
                <w:rFonts w:hint="eastAsia" w:ascii="宋体" w:hAnsi="宋体" w:eastAsia="宋体" w:cs="宋体"/>
                <w:color w:val="auto"/>
                <w:szCs w:val="21"/>
                <w:highlight w:val="none"/>
                <w:u w:val="none"/>
                <w:lang w:bidi="ar"/>
              </w:rPr>
              <w:t>人，专家</w:t>
            </w:r>
            <w:r>
              <w:rPr>
                <w:rFonts w:hint="eastAsia" w:ascii="宋体" w:hAnsi="宋体" w:eastAsia="宋体" w:cs="宋体"/>
                <w:color w:val="auto"/>
                <w:szCs w:val="21"/>
                <w:highlight w:val="none"/>
                <w:u w:val="single"/>
                <w:lang w:val="en-US" w:eastAsia="zh-CN" w:bidi="ar"/>
              </w:rPr>
              <w:t>7</w:t>
            </w:r>
            <w:r>
              <w:rPr>
                <w:rFonts w:hint="eastAsia" w:ascii="宋体" w:hAnsi="宋体" w:eastAsia="宋体" w:cs="宋体"/>
                <w:color w:val="auto"/>
                <w:szCs w:val="21"/>
                <w:highlight w:val="none"/>
                <w:u w:val="none"/>
                <w:lang w:bidi="ar"/>
              </w:rPr>
              <w:t>人；</w:t>
            </w:r>
          </w:p>
          <w:p w14:paraId="3A70B99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none"/>
                <w:lang w:bidi="ar"/>
              </w:rPr>
              <w:t>评标专家确定方式：</w:t>
            </w:r>
            <w:r>
              <w:rPr>
                <w:rFonts w:hint="eastAsia" w:ascii="宋体" w:hAnsi="宋体" w:eastAsia="宋体" w:cs="宋体"/>
                <w:color w:val="auto"/>
                <w:szCs w:val="21"/>
                <w:highlight w:val="none"/>
                <w:u w:val="single"/>
                <w:lang w:bidi="ar"/>
              </w:rPr>
              <w:t>专家</w:t>
            </w:r>
            <w:r>
              <w:rPr>
                <w:rFonts w:hint="eastAsia" w:ascii="宋体" w:hAnsi="宋体" w:eastAsia="宋体" w:cs="宋体"/>
                <w:color w:val="auto"/>
                <w:szCs w:val="21"/>
                <w:highlight w:val="none"/>
                <w:u w:val="single"/>
                <w:lang w:val="en-US" w:eastAsia="zh-CN" w:bidi="ar"/>
              </w:rPr>
              <w:t>在广东省综合评标评审专家库中随机抽取。</w:t>
            </w:r>
          </w:p>
        </w:tc>
      </w:tr>
      <w:tr w14:paraId="6509C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0B67EB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w:t>
            </w:r>
          </w:p>
        </w:tc>
        <w:tc>
          <w:tcPr>
            <w:tcW w:w="1066" w:type="pct"/>
            <w:vAlign w:val="center"/>
          </w:tcPr>
          <w:p w14:paraId="28B68A7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定标委员会的组建</w:t>
            </w:r>
          </w:p>
        </w:tc>
        <w:tc>
          <w:tcPr>
            <w:tcW w:w="3494" w:type="pct"/>
            <w:vAlign w:val="center"/>
          </w:tcPr>
          <w:p w14:paraId="3FD55381">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本项目不适用。</w:t>
            </w:r>
          </w:p>
        </w:tc>
      </w:tr>
      <w:tr w14:paraId="2CC12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CF5DC6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066" w:type="pct"/>
            <w:vAlign w:val="center"/>
          </w:tcPr>
          <w:p w14:paraId="34A469C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3494" w:type="pct"/>
            <w:vAlign w:val="center"/>
          </w:tcPr>
          <w:p w14:paraId="04708BB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推荐3名中标候选人</w:t>
            </w:r>
          </w:p>
        </w:tc>
      </w:tr>
      <w:tr w14:paraId="6FA1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2B674D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066" w:type="pct"/>
            <w:vAlign w:val="center"/>
          </w:tcPr>
          <w:p w14:paraId="4BF4E55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3494" w:type="pct"/>
            <w:vAlign w:val="center"/>
          </w:tcPr>
          <w:p w14:paraId="7FF04D5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lang w:bidi="ar"/>
              </w:rPr>
              <w:t>广州交易集团有限公司（广州公共资源交易中心）网、广东省招标投标监管网、中国招标投标公共服务平台</w:t>
            </w:r>
          </w:p>
          <w:p w14:paraId="0F725D1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日（不少于3日，最后一天应为工作日）</w:t>
            </w:r>
          </w:p>
          <w:p w14:paraId="724489B2">
            <w:pPr>
              <w:wordWrap w:val="0"/>
              <w:spacing w:line="276" w:lineRule="auto"/>
              <w:rPr>
                <w:rFonts w:ascii="宋体" w:hAnsi="宋体" w:eastAsia="宋体" w:cs="宋体"/>
                <w:color w:val="auto"/>
                <w:szCs w:val="21"/>
                <w:highlight w:val="none"/>
              </w:rPr>
            </w:pPr>
          </w:p>
        </w:tc>
      </w:tr>
      <w:tr w14:paraId="76B7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D1F00A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066" w:type="pct"/>
            <w:vAlign w:val="center"/>
          </w:tcPr>
          <w:p w14:paraId="2F28113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3494" w:type="pct"/>
            <w:vAlign w:val="center"/>
          </w:tcPr>
          <w:p w14:paraId="137325E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p w14:paraId="7E100399">
            <w:pPr>
              <w:wordWrap w:val="0"/>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■否</w:t>
            </w:r>
          </w:p>
        </w:tc>
      </w:tr>
      <w:tr w14:paraId="0AC2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ACEE4A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066" w:type="pct"/>
            <w:vAlign w:val="center"/>
          </w:tcPr>
          <w:p w14:paraId="109A9DB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技术成果经济补偿</w:t>
            </w:r>
          </w:p>
        </w:tc>
        <w:tc>
          <w:tcPr>
            <w:tcW w:w="3494" w:type="pct"/>
            <w:vAlign w:val="center"/>
          </w:tcPr>
          <w:p w14:paraId="2BB76B2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3A4E823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□补偿，补偿标准： </w:t>
            </w:r>
          </w:p>
        </w:tc>
      </w:tr>
      <w:tr w14:paraId="261D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1E534A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066" w:type="pct"/>
            <w:vAlign w:val="center"/>
          </w:tcPr>
          <w:p w14:paraId="38D837E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3494" w:type="pct"/>
            <w:vAlign w:val="center"/>
          </w:tcPr>
          <w:p w14:paraId="3FDEA8B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1766D498">
            <w:pPr>
              <w:wordWrap/>
              <w:spacing w:line="240"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■要求，履约保证金的形式：</w:t>
            </w:r>
            <w:r>
              <w:rPr>
                <w:rFonts w:hint="eastAsia" w:ascii="宋体" w:hAnsi="宋体" w:eastAsia="宋体" w:cs="宋体"/>
                <w:color w:val="auto"/>
                <w:szCs w:val="21"/>
                <w:highlight w:val="none"/>
                <w:u w:val="none"/>
              </w:rPr>
              <w:t>可采用银行或担保公司保函、转账、现金、支票、汇票、履约保证保险等形式（招标人不能限定只能以现金形式提交）</w:t>
            </w:r>
            <w:r>
              <w:rPr>
                <w:rFonts w:hint="eastAsia" w:ascii="宋体" w:hAnsi="宋体" w:eastAsia="宋体" w:cs="宋体"/>
                <w:color w:val="auto"/>
                <w:szCs w:val="21"/>
                <w:highlight w:val="none"/>
              </w:rPr>
              <w:t>。</w:t>
            </w:r>
          </w:p>
          <w:p w14:paraId="793E115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履约保证金的金额：</w:t>
            </w:r>
            <w:r>
              <w:rPr>
                <w:rFonts w:hint="eastAsia" w:ascii="宋体" w:hAnsi="宋体" w:eastAsia="宋体" w:cs="宋体"/>
                <w:color w:val="auto"/>
                <w:szCs w:val="21"/>
                <w:highlight w:val="none"/>
                <w:u w:val="single"/>
                <w:lang w:val="en-US" w:eastAsia="zh-CN"/>
              </w:rPr>
              <w:t>合同暂定（含税）总价的10%</w:t>
            </w:r>
            <w:r>
              <w:rPr>
                <w:rFonts w:hint="eastAsia" w:ascii="宋体" w:hAnsi="宋体" w:eastAsia="宋体" w:cs="宋体"/>
                <w:color w:val="auto"/>
                <w:szCs w:val="21"/>
                <w:highlight w:val="none"/>
                <w:u w:val="single"/>
              </w:rPr>
              <w:t>。</w:t>
            </w:r>
          </w:p>
          <w:p w14:paraId="7F6CAB6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1D7C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4AA958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66" w:type="pct"/>
            <w:vAlign w:val="center"/>
          </w:tcPr>
          <w:p w14:paraId="0664E4F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3494" w:type="pct"/>
            <w:vAlign w:val="center"/>
          </w:tcPr>
          <w:p w14:paraId="052E245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□否</w:t>
            </w:r>
          </w:p>
          <w:p w14:paraId="719C004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r w14:paraId="5FD9C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AEF5403">
            <w:pPr>
              <w:wordWrap w:val="0"/>
              <w:autoSpaceDE w:val="0"/>
              <w:autoSpaceDN w:val="0"/>
              <w:spacing w:line="276"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u w:val="single"/>
                <w:lang w:val="en-US" w:eastAsia="zh-CN"/>
              </w:rPr>
              <w:t>11</w:t>
            </w:r>
          </w:p>
        </w:tc>
        <w:tc>
          <w:tcPr>
            <w:tcW w:w="4560" w:type="pct"/>
            <w:gridSpan w:val="2"/>
            <w:vAlign w:val="center"/>
          </w:tcPr>
          <w:p w14:paraId="07C8D97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7D96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E0DDD7B">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.1</w:t>
            </w:r>
          </w:p>
        </w:tc>
        <w:tc>
          <w:tcPr>
            <w:tcW w:w="1066" w:type="pct"/>
            <w:vAlign w:val="center"/>
          </w:tcPr>
          <w:p w14:paraId="7251C10E">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特别提示</w:t>
            </w:r>
          </w:p>
        </w:tc>
        <w:tc>
          <w:tcPr>
            <w:tcW w:w="3494" w:type="pct"/>
            <w:vAlign w:val="center"/>
          </w:tcPr>
          <w:p w14:paraId="72514CE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投标人在本项目招标人的工程项目中存在下列行为的，将被拒绝一年内参与我单位后续工程投标。（注：拒绝投标时限自招标人发出通知之日起计）：</w:t>
            </w:r>
          </w:p>
          <w:p w14:paraId="3C3DA1C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1）将中标工程转包或者违法分包的；</w:t>
            </w:r>
          </w:p>
          <w:p w14:paraId="124BD923">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2）在中标工程中不执行质量、安全生产相关规定的，造成质量或安全事故的；</w:t>
            </w:r>
          </w:p>
          <w:p w14:paraId="4C3892C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3）出让投标资格的；</w:t>
            </w:r>
          </w:p>
          <w:p w14:paraId="3B3C889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4）存在围标或串标情形的；</w:t>
            </w:r>
          </w:p>
          <w:p w14:paraId="3CE83E7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5）在投标文件中提供虚假材料的；</w:t>
            </w:r>
          </w:p>
          <w:p w14:paraId="2099028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6）存在少放、不放业绩、奖项等客观评审资料，减少自身竞争力情形的；</w:t>
            </w:r>
          </w:p>
          <w:p w14:paraId="32C52FB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7）存在行贿情形的；</w:t>
            </w:r>
          </w:p>
          <w:p w14:paraId="1EB2E6A6">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8）拖欠农民工工资的；</w:t>
            </w:r>
          </w:p>
          <w:p w14:paraId="3BBABB64">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9）未按照国家、省、市有关建筑施工实名制管理和工人工资支付分账管理的规定执行，被行政监管部门处罚的。</w:t>
            </w:r>
          </w:p>
        </w:tc>
      </w:tr>
      <w:tr w14:paraId="57ED5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A0562FD">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.2</w:t>
            </w:r>
          </w:p>
        </w:tc>
        <w:tc>
          <w:tcPr>
            <w:tcW w:w="1066" w:type="pct"/>
            <w:vAlign w:val="center"/>
          </w:tcPr>
          <w:p w14:paraId="7D34E3A1">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招标失败的情形</w:t>
            </w:r>
          </w:p>
        </w:tc>
        <w:tc>
          <w:tcPr>
            <w:tcW w:w="3494" w:type="pct"/>
            <w:vAlign w:val="center"/>
          </w:tcPr>
          <w:p w14:paraId="496B540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参与投标的家数不足3家，或者评标时通过形式评审或资格评审或响应性评审的投标人家数不足3家时为招标失败。招标人分析招标失败原因，修正招标方案，按相关规定重新组织招标。</w:t>
            </w:r>
          </w:p>
        </w:tc>
      </w:tr>
      <w:tr w14:paraId="638E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481A850">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.3</w:t>
            </w:r>
          </w:p>
        </w:tc>
        <w:tc>
          <w:tcPr>
            <w:tcW w:w="1066" w:type="pct"/>
            <w:vAlign w:val="center"/>
          </w:tcPr>
          <w:p w14:paraId="7B5270A2">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3494" w:type="pct"/>
            <w:vAlign w:val="center"/>
          </w:tcPr>
          <w:p w14:paraId="3B5E3E8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1、招标公告、招标文件、答疑纪要等招标资料全部发布在广州交易集团有限公司（广州公共资源交易中心）网站，由投标人自行下载查阅。</w:t>
            </w:r>
          </w:p>
          <w:p w14:paraId="0471817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2、投标截止时间、开标时间和地点：发布在广州交易集团有限公司（广州公共资源交易中心）网站（具体在网站主页“建设工程”中“项目查询”输入“项目名称”或“项目编号”进行查询）。</w:t>
            </w:r>
          </w:p>
          <w:p w14:paraId="2D49A962">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3、中标后，中标单位须提交与网上上传电子投标文件完全一致的纸质投标文件（一式四份，加盖公章）至招标人。</w:t>
            </w:r>
          </w:p>
        </w:tc>
      </w:tr>
      <w:tr w14:paraId="499D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E33355A">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rPr>
              <w:t>4</w:t>
            </w:r>
          </w:p>
        </w:tc>
        <w:tc>
          <w:tcPr>
            <w:tcW w:w="1066" w:type="pct"/>
            <w:vAlign w:val="center"/>
          </w:tcPr>
          <w:p w14:paraId="70F2A56C">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其他费用</w:t>
            </w:r>
          </w:p>
        </w:tc>
        <w:tc>
          <w:tcPr>
            <w:tcW w:w="3494" w:type="pct"/>
            <w:vAlign w:val="center"/>
          </w:tcPr>
          <w:p w14:paraId="6A1FF93C">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交易服务费：</w:t>
            </w:r>
            <w:r>
              <w:rPr>
                <w:rFonts w:hint="eastAsia" w:ascii="宋体" w:hAnsi="宋体" w:eastAsia="宋体" w:cs="宋体"/>
                <w:color w:val="auto"/>
                <w:kern w:val="0"/>
                <w:szCs w:val="21"/>
                <w:highlight w:val="none"/>
                <w:u w:val="single"/>
              </w:rPr>
              <w:t>由中标单位支付。</w:t>
            </w:r>
          </w:p>
          <w:p w14:paraId="444A170A">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招标代理费：</w:t>
            </w:r>
            <w:r>
              <w:rPr>
                <w:rFonts w:hint="eastAsia" w:ascii="宋体" w:hAnsi="宋体" w:eastAsia="宋体" w:cs="宋体"/>
                <w:color w:val="auto"/>
                <w:kern w:val="0"/>
                <w:szCs w:val="21"/>
                <w:highlight w:val="none"/>
                <w:u w:val="single"/>
              </w:rPr>
              <w:t>由中标人支付，招标代理服务费以采购额按差额定率累进法计算。详见《广州市政府采购中心关于代理采购类项目招标代理服务费收费标准的通知》（http://www.gzggzy.cn/jtgg/874864.jhtml）（本项目按工程类收费）。</w:t>
            </w:r>
          </w:p>
        </w:tc>
      </w:tr>
      <w:tr w14:paraId="154E0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9291DD9">
            <w:pPr>
              <w:wordWrap w:val="0"/>
              <w:autoSpaceDE w:val="0"/>
              <w:autoSpaceDN w:val="0"/>
              <w:spacing w:line="276" w:lineRule="auto"/>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11.5</w:t>
            </w:r>
          </w:p>
        </w:tc>
        <w:tc>
          <w:tcPr>
            <w:tcW w:w="1066" w:type="pct"/>
            <w:vAlign w:val="center"/>
          </w:tcPr>
          <w:p w14:paraId="0A1B8015">
            <w:pPr>
              <w:wordWrap w:val="0"/>
              <w:spacing w:line="276"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投标报价评审优惠政策</w:t>
            </w:r>
          </w:p>
        </w:tc>
        <w:tc>
          <w:tcPr>
            <w:tcW w:w="3494" w:type="pct"/>
            <w:vAlign w:val="center"/>
          </w:tcPr>
          <w:p w14:paraId="20D428D7">
            <w:pPr>
              <w:wordWrap w:val="0"/>
              <w:spacing w:line="276" w:lineRule="auto"/>
              <w:rPr>
                <w:rFonts w:hint="eastAsia"/>
                <w:color w:val="auto"/>
                <w:highlight w:val="none"/>
              </w:rPr>
            </w:pPr>
            <w:r>
              <w:rPr>
                <w:rFonts w:hint="eastAsia"/>
                <w:color w:val="auto"/>
                <w:highlight w:val="none"/>
              </w:rPr>
              <w:t>本项目属于非专门面向中小微企业预留采购份额。</w:t>
            </w:r>
          </w:p>
          <w:p w14:paraId="5B2948AD">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（1）根据《广东省政府采购促进中小企业发展实施细则(试行)》要求，对符合《政府采购促进中小企业发展管理办法》的投标人，给予相应的价格评审优惠。</w:t>
            </w:r>
          </w:p>
          <w:p w14:paraId="7E11BC55">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本招标项目评标计算价格分时，对小微企业投标的，在采用原报价进行评分的基础上增加其价格得分的5%作为其价格分，对大中型企业与小微企业组成联合体的，在采用原报价进行评分的基础上增加其价格得分的2%作为其价格分，若原报价已满分，仍可突破满分上限继续享受加分优惠，以实际计算结果作为最终价格分。（分数出现小数点时，保留小数点后二位，第三位小数四舍五入）</w:t>
            </w:r>
          </w:p>
          <w:p w14:paraId="68423372">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EA4C69F">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（4）小微企业划分标准按照《工业和信息化部 国家统计局国家发展和改革委员会财政部关于印发中小企业划型标准规定的通知》(工信部联企业(2011)300号)执行。本招标项目属于</w:t>
            </w:r>
            <w:r>
              <w:rPr>
                <w:rFonts w:hint="eastAsia" w:ascii="宋体" w:hAnsi="宋体" w:eastAsia="宋体" w:cs="宋体"/>
                <w:b/>
                <w:bCs/>
                <w:color w:val="auto"/>
                <w:kern w:val="0"/>
                <w:szCs w:val="21"/>
                <w:highlight w:val="none"/>
                <w:u w:val="single"/>
                <w:lang w:val="en-US" w:eastAsia="zh-CN"/>
              </w:rPr>
              <w:t>其他未列明行业</w:t>
            </w:r>
            <w:r>
              <w:rPr>
                <w:rFonts w:hint="eastAsia" w:ascii="宋体" w:hAnsi="宋体" w:eastAsia="宋体" w:cs="宋体"/>
                <w:b/>
                <w:bCs/>
                <w:color w:val="auto"/>
                <w:kern w:val="0"/>
                <w:szCs w:val="21"/>
                <w:highlight w:val="none"/>
              </w:rPr>
              <w:t>。</w:t>
            </w:r>
          </w:p>
          <w:p w14:paraId="64A582B0">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①中小微企业，是指在中华人民共和国境内依法设立，依据国务院批准的中小企业划分标准确定的中型企业、小型企业和微型企业，但与大企业的负责人为同一人，或者与大企业存在直接控股、管理关系的除外。</w:t>
            </w:r>
          </w:p>
          <w:p w14:paraId="4FEB21AB">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95C7D39">
            <w:pPr>
              <w:wordWrap w:val="0"/>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rPr>
              <w:t>③根据财库〔2017〕141号《财政部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bl>
    <w:p w14:paraId="66BB3F5D">
      <w:pPr>
        <w:wordWrap w:val="0"/>
        <w:ind w:left="420" w:leftChars="200"/>
        <w:rPr>
          <w:rFonts w:ascii="宋体" w:hAnsi="宋体" w:eastAsia="宋体" w:cs="宋体"/>
          <w:color w:val="auto"/>
          <w:szCs w:val="24"/>
          <w:highlight w:val="none"/>
        </w:rPr>
      </w:pPr>
    </w:p>
    <w:p w14:paraId="275200FA">
      <w:pPr>
        <w:widowControl/>
        <w:jc w:val="left"/>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CF09488">
      <w:pPr>
        <w:pStyle w:val="4"/>
        <w:rPr>
          <w:color w:val="auto"/>
          <w:highlight w:val="none"/>
        </w:rPr>
      </w:pPr>
      <w:r>
        <w:rPr>
          <w:color w:val="auto"/>
          <w:highlight w:val="none"/>
        </w:rPr>
        <w:t>投标须知修改表</w:t>
      </w:r>
    </w:p>
    <w:p w14:paraId="2424C883">
      <w:pPr>
        <w:pStyle w:val="43"/>
        <w:pBdr>
          <w:bottom w:val="single" w:color="auto" w:sz="6" w:space="1"/>
        </w:pBdr>
        <w:spacing w:after="0" w:line="360" w:lineRule="auto"/>
        <w:ind w:firstLine="0" w:firstLineChars="0"/>
        <w:rPr>
          <w:rFonts w:ascii="宋体" w:hAnsi="宋体"/>
          <w:bCs/>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招标文件范本的投标须知通用条款，与该通用条款不同之处，均在本表中列明，并以现文为准，原文不再有效。</w:t>
      </w:r>
      <w:r>
        <w:rPr>
          <w:rFonts w:hint="eastAsia" w:ascii="宋体" w:hAnsi="宋体"/>
          <w:bCs/>
          <w:color w:val="auto"/>
          <w:sz w:val="24"/>
          <w:szCs w:val="24"/>
          <w:highlight w:val="none"/>
        </w:rPr>
        <w:t>（注：招标人按《投标须知修改表》修改的内容对应修改通用条款，属于删除的采用“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17625573">
      <w:pPr>
        <w:pageBreakBefore w:val="0"/>
        <w:widowControl w:val="0"/>
        <w:kinsoku/>
        <w:overflowPunct/>
        <w:topLinePunct w:val="0"/>
        <w:autoSpaceDE/>
        <w:autoSpaceDN/>
        <w:bidi w:val="0"/>
        <w:adjustRightInd/>
        <w:snapToGrid/>
        <w:spacing w:line="400" w:lineRule="exact"/>
        <w:ind w:firstLine="426" w:firstLineChars="177"/>
        <w:textAlignment w:val="auto"/>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10</w:t>
      </w:r>
      <w:r>
        <w:rPr>
          <w:rFonts w:ascii="宋体" w:hAnsi="宋体" w:eastAsia="宋体"/>
          <w:b/>
          <w:bCs/>
          <w:color w:val="auto"/>
          <w:sz w:val="24"/>
          <w:szCs w:val="24"/>
          <w:highlight w:val="none"/>
        </w:rPr>
        <w:t xml:space="preserve">         修改类型：</w:t>
      </w:r>
      <w:r>
        <w:rPr>
          <w:rFonts w:hint="eastAsia" w:ascii="宋体" w:hAnsi="宋体" w:eastAsia="宋体"/>
          <w:b/>
          <w:bCs/>
          <w:color w:val="auto"/>
          <w:sz w:val="24"/>
          <w:szCs w:val="24"/>
          <w:highlight w:val="none"/>
          <w:lang w:eastAsia="zh-CN"/>
        </w:rPr>
        <w:t>删除</w:t>
      </w:r>
    </w:p>
    <w:p w14:paraId="0EEB3111">
      <w:pPr>
        <w:keepNext/>
        <w:keepLines/>
        <w:pageBreakBefore w:val="0"/>
        <w:widowControl w:val="0"/>
        <w:kinsoku/>
        <w:wordWrap w:val="0"/>
        <w:overflowPunct/>
        <w:topLinePunct w:val="0"/>
        <w:autoSpaceDE/>
        <w:autoSpaceDN/>
        <w:bidi w:val="0"/>
        <w:adjustRightInd/>
        <w:snapToGrid/>
        <w:spacing w:before="260" w:line="400" w:lineRule="exact"/>
        <w:textAlignment w:val="auto"/>
        <w:outlineLvl w:val="2"/>
        <w:rPr>
          <w:rFonts w:hint="eastAsia" w:ascii="宋体" w:hAnsi="宋体" w:eastAsia="宋体" w:cs="宋体"/>
          <w:color w:val="auto"/>
          <w:spacing w:val="-2"/>
          <w:kern w:val="0"/>
          <w:sz w:val="24"/>
          <w:szCs w:val="24"/>
          <w:highlight w:val="none"/>
          <w:lang w:val="zh-CN"/>
        </w:rPr>
      </w:pPr>
      <w:r>
        <w:rPr>
          <w:rFonts w:hint="eastAsia" w:ascii="宋体" w:hAnsi="宋体" w:eastAsia="宋体"/>
          <w:b/>
          <w:bCs/>
          <w:color w:val="auto"/>
          <w:sz w:val="24"/>
          <w:szCs w:val="24"/>
          <w:highlight w:val="none"/>
          <w:lang w:val="en-US" w:eastAsia="zh-CN"/>
        </w:rPr>
        <w:t xml:space="preserve"> 原文：</w:t>
      </w:r>
      <w:r>
        <w:rPr>
          <w:rFonts w:hint="eastAsia" w:ascii="宋体" w:hAnsi="宋体" w:eastAsia="宋体" w:cs="宋体"/>
          <w:color w:val="auto"/>
          <w:spacing w:val="-2"/>
          <w:kern w:val="0"/>
          <w:sz w:val="24"/>
          <w:szCs w:val="24"/>
          <w:highlight w:val="none"/>
          <w:lang w:val="zh-CN"/>
        </w:rPr>
        <w:t>1.10 投标预备会</w:t>
      </w:r>
    </w:p>
    <w:p w14:paraId="42AA40CF">
      <w:pPr>
        <w:pageBreakBefore w:val="0"/>
        <w:widowControl w:val="0"/>
        <w:kinsoku/>
        <w:wordWrap w:val="0"/>
        <w:overflowPunct/>
        <w:topLinePunct w:val="0"/>
        <w:autoSpaceDE w:val="0"/>
        <w:autoSpaceDN w:val="0"/>
        <w:bidi w:val="0"/>
        <w:adjustRightInd/>
        <w:snapToGrid/>
        <w:spacing w:line="400" w:lineRule="exact"/>
        <w:ind w:firstLine="472" w:firstLineChars="200"/>
        <w:textAlignment w:val="auto"/>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1.10.1 投标人须知前附表规定召开投标预备会的，招标人按投标人须知前附表规定的时间和地点召开投标预备会，澄清投标人提出的问题。</w:t>
      </w:r>
    </w:p>
    <w:p w14:paraId="41C594C7">
      <w:pPr>
        <w:pageBreakBefore w:val="0"/>
        <w:widowControl w:val="0"/>
        <w:kinsoku/>
        <w:wordWrap w:val="0"/>
        <w:overflowPunct/>
        <w:topLinePunct w:val="0"/>
        <w:autoSpaceDE w:val="0"/>
        <w:autoSpaceDN w:val="0"/>
        <w:bidi w:val="0"/>
        <w:adjustRightInd/>
        <w:snapToGrid/>
        <w:spacing w:line="400" w:lineRule="exact"/>
        <w:ind w:firstLine="472" w:firstLineChars="200"/>
        <w:textAlignment w:val="auto"/>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1.10.2 投标人应按投标人须知前附表规定的时间和形式将提出的问题送达招标人，以便招标人在会议期间澄清。</w:t>
      </w:r>
    </w:p>
    <w:p w14:paraId="5444E04A">
      <w:pPr>
        <w:pStyle w:val="44"/>
        <w:keepNext w:val="0"/>
        <w:keepLines w:val="0"/>
        <w:pageBreakBefore w:val="0"/>
        <w:widowControl w:val="0"/>
        <w:kinsoku/>
        <w:wordWrap/>
        <w:overflowPunct/>
        <w:topLinePunct w:val="0"/>
        <w:autoSpaceDE/>
        <w:autoSpaceDN/>
        <w:bidi w:val="0"/>
        <w:adjustRightInd/>
        <w:snapToGrid/>
        <w:spacing w:line="400" w:lineRule="exact"/>
        <w:ind w:left="0" w:leftChars="0" w:firstLine="472" w:firstLineChars="200"/>
        <w:textAlignment w:val="auto"/>
        <w:rPr>
          <w:rFonts w:hint="default" w:ascii="宋体" w:hAnsi="宋体" w:eastAsia="宋体"/>
          <w:color w:val="auto"/>
          <w:sz w:val="24"/>
          <w:szCs w:val="24"/>
          <w:highlight w:val="none"/>
        </w:rPr>
      </w:pPr>
      <w:r>
        <w:rPr>
          <w:rFonts w:hint="eastAsia" w:ascii="宋体" w:hAnsi="宋体" w:eastAsia="宋体" w:cs="宋体"/>
          <w:color w:val="auto"/>
          <w:spacing w:val="-2"/>
          <w:kern w:val="0"/>
          <w:sz w:val="24"/>
          <w:szCs w:val="24"/>
          <w:highlight w:val="none"/>
        </w:rPr>
        <w:t>1.10.3 投标预备会后，招标人将对投标人所提问题的澄清，以投标人须知前附表规定的形式通知所有购买招标文件的投标人。该澄清内容为招标文件的组成部分。</w:t>
      </w:r>
    </w:p>
    <w:p w14:paraId="0D00A0BB">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400" w:lineRule="exact"/>
        <w:jc w:val="both"/>
        <w:textAlignment w:val="auto"/>
        <w:rPr>
          <w:rFonts w:hint="default" w:ascii="宋体" w:hAnsi="宋体" w:eastAsia="宋体"/>
          <w:color w:val="auto"/>
          <w:sz w:val="24"/>
          <w:szCs w:val="24"/>
          <w:highlight w:val="none"/>
        </w:rPr>
      </w:pPr>
    </w:p>
    <w:p w14:paraId="63F10B18">
      <w:pPr>
        <w:keepNext w:val="0"/>
        <w:keepLines w:val="0"/>
        <w:pageBreakBefore w:val="0"/>
        <w:widowControl w:val="0"/>
        <w:kinsoku/>
        <w:wordWrap/>
        <w:overflowPunct/>
        <w:topLinePunct w:val="0"/>
        <w:autoSpaceDE/>
        <w:autoSpaceDN/>
        <w:bidi w:val="0"/>
        <w:adjustRightInd/>
        <w:snapToGrid/>
        <w:spacing w:beforeLines="0" w:afterLines="0" w:line="400" w:lineRule="exact"/>
        <w:ind w:firstLine="540" w:firstLineChars="224"/>
        <w:jc w:val="both"/>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default" w:ascii="宋体" w:hAnsi="宋体" w:eastAsia="宋体" w:cs="宋体"/>
          <w:b/>
          <w:bCs/>
          <w:color w:val="auto"/>
          <w:spacing w:val="-2"/>
          <w:kern w:val="0"/>
          <w:sz w:val="24"/>
          <w:szCs w:val="24"/>
          <w:highlight w:val="none"/>
          <w:lang w:val="en-US" w:eastAsia="zh-CN" w:bidi="ar-SA"/>
        </w:rPr>
        <w:t xml:space="preserve">3.1 </w:t>
      </w:r>
      <w:r>
        <w:rPr>
          <w:rFonts w:hint="eastAsia" w:ascii="宋体" w:hAnsi="宋体" w:eastAsia="宋体" w:cs="宋体"/>
          <w:b/>
          <w:bCs/>
          <w:color w:val="auto"/>
          <w:spacing w:val="-2"/>
          <w:kern w:val="0"/>
          <w:sz w:val="24"/>
          <w:szCs w:val="24"/>
          <w:highlight w:val="none"/>
          <w:lang w:val="en-US" w:eastAsia="zh-CN" w:bidi="ar-SA"/>
        </w:rPr>
        <w:t>投标文件的组成（适用于暗标形式）</w:t>
      </w:r>
      <w:r>
        <w:rPr>
          <w:rFonts w:hint="default" w:ascii="宋体" w:hAnsi="宋体" w:eastAsia="宋体"/>
          <w:b/>
          <w:bCs/>
          <w:color w:val="auto"/>
          <w:sz w:val="24"/>
          <w:szCs w:val="24"/>
          <w:highlight w:val="none"/>
        </w:rPr>
        <w:t xml:space="preserve">    修改类型：修改</w:t>
      </w:r>
    </w:p>
    <w:p w14:paraId="4DDB88E3">
      <w:pPr>
        <w:keepNext w:val="0"/>
        <w:keepLines w:val="0"/>
        <w:pageBreakBefore w:val="0"/>
        <w:widowControl w:val="0"/>
        <w:kinsoku/>
        <w:wordWrap/>
        <w:overflowPunct/>
        <w:topLinePunct w:val="0"/>
        <w:autoSpaceDE/>
        <w:autoSpaceDN/>
        <w:bidi w:val="0"/>
        <w:adjustRightInd/>
        <w:snapToGrid/>
        <w:spacing w:beforeLines="0" w:afterLines="0" w:line="400" w:lineRule="exact"/>
        <w:ind w:firstLine="540" w:firstLineChars="224"/>
        <w:jc w:val="both"/>
        <w:textAlignment w:val="auto"/>
        <w:rPr>
          <w:rFonts w:hint="eastAsia" w:ascii="宋体" w:hAnsi="宋体" w:eastAsia="宋体" w:cs="宋体"/>
          <w:color w:val="auto"/>
          <w:spacing w:val="-2"/>
          <w:kern w:val="0"/>
          <w:sz w:val="24"/>
          <w:szCs w:val="24"/>
          <w:highlight w:val="none"/>
          <w:lang w:val="en-US" w:eastAsia="zh-CN" w:bidi="ar-SA"/>
        </w:rPr>
      </w:pPr>
      <w:r>
        <w:rPr>
          <w:rFonts w:hint="default" w:ascii="宋体" w:hAnsi="宋体" w:eastAsia="宋体"/>
          <w:b/>
          <w:bCs/>
          <w:color w:val="auto"/>
          <w:sz w:val="24"/>
          <w:szCs w:val="24"/>
          <w:highlight w:val="none"/>
        </w:rPr>
        <w:t>原文：</w:t>
      </w:r>
      <w:bookmarkStart w:id="9" w:name="_Toc25354"/>
      <w:r>
        <w:rPr>
          <w:rFonts w:hint="default" w:ascii="宋体" w:hAnsi="宋体" w:eastAsia="宋体" w:cs="宋体"/>
          <w:color w:val="auto"/>
          <w:spacing w:val="-2"/>
          <w:kern w:val="0"/>
          <w:sz w:val="24"/>
          <w:szCs w:val="24"/>
          <w:highlight w:val="none"/>
          <w:lang w:val="en-US" w:eastAsia="zh-CN" w:bidi="ar-SA"/>
        </w:rPr>
        <w:t xml:space="preserve">3.1 </w:t>
      </w:r>
      <w:r>
        <w:rPr>
          <w:rFonts w:hint="eastAsia" w:ascii="宋体" w:hAnsi="宋体" w:eastAsia="宋体" w:cs="宋体"/>
          <w:color w:val="auto"/>
          <w:spacing w:val="-2"/>
          <w:kern w:val="0"/>
          <w:sz w:val="24"/>
          <w:szCs w:val="24"/>
          <w:highlight w:val="none"/>
          <w:lang w:val="en-US" w:eastAsia="zh-CN" w:bidi="ar-SA"/>
        </w:rPr>
        <w:t>投标文件的组成（适用于暗标形式）</w:t>
      </w:r>
      <w:bookmarkEnd w:id="9"/>
    </w:p>
    <w:p w14:paraId="5085074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0872E9DA">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4AB6849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5E010D3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76740F8B">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14:paraId="5B77AD64">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5465A97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673CEABF">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3C70C0F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4D5C3FD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3DA40B7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069BC9F1">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1A452781">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284BD645">
      <w:pPr>
        <w:pStyle w:val="2"/>
        <w:rPr>
          <w:rFonts w:hint="default"/>
          <w:color w:val="auto"/>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5BB01F7A">
      <w:pPr>
        <w:keepNext w:val="0"/>
        <w:keepLines w:val="0"/>
        <w:pageBreakBefore w:val="0"/>
        <w:widowControl w:val="0"/>
        <w:kinsoku/>
        <w:wordWrap/>
        <w:overflowPunct/>
        <w:topLinePunct w:val="0"/>
        <w:autoSpaceDE/>
        <w:autoSpaceDN/>
        <w:bidi w:val="0"/>
        <w:adjustRightInd/>
        <w:snapToGrid/>
        <w:spacing w:beforeLines="0" w:afterLines="0" w:line="400" w:lineRule="exact"/>
        <w:ind w:firstLine="540" w:firstLineChars="224"/>
        <w:jc w:val="both"/>
        <w:textAlignment w:val="auto"/>
        <w:rPr>
          <w:rFonts w:hint="eastAsia" w:ascii="宋体" w:hAnsi="宋体" w:eastAsia="宋体" w:cs="宋体"/>
          <w:color w:val="auto"/>
          <w:spacing w:val="-2"/>
          <w:kern w:val="0"/>
          <w:sz w:val="24"/>
          <w:szCs w:val="24"/>
          <w:highlight w:val="none"/>
          <w:lang w:val="en-US" w:eastAsia="zh-CN" w:bidi="ar-SA"/>
        </w:rPr>
      </w:pPr>
      <w:r>
        <w:rPr>
          <w:rFonts w:hint="default" w:ascii="宋体" w:hAnsi="宋体" w:eastAsia="宋体"/>
          <w:b/>
          <w:bCs/>
          <w:color w:val="auto"/>
          <w:sz w:val="24"/>
          <w:szCs w:val="24"/>
          <w:highlight w:val="none"/>
        </w:rPr>
        <w:t>现文：</w:t>
      </w:r>
      <w:r>
        <w:rPr>
          <w:rFonts w:hint="default" w:ascii="宋体" w:hAnsi="宋体" w:eastAsia="宋体" w:cs="宋体"/>
          <w:color w:val="auto"/>
          <w:spacing w:val="-2"/>
          <w:kern w:val="0"/>
          <w:sz w:val="24"/>
          <w:szCs w:val="24"/>
          <w:highlight w:val="none"/>
          <w:lang w:val="en-US" w:eastAsia="zh-CN" w:bidi="ar-SA"/>
        </w:rPr>
        <w:t xml:space="preserve">3.1 </w:t>
      </w:r>
      <w:r>
        <w:rPr>
          <w:rFonts w:hint="eastAsia" w:ascii="宋体" w:hAnsi="宋体" w:eastAsia="宋体" w:cs="宋体"/>
          <w:color w:val="auto"/>
          <w:spacing w:val="-2"/>
          <w:kern w:val="0"/>
          <w:sz w:val="24"/>
          <w:szCs w:val="24"/>
          <w:highlight w:val="none"/>
          <w:lang w:val="en-US" w:eastAsia="zh-CN" w:bidi="ar-SA"/>
        </w:rPr>
        <w:t>投标文件的组成（适用于暗标形式）</w:t>
      </w:r>
    </w:p>
    <w:p w14:paraId="3E9C734E">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1770427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3C6B847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3711819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039A1836">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（4）投标保证金（如有）；</w:t>
      </w:r>
    </w:p>
    <w:p w14:paraId="59DD0EC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3E660B01">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275C5EF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34EFC177">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0CEAEFE3">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3799E6E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30BDA4B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09E01F9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0DA63584">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400" w:lineRule="exact"/>
        <w:ind w:firstLine="537" w:firstLineChars="22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5FA220F5">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3.3.3</w:t>
      </w:r>
      <w:r>
        <w:rPr>
          <w:rFonts w:hint="default" w:ascii="宋体" w:hAnsi="宋体" w:eastAsia="宋体"/>
          <w:b/>
          <w:bCs/>
          <w:color w:val="auto"/>
          <w:sz w:val="24"/>
          <w:szCs w:val="24"/>
          <w:highlight w:val="none"/>
        </w:rPr>
        <w:t xml:space="preserve">             修改类型：修改</w:t>
      </w:r>
    </w:p>
    <w:p w14:paraId="2C7006F3">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BE8FB90">
      <w:pPr>
        <w:pBdr>
          <w:bottom w:val="single" w:color="auto" w:sz="6" w:space="1"/>
        </w:pBd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w:t>
      </w:r>
      <w:r>
        <w:rPr>
          <w:rFonts w:hint="eastAsia" w:ascii="宋体" w:hAnsi="宋体" w:eastAsia="宋体" w:cs="宋体"/>
          <w:strike/>
          <w:dstrike w:val="0"/>
          <w:color w:val="auto"/>
          <w:kern w:val="0"/>
          <w:sz w:val="24"/>
          <w:szCs w:val="24"/>
          <w:highlight w:val="none"/>
        </w:rPr>
        <w:t>同意延长的，应相应延长其投标保证金的有效期，</w:t>
      </w:r>
      <w:r>
        <w:rPr>
          <w:rFonts w:hint="eastAsia" w:ascii="宋体" w:hAnsi="宋体" w:eastAsia="宋体" w:cs="宋体"/>
          <w:color w:val="auto"/>
          <w:kern w:val="0"/>
          <w:sz w:val="24"/>
          <w:szCs w:val="24"/>
          <w:highlight w:val="none"/>
        </w:rPr>
        <w:t>但不得要求或被允许修改其投标文件；投标人拒绝延长的，其投标失效，</w:t>
      </w:r>
      <w:r>
        <w:rPr>
          <w:rFonts w:hint="eastAsia" w:ascii="宋体" w:hAnsi="宋体" w:eastAsia="宋体" w:cs="宋体"/>
          <w:strike/>
          <w:dstrike w:val="0"/>
          <w:color w:val="auto"/>
          <w:kern w:val="0"/>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kern w:val="0"/>
          <w:sz w:val="24"/>
          <w:szCs w:val="24"/>
          <w:highlight w:val="none"/>
        </w:rPr>
        <w:t>。</w:t>
      </w:r>
    </w:p>
    <w:p w14:paraId="4DB45110">
      <w:pPr>
        <w:pStyle w:val="2"/>
        <w:rPr>
          <w:rFonts w:hint="default"/>
          <w:color w:val="auto"/>
          <w:highlight w:val="none"/>
        </w:rPr>
      </w:pPr>
    </w:p>
    <w:p w14:paraId="7685E1F2">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ascii="宋体" w:hAnsi="宋体" w:cs="宋体"/>
          <w:b/>
          <w:bCs/>
          <w:color w:val="auto"/>
          <w:sz w:val="24"/>
          <w:szCs w:val="24"/>
          <w:highlight w:val="none"/>
        </w:rPr>
        <w:t>3.</w:t>
      </w:r>
      <w:r>
        <w:rPr>
          <w:rFonts w:hint="eastAsia" w:ascii="宋体" w:hAnsi="宋体" w:cs="宋体"/>
          <w:b/>
          <w:bCs/>
          <w:color w:val="auto"/>
          <w:sz w:val="24"/>
          <w:szCs w:val="24"/>
          <w:highlight w:val="none"/>
          <w:lang w:eastAsia="zh-CN"/>
        </w:rPr>
        <w:t>4</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eastAsia="zh-CN"/>
        </w:rPr>
        <w:t>1</w:t>
      </w:r>
      <w:r>
        <w:rPr>
          <w:rFonts w:hint="eastAsia" w:ascii="宋体" w:hAnsi="宋体" w:eastAsia="宋体"/>
          <w:b/>
          <w:bCs/>
          <w:color w:val="auto"/>
          <w:sz w:val="24"/>
          <w:szCs w:val="24"/>
          <w:highlight w:val="none"/>
          <w:lang w:val="en-US" w:eastAsia="zh-CN"/>
        </w:rPr>
        <w:t>至</w:t>
      </w:r>
      <w:r>
        <w:rPr>
          <w:rFonts w:hint="default"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3.4.6</w:t>
      </w:r>
      <w:r>
        <w:rPr>
          <w:rFonts w:hint="default" w:ascii="宋体" w:hAnsi="宋体" w:eastAsia="宋体"/>
          <w:b/>
          <w:bCs/>
          <w:color w:val="auto"/>
          <w:sz w:val="24"/>
          <w:szCs w:val="24"/>
          <w:highlight w:val="none"/>
        </w:rPr>
        <w:t xml:space="preserve">         修改类型：删除</w:t>
      </w:r>
    </w:p>
    <w:p w14:paraId="1BCE4A6D">
      <w:pPr>
        <w:wordWrap w:val="0"/>
        <w:autoSpaceDE w:val="0"/>
        <w:autoSpaceDN w:val="0"/>
        <w:spacing w:line="360" w:lineRule="auto"/>
        <w:ind w:firstLine="482" w:firstLineChars="200"/>
        <w:rPr>
          <w:rFonts w:ascii="宋体" w:hAnsi="宋体" w:eastAsia="宋体" w:cs="宋体"/>
          <w:color w:val="auto"/>
          <w:kern w:val="0"/>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34D19E3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7A2D2C6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0653AFD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在提交投标文件截止时间后到招标文件规定的投标有效期终止之前，投标人不得撤销其投标文件，否则招标人可以不退还投标保证金。</w:t>
      </w:r>
    </w:p>
    <w:p w14:paraId="1DD22D8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有下列情形之一的，投标保证金将不予退还：</w:t>
      </w:r>
    </w:p>
    <w:p w14:paraId="39B65B8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（1）投标人在提交投标文件截止时间后到招标文件规定的投标有效期终止之前撤销投标文件；</w:t>
      </w:r>
    </w:p>
    <w:p w14:paraId="05BBD7F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（2）中标人在收到中标通知书后，无正当理由不与招标人订立合同，在签订合同时向招标人提出附加条件，或者不按照招标文件要求提交履约保证金；</w:t>
      </w:r>
    </w:p>
    <w:p w14:paraId="0314E3E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（3）发生投标人须知前附表规定的其他可以不予退还投标保证金的情形。</w:t>
      </w:r>
    </w:p>
    <w:p w14:paraId="79E276D4">
      <w:pPr>
        <w:pBdr>
          <w:bottom w:val="single" w:color="auto" w:sz="6" w:space="1"/>
        </w:pBdr>
        <w:spacing w:beforeLines="0" w:afterLines="0" w:line="480" w:lineRule="auto"/>
        <w:ind w:firstLine="537" w:firstLineChars="224"/>
        <w:jc w:val="both"/>
        <w:rPr>
          <w:rFonts w:hint="default" w:ascii="宋体" w:hAnsi="宋体" w:eastAsia="宋体"/>
          <w:color w:val="auto"/>
          <w:sz w:val="24"/>
          <w:szCs w:val="24"/>
          <w:highlight w:val="none"/>
        </w:rPr>
      </w:pPr>
      <w:r>
        <w:rPr>
          <w:rFonts w:hint="eastAsia" w:ascii="宋体" w:hAnsi="宋体" w:eastAsia="宋体" w:cs="宋体"/>
          <w:color w:val="auto"/>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28AA0D5E">
      <w:pPr>
        <w:pStyle w:val="44"/>
        <w:ind w:left="0" w:leftChars="0" w:firstLine="472" w:firstLineChars="200"/>
        <w:rPr>
          <w:rFonts w:hint="default" w:ascii="宋体" w:hAnsi="宋体" w:eastAsia="宋体" w:cs="宋体"/>
          <w:color w:val="auto"/>
          <w:spacing w:val="-2"/>
          <w:kern w:val="0"/>
          <w:sz w:val="24"/>
          <w:szCs w:val="24"/>
          <w:highlight w:val="none"/>
          <w:lang w:val="en-US" w:eastAsia="zh-CN"/>
        </w:rPr>
      </w:pPr>
    </w:p>
    <w:p w14:paraId="32860A8F">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3.5.1至3.5.4</w:t>
      </w:r>
      <w:r>
        <w:rPr>
          <w:rFonts w:ascii="宋体" w:hAnsi="宋体" w:eastAsia="宋体"/>
          <w:b/>
          <w:bCs/>
          <w:color w:val="auto"/>
          <w:sz w:val="24"/>
          <w:szCs w:val="24"/>
          <w:highlight w:val="none"/>
        </w:rPr>
        <w:t xml:space="preserve">         修改类型：修改</w:t>
      </w:r>
    </w:p>
    <w:p w14:paraId="3D3FF3FA">
      <w:pP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757A5E57">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403A4D90">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073BC14B">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3.5.4 投标人须知前附表规定接受联合体投标的，本章第3.5.1项至第3.5.3项规定的表格和资料应包括联合体各方相关情况。</w:t>
      </w:r>
    </w:p>
    <w:p w14:paraId="6F113A8E">
      <w:pPr>
        <w:spacing w:line="360" w:lineRule="auto"/>
        <w:ind w:firstLine="426" w:firstLineChars="177"/>
        <w:rPr>
          <w:rFonts w:ascii="宋体" w:hAnsi="宋体" w:eastAsia="宋体"/>
          <w:strike/>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strike/>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42CFACF8">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2D1C21C6">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2D3A7BCD">
      <w:pPr>
        <w:spacing w:line="360" w:lineRule="auto"/>
        <w:ind w:firstLine="424" w:firstLineChars="177"/>
        <w:rPr>
          <w:rFonts w:ascii="宋体" w:hAnsi="宋体" w:eastAsia="宋体"/>
          <w:b/>
          <w:bCs/>
          <w:strike/>
          <w:color w:val="auto"/>
          <w:sz w:val="24"/>
          <w:szCs w:val="24"/>
          <w:highlight w:val="none"/>
          <w:u w:val="single"/>
        </w:rPr>
      </w:pPr>
      <w:r>
        <w:rPr>
          <w:rFonts w:hint="eastAsia" w:ascii="宋体" w:hAnsi="宋体" w:eastAsia="宋体"/>
          <w:strike/>
          <w:color w:val="auto"/>
          <w:sz w:val="24"/>
          <w:szCs w:val="24"/>
          <w:highlight w:val="none"/>
        </w:rPr>
        <w:t>3.5.4 投标人须知前附表规定接受联合体投标的，本章第3.5.1项至第3.5.3项规定的表格和资料应包括联合体各方相关情况。</w:t>
      </w:r>
    </w:p>
    <w:p w14:paraId="108D8049">
      <w:pPr>
        <w:pBdr>
          <w:bottom w:val="single" w:color="auto" w:sz="6" w:space="1"/>
        </w:pBdr>
        <w:spacing w:line="360" w:lineRule="auto"/>
        <w:ind w:firstLine="426" w:firstLineChars="177"/>
        <w:rPr>
          <w:rFonts w:hint="eastAsia"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3.5.1 资格审查资料详见第六章“投标文件格式”。</w:t>
      </w:r>
    </w:p>
    <w:p w14:paraId="5E501CB3">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3.6</w:t>
      </w:r>
      <w:r>
        <w:rPr>
          <w:rFonts w:hint="default" w:ascii="宋体" w:hAnsi="宋体" w:eastAsia="宋体"/>
          <w:b/>
          <w:bCs/>
          <w:color w:val="auto"/>
          <w:sz w:val="24"/>
          <w:szCs w:val="24"/>
          <w:highlight w:val="none"/>
        </w:rPr>
        <w:t xml:space="preserve">             修改类型：删除</w:t>
      </w:r>
    </w:p>
    <w:p w14:paraId="6B556132">
      <w:pPr>
        <w:keepNext/>
        <w:keepLines/>
        <w:wordWrap w:val="0"/>
        <w:spacing w:before="260" w:line="416" w:lineRule="auto"/>
        <w:ind w:firstLine="482" w:firstLineChars="200"/>
        <w:outlineLvl w:val="2"/>
        <w:rPr>
          <w:rFonts w:hint="default" w:ascii="宋体" w:hAnsi="宋体" w:eastAsia="宋体"/>
          <w:color w:val="auto"/>
          <w:sz w:val="24"/>
          <w:szCs w:val="24"/>
          <w:highlight w:val="none"/>
          <w:lang w:val="zh-CN"/>
        </w:rPr>
      </w:pPr>
      <w:r>
        <w:rPr>
          <w:rFonts w:hint="default" w:ascii="宋体" w:hAnsi="宋体" w:eastAsia="宋体"/>
          <w:b/>
          <w:bCs/>
          <w:color w:val="auto"/>
          <w:sz w:val="24"/>
          <w:szCs w:val="24"/>
          <w:highlight w:val="none"/>
        </w:rPr>
        <w:t>原文：</w:t>
      </w:r>
      <w:r>
        <w:rPr>
          <w:rFonts w:hint="eastAsia" w:ascii="宋体" w:hAnsi="宋体" w:eastAsia="宋体"/>
          <w:color w:val="auto"/>
          <w:sz w:val="24"/>
          <w:szCs w:val="24"/>
          <w:highlight w:val="none"/>
          <w:lang w:val="zh-CN"/>
        </w:rPr>
        <w:t>3.6 备选投标方案</w:t>
      </w:r>
    </w:p>
    <w:p w14:paraId="2334D67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除投标人须知前附表规定允许外，投标人不得递交备选投标方案，否则其投标将被否决。</w:t>
      </w:r>
    </w:p>
    <w:p w14:paraId="1A89273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E90B2F4">
      <w:pPr>
        <w:pBdr>
          <w:bottom w:val="single" w:color="auto" w:sz="6" w:space="1"/>
        </w:pBdr>
        <w:spacing w:beforeLines="0" w:afterLines="0" w:line="480" w:lineRule="auto"/>
        <w:ind w:firstLine="537" w:firstLineChars="224"/>
        <w:jc w:val="both"/>
        <w:rPr>
          <w:rFonts w:hint="eastAsia" w:ascii="宋体" w:hAnsi="宋体" w:eastAsia="宋体"/>
          <w:color w:val="auto"/>
          <w:sz w:val="24"/>
          <w:szCs w:val="24"/>
          <w:highlight w:val="none"/>
          <w:lang w:eastAsia="zh-CN"/>
        </w:rPr>
      </w:pPr>
      <w:r>
        <w:rPr>
          <w:rFonts w:hint="eastAsia" w:ascii="宋体" w:hAnsi="宋体" w:eastAsia="宋体" w:cs="宋体"/>
          <w:color w:val="auto"/>
          <w:kern w:val="0"/>
          <w:sz w:val="24"/>
          <w:szCs w:val="24"/>
          <w:highlight w:val="none"/>
        </w:rPr>
        <w:t>3.6.3 投标人提供两个或两个以上投标报价，或者在投标文件中提供一个报价，但同时提供两个或两个以上勘察设计方案的，视为提供备选方案</w:t>
      </w:r>
      <w:r>
        <w:rPr>
          <w:rFonts w:hint="eastAsia" w:ascii="宋体" w:hAnsi="宋体" w:eastAsia="宋体" w:cs="宋体"/>
          <w:color w:val="auto"/>
          <w:kern w:val="0"/>
          <w:sz w:val="24"/>
          <w:szCs w:val="24"/>
          <w:highlight w:val="none"/>
          <w:lang w:eastAsia="zh-CN"/>
        </w:rPr>
        <w:t>。</w:t>
      </w:r>
    </w:p>
    <w:p w14:paraId="19F4DE72">
      <w:pPr>
        <w:pStyle w:val="2"/>
        <w:rPr>
          <w:color w:val="auto"/>
          <w:highlight w:val="none"/>
        </w:rPr>
      </w:pPr>
    </w:p>
    <w:p w14:paraId="1B60FBF5">
      <w:pP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cs="Times New Roman"/>
          <w:b/>
          <w:bCs/>
          <w:color w:val="auto"/>
          <w:sz w:val="24"/>
          <w:szCs w:val="24"/>
          <w:highlight w:val="none"/>
          <w:lang w:val="en-US" w:eastAsia="zh-CN" w:bidi="ar-SA"/>
        </w:rPr>
        <w:t>4.3.1</w:t>
      </w:r>
      <w:r>
        <w:rPr>
          <w:rFonts w:hint="default" w:ascii="宋体" w:hAnsi="宋体" w:eastAsia="宋体"/>
          <w:b/>
          <w:bCs/>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修改类型：修改</w:t>
      </w:r>
    </w:p>
    <w:p w14:paraId="7F1CD5B4">
      <w:pPr>
        <w:spacing w:before="68" w:line="352" w:lineRule="auto"/>
        <w:ind w:firstLine="482" w:firstLineChars="200"/>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 但应以书面形式通知招标人。</w:t>
      </w:r>
    </w:p>
    <w:p w14:paraId="7C46A825">
      <w:pPr>
        <w:pBdr>
          <w:bottom w:val="single" w:color="auto" w:sz="6" w:space="1"/>
        </w:pBd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w:t>
      </w:r>
      <w:r>
        <w:rPr>
          <w:rFonts w:hint="eastAsia" w:ascii="宋体" w:hAnsi="宋体" w:eastAsia="宋体" w:cs="Times New Roman"/>
          <w:strike/>
          <w:dstrike w:val="0"/>
          <w:color w:val="auto"/>
          <w:sz w:val="24"/>
          <w:szCs w:val="24"/>
          <w:highlight w:val="none"/>
          <w:lang w:val="en-US" w:eastAsia="zh-CN" w:bidi="ar-SA"/>
        </w:rPr>
        <w:t>， 但应以书面形式通知招标人</w:t>
      </w:r>
      <w:r>
        <w:rPr>
          <w:rFonts w:hint="eastAsia" w:ascii="宋体" w:hAnsi="宋体" w:eastAsia="宋体" w:cs="Times New Roman"/>
          <w:color w:val="auto"/>
          <w:sz w:val="24"/>
          <w:szCs w:val="24"/>
          <w:highlight w:val="none"/>
          <w:lang w:val="en-US" w:eastAsia="zh-CN" w:bidi="ar-SA"/>
        </w:rPr>
        <w:t>。</w:t>
      </w:r>
    </w:p>
    <w:p w14:paraId="5FF35B1A">
      <w:pPr>
        <w:spacing w:line="36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4.3.5</w:t>
      </w:r>
      <w:r>
        <w:rPr>
          <w:rFonts w:hint="default" w:ascii="宋体" w:hAnsi="宋体" w:eastAsia="宋体"/>
          <w:b/>
          <w:bCs/>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修改类型：删除</w:t>
      </w:r>
    </w:p>
    <w:p w14:paraId="103998D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4.3.5 投标人撤回投标文件的，招标人自收到投标人书面撤回通知之日起 5 日内退还已收取的投标保证金</w:t>
      </w:r>
      <w:r>
        <w:rPr>
          <w:rFonts w:hint="eastAsia" w:ascii="宋体" w:hAnsi="宋体" w:cs="宋体"/>
          <w:color w:val="auto"/>
          <w:sz w:val="24"/>
          <w:szCs w:val="24"/>
          <w:highlight w:val="none"/>
        </w:rPr>
        <w:t>。</w:t>
      </w:r>
    </w:p>
    <w:p w14:paraId="023F5F36">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olor w:val="auto"/>
          <w:sz w:val="24"/>
          <w:szCs w:val="24"/>
          <w:highlight w:val="none"/>
        </w:rPr>
      </w:pPr>
    </w:p>
    <w:p w14:paraId="6579E821">
      <w:pP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5.2.1</w:t>
      </w:r>
      <w:r>
        <w:rPr>
          <w:rFonts w:hint="default" w:ascii="宋体" w:hAnsi="宋体" w:eastAsia="宋体"/>
          <w:b/>
          <w:bCs/>
          <w:color w:val="auto"/>
          <w:sz w:val="24"/>
          <w:szCs w:val="24"/>
          <w:highlight w:val="none"/>
        </w:rPr>
        <w:t xml:space="preserve">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修改类型：修改</w:t>
      </w:r>
    </w:p>
    <w:p w14:paraId="456EF91E">
      <w:pPr>
        <w:spacing w:before="2" w:line="351" w:lineRule="auto"/>
        <w:ind w:left="18" w:right="60" w:firstLine="397" w:firstLineChars="0"/>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1D966989">
      <w:pPr>
        <w:pBdr>
          <w:bottom w:val="single" w:color="auto" w:sz="6" w:space="1"/>
        </w:pBdr>
        <w:spacing w:line="36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Times New Roman"/>
          <w:strike/>
          <w:color w:val="auto"/>
          <w:sz w:val="24"/>
          <w:szCs w:val="24"/>
          <w:highlight w:val="none"/>
          <w:lang w:val="en-US" w:eastAsia="zh-CN" w:bidi="ar-SA"/>
        </w:rPr>
        <w:t>投标保证金的递交情况、</w:t>
      </w:r>
      <w:r>
        <w:rPr>
          <w:rFonts w:hint="eastAsia" w:ascii="宋体" w:hAnsi="宋体" w:eastAsia="宋体" w:cs="Times New Roman"/>
          <w:color w:val="auto"/>
          <w:sz w:val="24"/>
          <w:szCs w:val="24"/>
          <w:highlight w:val="none"/>
          <w:lang w:val="en-US" w:eastAsia="zh-CN" w:bidi="ar-SA"/>
        </w:rPr>
        <w:t>投标报价、项目负责人及其他内容。未在规定时间内解密的投标文件不参与开标、评标。</w:t>
      </w:r>
    </w:p>
    <w:p w14:paraId="7D9E953C">
      <w:pP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 xml:space="preserve">条款号：6.1.4 </w:t>
      </w:r>
      <w:r>
        <w:rPr>
          <w:rFonts w:hint="default" w:ascii="宋体" w:hAnsi="宋体" w:eastAsia="宋体"/>
          <w:color w:val="auto"/>
          <w:sz w:val="24"/>
          <w:szCs w:val="24"/>
          <w:highlight w:val="none"/>
        </w:rPr>
        <w:t xml:space="preserve">           </w:t>
      </w:r>
      <w:r>
        <w:rPr>
          <w:rFonts w:hint="default" w:ascii="宋体" w:hAnsi="宋体" w:eastAsia="宋体"/>
          <w:b/>
          <w:bCs/>
          <w:color w:val="auto"/>
          <w:sz w:val="24"/>
          <w:szCs w:val="24"/>
          <w:highlight w:val="none"/>
        </w:rPr>
        <w:t xml:space="preserve"> 修改类型：增加</w:t>
      </w:r>
    </w:p>
    <w:p w14:paraId="167E6022">
      <w:pPr>
        <w:pBdr>
          <w:bottom w:val="single" w:color="auto" w:sz="6" w:space="1"/>
        </w:pBdr>
        <w:spacing w:line="48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现文：6.1.4 评标委员会在开始评标前，应了解评标专家的职责及守则，认真阅读附件《评标委员会成员声明》的内容并签名，签名后方可进行评标。</w:t>
      </w:r>
    </w:p>
    <w:p w14:paraId="1ED96888">
      <w:pPr>
        <w:spacing w:line="360" w:lineRule="auto"/>
        <w:ind w:firstLine="540" w:firstLineChars="224"/>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条款号：7.5.1             修改类型：修改</w:t>
      </w:r>
    </w:p>
    <w:p w14:paraId="238D867D">
      <w:pPr>
        <w:spacing w:line="360" w:lineRule="auto"/>
        <w:ind w:firstLine="540" w:firstLineChars="224"/>
        <w:rPr>
          <w:rFonts w:hint="default"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7.5.1 在法规规定的时间内，招标人向中标人发出中标通知书。在广东省招标投标监管网和广州交易集团有限公司（广州公共资源交易中心）网站发布中标信息，视同将中标结果通知未中标的投标人</w:t>
      </w:r>
      <w:r>
        <w:rPr>
          <w:rFonts w:hint="default" w:ascii="宋体" w:hAnsi="宋体" w:eastAsia="宋体" w:cs="Times New Roman"/>
          <w:color w:val="auto"/>
          <w:sz w:val="24"/>
          <w:szCs w:val="24"/>
          <w:highlight w:val="none"/>
          <w:lang w:val="en-US" w:eastAsia="zh-CN" w:bidi="ar-SA"/>
        </w:rPr>
        <w:t>。</w:t>
      </w:r>
    </w:p>
    <w:p w14:paraId="1A271774">
      <w:pPr>
        <w:pBdr>
          <w:bottom w:val="single" w:color="auto" w:sz="6" w:space="1"/>
        </w:pBdr>
        <w:spacing w:line="360" w:lineRule="auto"/>
        <w:ind w:firstLine="540" w:firstLineChars="224"/>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7.5.1 在法规规定的时间内，</w:t>
      </w:r>
      <w:r>
        <w:rPr>
          <w:rFonts w:hint="eastAsia" w:ascii="宋体" w:hAnsi="宋体" w:eastAsia="宋体" w:cs="宋体"/>
          <w:b/>
          <w:bCs/>
          <w:color w:val="auto"/>
          <w:sz w:val="24"/>
          <w:szCs w:val="24"/>
          <w:highlight w:val="none"/>
          <w:u w:val="single"/>
        </w:rPr>
        <w:t>中标人自行于广州交易集团有限公司（广州公共资源交易中心）交易平台下载中标通知书</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在广东省招标投标监管网和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网站发布中标信息，视同将中标结果通知未中标的投标人。</w:t>
      </w:r>
    </w:p>
    <w:p w14:paraId="04309B33">
      <w:pPr>
        <w:spacing w:beforeLines="0" w:afterLines="0" w:line="480" w:lineRule="auto"/>
        <w:ind w:firstLine="540" w:firstLineChars="224"/>
        <w:jc w:val="both"/>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7.7.2</w:t>
      </w:r>
      <w:r>
        <w:rPr>
          <w:rFonts w:hint="default" w:ascii="宋体" w:hAnsi="宋体" w:eastAsia="宋体"/>
          <w:b/>
          <w:bCs/>
          <w:color w:val="auto"/>
          <w:sz w:val="24"/>
          <w:szCs w:val="24"/>
          <w:highlight w:val="none"/>
        </w:rPr>
        <w:t xml:space="preserve">             修改类型：修改</w:t>
      </w:r>
    </w:p>
    <w:p w14:paraId="4CF343F3">
      <w:pPr>
        <w:keepNext w:val="0"/>
        <w:keepLines w:val="0"/>
        <w:pageBreakBefore w:val="0"/>
        <w:widowControl w:val="0"/>
        <w:kinsoku/>
        <w:wordWrap/>
        <w:overflowPunct/>
        <w:topLinePunct w:val="0"/>
        <w:autoSpaceDE/>
        <w:autoSpaceDN/>
        <w:bidi w:val="0"/>
        <w:adjustRightInd/>
        <w:snapToGrid/>
        <w:spacing w:beforeLines="0" w:afterLines="0" w:line="360" w:lineRule="auto"/>
        <w:ind w:firstLine="540" w:firstLineChars="224"/>
        <w:jc w:val="both"/>
        <w:textAlignment w:val="auto"/>
        <w:rPr>
          <w:rFonts w:hint="default"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7.7.2 中标人不能按本章第 7.7.1 项要求提交履约保证金的，视为放弃中标，其投标保证金不予退还，给招标人造成的损失超过投标保证金数额的，中标人还应当对超过部分予以赔偿。</w:t>
      </w:r>
    </w:p>
    <w:p w14:paraId="1733ABE3">
      <w:pPr>
        <w:pBdr>
          <w:bottom w:val="single" w:color="auto" w:sz="6" w:space="1"/>
        </w:pBdr>
        <w:spacing w:beforeLines="0" w:afterLines="0" w:line="480" w:lineRule="auto"/>
        <w:ind w:firstLine="540" w:firstLineChars="224"/>
        <w:jc w:val="both"/>
        <w:rPr>
          <w:rFonts w:hint="eastAsia"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7.7.2 中标人不能按本章第 7.7.1 项要求提交履约保证金的，视为放弃中标</w:t>
      </w:r>
      <w:r>
        <w:rPr>
          <w:rFonts w:hint="eastAsia" w:ascii="宋体" w:hAnsi="宋体" w:eastAsia="宋体" w:cs="Times New Roman"/>
          <w:strike/>
          <w:dstrike w:val="0"/>
          <w:color w:val="auto"/>
          <w:sz w:val="24"/>
          <w:szCs w:val="24"/>
          <w:highlight w:val="none"/>
          <w:lang w:val="en-US" w:eastAsia="zh-CN" w:bidi="ar-SA"/>
        </w:rPr>
        <w:t>，其投标保证金不予退还，给招标人造成的损失超过投标保证金数额的，中标人还应当对超过部分予以赔偿</w:t>
      </w:r>
      <w:r>
        <w:rPr>
          <w:rFonts w:hint="eastAsia" w:ascii="宋体" w:hAnsi="宋体" w:eastAsia="宋体" w:cs="Times New Roman"/>
          <w:color w:val="auto"/>
          <w:sz w:val="24"/>
          <w:szCs w:val="24"/>
          <w:highlight w:val="none"/>
          <w:lang w:val="en-US" w:eastAsia="zh-CN" w:bidi="ar-SA"/>
        </w:rPr>
        <w:t>。</w:t>
      </w:r>
    </w:p>
    <w:p w14:paraId="2EAD1A59">
      <w:pPr>
        <w:spacing w:beforeLines="0" w:afterLines="0" w:line="480" w:lineRule="auto"/>
        <w:ind w:firstLine="540" w:firstLineChars="224"/>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7.8.1至7.8.2</w:t>
      </w:r>
      <w:r>
        <w:rPr>
          <w:rFonts w:hint="default" w:ascii="宋体" w:hAnsi="宋体" w:eastAsia="宋体"/>
          <w:b/>
          <w:bCs/>
          <w:color w:val="auto"/>
          <w:sz w:val="24"/>
          <w:szCs w:val="24"/>
          <w:highlight w:val="none"/>
        </w:rPr>
        <w:t xml:space="preserve">             修改类型：修改</w:t>
      </w:r>
    </w:p>
    <w:p w14:paraId="3479A96C">
      <w:pPr>
        <w:keepNext w:val="0"/>
        <w:keepLines w:val="0"/>
        <w:pageBreakBefore w:val="0"/>
        <w:widowControl w:val="0"/>
        <w:kinsoku/>
        <w:wordWrap/>
        <w:overflowPunct/>
        <w:topLinePunct w:val="0"/>
        <w:autoSpaceDE/>
        <w:autoSpaceDN/>
        <w:bidi w:val="0"/>
        <w:adjustRightInd/>
        <w:snapToGrid/>
        <w:spacing w:beforeLines="0" w:afterLines="0" w:line="360" w:lineRule="auto"/>
        <w:ind w:firstLine="540" w:firstLineChars="224"/>
        <w:jc w:val="both"/>
        <w:textAlignment w:val="auto"/>
        <w:rPr>
          <w:rFonts w:hint="eastAsia"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原文：</w:t>
      </w:r>
      <w:r>
        <w:rPr>
          <w:rFonts w:hint="eastAsia" w:ascii="宋体" w:hAnsi="宋体" w:eastAsia="宋体" w:cs="Times New Roman"/>
          <w:color w:val="auto"/>
          <w:sz w:val="24"/>
          <w:szCs w:val="24"/>
          <w:highlight w:val="none"/>
          <w:lang w:val="en-US" w:eastAsia="zh-CN" w:bidi="ar-SA"/>
        </w:rPr>
        <w:t>7.8.1 招标人和中标人应当在中标通知书发出之日起 30 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C44D03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eastAsia" w:ascii="宋体" w:hAnsi="宋体" w:eastAsia="宋体" w:cs="Times New Roman"/>
          <w:color w:val="auto"/>
          <w:kern w:val="2"/>
          <w:sz w:val="24"/>
          <w:szCs w:val="24"/>
          <w:highlight w:val="none"/>
          <w:lang w:val="en-US" w:eastAsia="zh-CN" w:bidi="ar-SA"/>
        </w:rPr>
        <w:t>7.8.2 发出中标通知书后，招标人无正当理由拒签合同，或者在签订合同时向中标人提出附加条件的，招标人向中标人退还投标保证金；给中标人造成损失的，还应当赔偿损失</w:t>
      </w:r>
      <w:r>
        <w:rPr>
          <w:rFonts w:hint="eastAsia" w:ascii="宋体" w:hAnsi="宋体" w:cs="Times New Roman"/>
          <w:color w:val="auto"/>
          <w:kern w:val="2"/>
          <w:sz w:val="24"/>
          <w:szCs w:val="24"/>
          <w:highlight w:val="none"/>
          <w:lang w:val="en-US" w:eastAsia="zh-CN" w:bidi="ar-SA"/>
        </w:rPr>
        <w:t>。</w:t>
      </w:r>
    </w:p>
    <w:p w14:paraId="0F0F5350">
      <w:pPr>
        <w:pBdr>
          <w:bottom w:val="single" w:color="auto" w:sz="6" w:space="1"/>
        </w:pBdr>
        <w:spacing w:beforeLines="0" w:afterLines="0" w:line="480" w:lineRule="auto"/>
        <w:ind w:firstLine="540" w:firstLineChars="224"/>
        <w:jc w:val="both"/>
        <w:rPr>
          <w:rFonts w:hint="eastAsia" w:ascii="宋体" w:hAnsi="宋体" w:eastAsia="宋体" w:cs="Times New Roman"/>
          <w:color w:val="auto"/>
          <w:sz w:val="24"/>
          <w:szCs w:val="24"/>
          <w:highlight w:val="none"/>
          <w:lang w:val="en-US" w:eastAsia="zh-CN" w:bidi="ar-SA"/>
        </w:rPr>
      </w:pPr>
      <w:r>
        <w:rPr>
          <w:rFonts w:hint="default" w:ascii="宋体" w:hAnsi="宋体" w:eastAsia="宋体"/>
          <w:b/>
          <w:bCs/>
          <w:color w:val="auto"/>
          <w:sz w:val="24"/>
          <w:szCs w:val="24"/>
          <w:highlight w:val="none"/>
        </w:rPr>
        <w:t>现文：</w:t>
      </w:r>
      <w:r>
        <w:rPr>
          <w:rFonts w:hint="eastAsia" w:ascii="宋体" w:hAnsi="宋体" w:eastAsia="宋体" w:cs="Times New Roman"/>
          <w:color w:val="auto"/>
          <w:sz w:val="24"/>
          <w:szCs w:val="24"/>
          <w:highlight w:val="none"/>
          <w:lang w:val="en-US" w:eastAsia="zh-CN" w:bidi="ar-SA"/>
        </w:rPr>
        <w:t>7.8.1 招标人和中标人应当在中标通知书发出之日起 30 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w:t>
      </w:r>
      <w:r>
        <w:rPr>
          <w:rFonts w:hint="eastAsia" w:ascii="宋体" w:hAnsi="宋体" w:eastAsia="宋体" w:cs="Times New Roman"/>
          <w:strike/>
          <w:dstrike w:val="0"/>
          <w:color w:val="auto"/>
          <w:sz w:val="24"/>
          <w:szCs w:val="24"/>
          <w:highlight w:val="none"/>
          <w:lang w:val="en-US" w:eastAsia="zh-CN" w:bidi="ar-SA"/>
        </w:rPr>
        <w:t>其投标保证金不予退还；给招标人造成的损失超过投标保证金数额的，中标人还应当对超过部分予以赔偿</w:t>
      </w:r>
      <w:r>
        <w:rPr>
          <w:rFonts w:hint="eastAsia" w:ascii="宋体" w:hAnsi="宋体" w:eastAsia="宋体" w:cs="Times New Roman"/>
          <w:color w:val="auto"/>
          <w:sz w:val="24"/>
          <w:szCs w:val="24"/>
          <w:highlight w:val="none"/>
          <w:lang w:val="en-US" w:eastAsia="zh-CN" w:bidi="ar-SA"/>
        </w:rPr>
        <w:t>。</w:t>
      </w:r>
    </w:p>
    <w:p w14:paraId="62AB43A5">
      <w:pPr>
        <w:pBdr>
          <w:bottom w:val="single" w:color="auto" w:sz="6" w:space="1"/>
        </w:pBdr>
        <w:spacing w:beforeLines="0" w:afterLines="0" w:line="480" w:lineRule="auto"/>
        <w:ind w:firstLine="537" w:firstLineChars="224"/>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7.8.2 发出中标通知书后，招标人无正当理由拒签合同，或者在签订合同时向中标人提出附加条件的</w:t>
      </w:r>
      <w:r>
        <w:rPr>
          <w:rFonts w:hint="eastAsia" w:ascii="宋体" w:hAnsi="宋体" w:eastAsia="宋体" w:cs="Times New Roman"/>
          <w:strike/>
          <w:dstrike w:val="0"/>
          <w:color w:val="auto"/>
          <w:kern w:val="2"/>
          <w:sz w:val="24"/>
          <w:szCs w:val="24"/>
          <w:highlight w:val="none"/>
          <w:lang w:val="en-US" w:eastAsia="zh-CN" w:bidi="ar-SA"/>
        </w:rPr>
        <w:t>，招标人向中标人退还投标保证金</w:t>
      </w:r>
      <w:r>
        <w:rPr>
          <w:rFonts w:hint="eastAsia" w:ascii="宋体" w:hAnsi="宋体" w:eastAsia="宋体" w:cs="Times New Roman"/>
          <w:color w:val="auto"/>
          <w:kern w:val="2"/>
          <w:sz w:val="24"/>
          <w:szCs w:val="24"/>
          <w:highlight w:val="none"/>
          <w:lang w:val="en-US" w:eastAsia="zh-CN" w:bidi="ar-SA"/>
        </w:rPr>
        <w:t>；给中标人造成损失的，还应当赔偿损失。</w:t>
      </w:r>
    </w:p>
    <w:p w14:paraId="1CC0308E">
      <w:pPr>
        <w:pStyle w:val="2"/>
        <w:rPr>
          <w:rFonts w:hint="default"/>
          <w:color w:val="auto"/>
          <w:highlight w:val="none"/>
        </w:rPr>
      </w:pPr>
    </w:p>
    <w:p w14:paraId="4770175E">
      <w:pPr>
        <w:pStyle w:val="2"/>
        <w:rPr>
          <w:rFonts w:hint="default"/>
          <w:color w:val="auto"/>
          <w:highlight w:val="none"/>
        </w:rPr>
      </w:pPr>
    </w:p>
    <w:p w14:paraId="4677958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olor w:val="auto"/>
          <w:sz w:val="24"/>
          <w:szCs w:val="24"/>
          <w:highlight w:val="none"/>
        </w:rPr>
      </w:pPr>
    </w:p>
    <w:p w14:paraId="5A879AF2">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729AD844">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（以下无正文）</w:t>
      </w:r>
    </w:p>
    <w:p w14:paraId="52A1CBFD">
      <w:pPr>
        <w:wordWrap w:val="0"/>
        <w:spacing w:line="360" w:lineRule="auto"/>
        <w:ind w:left="420" w:lef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148643">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0" w:name="_Toc3060"/>
      <w:bookmarkStart w:id="11" w:name="_Toc193357939"/>
      <w:bookmarkStart w:id="12" w:name="_Toc111186724"/>
      <w:r>
        <w:rPr>
          <w:rFonts w:hint="eastAsia" w:ascii="宋体" w:hAnsi="宋体" w:eastAsia="宋体" w:cs="宋体"/>
          <w:b/>
          <w:bCs/>
          <w:color w:val="auto"/>
          <w:kern w:val="0"/>
          <w:sz w:val="30"/>
          <w:szCs w:val="30"/>
          <w:highlight w:val="none"/>
          <w:lang w:val="zh-CN"/>
        </w:rPr>
        <w:t>1. 总则</w:t>
      </w:r>
      <w:bookmarkEnd w:id="10"/>
      <w:bookmarkEnd w:id="11"/>
      <w:bookmarkEnd w:id="12"/>
    </w:p>
    <w:p w14:paraId="6F966B1E">
      <w:pPr>
        <w:keepNext/>
        <w:keepLines/>
        <w:wordWrap w:val="0"/>
        <w:spacing w:before="260" w:line="416" w:lineRule="auto"/>
        <w:outlineLvl w:val="2"/>
        <w:rPr>
          <w:rFonts w:ascii="宋体" w:hAnsi="宋体" w:eastAsia="宋体" w:cs="宋体"/>
          <w:b/>
          <w:bCs/>
          <w:color w:val="auto"/>
          <w:spacing w:val="-2"/>
          <w:kern w:val="0"/>
          <w:sz w:val="24"/>
          <w:szCs w:val="24"/>
          <w:highlight w:val="none"/>
          <w:lang w:val="zh-CN"/>
        </w:rPr>
      </w:pPr>
      <w:bookmarkStart w:id="13" w:name="_Toc111186725"/>
      <w:bookmarkStart w:id="14" w:name="_Toc193357940"/>
      <w:bookmarkStart w:id="15" w:name="_Toc7733"/>
      <w:r>
        <w:rPr>
          <w:rFonts w:hint="eastAsia" w:ascii="宋体" w:hAnsi="宋体" w:eastAsia="宋体" w:cs="宋体"/>
          <w:b/>
          <w:bCs/>
          <w:color w:val="auto"/>
          <w:spacing w:val="1"/>
          <w:sz w:val="28"/>
          <w:szCs w:val="32"/>
          <w:highlight w:val="none"/>
          <w:lang w:val="zh-CN"/>
        </w:rPr>
        <w:t>1.1 招标项目概况</w:t>
      </w:r>
      <w:bookmarkEnd w:id="13"/>
      <w:bookmarkEnd w:id="14"/>
      <w:bookmarkEnd w:id="15"/>
    </w:p>
    <w:p w14:paraId="62F4217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 根据《中华人民共和国招标投标法》、《中华人民共和国招标投标法实施条例》等有关法律、法规和规章的规定，本招标项目已具备招标条件，现对勘察设计进行招标。</w:t>
      </w:r>
    </w:p>
    <w:p w14:paraId="49F66AF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 招标人：见投标人须知前附表。</w:t>
      </w:r>
    </w:p>
    <w:p w14:paraId="024BB29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1.1.3 招标代理机构：见投标人须知前附表。</w:t>
      </w:r>
    </w:p>
    <w:p w14:paraId="6314544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1.1.4 招标项目名称：见投标人须知前附表。</w:t>
      </w:r>
    </w:p>
    <w:p w14:paraId="4EC88B4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1.1.5 项目建设地点：见投标人须知前附表。</w:t>
      </w:r>
    </w:p>
    <w:p w14:paraId="4F2E726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1.1.6 项目建设规模：见投标人须知前附表。</w:t>
      </w:r>
    </w:p>
    <w:p w14:paraId="7BCA7FB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1.1.7 项目投资估算：见投标人须知前附表。</w:t>
      </w:r>
    </w:p>
    <w:p w14:paraId="1A93F98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B85A24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 w:name="_Toc111186726"/>
      <w:bookmarkStart w:id="17" w:name="_Toc14504"/>
      <w:bookmarkStart w:id="18" w:name="_Toc193357941"/>
      <w:r>
        <w:rPr>
          <w:rFonts w:hint="eastAsia" w:ascii="宋体" w:hAnsi="宋体" w:eastAsia="宋体" w:cs="宋体"/>
          <w:b/>
          <w:bCs/>
          <w:color w:val="auto"/>
          <w:spacing w:val="1"/>
          <w:sz w:val="28"/>
          <w:szCs w:val="32"/>
          <w:highlight w:val="none"/>
          <w:lang w:val="zh-CN"/>
        </w:rPr>
        <w:t>1.2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招标项目</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资</w:t>
      </w:r>
      <w:r>
        <w:rPr>
          <w:rFonts w:hint="eastAsia" w:ascii="宋体" w:hAnsi="宋体" w:eastAsia="宋体" w:cs="宋体"/>
          <w:b/>
          <w:bCs/>
          <w:color w:val="auto"/>
          <w:spacing w:val="-3"/>
          <w:sz w:val="28"/>
          <w:szCs w:val="32"/>
          <w:highlight w:val="none"/>
          <w:lang w:val="zh-CN"/>
        </w:rPr>
        <w:t>金</w:t>
      </w:r>
      <w:r>
        <w:rPr>
          <w:rFonts w:hint="eastAsia" w:ascii="宋体" w:hAnsi="宋体" w:eastAsia="宋体" w:cs="宋体"/>
          <w:b/>
          <w:bCs/>
          <w:color w:val="auto"/>
          <w:spacing w:val="1"/>
          <w:sz w:val="28"/>
          <w:szCs w:val="32"/>
          <w:highlight w:val="none"/>
          <w:lang w:val="zh-CN"/>
        </w:rPr>
        <w:t>来源和</w:t>
      </w:r>
      <w:r>
        <w:rPr>
          <w:rFonts w:hint="eastAsia" w:ascii="宋体" w:hAnsi="宋体" w:eastAsia="宋体" w:cs="宋体"/>
          <w:b/>
          <w:bCs/>
          <w:color w:val="auto"/>
          <w:spacing w:val="-3"/>
          <w:sz w:val="28"/>
          <w:szCs w:val="32"/>
          <w:highlight w:val="none"/>
          <w:lang w:val="zh-CN"/>
        </w:rPr>
        <w:t>落</w:t>
      </w:r>
      <w:r>
        <w:rPr>
          <w:rFonts w:hint="eastAsia" w:ascii="宋体" w:hAnsi="宋体" w:eastAsia="宋体" w:cs="宋体"/>
          <w:b/>
          <w:bCs/>
          <w:color w:val="auto"/>
          <w:spacing w:val="1"/>
          <w:sz w:val="28"/>
          <w:szCs w:val="32"/>
          <w:highlight w:val="none"/>
          <w:lang w:val="zh-CN"/>
        </w:rPr>
        <w:t>实情况</w:t>
      </w:r>
      <w:bookmarkEnd w:id="16"/>
      <w:bookmarkEnd w:id="17"/>
      <w:bookmarkEnd w:id="18"/>
    </w:p>
    <w:p w14:paraId="4BD412A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1.2.1 资金来源及比例：见投标人须知前附表。</w:t>
      </w:r>
    </w:p>
    <w:p w14:paraId="33A7672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1.2.2 资金落实情况：见投标人须知前附表。</w:t>
      </w:r>
    </w:p>
    <w:p w14:paraId="3C7ECBA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C5A3D1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 w:name="_Toc111186727"/>
      <w:bookmarkStart w:id="20" w:name="_Toc193357942"/>
      <w:bookmarkStart w:id="21" w:name="_Toc13854"/>
      <w:r>
        <w:rPr>
          <w:rFonts w:hint="eastAsia" w:ascii="宋体" w:hAnsi="宋体" w:eastAsia="宋体" w:cs="宋体"/>
          <w:b/>
          <w:bCs/>
          <w:color w:val="auto"/>
          <w:spacing w:val="1"/>
          <w:sz w:val="28"/>
          <w:szCs w:val="32"/>
          <w:highlight w:val="none"/>
          <w:lang w:val="zh-CN"/>
        </w:rPr>
        <w:t>1.3</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招标范</w:t>
      </w:r>
      <w:r>
        <w:rPr>
          <w:rFonts w:hint="eastAsia" w:ascii="宋体" w:hAnsi="宋体" w:eastAsia="宋体" w:cs="宋体"/>
          <w:b/>
          <w:bCs/>
          <w:color w:val="auto"/>
          <w:spacing w:val="-3"/>
          <w:sz w:val="28"/>
          <w:szCs w:val="32"/>
          <w:highlight w:val="none"/>
          <w:lang w:val="zh-CN"/>
        </w:rPr>
        <w:t>围</w:t>
      </w:r>
      <w:r>
        <w:rPr>
          <w:rFonts w:hint="eastAsia" w:ascii="宋体" w:hAnsi="宋体" w:eastAsia="宋体" w:cs="宋体"/>
          <w:b/>
          <w:bCs/>
          <w:color w:val="auto"/>
          <w:spacing w:val="1"/>
          <w:sz w:val="28"/>
          <w:szCs w:val="32"/>
          <w:highlight w:val="none"/>
          <w:lang w:val="zh-CN"/>
        </w:rPr>
        <w:t>、勘察设</w:t>
      </w:r>
      <w:r>
        <w:rPr>
          <w:rFonts w:hint="eastAsia" w:ascii="宋体" w:hAnsi="宋体" w:eastAsia="宋体" w:cs="宋体"/>
          <w:b/>
          <w:bCs/>
          <w:color w:val="auto"/>
          <w:spacing w:val="-2"/>
          <w:sz w:val="28"/>
          <w:szCs w:val="32"/>
          <w:highlight w:val="none"/>
          <w:lang w:val="zh-CN"/>
        </w:rPr>
        <w:t>计</w:t>
      </w:r>
      <w:r>
        <w:rPr>
          <w:rFonts w:hint="eastAsia" w:ascii="宋体" w:hAnsi="宋体" w:eastAsia="宋体" w:cs="宋体"/>
          <w:b/>
          <w:bCs/>
          <w:color w:val="auto"/>
          <w:spacing w:val="1"/>
          <w:sz w:val="28"/>
          <w:szCs w:val="32"/>
          <w:highlight w:val="none"/>
          <w:lang w:val="zh-CN"/>
        </w:rPr>
        <w:t>服务期</w:t>
      </w:r>
      <w:r>
        <w:rPr>
          <w:rFonts w:hint="eastAsia" w:ascii="宋体" w:hAnsi="宋体" w:eastAsia="宋体" w:cs="宋体"/>
          <w:b/>
          <w:bCs/>
          <w:color w:val="auto"/>
          <w:spacing w:val="-3"/>
          <w:sz w:val="28"/>
          <w:szCs w:val="32"/>
          <w:highlight w:val="none"/>
          <w:lang w:val="zh-CN"/>
        </w:rPr>
        <w:t>限</w:t>
      </w:r>
      <w:r>
        <w:rPr>
          <w:rFonts w:hint="eastAsia" w:ascii="宋体" w:hAnsi="宋体" w:eastAsia="宋体" w:cs="宋体"/>
          <w:b/>
          <w:bCs/>
          <w:color w:val="auto"/>
          <w:spacing w:val="1"/>
          <w:sz w:val="28"/>
          <w:szCs w:val="32"/>
          <w:highlight w:val="none"/>
          <w:lang w:val="zh-CN"/>
        </w:rPr>
        <w:t>和质</w:t>
      </w:r>
      <w:r>
        <w:rPr>
          <w:rFonts w:hint="eastAsia" w:ascii="宋体" w:hAnsi="宋体" w:eastAsia="宋体" w:cs="宋体"/>
          <w:b/>
          <w:bCs/>
          <w:color w:val="auto"/>
          <w:spacing w:val="-3"/>
          <w:sz w:val="28"/>
          <w:szCs w:val="32"/>
          <w:highlight w:val="none"/>
          <w:lang w:val="zh-CN"/>
        </w:rPr>
        <w:t>量标</w:t>
      </w:r>
      <w:r>
        <w:rPr>
          <w:rFonts w:hint="eastAsia" w:ascii="宋体" w:hAnsi="宋体" w:eastAsia="宋体" w:cs="宋体"/>
          <w:b/>
          <w:bCs/>
          <w:color w:val="auto"/>
          <w:spacing w:val="1"/>
          <w:sz w:val="28"/>
          <w:szCs w:val="32"/>
          <w:highlight w:val="none"/>
          <w:lang w:val="zh-CN"/>
        </w:rPr>
        <w:t>准</w:t>
      </w:r>
      <w:bookmarkEnd w:id="19"/>
      <w:bookmarkEnd w:id="20"/>
      <w:bookmarkEnd w:id="21"/>
    </w:p>
    <w:p w14:paraId="0C196D2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1.3.1 招标范围：见投标人须知前附表。</w:t>
      </w:r>
    </w:p>
    <w:p w14:paraId="1A5D74E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1.3.2 勘察设计服务期限：见投标人须知前附表。</w:t>
      </w:r>
    </w:p>
    <w:p w14:paraId="1BFC093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1.3.3 质量标准：见投标人须知前附表。</w:t>
      </w:r>
    </w:p>
    <w:p w14:paraId="533D1EF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86A33C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2" w:name="_Toc193357943"/>
      <w:bookmarkStart w:id="23" w:name="_Toc22012"/>
      <w:bookmarkStart w:id="24" w:name="_Toc111186728"/>
      <w:r>
        <w:rPr>
          <w:rFonts w:hint="eastAsia" w:ascii="宋体" w:hAnsi="宋体" w:eastAsia="宋体" w:cs="宋体"/>
          <w:b/>
          <w:bCs/>
          <w:color w:val="auto"/>
          <w:spacing w:val="1"/>
          <w:sz w:val="28"/>
          <w:szCs w:val="32"/>
          <w:highlight w:val="none"/>
          <w:lang w:val="zh-CN"/>
        </w:rPr>
        <w:t>1.4</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投标人</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格要求</w:t>
      </w:r>
      <w:bookmarkEnd w:id="22"/>
      <w:bookmarkEnd w:id="23"/>
      <w:bookmarkEnd w:id="24"/>
    </w:p>
    <w:p w14:paraId="7BB16DF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1.4.1 投标人应具备承担本招标项目资质条件、能力和信誉：</w:t>
      </w:r>
    </w:p>
    <w:p w14:paraId="1B0C745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（1）资质要求：见投标人须知前附表；</w:t>
      </w:r>
    </w:p>
    <w:p w14:paraId="448965A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（2）业绩要求：见投标人须知前附表；</w:t>
      </w:r>
    </w:p>
    <w:p w14:paraId="562AD7B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（3）项目负责人的资格要求：应当具备工程设计类注册执业资格（如有），具体要求见投标人须知前附表；</w:t>
      </w:r>
    </w:p>
    <w:p w14:paraId="0F4D5A3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（4）其他主要人员要求：见投标人须知前附表。</w:t>
      </w:r>
    </w:p>
    <w:p w14:paraId="7106A29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（5）其他要求：见投标人须知前附表。</w:t>
      </w:r>
    </w:p>
    <w:p w14:paraId="434AE01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需要提交的相关证明材料见本章第3.5款的规定。</w:t>
      </w:r>
    </w:p>
    <w:p w14:paraId="4F757FB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1.4.2 投标人须知前附表规定接受联合体投标的，联合体除应符合本章第1.4.1项和投标人须知前附表的要求外，还应遵守以下规定：</w:t>
      </w:r>
    </w:p>
    <w:p w14:paraId="13CC242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（1）联合体各方应按招标文件提供的格式签订联合体协议书，明确联合体牵头人和各方权利义务，并承诺就中标项目向招标人承担连带责任；</w:t>
      </w:r>
    </w:p>
    <w:p w14:paraId="3F8575B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（2）由同一专业的单位组成的联合体，按照资质等级较低的单位确定资质等级；</w:t>
      </w:r>
    </w:p>
    <w:p w14:paraId="45A86A9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（3）联合体各方不得再以自己名义单独或参加其他联合体在本招标项目中投标，否则各相关投标均无效。</w:t>
      </w:r>
    </w:p>
    <w:p w14:paraId="67EFBDF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1.4.3 投标人不得存在下列情形之一：</w:t>
      </w:r>
    </w:p>
    <w:p w14:paraId="1A543EA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（1）为招标人不具有独立法人资格的附属机构（单位）；</w:t>
      </w:r>
    </w:p>
    <w:p w14:paraId="36D0074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（2）与招标人存在利害关系且可能影响招标公正性；</w:t>
      </w:r>
    </w:p>
    <w:p w14:paraId="4E112DF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（3）与本招标项目的其他投标人为同一个单位负责人；</w:t>
      </w:r>
    </w:p>
    <w:p w14:paraId="2559287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（4）与本招标项目的其他投标人存在控股、管理关系；</w:t>
      </w:r>
    </w:p>
    <w:p w14:paraId="3AC8E6A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（5）为本招标项目的代建人或建设管理单位；</w:t>
      </w:r>
    </w:p>
    <w:p w14:paraId="398727D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（6）为本招标项目的招标代理机构；</w:t>
      </w:r>
    </w:p>
    <w:p w14:paraId="1A55E1C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（7）与本招标项目的代建人或招标代理机构同为一个法定代表人；</w:t>
      </w:r>
    </w:p>
    <w:p w14:paraId="4BDD01C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（8）与本招标项目的代建人或招标代理机构存在控股或参股关系；</w:t>
      </w:r>
    </w:p>
    <w:p w14:paraId="641D253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9）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2FCCAC6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（10）被责令停产停业、暂扣或者吊销许可证、暂扣或者吊销执照（本项事实应当以根据《中华人民共和国行政处罚法》依法作出并已生效的行政处罚决定为认定依据）；</w:t>
      </w:r>
    </w:p>
    <w:p w14:paraId="1597807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（11）进入清算程序，或被宣告破产，或其他丧失履约能力的情形；</w:t>
      </w:r>
    </w:p>
    <w:p w14:paraId="668075D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717E9B6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u w:val="single"/>
        </w:rPr>
      </w:pPr>
      <w:r>
        <w:rPr>
          <w:rFonts w:hint="eastAsia" w:ascii="宋体" w:hAnsi="宋体" w:eastAsia="宋体" w:cs="宋体"/>
          <w:color w:val="auto"/>
          <w:spacing w:val="-2"/>
          <w:kern w:val="0"/>
          <w:sz w:val="24"/>
          <w:szCs w:val="24"/>
          <w:highlight w:val="none"/>
        </w:rPr>
        <w:t>（13）法律法规或投标人须知前附表规定的其他情形。</w:t>
      </w:r>
    </w:p>
    <w:p w14:paraId="141AE8F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8CA1E4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5" w:name="_Toc29074"/>
      <w:bookmarkStart w:id="26" w:name="_Toc111186729"/>
      <w:bookmarkStart w:id="27" w:name="_Toc193357944"/>
      <w:r>
        <w:rPr>
          <w:rFonts w:hint="eastAsia" w:ascii="宋体" w:hAnsi="宋体" w:eastAsia="宋体" w:cs="宋体"/>
          <w:b/>
          <w:bCs/>
          <w:color w:val="auto"/>
          <w:spacing w:val="1"/>
          <w:sz w:val="28"/>
          <w:szCs w:val="32"/>
          <w:highlight w:val="none"/>
          <w:lang w:val="zh-CN"/>
        </w:rPr>
        <w:t>1.5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费用承担</w:t>
      </w:r>
      <w:bookmarkEnd w:id="25"/>
      <w:bookmarkEnd w:id="26"/>
      <w:bookmarkEnd w:id="27"/>
    </w:p>
    <w:p w14:paraId="3580049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投标人准备和参加投标活动发生的费用自理。</w:t>
      </w:r>
    </w:p>
    <w:p w14:paraId="1194D36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A38CA8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8" w:name="_Toc193357945"/>
      <w:bookmarkStart w:id="29" w:name="_Toc8560"/>
      <w:bookmarkStart w:id="30" w:name="_Toc111186730"/>
      <w:r>
        <w:rPr>
          <w:rFonts w:hint="eastAsia" w:ascii="宋体" w:hAnsi="宋体" w:eastAsia="宋体" w:cs="宋体"/>
          <w:b/>
          <w:bCs/>
          <w:color w:val="auto"/>
          <w:spacing w:val="1"/>
          <w:sz w:val="28"/>
          <w:szCs w:val="32"/>
          <w:highlight w:val="none"/>
          <w:lang w:val="zh-CN"/>
        </w:rPr>
        <w:t>1.6</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保密</w:t>
      </w:r>
      <w:bookmarkEnd w:id="28"/>
      <w:bookmarkEnd w:id="29"/>
      <w:bookmarkEnd w:id="30"/>
    </w:p>
    <w:p w14:paraId="218DA91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参与招标投标活动的各方应对招标文件和投标文件中的商业和技术等秘密保密，否则应承担相应的法律责任。</w:t>
      </w:r>
    </w:p>
    <w:p w14:paraId="348F95B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54CD0E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1" w:name="_Toc193357946"/>
      <w:bookmarkStart w:id="32" w:name="_Toc111186731"/>
      <w:bookmarkStart w:id="33" w:name="_Toc28000"/>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语言文字</w:t>
      </w:r>
      <w:bookmarkEnd w:id="31"/>
      <w:bookmarkEnd w:id="32"/>
      <w:bookmarkEnd w:id="33"/>
    </w:p>
    <w:p w14:paraId="40DBB44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招标投标文件使用的语言文字为中文。专用术语使用外文的，应附有中文注释。</w:t>
      </w:r>
    </w:p>
    <w:p w14:paraId="4441DD2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94CC93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4" w:name="_Toc111186732"/>
      <w:bookmarkStart w:id="35" w:name="_Toc3237"/>
      <w:bookmarkStart w:id="36" w:name="_Toc193357947"/>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计量单位</w:t>
      </w:r>
      <w:bookmarkEnd w:id="34"/>
      <w:bookmarkEnd w:id="35"/>
      <w:bookmarkEnd w:id="36"/>
    </w:p>
    <w:p w14:paraId="538C92D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所有计量均采用中华人民共和国法定计量单位。</w:t>
      </w:r>
    </w:p>
    <w:p w14:paraId="248A3C8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F998DA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7" w:name="_Toc193357948"/>
      <w:bookmarkStart w:id="38" w:name="_Toc9357"/>
      <w:bookmarkStart w:id="39" w:name="_Toc111186733"/>
      <w:r>
        <w:rPr>
          <w:rFonts w:hint="eastAsia" w:ascii="宋体" w:hAnsi="宋体" w:eastAsia="宋体" w:cs="宋体"/>
          <w:b/>
          <w:bCs/>
          <w:color w:val="auto"/>
          <w:spacing w:val="1"/>
          <w:sz w:val="28"/>
          <w:szCs w:val="32"/>
          <w:highlight w:val="none"/>
          <w:lang w:val="zh-CN"/>
        </w:rPr>
        <w:t>1.9</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踏勘现场</w:t>
      </w:r>
      <w:bookmarkEnd w:id="37"/>
      <w:bookmarkEnd w:id="38"/>
      <w:bookmarkEnd w:id="39"/>
    </w:p>
    <w:p w14:paraId="26AB9F0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47E4A8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1.9.2 投标人踏勘现场发生的费用自理。</w:t>
      </w:r>
    </w:p>
    <w:p w14:paraId="41FD93D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1.9.3 除招标人的原因外，投标人自行负责踏勘现场中所发生的人员伤亡和财产损失。</w:t>
      </w:r>
    </w:p>
    <w:p w14:paraId="2CD07D9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1.9.4 由于投标人没有对工程现场及周围环境进行踏勘，造成投标失误的，由投标人自行承担责任和损失。</w:t>
      </w:r>
    </w:p>
    <w:p w14:paraId="0520BBB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4B528062">
      <w:pPr>
        <w:keepNext/>
        <w:keepLines/>
        <w:wordWrap w:val="0"/>
        <w:spacing w:before="260" w:line="416" w:lineRule="auto"/>
        <w:outlineLvl w:val="2"/>
        <w:rPr>
          <w:rFonts w:ascii="宋体" w:hAnsi="宋体" w:eastAsia="宋体" w:cs="宋体"/>
          <w:b/>
          <w:bCs/>
          <w:strike/>
          <w:dstrike w:val="0"/>
          <w:color w:val="auto"/>
          <w:spacing w:val="1"/>
          <w:sz w:val="28"/>
          <w:szCs w:val="32"/>
          <w:highlight w:val="none"/>
          <w:lang w:val="zh-CN"/>
        </w:rPr>
      </w:pPr>
      <w:bookmarkStart w:id="40" w:name="_Toc111186734"/>
      <w:bookmarkStart w:id="41" w:name="_Toc16096"/>
      <w:bookmarkStart w:id="42" w:name="_Toc193357949"/>
      <w:r>
        <w:rPr>
          <w:rFonts w:hint="eastAsia" w:ascii="宋体" w:hAnsi="宋体" w:eastAsia="宋体" w:cs="宋体"/>
          <w:b/>
          <w:bCs/>
          <w:strike/>
          <w:dstrike w:val="0"/>
          <w:color w:val="auto"/>
          <w:spacing w:val="1"/>
          <w:sz w:val="28"/>
          <w:szCs w:val="32"/>
          <w:highlight w:val="none"/>
          <w:lang w:val="zh-CN"/>
        </w:rPr>
        <w:t>1</w:t>
      </w:r>
      <w:r>
        <w:rPr>
          <w:rFonts w:hint="eastAsia" w:ascii="宋体" w:hAnsi="宋体" w:eastAsia="宋体" w:cs="宋体"/>
          <w:b/>
          <w:bCs/>
          <w:strike/>
          <w:dstrike w:val="0"/>
          <w:color w:val="auto"/>
          <w:spacing w:val="-1"/>
          <w:sz w:val="28"/>
          <w:szCs w:val="32"/>
          <w:highlight w:val="none"/>
          <w:lang w:val="zh-CN"/>
        </w:rPr>
        <w:t>.1</w:t>
      </w:r>
      <w:r>
        <w:rPr>
          <w:rFonts w:hint="eastAsia" w:ascii="宋体" w:hAnsi="宋体" w:eastAsia="宋体" w:cs="宋体"/>
          <w:b/>
          <w:bCs/>
          <w:strike/>
          <w:dstrike w:val="0"/>
          <w:color w:val="auto"/>
          <w:spacing w:val="1"/>
          <w:sz w:val="28"/>
          <w:szCs w:val="32"/>
          <w:highlight w:val="none"/>
          <w:lang w:val="zh-CN"/>
        </w:rPr>
        <w:t>0</w:t>
      </w:r>
      <w:r>
        <w:rPr>
          <w:rFonts w:hint="eastAsia" w:ascii="宋体" w:hAnsi="宋体" w:eastAsia="宋体" w:cs="宋体"/>
          <w:b/>
          <w:bCs/>
          <w:strike/>
          <w:dstrike w:val="0"/>
          <w:color w:val="auto"/>
          <w:spacing w:val="-2"/>
          <w:sz w:val="28"/>
          <w:szCs w:val="32"/>
          <w:highlight w:val="none"/>
          <w:lang w:val="zh-CN"/>
        </w:rPr>
        <w:t xml:space="preserve"> </w:t>
      </w:r>
      <w:r>
        <w:rPr>
          <w:rFonts w:hint="eastAsia" w:ascii="宋体" w:hAnsi="宋体" w:eastAsia="宋体" w:cs="宋体"/>
          <w:b/>
          <w:bCs/>
          <w:strike/>
          <w:dstrike w:val="0"/>
          <w:color w:val="auto"/>
          <w:spacing w:val="1"/>
          <w:sz w:val="28"/>
          <w:szCs w:val="32"/>
          <w:highlight w:val="none"/>
          <w:lang w:val="zh-CN"/>
        </w:rPr>
        <w:t>投标预备会</w:t>
      </w:r>
      <w:bookmarkEnd w:id="40"/>
      <w:bookmarkEnd w:id="41"/>
      <w:bookmarkEnd w:id="42"/>
    </w:p>
    <w:p w14:paraId="59DC3278">
      <w:pPr>
        <w:wordWrap w:val="0"/>
        <w:autoSpaceDE w:val="0"/>
        <w:autoSpaceDN w:val="0"/>
        <w:spacing w:line="360" w:lineRule="auto"/>
        <w:ind w:firstLine="472" w:firstLineChars="200"/>
        <w:rPr>
          <w:rFonts w:ascii="宋体" w:hAnsi="宋体" w:eastAsia="宋体" w:cs="宋体"/>
          <w:strike/>
          <w:dstrike w:val="0"/>
          <w:color w:val="auto"/>
          <w:spacing w:val="-2"/>
          <w:kern w:val="0"/>
          <w:sz w:val="24"/>
          <w:szCs w:val="24"/>
          <w:highlight w:val="none"/>
        </w:rPr>
      </w:pPr>
      <w:r>
        <w:rPr>
          <w:rFonts w:hint="eastAsia" w:ascii="宋体" w:hAnsi="宋体" w:eastAsia="宋体" w:cs="宋体"/>
          <w:strike/>
          <w:dstrike w:val="0"/>
          <w:color w:val="auto"/>
          <w:spacing w:val="-2"/>
          <w:kern w:val="0"/>
          <w:sz w:val="24"/>
          <w:szCs w:val="24"/>
          <w:highlight w:val="none"/>
        </w:rPr>
        <w:t>1.10.1 投标人须知前附表规定召开投标预备会的，招标人按投标人须知前附表规定的时间和地点召开投标预备会，澄清投标人提出的问题。</w:t>
      </w:r>
    </w:p>
    <w:p w14:paraId="53A9D8C4">
      <w:pPr>
        <w:wordWrap w:val="0"/>
        <w:autoSpaceDE w:val="0"/>
        <w:autoSpaceDN w:val="0"/>
        <w:spacing w:line="360" w:lineRule="auto"/>
        <w:ind w:firstLine="472" w:firstLineChars="200"/>
        <w:rPr>
          <w:rFonts w:ascii="宋体" w:hAnsi="宋体" w:eastAsia="宋体" w:cs="宋体"/>
          <w:strike/>
          <w:dstrike w:val="0"/>
          <w:color w:val="auto"/>
          <w:spacing w:val="-2"/>
          <w:kern w:val="0"/>
          <w:sz w:val="24"/>
          <w:szCs w:val="24"/>
          <w:highlight w:val="none"/>
        </w:rPr>
      </w:pPr>
      <w:r>
        <w:rPr>
          <w:rFonts w:hint="eastAsia" w:ascii="宋体" w:hAnsi="宋体" w:eastAsia="宋体" w:cs="宋体"/>
          <w:strike/>
          <w:dstrike w:val="0"/>
          <w:color w:val="auto"/>
          <w:spacing w:val="-2"/>
          <w:kern w:val="0"/>
          <w:sz w:val="24"/>
          <w:szCs w:val="24"/>
          <w:highlight w:val="none"/>
        </w:rPr>
        <w:t>1.10.2 投标人应按投标人须知前附表规定的时间和形式将提出的问题送达招标人，以便招标人在会议期间澄清。</w:t>
      </w:r>
    </w:p>
    <w:p w14:paraId="375981F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strike/>
          <w:dstrike w:val="0"/>
          <w:color w:val="auto"/>
          <w:spacing w:val="-2"/>
          <w:kern w:val="0"/>
          <w:sz w:val="24"/>
          <w:szCs w:val="24"/>
          <w:highlight w:val="none"/>
        </w:rPr>
        <w:t>1.10.3 投标预备会后，招标人将对投标人所提问题的澄清，以投标人须知前附表规定的形式通知所有购买招标文件的投标人。该澄清内容为招标文件的组成部分。</w:t>
      </w:r>
    </w:p>
    <w:p w14:paraId="53100EB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AF874F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3" w:name="_Toc193357950"/>
      <w:bookmarkStart w:id="44" w:name="_Toc16438"/>
      <w:bookmarkStart w:id="45" w:name="_Toc111186735"/>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2"/>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分包</w:t>
      </w:r>
      <w:bookmarkEnd w:id="43"/>
      <w:bookmarkEnd w:id="44"/>
      <w:bookmarkEnd w:id="45"/>
    </w:p>
    <w:p w14:paraId="7785795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288232F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1.11.2 中标人不得向他人转让中标项目，接受分包的人不得再次分包。中标人应当就分包项目向招标人负责，接受分包的人就分包项目承担连带责任。</w:t>
      </w:r>
    </w:p>
    <w:p w14:paraId="6B00202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778584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6" w:name="_Toc193357951"/>
      <w:bookmarkStart w:id="47" w:name="_Toc111186736"/>
      <w:bookmarkStart w:id="48" w:name="_Toc10229"/>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2"/>
          <w:sz w:val="28"/>
          <w:szCs w:val="32"/>
          <w:highlight w:val="none"/>
          <w:lang w:val="zh-CN"/>
        </w:rPr>
        <w:t>1</w:t>
      </w:r>
      <w:r>
        <w:rPr>
          <w:rFonts w:hint="eastAsia" w:ascii="宋体" w:hAnsi="宋体" w:eastAsia="宋体" w:cs="宋体"/>
          <w:b/>
          <w:bCs/>
          <w:color w:val="auto"/>
          <w:spacing w:val="1"/>
          <w:sz w:val="28"/>
          <w:szCs w:val="32"/>
          <w:highlight w:val="none"/>
          <w:lang w:val="zh-CN"/>
        </w:rPr>
        <w:t>2</w:t>
      </w:r>
      <w:r>
        <w:rPr>
          <w:rFonts w:hint="eastAsia" w:ascii="宋体" w:hAnsi="宋体" w:eastAsia="宋体" w:cs="宋体"/>
          <w:b/>
          <w:bCs/>
          <w:color w:val="auto"/>
          <w:spacing w:val="-1"/>
          <w:sz w:val="28"/>
          <w:szCs w:val="32"/>
          <w:highlight w:val="none"/>
          <w:lang w:val="zh-CN"/>
        </w:rPr>
        <w:t xml:space="preserve"> </w:t>
      </w:r>
      <w:r>
        <w:rPr>
          <w:rFonts w:hint="eastAsia" w:ascii="宋体" w:hAnsi="宋体" w:eastAsia="宋体" w:cs="宋体"/>
          <w:b/>
          <w:bCs/>
          <w:color w:val="auto"/>
          <w:spacing w:val="1"/>
          <w:sz w:val="28"/>
          <w:szCs w:val="32"/>
          <w:highlight w:val="none"/>
          <w:lang w:val="zh-CN"/>
        </w:rPr>
        <w:t>响应和偏差</w:t>
      </w:r>
      <w:bookmarkEnd w:id="46"/>
      <w:bookmarkEnd w:id="47"/>
      <w:bookmarkEnd w:id="48"/>
    </w:p>
    <w:p w14:paraId="0E34665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1.12.1 投标文件应当对招标文件的实质性要求和条件作出满足性或更有利于招标人的响应，否则，投标人的投标将被否决。实质性要求和条件见投标人须知前附表。</w:t>
      </w:r>
    </w:p>
    <w:p w14:paraId="1E64950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1.12.2 投标人应根据招标文件的要求提供投标设计方案等内容以对招标文件作出响应。</w:t>
      </w:r>
    </w:p>
    <w:p w14:paraId="48758B0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1.12.3 投标人须知前附表允许投标文件偏离招标文件某些要求的，偏差应当符合招标文件规定的偏差范围和幅度。</w:t>
      </w:r>
    </w:p>
    <w:p w14:paraId="2831EC2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805D3D0">
      <w:pPr>
        <w:keepNext/>
        <w:keepLines/>
        <w:wordWrap w:val="0"/>
        <w:spacing w:line="360" w:lineRule="auto"/>
        <w:outlineLvl w:val="1"/>
        <w:rPr>
          <w:rFonts w:ascii="宋体" w:hAnsi="宋体" w:eastAsia="宋体" w:cs="宋体"/>
          <w:b/>
          <w:bCs/>
          <w:color w:val="auto"/>
          <w:kern w:val="0"/>
          <w:sz w:val="24"/>
          <w:szCs w:val="30"/>
          <w:highlight w:val="none"/>
          <w:lang w:val="zh-CN"/>
        </w:rPr>
      </w:pPr>
      <w:bookmarkStart w:id="49" w:name="_Toc111186737"/>
      <w:bookmarkStart w:id="50" w:name="_Toc193357952"/>
      <w:bookmarkStart w:id="51" w:name="_Toc22370"/>
      <w:r>
        <w:rPr>
          <w:rFonts w:hint="eastAsia" w:ascii="宋体" w:hAnsi="宋体" w:eastAsia="宋体" w:cs="宋体"/>
          <w:b/>
          <w:bCs/>
          <w:color w:val="auto"/>
          <w:kern w:val="0"/>
          <w:sz w:val="30"/>
          <w:szCs w:val="30"/>
          <w:highlight w:val="none"/>
          <w:lang w:val="zh-CN"/>
        </w:rPr>
        <w:t>2.</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招标文件</w:t>
      </w:r>
      <w:bookmarkEnd w:id="49"/>
      <w:bookmarkEnd w:id="50"/>
      <w:bookmarkEnd w:id="51"/>
    </w:p>
    <w:p w14:paraId="4DB5CE3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2" w:name="_Toc111186738"/>
      <w:bookmarkStart w:id="53" w:name="_Toc193357953"/>
      <w:bookmarkStart w:id="54" w:name="_Toc22346"/>
      <w:r>
        <w:rPr>
          <w:rFonts w:hint="eastAsia" w:ascii="宋体" w:hAnsi="宋体" w:eastAsia="宋体" w:cs="宋体"/>
          <w:b/>
          <w:bCs/>
          <w:color w:val="auto"/>
          <w:spacing w:val="1"/>
          <w:sz w:val="28"/>
          <w:szCs w:val="32"/>
          <w:highlight w:val="none"/>
          <w:lang w:val="zh-CN"/>
        </w:rPr>
        <w:t>2.1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52"/>
      <w:bookmarkEnd w:id="53"/>
      <w:bookmarkEnd w:id="54"/>
    </w:p>
    <w:p w14:paraId="6C9A66C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本招标文件包括：</w:t>
      </w:r>
    </w:p>
    <w:p w14:paraId="78D842B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（1）招标公告；</w:t>
      </w:r>
    </w:p>
    <w:p w14:paraId="6D62CB1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（2）投标人须知；</w:t>
      </w:r>
    </w:p>
    <w:p w14:paraId="4EE608C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（3）评标办法；</w:t>
      </w:r>
    </w:p>
    <w:p w14:paraId="31C3B09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（4）合同条款及格式；</w:t>
      </w:r>
    </w:p>
    <w:p w14:paraId="74ABDA9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（5）委托人要求；</w:t>
      </w:r>
    </w:p>
    <w:p w14:paraId="4E903F1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（6）投标文件格式；</w:t>
      </w:r>
    </w:p>
    <w:p w14:paraId="585BF10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（7）投标人须知前附表规定的其他资料。</w:t>
      </w:r>
    </w:p>
    <w:p w14:paraId="2252408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根据本章第1.10款、第2.2款和第2.3款对招标文件所作的澄清、修改，构成招标文件的组成部分。</w:t>
      </w:r>
    </w:p>
    <w:p w14:paraId="4643C3F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7F9FCA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5" w:name="_Toc193357954"/>
      <w:bookmarkStart w:id="56" w:name="_Toc9843"/>
      <w:bookmarkStart w:id="57" w:name="_Toc111186739"/>
      <w:r>
        <w:rPr>
          <w:rFonts w:hint="eastAsia" w:ascii="宋体" w:hAnsi="宋体" w:eastAsia="宋体" w:cs="宋体"/>
          <w:b/>
          <w:bCs/>
          <w:color w:val="auto"/>
          <w:spacing w:val="1"/>
          <w:sz w:val="28"/>
          <w:szCs w:val="32"/>
          <w:highlight w:val="none"/>
          <w:lang w:val="zh-CN"/>
        </w:rPr>
        <w:t>2.2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bookmarkEnd w:id="55"/>
      <w:bookmarkEnd w:id="56"/>
      <w:bookmarkEnd w:id="57"/>
      <w:r>
        <w:rPr>
          <w:rFonts w:hint="eastAsia" w:ascii="宋体" w:hAnsi="宋体" w:eastAsia="宋体" w:cs="宋体"/>
          <w:b/>
          <w:bCs/>
          <w:color w:val="auto"/>
          <w:spacing w:val="1"/>
          <w:sz w:val="28"/>
          <w:szCs w:val="32"/>
          <w:highlight w:val="none"/>
          <w:lang w:val="zh-CN"/>
        </w:rPr>
        <w:t>答疑</w:t>
      </w:r>
    </w:p>
    <w:p w14:paraId="4B16C30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2.2.1 投标人应仔细阅读和检查招标文件的全部内容。如有疑问，应按投标人须知前附表规定的时间和形式将提出的问题送达招标人，要求招标人对招标文件予以澄清。</w:t>
      </w:r>
    </w:p>
    <w:p w14:paraId="1530230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2.2.2 招标答疑采用网上答疑方式进行。投标人若对招标文件有疑问的，通过</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网站提交，应按照</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网站关于全流程电子化项目的相关指南进行操作。提问一律不得署名。</w:t>
      </w:r>
    </w:p>
    <w:p w14:paraId="765D161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2.2.3 招标答疑会会议纪要将在提交投标文件截止时间15日前在</w:t>
      </w:r>
      <w:r>
        <w:rPr>
          <w:rFonts w:hint="eastAsia" w:ascii="宋体" w:hAnsi="宋体" w:eastAsia="宋体" w:cs="宋体"/>
          <w:color w:val="auto"/>
          <w:spacing w:val="-2"/>
          <w:kern w:val="0"/>
          <w:sz w:val="24"/>
          <w:szCs w:val="24"/>
          <w:highlight w:val="none"/>
          <w:u w:val="single"/>
        </w:rPr>
        <w:t>广州交易集团有限公司（广州公共资源交易中心）网站“项目答疑纪要”专区公开</w:t>
      </w:r>
      <w:r>
        <w:rPr>
          <w:rFonts w:hint="eastAsia" w:ascii="宋体" w:hAnsi="宋体" w:eastAsia="宋体" w:cs="宋体"/>
          <w:color w:val="auto"/>
          <w:spacing w:val="-2"/>
          <w:kern w:val="0"/>
          <w:sz w:val="24"/>
          <w:szCs w:val="24"/>
          <w:highlight w:val="none"/>
        </w:rPr>
        <w:t>发布。答疑纪要一经在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网站发布，视作已发放给所有投标人。澄清发出的时间距本章第4.2.1项规定的投标截止时间不足15日的，并且澄清内容可能影响投标文件编制的，将相应延长投标截止时间。</w:t>
      </w:r>
    </w:p>
    <w:p w14:paraId="0BA2AA3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2.2.4 招标答疑会会议纪要是招标文件的组成部分，对投标人起约束作用。若招标答疑会会议纪要与招标文件有矛盾时，以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14:paraId="3615C87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2.2.5 除非招标人认为确有必要答复，否则，招标人有权拒绝回复投标人在本章第2.2.1项规定的时间后的任何澄清要求。</w:t>
      </w:r>
    </w:p>
    <w:p w14:paraId="7A6AF30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8FC528C">
      <w:pPr>
        <w:keepNext/>
        <w:keepLines/>
        <w:wordWrap w:val="0"/>
        <w:spacing w:before="260" w:line="416" w:lineRule="auto"/>
        <w:outlineLvl w:val="2"/>
        <w:rPr>
          <w:rFonts w:ascii="宋体" w:hAnsi="宋体" w:eastAsia="宋体" w:cs="宋体"/>
          <w:b/>
          <w:bCs/>
          <w:color w:val="auto"/>
          <w:spacing w:val="1"/>
          <w:kern w:val="0"/>
          <w:sz w:val="28"/>
          <w:szCs w:val="28"/>
          <w:highlight w:val="none"/>
          <w:lang w:val="zh-CN"/>
        </w:rPr>
      </w:pPr>
      <w:bookmarkStart w:id="58" w:name="_Toc193357955"/>
      <w:bookmarkStart w:id="59" w:name="_Toc111186740"/>
      <w:bookmarkStart w:id="60" w:name="_Toc8197"/>
      <w:r>
        <w:rPr>
          <w:rFonts w:hint="eastAsia" w:ascii="宋体" w:hAnsi="宋体" w:eastAsia="宋体" w:cs="宋体"/>
          <w:b/>
          <w:bCs/>
          <w:color w:val="auto"/>
          <w:spacing w:val="1"/>
          <w:sz w:val="28"/>
          <w:szCs w:val="32"/>
          <w:highlight w:val="none"/>
          <w:lang w:val="zh-CN"/>
        </w:rPr>
        <w:t>2.3 招标文件的澄清与修改</w:t>
      </w:r>
      <w:bookmarkEnd w:id="58"/>
      <w:bookmarkEnd w:id="59"/>
      <w:bookmarkEnd w:id="60"/>
    </w:p>
    <w:p w14:paraId="46BB0F8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2.3.1 招标文件发出后，在提交投标文件截止时间15日前，招标人可对招标文件进行必要的澄清或修改。</w:t>
      </w:r>
    </w:p>
    <w:p w14:paraId="4023823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2.3.2 招标文件的澄清或修改将在广州交易集团有限公司（广州公共资源交易中心）网站“项目答疑纪要”专区公开发布。招标文件的澄清或修改一经在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网站发布时间作为送达时间。</w:t>
      </w:r>
    </w:p>
    <w:p w14:paraId="1EC6163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2.3.3 招标文件的澄清或修改是招标文件的组成部分，对投标人起约束作用。</w:t>
      </w:r>
    </w:p>
    <w:p w14:paraId="6408824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2.3.4 招标文件的澄清或修改均以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网站发布的内容为准。当招标文件的澄清、修改、补充等在同一内容的表述不一致时，以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网站最后发布的内容为准。</w:t>
      </w:r>
    </w:p>
    <w:p w14:paraId="098D639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B1B1E7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3D1690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1" w:name="_Toc111186741"/>
      <w:bookmarkStart w:id="62" w:name="_Toc193357956"/>
      <w:bookmarkStart w:id="63" w:name="_Toc17179"/>
      <w:r>
        <w:rPr>
          <w:rFonts w:hint="eastAsia" w:ascii="宋体" w:hAnsi="宋体" w:eastAsia="宋体" w:cs="宋体"/>
          <w:b/>
          <w:bCs/>
          <w:color w:val="auto"/>
          <w:spacing w:val="1"/>
          <w:sz w:val="28"/>
          <w:szCs w:val="32"/>
          <w:highlight w:val="none"/>
          <w:lang w:val="zh-CN"/>
        </w:rPr>
        <w:t>2.4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异议</w:t>
      </w:r>
      <w:bookmarkEnd w:id="61"/>
      <w:bookmarkEnd w:id="62"/>
      <w:bookmarkEnd w:id="63"/>
    </w:p>
    <w:p w14:paraId="521C93F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35E95BA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76B9B3D">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64" w:name="_Toc7081"/>
      <w:bookmarkStart w:id="65" w:name="_Toc111186742"/>
      <w:bookmarkStart w:id="66" w:name="_Toc193357957"/>
      <w:r>
        <w:rPr>
          <w:rFonts w:hint="eastAsia" w:ascii="宋体" w:hAnsi="宋体" w:eastAsia="宋体" w:cs="宋体"/>
          <w:b/>
          <w:bCs/>
          <w:color w:val="auto"/>
          <w:kern w:val="0"/>
          <w:sz w:val="30"/>
          <w:szCs w:val="30"/>
          <w:highlight w:val="none"/>
          <w:lang w:val="zh-CN"/>
        </w:rPr>
        <w:t>3.</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投标文件</w:t>
      </w:r>
      <w:bookmarkEnd w:id="64"/>
      <w:bookmarkEnd w:id="65"/>
      <w:bookmarkEnd w:id="66"/>
    </w:p>
    <w:p w14:paraId="1206BEB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7" w:name="_Toc111186743"/>
      <w:bookmarkStart w:id="68" w:name="_Toc14590"/>
      <w:bookmarkStart w:id="69" w:name="_Toc193357958"/>
      <w:r>
        <w:rPr>
          <w:rFonts w:hint="eastAsia" w:ascii="宋体" w:hAnsi="宋体" w:eastAsia="宋体" w:cs="宋体"/>
          <w:b/>
          <w:bCs/>
          <w:color w:val="auto"/>
          <w:spacing w:val="1"/>
          <w:sz w:val="28"/>
          <w:szCs w:val="32"/>
          <w:highlight w:val="none"/>
          <w:lang w:val="zh-CN"/>
        </w:rPr>
        <w:t>3.1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67"/>
      <w:bookmarkEnd w:id="68"/>
      <w:bookmarkEnd w:id="69"/>
      <w:r>
        <w:rPr>
          <w:rFonts w:hint="eastAsia" w:ascii="宋体" w:hAnsi="宋体" w:eastAsia="宋体" w:cs="宋体"/>
          <w:b/>
          <w:bCs/>
          <w:color w:val="auto"/>
          <w:spacing w:val="1"/>
          <w:sz w:val="28"/>
          <w:szCs w:val="32"/>
          <w:highlight w:val="none"/>
          <w:lang w:val="zh-CN"/>
        </w:rPr>
        <w:t>（适用于暗标形式）</w:t>
      </w:r>
    </w:p>
    <w:p w14:paraId="302C83A4">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51C92C99">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1AAB7966">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2F82C6E6">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46871607">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（4）投标保证金（如有）；</w:t>
      </w:r>
    </w:p>
    <w:p w14:paraId="6E2FAAB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7D94EC6E">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7E88436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2D3E10A4">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6E934B54">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0D864D5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4C9E8FCB">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5963EC8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6EC9F071">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149ED94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CA4D03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0" w:name="_Toc111186744"/>
      <w:bookmarkStart w:id="71" w:name="_Toc26290"/>
      <w:bookmarkStart w:id="72" w:name="_Toc193357959"/>
      <w:r>
        <w:rPr>
          <w:rFonts w:hint="eastAsia" w:ascii="宋体" w:hAnsi="宋体" w:eastAsia="宋体" w:cs="宋体"/>
          <w:b/>
          <w:bCs/>
          <w:color w:val="auto"/>
          <w:spacing w:val="1"/>
          <w:sz w:val="28"/>
          <w:szCs w:val="32"/>
          <w:highlight w:val="none"/>
          <w:lang w:val="zh-CN"/>
        </w:rPr>
        <w:t>3.2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投标报价</w:t>
      </w:r>
      <w:bookmarkEnd w:id="70"/>
      <w:bookmarkEnd w:id="71"/>
      <w:bookmarkEnd w:id="72"/>
    </w:p>
    <w:p w14:paraId="6EC760A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5B4C7CE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3.2.2 投标人应充分了解该项目的总体情况以及影响投标报价的其他要素。</w:t>
      </w:r>
    </w:p>
    <w:p w14:paraId="0893F92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3.2.3 本项目的报价方式见投标人须知前附表。投标人在投标截止时间前修改投标函中的投标报价总额，应同时修改投标文件“勘察设计费报价表”中的相应报价。此修改须符合本章第4.3款的有关要求。</w:t>
      </w:r>
    </w:p>
    <w:p w14:paraId="200230B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3.2.4 招标人设有最高投标限价的，投标人的投标报价不得超过最高投标限价，最高投标限价在投标人须知前附表中载明。</w:t>
      </w:r>
    </w:p>
    <w:p w14:paraId="5A80E40D">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3.2.5 投标报价的其他要求见投标人须知前附表。</w:t>
      </w:r>
    </w:p>
    <w:p w14:paraId="288BC185">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C462FD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3" w:name="_Toc7276"/>
      <w:bookmarkStart w:id="74" w:name="_Toc111186745"/>
      <w:bookmarkStart w:id="75" w:name="_Toc193357960"/>
      <w:r>
        <w:rPr>
          <w:rFonts w:hint="eastAsia" w:ascii="宋体" w:hAnsi="宋体" w:eastAsia="宋体" w:cs="宋体"/>
          <w:b/>
          <w:bCs/>
          <w:color w:val="auto"/>
          <w:spacing w:val="1"/>
          <w:sz w:val="28"/>
          <w:szCs w:val="32"/>
          <w:highlight w:val="none"/>
          <w:lang w:val="zh-CN"/>
        </w:rPr>
        <w:t>3.3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投标有效期</w:t>
      </w:r>
      <w:bookmarkEnd w:id="73"/>
      <w:bookmarkEnd w:id="74"/>
      <w:bookmarkEnd w:id="75"/>
    </w:p>
    <w:p w14:paraId="7293B41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除投标人须知前附表另有规定外，投标有效期不少于90天。</w:t>
      </w:r>
    </w:p>
    <w:p w14:paraId="6D118A9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在投标有效期内，投标人撤销投标文件的，应承担招标文件和法律规定的责任。</w:t>
      </w:r>
    </w:p>
    <w:p w14:paraId="1544864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w:t>
      </w:r>
      <w:r>
        <w:rPr>
          <w:rFonts w:hint="eastAsia" w:ascii="宋体" w:hAnsi="宋体" w:eastAsia="宋体" w:cs="宋体"/>
          <w:strike/>
          <w:dstrike w:val="0"/>
          <w:color w:val="auto"/>
          <w:kern w:val="0"/>
          <w:sz w:val="24"/>
          <w:szCs w:val="24"/>
          <w:highlight w:val="none"/>
        </w:rPr>
        <w:t>同意延长的，应相应延长其投标保证金的有效期，</w:t>
      </w:r>
      <w:r>
        <w:rPr>
          <w:rFonts w:hint="eastAsia" w:ascii="宋体" w:hAnsi="宋体" w:eastAsia="宋体" w:cs="宋体"/>
          <w:color w:val="auto"/>
          <w:kern w:val="0"/>
          <w:sz w:val="24"/>
          <w:szCs w:val="24"/>
          <w:highlight w:val="none"/>
        </w:rPr>
        <w:t>但不得要求或被允许修改其投标文件；投标人拒绝延长的，其投标失效，</w:t>
      </w:r>
      <w:r>
        <w:rPr>
          <w:rFonts w:hint="eastAsia" w:ascii="宋体" w:hAnsi="宋体" w:eastAsia="宋体" w:cs="宋体"/>
          <w:strike/>
          <w:dstrike w:val="0"/>
          <w:color w:val="auto"/>
          <w:kern w:val="0"/>
          <w:sz w:val="24"/>
          <w:szCs w:val="24"/>
          <w:highlight w:val="none"/>
        </w:rPr>
        <w:t>但投标人有权收回其投标保证金及以现金或者支票形式递交的投标保证金的银行同期存款利息。</w:t>
      </w:r>
    </w:p>
    <w:p w14:paraId="6850969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0EA66D4">
      <w:pPr>
        <w:keepNext/>
        <w:keepLines/>
        <w:wordWrap w:val="0"/>
        <w:spacing w:before="260" w:line="416" w:lineRule="auto"/>
        <w:outlineLvl w:val="2"/>
        <w:rPr>
          <w:rFonts w:ascii="宋体" w:hAnsi="宋体" w:eastAsia="宋体" w:cs="宋体"/>
          <w:b/>
          <w:bCs/>
          <w:strike/>
          <w:dstrike w:val="0"/>
          <w:color w:val="auto"/>
          <w:spacing w:val="1"/>
          <w:sz w:val="28"/>
          <w:szCs w:val="32"/>
          <w:highlight w:val="none"/>
          <w:lang w:val="zh-CN"/>
        </w:rPr>
      </w:pPr>
      <w:bookmarkStart w:id="76" w:name="_Toc193357961"/>
      <w:bookmarkStart w:id="77" w:name="_Toc3821"/>
      <w:bookmarkStart w:id="78" w:name="_Toc111186746"/>
      <w:r>
        <w:rPr>
          <w:rFonts w:hint="eastAsia" w:ascii="宋体" w:hAnsi="宋体" w:eastAsia="宋体" w:cs="宋体"/>
          <w:b/>
          <w:bCs/>
          <w:strike/>
          <w:dstrike w:val="0"/>
          <w:color w:val="auto"/>
          <w:spacing w:val="1"/>
          <w:sz w:val="28"/>
          <w:szCs w:val="32"/>
          <w:highlight w:val="none"/>
          <w:lang w:val="zh-CN"/>
        </w:rPr>
        <w:t>3.4 投标保证金</w:t>
      </w:r>
      <w:bookmarkEnd w:id="76"/>
      <w:bookmarkEnd w:id="77"/>
      <w:bookmarkEnd w:id="78"/>
    </w:p>
    <w:p w14:paraId="14E3DA94">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20F6A8B2">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1A4A68E5">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73B2D7B5">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3.4.4 在提交投标文件截止时间后到招标文件规定的投标有效期终止之前，投标人不得撤销其投标文件，否则招标人可以不退还投标保证金。</w:t>
      </w:r>
    </w:p>
    <w:p w14:paraId="4E622E3E">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3.4.5 有下列情形之一的，投标保证金将不予退还：</w:t>
      </w:r>
    </w:p>
    <w:p w14:paraId="6AD32F35">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（1）投标人在提交投标文件截止时间后到招标文件规定的投标有效期终止之前撤销投标文件；</w:t>
      </w:r>
    </w:p>
    <w:p w14:paraId="48AB998E">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（2）中标人在收到中标通知书后，无正当理由不与招标人订立合同，在签订合同时向招标人提出附加条件，或者不按照招标文件要求提交履约保证金；</w:t>
      </w:r>
    </w:p>
    <w:p w14:paraId="583511EB">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（3）发生投标人须知前附表规定的其他可以不予退还投标保证金的情形。</w:t>
      </w:r>
    </w:p>
    <w:p w14:paraId="4E2A066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strike/>
          <w:dstrike w:val="0"/>
          <w:color w:val="auto"/>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3EA3BFF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FCDEBD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9" w:name="_Toc111186747"/>
      <w:bookmarkStart w:id="80" w:name="_Toc19411"/>
      <w:bookmarkStart w:id="81" w:name="_Toc193357963"/>
      <w:r>
        <w:rPr>
          <w:rFonts w:hint="eastAsia" w:ascii="宋体" w:hAnsi="宋体" w:eastAsia="宋体" w:cs="宋体"/>
          <w:b/>
          <w:bCs/>
          <w:color w:val="auto"/>
          <w:spacing w:val="1"/>
          <w:sz w:val="28"/>
          <w:szCs w:val="32"/>
          <w:highlight w:val="none"/>
          <w:lang w:val="zh-CN"/>
        </w:rPr>
        <w:t>3.5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资格审查</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料</w:t>
      </w:r>
      <w:r>
        <w:rPr>
          <w:rFonts w:hint="eastAsia" w:ascii="宋体" w:hAnsi="宋体" w:eastAsia="宋体" w:cs="宋体"/>
          <w:b/>
          <w:bCs/>
          <w:color w:val="auto"/>
          <w:spacing w:val="-3"/>
          <w:sz w:val="28"/>
          <w:szCs w:val="32"/>
          <w:highlight w:val="none"/>
          <w:lang w:val="zh-CN"/>
        </w:rPr>
        <w:t>（</w:t>
      </w:r>
      <w:r>
        <w:rPr>
          <w:rFonts w:hint="eastAsia" w:ascii="宋体" w:hAnsi="宋体" w:eastAsia="宋体" w:cs="宋体"/>
          <w:b/>
          <w:bCs/>
          <w:color w:val="auto"/>
          <w:spacing w:val="1"/>
          <w:sz w:val="28"/>
          <w:szCs w:val="32"/>
          <w:highlight w:val="none"/>
          <w:lang w:val="zh-CN"/>
        </w:rPr>
        <w:t>适用于</w:t>
      </w:r>
      <w:r>
        <w:rPr>
          <w:rFonts w:hint="eastAsia" w:ascii="宋体" w:hAnsi="宋体" w:eastAsia="宋体" w:cs="宋体"/>
          <w:b/>
          <w:bCs/>
          <w:color w:val="auto"/>
          <w:spacing w:val="-3"/>
          <w:sz w:val="28"/>
          <w:szCs w:val="32"/>
          <w:highlight w:val="none"/>
          <w:lang w:val="zh-CN"/>
        </w:rPr>
        <w:t>未</w:t>
      </w:r>
      <w:r>
        <w:rPr>
          <w:rFonts w:hint="eastAsia" w:ascii="宋体" w:hAnsi="宋体" w:eastAsia="宋体" w:cs="宋体"/>
          <w:b/>
          <w:bCs/>
          <w:color w:val="auto"/>
          <w:spacing w:val="1"/>
          <w:sz w:val="28"/>
          <w:szCs w:val="32"/>
          <w:highlight w:val="none"/>
          <w:lang w:val="zh-CN"/>
        </w:rPr>
        <w:t>进行</w:t>
      </w:r>
      <w:r>
        <w:rPr>
          <w:rFonts w:hint="eastAsia" w:ascii="宋体" w:hAnsi="宋体" w:eastAsia="宋体" w:cs="宋体"/>
          <w:b/>
          <w:bCs/>
          <w:color w:val="auto"/>
          <w:spacing w:val="-3"/>
          <w:sz w:val="28"/>
          <w:szCs w:val="32"/>
          <w:highlight w:val="none"/>
          <w:lang w:val="zh-CN"/>
        </w:rPr>
        <w:t>资格</w:t>
      </w:r>
      <w:r>
        <w:rPr>
          <w:rFonts w:hint="eastAsia" w:ascii="宋体" w:hAnsi="宋体" w:eastAsia="宋体" w:cs="宋体"/>
          <w:b/>
          <w:bCs/>
          <w:color w:val="auto"/>
          <w:spacing w:val="1"/>
          <w:sz w:val="28"/>
          <w:szCs w:val="32"/>
          <w:highlight w:val="none"/>
          <w:lang w:val="zh-CN"/>
        </w:rPr>
        <w:t>预审的）</w:t>
      </w:r>
      <w:bookmarkEnd w:id="79"/>
      <w:bookmarkEnd w:id="80"/>
      <w:bookmarkEnd w:id="81"/>
    </w:p>
    <w:p w14:paraId="6977F520">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除投标人须知前附表另有规定外，投标人应按招标公告投标人资格要求及下列规定提供资格审查资料，以证明其满足本章第1.4款规定的资质、业绩等要求。</w:t>
      </w:r>
    </w:p>
    <w:p w14:paraId="5EF16073">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27F82DE1">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1012711F">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643C1F23">
      <w:pPr>
        <w:wordWrap w:val="0"/>
        <w:spacing w:line="360" w:lineRule="auto"/>
        <w:ind w:firstLine="480" w:firstLineChars="200"/>
        <w:rPr>
          <w:rFonts w:ascii="宋体" w:hAnsi="宋体" w:eastAsia="宋体" w:cs="宋体"/>
          <w:strike/>
          <w:dstrike w:val="0"/>
          <w:color w:val="auto"/>
          <w:sz w:val="24"/>
          <w:szCs w:val="24"/>
          <w:highlight w:val="none"/>
          <w:u w:val="single"/>
        </w:rPr>
      </w:pPr>
      <w:r>
        <w:rPr>
          <w:rFonts w:hint="eastAsia" w:ascii="宋体" w:hAnsi="宋体" w:eastAsia="宋体" w:cs="宋体"/>
          <w:strike/>
          <w:dstrike w:val="0"/>
          <w:color w:val="auto"/>
          <w:kern w:val="0"/>
          <w:sz w:val="24"/>
          <w:szCs w:val="24"/>
          <w:highlight w:val="none"/>
        </w:rPr>
        <w:t>3.5.4 投标人须知前附表规定接受联合体投标的，本章第3.5.1项至第3.5.3项规定的表格和资料应包括联合体各方相关情况。</w:t>
      </w:r>
    </w:p>
    <w:p w14:paraId="6A769C91">
      <w:pPr>
        <w:wordWrap w:val="0"/>
        <w:autoSpaceDE w:val="0"/>
        <w:autoSpaceDN w:val="0"/>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b/>
          <w:bCs/>
          <w:color w:val="auto"/>
          <w:sz w:val="24"/>
          <w:szCs w:val="24"/>
          <w:highlight w:val="none"/>
          <w:u w:val="single"/>
        </w:rPr>
        <w:t>3.5.1 资格审查资料详见第六章“投标文件格式”。</w:t>
      </w:r>
    </w:p>
    <w:p w14:paraId="7D6BF6A1">
      <w:pPr>
        <w:keepNext/>
        <w:keepLines/>
        <w:wordWrap w:val="0"/>
        <w:spacing w:before="260" w:line="416" w:lineRule="auto"/>
        <w:outlineLvl w:val="2"/>
        <w:rPr>
          <w:rFonts w:ascii="宋体" w:hAnsi="宋体" w:eastAsia="宋体" w:cs="宋体"/>
          <w:b/>
          <w:bCs/>
          <w:strike/>
          <w:dstrike w:val="0"/>
          <w:color w:val="auto"/>
          <w:spacing w:val="1"/>
          <w:sz w:val="28"/>
          <w:szCs w:val="32"/>
          <w:highlight w:val="none"/>
          <w:lang w:val="zh-CN"/>
        </w:rPr>
      </w:pPr>
      <w:bookmarkStart w:id="82" w:name="_Toc10646"/>
      <w:bookmarkStart w:id="83" w:name="_Toc111186748"/>
      <w:bookmarkStart w:id="84" w:name="_Toc193357964"/>
      <w:r>
        <w:rPr>
          <w:rFonts w:hint="eastAsia" w:ascii="宋体" w:hAnsi="宋体" w:eastAsia="宋体" w:cs="宋体"/>
          <w:b/>
          <w:bCs/>
          <w:strike/>
          <w:dstrike w:val="0"/>
          <w:color w:val="auto"/>
          <w:spacing w:val="1"/>
          <w:sz w:val="28"/>
          <w:szCs w:val="32"/>
          <w:highlight w:val="none"/>
          <w:lang w:val="zh-CN"/>
        </w:rPr>
        <w:t>3.6 备选投标方案</w:t>
      </w:r>
      <w:bookmarkEnd w:id="82"/>
      <w:bookmarkEnd w:id="83"/>
      <w:bookmarkEnd w:id="84"/>
    </w:p>
    <w:p w14:paraId="4E3ABEA4">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3.6.1 除投标人须知前附表规定允许外，投标人不得递交备选投标方案，否则其投标将被否决。</w:t>
      </w:r>
    </w:p>
    <w:p w14:paraId="70765C5B">
      <w:pPr>
        <w:wordWrap w:val="0"/>
        <w:autoSpaceDE w:val="0"/>
        <w:autoSpaceDN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AB0419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strike/>
          <w:dstrike w:val="0"/>
          <w:color w:val="auto"/>
          <w:kern w:val="0"/>
          <w:sz w:val="24"/>
          <w:szCs w:val="24"/>
          <w:highlight w:val="none"/>
        </w:rPr>
        <w:t>3.6.3 投标人提供两个或两个以上投标报价，或者在投标文件中提供一个报价，但同时提供两个或两个以上勘察设计方案的，视为提供备选方案。</w:t>
      </w:r>
    </w:p>
    <w:p w14:paraId="4CC5D0ED">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EAE72F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5" w:name="_Toc111186749"/>
      <w:bookmarkStart w:id="86" w:name="_Toc7643"/>
      <w:bookmarkStart w:id="87" w:name="_Toc193357965"/>
      <w:r>
        <w:rPr>
          <w:rFonts w:hint="eastAsia" w:ascii="宋体" w:hAnsi="宋体" w:eastAsia="宋体" w:cs="宋体"/>
          <w:b/>
          <w:bCs/>
          <w:color w:val="auto"/>
          <w:spacing w:val="1"/>
          <w:sz w:val="28"/>
          <w:szCs w:val="32"/>
          <w:highlight w:val="none"/>
          <w:lang w:val="zh-CN"/>
        </w:rPr>
        <w:t>3.7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编制</w:t>
      </w:r>
      <w:bookmarkEnd w:id="85"/>
      <w:bookmarkEnd w:id="86"/>
      <w:bookmarkEnd w:id="87"/>
    </w:p>
    <w:p w14:paraId="4B90565B">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7976A27F">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 投标文件应当对招标文件有关勘察设计服务期限、投标有效期、发包人要求、招标范围等实质性内容作出响应。</w:t>
      </w:r>
    </w:p>
    <w:p w14:paraId="626E46C5">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1E0DC983">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14:paraId="598EFD8D">
      <w:pPr>
        <w:wordWrap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3.7.5 投标文件应按照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网站关于全流程电子化项目的相关指南进行编制。如因不按上述编排要求编制而所引起系统无法检索、读取相关信息时，其后果将由投标人自行承担。</w:t>
      </w:r>
    </w:p>
    <w:p w14:paraId="7653804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F7F3356">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88" w:name="_Toc193357966"/>
      <w:bookmarkStart w:id="89" w:name="_Toc30610"/>
      <w:bookmarkStart w:id="90" w:name="_Toc111186750"/>
      <w:r>
        <w:rPr>
          <w:rFonts w:hint="eastAsia" w:ascii="宋体" w:hAnsi="宋体" w:eastAsia="宋体" w:cs="宋体"/>
          <w:b/>
          <w:bCs/>
          <w:color w:val="auto"/>
          <w:spacing w:val="1"/>
          <w:kern w:val="0"/>
          <w:sz w:val="30"/>
          <w:szCs w:val="30"/>
          <w:highlight w:val="none"/>
          <w:lang w:val="zh-CN"/>
        </w:rPr>
        <w:t>4</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w:t>
      </w:r>
      <w:bookmarkEnd w:id="88"/>
      <w:bookmarkEnd w:id="89"/>
      <w:bookmarkEnd w:id="90"/>
    </w:p>
    <w:p w14:paraId="04D89AD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1" w:name="_Toc26954"/>
      <w:bookmarkStart w:id="92" w:name="_Toc193357967"/>
      <w:bookmarkStart w:id="93" w:name="_Toc111186751"/>
      <w:r>
        <w:rPr>
          <w:rFonts w:hint="eastAsia" w:ascii="宋体" w:hAnsi="宋体" w:eastAsia="宋体" w:cs="宋体"/>
          <w:b/>
          <w:bCs/>
          <w:color w:val="auto"/>
          <w:spacing w:val="1"/>
          <w:sz w:val="28"/>
          <w:szCs w:val="32"/>
          <w:highlight w:val="none"/>
          <w:lang w:val="zh-CN"/>
        </w:rPr>
        <w:t>4.1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密</w:t>
      </w:r>
      <w:r>
        <w:rPr>
          <w:rFonts w:hint="eastAsia" w:ascii="宋体" w:hAnsi="宋体" w:eastAsia="宋体" w:cs="宋体"/>
          <w:b/>
          <w:bCs/>
          <w:color w:val="auto"/>
          <w:spacing w:val="-3"/>
          <w:sz w:val="28"/>
          <w:szCs w:val="32"/>
          <w:highlight w:val="none"/>
          <w:lang w:val="zh-CN"/>
        </w:rPr>
        <w:t>封</w:t>
      </w:r>
      <w:r>
        <w:rPr>
          <w:rFonts w:hint="eastAsia" w:ascii="宋体" w:hAnsi="宋体" w:eastAsia="宋体" w:cs="宋体"/>
          <w:b/>
          <w:bCs/>
          <w:color w:val="auto"/>
          <w:spacing w:val="1"/>
          <w:sz w:val="28"/>
          <w:szCs w:val="32"/>
          <w:highlight w:val="none"/>
          <w:lang w:val="zh-CN"/>
        </w:rPr>
        <w:t>和标记</w:t>
      </w:r>
      <w:bookmarkEnd w:id="91"/>
      <w:bookmarkEnd w:id="92"/>
      <w:bookmarkEnd w:id="93"/>
    </w:p>
    <w:p w14:paraId="331DB6D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投标人应当按照招标文件和电子招标投标交易平台的要求加密投标文件（不含备用光盘），具体要求见投标人须知前附表。</w:t>
      </w:r>
    </w:p>
    <w:p w14:paraId="09959DD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（如有）投标文件备用光盘封套上应写明的内容见投标人须知前附表。</w:t>
      </w:r>
    </w:p>
    <w:p w14:paraId="35DC606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4.1.3 未按本章第4.1.1项要求加密的投标文件，招标人将授权</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网站交易平台予以拒收。</w:t>
      </w:r>
    </w:p>
    <w:p w14:paraId="09A804D3">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B0AC7B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4" w:name="_Toc28727"/>
      <w:bookmarkStart w:id="95" w:name="_Toc111186752"/>
      <w:bookmarkStart w:id="96" w:name="_Toc193357968"/>
      <w:r>
        <w:rPr>
          <w:rFonts w:hint="eastAsia" w:ascii="宋体" w:hAnsi="宋体" w:eastAsia="宋体" w:cs="宋体"/>
          <w:b/>
          <w:bCs/>
          <w:color w:val="auto"/>
          <w:spacing w:val="1"/>
          <w:sz w:val="28"/>
          <w:szCs w:val="32"/>
          <w:highlight w:val="none"/>
          <w:lang w:val="zh-CN"/>
        </w:rPr>
        <w:t>4.2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递交</w:t>
      </w:r>
      <w:bookmarkEnd w:id="94"/>
      <w:bookmarkEnd w:id="95"/>
      <w:bookmarkEnd w:id="96"/>
    </w:p>
    <w:p w14:paraId="6FF7086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4.2.1 投标人应在投标人须知前附表规定的投标截止时间前</w:t>
      </w:r>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网站交易平台递交电子投标文件</w:t>
      </w:r>
      <w:r>
        <w:rPr>
          <w:rFonts w:ascii="宋体" w:hAnsi="宋体" w:eastAsia="宋体" w:cs="宋体"/>
          <w:color w:val="auto"/>
          <w:kern w:val="0"/>
          <w:sz w:val="24"/>
          <w:szCs w:val="24"/>
          <w:highlight w:val="none"/>
        </w:rPr>
        <w:t>。</w:t>
      </w:r>
    </w:p>
    <w:p w14:paraId="067307D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4.2.2</w:t>
      </w:r>
      <w:r>
        <w:rPr>
          <w:rFonts w:hint="eastAsia" w:ascii="宋体" w:hAnsi="宋体" w:eastAsia="宋体" w:cs="宋体"/>
          <w:color w:val="auto"/>
          <w:kern w:val="0"/>
          <w:sz w:val="24"/>
          <w:szCs w:val="24"/>
          <w:highlight w:val="none"/>
        </w:rPr>
        <w:t xml:space="preserve"> 投标人完成电子投标文件上传后，</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网站交易平台即时向投标人发出递交回执通知。递交时间以递交回执通知载明的传输完成时间为准</w:t>
      </w:r>
      <w:r>
        <w:rPr>
          <w:rFonts w:ascii="宋体" w:hAnsi="宋体" w:eastAsia="宋体" w:cs="宋体"/>
          <w:color w:val="auto"/>
          <w:kern w:val="0"/>
          <w:sz w:val="24"/>
          <w:szCs w:val="24"/>
          <w:highlight w:val="none"/>
        </w:rPr>
        <w:t>。</w:t>
      </w:r>
    </w:p>
    <w:p w14:paraId="08C5198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4.2.3 </w:t>
      </w:r>
      <w:r>
        <w:rPr>
          <w:rFonts w:hint="eastAsia" w:ascii="宋体" w:hAnsi="宋体" w:eastAsia="宋体" w:cs="宋体"/>
          <w:color w:val="auto"/>
          <w:kern w:val="0"/>
          <w:sz w:val="24"/>
          <w:szCs w:val="24"/>
          <w:highlight w:val="none"/>
        </w:rPr>
        <w:t>逾期送达的电子投标文件，</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网站交易平台将予以拒收。</w:t>
      </w:r>
    </w:p>
    <w:p w14:paraId="6911C44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w:t>
      </w:r>
      <w:r>
        <w:rPr>
          <w:rFonts w:hint="eastAsia" w:ascii="宋体" w:hAnsi="宋体" w:eastAsia="宋体" w:cs="宋体"/>
          <w:color w:val="auto"/>
          <w:kern w:val="0"/>
          <w:sz w:val="24"/>
          <w:szCs w:val="24"/>
          <w:highlight w:val="none"/>
        </w:rPr>
        <w:t>4 投标截止前，招标人拒绝接收符合条件的投标文件，投标人可向招标监督机构投诉</w:t>
      </w:r>
      <w:r>
        <w:rPr>
          <w:rFonts w:ascii="宋体" w:hAnsi="宋体" w:eastAsia="宋体" w:cs="宋体"/>
          <w:color w:val="auto"/>
          <w:kern w:val="0"/>
          <w:sz w:val="24"/>
          <w:szCs w:val="24"/>
          <w:highlight w:val="none"/>
        </w:rPr>
        <w:t>。</w:t>
      </w:r>
    </w:p>
    <w:p w14:paraId="41FB061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6819CE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7" w:name="_Toc32035"/>
      <w:bookmarkStart w:id="98" w:name="_Toc193357969"/>
      <w:bookmarkStart w:id="99" w:name="_Toc111186753"/>
      <w:r>
        <w:rPr>
          <w:rFonts w:hint="eastAsia" w:ascii="宋体" w:hAnsi="宋体" w:eastAsia="宋体" w:cs="宋体"/>
          <w:b/>
          <w:bCs/>
          <w:color w:val="auto"/>
          <w:spacing w:val="1"/>
          <w:sz w:val="28"/>
          <w:szCs w:val="32"/>
          <w:highlight w:val="none"/>
          <w:lang w:val="zh-CN"/>
        </w:rPr>
        <w:t>4.3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修</w:t>
      </w:r>
      <w:r>
        <w:rPr>
          <w:rFonts w:hint="eastAsia" w:ascii="宋体" w:hAnsi="宋体" w:eastAsia="宋体" w:cs="宋体"/>
          <w:b/>
          <w:bCs/>
          <w:color w:val="auto"/>
          <w:spacing w:val="-3"/>
          <w:sz w:val="28"/>
          <w:szCs w:val="32"/>
          <w:highlight w:val="none"/>
          <w:lang w:val="zh-CN"/>
        </w:rPr>
        <w:t>改</w:t>
      </w:r>
      <w:r>
        <w:rPr>
          <w:rFonts w:hint="eastAsia" w:ascii="宋体" w:hAnsi="宋体" w:eastAsia="宋体" w:cs="宋体"/>
          <w:b/>
          <w:bCs/>
          <w:color w:val="auto"/>
          <w:spacing w:val="1"/>
          <w:sz w:val="28"/>
          <w:szCs w:val="32"/>
          <w:highlight w:val="none"/>
          <w:lang w:val="zh-CN"/>
        </w:rPr>
        <w:t>与撤回</w:t>
      </w:r>
      <w:bookmarkEnd w:id="97"/>
      <w:bookmarkEnd w:id="98"/>
      <w:bookmarkEnd w:id="99"/>
    </w:p>
    <w:p w14:paraId="0C7D47A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在规定的投标截止时间前，投标人可以修改或撤回已递交的投标文件，</w:t>
      </w:r>
      <w:r>
        <w:rPr>
          <w:rFonts w:hint="eastAsia" w:ascii="宋体" w:hAnsi="宋体" w:eastAsia="宋体" w:cs="宋体"/>
          <w:strike/>
          <w:dstrike w:val="0"/>
          <w:color w:val="auto"/>
          <w:sz w:val="24"/>
          <w:szCs w:val="24"/>
          <w:highlight w:val="none"/>
        </w:rPr>
        <w:t>但应以书面形式通知招标人</w:t>
      </w:r>
      <w:r>
        <w:rPr>
          <w:rFonts w:hint="eastAsia" w:ascii="宋体" w:hAnsi="宋体" w:eastAsia="宋体" w:cs="宋体"/>
          <w:color w:val="auto"/>
          <w:sz w:val="24"/>
          <w:szCs w:val="24"/>
          <w:highlight w:val="none"/>
        </w:rPr>
        <w:t>。</w:t>
      </w:r>
    </w:p>
    <w:p w14:paraId="2C54CC3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投标人修改或撤回已递交投标文件，需在交易平台发出修改或撤回通知，并按要求加盖电子印章。电子招标投标交易平台收到通知后，即时向投标人发出确认回执通知。</w:t>
      </w:r>
    </w:p>
    <w:p w14:paraId="1A0E662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4.3.3 修改后再次递交的，按第4.2项的规定执行。</w:t>
      </w:r>
    </w:p>
    <w:p w14:paraId="0F554DB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4.3.4 在投标截止时间之后，投标人不得补充、修改和更换投标文件。</w:t>
      </w:r>
    </w:p>
    <w:p w14:paraId="7931EF2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4.3.5 投标人撤回投标文件的，招标人自收到投标人书面撤回通知之日起5日内退还已收取的投标保证金。</w:t>
      </w:r>
    </w:p>
    <w:p w14:paraId="5517B05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C3BA80B">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00" w:name="_Toc3959"/>
      <w:bookmarkStart w:id="101" w:name="_Toc193357970"/>
      <w:bookmarkStart w:id="102" w:name="_Toc111186754"/>
      <w:r>
        <w:rPr>
          <w:rFonts w:hint="eastAsia" w:ascii="宋体" w:hAnsi="宋体" w:eastAsia="宋体" w:cs="宋体"/>
          <w:b/>
          <w:bCs/>
          <w:color w:val="auto"/>
          <w:spacing w:val="1"/>
          <w:kern w:val="0"/>
          <w:sz w:val="30"/>
          <w:szCs w:val="30"/>
          <w:highlight w:val="none"/>
          <w:lang w:val="zh-CN"/>
        </w:rPr>
        <w:t>5</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开标</w:t>
      </w:r>
      <w:bookmarkEnd w:id="100"/>
      <w:bookmarkEnd w:id="101"/>
      <w:bookmarkEnd w:id="102"/>
    </w:p>
    <w:p w14:paraId="551EE77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3" w:name="_Toc193357972"/>
      <w:bookmarkStart w:id="104" w:name="_Toc27261"/>
      <w:bookmarkStart w:id="105" w:name="_Toc25072089"/>
      <w:bookmarkStart w:id="106" w:name="_Toc111186756"/>
      <w:r>
        <w:rPr>
          <w:rFonts w:hint="eastAsia" w:ascii="宋体" w:hAnsi="宋体" w:eastAsia="宋体" w:cs="宋体"/>
          <w:b/>
          <w:bCs/>
          <w:color w:val="auto"/>
          <w:spacing w:val="1"/>
          <w:sz w:val="28"/>
          <w:szCs w:val="32"/>
          <w:highlight w:val="none"/>
          <w:lang w:val="zh-CN"/>
        </w:rPr>
        <w:t>5.1 开标时间和地点</w:t>
      </w:r>
      <w:bookmarkEnd w:id="103"/>
      <w:bookmarkEnd w:id="104"/>
      <w:bookmarkEnd w:id="105"/>
      <w:bookmarkEnd w:id="106"/>
    </w:p>
    <w:p w14:paraId="3E4C80F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招标人按投标须知前附表规定的时间和地点公开开标。截标后，开标开始时间因故推迟的，相关评标信息仍以原定的开标开始时间的信息为准。</w:t>
      </w:r>
    </w:p>
    <w:p w14:paraId="47FD383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F18463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85CE7F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7" w:name="_Toc20443"/>
      <w:bookmarkStart w:id="108" w:name="_Toc111186757"/>
      <w:bookmarkStart w:id="109" w:name="_Toc193357973"/>
      <w:r>
        <w:rPr>
          <w:rFonts w:hint="eastAsia" w:ascii="宋体" w:hAnsi="宋体" w:eastAsia="宋体" w:cs="宋体"/>
          <w:b/>
          <w:bCs/>
          <w:color w:val="auto"/>
          <w:spacing w:val="1"/>
          <w:sz w:val="28"/>
          <w:szCs w:val="32"/>
          <w:highlight w:val="none"/>
          <w:lang w:val="zh-CN"/>
        </w:rPr>
        <w:t>5.2 开标程序</w:t>
      </w:r>
      <w:bookmarkEnd w:id="107"/>
      <w:bookmarkEnd w:id="108"/>
      <w:bookmarkEnd w:id="109"/>
    </w:p>
    <w:p w14:paraId="2553331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在投标截止时间后一小时内，投标人通过递交投标文件的交易平台对已递交的电子投标文件进行解密。投标人完成解密后，再由招标人进行解密。解密完成后，公布招标项目名称、投标人名称、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dstrike w:val="0"/>
          <w:color w:val="auto"/>
          <w:kern w:val="0"/>
          <w:sz w:val="24"/>
          <w:szCs w:val="24"/>
          <w:highlight w:val="none"/>
        </w:rPr>
        <w:t>投标保证金的递交情况</w:t>
      </w:r>
      <w:r>
        <w:rPr>
          <w:rFonts w:hint="eastAsia" w:ascii="宋体" w:hAnsi="宋体" w:eastAsia="宋体" w:cs="宋体"/>
          <w:color w:val="auto"/>
          <w:kern w:val="0"/>
          <w:sz w:val="24"/>
          <w:szCs w:val="24"/>
          <w:highlight w:val="none"/>
        </w:rPr>
        <w:t>、投标报价、项目负责人及其他内容。未在规定时间内解密的投标文件不参与开标、评标。</w:t>
      </w:r>
    </w:p>
    <w:p w14:paraId="5612180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按开标记录表规定的内容进行唱标。</w:t>
      </w:r>
    </w:p>
    <w:p w14:paraId="375D71D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投标人代表、招标人代表等有关人员在开标记录上签字确认；若有关人员不签字的，不影响开标程序。</w:t>
      </w:r>
    </w:p>
    <w:p w14:paraId="282373F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5.2.4 开标结束。</w:t>
      </w:r>
    </w:p>
    <w:p w14:paraId="2FB5FD7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9ABBF1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5.2.6 开标时，两个（含两个）以上的投标人加密打包投标文件的硬件特征码（含MAC地址、硬盘序列号、CPU名称、主板等）一致的，由评标委员会否决其投标。</w:t>
      </w:r>
    </w:p>
    <w:p w14:paraId="32D2BE95">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17564B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0" w:name="_Toc26094"/>
      <w:bookmarkStart w:id="111" w:name="_Toc111186758"/>
      <w:bookmarkStart w:id="112" w:name="_Toc193357974"/>
      <w:r>
        <w:rPr>
          <w:rFonts w:hint="eastAsia" w:ascii="宋体" w:hAnsi="宋体" w:eastAsia="宋体" w:cs="宋体"/>
          <w:b/>
          <w:bCs/>
          <w:color w:val="auto"/>
          <w:spacing w:val="1"/>
          <w:sz w:val="28"/>
          <w:szCs w:val="32"/>
          <w:highlight w:val="none"/>
          <w:lang w:val="zh-CN"/>
        </w:rPr>
        <w:t>5.3 开标异议</w:t>
      </w:r>
      <w:bookmarkEnd w:id="110"/>
      <w:bookmarkEnd w:id="111"/>
      <w:bookmarkEnd w:id="112"/>
    </w:p>
    <w:p w14:paraId="16CBF43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1 参加现场开标的投标人对开标结果有异议的，应当在开标现场提出，该投标人代表须同时出示本人身份证原件，招标人应当当场作出答复，并制作记录。未答复的，开标程序不得结束。</w:t>
      </w:r>
    </w:p>
    <w:p w14:paraId="37DF684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2 参加在线开标的投标人对开标结果有异议的，应当在唱标结束后的规定时间内使用单位数字证书登录</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3073A151">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5.3.3 投标人未参加开标或在规定的时间内未提出异议的，视为对开标无异议。</w:t>
      </w:r>
    </w:p>
    <w:p w14:paraId="4C96866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68AD599">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13" w:name="_Toc27043"/>
      <w:bookmarkStart w:id="114" w:name="_Toc111186759"/>
      <w:bookmarkStart w:id="115" w:name="_Toc193357975"/>
      <w:r>
        <w:rPr>
          <w:rFonts w:hint="eastAsia" w:ascii="宋体" w:hAnsi="宋体" w:eastAsia="宋体" w:cs="宋体"/>
          <w:b/>
          <w:bCs/>
          <w:color w:val="auto"/>
          <w:spacing w:val="1"/>
          <w:kern w:val="0"/>
          <w:sz w:val="30"/>
          <w:szCs w:val="30"/>
          <w:highlight w:val="none"/>
          <w:lang w:val="zh-CN"/>
        </w:rPr>
        <w:t>6</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评标</w:t>
      </w:r>
      <w:bookmarkEnd w:id="113"/>
      <w:bookmarkEnd w:id="114"/>
      <w:bookmarkEnd w:id="115"/>
    </w:p>
    <w:p w14:paraId="6783672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6" w:name="_Toc193357976"/>
      <w:bookmarkStart w:id="117" w:name="_Toc874"/>
      <w:bookmarkStart w:id="118" w:name="_Toc111186760"/>
      <w:r>
        <w:rPr>
          <w:rFonts w:hint="eastAsia" w:ascii="宋体" w:hAnsi="宋体" w:eastAsia="宋体" w:cs="宋体"/>
          <w:b/>
          <w:bCs/>
          <w:color w:val="auto"/>
          <w:spacing w:val="1"/>
          <w:sz w:val="28"/>
          <w:szCs w:val="32"/>
          <w:highlight w:val="none"/>
          <w:lang w:val="zh-CN"/>
        </w:rPr>
        <w:t>6.1 评标委员会</w:t>
      </w:r>
      <w:bookmarkEnd w:id="116"/>
      <w:bookmarkEnd w:id="117"/>
      <w:bookmarkEnd w:id="118"/>
    </w:p>
    <w:p w14:paraId="76DA402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6.1.1 评标由招标人依法组建的评标委员会负责。</w:t>
      </w:r>
      <w:r>
        <w:rPr>
          <w:rFonts w:hint="eastAsia" w:ascii="宋体" w:hAnsi="宋体" w:eastAsia="宋体" w:cs="宋体"/>
          <w:color w:val="auto"/>
          <w:kern w:val="0"/>
          <w:sz w:val="24"/>
          <w:szCs w:val="24"/>
          <w:highlight w:val="none"/>
        </w:rPr>
        <w:t>评标委员会由有关技术、经济等方面的专家和招标人代表组成，专家从</w:t>
      </w:r>
      <w:r>
        <w:rPr>
          <w:rFonts w:hint="eastAsia" w:ascii="宋体" w:hAnsi="宋体" w:eastAsia="宋体" w:cs="宋体"/>
          <w:color w:val="auto"/>
          <w:kern w:val="0"/>
          <w:sz w:val="24"/>
          <w:szCs w:val="24"/>
          <w:highlight w:val="none"/>
          <w:u w:val="single"/>
        </w:rPr>
        <w:t>广东省综合评标评审专家库</w:t>
      </w:r>
      <w:r>
        <w:rPr>
          <w:rFonts w:hint="eastAsia" w:ascii="宋体" w:hAnsi="宋体" w:eastAsia="宋体" w:cs="宋体"/>
          <w:color w:val="auto"/>
          <w:kern w:val="0"/>
          <w:sz w:val="24"/>
          <w:szCs w:val="24"/>
          <w:highlight w:val="none"/>
        </w:rPr>
        <w:t>中抽取或按远程异地评标专家抽取相关规定组建</w:t>
      </w:r>
      <w:r>
        <w:rPr>
          <w:rFonts w:ascii="宋体" w:hAnsi="宋体" w:eastAsia="宋体" w:cs="宋体"/>
          <w:color w:val="auto"/>
          <w:kern w:val="0"/>
          <w:sz w:val="24"/>
          <w:szCs w:val="24"/>
          <w:highlight w:val="none"/>
        </w:rPr>
        <w:t>。评标委员会成员人数以及技术、经济等方面专家的确定方式见投标人须知前附表。</w:t>
      </w:r>
    </w:p>
    <w:p w14:paraId="0B07E04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6.1.2 评标委员会成员有下列情形之一的，应当回避：</w:t>
      </w:r>
    </w:p>
    <w:p w14:paraId="5D64938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(1)投标人或投标人主要负责人的近亲属；</w:t>
      </w:r>
    </w:p>
    <w:p w14:paraId="752C4CF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(2)项目主管部门或者行政监督部门的人员；</w:t>
      </w:r>
    </w:p>
    <w:p w14:paraId="00775FC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招标人或投标人的工作人员、退休或离职未满3年的人员；</w:t>
      </w:r>
    </w:p>
    <w:p w14:paraId="3976176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)与投标人有经济利益关系，可能影响对投标公正评审的；</w:t>
      </w:r>
    </w:p>
    <w:p w14:paraId="12316B4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)曾因在招标、评标以及其他与招标投标有关活动中从事违法行为而受过行政处罚或刑事处罚的；</w:t>
      </w:r>
    </w:p>
    <w:p w14:paraId="3F0DCB6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6</w:t>
      </w:r>
      <w:r>
        <w:rPr>
          <w:rFonts w:ascii="宋体" w:hAnsi="宋体" w:eastAsia="宋体" w:cs="宋体"/>
          <w:color w:val="auto"/>
          <w:kern w:val="0"/>
          <w:sz w:val="24"/>
          <w:szCs w:val="24"/>
          <w:highlight w:val="none"/>
        </w:rPr>
        <w:t>)与投标人有其他利害关系。</w:t>
      </w:r>
    </w:p>
    <w:p w14:paraId="628E25B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91C9FAB">
      <w:pPr>
        <w:wordWrap w:val="0"/>
        <w:autoSpaceDE w:val="0"/>
        <w:autoSpaceDN w:val="0"/>
        <w:spacing w:line="360" w:lineRule="auto"/>
        <w:ind w:firstLine="482" w:firstLineChars="200"/>
        <w:rPr>
          <w:rFonts w:hint="eastAsia" w:ascii="宋体" w:hAnsi="宋体" w:eastAsia="宋体" w:cs="宋体"/>
          <w:color w:val="auto"/>
          <w:kern w:val="0"/>
          <w:sz w:val="24"/>
          <w:szCs w:val="24"/>
          <w:highlight w:val="none"/>
          <w:lang w:eastAsia="zh-CN"/>
        </w:rPr>
      </w:pPr>
      <w:r>
        <w:rPr>
          <w:rFonts w:hint="default" w:ascii="宋体" w:hAnsi="宋体" w:eastAsia="宋体"/>
          <w:b/>
          <w:bCs/>
          <w:color w:val="auto"/>
          <w:sz w:val="24"/>
          <w:szCs w:val="24"/>
          <w:highlight w:val="none"/>
        </w:rPr>
        <w:t>6.1.4 评标委员会在开始评标前，应了解评标专家的职责及守则，认真阅读附件《评标委员会成员声明》的内容并签名，签名后方可进行评标</w:t>
      </w:r>
      <w:r>
        <w:rPr>
          <w:rFonts w:hint="eastAsia" w:ascii="宋体" w:hAnsi="宋体" w:eastAsia="宋体"/>
          <w:b/>
          <w:bCs/>
          <w:color w:val="auto"/>
          <w:sz w:val="24"/>
          <w:szCs w:val="24"/>
          <w:highlight w:val="none"/>
          <w:lang w:eastAsia="zh-CN"/>
        </w:rPr>
        <w:t>。</w:t>
      </w:r>
    </w:p>
    <w:p w14:paraId="649A342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9" w:name="_Toc111186761"/>
      <w:bookmarkStart w:id="120" w:name="_Toc9043"/>
      <w:bookmarkStart w:id="121" w:name="_Toc193357977"/>
      <w:r>
        <w:rPr>
          <w:rFonts w:hint="eastAsia" w:ascii="宋体" w:hAnsi="宋体" w:eastAsia="宋体" w:cs="宋体"/>
          <w:b/>
          <w:bCs/>
          <w:color w:val="auto"/>
          <w:spacing w:val="1"/>
          <w:sz w:val="28"/>
          <w:szCs w:val="32"/>
          <w:highlight w:val="none"/>
          <w:lang w:val="zh-CN"/>
        </w:rPr>
        <w:t>6.2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评标原则</w:t>
      </w:r>
      <w:bookmarkEnd w:id="119"/>
      <w:bookmarkEnd w:id="120"/>
      <w:bookmarkEnd w:id="121"/>
    </w:p>
    <w:p w14:paraId="0618FE5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14:paraId="64B2A5F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C882C6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2" w:name="_Toc193357978"/>
      <w:bookmarkStart w:id="123" w:name="_Toc10255"/>
      <w:bookmarkStart w:id="124" w:name="_Toc111186762"/>
      <w:r>
        <w:rPr>
          <w:rFonts w:hint="eastAsia" w:ascii="宋体" w:hAnsi="宋体" w:eastAsia="宋体" w:cs="宋体"/>
          <w:b/>
          <w:bCs/>
          <w:color w:val="auto"/>
          <w:spacing w:val="1"/>
          <w:sz w:val="28"/>
          <w:szCs w:val="32"/>
          <w:highlight w:val="none"/>
          <w:lang w:val="zh-CN"/>
        </w:rPr>
        <w:t>6.3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w:t>
      </w:r>
      <w:bookmarkEnd w:id="122"/>
      <w:bookmarkEnd w:id="123"/>
      <w:bookmarkEnd w:id="124"/>
    </w:p>
    <w:p w14:paraId="108BB5D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6.3.1 评标委员会按照第三章“评标办法”规定的方法、评审因素、标准和程序对投标文件进行评审。第三章“评标办法”没有规定的方法、评审因素和标准，不作为评标依据。</w:t>
      </w:r>
    </w:p>
    <w:p w14:paraId="6A5C31A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6.3.2 评标完成后，评标委员会应当向招标人提交书面评标报告和中标候选人名单。评标委员会推荐中标候选人的人数见投标人须知前附表。</w:t>
      </w:r>
    </w:p>
    <w:p w14:paraId="0F0A888E">
      <w:pPr>
        <w:wordWrap w:val="0"/>
        <w:spacing w:line="360" w:lineRule="auto"/>
        <w:ind w:firstLine="480" w:firstLineChars="200"/>
        <w:rPr>
          <w:rFonts w:ascii="宋体" w:hAnsi="宋体" w:eastAsia="宋体" w:cs="宋体"/>
          <w:color w:val="auto"/>
          <w:sz w:val="24"/>
          <w:szCs w:val="24"/>
          <w:highlight w:val="none"/>
        </w:rPr>
      </w:pPr>
    </w:p>
    <w:p w14:paraId="5958606C">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25" w:name="_Toc193357979"/>
      <w:bookmarkStart w:id="126" w:name="_Toc10209"/>
      <w:bookmarkStart w:id="127" w:name="_Toc111186763"/>
      <w:r>
        <w:rPr>
          <w:rFonts w:hint="eastAsia" w:ascii="宋体" w:hAnsi="宋体" w:eastAsia="宋体" w:cs="宋体"/>
          <w:b/>
          <w:bCs/>
          <w:color w:val="auto"/>
          <w:spacing w:val="1"/>
          <w:kern w:val="0"/>
          <w:sz w:val="30"/>
          <w:szCs w:val="30"/>
          <w:highlight w:val="none"/>
          <w:lang w:val="zh-CN"/>
        </w:rPr>
        <w:t>7</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合同授予</w:t>
      </w:r>
      <w:bookmarkEnd w:id="125"/>
      <w:bookmarkEnd w:id="126"/>
      <w:bookmarkEnd w:id="127"/>
    </w:p>
    <w:p w14:paraId="60A20B5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8" w:name="_Toc193357980"/>
      <w:bookmarkStart w:id="129" w:name="_Toc111186764"/>
      <w:bookmarkStart w:id="130" w:name="_Toc3077"/>
      <w:r>
        <w:rPr>
          <w:rFonts w:hint="eastAsia" w:ascii="宋体" w:hAnsi="宋体" w:eastAsia="宋体" w:cs="宋体"/>
          <w:b/>
          <w:bCs/>
          <w:color w:val="auto"/>
          <w:spacing w:val="1"/>
          <w:sz w:val="28"/>
          <w:szCs w:val="32"/>
          <w:highlight w:val="none"/>
          <w:lang w:val="zh-CN"/>
        </w:rPr>
        <w:t>7.1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公示</w:t>
      </w:r>
      <w:bookmarkEnd w:id="128"/>
      <w:bookmarkEnd w:id="129"/>
      <w:bookmarkEnd w:id="130"/>
    </w:p>
    <w:p w14:paraId="6495536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招标人在收到评标报告之日起3日内，按照投标人须知前附表规定的公示媒介和期限公示中标候选人，公示期不得少于3天，最后一天应为工作日。</w:t>
      </w:r>
    </w:p>
    <w:p w14:paraId="7268CAA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在产生中标候选人后，招标人将中标候选人的投标文件商务部分（包括人员、业绩、奖项等资料）在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14:paraId="101B007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5F8904E3">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2A2E2B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1" w:name="_Toc193357981"/>
      <w:bookmarkStart w:id="132" w:name="_Toc111186765"/>
      <w:bookmarkStart w:id="133" w:name="_Toc19391"/>
      <w:r>
        <w:rPr>
          <w:rFonts w:hint="eastAsia" w:ascii="宋体" w:hAnsi="宋体" w:eastAsia="宋体" w:cs="宋体"/>
          <w:b/>
          <w:bCs/>
          <w:color w:val="auto"/>
          <w:spacing w:val="1"/>
          <w:sz w:val="28"/>
          <w:szCs w:val="32"/>
          <w:highlight w:val="none"/>
          <w:lang w:val="zh-CN"/>
        </w:rPr>
        <w:t>7.2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评标结果</w:t>
      </w:r>
      <w:r>
        <w:rPr>
          <w:rFonts w:hint="eastAsia" w:ascii="宋体" w:hAnsi="宋体" w:eastAsia="宋体" w:cs="宋体"/>
          <w:b/>
          <w:bCs/>
          <w:color w:val="auto"/>
          <w:spacing w:val="-3"/>
          <w:sz w:val="28"/>
          <w:szCs w:val="32"/>
          <w:highlight w:val="none"/>
          <w:lang w:val="zh-CN"/>
        </w:rPr>
        <w:t>异</w:t>
      </w:r>
      <w:r>
        <w:rPr>
          <w:rFonts w:hint="eastAsia" w:ascii="宋体" w:hAnsi="宋体" w:eastAsia="宋体" w:cs="宋体"/>
          <w:b/>
          <w:bCs/>
          <w:color w:val="auto"/>
          <w:spacing w:val="1"/>
          <w:sz w:val="28"/>
          <w:szCs w:val="32"/>
          <w:highlight w:val="none"/>
          <w:lang w:val="zh-CN"/>
        </w:rPr>
        <w:t>议</w:t>
      </w:r>
      <w:bookmarkEnd w:id="131"/>
      <w:bookmarkEnd w:id="132"/>
      <w:bookmarkEnd w:id="133"/>
    </w:p>
    <w:p w14:paraId="50E1063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投标人或者其他利害关系人对评标结果有异议的，应当在中标候选人公示期间通过电子交易系统提出。招标人将在收到异议之日起3日内在电子交易系统作出答复；作出答复前，将暂停招标投标活动。</w:t>
      </w:r>
    </w:p>
    <w:p w14:paraId="5050ED8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283D5E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4" w:name="_Toc17235"/>
      <w:bookmarkStart w:id="135" w:name="_Toc111186766"/>
      <w:bookmarkStart w:id="136" w:name="_Toc193357982"/>
      <w:r>
        <w:rPr>
          <w:rFonts w:hint="eastAsia" w:ascii="宋体" w:hAnsi="宋体" w:eastAsia="宋体" w:cs="宋体"/>
          <w:b/>
          <w:bCs/>
          <w:color w:val="auto"/>
          <w:spacing w:val="1"/>
          <w:sz w:val="28"/>
          <w:szCs w:val="32"/>
          <w:highlight w:val="none"/>
          <w:lang w:val="zh-CN"/>
        </w:rPr>
        <w:t>7.3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履</w:t>
      </w:r>
      <w:r>
        <w:rPr>
          <w:rFonts w:hint="eastAsia" w:ascii="宋体" w:hAnsi="宋体" w:eastAsia="宋体" w:cs="宋体"/>
          <w:b/>
          <w:bCs/>
          <w:color w:val="auto"/>
          <w:spacing w:val="-3"/>
          <w:sz w:val="28"/>
          <w:szCs w:val="32"/>
          <w:highlight w:val="none"/>
          <w:lang w:val="zh-CN"/>
        </w:rPr>
        <w:t>约</w:t>
      </w:r>
      <w:r>
        <w:rPr>
          <w:rFonts w:hint="eastAsia" w:ascii="宋体" w:hAnsi="宋体" w:eastAsia="宋体" w:cs="宋体"/>
          <w:b/>
          <w:bCs/>
          <w:color w:val="auto"/>
          <w:spacing w:val="1"/>
          <w:sz w:val="28"/>
          <w:szCs w:val="32"/>
          <w:highlight w:val="none"/>
          <w:lang w:val="zh-CN"/>
        </w:rPr>
        <w:t>能力审查</w:t>
      </w:r>
      <w:bookmarkEnd w:id="134"/>
      <w:bookmarkEnd w:id="135"/>
      <w:bookmarkEnd w:id="136"/>
    </w:p>
    <w:p w14:paraId="33B4C22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B8D166F">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D2328D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7" w:name="_Toc1732"/>
      <w:bookmarkStart w:id="138" w:name="_Toc111186767"/>
      <w:bookmarkStart w:id="139" w:name="_Toc193357983"/>
      <w:r>
        <w:rPr>
          <w:rFonts w:hint="eastAsia" w:ascii="宋体" w:hAnsi="宋体" w:eastAsia="宋体" w:cs="宋体"/>
          <w:b/>
          <w:bCs/>
          <w:color w:val="auto"/>
          <w:spacing w:val="1"/>
          <w:sz w:val="28"/>
          <w:szCs w:val="32"/>
          <w:highlight w:val="none"/>
          <w:lang w:val="zh-CN"/>
        </w:rPr>
        <w:t>7.4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定标</w:t>
      </w:r>
      <w:bookmarkEnd w:id="137"/>
      <w:bookmarkEnd w:id="138"/>
      <w:bookmarkEnd w:id="139"/>
    </w:p>
    <w:p w14:paraId="1B97616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按照投标人须知前附表的规定，招标人或招标人授权的评标委员会依法确定中标人。</w:t>
      </w:r>
    </w:p>
    <w:p w14:paraId="13387C63">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19A023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0" w:name="_Toc111186768"/>
      <w:bookmarkStart w:id="141" w:name="_Toc4759"/>
      <w:bookmarkStart w:id="142" w:name="_Toc193357984"/>
      <w:r>
        <w:rPr>
          <w:rFonts w:hint="eastAsia" w:ascii="宋体" w:hAnsi="宋体" w:eastAsia="宋体" w:cs="宋体"/>
          <w:b/>
          <w:bCs/>
          <w:color w:val="auto"/>
          <w:spacing w:val="1"/>
          <w:sz w:val="28"/>
          <w:szCs w:val="32"/>
          <w:highlight w:val="none"/>
          <w:lang w:val="zh-CN"/>
        </w:rPr>
        <w:t>7.5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中标通知</w:t>
      </w:r>
      <w:bookmarkEnd w:id="140"/>
      <w:bookmarkEnd w:id="141"/>
      <w:bookmarkEnd w:id="142"/>
    </w:p>
    <w:p w14:paraId="079A03F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7.5.1 在法规规定的时间内，</w:t>
      </w:r>
      <w:r>
        <w:rPr>
          <w:rFonts w:hint="eastAsia" w:ascii="宋体" w:hAnsi="宋体" w:eastAsia="宋体" w:cs="宋体"/>
          <w:b/>
          <w:bCs/>
          <w:color w:val="auto"/>
          <w:sz w:val="24"/>
          <w:szCs w:val="24"/>
          <w:highlight w:val="none"/>
          <w:u w:val="single"/>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网站发布中标信息，视同将中标结果通知未中标的投标人。</w:t>
      </w:r>
    </w:p>
    <w:p w14:paraId="2871C0D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7.5.2 政府投资项目，中标通知书发出前，中标人应未被纳入失信惩戒名单，否则招标人将取消其中标资格。失信联合惩戒名单以“信用广州”网站公布的为准。</w:t>
      </w:r>
    </w:p>
    <w:p w14:paraId="33FFAB2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0DC57B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3" w:name="_Toc193357985"/>
      <w:bookmarkStart w:id="144" w:name="_Toc111186769"/>
      <w:bookmarkStart w:id="145" w:name="_Toc11927"/>
      <w:r>
        <w:rPr>
          <w:rFonts w:hint="eastAsia" w:ascii="宋体" w:hAnsi="宋体" w:eastAsia="宋体" w:cs="宋体"/>
          <w:b/>
          <w:bCs/>
          <w:color w:val="auto"/>
          <w:spacing w:val="1"/>
          <w:sz w:val="28"/>
          <w:szCs w:val="32"/>
          <w:highlight w:val="none"/>
          <w:lang w:val="zh-CN"/>
        </w:rPr>
        <w:t>7.6</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技术成果</w:t>
      </w:r>
      <w:r>
        <w:rPr>
          <w:rFonts w:hint="eastAsia" w:ascii="宋体" w:hAnsi="宋体" w:eastAsia="宋体" w:cs="宋体"/>
          <w:b/>
          <w:bCs/>
          <w:color w:val="auto"/>
          <w:spacing w:val="-3"/>
          <w:sz w:val="28"/>
          <w:szCs w:val="32"/>
          <w:highlight w:val="none"/>
          <w:lang w:val="zh-CN"/>
        </w:rPr>
        <w:t>经</w:t>
      </w:r>
      <w:r>
        <w:rPr>
          <w:rFonts w:hint="eastAsia" w:ascii="宋体" w:hAnsi="宋体" w:eastAsia="宋体" w:cs="宋体"/>
          <w:b/>
          <w:bCs/>
          <w:color w:val="auto"/>
          <w:spacing w:val="1"/>
          <w:sz w:val="28"/>
          <w:szCs w:val="32"/>
          <w:highlight w:val="none"/>
          <w:lang w:val="zh-CN"/>
        </w:rPr>
        <w:t>济</w:t>
      </w:r>
      <w:r>
        <w:rPr>
          <w:rFonts w:hint="eastAsia" w:ascii="宋体" w:hAnsi="宋体" w:eastAsia="宋体" w:cs="宋体"/>
          <w:b/>
          <w:bCs/>
          <w:color w:val="auto"/>
          <w:spacing w:val="-3"/>
          <w:sz w:val="28"/>
          <w:szCs w:val="32"/>
          <w:highlight w:val="none"/>
          <w:lang w:val="zh-CN"/>
        </w:rPr>
        <w:t>补</w:t>
      </w:r>
      <w:r>
        <w:rPr>
          <w:rFonts w:hint="eastAsia" w:ascii="宋体" w:hAnsi="宋体" w:eastAsia="宋体" w:cs="宋体"/>
          <w:b/>
          <w:bCs/>
          <w:color w:val="auto"/>
          <w:spacing w:val="1"/>
          <w:sz w:val="28"/>
          <w:szCs w:val="32"/>
          <w:highlight w:val="none"/>
          <w:lang w:val="zh-CN"/>
        </w:rPr>
        <w:t>偿</w:t>
      </w:r>
      <w:bookmarkEnd w:id="143"/>
      <w:bookmarkEnd w:id="144"/>
      <w:bookmarkEnd w:id="145"/>
    </w:p>
    <w:p w14:paraId="7F573CE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招标人对符合招标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定的未中标人的技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进行补偿的，招标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按</w:t>
      </w:r>
      <w:r>
        <w:rPr>
          <w:rFonts w:hint="eastAsia" w:ascii="宋体" w:hAnsi="宋体" w:eastAsia="宋体" w:cs="宋体"/>
          <w:color w:val="auto"/>
          <w:kern w:val="0"/>
          <w:sz w:val="24"/>
          <w:szCs w:val="24"/>
          <w:highlight w:val="none"/>
        </w:rPr>
        <w:t>投标人须知前附表规定的标准</w:t>
      </w:r>
      <w:r>
        <w:rPr>
          <w:rFonts w:hint="eastAsia" w:ascii="宋体" w:hAnsi="宋体" w:eastAsia="宋体" w:cs="宋体"/>
          <w:color w:val="auto"/>
          <w:spacing w:val="-2"/>
          <w:kern w:val="0"/>
          <w:sz w:val="24"/>
          <w:szCs w:val="24"/>
          <w:highlight w:val="none"/>
        </w:rPr>
        <w:t>给</w:t>
      </w:r>
      <w:r>
        <w:rPr>
          <w:rFonts w:hint="eastAsia" w:ascii="宋体" w:hAnsi="宋体" w:eastAsia="宋体" w:cs="宋体"/>
          <w:color w:val="auto"/>
          <w:kern w:val="0"/>
          <w:sz w:val="24"/>
          <w:szCs w:val="24"/>
          <w:highlight w:val="none"/>
        </w:rPr>
        <w:t>予经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补偿，未中标人</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件中声明放弃技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成果</w:t>
      </w:r>
      <w:r>
        <w:rPr>
          <w:rFonts w:hint="eastAsia" w:ascii="宋体" w:hAnsi="宋体" w:eastAsia="宋体" w:cs="宋体"/>
          <w:color w:val="auto"/>
          <w:spacing w:val="-2"/>
          <w:kern w:val="0"/>
          <w:sz w:val="24"/>
          <w:szCs w:val="24"/>
          <w:highlight w:val="none"/>
        </w:rPr>
        <w:t>经</w:t>
      </w:r>
      <w:r>
        <w:rPr>
          <w:rFonts w:hint="eastAsia" w:ascii="宋体" w:hAnsi="宋体" w:eastAsia="宋体" w:cs="宋体"/>
          <w:color w:val="auto"/>
          <w:kern w:val="0"/>
          <w:sz w:val="24"/>
          <w:szCs w:val="24"/>
          <w:highlight w:val="none"/>
        </w:rPr>
        <w:t>济补偿费</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除</w:t>
      </w:r>
      <w:r>
        <w:rPr>
          <w:rFonts w:hint="eastAsia" w:ascii="宋体" w:hAnsi="宋体" w:eastAsia="宋体" w:cs="宋体"/>
          <w:color w:val="auto"/>
          <w:spacing w:val="-2"/>
          <w:kern w:val="0"/>
          <w:sz w:val="24"/>
          <w:szCs w:val="24"/>
          <w:highlight w:val="none"/>
        </w:rPr>
        <w:t>外</w:t>
      </w: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于</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通</w:t>
      </w:r>
      <w:r>
        <w:rPr>
          <w:rFonts w:hint="eastAsia" w:ascii="宋体" w:hAnsi="宋体" w:eastAsia="宋体" w:cs="宋体"/>
          <w:color w:val="auto"/>
          <w:spacing w:val="-2"/>
          <w:kern w:val="0"/>
          <w:sz w:val="24"/>
          <w:szCs w:val="24"/>
          <w:highlight w:val="none"/>
        </w:rPr>
        <w:t>知</w:t>
      </w:r>
      <w:r>
        <w:rPr>
          <w:rFonts w:hint="eastAsia" w:ascii="宋体" w:hAnsi="宋体" w:eastAsia="宋体" w:cs="宋体"/>
          <w:color w:val="auto"/>
          <w:kern w:val="0"/>
          <w:sz w:val="24"/>
          <w:szCs w:val="24"/>
          <w:highlight w:val="none"/>
        </w:rPr>
        <w:t>书</w:t>
      </w:r>
      <w:r>
        <w:rPr>
          <w:rFonts w:hint="eastAsia" w:ascii="宋体" w:hAnsi="宋体" w:eastAsia="宋体" w:cs="宋体"/>
          <w:color w:val="auto"/>
          <w:spacing w:val="-2"/>
          <w:kern w:val="0"/>
          <w:sz w:val="24"/>
          <w:szCs w:val="24"/>
          <w:highlight w:val="none"/>
        </w:rPr>
        <w:t>发</w:t>
      </w:r>
      <w:r>
        <w:rPr>
          <w:rFonts w:hint="eastAsia" w:ascii="宋体" w:hAnsi="宋体" w:eastAsia="宋体" w:cs="宋体"/>
          <w:color w:val="auto"/>
          <w:kern w:val="0"/>
          <w:sz w:val="24"/>
          <w:szCs w:val="24"/>
          <w:highlight w:val="none"/>
        </w:rPr>
        <w:t>出后</w:t>
      </w: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spacing w:val="-2"/>
          <w:kern w:val="0"/>
          <w:sz w:val="24"/>
          <w:szCs w:val="24"/>
          <w:highlight w:val="none"/>
        </w:rPr>
        <w:t>日</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向</w:t>
      </w:r>
      <w:r>
        <w:rPr>
          <w:rFonts w:hint="eastAsia" w:ascii="宋体" w:hAnsi="宋体" w:eastAsia="宋体" w:cs="宋体"/>
          <w:color w:val="auto"/>
          <w:kern w:val="0"/>
          <w:sz w:val="24"/>
          <w:szCs w:val="24"/>
          <w:highlight w:val="none"/>
        </w:rPr>
        <w:t>未</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人支</w:t>
      </w:r>
      <w:r>
        <w:rPr>
          <w:rFonts w:hint="eastAsia" w:ascii="宋体" w:hAnsi="宋体" w:eastAsia="宋体" w:cs="宋体"/>
          <w:color w:val="auto"/>
          <w:kern w:val="0"/>
          <w:sz w:val="24"/>
          <w:szCs w:val="24"/>
          <w:highlight w:val="none"/>
        </w:rPr>
        <w:t>付技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w:t>
      </w:r>
      <w:r>
        <w:rPr>
          <w:rFonts w:hint="eastAsia" w:ascii="宋体" w:hAnsi="宋体" w:eastAsia="宋体" w:cs="宋体"/>
          <w:color w:val="auto"/>
          <w:spacing w:val="-2"/>
          <w:kern w:val="0"/>
          <w:sz w:val="24"/>
          <w:szCs w:val="24"/>
          <w:highlight w:val="none"/>
        </w:rPr>
        <w:t>偿</w:t>
      </w:r>
      <w:r>
        <w:rPr>
          <w:rFonts w:hint="eastAsia" w:ascii="宋体" w:hAnsi="宋体" w:eastAsia="宋体" w:cs="宋体"/>
          <w:color w:val="auto"/>
          <w:kern w:val="0"/>
          <w:sz w:val="24"/>
          <w:szCs w:val="24"/>
          <w:highlight w:val="none"/>
        </w:rPr>
        <w:t>费。</w:t>
      </w:r>
    </w:p>
    <w:p w14:paraId="7F2117B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E867C4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6" w:name="_Toc5726"/>
      <w:bookmarkStart w:id="147" w:name="_Toc111186770"/>
      <w:bookmarkStart w:id="148" w:name="_Toc193357986"/>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履约保证金</w:t>
      </w:r>
      <w:bookmarkEnd w:id="146"/>
      <w:bookmarkEnd w:id="147"/>
      <w:bookmarkEnd w:id="148"/>
    </w:p>
    <w:p w14:paraId="6CE15C8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3068F05">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7.7.2 中标人不能按本章第7.7.1项要求提交履约保证金的，视为放弃中标，</w:t>
      </w:r>
      <w:r>
        <w:rPr>
          <w:rFonts w:hint="eastAsia" w:ascii="宋体" w:hAnsi="宋体" w:eastAsia="宋体" w:cs="宋体"/>
          <w:strike/>
          <w:dstrike w:val="0"/>
          <w:color w:val="auto"/>
          <w:kern w:val="0"/>
          <w:sz w:val="24"/>
          <w:szCs w:val="24"/>
          <w:highlight w:val="none"/>
        </w:rPr>
        <w:t>其投标保证金不予退还，给招标人造成的损失超过投标保证金数额的，中标人还应当对超过部分予以赔偿</w:t>
      </w:r>
      <w:r>
        <w:rPr>
          <w:rFonts w:hint="eastAsia" w:ascii="宋体" w:hAnsi="宋体" w:eastAsia="宋体" w:cs="宋体"/>
          <w:color w:val="auto"/>
          <w:kern w:val="0"/>
          <w:sz w:val="24"/>
          <w:szCs w:val="24"/>
          <w:highlight w:val="none"/>
        </w:rPr>
        <w:t>。</w:t>
      </w:r>
    </w:p>
    <w:p w14:paraId="125AC4F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FE2FD7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9" w:name="_Toc193357987"/>
      <w:bookmarkStart w:id="150" w:name="_Toc32040"/>
      <w:bookmarkStart w:id="151" w:name="_Toc111186771"/>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签订合同</w:t>
      </w:r>
      <w:bookmarkEnd w:id="149"/>
      <w:bookmarkEnd w:id="150"/>
      <w:bookmarkEnd w:id="151"/>
    </w:p>
    <w:p w14:paraId="34E3609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 招标人和中标人应当在中标通知书发出之日起30日内，根据招标文件和中标人的投标文件订立书面合同，并通过电子交易系统与中标人在线签订合同，并在广东省招标投标监管网和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网站公示合同主要信息。中标人无正当理由拒签合同，在签订合同时向招标人提出附加条件，或者不按照招标文件要求提交履约保证金的，招标人有权取消其中标资格，</w:t>
      </w:r>
      <w:r>
        <w:rPr>
          <w:rFonts w:hint="eastAsia" w:ascii="宋体" w:hAnsi="宋体" w:eastAsia="宋体" w:cs="宋体"/>
          <w:strike/>
          <w:dstrike w:val="0"/>
          <w:color w:val="auto"/>
          <w:kern w:val="0"/>
          <w:sz w:val="24"/>
          <w:szCs w:val="24"/>
          <w:highlight w:val="none"/>
        </w:rPr>
        <w:t>其投标保证金不予退还；给招标人造成的损失超过投标保证金数额的，中标人还应当对超过部分予以赔偿</w:t>
      </w:r>
      <w:r>
        <w:rPr>
          <w:rFonts w:hint="eastAsia" w:ascii="宋体" w:hAnsi="宋体" w:eastAsia="宋体" w:cs="宋体"/>
          <w:color w:val="auto"/>
          <w:kern w:val="0"/>
          <w:sz w:val="24"/>
          <w:szCs w:val="24"/>
          <w:highlight w:val="none"/>
        </w:rPr>
        <w:t>。</w:t>
      </w:r>
    </w:p>
    <w:p w14:paraId="22D153A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发出中标通知书后，招标人无正当理由拒签合同，或者在签订合同时向中标人提出附加条件的，</w:t>
      </w:r>
      <w:r>
        <w:rPr>
          <w:rFonts w:hint="eastAsia" w:ascii="宋体" w:hAnsi="宋体" w:eastAsia="宋体" w:cs="宋体"/>
          <w:strike/>
          <w:dstrike w:val="0"/>
          <w:color w:val="auto"/>
          <w:kern w:val="0"/>
          <w:sz w:val="24"/>
          <w:szCs w:val="24"/>
          <w:highlight w:val="none"/>
        </w:rPr>
        <w:t>招标人向中标人退还投标保证金</w:t>
      </w:r>
      <w:r>
        <w:rPr>
          <w:rFonts w:hint="eastAsia" w:ascii="宋体" w:hAnsi="宋体" w:eastAsia="宋体" w:cs="宋体"/>
          <w:color w:val="auto"/>
          <w:kern w:val="0"/>
          <w:sz w:val="24"/>
          <w:szCs w:val="24"/>
          <w:highlight w:val="none"/>
        </w:rPr>
        <w:t>；给中标人造成损失的，还应当赔偿损失。</w:t>
      </w:r>
    </w:p>
    <w:p w14:paraId="5E91632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联合体中标的，联合体各方应当共同与招标人签订合同，就中标项目向招标人承担连带责任。</w:t>
      </w:r>
    </w:p>
    <w:p w14:paraId="4AC407F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6B80842">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52" w:name="_Toc14874"/>
      <w:bookmarkStart w:id="153" w:name="_Toc193357988"/>
      <w:bookmarkStart w:id="154" w:name="_Toc111186772"/>
      <w:r>
        <w:rPr>
          <w:rFonts w:hint="eastAsia" w:ascii="宋体" w:hAnsi="宋体" w:eastAsia="宋体" w:cs="宋体"/>
          <w:b/>
          <w:bCs/>
          <w:color w:val="auto"/>
          <w:spacing w:val="1"/>
          <w:kern w:val="0"/>
          <w:sz w:val="30"/>
          <w:szCs w:val="30"/>
          <w:highlight w:val="none"/>
          <w:lang w:val="zh-CN"/>
        </w:rPr>
        <w:t>8</w:t>
      </w:r>
      <w:r>
        <w:rPr>
          <w:rFonts w:hint="eastAsia" w:ascii="宋体" w:hAnsi="宋体" w:eastAsia="宋体" w:cs="宋体"/>
          <w:b/>
          <w:bCs/>
          <w:color w:val="auto"/>
          <w:spacing w:val="-1"/>
          <w:kern w:val="0"/>
          <w:sz w:val="30"/>
          <w:szCs w:val="30"/>
          <w:highlight w:val="none"/>
          <w:lang w:val="zh-CN"/>
        </w:rPr>
        <w:t>.</w:t>
      </w:r>
      <w:r>
        <w:rPr>
          <w:rFonts w:hint="eastAsia" w:ascii="宋体" w:hAnsi="宋体" w:eastAsia="宋体" w:cs="宋体"/>
          <w:b/>
          <w:bCs/>
          <w:color w:val="auto"/>
          <w:kern w:val="0"/>
          <w:sz w:val="30"/>
          <w:szCs w:val="30"/>
          <w:highlight w:val="none"/>
          <w:lang w:val="zh-CN"/>
        </w:rPr>
        <w:t>纪律和监督</w:t>
      </w:r>
      <w:bookmarkEnd w:id="152"/>
      <w:bookmarkEnd w:id="153"/>
      <w:bookmarkEnd w:id="154"/>
    </w:p>
    <w:p w14:paraId="2293668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5" w:name="_Toc3133"/>
      <w:bookmarkStart w:id="156" w:name="_Toc111186773"/>
      <w:bookmarkStart w:id="157" w:name="_Toc193357989"/>
      <w:r>
        <w:rPr>
          <w:rFonts w:hint="eastAsia" w:ascii="宋体" w:hAnsi="宋体" w:eastAsia="宋体" w:cs="宋体"/>
          <w:b/>
          <w:bCs/>
          <w:color w:val="auto"/>
          <w:spacing w:val="1"/>
          <w:sz w:val="28"/>
          <w:szCs w:val="32"/>
          <w:highlight w:val="none"/>
          <w:lang w:val="zh-CN"/>
        </w:rPr>
        <w:t>8.1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对招标人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5"/>
      <w:bookmarkEnd w:id="156"/>
      <w:bookmarkEnd w:id="157"/>
    </w:p>
    <w:p w14:paraId="352B9E8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招标人不得泄露招标投标活动中应当保密的情况和资料，不得与招标代理、投标人串通损害国家利益、社会公共利益或者他人合法权益。</w:t>
      </w:r>
    </w:p>
    <w:p w14:paraId="0190F1E2">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8127C4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8" w:name="_Toc9243"/>
      <w:bookmarkStart w:id="159" w:name="_Toc193357990"/>
      <w:bookmarkStart w:id="160" w:name="_Toc111186774"/>
      <w:r>
        <w:rPr>
          <w:rFonts w:hint="eastAsia" w:ascii="宋体" w:hAnsi="宋体" w:eastAsia="宋体" w:cs="宋体"/>
          <w:b/>
          <w:bCs/>
          <w:color w:val="auto"/>
          <w:spacing w:val="1"/>
          <w:sz w:val="28"/>
          <w:szCs w:val="32"/>
          <w:highlight w:val="none"/>
          <w:lang w:val="zh-CN"/>
        </w:rPr>
        <w:t>8.2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对投标人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8"/>
      <w:bookmarkEnd w:id="159"/>
      <w:bookmarkEnd w:id="160"/>
    </w:p>
    <w:p w14:paraId="42FD3F3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相互串通投标或者与招标人（招标代理）串通投标，不得向招标人或者评标委员会成员行贿谋取中标，不得以他人名义投标或者以其他方式弄虚作假骗取中标；投标人不得以任何方式干扰、影响评标工作。</w:t>
      </w:r>
    </w:p>
    <w:p w14:paraId="275EADE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CF94C2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1" w:name="_Toc111186775"/>
      <w:bookmarkStart w:id="162" w:name="_Toc193357991"/>
      <w:bookmarkStart w:id="163" w:name="_Toc30238"/>
      <w:r>
        <w:rPr>
          <w:rFonts w:hint="eastAsia" w:ascii="宋体" w:hAnsi="宋体" w:eastAsia="宋体" w:cs="宋体"/>
          <w:b/>
          <w:bCs/>
          <w:color w:val="auto"/>
          <w:spacing w:val="1"/>
          <w:sz w:val="28"/>
          <w:szCs w:val="32"/>
          <w:highlight w:val="none"/>
          <w:lang w:val="zh-CN"/>
        </w:rPr>
        <w:t>8.3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对评标委</w:t>
      </w:r>
      <w:r>
        <w:rPr>
          <w:rFonts w:hint="eastAsia" w:ascii="宋体" w:hAnsi="宋体" w:eastAsia="宋体" w:cs="宋体"/>
          <w:b/>
          <w:bCs/>
          <w:color w:val="auto"/>
          <w:spacing w:val="-3"/>
          <w:sz w:val="28"/>
          <w:szCs w:val="32"/>
          <w:highlight w:val="none"/>
          <w:lang w:val="zh-CN"/>
        </w:rPr>
        <w:t>员</w:t>
      </w:r>
      <w:r>
        <w:rPr>
          <w:rFonts w:hint="eastAsia" w:ascii="宋体" w:hAnsi="宋体" w:eastAsia="宋体" w:cs="宋体"/>
          <w:b/>
          <w:bCs/>
          <w:color w:val="auto"/>
          <w:spacing w:val="1"/>
          <w:sz w:val="28"/>
          <w:szCs w:val="32"/>
          <w:highlight w:val="none"/>
          <w:lang w:val="zh-CN"/>
        </w:rPr>
        <w:t>会</w:t>
      </w:r>
      <w:r>
        <w:rPr>
          <w:rFonts w:hint="eastAsia" w:ascii="宋体" w:hAnsi="宋体" w:eastAsia="宋体" w:cs="宋体"/>
          <w:b/>
          <w:bCs/>
          <w:color w:val="auto"/>
          <w:spacing w:val="-3"/>
          <w:sz w:val="28"/>
          <w:szCs w:val="32"/>
          <w:highlight w:val="none"/>
          <w:lang w:val="zh-CN"/>
        </w:rPr>
        <w:t>成</w:t>
      </w:r>
      <w:r>
        <w:rPr>
          <w:rFonts w:hint="eastAsia" w:ascii="宋体" w:hAnsi="宋体" w:eastAsia="宋体" w:cs="宋体"/>
          <w:b/>
          <w:bCs/>
          <w:color w:val="auto"/>
          <w:spacing w:val="1"/>
          <w:sz w:val="28"/>
          <w:szCs w:val="32"/>
          <w:highlight w:val="none"/>
          <w:lang w:val="zh-CN"/>
        </w:rPr>
        <w:t>员的纪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61"/>
      <w:bookmarkEnd w:id="162"/>
      <w:bookmarkEnd w:id="163"/>
    </w:p>
    <w:p w14:paraId="212DB89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1A9270D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4" w:name="_Toc111186776"/>
      <w:bookmarkStart w:id="165" w:name="_Toc193357992"/>
      <w:bookmarkStart w:id="166" w:name="_Toc9711"/>
      <w:r>
        <w:rPr>
          <w:rFonts w:hint="eastAsia" w:ascii="宋体" w:hAnsi="宋体" w:eastAsia="宋体" w:cs="宋体"/>
          <w:b/>
          <w:bCs/>
          <w:color w:val="auto"/>
          <w:spacing w:val="1"/>
          <w:sz w:val="28"/>
          <w:szCs w:val="32"/>
          <w:highlight w:val="none"/>
          <w:lang w:val="zh-CN"/>
        </w:rPr>
        <w:t>8.4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对与评标</w:t>
      </w:r>
      <w:r>
        <w:rPr>
          <w:rFonts w:hint="eastAsia" w:ascii="宋体" w:hAnsi="宋体" w:eastAsia="宋体" w:cs="宋体"/>
          <w:b/>
          <w:bCs/>
          <w:color w:val="auto"/>
          <w:spacing w:val="-3"/>
          <w:sz w:val="28"/>
          <w:szCs w:val="32"/>
          <w:highlight w:val="none"/>
          <w:lang w:val="zh-CN"/>
        </w:rPr>
        <w:t>活</w:t>
      </w:r>
      <w:r>
        <w:rPr>
          <w:rFonts w:hint="eastAsia" w:ascii="宋体" w:hAnsi="宋体" w:eastAsia="宋体" w:cs="宋体"/>
          <w:b/>
          <w:bCs/>
          <w:color w:val="auto"/>
          <w:spacing w:val="1"/>
          <w:sz w:val="28"/>
          <w:szCs w:val="32"/>
          <w:highlight w:val="none"/>
          <w:lang w:val="zh-CN"/>
        </w:rPr>
        <w:t>动</w:t>
      </w:r>
      <w:r>
        <w:rPr>
          <w:rFonts w:hint="eastAsia" w:ascii="宋体" w:hAnsi="宋体" w:eastAsia="宋体" w:cs="宋体"/>
          <w:b/>
          <w:bCs/>
          <w:color w:val="auto"/>
          <w:spacing w:val="-3"/>
          <w:sz w:val="28"/>
          <w:szCs w:val="32"/>
          <w:highlight w:val="none"/>
          <w:lang w:val="zh-CN"/>
        </w:rPr>
        <w:t>有</w:t>
      </w:r>
      <w:r>
        <w:rPr>
          <w:rFonts w:hint="eastAsia" w:ascii="宋体" w:hAnsi="宋体" w:eastAsia="宋体" w:cs="宋体"/>
          <w:b/>
          <w:bCs/>
          <w:color w:val="auto"/>
          <w:spacing w:val="1"/>
          <w:sz w:val="28"/>
          <w:szCs w:val="32"/>
          <w:highlight w:val="none"/>
          <w:lang w:val="zh-CN"/>
        </w:rPr>
        <w:t>关的工</w:t>
      </w:r>
      <w:r>
        <w:rPr>
          <w:rFonts w:hint="eastAsia" w:ascii="宋体" w:hAnsi="宋体" w:eastAsia="宋体" w:cs="宋体"/>
          <w:b/>
          <w:bCs/>
          <w:color w:val="auto"/>
          <w:spacing w:val="-3"/>
          <w:sz w:val="28"/>
          <w:szCs w:val="32"/>
          <w:highlight w:val="none"/>
          <w:lang w:val="zh-CN"/>
        </w:rPr>
        <w:t>作</w:t>
      </w:r>
      <w:r>
        <w:rPr>
          <w:rFonts w:hint="eastAsia" w:ascii="宋体" w:hAnsi="宋体" w:eastAsia="宋体" w:cs="宋体"/>
          <w:b/>
          <w:bCs/>
          <w:color w:val="auto"/>
          <w:spacing w:val="1"/>
          <w:sz w:val="28"/>
          <w:szCs w:val="32"/>
          <w:highlight w:val="none"/>
          <w:lang w:val="zh-CN"/>
        </w:rPr>
        <w:t>人员</w:t>
      </w:r>
      <w:r>
        <w:rPr>
          <w:rFonts w:hint="eastAsia" w:ascii="宋体" w:hAnsi="宋体" w:eastAsia="宋体" w:cs="宋体"/>
          <w:b/>
          <w:bCs/>
          <w:color w:val="auto"/>
          <w:spacing w:val="-3"/>
          <w:sz w:val="28"/>
          <w:szCs w:val="32"/>
          <w:highlight w:val="none"/>
          <w:lang w:val="zh-CN"/>
        </w:rPr>
        <w:t>的纪</w:t>
      </w:r>
      <w:r>
        <w:rPr>
          <w:rFonts w:hint="eastAsia" w:ascii="宋体" w:hAnsi="宋体" w:eastAsia="宋体" w:cs="宋体"/>
          <w:b/>
          <w:bCs/>
          <w:color w:val="auto"/>
          <w:spacing w:val="1"/>
          <w:sz w:val="28"/>
          <w:szCs w:val="32"/>
          <w:highlight w:val="none"/>
          <w:lang w:val="zh-CN"/>
        </w:rPr>
        <w:t>律要求</w:t>
      </w:r>
      <w:bookmarkEnd w:id="164"/>
      <w:bookmarkEnd w:id="165"/>
      <w:bookmarkEnd w:id="166"/>
    </w:p>
    <w:p w14:paraId="70D7676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9C8225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F831B3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7" w:name="_Toc3297"/>
      <w:bookmarkStart w:id="168" w:name="_Toc193357993"/>
      <w:bookmarkStart w:id="169" w:name="_Toc111186777"/>
      <w:r>
        <w:rPr>
          <w:rFonts w:hint="eastAsia" w:ascii="宋体" w:hAnsi="宋体" w:eastAsia="宋体" w:cs="宋体"/>
          <w:b/>
          <w:bCs/>
          <w:color w:val="auto"/>
          <w:spacing w:val="1"/>
          <w:sz w:val="28"/>
          <w:szCs w:val="32"/>
          <w:highlight w:val="none"/>
          <w:lang w:val="zh-CN"/>
        </w:rPr>
        <w:t>8.5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投诉</w:t>
      </w:r>
      <w:bookmarkEnd w:id="167"/>
      <w:bookmarkEnd w:id="168"/>
      <w:bookmarkEnd w:id="169"/>
    </w:p>
    <w:p w14:paraId="5BF4EFE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5E736E3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2D0D553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8DDDEE0">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0" w:name="_Toc111186778"/>
      <w:bookmarkStart w:id="171" w:name="_Toc193357994"/>
      <w:bookmarkStart w:id="172" w:name="_Toc32014"/>
      <w:r>
        <w:rPr>
          <w:rFonts w:hint="eastAsia" w:ascii="宋体" w:hAnsi="宋体" w:eastAsia="宋体" w:cs="宋体"/>
          <w:b/>
          <w:bCs/>
          <w:color w:val="auto"/>
          <w:spacing w:val="1"/>
          <w:kern w:val="0"/>
          <w:sz w:val="30"/>
          <w:szCs w:val="30"/>
          <w:highlight w:val="none"/>
          <w:lang w:val="zh-CN"/>
        </w:rPr>
        <w:t>9</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是否采用电子招标投标</w:t>
      </w:r>
      <w:bookmarkEnd w:id="170"/>
      <w:bookmarkEnd w:id="171"/>
      <w:bookmarkEnd w:id="172"/>
    </w:p>
    <w:p w14:paraId="18E99F2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本招标项目采用电子招标投标方式，按照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13B7007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AA26F31">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3" w:name="_Toc111186779"/>
      <w:bookmarkStart w:id="174" w:name="_Toc193357995"/>
      <w:bookmarkStart w:id="175" w:name="_Toc25836"/>
      <w:r>
        <w:rPr>
          <w:rFonts w:hint="eastAsia" w:ascii="宋体" w:hAnsi="宋体" w:eastAsia="宋体" w:cs="宋体"/>
          <w:b/>
          <w:bCs/>
          <w:color w:val="auto"/>
          <w:spacing w:val="1"/>
          <w:kern w:val="0"/>
          <w:sz w:val="30"/>
          <w:szCs w:val="30"/>
          <w:highlight w:val="none"/>
          <w:lang w:val="zh-CN"/>
        </w:rPr>
        <w:t>10</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bookmarkEnd w:id="173"/>
      <w:bookmarkEnd w:id="174"/>
      <w:bookmarkEnd w:id="175"/>
      <w:r>
        <w:rPr>
          <w:rFonts w:hint="eastAsia" w:ascii="宋体" w:hAnsi="宋体" w:eastAsia="宋体" w:cs="宋体"/>
          <w:b/>
          <w:bCs/>
          <w:color w:val="auto"/>
          <w:kern w:val="0"/>
          <w:sz w:val="30"/>
          <w:szCs w:val="30"/>
          <w:highlight w:val="none"/>
          <w:lang w:val="zh-CN"/>
        </w:rPr>
        <w:t>重新招标情形</w:t>
      </w:r>
    </w:p>
    <w:p w14:paraId="29BBD58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在下列情况下，依法必须招标项目的招标人在分析招标失败的原因并采取相应措施后，应当依照本办法重新招标：</w:t>
      </w:r>
    </w:p>
    <w:p w14:paraId="28917AE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（一）资格审查合格的投标人不足三个的；</w:t>
      </w:r>
    </w:p>
    <w:p w14:paraId="6B308DC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（二）在投标截止时间前提交投标文件的投标人少于三个的；</w:t>
      </w:r>
    </w:p>
    <w:p w14:paraId="169740B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（三）所有投标均被否决的；</w:t>
      </w:r>
    </w:p>
    <w:p w14:paraId="71A6230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（四）评标委员会否决不合格投标后，因有效投标不足三个使得投标明显缺乏竞争，评标委员会决定否决全部投标的；</w:t>
      </w:r>
    </w:p>
    <w:p w14:paraId="42907CC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（五）根据《工程建设项目勘察设计招标投标办法》第四十六条规定，同意延长投标有效期的投标人少于三个的；</w:t>
      </w:r>
    </w:p>
    <w:p w14:paraId="6A61991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（六）符合法律法规需重新招标的其他情形。</w:t>
      </w:r>
    </w:p>
    <w:p w14:paraId="78396D0D">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B3D3750">
      <w:pPr>
        <w:keepNext/>
        <w:keepLines/>
        <w:wordWrap w:val="0"/>
        <w:spacing w:line="360" w:lineRule="auto"/>
        <w:outlineLvl w:val="1"/>
        <w:rPr>
          <w:rFonts w:ascii="宋体" w:hAnsi="宋体" w:eastAsia="宋体" w:cs="宋体"/>
          <w:b/>
          <w:bCs/>
          <w:color w:val="auto"/>
          <w:kern w:val="0"/>
          <w:sz w:val="30"/>
          <w:szCs w:val="30"/>
          <w:highlight w:val="none"/>
          <w:lang w:val="zh-CN"/>
        </w:rPr>
      </w:pPr>
      <w:r>
        <w:rPr>
          <w:rFonts w:hint="eastAsia" w:ascii="宋体" w:hAnsi="宋体" w:eastAsia="宋体" w:cs="宋体"/>
          <w:b/>
          <w:bCs/>
          <w:color w:val="auto"/>
          <w:spacing w:val="1"/>
          <w:kern w:val="0"/>
          <w:sz w:val="30"/>
          <w:szCs w:val="30"/>
          <w:highlight w:val="none"/>
          <w:lang w:val="zh-CN"/>
        </w:rPr>
        <w:t>11</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需要补充的其他内容</w:t>
      </w:r>
    </w:p>
    <w:p w14:paraId="594AA0D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需要补充的其他内容：见投标人须知前附表。</w:t>
      </w:r>
    </w:p>
    <w:p w14:paraId="1C193DB6">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kern w:val="0"/>
          <w:sz w:val="28"/>
          <w:szCs w:val="32"/>
          <w:highlight w:val="none"/>
          <w:lang w:val="zh-CN"/>
        </w:rPr>
        <w:br w:type="page"/>
      </w:r>
      <w:bookmarkStart w:id="176" w:name="_Toc5282"/>
      <w:bookmarkStart w:id="177" w:name="_Toc111186781"/>
      <w:bookmarkStart w:id="178" w:name="_Toc193357997"/>
    </w:p>
    <w:bookmarkEnd w:id="176"/>
    <w:bookmarkEnd w:id="177"/>
    <w:bookmarkEnd w:id="178"/>
    <w:p w14:paraId="2CA62C7F">
      <w:pPr>
        <w:pStyle w:val="3"/>
        <w:rPr>
          <w:color w:val="auto"/>
          <w:highlight w:val="none"/>
        </w:rPr>
      </w:pPr>
      <w:bookmarkStart w:id="179" w:name="_Toc193358002"/>
      <w:bookmarkStart w:id="180" w:name="_Toc111186786"/>
      <w:r>
        <w:rPr>
          <w:rFonts w:hint="eastAsia"/>
          <w:color w:val="auto"/>
          <w:highlight w:val="none"/>
        </w:rPr>
        <w:t>第三章  评标办法（综合评估法）</w:t>
      </w:r>
      <w:bookmarkEnd w:id="179"/>
      <w:bookmarkEnd w:id="180"/>
    </w:p>
    <w:p w14:paraId="29F50441">
      <w:pPr>
        <w:pStyle w:val="4"/>
        <w:wordWrap w:val="0"/>
        <w:rPr>
          <w:color w:val="auto"/>
          <w:highlight w:val="none"/>
        </w:rPr>
      </w:pPr>
      <w:bookmarkStart w:id="181" w:name="_Toc111186787"/>
      <w:bookmarkStart w:id="182" w:name="_Toc193358003"/>
      <w:bookmarkStart w:id="183" w:name="_Toc32538"/>
      <w:r>
        <w:rPr>
          <w:rFonts w:hint="eastAsia"/>
          <w:color w:val="auto"/>
          <w:highlight w:val="none"/>
        </w:rPr>
        <w:t>（适用于技术文件为暗标形式）</w:t>
      </w:r>
    </w:p>
    <w:p w14:paraId="2A694AC3">
      <w:pPr>
        <w:pStyle w:val="4"/>
        <w:wordWrap w:val="0"/>
        <w:rPr>
          <w:color w:val="auto"/>
          <w:highlight w:val="none"/>
        </w:rPr>
      </w:pPr>
      <w:r>
        <w:rPr>
          <w:rFonts w:hint="eastAsia"/>
          <w:color w:val="auto"/>
          <w:highlight w:val="none"/>
        </w:rPr>
        <w:t>评标办法前附表</w:t>
      </w:r>
      <w:bookmarkEnd w:id="181"/>
      <w:bookmarkEnd w:id="182"/>
      <w:bookmarkEnd w:id="183"/>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792"/>
        <w:gridCol w:w="1531"/>
        <w:gridCol w:w="5570"/>
      </w:tblGrid>
      <w:tr w14:paraId="3D7C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79E2C013">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78" w:type="pct"/>
            <w:vAlign w:val="center"/>
          </w:tcPr>
          <w:p w14:paraId="56401451">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3193" w:type="pct"/>
            <w:vAlign w:val="center"/>
          </w:tcPr>
          <w:p w14:paraId="18C35500">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1E59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Align w:val="center"/>
          </w:tcPr>
          <w:p w14:paraId="26495A7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54" w:type="pct"/>
            <w:vAlign w:val="center"/>
          </w:tcPr>
          <w:p w14:paraId="7EBB5E4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878" w:type="pct"/>
            <w:vAlign w:val="center"/>
          </w:tcPr>
          <w:p w14:paraId="5700F5D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3193" w:type="pct"/>
            <w:vAlign w:val="center"/>
          </w:tcPr>
          <w:p w14:paraId="3625AA95">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综合评分（即总得分）相等时中标候选人顺序：</w:t>
            </w:r>
            <w:r>
              <w:rPr>
                <w:rFonts w:hint="eastAsia" w:ascii="宋体" w:hAnsi="宋体" w:eastAsia="宋体" w:cs="宋体"/>
                <w:color w:val="auto"/>
                <w:szCs w:val="21"/>
                <w:highlight w:val="none"/>
                <w:u w:val="single"/>
              </w:rPr>
              <w:t>以技术文件得分高的排前；技术文件得分也相同的，以商务文件得分高的排前；若商务文件得分仍相同的，以投标报价较低的排前；如仍存在相同情况，则对具有相同情况的投标人，由评标委员会采用记名投票方式，确定投标人最终名次的排序。</w:t>
            </w:r>
          </w:p>
        </w:tc>
      </w:tr>
      <w:tr w14:paraId="2312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restart"/>
            <w:vAlign w:val="center"/>
          </w:tcPr>
          <w:p w14:paraId="2A4D3F2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454" w:type="pct"/>
            <w:vMerge w:val="restart"/>
            <w:vAlign w:val="center"/>
          </w:tcPr>
          <w:p w14:paraId="0EBFEB0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商务文件形式评审标准</w:t>
            </w:r>
          </w:p>
        </w:tc>
        <w:tc>
          <w:tcPr>
            <w:tcW w:w="878" w:type="pct"/>
            <w:vAlign w:val="center"/>
          </w:tcPr>
          <w:p w14:paraId="43330AA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3193" w:type="pct"/>
            <w:vAlign w:val="center"/>
          </w:tcPr>
          <w:p w14:paraId="44626F4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与营业执照或事业单位登记机构核发的事业单位法人证书、资质证书一致。</w:t>
            </w:r>
          </w:p>
        </w:tc>
      </w:tr>
      <w:tr w14:paraId="5850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526B29BF">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7980A0F6">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2A130B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3193" w:type="pct"/>
            <w:vAlign w:val="center"/>
          </w:tcPr>
          <w:p w14:paraId="12E0133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投标人声明、廉洁承诺书、法定代表人身份证明；委托投标的还应提供法人授权委托证明书。</w:t>
            </w:r>
          </w:p>
        </w:tc>
      </w:tr>
      <w:tr w14:paraId="5876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5002B50F">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16BC790E">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C39D1C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3193" w:type="pct"/>
            <w:vAlign w:val="center"/>
          </w:tcPr>
          <w:p w14:paraId="214BDE5C">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有法定代表人或其委托代理人签字和加盖单位章。由法定代表人签字的，应附法定代表人身份证明；由代理人签字的，应附法定代表人身份证明及授权委托书，身份证明或授权委托书参考第六章“投标文件格式”的规定。</w:t>
            </w:r>
          </w:p>
        </w:tc>
      </w:tr>
      <w:tr w14:paraId="3908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34E3F31F">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5A68993F">
            <w:pPr>
              <w:widowControl/>
              <w:wordWrap w:val="0"/>
              <w:spacing w:line="276" w:lineRule="auto"/>
              <w:jc w:val="left"/>
              <w:rPr>
                <w:rFonts w:ascii="宋体" w:hAnsi="宋体" w:eastAsia="宋体" w:cs="宋体"/>
                <w:color w:val="auto"/>
                <w:szCs w:val="21"/>
                <w:highlight w:val="none"/>
              </w:rPr>
            </w:pPr>
          </w:p>
        </w:tc>
        <w:tc>
          <w:tcPr>
            <w:tcW w:w="878" w:type="pct"/>
            <w:vAlign w:val="center"/>
          </w:tcPr>
          <w:p w14:paraId="24D8421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193" w:type="pct"/>
            <w:vAlign w:val="center"/>
          </w:tcPr>
          <w:p w14:paraId="7CDFF976">
            <w:pPr>
              <w:wordWrap w:val="0"/>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符合第六章“投标文件格式”的规定。</w:t>
            </w:r>
          </w:p>
        </w:tc>
      </w:tr>
      <w:tr w14:paraId="557B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76D94F2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0BCE0F4B">
            <w:pPr>
              <w:widowControl/>
              <w:wordWrap w:val="0"/>
              <w:spacing w:line="276" w:lineRule="auto"/>
              <w:jc w:val="left"/>
              <w:rPr>
                <w:rFonts w:ascii="宋体" w:hAnsi="宋体" w:eastAsia="宋体" w:cs="宋体"/>
                <w:color w:val="auto"/>
                <w:szCs w:val="21"/>
                <w:highlight w:val="none"/>
              </w:rPr>
            </w:pPr>
          </w:p>
        </w:tc>
        <w:tc>
          <w:tcPr>
            <w:tcW w:w="878" w:type="pct"/>
            <w:vAlign w:val="center"/>
          </w:tcPr>
          <w:p w14:paraId="7EBFEB1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联合体投标人</w:t>
            </w:r>
          </w:p>
        </w:tc>
        <w:tc>
          <w:tcPr>
            <w:tcW w:w="3193" w:type="pct"/>
            <w:vAlign w:val="center"/>
          </w:tcPr>
          <w:p w14:paraId="13348520">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提交符合招标文件要求的联合体协议书，明确各方职责分工、权利义务，并承诺就中标项目向招标人承担连带责任。</w:t>
            </w:r>
          </w:p>
        </w:tc>
      </w:tr>
      <w:tr w14:paraId="373F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2AB116CE">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03A28F16">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5B7941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备选投标方案</w:t>
            </w:r>
          </w:p>
        </w:tc>
        <w:tc>
          <w:tcPr>
            <w:tcW w:w="3193" w:type="pct"/>
            <w:vAlign w:val="center"/>
          </w:tcPr>
          <w:p w14:paraId="68B36300">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除招标文件明确允许提交备选投标方案外，投标人不得提交备选投标方案。</w:t>
            </w:r>
          </w:p>
        </w:tc>
      </w:tr>
      <w:tr w14:paraId="725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1ED1E422">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E2C7DA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694FA43">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投标人硬件特征码</w:t>
            </w:r>
          </w:p>
        </w:tc>
        <w:tc>
          <w:tcPr>
            <w:tcW w:w="3193" w:type="pct"/>
            <w:vAlign w:val="center"/>
          </w:tcPr>
          <w:p w14:paraId="43A090A9">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投标人与其他投标人加密打包投标文件硬件特征码不一致，以</w:t>
            </w:r>
            <w:r>
              <w:rPr>
                <w:rFonts w:hint="eastAsia" w:ascii="宋体" w:hAnsi="宋体" w:eastAsia="宋体" w:cs="宋体"/>
                <w:color w:val="auto"/>
                <w:kern w:val="0"/>
                <w:szCs w:val="21"/>
                <w:highlight w:val="none"/>
                <w:u w:val="single"/>
              </w:rPr>
              <w:t>广州交易集团有限公司（广州公共资源交易中心）</w:t>
            </w:r>
            <w:r>
              <w:rPr>
                <w:rFonts w:hint="eastAsia" w:ascii="宋体" w:hAnsi="宋体" w:eastAsia="宋体" w:cs="宋体"/>
                <w:color w:val="auto"/>
                <w:kern w:val="0"/>
                <w:szCs w:val="21"/>
                <w:highlight w:val="none"/>
              </w:rPr>
              <w:t>交易平台开标系统的检索信息为准。</w:t>
            </w:r>
          </w:p>
        </w:tc>
      </w:tr>
      <w:tr w14:paraId="0DDB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restart"/>
            <w:vAlign w:val="center"/>
          </w:tcPr>
          <w:p w14:paraId="29B6E6C6">
            <w:pPr>
              <w:widowControl/>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454" w:type="pct"/>
            <w:vMerge w:val="restart"/>
            <w:vAlign w:val="center"/>
          </w:tcPr>
          <w:p w14:paraId="5888BF9A">
            <w:pPr>
              <w:widowControl/>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878" w:type="pct"/>
            <w:vAlign w:val="center"/>
          </w:tcPr>
          <w:p w14:paraId="65F6386A">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营业执照和组织机构代码证</w:t>
            </w:r>
          </w:p>
        </w:tc>
        <w:tc>
          <w:tcPr>
            <w:tcW w:w="3193" w:type="pct"/>
            <w:vAlign w:val="center"/>
          </w:tcPr>
          <w:p w14:paraId="3370FB69">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符合第二章“投标人须知”第3.5.1项规定，具备有效的营业执照和组织机构代码证。按照“三证合一”或“五证合一”登记制度进行登记的投标人，可仅提供营业执照或事业单位法人证书。</w:t>
            </w:r>
          </w:p>
        </w:tc>
      </w:tr>
      <w:tr w14:paraId="7034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712C0A74">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7C66B472">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7E917A1">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资质要求</w:t>
            </w:r>
          </w:p>
        </w:tc>
        <w:tc>
          <w:tcPr>
            <w:tcW w:w="3193" w:type="pct"/>
            <w:vAlign w:val="center"/>
          </w:tcPr>
          <w:p w14:paraId="0A0FF1B5">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3D31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75BD35B9">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8BFA91C">
            <w:pPr>
              <w:widowControl/>
              <w:wordWrap w:val="0"/>
              <w:spacing w:line="276" w:lineRule="auto"/>
              <w:jc w:val="left"/>
              <w:rPr>
                <w:rFonts w:ascii="宋体" w:hAnsi="宋体" w:eastAsia="宋体" w:cs="宋体"/>
                <w:color w:val="auto"/>
                <w:szCs w:val="21"/>
                <w:highlight w:val="none"/>
              </w:rPr>
            </w:pPr>
          </w:p>
        </w:tc>
        <w:tc>
          <w:tcPr>
            <w:tcW w:w="878" w:type="pct"/>
            <w:vAlign w:val="center"/>
          </w:tcPr>
          <w:p w14:paraId="5DEF2432">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业绩要求</w:t>
            </w:r>
          </w:p>
        </w:tc>
        <w:tc>
          <w:tcPr>
            <w:tcW w:w="3193" w:type="pct"/>
            <w:vAlign w:val="center"/>
          </w:tcPr>
          <w:p w14:paraId="381BE269">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u w:val="single"/>
                <w:lang w:bidi="ar"/>
              </w:rPr>
              <w:t>/。</w:t>
            </w:r>
          </w:p>
        </w:tc>
      </w:tr>
      <w:tr w14:paraId="7C12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157D9A55">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27844C9">
            <w:pPr>
              <w:widowControl/>
              <w:wordWrap w:val="0"/>
              <w:spacing w:line="276" w:lineRule="auto"/>
              <w:jc w:val="left"/>
              <w:rPr>
                <w:rFonts w:ascii="宋体" w:hAnsi="宋体" w:eastAsia="宋体" w:cs="宋体"/>
                <w:color w:val="auto"/>
                <w:szCs w:val="21"/>
                <w:highlight w:val="none"/>
              </w:rPr>
            </w:pPr>
          </w:p>
        </w:tc>
        <w:tc>
          <w:tcPr>
            <w:tcW w:w="878" w:type="pct"/>
            <w:vAlign w:val="center"/>
          </w:tcPr>
          <w:p w14:paraId="479EC83F">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项目负责人</w:t>
            </w:r>
          </w:p>
        </w:tc>
        <w:tc>
          <w:tcPr>
            <w:tcW w:w="3193" w:type="pct"/>
            <w:vAlign w:val="center"/>
          </w:tcPr>
          <w:p w14:paraId="515302AC">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1A1F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60CBBF5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2F5510F2">
            <w:pPr>
              <w:widowControl/>
              <w:wordWrap w:val="0"/>
              <w:spacing w:line="276" w:lineRule="auto"/>
              <w:jc w:val="left"/>
              <w:rPr>
                <w:rFonts w:ascii="宋体" w:hAnsi="宋体" w:eastAsia="宋体" w:cs="宋体"/>
                <w:color w:val="auto"/>
                <w:szCs w:val="21"/>
                <w:highlight w:val="none"/>
              </w:rPr>
            </w:pPr>
          </w:p>
        </w:tc>
        <w:tc>
          <w:tcPr>
            <w:tcW w:w="878" w:type="pct"/>
            <w:vAlign w:val="center"/>
          </w:tcPr>
          <w:p w14:paraId="53CA2C5A">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其他要求</w:t>
            </w:r>
          </w:p>
        </w:tc>
        <w:tc>
          <w:tcPr>
            <w:tcW w:w="3193" w:type="pct"/>
            <w:vAlign w:val="center"/>
          </w:tcPr>
          <w:p w14:paraId="50529D74">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4FA6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30F3756A">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583E2570">
            <w:pPr>
              <w:widowControl/>
              <w:wordWrap w:val="0"/>
              <w:spacing w:line="276" w:lineRule="auto"/>
              <w:jc w:val="left"/>
              <w:rPr>
                <w:rFonts w:ascii="宋体" w:hAnsi="宋体" w:eastAsia="宋体" w:cs="宋体"/>
                <w:color w:val="auto"/>
                <w:szCs w:val="21"/>
                <w:highlight w:val="none"/>
              </w:rPr>
            </w:pPr>
          </w:p>
        </w:tc>
        <w:tc>
          <w:tcPr>
            <w:tcW w:w="878" w:type="pct"/>
            <w:vAlign w:val="center"/>
          </w:tcPr>
          <w:p w14:paraId="47B93C59">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联合体投标人</w:t>
            </w:r>
          </w:p>
        </w:tc>
        <w:tc>
          <w:tcPr>
            <w:tcW w:w="3193" w:type="pct"/>
            <w:vAlign w:val="center"/>
          </w:tcPr>
          <w:p w14:paraId="4CD55FC8">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符合第二章“投标人须知”第1.4.2项规定</w:t>
            </w:r>
          </w:p>
        </w:tc>
      </w:tr>
      <w:tr w14:paraId="4DD4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419CAA25">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EF2C67C">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7C23CF1">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不存在禁止投标的情形</w:t>
            </w:r>
          </w:p>
        </w:tc>
        <w:tc>
          <w:tcPr>
            <w:tcW w:w="3193" w:type="pct"/>
            <w:vAlign w:val="center"/>
          </w:tcPr>
          <w:p w14:paraId="42BB6402">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不存在第二章“投标人须知”第1.4.3项规定的任何一种情形（按投标人提供的《投标人声明》内容进行评审）</w:t>
            </w:r>
          </w:p>
        </w:tc>
      </w:tr>
      <w:tr w14:paraId="7D70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0B17295C">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301456B">
            <w:pPr>
              <w:widowControl/>
              <w:wordWrap w:val="0"/>
              <w:spacing w:line="276" w:lineRule="auto"/>
              <w:jc w:val="left"/>
              <w:rPr>
                <w:rFonts w:ascii="宋体" w:hAnsi="宋体" w:eastAsia="宋体" w:cs="宋体"/>
                <w:color w:val="auto"/>
                <w:szCs w:val="21"/>
                <w:highlight w:val="none"/>
              </w:rPr>
            </w:pPr>
          </w:p>
        </w:tc>
        <w:tc>
          <w:tcPr>
            <w:tcW w:w="878" w:type="pct"/>
            <w:vAlign w:val="center"/>
          </w:tcPr>
          <w:p w14:paraId="526BE274">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投标人未被列入拖欠农民工工资失信联合惩戒对象名单</w:t>
            </w:r>
          </w:p>
        </w:tc>
        <w:tc>
          <w:tcPr>
            <w:tcW w:w="3193" w:type="pct"/>
            <w:vAlign w:val="center"/>
          </w:tcPr>
          <w:p w14:paraId="4C23F7F5">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14:paraId="7FC7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3B50ADDC">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A732706">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BEA3735">
            <w:pPr>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政府投资项目，在投标截止时间前，投标人未被列入“失信被执行人”名单</w:t>
            </w:r>
          </w:p>
        </w:tc>
        <w:tc>
          <w:tcPr>
            <w:tcW w:w="3193" w:type="pct"/>
            <w:vAlign w:val="center"/>
          </w:tcPr>
          <w:p w14:paraId="0122CD3A">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14:paraId="0E83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restart"/>
            <w:vAlign w:val="center"/>
          </w:tcPr>
          <w:p w14:paraId="197328D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2.1.3（1）</w:t>
            </w:r>
          </w:p>
        </w:tc>
        <w:tc>
          <w:tcPr>
            <w:tcW w:w="454" w:type="pct"/>
            <w:vMerge w:val="restart"/>
            <w:vAlign w:val="center"/>
          </w:tcPr>
          <w:p w14:paraId="7B4F018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商务文件响应性评审标准</w:t>
            </w:r>
          </w:p>
        </w:tc>
        <w:tc>
          <w:tcPr>
            <w:tcW w:w="878" w:type="pct"/>
            <w:vAlign w:val="center"/>
          </w:tcPr>
          <w:p w14:paraId="39F6853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3193" w:type="pct"/>
            <w:vAlign w:val="center"/>
          </w:tcPr>
          <w:p w14:paraId="034CF8D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w:t>
            </w:r>
          </w:p>
        </w:tc>
      </w:tr>
      <w:tr w14:paraId="42A7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51A02C72">
            <w:pPr>
              <w:wordWrap w:val="0"/>
              <w:spacing w:line="276" w:lineRule="auto"/>
              <w:jc w:val="center"/>
              <w:rPr>
                <w:rFonts w:ascii="宋体" w:hAnsi="宋体" w:eastAsia="宋体" w:cs="宋体"/>
                <w:color w:val="auto"/>
                <w:szCs w:val="21"/>
                <w:highlight w:val="none"/>
              </w:rPr>
            </w:pPr>
          </w:p>
        </w:tc>
        <w:tc>
          <w:tcPr>
            <w:tcW w:w="454" w:type="pct"/>
            <w:vMerge w:val="continue"/>
            <w:vAlign w:val="center"/>
          </w:tcPr>
          <w:p w14:paraId="4F408D1E">
            <w:pPr>
              <w:wordWrap w:val="0"/>
              <w:spacing w:line="276" w:lineRule="auto"/>
              <w:jc w:val="center"/>
              <w:rPr>
                <w:rFonts w:ascii="宋体" w:hAnsi="宋体" w:eastAsia="宋体" w:cs="宋体"/>
                <w:color w:val="auto"/>
                <w:szCs w:val="21"/>
                <w:highlight w:val="none"/>
              </w:rPr>
            </w:pPr>
          </w:p>
        </w:tc>
        <w:tc>
          <w:tcPr>
            <w:tcW w:w="878" w:type="pct"/>
            <w:vAlign w:val="center"/>
          </w:tcPr>
          <w:p w14:paraId="5B50780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3193" w:type="pct"/>
            <w:vAlign w:val="center"/>
          </w:tcPr>
          <w:p w14:paraId="0465C55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14:paraId="39D9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1B8A4A5B">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551C326">
            <w:pPr>
              <w:widowControl/>
              <w:wordWrap w:val="0"/>
              <w:spacing w:line="276" w:lineRule="auto"/>
              <w:jc w:val="left"/>
              <w:rPr>
                <w:rFonts w:ascii="宋体" w:hAnsi="宋体" w:eastAsia="宋体" w:cs="宋体"/>
                <w:color w:val="auto"/>
                <w:szCs w:val="21"/>
                <w:highlight w:val="none"/>
              </w:rPr>
            </w:pPr>
          </w:p>
        </w:tc>
        <w:tc>
          <w:tcPr>
            <w:tcW w:w="878" w:type="pct"/>
            <w:vAlign w:val="center"/>
          </w:tcPr>
          <w:p w14:paraId="48EAF48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勘察设计服务期限</w:t>
            </w:r>
          </w:p>
        </w:tc>
        <w:tc>
          <w:tcPr>
            <w:tcW w:w="3193" w:type="pct"/>
            <w:vAlign w:val="center"/>
          </w:tcPr>
          <w:p w14:paraId="206A592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14:paraId="4442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50B9B1E7">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4C34A14C">
            <w:pPr>
              <w:widowControl/>
              <w:wordWrap w:val="0"/>
              <w:spacing w:line="276" w:lineRule="auto"/>
              <w:jc w:val="left"/>
              <w:rPr>
                <w:rFonts w:ascii="宋体" w:hAnsi="宋体" w:eastAsia="宋体" w:cs="宋体"/>
                <w:color w:val="auto"/>
                <w:szCs w:val="21"/>
                <w:highlight w:val="none"/>
              </w:rPr>
            </w:pPr>
          </w:p>
        </w:tc>
        <w:tc>
          <w:tcPr>
            <w:tcW w:w="878" w:type="pct"/>
            <w:vAlign w:val="center"/>
          </w:tcPr>
          <w:p w14:paraId="37310F3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193" w:type="pct"/>
            <w:vAlign w:val="center"/>
          </w:tcPr>
          <w:p w14:paraId="39ADE88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14:paraId="6C55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21E026B2">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109C810B">
            <w:pPr>
              <w:widowControl/>
              <w:wordWrap w:val="0"/>
              <w:spacing w:line="276" w:lineRule="auto"/>
              <w:jc w:val="left"/>
              <w:rPr>
                <w:rFonts w:ascii="宋体" w:hAnsi="宋体" w:eastAsia="宋体" w:cs="宋体"/>
                <w:color w:val="auto"/>
                <w:szCs w:val="21"/>
                <w:highlight w:val="none"/>
              </w:rPr>
            </w:pPr>
          </w:p>
        </w:tc>
        <w:tc>
          <w:tcPr>
            <w:tcW w:w="878" w:type="pct"/>
            <w:vAlign w:val="center"/>
          </w:tcPr>
          <w:p w14:paraId="4C5D66B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193" w:type="pct"/>
            <w:vAlign w:val="center"/>
          </w:tcPr>
          <w:p w14:paraId="66BC19D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14:paraId="5ECD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5336EBB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2FE3F0A8">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7756968">
            <w:pPr>
              <w:wordWrap w:val="0"/>
              <w:spacing w:line="276" w:lineRule="auto"/>
              <w:jc w:val="cente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投标保证金</w:t>
            </w:r>
          </w:p>
        </w:tc>
        <w:tc>
          <w:tcPr>
            <w:tcW w:w="3193" w:type="pct"/>
            <w:vAlign w:val="center"/>
          </w:tcPr>
          <w:p w14:paraId="6C61F3E0">
            <w:pPr>
              <w:wordWrap w:val="0"/>
              <w:spacing w:line="276" w:lineRule="auto"/>
              <w:rPr>
                <w:rFonts w:ascii="宋体" w:hAnsi="宋体" w:eastAsia="宋体" w:cs="宋体"/>
                <w:strike/>
                <w:color w:val="auto"/>
                <w:szCs w:val="21"/>
                <w:highlight w:val="none"/>
              </w:rPr>
            </w:pPr>
            <w:r>
              <w:rPr>
                <w:rFonts w:hint="eastAsia" w:ascii="宋体" w:hAnsi="宋体" w:eastAsia="宋体" w:cs="宋体"/>
                <w:strike/>
                <w:color w:val="auto"/>
                <w:szCs w:val="21"/>
                <w:highlight w:val="none"/>
              </w:rPr>
              <w:t>符合第二章“投标人须知”第3.4.1项规定</w:t>
            </w:r>
          </w:p>
        </w:tc>
      </w:tr>
      <w:tr w14:paraId="5B7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228AE43E">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46526965">
            <w:pPr>
              <w:widowControl/>
              <w:wordWrap w:val="0"/>
              <w:spacing w:line="276" w:lineRule="auto"/>
              <w:jc w:val="left"/>
              <w:rPr>
                <w:rFonts w:ascii="宋体" w:hAnsi="宋体" w:eastAsia="宋体" w:cs="宋体"/>
                <w:color w:val="auto"/>
                <w:szCs w:val="21"/>
                <w:highlight w:val="none"/>
              </w:rPr>
            </w:pPr>
          </w:p>
        </w:tc>
        <w:tc>
          <w:tcPr>
            <w:tcW w:w="878" w:type="pct"/>
            <w:vAlign w:val="center"/>
          </w:tcPr>
          <w:p w14:paraId="5E269D1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3193" w:type="pct"/>
            <w:vAlign w:val="center"/>
          </w:tcPr>
          <w:p w14:paraId="6E74F096">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不存在串通投标情形（串通投标情形以《广东省实施〈中华人民共和国招标投标法〉办法》第十六条规定的为准）。</w:t>
            </w:r>
          </w:p>
        </w:tc>
      </w:tr>
      <w:tr w14:paraId="467C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3" w:type="pct"/>
            <w:vMerge w:val="continue"/>
            <w:vAlign w:val="center"/>
          </w:tcPr>
          <w:p w14:paraId="7A71FE23">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24B183B7">
            <w:pPr>
              <w:widowControl/>
              <w:wordWrap w:val="0"/>
              <w:spacing w:line="276" w:lineRule="auto"/>
              <w:jc w:val="left"/>
              <w:rPr>
                <w:rFonts w:ascii="宋体" w:hAnsi="宋体" w:eastAsia="宋体" w:cs="宋体"/>
                <w:color w:val="auto"/>
                <w:szCs w:val="21"/>
                <w:highlight w:val="none"/>
              </w:rPr>
            </w:pPr>
          </w:p>
        </w:tc>
        <w:tc>
          <w:tcPr>
            <w:tcW w:w="4072" w:type="pct"/>
            <w:gridSpan w:val="2"/>
            <w:vAlign w:val="center"/>
          </w:tcPr>
          <w:p w14:paraId="0F48D38D">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商务文件响应性评审标准中“投标内容”、“勘察设计服务期限”、“质量标准”、“投标有效期”，以投标人在投标书中的承诺为准。</w:t>
            </w:r>
          </w:p>
        </w:tc>
      </w:tr>
      <w:tr w14:paraId="0DC6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73" w:type="pct"/>
            <w:vMerge w:val="restart"/>
            <w:vAlign w:val="center"/>
          </w:tcPr>
          <w:p w14:paraId="606F433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2.1.3（2）</w:t>
            </w:r>
          </w:p>
        </w:tc>
        <w:tc>
          <w:tcPr>
            <w:tcW w:w="454" w:type="pct"/>
            <w:vMerge w:val="restart"/>
            <w:vAlign w:val="center"/>
          </w:tcPr>
          <w:p w14:paraId="4683D73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技术文件初步评审标准</w:t>
            </w:r>
          </w:p>
        </w:tc>
        <w:tc>
          <w:tcPr>
            <w:tcW w:w="878" w:type="pct"/>
            <w:vAlign w:val="center"/>
          </w:tcPr>
          <w:p w14:paraId="5836521C">
            <w:pPr>
              <w:spacing w:line="276" w:lineRule="auto"/>
              <w:jc w:val="center"/>
              <w:rPr>
                <w:rFonts w:ascii="宋体" w:hAnsi="宋体" w:eastAsia="宋体" w:cs="宋体"/>
                <w:color w:val="auto"/>
                <w:szCs w:val="21"/>
                <w:highlight w:val="none"/>
                <w:u w:val="single"/>
              </w:rPr>
            </w:pPr>
            <w:r>
              <w:rPr>
                <w:rFonts w:hint="eastAsia" w:ascii="宋体" w:hAnsi="宋体" w:eastAsia="宋体" w:cs="Times New Roman"/>
                <w:color w:val="auto"/>
                <w:szCs w:val="20"/>
                <w:highlight w:val="none"/>
              </w:rPr>
              <w:t>编制要求</w:t>
            </w:r>
          </w:p>
        </w:tc>
        <w:tc>
          <w:tcPr>
            <w:tcW w:w="3193" w:type="pct"/>
            <w:vAlign w:val="center"/>
          </w:tcPr>
          <w:p w14:paraId="29BC646A">
            <w:pPr>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未发现投标人在勘察设计方案内标注名称、印章、商标、图形等记认符号，使人辨认出投标人或其专业技术人员的身份。</w:t>
            </w:r>
          </w:p>
        </w:tc>
      </w:tr>
      <w:tr w14:paraId="6E24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73" w:type="pct"/>
            <w:vMerge w:val="continue"/>
            <w:vAlign w:val="center"/>
          </w:tcPr>
          <w:p w14:paraId="1C71C0DB">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34E49EB6">
            <w:pPr>
              <w:widowControl/>
              <w:wordWrap w:val="0"/>
              <w:spacing w:line="276" w:lineRule="auto"/>
              <w:jc w:val="left"/>
              <w:rPr>
                <w:rFonts w:ascii="宋体" w:hAnsi="宋体" w:eastAsia="宋体" w:cs="宋体"/>
                <w:color w:val="auto"/>
                <w:szCs w:val="21"/>
                <w:highlight w:val="none"/>
              </w:rPr>
            </w:pPr>
          </w:p>
        </w:tc>
        <w:tc>
          <w:tcPr>
            <w:tcW w:w="878" w:type="pct"/>
            <w:vAlign w:val="center"/>
          </w:tcPr>
          <w:p w14:paraId="630BAE6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未发现互相雷同和串通投标</w:t>
            </w:r>
          </w:p>
        </w:tc>
        <w:tc>
          <w:tcPr>
            <w:tcW w:w="3193" w:type="pct"/>
            <w:vAlign w:val="center"/>
          </w:tcPr>
          <w:p w14:paraId="769B3786">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69F9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73" w:type="pct"/>
            <w:vMerge w:val="continue"/>
            <w:vAlign w:val="center"/>
          </w:tcPr>
          <w:p w14:paraId="3FFBF9CB">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4FCE178B">
            <w:pPr>
              <w:widowControl/>
              <w:wordWrap w:val="0"/>
              <w:spacing w:line="276" w:lineRule="auto"/>
              <w:jc w:val="left"/>
              <w:rPr>
                <w:rFonts w:ascii="宋体" w:hAnsi="宋体" w:eastAsia="宋体" w:cs="宋体"/>
                <w:color w:val="auto"/>
                <w:szCs w:val="21"/>
                <w:highlight w:val="none"/>
              </w:rPr>
            </w:pPr>
          </w:p>
        </w:tc>
        <w:tc>
          <w:tcPr>
            <w:tcW w:w="878" w:type="pct"/>
            <w:vAlign w:val="center"/>
          </w:tcPr>
          <w:p w14:paraId="4331C27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未发现明显抄袭行为</w:t>
            </w:r>
          </w:p>
        </w:tc>
        <w:tc>
          <w:tcPr>
            <w:tcW w:w="3193" w:type="pct"/>
            <w:vAlign w:val="center"/>
          </w:tcPr>
          <w:p w14:paraId="5AB8948A">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6532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73" w:type="pct"/>
            <w:vMerge w:val="continue"/>
            <w:vAlign w:val="center"/>
          </w:tcPr>
          <w:p w14:paraId="6EAA1EC6">
            <w:pPr>
              <w:widowControl/>
              <w:wordWrap w:val="0"/>
              <w:spacing w:line="276" w:lineRule="auto"/>
              <w:jc w:val="left"/>
              <w:rPr>
                <w:rFonts w:ascii="宋体" w:hAnsi="宋体" w:eastAsia="宋体" w:cs="宋体"/>
                <w:color w:val="auto"/>
                <w:szCs w:val="21"/>
                <w:highlight w:val="none"/>
              </w:rPr>
            </w:pPr>
          </w:p>
        </w:tc>
        <w:tc>
          <w:tcPr>
            <w:tcW w:w="454" w:type="pct"/>
            <w:vMerge w:val="continue"/>
            <w:vAlign w:val="center"/>
          </w:tcPr>
          <w:p w14:paraId="64193621">
            <w:pPr>
              <w:widowControl/>
              <w:wordWrap w:val="0"/>
              <w:spacing w:line="276" w:lineRule="auto"/>
              <w:jc w:val="left"/>
              <w:rPr>
                <w:rFonts w:ascii="宋体" w:hAnsi="宋体" w:eastAsia="宋体" w:cs="宋体"/>
                <w:color w:val="auto"/>
                <w:szCs w:val="21"/>
                <w:highlight w:val="none"/>
              </w:rPr>
            </w:pPr>
          </w:p>
        </w:tc>
        <w:tc>
          <w:tcPr>
            <w:tcW w:w="878" w:type="pct"/>
            <w:vAlign w:val="center"/>
          </w:tcPr>
          <w:p w14:paraId="1A7ECCA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未发现侵犯他人著作权和特许权</w:t>
            </w:r>
          </w:p>
        </w:tc>
        <w:tc>
          <w:tcPr>
            <w:tcW w:w="3193" w:type="pct"/>
            <w:vAlign w:val="center"/>
          </w:tcPr>
          <w:p w14:paraId="337C13E3">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5B2D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464E3700">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78" w:type="pct"/>
            <w:vAlign w:val="center"/>
          </w:tcPr>
          <w:p w14:paraId="3256C47E">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3193" w:type="pct"/>
            <w:vAlign w:val="center"/>
          </w:tcPr>
          <w:p w14:paraId="2F19DEB4">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4729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517C2A0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878" w:type="pct"/>
            <w:vAlign w:val="center"/>
          </w:tcPr>
          <w:p w14:paraId="3461F6E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tc>
        <w:tc>
          <w:tcPr>
            <w:tcW w:w="3193" w:type="pct"/>
            <w:vAlign w:val="center"/>
          </w:tcPr>
          <w:p w14:paraId="0A68CE0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商务文件部分A：</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p>
          <w:p w14:paraId="1E5227FB">
            <w:pPr>
              <w:wordWrap w:val="0"/>
              <w:spacing w:line="276" w:lineRule="auto"/>
              <w:rPr>
                <w:rFonts w:ascii="宋体" w:hAnsi="宋体" w:eastAsia="宋体" w:cs="宋体"/>
                <w:color w:val="auto"/>
                <w:szCs w:val="21"/>
                <w:highlight w:val="none"/>
              </w:rPr>
            </w:pPr>
            <w:r>
              <w:rPr>
                <w:rFonts w:hint="eastAsia" w:ascii="宋体" w:hAnsi="宋体" w:eastAsia="宋体" w:cs="宋体"/>
                <w:color w:val="auto"/>
                <w:spacing w:val="-2"/>
                <w:szCs w:val="21"/>
                <w:highlight w:val="none"/>
              </w:rPr>
              <w:t>技术文件</w:t>
            </w:r>
            <w:r>
              <w:rPr>
                <w:rFonts w:hint="eastAsia" w:ascii="宋体" w:hAnsi="宋体" w:eastAsia="宋体" w:cs="宋体"/>
                <w:color w:val="auto"/>
                <w:szCs w:val="21"/>
                <w:highlight w:val="none"/>
              </w:rPr>
              <w:t>部分B：</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0%）</w:t>
            </w:r>
          </w:p>
          <w:p w14:paraId="1275AD2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投标报价C：</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分（权重10%）</w:t>
            </w:r>
          </w:p>
          <w:p w14:paraId="57610F98">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Cs/>
                <w:color w:val="auto"/>
                <w:szCs w:val="21"/>
                <w:highlight w:val="none"/>
              </w:rPr>
              <w:t>其他评分因素（信用评价得分）D：</w:t>
            </w:r>
            <w:r>
              <w:rPr>
                <w:rFonts w:hint="eastAsia" w:ascii="宋体" w:hAnsi="宋体" w:eastAsia="宋体" w:cs="Times New Roman"/>
                <w:bCs/>
                <w:color w:val="auto"/>
                <w:szCs w:val="21"/>
                <w:highlight w:val="none"/>
                <w:u w:val="single"/>
              </w:rPr>
              <w:t>/</w:t>
            </w:r>
          </w:p>
          <w:p w14:paraId="425A398A">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投标人总得分</w:t>
            </w:r>
            <w:r>
              <w:rPr>
                <w:rFonts w:ascii="宋体" w:hAnsi="宋体" w:eastAsia="宋体" w:cs="Times New Roman"/>
                <w:b/>
                <w:color w:val="auto"/>
                <w:szCs w:val="21"/>
                <w:highlight w:val="none"/>
                <w:u w:val="single"/>
              </w:rPr>
              <w:t>=A×</w:t>
            </w:r>
            <w:r>
              <w:rPr>
                <w:rFonts w:hint="eastAsia" w:ascii="宋体" w:hAnsi="宋体" w:eastAsia="宋体" w:cs="Times New Roman"/>
                <w:b/>
                <w:color w:val="auto"/>
                <w:szCs w:val="21"/>
                <w:highlight w:val="none"/>
                <w:u w:val="single"/>
                <w:lang w:val="en-US" w:eastAsia="zh-CN"/>
              </w:rPr>
              <w:t>3</w:t>
            </w:r>
            <w:r>
              <w:rPr>
                <w:rFonts w:ascii="宋体" w:hAnsi="宋体" w:eastAsia="宋体" w:cs="Times New Roman"/>
                <w:b/>
                <w:color w:val="auto"/>
                <w:szCs w:val="21"/>
                <w:highlight w:val="none"/>
                <w:u w:val="single"/>
              </w:rPr>
              <w:t>0%+B×</w:t>
            </w:r>
            <w:r>
              <w:rPr>
                <w:rFonts w:hint="eastAsia" w:ascii="宋体" w:hAnsi="宋体" w:eastAsia="宋体" w:cs="Times New Roman"/>
                <w:b/>
                <w:color w:val="auto"/>
                <w:szCs w:val="21"/>
                <w:highlight w:val="none"/>
                <w:u w:val="single"/>
                <w:lang w:val="en-US" w:eastAsia="zh-CN"/>
              </w:rPr>
              <w:t>6</w:t>
            </w:r>
            <w:r>
              <w:rPr>
                <w:rFonts w:ascii="宋体" w:hAnsi="宋体" w:eastAsia="宋体" w:cs="Times New Roman"/>
                <w:b/>
                <w:color w:val="auto"/>
                <w:szCs w:val="21"/>
                <w:highlight w:val="none"/>
                <w:u w:val="single"/>
              </w:rPr>
              <w:t>0%+C×10%。</w:t>
            </w:r>
          </w:p>
        </w:tc>
      </w:tr>
      <w:tr w14:paraId="3BC7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38A205D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878" w:type="pct"/>
            <w:vAlign w:val="center"/>
          </w:tcPr>
          <w:p w14:paraId="0BF6BBD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3193" w:type="pct"/>
            <w:vAlign w:val="center"/>
          </w:tcPr>
          <w:p w14:paraId="721600F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当位于最高投标限价的[90%，100%]的有效投标人大于或等于5名时，去掉该区间内一个最高价和一个最低价，取该区间内余下投标价的算数平均值作为评标基准价。当位于最高投标限价的[90%，100%]的有效投标人小于5名时，取所有该区间内的有效投标价的算术平均值作为评标基准价；若无报价位于该区间内，则以最高投标限价的90%作为评标基准价。（有效投标人为通过本章第2.1款初步评审的投标人）</w:t>
            </w:r>
          </w:p>
        </w:tc>
      </w:tr>
      <w:tr w14:paraId="0A83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750D7C7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878" w:type="pct"/>
            <w:vAlign w:val="center"/>
          </w:tcPr>
          <w:p w14:paraId="5D75283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528F79D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3193" w:type="pct"/>
            <w:vAlign w:val="center"/>
          </w:tcPr>
          <w:p w14:paraId="54C8ED08">
            <w:pPr>
              <w:wordWrap w:val="0"/>
              <w:spacing w:line="276" w:lineRule="auto"/>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投标报价偏差率=（投标报价-评标基准价）/评标基准价×100%。</w:t>
            </w:r>
          </w:p>
        </w:tc>
      </w:tr>
      <w:tr w14:paraId="5E04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21EDBD5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878" w:type="pct"/>
            <w:vAlign w:val="center"/>
          </w:tcPr>
          <w:p w14:paraId="47DE144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商务文件评分标准</w:t>
            </w:r>
          </w:p>
        </w:tc>
        <w:tc>
          <w:tcPr>
            <w:tcW w:w="3193" w:type="pct"/>
            <w:vAlign w:val="center"/>
          </w:tcPr>
          <w:p w14:paraId="68FC9F6E">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详见附件一</w:t>
            </w:r>
          </w:p>
        </w:tc>
      </w:tr>
      <w:tr w14:paraId="4154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441B04F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878" w:type="pct"/>
            <w:vAlign w:val="center"/>
          </w:tcPr>
          <w:p w14:paraId="0BAC092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技术文件评分标准</w:t>
            </w:r>
          </w:p>
        </w:tc>
        <w:tc>
          <w:tcPr>
            <w:tcW w:w="3193" w:type="pct"/>
            <w:vAlign w:val="center"/>
          </w:tcPr>
          <w:p w14:paraId="4268E8C1">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详见附件二</w:t>
            </w:r>
          </w:p>
        </w:tc>
      </w:tr>
      <w:tr w14:paraId="2DB7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7" w:type="pct"/>
            <w:gridSpan w:val="2"/>
            <w:vAlign w:val="center"/>
          </w:tcPr>
          <w:p w14:paraId="05A14E6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878" w:type="pct"/>
            <w:vAlign w:val="center"/>
          </w:tcPr>
          <w:p w14:paraId="714AAECA">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投标报价评分标准</w:t>
            </w:r>
          </w:p>
        </w:tc>
        <w:tc>
          <w:tcPr>
            <w:tcW w:w="3193" w:type="pct"/>
            <w:vAlign w:val="center"/>
          </w:tcPr>
          <w:p w14:paraId="0694D2A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以评标基准价作为计算各有效投标人报价得分的基础，当投标报价等于评标基准价时得100分，投标报价与评标基准价之差，每上偏1%扣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分，下偏1%扣0.</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分，扣至</w:t>
            </w:r>
            <w:r>
              <w:rPr>
                <w:rFonts w:ascii="宋体" w:hAnsi="宋体" w:eastAsia="宋体" w:cs="宋体"/>
                <w:color w:val="auto"/>
                <w:szCs w:val="21"/>
                <w:highlight w:val="none"/>
                <w:u w:val="single"/>
              </w:rPr>
              <w:t>0分为止。</w:t>
            </w:r>
          </w:p>
          <w:p w14:paraId="622AC12A">
            <w:pPr>
              <w:pStyle w:val="44"/>
              <w:ind w:left="0" w:leftChars="0" w:firstLine="0" w:firstLineChars="0"/>
              <w:rPr>
                <w:color w:val="auto"/>
                <w:highlight w:val="none"/>
              </w:rPr>
            </w:pPr>
            <w:r>
              <w:rPr>
                <w:rFonts w:hint="eastAsia" w:ascii="宋体" w:hAnsi="宋体" w:eastAsia="宋体" w:cs="宋体"/>
                <w:color w:val="auto"/>
                <w:kern w:val="2"/>
                <w:sz w:val="21"/>
                <w:szCs w:val="21"/>
                <w:highlight w:val="none"/>
                <w:lang w:val="en-US" w:eastAsia="zh-CN" w:bidi="ar-SA"/>
              </w:rPr>
              <w:t>注：根据第二章“投标人须知前附表”第11.5项规定实施投标报价评审优惠政策，对符合《政府采购促进中小企业发展管理办法》的小微企业投标人，给予相应的价格评审优惠。</w:t>
            </w:r>
          </w:p>
        </w:tc>
      </w:tr>
    </w:tbl>
    <w:p w14:paraId="511B8DD2">
      <w:pPr>
        <w:wordWrap w:val="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2628FED">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cols w:space="720" w:num="1"/>
        </w:sectPr>
      </w:pPr>
    </w:p>
    <w:p w14:paraId="616F8614">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附件一：</w:t>
      </w:r>
    </w:p>
    <w:p w14:paraId="7021D638">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b/>
          <w:strike w:val="0"/>
          <w:color w:val="auto"/>
          <w:sz w:val="36"/>
          <w:szCs w:val="36"/>
          <w:highlight w:val="none"/>
        </w:rPr>
      </w:pPr>
      <w:r>
        <w:rPr>
          <w:rFonts w:hint="eastAsia"/>
          <w:b/>
          <w:strike w:val="0"/>
          <w:color w:val="auto"/>
          <w:sz w:val="32"/>
          <w:szCs w:val="32"/>
          <w:highlight w:val="none"/>
        </w:rPr>
        <w:t>商务文件综合评分表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275"/>
        <w:gridCol w:w="10496"/>
      </w:tblGrid>
      <w:tr w14:paraId="4C7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7" w:type="dxa"/>
            <w:noWrap w:val="0"/>
            <w:vAlign w:val="center"/>
          </w:tcPr>
          <w:p w14:paraId="40E0694C">
            <w:pP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评审项目</w:t>
            </w:r>
          </w:p>
        </w:tc>
        <w:tc>
          <w:tcPr>
            <w:tcW w:w="1275" w:type="dxa"/>
            <w:noWrap w:val="0"/>
            <w:vAlign w:val="center"/>
          </w:tcPr>
          <w:p w14:paraId="695C9286">
            <w:pP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分值</w:t>
            </w:r>
          </w:p>
        </w:tc>
        <w:tc>
          <w:tcPr>
            <w:tcW w:w="10496" w:type="dxa"/>
            <w:noWrap w:val="0"/>
            <w:vAlign w:val="center"/>
          </w:tcPr>
          <w:p w14:paraId="39FF0503">
            <w:pPr>
              <w:ind w:firstLine="422" w:firstLineChars="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评审内容</w:t>
            </w:r>
          </w:p>
        </w:tc>
      </w:tr>
      <w:tr w14:paraId="2D76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27" w:type="dxa"/>
            <w:noWrap w:val="0"/>
            <w:vAlign w:val="center"/>
          </w:tcPr>
          <w:p w14:paraId="01A60F09">
            <w:pPr>
              <w:rPr>
                <w:rFonts w:hint="eastAsia" w:ascii="宋体" w:hAnsi="宋体" w:eastAsia="宋体" w:cs="宋体"/>
                <w:color w:val="auto"/>
                <w:highlight w:val="none"/>
              </w:rPr>
            </w:pPr>
            <w:r>
              <w:rPr>
                <w:rFonts w:hint="eastAsia" w:ascii="宋体" w:hAnsi="宋体" w:eastAsia="宋体" w:cs="宋体"/>
                <w:b/>
                <w:bCs/>
                <w:color w:val="auto"/>
                <w:szCs w:val="21"/>
                <w:highlight w:val="none"/>
              </w:rPr>
              <w:t>一、企业类似业绩</w:t>
            </w:r>
          </w:p>
        </w:tc>
        <w:tc>
          <w:tcPr>
            <w:tcW w:w="1275" w:type="dxa"/>
            <w:noWrap w:val="0"/>
            <w:vAlign w:val="center"/>
          </w:tcPr>
          <w:p w14:paraId="132C9349">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p>
        </w:tc>
        <w:tc>
          <w:tcPr>
            <w:tcW w:w="10496" w:type="dxa"/>
            <w:noWrap w:val="0"/>
            <w:vAlign w:val="center"/>
          </w:tcPr>
          <w:p w14:paraId="444C5826">
            <w:pPr>
              <w:adjustRightInd w:val="0"/>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自2020年1月1日至投标截止时间止投标人（联合体投标的，由承接设计工作的单位提供）承接过总投资≥5000万元的园林类或林业工程类设计项目业绩：每提供一项得10分，</w:t>
            </w:r>
            <w:r>
              <w:rPr>
                <w:rFonts w:hint="eastAsia" w:ascii="宋体" w:hAnsi="宋体" w:eastAsia="宋体" w:cs="宋体"/>
                <w:color w:val="auto"/>
                <w:highlight w:val="none"/>
              </w:rPr>
              <w:t>无或其他情况不得分；</w:t>
            </w:r>
            <w:r>
              <w:rPr>
                <w:rFonts w:hint="eastAsia" w:ascii="宋体" w:hAnsi="宋体" w:eastAsia="宋体" w:cs="宋体"/>
                <w:color w:val="auto"/>
                <w:highlight w:val="none"/>
                <w:lang w:val="en-US" w:eastAsia="zh-CN"/>
              </w:rPr>
              <w:t>本项最高得20分。</w:t>
            </w:r>
          </w:p>
          <w:p w14:paraId="683F6C8F">
            <w:pPr>
              <w:adjustRightInd w:val="0"/>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需提供中标通知书（或发包通知书、免招标证明材料）和设计合同关键页（包括签订合同双方的单位名称、合同金额、签订合同双方的盖章页、签订时间等）。如上述证明材料无法反映项目规模，还需提供主管部门批复或备案证明材料。业绩时间以合同签订日期为准。</w:t>
            </w:r>
          </w:p>
        </w:tc>
      </w:tr>
      <w:tr w14:paraId="20E5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127" w:type="dxa"/>
            <w:noWrap w:val="0"/>
            <w:vAlign w:val="center"/>
          </w:tcPr>
          <w:p w14:paraId="0843C3B2">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二、企业业绩获奖</w:t>
            </w:r>
          </w:p>
        </w:tc>
        <w:tc>
          <w:tcPr>
            <w:tcW w:w="1275" w:type="dxa"/>
            <w:noWrap w:val="0"/>
            <w:vAlign w:val="center"/>
          </w:tcPr>
          <w:p w14:paraId="2EAB164B">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分</w:t>
            </w:r>
          </w:p>
        </w:tc>
        <w:tc>
          <w:tcPr>
            <w:tcW w:w="10496" w:type="dxa"/>
            <w:noWrap w:val="0"/>
            <w:vAlign w:val="center"/>
          </w:tcPr>
          <w:p w14:paraId="209D2A30">
            <w:pPr>
              <w:adjustRightInd w:val="0"/>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自2020年1月1日至投标截止时间止</w:t>
            </w:r>
            <w:r>
              <w:rPr>
                <w:rFonts w:hint="eastAsia" w:ascii="宋体" w:hAnsi="宋体" w:eastAsia="宋体" w:cs="宋体"/>
                <w:color w:val="auto"/>
                <w:highlight w:val="none"/>
                <w:lang w:val="en-US" w:eastAsia="zh-CN"/>
              </w:rPr>
              <w:t>投标人（联合体投标的，由承接设计工作的单位提供）</w:t>
            </w:r>
            <w:r>
              <w:rPr>
                <w:rFonts w:hint="eastAsia" w:ascii="宋体" w:hAnsi="宋体" w:eastAsia="宋体" w:cs="宋体"/>
                <w:color w:val="auto"/>
                <w:highlight w:val="none"/>
              </w:rPr>
              <w:t>获得市级</w:t>
            </w:r>
            <w:r>
              <w:rPr>
                <w:rFonts w:hint="eastAsia" w:ascii="宋体" w:hAnsi="宋体" w:eastAsia="宋体" w:cs="宋体"/>
                <w:color w:val="auto"/>
                <w:highlight w:val="none"/>
                <w:lang w:val="en-US" w:eastAsia="zh-CN"/>
              </w:rPr>
              <w:t>园林类或林业工程设计</w:t>
            </w:r>
            <w:r>
              <w:rPr>
                <w:rFonts w:hint="eastAsia" w:ascii="宋体" w:hAnsi="宋体" w:eastAsia="宋体" w:cs="宋体"/>
                <w:color w:val="auto"/>
                <w:highlight w:val="none"/>
              </w:rPr>
              <w:t>奖项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每项得2分，最高不超过6分。 </w:t>
            </w:r>
            <w:r>
              <w:rPr>
                <w:rFonts w:hint="eastAsia" w:ascii="宋体" w:hAnsi="宋体" w:eastAsia="宋体" w:cs="宋体"/>
                <w:color w:val="auto"/>
                <w:highlight w:val="none"/>
              </w:rPr>
              <w:t>获得</w:t>
            </w:r>
            <w:r>
              <w:rPr>
                <w:rFonts w:hint="eastAsia" w:ascii="宋体" w:hAnsi="宋体" w:eastAsia="宋体" w:cs="宋体"/>
                <w:color w:val="auto"/>
                <w:highlight w:val="none"/>
                <w:lang w:val="en-US" w:eastAsia="zh-CN"/>
              </w:rPr>
              <w:t>省（部）</w:t>
            </w:r>
            <w:r>
              <w:rPr>
                <w:rFonts w:hint="eastAsia" w:ascii="宋体" w:hAnsi="宋体" w:eastAsia="宋体" w:cs="宋体"/>
                <w:color w:val="auto"/>
                <w:highlight w:val="none"/>
              </w:rPr>
              <w:t>级</w:t>
            </w:r>
            <w:r>
              <w:rPr>
                <w:rFonts w:hint="eastAsia" w:ascii="宋体" w:hAnsi="宋体" w:eastAsia="宋体" w:cs="宋体"/>
                <w:color w:val="auto"/>
                <w:highlight w:val="none"/>
                <w:lang w:val="en-US" w:eastAsia="zh-CN"/>
              </w:rPr>
              <w:t>或以上园林类或林业工程设计</w:t>
            </w:r>
            <w:r>
              <w:rPr>
                <w:rFonts w:hint="eastAsia" w:ascii="宋体" w:hAnsi="宋体" w:eastAsia="宋体" w:cs="宋体"/>
                <w:color w:val="auto"/>
                <w:highlight w:val="none"/>
              </w:rPr>
              <w:t>奖项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每项得4分，最高不超过8分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本项最高得14分。</w:t>
            </w:r>
          </w:p>
          <w:p w14:paraId="60632481">
            <w:pPr>
              <w:adjustRightInd w:val="0"/>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"https://chinanpo.mca.gov.cn/）登记的有效组织，请另提供该组织在上述平台的查询截图，登记信息无法查询的不得分。需提供获奖证书扫描件，否则不得分。"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需提供</w:t>
            </w:r>
            <w:r>
              <w:rPr>
                <w:rFonts w:hint="eastAsia" w:ascii="宋体" w:hAnsi="宋体" w:eastAsia="宋体" w:cs="宋体"/>
                <w:color w:val="auto"/>
                <w:highlight w:val="none"/>
                <w:lang w:val="en-US" w:eastAsia="zh-CN"/>
              </w:rPr>
              <w:t>获奖</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证明。</w:t>
            </w:r>
            <w:r>
              <w:rPr>
                <w:rFonts w:hint="eastAsia" w:ascii="宋体" w:hAnsi="宋体" w:eastAsia="宋体" w:cs="宋体"/>
                <w:color w:val="auto"/>
                <w:highlight w:val="none"/>
              </w:rPr>
              <w:t>获奖奖项是指与本次招标专业内容相对应的由</w:t>
            </w:r>
            <w:r>
              <w:rPr>
                <w:rFonts w:hint="eastAsia" w:ascii="宋体" w:hAnsi="宋体" w:eastAsia="宋体" w:cs="宋体"/>
                <w:color w:val="auto"/>
                <w:highlight w:val="none"/>
                <w:lang w:val="en-US" w:eastAsia="zh-CN"/>
              </w:rPr>
              <w:t>市级或以上</w:t>
            </w:r>
            <w:r>
              <w:rPr>
                <w:rFonts w:hint="eastAsia" w:ascii="宋体" w:hAnsi="宋体" w:eastAsia="宋体" w:cs="宋体"/>
                <w:color w:val="auto"/>
                <w:highlight w:val="none"/>
              </w:rPr>
              <w:t>行政主管部门</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行业协会（学会）颁发的设计</w:t>
            </w:r>
            <w:r>
              <w:rPr>
                <w:rFonts w:hint="eastAsia" w:ascii="宋体" w:hAnsi="宋体" w:eastAsia="宋体" w:cs="宋体"/>
                <w:color w:val="auto"/>
                <w:highlight w:val="none"/>
                <w:lang w:val="en-US" w:eastAsia="zh-CN"/>
              </w:rPr>
              <w:t>类</w:t>
            </w:r>
            <w:r>
              <w:rPr>
                <w:rFonts w:hint="eastAsia" w:ascii="宋体" w:hAnsi="宋体" w:eastAsia="宋体" w:cs="宋体"/>
                <w:color w:val="auto"/>
                <w:highlight w:val="none"/>
              </w:rPr>
              <w:t>奖</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获奖时间以奖项颁发时间为准</w:t>
            </w:r>
            <w:r>
              <w:rPr>
                <w:rFonts w:hint="eastAsia" w:ascii="宋体" w:hAnsi="宋体" w:eastAsia="宋体" w:cs="宋体"/>
                <w:color w:val="auto"/>
                <w:highlight w:val="none"/>
                <w:lang w:val="en-US" w:eastAsia="zh-CN"/>
              </w:rPr>
              <w:t>。</w:t>
            </w:r>
          </w:p>
        </w:tc>
      </w:tr>
      <w:tr w14:paraId="205B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27" w:type="dxa"/>
            <w:noWrap w:val="0"/>
            <w:vAlign w:val="center"/>
          </w:tcPr>
          <w:p w14:paraId="7CA7AE9C">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三、技术力量配备情况</w:t>
            </w:r>
          </w:p>
        </w:tc>
        <w:tc>
          <w:tcPr>
            <w:tcW w:w="1275" w:type="dxa"/>
            <w:noWrap w:val="0"/>
            <w:vAlign w:val="center"/>
          </w:tcPr>
          <w:p w14:paraId="7AFE1A0D">
            <w:pPr>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lang w:val="en-US" w:eastAsia="zh-CN"/>
              </w:rPr>
              <w:t>50</w:t>
            </w:r>
            <w:r>
              <w:rPr>
                <w:rFonts w:hint="eastAsia" w:ascii="宋体" w:hAnsi="宋体" w:eastAsia="宋体" w:cs="宋体"/>
                <w:color w:val="auto"/>
                <w:highlight w:val="none"/>
                <w:u w:val="none" w:color="auto"/>
              </w:rPr>
              <w:t>分</w:t>
            </w:r>
          </w:p>
        </w:tc>
        <w:tc>
          <w:tcPr>
            <w:tcW w:w="10496" w:type="dxa"/>
            <w:noWrap w:val="0"/>
            <w:vAlign w:val="top"/>
          </w:tcPr>
          <w:p w14:paraId="6F89118C">
            <w:pPr>
              <w:adjustRightInd w:val="0"/>
              <w:snapToGrid w:val="0"/>
              <w:spacing w:line="340" w:lineRule="exact"/>
              <w:jc w:val="left"/>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1.项目负责人（联合体投标的，由</w:t>
            </w:r>
            <w:r>
              <w:rPr>
                <w:rFonts w:hint="eastAsia" w:ascii="宋体" w:hAnsi="宋体" w:eastAsia="宋体" w:cs="宋体"/>
                <w:color w:val="auto"/>
                <w:highlight w:val="none"/>
                <w:u w:val="none" w:color="auto"/>
                <w:lang w:val="en-US" w:eastAsia="zh-CN"/>
              </w:rPr>
              <w:t>联合体主办方</w:t>
            </w:r>
            <w:r>
              <w:rPr>
                <w:rFonts w:hint="eastAsia" w:ascii="宋体" w:hAnsi="宋体" w:eastAsia="宋体" w:cs="宋体"/>
                <w:color w:val="auto"/>
                <w:highlight w:val="none"/>
                <w:u w:val="none" w:color="auto"/>
              </w:rPr>
              <w:t>提供）</w:t>
            </w:r>
            <w:r>
              <w:rPr>
                <w:rFonts w:hint="eastAsia" w:ascii="宋体" w:hAnsi="宋体" w:eastAsia="宋体" w:cs="宋体"/>
                <w:color w:val="auto"/>
                <w:highlight w:val="none"/>
                <w:u w:val="none" w:color="auto"/>
                <w:lang w:val="en-US" w:eastAsia="zh-CN"/>
              </w:rPr>
              <w:t>情况</w:t>
            </w:r>
            <w:r>
              <w:rPr>
                <w:rFonts w:hint="eastAsia" w:ascii="宋体" w:hAnsi="宋体" w:eastAsia="宋体" w:cs="宋体"/>
                <w:color w:val="auto"/>
                <w:highlight w:val="none"/>
                <w:u w:val="none" w:color="auto"/>
              </w:rPr>
              <w:t>：</w:t>
            </w:r>
          </w:p>
          <w:p w14:paraId="0DA651AA">
            <w:pPr>
              <w:adjustRightInd w:val="0"/>
              <w:snapToGrid w:val="0"/>
              <w:spacing w:line="340" w:lineRule="exact"/>
              <w:jc w:val="left"/>
              <w:rPr>
                <w:rFonts w:hint="eastAsia" w:ascii="宋体" w:hAnsi="宋体" w:eastAsia="宋体" w:cs="宋体"/>
                <w:color w:val="auto"/>
                <w:szCs w:val="22"/>
                <w:highlight w:val="none"/>
                <w:u w:val="none" w:color="auto"/>
              </w:rPr>
            </w:pPr>
            <w:r>
              <w:rPr>
                <w:rFonts w:hint="eastAsia" w:ascii="宋体" w:hAnsi="宋体" w:eastAsia="宋体" w:cs="宋体"/>
                <w:color w:val="auto"/>
                <w:szCs w:val="22"/>
                <w:highlight w:val="none"/>
                <w:u w:val="none" w:color="auto"/>
              </w:rPr>
              <w:t>（1）</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lang w:val="en-US" w:eastAsia="zh-CN"/>
              </w:rPr>
              <w:t>园林类或林业工程</w:t>
            </w:r>
            <w:r>
              <w:rPr>
                <w:rFonts w:hint="eastAsia" w:ascii="宋体" w:hAnsi="宋体" w:eastAsia="宋体" w:cs="宋体"/>
                <w:b w:val="0"/>
                <w:bCs w:val="0"/>
                <w:color w:val="auto"/>
                <w:kern w:val="0"/>
                <w:sz w:val="21"/>
                <w:szCs w:val="21"/>
                <w:highlight w:val="none"/>
                <w:u w:val="none" w:color="auto"/>
                <w:shd w:val="clear" w:color="auto" w:fill="FFFFFF"/>
                <w:lang w:val="en-US" w:eastAsia="zh-CN"/>
              </w:rPr>
              <w:t>正</w:t>
            </w:r>
            <w:r>
              <w:rPr>
                <w:rFonts w:hint="eastAsia" w:ascii="宋体" w:hAnsi="宋体" w:eastAsia="宋体" w:cs="宋体"/>
                <w:b w:val="0"/>
                <w:bCs w:val="0"/>
                <w:color w:val="auto"/>
                <w:kern w:val="0"/>
                <w:sz w:val="21"/>
                <w:szCs w:val="21"/>
                <w:highlight w:val="none"/>
                <w:u w:val="none" w:color="auto"/>
                <w:shd w:val="clear" w:color="auto" w:fill="FFFFFF"/>
              </w:rPr>
              <w:t>高级技术职称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10</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10</w:t>
            </w:r>
            <w:r>
              <w:rPr>
                <w:rFonts w:hint="eastAsia" w:ascii="宋体" w:hAnsi="宋体" w:eastAsia="宋体" w:cs="宋体"/>
                <w:color w:val="auto"/>
                <w:szCs w:val="22"/>
                <w:highlight w:val="none"/>
                <w:u w:val="none" w:color="auto"/>
              </w:rPr>
              <w:t>分。</w:t>
            </w:r>
          </w:p>
          <w:p w14:paraId="5BDB8EAD">
            <w:pPr>
              <w:adjustRightInd w:val="0"/>
              <w:snapToGrid w:val="0"/>
              <w:spacing w:line="340" w:lineRule="exact"/>
              <w:jc w:val="left"/>
              <w:rPr>
                <w:rFonts w:hint="eastAsia" w:ascii="宋体" w:hAnsi="宋体" w:eastAsia="宋体" w:cs="宋体"/>
                <w:b w:val="0"/>
                <w:bCs w:val="0"/>
                <w:color w:val="auto"/>
                <w:kern w:val="0"/>
                <w:szCs w:val="21"/>
                <w:highlight w:val="none"/>
                <w:u w:val="none" w:color="auto"/>
                <w:shd w:val="clear" w:color="auto" w:fill="FFFFFF"/>
                <w:lang w:val="en-US" w:eastAsia="zh-CN"/>
              </w:rPr>
            </w:pPr>
            <w:r>
              <w:rPr>
                <w:rFonts w:hint="eastAsia" w:ascii="宋体" w:hAnsi="宋体" w:eastAsia="宋体" w:cs="宋体"/>
                <w:color w:val="auto"/>
                <w:szCs w:val="22"/>
                <w:highlight w:val="none"/>
                <w:u w:val="none" w:color="auto"/>
              </w:rPr>
              <w:t>（2）</w:t>
            </w:r>
            <w:r>
              <w:rPr>
                <w:rFonts w:hint="eastAsia" w:ascii="宋体" w:hAnsi="宋体" w:eastAsia="宋体" w:cs="宋体"/>
                <w:b w:val="0"/>
                <w:bCs w:val="0"/>
                <w:color w:val="auto"/>
                <w:kern w:val="0"/>
                <w:szCs w:val="21"/>
                <w:highlight w:val="none"/>
                <w:u w:val="none" w:color="auto"/>
                <w:shd w:val="clear" w:color="auto" w:fill="FFFFFF"/>
              </w:rPr>
              <w:t>自2020年1月1日至投标截止时间止</w:t>
            </w:r>
            <w:r>
              <w:rPr>
                <w:rFonts w:hint="eastAsia" w:ascii="宋体" w:hAnsi="宋体" w:eastAsia="宋体" w:cs="宋体"/>
                <w:b w:val="0"/>
                <w:bCs w:val="0"/>
                <w:color w:val="auto"/>
                <w:kern w:val="0"/>
                <w:szCs w:val="21"/>
                <w:highlight w:val="none"/>
                <w:u w:val="none" w:color="auto"/>
                <w:shd w:val="clear" w:color="auto" w:fill="FFFFFF"/>
                <w:lang w:val="en-US" w:eastAsia="zh-CN"/>
              </w:rPr>
              <w:t>担任</w:t>
            </w:r>
            <w:r>
              <w:rPr>
                <w:rFonts w:hint="eastAsia" w:ascii="宋体" w:hAnsi="宋体" w:eastAsia="宋体" w:cs="宋体"/>
                <w:b w:val="0"/>
                <w:bCs w:val="0"/>
                <w:color w:val="auto"/>
                <w:kern w:val="0"/>
                <w:szCs w:val="21"/>
                <w:highlight w:val="none"/>
                <w:u w:val="none" w:color="auto"/>
                <w:shd w:val="clear" w:color="auto" w:fill="FFFFFF"/>
              </w:rPr>
              <w:t>过总投资≥</w:t>
            </w:r>
            <w:r>
              <w:rPr>
                <w:rFonts w:hint="eastAsia" w:ascii="宋体" w:hAnsi="宋体" w:eastAsia="宋体" w:cs="宋体"/>
                <w:b w:val="0"/>
                <w:bCs w:val="0"/>
                <w:color w:val="auto"/>
                <w:kern w:val="0"/>
                <w:szCs w:val="21"/>
                <w:highlight w:val="none"/>
                <w:u w:val="none" w:color="auto"/>
                <w:shd w:val="clear" w:color="auto" w:fill="FFFFFF"/>
                <w:lang w:val="en-US" w:eastAsia="zh-CN"/>
              </w:rPr>
              <w:t>5</w:t>
            </w:r>
            <w:r>
              <w:rPr>
                <w:rFonts w:hint="eastAsia" w:ascii="宋体" w:hAnsi="宋体" w:eastAsia="宋体" w:cs="宋体"/>
                <w:b w:val="0"/>
                <w:bCs w:val="0"/>
                <w:color w:val="auto"/>
                <w:kern w:val="0"/>
                <w:szCs w:val="21"/>
                <w:highlight w:val="none"/>
                <w:u w:val="none" w:color="auto"/>
                <w:shd w:val="clear" w:color="auto" w:fill="FFFFFF"/>
                <w:lang w:eastAsia="zh-CN"/>
              </w:rPr>
              <w:t>000</w:t>
            </w:r>
            <w:r>
              <w:rPr>
                <w:rFonts w:hint="eastAsia" w:ascii="宋体" w:hAnsi="宋体" w:eastAsia="宋体" w:cs="宋体"/>
                <w:b w:val="0"/>
                <w:bCs w:val="0"/>
                <w:color w:val="auto"/>
                <w:kern w:val="0"/>
                <w:szCs w:val="21"/>
                <w:highlight w:val="none"/>
                <w:u w:val="none" w:color="auto"/>
                <w:shd w:val="clear" w:color="auto" w:fill="FFFFFF"/>
              </w:rPr>
              <w:t>万元的</w:t>
            </w:r>
            <w:r>
              <w:rPr>
                <w:rFonts w:hint="eastAsia" w:ascii="宋体" w:hAnsi="宋体" w:eastAsia="宋体" w:cs="宋体"/>
                <w:color w:val="auto"/>
                <w:highlight w:val="none"/>
                <w:lang w:val="en-US" w:eastAsia="zh-CN"/>
              </w:rPr>
              <w:t>园林类或林业工程</w:t>
            </w:r>
            <w:r>
              <w:rPr>
                <w:rFonts w:hint="eastAsia" w:ascii="宋体" w:hAnsi="宋体" w:eastAsia="宋体" w:cs="宋体"/>
                <w:b w:val="0"/>
                <w:bCs w:val="0"/>
                <w:color w:val="auto"/>
                <w:kern w:val="0"/>
                <w:szCs w:val="21"/>
                <w:highlight w:val="none"/>
                <w:u w:val="none" w:color="auto"/>
                <w:shd w:val="clear" w:color="auto" w:fill="FFFFFF"/>
              </w:rPr>
              <w:t>设计</w:t>
            </w:r>
            <w:r>
              <w:rPr>
                <w:rFonts w:hint="eastAsia" w:ascii="宋体" w:hAnsi="宋体" w:eastAsia="宋体" w:cs="宋体"/>
                <w:b w:val="0"/>
                <w:bCs w:val="0"/>
                <w:color w:val="auto"/>
                <w:kern w:val="0"/>
                <w:szCs w:val="21"/>
                <w:highlight w:val="none"/>
                <w:u w:val="none" w:color="auto"/>
                <w:shd w:val="clear" w:color="auto" w:fill="FFFFFF"/>
                <w:lang w:val="en-US" w:eastAsia="zh-CN"/>
              </w:rPr>
              <w:t>项目的项目负责人得5分</w:t>
            </w:r>
            <w:r>
              <w:rPr>
                <w:rFonts w:hint="eastAsia" w:ascii="宋体" w:hAnsi="宋体" w:eastAsia="宋体" w:cs="宋体"/>
                <w:color w:val="auto"/>
                <w:szCs w:val="22"/>
                <w:highlight w:val="none"/>
                <w:u w:val="none" w:color="auto"/>
              </w:rPr>
              <w:t>，无或其他情况不得分。本小项最高得5分。</w:t>
            </w:r>
          </w:p>
          <w:p w14:paraId="6B0A3592">
            <w:pPr>
              <w:adjustRightInd w:val="0"/>
              <w:snapToGrid w:val="0"/>
              <w:spacing w:line="340" w:lineRule="exact"/>
              <w:jc w:val="left"/>
              <w:rPr>
                <w:rFonts w:hint="eastAsia" w:ascii="宋体" w:hAnsi="宋体" w:eastAsia="宋体" w:cs="宋体"/>
                <w:b w:val="0"/>
                <w:bCs w:val="0"/>
                <w:color w:val="auto"/>
                <w:kern w:val="0"/>
                <w:szCs w:val="21"/>
                <w:highlight w:val="none"/>
                <w:u w:val="none" w:color="auto"/>
                <w:shd w:val="clear" w:color="auto" w:fill="FFFFFF"/>
                <w:lang w:val="en-US" w:eastAsia="zh-CN"/>
              </w:rPr>
            </w:pPr>
            <w:r>
              <w:rPr>
                <w:rFonts w:hint="eastAsia" w:ascii="宋体" w:hAnsi="宋体" w:eastAsia="宋体" w:cs="宋体"/>
                <w:b w:val="0"/>
                <w:bCs w:val="0"/>
                <w:color w:val="auto"/>
                <w:kern w:val="0"/>
                <w:szCs w:val="21"/>
                <w:highlight w:val="none"/>
                <w:u w:val="none" w:color="auto"/>
                <w:shd w:val="clear" w:color="auto" w:fill="FFFFFF"/>
                <w:lang w:eastAsia="zh-CN"/>
              </w:rPr>
              <w:t>（</w:t>
            </w:r>
            <w:r>
              <w:rPr>
                <w:rFonts w:hint="eastAsia" w:ascii="宋体" w:hAnsi="宋体" w:eastAsia="宋体" w:cs="宋体"/>
                <w:b w:val="0"/>
                <w:bCs w:val="0"/>
                <w:color w:val="auto"/>
                <w:kern w:val="0"/>
                <w:szCs w:val="21"/>
                <w:highlight w:val="none"/>
                <w:u w:val="none" w:color="auto"/>
                <w:shd w:val="clear" w:color="auto" w:fill="FFFFFF"/>
                <w:lang w:val="en-US" w:eastAsia="zh-CN"/>
              </w:rPr>
              <w:t>3）</w:t>
            </w:r>
            <w:r>
              <w:rPr>
                <w:rFonts w:hint="eastAsia" w:ascii="宋体" w:hAnsi="宋体" w:eastAsia="宋体" w:cs="宋体"/>
                <w:b w:val="0"/>
                <w:bCs w:val="0"/>
                <w:color w:val="auto"/>
                <w:kern w:val="0"/>
                <w:szCs w:val="21"/>
                <w:highlight w:val="none"/>
                <w:u w:val="none" w:color="auto"/>
                <w:shd w:val="clear" w:color="auto" w:fill="FFFFFF"/>
              </w:rPr>
              <w:t>自2020年1月1日至投标截止时间止获得</w:t>
            </w:r>
            <w:r>
              <w:rPr>
                <w:rFonts w:hint="eastAsia" w:ascii="宋体" w:hAnsi="宋体" w:eastAsia="宋体" w:cs="宋体"/>
                <w:b w:val="0"/>
                <w:bCs w:val="0"/>
                <w:color w:val="auto"/>
                <w:kern w:val="0"/>
                <w:szCs w:val="21"/>
                <w:highlight w:val="none"/>
                <w:u w:val="none" w:color="auto"/>
                <w:shd w:val="clear" w:color="auto" w:fill="FFFFFF"/>
                <w:lang w:val="en-US" w:eastAsia="zh-CN"/>
              </w:rPr>
              <w:t>省</w:t>
            </w:r>
            <w:r>
              <w:rPr>
                <w:rFonts w:hint="eastAsia" w:ascii="宋体" w:hAnsi="宋体" w:eastAsia="宋体" w:cs="宋体"/>
                <w:b w:val="0"/>
                <w:bCs w:val="0"/>
                <w:color w:val="auto"/>
                <w:kern w:val="0"/>
                <w:szCs w:val="21"/>
                <w:highlight w:val="none"/>
                <w:u w:val="none" w:color="auto"/>
                <w:shd w:val="clear" w:color="auto" w:fill="FFFFFF"/>
              </w:rPr>
              <w:t>级</w:t>
            </w:r>
            <w:r>
              <w:rPr>
                <w:rFonts w:hint="eastAsia" w:ascii="宋体" w:hAnsi="宋体" w:eastAsia="宋体" w:cs="宋体"/>
                <w:b w:val="0"/>
                <w:bCs w:val="0"/>
                <w:color w:val="auto"/>
                <w:kern w:val="0"/>
                <w:szCs w:val="21"/>
                <w:highlight w:val="none"/>
                <w:u w:val="none" w:color="auto"/>
                <w:shd w:val="clear" w:color="auto" w:fill="FFFFFF"/>
                <w:lang w:val="en-US" w:eastAsia="zh-CN"/>
              </w:rPr>
              <w:t>或以上</w:t>
            </w:r>
            <w:r>
              <w:rPr>
                <w:rFonts w:hint="eastAsia" w:ascii="宋体" w:hAnsi="宋体" w:eastAsia="宋体" w:cs="宋体"/>
                <w:color w:val="auto"/>
                <w:highlight w:val="none"/>
                <w:lang w:val="en-US" w:eastAsia="zh-CN"/>
              </w:rPr>
              <w:t>园林类或林业工程</w:t>
            </w:r>
            <w:r>
              <w:rPr>
                <w:rFonts w:hint="eastAsia" w:ascii="宋体" w:hAnsi="宋体" w:eastAsia="宋体" w:cs="宋体"/>
                <w:b w:val="0"/>
                <w:bCs w:val="0"/>
                <w:color w:val="auto"/>
                <w:kern w:val="0"/>
                <w:szCs w:val="21"/>
                <w:highlight w:val="none"/>
                <w:u w:val="none" w:color="auto"/>
                <w:shd w:val="clear" w:color="auto" w:fill="FFFFFF"/>
                <w:lang w:val="en-US" w:eastAsia="zh-CN"/>
              </w:rPr>
              <w:t>设计</w:t>
            </w:r>
            <w:r>
              <w:rPr>
                <w:rFonts w:hint="eastAsia" w:ascii="宋体" w:hAnsi="宋体" w:eastAsia="宋体" w:cs="宋体"/>
                <w:b w:val="0"/>
                <w:bCs w:val="0"/>
                <w:color w:val="auto"/>
                <w:kern w:val="0"/>
                <w:szCs w:val="21"/>
                <w:highlight w:val="none"/>
                <w:u w:val="none" w:color="auto"/>
                <w:shd w:val="clear" w:color="auto" w:fill="FFFFFF"/>
              </w:rPr>
              <w:t>奖项</w:t>
            </w:r>
            <w:r>
              <w:rPr>
                <w:rFonts w:hint="eastAsia" w:ascii="宋体" w:hAnsi="宋体" w:eastAsia="宋体" w:cs="宋体"/>
                <w:b w:val="0"/>
                <w:bCs w:val="0"/>
                <w:color w:val="auto"/>
                <w:kern w:val="0"/>
                <w:szCs w:val="21"/>
                <w:highlight w:val="none"/>
                <w:u w:val="none" w:color="auto"/>
                <w:shd w:val="clear" w:color="auto" w:fill="FFFFFF"/>
                <w:lang w:val="en-US" w:eastAsia="zh-CN"/>
              </w:rPr>
              <w:t>的得5分</w:t>
            </w:r>
            <w:r>
              <w:rPr>
                <w:rFonts w:hint="eastAsia" w:ascii="宋体" w:hAnsi="宋体" w:eastAsia="宋体" w:cs="宋体"/>
                <w:color w:val="auto"/>
                <w:szCs w:val="22"/>
                <w:highlight w:val="none"/>
                <w:u w:val="none" w:color="auto"/>
              </w:rPr>
              <w:t>，无或其他情况不得分。本小项最高得5分。</w:t>
            </w:r>
          </w:p>
          <w:p w14:paraId="234FDF87">
            <w:pPr>
              <w:adjustRightInd w:val="0"/>
              <w:snapToGrid w:val="0"/>
              <w:spacing w:line="340" w:lineRule="exact"/>
              <w:jc w:val="left"/>
              <w:rPr>
                <w:rFonts w:hint="eastAsia" w:ascii="宋体" w:hAnsi="宋体" w:eastAsia="宋体" w:cs="宋体"/>
                <w:color w:val="auto"/>
                <w:kern w:val="0"/>
                <w:sz w:val="21"/>
                <w:szCs w:val="21"/>
                <w:highlight w:val="none"/>
                <w:u w:val="none" w:color="auto"/>
                <w:shd w:val="clear" w:color="auto" w:fill="FFFFFF"/>
              </w:rPr>
            </w:pPr>
            <w:r>
              <w:rPr>
                <w:rFonts w:hint="eastAsia" w:ascii="宋体" w:hAnsi="宋体" w:eastAsia="宋体" w:cs="宋体"/>
                <w:color w:val="auto"/>
                <w:kern w:val="0"/>
                <w:szCs w:val="21"/>
                <w:highlight w:val="none"/>
                <w:u w:val="none" w:color="auto"/>
                <w:shd w:val="clear" w:color="auto" w:fill="FFFFFF"/>
                <w:lang w:val="en-US" w:eastAsia="zh-CN"/>
              </w:rPr>
              <w:t>注：</w:t>
            </w:r>
            <w:r>
              <w:rPr>
                <w:rFonts w:hint="eastAsia" w:ascii="宋体" w:hAnsi="宋体" w:eastAsia="宋体" w:cs="宋体"/>
                <w:color w:val="auto"/>
                <w:szCs w:val="22"/>
                <w:highlight w:val="none"/>
                <w:u w:val="none" w:color="auto"/>
              </w:rPr>
              <w:t>本项最高得</w:t>
            </w:r>
            <w:r>
              <w:rPr>
                <w:rFonts w:hint="eastAsia" w:ascii="宋体" w:hAnsi="宋体" w:eastAsia="宋体" w:cs="宋体"/>
                <w:color w:val="auto"/>
                <w:szCs w:val="22"/>
                <w:highlight w:val="none"/>
                <w:u w:val="none" w:color="auto"/>
                <w:lang w:val="en-US" w:eastAsia="zh-CN"/>
              </w:rPr>
              <w:t>20</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①</w:t>
            </w:r>
            <w:r>
              <w:rPr>
                <w:rFonts w:hint="eastAsia" w:ascii="宋体" w:hAnsi="宋体" w:eastAsia="宋体" w:cs="宋体"/>
                <w:color w:val="auto"/>
                <w:kern w:val="0"/>
                <w:sz w:val="21"/>
                <w:szCs w:val="21"/>
                <w:highlight w:val="none"/>
                <w:u w:val="none" w:color="auto"/>
                <w:shd w:val="clear" w:color="auto" w:fill="FFFFFF"/>
              </w:rPr>
              <w:t>需提供职称证</w:t>
            </w:r>
            <w:r>
              <w:rPr>
                <w:rFonts w:hint="eastAsia" w:ascii="宋体" w:hAnsi="宋体" w:eastAsia="宋体" w:cs="宋体"/>
                <w:color w:val="auto"/>
                <w:kern w:val="0"/>
                <w:sz w:val="21"/>
                <w:szCs w:val="21"/>
                <w:highlight w:val="none"/>
                <w:u w:val="none" w:color="auto"/>
                <w:shd w:val="clear" w:color="auto" w:fill="FFFFFF"/>
                <w:lang w:eastAsia="zh-CN"/>
              </w:rPr>
              <w:t>（</w:t>
            </w:r>
            <w:r>
              <w:rPr>
                <w:rFonts w:hint="eastAsia" w:ascii="宋体" w:hAnsi="宋体" w:eastAsia="宋体" w:cs="宋体"/>
                <w:color w:val="auto"/>
                <w:kern w:val="0"/>
                <w:sz w:val="21"/>
                <w:szCs w:val="21"/>
                <w:highlight w:val="none"/>
                <w:u w:val="none" w:color="auto"/>
                <w:shd w:val="clear" w:color="auto" w:fill="FFFFFF"/>
                <w:lang w:val="en-US" w:eastAsia="zh-CN"/>
              </w:rPr>
              <w:t>如有）</w:t>
            </w:r>
            <w:r>
              <w:rPr>
                <w:rFonts w:hint="eastAsia" w:ascii="宋体" w:hAnsi="宋体" w:eastAsia="宋体" w:cs="宋体"/>
                <w:color w:val="auto"/>
                <w:kern w:val="0"/>
                <w:sz w:val="21"/>
                <w:szCs w:val="21"/>
                <w:highlight w:val="none"/>
                <w:u w:val="none" w:color="auto"/>
                <w:shd w:val="clear" w:color="auto" w:fill="FFFFFF"/>
              </w:rPr>
              <w:t>、</w:t>
            </w:r>
            <w:r>
              <w:rPr>
                <w:rFonts w:hint="eastAsia" w:ascii="宋体" w:hAnsi="宋体" w:eastAsia="宋体" w:cs="宋体"/>
                <w:color w:val="auto"/>
                <w:kern w:val="0"/>
                <w:sz w:val="21"/>
                <w:szCs w:val="21"/>
                <w:highlight w:val="none"/>
                <w:u w:val="none" w:color="auto"/>
                <w:shd w:val="clear" w:color="auto" w:fill="FFFFFF"/>
                <w:lang w:val="en-US" w:eastAsia="zh-CN"/>
              </w:rPr>
              <w:t>获奖证明（如有）、业绩证明（如有）</w:t>
            </w:r>
            <w:r>
              <w:rPr>
                <w:rFonts w:hint="eastAsia" w:ascii="宋体" w:hAnsi="宋体" w:eastAsia="宋体" w:cs="宋体"/>
                <w:color w:val="auto"/>
                <w:highlight w:val="none"/>
                <w:lang w:val="en-US" w:eastAsia="zh-CN"/>
              </w:rPr>
              <w:t>及</w:t>
            </w:r>
            <w:r>
              <w:rPr>
                <w:rFonts w:hint="eastAsia" w:ascii="宋体" w:hAnsi="宋体" w:eastAsia="宋体" w:cs="宋体"/>
                <w:color w:val="auto"/>
                <w:kern w:val="0"/>
                <w:sz w:val="21"/>
                <w:szCs w:val="21"/>
                <w:highlight w:val="none"/>
                <w:u w:val="none" w:color="auto"/>
                <w:shd w:val="clear" w:color="auto" w:fill="FFFFFF"/>
                <w:lang w:val="en-US" w:eastAsia="zh-CN"/>
              </w:rPr>
              <w:t>近</w:t>
            </w:r>
            <w:r>
              <w:rPr>
                <w:rFonts w:hint="eastAsia" w:ascii="宋体" w:hAnsi="宋体" w:eastAsia="宋体" w:cs="宋体"/>
                <w:color w:val="auto"/>
                <w:kern w:val="0"/>
                <w:sz w:val="21"/>
                <w:szCs w:val="21"/>
                <w:highlight w:val="none"/>
                <w:u w:val="none" w:color="auto"/>
                <w:shd w:val="clear" w:color="auto" w:fill="FFFFFF"/>
              </w:rPr>
              <w:t>1个月（指202</w:t>
            </w:r>
            <w:r>
              <w:rPr>
                <w:rFonts w:hint="eastAsia" w:ascii="宋体" w:hAnsi="宋体" w:eastAsia="宋体" w:cs="宋体"/>
                <w:color w:val="auto"/>
                <w:kern w:val="0"/>
                <w:szCs w:val="21"/>
                <w:highlight w:val="none"/>
                <w:u w:val="none" w:color="auto"/>
                <w:shd w:val="clear" w:color="auto" w:fill="FFFFFF"/>
              </w:rPr>
              <w:t>5</w:t>
            </w:r>
            <w:r>
              <w:rPr>
                <w:rFonts w:hint="eastAsia" w:ascii="宋体" w:hAnsi="宋体" w:eastAsia="宋体" w:cs="宋体"/>
                <w:color w:val="auto"/>
                <w:kern w:val="0"/>
                <w:sz w:val="21"/>
                <w:szCs w:val="21"/>
                <w:highlight w:val="none"/>
                <w:u w:val="none" w:color="auto"/>
                <w:shd w:val="clear" w:color="auto" w:fill="FFFFFF"/>
              </w:rPr>
              <w:t>年</w:t>
            </w:r>
            <w:r>
              <w:rPr>
                <w:rFonts w:hint="eastAsia" w:ascii="宋体" w:hAnsi="宋体" w:eastAsia="宋体" w:cs="宋体"/>
                <w:color w:val="auto"/>
                <w:kern w:val="0"/>
                <w:szCs w:val="21"/>
                <w:highlight w:val="none"/>
                <w:u w:val="none" w:color="auto"/>
                <w:shd w:val="clear" w:color="auto" w:fill="FFFFFF"/>
                <w:lang w:val="en-US" w:eastAsia="zh-CN"/>
              </w:rPr>
              <w:t>10</w:t>
            </w:r>
            <w:r>
              <w:rPr>
                <w:rFonts w:hint="eastAsia" w:ascii="宋体" w:hAnsi="宋体" w:eastAsia="宋体" w:cs="宋体"/>
                <w:color w:val="auto"/>
                <w:kern w:val="0"/>
                <w:sz w:val="21"/>
                <w:szCs w:val="21"/>
                <w:highlight w:val="none"/>
                <w:u w:val="none" w:color="auto"/>
                <w:shd w:val="clear" w:color="auto" w:fill="FFFFFF"/>
              </w:rPr>
              <w:t>月）在投标单位购买社保缴纳证明。</w:t>
            </w:r>
            <w:r>
              <w:rPr>
                <w:rFonts w:hint="eastAsia" w:ascii="宋体" w:hAnsi="宋体" w:eastAsia="宋体" w:cs="宋体"/>
                <w:color w:val="auto"/>
                <w:kern w:val="0"/>
                <w:sz w:val="21"/>
                <w:szCs w:val="21"/>
                <w:highlight w:val="none"/>
                <w:u w:val="none" w:color="auto"/>
                <w:shd w:val="clear" w:color="auto" w:fill="FFFFFF"/>
                <w:lang w:val="en-US" w:eastAsia="zh-CN"/>
              </w:rPr>
              <w:t>②</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"https://chinanpo.mca.gov.cn/）登记的有效组织，请另提供该组织在上述平台的查询截图，登记信息无法查询的不得分。需提供获奖证书扫描件，否则不得分。"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获奖</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证明。</w:t>
            </w:r>
            <w:r>
              <w:rPr>
                <w:rFonts w:hint="eastAsia" w:ascii="宋体" w:hAnsi="宋体" w:eastAsia="宋体" w:cs="宋体"/>
                <w:color w:val="auto"/>
                <w:highlight w:val="none"/>
              </w:rPr>
              <w:t>获奖奖项是指与本次招标专业内容相对应的由</w:t>
            </w:r>
            <w:r>
              <w:rPr>
                <w:rFonts w:hint="eastAsia" w:ascii="宋体" w:hAnsi="宋体" w:eastAsia="宋体" w:cs="宋体"/>
                <w:color w:val="auto"/>
                <w:highlight w:val="none"/>
                <w:lang w:val="en-US" w:eastAsia="zh-CN"/>
              </w:rPr>
              <w:t>市级或以上</w:t>
            </w:r>
            <w:r>
              <w:rPr>
                <w:rFonts w:hint="eastAsia" w:ascii="宋体" w:hAnsi="宋体" w:eastAsia="宋体" w:cs="宋体"/>
                <w:color w:val="auto"/>
                <w:highlight w:val="none"/>
              </w:rPr>
              <w:t>行政主管部门</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行业协会（学会）颁发的设计</w:t>
            </w:r>
            <w:r>
              <w:rPr>
                <w:rFonts w:hint="eastAsia" w:ascii="宋体" w:hAnsi="宋体" w:eastAsia="宋体" w:cs="宋体"/>
                <w:color w:val="auto"/>
                <w:highlight w:val="none"/>
                <w:lang w:val="en-US" w:eastAsia="zh-CN"/>
              </w:rPr>
              <w:t>类</w:t>
            </w:r>
            <w:r>
              <w:rPr>
                <w:rFonts w:hint="eastAsia" w:ascii="宋体" w:hAnsi="宋体" w:eastAsia="宋体" w:cs="宋体"/>
                <w:color w:val="auto"/>
                <w:highlight w:val="none"/>
              </w:rPr>
              <w:t>奖</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获奖时间以奖项颁发时间为准。</w:t>
            </w:r>
          </w:p>
          <w:p w14:paraId="427837F2">
            <w:pPr>
              <w:adjustRightInd w:val="0"/>
              <w:snapToGrid w:val="0"/>
              <w:spacing w:line="340" w:lineRule="exact"/>
              <w:jc w:val="left"/>
              <w:rPr>
                <w:rFonts w:hint="eastAsia" w:ascii="宋体" w:hAnsi="宋体" w:eastAsia="宋体" w:cs="宋体"/>
                <w:color w:val="auto"/>
                <w:kern w:val="0"/>
                <w:sz w:val="21"/>
                <w:szCs w:val="21"/>
                <w:highlight w:val="none"/>
                <w:u w:val="none" w:color="auto"/>
                <w:shd w:val="clear" w:color="auto" w:fill="FFFFFF"/>
              </w:rPr>
            </w:pPr>
            <w:r>
              <w:rPr>
                <w:rFonts w:hint="eastAsia" w:ascii="宋体" w:hAnsi="宋体" w:eastAsia="宋体" w:cs="宋体"/>
                <w:b w:val="0"/>
                <w:bCs w:val="0"/>
                <w:color w:val="auto"/>
                <w:kern w:val="0"/>
                <w:sz w:val="21"/>
                <w:szCs w:val="21"/>
                <w:highlight w:val="none"/>
                <w:u w:val="none" w:color="auto"/>
                <w:shd w:val="clear" w:color="auto" w:fill="FFFFFF"/>
              </w:rPr>
              <w:t>园林类专业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含风景园林专业、规划、景观设计专业、环艺专业等；</w:t>
            </w:r>
            <w:r>
              <w:rPr>
                <w:rFonts w:hint="eastAsia" w:ascii="宋体" w:hAnsi="宋体" w:eastAsia="宋体" w:cs="宋体"/>
                <w:color w:val="auto"/>
                <w:kern w:val="0"/>
                <w:szCs w:val="21"/>
                <w:highlight w:val="none"/>
                <w:u w:val="none" w:color="auto"/>
                <w:shd w:val="clear" w:color="auto" w:fill="FFFFFF"/>
              </w:rPr>
              <w:t>业绩</w:t>
            </w:r>
            <w:r>
              <w:rPr>
                <w:rFonts w:hint="eastAsia" w:ascii="宋体" w:hAnsi="宋体" w:eastAsia="宋体" w:cs="宋体"/>
                <w:color w:val="auto"/>
                <w:kern w:val="0"/>
                <w:szCs w:val="21"/>
                <w:highlight w:val="none"/>
                <w:u w:val="none" w:color="auto"/>
                <w:shd w:val="clear" w:color="auto" w:fill="FFFFFF"/>
                <w:lang w:val="en-US" w:eastAsia="zh-CN"/>
              </w:rPr>
              <w:t>证明需提</w:t>
            </w:r>
            <w:r>
              <w:rPr>
                <w:rFonts w:hint="eastAsia" w:ascii="宋体" w:hAnsi="宋体" w:eastAsia="宋体" w:cs="宋体"/>
                <w:color w:val="auto"/>
                <w:highlight w:val="none"/>
                <w:u w:val="none" w:color="auto"/>
                <w:lang w:val="en-US" w:eastAsia="zh-CN"/>
              </w:rPr>
              <w:t>中标通知书（或发包通知书、免招标证明材料）、设计合同关键页（包括签订合同双方的单位名称、合同金额、签订合同双方的盖章页、签订时间等）</w:t>
            </w:r>
            <w:r>
              <w:rPr>
                <w:rFonts w:hint="eastAsia" w:ascii="宋体" w:hAnsi="宋体" w:eastAsia="宋体" w:cs="宋体"/>
                <w:color w:val="auto"/>
                <w:kern w:val="0"/>
                <w:szCs w:val="21"/>
                <w:highlight w:val="none"/>
                <w:u w:val="none" w:color="auto"/>
                <w:shd w:val="clear" w:color="auto" w:fill="FFFFFF"/>
              </w:rPr>
              <w:t>；</w:t>
            </w:r>
            <w:r>
              <w:rPr>
                <w:rFonts w:hint="eastAsia" w:ascii="宋体" w:hAnsi="宋体" w:eastAsia="宋体" w:cs="宋体"/>
                <w:color w:val="auto"/>
                <w:kern w:val="0"/>
                <w:sz w:val="21"/>
                <w:szCs w:val="21"/>
                <w:highlight w:val="none"/>
                <w:u w:val="none" w:color="auto"/>
                <w:shd w:val="clear" w:color="auto" w:fill="FFFFFF"/>
                <w:lang w:val="en-US" w:eastAsia="zh-CN"/>
              </w:rPr>
              <w:t>获奖证明</w:t>
            </w:r>
            <w:r>
              <w:rPr>
                <w:rFonts w:hint="eastAsia" w:ascii="宋体" w:hAnsi="宋体" w:eastAsia="宋体" w:cs="宋体"/>
                <w:color w:val="auto"/>
                <w:kern w:val="0"/>
                <w:sz w:val="21"/>
                <w:szCs w:val="21"/>
                <w:highlight w:val="none"/>
                <w:u w:val="none" w:color="auto"/>
                <w:shd w:val="clear" w:color="auto" w:fill="FFFFFF"/>
              </w:rPr>
              <w:t>需提供获奖证书</w:t>
            </w:r>
            <w:r>
              <w:rPr>
                <w:rFonts w:hint="eastAsia" w:ascii="宋体" w:hAnsi="宋体" w:eastAsia="宋体" w:cs="宋体"/>
                <w:color w:val="auto"/>
                <w:kern w:val="0"/>
                <w:sz w:val="21"/>
                <w:szCs w:val="21"/>
                <w:highlight w:val="none"/>
                <w:u w:val="none" w:color="auto"/>
                <w:shd w:val="clear" w:color="auto" w:fill="FFFFFF"/>
                <w:lang w:val="en-US" w:eastAsia="zh-CN"/>
              </w:rPr>
              <w:t>等证明材料，</w:t>
            </w:r>
            <w:r>
              <w:rPr>
                <w:rFonts w:hint="eastAsia" w:ascii="宋体" w:hAnsi="宋体" w:eastAsia="宋体" w:cs="宋体"/>
                <w:color w:val="auto"/>
                <w:highlight w:val="none"/>
                <w:u w:val="none" w:color="auto"/>
              </w:rPr>
              <w:t>获奖奖项是指与本次招标专业内容相对应的由</w:t>
            </w:r>
            <w:r>
              <w:rPr>
                <w:rFonts w:hint="eastAsia" w:ascii="宋体" w:hAnsi="宋体" w:eastAsia="宋体" w:cs="宋体"/>
                <w:color w:val="auto"/>
                <w:highlight w:val="none"/>
                <w:u w:val="none" w:color="auto"/>
                <w:lang w:val="en-US" w:eastAsia="zh-CN"/>
              </w:rPr>
              <w:t>市级或以上</w:t>
            </w:r>
            <w:r>
              <w:rPr>
                <w:rFonts w:hint="eastAsia" w:ascii="宋体" w:hAnsi="宋体" w:eastAsia="宋体" w:cs="宋体"/>
                <w:color w:val="auto"/>
                <w:highlight w:val="none"/>
                <w:u w:val="none" w:color="auto"/>
              </w:rPr>
              <w:t>行政主管部门</w:t>
            </w:r>
            <w:r>
              <w:rPr>
                <w:rFonts w:hint="eastAsia" w:ascii="宋体" w:hAnsi="宋体" w:eastAsia="宋体" w:cs="宋体"/>
                <w:color w:val="auto"/>
                <w:highlight w:val="none"/>
                <w:u w:val="none" w:color="auto"/>
                <w:lang w:val="en-US" w:eastAsia="zh-CN"/>
              </w:rPr>
              <w:t>或</w:t>
            </w:r>
            <w:r>
              <w:rPr>
                <w:rFonts w:hint="eastAsia" w:ascii="宋体" w:hAnsi="宋体" w:eastAsia="宋体" w:cs="宋体"/>
                <w:color w:val="auto"/>
                <w:highlight w:val="none"/>
                <w:u w:val="none" w:color="auto"/>
              </w:rPr>
              <w:t>行业协会（学会）颁发的设计</w:t>
            </w:r>
            <w:r>
              <w:rPr>
                <w:rFonts w:hint="eastAsia" w:ascii="宋体" w:hAnsi="宋体" w:eastAsia="宋体" w:cs="宋体"/>
                <w:color w:val="auto"/>
                <w:highlight w:val="none"/>
                <w:u w:val="none" w:color="auto"/>
                <w:lang w:val="en-US" w:eastAsia="zh-CN"/>
              </w:rPr>
              <w:t>类</w:t>
            </w:r>
            <w:r>
              <w:rPr>
                <w:rFonts w:hint="eastAsia" w:ascii="宋体" w:hAnsi="宋体" w:eastAsia="宋体" w:cs="宋体"/>
                <w:color w:val="auto"/>
                <w:highlight w:val="none"/>
                <w:u w:val="none" w:color="auto"/>
              </w:rPr>
              <w:t>奖</w:t>
            </w:r>
            <w:r>
              <w:rPr>
                <w:rFonts w:hint="eastAsia" w:ascii="宋体" w:hAnsi="宋体" w:eastAsia="宋体" w:cs="宋体"/>
                <w:color w:val="auto"/>
                <w:highlight w:val="none"/>
                <w:u w:val="none" w:color="auto"/>
                <w:lang w:val="en-US" w:eastAsia="zh-CN"/>
              </w:rPr>
              <w:t>项</w:t>
            </w:r>
            <w:r>
              <w:rPr>
                <w:rFonts w:hint="eastAsia" w:ascii="宋体" w:hAnsi="宋体" w:eastAsia="宋体" w:cs="宋体"/>
                <w:color w:val="auto"/>
                <w:highlight w:val="none"/>
                <w:u w:val="none" w:color="auto"/>
                <w:lang w:eastAsia="zh-CN"/>
              </w:rPr>
              <w:t>，</w:t>
            </w:r>
            <w:r>
              <w:rPr>
                <w:rFonts w:hint="eastAsia" w:ascii="宋体" w:hAnsi="宋体" w:eastAsia="宋体" w:cs="宋体"/>
                <w:color w:val="auto"/>
                <w:szCs w:val="21"/>
                <w:highlight w:val="none"/>
                <w:u w:val="none" w:color="auto"/>
              </w:rPr>
              <w:t>获奖时间以奖项颁发时间为准。</w:t>
            </w:r>
            <w:r>
              <w:rPr>
                <w:rFonts w:hint="eastAsia" w:ascii="宋体" w:hAnsi="宋体" w:eastAsia="宋体" w:cs="宋体"/>
                <w:color w:val="auto"/>
                <w:kern w:val="0"/>
                <w:szCs w:val="21"/>
                <w:highlight w:val="none"/>
                <w:u w:val="none" w:color="auto"/>
                <w:shd w:val="clear" w:color="auto" w:fill="FFFFFF"/>
                <w:lang w:val="en-US" w:eastAsia="zh-CN"/>
              </w:rPr>
              <w:t>如上述证明材料无法反映项目规模或</w:t>
            </w:r>
            <w:r>
              <w:rPr>
                <w:rFonts w:hint="eastAsia" w:ascii="宋体" w:hAnsi="宋体" w:eastAsia="宋体" w:cs="宋体"/>
                <w:color w:val="auto"/>
                <w:kern w:val="0"/>
                <w:szCs w:val="21"/>
                <w:highlight w:val="none"/>
                <w:u w:val="none" w:color="auto"/>
                <w:shd w:val="clear" w:color="auto" w:fill="FFFFFF"/>
              </w:rPr>
              <w:t>项目负责人</w:t>
            </w:r>
            <w:r>
              <w:rPr>
                <w:rFonts w:hint="eastAsia" w:ascii="宋体" w:hAnsi="宋体" w:eastAsia="宋体" w:cs="宋体"/>
                <w:color w:val="auto"/>
                <w:kern w:val="0"/>
                <w:szCs w:val="21"/>
                <w:highlight w:val="none"/>
                <w:u w:val="none" w:color="auto"/>
                <w:shd w:val="clear" w:color="auto" w:fill="FFFFFF"/>
                <w:lang w:val="en-US" w:eastAsia="zh-CN"/>
              </w:rPr>
              <w:t>信息</w:t>
            </w:r>
            <w:r>
              <w:rPr>
                <w:rFonts w:hint="eastAsia" w:ascii="宋体" w:hAnsi="宋体" w:eastAsia="宋体" w:cs="宋体"/>
                <w:color w:val="auto"/>
                <w:kern w:val="0"/>
                <w:sz w:val="21"/>
                <w:szCs w:val="21"/>
                <w:highlight w:val="none"/>
                <w:u w:val="none" w:color="auto"/>
                <w:shd w:val="clear" w:color="auto" w:fill="FFFFFF"/>
                <w:lang w:val="en-US" w:eastAsia="zh-CN"/>
              </w:rPr>
              <w:t>，还需提供主管部门批复、备案或甲方盖章的证明</w:t>
            </w:r>
            <w:r>
              <w:rPr>
                <w:rFonts w:hint="eastAsia" w:ascii="宋体" w:hAnsi="宋体" w:eastAsia="宋体" w:cs="宋体"/>
                <w:color w:val="auto"/>
                <w:kern w:val="0"/>
                <w:szCs w:val="21"/>
                <w:highlight w:val="none"/>
                <w:u w:val="none" w:color="auto"/>
                <w:shd w:val="clear" w:color="auto" w:fill="FFFFFF"/>
                <w:lang w:val="en-US" w:eastAsia="zh-CN"/>
              </w:rPr>
              <w:t>材料</w:t>
            </w:r>
            <w:r>
              <w:rPr>
                <w:rFonts w:hint="eastAsia" w:ascii="宋体" w:hAnsi="宋体" w:eastAsia="宋体" w:cs="宋体"/>
                <w:color w:val="auto"/>
                <w:kern w:val="0"/>
                <w:szCs w:val="21"/>
                <w:highlight w:val="none"/>
                <w:u w:val="none" w:color="auto"/>
                <w:shd w:val="clear" w:color="auto" w:fill="FFFFFF"/>
              </w:rPr>
              <w:t>。</w:t>
            </w:r>
          </w:p>
          <w:p w14:paraId="61571785">
            <w:pPr>
              <w:adjustRightInd w:val="0"/>
              <w:snapToGrid w:val="0"/>
              <w:spacing w:line="340" w:lineRule="exact"/>
              <w:jc w:val="left"/>
              <w:rPr>
                <w:rFonts w:hint="eastAsia" w:ascii="宋体" w:hAnsi="宋体" w:eastAsia="宋体" w:cs="宋体"/>
                <w:color w:val="auto"/>
                <w:szCs w:val="22"/>
                <w:highlight w:val="none"/>
                <w:u w:val="none" w:color="auto"/>
              </w:rPr>
            </w:pPr>
            <w:r>
              <w:rPr>
                <w:rFonts w:hint="eastAsia" w:ascii="宋体" w:hAnsi="宋体" w:eastAsia="宋体" w:cs="宋体"/>
                <w:b w:val="0"/>
                <w:bCs w:val="0"/>
                <w:color w:val="auto"/>
                <w:kern w:val="0"/>
                <w:szCs w:val="21"/>
                <w:highlight w:val="none"/>
                <w:u w:val="none" w:color="auto"/>
                <w:shd w:val="clear" w:color="auto" w:fill="FFFFFF"/>
                <w:lang w:val="en-US" w:eastAsia="zh-CN"/>
              </w:rPr>
              <w:t>2.勘察负责人</w:t>
            </w:r>
            <w:r>
              <w:rPr>
                <w:rFonts w:hint="eastAsia" w:ascii="宋体" w:hAnsi="宋体" w:eastAsia="宋体" w:cs="宋体"/>
                <w:color w:val="auto"/>
                <w:highlight w:val="none"/>
                <w:u w:val="none" w:color="auto"/>
              </w:rPr>
              <w:t>（联合体投标的，</w:t>
            </w:r>
            <w:r>
              <w:rPr>
                <w:rFonts w:hint="eastAsia" w:ascii="宋体" w:hAnsi="宋体" w:eastAsia="宋体" w:cs="宋体"/>
                <w:color w:val="auto"/>
                <w:highlight w:val="none"/>
                <w:u w:val="none" w:color="auto"/>
                <w:lang w:val="en-US" w:eastAsia="zh-CN"/>
              </w:rPr>
              <w:t>由承接勘察工作的单位提供</w:t>
            </w:r>
            <w:r>
              <w:rPr>
                <w:rFonts w:hint="eastAsia" w:ascii="宋体" w:hAnsi="宋体" w:eastAsia="宋体" w:cs="宋体"/>
                <w:color w:val="auto"/>
                <w:highlight w:val="none"/>
                <w:u w:val="none" w:color="auto"/>
              </w:rPr>
              <w:t>）</w:t>
            </w:r>
            <w:r>
              <w:rPr>
                <w:rFonts w:hint="eastAsia" w:ascii="宋体" w:hAnsi="宋体" w:eastAsia="宋体" w:cs="宋体"/>
                <w:color w:val="auto"/>
                <w:highlight w:val="none"/>
                <w:u w:val="none" w:color="auto"/>
                <w:lang w:val="en-US" w:eastAsia="zh-CN"/>
              </w:rPr>
              <w:t>情况</w:t>
            </w:r>
            <w:r>
              <w:rPr>
                <w:rFonts w:hint="eastAsia" w:ascii="宋体" w:hAnsi="宋体" w:eastAsia="宋体" w:cs="宋体"/>
                <w:color w:val="auto"/>
                <w:highlight w:val="none"/>
                <w:u w:val="none" w:color="auto"/>
              </w:rPr>
              <w:t>：</w:t>
            </w:r>
            <w:r>
              <w:rPr>
                <w:rFonts w:hint="eastAsia" w:ascii="宋体" w:hAnsi="宋体" w:eastAsia="宋体" w:cs="宋体"/>
                <w:color w:val="auto"/>
                <w:szCs w:val="22"/>
                <w:highlight w:val="none"/>
                <w:u w:val="none" w:color="auto"/>
                <w:lang w:val="en-US" w:eastAsia="zh-CN"/>
              </w:rPr>
              <w:t>具有注册土木工程师（岩土）证书2.5分；具有</w:t>
            </w:r>
            <w:r>
              <w:rPr>
                <w:rFonts w:hint="eastAsia" w:ascii="宋体" w:hAnsi="宋体" w:eastAsia="宋体" w:cs="宋体"/>
                <w:b w:val="0"/>
                <w:bCs w:val="0"/>
                <w:color w:val="auto"/>
                <w:kern w:val="0"/>
                <w:sz w:val="21"/>
                <w:szCs w:val="21"/>
                <w:highlight w:val="none"/>
                <w:u w:val="none" w:color="auto"/>
                <w:shd w:val="clear" w:color="auto" w:fill="FFFFFF"/>
                <w:lang w:val="en-US" w:eastAsia="zh-CN"/>
              </w:rPr>
              <w:t>测绘相关专业副高级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2.5</w:t>
            </w:r>
            <w:r>
              <w:rPr>
                <w:rFonts w:hint="eastAsia" w:ascii="宋体" w:hAnsi="宋体" w:eastAsia="宋体" w:cs="宋体"/>
                <w:color w:val="auto"/>
                <w:szCs w:val="22"/>
                <w:highlight w:val="none"/>
                <w:u w:val="none" w:color="auto"/>
              </w:rPr>
              <w:t>分，无或其他情况不得分。本小项最高得5分。</w:t>
            </w:r>
          </w:p>
          <w:p w14:paraId="75DBF6A8">
            <w:pPr>
              <w:spacing w:line="240" w:lineRule="auto"/>
              <w:ind w:firstLine="0" w:firstLineChars="0"/>
              <w:jc w:val="left"/>
              <w:rPr>
                <w:rFonts w:hint="eastAsia" w:ascii="宋体" w:hAnsi="宋体" w:eastAsia="宋体" w:cs="宋体"/>
                <w:color w:val="auto"/>
                <w:kern w:val="0"/>
                <w:sz w:val="21"/>
                <w:szCs w:val="21"/>
                <w:highlight w:val="none"/>
                <w:u w:val="none" w:color="auto"/>
                <w:shd w:val="clear" w:color="auto" w:fill="FFFFFF"/>
              </w:rPr>
            </w:pPr>
            <w:r>
              <w:rPr>
                <w:rFonts w:hint="eastAsia" w:ascii="宋体" w:hAnsi="宋体" w:eastAsia="宋体" w:cs="宋体"/>
                <w:color w:val="auto"/>
                <w:kern w:val="0"/>
                <w:szCs w:val="21"/>
                <w:highlight w:val="none"/>
                <w:u w:val="none" w:color="auto"/>
                <w:shd w:val="clear" w:color="auto" w:fill="FFFFFF"/>
                <w:lang w:val="en-US" w:eastAsia="zh-CN"/>
              </w:rPr>
              <w:t>注：</w:t>
            </w:r>
            <w:r>
              <w:rPr>
                <w:rFonts w:hint="eastAsia" w:ascii="宋体" w:hAnsi="宋体" w:eastAsia="宋体" w:cs="宋体"/>
                <w:color w:val="auto"/>
                <w:szCs w:val="22"/>
                <w:highlight w:val="none"/>
                <w:u w:val="none" w:color="auto"/>
              </w:rPr>
              <w:t>本项最高得5分。</w:t>
            </w:r>
            <w:r>
              <w:rPr>
                <w:rFonts w:hint="eastAsia" w:ascii="宋体" w:hAnsi="宋体" w:eastAsia="宋体" w:cs="宋体"/>
                <w:color w:val="auto"/>
                <w:kern w:val="0"/>
                <w:sz w:val="21"/>
                <w:szCs w:val="21"/>
                <w:highlight w:val="none"/>
                <w:u w:val="none" w:color="auto"/>
                <w:shd w:val="clear" w:color="auto" w:fill="FFFFFF"/>
              </w:rPr>
              <w:t>需提供</w:t>
            </w:r>
            <w:r>
              <w:rPr>
                <w:rFonts w:hint="eastAsia" w:ascii="宋体" w:hAnsi="宋体" w:eastAsia="宋体" w:cs="宋体"/>
                <w:color w:val="auto"/>
                <w:kern w:val="0"/>
                <w:sz w:val="21"/>
                <w:szCs w:val="21"/>
                <w:highlight w:val="none"/>
                <w:u w:val="none" w:color="auto"/>
                <w:shd w:val="clear" w:color="auto" w:fill="FFFFFF"/>
                <w:lang w:val="en-US" w:eastAsia="zh-CN"/>
              </w:rPr>
              <w:t>注册证或</w:t>
            </w:r>
            <w:r>
              <w:rPr>
                <w:rFonts w:hint="eastAsia" w:ascii="宋体" w:hAnsi="宋体" w:eastAsia="宋体" w:cs="宋体"/>
                <w:color w:val="auto"/>
                <w:kern w:val="0"/>
                <w:sz w:val="21"/>
                <w:szCs w:val="21"/>
                <w:highlight w:val="none"/>
                <w:u w:val="none" w:color="auto"/>
                <w:shd w:val="clear" w:color="auto" w:fill="FFFFFF"/>
              </w:rPr>
              <w:t>职称</w:t>
            </w:r>
            <w:r>
              <w:rPr>
                <w:rFonts w:hint="eastAsia" w:ascii="宋体" w:hAnsi="宋体" w:eastAsia="宋体" w:cs="宋体"/>
                <w:color w:val="auto"/>
                <w:kern w:val="0"/>
                <w:sz w:val="21"/>
                <w:szCs w:val="21"/>
                <w:highlight w:val="none"/>
                <w:u w:val="none" w:color="auto"/>
                <w:shd w:val="clear" w:color="auto" w:fill="FFFFFF"/>
                <w:lang w:val="en-US" w:eastAsia="zh-CN"/>
              </w:rPr>
              <w:t>证</w:t>
            </w:r>
            <w:r>
              <w:rPr>
                <w:rFonts w:hint="eastAsia" w:ascii="宋体" w:hAnsi="宋体" w:eastAsia="宋体" w:cs="宋体"/>
                <w:color w:val="auto"/>
                <w:kern w:val="0"/>
                <w:sz w:val="21"/>
                <w:szCs w:val="21"/>
                <w:highlight w:val="none"/>
                <w:u w:val="none" w:color="auto"/>
                <w:shd w:val="clear" w:color="auto" w:fill="FFFFFF"/>
              </w:rPr>
              <w:t>、</w:t>
            </w:r>
            <w:r>
              <w:rPr>
                <w:rFonts w:hint="eastAsia" w:ascii="宋体" w:hAnsi="宋体" w:eastAsia="宋体" w:cs="宋体"/>
                <w:color w:val="auto"/>
                <w:kern w:val="0"/>
                <w:sz w:val="21"/>
                <w:szCs w:val="21"/>
                <w:highlight w:val="none"/>
                <w:u w:val="none" w:color="auto"/>
                <w:shd w:val="clear" w:color="auto" w:fill="FFFFFF"/>
                <w:lang w:val="en-US" w:eastAsia="zh-CN"/>
              </w:rPr>
              <w:t>及近</w:t>
            </w:r>
            <w:r>
              <w:rPr>
                <w:rFonts w:hint="eastAsia" w:ascii="宋体" w:hAnsi="宋体" w:eastAsia="宋体" w:cs="宋体"/>
                <w:color w:val="auto"/>
                <w:kern w:val="0"/>
                <w:sz w:val="21"/>
                <w:szCs w:val="21"/>
                <w:highlight w:val="none"/>
                <w:u w:val="none" w:color="auto"/>
                <w:shd w:val="clear" w:color="auto" w:fill="FFFFFF"/>
              </w:rPr>
              <w:t>1个月（指202</w:t>
            </w:r>
            <w:r>
              <w:rPr>
                <w:rFonts w:hint="eastAsia" w:ascii="宋体" w:hAnsi="宋体" w:eastAsia="宋体" w:cs="宋体"/>
                <w:color w:val="auto"/>
                <w:kern w:val="0"/>
                <w:szCs w:val="21"/>
                <w:highlight w:val="none"/>
                <w:u w:val="none" w:color="auto"/>
                <w:shd w:val="clear" w:color="auto" w:fill="FFFFFF"/>
              </w:rPr>
              <w:t>5</w:t>
            </w:r>
            <w:r>
              <w:rPr>
                <w:rFonts w:hint="eastAsia" w:ascii="宋体" w:hAnsi="宋体" w:eastAsia="宋体" w:cs="宋体"/>
                <w:color w:val="auto"/>
                <w:kern w:val="0"/>
                <w:sz w:val="21"/>
                <w:szCs w:val="21"/>
                <w:highlight w:val="none"/>
                <w:u w:val="none" w:color="auto"/>
                <w:shd w:val="clear" w:color="auto" w:fill="FFFFFF"/>
              </w:rPr>
              <w:t>年</w:t>
            </w:r>
            <w:r>
              <w:rPr>
                <w:rFonts w:hint="eastAsia" w:ascii="宋体" w:hAnsi="宋体" w:eastAsia="宋体" w:cs="宋体"/>
                <w:color w:val="auto"/>
                <w:kern w:val="0"/>
                <w:szCs w:val="21"/>
                <w:highlight w:val="none"/>
                <w:u w:val="none" w:color="auto"/>
                <w:shd w:val="clear" w:color="auto" w:fill="FFFFFF"/>
                <w:lang w:val="en-US" w:eastAsia="zh-CN"/>
              </w:rPr>
              <w:t>10</w:t>
            </w:r>
            <w:r>
              <w:rPr>
                <w:rFonts w:hint="eastAsia" w:ascii="宋体" w:hAnsi="宋体" w:eastAsia="宋体" w:cs="宋体"/>
                <w:color w:val="auto"/>
                <w:kern w:val="0"/>
                <w:sz w:val="21"/>
                <w:szCs w:val="21"/>
                <w:highlight w:val="none"/>
                <w:u w:val="none" w:color="auto"/>
                <w:shd w:val="clear" w:color="auto" w:fill="FFFFFF"/>
              </w:rPr>
              <w:t>月）在投标单位购买社保缴纳证明。</w:t>
            </w:r>
          </w:p>
          <w:p w14:paraId="151B92EE">
            <w:pPr>
              <w:adjustRightInd w:val="0"/>
              <w:snapToGrid w:val="0"/>
              <w:spacing w:line="340" w:lineRule="exact"/>
              <w:jc w:val="left"/>
              <w:rPr>
                <w:rFonts w:hint="eastAsia" w:ascii="宋体" w:hAnsi="宋体" w:eastAsia="宋体" w:cs="宋体"/>
                <w:color w:val="auto"/>
                <w:highlight w:val="none"/>
                <w:u w:val="none" w:color="auto"/>
              </w:rPr>
            </w:pPr>
            <w:r>
              <w:rPr>
                <w:rFonts w:hint="eastAsia" w:ascii="宋体" w:hAnsi="宋体" w:eastAsia="宋体" w:cs="宋体"/>
                <w:b w:val="0"/>
                <w:bCs w:val="0"/>
                <w:color w:val="auto"/>
                <w:kern w:val="0"/>
                <w:szCs w:val="21"/>
                <w:highlight w:val="none"/>
                <w:u w:val="none" w:color="auto"/>
                <w:shd w:val="clear" w:color="auto" w:fill="FFFFFF"/>
                <w:lang w:val="en-US" w:eastAsia="zh-CN"/>
              </w:rPr>
              <w:t>3.</w:t>
            </w:r>
            <w:r>
              <w:rPr>
                <w:rFonts w:hint="eastAsia" w:ascii="宋体" w:hAnsi="宋体" w:eastAsia="宋体" w:cs="宋体"/>
                <w:color w:val="auto"/>
                <w:highlight w:val="none"/>
                <w:u w:val="none" w:color="auto"/>
              </w:rPr>
              <w:t>各专业负责人（联合体投标的，</w:t>
            </w:r>
            <w:r>
              <w:rPr>
                <w:rFonts w:hint="eastAsia" w:ascii="宋体" w:hAnsi="宋体" w:eastAsia="宋体" w:cs="宋体"/>
                <w:color w:val="auto"/>
                <w:highlight w:val="none"/>
                <w:u w:val="none" w:color="auto"/>
                <w:lang w:val="en-US" w:eastAsia="zh-CN"/>
              </w:rPr>
              <w:t>由承接设计工作的单位提供</w:t>
            </w:r>
            <w:r>
              <w:rPr>
                <w:rFonts w:hint="eastAsia" w:ascii="宋体" w:hAnsi="宋体" w:eastAsia="宋体" w:cs="宋体"/>
                <w:color w:val="auto"/>
                <w:highlight w:val="none"/>
                <w:u w:val="none" w:color="auto"/>
              </w:rPr>
              <w:t>）</w:t>
            </w:r>
            <w:r>
              <w:rPr>
                <w:rFonts w:hint="eastAsia" w:ascii="宋体" w:hAnsi="宋体" w:eastAsia="宋体" w:cs="宋体"/>
                <w:color w:val="auto"/>
                <w:highlight w:val="none"/>
                <w:u w:val="none" w:color="auto"/>
                <w:lang w:val="en-US" w:eastAsia="zh-CN"/>
              </w:rPr>
              <w:t>情况</w:t>
            </w:r>
            <w:r>
              <w:rPr>
                <w:rFonts w:hint="eastAsia" w:ascii="宋体" w:hAnsi="宋体" w:eastAsia="宋体" w:cs="宋体"/>
                <w:color w:val="auto"/>
                <w:highlight w:val="none"/>
                <w:u w:val="none" w:color="auto"/>
              </w:rPr>
              <w:t>：</w:t>
            </w:r>
          </w:p>
          <w:p w14:paraId="06C9DFB0">
            <w:pPr>
              <w:adjustRightInd w:val="0"/>
              <w:snapToGrid w:val="0"/>
              <w:spacing w:line="340" w:lineRule="exact"/>
              <w:jc w:val="left"/>
              <w:rPr>
                <w:rFonts w:hint="eastAsia" w:ascii="宋体" w:hAnsi="宋体" w:eastAsia="宋体" w:cs="宋体"/>
                <w:color w:val="auto"/>
                <w:highlight w:val="none"/>
                <w:u w:val="none" w:color="auto"/>
                <w:lang w:eastAsia="zh-CN"/>
              </w:rPr>
            </w:pPr>
            <w:r>
              <w:rPr>
                <w:rFonts w:hint="eastAsia" w:ascii="宋体" w:hAnsi="宋体" w:eastAsia="宋体" w:cs="宋体"/>
                <w:color w:val="auto"/>
                <w:highlight w:val="none"/>
                <w:u w:val="none" w:color="auto"/>
              </w:rPr>
              <w:t>（1）</w:t>
            </w:r>
            <w:r>
              <w:rPr>
                <w:rFonts w:hint="eastAsia" w:ascii="宋体" w:hAnsi="宋体" w:eastAsia="宋体" w:cs="宋体"/>
                <w:color w:val="auto"/>
                <w:highlight w:val="none"/>
                <w:u w:val="none" w:color="auto"/>
                <w:lang w:val="en-US" w:eastAsia="zh-CN"/>
              </w:rPr>
              <w:t>园林</w:t>
            </w:r>
            <w:r>
              <w:rPr>
                <w:rFonts w:hint="eastAsia" w:ascii="宋体" w:hAnsi="宋体" w:eastAsia="宋体" w:cs="宋体"/>
                <w:color w:val="auto"/>
                <w:highlight w:val="none"/>
                <w:u w:val="none" w:color="auto"/>
              </w:rPr>
              <w:t>专业负责人</w:t>
            </w:r>
            <w:r>
              <w:rPr>
                <w:rFonts w:hint="eastAsia" w:ascii="宋体" w:hAnsi="宋体" w:eastAsia="宋体" w:cs="宋体"/>
                <w:color w:val="auto"/>
                <w:highlight w:val="none"/>
                <w:u w:val="none" w:color="auto"/>
                <w:lang w:eastAsia="zh-CN"/>
              </w:rPr>
              <w:t>：</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b w:val="0"/>
                <w:bCs w:val="0"/>
                <w:color w:val="auto"/>
                <w:kern w:val="0"/>
                <w:sz w:val="21"/>
                <w:szCs w:val="21"/>
                <w:highlight w:val="none"/>
                <w:u w:val="none" w:color="auto"/>
                <w:shd w:val="clear" w:color="auto" w:fill="FFFFFF"/>
              </w:rPr>
              <w:t>园林类专业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副</w:t>
            </w:r>
            <w:r>
              <w:rPr>
                <w:rFonts w:hint="eastAsia" w:ascii="宋体" w:hAnsi="宋体" w:eastAsia="宋体" w:cs="宋体"/>
                <w:b w:val="0"/>
                <w:bCs w:val="0"/>
                <w:color w:val="auto"/>
                <w:kern w:val="0"/>
                <w:sz w:val="21"/>
                <w:szCs w:val="21"/>
                <w:highlight w:val="none"/>
                <w:u w:val="none" w:color="auto"/>
                <w:shd w:val="clear" w:color="auto" w:fill="FFFFFF"/>
              </w:rPr>
              <w:t>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b w:val="0"/>
                <w:bCs w:val="0"/>
                <w:color w:val="auto"/>
                <w:kern w:val="0"/>
                <w:sz w:val="21"/>
                <w:szCs w:val="21"/>
                <w:highlight w:val="none"/>
                <w:u w:val="none" w:color="auto"/>
                <w:shd w:val="clear" w:color="auto" w:fill="FFFFFF"/>
              </w:rPr>
              <w:t>园林类专业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中</w:t>
            </w:r>
            <w:r>
              <w:rPr>
                <w:rFonts w:hint="eastAsia" w:ascii="宋体" w:hAnsi="宋体" w:eastAsia="宋体" w:cs="宋体"/>
                <w:b w:val="0"/>
                <w:bCs w:val="0"/>
                <w:color w:val="auto"/>
                <w:kern w:val="0"/>
                <w:sz w:val="21"/>
                <w:szCs w:val="21"/>
                <w:highlight w:val="none"/>
                <w:u w:val="none" w:color="auto"/>
                <w:shd w:val="clear" w:color="auto" w:fill="FFFFFF"/>
              </w:rPr>
              <w:t>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2</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p>
          <w:p w14:paraId="23C04402">
            <w:pPr>
              <w:adjustRightInd w:val="0"/>
              <w:snapToGrid w:val="0"/>
              <w:spacing w:line="340" w:lineRule="exact"/>
              <w:jc w:val="left"/>
              <w:rPr>
                <w:rFonts w:hint="eastAsia" w:ascii="宋体" w:hAnsi="宋体" w:eastAsia="宋体" w:cs="宋体"/>
                <w:color w:val="auto"/>
                <w:highlight w:val="none"/>
                <w:u w:val="none" w:color="auto"/>
                <w:lang w:eastAsia="zh-CN"/>
              </w:rPr>
            </w:pPr>
            <w:r>
              <w:rPr>
                <w:rFonts w:hint="eastAsia" w:ascii="宋体" w:hAnsi="宋体" w:eastAsia="宋体" w:cs="宋体"/>
                <w:color w:val="auto"/>
                <w:highlight w:val="none"/>
                <w:u w:val="none" w:color="auto"/>
              </w:rPr>
              <w:t>（</w:t>
            </w:r>
            <w:r>
              <w:rPr>
                <w:rFonts w:hint="eastAsia" w:ascii="宋体" w:hAnsi="宋体" w:eastAsia="宋体" w:cs="宋体"/>
                <w:color w:val="auto"/>
                <w:highlight w:val="none"/>
                <w:u w:val="none" w:color="auto"/>
                <w:lang w:val="en-US" w:eastAsia="zh-CN"/>
              </w:rPr>
              <w:t>2</w:t>
            </w:r>
            <w:r>
              <w:rPr>
                <w:rFonts w:hint="eastAsia" w:ascii="宋体" w:hAnsi="宋体" w:eastAsia="宋体" w:cs="宋体"/>
                <w:color w:val="auto"/>
                <w:highlight w:val="none"/>
                <w:u w:val="none" w:color="auto"/>
              </w:rPr>
              <w:t>）</w:t>
            </w:r>
            <w:r>
              <w:rPr>
                <w:rFonts w:hint="eastAsia" w:ascii="宋体" w:hAnsi="宋体" w:eastAsia="宋体" w:cs="宋体"/>
                <w:color w:val="auto"/>
                <w:highlight w:val="none"/>
                <w:u w:val="none" w:color="auto"/>
                <w:lang w:val="en-US" w:eastAsia="zh-CN"/>
              </w:rPr>
              <w:t>林业</w:t>
            </w:r>
            <w:r>
              <w:rPr>
                <w:rFonts w:hint="eastAsia" w:ascii="宋体" w:hAnsi="宋体" w:eastAsia="宋体" w:cs="宋体"/>
                <w:color w:val="auto"/>
                <w:highlight w:val="none"/>
                <w:u w:val="none" w:color="auto"/>
              </w:rPr>
              <w:t>专业负责人</w:t>
            </w:r>
            <w:r>
              <w:rPr>
                <w:rFonts w:hint="eastAsia" w:ascii="宋体" w:hAnsi="宋体" w:eastAsia="宋体" w:cs="宋体"/>
                <w:color w:val="auto"/>
                <w:highlight w:val="none"/>
                <w:u w:val="none" w:color="auto"/>
                <w:lang w:eastAsia="zh-CN"/>
              </w:rPr>
              <w:t>：</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林业</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副</w:t>
            </w:r>
            <w:r>
              <w:rPr>
                <w:rFonts w:hint="eastAsia" w:ascii="宋体" w:hAnsi="宋体" w:eastAsia="宋体" w:cs="宋体"/>
                <w:b w:val="0"/>
                <w:bCs w:val="0"/>
                <w:color w:val="auto"/>
                <w:kern w:val="0"/>
                <w:sz w:val="21"/>
                <w:szCs w:val="21"/>
                <w:highlight w:val="none"/>
                <w:u w:val="none" w:color="auto"/>
                <w:shd w:val="clear" w:color="auto" w:fill="FFFFFF"/>
              </w:rPr>
              <w:t>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林业</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中</w:t>
            </w:r>
            <w:r>
              <w:rPr>
                <w:rFonts w:hint="eastAsia" w:ascii="宋体" w:hAnsi="宋体" w:eastAsia="宋体" w:cs="宋体"/>
                <w:b w:val="0"/>
                <w:bCs w:val="0"/>
                <w:color w:val="auto"/>
                <w:kern w:val="0"/>
                <w:sz w:val="21"/>
                <w:szCs w:val="21"/>
                <w:highlight w:val="none"/>
                <w:u w:val="none" w:color="auto"/>
                <w:shd w:val="clear" w:color="auto" w:fill="FFFFFF"/>
              </w:rPr>
              <w:t>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2</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p>
          <w:p w14:paraId="7E49F94D">
            <w:pPr>
              <w:widowControl/>
              <w:adjustRightInd w:val="0"/>
              <w:snapToGrid w:val="0"/>
              <w:jc w:val="left"/>
              <w:rPr>
                <w:rFonts w:hint="eastAsia" w:ascii="宋体" w:hAnsi="宋体" w:eastAsia="宋体" w:cs="宋体"/>
                <w:color w:val="auto"/>
                <w:szCs w:val="22"/>
                <w:highlight w:val="none"/>
                <w:u w:val="none" w:color="auto"/>
              </w:rPr>
            </w:pPr>
            <w:r>
              <w:rPr>
                <w:rFonts w:hint="eastAsia" w:ascii="宋体" w:hAnsi="宋体" w:eastAsia="宋体" w:cs="宋体"/>
                <w:color w:val="auto"/>
                <w:szCs w:val="22"/>
                <w:highlight w:val="none"/>
                <w:u w:val="none" w:color="auto"/>
              </w:rPr>
              <w:t>（</w:t>
            </w:r>
            <w:r>
              <w:rPr>
                <w:rFonts w:hint="eastAsia" w:ascii="宋体" w:hAnsi="宋体" w:eastAsia="宋体" w:cs="宋体"/>
                <w:color w:val="auto"/>
                <w:szCs w:val="22"/>
                <w:highlight w:val="none"/>
                <w:u w:val="none" w:color="auto"/>
                <w:lang w:val="en-US" w:eastAsia="zh-CN"/>
              </w:rPr>
              <w:t>3</w:t>
            </w:r>
            <w:r>
              <w:rPr>
                <w:rFonts w:hint="eastAsia" w:ascii="宋体" w:hAnsi="宋体" w:eastAsia="宋体" w:cs="宋体"/>
                <w:color w:val="auto"/>
                <w:szCs w:val="22"/>
                <w:highlight w:val="none"/>
                <w:u w:val="none" w:color="auto"/>
              </w:rPr>
              <w:t>）</w:t>
            </w:r>
            <w:r>
              <w:rPr>
                <w:rFonts w:hint="eastAsia" w:ascii="宋体" w:hAnsi="宋体" w:eastAsia="宋体" w:cs="宋体"/>
                <w:color w:val="auto"/>
                <w:highlight w:val="none"/>
                <w:u w:val="none" w:color="auto"/>
                <w:lang w:val="en-US" w:eastAsia="zh-CN"/>
              </w:rPr>
              <w:t>环境</w:t>
            </w:r>
            <w:r>
              <w:rPr>
                <w:rFonts w:hint="eastAsia" w:ascii="宋体" w:hAnsi="宋体" w:eastAsia="宋体" w:cs="宋体"/>
                <w:color w:val="auto"/>
                <w:szCs w:val="22"/>
                <w:highlight w:val="none"/>
                <w:u w:val="none" w:color="auto"/>
              </w:rPr>
              <w:t>专业负责人：</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环境</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副</w:t>
            </w:r>
            <w:r>
              <w:rPr>
                <w:rFonts w:hint="eastAsia" w:ascii="宋体" w:hAnsi="宋体" w:eastAsia="宋体" w:cs="宋体"/>
                <w:b w:val="0"/>
                <w:bCs w:val="0"/>
                <w:color w:val="auto"/>
                <w:kern w:val="0"/>
                <w:sz w:val="21"/>
                <w:szCs w:val="21"/>
                <w:highlight w:val="none"/>
                <w:u w:val="none" w:color="auto"/>
                <w:shd w:val="clear" w:color="auto" w:fill="FFFFFF"/>
              </w:rPr>
              <w:t>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环境</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中</w:t>
            </w:r>
            <w:r>
              <w:rPr>
                <w:rFonts w:hint="eastAsia" w:ascii="宋体" w:hAnsi="宋体" w:eastAsia="宋体" w:cs="宋体"/>
                <w:b w:val="0"/>
                <w:bCs w:val="0"/>
                <w:color w:val="auto"/>
                <w:kern w:val="0"/>
                <w:sz w:val="21"/>
                <w:szCs w:val="21"/>
                <w:highlight w:val="none"/>
                <w:u w:val="none" w:color="auto"/>
                <w:shd w:val="clear" w:color="auto" w:fill="FFFFFF"/>
              </w:rPr>
              <w:t>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2</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p>
          <w:p w14:paraId="713BEC4A">
            <w:pPr>
              <w:widowControl/>
              <w:adjustRightInd w:val="0"/>
              <w:snapToGrid w:val="0"/>
              <w:jc w:val="left"/>
              <w:rPr>
                <w:rFonts w:hint="eastAsia" w:ascii="宋体" w:hAnsi="宋体" w:eastAsia="宋体" w:cs="宋体"/>
                <w:color w:val="auto"/>
                <w:szCs w:val="22"/>
                <w:highlight w:val="none"/>
                <w:u w:val="none" w:color="auto"/>
                <w:lang w:val="en-US" w:eastAsia="zh-CN"/>
              </w:rPr>
            </w:pPr>
            <w:r>
              <w:rPr>
                <w:rFonts w:hint="eastAsia" w:ascii="宋体" w:hAnsi="宋体" w:eastAsia="宋体" w:cs="宋体"/>
                <w:color w:val="auto"/>
                <w:szCs w:val="22"/>
                <w:highlight w:val="none"/>
                <w:u w:val="none" w:color="auto"/>
                <w:lang w:eastAsia="zh-CN"/>
              </w:rPr>
              <w:t>（</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lang w:eastAsia="zh-CN"/>
              </w:rPr>
              <w:t>）</w:t>
            </w:r>
            <w:r>
              <w:rPr>
                <w:rFonts w:hint="eastAsia" w:ascii="宋体" w:hAnsi="宋体" w:eastAsia="宋体" w:cs="宋体"/>
                <w:color w:val="auto"/>
                <w:szCs w:val="22"/>
                <w:highlight w:val="none"/>
                <w:u w:val="none" w:color="auto"/>
                <w:lang w:val="en-US" w:eastAsia="zh-CN"/>
              </w:rPr>
              <w:t>水利专业负责人：具有水利专业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副</w:t>
            </w:r>
            <w:r>
              <w:rPr>
                <w:rFonts w:hint="eastAsia" w:ascii="宋体" w:hAnsi="宋体" w:eastAsia="宋体" w:cs="宋体"/>
                <w:b w:val="0"/>
                <w:bCs w:val="0"/>
                <w:color w:val="auto"/>
                <w:kern w:val="0"/>
                <w:sz w:val="21"/>
                <w:szCs w:val="21"/>
                <w:highlight w:val="none"/>
                <w:u w:val="none" w:color="auto"/>
                <w:shd w:val="clear" w:color="auto" w:fill="FFFFFF"/>
              </w:rPr>
              <w:t>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具有水利</w:t>
            </w:r>
            <w:r>
              <w:rPr>
                <w:rFonts w:hint="eastAsia" w:ascii="宋体" w:hAnsi="宋体" w:eastAsia="宋体" w:cs="宋体"/>
                <w:b w:val="0"/>
                <w:bCs w:val="0"/>
                <w:color w:val="auto"/>
                <w:kern w:val="0"/>
                <w:sz w:val="21"/>
                <w:szCs w:val="21"/>
                <w:highlight w:val="none"/>
                <w:u w:val="none" w:color="auto"/>
                <w:shd w:val="clear" w:color="auto" w:fill="FFFFFF"/>
              </w:rPr>
              <w:t>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中</w:t>
            </w:r>
            <w:r>
              <w:rPr>
                <w:rFonts w:hint="eastAsia" w:ascii="宋体" w:hAnsi="宋体" w:eastAsia="宋体" w:cs="宋体"/>
                <w:b w:val="0"/>
                <w:bCs w:val="0"/>
                <w:color w:val="auto"/>
                <w:kern w:val="0"/>
                <w:sz w:val="21"/>
                <w:szCs w:val="21"/>
                <w:highlight w:val="none"/>
                <w:u w:val="none" w:color="auto"/>
                <w:shd w:val="clear" w:color="auto" w:fill="FFFFFF"/>
              </w:rPr>
              <w:t>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2</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p>
          <w:p w14:paraId="022B2BB0">
            <w:pPr>
              <w:adjustRightInd w:val="0"/>
              <w:snapToGrid w:val="0"/>
              <w:spacing w:line="340" w:lineRule="exact"/>
              <w:jc w:val="left"/>
              <w:rPr>
                <w:rFonts w:hint="eastAsia" w:ascii="宋体" w:hAnsi="宋体" w:eastAsia="宋体" w:cs="宋体"/>
                <w:color w:val="auto"/>
                <w:szCs w:val="22"/>
                <w:highlight w:val="none"/>
                <w:u w:val="none" w:color="auto"/>
              </w:rPr>
            </w:pPr>
            <w:r>
              <w:rPr>
                <w:rFonts w:hint="eastAsia" w:ascii="宋体" w:hAnsi="宋体" w:eastAsia="宋体" w:cs="宋体"/>
                <w:color w:val="auto"/>
                <w:highlight w:val="none"/>
                <w:u w:val="none" w:color="auto"/>
              </w:rPr>
              <w:t>（</w:t>
            </w:r>
            <w:r>
              <w:rPr>
                <w:rFonts w:hint="eastAsia" w:ascii="宋体" w:hAnsi="宋体" w:eastAsia="宋体" w:cs="宋体"/>
                <w:color w:val="auto"/>
                <w:highlight w:val="none"/>
                <w:u w:val="none" w:color="auto"/>
                <w:lang w:val="en-US" w:eastAsia="zh-CN"/>
              </w:rPr>
              <w:t>5</w:t>
            </w:r>
            <w:r>
              <w:rPr>
                <w:rFonts w:hint="eastAsia" w:ascii="宋体" w:hAnsi="宋体" w:eastAsia="宋体" w:cs="宋体"/>
                <w:color w:val="auto"/>
                <w:highlight w:val="none"/>
                <w:u w:val="none" w:color="auto"/>
              </w:rPr>
              <w:t>）</w:t>
            </w:r>
            <w:r>
              <w:rPr>
                <w:rFonts w:hint="eastAsia" w:ascii="宋体" w:hAnsi="宋体" w:eastAsia="宋体" w:cs="宋体"/>
                <w:color w:val="auto"/>
                <w:highlight w:val="none"/>
                <w:u w:val="none" w:color="auto"/>
                <w:lang w:val="en-US" w:eastAsia="zh-CN"/>
              </w:rPr>
              <w:t>市政</w:t>
            </w:r>
            <w:r>
              <w:rPr>
                <w:rFonts w:hint="eastAsia" w:ascii="宋体" w:hAnsi="宋体" w:eastAsia="宋体" w:cs="宋体"/>
                <w:color w:val="auto"/>
                <w:highlight w:val="none"/>
                <w:u w:val="none" w:color="auto"/>
              </w:rPr>
              <w:t>专业负责人</w:t>
            </w:r>
            <w:r>
              <w:rPr>
                <w:rFonts w:hint="eastAsia" w:ascii="宋体" w:hAnsi="宋体" w:eastAsia="宋体" w:cs="宋体"/>
                <w:color w:val="auto"/>
                <w:highlight w:val="none"/>
                <w:u w:val="none" w:color="auto"/>
                <w:lang w:eastAsia="zh-CN"/>
              </w:rPr>
              <w:t>：</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建筑</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副</w:t>
            </w:r>
            <w:r>
              <w:rPr>
                <w:rFonts w:hint="eastAsia" w:ascii="宋体" w:hAnsi="宋体" w:eastAsia="宋体" w:cs="宋体"/>
                <w:b w:val="0"/>
                <w:bCs w:val="0"/>
                <w:color w:val="auto"/>
                <w:kern w:val="0"/>
                <w:sz w:val="21"/>
                <w:szCs w:val="21"/>
                <w:highlight w:val="none"/>
                <w:u w:val="none" w:color="auto"/>
                <w:shd w:val="clear" w:color="auto" w:fill="FFFFFF"/>
              </w:rPr>
              <w:t>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3</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建筑</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中</w:t>
            </w:r>
            <w:r>
              <w:rPr>
                <w:rFonts w:hint="eastAsia" w:ascii="宋体" w:hAnsi="宋体" w:eastAsia="宋体" w:cs="宋体"/>
                <w:b w:val="0"/>
                <w:bCs w:val="0"/>
                <w:color w:val="auto"/>
                <w:kern w:val="0"/>
                <w:sz w:val="21"/>
                <w:szCs w:val="21"/>
                <w:highlight w:val="none"/>
                <w:u w:val="none" w:color="auto"/>
                <w:shd w:val="clear" w:color="auto" w:fill="FFFFFF"/>
              </w:rPr>
              <w:t>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1</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p>
          <w:p w14:paraId="6984D37E">
            <w:pPr>
              <w:adjustRightInd w:val="0"/>
              <w:snapToGrid w:val="0"/>
              <w:spacing w:line="340" w:lineRule="exact"/>
              <w:jc w:val="left"/>
              <w:rPr>
                <w:rFonts w:hint="eastAsia" w:ascii="宋体" w:hAnsi="宋体" w:eastAsia="宋体" w:cs="宋体"/>
                <w:color w:val="auto"/>
                <w:highlight w:val="none"/>
                <w:u w:val="none" w:color="auto"/>
                <w:lang w:eastAsia="zh-CN"/>
              </w:rPr>
            </w:pPr>
            <w:r>
              <w:rPr>
                <w:rFonts w:hint="eastAsia" w:ascii="宋体" w:hAnsi="宋体" w:eastAsia="宋体" w:cs="宋体"/>
                <w:color w:val="auto"/>
                <w:highlight w:val="none"/>
                <w:u w:val="none" w:color="auto"/>
                <w:lang w:val="en-US" w:eastAsia="zh-CN"/>
              </w:rPr>
              <w:t>（6）结构</w:t>
            </w:r>
            <w:r>
              <w:rPr>
                <w:rFonts w:hint="eastAsia" w:ascii="宋体" w:hAnsi="宋体" w:eastAsia="宋体" w:cs="宋体"/>
                <w:color w:val="auto"/>
                <w:highlight w:val="none"/>
                <w:u w:val="none" w:color="auto"/>
              </w:rPr>
              <w:t>专业负责人</w:t>
            </w:r>
            <w:r>
              <w:rPr>
                <w:rFonts w:hint="eastAsia" w:ascii="宋体" w:hAnsi="宋体" w:eastAsia="宋体" w:cs="宋体"/>
                <w:color w:val="auto"/>
                <w:highlight w:val="none"/>
                <w:u w:val="none" w:color="auto"/>
                <w:lang w:eastAsia="zh-CN"/>
              </w:rPr>
              <w:t>：</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结构</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副</w:t>
            </w:r>
            <w:r>
              <w:rPr>
                <w:rFonts w:hint="eastAsia" w:ascii="宋体" w:hAnsi="宋体" w:eastAsia="宋体" w:cs="宋体"/>
                <w:b w:val="0"/>
                <w:bCs w:val="0"/>
                <w:color w:val="auto"/>
                <w:kern w:val="0"/>
                <w:sz w:val="21"/>
                <w:szCs w:val="21"/>
                <w:highlight w:val="none"/>
                <w:u w:val="none" w:color="auto"/>
                <w:shd w:val="clear" w:color="auto" w:fill="FFFFFF"/>
              </w:rPr>
              <w:t>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3</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color w:val="auto"/>
                <w:highlight w:val="none"/>
                <w:u w:val="none" w:color="auto"/>
                <w:lang w:val="en-US" w:eastAsia="zh-CN"/>
              </w:rPr>
              <w:t>结构</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中</w:t>
            </w:r>
            <w:r>
              <w:rPr>
                <w:rFonts w:hint="eastAsia" w:ascii="宋体" w:hAnsi="宋体" w:eastAsia="宋体" w:cs="宋体"/>
                <w:b w:val="0"/>
                <w:bCs w:val="0"/>
                <w:color w:val="auto"/>
                <w:kern w:val="0"/>
                <w:sz w:val="21"/>
                <w:szCs w:val="21"/>
                <w:highlight w:val="none"/>
                <w:u w:val="none" w:color="auto"/>
                <w:shd w:val="clear" w:color="auto" w:fill="FFFFFF"/>
              </w:rPr>
              <w:t>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1</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p>
          <w:p w14:paraId="093E0D87">
            <w:pPr>
              <w:adjustRightInd w:val="0"/>
              <w:snapToGrid w:val="0"/>
              <w:spacing w:line="34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u w:val="none" w:color="auto"/>
                <w:lang w:val="en-US" w:eastAsia="zh-CN"/>
              </w:rPr>
              <w:t>（7）造价</w:t>
            </w:r>
            <w:r>
              <w:rPr>
                <w:rFonts w:hint="eastAsia" w:ascii="宋体" w:hAnsi="宋体" w:eastAsia="宋体" w:cs="宋体"/>
                <w:color w:val="auto"/>
                <w:highlight w:val="none"/>
                <w:u w:val="none" w:color="auto"/>
              </w:rPr>
              <w:t>专业负责人</w:t>
            </w:r>
            <w:r>
              <w:rPr>
                <w:rFonts w:hint="eastAsia" w:ascii="宋体" w:hAnsi="宋体" w:eastAsia="宋体" w:cs="宋体"/>
                <w:color w:val="auto"/>
                <w:highlight w:val="none"/>
                <w:u w:val="none" w:color="auto"/>
                <w:lang w:eastAsia="zh-CN"/>
              </w:rPr>
              <w:t>：</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b w:val="0"/>
                <w:bCs w:val="0"/>
                <w:color w:val="auto"/>
                <w:kern w:val="0"/>
                <w:sz w:val="21"/>
                <w:szCs w:val="21"/>
                <w:highlight w:val="none"/>
                <w:u w:val="none" w:color="auto"/>
                <w:shd w:val="clear" w:color="auto" w:fill="FFFFFF"/>
                <w:lang w:val="en-US" w:eastAsia="zh-CN"/>
              </w:rPr>
              <w:t>造价</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副</w:t>
            </w:r>
            <w:r>
              <w:rPr>
                <w:rFonts w:hint="eastAsia" w:ascii="宋体" w:hAnsi="宋体" w:eastAsia="宋体" w:cs="宋体"/>
                <w:b w:val="0"/>
                <w:bCs w:val="0"/>
                <w:color w:val="auto"/>
                <w:kern w:val="0"/>
                <w:sz w:val="21"/>
                <w:szCs w:val="21"/>
                <w:highlight w:val="none"/>
                <w:u w:val="none" w:color="auto"/>
                <w:shd w:val="clear" w:color="auto" w:fill="FFFFFF"/>
              </w:rPr>
              <w:t>高级</w:t>
            </w:r>
            <w:r>
              <w:rPr>
                <w:rFonts w:hint="eastAsia" w:ascii="宋体" w:hAnsi="宋体" w:eastAsia="宋体" w:cs="宋体"/>
                <w:b w:val="0"/>
                <w:bCs w:val="0"/>
                <w:color w:val="auto"/>
                <w:kern w:val="0"/>
                <w:sz w:val="21"/>
                <w:szCs w:val="21"/>
                <w:highlight w:val="none"/>
                <w:u w:val="none" w:color="auto"/>
                <w:shd w:val="clear" w:color="auto" w:fill="FFFFFF"/>
                <w:lang w:eastAsia="zh-CN"/>
              </w:rPr>
              <w:t>（</w:t>
            </w:r>
            <w:r>
              <w:rPr>
                <w:rFonts w:hint="eastAsia" w:ascii="宋体" w:hAnsi="宋体" w:eastAsia="宋体" w:cs="宋体"/>
                <w:b w:val="0"/>
                <w:bCs w:val="0"/>
                <w:color w:val="auto"/>
                <w:kern w:val="0"/>
                <w:sz w:val="21"/>
                <w:szCs w:val="21"/>
                <w:highlight w:val="none"/>
                <w:u w:val="none" w:color="auto"/>
                <w:shd w:val="clear" w:color="auto" w:fill="FFFFFF"/>
                <w:lang w:val="en-US" w:eastAsia="zh-CN"/>
              </w:rPr>
              <w:t>或以上）</w:t>
            </w:r>
            <w:r>
              <w:rPr>
                <w:rFonts w:hint="eastAsia" w:ascii="宋体" w:hAnsi="宋体" w:eastAsia="宋体" w:cs="宋体"/>
                <w:b w:val="0"/>
                <w:bCs w:val="0"/>
                <w:color w:val="auto"/>
                <w:kern w:val="0"/>
                <w:sz w:val="21"/>
                <w:szCs w:val="21"/>
                <w:highlight w:val="none"/>
                <w:u w:val="none" w:color="auto"/>
                <w:shd w:val="clear" w:color="auto" w:fill="FFFFFF"/>
              </w:rPr>
              <w:t>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3</w:t>
            </w:r>
            <w:r>
              <w:rPr>
                <w:rFonts w:hint="eastAsia" w:ascii="宋体" w:hAnsi="宋体" w:eastAsia="宋体" w:cs="宋体"/>
                <w:color w:val="auto"/>
                <w:szCs w:val="22"/>
                <w:highlight w:val="none"/>
                <w:u w:val="none" w:color="auto"/>
              </w:rPr>
              <w:t>分，</w:t>
            </w:r>
            <w:r>
              <w:rPr>
                <w:rFonts w:hint="eastAsia" w:ascii="宋体" w:hAnsi="宋体" w:eastAsia="宋体" w:cs="宋体"/>
                <w:color w:val="auto"/>
                <w:szCs w:val="22"/>
                <w:highlight w:val="none"/>
                <w:u w:val="none" w:color="auto"/>
                <w:lang w:val="en-US" w:eastAsia="zh-CN"/>
              </w:rPr>
              <w:t>具有</w:t>
            </w:r>
            <w:r>
              <w:rPr>
                <w:rFonts w:hint="eastAsia" w:ascii="宋体" w:hAnsi="宋体" w:eastAsia="宋体" w:cs="宋体"/>
                <w:b w:val="0"/>
                <w:bCs w:val="0"/>
                <w:color w:val="auto"/>
                <w:kern w:val="0"/>
                <w:sz w:val="21"/>
                <w:szCs w:val="21"/>
                <w:highlight w:val="none"/>
                <w:u w:val="none" w:color="auto"/>
                <w:shd w:val="clear" w:color="auto" w:fill="FFFFFF"/>
                <w:lang w:val="en-US" w:eastAsia="zh-CN"/>
              </w:rPr>
              <w:t>造价</w:t>
            </w:r>
            <w:r>
              <w:rPr>
                <w:rFonts w:hint="eastAsia" w:ascii="宋体" w:hAnsi="宋体" w:eastAsia="宋体" w:cs="宋体"/>
                <w:b w:val="0"/>
                <w:bCs w:val="0"/>
                <w:color w:val="auto"/>
                <w:kern w:val="0"/>
                <w:sz w:val="21"/>
                <w:szCs w:val="21"/>
                <w:highlight w:val="none"/>
                <w:u w:val="none" w:color="auto"/>
                <w:shd w:val="clear" w:color="auto" w:fill="FFFFFF"/>
              </w:rPr>
              <w:t>类专业</w:t>
            </w:r>
            <w:r>
              <w:rPr>
                <w:rFonts w:hint="eastAsia" w:ascii="宋体" w:hAnsi="宋体" w:eastAsia="宋体" w:cs="宋体"/>
                <w:b w:val="0"/>
                <w:bCs w:val="0"/>
                <w:color w:val="auto"/>
                <w:kern w:val="0"/>
                <w:sz w:val="21"/>
                <w:szCs w:val="21"/>
                <w:highlight w:val="none"/>
                <w:u w:val="none" w:color="auto"/>
                <w:shd w:val="clear" w:color="auto" w:fill="FFFFFF"/>
                <w:lang w:val="en-US" w:eastAsia="zh-CN"/>
              </w:rPr>
              <w:t>中</w:t>
            </w:r>
            <w:r>
              <w:rPr>
                <w:rFonts w:hint="eastAsia" w:ascii="宋体" w:hAnsi="宋体" w:eastAsia="宋体" w:cs="宋体"/>
                <w:b w:val="0"/>
                <w:bCs w:val="0"/>
                <w:color w:val="auto"/>
                <w:kern w:val="0"/>
                <w:sz w:val="21"/>
                <w:szCs w:val="21"/>
                <w:highlight w:val="none"/>
                <w:u w:val="none" w:color="auto"/>
                <w:shd w:val="clear" w:color="auto" w:fill="FFFFFF"/>
              </w:rPr>
              <w:t>级技术职称</w:t>
            </w:r>
            <w:r>
              <w:rPr>
                <w:rFonts w:hint="eastAsia" w:ascii="宋体" w:hAnsi="宋体" w:eastAsia="宋体" w:cs="宋体"/>
                <w:color w:val="auto"/>
                <w:szCs w:val="22"/>
                <w:highlight w:val="none"/>
                <w:u w:val="none" w:color="auto"/>
              </w:rPr>
              <w:t>的得</w:t>
            </w:r>
            <w:r>
              <w:rPr>
                <w:rFonts w:hint="eastAsia" w:ascii="宋体" w:hAnsi="宋体" w:eastAsia="宋体" w:cs="宋体"/>
                <w:color w:val="auto"/>
                <w:szCs w:val="22"/>
                <w:highlight w:val="none"/>
                <w:u w:val="none" w:color="auto"/>
                <w:lang w:val="en-US" w:eastAsia="zh-CN"/>
              </w:rPr>
              <w:t>1</w:t>
            </w:r>
            <w:r>
              <w:rPr>
                <w:rFonts w:hint="eastAsia" w:ascii="宋体" w:hAnsi="宋体" w:eastAsia="宋体" w:cs="宋体"/>
                <w:color w:val="auto"/>
                <w:szCs w:val="22"/>
                <w:highlight w:val="none"/>
                <w:u w:val="none" w:color="auto"/>
              </w:rPr>
              <w:t>分，无或其他情况不得分。本小项最高得</w:t>
            </w:r>
            <w:r>
              <w:rPr>
                <w:rFonts w:hint="eastAsia" w:ascii="宋体" w:hAnsi="宋体" w:eastAsia="宋体" w:cs="宋体"/>
                <w:color w:val="auto"/>
                <w:szCs w:val="22"/>
                <w:highlight w:val="none"/>
                <w:u w:val="none" w:color="auto"/>
                <w:lang w:val="en-US" w:eastAsia="zh-CN"/>
              </w:rPr>
              <w:t>4</w:t>
            </w:r>
            <w:r>
              <w:rPr>
                <w:rFonts w:hint="eastAsia" w:ascii="宋体" w:hAnsi="宋体" w:eastAsia="宋体" w:cs="宋体"/>
                <w:color w:val="auto"/>
                <w:szCs w:val="22"/>
                <w:highlight w:val="none"/>
                <w:u w:val="none" w:color="auto"/>
              </w:rPr>
              <w:t>分。</w:t>
            </w:r>
          </w:p>
          <w:p w14:paraId="48BB9E94">
            <w:pPr>
              <w:spacing w:line="240" w:lineRule="auto"/>
              <w:ind w:firstLine="0" w:firstLineChars="0"/>
              <w:jc w:val="left"/>
              <w:rPr>
                <w:rFonts w:hint="eastAsia" w:ascii="宋体" w:hAnsi="宋体" w:eastAsia="宋体" w:cs="宋体"/>
                <w:color w:val="auto"/>
                <w:highlight w:val="none"/>
                <w:u w:val="none" w:color="auto"/>
              </w:rPr>
            </w:pPr>
            <w:r>
              <w:rPr>
                <w:rFonts w:hint="eastAsia" w:ascii="宋体" w:hAnsi="宋体" w:eastAsia="宋体" w:cs="宋体"/>
                <w:color w:val="auto"/>
                <w:kern w:val="0"/>
                <w:szCs w:val="21"/>
                <w:highlight w:val="none"/>
                <w:u w:val="none" w:color="auto"/>
                <w:shd w:val="clear" w:color="auto" w:fill="FFFFFF"/>
                <w:lang w:val="en-US" w:eastAsia="zh-CN"/>
              </w:rPr>
              <w:t>注：本项最高得25分。上述人员均不得兼任，同一人具备多证只计算一次。</w:t>
            </w:r>
            <w:r>
              <w:rPr>
                <w:rFonts w:hint="eastAsia" w:ascii="宋体" w:hAnsi="宋体" w:eastAsia="宋体" w:cs="宋体"/>
                <w:color w:val="auto"/>
                <w:kern w:val="0"/>
                <w:sz w:val="21"/>
                <w:szCs w:val="21"/>
                <w:highlight w:val="none"/>
                <w:u w:val="none" w:color="auto"/>
                <w:shd w:val="clear" w:color="auto" w:fill="FFFFFF"/>
              </w:rPr>
              <w:t>需提供</w:t>
            </w:r>
            <w:r>
              <w:rPr>
                <w:rFonts w:hint="eastAsia" w:ascii="宋体" w:hAnsi="宋体" w:eastAsia="宋体" w:cs="宋体"/>
                <w:color w:val="auto"/>
                <w:kern w:val="0"/>
                <w:sz w:val="21"/>
                <w:szCs w:val="21"/>
                <w:highlight w:val="none"/>
                <w:u w:val="none" w:color="auto"/>
                <w:shd w:val="clear" w:color="auto" w:fill="FFFFFF"/>
                <w:lang w:val="en-US" w:eastAsia="zh-CN"/>
              </w:rPr>
              <w:t>注册证或</w:t>
            </w:r>
            <w:r>
              <w:rPr>
                <w:rFonts w:hint="eastAsia" w:ascii="宋体" w:hAnsi="宋体" w:eastAsia="宋体" w:cs="宋体"/>
                <w:color w:val="auto"/>
                <w:kern w:val="0"/>
                <w:sz w:val="21"/>
                <w:szCs w:val="21"/>
                <w:highlight w:val="none"/>
                <w:u w:val="none" w:color="auto"/>
                <w:shd w:val="clear" w:color="auto" w:fill="FFFFFF"/>
              </w:rPr>
              <w:t>职称</w:t>
            </w:r>
            <w:r>
              <w:rPr>
                <w:rFonts w:hint="eastAsia" w:ascii="宋体" w:hAnsi="宋体" w:eastAsia="宋体" w:cs="宋体"/>
                <w:color w:val="auto"/>
                <w:kern w:val="0"/>
                <w:sz w:val="21"/>
                <w:szCs w:val="21"/>
                <w:highlight w:val="none"/>
                <w:u w:val="none" w:color="auto"/>
                <w:shd w:val="clear" w:color="auto" w:fill="FFFFFF"/>
                <w:lang w:val="en-US" w:eastAsia="zh-CN"/>
              </w:rPr>
              <w:t>证</w:t>
            </w:r>
            <w:r>
              <w:rPr>
                <w:rFonts w:hint="eastAsia" w:ascii="宋体" w:hAnsi="宋体" w:eastAsia="宋体" w:cs="宋体"/>
                <w:color w:val="auto"/>
                <w:kern w:val="0"/>
                <w:sz w:val="21"/>
                <w:szCs w:val="21"/>
                <w:highlight w:val="none"/>
                <w:u w:val="none" w:color="auto"/>
                <w:shd w:val="clear" w:color="auto" w:fill="FFFFFF"/>
              </w:rPr>
              <w:t>、</w:t>
            </w:r>
            <w:r>
              <w:rPr>
                <w:rFonts w:hint="eastAsia" w:ascii="宋体" w:hAnsi="宋体" w:eastAsia="宋体" w:cs="宋体"/>
                <w:color w:val="auto"/>
                <w:kern w:val="0"/>
                <w:sz w:val="21"/>
                <w:szCs w:val="21"/>
                <w:highlight w:val="none"/>
                <w:u w:val="none" w:color="auto"/>
                <w:shd w:val="clear" w:color="auto" w:fill="FFFFFF"/>
                <w:lang w:val="en-US" w:eastAsia="zh-CN"/>
              </w:rPr>
              <w:t>及近</w:t>
            </w:r>
            <w:r>
              <w:rPr>
                <w:rFonts w:hint="eastAsia" w:ascii="宋体" w:hAnsi="宋体" w:eastAsia="宋体" w:cs="宋体"/>
                <w:color w:val="auto"/>
                <w:kern w:val="0"/>
                <w:sz w:val="21"/>
                <w:szCs w:val="21"/>
                <w:highlight w:val="none"/>
                <w:u w:val="none" w:color="auto"/>
                <w:shd w:val="clear" w:color="auto" w:fill="FFFFFF"/>
              </w:rPr>
              <w:t>1个月（指202</w:t>
            </w:r>
            <w:r>
              <w:rPr>
                <w:rFonts w:hint="eastAsia" w:ascii="宋体" w:hAnsi="宋体" w:eastAsia="宋体" w:cs="宋体"/>
                <w:color w:val="auto"/>
                <w:kern w:val="0"/>
                <w:szCs w:val="21"/>
                <w:highlight w:val="none"/>
                <w:u w:val="none" w:color="auto"/>
                <w:shd w:val="clear" w:color="auto" w:fill="FFFFFF"/>
              </w:rPr>
              <w:t>5</w:t>
            </w:r>
            <w:r>
              <w:rPr>
                <w:rFonts w:hint="eastAsia" w:ascii="宋体" w:hAnsi="宋体" w:eastAsia="宋体" w:cs="宋体"/>
                <w:color w:val="auto"/>
                <w:kern w:val="0"/>
                <w:sz w:val="21"/>
                <w:szCs w:val="21"/>
                <w:highlight w:val="none"/>
                <w:u w:val="none" w:color="auto"/>
                <w:shd w:val="clear" w:color="auto" w:fill="FFFFFF"/>
              </w:rPr>
              <w:t>年</w:t>
            </w:r>
            <w:r>
              <w:rPr>
                <w:rFonts w:hint="eastAsia" w:ascii="宋体" w:hAnsi="宋体" w:eastAsia="宋体" w:cs="宋体"/>
                <w:color w:val="auto"/>
                <w:kern w:val="0"/>
                <w:szCs w:val="21"/>
                <w:highlight w:val="none"/>
                <w:u w:val="none" w:color="auto"/>
                <w:shd w:val="clear" w:color="auto" w:fill="FFFFFF"/>
                <w:lang w:val="en-US" w:eastAsia="zh-CN"/>
              </w:rPr>
              <w:t>10</w:t>
            </w:r>
            <w:r>
              <w:rPr>
                <w:rFonts w:hint="eastAsia" w:ascii="宋体" w:hAnsi="宋体" w:eastAsia="宋体" w:cs="宋体"/>
                <w:color w:val="auto"/>
                <w:kern w:val="0"/>
                <w:sz w:val="21"/>
                <w:szCs w:val="21"/>
                <w:highlight w:val="none"/>
                <w:u w:val="none" w:color="auto"/>
                <w:shd w:val="clear" w:color="auto" w:fill="FFFFFF"/>
              </w:rPr>
              <w:t>月）在投标单位购</w:t>
            </w:r>
            <w:r>
              <w:rPr>
                <w:rFonts w:hint="eastAsia" w:ascii="宋体" w:hAnsi="宋体" w:eastAsia="宋体" w:cs="宋体"/>
                <w:color w:val="auto"/>
                <w:kern w:val="0"/>
                <w:szCs w:val="21"/>
                <w:highlight w:val="none"/>
                <w:u w:val="none" w:color="auto"/>
                <w:shd w:val="clear" w:color="auto" w:fill="FFFFFF"/>
                <w:lang w:val="en-US" w:eastAsia="zh-CN"/>
              </w:rPr>
              <w:t>买社保缴纳证明。</w:t>
            </w:r>
          </w:p>
        </w:tc>
      </w:tr>
      <w:tr w14:paraId="05B4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127" w:type="dxa"/>
            <w:noWrap w:val="0"/>
            <w:vAlign w:val="center"/>
          </w:tcPr>
          <w:p w14:paraId="15596416">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四、</w:t>
            </w:r>
            <w:r>
              <w:rPr>
                <w:rFonts w:hint="eastAsia" w:ascii="宋体" w:hAnsi="宋体" w:eastAsia="宋体" w:cs="宋体"/>
                <w:b/>
                <w:bCs/>
                <w:color w:val="auto"/>
                <w:szCs w:val="21"/>
                <w:highlight w:val="none"/>
                <w:lang w:val="en-US" w:eastAsia="zh-CN"/>
              </w:rPr>
              <w:t>科研创新能力</w:t>
            </w:r>
          </w:p>
        </w:tc>
        <w:tc>
          <w:tcPr>
            <w:tcW w:w="1275" w:type="dxa"/>
            <w:noWrap w:val="0"/>
            <w:vAlign w:val="center"/>
          </w:tcPr>
          <w:p w14:paraId="65D3FF92">
            <w:pPr>
              <w:jc w:val="center"/>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lang w:val="en-US" w:eastAsia="zh-CN"/>
              </w:rPr>
              <w:t>10</w:t>
            </w:r>
            <w:r>
              <w:rPr>
                <w:rFonts w:hint="eastAsia" w:ascii="宋体" w:hAnsi="宋体" w:eastAsia="宋体" w:cs="宋体"/>
                <w:b w:val="0"/>
                <w:bCs w:val="0"/>
                <w:color w:val="auto"/>
                <w:highlight w:val="none"/>
                <w:u w:val="none"/>
              </w:rPr>
              <w:t>分</w:t>
            </w:r>
          </w:p>
        </w:tc>
        <w:tc>
          <w:tcPr>
            <w:tcW w:w="10496" w:type="dxa"/>
            <w:noWrap w:val="0"/>
            <w:vAlign w:val="center"/>
          </w:tcPr>
          <w:p w14:paraId="11CD09C6">
            <w:pPr>
              <w:widowControl/>
              <w:wordWrap/>
              <w:spacing w:line="36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投标人自2020年1月1日至今获得过科学技术奖项：</w:t>
            </w:r>
          </w:p>
          <w:p w14:paraId="5FD4F6A8">
            <w:pPr>
              <w:widowControl/>
              <w:wordWrap/>
              <w:spacing w:line="36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（1）获得国家级的，每项得2分，本小项最高得10分；</w:t>
            </w:r>
          </w:p>
          <w:p w14:paraId="63F4F996">
            <w:pPr>
              <w:widowControl/>
              <w:wordWrap/>
              <w:spacing w:line="36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（2）获得省级的，每项得1分，本小项最高得5分；</w:t>
            </w:r>
          </w:p>
          <w:p w14:paraId="677E4F50">
            <w:pPr>
              <w:widowControl/>
              <w:wordWrap/>
              <w:spacing w:line="36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本项（1）、（2）项累计最多得10分。</w:t>
            </w:r>
          </w:p>
          <w:p w14:paraId="25223259">
            <w:pPr>
              <w:widowControl/>
              <w:wordWrap/>
              <w:spacing w:line="36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若为联合体投标，联合体内任一单位提供均可。</w:t>
            </w:r>
          </w:p>
          <w:p w14:paraId="142D27B6">
            <w:pPr>
              <w:adjustRightInd w:val="0"/>
              <w:snapToGrid w:val="0"/>
              <w:spacing w:line="340" w:lineRule="exact"/>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0"/>
                <w:szCs w:val="21"/>
                <w:highlight w:val="none"/>
                <w:u w:val="none"/>
                <w:shd w:val="clear" w:color="auto" w:fill="FFFFFF"/>
                <w:lang w:val="en-US" w:eastAsia="zh-CN"/>
              </w:rPr>
              <w:t>注：科学技术奖：包括科学技术奖、科学技术进步奖等。投标人须提供由省级或以上人民政府或行政部门或行业协会（需在民政部门备案）颁发的证书原件扫描件或网上查询结果截图并加盖投标单位电子印章。时间以证书颁发日期为准。同一技术获得多个奖项，只按最高等级计算一次，不重复计算。</w:t>
            </w:r>
          </w:p>
        </w:tc>
      </w:tr>
      <w:tr w14:paraId="040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127" w:type="dxa"/>
            <w:noWrap w:val="0"/>
            <w:vAlign w:val="center"/>
          </w:tcPr>
          <w:p w14:paraId="73DEFE76">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、企业信誉</w:t>
            </w:r>
          </w:p>
        </w:tc>
        <w:tc>
          <w:tcPr>
            <w:tcW w:w="1275" w:type="dxa"/>
            <w:noWrap w:val="0"/>
            <w:vAlign w:val="center"/>
          </w:tcPr>
          <w:p w14:paraId="0B0F62D6">
            <w:pPr>
              <w:jc w:val="center"/>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6</w:t>
            </w:r>
            <w:r>
              <w:rPr>
                <w:rFonts w:hint="eastAsia" w:ascii="宋体" w:hAnsi="宋体" w:eastAsia="宋体" w:cs="宋体"/>
                <w:b w:val="0"/>
                <w:bCs w:val="0"/>
                <w:color w:val="auto"/>
                <w:highlight w:val="none"/>
                <w:u w:val="none"/>
              </w:rPr>
              <w:t>分</w:t>
            </w:r>
          </w:p>
        </w:tc>
        <w:tc>
          <w:tcPr>
            <w:tcW w:w="10496" w:type="dxa"/>
            <w:noWrap w:val="0"/>
            <w:vAlign w:val="center"/>
          </w:tcPr>
          <w:p w14:paraId="1F111FD0">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1、投标人获得工程勘察设计行业AAA+质量管理体系升级版认证证书的，得3分；获得工程勘察设计行业AAA质量管理体系升级版认证证书的，得1分；其余情况不得分，本小项最高得3分。</w:t>
            </w:r>
          </w:p>
          <w:p w14:paraId="48D315D0">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注：投标人须同时提供证书扫描件以及提供在中国勘察设计协会官方网站(https://www.chinaeda.org.cn/）查询结果网页截图加盖投标人电子印章。</w:t>
            </w:r>
          </w:p>
          <w:p w14:paraId="3F5D0253">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若为联合体投标，联合体内任一单位提供均可。</w:t>
            </w:r>
          </w:p>
          <w:p w14:paraId="6EA067DA">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p>
          <w:p w14:paraId="27B13C68">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2、投标人截止至2024（须含2024）年度获税务部门评定的纳税信用等级情况：</w:t>
            </w:r>
          </w:p>
          <w:p w14:paraId="542525C0">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（1）连续5年或以上获得“A级纳税人”称号的，得3分；</w:t>
            </w:r>
          </w:p>
          <w:p w14:paraId="66546A32">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（2）不符合以上条件的，不得分。</w:t>
            </w:r>
          </w:p>
          <w:p w14:paraId="4A466BBE">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本小项最高得3分。</w:t>
            </w:r>
          </w:p>
          <w:p w14:paraId="327FEFBF">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1、2项累计最高得6分</w:t>
            </w:r>
          </w:p>
          <w:p w14:paraId="72825118">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r>
              <w:rPr>
                <w:rFonts w:hint="eastAsia" w:ascii="宋体" w:hAnsi="宋体" w:eastAsia="宋体" w:cs="宋体"/>
                <w:b w:val="0"/>
                <w:bCs w:val="0"/>
                <w:color w:val="auto"/>
                <w:kern w:val="0"/>
                <w:szCs w:val="21"/>
                <w:highlight w:val="none"/>
                <w:u w:val="none"/>
                <w:shd w:val="clear" w:color="auto" w:fill="FFFFFF"/>
                <w:lang w:val="en-US" w:eastAsia="zh-CN"/>
              </w:rPr>
              <w:t>若为联合体投标，联合体内所有单位均满足此项条件才能得分。</w:t>
            </w:r>
          </w:p>
          <w:p w14:paraId="6BF21248">
            <w:pPr>
              <w:adjustRightInd w:val="0"/>
              <w:snapToGrid w:val="0"/>
              <w:spacing w:line="340" w:lineRule="exact"/>
              <w:jc w:val="left"/>
              <w:rPr>
                <w:rFonts w:hint="eastAsia" w:ascii="宋体" w:hAnsi="宋体" w:eastAsia="宋体" w:cs="宋体"/>
                <w:b w:val="0"/>
                <w:bCs w:val="0"/>
                <w:color w:val="auto"/>
                <w:kern w:val="0"/>
                <w:szCs w:val="21"/>
                <w:highlight w:val="none"/>
                <w:u w:val="none"/>
                <w:shd w:val="clear" w:color="auto" w:fill="FFFFFF"/>
                <w:lang w:val="en-US" w:eastAsia="zh-CN"/>
              </w:rPr>
            </w:pPr>
          </w:p>
          <w:p w14:paraId="544208AD">
            <w:pPr>
              <w:adjustRightInd w:val="0"/>
              <w:snapToGrid w:val="0"/>
              <w:spacing w:line="340" w:lineRule="exact"/>
              <w:jc w:val="left"/>
              <w:rPr>
                <w:rFonts w:hint="eastAsia" w:ascii="宋体" w:hAnsi="宋体" w:eastAsia="宋体" w:cs="宋体"/>
                <w:b w:val="0"/>
                <w:bCs w:val="0"/>
                <w:color w:val="auto"/>
                <w:szCs w:val="21"/>
                <w:highlight w:val="none"/>
                <w:u w:val="none"/>
                <w:lang w:bidi="ar"/>
              </w:rPr>
            </w:pPr>
            <w:r>
              <w:rPr>
                <w:rFonts w:hint="eastAsia" w:ascii="宋体" w:hAnsi="宋体" w:eastAsia="宋体" w:cs="宋体"/>
                <w:b w:val="0"/>
                <w:bCs w:val="0"/>
                <w:color w:val="auto"/>
                <w:kern w:val="0"/>
                <w:szCs w:val="21"/>
                <w:highlight w:val="none"/>
                <w:u w:val="none"/>
                <w:shd w:val="clear" w:color="auto" w:fill="FFFFFF"/>
                <w:lang w:val="en-US" w:eastAsia="zh-CN"/>
              </w:rPr>
              <w:t>注：“纳税信用A级”证书须包含2024年度，只计算投标人自身（不含投标人的子公司）。投标人须同时提供税务部门颁发的“纳税信用A级”证书扫描件以及提供省级或以上税务局网站查询结果网页截图加盖投标人电子印章；评定时间以证书上注明的评价（评定）年度为准。</w:t>
            </w:r>
          </w:p>
        </w:tc>
      </w:tr>
    </w:tbl>
    <w:p w14:paraId="1703EBBA">
      <w:pPr>
        <w:wordWrap w:val="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注：本表按百分制评分，所有评委分数汇总后的算术平均值为投标人的得分。分数出现小数点，保留小数点后两位小数，第三位小数四舍五入。</w:t>
      </w:r>
    </w:p>
    <w:p w14:paraId="3D65198E">
      <w:pPr>
        <w:wordWrap w:val="0"/>
        <w:ind w:firstLine="420" w:firstLineChars="200"/>
        <w:rPr>
          <w:rFonts w:ascii="宋体" w:hAnsi="宋体" w:eastAsia="宋体" w:cs="宋体"/>
          <w:color w:val="auto"/>
          <w:szCs w:val="21"/>
          <w:highlight w:val="none"/>
        </w:rPr>
        <w:sectPr>
          <w:pgSz w:w="16838" w:h="11905" w:orient="landscape"/>
          <w:pgMar w:top="1281" w:right="1474" w:bottom="1701" w:left="1474" w:header="720" w:footer="720" w:gutter="0"/>
          <w:cols w:space="720" w:num="1"/>
        </w:sectPr>
      </w:pPr>
    </w:p>
    <w:p w14:paraId="5BF0F376">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附件二：</w:t>
      </w:r>
    </w:p>
    <w:p w14:paraId="7475A2D0">
      <w:pPr>
        <w:wordWrap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技术文件评分表</w:t>
      </w:r>
    </w:p>
    <w:p w14:paraId="0C9A01E2">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技术文件综合评分表</w:t>
      </w:r>
    </w:p>
    <w:tbl>
      <w:tblPr>
        <w:tblStyle w:val="45"/>
        <w:tblW w:w="13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2049"/>
        <w:gridCol w:w="1356"/>
        <w:gridCol w:w="7198"/>
      </w:tblGrid>
      <w:tr w14:paraId="6F18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36" w:type="dxa"/>
            <w:gridSpan w:val="2"/>
            <w:noWrap w:val="0"/>
            <w:vAlign w:val="center"/>
          </w:tcPr>
          <w:p w14:paraId="032A1D5A">
            <w:pPr>
              <w:spacing w:line="260" w:lineRule="exact"/>
              <w:ind w:left="-451" w:leftChars="-215"/>
              <w:jc w:val="center"/>
              <w:rPr>
                <w:rFonts w:ascii="宋体" w:hAnsi="宋体"/>
                <w:color w:val="auto"/>
                <w:szCs w:val="21"/>
                <w:highlight w:val="none"/>
              </w:rPr>
            </w:pPr>
            <w:r>
              <w:rPr>
                <w:rFonts w:hint="eastAsia" w:ascii="宋体" w:hAnsi="宋体"/>
                <w:color w:val="auto"/>
                <w:szCs w:val="21"/>
                <w:highlight w:val="none"/>
              </w:rPr>
              <w:t>评审项目</w:t>
            </w:r>
          </w:p>
        </w:tc>
        <w:tc>
          <w:tcPr>
            <w:tcW w:w="1356" w:type="dxa"/>
            <w:noWrap w:val="0"/>
            <w:vAlign w:val="center"/>
          </w:tcPr>
          <w:p w14:paraId="60EC1DA2">
            <w:pPr>
              <w:spacing w:line="260" w:lineRule="exact"/>
              <w:jc w:val="center"/>
              <w:rPr>
                <w:rFonts w:ascii="宋体" w:hAnsi="宋体"/>
                <w:color w:val="auto"/>
                <w:szCs w:val="21"/>
                <w:highlight w:val="none"/>
              </w:rPr>
            </w:pPr>
            <w:r>
              <w:rPr>
                <w:rFonts w:hint="eastAsia" w:ascii="宋体" w:hAnsi="宋体"/>
                <w:color w:val="auto"/>
                <w:szCs w:val="21"/>
                <w:highlight w:val="none"/>
              </w:rPr>
              <w:t>取值范围</w:t>
            </w:r>
          </w:p>
        </w:tc>
        <w:tc>
          <w:tcPr>
            <w:tcW w:w="7198" w:type="dxa"/>
            <w:noWrap w:val="0"/>
            <w:vAlign w:val="center"/>
          </w:tcPr>
          <w:p w14:paraId="1B5A3212">
            <w:pPr>
              <w:spacing w:line="260" w:lineRule="exact"/>
              <w:jc w:val="center"/>
              <w:rPr>
                <w:rFonts w:ascii="宋体" w:hAnsi="宋体"/>
                <w:color w:val="auto"/>
                <w:szCs w:val="21"/>
                <w:highlight w:val="none"/>
              </w:rPr>
            </w:pPr>
            <w:r>
              <w:rPr>
                <w:rFonts w:hint="eastAsia" w:ascii="宋体" w:hAnsi="宋体"/>
                <w:color w:val="auto"/>
                <w:szCs w:val="21"/>
                <w:highlight w:val="none"/>
              </w:rPr>
              <w:t>编制要求</w:t>
            </w:r>
          </w:p>
        </w:tc>
      </w:tr>
      <w:tr w14:paraId="4F40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236" w:type="dxa"/>
            <w:gridSpan w:val="2"/>
            <w:noWrap w:val="0"/>
            <w:vAlign w:val="center"/>
          </w:tcPr>
          <w:p w14:paraId="6FACFD42">
            <w:pPr>
              <w:spacing w:line="260" w:lineRule="exact"/>
              <w:jc w:val="center"/>
              <w:rPr>
                <w:rFonts w:ascii="宋体" w:hAnsi="宋体"/>
                <w:color w:val="auto"/>
                <w:szCs w:val="21"/>
                <w:highlight w:val="none"/>
              </w:rPr>
            </w:pPr>
            <w:r>
              <w:rPr>
                <w:rFonts w:hint="eastAsia" w:ascii="宋体" w:hAnsi="宋体"/>
                <w:color w:val="auto"/>
                <w:szCs w:val="21"/>
                <w:highlight w:val="none"/>
              </w:rPr>
              <w:t>第一章 概况</w:t>
            </w:r>
          </w:p>
        </w:tc>
        <w:tc>
          <w:tcPr>
            <w:tcW w:w="1356" w:type="dxa"/>
            <w:noWrap w:val="0"/>
            <w:vAlign w:val="center"/>
          </w:tcPr>
          <w:p w14:paraId="7A5BA662">
            <w:pPr>
              <w:spacing w:line="260" w:lineRule="exact"/>
              <w:jc w:val="center"/>
              <w:rPr>
                <w:rFonts w:ascii="宋体" w:hAnsi="宋体"/>
                <w:color w:val="auto"/>
                <w:szCs w:val="21"/>
                <w:highlight w:val="none"/>
                <w:u w:val="single"/>
              </w:rPr>
            </w:pPr>
            <w:r>
              <w:rPr>
                <w:rFonts w:hint="eastAsia" w:ascii="宋体" w:hAnsi="宋体"/>
                <w:color w:val="auto"/>
                <w:szCs w:val="21"/>
                <w:highlight w:val="none"/>
                <w:u w:val="single"/>
              </w:rPr>
              <w:t>[5]</w:t>
            </w:r>
          </w:p>
        </w:tc>
        <w:tc>
          <w:tcPr>
            <w:tcW w:w="7198" w:type="dxa"/>
            <w:noWrap w:val="0"/>
            <w:vAlign w:val="center"/>
          </w:tcPr>
          <w:p w14:paraId="5354D334">
            <w:pPr>
              <w:spacing w:line="260" w:lineRule="exact"/>
              <w:jc w:val="left"/>
              <w:rPr>
                <w:rFonts w:hint="eastAsia" w:ascii="宋体" w:hAnsi="宋体"/>
                <w:color w:val="auto"/>
                <w:szCs w:val="21"/>
                <w:highlight w:val="none"/>
              </w:rPr>
            </w:pPr>
            <w:r>
              <w:rPr>
                <w:rFonts w:hint="eastAsia" w:ascii="宋体" w:hAnsi="宋体"/>
                <w:color w:val="auto"/>
                <w:szCs w:val="21"/>
                <w:highlight w:val="none"/>
              </w:rPr>
              <w:t>概况内容全面，包括工程概况、工程范围、</w:t>
            </w:r>
            <w:r>
              <w:rPr>
                <w:rFonts w:hint="eastAsia" w:ascii="宋体" w:hAnsi="宋体"/>
                <w:color w:val="auto"/>
                <w:szCs w:val="21"/>
                <w:highlight w:val="none"/>
                <w:lang w:val="en-US" w:eastAsia="zh-CN"/>
              </w:rPr>
              <w:t>项目定位、效果意向</w:t>
            </w:r>
            <w:r>
              <w:rPr>
                <w:rFonts w:hint="eastAsia" w:ascii="宋体" w:hAnsi="宋体"/>
                <w:color w:val="auto"/>
                <w:szCs w:val="21"/>
                <w:highlight w:val="none"/>
              </w:rPr>
              <w:t>等。</w:t>
            </w:r>
          </w:p>
          <w:p w14:paraId="4AA3D221">
            <w:pPr>
              <w:spacing w:line="260" w:lineRule="exact"/>
              <w:jc w:val="left"/>
              <w:rPr>
                <w:rFonts w:ascii="宋体" w:hAnsi="宋体"/>
                <w:color w:val="auto"/>
                <w:szCs w:val="21"/>
                <w:highlight w:val="none"/>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[5,4)</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[4,2)</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[2,1)</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[1,0]</w:t>
            </w:r>
            <w:r>
              <w:rPr>
                <w:rFonts w:hint="eastAsia" w:ascii="宋体" w:hAnsi="宋体"/>
                <w:b/>
                <w:bCs/>
                <w:color w:val="auto"/>
                <w:szCs w:val="21"/>
                <w:highlight w:val="none"/>
                <w:u w:val="none"/>
              </w:rPr>
              <w:t>分。</w:t>
            </w:r>
          </w:p>
        </w:tc>
      </w:tr>
      <w:tr w14:paraId="3FE3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187" w:type="dxa"/>
            <w:vMerge w:val="restart"/>
            <w:noWrap w:val="0"/>
            <w:vAlign w:val="center"/>
          </w:tcPr>
          <w:p w14:paraId="1ABABE28">
            <w:pPr>
              <w:spacing w:line="260" w:lineRule="exact"/>
              <w:jc w:val="center"/>
              <w:rPr>
                <w:rFonts w:ascii="宋体" w:hAnsi="宋体"/>
                <w:color w:val="auto"/>
                <w:szCs w:val="21"/>
                <w:highlight w:val="none"/>
              </w:rPr>
            </w:pPr>
            <w:r>
              <w:rPr>
                <w:rFonts w:hint="eastAsia" w:ascii="宋体" w:hAnsi="宋体"/>
                <w:color w:val="auto"/>
                <w:szCs w:val="21"/>
                <w:highlight w:val="none"/>
              </w:rPr>
              <w:t>第二章 工作目标与组织架构</w:t>
            </w:r>
          </w:p>
        </w:tc>
        <w:tc>
          <w:tcPr>
            <w:tcW w:w="2049" w:type="dxa"/>
            <w:noWrap w:val="0"/>
            <w:vAlign w:val="center"/>
          </w:tcPr>
          <w:p w14:paraId="7B7D13FB">
            <w:pPr>
              <w:spacing w:line="260" w:lineRule="exact"/>
              <w:jc w:val="center"/>
              <w:rPr>
                <w:rFonts w:ascii="宋体" w:hAnsi="宋体"/>
                <w:color w:val="auto"/>
                <w:szCs w:val="21"/>
                <w:highlight w:val="none"/>
              </w:rPr>
            </w:pPr>
            <w:r>
              <w:rPr>
                <w:rFonts w:hint="eastAsia" w:ascii="宋体" w:hAnsi="宋体"/>
                <w:color w:val="auto"/>
                <w:szCs w:val="21"/>
                <w:highlight w:val="none"/>
              </w:rPr>
              <w:t>工作目标</w:t>
            </w:r>
          </w:p>
        </w:tc>
        <w:tc>
          <w:tcPr>
            <w:tcW w:w="1356" w:type="dxa"/>
            <w:noWrap w:val="0"/>
            <w:vAlign w:val="center"/>
          </w:tcPr>
          <w:p w14:paraId="0E3D917F">
            <w:pPr>
              <w:spacing w:line="260" w:lineRule="exact"/>
              <w:jc w:val="center"/>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5]</w:t>
            </w:r>
          </w:p>
        </w:tc>
        <w:tc>
          <w:tcPr>
            <w:tcW w:w="7198" w:type="dxa"/>
            <w:noWrap w:val="0"/>
            <w:vAlign w:val="center"/>
          </w:tcPr>
          <w:p w14:paraId="22082A48">
            <w:pPr>
              <w:spacing w:line="260" w:lineRule="exact"/>
              <w:jc w:val="left"/>
              <w:rPr>
                <w:rFonts w:hint="eastAsia" w:ascii="宋体" w:hAnsi="宋体"/>
                <w:color w:val="auto"/>
                <w:szCs w:val="21"/>
                <w:highlight w:val="none"/>
              </w:rPr>
            </w:pPr>
            <w:r>
              <w:rPr>
                <w:rFonts w:hint="eastAsia" w:ascii="宋体" w:hAnsi="宋体" w:cs="宋体"/>
                <w:color w:val="auto"/>
                <w:szCs w:val="21"/>
                <w:highlight w:val="none"/>
              </w:rPr>
              <w:t>投标人能够正确理解本项目的建设意图，对项目的特点理解透彻，设计目标明确：能够正确理解项目特点，设计目标明确</w:t>
            </w:r>
            <w:r>
              <w:rPr>
                <w:rFonts w:hint="eastAsia" w:ascii="宋体" w:hAnsi="宋体"/>
                <w:color w:val="auto"/>
                <w:szCs w:val="21"/>
                <w:highlight w:val="none"/>
              </w:rPr>
              <w:t>。</w:t>
            </w:r>
          </w:p>
          <w:p w14:paraId="0E2BF039">
            <w:pPr>
              <w:spacing w:line="260" w:lineRule="exact"/>
              <w:jc w:val="left"/>
              <w:rPr>
                <w:rFonts w:ascii="宋体" w:hAnsi="宋体"/>
                <w:color w:val="auto"/>
                <w:szCs w:val="21"/>
                <w:highlight w:val="none"/>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[2.5,1.5)</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[1.5,1)</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[1,0.5)</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[0.5,0]</w:t>
            </w:r>
            <w:r>
              <w:rPr>
                <w:rFonts w:hint="eastAsia" w:ascii="宋体" w:hAnsi="宋体"/>
                <w:b/>
                <w:bCs/>
                <w:color w:val="auto"/>
                <w:szCs w:val="21"/>
                <w:highlight w:val="none"/>
                <w:u w:val="none"/>
              </w:rPr>
              <w:t>分。</w:t>
            </w:r>
          </w:p>
        </w:tc>
      </w:tr>
      <w:tr w14:paraId="1FCA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87" w:type="dxa"/>
            <w:vMerge w:val="continue"/>
            <w:noWrap w:val="0"/>
            <w:vAlign w:val="center"/>
          </w:tcPr>
          <w:p w14:paraId="279987AC">
            <w:pPr>
              <w:spacing w:line="260" w:lineRule="exact"/>
              <w:jc w:val="center"/>
              <w:rPr>
                <w:rFonts w:ascii="宋体" w:hAnsi="宋体"/>
                <w:color w:val="auto"/>
                <w:szCs w:val="21"/>
                <w:highlight w:val="none"/>
              </w:rPr>
            </w:pPr>
          </w:p>
        </w:tc>
        <w:tc>
          <w:tcPr>
            <w:tcW w:w="2049" w:type="dxa"/>
            <w:noWrap w:val="0"/>
            <w:vAlign w:val="center"/>
          </w:tcPr>
          <w:p w14:paraId="2E420E0B">
            <w:pPr>
              <w:spacing w:line="260" w:lineRule="exact"/>
              <w:jc w:val="center"/>
              <w:rPr>
                <w:rFonts w:ascii="宋体" w:hAnsi="宋体"/>
                <w:color w:val="auto"/>
                <w:szCs w:val="21"/>
                <w:highlight w:val="none"/>
              </w:rPr>
            </w:pPr>
            <w:r>
              <w:rPr>
                <w:rFonts w:hint="eastAsia" w:ascii="宋体" w:hAnsi="宋体"/>
                <w:color w:val="auto"/>
                <w:szCs w:val="21"/>
                <w:highlight w:val="none"/>
              </w:rPr>
              <w:t>组织架构</w:t>
            </w:r>
          </w:p>
        </w:tc>
        <w:tc>
          <w:tcPr>
            <w:tcW w:w="1356" w:type="dxa"/>
            <w:noWrap w:val="0"/>
            <w:vAlign w:val="center"/>
          </w:tcPr>
          <w:p w14:paraId="7FF37E30">
            <w:pPr>
              <w:spacing w:line="260" w:lineRule="exact"/>
              <w:jc w:val="center"/>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5]</w:t>
            </w:r>
          </w:p>
        </w:tc>
        <w:tc>
          <w:tcPr>
            <w:tcW w:w="7198" w:type="dxa"/>
            <w:noWrap w:val="0"/>
            <w:vAlign w:val="center"/>
          </w:tcPr>
          <w:p w14:paraId="63D6CF6A">
            <w:pPr>
              <w:spacing w:line="260" w:lineRule="exact"/>
              <w:jc w:val="left"/>
              <w:rPr>
                <w:rFonts w:hint="eastAsia" w:ascii="宋体" w:hAnsi="宋体"/>
                <w:color w:val="auto"/>
                <w:szCs w:val="21"/>
                <w:highlight w:val="none"/>
              </w:rPr>
            </w:pPr>
            <w:r>
              <w:rPr>
                <w:rFonts w:hint="eastAsia" w:ascii="宋体" w:hAnsi="宋体"/>
                <w:color w:val="auto"/>
                <w:szCs w:val="21"/>
                <w:highlight w:val="none"/>
              </w:rPr>
              <w:t>了解项目总体情况，编制合理的组织架构，满足项目需要。</w:t>
            </w:r>
          </w:p>
          <w:p w14:paraId="49194236">
            <w:pPr>
              <w:spacing w:line="260" w:lineRule="exact"/>
              <w:jc w:val="left"/>
              <w:rPr>
                <w:rFonts w:ascii="宋体" w:hAnsi="宋体"/>
                <w:color w:val="auto"/>
                <w:szCs w:val="21"/>
                <w:highlight w:val="none"/>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[2.5,1.5)</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[1.5,1)</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[1,0.5)</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[0.5,0]</w:t>
            </w:r>
            <w:r>
              <w:rPr>
                <w:rFonts w:hint="eastAsia" w:ascii="宋体" w:hAnsi="宋体"/>
                <w:b/>
                <w:bCs/>
                <w:color w:val="auto"/>
                <w:szCs w:val="21"/>
                <w:highlight w:val="none"/>
                <w:u w:val="none"/>
              </w:rPr>
              <w:t>分。</w:t>
            </w:r>
          </w:p>
        </w:tc>
      </w:tr>
      <w:tr w14:paraId="45BC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187" w:type="dxa"/>
            <w:vMerge w:val="restart"/>
            <w:noWrap w:val="0"/>
            <w:vAlign w:val="center"/>
          </w:tcPr>
          <w:p w14:paraId="639C92B4">
            <w:pPr>
              <w:spacing w:line="260" w:lineRule="exact"/>
              <w:jc w:val="center"/>
              <w:rPr>
                <w:rFonts w:ascii="宋体" w:hAnsi="宋体"/>
                <w:color w:val="auto"/>
                <w:szCs w:val="21"/>
                <w:highlight w:val="none"/>
              </w:rPr>
            </w:pPr>
            <w:r>
              <w:rPr>
                <w:rFonts w:hint="eastAsia" w:ascii="宋体" w:hAnsi="宋体"/>
                <w:color w:val="auto"/>
                <w:szCs w:val="21"/>
                <w:highlight w:val="none"/>
              </w:rPr>
              <w:t>第三章 现状调研与服务措施</w:t>
            </w:r>
          </w:p>
        </w:tc>
        <w:tc>
          <w:tcPr>
            <w:tcW w:w="2049" w:type="dxa"/>
            <w:noWrap w:val="0"/>
            <w:vAlign w:val="center"/>
          </w:tcPr>
          <w:p w14:paraId="4A219868">
            <w:pPr>
              <w:spacing w:line="260" w:lineRule="exact"/>
              <w:jc w:val="center"/>
              <w:rPr>
                <w:rFonts w:ascii="宋体" w:hAnsi="宋体"/>
                <w:color w:val="auto"/>
                <w:szCs w:val="21"/>
                <w:highlight w:val="none"/>
              </w:rPr>
            </w:pPr>
            <w:r>
              <w:rPr>
                <w:rFonts w:hint="eastAsia" w:ascii="宋体" w:hAnsi="宋体"/>
                <w:color w:val="auto"/>
                <w:szCs w:val="21"/>
                <w:highlight w:val="none"/>
              </w:rPr>
              <w:t>现状调研</w:t>
            </w:r>
          </w:p>
        </w:tc>
        <w:tc>
          <w:tcPr>
            <w:tcW w:w="1356" w:type="dxa"/>
            <w:noWrap w:val="0"/>
            <w:vAlign w:val="center"/>
          </w:tcPr>
          <w:p w14:paraId="7B2F79D2">
            <w:pPr>
              <w:spacing w:line="260" w:lineRule="exact"/>
              <w:jc w:val="center"/>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w:t>
            </w:r>
          </w:p>
        </w:tc>
        <w:tc>
          <w:tcPr>
            <w:tcW w:w="7198" w:type="dxa"/>
            <w:noWrap w:val="0"/>
            <w:vAlign w:val="center"/>
          </w:tcPr>
          <w:p w14:paraId="59A49CCE">
            <w:pPr>
              <w:spacing w:line="260" w:lineRule="exact"/>
              <w:jc w:val="left"/>
              <w:rPr>
                <w:rFonts w:hint="eastAsia" w:ascii="宋体" w:hAnsi="宋体"/>
                <w:color w:val="auto"/>
                <w:szCs w:val="21"/>
                <w:highlight w:val="none"/>
              </w:rPr>
            </w:pPr>
            <w:r>
              <w:rPr>
                <w:rFonts w:hint="eastAsia" w:ascii="宋体" w:hAnsi="宋体"/>
                <w:color w:val="auto"/>
                <w:szCs w:val="21"/>
                <w:highlight w:val="none"/>
              </w:rPr>
              <w:t>投标人对项目所在地建设条件认识充分，</w:t>
            </w:r>
            <w:r>
              <w:rPr>
                <w:rFonts w:hint="eastAsia" w:ascii="宋体" w:hAnsi="宋体"/>
                <w:color w:val="auto"/>
                <w:szCs w:val="21"/>
                <w:highlight w:val="none"/>
                <w:lang w:val="en-US" w:eastAsia="zh-CN"/>
              </w:rPr>
              <w:t>勘察</w:t>
            </w:r>
            <w:r>
              <w:rPr>
                <w:rFonts w:hint="eastAsia" w:ascii="宋体" w:hAnsi="宋体"/>
                <w:color w:val="auto"/>
                <w:szCs w:val="21"/>
                <w:highlight w:val="none"/>
              </w:rPr>
              <w:t>基础资料调查详尽</w:t>
            </w:r>
            <w:r>
              <w:rPr>
                <w:rFonts w:hint="eastAsia" w:ascii="宋体" w:hAnsi="宋体"/>
                <w:color w:val="auto"/>
                <w:szCs w:val="21"/>
                <w:highlight w:val="none"/>
                <w:lang w:val="en-US" w:eastAsia="zh-CN"/>
              </w:rPr>
              <w:t>、地形图信息清晰度提供有效保障</w:t>
            </w:r>
            <w:r>
              <w:rPr>
                <w:rFonts w:hint="eastAsia" w:ascii="宋体" w:hAnsi="宋体"/>
                <w:color w:val="auto"/>
                <w:szCs w:val="21"/>
                <w:highlight w:val="none"/>
              </w:rPr>
              <w:t>，</w:t>
            </w:r>
            <w:r>
              <w:rPr>
                <w:rFonts w:hint="eastAsia" w:ascii="宋体" w:hAnsi="宋体"/>
                <w:color w:val="auto"/>
                <w:szCs w:val="21"/>
                <w:highlight w:val="none"/>
                <w:lang w:val="en-US" w:eastAsia="zh-CN"/>
              </w:rPr>
              <w:t>规划分析理解充分</w:t>
            </w:r>
            <w:r>
              <w:rPr>
                <w:rFonts w:hint="eastAsia" w:ascii="宋体" w:hAnsi="宋体"/>
                <w:color w:val="auto"/>
                <w:szCs w:val="21"/>
                <w:highlight w:val="none"/>
              </w:rPr>
              <w:t>，对</w:t>
            </w:r>
            <w:r>
              <w:rPr>
                <w:rFonts w:hint="eastAsia" w:ascii="宋体" w:hAnsi="宋体"/>
                <w:color w:val="auto"/>
                <w:szCs w:val="21"/>
                <w:highlight w:val="none"/>
                <w:lang w:val="en-US" w:eastAsia="zh-CN"/>
              </w:rPr>
              <w:t>现场和</w:t>
            </w:r>
            <w:r>
              <w:rPr>
                <w:rFonts w:hint="eastAsia" w:ascii="宋体" w:hAnsi="宋体"/>
                <w:color w:val="auto"/>
                <w:szCs w:val="21"/>
                <w:highlight w:val="none"/>
              </w:rPr>
              <w:t>周边环境分析透彻，</w:t>
            </w:r>
            <w:r>
              <w:rPr>
                <w:rFonts w:hint="eastAsia" w:ascii="宋体" w:hAnsi="宋体"/>
                <w:color w:val="auto"/>
                <w:szCs w:val="21"/>
                <w:highlight w:val="none"/>
                <w:lang w:val="en-US" w:eastAsia="zh-CN"/>
              </w:rPr>
              <w:t>对生态修复设计分析合理，</w:t>
            </w:r>
            <w:r>
              <w:rPr>
                <w:rFonts w:hint="eastAsia" w:ascii="宋体" w:hAnsi="宋体"/>
                <w:color w:val="auto"/>
                <w:szCs w:val="21"/>
                <w:highlight w:val="none"/>
              </w:rPr>
              <w:t>有充分理解和独到的认识。</w:t>
            </w:r>
          </w:p>
          <w:p w14:paraId="64992CBF">
            <w:pPr>
              <w:spacing w:line="260" w:lineRule="exact"/>
              <w:jc w:val="left"/>
              <w:rPr>
                <w:rFonts w:ascii="宋体" w:hAnsi="宋体"/>
                <w:color w:val="auto"/>
                <w:szCs w:val="21"/>
                <w:highlight w:val="none"/>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[15,12)</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[12,8)</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[8,4)</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[4,0]</w:t>
            </w:r>
            <w:r>
              <w:rPr>
                <w:rFonts w:hint="eastAsia" w:ascii="宋体" w:hAnsi="宋体"/>
                <w:b/>
                <w:bCs/>
                <w:color w:val="auto"/>
                <w:szCs w:val="21"/>
                <w:highlight w:val="none"/>
                <w:u w:val="none"/>
              </w:rPr>
              <w:t>分</w:t>
            </w:r>
            <w:r>
              <w:rPr>
                <w:rFonts w:hint="eastAsia" w:ascii="宋体" w:hAnsi="宋体"/>
                <w:b/>
                <w:bCs/>
                <w:color w:val="auto"/>
                <w:szCs w:val="21"/>
                <w:highlight w:val="none"/>
              </w:rPr>
              <w:t>。</w:t>
            </w:r>
          </w:p>
        </w:tc>
      </w:tr>
      <w:tr w14:paraId="4DCF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187" w:type="dxa"/>
            <w:vMerge w:val="continue"/>
            <w:noWrap w:val="0"/>
            <w:vAlign w:val="center"/>
          </w:tcPr>
          <w:p w14:paraId="0315A1B0">
            <w:pPr>
              <w:spacing w:line="260" w:lineRule="exact"/>
              <w:jc w:val="center"/>
              <w:rPr>
                <w:rFonts w:ascii="宋体" w:hAnsi="宋体"/>
                <w:color w:val="auto"/>
                <w:szCs w:val="21"/>
                <w:highlight w:val="none"/>
              </w:rPr>
            </w:pPr>
          </w:p>
        </w:tc>
        <w:tc>
          <w:tcPr>
            <w:tcW w:w="2049" w:type="dxa"/>
            <w:noWrap w:val="0"/>
            <w:vAlign w:val="center"/>
          </w:tcPr>
          <w:p w14:paraId="00585CD3">
            <w:pPr>
              <w:spacing w:line="260" w:lineRule="exact"/>
              <w:jc w:val="center"/>
              <w:rPr>
                <w:rFonts w:ascii="宋体" w:hAnsi="宋体"/>
                <w:color w:val="auto"/>
                <w:szCs w:val="21"/>
                <w:highlight w:val="none"/>
              </w:rPr>
            </w:pPr>
            <w:r>
              <w:rPr>
                <w:rFonts w:hint="eastAsia" w:ascii="宋体" w:hAnsi="宋体"/>
                <w:color w:val="auto"/>
                <w:szCs w:val="21"/>
                <w:highlight w:val="none"/>
              </w:rPr>
              <w:t>服务措施</w:t>
            </w:r>
          </w:p>
        </w:tc>
        <w:tc>
          <w:tcPr>
            <w:tcW w:w="1356" w:type="dxa"/>
            <w:noWrap w:val="0"/>
            <w:vAlign w:val="center"/>
          </w:tcPr>
          <w:p w14:paraId="59B03F1D">
            <w:pPr>
              <w:spacing w:line="260" w:lineRule="exact"/>
              <w:jc w:val="center"/>
              <w:rPr>
                <w:rFonts w:ascii="宋体" w:hAnsi="宋体"/>
                <w:color w:val="auto"/>
                <w:szCs w:val="21"/>
                <w:highlight w:val="none"/>
                <w:u w:val="single"/>
              </w:rPr>
            </w:pPr>
            <w:r>
              <w:rPr>
                <w:rFonts w:hint="eastAsia" w:ascii="宋体" w:hAnsi="宋体"/>
                <w:color w:val="auto"/>
                <w:szCs w:val="21"/>
                <w:highlight w:val="none"/>
                <w:u w:val="single"/>
              </w:rPr>
              <w:t>[5]</w:t>
            </w:r>
          </w:p>
        </w:tc>
        <w:tc>
          <w:tcPr>
            <w:tcW w:w="7198" w:type="dxa"/>
            <w:noWrap w:val="0"/>
            <w:vAlign w:val="center"/>
          </w:tcPr>
          <w:p w14:paraId="144A61A9">
            <w:pPr>
              <w:spacing w:line="260" w:lineRule="exact"/>
              <w:jc w:val="left"/>
              <w:rPr>
                <w:rFonts w:hint="eastAsia" w:ascii="宋体" w:hAnsi="宋体"/>
                <w:color w:val="auto"/>
                <w:szCs w:val="21"/>
                <w:highlight w:val="none"/>
              </w:rPr>
            </w:pPr>
            <w:r>
              <w:rPr>
                <w:rFonts w:hint="eastAsia" w:ascii="宋体" w:hAnsi="宋体" w:cs="宋体"/>
                <w:color w:val="auto"/>
                <w:szCs w:val="21"/>
                <w:highlight w:val="none"/>
              </w:rPr>
              <w:t>投标人针对本项目制定</w:t>
            </w:r>
            <w:r>
              <w:rPr>
                <w:rFonts w:hint="eastAsia" w:ascii="宋体" w:hAnsi="宋体" w:cs="宋体"/>
                <w:color w:val="auto"/>
                <w:szCs w:val="21"/>
                <w:highlight w:val="none"/>
                <w:lang w:val="en-US" w:eastAsia="zh-CN"/>
              </w:rPr>
              <w:t>勘察和</w:t>
            </w:r>
            <w:r>
              <w:rPr>
                <w:rFonts w:hint="eastAsia" w:ascii="宋体" w:hAnsi="宋体" w:cs="宋体"/>
                <w:color w:val="auto"/>
                <w:szCs w:val="21"/>
                <w:highlight w:val="none"/>
              </w:rPr>
              <w:t>设计进度安排、质量保证措施等</w:t>
            </w:r>
            <w:r>
              <w:rPr>
                <w:rFonts w:hint="eastAsia" w:ascii="宋体" w:hAnsi="宋体"/>
                <w:color w:val="auto"/>
                <w:szCs w:val="21"/>
                <w:highlight w:val="none"/>
              </w:rPr>
              <w:t>。</w:t>
            </w:r>
          </w:p>
          <w:p w14:paraId="2BA418B2">
            <w:pPr>
              <w:spacing w:line="260" w:lineRule="exact"/>
              <w:jc w:val="left"/>
              <w:rPr>
                <w:rFonts w:ascii="宋体" w:hAnsi="宋体"/>
                <w:color w:val="auto"/>
                <w:szCs w:val="21"/>
                <w:highlight w:val="none"/>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[5,4)</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[4,2)</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[2,1)</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[1,0]</w:t>
            </w:r>
            <w:r>
              <w:rPr>
                <w:rFonts w:hint="eastAsia" w:ascii="宋体" w:hAnsi="宋体"/>
                <w:b/>
                <w:bCs/>
                <w:color w:val="auto"/>
                <w:szCs w:val="21"/>
                <w:highlight w:val="none"/>
                <w:u w:val="none"/>
              </w:rPr>
              <w:t>分。</w:t>
            </w:r>
          </w:p>
        </w:tc>
      </w:tr>
      <w:tr w14:paraId="157A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87" w:type="dxa"/>
            <w:vMerge w:val="restart"/>
            <w:noWrap w:val="0"/>
            <w:vAlign w:val="center"/>
          </w:tcPr>
          <w:p w14:paraId="206C8ECA">
            <w:pPr>
              <w:spacing w:line="260" w:lineRule="exact"/>
              <w:jc w:val="center"/>
              <w:rPr>
                <w:rFonts w:ascii="宋体" w:hAnsi="宋体"/>
                <w:color w:val="auto"/>
                <w:szCs w:val="21"/>
                <w:highlight w:val="none"/>
              </w:rPr>
            </w:pPr>
            <w:r>
              <w:rPr>
                <w:rFonts w:hint="eastAsia" w:ascii="宋体" w:hAnsi="宋体"/>
                <w:color w:val="auto"/>
                <w:szCs w:val="21"/>
                <w:highlight w:val="none"/>
              </w:rPr>
              <w:t xml:space="preserve">第四章 </w:t>
            </w:r>
            <w:r>
              <w:rPr>
                <w:rFonts w:hint="eastAsia" w:ascii="宋体" w:hAnsi="宋体"/>
                <w:color w:val="auto"/>
                <w:szCs w:val="21"/>
                <w:highlight w:val="none"/>
                <w:lang w:val="en-US" w:eastAsia="zh-CN"/>
              </w:rPr>
              <w:t>勘察</w:t>
            </w:r>
            <w:r>
              <w:rPr>
                <w:rFonts w:hint="eastAsia" w:ascii="宋体" w:hAnsi="宋体"/>
                <w:color w:val="auto"/>
                <w:szCs w:val="21"/>
                <w:highlight w:val="none"/>
              </w:rPr>
              <w:t>设计方案</w:t>
            </w:r>
          </w:p>
        </w:tc>
        <w:tc>
          <w:tcPr>
            <w:tcW w:w="2049" w:type="dxa"/>
            <w:noWrap w:val="0"/>
            <w:vAlign w:val="center"/>
          </w:tcPr>
          <w:p w14:paraId="7D9A186E">
            <w:pPr>
              <w:spacing w:line="26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总体勘察设计方</w:t>
            </w:r>
            <w:r>
              <w:rPr>
                <w:rFonts w:hint="eastAsia" w:ascii="宋体" w:hAnsi="宋体"/>
                <w:color w:val="auto"/>
                <w:szCs w:val="21"/>
                <w:highlight w:val="none"/>
                <w:lang w:val="en-US" w:eastAsia="zh-CN"/>
              </w:rPr>
              <w:t>案</w:t>
            </w:r>
          </w:p>
        </w:tc>
        <w:tc>
          <w:tcPr>
            <w:tcW w:w="1356" w:type="dxa"/>
            <w:noWrap w:val="0"/>
            <w:vAlign w:val="center"/>
          </w:tcPr>
          <w:p w14:paraId="79DC5795">
            <w:pPr>
              <w:spacing w:line="260" w:lineRule="exact"/>
              <w:jc w:val="center"/>
              <w:rPr>
                <w:rFonts w:hint="default" w:ascii="宋体" w:hAnsi="宋体" w:eastAsiaTheme="minorEastAsia"/>
                <w:color w:val="auto"/>
                <w:szCs w:val="21"/>
                <w:highlight w:val="none"/>
                <w:u w:val="single"/>
                <w:lang w:val="en-US" w:eastAsia="zh-CN"/>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w:t>
            </w:r>
          </w:p>
        </w:tc>
        <w:tc>
          <w:tcPr>
            <w:tcW w:w="7198" w:type="dxa"/>
            <w:noWrap w:val="0"/>
            <w:vAlign w:val="center"/>
          </w:tcPr>
          <w:p w14:paraId="58AB833A">
            <w:pPr>
              <w:spacing w:line="260" w:lineRule="exact"/>
              <w:jc w:val="left"/>
              <w:rPr>
                <w:rFonts w:hint="eastAsia" w:ascii="宋体" w:hAnsi="宋体"/>
                <w:b/>
                <w:bCs/>
                <w:color w:val="auto"/>
                <w:szCs w:val="21"/>
                <w:highlight w:val="none"/>
                <w:lang w:val="en-US" w:eastAsia="zh-CN"/>
              </w:rPr>
            </w:pPr>
            <w:r>
              <w:rPr>
                <w:rFonts w:hint="eastAsia" w:ascii="宋体" w:hAnsi="宋体" w:cs="宋体"/>
                <w:color w:val="auto"/>
                <w:szCs w:val="21"/>
                <w:highlight w:val="none"/>
                <w:lang w:val="en-US" w:eastAsia="zh-CN"/>
              </w:rPr>
              <w:t>设计方案，</w:t>
            </w:r>
            <w:r>
              <w:rPr>
                <w:rFonts w:hint="eastAsia" w:ascii="宋体" w:hAnsi="宋体" w:cs="宋体"/>
                <w:color w:val="auto"/>
                <w:szCs w:val="21"/>
                <w:highlight w:val="none"/>
              </w:rPr>
              <w:t>提出针对性的</w:t>
            </w:r>
            <w:r>
              <w:rPr>
                <w:rFonts w:hint="eastAsia" w:ascii="宋体" w:hAnsi="宋体" w:cs="宋体"/>
                <w:color w:val="auto"/>
                <w:szCs w:val="21"/>
                <w:highlight w:val="none"/>
                <w:lang w:val="en-US" w:eastAsia="zh-CN"/>
              </w:rPr>
              <w:t>有创意特色的</w:t>
            </w:r>
            <w:r>
              <w:rPr>
                <w:rFonts w:hint="eastAsia" w:ascii="宋体" w:hAnsi="宋体" w:cs="宋体"/>
                <w:color w:val="auto"/>
                <w:szCs w:val="21"/>
                <w:highlight w:val="none"/>
              </w:rPr>
              <w:t>设计方案，设计方案应符合现行规划、区域建设发展的要求；方案设计与周边风貌协调，应结合周边环境，体现可行性、科学性</w:t>
            </w:r>
            <w:r>
              <w:rPr>
                <w:rFonts w:hint="eastAsia" w:ascii="宋体" w:hAnsi="宋体" w:cs="宋体"/>
                <w:color w:val="auto"/>
                <w:szCs w:val="21"/>
                <w:highlight w:val="none"/>
                <w:lang w:eastAsia="zh-CN"/>
              </w:rPr>
              <w:t>、</w:t>
            </w:r>
            <w:r>
              <w:rPr>
                <w:rFonts w:hint="eastAsia" w:ascii="宋体" w:hAnsi="宋体" w:cs="宋体"/>
                <w:color w:val="auto"/>
                <w:szCs w:val="21"/>
                <w:highlight w:val="none"/>
              </w:rPr>
              <w:t>实用性</w:t>
            </w:r>
            <w:r>
              <w:rPr>
                <w:rFonts w:hint="eastAsia" w:ascii="宋体" w:hAnsi="宋体" w:cs="宋体"/>
                <w:color w:val="auto"/>
                <w:szCs w:val="21"/>
                <w:highlight w:val="none"/>
                <w:lang w:val="en-US" w:eastAsia="zh-CN"/>
              </w:rPr>
              <w:t>及低碳环保</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植物配置丰富、</w:t>
            </w:r>
            <w:r>
              <w:rPr>
                <w:rFonts w:hint="eastAsia" w:ascii="宋体" w:hAnsi="宋体" w:cs="宋体"/>
                <w:color w:val="auto"/>
                <w:szCs w:val="21"/>
                <w:highlight w:val="none"/>
              </w:rPr>
              <w:t>配套设施设置</w:t>
            </w:r>
            <w:r>
              <w:rPr>
                <w:rFonts w:hint="eastAsia" w:ascii="宋体" w:hAnsi="宋体" w:cs="宋体"/>
                <w:color w:val="auto"/>
                <w:szCs w:val="21"/>
                <w:highlight w:val="none"/>
                <w:lang w:val="en-US" w:eastAsia="zh-CN"/>
              </w:rPr>
              <w:t>布局</w:t>
            </w:r>
            <w:r>
              <w:rPr>
                <w:rFonts w:hint="eastAsia" w:ascii="宋体" w:hAnsi="宋体" w:cs="宋体"/>
                <w:color w:val="auto"/>
                <w:szCs w:val="21"/>
                <w:highlight w:val="none"/>
              </w:rPr>
              <w:t>合理。</w:t>
            </w:r>
          </w:p>
          <w:p w14:paraId="6F63174A">
            <w:pPr>
              <w:wordWrap w:val="0"/>
              <w:topLinePunct/>
              <w:spacing w:line="276" w:lineRule="auto"/>
              <w:rPr>
                <w:rFonts w:hint="eastAsia" w:ascii="宋体" w:hAnsi="宋体"/>
                <w:b/>
                <w:bCs/>
                <w:color w:val="auto"/>
                <w:szCs w:val="21"/>
                <w:highlight w:val="none"/>
                <w:lang w:val="en-US" w:eastAsia="zh-CN"/>
              </w:rPr>
            </w:pPr>
            <w:r>
              <w:rPr>
                <w:rFonts w:hint="eastAsia" w:ascii="宋体" w:hAnsi="宋体" w:eastAsia="宋体" w:cs="宋体"/>
                <w:color w:val="auto"/>
                <w:szCs w:val="21"/>
                <w:highlight w:val="none"/>
                <w:lang w:val="zh-CN"/>
              </w:rPr>
              <w:t>勘察方案，主要比较各投标人勘察方案的合理性、本次勘察的重点、难点及建议。</w:t>
            </w:r>
          </w:p>
          <w:p w14:paraId="45565CD0">
            <w:pPr>
              <w:pStyle w:val="2"/>
              <w:ind w:left="0" w:leftChars="0" w:firstLine="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[15,12)</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[12,8)</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[8,4)</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[4,0]</w:t>
            </w:r>
            <w:r>
              <w:rPr>
                <w:rFonts w:hint="eastAsia" w:ascii="宋体" w:hAnsi="宋体"/>
                <w:b/>
                <w:bCs/>
                <w:color w:val="auto"/>
                <w:szCs w:val="21"/>
                <w:highlight w:val="none"/>
                <w:u w:val="none"/>
              </w:rPr>
              <w:t>分</w:t>
            </w:r>
            <w:r>
              <w:rPr>
                <w:rFonts w:hint="eastAsia" w:ascii="宋体" w:hAnsi="宋体"/>
                <w:b/>
                <w:bCs/>
                <w:color w:val="auto"/>
                <w:szCs w:val="21"/>
                <w:highlight w:val="none"/>
              </w:rPr>
              <w:t>。</w:t>
            </w:r>
          </w:p>
        </w:tc>
      </w:tr>
      <w:tr w14:paraId="513B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87" w:type="dxa"/>
            <w:vMerge w:val="continue"/>
            <w:noWrap w:val="0"/>
            <w:vAlign w:val="center"/>
          </w:tcPr>
          <w:p w14:paraId="249ACA0C">
            <w:pPr>
              <w:spacing w:line="260" w:lineRule="exact"/>
              <w:jc w:val="center"/>
              <w:rPr>
                <w:rFonts w:ascii="宋体" w:hAnsi="宋体"/>
                <w:color w:val="auto"/>
                <w:szCs w:val="21"/>
                <w:highlight w:val="none"/>
              </w:rPr>
            </w:pPr>
          </w:p>
        </w:tc>
        <w:tc>
          <w:tcPr>
            <w:tcW w:w="2049" w:type="dxa"/>
            <w:noWrap w:val="0"/>
            <w:vAlign w:val="center"/>
          </w:tcPr>
          <w:p w14:paraId="21853C52">
            <w:pPr>
              <w:spacing w:line="260" w:lineRule="exact"/>
              <w:jc w:val="center"/>
              <w:rPr>
                <w:rFonts w:hint="eastAsia" w:ascii="宋体" w:hAnsi="宋体"/>
                <w:color w:val="auto"/>
                <w:szCs w:val="21"/>
                <w:highlight w:val="none"/>
              </w:rPr>
            </w:pPr>
            <w:r>
              <w:rPr>
                <w:rFonts w:hint="eastAsia" w:ascii="宋体" w:hAnsi="宋体"/>
                <w:color w:val="auto"/>
                <w:szCs w:val="21"/>
                <w:highlight w:val="none"/>
              </w:rPr>
              <w:t>垛基果林湿地修复勘察设计方案</w:t>
            </w:r>
          </w:p>
        </w:tc>
        <w:tc>
          <w:tcPr>
            <w:tcW w:w="1356" w:type="dxa"/>
            <w:noWrap w:val="0"/>
            <w:vAlign w:val="center"/>
          </w:tcPr>
          <w:p w14:paraId="6D48109F">
            <w:pPr>
              <w:spacing w:line="260" w:lineRule="exact"/>
              <w:jc w:val="center"/>
              <w:rPr>
                <w:rFonts w:hint="default" w:ascii="宋体" w:hAnsi="宋体" w:eastAsiaTheme="minorEastAsia"/>
                <w:color w:val="auto"/>
                <w:szCs w:val="21"/>
                <w:highlight w:val="none"/>
                <w:u w:val="single"/>
                <w:lang w:val="en-US" w:eastAsia="zh-CN"/>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w:t>
            </w:r>
          </w:p>
        </w:tc>
        <w:tc>
          <w:tcPr>
            <w:tcW w:w="7198" w:type="dxa"/>
            <w:noWrap w:val="0"/>
            <w:vAlign w:val="center"/>
          </w:tcPr>
          <w:p w14:paraId="1357947C">
            <w:pPr>
              <w:spacing w:line="260" w:lineRule="exact"/>
              <w:jc w:val="left"/>
              <w:rPr>
                <w:rFonts w:hint="eastAsia" w:ascii="宋体" w:hAnsi="宋体"/>
                <w:b/>
                <w:bCs/>
                <w:color w:val="auto"/>
                <w:szCs w:val="21"/>
                <w:highlight w:val="none"/>
                <w:lang w:val="en-US" w:eastAsia="zh-CN"/>
              </w:rPr>
            </w:pPr>
            <w:r>
              <w:rPr>
                <w:rFonts w:hint="eastAsia" w:ascii="宋体" w:hAnsi="宋体" w:cs="宋体"/>
                <w:color w:val="auto"/>
                <w:szCs w:val="21"/>
                <w:highlight w:val="none"/>
                <w:lang w:val="en-US" w:eastAsia="zh-CN"/>
              </w:rPr>
              <w:t>设计方案，</w:t>
            </w:r>
            <w:r>
              <w:rPr>
                <w:rFonts w:hint="eastAsia" w:ascii="宋体" w:hAnsi="宋体" w:cs="宋体"/>
                <w:color w:val="auto"/>
                <w:szCs w:val="21"/>
                <w:highlight w:val="none"/>
              </w:rPr>
              <w:t>提出针对性的</w:t>
            </w:r>
            <w:r>
              <w:rPr>
                <w:rFonts w:hint="eastAsia" w:ascii="宋体" w:hAnsi="宋体" w:cs="宋体"/>
                <w:color w:val="auto"/>
                <w:szCs w:val="21"/>
                <w:highlight w:val="none"/>
                <w:lang w:val="en-US" w:eastAsia="zh-CN"/>
              </w:rPr>
              <w:t>有创意特色的</w:t>
            </w:r>
            <w:r>
              <w:rPr>
                <w:rFonts w:hint="eastAsia" w:ascii="宋体" w:hAnsi="宋体" w:cs="宋体"/>
                <w:color w:val="auto"/>
                <w:szCs w:val="21"/>
                <w:highlight w:val="none"/>
              </w:rPr>
              <w:t>设计方案，设计方案应符合现行规划、区域建设发展的要求；方案设计与周边风貌协调，应结合周边环境，体现可行性、科学性</w:t>
            </w:r>
            <w:r>
              <w:rPr>
                <w:rFonts w:hint="eastAsia" w:ascii="宋体" w:hAnsi="宋体" w:cs="宋体"/>
                <w:color w:val="auto"/>
                <w:szCs w:val="21"/>
                <w:highlight w:val="none"/>
                <w:lang w:eastAsia="zh-CN"/>
              </w:rPr>
              <w:t>、</w:t>
            </w:r>
            <w:r>
              <w:rPr>
                <w:rFonts w:hint="eastAsia" w:ascii="宋体" w:hAnsi="宋体" w:cs="宋体"/>
                <w:color w:val="auto"/>
                <w:szCs w:val="21"/>
                <w:highlight w:val="none"/>
              </w:rPr>
              <w:t>实用性</w:t>
            </w:r>
            <w:r>
              <w:rPr>
                <w:rFonts w:hint="eastAsia" w:ascii="宋体" w:hAnsi="宋体" w:cs="宋体"/>
                <w:color w:val="auto"/>
                <w:szCs w:val="21"/>
                <w:highlight w:val="none"/>
                <w:lang w:val="en-US" w:eastAsia="zh-CN"/>
              </w:rPr>
              <w:t>及低碳环保</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植物配置丰富、</w:t>
            </w:r>
            <w:r>
              <w:rPr>
                <w:rFonts w:hint="eastAsia" w:ascii="宋体" w:hAnsi="宋体" w:cs="宋体"/>
                <w:color w:val="auto"/>
                <w:szCs w:val="21"/>
                <w:highlight w:val="none"/>
              </w:rPr>
              <w:t>配套设施设置</w:t>
            </w:r>
            <w:r>
              <w:rPr>
                <w:rFonts w:hint="eastAsia" w:ascii="宋体" w:hAnsi="宋体" w:cs="宋体"/>
                <w:color w:val="auto"/>
                <w:szCs w:val="21"/>
                <w:highlight w:val="none"/>
                <w:lang w:val="en-US" w:eastAsia="zh-CN"/>
              </w:rPr>
              <w:t>布局</w:t>
            </w:r>
            <w:r>
              <w:rPr>
                <w:rFonts w:hint="eastAsia" w:ascii="宋体" w:hAnsi="宋体" w:cs="宋体"/>
                <w:color w:val="auto"/>
                <w:szCs w:val="21"/>
                <w:highlight w:val="none"/>
              </w:rPr>
              <w:t>合理。</w:t>
            </w:r>
          </w:p>
          <w:p w14:paraId="4B09D8C7">
            <w:pPr>
              <w:wordWrap w:val="0"/>
              <w:topLinePunct/>
              <w:spacing w:line="276" w:lineRule="auto"/>
              <w:rPr>
                <w:rFonts w:hint="eastAsia" w:ascii="宋体" w:hAnsi="宋体"/>
                <w:b/>
                <w:bCs/>
                <w:color w:val="auto"/>
                <w:szCs w:val="21"/>
                <w:highlight w:val="none"/>
                <w:lang w:val="en-US" w:eastAsia="zh-CN"/>
              </w:rPr>
            </w:pPr>
            <w:r>
              <w:rPr>
                <w:rFonts w:hint="eastAsia" w:ascii="宋体" w:hAnsi="宋体" w:eastAsia="宋体" w:cs="宋体"/>
                <w:color w:val="auto"/>
                <w:szCs w:val="21"/>
                <w:highlight w:val="none"/>
                <w:lang w:val="zh-CN"/>
              </w:rPr>
              <w:t>勘察方案，主要比较各投标人勘察方案的合理性、本次勘察的重点、难点及建议。</w:t>
            </w:r>
          </w:p>
          <w:p w14:paraId="4762A322">
            <w:pPr>
              <w:pStyle w:val="2"/>
              <w:ind w:left="0" w:leftChars="0" w:firstLine="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[15,12)</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[12,8)</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[8,4)</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[4,0]</w:t>
            </w:r>
            <w:r>
              <w:rPr>
                <w:rFonts w:hint="eastAsia" w:ascii="宋体" w:hAnsi="宋体"/>
                <w:b/>
                <w:bCs/>
                <w:color w:val="auto"/>
                <w:szCs w:val="21"/>
                <w:highlight w:val="none"/>
                <w:u w:val="none"/>
              </w:rPr>
              <w:t>分</w:t>
            </w:r>
            <w:r>
              <w:rPr>
                <w:rFonts w:hint="eastAsia" w:ascii="宋体" w:hAnsi="宋体"/>
                <w:b/>
                <w:bCs/>
                <w:color w:val="auto"/>
                <w:szCs w:val="21"/>
                <w:highlight w:val="none"/>
              </w:rPr>
              <w:t>。</w:t>
            </w:r>
          </w:p>
        </w:tc>
      </w:tr>
      <w:tr w14:paraId="6CB6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87" w:type="dxa"/>
            <w:vMerge w:val="continue"/>
            <w:noWrap w:val="0"/>
            <w:vAlign w:val="center"/>
          </w:tcPr>
          <w:p w14:paraId="0884AAB8">
            <w:pPr>
              <w:spacing w:line="260" w:lineRule="exact"/>
              <w:jc w:val="center"/>
              <w:rPr>
                <w:rFonts w:ascii="宋体" w:hAnsi="宋体"/>
                <w:color w:val="auto"/>
                <w:szCs w:val="21"/>
                <w:highlight w:val="none"/>
              </w:rPr>
            </w:pPr>
          </w:p>
        </w:tc>
        <w:tc>
          <w:tcPr>
            <w:tcW w:w="2049" w:type="dxa"/>
            <w:noWrap w:val="0"/>
            <w:vAlign w:val="center"/>
          </w:tcPr>
          <w:p w14:paraId="711DC12F">
            <w:pPr>
              <w:spacing w:line="260" w:lineRule="exact"/>
              <w:jc w:val="center"/>
              <w:rPr>
                <w:rFonts w:hint="eastAsia" w:ascii="宋体" w:hAnsi="宋体"/>
                <w:color w:val="auto"/>
                <w:szCs w:val="21"/>
                <w:highlight w:val="none"/>
              </w:rPr>
            </w:pPr>
            <w:r>
              <w:rPr>
                <w:rFonts w:hint="eastAsia" w:ascii="宋体" w:hAnsi="宋体"/>
                <w:color w:val="auto"/>
                <w:szCs w:val="21"/>
                <w:highlight w:val="none"/>
              </w:rPr>
              <w:t>河湖水系生态修复勘察设计方案</w:t>
            </w:r>
          </w:p>
        </w:tc>
        <w:tc>
          <w:tcPr>
            <w:tcW w:w="1356" w:type="dxa"/>
            <w:noWrap w:val="0"/>
            <w:vAlign w:val="center"/>
          </w:tcPr>
          <w:p w14:paraId="6B0FF544">
            <w:pPr>
              <w:spacing w:line="260" w:lineRule="exact"/>
              <w:jc w:val="center"/>
              <w:rPr>
                <w:rFonts w:hint="default" w:ascii="宋体" w:hAnsi="宋体" w:eastAsiaTheme="minorEastAsia"/>
                <w:color w:val="auto"/>
                <w:szCs w:val="21"/>
                <w:highlight w:val="none"/>
                <w:u w:val="single"/>
                <w:lang w:val="en-US" w:eastAsia="zh-CN"/>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w:t>
            </w:r>
          </w:p>
        </w:tc>
        <w:tc>
          <w:tcPr>
            <w:tcW w:w="7198" w:type="dxa"/>
            <w:noWrap w:val="0"/>
            <w:vAlign w:val="center"/>
          </w:tcPr>
          <w:p w14:paraId="40AA5A9A">
            <w:pPr>
              <w:spacing w:line="260" w:lineRule="exact"/>
              <w:jc w:val="left"/>
              <w:rPr>
                <w:rFonts w:hint="eastAsia" w:ascii="宋体" w:hAnsi="宋体"/>
                <w:b/>
                <w:bCs/>
                <w:color w:val="auto"/>
                <w:szCs w:val="21"/>
                <w:highlight w:val="none"/>
                <w:lang w:val="en-US" w:eastAsia="zh-CN"/>
              </w:rPr>
            </w:pPr>
            <w:r>
              <w:rPr>
                <w:rFonts w:hint="eastAsia" w:ascii="宋体" w:hAnsi="宋体" w:cs="宋体"/>
                <w:color w:val="auto"/>
                <w:szCs w:val="21"/>
                <w:highlight w:val="none"/>
                <w:lang w:val="en-US" w:eastAsia="zh-CN"/>
              </w:rPr>
              <w:t>设计方案，</w:t>
            </w:r>
            <w:r>
              <w:rPr>
                <w:rFonts w:hint="eastAsia" w:ascii="宋体" w:hAnsi="宋体" w:cs="宋体"/>
                <w:color w:val="auto"/>
                <w:szCs w:val="21"/>
                <w:highlight w:val="none"/>
              </w:rPr>
              <w:t>提出针对性的</w:t>
            </w:r>
            <w:r>
              <w:rPr>
                <w:rFonts w:hint="eastAsia" w:ascii="宋体" w:hAnsi="宋体" w:cs="宋体"/>
                <w:color w:val="auto"/>
                <w:szCs w:val="21"/>
                <w:highlight w:val="none"/>
                <w:lang w:val="en-US" w:eastAsia="zh-CN"/>
              </w:rPr>
              <w:t>有创意特色的</w:t>
            </w:r>
            <w:r>
              <w:rPr>
                <w:rFonts w:hint="eastAsia" w:ascii="宋体" w:hAnsi="宋体" w:cs="宋体"/>
                <w:color w:val="auto"/>
                <w:szCs w:val="21"/>
                <w:highlight w:val="none"/>
              </w:rPr>
              <w:t>设计方案，设计方案应符合现行规划、区域建设发展的要求；方案设计与周边风貌协调，应结合周边环境，体现可行性、科学性</w:t>
            </w:r>
            <w:r>
              <w:rPr>
                <w:rFonts w:hint="eastAsia" w:ascii="宋体" w:hAnsi="宋体" w:cs="宋体"/>
                <w:color w:val="auto"/>
                <w:szCs w:val="21"/>
                <w:highlight w:val="none"/>
                <w:lang w:eastAsia="zh-CN"/>
              </w:rPr>
              <w:t>、</w:t>
            </w:r>
            <w:r>
              <w:rPr>
                <w:rFonts w:hint="eastAsia" w:ascii="宋体" w:hAnsi="宋体" w:cs="宋体"/>
                <w:color w:val="auto"/>
                <w:szCs w:val="21"/>
                <w:highlight w:val="none"/>
              </w:rPr>
              <w:t>实用性</w:t>
            </w:r>
            <w:r>
              <w:rPr>
                <w:rFonts w:hint="eastAsia" w:ascii="宋体" w:hAnsi="宋体" w:cs="宋体"/>
                <w:color w:val="auto"/>
                <w:szCs w:val="21"/>
                <w:highlight w:val="none"/>
                <w:lang w:val="en-US" w:eastAsia="zh-CN"/>
              </w:rPr>
              <w:t>及低碳环保</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植物配置丰富、</w:t>
            </w:r>
            <w:r>
              <w:rPr>
                <w:rFonts w:hint="eastAsia" w:ascii="宋体" w:hAnsi="宋体" w:cs="宋体"/>
                <w:color w:val="auto"/>
                <w:szCs w:val="21"/>
                <w:highlight w:val="none"/>
              </w:rPr>
              <w:t>配套设施设置</w:t>
            </w:r>
            <w:r>
              <w:rPr>
                <w:rFonts w:hint="eastAsia" w:ascii="宋体" w:hAnsi="宋体" w:cs="宋体"/>
                <w:color w:val="auto"/>
                <w:szCs w:val="21"/>
                <w:highlight w:val="none"/>
                <w:lang w:val="en-US" w:eastAsia="zh-CN"/>
              </w:rPr>
              <w:t>布局</w:t>
            </w:r>
            <w:r>
              <w:rPr>
                <w:rFonts w:hint="eastAsia" w:ascii="宋体" w:hAnsi="宋体" w:cs="宋体"/>
                <w:color w:val="auto"/>
                <w:szCs w:val="21"/>
                <w:highlight w:val="none"/>
              </w:rPr>
              <w:t>合理。</w:t>
            </w:r>
          </w:p>
          <w:p w14:paraId="166ECD8B">
            <w:pPr>
              <w:wordWrap w:val="0"/>
              <w:topLinePunct/>
              <w:spacing w:line="276" w:lineRule="auto"/>
              <w:rPr>
                <w:rFonts w:hint="eastAsia" w:ascii="宋体" w:hAnsi="宋体"/>
                <w:b/>
                <w:bCs/>
                <w:color w:val="auto"/>
                <w:szCs w:val="21"/>
                <w:highlight w:val="none"/>
                <w:lang w:val="en-US" w:eastAsia="zh-CN"/>
              </w:rPr>
            </w:pPr>
            <w:r>
              <w:rPr>
                <w:rFonts w:hint="eastAsia" w:ascii="宋体" w:hAnsi="宋体" w:eastAsia="宋体" w:cs="宋体"/>
                <w:color w:val="auto"/>
                <w:szCs w:val="21"/>
                <w:highlight w:val="none"/>
                <w:lang w:val="zh-CN"/>
              </w:rPr>
              <w:t>勘察方案，主要比较各投标人勘察方案的合理性、本次勘察的重点、难点及建议。</w:t>
            </w:r>
          </w:p>
          <w:p w14:paraId="1016B442">
            <w:pPr>
              <w:pStyle w:val="2"/>
              <w:ind w:left="0" w:leftChars="0" w:firstLine="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[15,12)</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[12,8)</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[8,4)</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[4,0]</w:t>
            </w:r>
            <w:r>
              <w:rPr>
                <w:rFonts w:hint="eastAsia" w:ascii="宋体" w:hAnsi="宋体"/>
                <w:b/>
                <w:bCs/>
                <w:color w:val="auto"/>
                <w:szCs w:val="21"/>
                <w:highlight w:val="none"/>
                <w:u w:val="none"/>
              </w:rPr>
              <w:t>分</w:t>
            </w:r>
            <w:r>
              <w:rPr>
                <w:rFonts w:hint="eastAsia" w:ascii="宋体" w:hAnsi="宋体"/>
                <w:b/>
                <w:bCs/>
                <w:color w:val="auto"/>
                <w:szCs w:val="21"/>
                <w:highlight w:val="none"/>
              </w:rPr>
              <w:t>。</w:t>
            </w:r>
          </w:p>
        </w:tc>
      </w:tr>
      <w:tr w14:paraId="50F6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87" w:type="dxa"/>
            <w:vMerge w:val="continue"/>
            <w:noWrap w:val="0"/>
            <w:vAlign w:val="center"/>
          </w:tcPr>
          <w:p w14:paraId="205D80E7">
            <w:pPr>
              <w:spacing w:line="260" w:lineRule="exact"/>
              <w:jc w:val="center"/>
              <w:rPr>
                <w:rFonts w:ascii="宋体" w:hAnsi="宋体"/>
                <w:color w:val="auto"/>
                <w:szCs w:val="21"/>
                <w:highlight w:val="none"/>
              </w:rPr>
            </w:pPr>
          </w:p>
        </w:tc>
        <w:tc>
          <w:tcPr>
            <w:tcW w:w="2049" w:type="dxa"/>
            <w:noWrap w:val="0"/>
            <w:vAlign w:val="center"/>
          </w:tcPr>
          <w:p w14:paraId="7AC12322">
            <w:pPr>
              <w:spacing w:line="260" w:lineRule="exact"/>
              <w:jc w:val="center"/>
              <w:rPr>
                <w:rFonts w:hint="eastAsia" w:ascii="宋体" w:hAnsi="宋体"/>
                <w:color w:val="auto"/>
                <w:szCs w:val="21"/>
                <w:highlight w:val="none"/>
              </w:rPr>
            </w:pPr>
            <w:r>
              <w:rPr>
                <w:rFonts w:hint="eastAsia" w:ascii="宋体" w:hAnsi="宋体"/>
                <w:color w:val="auto"/>
                <w:szCs w:val="21"/>
                <w:highlight w:val="none"/>
              </w:rPr>
              <w:t>水生植物多样性恢复示范工程勘察设计方案</w:t>
            </w:r>
          </w:p>
        </w:tc>
        <w:tc>
          <w:tcPr>
            <w:tcW w:w="1356" w:type="dxa"/>
            <w:noWrap w:val="0"/>
            <w:vAlign w:val="center"/>
          </w:tcPr>
          <w:p w14:paraId="0272FB46">
            <w:pPr>
              <w:spacing w:line="260" w:lineRule="exact"/>
              <w:jc w:val="center"/>
              <w:rPr>
                <w:rFonts w:hint="default" w:ascii="宋体" w:hAnsi="宋体" w:eastAsiaTheme="minorEastAsia"/>
                <w:color w:val="auto"/>
                <w:szCs w:val="21"/>
                <w:highlight w:val="none"/>
                <w:u w:val="single"/>
                <w:lang w:val="en-US" w:eastAsia="zh-CN"/>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w:t>
            </w:r>
          </w:p>
        </w:tc>
        <w:tc>
          <w:tcPr>
            <w:tcW w:w="7198" w:type="dxa"/>
            <w:noWrap w:val="0"/>
            <w:vAlign w:val="center"/>
          </w:tcPr>
          <w:p w14:paraId="43A9CEE3">
            <w:pPr>
              <w:spacing w:line="260" w:lineRule="exact"/>
              <w:jc w:val="left"/>
              <w:rPr>
                <w:rFonts w:hint="eastAsia" w:ascii="宋体" w:hAnsi="宋体"/>
                <w:b/>
                <w:bCs/>
                <w:color w:val="auto"/>
                <w:szCs w:val="21"/>
                <w:highlight w:val="none"/>
                <w:lang w:val="en-US" w:eastAsia="zh-CN"/>
              </w:rPr>
            </w:pPr>
            <w:r>
              <w:rPr>
                <w:rFonts w:hint="eastAsia" w:ascii="宋体" w:hAnsi="宋体" w:cs="宋体"/>
                <w:color w:val="auto"/>
                <w:szCs w:val="21"/>
                <w:highlight w:val="none"/>
                <w:lang w:val="en-US" w:eastAsia="zh-CN"/>
              </w:rPr>
              <w:t>设计方案，</w:t>
            </w:r>
            <w:r>
              <w:rPr>
                <w:rFonts w:hint="eastAsia" w:ascii="宋体" w:hAnsi="宋体" w:cs="宋体"/>
                <w:color w:val="auto"/>
                <w:szCs w:val="21"/>
                <w:highlight w:val="none"/>
              </w:rPr>
              <w:t>提出针对性的</w:t>
            </w:r>
            <w:r>
              <w:rPr>
                <w:rFonts w:hint="eastAsia" w:ascii="宋体" w:hAnsi="宋体" w:cs="宋体"/>
                <w:color w:val="auto"/>
                <w:szCs w:val="21"/>
                <w:highlight w:val="none"/>
                <w:lang w:val="en-US" w:eastAsia="zh-CN"/>
              </w:rPr>
              <w:t>有创意特色的</w:t>
            </w:r>
            <w:r>
              <w:rPr>
                <w:rFonts w:hint="eastAsia" w:ascii="宋体" w:hAnsi="宋体" w:cs="宋体"/>
                <w:color w:val="auto"/>
                <w:szCs w:val="21"/>
                <w:highlight w:val="none"/>
              </w:rPr>
              <w:t>设计方案，设计方案应符合现行规划、区域建设发展的要求；方案设计与周边风貌协调，应结合周边环境，体现可行性、科学性</w:t>
            </w:r>
            <w:r>
              <w:rPr>
                <w:rFonts w:hint="eastAsia" w:ascii="宋体" w:hAnsi="宋体" w:cs="宋体"/>
                <w:color w:val="auto"/>
                <w:szCs w:val="21"/>
                <w:highlight w:val="none"/>
                <w:lang w:eastAsia="zh-CN"/>
              </w:rPr>
              <w:t>、</w:t>
            </w:r>
            <w:r>
              <w:rPr>
                <w:rFonts w:hint="eastAsia" w:ascii="宋体" w:hAnsi="宋体" w:cs="宋体"/>
                <w:color w:val="auto"/>
                <w:szCs w:val="21"/>
                <w:highlight w:val="none"/>
              </w:rPr>
              <w:t>实用性</w:t>
            </w:r>
            <w:r>
              <w:rPr>
                <w:rFonts w:hint="eastAsia" w:ascii="宋体" w:hAnsi="宋体" w:cs="宋体"/>
                <w:color w:val="auto"/>
                <w:szCs w:val="21"/>
                <w:highlight w:val="none"/>
                <w:lang w:val="en-US" w:eastAsia="zh-CN"/>
              </w:rPr>
              <w:t>及低碳环保</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植物配置丰富、</w:t>
            </w:r>
            <w:r>
              <w:rPr>
                <w:rFonts w:hint="eastAsia" w:ascii="宋体" w:hAnsi="宋体" w:cs="宋体"/>
                <w:color w:val="auto"/>
                <w:szCs w:val="21"/>
                <w:highlight w:val="none"/>
              </w:rPr>
              <w:t>配套设施设置</w:t>
            </w:r>
            <w:r>
              <w:rPr>
                <w:rFonts w:hint="eastAsia" w:ascii="宋体" w:hAnsi="宋体" w:cs="宋体"/>
                <w:color w:val="auto"/>
                <w:szCs w:val="21"/>
                <w:highlight w:val="none"/>
                <w:lang w:val="en-US" w:eastAsia="zh-CN"/>
              </w:rPr>
              <w:t>布局</w:t>
            </w:r>
            <w:r>
              <w:rPr>
                <w:rFonts w:hint="eastAsia" w:ascii="宋体" w:hAnsi="宋体" w:cs="宋体"/>
                <w:color w:val="auto"/>
                <w:szCs w:val="21"/>
                <w:highlight w:val="none"/>
              </w:rPr>
              <w:t>合理。</w:t>
            </w:r>
          </w:p>
          <w:p w14:paraId="168F8F69">
            <w:pPr>
              <w:wordWrap w:val="0"/>
              <w:topLinePunct/>
              <w:spacing w:line="276" w:lineRule="auto"/>
              <w:rPr>
                <w:rFonts w:hint="eastAsia" w:ascii="宋体" w:hAnsi="宋体"/>
                <w:b/>
                <w:bCs/>
                <w:color w:val="auto"/>
                <w:szCs w:val="21"/>
                <w:highlight w:val="none"/>
                <w:lang w:val="en-US" w:eastAsia="zh-CN"/>
              </w:rPr>
            </w:pPr>
            <w:r>
              <w:rPr>
                <w:rFonts w:hint="eastAsia" w:ascii="宋体" w:hAnsi="宋体" w:eastAsia="宋体" w:cs="宋体"/>
                <w:color w:val="auto"/>
                <w:szCs w:val="21"/>
                <w:highlight w:val="none"/>
                <w:lang w:val="zh-CN"/>
              </w:rPr>
              <w:t>勘察方案，主要比较各投标人勘察方案的合理性、本次勘察的重点、难点及建议。</w:t>
            </w:r>
          </w:p>
          <w:p w14:paraId="2E21B6ED">
            <w:pPr>
              <w:spacing w:line="260" w:lineRule="exact"/>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[15,12)</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[12,8)</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[8,4)</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[4,0]</w:t>
            </w:r>
            <w:r>
              <w:rPr>
                <w:rFonts w:hint="eastAsia" w:ascii="宋体" w:hAnsi="宋体"/>
                <w:b/>
                <w:bCs/>
                <w:color w:val="auto"/>
                <w:szCs w:val="21"/>
                <w:highlight w:val="none"/>
                <w:u w:val="none"/>
              </w:rPr>
              <w:t>分</w:t>
            </w:r>
            <w:r>
              <w:rPr>
                <w:rFonts w:hint="eastAsia" w:ascii="宋体" w:hAnsi="宋体"/>
                <w:b/>
                <w:bCs/>
                <w:color w:val="auto"/>
                <w:szCs w:val="21"/>
                <w:highlight w:val="none"/>
              </w:rPr>
              <w:t>。</w:t>
            </w:r>
          </w:p>
        </w:tc>
      </w:tr>
      <w:tr w14:paraId="18D3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87" w:type="dxa"/>
            <w:vMerge w:val="restart"/>
            <w:noWrap w:val="0"/>
            <w:vAlign w:val="center"/>
          </w:tcPr>
          <w:p w14:paraId="48E5A7BB">
            <w:pPr>
              <w:spacing w:line="260" w:lineRule="exact"/>
              <w:jc w:val="center"/>
              <w:rPr>
                <w:rFonts w:ascii="宋体" w:hAnsi="宋体"/>
                <w:color w:val="auto"/>
                <w:szCs w:val="21"/>
                <w:highlight w:val="none"/>
              </w:rPr>
            </w:pPr>
            <w:r>
              <w:rPr>
                <w:rFonts w:hint="eastAsia" w:ascii="宋体" w:hAnsi="宋体"/>
                <w:color w:val="auto"/>
                <w:szCs w:val="21"/>
                <w:highlight w:val="none"/>
              </w:rPr>
              <w:t>第五章 投资估算及控制</w:t>
            </w:r>
          </w:p>
        </w:tc>
        <w:tc>
          <w:tcPr>
            <w:tcW w:w="2049" w:type="dxa"/>
            <w:noWrap w:val="0"/>
            <w:vAlign w:val="center"/>
          </w:tcPr>
          <w:p w14:paraId="51EB1317">
            <w:pPr>
              <w:spacing w:line="260" w:lineRule="exact"/>
              <w:jc w:val="center"/>
              <w:rPr>
                <w:rFonts w:ascii="宋体" w:hAnsi="宋体"/>
                <w:color w:val="auto"/>
                <w:szCs w:val="21"/>
                <w:highlight w:val="none"/>
              </w:rPr>
            </w:pPr>
            <w:r>
              <w:rPr>
                <w:rFonts w:hint="eastAsia" w:ascii="宋体" w:hAnsi="宋体"/>
                <w:color w:val="auto"/>
                <w:szCs w:val="21"/>
                <w:highlight w:val="none"/>
              </w:rPr>
              <w:t>合理性分析</w:t>
            </w:r>
          </w:p>
        </w:tc>
        <w:tc>
          <w:tcPr>
            <w:tcW w:w="1356" w:type="dxa"/>
            <w:noWrap w:val="0"/>
            <w:vAlign w:val="center"/>
          </w:tcPr>
          <w:p w14:paraId="0BFC5AE4">
            <w:pPr>
              <w:spacing w:line="260" w:lineRule="exact"/>
              <w:jc w:val="center"/>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w:t>
            </w:r>
          </w:p>
        </w:tc>
        <w:tc>
          <w:tcPr>
            <w:tcW w:w="7198" w:type="dxa"/>
            <w:noWrap w:val="0"/>
            <w:vAlign w:val="center"/>
          </w:tcPr>
          <w:p w14:paraId="2A467FD3">
            <w:pPr>
              <w:spacing w:line="260" w:lineRule="exact"/>
              <w:rPr>
                <w:rFonts w:hint="eastAsia" w:ascii="宋体" w:hAnsi="宋体"/>
                <w:color w:val="auto"/>
                <w:szCs w:val="21"/>
                <w:highlight w:val="none"/>
                <w:lang w:eastAsia="zh-CN"/>
              </w:rPr>
            </w:pPr>
            <w:r>
              <w:rPr>
                <w:rFonts w:hint="eastAsia" w:ascii="宋体" w:hAnsi="宋体"/>
                <w:color w:val="auto"/>
                <w:szCs w:val="21"/>
                <w:highlight w:val="none"/>
                <w:lang w:val="en-US" w:eastAsia="zh-CN"/>
              </w:rPr>
              <w:t>节约实用的原则，</w:t>
            </w:r>
            <w:r>
              <w:rPr>
                <w:rFonts w:hint="eastAsia" w:ascii="宋体" w:hAnsi="宋体"/>
                <w:color w:val="auto"/>
                <w:szCs w:val="21"/>
                <w:highlight w:val="none"/>
              </w:rPr>
              <w:t>工程总投资合理、可信、可行，投资估算编制依据正确。</w:t>
            </w:r>
          </w:p>
          <w:p w14:paraId="18D11317">
            <w:pPr>
              <w:spacing w:line="260" w:lineRule="exact"/>
              <w:jc w:val="left"/>
              <w:rPr>
                <w:rFonts w:hint="eastAsia" w:ascii="宋体" w:hAnsi="宋体" w:eastAsiaTheme="minorEastAsia"/>
                <w:color w:val="auto"/>
                <w:szCs w:val="21"/>
                <w:highlight w:val="none"/>
                <w:lang w:eastAsia="zh-CN"/>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[5,4)</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[4,2)</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[2,1)</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[1,0]</w:t>
            </w:r>
            <w:r>
              <w:rPr>
                <w:rFonts w:hint="eastAsia" w:ascii="宋体" w:hAnsi="宋体"/>
                <w:b/>
                <w:bCs/>
                <w:color w:val="auto"/>
                <w:szCs w:val="21"/>
                <w:highlight w:val="none"/>
                <w:u w:val="none"/>
              </w:rPr>
              <w:t>分</w:t>
            </w:r>
            <w:r>
              <w:rPr>
                <w:rFonts w:hint="eastAsia" w:ascii="宋体" w:hAnsi="宋体"/>
                <w:b/>
                <w:bCs/>
                <w:color w:val="auto"/>
                <w:szCs w:val="21"/>
                <w:highlight w:val="none"/>
                <w:u w:val="none"/>
                <w:lang w:eastAsia="zh-CN"/>
              </w:rPr>
              <w:t>。</w:t>
            </w:r>
          </w:p>
        </w:tc>
      </w:tr>
      <w:tr w14:paraId="2614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87" w:type="dxa"/>
            <w:vMerge w:val="continue"/>
            <w:noWrap w:val="0"/>
            <w:vAlign w:val="center"/>
          </w:tcPr>
          <w:p w14:paraId="53266E7B">
            <w:pPr>
              <w:spacing w:line="260" w:lineRule="exact"/>
              <w:jc w:val="center"/>
              <w:rPr>
                <w:rFonts w:hint="eastAsia" w:ascii="宋体" w:hAnsi="宋体"/>
                <w:color w:val="auto"/>
                <w:szCs w:val="21"/>
                <w:highlight w:val="none"/>
              </w:rPr>
            </w:pPr>
          </w:p>
        </w:tc>
        <w:tc>
          <w:tcPr>
            <w:tcW w:w="2049" w:type="dxa"/>
            <w:noWrap w:val="0"/>
            <w:vAlign w:val="center"/>
          </w:tcPr>
          <w:p w14:paraId="6BB5C1DD">
            <w:pPr>
              <w:spacing w:line="260" w:lineRule="exact"/>
              <w:jc w:val="center"/>
              <w:rPr>
                <w:rFonts w:hint="eastAsia" w:ascii="宋体" w:hAnsi="宋体"/>
                <w:color w:val="auto"/>
                <w:szCs w:val="21"/>
                <w:highlight w:val="none"/>
              </w:rPr>
            </w:pPr>
            <w:r>
              <w:rPr>
                <w:rFonts w:hint="eastAsia" w:ascii="宋体" w:hAnsi="宋体"/>
                <w:color w:val="auto"/>
                <w:szCs w:val="21"/>
                <w:highlight w:val="none"/>
              </w:rPr>
              <w:t>风险及可控性分析</w:t>
            </w:r>
          </w:p>
        </w:tc>
        <w:tc>
          <w:tcPr>
            <w:tcW w:w="1356" w:type="dxa"/>
            <w:noWrap w:val="0"/>
            <w:vAlign w:val="center"/>
          </w:tcPr>
          <w:p w14:paraId="08F6A2F4">
            <w:pPr>
              <w:spacing w:line="260" w:lineRule="exact"/>
              <w:jc w:val="center"/>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w:t>
            </w:r>
          </w:p>
        </w:tc>
        <w:tc>
          <w:tcPr>
            <w:tcW w:w="7198" w:type="dxa"/>
            <w:noWrap w:val="0"/>
            <w:vAlign w:val="center"/>
          </w:tcPr>
          <w:p w14:paraId="4379F64D">
            <w:pPr>
              <w:spacing w:line="260" w:lineRule="exact"/>
              <w:jc w:val="left"/>
              <w:rPr>
                <w:rFonts w:hint="eastAsia" w:ascii="宋体" w:hAnsi="宋体"/>
                <w:color w:val="auto"/>
                <w:szCs w:val="21"/>
                <w:highlight w:val="none"/>
                <w:lang w:eastAsia="zh-CN"/>
              </w:rPr>
            </w:pPr>
            <w:r>
              <w:rPr>
                <w:rFonts w:hint="eastAsia" w:ascii="宋体" w:hAnsi="宋体"/>
                <w:color w:val="auto"/>
                <w:szCs w:val="21"/>
                <w:highlight w:val="none"/>
              </w:rPr>
              <w:t>存在风险及可控性分析合理全面</w:t>
            </w:r>
            <w:r>
              <w:rPr>
                <w:rFonts w:hint="eastAsia" w:ascii="宋体" w:hAnsi="宋体"/>
                <w:color w:val="auto"/>
                <w:szCs w:val="21"/>
                <w:highlight w:val="none"/>
                <w:lang w:eastAsia="zh-CN"/>
              </w:rPr>
              <w:t>。</w:t>
            </w:r>
          </w:p>
          <w:p w14:paraId="287A6431">
            <w:pPr>
              <w:pStyle w:val="2"/>
              <w:ind w:left="0" w:leftChars="0" w:firstLine="0" w:firstLineChars="0"/>
              <w:rPr>
                <w:rFonts w:hint="eastAsia"/>
                <w:color w:val="auto"/>
                <w:highlight w:val="none"/>
                <w:lang w:val="en-US" w:eastAsia="zh-CN"/>
              </w:rPr>
            </w:pPr>
            <w:r>
              <w:rPr>
                <w:rFonts w:hint="eastAsia" w:ascii="宋体" w:hAnsi="宋体"/>
                <w:b/>
                <w:bCs/>
                <w:color w:val="auto"/>
                <w:szCs w:val="21"/>
                <w:highlight w:val="none"/>
                <w:lang w:val="en-US" w:eastAsia="zh-CN"/>
              </w:rPr>
              <w:t>评分标准：</w:t>
            </w:r>
            <w:r>
              <w:rPr>
                <w:rFonts w:hint="eastAsia" w:ascii="宋体" w:hAnsi="宋体"/>
                <w:b/>
                <w:bCs/>
                <w:color w:val="auto"/>
                <w:szCs w:val="21"/>
                <w:highlight w:val="none"/>
                <w:u w:val="none"/>
              </w:rPr>
              <w:t>优得</w:t>
            </w:r>
            <w:r>
              <w:rPr>
                <w:rFonts w:hint="eastAsia" w:ascii="宋体" w:hAnsi="宋体"/>
                <w:b/>
                <w:bCs/>
                <w:color w:val="auto"/>
                <w:szCs w:val="21"/>
                <w:highlight w:val="none"/>
                <w:u w:val="none"/>
                <w:lang w:val="en-US" w:eastAsia="zh-CN"/>
              </w:rPr>
              <w:t>[5,4)</w:t>
            </w:r>
            <w:r>
              <w:rPr>
                <w:rFonts w:hint="eastAsia" w:ascii="宋体" w:hAnsi="宋体"/>
                <w:b/>
                <w:bCs/>
                <w:color w:val="auto"/>
                <w:szCs w:val="21"/>
                <w:highlight w:val="none"/>
                <w:u w:val="none"/>
              </w:rPr>
              <w:t>分，良得</w:t>
            </w:r>
            <w:r>
              <w:rPr>
                <w:rFonts w:hint="eastAsia" w:ascii="宋体" w:hAnsi="宋体"/>
                <w:b/>
                <w:bCs/>
                <w:color w:val="auto"/>
                <w:szCs w:val="21"/>
                <w:highlight w:val="none"/>
                <w:u w:val="none"/>
                <w:lang w:val="en-US" w:eastAsia="zh-CN"/>
              </w:rPr>
              <w:t>[4,2)</w:t>
            </w:r>
            <w:r>
              <w:rPr>
                <w:rFonts w:hint="eastAsia" w:ascii="宋体" w:hAnsi="宋体"/>
                <w:b/>
                <w:bCs/>
                <w:color w:val="auto"/>
                <w:szCs w:val="21"/>
                <w:highlight w:val="none"/>
                <w:u w:val="none"/>
              </w:rPr>
              <w:t>分，中得</w:t>
            </w:r>
            <w:r>
              <w:rPr>
                <w:rFonts w:hint="eastAsia" w:ascii="宋体" w:hAnsi="宋体"/>
                <w:b/>
                <w:bCs/>
                <w:color w:val="auto"/>
                <w:szCs w:val="21"/>
                <w:highlight w:val="none"/>
                <w:u w:val="none"/>
                <w:lang w:val="en-US" w:eastAsia="zh-CN"/>
              </w:rPr>
              <w:t>[2,1)</w:t>
            </w:r>
            <w:r>
              <w:rPr>
                <w:rFonts w:hint="eastAsia" w:ascii="宋体" w:hAnsi="宋体"/>
                <w:b/>
                <w:bCs/>
                <w:color w:val="auto"/>
                <w:szCs w:val="21"/>
                <w:highlight w:val="none"/>
                <w:u w:val="none"/>
              </w:rPr>
              <w:t>分，差得</w:t>
            </w:r>
            <w:r>
              <w:rPr>
                <w:rFonts w:hint="eastAsia" w:ascii="宋体" w:hAnsi="宋体"/>
                <w:b/>
                <w:bCs/>
                <w:color w:val="auto"/>
                <w:szCs w:val="21"/>
                <w:highlight w:val="none"/>
                <w:u w:val="none"/>
                <w:lang w:val="en-US" w:eastAsia="zh-CN"/>
              </w:rPr>
              <w:t>[1,0]</w:t>
            </w:r>
            <w:r>
              <w:rPr>
                <w:rFonts w:hint="eastAsia" w:ascii="宋体" w:hAnsi="宋体"/>
                <w:b/>
                <w:bCs/>
                <w:color w:val="auto"/>
                <w:szCs w:val="21"/>
                <w:highlight w:val="none"/>
                <w:u w:val="none"/>
              </w:rPr>
              <w:t>分</w:t>
            </w:r>
            <w:r>
              <w:rPr>
                <w:rFonts w:hint="eastAsia" w:ascii="宋体" w:hAnsi="宋体"/>
                <w:b/>
                <w:bCs/>
                <w:color w:val="auto"/>
                <w:szCs w:val="21"/>
                <w:highlight w:val="none"/>
                <w:u w:val="none"/>
                <w:lang w:eastAsia="zh-CN"/>
              </w:rPr>
              <w:t>。</w:t>
            </w:r>
          </w:p>
        </w:tc>
      </w:tr>
    </w:tbl>
    <w:p w14:paraId="6E79665D">
      <w:pPr>
        <w:widowControl/>
        <w:wordWrap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注：本表按百分制评分，所有评委分数汇总后的算术平均值为投标人的得分。分数出现小数点，保留小数点后两位小数，第三位小数四舍五入。</w:t>
      </w:r>
    </w:p>
    <w:p w14:paraId="2EB9D4FE">
      <w:pPr>
        <w:widowControl/>
        <w:jc w:val="left"/>
        <w:rPr>
          <w:rFonts w:hint="eastAsia" w:ascii="宋体" w:hAnsi="宋体" w:eastAsia="宋体" w:cs="宋体"/>
          <w:color w:val="auto"/>
          <w:szCs w:val="24"/>
          <w:highlight w:val="none"/>
        </w:rPr>
        <w:sectPr>
          <w:pgSz w:w="16838" w:h="11905" w:orient="landscape"/>
          <w:pgMar w:top="1501" w:right="1474" w:bottom="1364" w:left="1474" w:header="720" w:footer="720" w:gutter="0"/>
          <w:cols w:space="0" w:num="1"/>
          <w:rtlGutter w:val="0"/>
          <w:docGrid w:linePitch="0" w:charSpace="0"/>
        </w:sectPr>
      </w:pPr>
    </w:p>
    <w:p w14:paraId="1C0E5393">
      <w:pPr>
        <w:widowControl/>
        <w:jc w:val="left"/>
        <w:rPr>
          <w:rFonts w:ascii="宋体" w:hAnsi="宋体" w:eastAsia="宋体" w:cs="宋体"/>
          <w:color w:val="auto"/>
          <w:szCs w:val="24"/>
          <w:highlight w:val="none"/>
        </w:rPr>
      </w:pPr>
    </w:p>
    <w:p w14:paraId="45C6E8EA">
      <w:pPr>
        <w:pStyle w:val="4"/>
        <w:rPr>
          <w:color w:val="auto"/>
          <w:sz w:val="32"/>
          <w:szCs w:val="24"/>
          <w:highlight w:val="none"/>
        </w:rPr>
      </w:pPr>
      <w:bookmarkStart w:id="184" w:name="_Toc26447"/>
      <w:r>
        <w:rPr>
          <w:rFonts w:hint="eastAsia"/>
          <w:color w:val="auto"/>
          <w:highlight w:val="none"/>
        </w:rPr>
        <w:t>评标办法</w:t>
      </w:r>
      <w:r>
        <w:rPr>
          <w:color w:val="auto"/>
          <w:highlight w:val="none"/>
        </w:rPr>
        <w:t>修改表</w:t>
      </w:r>
      <w:bookmarkEnd w:id="184"/>
    </w:p>
    <w:p w14:paraId="4605142A">
      <w:pPr>
        <w:pStyle w:val="43"/>
        <w:pBdr>
          <w:bottom w:val="single" w:color="auto" w:sz="6" w:space="1"/>
        </w:pBdr>
        <w:wordWrap w:val="0"/>
        <w:spacing w:after="0" w:line="360" w:lineRule="auto"/>
        <w:ind w:firstLine="0" w:firstLineChars="0"/>
        <w:rPr>
          <w:rFonts w:ascii="宋体" w:hAnsi="宋体"/>
          <w:b/>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w:t>
      </w:r>
      <w:r>
        <w:rPr>
          <w:rFonts w:hint="eastAsia" w:ascii="宋体" w:hAnsi="宋体"/>
          <w:b/>
          <w:color w:val="auto"/>
          <w:sz w:val="24"/>
          <w:szCs w:val="24"/>
          <w:highlight w:val="none"/>
        </w:rPr>
        <w:t>评标办法</w:t>
      </w:r>
      <w:r>
        <w:rPr>
          <w:rFonts w:ascii="宋体" w:hAnsi="宋体"/>
          <w:b/>
          <w:color w:val="auto"/>
          <w:sz w:val="24"/>
          <w:szCs w:val="24"/>
          <w:highlight w:val="none"/>
        </w:rPr>
        <w:t>条款，与该条款不同之处，均在本表中列明，并以现文为准，原文不再有效。</w:t>
      </w:r>
      <w:r>
        <w:rPr>
          <w:rFonts w:hint="eastAsia" w:ascii="宋体" w:hAnsi="宋体"/>
          <w:bCs/>
          <w:color w:val="auto"/>
          <w:sz w:val="24"/>
          <w:szCs w:val="24"/>
          <w:highlight w:val="none"/>
        </w:rPr>
        <w:t>（注：招标人按《评标办法修改表》修改的内容对应修改通用条款，属于删除的采用“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”；属于新增、修改的内容，用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0C9ABF59">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w:t>
      </w:r>
      <w:r>
        <w:rPr>
          <w:rFonts w:ascii="宋体" w:hAnsi="宋体" w:eastAsia="宋体"/>
          <w:b/>
          <w:bCs/>
          <w:color w:val="auto"/>
          <w:sz w:val="24"/>
          <w:szCs w:val="24"/>
          <w:highlight w:val="none"/>
        </w:rPr>
        <w:t xml:space="preserve">           修改类型：修改</w:t>
      </w:r>
    </w:p>
    <w:p w14:paraId="30EA2D42">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 评标程序</w:t>
      </w:r>
    </w:p>
    <w:p w14:paraId="0DE3876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评标活动按以下六个步骤进行：</w:t>
      </w:r>
    </w:p>
    <w:p w14:paraId="75C1501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（1）商务文件初步评审（含商务文件形式评审、商务文件响应性评审）及资格评审；</w:t>
      </w:r>
    </w:p>
    <w:p w14:paraId="1664E25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3F3FACB7">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5E8207BE">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0023F39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0C510467">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（6）汇总投标人总得分；</w:t>
      </w:r>
    </w:p>
    <w:p w14:paraId="34683A8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（7）推荐中标候选人，提交评标报告。</w:t>
      </w:r>
    </w:p>
    <w:p w14:paraId="3942BB06">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3. 评标程序</w:t>
      </w:r>
    </w:p>
    <w:p w14:paraId="30F86D36">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w:t>
      </w:r>
      <w:r>
        <w:rPr>
          <w:rFonts w:hint="eastAsia" w:ascii="宋体" w:hAnsi="宋体" w:eastAsia="宋体"/>
          <w:strike/>
          <w:color w:val="auto"/>
          <w:sz w:val="24"/>
          <w:szCs w:val="24"/>
          <w:highlight w:val="none"/>
        </w:rPr>
        <w:t>六个</w:t>
      </w:r>
      <w:r>
        <w:rPr>
          <w:rFonts w:hint="eastAsia" w:ascii="宋体" w:hAnsi="宋体" w:eastAsia="宋体"/>
          <w:color w:val="auto"/>
          <w:sz w:val="24"/>
          <w:szCs w:val="24"/>
          <w:highlight w:val="none"/>
        </w:rPr>
        <w:t>步骤进行：</w:t>
      </w:r>
    </w:p>
    <w:p w14:paraId="2EF1870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29C474EE">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3E8C771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7996923A">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5F8E79B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7BCA9BC8">
      <w:pPr>
        <w:wordWrap w:val="0"/>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（6）报价评审；</w:t>
      </w:r>
    </w:p>
    <w:p w14:paraId="4A8FD121">
      <w:pP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14:paraId="08EF4F0D">
      <w:pPr>
        <w:pBdr>
          <w:bottom w:val="single" w:color="auto" w:sz="6" w:space="1"/>
        </w:pBd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p>
    <w:p w14:paraId="7B281966">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ascii="宋体" w:hAnsi="宋体" w:eastAsia="宋体"/>
          <w:b/>
          <w:bCs/>
          <w:color w:val="auto"/>
          <w:sz w:val="24"/>
          <w:szCs w:val="24"/>
          <w:highlight w:val="none"/>
        </w:rPr>
        <w:t xml:space="preserve">          修改类型：修改</w:t>
      </w:r>
    </w:p>
    <w:p w14:paraId="544142D2">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3.1 商务文件初步评审及资格评审</w:t>
      </w:r>
    </w:p>
    <w:p w14:paraId="6D16E205">
      <w:pPr>
        <w:pBdr>
          <w:bottom w:val="single" w:color="auto" w:sz="6" w:space="1"/>
        </w:pBd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3.1 </w:t>
      </w:r>
      <w:r>
        <w:rPr>
          <w:rFonts w:hint="eastAsia" w:ascii="宋体" w:hAnsi="宋体" w:eastAsia="宋体"/>
          <w:b/>
          <w:bCs/>
          <w:color w:val="auto"/>
          <w:sz w:val="24"/>
          <w:szCs w:val="24"/>
          <w:highlight w:val="none"/>
          <w:u w:val="single"/>
        </w:rPr>
        <w:t>商务文件形式评审、资格评审、商务文件响应性评审</w:t>
      </w:r>
    </w:p>
    <w:p w14:paraId="33B47AFC">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3.1.1</w:t>
      </w:r>
      <w:r>
        <w:rPr>
          <w:rFonts w:ascii="宋体" w:hAnsi="宋体" w:eastAsia="宋体"/>
          <w:b/>
          <w:bCs/>
          <w:color w:val="auto"/>
          <w:sz w:val="24"/>
          <w:szCs w:val="24"/>
          <w:highlight w:val="none"/>
        </w:rPr>
        <w:t xml:space="preserve">        修改类型：修改</w:t>
      </w:r>
    </w:p>
    <w:p w14:paraId="743AD7F1">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469786E3">
      <w:pPr>
        <w:pBdr>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dstrike w:val="0"/>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dstrike w:val="0"/>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2D755B48">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hint="eastAsia" w:ascii="宋体" w:hAnsi="宋体" w:eastAsia="宋体"/>
          <w:b/>
          <w:bCs/>
          <w:color w:val="auto"/>
          <w:sz w:val="24"/>
          <w:szCs w:val="24"/>
          <w:highlight w:val="none"/>
          <w:lang w:val="en-US" w:eastAsia="zh-CN"/>
        </w:rPr>
        <w:t>3</w:t>
      </w:r>
      <w:r>
        <w:rPr>
          <w:rFonts w:ascii="宋体" w:hAnsi="宋体" w:eastAsia="宋体"/>
          <w:b/>
          <w:bCs/>
          <w:color w:val="auto"/>
          <w:sz w:val="24"/>
          <w:szCs w:val="24"/>
          <w:highlight w:val="none"/>
        </w:rPr>
        <w:t xml:space="preserve">        修改类型：修改</w:t>
      </w:r>
    </w:p>
    <w:p w14:paraId="200BF3E8">
      <w:pP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4930748E">
      <w:pPr>
        <w:wordWrap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218C634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s="宋体"/>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E4F72F4">
      <w:pPr>
        <w:pBdr>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0841C065">
      <w:pPr>
        <w:numPr>
          <w:ilvl w:val="0"/>
          <w:numId w:val="1"/>
        </w:numPr>
        <w:pBdr>
          <w:bottom w:val="single" w:color="auto" w:sz="6" w:space="1"/>
        </w:pBdr>
        <w:wordWrap w:val="0"/>
        <w:spacing w:line="360" w:lineRule="auto"/>
        <w:ind w:firstLine="424" w:firstLineChars="177"/>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u w:val="none"/>
        </w:rPr>
        <w:t>投标文件中的大写金额与小写金额不一致的，以大写金额为准</w:t>
      </w:r>
      <w:r>
        <w:rPr>
          <w:rFonts w:hint="eastAsia" w:ascii="宋体" w:hAnsi="宋体" w:eastAsia="宋体" w:cs="宋体"/>
          <w:strike/>
          <w:color w:val="auto"/>
          <w:sz w:val="24"/>
          <w:szCs w:val="24"/>
          <w:highlight w:val="none"/>
        </w:rPr>
        <w:t>；</w:t>
      </w:r>
    </w:p>
    <w:p w14:paraId="6462DDDB">
      <w:pPr>
        <w:numPr>
          <w:ilvl w:val="-1"/>
          <w:numId w:val="0"/>
        </w:numPr>
        <w:pBdr>
          <w:bottom w:val="single" w:color="auto" w:sz="6" w:space="1"/>
        </w:pBd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0BF75CA">
      <w:pPr>
        <w:pBdr>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p>
    <w:p w14:paraId="2915F003">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）投标总报价与勘察费、设计费投标报价相加不符时，以勘察费、设计费投标报价相加为准修正投标总报价，除非评标委员会认为勘察费、设计费投标报价有明显的小数点错误。</w:t>
      </w:r>
    </w:p>
    <w:p w14:paraId="08923893">
      <w:pPr>
        <w:pStyle w:val="2"/>
        <w:rPr>
          <w:color w:val="auto"/>
          <w:highlight w:val="none"/>
        </w:rPr>
      </w:pPr>
    </w:p>
    <w:p w14:paraId="0126AD07">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3.2.2</w:t>
      </w:r>
      <w:r>
        <w:rPr>
          <w:rFonts w:ascii="宋体" w:hAnsi="宋体" w:eastAsia="宋体"/>
          <w:b/>
          <w:bCs/>
          <w:color w:val="auto"/>
          <w:sz w:val="24"/>
          <w:szCs w:val="24"/>
          <w:highlight w:val="none"/>
        </w:rPr>
        <w:t xml:space="preserve">        修改类型：修改</w:t>
      </w:r>
    </w:p>
    <w:p w14:paraId="7267E74B">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算术平均值（由招标人自行设置），分数出现小数点，保留小数点后二位，第三位小数四舍五入。</w:t>
      </w:r>
    </w:p>
    <w:p w14:paraId="33AEA55B">
      <w:pP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bCs/>
          <w:color w:val="auto"/>
          <w:sz w:val="24"/>
          <w:szCs w:val="24"/>
          <w:highlight w:val="none"/>
          <w:u w:val="single"/>
        </w:rPr>
        <w:t>算术平均值</w:t>
      </w:r>
      <w:r>
        <w:rPr>
          <w:rFonts w:hint="eastAsia" w:ascii="宋体" w:hAnsi="宋体" w:eastAsia="宋体" w:cs="宋体"/>
          <w:strike/>
          <w:dstrike w:val="0"/>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4507C4C0">
      <w:pPr>
        <w:pBdr>
          <w:top w:val="single" w:color="auto" w:sz="6" w:space="1"/>
          <w:bottom w:val="single" w:color="auto" w:sz="6" w:space="1"/>
        </w:pBdr>
        <w:wordWrap w:val="0"/>
        <w:spacing w:line="360" w:lineRule="auto"/>
        <w:ind w:firstLine="426" w:firstLineChars="17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条款号：3.4.2        修改类型：修改</w:t>
      </w:r>
    </w:p>
    <w:p w14:paraId="4788B980">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3.4.2 评标委员会按本章第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4A00364C">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3E76E98E">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3.6</w:t>
      </w:r>
      <w:r>
        <w:rPr>
          <w:rFonts w:ascii="宋体" w:hAnsi="宋体" w:eastAsia="宋体"/>
          <w:b/>
          <w:bCs/>
          <w:color w:val="auto"/>
          <w:sz w:val="24"/>
          <w:szCs w:val="24"/>
          <w:highlight w:val="none"/>
        </w:rPr>
        <w:t xml:space="preserve">        修改类型：修改</w:t>
      </w:r>
    </w:p>
    <w:p w14:paraId="115D4687">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3.6 汇总投标人总得分</w:t>
      </w:r>
    </w:p>
    <w:p w14:paraId="3DCE089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3.6.1 评标委员会按本章第2.2款规定的量化因素和分值进行打分，并计算出综合得分。</w:t>
      </w:r>
    </w:p>
    <w:p w14:paraId="53A74F9B">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（1）按本章第2.2.4（1）目规定的评审因素和分值对商务文件部分计算出得分A；</w:t>
      </w:r>
    </w:p>
    <w:p w14:paraId="7742DE5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（2）按本章第2.2.4（2）目规定的评审因素和分值对技术文件部分计算出得分B；</w:t>
      </w:r>
    </w:p>
    <w:p w14:paraId="56283AB4">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（3）按本章第2.2.4（3）目规定的评审因素和分值对投标报价计算出得分C；</w:t>
      </w:r>
    </w:p>
    <w:p w14:paraId="6C58D08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（4）按本章第2.2.4（4）目规定的评审因素和分值对其他部分计算出得分D。</w:t>
      </w:r>
    </w:p>
    <w:p w14:paraId="6C69BBE8">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3.6.2 评分分值计算保留小数点后两位，小数点后第三位“四舍五入”。</w:t>
      </w:r>
    </w:p>
    <w:p w14:paraId="6EE3519E">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3.6.3 投标人得分=A+B+C+D。</w:t>
      </w:r>
    </w:p>
    <w:p w14:paraId="0DE04FF1">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3.6 </w:t>
      </w:r>
      <w:r>
        <w:rPr>
          <w:rFonts w:hint="eastAsia" w:ascii="宋体" w:hAnsi="宋体" w:eastAsia="宋体"/>
          <w:b/>
          <w:bCs/>
          <w:strike/>
          <w:dstrike w:val="0"/>
          <w:color w:val="auto"/>
          <w:sz w:val="24"/>
          <w:szCs w:val="24"/>
          <w:highlight w:val="none"/>
        </w:rPr>
        <w:t>汇总投标人总得分</w:t>
      </w:r>
      <w:r>
        <w:rPr>
          <w:rFonts w:hint="eastAsia" w:ascii="宋体" w:hAnsi="宋体" w:eastAsia="宋体" w:cs="宋体"/>
          <w:b/>
          <w:bCs/>
          <w:strike w:val="0"/>
          <w:color w:val="auto"/>
          <w:spacing w:val="1"/>
          <w:sz w:val="24"/>
          <w:szCs w:val="24"/>
          <w:highlight w:val="none"/>
          <w:u w:val="single"/>
        </w:rPr>
        <w:t>报价评审及</w:t>
      </w:r>
      <w:r>
        <w:rPr>
          <w:rFonts w:hint="eastAsia" w:ascii="宋体" w:hAnsi="宋体" w:eastAsia="宋体"/>
          <w:b/>
          <w:bCs/>
          <w:color w:val="auto"/>
          <w:sz w:val="24"/>
          <w:szCs w:val="24"/>
          <w:highlight w:val="none"/>
        </w:rPr>
        <w:t>汇总投标人总得分</w:t>
      </w:r>
    </w:p>
    <w:p w14:paraId="2394508F">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val="0"/>
          <w:dstrike w:val="0"/>
          <w:color w:val="auto"/>
          <w:sz w:val="24"/>
          <w:szCs w:val="24"/>
          <w:highlight w:val="none"/>
        </w:rPr>
        <w:t xml:space="preserve">3.6.1 </w:t>
      </w:r>
      <w:r>
        <w:rPr>
          <w:rFonts w:hint="eastAsia" w:ascii="宋体" w:hAnsi="宋体" w:eastAsia="宋体"/>
          <w:strike/>
          <w:dstrike w:val="0"/>
          <w:color w:val="auto"/>
          <w:sz w:val="24"/>
          <w:szCs w:val="24"/>
          <w:highlight w:val="none"/>
        </w:rPr>
        <w:t>评标委员会按本章第2.2款规定的量化因素和分值进行打分，并计算出综合得分。</w:t>
      </w:r>
    </w:p>
    <w:p w14:paraId="1405D093">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（1）按本章第2.2.4（1）目规定的评审因素和分值对商务文件部分计算出得分A；</w:t>
      </w:r>
    </w:p>
    <w:p w14:paraId="130F7834">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（2）按本章第2.2.4（2）目规定的评审因素和分值对技术文件部分计算出得分B；</w:t>
      </w:r>
    </w:p>
    <w:p w14:paraId="34728752">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（3）按本章第2.2.4（3）目规定的评审因素和分值对投标报价计算出得分C；</w:t>
      </w:r>
    </w:p>
    <w:p w14:paraId="23C57124">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（4）按本章第2.2.4（4）目规定的评审因素和分值对其他部分计算出得分D。</w:t>
      </w:r>
    </w:p>
    <w:p w14:paraId="170671F0">
      <w:pPr>
        <w:wordWrap w:val="0"/>
        <w:spacing w:line="360" w:lineRule="auto"/>
        <w:ind w:firstLine="426" w:firstLineChars="177"/>
        <w:rPr>
          <w:rFonts w:hint="eastAsia" w:ascii="宋体" w:hAnsi="宋体" w:eastAsia="宋体"/>
          <w:color w:val="auto"/>
          <w:sz w:val="24"/>
          <w:szCs w:val="24"/>
          <w:highlight w:val="none"/>
          <w:lang w:eastAsia="zh-CN"/>
        </w:rPr>
      </w:pPr>
      <w:r>
        <w:rPr>
          <w:rFonts w:hint="eastAsia" w:ascii="宋体" w:hAnsi="宋体" w:eastAsia="宋体"/>
          <w:b/>
          <w:bCs/>
          <w:color w:val="auto"/>
          <w:sz w:val="24"/>
          <w:szCs w:val="24"/>
          <w:highlight w:val="none"/>
          <w:u w:val="single"/>
        </w:rPr>
        <w:t>报价评审，评标委员会按本章第2.2款规定的评审因素计算各投标人投标报价的得分C，分数出现小数点，保留小数点后二位，第三位小数四舍五入</w:t>
      </w:r>
      <w:r>
        <w:rPr>
          <w:rFonts w:hint="eastAsia" w:ascii="宋体" w:hAnsi="宋体" w:eastAsia="宋体"/>
          <w:b/>
          <w:bCs/>
          <w:color w:val="auto"/>
          <w:sz w:val="24"/>
          <w:szCs w:val="24"/>
          <w:highlight w:val="none"/>
          <w:u w:val="single"/>
          <w:lang w:eastAsia="zh-CN"/>
        </w:rPr>
        <w:t>。</w:t>
      </w:r>
    </w:p>
    <w:p w14:paraId="0536B5F8">
      <w:pPr>
        <w:wordWrap w:val="0"/>
        <w:spacing w:line="360" w:lineRule="auto"/>
        <w:ind w:firstLine="424" w:firstLineChars="177"/>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3.6.2 </w:t>
      </w:r>
      <w:r>
        <w:rPr>
          <w:rFonts w:hint="eastAsia" w:ascii="宋体" w:hAnsi="宋体" w:eastAsia="宋体"/>
          <w:strike/>
          <w:dstrike w:val="0"/>
          <w:color w:val="auto"/>
          <w:sz w:val="24"/>
          <w:szCs w:val="24"/>
          <w:highlight w:val="none"/>
        </w:rPr>
        <w:t>评分分值计算保留小数点后两位，小数点后第三位“四舍五入”。</w:t>
      </w:r>
      <w:r>
        <w:rPr>
          <w:rFonts w:hint="eastAsia" w:ascii="宋体" w:hAnsi="宋体" w:eastAsia="宋体"/>
          <w:b/>
          <w:bCs/>
          <w:color w:val="auto"/>
          <w:sz w:val="24"/>
          <w:szCs w:val="24"/>
          <w:highlight w:val="none"/>
          <w:u w:val="single"/>
        </w:rPr>
        <w:t>评标委员会按本章第2.2.1款的规定汇总各投标人的总得分</w:t>
      </w:r>
      <w:r>
        <w:rPr>
          <w:rFonts w:hint="eastAsia" w:ascii="宋体" w:hAnsi="宋体" w:eastAsia="宋体"/>
          <w:b/>
          <w:bCs/>
          <w:color w:val="auto"/>
          <w:sz w:val="24"/>
          <w:szCs w:val="24"/>
          <w:highlight w:val="none"/>
          <w:u w:val="single"/>
          <w:lang w:eastAsia="zh-CN"/>
        </w:rPr>
        <w:t>。</w:t>
      </w:r>
    </w:p>
    <w:p w14:paraId="68370CC0">
      <w:pPr>
        <w:pBdr>
          <w:bottom w:val="single" w:color="auto" w:sz="6" w:space="1"/>
        </w:pBd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3.6.3 投标人得分=A+B+C+D</w:t>
      </w:r>
      <w:r>
        <w:rPr>
          <w:rFonts w:hint="eastAsia" w:ascii="宋体" w:hAnsi="宋体" w:eastAsia="宋体" w:cs="宋体"/>
          <w:b/>
          <w:bCs/>
          <w:strike/>
          <w:dstrike w:val="0"/>
          <w:color w:val="auto"/>
          <w:sz w:val="24"/>
          <w:szCs w:val="24"/>
          <w:highlight w:val="none"/>
          <w:u w:val="none"/>
        </w:rPr>
        <w:t>。</w:t>
      </w:r>
    </w:p>
    <w:p w14:paraId="67D8F2E4">
      <w:pPr>
        <w:wordWrap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670F99AD">
      <w:pPr>
        <w:widowControl/>
        <w:wordWrap w:val="0"/>
        <w:spacing w:line="360" w:lineRule="auto"/>
        <w:jc w:val="left"/>
        <w:rPr>
          <w:rFonts w:ascii="宋体" w:hAnsi="宋体" w:eastAsia="宋体" w:cs="宋体"/>
          <w:color w:val="auto"/>
          <w:szCs w:val="24"/>
          <w:highlight w:val="none"/>
        </w:rPr>
      </w:pPr>
      <w:r>
        <w:rPr>
          <w:rFonts w:ascii="宋体" w:hAnsi="宋体" w:eastAsia="宋体"/>
          <w:color w:val="auto"/>
          <w:sz w:val="24"/>
          <w:szCs w:val="24"/>
          <w:highlight w:val="none"/>
        </w:rPr>
        <w:t>（以下无正文）</w:t>
      </w:r>
      <w:r>
        <w:rPr>
          <w:rFonts w:ascii="宋体" w:hAnsi="宋体" w:eastAsia="宋体" w:cs="宋体"/>
          <w:color w:val="auto"/>
          <w:szCs w:val="24"/>
          <w:highlight w:val="none"/>
        </w:rPr>
        <w:br w:type="page"/>
      </w:r>
    </w:p>
    <w:p w14:paraId="39E789E5">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pgSz w:w="11905" w:h="16838"/>
          <w:pgMar w:top="1474" w:right="1701" w:bottom="1474" w:left="1701" w:header="720" w:footer="720" w:gutter="0"/>
          <w:cols w:space="720" w:num="1"/>
        </w:sectPr>
      </w:pPr>
    </w:p>
    <w:p w14:paraId="217494CE">
      <w:pPr>
        <w:keepNext/>
        <w:keepLines/>
        <w:wordWrap w:val="0"/>
        <w:spacing w:line="360" w:lineRule="auto"/>
        <w:jc w:val="left"/>
        <w:outlineLvl w:val="1"/>
        <w:rPr>
          <w:rFonts w:ascii="宋体" w:hAnsi="宋体" w:eastAsia="宋体" w:cs="宋体"/>
          <w:b/>
          <w:bCs/>
          <w:color w:val="auto"/>
          <w:kern w:val="0"/>
          <w:sz w:val="30"/>
          <w:szCs w:val="30"/>
          <w:highlight w:val="none"/>
          <w:lang w:val="zh-CN"/>
        </w:rPr>
      </w:pPr>
      <w:bookmarkStart w:id="185" w:name="_Toc111186788"/>
      <w:bookmarkStart w:id="186" w:name="_Toc193358004"/>
      <w:bookmarkStart w:id="187" w:name="_Toc2009"/>
      <w:r>
        <w:rPr>
          <w:rFonts w:hint="eastAsia" w:ascii="宋体" w:hAnsi="宋体" w:eastAsia="宋体" w:cs="宋体"/>
          <w:b/>
          <w:bCs/>
          <w:color w:val="auto"/>
          <w:kern w:val="0"/>
          <w:sz w:val="30"/>
          <w:szCs w:val="30"/>
          <w:highlight w:val="none"/>
          <w:lang w:val="zh-CN"/>
        </w:rPr>
        <w:t>1. 评标方法</w:t>
      </w:r>
      <w:bookmarkEnd w:id="185"/>
      <w:bookmarkEnd w:id="186"/>
      <w:bookmarkEnd w:id="187"/>
    </w:p>
    <w:p w14:paraId="1955B1B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p>
    <w:p w14:paraId="0841881B">
      <w:pPr>
        <w:wordWrap w:val="0"/>
        <w:spacing w:line="360" w:lineRule="auto"/>
        <w:ind w:firstLine="480" w:firstLineChars="200"/>
        <w:rPr>
          <w:rFonts w:ascii="宋体" w:hAnsi="宋体" w:eastAsia="宋体" w:cs="宋体"/>
          <w:color w:val="auto"/>
          <w:sz w:val="24"/>
          <w:szCs w:val="24"/>
          <w:highlight w:val="none"/>
        </w:rPr>
      </w:pPr>
    </w:p>
    <w:p w14:paraId="39581FE2">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188" w:name="_Toc193358005"/>
      <w:bookmarkStart w:id="189" w:name="_Toc16715"/>
      <w:bookmarkStart w:id="190" w:name="_Toc111186789"/>
      <w:r>
        <w:rPr>
          <w:rFonts w:hint="eastAsia" w:ascii="宋体" w:hAnsi="宋体" w:eastAsia="宋体" w:cs="宋体"/>
          <w:b/>
          <w:bCs/>
          <w:color w:val="auto"/>
          <w:spacing w:val="1"/>
          <w:kern w:val="0"/>
          <w:sz w:val="30"/>
          <w:szCs w:val="30"/>
          <w:highlight w:val="none"/>
          <w:lang w:val="zh-CN"/>
        </w:rPr>
        <w:t>2. 评审标准</w:t>
      </w:r>
      <w:bookmarkEnd w:id="188"/>
      <w:bookmarkEnd w:id="189"/>
      <w:bookmarkEnd w:id="190"/>
    </w:p>
    <w:p w14:paraId="0E3D78F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1" w:name="_Toc193358006"/>
      <w:r>
        <w:rPr>
          <w:rFonts w:hint="eastAsia" w:ascii="宋体" w:hAnsi="宋体" w:eastAsia="宋体" w:cs="宋体"/>
          <w:b/>
          <w:bCs/>
          <w:color w:val="auto"/>
          <w:spacing w:val="1"/>
          <w:sz w:val="28"/>
          <w:szCs w:val="32"/>
          <w:highlight w:val="none"/>
          <w:lang w:val="zh-CN"/>
        </w:rPr>
        <w:t>2.1 初步评审标准</w:t>
      </w:r>
      <w:bookmarkEnd w:id="191"/>
    </w:p>
    <w:p w14:paraId="35B1E1B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商务文件形式评审标准：见评标办法前附表。</w:t>
      </w:r>
    </w:p>
    <w:p w14:paraId="66DF162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1983755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2.1.3（1）商务文件响应性评审标准：见评标办法前附表。</w:t>
      </w:r>
    </w:p>
    <w:p w14:paraId="07033F7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2.1.3（2）技术文件初步评审标准：见评标办法前附表。</w:t>
      </w:r>
    </w:p>
    <w:p w14:paraId="6506B43E">
      <w:pPr>
        <w:wordWrap w:val="0"/>
        <w:spacing w:line="360" w:lineRule="auto"/>
        <w:ind w:firstLine="480" w:firstLineChars="200"/>
        <w:rPr>
          <w:rFonts w:ascii="宋体" w:hAnsi="宋体" w:eastAsia="宋体" w:cs="宋体"/>
          <w:color w:val="auto"/>
          <w:sz w:val="24"/>
          <w:szCs w:val="24"/>
          <w:highlight w:val="none"/>
        </w:rPr>
      </w:pPr>
    </w:p>
    <w:p w14:paraId="0DBC94F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2" w:name="_Toc193358007"/>
      <w:r>
        <w:rPr>
          <w:rFonts w:hint="eastAsia" w:ascii="宋体" w:hAnsi="宋体" w:eastAsia="宋体" w:cs="宋体"/>
          <w:b/>
          <w:bCs/>
          <w:color w:val="auto"/>
          <w:spacing w:val="1"/>
          <w:sz w:val="28"/>
          <w:szCs w:val="32"/>
          <w:highlight w:val="none"/>
          <w:lang w:val="zh-CN"/>
        </w:rPr>
        <w:t>2.2 分值构成与评分标准</w:t>
      </w:r>
      <w:bookmarkEnd w:id="192"/>
    </w:p>
    <w:p w14:paraId="224A77E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117B758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（1）商务文件部分：见评标办法前附表；</w:t>
      </w:r>
    </w:p>
    <w:p w14:paraId="511383B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（2）技术文件部分：见评标办法前附表；</w:t>
      </w:r>
    </w:p>
    <w:p w14:paraId="20ACB65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05670A6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（4）其他评分因素：见评标办法前附表。</w:t>
      </w:r>
    </w:p>
    <w:p w14:paraId="5190317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14:paraId="74F611E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4C7D957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36BEE32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779D5BE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6393229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（1）商务文件评分标准：见评标办法前附表；</w:t>
      </w:r>
    </w:p>
    <w:p w14:paraId="62A3331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（2）技术文件评分标准：见评标办法前附表；</w:t>
      </w:r>
    </w:p>
    <w:p w14:paraId="551D978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0D3B256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（4）其他因素评分标准：见评标办法前附表。</w:t>
      </w:r>
    </w:p>
    <w:p w14:paraId="48A40701">
      <w:pPr>
        <w:wordWrap w:val="0"/>
        <w:spacing w:line="360" w:lineRule="auto"/>
        <w:ind w:firstLine="480" w:firstLineChars="200"/>
        <w:rPr>
          <w:rFonts w:ascii="宋体" w:hAnsi="宋体" w:eastAsia="宋体" w:cs="宋体"/>
          <w:strike/>
          <w:color w:val="auto"/>
          <w:sz w:val="24"/>
          <w:szCs w:val="24"/>
          <w:highlight w:val="none"/>
        </w:rPr>
      </w:pPr>
    </w:p>
    <w:p w14:paraId="4B1BC4E7">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193" w:name="_Toc193358008"/>
      <w:bookmarkStart w:id="194" w:name="_Toc111186790"/>
      <w:bookmarkStart w:id="195" w:name="_Toc24342"/>
      <w:r>
        <w:rPr>
          <w:rFonts w:hint="eastAsia" w:ascii="宋体" w:hAnsi="宋体" w:eastAsia="宋体" w:cs="宋体"/>
          <w:b/>
          <w:bCs/>
          <w:color w:val="auto"/>
          <w:spacing w:val="1"/>
          <w:kern w:val="0"/>
          <w:sz w:val="30"/>
          <w:szCs w:val="30"/>
          <w:highlight w:val="none"/>
          <w:lang w:val="zh-CN"/>
        </w:rPr>
        <w:t>3. 评标程序</w:t>
      </w:r>
      <w:bookmarkEnd w:id="193"/>
      <w:bookmarkEnd w:id="194"/>
      <w:bookmarkEnd w:id="195"/>
    </w:p>
    <w:p w14:paraId="4A61D10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评标活动按以下</w:t>
      </w:r>
      <w:r>
        <w:rPr>
          <w:rFonts w:hint="eastAsia" w:ascii="宋体" w:hAnsi="宋体" w:eastAsia="宋体" w:cs="宋体"/>
          <w:strike/>
          <w:dstrike w:val="0"/>
          <w:color w:val="auto"/>
          <w:sz w:val="24"/>
          <w:szCs w:val="24"/>
          <w:highlight w:val="none"/>
        </w:rPr>
        <w:t>六个</w:t>
      </w:r>
      <w:r>
        <w:rPr>
          <w:rFonts w:hint="eastAsia" w:ascii="宋体" w:hAnsi="宋体" w:eastAsia="宋体" w:cs="宋体"/>
          <w:color w:val="auto"/>
          <w:sz w:val="24"/>
          <w:szCs w:val="24"/>
          <w:highlight w:val="none"/>
        </w:rPr>
        <w:t>步骤进行：</w:t>
      </w:r>
    </w:p>
    <w:p w14:paraId="4407C0AA">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trike/>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3D394B51">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（2）商务文件详细评审；</w:t>
      </w:r>
    </w:p>
    <w:p w14:paraId="699E6D34">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（3）技术文件初步评审；</w:t>
      </w:r>
    </w:p>
    <w:p w14:paraId="417D67B3">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（4）技术文件详细评审；</w:t>
      </w:r>
    </w:p>
    <w:p w14:paraId="517D8D67">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（5）揭晓技术文件评审结果；</w:t>
      </w:r>
    </w:p>
    <w:p w14:paraId="0C23D347">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（6）报价评审；</w:t>
      </w:r>
    </w:p>
    <w:p w14:paraId="1732F477">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14:paraId="0E375E05">
      <w:pPr>
        <w:wordWrap w:val="0"/>
        <w:spacing w:line="360" w:lineRule="auto"/>
        <w:ind w:firstLine="482" w:firstLineChars="200"/>
        <w:rPr>
          <w:rFonts w:ascii="宋体" w:hAnsi="宋体" w:eastAsia="宋体" w:cs="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r>
        <w:rPr>
          <w:rFonts w:hint="eastAsia" w:ascii="宋体" w:hAnsi="宋体" w:eastAsia="宋体" w:cs="宋体"/>
          <w:color w:val="auto"/>
          <w:sz w:val="24"/>
          <w:szCs w:val="24"/>
          <w:highlight w:val="none"/>
        </w:rPr>
        <w:t>。</w:t>
      </w:r>
    </w:p>
    <w:p w14:paraId="588A20D1">
      <w:pPr>
        <w:wordWrap w:val="0"/>
        <w:spacing w:line="360" w:lineRule="auto"/>
        <w:ind w:firstLine="480" w:firstLineChars="200"/>
        <w:rPr>
          <w:rFonts w:ascii="宋体" w:hAnsi="宋体" w:eastAsia="宋体" w:cs="宋体"/>
          <w:color w:val="auto"/>
          <w:sz w:val="24"/>
          <w:szCs w:val="24"/>
          <w:highlight w:val="none"/>
        </w:rPr>
      </w:pPr>
      <w:bookmarkStart w:id="196" w:name="_Toc111186791"/>
      <w:bookmarkStart w:id="197" w:name="_Toc6080"/>
    </w:p>
    <w:p w14:paraId="5BF6F43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8" w:name="_Toc193358010"/>
      <w:r>
        <w:rPr>
          <w:rFonts w:hint="eastAsia" w:ascii="宋体" w:hAnsi="宋体" w:eastAsia="宋体" w:cs="宋体"/>
          <w:b/>
          <w:bCs/>
          <w:color w:val="auto"/>
          <w:spacing w:val="1"/>
          <w:sz w:val="28"/>
          <w:szCs w:val="32"/>
          <w:highlight w:val="none"/>
          <w:lang w:val="zh-CN"/>
        </w:rPr>
        <w:t xml:space="preserve">3.1 </w:t>
      </w:r>
      <w:bookmarkEnd w:id="198"/>
      <w:r>
        <w:rPr>
          <w:rFonts w:hint="eastAsia" w:ascii="宋体" w:hAnsi="宋体" w:eastAsia="宋体" w:cs="宋体"/>
          <w:b/>
          <w:bCs/>
          <w:strike/>
          <w:color w:val="auto"/>
          <w:spacing w:val="1"/>
          <w:sz w:val="28"/>
          <w:szCs w:val="32"/>
          <w:highlight w:val="none"/>
          <w:lang w:val="zh-CN"/>
        </w:rPr>
        <w:t>商务文件初步评审及资格评审</w:t>
      </w:r>
      <w:r>
        <w:rPr>
          <w:rFonts w:hint="eastAsia" w:ascii="宋体" w:hAnsi="宋体" w:eastAsia="宋体" w:cs="宋体"/>
          <w:b/>
          <w:bCs/>
          <w:color w:val="auto"/>
          <w:spacing w:val="1"/>
          <w:sz w:val="28"/>
          <w:szCs w:val="32"/>
          <w:highlight w:val="none"/>
          <w:u w:val="single"/>
          <w:lang w:val="zh-CN"/>
        </w:rPr>
        <w:t>商务文件形式评审、资格评审、商务文件响应性评审</w:t>
      </w:r>
    </w:p>
    <w:p w14:paraId="4A47084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dstrike w:val="0"/>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dstrike w:val="0"/>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1B273F7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3.1.1.1 商务文件形式评审：</w:t>
      </w:r>
    </w:p>
    <w:p w14:paraId="42AF721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评标委员会根据评标办法前附表中规定的评审因素和评审标准，对投标人的商务文件进行形式评审。通过商务文件形式评审的投标文件方可参加下一阶段评审程序。</w:t>
      </w:r>
    </w:p>
    <w:p w14:paraId="5DBAE59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3.1.1.2 资格评审：</w:t>
      </w:r>
    </w:p>
    <w:p w14:paraId="335D0DF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评标委员会根据评标办法前附表中的规定的评审因素和评审标准，对投标人的资格审查文件进行资格评审。通过资格评审的投标文件方可参加下一阶段评审程序。</w:t>
      </w:r>
    </w:p>
    <w:p w14:paraId="59A5F42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3.1.1.3 商务文件响应性评审：</w:t>
      </w:r>
    </w:p>
    <w:p w14:paraId="7BC05D4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评标委员会根据评标办法前附表中规定的评审因素和评审标准，对投标人的商务文件进行响应性评审。通过商务文件响应性评审的投标文件方可参加下一阶段评审程序。</w:t>
      </w:r>
    </w:p>
    <w:p w14:paraId="1FCEB96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690F2A5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0B97C40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68E5B5C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设置了成本警示价的，对于低于成本警示价的投标报价，投标人必须提供详细的单价、措施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w:t>
      </w:r>
    </w:p>
    <w:p w14:paraId="56BAAF8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（4）评标办法规定的其他应当否决其投标的情形。</w:t>
      </w:r>
    </w:p>
    <w:p w14:paraId="2E024AE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4482FBE8">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（1）投标文件中的大写金额与小写金额不一致的，以大写金额为准；</w:t>
      </w:r>
    </w:p>
    <w:p w14:paraId="6D84D0A0">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r>
        <w:rPr>
          <w:rFonts w:hint="eastAsia" w:ascii="宋体" w:hAnsi="宋体" w:eastAsia="宋体" w:cs="宋体"/>
          <w:color w:val="auto"/>
          <w:sz w:val="24"/>
          <w:szCs w:val="24"/>
          <w:highlight w:val="none"/>
        </w:rPr>
        <w:t>。</w:t>
      </w:r>
    </w:p>
    <w:p w14:paraId="0E60734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r>
        <w:rPr>
          <w:rFonts w:hint="eastAsia" w:ascii="宋体" w:hAnsi="宋体" w:cs="宋体"/>
          <w:b/>
          <w:bCs/>
          <w:color w:val="auto"/>
          <w:sz w:val="24"/>
          <w:szCs w:val="24"/>
          <w:highlight w:val="none"/>
          <w:u w:val="single"/>
          <w:lang w:eastAsia="zh-CN"/>
        </w:rPr>
        <w:t>；</w:t>
      </w:r>
    </w:p>
    <w:p w14:paraId="1CE939C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color w:val="auto"/>
          <w:highlight w:val="none"/>
          <w:lang w:eastAsia="zh-CN"/>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）投标总报价与勘察费、设计费投标报价相加不符时，以勘察费、设计费投标报价相加为准修正投标总报价，除非评标委员会认为勘察费、设计费投标报价有明显的小数点错误</w:t>
      </w:r>
    </w:p>
    <w:p w14:paraId="72C40841">
      <w:pPr>
        <w:pStyle w:val="2"/>
        <w:rPr>
          <w:color w:val="auto"/>
          <w:highlight w:val="none"/>
        </w:rPr>
      </w:pPr>
    </w:p>
    <w:p w14:paraId="24947B0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66A6B07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有效投标不足三个的，评标委员会应当对投标是否明显缺乏竞争和是否需要否决全部投标进行充分论证，并在评标报告中记载论证过程和结果。</w:t>
      </w:r>
    </w:p>
    <w:p w14:paraId="2358315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3.1.6 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556459EA">
      <w:pPr>
        <w:wordWrap w:val="0"/>
        <w:spacing w:line="360" w:lineRule="auto"/>
        <w:ind w:firstLine="480" w:firstLineChars="200"/>
        <w:rPr>
          <w:rFonts w:ascii="宋体" w:hAnsi="宋体" w:eastAsia="宋体" w:cs="宋体"/>
          <w:color w:val="auto"/>
          <w:sz w:val="24"/>
          <w:szCs w:val="24"/>
          <w:highlight w:val="none"/>
        </w:rPr>
      </w:pPr>
    </w:p>
    <w:p w14:paraId="3A48517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9" w:name="_Toc193358011"/>
      <w:r>
        <w:rPr>
          <w:rFonts w:hint="eastAsia" w:ascii="宋体" w:hAnsi="宋体" w:eastAsia="宋体" w:cs="宋体"/>
          <w:b/>
          <w:bCs/>
          <w:color w:val="auto"/>
          <w:spacing w:val="1"/>
          <w:sz w:val="28"/>
          <w:szCs w:val="32"/>
          <w:highlight w:val="none"/>
          <w:lang w:val="zh-CN"/>
        </w:rPr>
        <w:t xml:space="preserve">3.2 </w:t>
      </w:r>
      <w:bookmarkEnd w:id="199"/>
      <w:r>
        <w:rPr>
          <w:rFonts w:hint="eastAsia" w:ascii="宋体" w:hAnsi="宋体" w:eastAsia="宋体" w:cs="宋体"/>
          <w:b/>
          <w:bCs/>
          <w:color w:val="auto"/>
          <w:spacing w:val="1"/>
          <w:sz w:val="28"/>
          <w:szCs w:val="32"/>
          <w:highlight w:val="none"/>
          <w:lang w:val="zh-CN"/>
        </w:rPr>
        <w:t>商务文件详细评审</w:t>
      </w:r>
    </w:p>
    <w:p w14:paraId="71DD2E0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评标委员会按本章第2.2款规定的量化因素和分值进行打分，并计算出综合得分。</w:t>
      </w:r>
    </w:p>
    <w:p w14:paraId="1331C7E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bCs/>
          <w:color w:val="auto"/>
          <w:sz w:val="24"/>
          <w:szCs w:val="24"/>
          <w:highlight w:val="none"/>
          <w:u w:val="single"/>
        </w:rPr>
        <w:t>算术平均值</w:t>
      </w:r>
      <w:r>
        <w:rPr>
          <w:rFonts w:hint="eastAsia" w:ascii="宋体" w:hAnsi="宋体" w:eastAsia="宋体" w:cs="宋体"/>
          <w:strike/>
          <w:dstrike w:val="0"/>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3C5A1C9E">
      <w:pPr>
        <w:wordWrap w:val="0"/>
        <w:spacing w:line="360" w:lineRule="auto"/>
        <w:ind w:firstLine="480" w:firstLineChars="200"/>
        <w:rPr>
          <w:rFonts w:ascii="宋体" w:hAnsi="宋体" w:eastAsia="宋体" w:cs="宋体"/>
          <w:color w:val="auto"/>
          <w:sz w:val="24"/>
          <w:szCs w:val="24"/>
          <w:highlight w:val="none"/>
          <w:u w:val="single"/>
        </w:rPr>
      </w:pPr>
    </w:p>
    <w:p w14:paraId="6857A11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00" w:name="_Toc193358012"/>
      <w:r>
        <w:rPr>
          <w:rFonts w:hint="eastAsia" w:ascii="宋体" w:hAnsi="宋体" w:eastAsia="宋体" w:cs="宋体"/>
          <w:b/>
          <w:bCs/>
          <w:color w:val="auto"/>
          <w:spacing w:val="1"/>
          <w:sz w:val="28"/>
          <w:szCs w:val="32"/>
          <w:highlight w:val="none"/>
        </w:rPr>
        <w:t>3.3</w:t>
      </w:r>
      <w:r>
        <w:rPr>
          <w:rFonts w:ascii="宋体" w:hAnsi="宋体" w:eastAsia="宋体" w:cs="宋体"/>
          <w:b/>
          <w:bCs/>
          <w:color w:val="auto"/>
          <w:spacing w:val="1"/>
          <w:sz w:val="28"/>
          <w:szCs w:val="32"/>
          <w:highlight w:val="none"/>
        </w:rPr>
        <w:t xml:space="preserve"> </w:t>
      </w:r>
      <w:bookmarkEnd w:id="200"/>
      <w:r>
        <w:rPr>
          <w:rFonts w:hint="eastAsia" w:ascii="宋体" w:hAnsi="宋体" w:eastAsia="宋体" w:cs="宋体"/>
          <w:b/>
          <w:bCs/>
          <w:color w:val="auto"/>
          <w:spacing w:val="1"/>
          <w:sz w:val="28"/>
          <w:szCs w:val="32"/>
          <w:highlight w:val="none"/>
          <w:lang w:val="zh-CN"/>
        </w:rPr>
        <w:t>技术文件初步评审</w:t>
      </w:r>
    </w:p>
    <w:p w14:paraId="152F74F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评标委员会依据本章第2.1.3（2）款规定的标准对投标文件进行技术文件初步评审。有一项不符合评审标准的，评标委员会应当否决其投标，未能通过技术文件初步评审的投标文件不能参加下一阶段评审程序。</w:t>
      </w:r>
    </w:p>
    <w:p w14:paraId="5118C78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评标时若遇不可抗力发生（如：网络瘫痪、服务器损坏、交易系统故障短期无法恢复等因素），由评标委员会开启现场递交的全部备用投标文件光盘，并按备用光盘内容进行评审。</w:t>
      </w:r>
    </w:p>
    <w:p w14:paraId="182DD03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3.3.3 技术文件光盘、保密文件光盘接收时不得启封，当符合上款条件需要对技术文件进行评审时，由交易服务机构见证人对技术文件光盘启封密封袋并编号，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p w14:paraId="2250919B">
      <w:pPr>
        <w:wordWrap w:val="0"/>
        <w:spacing w:line="360" w:lineRule="auto"/>
        <w:ind w:firstLine="480" w:firstLineChars="200"/>
        <w:rPr>
          <w:rFonts w:ascii="宋体" w:hAnsi="宋体" w:eastAsia="宋体" w:cs="宋体"/>
          <w:color w:val="auto"/>
          <w:sz w:val="24"/>
          <w:szCs w:val="24"/>
          <w:highlight w:val="none"/>
          <w:u w:val="single"/>
        </w:rPr>
      </w:pPr>
    </w:p>
    <w:p w14:paraId="78DF54C6">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1" w:name="_Toc193358013"/>
      <w:r>
        <w:rPr>
          <w:rFonts w:hint="eastAsia" w:ascii="宋体" w:hAnsi="宋体" w:eastAsia="宋体" w:cs="宋体"/>
          <w:b/>
          <w:bCs/>
          <w:color w:val="auto"/>
          <w:spacing w:val="1"/>
          <w:sz w:val="28"/>
          <w:szCs w:val="32"/>
          <w:highlight w:val="none"/>
        </w:rPr>
        <w:t xml:space="preserve">3.4 </w:t>
      </w:r>
      <w:bookmarkEnd w:id="201"/>
      <w:r>
        <w:rPr>
          <w:rFonts w:hint="eastAsia" w:ascii="宋体" w:hAnsi="宋体" w:eastAsia="宋体" w:cs="宋体"/>
          <w:b/>
          <w:bCs/>
          <w:color w:val="auto"/>
          <w:spacing w:val="1"/>
          <w:sz w:val="28"/>
          <w:szCs w:val="32"/>
          <w:highlight w:val="none"/>
        </w:rPr>
        <w:t>技术文件详细评审</w:t>
      </w:r>
    </w:p>
    <w:p w14:paraId="6ADDDD8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 评标委员会按本章第2.2款规定的量化因素和分值进行打分，并计算出综合得分。</w:t>
      </w:r>
    </w:p>
    <w:p w14:paraId="01ED996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dstrike w:val="0"/>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4F88C743">
      <w:pPr>
        <w:wordWrap w:val="0"/>
        <w:spacing w:line="360" w:lineRule="auto"/>
        <w:ind w:firstLine="480" w:firstLineChars="200"/>
        <w:rPr>
          <w:rFonts w:ascii="宋体" w:hAnsi="宋体" w:eastAsia="宋体" w:cs="宋体"/>
          <w:color w:val="auto"/>
          <w:sz w:val="24"/>
          <w:szCs w:val="24"/>
          <w:highlight w:val="none"/>
          <w:u w:val="single"/>
        </w:rPr>
      </w:pPr>
    </w:p>
    <w:p w14:paraId="290F3C44">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2" w:name="_Toc193358014"/>
      <w:r>
        <w:rPr>
          <w:rFonts w:hint="eastAsia" w:ascii="宋体" w:hAnsi="宋体" w:eastAsia="宋体" w:cs="宋体"/>
          <w:b/>
          <w:bCs/>
          <w:color w:val="auto"/>
          <w:spacing w:val="1"/>
          <w:sz w:val="28"/>
          <w:szCs w:val="32"/>
          <w:highlight w:val="none"/>
        </w:rPr>
        <w:t xml:space="preserve">3.5 </w:t>
      </w:r>
      <w:bookmarkEnd w:id="202"/>
      <w:r>
        <w:rPr>
          <w:rFonts w:hint="eastAsia" w:ascii="宋体" w:hAnsi="宋体" w:eastAsia="宋体" w:cs="宋体"/>
          <w:b/>
          <w:bCs/>
          <w:color w:val="auto"/>
          <w:spacing w:val="1"/>
          <w:sz w:val="28"/>
          <w:szCs w:val="32"/>
          <w:highlight w:val="none"/>
        </w:rPr>
        <w:t>揭晓技术文件评审结果</w:t>
      </w:r>
    </w:p>
    <w:p w14:paraId="632742F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由评标委员会在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电子交易系统揭晓，系统自动形成暗标编码表显示各投标单位对应的编码，并由评标委员会确认投标人技术文件的评审得分。</w:t>
      </w:r>
    </w:p>
    <w:p w14:paraId="24F40D1A">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3" w:name="_Toc193358015"/>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6</w:t>
      </w:r>
      <w:r>
        <w:rPr>
          <w:rFonts w:hint="eastAsia" w:ascii="宋体" w:hAnsi="宋体" w:eastAsia="宋体" w:cs="宋体"/>
          <w:b/>
          <w:bCs/>
          <w:color w:val="auto"/>
          <w:spacing w:val="1"/>
          <w:sz w:val="28"/>
          <w:szCs w:val="32"/>
          <w:highlight w:val="none"/>
        </w:rPr>
        <w:t xml:space="preserve"> </w:t>
      </w:r>
      <w:bookmarkEnd w:id="203"/>
      <w:r>
        <w:rPr>
          <w:rFonts w:hint="eastAsia" w:ascii="宋体" w:hAnsi="宋体" w:eastAsia="宋体" w:cs="宋体"/>
          <w:b/>
          <w:bCs/>
          <w:strike/>
          <w:dstrike w:val="0"/>
          <w:color w:val="auto"/>
          <w:spacing w:val="1"/>
          <w:sz w:val="28"/>
          <w:szCs w:val="32"/>
          <w:highlight w:val="none"/>
        </w:rPr>
        <w:t>汇总投标人总得分</w:t>
      </w:r>
      <w:r>
        <w:rPr>
          <w:rFonts w:hint="eastAsia" w:ascii="宋体" w:hAnsi="宋体" w:eastAsia="宋体" w:cs="宋体"/>
          <w:b/>
          <w:bCs/>
          <w:color w:val="auto"/>
          <w:spacing w:val="1"/>
          <w:sz w:val="28"/>
          <w:szCs w:val="32"/>
          <w:highlight w:val="none"/>
          <w:u w:val="single"/>
        </w:rPr>
        <w:t>报价评审及</w:t>
      </w:r>
      <w:r>
        <w:rPr>
          <w:rFonts w:hint="eastAsia" w:ascii="宋体" w:hAnsi="宋体" w:eastAsia="宋体" w:cs="宋体"/>
          <w:b/>
          <w:bCs/>
          <w:color w:val="auto"/>
          <w:spacing w:val="1"/>
          <w:sz w:val="28"/>
          <w:szCs w:val="32"/>
          <w:highlight w:val="none"/>
        </w:rPr>
        <w:t>汇总投标人总得分</w:t>
      </w:r>
    </w:p>
    <w:p w14:paraId="10786E90">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strike/>
          <w:dstrike w:val="0"/>
          <w:color w:val="auto"/>
          <w:sz w:val="24"/>
          <w:szCs w:val="24"/>
          <w:highlight w:val="none"/>
        </w:rPr>
        <w:t>评标委员会按本章第2.2款规定的量化因素和分值进行打分，并计算出综合得分。</w:t>
      </w:r>
    </w:p>
    <w:p w14:paraId="7458A5E3">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（1）按本章第2.2.4（1）目规定的评审因素和分值对商务文件部分计算出得分A；</w:t>
      </w:r>
    </w:p>
    <w:p w14:paraId="78CA0729">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（2）按本章第2.2.4（2）目规定的评审因素和分值对技术文件部分计算出得分B；</w:t>
      </w:r>
    </w:p>
    <w:p w14:paraId="02DFA76C">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（3）按本章第2.2.4（3）目规定的评审因素和分值对投标报价计算出得分C；</w:t>
      </w:r>
    </w:p>
    <w:p w14:paraId="514BDB8D">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（4）按本章第2.2.4（4）目规定的评审因素和分值对其他部分计算出得分D。</w:t>
      </w:r>
    </w:p>
    <w:p w14:paraId="3E1577C5">
      <w:pPr>
        <w:wordWrap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b/>
          <w:bCs/>
          <w:color w:val="auto"/>
          <w:sz w:val="24"/>
          <w:szCs w:val="24"/>
          <w:highlight w:val="none"/>
          <w:u w:val="single"/>
        </w:rPr>
        <w:t>报价评审，评标委员会按本章第2.2款规定的评审因素计算各投标人投标报价的得分C，分数出现小数点，保留小数点后二位，第三位小数四舍五入</w:t>
      </w:r>
      <w:r>
        <w:rPr>
          <w:rFonts w:hint="eastAsia" w:ascii="宋体" w:hAnsi="宋体" w:eastAsia="宋体"/>
          <w:b/>
          <w:bCs/>
          <w:color w:val="auto"/>
          <w:sz w:val="24"/>
          <w:szCs w:val="24"/>
          <w:highlight w:val="none"/>
          <w:u w:val="single"/>
          <w:lang w:eastAsia="zh-CN"/>
        </w:rPr>
        <w:t>。</w:t>
      </w:r>
    </w:p>
    <w:p w14:paraId="08EA0F4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strike/>
          <w:dstrike w:val="0"/>
          <w:color w:val="auto"/>
          <w:sz w:val="24"/>
          <w:szCs w:val="24"/>
          <w:highlight w:val="none"/>
        </w:rPr>
        <w:t>评分分值计算保留小数点后两位，小数点后第三位“四舍五入”。</w:t>
      </w:r>
      <w:r>
        <w:rPr>
          <w:rFonts w:hint="eastAsia" w:ascii="宋体" w:hAnsi="宋体" w:eastAsia="宋体"/>
          <w:b/>
          <w:bCs/>
          <w:color w:val="auto"/>
          <w:sz w:val="24"/>
          <w:szCs w:val="24"/>
          <w:highlight w:val="none"/>
          <w:u w:val="single"/>
        </w:rPr>
        <w:t>评标委员会按本章第2.2.1款的规定汇总各投标人的总得分</w:t>
      </w:r>
      <w:r>
        <w:rPr>
          <w:rFonts w:hint="eastAsia" w:ascii="宋体" w:hAnsi="宋体" w:eastAsia="宋体"/>
          <w:b/>
          <w:bCs/>
          <w:color w:val="auto"/>
          <w:sz w:val="24"/>
          <w:szCs w:val="24"/>
          <w:highlight w:val="none"/>
          <w:u w:val="single"/>
          <w:lang w:eastAsia="zh-CN"/>
        </w:rPr>
        <w:t>。</w:t>
      </w:r>
    </w:p>
    <w:p w14:paraId="36362141">
      <w:pPr>
        <w:wordWrap w:val="0"/>
        <w:spacing w:line="360" w:lineRule="auto"/>
        <w:ind w:firstLine="480" w:firstLineChars="200"/>
        <w:rPr>
          <w:rFonts w:ascii="宋体" w:hAnsi="宋体" w:eastAsia="宋体" w:cs="宋体"/>
          <w:strike/>
          <w:dstrike w:val="0"/>
          <w:color w:val="auto"/>
          <w:sz w:val="24"/>
          <w:szCs w:val="24"/>
          <w:highlight w:val="none"/>
          <w:u w:val="single"/>
        </w:rPr>
      </w:pPr>
      <w:r>
        <w:rPr>
          <w:rFonts w:hint="eastAsia" w:ascii="宋体" w:hAnsi="宋体" w:eastAsia="宋体" w:cs="宋体"/>
          <w:strike/>
          <w:dstrike w:val="0"/>
          <w:color w:val="auto"/>
          <w:sz w:val="24"/>
          <w:szCs w:val="24"/>
          <w:highlight w:val="none"/>
        </w:rPr>
        <w:t>3.6.3 投标人得分=A+B+C+D。</w:t>
      </w:r>
    </w:p>
    <w:p w14:paraId="7BB3EC00">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4" w:name="_Toc193358016"/>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7</w:t>
      </w:r>
      <w:r>
        <w:rPr>
          <w:rFonts w:hint="eastAsia" w:ascii="宋体" w:hAnsi="宋体" w:eastAsia="宋体" w:cs="宋体"/>
          <w:b/>
          <w:bCs/>
          <w:color w:val="auto"/>
          <w:spacing w:val="1"/>
          <w:sz w:val="28"/>
          <w:szCs w:val="32"/>
          <w:highlight w:val="none"/>
        </w:rPr>
        <w:t xml:space="preserve"> </w:t>
      </w:r>
      <w:bookmarkEnd w:id="204"/>
      <w:r>
        <w:rPr>
          <w:rFonts w:hint="eastAsia" w:ascii="宋体" w:hAnsi="宋体" w:eastAsia="宋体" w:cs="宋体"/>
          <w:b/>
          <w:bCs/>
          <w:color w:val="auto"/>
          <w:spacing w:val="1"/>
          <w:sz w:val="28"/>
          <w:szCs w:val="32"/>
          <w:highlight w:val="none"/>
        </w:rPr>
        <w:t>投标文件的澄清</w:t>
      </w:r>
    </w:p>
    <w:p w14:paraId="14EDE82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 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75D570D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 澄清、说明或补正不得超出投标文件的范围且不得改变投标文件实质性内容，并构成投标文件的组成部分。</w:t>
      </w:r>
    </w:p>
    <w:p w14:paraId="1A216F3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 评标委员会对投标人提交的澄清、说明或补正有疑问的，可以要求投标人进一步澄清、说明或补正，直到满足评标委员会的要求。</w:t>
      </w:r>
    </w:p>
    <w:p w14:paraId="3458D536">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3.7.4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D6B12A2">
      <w:pPr>
        <w:wordWrap w:val="0"/>
        <w:spacing w:line="360" w:lineRule="auto"/>
        <w:ind w:firstLine="480" w:firstLineChars="200"/>
        <w:rPr>
          <w:rFonts w:ascii="宋体" w:hAnsi="宋体" w:eastAsia="宋体" w:cs="宋体"/>
          <w:color w:val="auto"/>
          <w:sz w:val="24"/>
          <w:szCs w:val="24"/>
          <w:highlight w:val="none"/>
        </w:rPr>
      </w:pPr>
    </w:p>
    <w:p w14:paraId="7F8A8A6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05" w:name="_Toc193358018"/>
      <w:r>
        <w:rPr>
          <w:rFonts w:hint="eastAsia" w:ascii="宋体" w:hAnsi="宋体" w:eastAsia="宋体" w:cs="宋体"/>
          <w:b/>
          <w:bCs/>
          <w:color w:val="auto"/>
          <w:spacing w:val="1"/>
          <w:sz w:val="28"/>
          <w:szCs w:val="32"/>
          <w:highlight w:val="none"/>
          <w:lang w:val="zh-CN"/>
        </w:rPr>
        <w:t>3.</w:t>
      </w:r>
      <w:r>
        <w:rPr>
          <w:rFonts w:hint="eastAsia" w:ascii="宋体" w:hAnsi="宋体" w:eastAsia="宋体" w:cs="宋体"/>
          <w:b/>
          <w:bCs/>
          <w:color w:val="auto"/>
          <w:spacing w:val="1"/>
          <w:sz w:val="28"/>
          <w:szCs w:val="32"/>
          <w:highlight w:val="none"/>
        </w:rPr>
        <w:t>8</w:t>
      </w:r>
      <w:r>
        <w:rPr>
          <w:rFonts w:hint="eastAsia" w:ascii="宋体" w:hAnsi="宋体" w:eastAsia="宋体" w:cs="宋体"/>
          <w:b/>
          <w:bCs/>
          <w:color w:val="auto"/>
          <w:spacing w:val="1"/>
          <w:sz w:val="28"/>
          <w:szCs w:val="32"/>
          <w:highlight w:val="none"/>
          <w:lang w:val="zh-CN"/>
        </w:rPr>
        <w:t xml:space="preserve"> 评标结果</w:t>
      </w:r>
      <w:bookmarkEnd w:id="205"/>
    </w:p>
    <w:p w14:paraId="657E9D1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3.8.1 除第二章“投标人须知”前附表授权直接确定中标人外，评标委员会按照得分由高到低的顺序推荐中标候选人，并标明排序。</w:t>
      </w:r>
    </w:p>
    <w:p w14:paraId="159127B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3.8.2 评标委员会完成评标后，应当向招标人提交书面评标报告和中标候选人名单。</w:t>
      </w:r>
    </w:p>
    <w:p w14:paraId="24AA27B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3.8.3 如采用评标定标分离方法的，按相关规定执行。</w:t>
      </w:r>
    </w:p>
    <w:bookmarkEnd w:id="196"/>
    <w:bookmarkEnd w:id="197"/>
    <w:p w14:paraId="2B2A51CA">
      <w:pPr>
        <w:widowControl/>
        <w:wordWrap w:val="0"/>
        <w:jc w:val="left"/>
        <w:rPr>
          <w:rFonts w:ascii="宋体" w:hAnsi="宋体" w:eastAsia="宋体" w:cs="宋体"/>
          <w:b/>
          <w:bCs/>
          <w:color w:val="auto"/>
          <w:kern w:val="0"/>
          <w:sz w:val="24"/>
          <w:szCs w:val="24"/>
          <w:highlight w:val="none"/>
          <w:lang w:val="zh-CN"/>
        </w:rPr>
      </w:pPr>
      <w:r>
        <w:rPr>
          <w:rFonts w:ascii="宋体" w:hAnsi="宋体" w:eastAsia="宋体" w:cs="宋体"/>
          <w:b/>
          <w:bCs/>
          <w:color w:val="auto"/>
          <w:kern w:val="0"/>
          <w:sz w:val="24"/>
          <w:szCs w:val="24"/>
          <w:highlight w:val="none"/>
          <w:lang w:val="zh-CN"/>
        </w:rPr>
        <w:br w:type="page"/>
      </w:r>
    </w:p>
    <w:p w14:paraId="038CE76D">
      <w:pPr>
        <w:keepNext/>
        <w:keepLines/>
        <w:wordWrap w:val="0"/>
        <w:spacing w:line="360" w:lineRule="auto"/>
        <w:ind w:firstLine="482" w:firstLineChars="200"/>
        <w:jc w:val="center"/>
        <w:outlineLvl w:val="1"/>
        <w:rPr>
          <w:rFonts w:ascii="宋体" w:hAnsi="宋体" w:eastAsia="宋体" w:cs="宋体"/>
          <w:b/>
          <w:bCs/>
          <w:color w:val="auto"/>
          <w:kern w:val="0"/>
          <w:sz w:val="24"/>
          <w:szCs w:val="24"/>
          <w:highlight w:val="none"/>
          <w:lang w:val="zh-CN"/>
        </w:rPr>
        <w:sectPr>
          <w:type w:val="continuous"/>
          <w:pgSz w:w="11905" w:h="16838"/>
          <w:pgMar w:top="1474" w:right="1701" w:bottom="1474" w:left="1701" w:header="720" w:footer="720" w:gutter="0"/>
          <w:cols w:space="720" w:num="1"/>
        </w:sectPr>
      </w:pPr>
    </w:p>
    <w:p w14:paraId="50814EA1">
      <w:pPr>
        <w:pStyle w:val="3"/>
        <w:rPr>
          <w:color w:val="auto"/>
          <w:highlight w:val="none"/>
        </w:rPr>
      </w:pPr>
      <w:bookmarkStart w:id="206" w:name="_Toc111186799"/>
      <w:bookmarkStart w:id="207" w:name="_Toc193358019"/>
      <w:r>
        <w:rPr>
          <w:rFonts w:hint="eastAsia"/>
          <w:color w:val="auto"/>
          <w:highlight w:val="none"/>
        </w:rPr>
        <w:t>第四章  合同条款及格式</w:t>
      </w:r>
      <w:bookmarkEnd w:id="206"/>
      <w:bookmarkEnd w:id="207"/>
    </w:p>
    <w:p w14:paraId="5BBB58FC">
      <w:pPr>
        <w:adjustRightInd w:val="0"/>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另册</w:t>
      </w:r>
    </w:p>
    <w:p w14:paraId="740AC13A">
      <w:pPr>
        <w:widowControl/>
        <w:wordWrap w:val="0"/>
        <w:jc w:val="left"/>
        <w:rPr>
          <w:rFonts w:ascii="宋体" w:hAnsi="宋体" w:eastAsia="宋体" w:cs="宋体"/>
          <w:color w:val="auto"/>
          <w:szCs w:val="24"/>
          <w:highlight w:val="none"/>
        </w:rPr>
      </w:pPr>
      <w:r>
        <w:rPr>
          <w:rFonts w:ascii="宋体" w:hAnsi="宋体" w:eastAsia="宋体" w:cs="宋体"/>
          <w:color w:val="auto"/>
          <w:szCs w:val="24"/>
          <w:highlight w:val="none"/>
        </w:rPr>
        <w:br w:type="page"/>
      </w:r>
    </w:p>
    <w:p w14:paraId="2E6F3A1F">
      <w:pPr>
        <w:wordWrap w:val="0"/>
        <w:autoSpaceDE w:val="0"/>
        <w:autoSpaceDN w:val="0"/>
        <w:spacing w:line="200" w:lineRule="exact"/>
        <w:jc w:val="left"/>
        <w:rPr>
          <w:rFonts w:ascii="宋体" w:hAnsi="宋体" w:eastAsia="宋体" w:cs="宋体"/>
          <w:color w:val="auto"/>
          <w:kern w:val="0"/>
          <w:sz w:val="20"/>
          <w:szCs w:val="20"/>
          <w:highlight w:val="none"/>
        </w:rPr>
        <w:sectPr>
          <w:headerReference r:id="rId5" w:type="default"/>
          <w:footerReference r:id="rId6" w:type="default"/>
          <w:type w:val="continuous"/>
          <w:pgSz w:w="11905" w:h="16838"/>
          <w:pgMar w:top="1474" w:right="1701" w:bottom="1474" w:left="1701" w:header="720" w:footer="720" w:gutter="0"/>
          <w:cols w:space="720" w:num="1"/>
          <w:docGrid w:linePitch="286" w:charSpace="0"/>
        </w:sectPr>
      </w:pPr>
    </w:p>
    <w:p w14:paraId="0ACB1565">
      <w:pPr>
        <w:pStyle w:val="3"/>
        <w:rPr>
          <w:color w:val="auto"/>
          <w:highlight w:val="none"/>
        </w:rPr>
      </w:pPr>
      <w:bookmarkStart w:id="208" w:name="_Toc82786981"/>
      <w:bookmarkStart w:id="209" w:name="_Toc193358020"/>
      <w:bookmarkStart w:id="210" w:name="_Toc111186800"/>
      <w:r>
        <w:rPr>
          <w:rFonts w:hint="eastAsia"/>
          <w:color w:val="auto"/>
          <w:highlight w:val="none"/>
        </w:rPr>
        <w:t>第二卷</w:t>
      </w:r>
      <w:bookmarkEnd w:id="208"/>
      <w:bookmarkEnd w:id="209"/>
      <w:bookmarkEnd w:id="210"/>
    </w:p>
    <w:p w14:paraId="49C259B1">
      <w:pPr>
        <w:widowControl/>
        <w:wordWrap w:val="0"/>
        <w:jc w:val="left"/>
        <w:rPr>
          <w:rFonts w:ascii="宋体" w:hAnsi="宋体" w:eastAsia="宋体" w:cs="宋体"/>
          <w:color w:val="auto"/>
          <w:kern w:val="0"/>
          <w:sz w:val="14"/>
          <w:szCs w:val="14"/>
          <w:highlight w:val="none"/>
        </w:rPr>
        <w:sectPr>
          <w:type w:val="continuous"/>
          <w:pgSz w:w="11905" w:h="16838"/>
          <w:pgMar w:top="1474" w:right="1701" w:bottom="1474" w:left="1701" w:header="720" w:footer="720" w:gutter="0"/>
          <w:cols w:space="720" w:num="1"/>
        </w:sectPr>
      </w:pPr>
    </w:p>
    <w:p w14:paraId="3CD9DC68">
      <w:pPr>
        <w:pStyle w:val="3"/>
        <w:numPr>
          <w:ilvl w:val="0"/>
          <w:numId w:val="2"/>
        </w:numPr>
        <w:wordWrap/>
        <w:jc w:val="center"/>
        <w:rPr>
          <w:rFonts w:hint="eastAsia"/>
          <w:color w:val="auto"/>
          <w:highlight w:val="none"/>
        </w:rPr>
      </w:pPr>
      <w:bookmarkStart w:id="211" w:name="_Toc193358021"/>
      <w:r>
        <w:rPr>
          <w:rFonts w:hint="eastAsia"/>
          <w:color w:val="auto"/>
          <w:highlight w:val="none"/>
        </w:rPr>
        <w:t>发包人要求</w:t>
      </w:r>
      <w:bookmarkEnd w:id="211"/>
    </w:p>
    <w:p w14:paraId="2D20A73D">
      <w:pPr>
        <w:numPr>
          <w:ilvl w:val="0"/>
          <w:numId w:val="0"/>
        </w:numPr>
        <w:jc w:val="center"/>
        <w:rPr>
          <w:rFonts w:hint="default" w:eastAsiaTheme="minorEastAsia"/>
          <w:color w:val="auto"/>
          <w:highlight w:val="none"/>
          <w:lang w:val="en-US" w:eastAsia="zh-CN"/>
        </w:rPr>
      </w:pPr>
      <w:r>
        <w:rPr>
          <w:rFonts w:hint="eastAsia"/>
          <w:color w:val="auto"/>
          <w:highlight w:val="none"/>
        </w:rPr>
        <w:t>基础资料和勘察设计任务书</w:t>
      </w:r>
      <w:r>
        <w:rPr>
          <w:rFonts w:hint="eastAsia"/>
          <w:color w:val="auto"/>
          <w:highlight w:val="none"/>
          <w:lang w:eastAsia="zh-CN"/>
        </w:rPr>
        <w:t>，</w:t>
      </w:r>
      <w:r>
        <w:rPr>
          <w:rFonts w:hint="eastAsia"/>
          <w:color w:val="auto"/>
          <w:highlight w:val="none"/>
          <w:lang w:val="en-US" w:eastAsia="zh-CN"/>
        </w:rPr>
        <w:t>另册</w:t>
      </w:r>
    </w:p>
    <w:p w14:paraId="30EBD84B">
      <w:pPr>
        <w:wordWrap w:val="0"/>
        <w:rPr>
          <w:rFonts w:ascii="宋体" w:hAnsi="宋体" w:eastAsia="宋体" w:cs="宋体"/>
          <w:color w:val="auto"/>
          <w:szCs w:val="24"/>
          <w:highlight w:val="none"/>
        </w:rPr>
      </w:pPr>
      <w:bookmarkStart w:id="212" w:name="_Toc82786986"/>
      <w:bookmarkStart w:id="213" w:name="_Toc111186802"/>
      <w:r>
        <w:rPr>
          <w:rFonts w:hint="eastAsia" w:ascii="宋体" w:hAnsi="宋体" w:eastAsia="宋体" w:cs="宋体"/>
          <w:color w:val="auto"/>
          <w:szCs w:val="24"/>
          <w:highlight w:val="none"/>
        </w:rPr>
        <w:br w:type="page"/>
      </w:r>
    </w:p>
    <w:p w14:paraId="3F1AD498">
      <w:pPr>
        <w:pStyle w:val="3"/>
        <w:rPr>
          <w:color w:val="auto"/>
          <w:highlight w:val="none"/>
        </w:rPr>
      </w:pPr>
      <w:bookmarkStart w:id="214" w:name="_Toc193358022"/>
      <w:r>
        <w:rPr>
          <w:rFonts w:hint="eastAsia"/>
          <w:color w:val="auto"/>
          <w:highlight w:val="none"/>
        </w:rPr>
        <w:t>第三卷</w:t>
      </w:r>
      <w:bookmarkEnd w:id="212"/>
      <w:bookmarkEnd w:id="213"/>
      <w:bookmarkEnd w:id="214"/>
    </w:p>
    <w:p w14:paraId="22FF534A">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12F6F46B">
      <w:pPr>
        <w:pStyle w:val="3"/>
        <w:rPr>
          <w:color w:val="auto"/>
          <w:highlight w:val="none"/>
        </w:rPr>
        <w:sectPr>
          <w:type w:val="continuous"/>
          <w:pgSz w:w="11905" w:h="16838"/>
          <w:pgMar w:top="1474" w:right="1701" w:bottom="1474" w:left="1701" w:header="720" w:footer="720" w:gutter="0"/>
          <w:cols w:space="720" w:num="1"/>
        </w:sectPr>
      </w:pPr>
      <w:bookmarkStart w:id="215" w:name="_Toc193358023"/>
      <w:bookmarkStart w:id="216" w:name="_Toc111186803"/>
      <w:r>
        <w:rPr>
          <w:rFonts w:hint="eastAsia"/>
          <w:color w:val="auto"/>
          <w:highlight w:val="none"/>
        </w:rPr>
        <w:t>第六章  投标文件格式</w:t>
      </w:r>
      <w:bookmarkEnd w:id="215"/>
      <w:bookmarkEnd w:id="216"/>
    </w:p>
    <w:p w14:paraId="7656224D">
      <w:pPr>
        <w:pStyle w:val="5"/>
        <w:wordWrap w:val="0"/>
        <w:rPr>
          <w:color w:val="auto"/>
          <w:highlight w:val="none"/>
        </w:rPr>
      </w:pPr>
      <w:bookmarkStart w:id="217" w:name="_Toc111186804"/>
      <w:bookmarkStart w:id="218" w:name="_Toc18166"/>
      <w:bookmarkStart w:id="219" w:name="_Toc193358024"/>
      <w:r>
        <w:rPr>
          <w:rFonts w:hint="eastAsia"/>
          <w:color w:val="auto"/>
          <w:highlight w:val="none"/>
        </w:rPr>
        <w:t>1.</w:t>
      </w:r>
      <w:bookmarkEnd w:id="217"/>
      <w:bookmarkEnd w:id="218"/>
      <w:bookmarkEnd w:id="219"/>
      <w:r>
        <w:rPr>
          <w:rFonts w:hint="eastAsia"/>
          <w:color w:val="auto"/>
          <w:highlight w:val="none"/>
        </w:rPr>
        <w:t xml:space="preserve"> 商务文件（含资格审查文件）包括以下资料：</w:t>
      </w:r>
    </w:p>
    <w:p w14:paraId="0CFB8B46">
      <w:pPr>
        <w:wordWrap w:val="0"/>
        <w:rPr>
          <w:rFonts w:ascii="宋体" w:hAnsi="宋体" w:eastAsia="宋体" w:cs="宋体"/>
          <w:color w:val="auto"/>
          <w:szCs w:val="24"/>
          <w:highlight w:val="none"/>
        </w:rPr>
        <w:sectPr>
          <w:type w:val="continuous"/>
          <w:pgSz w:w="11905" w:h="16838"/>
          <w:pgMar w:top="1474" w:right="1701" w:bottom="1474" w:left="1701" w:header="720" w:footer="720" w:gutter="0"/>
          <w:cols w:space="720" w:num="1"/>
        </w:sectPr>
      </w:pPr>
    </w:p>
    <w:p w14:paraId="5D4441CD">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64B5B641">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7C6172E9">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20FC94BF">
      <w:pPr>
        <w:wordWrap w:val="0"/>
        <w:autoSpaceDE w:val="0"/>
        <w:autoSpaceDN w:val="0"/>
        <w:spacing w:line="360" w:lineRule="auto"/>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（4）投标保证金（如有）；</w:t>
      </w:r>
    </w:p>
    <w:p w14:paraId="5DE72EE2">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442024F5">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781BE3E1">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0DF3A293">
      <w:pPr>
        <w:widowControl/>
        <w:wordWrap w:val="0"/>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14:paraId="1C9BE56E">
      <w:pPr>
        <w:wordWrap w:val="0"/>
        <w:rPr>
          <w:rFonts w:ascii="宋体" w:hAnsi="宋体" w:eastAsia="宋体" w:cs="宋体"/>
          <w:b/>
          <w:bCs/>
          <w:color w:val="auto"/>
          <w:szCs w:val="21"/>
          <w:highlight w:val="none"/>
        </w:rPr>
        <w:sectPr>
          <w:type w:val="continuous"/>
          <w:pgSz w:w="11905" w:h="16838"/>
          <w:pgMar w:top="1474" w:right="1701" w:bottom="1474" w:left="1701" w:header="720" w:footer="720" w:gutter="0"/>
          <w:cols w:space="720" w:num="1"/>
        </w:sectPr>
      </w:pPr>
    </w:p>
    <w:p w14:paraId="661CC193">
      <w:pPr>
        <w:pStyle w:val="6"/>
        <w:wordWrap w:val="0"/>
        <w:rPr>
          <w:color w:val="auto"/>
          <w:highlight w:val="none"/>
        </w:rPr>
      </w:pPr>
      <w:bookmarkStart w:id="220" w:name="_Toc111186813"/>
      <w:bookmarkStart w:id="221" w:name="_Toc20296"/>
      <w:bookmarkStart w:id="222" w:name="_Toc16936"/>
      <w:bookmarkStart w:id="223" w:name="_Toc111186812"/>
      <w:r>
        <w:rPr>
          <w:rFonts w:hint="eastAsia"/>
          <w:color w:val="auto"/>
          <w:highlight w:val="none"/>
        </w:rPr>
        <w:t>一</w:t>
      </w:r>
      <w:bookmarkEnd w:id="220"/>
      <w:bookmarkEnd w:id="221"/>
      <w:r>
        <w:rPr>
          <w:rFonts w:hint="eastAsia"/>
          <w:color w:val="auto"/>
          <w:highlight w:val="none"/>
        </w:rPr>
        <w:t>、投标函及投标函附录</w:t>
      </w:r>
    </w:p>
    <w:p w14:paraId="6F15C607">
      <w:pPr>
        <w:spacing w:line="36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投标函</w:t>
      </w:r>
    </w:p>
    <w:p w14:paraId="0985444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14:paraId="40428B71">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招标项目招标文件全部内容及其补充文件和技术规范等文件，愿意以人民币（大写）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）的投标总报价，按合同约定完成勘察设计工作。我方项目负责人是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EC712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2.我方的投标文件包括下列内容：</w:t>
      </w:r>
    </w:p>
    <w:p w14:paraId="22F7215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7154287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4FF6DD9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（3）联合体协议书(如有)；</w:t>
      </w:r>
    </w:p>
    <w:p w14:paraId="2979561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（4）投标人声明</w:t>
      </w:r>
    </w:p>
    <w:p w14:paraId="298ED991">
      <w:pPr>
        <w:wordWrap w:val="0"/>
        <w:spacing w:line="360" w:lineRule="auto"/>
        <w:ind w:firstLine="566" w:firstLineChars="236"/>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（5）投标保证金(如有)；</w:t>
      </w:r>
    </w:p>
    <w:p w14:paraId="7D3516F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（6）勘察设计费报价表；</w:t>
      </w:r>
    </w:p>
    <w:p w14:paraId="26E3BD4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14:paraId="775CEE1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（8）商务文件（资信业绩）；</w:t>
      </w:r>
    </w:p>
    <w:p w14:paraId="7196B57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（9）技术文件（勘察设计方案）；</w:t>
      </w:r>
    </w:p>
    <w:p w14:paraId="01C0E603">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（10）投标文件光盘（备用）。注：投标人也可不提交投标文件光盘（备用）</w:t>
      </w:r>
    </w:p>
    <w:p w14:paraId="49C72F2B">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14:paraId="1F92B1F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3.我方承诺在招标文件规定的投标有效期内不撤销投标文件。</w:t>
      </w:r>
    </w:p>
    <w:p w14:paraId="61D57BE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4.如我方中标，我方承诺：</w:t>
      </w:r>
    </w:p>
    <w:p w14:paraId="577BDBF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（1）在收到中标通知书后，在法律法规规定的期限内与你方签订合同；</w:t>
      </w:r>
    </w:p>
    <w:p w14:paraId="6C041DEB">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28D2CF0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（3）按照招标文件要求提交履约保证金；</w:t>
      </w:r>
    </w:p>
    <w:p w14:paraId="29B50C84">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14:paraId="44CF386B">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（5）承诺本项目拟投入的人员为本单位人员，并已按规定购买社保。</w:t>
      </w:r>
    </w:p>
    <w:p w14:paraId="11EBEA03">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5.如我方成为本项目的中标候选人，我方同意并授权招标人将我司投标文件商务部分的人员、业绩、奖项等资料进行公示。</w:t>
      </w:r>
    </w:p>
    <w:p w14:paraId="00E8893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遵守本投标书直至投标有效期满，在投标有效期满前，本投标书对我方一直具有约束力，随时可接受中标。我方承认所附投标文件资料为本投标书的一部分。如果我方投标书含有不符合招标文件规定的内容，我方同意按招标文件规定予以修正。</w:t>
      </w:r>
    </w:p>
    <w:p w14:paraId="17E6D38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7.我方认同招标文件规定的评审规则，遵守评标委员会的裁决结果，并且不会采取妨碍项目进展的行为。我方理解你方没有必须接受你方可能收到的最低标或任何投标的义务。</w:t>
      </w:r>
    </w:p>
    <w:p w14:paraId="0D7CCFF3">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8.如果我方中标，我方将提供规定的履约担保，将在合同规定的日期开工，并在竣工时间内，按照上述文件完成项目。</w:t>
      </w:r>
    </w:p>
    <w:p w14:paraId="43DDFD0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9.除非制定正式合同协议书并生效，本投标书以及你方中标通知书，应构成你我双方间具有约束力的合同。</w:t>
      </w:r>
    </w:p>
    <w:p w14:paraId="79276734">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14:paraId="76270CE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11.（其他补充说明）。</w:t>
      </w:r>
    </w:p>
    <w:p w14:paraId="55BEB836">
      <w:pPr>
        <w:wordWrap w:val="0"/>
        <w:spacing w:line="360" w:lineRule="auto"/>
        <w:rPr>
          <w:rFonts w:ascii="宋体" w:hAnsi="宋体" w:eastAsia="宋体" w:cs="宋体"/>
          <w:color w:val="auto"/>
          <w:sz w:val="24"/>
          <w:szCs w:val="24"/>
          <w:highlight w:val="none"/>
        </w:rPr>
      </w:pPr>
    </w:p>
    <w:p w14:paraId="4E741868">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AF8BE94">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29A9BA6">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 xml:space="preserve">                          </w:t>
      </w:r>
    </w:p>
    <w:p w14:paraId="777E8E6F">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700C145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5D2A1EC4">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44F048C7">
      <w:pPr>
        <w:wordWrap w:val="0"/>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79816EB6">
      <w:pPr>
        <w:wordWrap w:val="0"/>
        <w:spacing w:line="360" w:lineRule="auto"/>
        <w:ind w:right="120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u w:val="single"/>
        </w:rPr>
        <w:t>（注：如联合体投标人，由投标主办方盖章即可。）</w:t>
      </w:r>
    </w:p>
    <w:p w14:paraId="7CAB422E">
      <w:pPr>
        <w:wordWrap w:val="0"/>
        <w:jc w:val="center"/>
        <w:rPr>
          <w:rFonts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szCs w:val="28"/>
          <w:highlight w:val="none"/>
        </w:rPr>
        <w:t>投标函附录</w:t>
      </w:r>
    </w:p>
    <w:p w14:paraId="1E92D93C">
      <w:pPr>
        <w:wordWrap w:val="0"/>
        <w:jc w:val="center"/>
        <w:rPr>
          <w:rFonts w:ascii="宋体" w:hAnsi="宋体" w:eastAsia="宋体" w:cs="宋体"/>
          <w:b/>
          <w:bCs/>
          <w:color w:val="auto"/>
          <w:sz w:val="32"/>
          <w:szCs w:val="32"/>
          <w:highlight w:val="none"/>
        </w:rPr>
      </w:pPr>
    </w:p>
    <w:tbl>
      <w:tblPr>
        <w:tblStyle w:val="4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0"/>
        <w:gridCol w:w="2785"/>
        <w:gridCol w:w="2698"/>
        <w:gridCol w:w="1798"/>
      </w:tblGrid>
      <w:tr w14:paraId="28ED7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23" w:type="pct"/>
            <w:vAlign w:val="center"/>
          </w:tcPr>
          <w:p w14:paraId="11CF9FAC">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36" w:type="pct"/>
            <w:vAlign w:val="center"/>
          </w:tcPr>
          <w:p w14:paraId="17918A63">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585" w:type="pct"/>
            <w:vAlign w:val="center"/>
          </w:tcPr>
          <w:p w14:paraId="47E04DA4">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约定内容</w:t>
            </w:r>
          </w:p>
        </w:tc>
        <w:tc>
          <w:tcPr>
            <w:tcW w:w="1056" w:type="pct"/>
            <w:vAlign w:val="center"/>
          </w:tcPr>
          <w:p w14:paraId="627C3DD3">
            <w:pPr>
              <w:wordWrap w:val="0"/>
              <w:autoSpaceDE w:val="0"/>
              <w:autoSpaceDN w:val="0"/>
              <w:spacing w:line="276" w:lineRule="auto"/>
              <w:ind w:right="3"/>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B193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7A23C78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36" w:type="pct"/>
            <w:vAlign w:val="center"/>
          </w:tcPr>
          <w:p w14:paraId="5FBFA367">
            <w:pPr>
              <w:wordWrap w:val="0"/>
              <w:autoSpaceDE w:val="0"/>
              <w:autoSpaceDN w:val="0"/>
              <w:spacing w:line="276" w:lineRule="auto"/>
              <w:ind w:left="-4" w:leftChars="-2"/>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项目负责人</w:t>
            </w:r>
          </w:p>
        </w:tc>
        <w:tc>
          <w:tcPr>
            <w:tcW w:w="1585" w:type="pct"/>
            <w:vAlign w:val="center"/>
          </w:tcPr>
          <w:p w14:paraId="3CAB21EC">
            <w:pPr>
              <w:wordWrap w:val="0"/>
              <w:autoSpaceDE w:val="0"/>
              <w:autoSpaceDN w:val="0"/>
              <w:spacing w:line="276" w:lineRule="auto"/>
              <w:ind w:left="102"/>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p>
        </w:tc>
        <w:tc>
          <w:tcPr>
            <w:tcW w:w="1056" w:type="pct"/>
            <w:vAlign w:val="center"/>
          </w:tcPr>
          <w:p w14:paraId="269D906E">
            <w:pPr>
              <w:wordWrap w:val="0"/>
              <w:spacing w:line="276" w:lineRule="auto"/>
              <w:jc w:val="center"/>
              <w:rPr>
                <w:rFonts w:ascii="宋体" w:hAnsi="宋体" w:eastAsia="宋体" w:cs="宋体"/>
                <w:color w:val="auto"/>
                <w:szCs w:val="21"/>
                <w:highlight w:val="none"/>
              </w:rPr>
            </w:pPr>
          </w:p>
        </w:tc>
      </w:tr>
      <w:tr w14:paraId="02BC2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2663E3D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636" w:type="pct"/>
            <w:vAlign w:val="center"/>
          </w:tcPr>
          <w:p w14:paraId="07BC0CA7">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勘察设计服务期限</w:t>
            </w:r>
          </w:p>
        </w:tc>
        <w:tc>
          <w:tcPr>
            <w:tcW w:w="1585" w:type="pct"/>
            <w:vAlign w:val="center"/>
          </w:tcPr>
          <w:p w14:paraId="06880996">
            <w:pPr>
              <w:wordWrap w:val="0"/>
              <w:autoSpaceDE w:val="0"/>
              <w:autoSpaceDN w:val="0"/>
              <w:spacing w:line="276" w:lineRule="auto"/>
              <w:ind w:left="102"/>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2DAA909E">
            <w:pPr>
              <w:wordWrap w:val="0"/>
              <w:spacing w:line="276" w:lineRule="auto"/>
              <w:jc w:val="center"/>
              <w:rPr>
                <w:rFonts w:ascii="宋体" w:hAnsi="宋体" w:eastAsia="宋体" w:cs="宋体"/>
                <w:color w:val="auto"/>
                <w:szCs w:val="21"/>
                <w:highlight w:val="none"/>
              </w:rPr>
            </w:pPr>
          </w:p>
        </w:tc>
      </w:tr>
      <w:tr w14:paraId="1670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74E8399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636" w:type="pct"/>
            <w:vAlign w:val="center"/>
          </w:tcPr>
          <w:p w14:paraId="0051BA21">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pacing w:val="-3"/>
                <w:szCs w:val="21"/>
                <w:highlight w:val="none"/>
              </w:rPr>
              <w:t>价</w:t>
            </w:r>
            <w:r>
              <w:rPr>
                <w:rFonts w:hint="eastAsia" w:ascii="宋体" w:hAnsi="宋体" w:eastAsia="宋体" w:cs="宋体"/>
                <w:color w:val="auto"/>
                <w:szCs w:val="21"/>
                <w:highlight w:val="none"/>
              </w:rPr>
              <w:t>款</w:t>
            </w:r>
            <w:r>
              <w:rPr>
                <w:rFonts w:hint="eastAsia" w:ascii="宋体" w:hAnsi="宋体" w:eastAsia="宋体" w:cs="宋体"/>
                <w:color w:val="auto"/>
                <w:spacing w:val="-3"/>
                <w:szCs w:val="21"/>
                <w:highlight w:val="none"/>
              </w:rPr>
              <w:t>确</w:t>
            </w:r>
            <w:r>
              <w:rPr>
                <w:rFonts w:hint="eastAsia" w:ascii="宋体" w:hAnsi="宋体" w:eastAsia="宋体" w:cs="宋体"/>
                <w:color w:val="auto"/>
                <w:szCs w:val="21"/>
                <w:highlight w:val="none"/>
              </w:rPr>
              <w:t>定</w:t>
            </w:r>
            <w:r>
              <w:rPr>
                <w:rFonts w:hint="eastAsia" w:ascii="宋体" w:hAnsi="宋体" w:eastAsia="宋体" w:cs="宋体"/>
                <w:color w:val="auto"/>
                <w:spacing w:val="-3"/>
                <w:szCs w:val="21"/>
                <w:highlight w:val="none"/>
              </w:rPr>
              <w:t>方式</w:t>
            </w:r>
          </w:p>
        </w:tc>
        <w:tc>
          <w:tcPr>
            <w:tcW w:w="1585" w:type="pct"/>
            <w:vAlign w:val="center"/>
          </w:tcPr>
          <w:p w14:paraId="4B1D6988">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6519CB41">
            <w:pPr>
              <w:wordWrap w:val="0"/>
              <w:spacing w:line="276" w:lineRule="auto"/>
              <w:jc w:val="center"/>
              <w:rPr>
                <w:rFonts w:ascii="宋体" w:hAnsi="宋体" w:eastAsia="宋体" w:cs="宋体"/>
                <w:color w:val="auto"/>
                <w:szCs w:val="21"/>
                <w:highlight w:val="none"/>
              </w:rPr>
            </w:pPr>
          </w:p>
        </w:tc>
      </w:tr>
      <w:tr w14:paraId="69B1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26F4A98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36" w:type="pct"/>
            <w:vAlign w:val="center"/>
          </w:tcPr>
          <w:p w14:paraId="4CC5318F">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投标内容</w:t>
            </w:r>
          </w:p>
        </w:tc>
        <w:tc>
          <w:tcPr>
            <w:tcW w:w="1585" w:type="pct"/>
            <w:vAlign w:val="center"/>
          </w:tcPr>
          <w:p w14:paraId="63ED9EE0">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03063853">
            <w:pPr>
              <w:wordWrap w:val="0"/>
              <w:spacing w:line="276" w:lineRule="auto"/>
              <w:jc w:val="center"/>
              <w:rPr>
                <w:rFonts w:ascii="宋体" w:hAnsi="宋体" w:eastAsia="宋体" w:cs="宋体"/>
                <w:color w:val="auto"/>
                <w:szCs w:val="21"/>
                <w:highlight w:val="none"/>
              </w:rPr>
            </w:pPr>
          </w:p>
        </w:tc>
      </w:tr>
      <w:tr w14:paraId="1FDA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2DC2B2C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636" w:type="pct"/>
            <w:vAlign w:val="center"/>
          </w:tcPr>
          <w:p w14:paraId="5A736E99">
            <w:pPr>
              <w:wordWrap w:val="0"/>
              <w:autoSpaceDE w:val="0"/>
              <w:autoSpaceDN w:val="0"/>
              <w:spacing w:line="276" w:lineRule="auto"/>
              <w:ind w:left="-4" w:leftChars="-3" w:hanging="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质量标准</w:t>
            </w:r>
          </w:p>
        </w:tc>
        <w:tc>
          <w:tcPr>
            <w:tcW w:w="1585" w:type="pct"/>
            <w:vAlign w:val="center"/>
          </w:tcPr>
          <w:p w14:paraId="55552F75">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5411FE43">
            <w:pPr>
              <w:wordWrap w:val="0"/>
              <w:spacing w:line="276" w:lineRule="auto"/>
              <w:jc w:val="center"/>
              <w:rPr>
                <w:rFonts w:ascii="宋体" w:hAnsi="宋体" w:eastAsia="宋体" w:cs="宋体"/>
                <w:color w:val="auto"/>
                <w:szCs w:val="21"/>
                <w:highlight w:val="none"/>
              </w:rPr>
            </w:pPr>
          </w:p>
        </w:tc>
      </w:tr>
      <w:tr w14:paraId="24CB7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004753B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636" w:type="pct"/>
            <w:vAlign w:val="center"/>
          </w:tcPr>
          <w:p w14:paraId="2F64D1CF">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投标有效期</w:t>
            </w:r>
          </w:p>
        </w:tc>
        <w:tc>
          <w:tcPr>
            <w:tcW w:w="1585" w:type="pct"/>
            <w:vAlign w:val="center"/>
          </w:tcPr>
          <w:p w14:paraId="5E4F1B16">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4AAB3B15">
            <w:pPr>
              <w:wordWrap w:val="0"/>
              <w:spacing w:line="276" w:lineRule="auto"/>
              <w:jc w:val="center"/>
              <w:rPr>
                <w:rFonts w:ascii="宋体" w:hAnsi="宋体" w:eastAsia="宋体" w:cs="宋体"/>
                <w:color w:val="auto"/>
                <w:szCs w:val="21"/>
                <w:highlight w:val="none"/>
              </w:rPr>
            </w:pPr>
          </w:p>
        </w:tc>
      </w:tr>
    </w:tbl>
    <w:p w14:paraId="222F0967">
      <w:pPr>
        <w:pBdr>
          <w:top w:val="single" w:color="auto" w:sz="4" w:space="1"/>
        </w:pBdr>
        <w:wordWrap w:val="0"/>
        <w:spacing w:line="360" w:lineRule="auto"/>
        <w:rPr>
          <w:rFonts w:ascii="宋体" w:hAnsi="宋体" w:eastAsia="宋体" w:cs="宋体"/>
          <w:bCs/>
          <w:color w:val="auto"/>
          <w:sz w:val="24"/>
          <w:szCs w:val="24"/>
          <w:highlight w:val="none"/>
        </w:rPr>
      </w:pPr>
    </w:p>
    <w:p w14:paraId="1320350C">
      <w:pPr>
        <w:pBdr>
          <w:top w:val="single" w:color="auto" w:sz="4" w:space="1"/>
        </w:pBdr>
        <w:wordWrap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pacing w:val="-2"/>
          <w:sz w:val="24"/>
          <w:szCs w:val="24"/>
          <w:highlight w:val="none"/>
        </w:rPr>
        <w:t>人：</w:t>
      </w:r>
      <w:r>
        <w:rPr>
          <w:rFonts w:hint="eastAsia" w:ascii="宋体" w:hAnsi="宋体" w:eastAsia="宋体" w:cs="宋体"/>
          <w:bCs/>
          <w:color w:val="auto"/>
          <w:spacing w:val="-2"/>
          <w:sz w:val="24"/>
          <w:szCs w:val="24"/>
          <w:highlight w:val="none"/>
          <w:u w:val="single"/>
        </w:rPr>
        <w:t xml:space="preserve">    </w:t>
      </w:r>
      <w:r>
        <w:rPr>
          <w:rFonts w:hint="eastAsia" w:ascii="宋体" w:hAnsi="宋体" w:eastAsia="宋体" w:cs="宋体"/>
          <w:bCs/>
          <w:color w:val="auto"/>
          <w:spacing w:val="-1"/>
          <w:sz w:val="24"/>
          <w:szCs w:val="24"/>
          <w:highlight w:val="none"/>
        </w:rPr>
        <w:t>（盖章）</w:t>
      </w:r>
    </w:p>
    <w:p w14:paraId="030EE726">
      <w:pPr>
        <w:wordWrap w:val="0"/>
        <w:spacing w:line="360" w:lineRule="auto"/>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08E3D682">
      <w:pPr>
        <w:wordWrap w:val="0"/>
        <w:spacing w:line="360" w:lineRule="auto"/>
        <w:ind w:firstLine="240" w:firstLineChars="100"/>
        <w:rPr>
          <w:rFonts w:ascii="宋体" w:hAnsi="宋体" w:eastAsia="宋体" w:cs="宋体"/>
          <w:color w:val="auto"/>
          <w:sz w:val="24"/>
          <w:szCs w:val="24"/>
          <w:highlight w:val="none"/>
        </w:rPr>
      </w:pPr>
    </w:p>
    <w:p w14:paraId="716E9933">
      <w:pPr>
        <w:wordWrap w:val="0"/>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21C2B5A2">
      <w:pPr>
        <w:pStyle w:val="6"/>
        <w:wordWrap w:val="0"/>
        <w:rPr>
          <w:color w:val="auto"/>
          <w:highlight w:val="none"/>
        </w:rPr>
      </w:pPr>
      <w:r>
        <w:rPr>
          <w:rFonts w:hint="eastAsia"/>
          <w:color w:val="auto"/>
          <w:highlight w:val="none"/>
        </w:rPr>
        <w:br w:type="page"/>
      </w:r>
      <w:r>
        <w:rPr>
          <w:rFonts w:hint="eastAsia"/>
          <w:color w:val="auto"/>
          <w:highlight w:val="none"/>
        </w:rPr>
        <w:t>二、法定代表人身份证明及授权委托书</w:t>
      </w:r>
      <w:bookmarkEnd w:id="222"/>
      <w:bookmarkEnd w:id="223"/>
    </w:p>
    <w:p w14:paraId="3C307A5E">
      <w:pPr>
        <w:wordWrap w:val="0"/>
        <w:jc w:val="center"/>
        <w:rPr>
          <w:rFonts w:ascii="宋体" w:hAnsi="宋体" w:eastAsia="宋体" w:cs="宋体"/>
          <w:b/>
          <w:color w:val="auto"/>
          <w:sz w:val="28"/>
          <w:szCs w:val="28"/>
          <w:highlight w:val="none"/>
        </w:rPr>
      </w:pPr>
      <w:bookmarkStart w:id="224" w:name="_Toc82786997"/>
      <w:bookmarkStart w:id="225" w:name="_Toc35513540"/>
      <w:r>
        <w:rPr>
          <w:rFonts w:hint="eastAsia" w:ascii="宋体" w:hAnsi="宋体" w:eastAsia="宋体" w:cs="宋体"/>
          <w:b/>
          <w:color w:val="auto"/>
          <w:sz w:val="28"/>
          <w:szCs w:val="28"/>
          <w:highlight w:val="none"/>
        </w:rPr>
        <w:t>法定代表人身份证明</w:t>
      </w:r>
      <w:bookmarkEnd w:id="224"/>
      <w:bookmarkEnd w:id="225"/>
    </w:p>
    <w:p w14:paraId="1B2A021E">
      <w:pPr>
        <w:wordWrap w:val="0"/>
        <w:spacing w:line="360" w:lineRule="auto"/>
        <w:ind w:firstLine="480"/>
        <w:rPr>
          <w:rFonts w:ascii="宋体" w:hAnsi="宋体" w:eastAsia="宋体" w:cs="宋体"/>
          <w:color w:val="auto"/>
          <w:sz w:val="24"/>
          <w:szCs w:val="24"/>
          <w:highlight w:val="none"/>
        </w:rPr>
      </w:pPr>
    </w:p>
    <w:p w14:paraId="393D9CE8">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220B89C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6E4A16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E30862D">
      <w:pPr>
        <w:wordWrap w:val="0"/>
        <w:spacing w:line="360" w:lineRule="auto"/>
        <w:ind w:firstLine="480"/>
        <w:rPr>
          <w:rFonts w:ascii="宋体" w:hAnsi="宋体" w:eastAsia="宋体" w:cs="宋体"/>
          <w:color w:val="auto"/>
          <w:sz w:val="24"/>
          <w:szCs w:val="24"/>
          <w:highlight w:val="none"/>
        </w:rPr>
      </w:pPr>
    </w:p>
    <w:p w14:paraId="60FFD59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B3FE1FA">
      <w:pPr>
        <w:wordWrap w:val="0"/>
        <w:spacing w:line="360" w:lineRule="auto"/>
        <w:ind w:firstLine="480"/>
        <w:rPr>
          <w:rFonts w:ascii="宋体" w:hAnsi="宋体" w:eastAsia="宋体" w:cs="宋体"/>
          <w:color w:val="auto"/>
          <w:sz w:val="24"/>
          <w:szCs w:val="24"/>
          <w:highlight w:val="none"/>
        </w:rPr>
      </w:pPr>
    </w:p>
    <w:p w14:paraId="64FEE1B8">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p>
    <w:p w14:paraId="58111BAE">
      <w:pPr>
        <w:wordWrap w:val="0"/>
        <w:spacing w:line="360" w:lineRule="auto"/>
        <w:ind w:firstLine="480"/>
        <w:rPr>
          <w:rFonts w:ascii="宋体" w:hAnsi="宋体" w:eastAsia="宋体" w:cs="宋体"/>
          <w:color w:val="auto"/>
          <w:sz w:val="24"/>
          <w:szCs w:val="24"/>
          <w:highlight w:val="none"/>
        </w:rPr>
      </w:pPr>
    </w:p>
    <w:p w14:paraId="3207A9C8">
      <w:pPr>
        <w:wordWrap w:val="0"/>
        <w:spacing w:line="360" w:lineRule="auto"/>
        <w:ind w:firstLine="480"/>
        <w:rPr>
          <w:rFonts w:ascii="宋体" w:hAnsi="宋体" w:eastAsia="宋体" w:cs="宋体"/>
          <w:color w:val="auto"/>
          <w:sz w:val="24"/>
          <w:szCs w:val="24"/>
          <w:highlight w:val="none"/>
        </w:rPr>
      </w:pPr>
    </w:p>
    <w:p w14:paraId="0D071539">
      <w:pPr>
        <w:wordWrap w:val="0"/>
        <w:spacing w:line="360" w:lineRule="auto"/>
        <w:ind w:firstLine="480"/>
        <w:rPr>
          <w:rFonts w:ascii="宋体" w:hAnsi="宋体" w:eastAsia="宋体" w:cs="宋体"/>
          <w:color w:val="auto"/>
          <w:sz w:val="24"/>
          <w:szCs w:val="24"/>
          <w:highlight w:val="none"/>
        </w:rPr>
      </w:pPr>
    </w:p>
    <w:p w14:paraId="6A789DBA">
      <w:pPr>
        <w:wordWrap w:val="0"/>
        <w:spacing w:line="360" w:lineRule="auto"/>
        <w:ind w:firstLine="480"/>
        <w:rPr>
          <w:rFonts w:ascii="宋体" w:hAnsi="宋体" w:eastAsia="宋体" w:cs="宋体"/>
          <w:color w:val="auto"/>
          <w:sz w:val="24"/>
          <w:szCs w:val="24"/>
          <w:highlight w:val="none"/>
        </w:rPr>
      </w:pPr>
    </w:p>
    <w:p w14:paraId="58708DC8">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bookmarkStart w:id="226" w:name="page82"/>
      <w:bookmarkEnd w:id="226"/>
      <w:r>
        <w:rPr>
          <w:rFonts w:hint="eastAsia" w:ascii="宋体" w:hAnsi="宋体" w:eastAsia="宋体" w:cs="宋体"/>
          <w:color w:val="auto"/>
          <w:sz w:val="24"/>
          <w:szCs w:val="24"/>
          <w:highlight w:val="none"/>
        </w:rPr>
        <w:t>（</w:t>
      </w:r>
      <w:bookmarkStart w:id="227" w:name="_Toc14709396"/>
      <w:r>
        <w:rPr>
          <w:rFonts w:hint="eastAsia" w:ascii="宋体" w:hAnsi="宋体" w:eastAsia="宋体" w:cs="宋体"/>
          <w:color w:val="auto"/>
          <w:sz w:val="24"/>
          <w:szCs w:val="24"/>
          <w:highlight w:val="none"/>
        </w:rPr>
        <w:t>盖单位章）</w:t>
      </w:r>
    </w:p>
    <w:bookmarkEnd w:id="227"/>
    <w:p w14:paraId="2668CD04">
      <w:pPr>
        <w:wordWrap w:val="0"/>
        <w:spacing w:line="360" w:lineRule="auto"/>
        <w:ind w:firstLine="5280" w:firstLineChars="2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50E4AA">
      <w:pPr>
        <w:wordWrap w:val="0"/>
        <w:spacing w:line="360" w:lineRule="auto"/>
        <w:ind w:firstLine="480"/>
        <w:rPr>
          <w:rFonts w:ascii="宋体" w:hAnsi="宋体" w:eastAsia="宋体" w:cs="宋体"/>
          <w:color w:val="auto"/>
          <w:sz w:val="24"/>
          <w:szCs w:val="24"/>
          <w:highlight w:val="none"/>
        </w:rPr>
      </w:pPr>
    </w:p>
    <w:p w14:paraId="5F27B8A2">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联合体投标的，仅须提供联合体主办方出具的法定代表人身份证明</w:t>
      </w:r>
      <w:r>
        <w:rPr>
          <w:rFonts w:hint="eastAsia" w:ascii="宋体" w:hAnsi="宋体" w:eastAsia="宋体" w:cs="宋体"/>
          <w:color w:val="auto"/>
          <w:sz w:val="24"/>
          <w:szCs w:val="24"/>
          <w:highlight w:val="none"/>
        </w:rPr>
        <w:t>。</w:t>
      </w:r>
      <w:bookmarkStart w:id="228" w:name="_Toc35513541"/>
    </w:p>
    <w:p w14:paraId="5F7749CF">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32"/>
          <w:szCs w:val="24"/>
          <w:highlight w:val="none"/>
        </w:rPr>
        <w:br w:type="page"/>
      </w:r>
      <w:bookmarkStart w:id="229" w:name="_Toc82786998"/>
      <w:r>
        <w:rPr>
          <w:rFonts w:hint="eastAsia" w:ascii="宋体" w:hAnsi="宋体" w:eastAsia="宋体" w:cs="宋体"/>
          <w:b/>
          <w:color w:val="auto"/>
          <w:sz w:val="28"/>
          <w:szCs w:val="28"/>
          <w:highlight w:val="none"/>
        </w:rPr>
        <w:t>授权委托书</w:t>
      </w:r>
      <w:bookmarkEnd w:id="228"/>
      <w:bookmarkEnd w:id="229"/>
    </w:p>
    <w:p w14:paraId="625527C9">
      <w:pPr>
        <w:wordWrap w:val="0"/>
        <w:spacing w:line="360" w:lineRule="auto"/>
        <w:ind w:firstLine="480"/>
        <w:rPr>
          <w:rFonts w:ascii="宋体" w:hAnsi="宋体" w:eastAsia="宋体" w:cs="宋体"/>
          <w:color w:val="auto"/>
          <w:sz w:val="24"/>
          <w:szCs w:val="24"/>
          <w:highlight w:val="none"/>
        </w:rPr>
      </w:pPr>
    </w:p>
    <w:p w14:paraId="5BBDAF94">
      <w:pPr>
        <w:wordWrap w:val="0"/>
        <w:topLinePunct/>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rPr>
        <w:t xml:space="preserve">       勘察设计</w:t>
      </w:r>
      <w:r>
        <w:rPr>
          <w:rFonts w:hint="eastAsia" w:ascii="宋体" w:hAnsi="宋体" w:eastAsia="宋体" w:cs="宋体"/>
          <w:color w:val="auto"/>
          <w:sz w:val="24"/>
          <w:szCs w:val="24"/>
          <w:highlight w:val="none"/>
        </w:rPr>
        <w:t>招标项目投标文件、签订合同和处理有关事宜，其法律后果由我方承担。</w:t>
      </w:r>
    </w:p>
    <w:p w14:paraId="2A01CF6B">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987AD7">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0A78749E">
      <w:pPr>
        <w:wordWrap w:val="0"/>
        <w:spacing w:line="360" w:lineRule="auto"/>
        <w:ind w:firstLine="480"/>
        <w:rPr>
          <w:rFonts w:ascii="宋体" w:hAnsi="宋体" w:eastAsia="宋体" w:cs="宋体"/>
          <w:color w:val="auto"/>
          <w:sz w:val="24"/>
          <w:szCs w:val="24"/>
          <w:highlight w:val="none"/>
        </w:rPr>
      </w:pPr>
    </w:p>
    <w:p w14:paraId="62A4B9AD">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附：法定代表人身份证及委托代理人身份证</w:t>
      </w:r>
    </w:p>
    <w:p w14:paraId="51C65CFA">
      <w:pPr>
        <w:wordWrap w:val="0"/>
        <w:spacing w:line="360" w:lineRule="auto"/>
        <w:ind w:firstLine="480"/>
        <w:rPr>
          <w:rFonts w:ascii="宋体" w:hAnsi="宋体" w:eastAsia="宋体" w:cs="宋体"/>
          <w:color w:val="auto"/>
          <w:sz w:val="24"/>
          <w:szCs w:val="24"/>
          <w:highlight w:val="none"/>
        </w:rPr>
      </w:pPr>
    </w:p>
    <w:p w14:paraId="357CCB37">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注：本授权委托书需由投标人加盖单位公章并由其法定代表人和委托代理人签字。</w:t>
      </w:r>
    </w:p>
    <w:p w14:paraId="3CABF59A">
      <w:pPr>
        <w:wordWrap w:val="0"/>
        <w:spacing w:line="360" w:lineRule="auto"/>
        <w:ind w:firstLine="480"/>
        <w:rPr>
          <w:rFonts w:ascii="宋体" w:hAnsi="宋体" w:eastAsia="宋体" w:cs="宋体"/>
          <w:color w:val="auto"/>
          <w:sz w:val="24"/>
          <w:szCs w:val="24"/>
          <w:highlight w:val="none"/>
        </w:rPr>
      </w:pPr>
    </w:p>
    <w:p w14:paraId="1F4BA5A1">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38E2FE5">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8D6C0F4">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45D47CCB">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B4275AD">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5A2027DB">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81283CE">
      <w:pPr>
        <w:wordWrap w:val="0"/>
        <w:spacing w:line="360" w:lineRule="auto"/>
        <w:ind w:firstLine="480"/>
        <w:rPr>
          <w:rFonts w:ascii="宋体" w:hAnsi="宋体" w:eastAsia="宋体" w:cs="宋体"/>
          <w:color w:val="auto"/>
          <w:sz w:val="24"/>
          <w:szCs w:val="24"/>
          <w:highlight w:val="none"/>
        </w:rPr>
      </w:pPr>
    </w:p>
    <w:p w14:paraId="08AB3AC1">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联合体投标的，仅须提供联合体主办方出具的授权委托书</w:t>
      </w:r>
      <w:r>
        <w:rPr>
          <w:rFonts w:hint="eastAsia" w:ascii="宋体" w:hAnsi="宋体" w:eastAsia="宋体" w:cs="宋体"/>
          <w:color w:val="auto"/>
          <w:sz w:val="24"/>
          <w:szCs w:val="24"/>
          <w:highlight w:val="none"/>
        </w:rPr>
        <w:t>。</w:t>
      </w:r>
    </w:p>
    <w:p w14:paraId="6BE08077">
      <w:pPr>
        <w:pStyle w:val="6"/>
        <w:wordWrap w:val="0"/>
        <w:rPr>
          <w:color w:val="auto"/>
          <w:highlight w:val="none"/>
        </w:rPr>
      </w:pPr>
      <w:r>
        <w:rPr>
          <w:rFonts w:hint="eastAsia"/>
          <w:color w:val="auto"/>
          <w:highlight w:val="none"/>
        </w:rPr>
        <w:br w:type="page"/>
      </w:r>
      <w:bookmarkStart w:id="230" w:name="_Toc17883"/>
      <w:bookmarkStart w:id="231" w:name="_Toc111186814"/>
    </w:p>
    <w:p w14:paraId="380217CF">
      <w:pPr>
        <w:pStyle w:val="6"/>
        <w:wordWrap w:val="0"/>
        <w:rPr>
          <w:color w:val="auto"/>
          <w:highlight w:val="none"/>
        </w:rPr>
      </w:pPr>
      <w:r>
        <w:rPr>
          <w:rFonts w:hint="eastAsia"/>
          <w:color w:val="auto"/>
          <w:highlight w:val="none"/>
        </w:rPr>
        <w:t>三</w:t>
      </w:r>
      <w:bookmarkEnd w:id="230"/>
      <w:bookmarkEnd w:id="231"/>
      <w:r>
        <w:rPr>
          <w:rFonts w:hint="eastAsia"/>
          <w:color w:val="auto"/>
          <w:highlight w:val="none"/>
        </w:rPr>
        <w:t>、联合体协议书</w:t>
      </w:r>
    </w:p>
    <w:p w14:paraId="70FD594C">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联合体协议书</w:t>
      </w:r>
    </w:p>
    <w:p w14:paraId="60547896">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（参考格式）</w:t>
      </w:r>
    </w:p>
    <w:p w14:paraId="0CD96ADA">
      <w:pPr>
        <w:wordWrap w:val="0"/>
        <w:spacing w:line="360" w:lineRule="auto"/>
        <w:jc w:val="center"/>
        <w:rPr>
          <w:rFonts w:ascii="宋体" w:hAnsi="宋体" w:eastAsia="宋体" w:cs="宋体"/>
          <w:color w:val="auto"/>
          <w:sz w:val="24"/>
          <w:szCs w:val="24"/>
          <w:highlight w:val="none"/>
        </w:rPr>
      </w:pPr>
    </w:p>
    <w:p w14:paraId="1BBCD0ED">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7BDCF0">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（招标人）</w:t>
      </w:r>
    </w:p>
    <w:p w14:paraId="1872D878">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0FE5209E">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5E2E440">
      <w:pPr>
        <w:wordWrap w:val="0"/>
        <w:spacing w:line="360" w:lineRule="auto"/>
        <w:rPr>
          <w:rFonts w:ascii="宋体" w:hAnsi="宋体" w:eastAsia="宋体" w:cs="宋体"/>
          <w:color w:val="auto"/>
          <w:sz w:val="24"/>
          <w:szCs w:val="24"/>
          <w:highlight w:val="none"/>
          <w:lang w:val="zh-CN"/>
        </w:rPr>
      </w:pPr>
    </w:p>
    <w:p w14:paraId="6D39BF5D">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投标主办方：（盖章）</w:t>
      </w:r>
      <w:r>
        <w:rPr>
          <w:rFonts w:hint="eastAsia" w:ascii="宋体" w:hAnsi="宋体" w:eastAsia="宋体" w:cs="宋体"/>
          <w:color w:val="auto"/>
          <w:sz w:val="24"/>
          <w:szCs w:val="24"/>
          <w:highlight w:val="none"/>
          <w:u w:val="single"/>
          <w:lang w:val="zh-CN"/>
        </w:rPr>
        <w:t xml:space="preserve">                                         </w:t>
      </w:r>
    </w:p>
    <w:p w14:paraId="4DB6FDB7">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3C443BAB">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55A09F64">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25F66C4A">
      <w:pPr>
        <w:wordWrap w:val="0"/>
        <w:spacing w:line="360" w:lineRule="auto"/>
        <w:rPr>
          <w:rFonts w:ascii="宋体" w:hAnsi="宋体" w:eastAsia="宋体" w:cs="宋体"/>
          <w:color w:val="auto"/>
          <w:sz w:val="24"/>
          <w:szCs w:val="24"/>
          <w:highlight w:val="none"/>
          <w:lang w:val="zh-CN"/>
        </w:rPr>
      </w:pPr>
    </w:p>
    <w:p w14:paraId="4AEEA97B">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联合体成员：（盖章）</w:t>
      </w:r>
      <w:r>
        <w:rPr>
          <w:rFonts w:hint="eastAsia" w:ascii="宋体" w:hAnsi="宋体" w:eastAsia="宋体" w:cs="宋体"/>
          <w:color w:val="auto"/>
          <w:sz w:val="24"/>
          <w:szCs w:val="24"/>
          <w:highlight w:val="none"/>
          <w:u w:val="single"/>
          <w:lang w:val="zh-CN"/>
        </w:rPr>
        <w:t xml:space="preserve">                                         </w:t>
      </w:r>
    </w:p>
    <w:p w14:paraId="64D17ADA">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3037D8C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0528994C">
      <w:pPr>
        <w:wordWrap w:val="0"/>
        <w:spacing w:line="360" w:lineRule="auto"/>
        <w:rPr>
          <w:rFonts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281FAD64">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w:t>
      </w:r>
    </w:p>
    <w:p w14:paraId="41014728">
      <w:pPr>
        <w:widowControl/>
        <w:wordWrap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注：非联合体投标的，无需提交本协议书。本联合体协议书可根据联合体成员数量自行调整相关内容。</w:t>
      </w:r>
    </w:p>
    <w:p w14:paraId="0EE3C546">
      <w:pPr>
        <w:pStyle w:val="6"/>
        <w:wordWrap w:val="0"/>
        <w:rPr>
          <w:color w:val="auto"/>
          <w:highlight w:val="none"/>
          <w:u w:val="single"/>
        </w:rPr>
      </w:pPr>
      <w:r>
        <w:rPr>
          <w:rFonts w:hint="eastAsia"/>
          <w:color w:val="auto"/>
          <w:highlight w:val="none"/>
        </w:rPr>
        <w:br w:type="page"/>
      </w:r>
      <w:bookmarkStart w:id="232" w:name="_Toc111186815"/>
      <w:bookmarkStart w:id="233" w:name="_Toc23229"/>
    </w:p>
    <w:p w14:paraId="5EF45334">
      <w:pPr>
        <w:pStyle w:val="6"/>
        <w:wordWrap w:val="0"/>
        <w:rPr>
          <w:color w:val="auto"/>
          <w:highlight w:val="none"/>
        </w:rPr>
      </w:pPr>
      <w:r>
        <w:rPr>
          <w:rFonts w:hint="eastAsia"/>
          <w:color w:val="auto"/>
          <w:highlight w:val="none"/>
        </w:rPr>
        <w:t>四、投标保证金</w:t>
      </w:r>
    </w:p>
    <w:p w14:paraId="2F5DDB36">
      <w:pPr>
        <w:rPr>
          <w:rFonts w:ascii="宋体" w:hAnsi="宋体" w:eastAsia="宋体"/>
          <w:color w:val="auto"/>
          <w:sz w:val="24"/>
          <w:szCs w:val="24"/>
          <w:highlight w:val="none"/>
          <w:u w:val="single"/>
          <w:lang w:val="zh-CN"/>
        </w:rPr>
      </w:pPr>
      <w:r>
        <w:rPr>
          <w:rFonts w:hint="eastAsia" w:ascii="宋体" w:hAnsi="宋体" w:eastAsia="宋体"/>
          <w:color w:val="auto"/>
          <w:sz w:val="24"/>
          <w:szCs w:val="24"/>
          <w:highlight w:val="none"/>
          <w:u w:val="single"/>
          <w:lang w:val="zh-CN"/>
        </w:rPr>
        <w:t>本项目不要求。</w:t>
      </w:r>
    </w:p>
    <w:p w14:paraId="3EE216B5">
      <w:pPr>
        <w:widowControl/>
        <w:jc w:val="left"/>
        <w:rPr>
          <w:rFonts w:ascii="宋体" w:hAnsi="宋体" w:eastAsia="宋体" w:cs="Times New Roman"/>
          <w:b/>
          <w:color w:val="auto"/>
          <w:kern w:val="0"/>
          <w:sz w:val="24"/>
          <w:szCs w:val="24"/>
          <w:highlight w:val="none"/>
          <w:lang w:val="zh-CN"/>
        </w:rPr>
      </w:pPr>
      <w:r>
        <w:rPr>
          <w:rFonts w:hint="eastAsia"/>
          <w:color w:val="auto"/>
          <w:highlight w:val="none"/>
        </w:rPr>
        <w:br w:type="page"/>
      </w:r>
    </w:p>
    <w:p w14:paraId="40DCD1A8">
      <w:pPr>
        <w:pStyle w:val="6"/>
        <w:wordWrap w:val="0"/>
        <w:rPr>
          <w:color w:val="auto"/>
          <w:highlight w:val="none"/>
        </w:rPr>
      </w:pPr>
      <w:r>
        <w:rPr>
          <w:rFonts w:hint="eastAsia"/>
          <w:color w:val="auto"/>
          <w:highlight w:val="none"/>
        </w:rPr>
        <w:t>五、勘察设计费报价表</w:t>
      </w:r>
    </w:p>
    <w:p w14:paraId="0D0C565A">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勘察设计费报价表</w:t>
      </w:r>
    </w:p>
    <w:p w14:paraId="58CA9FC8">
      <w:pPr>
        <w:wordWrap w:val="0"/>
        <w:jc w:val="center"/>
        <w:rPr>
          <w:rFonts w:ascii="宋体" w:hAnsi="宋体" w:eastAsia="宋体" w:cs="宋体"/>
          <w:b/>
          <w:color w:val="auto"/>
          <w:sz w:val="32"/>
          <w:szCs w:val="24"/>
          <w:highlight w:val="none"/>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897"/>
        <w:gridCol w:w="1031"/>
        <w:gridCol w:w="2107"/>
        <w:gridCol w:w="4025"/>
      </w:tblGrid>
      <w:tr w14:paraId="4454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8" w:type="pct"/>
            <w:vAlign w:val="center"/>
          </w:tcPr>
          <w:p w14:paraId="7F716B8C">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14" w:type="pct"/>
            <w:vAlign w:val="center"/>
          </w:tcPr>
          <w:p w14:paraId="33BFF54A">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591" w:type="pct"/>
            <w:vAlign w:val="center"/>
          </w:tcPr>
          <w:p w14:paraId="1887EECE">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下浮率</w:t>
            </w:r>
          </w:p>
        </w:tc>
        <w:tc>
          <w:tcPr>
            <w:tcW w:w="1208" w:type="pct"/>
            <w:vAlign w:val="center"/>
          </w:tcPr>
          <w:p w14:paraId="288E0AE0">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c>
          <w:tcPr>
            <w:tcW w:w="2307" w:type="pct"/>
            <w:vAlign w:val="center"/>
          </w:tcPr>
          <w:p w14:paraId="6C8FF6C8">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1BE5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78" w:type="pct"/>
            <w:vAlign w:val="center"/>
          </w:tcPr>
          <w:p w14:paraId="081D492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514" w:type="pct"/>
            <w:vAlign w:val="center"/>
          </w:tcPr>
          <w:p w14:paraId="2CDEF47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费</w:t>
            </w:r>
          </w:p>
        </w:tc>
        <w:tc>
          <w:tcPr>
            <w:tcW w:w="591" w:type="pct"/>
            <w:vAlign w:val="center"/>
          </w:tcPr>
          <w:p w14:paraId="71209662">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208" w:type="pct"/>
            <w:vAlign w:val="center"/>
          </w:tcPr>
          <w:p w14:paraId="1F0C56A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14:paraId="2C6E6FA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=【1-（勘察</w:t>
            </w:r>
            <w:r>
              <w:rPr>
                <w:rFonts w:hint="eastAsia" w:ascii="宋体" w:hAnsi="宋体" w:eastAsia="宋体" w:cs="宋体"/>
                <w:color w:val="auto"/>
                <w:szCs w:val="21"/>
                <w:highlight w:val="none"/>
                <w:lang w:val="en-US" w:eastAsia="zh-CN"/>
              </w:rPr>
              <w:t>设计</w:t>
            </w:r>
            <w:r>
              <w:rPr>
                <w:rFonts w:ascii="宋体" w:hAnsi="宋体" w:eastAsia="宋体" w:cs="宋体"/>
                <w:color w:val="auto"/>
                <w:szCs w:val="21"/>
                <w:highlight w:val="none"/>
              </w:rPr>
              <w:t>费投标报价/勘察</w:t>
            </w:r>
            <w:r>
              <w:rPr>
                <w:rFonts w:hint="eastAsia" w:ascii="宋体" w:hAnsi="宋体" w:eastAsia="宋体" w:cs="宋体"/>
                <w:color w:val="auto"/>
                <w:szCs w:val="21"/>
                <w:highlight w:val="none"/>
                <w:lang w:val="en-US" w:eastAsia="zh-CN"/>
              </w:rPr>
              <w:t>设计</w:t>
            </w:r>
            <w:r>
              <w:rPr>
                <w:rFonts w:ascii="宋体" w:hAnsi="宋体" w:eastAsia="宋体" w:cs="宋体"/>
                <w:color w:val="auto"/>
                <w:szCs w:val="21"/>
                <w:highlight w:val="none"/>
              </w:rPr>
              <w:t>费最高投标限价）】*100%</w:t>
            </w:r>
          </w:p>
        </w:tc>
      </w:tr>
    </w:tbl>
    <w:p w14:paraId="6F3CB1FD">
      <w:pPr>
        <w:wordWrap w:val="0"/>
        <w:spacing w:line="360" w:lineRule="auto"/>
        <w:rPr>
          <w:rFonts w:ascii="宋体" w:hAnsi="宋体" w:eastAsia="宋体"/>
          <w:color w:val="auto"/>
          <w:sz w:val="24"/>
          <w:szCs w:val="24"/>
          <w:highlight w:val="none"/>
        </w:rPr>
      </w:pPr>
    </w:p>
    <w:p w14:paraId="5D41B5CF">
      <w:pPr>
        <w:wordWrap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 xml:space="preserve">    </w:t>
      </w:r>
      <w:r>
        <w:rPr>
          <w:rFonts w:hint="eastAsia" w:ascii="宋体" w:hAnsi="宋体" w:eastAsia="宋体"/>
          <w:color w:val="auto"/>
          <w:spacing w:val="-1"/>
          <w:sz w:val="24"/>
          <w:szCs w:val="24"/>
          <w:highlight w:val="none"/>
        </w:rPr>
        <w:t>（盖章）</w:t>
      </w:r>
    </w:p>
    <w:p w14:paraId="6371DC90">
      <w:pPr>
        <w:wordWrap w:val="0"/>
        <w:spacing w:line="360" w:lineRule="auto"/>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6CA82BE8">
      <w:pPr>
        <w:wordWrap w:val="0"/>
        <w:spacing w:line="360" w:lineRule="auto"/>
        <w:rPr>
          <w:rFonts w:ascii="宋体" w:hAnsi="宋体" w:eastAsia="宋体" w:cs="宋体"/>
          <w:b/>
          <w:bCs/>
          <w:color w:val="auto"/>
          <w:sz w:val="24"/>
          <w:szCs w:val="24"/>
          <w:highlight w:val="none"/>
          <w:u w:val="single"/>
        </w:rPr>
      </w:pPr>
    </w:p>
    <w:p w14:paraId="099E9BEE">
      <w:pPr>
        <w:wordWrap w:val="0"/>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6D7A3BA9">
      <w:pPr>
        <w:wordWrap w:val="0"/>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bookmarkEnd w:id="232"/>
    <w:bookmarkEnd w:id="233"/>
    <w:p w14:paraId="2B5F4D86">
      <w:pPr>
        <w:pStyle w:val="6"/>
        <w:wordWrap w:val="0"/>
        <w:rPr>
          <w:color w:val="auto"/>
          <w:highlight w:val="none"/>
        </w:rPr>
      </w:pPr>
      <w:r>
        <w:rPr>
          <w:rFonts w:hint="eastAsia"/>
          <w:color w:val="auto"/>
          <w:highlight w:val="none"/>
        </w:rPr>
        <w:t>六、</w:t>
      </w:r>
      <w:r>
        <w:rPr>
          <w:rFonts w:hint="eastAsia" w:cs="宋体"/>
          <w:color w:val="auto"/>
          <w:highlight w:val="none"/>
        </w:rPr>
        <w:t>资格审查资料</w:t>
      </w:r>
    </w:p>
    <w:p w14:paraId="4E88E0D7">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（1）营业执照或事业单位登记机构核发的事业单位法人证书、资质证书；</w:t>
      </w:r>
    </w:p>
    <w:p w14:paraId="749BA469">
      <w:pPr>
        <w:widowControl/>
        <w:spacing w:line="360" w:lineRule="auto"/>
        <w:jc w:val="left"/>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olor w:val="auto"/>
          <w:sz w:val="24"/>
          <w:szCs w:val="24"/>
          <w:highlight w:val="none"/>
        </w:rPr>
        <w:t>项目负责人资格证明资料；</w:t>
      </w:r>
    </w:p>
    <w:p w14:paraId="49BE9AA9">
      <w:pPr>
        <w:widowControl/>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s="宋体"/>
          <w:bCs/>
          <w:color w:val="auto"/>
          <w:sz w:val="24"/>
          <w:szCs w:val="24"/>
          <w:highlight w:val="none"/>
        </w:rPr>
        <w:t>投标人声明、廉洁承诺书。</w:t>
      </w:r>
    </w:p>
    <w:p w14:paraId="7D7ECF83">
      <w:pPr>
        <w:widowControl/>
        <w:spacing w:line="360" w:lineRule="auto"/>
        <w:jc w:val="left"/>
        <w:rPr>
          <w:rFonts w:ascii="宋体" w:hAnsi="宋体" w:eastAsia="宋体" w:cs="宋体"/>
          <w:bCs/>
          <w:color w:val="auto"/>
          <w:sz w:val="24"/>
          <w:szCs w:val="24"/>
          <w:highlight w:val="none"/>
        </w:rPr>
      </w:pPr>
    </w:p>
    <w:p w14:paraId="4A1D9A34">
      <w:pPr>
        <w:widowControl/>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CAC6827">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投标人声明</w:t>
      </w:r>
    </w:p>
    <w:p w14:paraId="6375DECB">
      <w:pPr>
        <w:wordWrap w:val="0"/>
        <w:spacing w:line="360" w:lineRule="auto"/>
        <w:ind w:firstLine="629"/>
        <w:rPr>
          <w:rFonts w:ascii="宋体" w:hAnsi="宋体" w:eastAsia="宋体" w:cs="宋体"/>
          <w:color w:val="auto"/>
          <w:kern w:val="0"/>
          <w:sz w:val="24"/>
          <w:szCs w:val="24"/>
          <w:highlight w:val="none"/>
        </w:rPr>
      </w:pPr>
    </w:p>
    <w:p w14:paraId="531EE5C5">
      <w:pPr>
        <w:wordWrap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056EB0DE">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项目投标工作，作出郑重声明：</w:t>
      </w:r>
    </w:p>
    <w:p w14:paraId="5013591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一、本公司保证投标登记材料及其后提供的一切材料都是真实的。如我司成为本项目中标候选人，我司同意并授权招标人将我司投标文件的人员、业绩、奖项等资料进行公开。</w:t>
      </w:r>
    </w:p>
    <w:p w14:paraId="1A257CD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不与其他单位串通投标或以行贿手段谋取中标，不出借资质、转让勘察设计业务。</w:t>
      </w:r>
    </w:p>
    <w:p w14:paraId="6FE033A1">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三、本公司不存在招标文件第二章投标人须知第1.4.3项所规定的任何一种情形。具体如下：</w:t>
      </w:r>
    </w:p>
    <w:p w14:paraId="2B37B2D9">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（一）为招标人不具有独立法人资格的附属机构（单位）；</w:t>
      </w:r>
    </w:p>
    <w:p w14:paraId="0F850F53">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（二）与招标人存在利害关系且可能影响招标公正性；</w:t>
      </w:r>
    </w:p>
    <w:p w14:paraId="33182EE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（三）与本招标项目的其他投标人为同一个单位负责人；</w:t>
      </w:r>
    </w:p>
    <w:p w14:paraId="539B03E6">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（四）与本招标项目的其他投标人存在控股、管理关系；</w:t>
      </w:r>
    </w:p>
    <w:p w14:paraId="5CE7EFE3">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（五）为本招标项目的代建人或建设管理单位；</w:t>
      </w:r>
    </w:p>
    <w:p w14:paraId="610E9EBB">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（六）为本招标项目的招标代理机构；</w:t>
      </w:r>
    </w:p>
    <w:p w14:paraId="0685332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（七）与本招标项目的代建人或招标代理机构同为一个法定代表人；</w:t>
      </w:r>
    </w:p>
    <w:p w14:paraId="52D881FB">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（八）与本招标项目的代建人或招标代理机构存在控股或参股关系；</w:t>
      </w:r>
    </w:p>
    <w:p w14:paraId="57294558">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3344D46B">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（十）被责令停产停业、暂扣或者吊销许可证、暂扣或者吊销执照（本项事实应当以根据《中华人民共和国行政处罚法》依法作出并已生效的行政处罚决定为认定依据。）；</w:t>
      </w:r>
    </w:p>
    <w:p w14:paraId="1404E8C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（十一）进入清算程序，或被宣告破产，或其他丧失履约能力的情形；</w:t>
      </w:r>
    </w:p>
    <w:p w14:paraId="5A848D3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在最近三年内发生重大设计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6F2E1683">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（十三）法律法规或投标人须知前附表规定的其他情形。</w:t>
      </w:r>
    </w:p>
    <w:p w14:paraId="170F7F7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 。</w:t>
      </w:r>
    </w:p>
    <w:p w14:paraId="61950B8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五、本公司承诺，愿以承诺的投标报价方式承包本次招标所包含的工作，并承担勘察设计质量缺陷责任，中标后严格执行相关法律法规、设计规范等。</w:t>
      </w:r>
    </w:p>
    <w:p w14:paraId="409BF95E">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六、与本公司单位负责人为同一人或者与本公司存在控股、管理关系的其他单位包括：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kern w:val="0"/>
          <w:sz w:val="24"/>
          <w:szCs w:val="24"/>
          <w:highlight w:val="none"/>
          <w:u w:val="single"/>
        </w:rPr>
        <w:t>；如联合体投标，联合体各成员需单独列明</w:t>
      </w:r>
      <w:r>
        <w:rPr>
          <w:rFonts w:hint="eastAsia" w:ascii="宋体" w:hAnsi="宋体" w:eastAsia="宋体" w:cs="宋体"/>
          <w:color w:val="auto"/>
          <w:kern w:val="0"/>
          <w:sz w:val="24"/>
          <w:szCs w:val="24"/>
          <w:highlight w:val="none"/>
        </w:rPr>
        <w:t>。）</w:t>
      </w:r>
    </w:p>
    <w:p w14:paraId="0DBDE5E8">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七、本公司承诺所提供的银行保函、保证保险、专业工程担保公司担保（如有）真实、有效。</w:t>
      </w:r>
    </w:p>
    <w:p w14:paraId="655935F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八、本公司积极响应广州市关于投身“百千万工程”的号召，主动参与政府投资类建设工程施工项目的建筑业结对帮扶等活动（市属国有企业投资项目参照执行）。</w:t>
      </w:r>
    </w:p>
    <w:p w14:paraId="5CCF637C">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九、本公司违反上述承诺，或本声明陈述与事实不符，经查实，本公司愿意接受公开通报，愿意按照有关信用评价管理有关规定，被记录为“不良交易行为信息”，承担由此带来的法律后果。</w:t>
      </w:r>
    </w:p>
    <w:p w14:paraId="07361F1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1731D8D7">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105215B3">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33E85710">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1A2649FF">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6BD2A8C">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廉洁承诺书</w:t>
      </w:r>
    </w:p>
    <w:p w14:paraId="58C3E5C1">
      <w:pPr>
        <w:wordWrap w:val="0"/>
        <w:spacing w:line="360" w:lineRule="auto"/>
        <w:ind w:firstLine="629"/>
        <w:rPr>
          <w:rFonts w:ascii="宋体" w:hAnsi="宋体" w:eastAsia="宋体" w:cs="宋体"/>
          <w:color w:val="auto"/>
          <w:kern w:val="0"/>
          <w:sz w:val="24"/>
          <w:szCs w:val="24"/>
          <w:highlight w:val="none"/>
        </w:rPr>
      </w:pPr>
    </w:p>
    <w:p w14:paraId="6670CD92">
      <w:pPr>
        <w:wordWrap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6C4CE5C3">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本公司参加了</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39FE3DC8">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一、自觉遵守国家有关法律法规及廉洁规定。</w:t>
      </w:r>
    </w:p>
    <w:p w14:paraId="07CE6875">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二、不与招标单位工作人员串通投标，损害国家利益、企业利益以及他人的合法利益；</w:t>
      </w:r>
    </w:p>
    <w:p w14:paraId="5DB211A7">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三、不与其他单位围标、串标，不出让投标资格，不向招标人或评标委员会成员行贿。</w:t>
      </w:r>
    </w:p>
    <w:p w14:paraId="4B7D62FC">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四、不以任何名义向参与招标、评标工作的有关人员提供高消费宴请及娱乐活动和赠送回扣、红包、礼金、购物卡、有价证券、贵重物品和好处费、感谢费等； </w:t>
      </w:r>
    </w:p>
    <w:p w14:paraId="7E19B979">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五、不以任何名义为参与招标、评标工作的有关人员装修住房、婚丧嫁娶、配偶子女的工作安排以及境内外旅游等提供方便；</w:t>
      </w:r>
    </w:p>
    <w:p w14:paraId="3EBD703C">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六、不以谋取非正当利益为目的，擅自与参与招标、评标工作的有关人员就业务问题进行私下商谈或者达成利益默契。</w:t>
      </w:r>
    </w:p>
    <w:p w14:paraId="4A735890">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本公司违反上述承诺，或本承诺陈述与事实不符，经查实，本公司愿意接受公开通报，被招标监管部门信用评价记录不良行为并扣分，并承担由此带来的法律后果。</w:t>
      </w:r>
    </w:p>
    <w:p w14:paraId="55E7A91C">
      <w:pPr>
        <w:wordWrap w:val="0"/>
        <w:spacing w:line="360" w:lineRule="auto"/>
        <w:jc w:val="left"/>
        <w:rPr>
          <w:rFonts w:ascii="宋体" w:hAnsi="宋体" w:eastAsia="宋体" w:cs="宋体"/>
          <w:color w:val="auto"/>
          <w:kern w:val="0"/>
          <w:sz w:val="24"/>
          <w:szCs w:val="24"/>
          <w:highlight w:val="none"/>
        </w:rPr>
      </w:pPr>
    </w:p>
    <w:p w14:paraId="381FEECF">
      <w:pPr>
        <w:wordWrap w:val="0"/>
        <w:spacing w:line="360" w:lineRule="auto"/>
        <w:jc w:val="left"/>
        <w:rPr>
          <w:rFonts w:ascii="宋体" w:hAnsi="宋体" w:eastAsia="宋体" w:cs="宋体"/>
          <w:color w:val="auto"/>
          <w:kern w:val="0"/>
          <w:sz w:val="24"/>
          <w:szCs w:val="24"/>
          <w:highlight w:val="none"/>
        </w:rPr>
      </w:pPr>
    </w:p>
    <w:p w14:paraId="271301F4">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7FBD7711">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1AD21FFE">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31198B9C">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0B543D">
      <w:pPr>
        <w:pStyle w:val="6"/>
        <w:wordWrap w:val="0"/>
        <w:rPr>
          <w:rFonts w:cs="宋体"/>
          <w:color w:val="auto"/>
          <w:highlight w:val="none"/>
        </w:rPr>
      </w:pPr>
      <w:r>
        <w:rPr>
          <w:rFonts w:hint="eastAsia"/>
          <w:color w:val="auto"/>
          <w:highlight w:val="none"/>
        </w:rPr>
        <w:t>七、投标人须知前附表规定的其他资料</w:t>
      </w:r>
    </w:p>
    <w:p w14:paraId="62C63FDB">
      <w:pPr>
        <w:wordWrap w:val="0"/>
        <w:spacing w:line="360" w:lineRule="auto"/>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投标人认为有必要提供的其他资料，格式自定。</w:t>
      </w:r>
    </w:p>
    <w:p w14:paraId="1042E013">
      <w:pPr>
        <w:pStyle w:val="6"/>
        <w:wordWrap w:val="0"/>
        <w:rPr>
          <w:rFonts w:cs="宋体"/>
          <w:color w:val="auto"/>
          <w:highlight w:val="none"/>
        </w:rPr>
      </w:pPr>
      <w:r>
        <w:rPr>
          <w:rFonts w:hint="eastAsia"/>
          <w:color w:val="auto"/>
          <w:highlight w:val="none"/>
        </w:rPr>
        <w:br w:type="page"/>
      </w:r>
    </w:p>
    <w:p w14:paraId="7DDDDB89">
      <w:pPr>
        <w:pStyle w:val="5"/>
        <w:wordWrap w:val="0"/>
        <w:rPr>
          <w:color w:val="auto"/>
          <w:highlight w:val="none"/>
        </w:rPr>
      </w:pPr>
      <w:r>
        <w:rPr>
          <w:rFonts w:hint="eastAsia"/>
          <w:color w:val="auto"/>
          <w:highlight w:val="none"/>
        </w:rPr>
        <w:t>2. 技术文件（勘察设计方案）编制</w:t>
      </w:r>
    </w:p>
    <w:p w14:paraId="56DF6326">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2.1技术文件（勘察设计方案）暗标，由下列资料组成：（总页码不超过</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00页</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目录</w:t>
      </w:r>
      <w:r>
        <w:rPr>
          <w:rFonts w:ascii="宋体" w:hAnsi="宋体" w:eastAsia="宋体" w:cs="宋体"/>
          <w:color w:val="auto"/>
          <w:sz w:val="24"/>
          <w:szCs w:val="24"/>
          <w:highlight w:val="none"/>
        </w:rPr>
        <w:t>编排</w:t>
      </w:r>
      <w:r>
        <w:rPr>
          <w:rFonts w:hint="eastAsia" w:ascii="宋体" w:hAnsi="宋体" w:eastAsia="宋体" w:cs="宋体"/>
          <w:color w:val="auto"/>
          <w:sz w:val="24"/>
          <w:szCs w:val="24"/>
          <w:highlight w:val="none"/>
        </w:rPr>
        <w:t>投标</w:t>
      </w:r>
      <w:r>
        <w:rPr>
          <w:rFonts w:ascii="宋体" w:hAnsi="宋体" w:eastAsia="宋体" w:cs="宋体"/>
          <w:color w:val="auto"/>
          <w:sz w:val="24"/>
          <w:szCs w:val="24"/>
          <w:highlight w:val="none"/>
        </w:rPr>
        <w:t>人</w:t>
      </w:r>
      <w:r>
        <w:rPr>
          <w:rFonts w:hint="eastAsia" w:ascii="宋体" w:hAnsi="宋体" w:eastAsia="宋体" w:cs="宋体"/>
          <w:color w:val="auto"/>
          <w:sz w:val="24"/>
          <w:szCs w:val="24"/>
          <w:highlight w:val="none"/>
        </w:rPr>
        <w:t>可自</w:t>
      </w:r>
      <w:r>
        <w:rPr>
          <w:rFonts w:ascii="宋体" w:hAnsi="宋体" w:eastAsia="宋体" w:cs="宋体"/>
          <w:color w:val="auto"/>
          <w:sz w:val="24"/>
          <w:szCs w:val="24"/>
          <w:highlight w:val="none"/>
        </w:rPr>
        <w:t>行修改</w:t>
      </w:r>
      <w:r>
        <w:rPr>
          <w:rFonts w:hint="eastAsia" w:ascii="宋体" w:hAnsi="宋体" w:eastAsia="宋体" w:cs="宋体"/>
          <w:b/>
          <w:color w:val="auto"/>
          <w:sz w:val="24"/>
          <w:szCs w:val="24"/>
          <w:highlight w:val="none"/>
        </w:rPr>
        <w:t>）</w:t>
      </w:r>
    </w:p>
    <w:p w14:paraId="5E2AE936">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保密要求</w:t>
      </w:r>
    </w:p>
    <w:p w14:paraId="28ED527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r>
        <w:rPr>
          <w:rFonts w:hint="eastAsia" w:ascii="宋体" w:hAnsi="宋体" w:eastAsia="宋体" w:cs="宋体"/>
          <w:b/>
          <w:color w:val="auto"/>
          <w:sz w:val="24"/>
          <w:szCs w:val="24"/>
          <w:highlight w:val="none"/>
        </w:rPr>
        <w:t>不得显示投标报价信息</w:t>
      </w:r>
      <w:r>
        <w:rPr>
          <w:rFonts w:hint="eastAsia" w:ascii="宋体" w:hAnsi="宋体" w:eastAsia="宋体" w:cs="宋体"/>
          <w:color w:val="auto"/>
          <w:sz w:val="24"/>
          <w:szCs w:val="24"/>
          <w:highlight w:val="none"/>
        </w:rPr>
        <w:t>。</w:t>
      </w:r>
    </w:p>
    <w:p w14:paraId="5092C87A">
      <w:pPr>
        <w:wordWrap w:val="0"/>
        <w:rPr>
          <w:color w:val="auto"/>
          <w:highlight w:val="none"/>
        </w:rPr>
      </w:pPr>
    </w:p>
    <w:sectPr>
      <w:footerReference r:id="rId7" w:type="default"/>
      <w:footerReference r:id="rId8" w:type="even"/>
      <w:pgSz w:w="11905" w:h="16838"/>
      <w:pgMar w:top="1474" w:right="1701" w:bottom="147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210166"/>
      <w:docPartObj>
        <w:docPartGallery w:val="autotext"/>
      </w:docPartObj>
    </w:sdtPr>
    <w:sdtContent>
      <w:p w14:paraId="5D266643">
        <w:pPr>
          <w:pStyle w:val="30"/>
          <w:jc w:val="center"/>
        </w:pPr>
        <w:r>
          <w:fldChar w:fldCharType="begin"/>
        </w:r>
        <w:r>
          <w:instrText xml:space="preserve">PAGE   \* MERGEFORMAT</w:instrText>
        </w:r>
        <w:r>
          <w:fldChar w:fldCharType="separate"/>
        </w:r>
        <w:r>
          <w:rPr>
            <w:lang w:val="zh-CN"/>
          </w:rPr>
          <w:t>1</w:t>
        </w:r>
        <w:r>
          <w:fldChar w:fldCharType="end"/>
        </w:r>
      </w:p>
    </w:sdtContent>
  </w:sdt>
  <w:p w14:paraId="1975089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FB86">
    <w:pPr>
      <w:pStyle w:val="30"/>
      <w:jc w:val="center"/>
    </w:pPr>
    <w:r>
      <w:fldChar w:fldCharType="begin"/>
    </w:r>
    <w:r>
      <w:instrText xml:space="preserve"> PAGE   \* MERGEFORMAT </w:instrText>
    </w:r>
    <w:r>
      <w:fldChar w:fldCharType="separate"/>
    </w:r>
    <w:r>
      <w:rPr>
        <w:lang w:val="zh-CN"/>
      </w:rPr>
      <w:t>44</w:t>
    </w:r>
    <w:r>
      <w:fldChar w:fldCharType="end"/>
    </w:r>
  </w:p>
  <w:p w14:paraId="0D326AB9">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24A5">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A68FF">
                          <w:pPr>
                            <w:pStyle w:val="30"/>
                            <w:rPr>
                              <w:rStyle w:val="49"/>
                            </w:rPr>
                          </w:pPr>
                          <w:r>
                            <w:rPr>
                              <w:rStyle w:val="49"/>
                            </w:rPr>
                            <w:fldChar w:fldCharType="begin"/>
                          </w:r>
                          <w:r>
                            <w:rPr>
                              <w:rStyle w:val="49"/>
                            </w:rPr>
                            <w:instrText xml:space="preserve">PAGE  </w:instrText>
                          </w:r>
                          <w:r>
                            <w:rPr>
                              <w:rStyle w:val="49"/>
                            </w:rPr>
                            <w:fldChar w:fldCharType="separate"/>
                          </w:r>
                          <w:r>
                            <w:rPr>
                              <w:rStyle w:val="49"/>
                            </w:rPr>
                            <w:t>52</w:t>
                          </w:r>
                          <w:r>
                            <w:rPr>
                              <w:rStyle w:val="49"/>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G+dc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UBJHLc48cvPH5dffy6/v5Pl&#10;KgvUB6gx7z5gZhre+QGTZz+gM/MeVLT5i4wIxhHrfJVXDomI/Gi9Wq8rDAmMzRfEZw/PQ4T0XnpL&#10;stHQiPMrsvLTR0hj6pySqzl/p40pMzTuHwdiZg/LvY89ZisN+2EitPftGfn0OPqGOtx0SswHh8pi&#10;f2k24mzsZ+MYoj50ZY1yPQi3x4RNlN5yhRF2KowzK+ym/cpL8fhes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3xvnXIAQAAmwMAAA4AAAAAAAAAAQAgAAAAHgEAAGRycy9lMm9Eb2Mu&#10;eG1sUEsFBgAAAAAGAAYAWQEAAFgFAAAAAA==&#10;">
              <v:fill on="f" focussize="0,0"/>
              <v:stroke on="f"/>
              <v:imagedata o:title=""/>
              <o:lock v:ext="edit" aspectratio="f"/>
              <v:textbox inset="0mm,0mm,0mm,0mm" style="mso-fit-shape-to-text:t;">
                <w:txbxContent>
                  <w:p w14:paraId="274A68FF">
                    <w:pPr>
                      <w:pStyle w:val="30"/>
                      <w:rPr>
                        <w:rStyle w:val="49"/>
                      </w:rPr>
                    </w:pPr>
                    <w:r>
                      <w:rPr>
                        <w:rStyle w:val="49"/>
                      </w:rPr>
                      <w:fldChar w:fldCharType="begin"/>
                    </w:r>
                    <w:r>
                      <w:rPr>
                        <w:rStyle w:val="49"/>
                      </w:rPr>
                      <w:instrText xml:space="preserve">PAGE  </w:instrText>
                    </w:r>
                    <w:r>
                      <w:rPr>
                        <w:rStyle w:val="49"/>
                      </w:rPr>
                      <w:fldChar w:fldCharType="separate"/>
                    </w:r>
                    <w:r>
                      <w:rPr>
                        <w:rStyle w:val="49"/>
                      </w:rPr>
                      <w:t>52</w:t>
                    </w:r>
                    <w:r>
                      <w:rPr>
                        <w:rStyle w:val="4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745838"/>
      <w:docPartObj>
        <w:docPartGallery w:val="autotext"/>
      </w:docPartObj>
    </w:sdtPr>
    <w:sdtContent>
      <w:p w14:paraId="5F791DEB">
        <w:pPr>
          <w:pStyle w:val="30"/>
          <w:jc w:val="center"/>
        </w:pPr>
        <w:r>
          <w:fldChar w:fldCharType="begin"/>
        </w:r>
        <w:r>
          <w:instrText xml:space="preserve">PAGE   \* MERGEFORMAT</w:instrText>
        </w:r>
        <w:r>
          <w:fldChar w:fldCharType="separate"/>
        </w:r>
        <w:r>
          <w:rPr>
            <w:lang w:val="zh-CN"/>
          </w:rPr>
          <w:t>45</w:t>
        </w:r>
        <w:r>
          <w:fldChar w:fldCharType="end"/>
        </w:r>
      </w:p>
    </w:sdtContent>
  </w:sdt>
  <w:p w14:paraId="372D4C2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12C7">
    <w:pPr>
      <w:pStyle w:val="30"/>
      <w:framePr w:wrap="around" w:vAnchor="text" w:hAnchor="margin" w:xAlign="center" w:y="1"/>
      <w:rPr>
        <w:rStyle w:val="49"/>
      </w:rPr>
    </w:pPr>
    <w:r>
      <w:fldChar w:fldCharType="begin"/>
    </w:r>
    <w:r>
      <w:rPr>
        <w:rStyle w:val="49"/>
      </w:rPr>
      <w:instrText xml:space="preserve">PAGE  </w:instrText>
    </w:r>
    <w:r>
      <w:fldChar w:fldCharType="end"/>
    </w:r>
  </w:p>
  <w:p w14:paraId="4BCBA80B">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7C0E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1E480"/>
    <w:multiLevelType w:val="singleLevel"/>
    <w:tmpl w:val="A701E480"/>
    <w:lvl w:ilvl="0" w:tentative="0">
      <w:start w:val="1"/>
      <w:numFmt w:val="decimal"/>
      <w:suff w:val="nothing"/>
      <w:lvlText w:val="（%1）"/>
      <w:lvlJc w:val="left"/>
    </w:lvl>
  </w:abstractNum>
  <w:abstractNum w:abstractNumId="1">
    <w:nsid w:val="F0179C35"/>
    <w:multiLevelType w:val="singleLevel"/>
    <w:tmpl w:val="F0179C35"/>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ZjBmODBmMDBmNDM1MTM3MjA2ZWQ4ZjY1YjlhMDQifQ=="/>
  </w:docVars>
  <w:rsids>
    <w:rsidRoot w:val="00237017"/>
    <w:rsid w:val="000179C6"/>
    <w:rsid w:val="00033F07"/>
    <w:rsid w:val="0003797C"/>
    <w:rsid w:val="00065327"/>
    <w:rsid w:val="000723FD"/>
    <w:rsid w:val="0009472D"/>
    <w:rsid w:val="000B3F7A"/>
    <w:rsid w:val="000D3491"/>
    <w:rsid w:val="000E3E93"/>
    <w:rsid w:val="000E3F61"/>
    <w:rsid w:val="000E4830"/>
    <w:rsid w:val="000F777B"/>
    <w:rsid w:val="00111695"/>
    <w:rsid w:val="001133F7"/>
    <w:rsid w:val="00117D81"/>
    <w:rsid w:val="00125CC6"/>
    <w:rsid w:val="00136C66"/>
    <w:rsid w:val="00144AF1"/>
    <w:rsid w:val="00150776"/>
    <w:rsid w:val="0015125E"/>
    <w:rsid w:val="00151A27"/>
    <w:rsid w:val="00165682"/>
    <w:rsid w:val="00173865"/>
    <w:rsid w:val="00173CF7"/>
    <w:rsid w:val="00181DEC"/>
    <w:rsid w:val="00192AF9"/>
    <w:rsid w:val="00194AD4"/>
    <w:rsid w:val="001950BF"/>
    <w:rsid w:val="0019544D"/>
    <w:rsid w:val="001A0D43"/>
    <w:rsid w:val="001B068D"/>
    <w:rsid w:val="001B6471"/>
    <w:rsid w:val="001C245A"/>
    <w:rsid w:val="001C2CA6"/>
    <w:rsid w:val="001E5C63"/>
    <w:rsid w:val="001E5FCA"/>
    <w:rsid w:val="001F6132"/>
    <w:rsid w:val="00202FBA"/>
    <w:rsid w:val="002155F9"/>
    <w:rsid w:val="00220ED3"/>
    <w:rsid w:val="00222217"/>
    <w:rsid w:val="00224046"/>
    <w:rsid w:val="00232C1B"/>
    <w:rsid w:val="00237017"/>
    <w:rsid w:val="00240083"/>
    <w:rsid w:val="00244564"/>
    <w:rsid w:val="002507A7"/>
    <w:rsid w:val="002605C9"/>
    <w:rsid w:val="002610AA"/>
    <w:rsid w:val="00263AEA"/>
    <w:rsid w:val="0028421B"/>
    <w:rsid w:val="002B2FBE"/>
    <w:rsid w:val="002C555B"/>
    <w:rsid w:val="002F1C20"/>
    <w:rsid w:val="002F34C1"/>
    <w:rsid w:val="00306782"/>
    <w:rsid w:val="003141EC"/>
    <w:rsid w:val="00317808"/>
    <w:rsid w:val="003217D3"/>
    <w:rsid w:val="00322D37"/>
    <w:rsid w:val="0032790E"/>
    <w:rsid w:val="00331AE1"/>
    <w:rsid w:val="003476D9"/>
    <w:rsid w:val="003578AF"/>
    <w:rsid w:val="00357EEF"/>
    <w:rsid w:val="00362F4F"/>
    <w:rsid w:val="00363A04"/>
    <w:rsid w:val="00372A70"/>
    <w:rsid w:val="0037316F"/>
    <w:rsid w:val="003739FC"/>
    <w:rsid w:val="00375D70"/>
    <w:rsid w:val="00377872"/>
    <w:rsid w:val="00380B83"/>
    <w:rsid w:val="003906DC"/>
    <w:rsid w:val="00393CDC"/>
    <w:rsid w:val="003A03A3"/>
    <w:rsid w:val="003B0260"/>
    <w:rsid w:val="003B6D0C"/>
    <w:rsid w:val="003C543B"/>
    <w:rsid w:val="003D1752"/>
    <w:rsid w:val="003D33BC"/>
    <w:rsid w:val="003F3DDC"/>
    <w:rsid w:val="003F702A"/>
    <w:rsid w:val="004026ED"/>
    <w:rsid w:val="00416A5A"/>
    <w:rsid w:val="00420F62"/>
    <w:rsid w:val="00421F68"/>
    <w:rsid w:val="0042261D"/>
    <w:rsid w:val="00430F9E"/>
    <w:rsid w:val="004339A3"/>
    <w:rsid w:val="004549E3"/>
    <w:rsid w:val="00455814"/>
    <w:rsid w:val="004741C6"/>
    <w:rsid w:val="004765E6"/>
    <w:rsid w:val="00491344"/>
    <w:rsid w:val="004A2D6A"/>
    <w:rsid w:val="004A40C2"/>
    <w:rsid w:val="004A428F"/>
    <w:rsid w:val="004A45B4"/>
    <w:rsid w:val="004B3655"/>
    <w:rsid w:val="004B4FAE"/>
    <w:rsid w:val="004C3DF6"/>
    <w:rsid w:val="004D3BC4"/>
    <w:rsid w:val="004E167F"/>
    <w:rsid w:val="004E3382"/>
    <w:rsid w:val="004E4967"/>
    <w:rsid w:val="004F5E90"/>
    <w:rsid w:val="004F6AB2"/>
    <w:rsid w:val="00510996"/>
    <w:rsid w:val="005137AC"/>
    <w:rsid w:val="005310CF"/>
    <w:rsid w:val="00544656"/>
    <w:rsid w:val="00547C26"/>
    <w:rsid w:val="00547D15"/>
    <w:rsid w:val="00557AD7"/>
    <w:rsid w:val="005600C0"/>
    <w:rsid w:val="005817EE"/>
    <w:rsid w:val="00587C9A"/>
    <w:rsid w:val="00590D2E"/>
    <w:rsid w:val="005969A5"/>
    <w:rsid w:val="00597D19"/>
    <w:rsid w:val="005A1186"/>
    <w:rsid w:val="005A3666"/>
    <w:rsid w:val="005B48EF"/>
    <w:rsid w:val="005D3FA6"/>
    <w:rsid w:val="005D5FB7"/>
    <w:rsid w:val="005E0B4F"/>
    <w:rsid w:val="005E50CE"/>
    <w:rsid w:val="005E58CF"/>
    <w:rsid w:val="005F247C"/>
    <w:rsid w:val="005F4280"/>
    <w:rsid w:val="00601528"/>
    <w:rsid w:val="006071A5"/>
    <w:rsid w:val="0061085A"/>
    <w:rsid w:val="00617F31"/>
    <w:rsid w:val="0062205C"/>
    <w:rsid w:val="006255D7"/>
    <w:rsid w:val="00634E70"/>
    <w:rsid w:val="00644CDC"/>
    <w:rsid w:val="006626A3"/>
    <w:rsid w:val="00663D15"/>
    <w:rsid w:val="00673877"/>
    <w:rsid w:val="00682A9F"/>
    <w:rsid w:val="00684BA3"/>
    <w:rsid w:val="006864E5"/>
    <w:rsid w:val="006870A2"/>
    <w:rsid w:val="0068713D"/>
    <w:rsid w:val="00694C28"/>
    <w:rsid w:val="006A0291"/>
    <w:rsid w:val="006A0935"/>
    <w:rsid w:val="006C5CF8"/>
    <w:rsid w:val="006C5D28"/>
    <w:rsid w:val="006C6AF0"/>
    <w:rsid w:val="006D0A15"/>
    <w:rsid w:val="006D27BE"/>
    <w:rsid w:val="006E749F"/>
    <w:rsid w:val="007065FB"/>
    <w:rsid w:val="00716D38"/>
    <w:rsid w:val="0072138A"/>
    <w:rsid w:val="00746064"/>
    <w:rsid w:val="0076314A"/>
    <w:rsid w:val="007669D8"/>
    <w:rsid w:val="00770D94"/>
    <w:rsid w:val="0078062C"/>
    <w:rsid w:val="00787542"/>
    <w:rsid w:val="007911A5"/>
    <w:rsid w:val="0079675A"/>
    <w:rsid w:val="007A562A"/>
    <w:rsid w:val="007A72B1"/>
    <w:rsid w:val="007B22AF"/>
    <w:rsid w:val="007B32F7"/>
    <w:rsid w:val="007B77EB"/>
    <w:rsid w:val="007C2EFE"/>
    <w:rsid w:val="007C3A39"/>
    <w:rsid w:val="007C7DF1"/>
    <w:rsid w:val="007D399A"/>
    <w:rsid w:val="007E308A"/>
    <w:rsid w:val="007E7B1B"/>
    <w:rsid w:val="007F2D90"/>
    <w:rsid w:val="00805D7F"/>
    <w:rsid w:val="008102E0"/>
    <w:rsid w:val="00810609"/>
    <w:rsid w:val="00811613"/>
    <w:rsid w:val="008219DE"/>
    <w:rsid w:val="008248F5"/>
    <w:rsid w:val="00831A33"/>
    <w:rsid w:val="00831B1A"/>
    <w:rsid w:val="0083550A"/>
    <w:rsid w:val="00837D56"/>
    <w:rsid w:val="00852281"/>
    <w:rsid w:val="0088305A"/>
    <w:rsid w:val="008B340E"/>
    <w:rsid w:val="008B4A25"/>
    <w:rsid w:val="008B4C9B"/>
    <w:rsid w:val="008C7BCD"/>
    <w:rsid w:val="008D3190"/>
    <w:rsid w:val="008F40AC"/>
    <w:rsid w:val="008F5BC7"/>
    <w:rsid w:val="009018AB"/>
    <w:rsid w:val="00902A11"/>
    <w:rsid w:val="00905DBE"/>
    <w:rsid w:val="009139E3"/>
    <w:rsid w:val="00922DD8"/>
    <w:rsid w:val="0093248A"/>
    <w:rsid w:val="0094680B"/>
    <w:rsid w:val="00947739"/>
    <w:rsid w:val="00951015"/>
    <w:rsid w:val="00957F45"/>
    <w:rsid w:val="00961919"/>
    <w:rsid w:val="00973485"/>
    <w:rsid w:val="00973C00"/>
    <w:rsid w:val="00977B04"/>
    <w:rsid w:val="00983169"/>
    <w:rsid w:val="00985B09"/>
    <w:rsid w:val="009979FD"/>
    <w:rsid w:val="009B5946"/>
    <w:rsid w:val="009B64F5"/>
    <w:rsid w:val="009C30E8"/>
    <w:rsid w:val="009C5AC5"/>
    <w:rsid w:val="009D2D2F"/>
    <w:rsid w:val="00A105A5"/>
    <w:rsid w:val="00A13532"/>
    <w:rsid w:val="00A26EBD"/>
    <w:rsid w:val="00A3621E"/>
    <w:rsid w:val="00A45D31"/>
    <w:rsid w:val="00A461F0"/>
    <w:rsid w:val="00A63E1B"/>
    <w:rsid w:val="00A66FDB"/>
    <w:rsid w:val="00A73C47"/>
    <w:rsid w:val="00A752F6"/>
    <w:rsid w:val="00A81AC4"/>
    <w:rsid w:val="00A947D3"/>
    <w:rsid w:val="00A956B2"/>
    <w:rsid w:val="00A964FE"/>
    <w:rsid w:val="00A97CF9"/>
    <w:rsid w:val="00AA1E93"/>
    <w:rsid w:val="00AA72C4"/>
    <w:rsid w:val="00AB4E0C"/>
    <w:rsid w:val="00AD67A9"/>
    <w:rsid w:val="00AE57CA"/>
    <w:rsid w:val="00B141EE"/>
    <w:rsid w:val="00B2042F"/>
    <w:rsid w:val="00B41C87"/>
    <w:rsid w:val="00B46DA9"/>
    <w:rsid w:val="00B63632"/>
    <w:rsid w:val="00B72A5C"/>
    <w:rsid w:val="00B82D9C"/>
    <w:rsid w:val="00B8387F"/>
    <w:rsid w:val="00B86BEF"/>
    <w:rsid w:val="00B95C84"/>
    <w:rsid w:val="00BA21DC"/>
    <w:rsid w:val="00BA2A31"/>
    <w:rsid w:val="00BA2BBE"/>
    <w:rsid w:val="00BA35C2"/>
    <w:rsid w:val="00BE1068"/>
    <w:rsid w:val="00BF477D"/>
    <w:rsid w:val="00BF62B1"/>
    <w:rsid w:val="00C078A6"/>
    <w:rsid w:val="00C15C17"/>
    <w:rsid w:val="00C1700E"/>
    <w:rsid w:val="00C53534"/>
    <w:rsid w:val="00C623A3"/>
    <w:rsid w:val="00C7352B"/>
    <w:rsid w:val="00C73B12"/>
    <w:rsid w:val="00C82445"/>
    <w:rsid w:val="00C84F8B"/>
    <w:rsid w:val="00CA5AC4"/>
    <w:rsid w:val="00CB1724"/>
    <w:rsid w:val="00CB1B6A"/>
    <w:rsid w:val="00CB3E72"/>
    <w:rsid w:val="00CB7485"/>
    <w:rsid w:val="00CC1634"/>
    <w:rsid w:val="00CF76B9"/>
    <w:rsid w:val="00D07AF2"/>
    <w:rsid w:val="00D111FE"/>
    <w:rsid w:val="00D13D82"/>
    <w:rsid w:val="00D27AED"/>
    <w:rsid w:val="00D731B9"/>
    <w:rsid w:val="00D77D70"/>
    <w:rsid w:val="00D82277"/>
    <w:rsid w:val="00D8355E"/>
    <w:rsid w:val="00DA0AC1"/>
    <w:rsid w:val="00DB118E"/>
    <w:rsid w:val="00DB4051"/>
    <w:rsid w:val="00DB49A9"/>
    <w:rsid w:val="00DC15E9"/>
    <w:rsid w:val="00DC52D0"/>
    <w:rsid w:val="00DC6556"/>
    <w:rsid w:val="00DD0F1E"/>
    <w:rsid w:val="00DE0151"/>
    <w:rsid w:val="00DE4712"/>
    <w:rsid w:val="00DE6C93"/>
    <w:rsid w:val="00DF249B"/>
    <w:rsid w:val="00E02C60"/>
    <w:rsid w:val="00E16421"/>
    <w:rsid w:val="00E41BA1"/>
    <w:rsid w:val="00E56EEB"/>
    <w:rsid w:val="00E64D9C"/>
    <w:rsid w:val="00E94537"/>
    <w:rsid w:val="00EA2124"/>
    <w:rsid w:val="00EA5A13"/>
    <w:rsid w:val="00EA6AE2"/>
    <w:rsid w:val="00EB7358"/>
    <w:rsid w:val="00ED28E5"/>
    <w:rsid w:val="00ED7EEA"/>
    <w:rsid w:val="00EE22C4"/>
    <w:rsid w:val="00EF4C70"/>
    <w:rsid w:val="00F067AF"/>
    <w:rsid w:val="00F27633"/>
    <w:rsid w:val="00F5006D"/>
    <w:rsid w:val="00F52892"/>
    <w:rsid w:val="00F6097F"/>
    <w:rsid w:val="00F6138F"/>
    <w:rsid w:val="00F616E7"/>
    <w:rsid w:val="00F630D0"/>
    <w:rsid w:val="00F65C01"/>
    <w:rsid w:val="00F72222"/>
    <w:rsid w:val="00F7313A"/>
    <w:rsid w:val="00F750FF"/>
    <w:rsid w:val="00F76B60"/>
    <w:rsid w:val="00F8369D"/>
    <w:rsid w:val="00FB1615"/>
    <w:rsid w:val="00FB78FA"/>
    <w:rsid w:val="00FC546C"/>
    <w:rsid w:val="00FD72CC"/>
    <w:rsid w:val="00FE0890"/>
    <w:rsid w:val="00FE4FAE"/>
    <w:rsid w:val="00FF54C4"/>
    <w:rsid w:val="00FF7286"/>
    <w:rsid w:val="05116C26"/>
    <w:rsid w:val="06A04737"/>
    <w:rsid w:val="09CE0977"/>
    <w:rsid w:val="0A2D3298"/>
    <w:rsid w:val="0A57065C"/>
    <w:rsid w:val="0C3B44AD"/>
    <w:rsid w:val="0E440BB0"/>
    <w:rsid w:val="101F467D"/>
    <w:rsid w:val="10CB7303"/>
    <w:rsid w:val="12E05526"/>
    <w:rsid w:val="1469775D"/>
    <w:rsid w:val="14EA16BD"/>
    <w:rsid w:val="16BA2E55"/>
    <w:rsid w:val="17B768CC"/>
    <w:rsid w:val="19395846"/>
    <w:rsid w:val="26F50D72"/>
    <w:rsid w:val="2CF9349E"/>
    <w:rsid w:val="2F511653"/>
    <w:rsid w:val="2F9C21A2"/>
    <w:rsid w:val="2FD02D07"/>
    <w:rsid w:val="32930ACA"/>
    <w:rsid w:val="33E34843"/>
    <w:rsid w:val="34E07908"/>
    <w:rsid w:val="357A605E"/>
    <w:rsid w:val="38064F3D"/>
    <w:rsid w:val="38CA061C"/>
    <w:rsid w:val="394C081A"/>
    <w:rsid w:val="3CA14780"/>
    <w:rsid w:val="3D751210"/>
    <w:rsid w:val="3E7A4080"/>
    <w:rsid w:val="40322C70"/>
    <w:rsid w:val="415D2E9B"/>
    <w:rsid w:val="467A5272"/>
    <w:rsid w:val="46BB1E6D"/>
    <w:rsid w:val="475C0E43"/>
    <w:rsid w:val="47D46AAB"/>
    <w:rsid w:val="4B17505B"/>
    <w:rsid w:val="4B68053E"/>
    <w:rsid w:val="4C4F261E"/>
    <w:rsid w:val="4C9646F2"/>
    <w:rsid w:val="4C996E6C"/>
    <w:rsid w:val="4DCB5BD5"/>
    <w:rsid w:val="4E481A1B"/>
    <w:rsid w:val="4F090E51"/>
    <w:rsid w:val="4F8420A2"/>
    <w:rsid w:val="50C77CC9"/>
    <w:rsid w:val="52717B1A"/>
    <w:rsid w:val="54386CC8"/>
    <w:rsid w:val="55687E4F"/>
    <w:rsid w:val="58BB0C2D"/>
    <w:rsid w:val="5AA95985"/>
    <w:rsid w:val="5AC404C6"/>
    <w:rsid w:val="5AE60603"/>
    <w:rsid w:val="5D5050BC"/>
    <w:rsid w:val="5E5D6EF9"/>
    <w:rsid w:val="5F461374"/>
    <w:rsid w:val="606210C5"/>
    <w:rsid w:val="63A1272A"/>
    <w:rsid w:val="67746717"/>
    <w:rsid w:val="6796339F"/>
    <w:rsid w:val="692F5DAE"/>
    <w:rsid w:val="69866B2D"/>
    <w:rsid w:val="6AE8360C"/>
    <w:rsid w:val="6E062B8D"/>
    <w:rsid w:val="70443AA4"/>
    <w:rsid w:val="70B754E2"/>
    <w:rsid w:val="727F4E64"/>
    <w:rsid w:val="730369D4"/>
    <w:rsid w:val="736827E7"/>
    <w:rsid w:val="78802C16"/>
    <w:rsid w:val="792702FB"/>
    <w:rsid w:val="79963788"/>
    <w:rsid w:val="7E0230E5"/>
    <w:rsid w:val="7F83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0"/>
    <w:pPr>
      <w:keepNext/>
      <w:keepLines/>
      <w:wordWrap w:val="0"/>
      <w:spacing w:line="360" w:lineRule="auto"/>
      <w:jc w:val="center"/>
      <w:outlineLvl w:val="0"/>
    </w:pPr>
    <w:rPr>
      <w:rFonts w:ascii="Times New Roman" w:hAnsi="Times New Roman" w:eastAsia="宋体" w:cs="Times New Roman"/>
      <w:b/>
      <w:bCs/>
      <w:kern w:val="44"/>
      <w:sz w:val="32"/>
      <w:szCs w:val="32"/>
      <w:lang w:val="zh-CN"/>
    </w:rPr>
  </w:style>
  <w:style w:type="paragraph" w:styleId="4">
    <w:name w:val="heading 2"/>
    <w:basedOn w:val="1"/>
    <w:next w:val="1"/>
    <w:link w:val="60"/>
    <w:qFormat/>
    <w:uiPriority w:val="0"/>
    <w:pPr>
      <w:keepNext/>
      <w:keepLines/>
      <w:spacing w:line="360" w:lineRule="auto"/>
      <w:jc w:val="center"/>
      <w:outlineLvl w:val="1"/>
    </w:pPr>
    <w:rPr>
      <w:rFonts w:ascii="Cambria" w:hAnsi="Cambria" w:eastAsia="宋体" w:cs="Times New Roman"/>
      <w:b/>
      <w:bCs/>
      <w:kern w:val="0"/>
      <w:sz w:val="30"/>
      <w:szCs w:val="30"/>
      <w:lang w:val="zh-CN"/>
    </w:rPr>
  </w:style>
  <w:style w:type="paragraph" w:styleId="5">
    <w:name w:val="heading 3"/>
    <w:basedOn w:val="1"/>
    <w:next w:val="1"/>
    <w:link w:val="68"/>
    <w:unhideWhenUsed/>
    <w:qFormat/>
    <w:uiPriority w:val="0"/>
    <w:pPr>
      <w:keepNext/>
      <w:keepLines/>
      <w:spacing w:line="360" w:lineRule="auto"/>
      <w:outlineLvl w:val="2"/>
    </w:pPr>
    <w:rPr>
      <w:rFonts w:ascii="宋体" w:hAnsi="宋体" w:eastAsia="宋体"/>
      <w:b/>
      <w:bCs/>
      <w:spacing w:val="1"/>
      <w:sz w:val="28"/>
      <w:szCs w:val="32"/>
      <w:lang w:val="zh-CN"/>
    </w:rPr>
  </w:style>
  <w:style w:type="paragraph" w:styleId="6">
    <w:name w:val="heading 4"/>
    <w:basedOn w:val="1"/>
    <w:next w:val="1"/>
    <w:link w:val="62"/>
    <w:qFormat/>
    <w:uiPriority w:val="0"/>
    <w:pPr>
      <w:autoSpaceDE w:val="0"/>
      <w:autoSpaceDN w:val="0"/>
      <w:adjustRightInd w:val="0"/>
      <w:spacing w:line="360" w:lineRule="auto"/>
      <w:jc w:val="left"/>
      <w:outlineLvl w:val="3"/>
    </w:pPr>
    <w:rPr>
      <w:rFonts w:ascii="宋体" w:hAnsi="宋体" w:eastAsia="宋体" w:cs="Times New Roman"/>
      <w:b/>
      <w:kern w:val="0"/>
      <w:sz w:val="24"/>
      <w:szCs w:val="24"/>
      <w:lang w:val="zh-CN"/>
    </w:rPr>
  </w:style>
  <w:style w:type="paragraph" w:styleId="7">
    <w:name w:val="heading 5"/>
    <w:basedOn w:val="6"/>
    <w:next w:val="2"/>
    <w:link w:val="63"/>
    <w:qFormat/>
    <w:uiPriority w:val="0"/>
    <w:pPr>
      <w:spacing w:line="240" w:lineRule="exact"/>
      <w:ind w:left="284" w:hanging="284"/>
      <w:outlineLvl w:val="4"/>
    </w:pPr>
    <w:rPr>
      <w:rFonts w:ascii="Arial" w:hAnsi="Arial"/>
      <w:kern w:val="2"/>
      <w:lang w:val="en-US"/>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2"/>
    <w:link w:val="6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2"/>
    <w:link w:val="66"/>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2"/>
    <w:link w:val="67"/>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87"/>
    <w:unhideWhenUsed/>
    <w:qFormat/>
    <w:uiPriority w:val="0"/>
    <w:pPr>
      <w:ind w:firstLine="420" w:firstLineChars="200"/>
    </w:pPr>
    <w:rPr>
      <w:rFonts w:ascii="Times New Roman" w:hAnsi="Times New Roman" w:eastAsia="宋体" w:cs="Times New Roman"/>
      <w:szCs w:val="24"/>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9"/>
    <w:qFormat/>
    <w:uiPriority w:val="0"/>
    <w:rPr>
      <w:rFonts w:ascii="宋体" w:hAnsi="Times New Roman" w:eastAsia="宋体" w:cs="Times New Roman"/>
      <w:kern w:val="0"/>
      <w:sz w:val="18"/>
      <w:szCs w:val="18"/>
      <w:lang w:val="zh-CN"/>
    </w:rPr>
  </w:style>
  <w:style w:type="paragraph" w:styleId="16">
    <w:name w:val="annotation text"/>
    <w:basedOn w:val="1"/>
    <w:link w:val="70"/>
    <w:qFormat/>
    <w:uiPriority w:val="0"/>
    <w:pPr>
      <w:jc w:val="left"/>
    </w:pPr>
    <w:rPr>
      <w:rFonts w:ascii="Times New Roman" w:hAnsi="Times New Roman" w:eastAsia="宋体" w:cs="Times New Roman"/>
      <w:szCs w:val="24"/>
      <w:lang w:val="zh-CN"/>
    </w:rPr>
  </w:style>
  <w:style w:type="paragraph" w:styleId="17">
    <w:name w:val="Salutation"/>
    <w:basedOn w:val="1"/>
    <w:next w:val="1"/>
    <w:link w:val="71"/>
    <w:qFormat/>
    <w:uiPriority w:val="0"/>
    <w:rPr>
      <w:rFonts w:ascii="Calibri" w:hAnsi="Calibri" w:eastAsia="宋体" w:cs="Times New Roman"/>
      <w:kern w:val="0"/>
      <w:sz w:val="32"/>
      <w:szCs w:val="24"/>
    </w:rPr>
  </w:style>
  <w:style w:type="paragraph" w:styleId="18">
    <w:name w:val="Body Text 3"/>
    <w:basedOn w:val="1"/>
    <w:link w:val="72"/>
    <w:qFormat/>
    <w:uiPriority w:val="0"/>
    <w:pPr>
      <w:spacing w:after="120"/>
    </w:pPr>
    <w:rPr>
      <w:rFonts w:ascii="Times New Roman" w:hAnsi="Times New Roman" w:eastAsia="宋体" w:cs="Times New Roman"/>
      <w:kern w:val="0"/>
      <w:sz w:val="16"/>
      <w:szCs w:val="16"/>
      <w:lang w:val="zh-CN"/>
    </w:rPr>
  </w:style>
  <w:style w:type="paragraph" w:styleId="19">
    <w:name w:val="Body Text"/>
    <w:basedOn w:val="1"/>
    <w:next w:val="1"/>
    <w:link w:val="73"/>
    <w:qFormat/>
    <w:uiPriority w:val="99"/>
    <w:pPr>
      <w:pBdr>
        <w:top w:val="single" w:color="auto" w:sz="4" w:space="1"/>
      </w:pBdr>
    </w:pPr>
    <w:rPr>
      <w:rFonts w:ascii="Times New Roman" w:hAnsi="Times New Roman" w:eastAsia="宋体" w:cs="Times New Roman"/>
      <w:b/>
      <w:bCs/>
      <w:szCs w:val="24"/>
    </w:rPr>
  </w:style>
  <w:style w:type="paragraph" w:styleId="20">
    <w:name w:val="Body Text Indent"/>
    <w:basedOn w:val="1"/>
    <w:next w:val="21"/>
    <w:link w:val="74"/>
    <w:qFormat/>
    <w:uiPriority w:val="0"/>
    <w:pPr>
      <w:ind w:firstLine="600" w:firstLineChars="200"/>
    </w:pPr>
    <w:rPr>
      <w:rFonts w:ascii="宋体" w:hAnsi="Times New Roman" w:eastAsia="宋体" w:cs="Times New Roman"/>
      <w:sz w:val="30"/>
      <w:szCs w:val="20"/>
      <w:lang w:val="zh-CN"/>
    </w:rPr>
  </w:style>
  <w:style w:type="paragraph" w:styleId="21">
    <w:name w:val="envelope return"/>
    <w:basedOn w:val="1"/>
    <w:qFormat/>
    <w:uiPriority w:val="0"/>
    <w:pPr>
      <w:snapToGrid w:val="0"/>
    </w:pPr>
    <w:rPr>
      <w:rFonts w:ascii="Arial" w:hAnsi="Arial" w:eastAsia="宋体" w:cs="Times New Roman"/>
      <w:szCs w:val="24"/>
    </w:rPr>
  </w:style>
  <w:style w:type="paragraph" w:styleId="22">
    <w:name w:val="index 4"/>
    <w:basedOn w:val="1"/>
    <w:next w:val="1"/>
    <w:unhideWhenUsed/>
    <w:qFormat/>
    <w:uiPriority w:val="99"/>
    <w:pPr>
      <w:ind w:left="600" w:leftChars="600"/>
    </w:pPr>
    <w:rPr>
      <w:rFonts w:ascii="Times New Roman" w:hAnsi="Times New Roman" w:eastAsia="宋体" w:cs="Times New Roman"/>
      <w:szCs w:val="24"/>
    </w:rPr>
  </w:style>
  <w:style w:type="paragraph" w:styleId="23">
    <w:name w:val="toc 5"/>
    <w:basedOn w:val="1"/>
    <w:next w:val="1"/>
    <w:qFormat/>
    <w:uiPriority w:val="39"/>
    <w:pPr>
      <w:ind w:left="840"/>
      <w:jc w:val="left"/>
    </w:pPr>
    <w:rPr>
      <w:rFonts w:ascii="Calibri" w:hAnsi="Calibri" w:eastAsia="宋体" w:cs="Calibri"/>
      <w:sz w:val="18"/>
      <w:szCs w:val="18"/>
    </w:rPr>
  </w:style>
  <w:style w:type="paragraph" w:styleId="24">
    <w:name w:val="toc 3"/>
    <w:basedOn w:val="1"/>
    <w:next w:val="1"/>
    <w:qFormat/>
    <w:uiPriority w:val="39"/>
    <w:pPr>
      <w:ind w:left="840" w:leftChars="400"/>
    </w:pPr>
    <w:rPr>
      <w:rFonts w:ascii="Times New Roman" w:hAnsi="Times New Roman" w:eastAsia="宋体" w:cs="Times New Roman"/>
      <w:szCs w:val="24"/>
    </w:rPr>
  </w:style>
  <w:style w:type="paragraph" w:styleId="25">
    <w:name w:val="Plain Text"/>
    <w:basedOn w:val="1"/>
    <w:link w:val="75"/>
    <w:qFormat/>
    <w:uiPriority w:val="0"/>
    <w:rPr>
      <w:rFonts w:ascii="宋体" w:hAnsi="Courier New" w:eastAsia="宋体" w:cs="Times New Roman"/>
      <w:szCs w:val="20"/>
      <w:lang w:val="zh-CN"/>
    </w:rPr>
  </w:style>
  <w:style w:type="paragraph" w:styleId="26">
    <w:name w:val="toc 8"/>
    <w:basedOn w:val="1"/>
    <w:next w:val="1"/>
    <w:qFormat/>
    <w:uiPriority w:val="39"/>
    <w:pPr>
      <w:ind w:left="1470"/>
      <w:jc w:val="left"/>
    </w:pPr>
    <w:rPr>
      <w:rFonts w:ascii="Calibri" w:hAnsi="Calibri" w:eastAsia="宋体" w:cs="Calibri"/>
      <w:sz w:val="18"/>
      <w:szCs w:val="18"/>
    </w:rPr>
  </w:style>
  <w:style w:type="paragraph" w:styleId="27">
    <w:name w:val="Date"/>
    <w:basedOn w:val="1"/>
    <w:next w:val="1"/>
    <w:link w:val="76"/>
    <w:qFormat/>
    <w:uiPriority w:val="0"/>
    <w:pPr>
      <w:ind w:left="100" w:leftChars="2500"/>
    </w:pPr>
    <w:rPr>
      <w:rFonts w:ascii="Calibri" w:hAnsi="Calibri" w:eastAsia="宋体" w:cs="Times New Roman"/>
      <w:kern w:val="0"/>
      <w:sz w:val="20"/>
      <w:szCs w:val="24"/>
    </w:rPr>
  </w:style>
  <w:style w:type="paragraph" w:styleId="28">
    <w:name w:val="Body Text Indent 2"/>
    <w:basedOn w:val="1"/>
    <w:link w:val="77"/>
    <w:qFormat/>
    <w:uiPriority w:val="0"/>
    <w:pPr>
      <w:spacing w:after="120" w:line="480" w:lineRule="auto"/>
      <w:ind w:left="420" w:leftChars="200"/>
    </w:pPr>
    <w:rPr>
      <w:rFonts w:ascii="Times New Roman" w:hAnsi="Times New Roman" w:eastAsia="Courier New" w:cs="Times New Roman"/>
      <w:kern w:val="0"/>
      <w:sz w:val="20"/>
      <w:szCs w:val="20"/>
      <w:lang w:val="zh-CN"/>
    </w:rPr>
  </w:style>
  <w:style w:type="paragraph" w:styleId="29">
    <w:name w:val="Balloon Text"/>
    <w:basedOn w:val="1"/>
    <w:link w:val="78"/>
    <w:qFormat/>
    <w:uiPriority w:val="0"/>
    <w:rPr>
      <w:rFonts w:ascii="Times New Roman" w:hAnsi="Times New Roman" w:eastAsia="宋体" w:cs="Times New Roman"/>
      <w:sz w:val="18"/>
      <w:szCs w:val="18"/>
      <w:lang w:val="zh-CN"/>
    </w:rPr>
  </w:style>
  <w:style w:type="paragraph" w:styleId="30">
    <w:name w:val="footer"/>
    <w:basedOn w:val="1"/>
    <w:link w:val="58"/>
    <w:unhideWhenUsed/>
    <w:qFormat/>
    <w:uiPriority w:val="99"/>
    <w:pPr>
      <w:tabs>
        <w:tab w:val="center" w:pos="4153"/>
        <w:tab w:val="right" w:pos="8306"/>
      </w:tabs>
      <w:snapToGrid w:val="0"/>
      <w:jc w:val="left"/>
    </w:pPr>
    <w:rPr>
      <w:sz w:val="18"/>
      <w:szCs w:val="18"/>
    </w:rPr>
  </w:style>
  <w:style w:type="paragraph" w:styleId="3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eastAsia="宋体" w:cs="Calibri"/>
      <w:b/>
      <w:bCs/>
      <w:caps/>
      <w:sz w:val="20"/>
      <w:szCs w:val="20"/>
    </w:rPr>
  </w:style>
  <w:style w:type="paragraph" w:styleId="33">
    <w:name w:val="toc 4"/>
    <w:basedOn w:val="1"/>
    <w:next w:val="1"/>
    <w:qFormat/>
    <w:uiPriority w:val="39"/>
    <w:pPr>
      <w:ind w:left="630"/>
      <w:jc w:val="left"/>
    </w:pPr>
    <w:rPr>
      <w:rFonts w:ascii="Calibri" w:hAnsi="Calibri" w:eastAsia="宋体" w:cs="Calibri"/>
      <w:sz w:val="18"/>
      <w:szCs w:val="18"/>
    </w:rPr>
  </w:style>
  <w:style w:type="paragraph" w:styleId="34">
    <w:name w:val="toc 6"/>
    <w:basedOn w:val="1"/>
    <w:next w:val="1"/>
    <w:qFormat/>
    <w:uiPriority w:val="39"/>
    <w:pPr>
      <w:ind w:left="1050"/>
      <w:jc w:val="left"/>
    </w:pPr>
    <w:rPr>
      <w:rFonts w:ascii="Calibri" w:hAnsi="Calibri" w:eastAsia="宋体" w:cs="Calibri"/>
      <w:sz w:val="18"/>
      <w:szCs w:val="18"/>
    </w:rPr>
  </w:style>
  <w:style w:type="paragraph" w:styleId="35">
    <w:name w:val="Body Text Indent 3"/>
    <w:basedOn w:val="1"/>
    <w:link w:val="79"/>
    <w:qFormat/>
    <w:uiPriority w:val="0"/>
    <w:pPr>
      <w:spacing w:after="120"/>
      <w:ind w:left="420" w:leftChars="200"/>
    </w:pPr>
    <w:rPr>
      <w:rFonts w:ascii="Calibri" w:hAnsi="Calibri" w:eastAsia="宋体" w:cs="Times New Roman"/>
      <w:kern w:val="0"/>
      <w:sz w:val="16"/>
      <w:szCs w:val="20"/>
    </w:rPr>
  </w:style>
  <w:style w:type="paragraph" w:styleId="36">
    <w:name w:val="toc 2"/>
    <w:basedOn w:val="1"/>
    <w:next w:val="1"/>
    <w:unhideWhenUsed/>
    <w:qFormat/>
    <w:uiPriority w:val="39"/>
    <w:pPr>
      <w:ind w:left="420" w:leftChars="200"/>
    </w:pPr>
    <w:rPr>
      <w:rFonts w:ascii="Times New Roman" w:hAnsi="Times New Roman" w:eastAsia="宋体" w:cs="Times New Roman"/>
      <w:szCs w:val="24"/>
    </w:rPr>
  </w:style>
  <w:style w:type="paragraph" w:styleId="37">
    <w:name w:val="toc 9"/>
    <w:basedOn w:val="1"/>
    <w:next w:val="1"/>
    <w:qFormat/>
    <w:uiPriority w:val="39"/>
    <w:pPr>
      <w:ind w:left="1680"/>
      <w:jc w:val="left"/>
    </w:pPr>
    <w:rPr>
      <w:rFonts w:ascii="Calibri" w:hAnsi="Calibri" w:eastAsia="宋体" w:cs="Calibri"/>
      <w:sz w:val="18"/>
      <w:szCs w:val="18"/>
    </w:rPr>
  </w:style>
  <w:style w:type="paragraph" w:styleId="38">
    <w:name w:val="Body Text 2"/>
    <w:basedOn w:val="1"/>
    <w:link w:val="80"/>
    <w:qFormat/>
    <w:uiPriority w:val="0"/>
    <w:pPr>
      <w:spacing w:after="120" w:line="480" w:lineRule="auto"/>
    </w:pPr>
    <w:rPr>
      <w:rFonts w:ascii="Times New Roman" w:hAnsi="Times New Roman" w:eastAsia="宋体" w:cs="Times New Roman"/>
      <w:kern w:val="0"/>
      <w:sz w:val="20"/>
      <w:szCs w:val="24"/>
      <w:lang w:val="zh-CN"/>
    </w:r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kern w:val="0"/>
      <w:sz w:val="20"/>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1">
    <w:name w:val="Title"/>
    <w:basedOn w:val="1"/>
    <w:link w:val="82"/>
    <w:qFormat/>
    <w:uiPriority w:val="0"/>
    <w:pPr>
      <w:spacing w:before="240" w:after="60"/>
      <w:jc w:val="center"/>
      <w:outlineLvl w:val="0"/>
    </w:pPr>
    <w:rPr>
      <w:rFonts w:ascii="Arial" w:hAnsi="Arial" w:eastAsia="宋体" w:cs="Times New Roman"/>
      <w:b/>
      <w:bCs/>
      <w:kern w:val="0"/>
      <w:sz w:val="32"/>
      <w:szCs w:val="32"/>
      <w:lang w:val="zh-CN"/>
    </w:rPr>
  </w:style>
  <w:style w:type="paragraph" w:styleId="42">
    <w:name w:val="annotation subject"/>
    <w:basedOn w:val="16"/>
    <w:next w:val="16"/>
    <w:link w:val="83"/>
    <w:qFormat/>
    <w:uiPriority w:val="0"/>
    <w:rPr>
      <w:b/>
      <w:bCs/>
    </w:rPr>
  </w:style>
  <w:style w:type="paragraph" w:styleId="43">
    <w:name w:val="Body Text First Indent"/>
    <w:basedOn w:val="19"/>
    <w:link w:val="84"/>
    <w:qFormat/>
    <w:uiPriority w:val="0"/>
    <w:pPr>
      <w:pBdr>
        <w:top w:val="none" w:color="auto" w:sz="0" w:space="0"/>
      </w:pBdr>
      <w:spacing w:after="120"/>
      <w:ind w:firstLine="420" w:firstLineChars="100"/>
    </w:pPr>
    <w:rPr>
      <w:b w:val="0"/>
      <w:bCs w:val="0"/>
      <w:kern w:val="0"/>
      <w:sz w:val="20"/>
      <w:szCs w:val="20"/>
    </w:rPr>
  </w:style>
  <w:style w:type="paragraph" w:styleId="44">
    <w:name w:val="Body Text First Indent 2"/>
    <w:basedOn w:val="1"/>
    <w:link w:val="85"/>
    <w:qFormat/>
    <w:uiPriority w:val="0"/>
    <w:pPr>
      <w:spacing w:after="120"/>
      <w:ind w:left="420" w:leftChars="200" w:firstLine="420"/>
    </w:pPr>
    <w:rPr>
      <w:rFonts w:ascii="Times New Roman"/>
      <w:kern w:val="0"/>
      <w:sz w:val="20"/>
      <w:szCs w:val="24"/>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HTML Definition"/>
    <w:basedOn w:val="47"/>
    <w:semiHidden/>
    <w:unhideWhenUsed/>
    <w:qFormat/>
    <w:uiPriority w:val="99"/>
    <w:rPr>
      <w:i/>
      <w:iCs/>
    </w:rPr>
  </w:style>
  <w:style w:type="character" w:styleId="52">
    <w:name w:val="Hyperlink"/>
    <w:qFormat/>
    <w:uiPriority w:val="99"/>
    <w:rPr>
      <w:color w:val="0000FF"/>
      <w:u w:val="single"/>
    </w:rPr>
  </w:style>
  <w:style w:type="character" w:styleId="53">
    <w:name w:val="HTML Code"/>
    <w:basedOn w:val="47"/>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54">
    <w:name w:val="annotation reference"/>
    <w:qFormat/>
    <w:uiPriority w:val="0"/>
    <w:rPr>
      <w:sz w:val="21"/>
      <w:szCs w:val="21"/>
    </w:rPr>
  </w:style>
  <w:style w:type="character" w:styleId="55">
    <w:name w:val="HTML Keyboard"/>
    <w:basedOn w:val="47"/>
    <w:semiHidden/>
    <w:unhideWhenUsed/>
    <w:qFormat/>
    <w:uiPriority w:val="99"/>
    <w:rPr>
      <w:rFonts w:hint="default" w:ascii="Consolas" w:hAnsi="Consolas" w:eastAsia="Consolas" w:cs="Consolas"/>
      <w:color w:val="FFFFFF"/>
      <w:sz w:val="21"/>
      <w:szCs w:val="21"/>
      <w:shd w:val="clear" w:color="auto" w:fill="333333"/>
    </w:rPr>
  </w:style>
  <w:style w:type="character" w:styleId="56">
    <w:name w:val="HTML Sample"/>
    <w:basedOn w:val="47"/>
    <w:semiHidden/>
    <w:unhideWhenUsed/>
    <w:qFormat/>
    <w:uiPriority w:val="99"/>
    <w:rPr>
      <w:rFonts w:hint="default" w:ascii="Consolas" w:hAnsi="Consolas" w:eastAsia="Consolas" w:cs="Consolas"/>
      <w:sz w:val="21"/>
      <w:szCs w:val="21"/>
    </w:rPr>
  </w:style>
  <w:style w:type="character" w:customStyle="1" w:styleId="57">
    <w:name w:val="页眉 字符"/>
    <w:basedOn w:val="47"/>
    <w:link w:val="31"/>
    <w:qFormat/>
    <w:uiPriority w:val="0"/>
    <w:rPr>
      <w:sz w:val="18"/>
      <w:szCs w:val="18"/>
    </w:rPr>
  </w:style>
  <w:style w:type="character" w:customStyle="1" w:styleId="58">
    <w:name w:val="页脚 字符"/>
    <w:basedOn w:val="47"/>
    <w:link w:val="30"/>
    <w:qFormat/>
    <w:uiPriority w:val="99"/>
    <w:rPr>
      <w:sz w:val="18"/>
      <w:szCs w:val="18"/>
    </w:rPr>
  </w:style>
  <w:style w:type="character" w:customStyle="1" w:styleId="59">
    <w:name w:val="标题 1 字符"/>
    <w:basedOn w:val="47"/>
    <w:link w:val="3"/>
    <w:qFormat/>
    <w:uiPriority w:val="0"/>
    <w:rPr>
      <w:rFonts w:ascii="Times New Roman" w:hAnsi="Times New Roman" w:eastAsia="宋体" w:cs="Times New Roman"/>
      <w:b/>
      <w:bCs/>
      <w:kern w:val="44"/>
      <w:sz w:val="32"/>
      <w:szCs w:val="32"/>
      <w:lang w:val="zh-CN"/>
    </w:rPr>
  </w:style>
  <w:style w:type="character" w:customStyle="1" w:styleId="60">
    <w:name w:val="标题 2 字符"/>
    <w:basedOn w:val="47"/>
    <w:link w:val="4"/>
    <w:qFormat/>
    <w:uiPriority w:val="0"/>
    <w:rPr>
      <w:rFonts w:ascii="Cambria" w:hAnsi="Cambria" w:eastAsia="宋体" w:cs="Times New Roman"/>
      <w:b/>
      <w:bCs/>
      <w:kern w:val="0"/>
      <w:sz w:val="30"/>
      <w:szCs w:val="30"/>
      <w:lang w:val="zh-CN"/>
    </w:rPr>
  </w:style>
  <w:style w:type="paragraph" w:customStyle="1" w:styleId="61">
    <w:name w:val="标题 31"/>
    <w:basedOn w:val="1"/>
    <w:next w:val="2"/>
    <w:qFormat/>
    <w:uiPriority w:val="0"/>
    <w:pPr>
      <w:keepNext/>
      <w:keepLines/>
      <w:spacing w:before="260" w:line="416" w:lineRule="auto"/>
      <w:outlineLvl w:val="2"/>
    </w:pPr>
    <w:rPr>
      <w:rFonts w:ascii="宋体" w:hAnsi="宋体" w:cs="Times New Roman"/>
      <w:b/>
      <w:bCs/>
      <w:spacing w:val="1"/>
      <w:sz w:val="28"/>
      <w:szCs w:val="32"/>
      <w:lang w:val="zh-CN"/>
    </w:rPr>
  </w:style>
  <w:style w:type="character" w:customStyle="1" w:styleId="62">
    <w:name w:val="标题 4 字符"/>
    <w:basedOn w:val="47"/>
    <w:link w:val="6"/>
    <w:qFormat/>
    <w:uiPriority w:val="0"/>
    <w:rPr>
      <w:rFonts w:ascii="宋体" w:hAnsi="宋体" w:eastAsia="宋体" w:cs="Times New Roman"/>
      <w:b/>
      <w:kern w:val="0"/>
      <w:sz w:val="24"/>
      <w:szCs w:val="24"/>
      <w:lang w:val="zh-CN"/>
    </w:rPr>
  </w:style>
  <w:style w:type="character" w:customStyle="1" w:styleId="63">
    <w:name w:val="标题 5 字符"/>
    <w:basedOn w:val="47"/>
    <w:link w:val="7"/>
    <w:qFormat/>
    <w:uiPriority w:val="0"/>
    <w:rPr>
      <w:rFonts w:ascii="Arial" w:hAnsi="Arial" w:eastAsia="宋体" w:cs="Times New Roman"/>
      <w:sz w:val="24"/>
      <w:szCs w:val="24"/>
    </w:rPr>
  </w:style>
  <w:style w:type="character" w:customStyle="1" w:styleId="64">
    <w:name w:val="标题 6 字符"/>
    <w:basedOn w:val="47"/>
    <w:link w:val="8"/>
    <w:qFormat/>
    <w:uiPriority w:val="0"/>
    <w:rPr>
      <w:rFonts w:ascii="Arial" w:hAnsi="Arial" w:eastAsia="黑体" w:cs="Times New Roman"/>
      <w:b/>
      <w:bCs/>
      <w:sz w:val="24"/>
      <w:szCs w:val="24"/>
    </w:rPr>
  </w:style>
  <w:style w:type="character" w:customStyle="1" w:styleId="65">
    <w:name w:val="标题 7 字符"/>
    <w:basedOn w:val="47"/>
    <w:link w:val="9"/>
    <w:qFormat/>
    <w:uiPriority w:val="0"/>
    <w:rPr>
      <w:rFonts w:ascii="Times New Roman" w:hAnsi="Times New Roman" w:eastAsia="宋体" w:cs="Times New Roman"/>
      <w:b/>
      <w:sz w:val="24"/>
      <w:szCs w:val="20"/>
    </w:rPr>
  </w:style>
  <w:style w:type="character" w:customStyle="1" w:styleId="66">
    <w:name w:val="标题 8 字符"/>
    <w:basedOn w:val="47"/>
    <w:link w:val="10"/>
    <w:qFormat/>
    <w:uiPriority w:val="0"/>
    <w:rPr>
      <w:rFonts w:ascii="Arial" w:hAnsi="Arial" w:eastAsia="黑体" w:cs="Times New Roman"/>
      <w:sz w:val="24"/>
      <w:szCs w:val="20"/>
    </w:rPr>
  </w:style>
  <w:style w:type="character" w:customStyle="1" w:styleId="67">
    <w:name w:val="标题 9 字符"/>
    <w:basedOn w:val="47"/>
    <w:link w:val="11"/>
    <w:qFormat/>
    <w:uiPriority w:val="0"/>
    <w:rPr>
      <w:rFonts w:ascii="Arial" w:hAnsi="Arial" w:eastAsia="黑体" w:cs="Times New Roman"/>
      <w:szCs w:val="20"/>
    </w:rPr>
  </w:style>
  <w:style w:type="character" w:customStyle="1" w:styleId="68">
    <w:name w:val="标题 3 字符"/>
    <w:basedOn w:val="47"/>
    <w:link w:val="5"/>
    <w:qFormat/>
    <w:uiPriority w:val="0"/>
    <w:rPr>
      <w:rFonts w:ascii="宋体" w:hAnsi="宋体" w:eastAsia="宋体"/>
      <w:b/>
      <w:bCs/>
      <w:spacing w:val="1"/>
      <w:sz w:val="28"/>
      <w:szCs w:val="32"/>
      <w:lang w:val="zh-CN"/>
    </w:rPr>
  </w:style>
  <w:style w:type="character" w:customStyle="1" w:styleId="69">
    <w:name w:val="文档结构图 字符"/>
    <w:basedOn w:val="47"/>
    <w:link w:val="15"/>
    <w:qFormat/>
    <w:uiPriority w:val="0"/>
    <w:rPr>
      <w:rFonts w:ascii="宋体" w:hAnsi="Times New Roman" w:eastAsia="宋体" w:cs="Times New Roman"/>
      <w:kern w:val="0"/>
      <w:sz w:val="18"/>
      <w:szCs w:val="18"/>
      <w:lang w:val="zh-CN"/>
    </w:rPr>
  </w:style>
  <w:style w:type="character" w:customStyle="1" w:styleId="70">
    <w:name w:val="批注文字 字符"/>
    <w:basedOn w:val="47"/>
    <w:link w:val="16"/>
    <w:qFormat/>
    <w:uiPriority w:val="0"/>
    <w:rPr>
      <w:rFonts w:ascii="Times New Roman" w:hAnsi="Times New Roman" w:eastAsia="宋体" w:cs="Times New Roman"/>
      <w:szCs w:val="24"/>
      <w:lang w:val="zh-CN"/>
    </w:rPr>
  </w:style>
  <w:style w:type="character" w:customStyle="1" w:styleId="71">
    <w:name w:val="称呼 字符"/>
    <w:basedOn w:val="47"/>
    <w:link w:val="17"/>
    <w:qFormat/>
    <w:uiPriority w:val="0"/>
    <w:rPr>
      <w:rFonts w:ascii="Calibri" w:hAnsi="Calibri" w:eastAsia="宋体" w:cs="Times New Roman"/>
      <w:kern w:val="0"/>
      <w:sz w:val="32"/>
      <w:szCs w:val="24"/>
    </w:rPr>
  </w:style>
  <w:style w:type="character" w:customStyle="1" w:styleId="72">
    <w:name w:val="正文文本 3 字符"/>
    <w:basedOn w:val="47"/>
    <w:link w:val="18"/>
    <w:qFormat/>
    <w:uiPriority w:val="0"/>
    <w:rPr>
      <w:rFonts w:ascii="Times New Roman" w:hAnsi="Times New Roman" w:eastAsia="宋体" w:cs="Times New Roman"/>
      <w:kern w:val="0"/>
      <w:sz w:val="16"/>
      <w:szCs w:val="16"/>
      <w:lang w:val="zh-CN"/>
    </w:rPr>
  </w:style>
  <w:style w:type="character" w:customStyle="1" w:styleId="73">
    <w:name w:val="正文文本 字符"/>
    <w:basedOn w:val="47"/>
    <w:link w:val="19"/>
    <w:qFormat/>
    <w:uiPriority w:val="99"/>
    <w:rPr>
      <w:rFonts w:ascii="Times New Roman" w:hAnsi="Times New Roman" w:eastAsia="宋体" w:cs="Times New Roman"/>
      <w:b/>
      <w:bCs/>
      <w:szCs w:val="24"/>
    </w:rPr>
  </w:style>
  <w:style w:type="character" w:customStyle="1" w:styleId="74">
    <w:name w:val="正文文本缩进 字符"/>
    <w:basedOn w:val="47"/>
    <w:link w:val="20"/>
    <w:qFormat/>
    <w:uiPriority w:val="0"/>
    <w:rPr>
      <w:rFonts w:ascii="宋体" w:hAnsi="Times New Roman" w:eastAsia="宋体" w:cs="Times New Roman"/>
      <w:sz w:val="30"/>
      <w:szCs w:val="20"/>
      <w:lang w:val="zh-CN"/>
    </w:rPr>
  </w:style>
  <w:style w:type="character" w:customStyle="1" w:styleId="75">
    <w:name w:val="纯文本 字符"/>
    <w:basedOn w:val="47"/>
    <w:link w:val="25"/>
    <w:qFormat/>
    <w:uiPriority w:val="0"/>
    <w:rPr>
      <w:rFonts w:ascii="宋体" w:hAnsi="Courier New" w:eastAsia="宋体" w:cs="Times New Roman"/>
      <w:szCs w:val="20"/>
      <w:lang w:val="zh-CN"/>
    </w:rPr>
  </w:style>
  <w:style w:type="character" w:customStyle="1" w:styleId="76">
    <w:name w:val="日期 字符"/>
    <w:basedOn w:val="47"/>
    <w:link w:val="27"/>
    <w:qFormat/>
    <w:uiPriority w:val="0"/>
    <w:rPr>
      <w:rFonts w:ascii="Calibri" w:hAnsi="Calibri" w:eastAsia="宋体" w:cs="Times New Roman"/>
      <w:kern w:val="0"/>
      <w:sz w:val="20"/>
      <w:szCs w:val="24"/>
    </w:rPr>
  </w:style>
  <w:style w:type="character" w:customStyle="1" w:styleId="77">
    <w:name w:val="正文文本缩进 2 字符"/>
    <w:basedOn w:val="47"/>
    <w:link w:val="28"/>
    <w:qFormat/>
    <w:uiPriority w:val="0"/>
    <w:rPr>
      <w:rFonts w:ascii="Times New Roman" w:hAnsi="Times New Roman" w:eastAsia="Courier New" w:cs="Times New Roman"/>
      <w:kern w:val="0"/>
      <w:sz w:val="20"/>
      <w:szCs w:val="20"/>
      <w:lang w:val="zh-CN"/>
    </w:rPr>
  </w:style>
  <w:style w:type="character" w:customStyle="1" w:styleId="78">
    <w:name w:val="批注框文本 字符"/>
    <w:basedOn w:val="47"/>
    <w:link w:val="29"/>
    <w:qFormat/>
    <w:uiPriority w:val="0"/>
    <w:rPr>
      <w:rFonts w:ascii="Times New Roman" w:hAnsi="Times New Roman" w:eastAsia="宋体" w:cs="Times New Roman"/>
      <w:sz w:val="18"/>
      <w:szCs w:val="18"/>
      <w:lang w:val="zh-CN"/>
    </w:rPr>
  </w:style>
  <w:style w:type="character" w:customStyle="1" w:styleId="79">
    <w:name w:val="正文文本缩进 3 字符"/>
    <w:basedOn w:val="47"/>
    <w:link w:val="35"/>
    <w:qFormat/>
    <w:uiPriority w:val="0"/>
    <w:rPr>
      <w:rFonts w:ascii="Calibri" w:hAnsi="Calibri" w:eastAsia="宋体" w:cs="Times New Roman"/>
      <w:kern w:val="0"/>
      <w:sz w:val="16"/>
      <w:szCs w:val="20"/>
    </w:rPr>
  </w:style>
  <w:style w:type="character" w:customStyle="1" w:styleId="80">
    <w:name w:val="正文文本 2 字符"/>
    <w:basedOn w:val="47"/>
    <w:link w:val="38"/>
    <w:qFormat/>
    <w:uiPriority w:val="0"/>
    <w:rPr>
      <w:rFonts w:ascii="Times New Roman" w:hAnsi="Times New Roman" w:eastAsia="宋体" w:cs="Times New Roman"/>
      <w:kern w:val="0"/>
      <w:sz w:val="20"/>
      <w:szCs w:val="24"/>
      <w:lang w:val="zh-CN"/>
    </w:rPr>
  </w:style>
  <w:style w:type="character" w:customStyle="1" w:styleId="81">
    <w:name w:val="HTML 预设格式 字符"/>
    <w:basedOn w:val="47"/>
    <w:link w:val="39"/>
    <w:qFormat/>
    <w:uiPriority w:val="0"/>
    <w:rPr>
      <w:rFonts w:ascii="Calibri" w:hAnsi="Calibri" w:eastAsia="宋体" w:cs="Times New Roman"/>
      <w:kern w:val="0"/>
      <w:sz w:val="20"/>
      <w:szCs w:val="21"/>
    </w:rPr>
  </w:style>
  <w:style w:type="character" w:customStyle="1" w:styleId="82">
    <w:name w:val="标题 字符"/>
    <w:basedOn w:val="47"/>
    <w:link w:val="41"/>
    <w:qFormat/>
    <w:uiPriority w:val="0"/>
    <w:rPr>
      <w:rFonts w:ascii="Arial" w:hAnsi="Arial" w:eastAsia="宋体" w:cs="Times New Roman"/>
      <w:b/>
      <w:bCs/>
      <w:kern w:val="0"/>
      <w:sz w:val="32"/>
      <w:szCs w:val="32"/>
      <w:lang w:val="zh-CN"/>
    </w:rPr>
  </w:style>
  <w:style w:type="character" w:customStyle="1" w:styleId="83">
    <w:name w:val="批注主题 字符"/>
    <w:basedOn w:val="70"/>
    <w:link w:val="42"/>
    <w:qFormat/>
    <w:uiPriority w:val="0"/>
    <w:rPr>
      <w:rFonts w:ascii="Times New Roman" w:hAnsi="Times New Roman" w:eastAsia="宋体" w:cs="Times New Roman"/>
      <w:b/>
      <w:bCs/>
      <w:szCs w:val="24"/>
      <w:lang w:val="zh-CN"/>
    </w:rPr>
  </w:style>
  <w:style w:type="character" w:customStyle="1" w:styleId="84">
    <w:name w:val="正文首行缩进 字符"/>
    <w:basedOn w:val="73"/>
    <w:link w:val="43"/>
    <w:qFormat/>
    <w:uiPriority w:val="0"/>
    <w:rPr>
      <w:rFonts w:ascii="Times New Roman" w:hAnsi="Times New Roman" w:eastAsia="宋体" w:cs="Times New Roman"/>
      <w:b w:val="0"/>
      <w:bCs w:val="0"/>
      <w:kern w:val="0"/>
      <w:sz w:val="20"/>
      <w:szCs w:val="20"/>
    </w:rPr>
  </w:style>
  <w:style w:type="character" w:customStyle="1" w:styleId="85">
    <w:name w:val="正文首行缩进 2 字符"/>
    <w:basedOn w:val="74"/>
    <w:link w:val="44"/>
    <w:qFormat/>
    <w:uiPriority w:val="0"/>
    <w:rPr>
      <w:rFonts w:ascii="Times New Roman" w:hAnsi="Times New Roman" w:eastAsia="宋体" w:cs="Times New Roman"/>
      <w:kern w:val="0"/>
      <w:sz w:val="20"/>
      <w:szCs w:val="24"/>
      <w:lang w:val="zh-CN"/>
    </w:rPr>
  </w:style>
  <w:style w:type="character" w:customStyle="1" w:styleId="86">
    <w:name w:val="访问过的超链接1"/>
    <w:basedOn w:val="47"/>
    <w:semiHidden/>
    <w:unhideWhenUsed/>
    <w:qFormat/>
    <w:uiPriority w:val="99"/>
    <w:rPr>
      <w:color w:val="800080"/>
      <w:u w:val="single"/>
    </w:rPr>
  </w:style>
  <w:style w:type="character" w:customStyle="1" w:styleId="87">
    <w:name w:val="正文缩进 字符"/>
    <w:link w:val="2"/>
    <w:qFormat/>
    <w:uiPriority w:val="0"/>
    <w:rPr>
      <w:rFonts w:ascii="Times New Roman" w:hAnsi="Times New Roman" w:eastAsia="宋体" w:cs="Times New Roman"/>
      <w:szCs w:val="24"/>
    </w:rPr>
  </w:style>
  <w:style w:type="paragraph" w:customStyle="1" w:styleId="88">
    <w:name w:val="_Style 7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插图名称 Char Char"/>
    <w:link w:val="90"/>
    <w:qFormat/>
    <w:uiPriority w:val="0"/>
    <w:rPr>
      <w:rFonts w:eastAsia="Times New Roman"/>
      <w:szCs w:val="24"/>
    </w:rPr>
  </w:style>
  <w:style w:type="paragraph" w:customStyle="1" w:styleId="90">
    <w:name w:val="插图名称"/>
    <w:link w:val="89"/>
    <w:qFormat/>
    <w:uiPriority w:val="0"/>
    <w:pPr>
      <w:jc w:val="center"/>
      <w:outlineLvl w:val="8"/>
    </w:pPr>
    <w:rPr>
      <w:rFonts w:eastAsia="Times New Roman" w:asciiTheme="minorHAnsi" w:hAnsiTheme="minorHAnsi" w:cstheme="minorBidi"/>
      <w:kern w:val="2"/>
      <w:sz w:val="21"/>
      <w:szCs w:val="24"/>
      <w:lang w:val="en-US" w:eastAsia="zh-CN" w:bidi="ar-SA"/>
    </w:rPr>
  </w:style>
  <w:style w:type="character" w:customStyle="1" w:styleId="91">
    <w:name w:val="表格文字 Char"/>
    <w:qFormat/>
    <w:uiPriority w:val="0"/>
    <w:rPr>
      <w:rFonts w:ascii="宋体" w:hAnsi="Courier New"/>
    </w:rPr>
  </w:style>
  <w:style w:type="character" w:customStyle="1" w:styleId="92">
    <w:name w:val="19"/>
    <w:qFormat/>
    <w:uiPriority w:val="0"/>
    <w:rPr>
      <w:rFonts w:hint="default" w:ascii="Calibri" w:hAnsi="Calibri" w:cs="Calibri"/>
      <w:b/>
      <w:bCs/>
      <w:kern w:val="44"/>
      <w:sz w:val="44"/>
      <w:szCs w:val="44"/>
    </w:rPr>
  </w:style>
  <w:style w:type="character" w:customStyle="1" w:styleId="93">
    <w:name w:val="17"/>
    <w:qFormat/>
    <w:uiPriority w:val="0"/>
    <w:rPr>
      <w:rFonts w:hint="default" w:ascii="Calibri" w:hAnsi="Calibri" w:cs="Calibri"/>
    </w:rPr>
  </w:style>
  <w:style w:type="character" w:customStyle="1" w:styleId="94">
    <w:name w:val="Char Char10"/>
    <w:qFormat/>
    <w:uiPriority w:val="0"/>
    <w:rPr>
      <w:rFonts w:ascii="宋体" w:hAnsi="Courier New" w:eastAsia="宋体" w:cs="Times New Roman"/>
      <w:szCs w:val="20"/>
    </w:rPr>
  </w:style>
  <w:style w:type="character" w:customStyle="1" w:styleId="95">
    <w:name w:val="3eee Char Char"/>
    <w:link w:val="96"/>
    <w:qFormat/>
    <w:uiPriority w:val="0"/>
    <w:rPr>
      <w:rFonts w:ascii="Courier New" w:hAnsi="Courier New" w:eastAsia="Courier New"/>
      <w:sz w:val="24"/>
      <w:szCs w:val="24"/>
    </w:rPr>
  </w:style>
  <w:style w:type="paragraph" w:customStyle="1" w:styleId="96">
    <w:name w:val="3eee"/>
    <w:basedOn w:val="1"/>
    <w:link w:val="95"/>
    <w:qFormat/>
    <w:uiPriority w:val="0"/>
    <w:pPr>
      <w:spacing w:line="440" w:lineRule="exact"/>
      <w:ind w:firstLine="480" w:firstLineChars="200"/>
    </w:pPr>
    <w:rPr>
      <w:rFonts w:ascii="Courier New" w:hAnsi="Courier New" w:eastAsia="Courier New"/>
      <w:sz w:val="24"/>
      <w:szCs w:val="24"/>
    </w:rPr>
  </w:style>
  <w:style w:type="character" w:customStyle="1" w:styleId="97">
    <w:name w:val="样式 宋体 小四 Char Char"/>
    <w:link w:val="98"/>
    <w:qFormat/>
    <w:uiPriority w:val="0"/>
    <w:rPr>
      <w:rFonts w:ascii="Courier New" w:hAnsi="Courier New" w:eastAsia="Courier New"/>
      <w:sz w:val="24"/>
    </w:rPr>
  </w:style>
  <w:style w:type="paragraph" w:customStyle="1" w:styleId="98">
    <w:name w:val="样式 宋体 小四"/>
    <w:basedOn w:val="1"/>
    <w:link w:val="97"/>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99">
    <w:name w:val="Default Paragraph Font New"/>
    <w:qFormat/>
    <w:uiPriority w:val="0"/>
    <w:rPr>
      <w:rFonts w:hint="default"/>
    </w:rPr>
  </w:style>
  <w:style w:type="character" w:customStyle="1" w:styleId="100">
    <w:name w:val="文一 Char Char"/>
    <w:link w:val="101"/>
    <w:qFormat/>
    <w:uiPriority w:val="0"/>
    <w:rPr>
      <w:spacing w:val="4"/>
      <w:sz w:val="24"/>
      <w:szCs w:val="24"/>
    </w:rPr>
  </w:style>
  <w:style w:type="paragraph" w:customStyle="1" w:styleId="101">
    <w:name w:val="文一"/>
    <w:basedOn w:val="1"/>
    <w:link w:val="100"/>
    <w:qFormat/>
    <w:uiPriority w:val="0"/>
    <w:pPr>
      <w:topLinePunct/>
      <w:adjustRightInd w:val="0"/>
      <w:snapToGrid w:val="0"/>
      <w:spacing w:line="360" w:lineRule="auto"/>
      <w:ind w:firstLine="200" w:firstLineChars="200"/>
    </w:pPr>
    <w:rPr>
      <w:spacing w:val="4"/>
      <w:sz w:val="24"/>
      <w:szCs w:val="24"/>
    </w:rPr>
  </w:style>
  <w:style w:type="character" w:customStyle="1" w:styleId="102">
    <w:name w:val="无间隔 Char Char"/>
    <w:link w:val="103"/>
    <w:qFormat/>
    <w:uiPriority w:val="0"/>
    <w:rPr>
      <w:szCs w:val="24"/>
    </w:rPr>
  </w:style>
  <w:style w:type="paragraph" w:customStyle="1" w:styleId="103">
    <w:name w:val="无间隔1"/>
    <w:link w:val="10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04">
    <w:name w:val="18"/>
    <w:qFormat/>
    <w:uiPriority w:val="0"/>
    <w:rPr>
      <w:rFonts w:hint="default" w:ascii="Calibri" w:hAnsi="Calibri" w:cs="Calibri"/>
      <w:b/>
      <w:bCs/>
      <w:sz w:val="30"/>
      <w:szCs w:val="30"/>
    </w:rPr>
  </w:style>
  <w:style w:type="character" w:customStyle="1" w:styleId="105">
    <w:name w:val="16"/>
    <w:qFormat/>
    <w:uiPriority w:val="0"/>
    <w:rPr>
      <w:rFonts w:hint="default" w:ascii="Calibri" w:hAnsi="Calibri" w:cs="Calibri"/>
      <w:color w:val="0000FF"/>
      <w:u w:val="single"/>
    </w:rPr>
  </w:style>
  <w:style w:type="character" w:customStyle="1" w:styleId="106">
    <w:name w:val="样式3 Char Char"/>
    <w:link w:val="107"/>
    <w:qFormat/>
    <w:uiPriority w:val="0"/>
    <w:rPr>
      <w:rFonts w:eastAsia="Times New Roman"/>
      <w:b/>
      <w:sz w:val="24"/>
    </w:rPr>
  </w:style>
  <w:style w:type="paragraph" w:customStyle="1" w:styleId="107">
    <w:name w:val="样式3"/>
    <w:link w:val="106"/>
    <w:qFormat/>
    <w:uiPriority w:val="0"/>
    <w:pPr>
      <w:tabs>
        <w:tab w:val="left" w:pos="1140"/>
      </w:tabs>
      <w:spacing w:line="480" w:lineRule="exact"/>
      <w:ind w:left="1140" w:hanging="720"/>
    </w:pPr>
    <w:rPr>
      <w:rFonts w:eastAsia="Times New Roman" w:asciiTheme="minorHAnsi" w:hAnsiTheme="minorHAnsi" w:cstheme="minorBidi"/>
      <w:b/>
      <w:kern w:val="2"/>
      <w:sz w:val="24"/>
      <w:szCs w:val="22"/>
      <w:lang w:val="en-US" w:eastAsia="zh-CN" w:bidi="ar-SA"/>
    </w:rPr>
  </w:style>
  <w:style w:type="character" w:customStyle="1" w:styleId="108">
    <w:name w:val="一级标题 Char Char"/>
    <w:link w:val="109"/>
    <w:qFormat/>
    <w:uiPriority w:val="0"/>
    <w:rPr>
      <w:b/>
      <w:sz w:val="30"/>
      <w:szCs w:val="30"/>
    </w:rPr>
  </w:style>
  <w:style w:type="paragraph" w:customStyle="1" w:styleId="109">
    <w:name w:val="一级标题"/>
    <w:basedOn w:val="1"/>
    <w:link w:val="108"/>
    <w:qFormat/>
    <w:uiPriority w:val="0"/>
    <w:pPr>
      <w:spacing w:line="360" w:lineRule="auto"/>
      <w:outlineLvl w:val="0"/>
    </w:pPr>
    <w:rPr>
      <w:b/>
      <w:sz w:val="30"/>
      <w:szCs w:val="30"/>
    </w:rPr>
  </w:style>
  <w:style w:type="character" w:customStyle="1" w:styleId="110">
    <w:name w:val="Default Paragraph Font New New New"/>
    <w:qFormat/>
    <w:uiPriority w:val="0"/>
    <w:rPr>
      <w:rFonts w:hint="default"/>
    </w:rPr>
  </w:style>
  <w:style w:type="character" w:customStyle="1" w:styleId="111">
    <w:name w:val="默认段落字体1"/>
    <w:qFormat/>
    <w:uiPriority w:val="0"/>
    <w:rPr>
      <w:rFonts w:hint="default"/>
    </w:rPr>
  </w:style>
  <w:style w:type="character" w:customStyle="1" w:styleId="112">
    <w:name w:val="正文(仿)首缩 Char"/>
    <w:link w:val="113"/>
    <w:qFormat/>
    <w:uiPriority w:val="0"/>
    <w:rPr>
      <w:rFonts w:ascii="仿宋_GB2312" w:eastAsia="仿宋_GB2312"/>
      <w:sz w:val="28"/>
    </w:rPr>
  </w:style>
  <w:style w:type="paragraph" w:customStyle="1" w:styleId="113">
    <w:name w:val="正文(仿)首缩"/>
    <w:basedOn w:val="1"/>
    <w:link w:val="112"/>
    <w:qFormat/>
    <w:uiPriority w:val="0"/>
    <w:pPr>
      <w:ind w:firstLine="554" w:firstLineChars="200"/>
    </w:pPr>
    <w:rPr>
      <w:rFonts w:ascii="仿宋_GB2312" w:eastAsia="仿宋_GB2312"/>
      <w:sz w:val="28"/>
    </w:rPr>
  </w:style>
  <w:style w:type="character" w:customStyle="1" w:styleId="114">
    <w:name w:val="表格00 Char1"/>
    <w:link w:val="115"/>
    <w:qFormat/>
    <w:uiPriority w:val="0"/>
    <w:rPr>
      <w:rFonts w:eastAsia="Times New Roman"/>
      <w:szCs w:val="21"/>
    </w:rPr>
  </w:style>
  <w:style w:type="paragraph" w:customStyle="1" w:styleId="115">
    <w:name w:val="表格00"/>
    <w:link w:val="114"/>
    <w:qFormat/>
    <w:uiPriority w:val="0"/>
    <w:pPr>
      <w:widowControl w:val="0"/>
      <w:adjustRightInd w:val="0"/>
      <w:spacing w:line="140" w:lineRule="atLeast"/>
      <w:jc w:val="center"/>
      <w:outlineLvl w:val="8"/>
    </w:pPr>
    <w:rPr>
      <w:rFonts w:eastAsia="Times New Roman" w:asciiTheme="minorHAnsi" w:hAnsiTheme="minorHAnsi" w:cstheme="minorBidi"/>
      <w:kern w:val="2"/>
      <w:sz w:val="21"/>
      <w:szCs w:val="21"/>
      <w:lang w:val="en-US" w:eastAsia="zh-CN" w:bidi="ar-SA"/>
    </w:rPr>
  </w:style>
  <w:style w:type="character" w:customStyle="1" w:styleId="116">
    <w:name w:val="样式 小四 首行缩进:  0.85 厘米 行距: 1.5 倍行距 Char1"/>
    <w:link w:val="117"/>
    <w:qFormat/>
    <w:uiPriority w:val="0"/>
    <w:rPr>
      <w:rFonts w:ascii="Courier New" w:hAnsi="Courier New" w:eastAsia="Courier New"/>
      <w:bCs/>
      <w:sz w:val="24"/>
      <w:szCs w:val="28"/>
    </w:rPr>
  </w:style>
  <w:style w:type="paragraph" w:customStyle="1" w:styleId="117">
    <w:name w:val="样式 小四 首行缩进:  0.85 厘米 行距: 1.5 倍行距"/>
    <w:basedOn w:val="1"/>
    <w:next w:val="1"/>
    <w:link w:val="116"/>
    <w:qFormat/>
    <w:uiPriority w:val="0"/>
    <w:pPr>
      <w:spacing w:line="360" w:lineRule="auto"/>
      <w:ind w:firstLine="480"/>
    </w:pPr>
    <w:rPr>
      <w:rFonts w:ascii="Courier New" w:hAnsi="Courier New" w:eastAsia="Courier New"/>
      <w:bCs/>
      <w:sz w:val="24"/>
      <w:szCs w:val="28"/>
    </w:rPr>
  </w:style>
  <w:style w:type="character" w:customStyle="1" w:styleId="118">
    <w:name w:val="Default Paragraph Font New New"/>
    <w:qFormat/>
    <w:uiPriority w:val="0"/>
    <w:rPr>
      <w:rFonts w:hint="default"/>
    </w:rPr>
  </w:style>
  <w:style w:type="character" w:customStyle="1" w:styleId="119">
    <w:name w:val="泉州师院正文 Char Char"/>
    <w:link w:val="120"/>
    <w:qFormat/>
    <w:uiPriority w:val="0"/>
    <w:rPr>
      <w:sz w:val="24"/>
      <w:szCs w:val="24"/>
    </w:rPr>
  </w:style>
  <w:style w:type="paragraph" w:customStyle="1" w:styleId="120">
    <w:name w:val="泉州师院正文"/>
    <w:basedOn w:val="1"/>
    <w:link w:val="119"/>
    <w:qFormat/>
    <w:uiPriority w:val="0"/>
    <w:pPr>
      <w:spacing w:line="360" w:lineRule="auto"/>
      <w:ind w:firstLine="480" w:firstLineChars="200"/>
    </w:pPr>
    <w:rPr>
      <w:sz w:val="24"/>
      <w:szCs w:val="24"/>
    </w:rPr>
  </w:style>
  <w:style w:type="character" w:customStyle="1" w:styleId="121">
    <w:name w:val="10"/>
    <w:qFormat/>
    <w:uiPriority w:val="0"/>
    <w:rPr>
      <w:rFonts w:hint="default" w:ascii="Calibri" w:hAnsi="Calibri" w:cs="Calibri"/>
    </w:rPr>
  </w:style>
  <w:style w:type="character" w:customStyle="1" w:styleId="122">
    <w:name w:val="15"/>
    <w:qFormat/>
    <w:uiPriority w:val="0"/>
    <w:rPr>
      <w:rFonts w:hint="default" w:ascii="Calibri" w:hAnsi="Calibri" w:cs="Calibri"/>
      <w:color w:val="0000FF"/>
      <w:u w:val="single"/>
    </w:rPr>
  </w:style>
  <w:style w:type="paragraph" w:customStyle="1" w:styleId="123">
    <w:name w:val="Normal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24">
    <w:name w:val="正题"/>
    <w:basedOn w:val="101"/>
    <w:next w:val="101"/>
    <w:qFormat/>
    <w:uiPriority w:val="0"/>
    <w:pPr>
      <w:ind w:firstLine="0" w:firstLineChars="0"/>
      <w:jc w:val="center"/>
    </w:pPr>
    <w:rPr>
      <w:rFonts w:ascii="等线" w:hAnsi="等线" w:eastAsia="黑体"/>
      <w:b/>
      <w:snapToGrid w:val="0"/>
      <w:sz w:val="36"/>
      <w:szCs w:val="36"/>
    </w:rPr>
  </w:style>
  <w:style w:type="paragraph" w:customStyle="1" w:styleId="125">
    <w:name w:val="列出段落1"/>
    <w:basedOn w:val="1"/>
    <w:qFormat/>
    <w:uiPriority w:val="0"/>
    <w:pPr>
      <w:ind w:firstLine="420" w:firstLineChars="200"/>
    </w:pPr>
    <w:rPr>
      <w:rFonts w:ascii="Calibri" w:hAnsi="Calibri" w:eastAsia="宋体" w:cs="Times New Roman"/>
    </w:rPr>
  </w:style>
  <w:style w:type="paragraph" w:customStyle="1" w:styleId="12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7">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styleId="128">
    <w:name w:val="List Paragraph"/>
    <w:basedOn w:val="1"/>
    <w:qFormat/>
    <w:uiPriority w:val="0"/>
    <w:pPr>
      <w:ind w:firstLine="420" w:firstLineChars="200"/>
    </w:pPr>
    <w:rPr>
      <w:rFonts w:ascii="Times New Roman" w:hAnsi="Times New Roman" w:eastAsia="宋体" w:cs="Times New Roman"/>
      <w:szCs w:val="24"/>
    </w:rPr>
  </w:style>
  <w:style w:type="paragraph" w:customStyle="1" w:styleId="129">
    <w:name w:val="1eee"/>
    <w:basedOn w:val="3"/>
    <w:qFormat/>
    <w:uiPriority w:val="0"/>
    <w:rPr>
      <w:rFonts w:eastAsia="黑体" w:cs="宋体"/>
      <w:b w:val="0"/>
      <w:sz w:val="30"/>
    </w:rPr>
  </w:style>
  <w:style w:type="paragraph" w:customStyle="1" w:styleId="130">
    <w:name w:val="正文图标题"/>
    <w:next w:val="1"/>
    <w:qFormat/>
    <w:uiPriority w:val="0"/>
    <w:pPr>
      <w:tabs>
        <w:tab w:val="left" w:pos="420"/>
      </w:tabs>
      <w:ind w:left="567" w:hanging="279"/>
      <w:jc w:val="center"/>
    </w:pPr>
    <w:rPr>
      <w:rFonts w:ascii="黑体" w:hAnsi="Times New Roman" w:eastAsia="黑体" w:cs="Times New Roman"/>
      <w:kern w:val="0"/>
      <w:sz w:val="21"/>
      <w:szCs w:val="20"/>
      <w:lang w:val="en-US" w:eastAsia="zh-CN" w:bidi="ar-SA"/>
    </w:rPr>
  </w:style>
  <w:style w:type="paragraph" w:customStyle="1" w:styleId="131">
    <w:name w:val="文二"/>
    <w:basedOn w:val="1"/>
    <w:qFormat/>
    <w:uiPriority w:val="0"/>
    <w:pPr>
      <w:jc w:val="left"/>
    </w:pPr>
    <w:rPr>
      <w:rFonts w:ascii="宋体" w:hAnsi="宋体" w:eastAsia="宋体" w:cs="Times New Roman"/>
      <w:szCs w:val="21"/>
    </w:rPr>
  </w:style>
  <w:style w:type="paragraph" w:customStyle="1" w:styleId="132">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33">
    <w:name w:val="Normal New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4">
    <w:name w:val="发文落款"/>
    <w:basedOn w:val="132"/>
    <w:qFormat/>
    <w:uiPriority w:val="0"/>
    <w:pPr>
      <w:ind w:left="4094" w:right="607" w:firstLine="0"/>
      <w:jc w:val="center"/>
    </w:pPr>
  </w:style>
  <w:style w:type="paragraph" w:customStyle="1" w:styleId="135">
    <w:name w:val="封一"/>
    <w:basedOn w:val="101"/>
    <w:next w:val="101"/>
    <w:qFormat/>
    <w:uiPriority w:val="0"/>
    <w:pPr>
      <w:ind w:firstLine="0" w:firstLineChars="0"/>
      <w:jc w:val="center"/>
    </w:pPr>
    <w:rPr>
      <w:rFonts w:ascii="等线" w:hAnsi="等线" w:eastAsia="黑体"/>
      <w:b/>
      <w:snapToGrid w:val="0"/>
      <w:sz w:val="84"/>
      <w:szCs w:val="84"/>
    </w:rPr>
  </w:style>
  <w:style w:type="paragraph" w:customStyle="1" w:styleId="136">
    <w:name w:val="_Style 59"/>
    <w:qFormat/>
    <w:uiPriority w:val="0"/>
    <w:pPr>
      <w:spacing w:after="160" w:line="240" w:lineRule="exact"/>
    </w:pPr>
    <w:rPr>
      <w:rFonts w:ascii="Times New Roman" w:hAnsi="Times New Roman" w:eastAsia="宋体" w:cs="Times New Roman"/>
      <w:kern w:val="0"/>
      <w:sz w:val="20"/>
      <w:szCs w:val="20"/>
      <w:lang w:val="en-US" w:eastAsia="zh-CN" w:bidi="ar-SA"/>
    </w:rPr>
  </w:style>
  <w:style w:type="paragraph" w:customStyle="1" w:styleId="137">
    <w:name w:val="封四"/>
    <w:basedOn w:val="101"/>
    <w:next w:val="101"/>
    <w:qFormat/>
    <w:uiPriority w:val="0"/>
    <w:pPr>
      <w:jc w:val="left"/>
    </w:pPr>
    <w:rPr>
      <w:rFonts w:ascii="等线" w:hAnsi="等线" w:eastAsia="等线"/>
      <w:snapToGrid w:val="0"/>
      <w:sz w:val="30"/>
      <w:szCs w:val="30"/>
    </w:rPr>
  </w:style>
  <w:style w:type="paragraph" w:customStyle="1" w:styleId="138">
    <w:name w:val="正文1"/>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40">
    <w:name w:val="Normal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41">
    <w:name w:val="Char Char Char Char Char Char Char1"/>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封二"/>
    <w:basedOn w:val="101"/>
    <w:next w:val="101"/>
    <w:qFormat/>
    <w:uiPriority w:val="0"/>
    <w:pPr>
      <w:ind w:firstLine="0" w:firstLineChars="0"/>
      <w:jc w:val="center"/>
    </w:pPr>
    <w:rPr>
      <w:rFonts w:ascii="等线" w:hAnsi="等线" w:eastAsia="黑体"/>
      <w:b/>
      <w:snapToGrid w:val="0"/>
      <w:sz w:val="36"/>
      <w:szCs w:val="36"/>
    </w:rPr>
  </w:style>
  <w:style w:type="paragraph" w:customStyle="1" w:styleId="144">
    <w:name w:val="样式 标题 3 + 首行缩进:  1.06 厘米"/>
    <w:basedOn w:val="5"/>
    <w:qFormat/>
    <w:uiPriority w:val="0"/>
  </w:style>
  <w:style w:type="paragraph" w:styleId="145">
    <w:name w:val="No Spacing"/>
    <w:qFormat/>
    <w:uiPriority w:val="0"/>
    <w:pPr>
      <w:widowControl w:val="0"/>
      <w:jc w:val="both"/>
    </w:pPr>
    <w:rPr>
      <w:rFonts w:ascii="Times New Roman" w:hAnsi="Times New Roman" w:eastAsia="Times New Roman" w:cs="Times New Roman"/>
      <w:kern w:val="2"/>
      <w:sz w:val="24"/>
      <w:szCs w:val="24"/>
      <w:lang w:val="en-US" w:eastAsia="zh-CN" w:bidi="ar-SA"/>
    </w:rPr>
  </w:style>
  <w:style w:type="paragraph" w:customStyle="1" w:styleId="1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szCs w:val="24"/>
    </w:rPr>
  </w:style>
  <w:style w:type="paragraph" w:customStyle="1" w:styleId="148">
    <w:name w:val="TOC 标题1"/>
    <w:basedOn w:val="3"/>
    <w:next w:val="1"/>
    <w:qFormat/>
    <w:uiPriority w:val="0"/>
    <w:pPr>
      <w:widowControl/>
      <w:spacing w:before="480" w:line="276" w:lineRule="auto"/>
      <w:jc w:val="left"/>
      <w:outlineLvl w:val="9"/>
    </w:pPr>
    <w:rPr>
      <w:rFonts w:ascii="Cambria" w:hAnsi="Cambria"/>
      <w:color w:val="365F91"/>
      <w:kern w:val="0"/>
      <w:sz w:val="28"/>
      <w:szCs w:val="28"/>
      <w:lang w:val="en-US"/>
    </w:rPr>
  </w:style>
  <w:style w:type="paragraph" w:customStyle="1" w:styleId="149">
    <w:name w:val="表格内容"/>
    <w:basedOn w:val="1"/>
    <w:qFormat/>
    <w:uiPriority w:val="0"/>
    <w:pPr>
      <w:adjustRightInd w:val="0"/>
      <w:snapToGrid w:val="0"/>
      <w:spacing w:line="288" w:lineRule="auto"/>
      <w:jc w:val="center"/>
    </w:pPr>
    <w:rPr>
      <w:rFonts w:ascii="Times New Roman" w:hAnsi="Times New Roman" w:eastAsia="宋体" w:cs="Times New Roman"/>
      <w:szCs w:val="24"/>
    </w:rPr>
  </w:style>
  <w:style w:type="paragraph" w:customStyle="1" w:styleId="150">
    <w:name w:val="Plain Text1"/>
    <w:basedOn w:val="1"/>
    <w:qFormat/>
    <w:uiPriority w:val="99"/>
    <w:rPr>
      <w:rFonts w:ascii="宋体" w:hAnsi="Courier New" w:eastAsia="宋体" w:cs="Times New Roman"/>
      <w:kern w:val="0"/>
      <w:sz w:val="20"/>
      <w:szCs w:val="20"/>
    </w:rPr>
  </w:style>
  <w:style w:type="character" w:styleId="151">
    <w:name w:val="Placeholder Text"/>
    <w:basedOn w:val="47"/>
    <w:semiHidden/>
    <w:qFormat/>
    <w:uiPriority w:val="99"/>
    <w:rPr>
      <w:color w:val="808080"/>
    </w:rPr>
  </w:style>
  <w:style w:type="paragraph" w:customStyle="1" w:styleId="152">
    <w:name w:val="p16"/>
    <w:basedOn w:val="1"/>
    <w:qFormat/>
    <w:uiPriority w:val="0"/>
    <w:pPr>
      <w:widowControl/>
    </w:pPr>
    <w:rPr>
      <w:rFonts w:ascii="Times New Roman" w:hAnsi="Times New Roman" w:eastAsia="宋体" w:cs="Times New Roman"/>
      <w:kern w:val="0"/>
      <w:sz w:val="32"/>
      <w:szCs w:val="32"/>
    </w:rPr>
  </w:style>
  <w:style w:type="character" w:customStyle="1" w:styleId="153">
    <w:name w:val="username"/>
    <w:basedOn w:val="47"/>
    <w:qFormat/>
    <w:uiPriority w:val="0"/>
  </w:style>
  <w:style w:type="character" w:customStyle="1" w:styleId="154">
    <w:name w:val="title26"/>
    <w:basedOn w:val="47"/>
    <w:qFormat/>
    <w:uiPriority w:val="0"/>
  </w:style>
  <w:style w:type="character" w:customStyle="1" w:styleId="155">
    <w:name w:val="font01"/>
    <w:qFormat/>
    <w:uiPriority w:val="0"/>
    <w:rPr>
      <w:rFonts w:hint="eastAsia" w:ascii="宋体" w:hAnsi="宋体" w:eastAsia="宋体" w:cs="宋体"/>
      <w:color w:val="000000"/>
      <w:sz w:val="21"/>
      <w:szCs w:val="21"/>
      <w:u w:val="none"/>
    </w:rPr>
  </w:style>
  <w:style w:type="paragraph" w:customStyle="1" w:styleId="15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title24"/>
    <w:basedOn w:val="47"/>
    <w:qFormat/>
    <w:uiPriority w:val="0"/>
  </w:style>
  <w:style w:type="paragraph" w:customStyle="1" w:styleId="158">
    <w:name w:val="正文 New New"/>
    <w:qFormat/>
    <w:uiPriority w:val="0"/>
    <w:pPr>
      <w:widowControl w:val="0"/>
      <w:jc w:val="both"/>
    </w:pPr>
    <w:rPr>
      <w:rFonts w:ascii="Times New Roman" w:hAnsi="Times New Roman" w:eastAsia="楷体_GB2312" w:cs="Times New Roman"/>
      <w:kern w:val="2"/>
      <w:sz w:val="21"/>
      <w:szCs w:val="20"/>
      <w:lang w:val="en-US" w:eastAsia="zh-CN" w:bidi="ar-SA"/>
    </w:rPr>
  </w:style>
  <w:style w:type="character" w:customStyle="1" w:styleId="159">
    <w:name w:val="标题 3 字符1"/>
    <w:basedOn w:val="47"/>
    <w:semiHidden/>
    <w:qFormat/>
    <w:uiPriority w:val="9"/>
    <w:rPr>
      <w:b/>
      <w:bCs/>
      <w:sz w:val="32"/>
      <w:szCs w:val="32"/>
    </w:rPr>
  </w:style>
  <w:style w:type="table" w:customStyle="1" w:styleId="160">
    <w:name w:val="Table Normal"/>
    <w:semiHidden/>
    <w:unhideWhenUsed/>
    <w:qFormat/>
    <w:uiPriority w:val="0"/>
    <w:tblPr>
      <w:tblCellMar>
        <w:top w:w="0" w:type="dxa"/>
        <w:left w:w="0" w:type="dxa"/>
        <w:bottom w:w="0" w:type="dxa"/>
        <w:right w:w="0" w:type="dxa"/>
      </w:tblCellMar>
    </w:tbl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38487</Words>
  <Characters>40717</Characters>
  <Lines>232</Lines>
  <Paragraphs>65</Paragraphs>
  <TotalTime>22</TotalTime>
  <ScaleCrop>false</ScaleCrop>
  <LinksUpToDate>false</LinksUpToDate>
  <CharactersWithSpaces>42448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2025-03-19T04:34:00Z</dcterms:created>
  <dc:creator>Admin</dc:creator>
  <cp:lastModifiedBy>邹小红</cp:lastModifiedBy>
  <cp:lastPrinted>2025-10-14T08:49:00Z</cp:lastPrinted>
  <dcterms:modified xsi:type="dcterms:W3CDTF">2025-10-17T09:19:16Z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eyJoZGlkIjoiZDFmNTQwM2JiYjFlMWVjNjVhMWRlZWQ0NDZhMDk4MjgiLCJ1c2VySWQiOiI0MjA0NTIwODcifQ==</vt:lpwstr>
  </property>
  <property fmtid="{D5CDD505-2E9C-101B-9397-08002B2CF9AE}" pid="3" name="KSOProductBuildVer">
    <vt:lpwstr>2052-12.1.0.23125</vt:lpwstr>
  </property>
  <property fmtid="{D5CDD505-2E9C-101B-9397-08002B2CF9AE}" pid="4" name="ICV">
    <vt:lpwstr>8DFDD875842542FDB20E2A1178DB1D84_13</vt:lpwstr>
  </property>
</Properties>
</file>