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5B06A"/>
    <w:p w14:paraId="640FAE92"/>
    <w:p w14:paraId="197CAA72"/>
    <w:p w14:paraId="01659C0B"/>
    <w:p w14:paraId="1EA8F029"/>
    <w:p w14:paraId="2B0C3B40"/>
    <w:p w14:paraId="543CCDE8">
      <w:pPr>
        <w:spacing w:before="2" w:line="276" w:lineRule="auto"/>
        <w:jc w:val="center"/>
        <w:rPr>
          <w:rFonts w:hint="eastAsia" w:ascii="黑体" w:hAnsi="黑体" w:eastAsia="黑体" w:cs="黑体"/>
          <w:b/>
          <w:sz w:val="44"/>
          <w:szCs w:val="44"/>
        </w:rPr>
      </w:pPr>
      <w:r>
        <w:rPr>
          <w:rFonts w:hint="eastAsia" w:ascii="黑体" w:hAnsi="黑体" w:eastAsia="黑体" w:cs="黑体"/>
          <w:b/>
          <w:sz w:val="44"/>
          <w:szCs w:val="44"/>
        </w:rPr>
        <w:t>新河浦历史文化街区改造提升项目</w:t>
      </w:r>
    </w:p>
    <w:p w14:paraId="3D53B395">
      <w:pPr>
        <w:spacing w:before="2" w:line="276" w:lineRule="auto"/>
        <w:jc w:val="center"/>
        <w:rPr>
          <w:rFonts w:hint="eastAsia" w:ascii="黑体" w:hAnsi="黑体" w:eastAsia="黑体" w:cs="黑体"/>
          <w:b/>
          <w:sz w:val="44"/>
          <w:szCs w:val="44"/>
        </w:rPr>
      </w:pPr>
      <w:r>
        <w:rPr>
          <w:rFonts w:hint="eastAsia" w:ascii="黑体" w:hAnsi="黑体" w:eastAsia="黑体" w:cs="黑体"/>
          <w:b/>
          <w:sz w:val="44"/>
          <w:szCs w:val="44"/>
        </w:rPr>
        <w:t>—新河浦历史文化街区建筑活化及</w:t>
      </w:r>
    </w:p>
    <w:p w14:paraId="618B48FC">
      <w:pPr>
        <w:spacing w:before="2" w:line="276" w:lineRule="auto"/>
        <w:jc w:val="center"/>
        <w:rPr>
          <w:rFonts w:hint="eastAsia" w:ascii="黑体" w:hAnsi="黑体" w:eastAsia="黑体" w:cs="黑体"/>
          <w:b/>
          <w:sz w:val="44"/>
          <w:szCs w:val="44"/>
          <w:lang w:eastAsia="zh-CN"/>
        </w:rPr>
      </w:pPr>
      <w:r>
        <w:rPr>
          <w:rFonts w:hint="eastAsia" w:ascii="黑体" w:hAnsi="黑体" w:eastAsia="黑体" w:cs="黑体"/>
          <w:b/>
          <w:sz w:val="44"/>
          <w:szCs w:val="44"/>
        </w:rPr>
        <w:t>环境综合提升工程</w:t>
      </w:r>
      <w:r>
        <w:rPr>
          <w:rFonts w:hint="eastAsia" w:ascii="黑体" w:hAnsi="黑体" w:eastAsia="黑体" w:cs="黑体"/>
          <w:b/>
          <w:sz w:val="44"/>
          <w:szCs w:val="44"/>
          <w:lang w:eastAsia="zh-CN"/>
        </w:rPr>
        <w:t>（</w:t>
      </w:r>
      <w:r>
        <w:rPr>
          <w:rFonts w:hint="eastAsia" w:ascii="黑体" w:hAnsi="黑体" w:eastAsia="黑体" w:cs="黑体"/>
          <w:b/>
          <w:sz w:val="44"/>
          <w:szCs w:val="44"/>
          <w:lang w:val="en-US" w:eastAsia="zh-CN"/>
        </w:rPr>
        <w:t>子项二</w:t>
      </w:r>
      <w:r>
        <w:rPr>
          <w:rFonts w:hint="eastAsia" w:ascii="黑体" w:hAnsi="黑体" w:eastAsia="黑体" w:cs="黑体"/>
          <w:b/>
          <w:sz w:val="44"/>
          <w:szCs w:val="44"/>
          <w:lang w:eastAsia="zh-CN"/>
        </w:rPr>
        <w:t>）</w:t>
      </w:r>
    </w:p>
    <w:p w14:paraId="04D1F8DA">
      <w:pPr>
        <w:spacing w:before="2" w:line="276" w:lineRule="auto"/>
        <w:jc w:val="center"/>
        <w:rPr>
          <w:rFonts w:ascii="黑体" w:hAnsi="黑体" w:eastAsia="黑体" w:cs="黑体"/>
          <w:b/>
          <w:bCs/>
          <w:sz w:val="44"/>
          <w:szCs w:val="44"/>
        </w:rPr>
      </w:pPr>
      <w:r>
        <w:rPr>
          <w:rFonts w:hint="eastAsia" w:ascii="黑体" w:hAnsi="黑体" w:eastAsia="黑体" w:cs="黑体"/>
          <w:b/>
          <w:bCs/>
          <w:sz w:val="44"/>
          <w:szCs w:val="44"/>
          <w:lang w:val="en-US" w:eastAsia="zh-CN"/>
        </w:rPr>
        <w:t>施工图</w:t>
      </w:r>
      <w:r>
        <w:rPr>
          <w:rFonts w:hint="eastAsia" w:ascii="黑体" w:hAnsi="黑体" w:eastAsia="黑体" w:cs="黑体"/>
          <w:b/>
          <w:sz w:val="44"/>
          <w:szCs w:val="44"/>
        </w:rPr>
        <w:t>设计</w:t>
      </w:r>
      <w:r>
        <w:rPr>
          <w:rFonts w:hint="eastAsia" w:ascii="黑体" w:hAnsi="黑体" w:eastAsia="黑体" w:cs="黑体"/>
          <w:b/>
          <w:bCs/>
          <w:sz w:val="44"/>
          <w:szCs w:val="44"/>
        </w:rPr>
        <w:t>任务书</w:t>
      </w:r>
    </w:p>
    <w:p w14:paraId="71352EA8"/>
    <w:p w14:paraId="004736E6"/>
    <w:p w14:paraId="19D3C2D8"/>
    <w:p w14:paraId="064E7C02"/>
    <w:p w14:paraId="374EBCA5"/>
    <w:p w14:paraId="181B7E19"/>
    <w:p w14:paraId="7ED6AFD5"/>
    <w:p w14:paraId="79E819FE"/>
    <w:p w14:paraId="592CE437"/>
    <w:p w14:paraId="68F0710F"/>
    <w:p w14:paraId="0B0DA330"/>
    <w:p w14:paraId="329016E5"/>
    <w:p w14:paraId="034A0D27"/>
    <w:p w14:paraId="046967DE"/>
    <w:p w14:paraId="4A180CCA"/>
    <w:p w14:paraId="7B7DD7AE"/>
    <w:p w14:paraId="447B7763"/>
    <w:p w14:paraId="34C8FE88"/>
    <w:p w14:paraId="08D2DA51"/>
    <w:p w14:paraId="47897FEE"/>
    <w:p w14:paraId="3DF5D0D4"/>
    <w:p w14:paraId="56797C72"/>
    <w:p w14:paraId="6125BB57"/>
    <w:p w14:paraId="18DF9423"/>
    <w:p w14:paraId="61777E43"/>
    <w:p w14:paraId="7FB26AF0"/>
    <w:p w14:paraId="529ED219"/>
    <w:p w14:paraId="62B6D43B">
      <w:pPr>
        <w:adjustRightInd w:val="0"/>
        <w:spacing w:line="560" w:lineRule="exact"/>
        <w:jc w:val="center"/>
        <w:rPr>
          <w:rFonts w:ascii="黑体" w:hAnsi="黑体" w:eastAsia="黑体"/>
          <w:sz w:val="28"/>
          <w:szCs w:val="28"/>
        </w:rPr>
      </w:pPr>
      <w:r>
        <w:rPr>
          <w:rFonts w:hint="eastAsia" w:ascii="黑体" w:hAnsi="黑体" w:eastAsia="黑体"/>
          <w:sz w:val="28"/>
          <w:szCs w:val="28"/>
        </w:rPr>
        <w:t>202</w:t>
      </w:r>
      <w:r>
        <w:rPr>
          <w:rFonts w:hint="eastAsia" w:ascii="黑体" w:hAnsi="黑体" w:eastAsia="黑体"/>
          <w:sz w:val="28"/>
          <w:szCs w:val="28"/>
          <w:lang w:val="en-US" w:eastAsia="zh-CN"/>
        </w:rPr>
        <w:t>5</w:t>
      </w:r>
      <w:r>
        <w:rPr>
          <w:rFonts w:hint="eastAsia" w:ascii="黑体" w:hAnsi="黑体" w:eastAsia="黑体"/>
          <w:sz w:val="28"/>
          <w:szCs w:val="28"/>
        </w:rPr>
        <w:t>年</w:t>
      </w:r>
      <w:r>
        <w:rPr>
          <w:rFonts w:hint="eastAsia" w:ascii="黑体" w:hAnsi="黑体" w:eastAsia="黑体"/>
          <w:sz w:val="28"/>
          <w:szCs w:val="28"/>
          <w:lang w:val="en-US" w:eastAsia="zh-CN"/>
        </w:rPr>
        <w:t>10</w:t>
      </w:r>
      <w:r>
        <w:rPr>
          <w:rFonts w:hint="eastAsia" w:ascii="黑体" w:hAnsi="黑体" w:eastAsia="黑体"/>
          <w:sz w:val="28"/>
          <w:szCs w:val="28"/>
        </w:rPr>
        <w:t>月</w:t>
      </w:r>
    </w:p>
    <w:p w14:paraId="24F1307C"/>
    <w:p w14:paraId="3D8F7E98">
      <w:pPr>
        <w:pStyle w:val="42"/>
        <w:spacing w:before="156" w:beforeLines="50" w:after="156" w:afterLines="50" w:line="560" w:lineRule="exact"/>
        <w:rPr>
          <w:rFonts w:hint="eastAsia" w:ascii="黑体" w:hAnsi="黑体" w:eastAsia="黑体" w:cs="黑体"/>
          <w:color w:val="auto"/>
          <w:sz w:val="32"/>
          <w:szCs w:val="32"/>
        </w:rPr>
        <w:sectPr>
          <w:headerReference r:id="rId3" w:type="default"/>
          <w:pgSz w:w="11906" w:h="16838"/>
          <w:pgMar w:top="1440" w:right="1800" w:bottom="1440" w:left="1800" w:header="851" w:footer="992" w:gutter="0"/>
          <w:cols w:space="425" w:num="1"/>
          <w:docGrid w:type="lines" w:linePitch="312" w:charSpace="0"/>
        </w:sectPr>
      </w:pPr>
    </w:p>
    <w:p w14:paraId="750B26E3">
      <w:pPr>
        <w:pStyle w:val="42"/>
        <w:spacing w:before="156" w:beforeLines="50" w:after="156" w:afterLines="50" w:line="560" w:lineRule="exact"/>
        <w:rPr>
          <w:rFonts w:ascii="黑体" w:hAnsi="黑体" w:eastAsia="黑体" w:cs="黑体"/>
          <w:color w:val="auto"/>
          <w:sz w:val="32"/>
          <w:szCs w:val="32"/>
        </w:rPr>
      </w:pPr>
      <w:r>
        <w:rPr>
          <w:rFonts w:hint="eastAsia" w:ascii="黑体" w:hAnsi="黑体" w:eastAsia="黑体" w:cs="黑体"/>
          <w:color w:val="auto"/>
          <w:sz w:val="32"/>
          <w:szCs w:val="32"/>
        </w:rPr>
        <w:t>一、项目背景</w:t>
      </w:r>
    </w:p>
    <w:p w14:paraId="0AE061DC">
      <w:pPr>
        <w:pStyle w:val="8"/>
        <w:keepNext w:val="0"/>
        <w:keepLines w:val="0"/>
        <w:pageBreakBefore w:val="0"/>
        <w:widowControl/>
        <w:kinsoku/>
        <w:wordWrap/>
        <w:overflowPunct/>
        <w:topLinePunct w:val="0"/>
        <w:autoSpaceDE/>
        <w:autoSpaceDN/>
        <w:bidi w:val="0"/>
        <w:adjustRightInd/>
        <w:snapToGrid/>
        <w:ind w:left="0" w:firstLine="640" w:firstLineChars="200"/>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为深入贯彻习近平总书记视察广东重要讲话、重要指示精神，推进新河浦等历史文化街区保护利</w:t>
      </w:r>
      <w:bookmarkStart w:id="5" w:name="_GoBack"/>
      <w:bookmarkEnd w:id="5"/>
      <w:r>
        <w:rPr>
          <w:rFonts w:hint="eastAsia" w:ascii="仿宋_GB2312" w:eastAsia="仿宋_GB2312" w:hAnsiTheme="minorHAnsi" w:cstheme="minorBidi"/>
          <w:kern w:val="2"/>
          <w:sz w:val="32"/>
          <w:szCs w:val="32"/>
          <w:lang w:val="en-US" w:eastAsia="zh-CN" w:bidi="ar-SA"/>
        </w:rPr>
        <w:t>用，保护延续城市历史文脉，加快实现“四个出新出彩”，提升街区人居环境和公共空间品质，提升公共文化服务水平，促进优秀传统文化和整体保护和活态传承，推动高质量发展和创造高品质生活相得益彰，对新河浦历史文化街区历史建筑、传统风貌建筑、传统风貌建筑线索进行保护修缮和活化利用。</w:t>
      </w:r>
    </w:p>
    <w:p w14:paraId="0AB472B3">
      <w:pPr>
        <w:pStyle w:val="8"/>
        <w:rPr>
          <w:rFonts w:ascii="黑体" w:hAnsi="黑体" w:eastAsia="黑体" w:cs="黑体"/>
          <w:color w:val="auto"/>
          <w:sz w:val="32"/>
          <w:szCs w:val="32"/>
        </w:rPr>
      </w:pPr>
      <w:r>
        <w:rPr>
          <w:rFonts w:hint="eastAsia" w:ascii="黑体" w:hAnsi="黑体" w:eastAsia="黑体" w:cs="黑体"/>
          <w:color w:val="auto"/>
          <w:sz w:val="32"/>
          <w:szCs w:val="32"/>
        </w:rPr>
        <w:t>二、设计任务</w:t>
      </w:r>
    </w:p>
    <w:p w14:paraId="5AD17739">
      <w:pPr>
        <w:shd w:val="clear" w:color="auto" w:fill="FFFFFF"/>
        <w:ind w:firstLine="640" w:firstLineChars="200"/>
        <w:rPr>
          <w:rStyle w:val="17"/>
          <w:rFonts w:ascii="Segoe UI" w:hAnsi="Segoe UI" w:eastAsia="Segoe UI" w:cs="Segoe UI"/>
          <w:bCs/>
          <w:kern w:val="0"/>
          <w:sz w:val="32"/>
          <w:szCs w:val="32"/>
          <w:shd w:val="clear" w:color="auto" w:fill="FFFFFF"/>
          <w:lang w:bidi="ar"/>
        </w:rPr>
      </w:pPr>
      <w:r>
        <w:rPr>
          <w:rStyle w:val="17"/>
          <w:rFonts w:hint="eastAsia" w:ascii="Segoe UI" w:hAnsi="Segoe UI" w:eastAsia="Segoe UI" w:cs="Segoe UI"/>
          <w:bCs/>
          <w:kern w:val="0"/>
          <w:sz w:val="32"/>
          <w:szCs w:val="32"/>
          <w:shd w:val="clear" w:color="auto" w:fill="FFFFFF"/>
          <w:lang w:bidi="ar"/>
        </w:rPr>
        <w:t>1、设计范围</w:t>
      </w:r>
    </w:p>
    <w:p w14:paraId="1BED6622">
      <w:pPr>
        <w:adjustRightInd w:val="0"/>
        <w:spacing w:line="360" w:lineRule="auto"/>
        <w:ind w:firstLine="640" w:firstLineChars="200"/>
        <w:jc w:val="both"/>
        <w:rPr>
          <w:rFonts w:ascii="仿宋_GB2312" w:eastAsia="仿宋_GB2312"/>
          <w:sz w:val="32"/>
          <w:szCs w:val="32"/>
        </w:rPr>
      </w:pPr>
      <w:r>
        <w:rPr>
          <w:rFonts w:hint="eastAsia" w:ascii="仿宋_GB2312" w:eastAsia="仿宋_GB2312"/>
          <w:sz w:val="32"/>
          <w:szCs w:val="32"/>
        </w:rPr>
        <w:t>项目范围以新河浦历史文化街区范围为</w:t>
      </w:r>
      <w:r>
        <w:rPr>
          <w:rFonts w:hint="eastAsia" w:ascii="仿宋_GB2312" w:eastAsia="仿宋_GB2312"/>
          <w:sz w:val="32"/>
          <w:szCs w:val="32"/>
          <w:lang w:val="en-US" w:eastAsia="zh-CN"/>
        </w:rPr>
        <w:t>核心</w:t>
      </w:r>
      <w:r>
        <w:rPr>
          <w:rFonts w:hint="eastAsia" w:ascii="仿宋_GB2312" w:eastAsia="仿宋_GB2312"/>
          <w:sz w:val="32"/>
          <w:szCs w:val="32"/>
        </w:rPr>
        <w:t>，统筹考虑街区及周边环境的协调性，划定如下范围</w:t>
      </w:r>
      <w:r>
        <w:rPr>
          <w:rFonts w:hint="eastAsia" w:ascii="仿宋_GB2312" w:eastAsia="仿宋_GB2312"/>
          <w:sz w:val="32"/>
          <w:szCs w:val="32"/>
          <w:lang w:eastAsia="zh-CN"/>
        </w:rPr>
        <w:t>：</w:t>
      </w:r>
      <w:r>
        <w:rPr>
          <w:rFonts w:hint="eastAsia" w:ascii="仿宋_GB2312" w:eastAsia="仿宋_GB2312"/>
          <w:sz w:val="32"/>
          <w:szCs w:val="32"/>
        </w:rPr>
        <w:t>东至达道路、南至沿江东路、西至东濠涌高架、北至中山路，总面积168公顷，其中核心范围为</w:t>
      </w:r>
      <w:bookmarkStart w:id="0" w:name="_Hlk173483049"/>
      <w:r>
        <w:rPr>
          <w:rFonts w:hint="eastAsia" w:ascii="仿宋_GB2312" w:eastAsia="仿宋_GB2312"/>
          <w:sz w:val="32"/>
          <w:szCs w:val="32"/>
        </w:rPr>
        <w:t>新河浦历史文化街区</w:t>
      </w:r>
      <w:bookmarkEnd w:id="0"/>
      <w:r>
        <w:rPr>
          <w:rFonts w:hint="eastAsia" w:ascii="仿宋_GB2312" w:eastAsia="仿宋_GB2312"/>
          <w:sz w:val="32"/>
          <w:szCs w:val="32"/>
        </w:rPr>
        <w:t>，</w:t>
      </w:r>
      <w:r>
        <w:rPr>
          <w:rFonts w:ascii="仿宋_GB2312" w:eastAsia="仿宋_GB2312"/>
          <w:sz w:val="32"/>
          <w:szCs w:val="32"/>
        </w:rPr>
        <w:t>保护范围62.91公顷,核心保护范围面积为47.28公顷</w:t>
      </w:r>
      <w:r>
        <w:rPr>
          <w:rFonts w:hint="eastAsia" w:ascii="仿宋_GB2312" w:eastAsia="仿宋_GB2312"/>
          <w:sz w:val="32"/>
          <w:szCs w:val="32"/>
        </w:rPr>
        <w:t>。</w:t>
      </w:r>
    </w:p>
    <w:p w14:paraId="1BDD0EF4">
      <w:pPr>
        <w:adjustRightInd w:val="0"/>
        <w:spacing w:line="360" w:lineRule="auto"/>
        <w:jc w:val="center"/>
        <w:rPr>
          <w:rFonts w:ascii="仿宋_GB2312" w:eastAsia="仿宋_GB2312"/>
          <w:sz w:val="32"/>
          <w:szCs w:val="32"/>
        </w:rPr>
      </w:pPr>
      <w:r>
        <w:rPr>
          <w:rFonts w:ascii="仿宋_GB2312" w:eastAsia="仿宋_GB2312"/>
          <w:sz w:val="32"/>
          <w:szCs w:val="32"/>
        </w:rPr>
        <w:drawing>
          <wp:inline distT="0" distB="0" distL="0" distR="0">
            <wp:extent cx="4823460" cy="2656840"/>
            <wp:effectExtent l="0" t="0" r="1524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4823460" cy="2656840"/>
                    </a:xfrm>
                    <a:prstGeom prst="rect">
                      <a:avLst/>
                    </a:prstGeom>
                  </pic:spPr>
                </pic:pic>
              </a:graphicData>
            </a:graphic>
          </wp:inline>
        </w:drawing>
      </w:r>
    </w:p>
    <w:p w14:paraId="41B806DA">
      <w:pPr>
        <w:shd w:val="clear" w:color="auto" w:fill="FFFFFF"/>
        <w:ind w:firstLine="643" w:firstLineChars="200"/>
        <w:rPr>
          <w:sz w:val="32"/>
          <w:szCs w:val="32"/>
        </w:rPr>
      </w:pPr>
      <w:r>
        <w:rPr>
          <w:rFonts w:hint="eastAsia" w:ascii="仿宋" w:hAnsi="仿宋" w:eastAsia="仿宋" w:cs="仿宋"/>
          <w:b/>
          <w:bCs/>
          <w:sz w:val="32"/>
          <w:szCs w:val="32"/>
        </w:rPr>
        <w:t>2、</w:t>
      </w:r>
      <w:r>
        <w:rPr>
          <w:rStyle w:val="17"/>
          <w:rFonts w:ascii="Segoe UI" w:hAnsi="Segoe UI" w:eastAsia="Segoe UI" w:cs="Segoe UI"/>
          <w:bCs/>
          <w:kern w:val="0"/>
          <w:sz w:val="32"/>
          <w:szCs w:val="32"/>
          <w:shd w:val="clear" w:color="auto" w:fill="FFFFFF"/>
          <w:lang w:bidi="ar"/>
        </w:rPr>
        <w:t>设计依据与原则</w:t>
      </w:r>
    </w:p>
    <w:p w14:paraId="41CEA7A6">
      <w:pPr>
        <w:numPr>
          <w:ilvl w:val="255"/>
          <w:numId w:val="0"/>
        </w:numPr>
        <w:spacing w:line="360" w:lineRule="auto"/>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1）相关法律法规和政策文件</w:t>
      </w:r>
    </w:p>
    <w:p w14:paraId="5CDBE915">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《中华人民共和国城乡规划法》（2019年修正）</w:t>
      </w:r>
    </w:p>
    <w:p w14:paraId="52473B3E">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《中华人民共和国文物保护法》（2017年修正）</w:t>
      </w:r>
    </w:p>
    <w:p w14:paraId="14B42656">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《中华人民共和国非物质文化遗产法》（2011年）</w:t>
      </w:r>
    </w:p>
    <w:p w14:paraId="4A0DF0F1">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《历史文化名城名镇名村保护条例》（2017年修订）</w:t>
      </w:r>
    </w:p>
    <w:p w14:paraId="4005206A">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《中华人民共和国文物保护法实施条例》（2003年）</w:t>
      </w:r>
    </w:p>
    <w:p w14:paraId="0A9D5DE2">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《政府投资条例》（2019年）</w:t>
      </w:r>
    </w:p>
    <w:p w14:paraId="17CB8C7E">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《广东省历史文化名城名镇名村保护条例》（2017年修正）</w:t>
      </w:r>
    </w:p>
    <w:p w14:paraId="430202F6">
      <w:pPr>
        <w:spacing w:line="360" w:lineRule="auto"/>
        <w:rPr>
          <w:rFonts w:ascii="仿宋_GB2312" w:hAnsi="仿宋" w:eastAsia="仿宋_GB2312" w:cs="仿宋"/>
          <w:bCs/>
          <w:sz w:val="32"/>
          <w:szCs w:val="32"/>
        </w:rPr>
      </w:pPr>
      <w:r>
        <w:rPr>
          <w:rFonts w:hint="eastAsia" w:ascii="仿宋_GB2312" w:hAnsi="仿宋" w:eastAsia="仿宋_GB2312" w:cs="仿宋"/>
          <w:bCs/>
          <w:sz w:val="32"/>
          <w:szCs w:val="32"/>
        </w:rPr>
        <w:t>《广州市历史文化名城保护条例》（2023年修订）</w:t>
      </w:r>
    </w:p>
    <w:p w14:paraId="163983AE">
      <w:pPr>
        <w:spacing w:line="360" w:lineRule="auto"/>
        <w:ind w:left="141" w:hanging="140" w:hangingChars="44"/>
        <w:rPr>
          <w:rFonts w:ascii="仿宋_GB2312" w:hAnsi="仿宋" w:eastAsia="仿宋_GB2312" w:cs="仿宋"/>
          <w:bCs/>
          <w:sz w:val="32"/>
          <w:szCs w:val="32"/>
        </w:rPr>
      </w:pPr>
      <w:r>
        <w:rPr>
          <w:rFonts w:hint="eastAsia" w:ascii="仿宋_GB2312" w:hAnsi="仿宋" w:eastAsia="仿宋_GB2312" w:cs="仿宋"/>
          <w:bCs/>
          <w:sz w:val="32"/>
          <w:szCs w:val="32"/>
        </w:rPr>
        <w:t>《城乡历史文化保护利用项目规范（GB 55035-2023）》（2023年）</w:t>
      </w:r>
    </w:p>
    <w:p w14:paraId="5DDEB977">
      <w:pPr>
        <w:spacing w:line="360" w:lineRule="auto"/>
        <w:ind w:left="141" w:hanging="140" w:hangingChars="44"/>
        <w:rPr>
          <w:rFonts w:ascii="仿宋_GB2312" w:hAnsi="仿宋" w:eastAsia="仿宋_GB2312" w:cs="仿宋"/>
          <w:bCs/>
          <w:sz w:val="32"/>
          <w:szCs w:val="32"/>
        </w:rPr>
      </w:pPr>
      <w:r>
        <w:rPr>
          <w:rFonts w:hint="eastAsia" w:ascii="仿宋_GB2312" w:hAnsi="仿宋" w:eastAsia="仿宋_GB2312" w:cs="仿宋"/>
          <w:bCs/>
          <w:sz w:val="32"/>
          <w:szCs w:val="32"/>
        </w:rPr>
        <w:t>《历史文化名城保护规划标准（GB</w:t>
      </w:r>
      <w:r>
        <w:rPr>
          <w:rFonts w:hint="eastAsia" w:ascii="微软雅黑" w:hAnsi="微软雅黑" w:eastAsia="微软雅黑" w:cs="微软雅黑"/>
          <w:bCs/>
          <w:sz w:val="32"/>
          <w:szCs w:val="32"/>
        </w:rPr>
        <w:t>∕</w:t>
      </w:r>
      <w:r>
        <w:rPr>
          <w:rFonts w:hint="eastAsia" w:ascii="仿宋_GB2312" w:hAnsi="仿宋" w:eastAsia="仿宋_GB2312" w:cs="仿宋"/>
          <w:bCs/>
          <w:sz w:val="32"/>
          <w:szCs w:val="32"/>
        </w:rPr>
        <w:t>T 50357-2018）》（2018年）</w:t>
      </w:r>
    </w:p>
    <w:p w14:paraId="04A9D285">
      <w:pPr>
        <w:spacing w:line="360" w:lineRule="auto"/>
        <w:ind w:left="141" w:hanging="140" w:hangingChars="44"/>
        <w:rPr>
          <w:rFonts w:ascii="仿宋_GB2312" w:hAnsi="仿宋" w:eastAsia="仿宋_GB2312" w:cs="仿宋"/>
          <w:bCs/>
          <w:sz w:val="32"/>
          <w:szCs w:val="32"/>
        </w:rPr>
      </w:pPr>
      <w:r>
        <w:rPr>
          <w:rFonts w:hint="eastAsia" w:ascii="仿宋_GB2312" w:hAnsi="仿宋" w:eastAsia="仿宋_GB2312" w:cs="仿宋"/>
          <w:bCs/>
          <w:sz w:val="32"/>
          <w:szCs w:val="32"/>
        </w:rPr>
        <w:t>《广东省历史建筑和传统风貌建筑保护利用工作指引(试行)》（2021）</w:t>
      </w:r>
    </w:p>
    <w:p w14:paraId="06B381E4">
      <w:pPr>
        <w:spacing w:line="360" w:lineRule="auto"/>
        <w:ind w:left="141" w:hanging="140" w:hangingChars="44"/>
        <w:rPr>
          <w:rFonts w:ascii="仿宋_GB2312" w:hAnsi="仿宋" w:eastAsia="仿宋_GB2312" w:cs="仿宋"/>
          <w:bCs/>
          <w:sz w:val="32"/>
          <w:szCs w:val="32"/>
        </w:rPr>
      </w:pPr>
      <w:r>
        <w:rPr>
          <w:rFonts w:hint="eastAsia" w:ascii="仿宋_GB2312" w:hAnsi="仿宋" w:eastAsia="仿宋_GB2312" w:cs="仿宋"/>
          <w:bCs/>
          <w:sz w:val="32"/>
          <w:szCs w:val="32"/>
        </w:rPr>
        <w:t>《广州市历史建筑修缮图则》（2018）</w:t>
      </w:r>
    </w:p>
    <w:p w14:paraId="2D073304">
      <w:pPr>
        <w:spacing w:line="360" w:lineRule="auto"/>
        <w:ind w:left="141" w:hanging="140" w:hangingChars="44"/>
        <w:rPr>
          <w:rFonts w:ascii="仿宋_GB2312" w:hAnsi="仿宋" w:eastAsia="仿宋_GB2312" w:cs="仿宋"/>
          <w:bCs/>
          <w:sz w:val="32"/>
          <w:szCs w:val="32"/>
        </w:rPr>
      </w:pPr>
      <w:r>
        <w:rPr>
          <w:rFonts w:hint="eastAsia" w:ascii="仿宋_GB2312" w:hAnsi="仿宋" w:eastAsia="仿宋_GB2312" w:cs="仿宋"/>
          <w:bCs/>
          <w:sz w:val="32"/>
          <w:szCs w:val="32"/>
        </w:rPr>
        <w:t>《广州市传统风貌建筑修缮技术导则（试行）》（2024）</w:t>
      </w:r>
    </w:p>
    <w:p w14:paraId="6418950C">
      <w:pPr>
        <w:numPr>
          <w:ilvl w:val="255"/>
          <w:numId w:val="0"/>
        </w:numPr>
        <w:spacing w:line="360" w:lineRule="auto"/>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2）</w:t>
      </w:r>
      <w:r>
        <w:rPr>
          <w:rFonts w:hint="eastAsia" w:ascii="仿宋_GB2312" w:hAnsi="仿宋" w:eastAsia="仿宋_GB2312" w:cs="仿宋"/>
          <w:b/>
          <w:sz w:val="32"/>
          <w:szCs w:val="32"/>
          <w:shd w:val="clear" w:color="auto" w:fill="FFFFFF"/>
        </w:rPr>
        <w:t>保护与发展的基本原则</w:t>
      </w:r>
    </w:p>
    <w:p w14:paraId="63A08DF8">
      <w:pPr>
        <w:pStyle w:val="41"/>
        <w:spacing w:line="360" w:lineRule="auto"/>
        <w:ind w:firstLine="640"/>
        <w:rPr>
          <w:rFonts w:ascii="仿宋_GB2312" w:hAnsi="仿宋" w:eastAsia="仿宋_GB2312" w:cs="仿宋"/>
          <w:bCs/>
          <w:sz w:val="32"/>
          <w:szCs w:val="32"/>
        </w:rPr>
      </w:pPr>
      <w:r>
        <w:rPr>
          <w:rFonts w:hint="eastAsia" w:ascii="仿宋_GB2312" w:hAnsi="仿宋" w:eastAsia="仿宋_GB2312" w:cs="仿宋"/>
          <w:bCs/>
          <w:sz w:val="32"/>
          <w:szCs w:val="32"/>
        </w:rPr>
        <w:t>本着对历史负责、对人民负责的精神，坚持保护第一、以用促保的原则，真实保护历史文化街区内的各类历史遗存原物，保留保护历史信息的真实载体，延续历史文脉。坚持整体性、系统性保护历史建筑物和构筑物以及其他历史环境要素，完整的保护和修复历史文化街区的传统风貌。</w:t>
      </w:r>
    </w:p>
    <w:p w14:paraId="127BD4C0">
      <w:pPr>
        <w:numPr>
          <w:ilvl w:val="255"/>
          <w:numId w:val="0"/>
        </w:numPr>
        <w:spacing w:line="360" w:lineRule="auto"/>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3）尊重历史、保持特色的原则</w:t>
      </w:r>
    </w:p>
    <w:p w14:paraId="467D154E">
      <w:pPr>
        <w:pStyle w:val="41"/>
        <w:spacing w:line="360" w:lineRule="auto"/>
        <w:ind w:firstLine="640"/>
        <w:rPr>
          <w:rFonts w:ascii="仿宋_GB2312" w:hAnsi="仿宋" w:eastAsia="仿宋_GB2312" w:cs="仿宋"/>
          <w:bCs/>
          <w:sz w:val="32"/>
          <w:szCs w:val="32"/>
        </w:rPr>
      </w:pPr>
      <w:r>
        <w:rPr>
          <w:rFonts w:hint="eastAsia" w:ascii="仿宋_GB2312" w:hAnsi="仿宋" w:eastAsia="仿宋_GB2312" w:cs="仿宋"/>
          <w:bCs/>
          <w:sz w:val="32"/>
          <w:szCs w:val="32"/>
        </w:rPr>
        <w:t>尊重街区历史风貌肌理、特色，延续街区传统生活，积极改善公共服务设施与基础设施，改善人居环境品质，改善民生，保持街区生活场景和烟火气，突出新河浦历史特色，展现历史场景和历史故事，融入当代居民需求，综合提升街区的综合活力。</w:t>
      </w:r>
    </w:p>
    <w:p w14:paraId="6CDE9FED">
      <w:pPr>
        <w:pStyle w:val="42"/>
        <w:spacing w:line="560" w:lineRule="exact"/>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3.设计理念及目标</w:t>
      </w:r>
    </w:p>
    <w:p w14:paraId="060BB868">
      <w:pPr>
        <w:adjustRightInd w:val="0"/>
        <w:spacing w:line="360" w:lineRule="auto"/>
        <w:ind w:firstLine="640" w:firstLineChars="200"/>
        <w:jc w:val="both"/>
        <w:rPr>
          <w:rFonts w:ascii="仿宋" w:hAnsi="仿宋" w:eastAsia="仿宋" w:cs="仿宋"/>
          <w:bCs/>
          <w:sz w:val="32"/>
          <w:szCs w:val="32"/>
        </w:rPr>
      </w:pPr>
      <w:r>
        <w:rPr>
          <w:rFonts w:hint="eastAsia" w:ascii="仿宋" w:hAnsi="仿宋" w:eastAsia="仿宋" w:cs="仿宋"/>
          <w:bCs/>
          <w:sz w:val="32"/>
          <w:szCs w:val="32"/>
        </w:rPr>
        <w:t>遵照“文化保护传承利用工程实施方案”工作要求和《历史文化名城和街区等保护提升项目建设指南（试行）》</w:t>
      </w:r>
      <w:r>
        <w:rPr>
          <w:rFonts w:hint="eastAsia" w:ascii="仿宋" w:hAnsi="仿宋" w:eastAsia="仿宋" w:cs="仿宋"/>
          <w:bCs/>
          <w:sz w:val="32"/>
          <w:szCs w:val="32"/>
          <w:lang w:val="en-US" w:eastAsia="zh-CN"/>
        </w:rPr>
        <w:t>、</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新河浦历史文化街区保护利用规划</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等</w:t>
      </w:r>
      <w:r>
        <w:rPr>
          <w:rFonts w:hint="eastAsia" w:ascii="仿宋" w:hAnsi="仿宋" w:eastAsia="仿宋" w:cs="仿宋"/>
          <w:bCs/>
          <w:sz w:val="32"/>
          <w:szCs w:val="32"/>
        </w:rPr>
        <w:t>文件要求，</w:t>
      </w:r>
      <w:r>
        <w:rPr>
          <w:rFonts w:hint="eastAsia" w:ascii="仿宋" w:hAnsi="仿宋" w:eastAsia="仿宋" w:cs="仿宋"/>
          <w:bCs/>
          <w:sz w:val="32"/>
          <w:szCs w:val="32"/>
        </w:rPr>
        <w:t>开展历史文化街区保护提升改造和街区精细化设计,</w:t>
      </w:r>
      <w:r>
        <w:rPr>
          <w:rFonts w:hint="eastAsia" w:ascii="仿宋" w:hAnsi="仿宋" w:eastAsia="仿宋" w:cs="仿宋"/>
          <w:bCs/>
          <w:sz w:val="32"/>
          <w:szCs w:val="32"/>
          <w:lang w:val="en-US" w:eastAsia="zh-CN"/>
        </w:rPr>
        <w:t>针对区登记文物保护单位进行提级修缮</w:t>
      </w:r>
      <w:r>
        <w:rPr>
          <w:rFonts w:hint="eastAsia" w:ascii="仿宋" w:hAnsi="仿宋" w:eastAsia="仿宋" w:cs="仿宋"/>
          <w:bCs/>
          <w:sz w:val="32"/>
          <w:szCs w:val="32"/>
          <w:lang w:val="en-US" w:eastAsia="zh-CN"/>
        </w:rPr>
        <w:t>、</w:t>
      </w:r>
      <w:r>
        <w:rPr>
          <w:rFonts w:hint="eastAsia" w:ascii="仿宋" w:hAnsi="仿宋" w:eastAsia="仿宋" w:cs="仿宋"/>
          <w:bCs/>
          <w:sz w:val="32"/>
          <w:szCs w:val="32"/>
        </w:rPr>
        <w:t>通过历史建筑等保护对象修缮、历史风貌特色建筑立面改造、市政设施系统化改造等，完善街区立体空间综合要素，</w:t>
      </w:r>
      <w:r>
        <w:rPr>
          <w:rFonts w:hint="eastAsia" w:ascii="仿宋_GB2312" w:eastAsia="仿宋_GB2312"/>
          <w:sz w:val="32"/>
          <w:szCs w:val="32"/>
        </w:rPr>
        <w:t>推进街区整体保护提升，</w:t>
      </w:r>
      <w:r>
        <w:rPr>
          <w:rFonts w:hint="eastAsia" w:ascii="仿宋" w:hAnsi="仿宋" w:eastAsia="仿宋" w:cs="仿宋"/>
          <w:bCs/>
          <w:sz w:val="32"/>
          <w:szCs w:val="32"/>
        </w:rPr>
        <w:t>打造品质精致街区，提升“百年新河浦”传统历史风貌协调。</w:t>
      </w:r>
    </w:p>
    <w:p w14:paraId="42A980E4">
      <w:pPr>
        <w:adjustRightInd w:val="0"/>
        <w:spacing w:line="360" w:lineRule="auto"/>
        <w:ind w:firstLine="643" w:firstLineChars="200"/>
        <w:jc w:val="both"/>
        <w:rPr>
          <w:rFonts w:ascii="仿宋" w:hAnsi="仿宋" w:eastAsia="仿宋" w:cs="仿宋"/>
          <w:b/>
          <w:sz w:val="32"/>
          <w:szCs w:val="32"/>
        </w:rPr>
      </w:pPr>
      <w:r>
        <w:rPr>
          <w:rFonts w:ascii="仿宋" w:hAnsi="仿宋" w:eastAsia="仿宋" w:cs="仿宋"/>
          <w:b/>
          <w:sz w:val="32"/>
          <w:szCs w:val="32"/>
        </w:rPr>
        <w:t>4.</w:t>
      </w:r>
      <w:r>
        <w:rPr>
          <w:rFonts w:hint="eastAsia" w:ascii="仿宋" w:hAnsi="仿宋" w:eastAsia="仿宋" w:cs="仿宋"/>
          <w:b/>
          <w:sz w:val="32"/>
          <w:szCs w:val="32"/>
        </w:rPr>
        <w:t>设计内容</w:t>
      </w:r>
    </w:p>
    <w:p w14:paraId="350E6557">
      <w:pPr>
        <w:adjustRightInd w:val="0"/>
        <w:spacing w:line="560" w:lineRule="exact"/>
        <w:ind w:firstLine="643" w:firstLineChars="200"/>
        <w:jc w:val="both"/>
        <w:rPr>
          <w:rFonts w:ascii="仿宋_GB2312" w:eastAsia="仿宋_GB2312"/>
          <w:sz w:val="32"/>
          <w:szCs w:val="32"/>
        </w:rPr>
      </w:pPr>
      <w:r>
        <w:rPr>
          <w:rFonts w:hint="eastAsia" w:ascii="仿宋" w:hAnsi="仿宋" w:eastAsia="仿宋" w:cs="仿宋"/>
          <w:b/>
          <w:bCs/>
          <w:sz w:val="32"/>
          <w:szCs w:val="32"/>
        </w:rPr>
        <w:t>1）建筑保护修缮和活化利用。</w:t>
      </w:r>
      <w:r>
        <w:rPr>
          <w:rFonts w:hint="eastAsia" w:ascii="仿宋_GB2312" w:eastAsia="仿宋_GB2312"/>
          <w:sz w:val="32"/>
          <w:szCs w:val="32"/>
        </w:rPr>
        <w:t>根</w:t>
      </w:r>
      <w:r>
        <w:rPr>
          <w:rFonts w:hint="eastAsia" w:ascii="仿宋" w:hAnsi="仿宋" w:eastAsia="仿宋" w:cs="仿宋"/>
          <w:bCs/>
          <w:sz w:val="32"/>
          <w:szCs w:val="32"/>
        </w:rPr>
        <w:t>据实施方案对历史建筑</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12栋</w:t>
      </w:r>
      <w:r>
        <w:rPr>
          <w:rFonts w:hint="eastAsia" w:ascii="仿宋" w:hAnsi="仿宋" w:eastAsia="仿宋" w:cs="仿宋"/>
          <w:bCs/>
          <w:sz w:val="32"/>
          <w:szCs w:val="32"/>
          <w:lang w:eastAsia="zh-CN"/>
        </w:rPr>
        <w:t>）</w:t>
      </w:r>
      <w:r>
        <w:rPr>
          <w:rFonts w:hint="eastAsia" w:ascii="仿宋" w:hAnsi="仿宋" w:eastAsia="仿宋" w:cs="仿宋"/>
          <w:bCs/>
          <w:sz w:val="32"/>
          <w:szCs w:val="32"/>
        </w:rPr>
        <w:t>、传统风貌建筑</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12栋</w:t>
      </w:r>
      <w:r>
        <w:rPr>
          <w:rFonts w:hint="eastAsia" w:ascii="仿宋" w:hAnsi="仿宋" w:eastAsia="仿宋" w:cs="仿宋"/>
          <w:bCs/>
          <w:sz w:val="32"/>
          <w:szCs w:val="32"/>
          <w:lang w:eastAsia="zh-CN"/>
        </w:rPr>
        <w:t>）</w:t>
      </w:r>
      <w:r>
        <w:rPr>
          <w:rFonts w:hint="eastAsia" w:ascii="仿宋" w:hAnsi="仿宋" w:eastAsia="仿宋" w:cs="仿宋"/>
          <w:bCs/>
          <w:sz w:val="32"/>
          <w:szCs w:val="32"/>
        </w:rPr>
        <w:t>、传统风貌建筑线索等保护对象和区域内公房建筑</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19栋</w:t>
      </w:r>
      <w:r>
        <w:rPr>
          <w:rFonts w:hint="eastAsia" w:ascii="仿宋" w:hAnsi="仿宋" w:eastAsia="仿宋" w:cs="仿宋"/>
          <w:bCs/>
          <w:sz w:val="32"/>
          <w:szCs w:val="32"/>
          <w:lang w:eastAsia="zh-CN"/>
        </w:rPr>
        <w:t>）</w:t>
      </w:r>
      <w:r>
        <w:rPr>
          <w:rFonts w:hint="eastAsia" w:ascii="仿宋" w:hAnsi="仿宋" w:eastAsia="仿宋" w:cs="仿宋"/>
          <w:bCs/>
          <w:sz w:val="32"/>
          <w:szCs w:val="32"/>
        </w:rPr>
        <w:t>进行修缮、改造和必要的结构加固设计</w:t>
      </w:r>
      <w:r>
        <w:rPr>
          <w:rFonts w:hint="eastAsia" w:ascii="仿宋" w:hAnsi="仿宋" w:eastAsia="仿宋" w:cs="仿宋"/>
          <w:bCs/>
          <w:sz w:val="32"/>
          <w:szCs w:val="32"/>
          <w:lang w:eastAsia="zh-CN"/>
        </w:rPr>
        <w:t>，</w:t>
      </w:r>
      <w:r>
        <w:rPr>
          <w:rFonts w:hint="eastAsia" w:ascii="仿宋" w:hAnsi="仿宋" w:eastAsia="仿宋" w:cs="仿宋"/>
          <w:bCs/>
          <w:sz w:val="32"/>
          <w:szCs w:val="32"/>
        </w:rPr>
        <w:t>保障建筑结构安全，</w:t>
      </w:r>
      <w:r>
        <w:rPr>
          <w:rFonts w:hint="eastAsia" w:ascii="仿宋" w:hAnsi="仿宋" w:eastAsia="仿宋" w:cs="仿宋"/>
          <w:bCs/>
          <w:sz w:val="32"/>
          <w:szCs w:val="32"/>
          <w:lang w:val="en-US" w:eastAsia="zh-CN"/>
        </w:rPr>
        <w:t>以及机电设备改造</w:t>
      </w:r>
      <w:r>
        <w:rPr>
          <w:rFonts w:hint="eastAsia" w:ascii="仿宋" w:hAnsi="仿宋" w:eastAsia="仿宋" w:cs="仿宋"/>
          <w:bCs/>
          <w:sz w:val="32"/>
          <w:szCs w:val="32"/>
        </w:rPr>
        <w:t>，</w:t>
      </w:r>
      <w:r>
        <w:rPr>
          <w:rFonts w:hint="eastAsia" w:ascii="仿宋_GB2312" w:eastAsia="仿宋_GB2312"/>
          <w:sz w:val="32"/>
          <w:szCs w:val="32"/>
        </w:rPr>
        <w:t>提升建筑使用性能</w:t>
      </w:r>
      <w:r>
        <w:rPr>
          <w:rFonts w:hint="eastAsia" w:ascii="仿宋_GB2312" w:eastAsia="仿宋_GB2312"/>
          <w:color w:val="FF0000"/>
          <w:sz w:val="32"/>
          <w:szCs w:val="32"/>
        </w:rPr>
        <w:t>。</w:t>
      </w:r>
    </w:p>
    <w:p w14:paraId="0BE7D73A">
      <w:pPr>
        <w:adjustRightInd w:val="0"/>
        <w:spacing w:line="560" w:lineRule="exact"/>
        <w:ind w:firstLine="643" w:firstLineChars="200"/>
        <w:jc w:val="both"/>
        <w:rPr>
          <w:rFonts w:hint="eastAsia" w:ascii="仿宋" w:hAnsi="仿宋" w:eastAsia="仿宋" w:cs="仿宋"/>
          <w:bCs/>
          <w:sz w:val="32"/>
          <w:szCs w:val="32"/>
        </w:rPr>
      </w:pPr>
      <w:r>
        <w:rPr>
          <w:rFonts w:hint="eastAsia" w:ascii="仿宋" w:hAnsi="仿宋" w:eastAsia="仿宋" w:cs="仿宋"/>
          <w:b/>
          <w:bCs/>
          <w:sz w:val="32"/>
          <w:szCs w:val="32"/>
        </w:rPr>
        <w:t>2）建筑立面、天面、围墙改造。</w:t>
      </w:r>
      <w:r>
        <w:rPr>
          <w:rFonts w:hint="eastAsia" w:ascii="仿宋" w:hAnsi="仿宋" w:eastAsia="仿宋" w:cs="仿宋"/>
          <w:bCs/>
          <w:sz w:val="32"/>
          <w:szCs w:val="32"/>
        </w:rPr>
        <w:t>根据实施方案对庙前</w:t>
      </w:r>
      <w:r>
        <w:rPr>
          <w:rFonts w:hint="eastAsia" w:ascii="仿宋" w:hAnsi="仿宋" w:eastAsia="仿宋" w:cs="仿宋"/>
          <w:bCs/>
          <w:sz w:val="32"/>
          <w:szCs w:val="32"/>
          <w:lang w:val="en-US" w:eastAsia="zh-CN"/>
        </w:rPr>
        <w:t>直</w:t>
      </w:r>
      <w:r>
        <w:rPr>
          <w:rFonts w:hint="eastAsia" w:ascii="仿宋" w:hAnsi="仿宋" w:eastAsia="仿宋" w:cs="仿宋"/>
          <w:bCs/>
          <w:sz w:val="32"/>
          <w:szCs w:val="32"/>
        </w:rPr>
        <w:t>街、新河浦路、龟岗大马路、启明</w:t>
      </w:r>
      <w:r>
        <w:rPr>
          <w:rFonts w:hint="eastAsia" w:ascii="仿宋" w:hAnsi="仿宋" w:eastAsia="仿宋" w:cs="仿宋"/>
          <w:bCs/>
          <w:sz w:val="32"/>
          <w:szCs w:val="32"/>
          <w:lang w:val="en-US" w:eastAsia="zh-CN"/>
        </w:rPr>
        <w:t>一</w:t>
      </w:r>
      <w:r>
        <w:rPr>
          <w:rFonts w:hint="eastAsia" w:ascii="仿宋" w:hAnsi="仿宋" w:eastAsia="仿宋" w:cs="仿宋"/>
          <w:bCs/>
          <w:sz w:val="32"/>
          <w:szCs w:val="32"/>
        </w:rPr>
        <w:t>二三马路、龟岗二三四马路、新河浦四横路等背街里巷</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合群一马路、塘罗涌街、署前路、培正新横路、江岭东、山河东街、山河大街五横巷、山河大街、东山大街、培正路等</w:t>
      </w:r>
      <w:r>
        <w:rPr>
          <w:rFonts w:hint="eastAsia" w:ascii="仿宋" w:hAnsi="仿宋" w:eastAsia="仿宋" w:cs="仿宋"/>
          <w:bCs/>
          <w:sz w:val="32"/>
          <w:szCs w:val="32"/>
          <w:lang w:eastAsia="zh-CN"/>
        </w:rPr>
        <w:t>）</w:t>
      </w:r>
      <w:r>
        <w:rPr>
          <w:rFonts w:hint="eastAsia" w:ascii="仿宋" w:hAnsi="仿宋" w:eastAsia="仿宋" w:cs="仿宋"/>
          <w:bCs/>
          <w:sz w:val="32"/>
          <w:szCs w:val="32"/>
        </w:rPr>
        <w:t>两侧建筑立面，和新河浦一二三四五横路的第五立面</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65处</w:t>
      </w:r>
      <w:r>
        <w:rPr>
          <w:rFonts w:hint="eastAsia" w:ascii="仿宋" w:hAnsi="仿宋" w:eastAsia="仿宋" w:cs="仿宋"/>
          <w:bCs/>
          <w:sz w:val="32"/>
          <w:szCs w:val="32"/>
          <w:lang w:eastAsia="zh-CN"/>
        </w:rPr>
        <w:t>）</w:t>
      </w:r>
      <w:r>
        <w:rPr>
          <w:rFonts w:hint="eastAsia" w:ascii="仿宋" w:hAnsi="仿宋" w:eastAsia="仿宋" w:cs="仿宋"/>
          <w:bCs/>
          <w:sz w:val="32"/>
          <w:szCs w:val="32"/>
        </w:rPr>
        <w:t>进行优化提升。对新河浦路、培正路沿线围墙</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约0.92公里</w:t>
      </w:r>
      <w:r>
        <w:rPr>
          <w:rFonts w:hint="eastAsia" w:ascii="仿宋" w:hAnsi="仿宋" w:eastAsia="仿宋" w:cs="仿宋"/>
          <w:bCs/>
          <w:sz w:val="32"/>
          <w:szCs w:val="32"/>
          <w:lang w:eastAsia="zh-CN"/>
        </w:rPr>
        <w:t>）</w:t>
      </w:r>
      <w:r>
        <w:rPr>
          <w:rFonts w:hint="eastAsia" w:ascii="仿宋" w:hAnsi="仿宋" w:eastAsia="仿宋" w:cs="仿宋"/>
          <w:bCs/>
          <w:sz w:val="32"/>
          <w:szCs w:val="32"/>
        </w:rPr>
        <w:t>进行微改提升。</w:t>
      </w:r>
    </w:p>
    <w:p w14:paraId="31E0CDCF">
      <w:pPr>
        <w:adjustRightInd w:val="0"/>
        <w:spacing w:line="560" w:lineRule="exact"/>
        <w:ind w:firstLine="643" w:firstLineChars="200"/>
        <w:jc w:val="both"/>
        <w:rPr>
          <w:rFonts w:ascii="仿宋_GB2312" w:eastAsia="仿宋_GB2312"/>
          <w:sz w:val="32"/>
          <w:szCs w:val="32"/>
        </w:rPr>
      </w:pPr>
      <w:r>
        <w:rPr>
          <w:rFonts w:hint="eastAsia" w:ascii="仿宋" w:hAnsi="仿宋" w:eastAsia="仿宋" w:cs="仿宋"/>
          <w:b/>
          <w:bCs/>
          <w:sz w:val="32"/>
          <w:szCs w:val="32"/>
        </w:rPr>
        <w:t>3）街巷空间环境和公共空间改造提升。</w:t>
      </w:r>
      <w:r>
        <w:rPr>
          <w:rFonts w:hint="eastAsia" w:ascii="仿宋_GB2312" w:eastAsia="仿宋_GB2312"/>
          <w:sz w:val="32"/>
          <w:szCs w:val="32"/>
        </w:rPr>
        <w:t>根据实施方案对龟岗二、三、四马路及南北通道，启明二、三马路街巷空间品质进行提升；对启明、新南、德安、新河浦、寺贝、培正社区街巷空间整治提升。对区域内口袋公园进行摸查，结合实际进行优化提升。</w:t>
      </w:r>
    </w:p>
    <w:p w14:paraId="7684D14A">
      <w:pPr>
        <w:adjustRightInd w:val="0"/>
        <w:spacing w:line="560" w:lineRule="exact"/>
        <w:ind w:firstLine="643" w:firstLineChars="200"/>
        <w:jc w:val="both"/>
        <w:rPr>
          <w:rFonts w:ascii="仿宋" w:hAnsi="仿宋" w:eastAsia="仿宋" w:cs="仿宋"/>
          <w:sz w:val="32"/>
          <w:szCs w:val="32"/>
        </w:rPr>
      </w:pPr>
      <w:r>
        <w:rPr>
          <w:rFonts w:hint="eastAsia" w:ascii="仿宋" w:hAnsi="仿宋" w:eastAsia="仿宋" w:cs="仿宋"/>
          <w:b/>
          <w:bCs/>
          <w:sz w:val="32"/>
          <w:szCs w:val="32"/>
        </w:rPr>
        <w:t>4）市政基础设施提升。</w:t>
      </w:r>
      <w:r>
        <w:rPr>
          <w:rFonts w:hint="eastAsia" w:ascii="仿宋" w:hAnsi="仿宋" w:eastAsia="仿宋" w:cs="仿宋"/>
          <w:sz w:val="32"/>
          <w:szCs w:val="32"/>
        </w:rPr>
        <w:t>根据实施方案对区域内三线整治、台架下地、排水单元建设、供水、消防、环卫等市政基础设施进行改造提升。</w:t>
      </w:r>
    </w:p>
    <w:p w14:paraId="695E1550">
      <w:pPr>
        <w:pStyle w:val="42"/>
        <w:spacing w:line="560" w:lineRule="exact"/>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lang w:val="en-US" w:eastAsia="zh-CN"/>
        </w:rPr>
        <w:t>5</w:t>
      </w:r>
      <w:r>
        <w:rPr>
          <w:rFonts w:hint="eastAsia" w:ascii="仿宋" w:hAnsi="仿宋" w:eastAsia="仿宋" w:cs="仿宋"/>
          <w:b/>
          <w:bCs/>
          <w:color w:val="auto"/>
          <w:sz w:val="32"/>
          <w:szCs w:val="32"/>
        </w:rPr>
        <w:t>.成果要求</w:t>
      </w:r>
    </w:p>
    <w:p w14:paraId="7ADA4B6E">
      <w:pPr>
        <w:pStyle w:val="42"/>
        <w:spacing w:line="560" w:lineRule="exact"/>
        <w:ind w:firstLine="643" w:firstLineChars="200"/>
        <w:rPr>
          <w:rFonts w:hint="eastAsia" w:ascii="仿宋_GB2312" w:eastAsia="仿宋_GB2312" w:hAnsiTheme="minorHAnsi" w:cstheme="minorBidi"/>
          <w:color w:val="auto"/>
          <w:kern w:val="2"/>
          <w:sz w:val="32"/>
          <w:szCs w:val="32"/>
          <w:highlight w:val="none"/>
          <w:lang w:val="en-US" w:eastAsia="zh-CN" w:bidi="ar-SA"/>
        </w:rPr>
      </w:pPr>
      <w:r>
        <w:rPr>
          <w:rFonts w:hint="eastAsia" w:ascii="仿宋" w:hAnsi="仿宋" w:eastAsia="仿宋" w:cs="仿宋"/>
          <w:b/>
          <w:bCs/>
          <w:color w:val="auto"/>
          <w:sz w:val="32"/>
          <w:szCs w:val="32"/>
        </w:rPr>
        <w:t>1）</w:t>
      </w:r>
      <w:r>
        <w:rPr>
          <w:rFonts w:hint="eastAsia" w:ascii="仿宋" w:hAnsi="仿宋" w:eastAsia="仿宋" w:cs="仿宋"/>
          <w:b/>
          <w:bCs/>
          <w:color w:val="auto"/>
          <w:sz w:val="32"/>
          <w:szCs w:val="32"/>
          <w:lang w:val="en-US" w:eastAsia="zh-CN"/>
        </w:rPr>
        <w:t>施工图设计。</w:t>
      </w:r>
      <w:r>
        <w:rPr>
          <w:rFonts w:hint="eastAsia" w:ascii="仿宋_GB2312" w:eastAsia="仿宋_GB2312" w:hAnsiTheme="minorHAnsi" w:cstheme="minorBidi"/>
          <w:color w:val="auto"/>
          <w:kern w:val="2"/>
          <w:sz w:val="32"/>
          <w:szCs w:val="32"/>
          <w:highlight w:val="none"/>
          <w:lang w:val="en-US" w:eastAsia="zh-CN" w:bidi="ar-SA"/>
        </w:rPr>
        <w:t>设计内容包括</w:t>
      </w:r>
      <w:r>
        <w:rPr>
          <w:rFonts w:hint="eastAsia" w:hAnsiTheme="minorHAnsi" w:cstheme="minorBidi"/>
          <w:color w:val="auto"/>
          <w:kern w:val="2"/>
          <w:sz w:val="32"/>
          <w:szCs w:val="32"/>
          <w:highlight w:val="none"/>
          <w:lang w:val="en-US" w:eastAsia="zh-CN" w:bidi="ar-SA"/>
        </w:rPr>
        <w:t>但不限于：总平面、建筑、结构、给排水、电气、钢结构、安装、围墙、市政、园林、绿化景观、室内装修设计。施工现场基坑支护、地基处理等方案，室外道路及管网、硬化广场、周边配套道路的设计工程、</w:t>
      </w:r>
      <w:r>
        <w:rPr>
          <w:rFonts w:hint="eastAsia" w:ascii="仿宋_GB2312" w:hAnsi="宋体" w:eastAsia="仿宋_GB2312"/>
          <w:sz w:val="32"/>
          <w:szCs w:val="32"/>
        </w:rPr>
        <w:t>与本项目有关的其他相关连接线等工程</w:t>
      </w:r>
      <w:r>
        <w:rPr>
          <w:rFonts w:hint="eastAsia" w:hAnsi="宋体"/>
          <w:sz w:val="32"/>
          <w:szCs w:val="32"/>
          <w:lang w:eastAsia="zh-CN"/>
        </w:rPr>
        <w:t>。</w:t>
      </w:r>
    </w:p>
    <w:p w14:paraId="38BA90D8">
      <w:pPr>
        <w:pStyle w:val="42"/>
        <w:spacing w:line="560" w:lineRule="exact"/>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rPr>
        <w:t>2）</w:t>
      </w:r>
      <w:r>
        <w:rPr>
          <w:rFonts w:hint="eastAsia" w:ascii="仿宋" w:hAnsi="仿宋" w:eastAsia="仿宋" w:cs="仿宋"/>
          <w:b w:val="0"/>
          <w:bCs w:val="0"/>
          <w:color w:val="auto"/>
          <w:sz w:val="32"/>
          <w:szCs w:val="32"/>
          <w:lang w:val="en-US" w:eastAsia="zh-CN"/>
        </w:rPr>
        <w:t>配合施工图预</w:t>
      </w:r>
      <w:r>
        <w:rPr>
          <w:rFonts w:hint="eastAsia" w:ascii="仿宋" w:hAnsi="仿宋" w:eastAsia="仿宋" w:cs="仿宋"/>
          <w:b w:val="0"/>
          <w:bCs w:val="0"/>
          <w:color w:val="auto"/>
          <w:sz w:val="32"/>
          <w:szCs w:val="32"/>
        </w:rPr>
        <w:t>算</w:t>
      </w:r>
      <w:r>
        <w:rPr>
          <w:rFonts w:hint="eastAsia" w:ascii="仿宋" w:hAnsi="仿宋" w:eastAsia="仿宋" w:cs="仿宋"/>
          <w:b w:val="0"/>
          <w:bCs w:val="0"/>
          <w:color w:val="auto"/>
          <w:sz w:val="32"/>
          <w:szCs w:val="32"/>
          <w:lang w:val="en-US" w:eastAsia="zh-CN"/>
        </w:rPr>
        <w:t>编制。</w:t>
      </w:r>
    </w:p>
    <w:p w14:paraId="7414CEA3">
      <w:pPr>
        <w:pStyle w:val="42"/>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仿宋" w:hAnsi="仿宋" w:cs="仿宋"/>
          <w:color w:val="auto"/>
          <w:sz w:val="32"/>
          <w:szCs w:val="32"/>
          <w:lang w:val="en-US"/>
        </w:rPr>
      </w:pP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val="0"/>
          <w:bCs w:val="0"/>
          <w:color w:val="auto"/>
          <w:sz w:val="32"/>
          <w:szCs w:val="32"/>
          <w:highlight w:val="none"/>
        </w:rPr>
        <w:t>此外，还需负责完成</w:t>
      </w:r>
      <w:r>
        <w:rPr>
          <w:rFonts w:hint="eastAsia" w:ascii="仿宋" w:hAnsi="仿宋" w:eastAsia="仿宋" w:cs="仿宋"/>
          <w:b w:val="0"/>
          <w:bCs w:val="0"/>
          <w:color w:val="auto"/>
          <w:sz w:val="32"/>
          <w:szCs w:val="32"/>
          <w:highlight w:val="none"/>
          <w:lang w:val="en-US" w:eastAsia="zh-CN"/>
        </w:rPr>
        <w:t>项目</w:t>
      </w:r>
      <w:r>
        <w:rPr>
          <w:rFonts w:hint="eastAsia" w:ascii="仿宋" w:hAnsi="仿宋" w:eastAsia="仿宋" w:cs="仿宋"/>
          <w:b w:val="0"/>
          <w:bCs w:val="0"/>
          <w:color w:val="auto"/>
          <w:sz w:val="32"/>
          <w:szCs w:val="32"/>
          <w:highlight w:val="none"/>
        </w:rPr>
        <w:t>的以下工作：</w:t>
      </w:r>
      <w:r>
        <w:rPr>
          <w:rFonts w:hint="eastAsia" w:ascii="仿宋" w:hAnsi="仿宋" w:eastAsia="仿宋" w:cs="仿宋"/>
          <w:b w:val="0"/>
          <w:bCs w:val="0"/>
          <w:color w:val="auto"/>
          <w:sz w:val="32"/>
          <w:szCs w:val="32"/>
          <w:highlight w:val="none"/>
          <w:lang w:val="en-US" w:eastAsia="zh-CN"/>
        </w:rPr>
        <w:t>配合历史建筑和传统风貌建筑文评报审、施工图</w:t>
      </w:r>
      <w:r>
        <w:rPr>
          <w:rFonts w:hint="eastAsia" w:ascii="仿宋" w:hAnsi="仿宋" w:eastAsia="仿宋" w:cs="仿宋"/>
          <w:b w:val="0"/>
          <w:bCs w:val="0"/>
          <w:color w:val="auto"/>
          <w:sz w:val="32"/>
          <w:szCs w:val="32"/>
          <w:highlight w:val="none"/>
        </w:rPr>
        <w:t>审查设计修改、调整、完善和报审工作；</w:t>
      </w:r>
      <w:r>
        <w:rPr>
          <w:rFonts w:hint="eastAsia" w:ascii="仿宋" w:hAnsi="仿宋" w:eastAsia="仿宋" w:cs="仿宋"/>
          <w:b w:val="0"/>
          <w:bCs w:val="0"/>
          <w:color w:val="auto"/>
          <w:sz w:val="32"/>
          <w:szCs w:val="32"/>
          <w:highlight w:val="none"/>
          <w:lang w:val="en-US" w:eastAsia="zh-CN"/>
        </w:rPr>
        <w:t>配合</w:t>
      </w:r>
      <w:r>
        <w:rPr>
          <w:rFonts w:hint="eastAsia" w:ascii="仿宋" w:hAnsi="仿宋" w:eastAsia="仿宋" w:cs="仿宋"/>
          <w:b w:val="0"/>
          <w:bCs w:val="0"/>
          <w:color w:val="auto"/>
          <w:sz w:val="32"/>
          <w:szCs w:val="32"/>
          <w:highlight w:val="none"/>
        </w:rPr>
        <w:t>综合管线规划报审报批；地铁设施保护办公室等专业部门的审查意见；完成</w:t>
      </w:r>
      <w:r>
        <w:rPr>
          <w:rFonts w:hint="eastAsia" w:ascii="仿宋" w:hAnsi="仿宋" w:eastAsia="仿宋" w:cs="仿宋"/>
          <w:b w:val="0"/>
          <w:bCs w:val="0"/>
          <w:color w:val="auto"/>
          <w:sz w:val="32"/>
          <w:szCs w:val="32"/>
          <w:highlight w:val="none"/>
          <w:lang w:val="en-US" w:eastAsia="zh-CN"/>
        </w:rPr>
        <w:t>外立面</w:t>
      </w:r>
      <w:r>
        <w:rPr>
          <w:rFonts w:hint="eastAsia" w:ascii="仿宋" w:hAnsi="仿宋" w:eastAsia="仿宋" w:cs="仿宋"/>
          <w:b w:val="0"/>
          <w:bCs w:val="0"/>
          <w:color w:val="auto"/>
          <w:sz w:val="32"/>
          <w:szCs w:val="32"/>
          <w:highlight w:val="none"/>
        </w:rPr>
        <w:t>规划建筑报建等</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bCs/>
          <w:color w:val="auto"/>
          <w:sz w:val="32"/>
          <w:szCs w:val="32"/>
          <w:lang w:val="en-US" w:eastAsia="zh-CN"/>
        </w:rPr>
        <w:br w:type="textWrapping"/>
      </w:r>
      <w:r>
        <w:rPr>
          <w:rFonts w:hint="eastAsia" w:ascii="仿宋" w:hAnsi="仿宋" w:eastAsia="仿宋" w:cs="仿宋"/>
          <w:b/>
          <w:bCs/>
          <w:color w:val="auto"/>
          <w:sz w:val="32"/>
          <w:szCs w:val="32"/>
          <w:lang w:val="en-US" w:eastAsia="zh-CN"/>
        </w:rPr>
        <w:t xml:space="preserve">   6.设计文件要求</w:t>
      </w:r>
    </w:p>
    <w:p w14:paraId="15806521">
      <w:pPr>
        <w:autoSpaceDN w:val="0"/>
        <w:spacing w:line="600" w:lineRule="exact"/>
        <w:ind w:firstLine="563" w:firstLineChars="200"/>
        <w:outlineLvl w:val="0"/>
        <w:rPr>
          <w:rFonts w:ascii="仿宋_GB2312" w:hAnsi="宋体" w:eastAsia="仿宋_GB2312"/>
          <w:b/>
          <w:sz w:val="32"/>
          <w:szCs w:val="32"/>
        </w:rPr>
      </w:pPr>
      <w:bookmarkStart w:id="1" w:name="_Toc18768"/>
      <w:r>
        <w:rPr>
          <w:rFonts w:hint="eastAsia" w:ascii="仿宋_GB2312" w:hAnsi="宋体" w:eastAsia="仿宋_GB2312"/>
          <w:b/>
          <w:spacing w:val="-20"/>
          <w:sz w:val="32"/>
          <w:szCs w:val="32"/>
          <w:lang w:val="en-US" w:eastAsia="zh-CN"/>
        </w:rPr>
        <w:t>6</w:t>
      </w:r>
      <w:r>
        <w:rPr>
          <w:rFonts w:hint="eastAsia" w:ascii="仿宋_GB2312" w:hAnsi="宋体" w:eastAsia="仿宋_GB2312"/>
          <w:b/>
          <w:spacing w:val="-20"/>
          <w:sz w:val="32"/>
          <w:szCs w:val="32"/>
        </w:rPr>
        <w:t>.1</w:t>
      </w:r>
      <w:r>
        <w:rPr>
          <w:rFonts w:hint="eastAsia" w:ascii="仿宋_GB2312" w:hAnsi="宋体" w:eastAsia="仿宋_GB2312"/>
          <w:b/>
          <w:sz w:val="32"/>
          <w:szCs w:val="32"/>
        </w:rPr>
        <w:t xml:space="preserve"> 设计文件要求</w:t>
      </w:r>
      <w:bookmarkEnd w:id="1"/>
    </w:p>
    <w:p w14:paraId="316BE080">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6</w:t>
      </w:r>
      <w:r>
        <w:rPr>
          <w:rFonts w:hint="eastAsia" w:ascii="仿宋_GB2312" w:hAnsi="宋体" w:eastAsia="仿宋_GB2312"/>
          <w:sz w:val="32"/>
          <w:szCs w:val="32"/>
        </w:rPr>
        <w:t>.1.1 设计成果基本要求</w:t>
      </w:r>
    </w:p>
    <w:p w14:paraId="4A32A9C2">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（1）提交的设计成果必须符合本设计任务书中的总则、设计原则、规划设计要求、建筑设计要求等有关章节的规定。</w:t>
      </w:r>
    </w:p>
    <w:p w14:paraId="12979ABE">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（2）设计成果的深度必须符合中华人民共和国有关规划与建筑设计规范规定的规划与建筑方案设计的深度要求。</w:t>
      </w:r>
    </w:p>
    <w:p w14:paraId="6AAFDA02">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（3）所有设计成果的计量单位均应采用国际标准计量单位。长度单位：总平面图标注尺寸以米(M)为单位，建筑设计图标注尺寸以毫米(mm)为单位；面积单位：均以平方米(M</w:t>
      </w:r>
      <w:r>
        <w:rPr>
          <w:rFonts w:hint="eastAsia" w:ascii="仿宋_GB2312" w:hAnsi="宋体" w:eastAsia="仿宋_GB2312"/>
          <w:sz w:val="32"/>
          <w:szCs w:val="32"/>
          <w:vertAlign w:val="superscript"/>
        </w:rPr>
        <w:t>2</w:t>
      </w:r>
      <w:r>
        <w:rPr>
          <w:rFonts w:hint="eastAsia" w:ascii="仿宋_GB2312" w:hAnsi="宋体" w:eastAsia="仿宋_GB2312"/>
          <w:sz w:val="32"/>
          <w:szCs w:val="32"/>
        </w:rPr>
        <w:t>)为单位；体积单位：均以立方米(M</w:t>
      </w:r>
      <w:r>
        <w:rPr>
          <w:rFonts w:hint="eastAsia" w:ascii="仿宋_GB2312" w:hAnsi="宋体" w:eastAsia="仿宋_GB2312"/>
          <w:sz w:val="32"/>
          <w:szCs w:val="32"/>
          <w:vertAlign w:val="superscript"/>
        </w:rPr>
        <w:t>3</w:t>
      </w:r>
      <w:r>
        <w:rPr>
          <w:rFonts w:hint="eastAsia" w:ascii="仿宋_GB2312" w:hAnsi="宋体" w:eastAsia="仿宋_GB2312"/>
          <w:sz w:val="32"/>
          <w:szCs w:val="32"/>
        </w:rPr>
        <w:t>)为单位。所有设计成果文件的文字说明和文字标注均须采用中文。设计图纸和文本文件必须做到清晰、完整，尺寸齐全、准确，同类图纸规格应尽量统一。</w:t>
      </w:r>
    </w:p>
    <w:p w14:paraId="63D902F4">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6</w:t>
      </w:r>
      <w:r>
        <w:rPr>
          <w:rFonts w:hint="eastAsia" w:ascii="仿宋_GB2312" w:hAnsi="宋体" w:eastAsia="仿宋_GB2312"/>
          <w:sz w:val="32"/>
          <w:szCs w:val="32"/>
        </w:rPr>
        <w:t>.1.2 设计成果提交要求</w:t>
      </w:r>
    </w:p>
    <w:p w14:paraId="083C9347">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1</w:t>
      </w:r>
      <w:r>
        <w:rPr>
          <w:rFonts w:hint="eastAsia" w:ascii="仿宋_GB2312" w:hAnsi="宋体" w:eastAsia="仿宋_GB2312"/>
          <w:sz w:val="32"/>
          <w:szCs w:val="32"/>
        </w:rPr>
        <w:t>）施工图设计阶段成果文件要求(包含但不限于)：</w:t>
      </w:r>
    </w:p>
    <w:p w14:paraId="3549E237">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设计图纸及设计说明、计算书：满足《建筑工程设计文件编制深度规定(2016版)》等相关文件规定的深度要求及花都区地方性文件规定、建设单位的工作要求，达到建设单位及设计咨询单位所提出的技术要求，及体现出建设单位和使用业主的建设意图。</w:t>
      </w:r>
    </w:p>
    <w:p w14:paraId="61890C99">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2)设备材料表以及技术规格书：设备材料表包括设备、建筑材料、构配件等釆购 清单，满足施工图深度及施工要求，对系统、设备、材料等的规格参数、品质、种类、 数量、要求、设计范围、工程量等进行限定。设备、建筑材料、构配件等清单、技术规 格书原则上在各阶段施工图送审前完成。</w:t>
      </w:r>
    </w:p>
    <w:p w14:paraId="6797366A">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2</w:t>
      </w:r>
      <w:r>
        <w:rPr>
          <w:rFonts w:hint="eastAsia" w:ascii="仿宋_GB2312" w:hAnsi="宋体" w:eastAsia="仿宋_GB2312"/>
          <w:sz w:val="32"/>
          <w:szCs w:val="32"/>
        </w:rPr>
        <w:t>）设计成果应达到建设部颁发的《建筑工程设计文件编制深度规定》（2016年版）。</w:t>
      </w:r>
    </w:p>
    <w:p w14:paraId="0335599C">
      <w:pPr>
        <w:autoSpaceDN w:val="0"/>
        <w:spacing w:line="600" w:lineRule="exact"/>
        <w:ind w:firstLine="640" w:firstLineChars="200"/>
        <w:rPr>
          <w:rFonts w:ascii="仿宋_GB2312" w:hAnsi="宋体" w:eastAsia="仿宋_GB2312"/>
          <w:b/>
          <w:spacing w:val="-20"/>
          <w:sz w:val="32"/>
          <w:szCs w:val="32"/>
          <w:highlight w:val="yellow"/>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3</w:t>
      </w:r>
      <w:r>
        <w:rPr>
          <w:rFonts w:hint="eastAsia" w:ascii="仿宋_GB2312" w:hAnsi="宋体" w:eastAsia="仿宋_GB2312"/>
          <w:sz w:val="32"/>
          <w:szCs w:val="32"/>
        </w:rPr>
        <w:t>）在项目报建阶段满足建设单位报批各种手续的要求，分阶段提供所需的设计文件及报建资料。</w:t>
      </w:r>
    </w:p>
    <w:p w14:paraId="4B71E86D">
      <w:pPr>
        <w:autoSpaceDN w:val="0"/>
        <w:spacing w:line="600" w:lineRule="exact"/>
        <w:ind w:firstLine="563" w:firstLineChars="200"/>
        <w:rPr>
          <w:rFonts w:ascii="仿宋_GB2312" w:hAnsi="宋体" w:eastAsia="仿宋_GB2312"/>
          <w:b/>
          <w:sz w:val="32"/>
          <w:szCs w:val="32"/>
        </w:rPr>
      </w:pPr>
      <w:bookmarkStart w:id="2" w:name="_Toc25471"/>
      <w:r>
        <w:rPr>
          <w:rFonts w:hint="eastAsia" w:ascii="仿宋_GB2312" w:hAnsi="宋体" w:eastAsia="仿宋_GB2312"/>
          <w:b/>
          <w:spacing w:val="-20"/>
          <w:sz w:val="32"/>
          <w:szCs w:val="32"/>
          <w:lang w:val="en-US" w:eastAsia="zh-CN"/>
        </w:rPr>
        <w:t>6</w:t>
      </w:r>
      <w:r>
        <w:rPr>
          <w:rFonts w:hint="eastAsia" w:ascii="仿宋_GB2312" w:hAnsi="宋体" w:eastAsia="仿宋_GB2312"/>
          <w:b/>
          <w:spacing w:val="-20"/>
          <w:sz w:val="32"/>
          <w:szCs w:val="32"/>
        </w:rPr>
        <w:t xml:space="preserve">.2  </w:t>
      </w:r>
      <w:r>
        <w:rPr>
          <w:rFonts w:hint="eastAsia" w:ascii="仿宋_GB2312" w:hAnsi="宋体" w:eastAsia="仿宋_GB2312"/>
          <w:b/>
          <w:sz w:val="32"/>
          <w:szCs w:val="32"/>
        </w:rPr>
        <w:t>其他设计要求</w:t>
      </w:r>
      <w:bookmarkEnd w:id="2"/>
    </w:p>
    <w:p w14:paraId="652D7547">
      <w:pPr>
        <w:autoSpaceDN w:val="0"/>
        <w:spacing w:line="600" w:lineRule="exact"/>
        <w:ind w:firstLine="640" w:firstLineChars="200"/>
        <w:outlineLvl w:val="0"/>
        <w:rPr>
          <w:rFonts w:hint="eastAsia" w:ascii="仿宋_GB2312" w:hAnsi="宋体" w:eastAsia="仿宋_GB2312"/>
          <w:sz w:val="32"/>
          <w:szCs w:val="32"/>
          <w:lang w:val="en-US" w:eastAsia="zh-CN"/>
        </w:rPr>
      </w:pPr>
      <w:bookmarkStart w:id="3" w:name="_Toc363571575"/>
      <w:bookmarkEnd w:id="3"/>
      <w:bookmarkStart w:id="4" w:name="_Toc8750"/>
      <w:r>
        <w:rPr>
          <w:rFonts w:hint="eastAsia" w:ascii="仿宋_GB2312" w:hAnsi="宋体" w:eastAsia="仿宋_GB2312"/>
          <w:sz w:val="32"/>
          <w:szCs w:val="32"/>
          <w:lang w:val="en-US" w:eastAsia="zh-CN"/>
        </w:rPr>
        <w:t>6.2.1 历史文化街区修缮要求</w:t>
      </w:r>
    </w:p>
    <w:p w14:paraId="0ED02F30">
      <w:pPr>
        <w:autoSpaceDN w:val="0"/>
        <w:spacing w:line="600" w:lineRule="exact"/>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w:t>
      </w:r>
      <w:r>
        <w:rPr>
          <w:rFonts w:hint="eastAsia" w:ascii="仿宋_GB2312" w:hAnsi="宋体" w:eastAsia="仿宋_GB2312"/>
          <w:sz w:val="32"/>
          <w:szCs w:val="32"/>
        </w:rPr>
        <w:t>制定专项修缮方案：按照“揭面层、断风貌、定方案、恢复原貌、风貌协调”的工作路径，制定“一栋一策”保护修缮设计方案</w:t>
      </w:r>
      <w:r>
        <w:rPr>
          <w:rFonts w:hint="eastAsia" w:ascii="仿宋_GB2312" w:hAnsi="宋体" w:eastAsia="仿宋_GB2312"/>
          <w:sz w:val="32"/>
          <w:szCs w:val="32"/>
          <w:lang w:eastAsia="zh-CN"/>
        </w:rPr>
        <w:t>。</w:t>
      </w:r>
    </w:p>
    <w:p w14:paraId="65CF9FE7">
      <w:pPr>
        <w:autoSpaceDN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针对身份建筑，参照文物修缮标准开展“提级修缮”，选取专业修缮班组，制定专项方案，经专家评审修改完善后实施，对建筑木窗、山花等建筑构件的修缮，严格遵循“原形制、原结构、原材料、原工艺”原则，确保修缮的专业性、真实性、系统性和完整性。</w:t>
      </w:r>
    </w:p>
    <w:p w14:paraId="105FED03">
      <w:pPr>
        <w:autoSpaceDN w:val="0"/>
        <w:spacing w:line="600" w:lineRule="exact"/>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rPr>
        <w:t>对提升对象进行原貌考究和揭层检测，可断定原貌的，制定恢复原真设计方案</w:t>
      </w:r>
      <w:r>
        <w:rPr>
          <w:rFonts w:hint="eastAsia" w:ascii="仿宋_GB2312" w:hAnsi="宋体" w:eastAsia="仿宋_GB2312"/>
          <w:sz w:val="32"/>
          <w:szCs w:val="32"/>
          <w:lang w:eastAsia="zh-CN"/>
        </w:rPr>
        <w:t>。</w:t>
      </w:r>
    </w:p>
    <w:p w14:paraId="16D3F4A1">
      <w:pPr>
        <w:autoSpaceDN w:val="0"/>
        <w:spacing w:line="600" w:lineRule="exact"/>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rPr>
        <w:t>针对部分当代建筑状存在不当改造的，采用协调历史文化街区风貌的设计方案</w:t>
      </w:r>
      <w:r>
        <w:rPr>
          <w:rFonts w:hint="eastAsia" w:ascii="仿宋_GB2312" w:hAnsi="宋体" w:eastAsia="仿宋_GB2312"/>
          <w:sz w:val="32"/>
          <w:szCs w:val="32"/>
          <w:lang w:eastAsia="zh-CN"/>
        </w:rPr>
        <w:t>。</w:t>
      </w:r>
    </w:p>
    <w:p w14:paraId="5328FA3D">
      <w:pPr>
        <w:autoSpaceDN w:val="0"/>
        <w:spacing w:line="600"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w:t>
      </w:r>
      <w:r>
        <w:rPr>
          <w:rFonts w:hint="eastAsia" w:ascii="仿宋_GB2312" w:hAnsi="宋体" w:eastAsia="仿宋_GB2312"/>
          <w:sz w:val="32"/>
          <w:szCs w:val="32"/>
        </w:rPr>
        <w:t>样板引路铸精品：在水刷石墙面修复、原貌木窗修缮、清水墙复原等关键环节，建立专项工艺样板机制，由设计总负责人把控，严格按照工艺流程反复试验，经设计、监理、业主三方验收达标后方可</w:t>
      </w:r>
      <w:r>
        <w:rPr>
          <w:rFonts w:hint="eastAsia" w:ascii="仿宋_GB2312" w:hAnsi="宋体" w:eastAsia="仿宋_GB2312"/>
          <w:sz w:val="32"/>
          <w:szCs w:val="32"/>
          <w:lang w:val="en-US" w:eastAsia="zh-CN"/>
        </w:rPr>
        <w:t>大面</w:t>
      </w:r>
      <w:r>
        <w:rPr>
          <w:rFonts w:hint="eastAsia" w:ascii="仿宋_GB2312" w:hAnsi="宋体" w:eastAsia="仿宋_GB2312"/>
          <w:sz w:val="32"/>
          <w:szCs w:val="32"/>
        </w:rPr>
        <w:t>实施，确保传统工艺的精准还原与质量把控。</w:t>
      </w:r>
    </w:p>
    <w:p w14:paraId="79171D7C">
      <w:pPr>
        <w:autoSpaceDN w:val="0"/>
        <w:spacing w:line="600" w:lineRule="exact"/>
        <w:ind w:firstLine="640" w:firstLineChars="200"/>
        <w:outlineLvl w:val="0"/>
        <w:rPr>
          <w:rFonts w:ascii="仿宋_GB2312" w:hAnsi="宋体" w:eastAsia="仿宋_GB2312"/>
          <w:sz w:val="32"/>
          <w:szCs w:val="32"/>
        </w:rPr>
      </w:pPr>
      <w:r>
        <w:rPr>
          <w:rFonts w:hint="eastAsia" w:ascii="仿宋_GB2312" w:hAnsi="宋体" w:eastAsia="仿宋_GB2312"/>
          <w:sz w:val="32"/>
          <w:szCs w:val="32"/>
          <w:lang w:val="en-US" w:eastAsia="zh-CN"/>
        </w:rPr>
        <w:t>6</w:t>
      </w:r>
      <w:r>
        <w:rPr>
          <w:rFonts w:hint="eastAsia" w:ascii="仿宋_GB2312" w:hAnsi="宋体" w:eastAsia="仿宋_GB2312"/>
          <w:sz w:val="32"/>
          <w:szCs w:val="32"/>
        </w:rPr>
        <w:t>.2.</w:t>
      </w:r>
      <w:r>
        <w:rPr>
          <w:rFonts w:hint="eastAsia" w:ascii="仿宋_GB2312" w:hAnsi="宋体" w:eastAsia="仿宋_GB2312"/>
          <w:sz w:val="32"/>
          <w:szCs w:val="32"/>
          <w:lang w:val="en-US" w:eastAsia="zh-CN"/>
        </w:rPr>
        <w:t>2</w:t>
      </w:r>
      <w:r>
        <w:rPr>
          <w:rFonts w:hint="eastAsia" w:ascii="仿宋_GB2312" w:hAnsi="宋体" w:eastAsia="仿宋_GB2312"/>
          <w:sz w:val="32"/>
          <w:szCs w:val="32"/>
        </w:rPr>
        <w:t xml:space="preserve"> 限额设计</w:t>
      </w:r>
      <w:bookmarkEnd w:id="4"/>
    </w:p>
    <w:p w14:paraId="55227059">
      <w:pPr>
        <w:autoSpaceDN w:val="0"/>
        <w:spacing w:line="600" w:lineRule="exact"/>
        <w:ind w:firstLine="640" w:firstLineChars="200"/>
        <w:rPr>
          <w:rFonts w:ascii="仿宋_GB2312" w:hAnsi="宋体" w:eastAsia="仿宋_GB2312"/>
          <w:sz w:val="32"/>
          <w:szCs w:val="32"/>
          <w:highlight w:val="yellow"/>
        </w:rPr>
      </w:pPr>
      <w:r>
        <w:rPr>
          <w:rFonts w:hint="eastAsia" w:ascii="仿宋_GB2312" w:hAnsi="宋体" w:eastAsia="仿宋_GB2312"/>
          <w:sz w:val="32"/>
          <w:szCs w:val="32"/>
        </w:rPr>
        <w:t>(1) 限额设计是投资控制的有效手段，应将节约投资和科学设计有机结合，既保证工程质量又有效控制工程造价。本工程总投资控制在可研批复以下。</w:t>
      </w:r>
    </w:p>
    <w:p w14:paraId="19540C77">
      <w:pPr>
        <w:autoSpaceDN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 本项目采用造价限额设计（具体详见合同）。</w:t>
      </w:r>
    </w:p>
    <w:p w14:paraId="24104F4A">
      <w:pPr>
        <w:autoSpaceDN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(3) 应在限额设计范围内，要求依据建设和技术资料合理选择、运用技术经济多方案比选等技术手段，科学分析、系统考虑，不断优化设计，确保工程质量，严格控制成本造价，降低项目总投资。</w:t>
      </w:r>
    </w:p>
    <w:p w14:paraId="58FB44FD">
      <w:pPr>
        <w:rPr>
          <w:rFonts w:hint="eastAsia" w:eastAsiaTheme="minor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930EB">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54999">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8454999">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DEE3D">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D12A8"/>
    <w:multiLevelType w:val="multilevel"/>
    <w:tmpl w:val="27DD12A8"/>
    <w:lvl w:ilvl="0" w:tentative="0">
      <w:start w:val="1"/>
      <w:numFmt w:val="chineseCountingThousand"/>
      <w:pStyle w:val="30"/>
      <w:lvlText w:val="%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45A171A7"/>
    <w:multiLevelType w:val="multilevel"/>
    <w:tmpl w:val="45A171A7"/>
    <w:lvl w:ilvl="0" w:tentative="0">
      <w:start w:val="1"/>
      <w:numFmt w:val="chineseCounting"/>
      <w:pStyle w:val="25"/>
      <w:lvlText w:val="第%1节"/>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625B009A"/>
    <w:multiLevelType w:val="multilevel"/>
    <w:tmpl w:val="625B009A"/>
    <w:lvl w:ilvl="0" w:tentative="0">
      <w:start w:val="1"/>
      <w:numFmt w:val="chineseCounting"/>
      <w:pStyle w:val="37"/>
      <w:lvlText w:val="第%1章"/>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871002"/>
    <w:multiLevelType w:val="multilevel"/>
    <w:tmpl w:val="62871002"/>
    <w:lvl w:ilvl="0" w:tentative="0">
      <w:start w:val="1"/>
      <w:numFmt w:val="chineseCounting"/>
      <w:pStyle w:val="4"/>
      <w:lvlText w:val="第%1节"/>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BFE1D6B"/>
    <w:multiLevelType w:val="multilevel"/>
    <w:tmpl w:val="7BFE1D6B"/>
    <w:lvl w:ilvl="0" w:tentative="0">
      <w:start w:val="1"/>
      <w:numFmt w:val="chineseCountingThousand"/>
      <w:pStyle w:val="5"/>
      <w:lvlText w:val="%1."/>
      <w:lvlJc w:val="left"/>
      <w:pPr>
        <w:ind w:left="2405" w:hanging="420"/>
      </w:pPr>
      <w:rPr>
        <w:rFonts w:hint="eastAsia"/>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5N2I2YjllZmRmNGNjYWE3NTNhMDRlZmUxMzAwMjUifQ=="/>
  </w:docVars>
  <w:rsids>
    <w:rsidRoot w:val="00F523BF"/>
    <w:rsid w:val="00074802"/>
    <w:rsid w:val="000B3BD4"/>
    <w:rsid w:val="000F0634"/>
    <w:rsid w:val="00121811"/>
    <w:rsid w:val="001B0CC5"/>
    <w:rsid w:val="001D5486"/>
    <w:rsid w:val="002B46CA"/>
    <w:rsid w:val="002B5133"/>
    <w:rsid w:val="002D2D27"/>
    <w:rsid w:val="00307202"/>
    <w:rsid w:val="00351868"/>
    <w:rsid w:val="003663E5"/>
    <w:rsid w:val="003A3A58"/>
    <w:rsid w:val="00453973"/>
    <w:rsid w:val="004E3D09"/>
    <w:rsid w:val="004F6352"/>
    <w:rsid w:val="00507434"/>
    <w:rsid w:val="00570BC8"/>
    <w:rsid w:val="006B19C5"/>
    <w:rsid w:val="006E357F"/>
    <w:rsid w:val="00785D2D"/>
    <w:rsid w:val="007E1A54"/>
    <w:rsid w:val="007F1FCC"/>
    <w:rsid w:val="008345F1"/>
    <w:rsid w:val="008A1879"/>
    <w:rsid w:val="008F481A"/>
    <w:rsid w:val="00910E63"/>
    <w:rsid w:val="009848EE"/>
    <w:rsid w:val="00996635"/>
    <w:rsid w:val="009E3D47"/>
    <w:rsid w:val="00A728E5"/>
    <w:rsid w:val="00A84A25"/>
    <w:rsid w:val="00B21098"/>
    <w:rsid w:val="00B73D90"/>
    <w:rsid w:val="00C07317"/>
    <w:rsid w:val="00C465E2"/>
    <w:rsid w:val="00C94DBA"/>
    <w:rsid w:val="00CC660B"/>
    <w:rsid w:val="00D127DB"/>
    <w:rsid w:val="00D14F34"/>
    <w:rsid w:val="00D52817"/>
    <w:rsid w:val="00D7301E"/>
    <w:rsid w:val="00D9395F"/>
    <w:rsid w:val="00E54D77"/>
    <w:rsid w:val="00E64BDA"/>
    <w:rsid w:val="00E711C5"/>
    <w:rsid w:val="00EC6CC2"/>
    <w:rsid w:val="00EF7F40"/>
    <w:rsid w:val="00F24B02"/>
    <w:rsid w:val="00F523BF"/>
    <w:rsid w:val="00FB609E"/>
    <w:rsid w:val="00FC696C"/>
    <w:rsid w:val="00FE2387"/>
    <w:rsid w:val="00FF5C3F"/>
    <w:rsid w:val="01466B55"/>
    <w:rsid w:val="0200793B"/>
    <w:rsid w:val="0257765C"/>
    <w:rsid w:val="031B59EA"/>
    <w:rsid w:val="03393105"/>
    <w:rsid w:val="04A503F1"/>
    <w:rsid w:val="050B0AD1"/>
    <w:rsid w:val="05C70869"/>
    <w:rsid w:val="06BF2807"/>
    <w:rsid w:val="07866B42"/>
    <w:rsid w:val="0932487E"/>
    <w:rsid w:val="09615163"/>
    <w:rsid w:val="0A69327E"/>
    <w:rsid w:val="0A782765"/>
    <w:rsid w:val="0B5352BC"/>
    <w:rsid w:val="0E4A3E6F"/>
    <w:rsid w:val="0E7066FE"/>
    <w:rsid w:val="0FE60171"/>
    <w:rsid w:val="10974502"/>
    <w:rsid w:val="13143CA2"/>
    <w:rsid w:val="15AC59B8"/>
    <w:rsid w:val="16013F56"/>
    <w:rsid w:val="16572EB0"/>
    <w:rsid w:val="16D865FF"/>
    <w:rsid w:val="192341D2"/>
    <w:rsid w:val="19517E85"/>
    <w:rsid w:val="19E00326"/>
    <w:rsid w:val="1ABB218C"/>
    <w:rsid w:val="1DA3701D"/>
    <w:rsid w:val="203337A8"/>
    <w:rsid w:val="20653333"/>
    <w:rsid w:val="22A7338C"/>
    <w:rsid w:val="240F3CE2"/>
    <w:rsid w:val="242A0B1C"/>
    <w:rsid w:val="24374FE7"/>
    <w:rsid w:val="25F62AB4"/>
    <w:rsid w:val="27934C2A"/>
    <w:rsid w:val="2962332A"/>
    <w:rsid w:val="2B161A0E"/>
    <w:rsid w:val="2CA00D74"/>
    <w:rsid w:val="2F2033DA"/>
    <w:rsid w:val="2F4F58DB"/>
    <w:rsid w:val="2F9977CD"/>
    <w:rsid w:val="30801AC4"/>
    <w:rsid w:val="30C42472"/>
    <w:rsid w:val="3148504E"/>
    <w:rsid w:val="32002EBC"/>
    <w:rsid w:val="33645A78"/>
    <w:rsid w:val="33890E14"/>
    <w:rsid w:val="35C00993"/>
    <w:rsid w:val="36783969"/>
    <w:rsid w:val="37EA4F19"/>
    <w:rsid w:val="38AB7495"/>
    <w:rsid w:val="3B3F4A55"/>
    <w:rsid w:val="3C2D4205"/>
    <w:rsid w:val="3D492553"/>
    <w:rsid w:val="40F25B1B"/>
    <w:rsid w:val="46715CDF"/>
    <w:rsid w:val="473D3E13"/>
    <w:rsid w:val="49A445FA"/>
    <w:rsid w:val="4AD472AA"/>
    <w:rsid w:val="4ADA1F51"/>
    <w:rsid w:val="4AFD3FE5"/>
    <w:rsid w:val="4B2A0607"/>
    <w:rsid w:val="4D470322"/>
    <w:rsid w:val="4FD95020"/>
    <w:rsid w:val="536C7F5A"/>
    <w:rsid w:val="53EA66CB"/>
    <w:rsid w:val="56476F17"/>
    <w:rsid w:val="57C04A5A"/>
    <w:rsid w:val="58AB32D2"/>
    <w:rsid w:val="5D9407D9"/>
    <w:rsid w:val="5E512226"/>
    <w:rsid w:val="617E2AC5"/>
    <w:rsid w:val="619C1A0A"/>
    <w:rsid w:val="64D23817"/>
    <w:rsid w:val="65827499"/>
    <w:rsid w:val="67DD0FCE"/>
    <w:rsid w:val="6AD86E0D"/>
    <w:rsid w:val="6B8D0D5A"/>
    <w:rsid w:val="6D7D1F79"/>
    <w:rsid w:val="6DF1132F"/>
    <w:rsid w:val="6E1F7678"/>
    <w:rsid w:val="6F743FC6"/>
    <w:rsid w:val="701458C4"/>
    <w:rsid w:val="701503CC"/>
    <w:rsid w:val="728A5F64"/>
    <w:rsid w:val="72AE09FC"/>
    <w:rsid w:val="73C848E1"/>
    <w:rsid w:val="748B37A2"/>
    <w:rsid w:val="75410DEE"/>
    <w:rsid w:val="761B163F"/>
    <w:rsid w:val="77093988"/>
    <w:rsid w:val="78536188"/>
    <w:rsid w:val="7C7F13BB"/>
    <w:rsid w:val="7DBB2DB4"/>
    <w:rsid w:val="7E3E2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kern w:val="2"/>
      <w:sz w:val="21"/>
      <w:szCs w:val="21"/>
      <w:lang w:val="en-US" w:eastAsia="zh-CN" w:bidi="ar-SA"/>
    </w:rPr>
  </w:style>
  <w:style w:type="paragraph" w:styleId="3">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0"/>
    <w:pPr>
      <w:keepNext/>
      <w:keepLines/>
      <w:numPr>
        <w:ilvl w:val="0"/>
        <w:numId w:val="1"/>
      </w:numPr>
      <w:spacing w:before="200" w:after="100"/>
      <w:outlineLvl w:val="1"/>
    </w:pPr>
    <w:rPr>
      <w:rFonts w:ascii="楷体_GB2312" w:hAnsi="微软雅黑" w:eastAsia="楷体_GB2312" w:cs="Times New Roman"/>
      <w:b/>
      <w:bCs/>
      <w:sz w:val="32"/>
      <w:szCs w:val="32"/>
    </w:rPr>
  </w:style>
  <w:style w:type="paragraph" w:styleId="5">
    <w:name w:val="heading 3"/>
    <w:basedOn w:val="1"/>
    <w:next w:val="1"/>
    <w:link w:val="22"/>
    <w:qFormat/>
    <w:uiPriority w:val="0"/>
    <w:pPr>
      <w:keepNext/>
      <w:keepLines/>
      <w:numPr>
        <w:ilvl w:val="0"/>
        <w:numId w:val="2"/>
      </w:numPr>
      <w:spacing w:before="120" w:after="120" w:line="580" w:lineRule="exact"/>
      <w:outlineLvl w:val="2"/>
    </w:pPr>
    <w:rPr>
      <w:rFonts w:ascii="仿宋_GB2312" w:eastAsia="仿宋_GB2312" w:cs="Times New Roman"/>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snapToGrid w:val="0"/>
      <w:spacing w:line="300" w:lineRule="auto"/>
      <w:ind w:firstLine="482"/>
    </w:pPr>
    <w:rPr>
      <w:rFonts w:ascii="宋体"/>
      <w:kern w:val="24"/>
    </w:rPr>
  </w:style>
  <w:style w:type="paragraph" w:styleId="6">
    <w:name w:val="caption"/>
    <w:basedOn w:val="1"/>
    <w:next w:val="1"/>
    <w:link w:val="31"/>
    <w:unhideWhenUsed/>
    <w:qFormat/>
    <w:uiPriority w:val="35"/>
    <w:rPr>
      <w:rFonts w:eastAsia="黑体" w:asciiTheme="majorHAnsi" w:hAnsiTheme="majorHAnsi" w:cstheme="majorBidi"/>
      <w:sz w:val="20"/>
      <w:szCs w:val="20"/>
    </w:rPr>
  </w:style>
  <w:style w:type="paragraph" w:styleId="7">
    <w:name w:val="annotation text"/>
    <w:basedOn w:val="1"/>
    <w:semiHidden/>
    <w:unhideWhenUsed/>
    <w:qFormat/>
    <w:uiPriority w:val="99"/>
    <w:pPr>
      <w:jc w:val="left"/>
    </w:pPr>
  </w:style>
  <w:style w:type="paragraph" w:styleId="8">
    <w:name w:val="Body Text"/>
    <w:basedOn w:val="1"/>
    <w:next w:val="1"/>
    <w:qFormat/>
    <w:uiPriority w:val="1"/>
    <w:pPr>
      <w:ind w:left="100"/>
    </w:pPr>
    <w:rPr>
      <w:rFonts w:ascii="宋体" w:hAnsi="宋体" w:eastAsia="宋体"/>
    </w:rPr>
  </w:style>
  <w:style w:type="paragraph" w:styleId="9">
    <w:name w:val="toc 3"/>
    <w:basedOn w:val="1"/>
    <w:next w:val="1"/>
    <w:unhideWhenUsed/>
    <w:qFormat/>
    <w:uiPriority w:val="39"/>
    <w:pPr>
      <w:ind w:left="840" w:leftChars="400"/>
    </w:pPr>
  </w:style>
  <w:style w:type="paragraph" w:styleId="10">
    <w:name w:val="Balloon Text"/>
    <w:basedOn w:val="1"/>
    <w:link w:val="29"/>
    <w:semiHidden/>
    <w:unhideWhenUsed/>
    <w:qFormat/>
    <w:uiPriority w:val="99"/>
    <w:rPr>
      <w:sz w:val="18"/>
      <w:szCs w:val="18"/>
    </w:rPr>
  </w:style>
  <w:style w:type="paragraph" w:styleId="11">
    <w:name w:val="footer"/>
    <w:basedOn w:val="1"/>
    <w:link w:val="35"/>
    <w:unhideWhenUsed/>
    <w:qFormat/>
    <w:uiPriority w:val="99"/>
    <w:pPr>
      <w:tabs>
        <w:tab w:val="center" w:pos="4153"/>
        <w:tab w:val="right" w:pos="8306"/>
      </w:tabs>
      <w:snapToGrid w:val="0"/>
    </w:pPr>
    <w:rPr>
      <w:sz w:val="18"/>
      <w:szCs w:val="18"/>
    </w:rPr>
  </w:style>
  <w:style w:type="paragraph" w:styleId="12">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character" w:styleId="17">
    <w:name w:val="Strong"/>
    <w:basedOn w:val="16"/>
    <w:qFormat/>
    <w:uiPriority w:val="22"/>
    <w:rPr>
      <w:b/>
    </w:rPr>
  </w:style>
  <w:style w:type="character" w:styleId="18">
    <w:name w:val="page number"/>
    <w:basedOn w:val="16"/>
    <w:qFormat/>
    <w:uiPriority w:val="0"/>
  </w:style>
  <w:style w:type="character" w:styleId="19">
    <w:name w:val="Hyperlink"/>
    <w:basedOn w:val="16"/>
    <w:unhideWhenUsed/>
    <w:qFormat/>
    <w:uiPriority w:val="99"/>
    <w:rPr>
      <w:color w:val="0563C1" w:themeColor="hyperlink"/>
      <w:u w:val="single"/>
      <w14:textFill>
        <w14:solidFill>
          <w14:schemeClr w14:val="hlink"/>
        </w14:solidFill>
      </w14:textFill>
    </w:rPr>
  </w:style>
  <w:style w:type="character" w:customStyle="1" w:styleId="20">
    <w:name w:val="标题 1 Char"/>
    <w:basedOn w:val="16"/>
    <w:link w:val="3"/>
    <w:qFormat/>
    <w:uiPriority w:val="9"/>
    <w:rPr>
      <w:b/>
      <w:bCs/>
      <w:kern w:val="44"/>
      <w:sz w:val="44"/>
      <w:szCs w:val="44"/>
    </w:rPr>
  </w:style>
  <w:style w:type="character" w:customStyle="1" w:styleId="21">
    <w:name w:val="标题 2 Char"/>
    <w:basedOn w:val="16"/>
    <w:link w:val="4"/>
    <w:qFormat/>
    <w:uiPriority w:val="0"/>
    <w:rPr>
      <w:rFonts w:ascii="楷体_GB2312" w:hAnsi="微软雅黑" w:eastAsia="楷体_GB2312" w:cs="Times New Roman"/>
      <w:b/>
      <w:bCs/>
      <w:sz w:val="32"/>
      <w:szCs w:val="32"/>
    </w:rPr>
  </w:style>
  <w:style w:type="character" w:customStyle="1" w:styleId="22">
    <w:name w:val="标题 3 Char"/>
    <w:basedOn w:val="16"/>
    <w:link w:val="5"/>
    <w:qFormat/>
    <w:uiPriority w:val="0"/>
    <w:rPr>
      <w:rFonts w:ascii="仿宋_GB2312" w:eastAsia="仿宋_GB2312" w:cs="Times New Roman"/>
      <w:b/>
      <w:bCs/>
      <w:sz w:val="32"/>
      <w:szCs w:val="32"/>
    </w:rPr>
  </w:style>
  <w:style w:type="paragraph" w:customStyle="1" w:styleId="23">
    <w:name w:val="表格中卫"/>
    <w:basedOn w:val="1"/>
    <w:qFormat/>
    <w:uiPriority w:val="0"/>
    <w:pPr>
      <w:jc w:val="center"/>
    </w:pPr>
    <w:rPr>
      <w:rFonts w:ascii="仿宋_GB2312" w:hAnsi="宋体" w:eastAsia="仿宋_GB2312" w:cs="宋体"/>
      <w:bCs/>
      <w:color w:val="000000"/>
      <w:kern w:val="0"/>
      <w:sz w:val="24"/>
    </w:rPr>
  </w:style>
  <w:style w:type="paragraph" w:customStyle="1" w:styleId="24">
    <w:name w:val="表头中卫"/>
    <w:basedOn w:val="23"/>
    <w:qFormat/>
    <w:uiPriority w:val="0"/>
  </w:style>
  <w:style w:type="paragraph" w:customStyle="1" w:styleId="25">
    <w:name w:val="二级标题中卫"/>
    <w:basedOn w:val="4"/>
    <w:qFormat/>
    <w:uiPriority w:val="0"/>
    <w:pPr>
      <w:numPr>
        <w:numId w:val="3"/>
      </w:numPr>
      <w:spacing w:before="50" w:beforeLines="50" w:after="50" w:afterLines="50" w:line="580" w:lineRule="exact"/>
      <w:ind w:firstLine="200" w:firstLineChars="200"/>
    </w:pPr>
  </w:style>
  <w:style w:type="paragraph" w:customStyle="1" w:styleId="26">
    <w:name w:val="封面单位及时间中卫"/>
    <w:basedOn w:val="1"/>
    <w:qFormat/>
    <w:uiPriority w:val="0"/>
    <w:pPr>
      <w:spacing w:after="120" w:line="580" w:lineRule="exact"/>
      <w:jc w:val="center"/>
    </w:pPr>
    <w:rPr>
      <w:rFonts w:ascii="方正小标宋简体" w:hAnsi="微软雅黑" w:eastAsia="方正小标宋简体"/>
      <w:bCs/>
      <w:sz w:val="36"/>
      <w:szCs w:val="36"/>
    </w:rPr>
  </w:style>
  <w:style w:type="paragraph" w:customStyle="1" w:styleId="27">
    <w:name w:val="封面题目中卫"/>
    <w:basedOn w:val="1"/>
    <w:qFormat/>
    <w:uiPriority w:val="0"/>
    <w:pPr>
      <w:spacing w:after="120" w:line="580" w:lineRule="exact"/>
      <w:jc w:val="center"/>
    </w:pPr>
    <w:rPr>
      <w:rFonts w:ascii="方正小标宋简体" w:hAnsi="微软雅黑" w:eastAsia="方正小标宋简体"/>
      <w:bCs/>
      <w:sz w:val="44"/>
      <w:szCs w:val="36"/>
    </w:rPr>
  </w:style>
  <w:style w:type="paragraph" w:customStyle="1" w:styleId="28">
    <w:name w:val="附件中卫1"/>
    <w:basedOn w:val="1"/>
    <w:qFormat/>
    <w:uiPriority w:val="0"/>
    <w:pPr>
      <w:keepNext/>
      <w:keepLines/>
      <w:spacing w:before="240" w:after="120" w:line="580" w:lineRule="exact"/>
      <w:ind w:firstLine="640" w:firstLineChars="200"/>
      <w:outlineLvl w:val="1"/>
    </w:pPr>
    <w:rPr>
      <w:rFonts w:ascii="黑体" w:hAnsi="黑体" w:eastAsia="黑体" w:cs="Times New Roman"/>
      <w:sz w:val="32"/>
      <w:szCs w:val="32"/>
    </w:rPr>
  </w:style>
  <w:style w:type="character" w:customStyle="1" w:styleId="29">
    <w:name w:val="批注框文本 Char"/>
    <w:basedOn w:val="16"/>
    <w:link w:val="10"/>
    <w:semiHidden/>
    <w:qFormat/>
    <w:uiPriority w:val="99"/>
    <w:rPr>
      <w:sz w:val="18"/>
      <w:szCs w:val="18"/>
    </w:rPr>
  </w:style>
  <w:style w:type="paragraph" w:customStyle="1" w:styleId="30">
    <w:name w:val="三级标题中卫"/>
    <w:basedOn w:val="1"/>
    <w:qFormat/>
    <w:uiPriority w:val="0"/>
    <w:pPr>
      <w:keepNext/>
      <w:keepLines/>
      <w:numPr>
        <w:ilvl w:val="0"/>
        <w:numId w:val="4"/>
      </w:numPr>
      <w:spacing w:before="50" w:beforeLines="50" w:after="50" w:afterLines="50" w:line="580" w:lineRule="exact"/>
      <w:outlineLvl w:val="2"/>
    </w:pPr>
    <w:rPr>
      <w:rFonts w:ascii="Times New Roman" w:eastAsia="仿宋_GB2312" w:cs="Times New Roman"/>
      <w:b/>
      <w:bCs/>
      <w:sz w:val="32"/>
      <w:szCs w:val="32"/>
    </w:rPr>
  </w:style>
  <w:style w:type="character" w:customStyle="1" w:styleId="31">
    <w:name w:val="题注 Char"/>
    <w:basedOn w:val="16"/>
    <w:link w:val="6"/>
    <w:qFormat/>
    <w:uiPriority w:val="35"/>
    <w:rPr>
      <w:rFonts w:eastAsia="黑体" w:asciiTheme="majorHAnsi" w:hAnsiTheme="majorHAnsi" w:cstheme="majorBidi"/>
      <w:sz w:val="20"/>
      <w:szCs w:val="20"/>
    </w:rPr>
  </w:style>
  <w:style w:type="paragraph" w:customStyle="1" w:styleId="32">
    <w:name w:val="图名中卫"/>
    <w:basedOn w:val="6"/>
    <w:link w:val="33"/>
    <w:qFormat/>
    <w:uiPriority w:val="0"/>
    <w:pPr>
      <w:spacing w:before="156" w:beforeLines="50" w:after="156" w:afterLines="50" w:line="580" w:lineRule="exact"/>
      <w:jc w:val="center"/>
    </w:pPr>
    <w:rPr>
      <w:rFonts w:ascii="Times New Roman" w:hAnsi="Times New Roman" w:eastAsia="仿宋_GB2312"/>
      <w:sz w:val="24"/>
      <w:szCs w:val="24"/>
    </w:rPr>
  </w:style>
  <w:style w:type="character" w:customStyle="1" w:styleId="33">
    <w:name w:val="图名中卫 字符"/>
    <w:basedOn w:val="31"/>
    <w:link w:val="32"/>
    <w:qFormat/>
    <w:uiPriority w:val="0"/>
    <w:rPr>
      <w:rFonts w:ascii="Times New Roman" w:hAnsi="Times New Roman" w:eastAsia="仿宋_GB2312" w:cstheme="majorBidi"/>
      <w:sz w:val="24"/>
      <w:szCs w:val="24"/>
    </w:rPr>
  </w:style>
  <w:style w:type="paragraph" w:customStyle="1" w:styleId="34">
    <w:name w:val="图内容中卫"/>
    <w:basedOn w:val="1"/>
    <w:qFormat/>
    <w:uiPriority w:val="0"/>
    <w:pPr>
      <w:keepNext/>
      <w:framePr w:wrap="notBeside" w:vAnchor="text" w:hAnchor="text" w:xAlign="center" w:y="1"/>
      <w:jc w:val="center"/>
    </w:pPr>
    <w:rPr>
      <w:rFonts w:ascii="方正仿宋_GBK" w:eastAsia="方正仿宋_GBK"/>
      <w:bCs/>
      <w:sz w:val="32"/>
      <w:szCs w:val="32"/>
    </w:rPr>
  </w:style>
  <w:style w:type="character" w:customStyle="1" w:styleId="35">
    <w:name w:val="页脚 Char"/>
    <w:basedOn w:val="16"/>
    <w:link w:val="11"/>
    <w:qFormat/>
    <w:uiPriority w:val="99"/>
    <w:rPr>
      <w:sz w:val="18"/>
      <w:szCs w:val="18"/>
    </w:rPr>
  </w:style>
  <w:style w:type="character" w:customStyle="1" w:styleId="36">
    <w:name w:val="页眉 Char"/>
    <w:basedOn w:val="16"/>
    <w:link w:val="12"/>
    <w:qFormat/>
    <w:uiPriority w:val="99"/>
    <w:rPr>
      <w:sz w:val="18"/>
      <w:szCs w:val="18"/>
    </w:rPr>
  </w:style>
  <w:style w:type="paragraph" w:customStyle="1" w:styleId="37">
    <w:name w:val="一级标题中卫"/>
    <w:basedOn w:val="1"/>
    <w:qFormat/>
    <w:uiPriority w:val="0"/>
    <w:pPr>
      <w:pageBreakBefore/>
      <w:numPr>
        <w:ilvl w:val="0"/>
        <w:numId w:val="5"/>
      </w:numPr>
      <w:spacing w:line="580" w:lineRule="exact"/>
      <w:jc w:val="center"/>
      <w:outlineLvl w:val="0"/>
    </w:pPr>
    <w:rPr>
      <w:rFonts w:ascii="黑体" w:hAnsi="黑体" w:eastAsia="黑体" w:cstheme="majorBidi"/>
      <w:b/>
      <w:sz w:val="32"/>
      <w:szCs w:val="32"/>
    </w:rPr>
  </w:style>
  <w:style w:type="paragraph" w:styleId="38">
    <w:name w:val="Quote"/>
    <w:basedOn w:val="1"/>
    <w:next w:val="1"/>
    <w:link w:val="3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Char"/>
    <w:basedOn w:val="16"/>
    <w:link w:val="38"/>
    <w:qFormat/>
    <w:uiPriority w:val="29"/>
    <w:rPr>
      <w:i/>
      <w:iCs/>
      <w:color w:val="404040" w:themeColor="text1" w:themeTint="BF"/>
      <w:szCs w:val="21"/>
      <w14:textFill>
        <w14:solidFill>
          <w14:schemeClr w14:val="tx1">
            <w14:lumMod w14:val="75000"/>
            <w14:lumOff w14:val="25000"/>
          </w14:schemeClr>
        </w14:solidFill>
      </w14:textFill>
    </w:rPr>
  </w:style>
  <w:style w:type="paragraph" w:customStyle="1" w:styleId="40">
    <w:name w:val="正文中卫"/>
    <w:basedOn w:val="1"/>
    <w:qFormat/>
    <w:uiPriority w:val="0"/>
    <w:pPr>
      <w:spacing w:before="50" w:beforeLines="50" w:after="50" w:afterLines="50" w:line="580" w:lineRule="atLeast"/>
      <w:ind w:firstLine="200" w:firstLineChars="200"/>
      <w:jc w:val="both"/>
    </w:pPr>
    <w:rPr>
      <w:rFonts w:ascii="Times New Roman" w:hAnsi="Times New Roman" w:eastAsia="仿宋_GB2312" w:cs="Times New Roman"/>
      <w:bCs/>
      <w:sz w:val="32"/>
      <w:szCs w:val="32"/>
    </w:rPr>
  </w:style>
  <w:style w:type="paragraph" w:styleId="41">
    <w:name w:val="List Paragraph"/>
    <w:basedOn w:val="1"/>
    <w:qFormat/>
    <w:uiPriority w:val="34"/>
    <w:pPr>
      <w:ind w:firstLine="420" w:firstLineChars="200"/>
    </w:pPr>
  </w:style>
  <w:style w:type="paragraph" w:customStyle="1" w:styleId="4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3">
    <w:name w:val="样式 宋体 行距: 1.5 倍行距"/>
    <w:basedOn w:val="1"/>
    <w:qFormat/>
    <w:uiPriority w:val="0"/>
    <w:pPr>
      <w:widowControl w:val="0"/>
      <w:jc w:val="center"/>
    </w:pPr>
    <w:rPr>
      <w:rFonts w:ascii="Calibri" w:hAnsi="Calibri" w:eastAsia="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3041</Words>
  <Characters>3171</Characters>
  <Lines>37</Lines>
  <Paragraphs>10</Paragraphs>
  <TotalTime>2</TotalTime>
  <ScaleCrop>false</ScaleCrop>
  <LinksUpToDate>false</LinksUpToDate>
  <CharactersWithSpaces>3189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2024-11-27T01:03:00Z</dcterms:created>
  <dc:creator>1900017403@pku.edu.cn</dc:creator>
  <cp:lastModifiedBy>振强</cp:lastModifiedBy>
  <dcterms:modified xsi:type="dcterms:W3CDTF">2025-10-17T05:17:16Z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F49CFA168C3543D889FAA1F69C308646_13</vt:lpwstr>
  </property>
  <property fmtid="{D5CDD505-2E9C-101B-9397-08002B2CF9AE}" pid="4" name="KSOTemplateDocerSaveRecord">
    <vt:lpwstr>eyJoZGlkIjoiM2NjNmIzNmE2N2Q4YzRkOTQxYThiZmFjOGI0OGZkMDkiLCJ1c2VySWQiOiI2MjA5NTE1MzYifQ==</vt:lpwstr>
  </property>
</Properties>
</file>