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utlineLvl w:val="9"/>
        <w:rPr>
          <w:rFonts w:hint="eastAsia" w:ascii="宋体" w:hAnsi="宋体" w:cs="宋体"/>
          <w:b/>
          <w:color w:val="auto"/>
          <w:kern w:val="0"/>
          <w:sz w:val="44"/>
          <w:szCs w:val="44"/>
          <w:highlight w:val="none"/>
        </w:rPr>
      </w:pPr>
    </w:p>
    <w:p>
      <w:pPr>
        <w:pStyle w:val="6"/>
        <w:outlineLvl w:val="9"/>
      </w:pPr>
    </w:p>
    <w:p>
      <w:pPr>
        <w:widowControl/>
        <w:snapToGrid w:val="0"/>
        <w:spacing w:line="360" w:lineRule="auto"/>
        <w:ind w:left="-210" w:leftChars="-100" w:right="-210" w:rightChars="-100"/>
        <w:jc w:val="center"/>
        <w:outlineLvl w:val="0"/>
        <w:rPr>
          <w:rFonts w:hint="eastAsia" w:ascii="宋体" w:hAnsi="宋体" w:cs="宋体"/>
          <w:b/>
          <w:color w:val="000000" w:themeColor="text1"/>
          <w:kern w:val="0"/>
          <w:sz w:val="44"/>
          <w:szCs w:val="44"/>
          <w14:textFill>
            <w14:solidFill>
              <w14:schemeClr w14:val="tx1"/>
            </w14:solidFill>
          </w14:textFill>
        </w:rPr>
      </w:pPr>
      <w:bookmarkStart w:id="0" w:name="_Toc21007"/>
      <w:r>
        <w:rPr>
          <w:rFonts w:hint="eastAsia" w:ascii="宋体" w:hAnsi="宋体" w:cs="宋体"/>
          <w:b/>
          <w:color w:val="000000" w:themeColor="text1"/>
          <w:kern w:val="0"/>
          <w:sz w:val="44"/>
          <w:szCs w:val="44"/>
          <w14:textFill>
            <w14:solidFill>
              <w14:schemeClr w14:val="tx1"/>
            </w14:solidFill>
          </w14:textFill>
        </w:rPr>
        <w:t>增城区开发区下沉式再生水厂及配套管网</w:t>
      </w:r>
      <w:bookmarkEnd w:id="0"/>
    </w:p>
    <w:p>
      <w:pPr>
        <w:widowControl/>
        <w:snapToGrid w:val="0"/>
        <w:spacing w:line="360" w:lineRule="auto"/>
        <w:ind w:left="-210" w:leftChars="-100" w:right="-210" w:rightChars="-100"/>
        <w:jc w:val="center"/>
        <w:rPr>
          <w:rFonts w:ascii="宋体" w:hAnsi="宋体" w:cs="宋体"/>
          <w:b/>
          <w:color w:val="000000" w:themeColor="text1"/>
          <w:kern w:val="0"/>
          <w:sz w:val="44"/>
          <w:szCs w:val="44"/>
          <w14:textFill>
            <w14:solidFill>
              <w14:schemeClr w14:val="tx1"/>
            </w14:solidFill>
          </w14:textFill>
        </w:rPr>
      </w:pPr>
      <w:r>
        <w:rPr>
          <w:rFonts w:hint="eastAsia" w:ascii="宋体" w:hAnsi="宋体" w:cs="宋体"/>
          <w:b/>
          <w:color w:val="000000" w:themeColor="text1"/>
          <w:kern w:val="0"/>
          <w:sz w:val="44"/>
          <w:szCs w:val="44"/>
          <w14:textFill>
            <w14:solidFill>
              <w14:schemeClr w14:val="tx1"/>
            </w14:solidFill>
          </w14:textFill>
        </w:rPr>
        <w:t>工程</w:t>
      </w:r>
      <w:r>
        <w:rPr>
          <w:rFonts w:hint="eastAsia" w:ascii="宋体" w:hAnsi="宋体" w:cs="宋体"/>
          <w:b/>
          <w:color w:val="000000" w:themeColor="text1"/>
          <w:kern w:val="0"/>
          <w:sz w:val="44"/>
          <w:szCs w:val="44"/>
          <w:lang w:eastAsia="zh-CN"/>
          <w14:textFill>
            <w14:solidFill>
              <w14:schemeClr w14:val="tx1"/>
            </w14:solidFill>
          </w14:textFill>
        </w:rPr>
        <w:t>勘察及初步设计</w:t>
      </w:r>
      <w:r>
        <w:rPr>
          <w:rFonts w:hint="eastAsia" w:ascii="宋体" w:hAnsi="宋体" w:cs="宋体"/>
          <w:b/>
          <w:color w:val="000000" w:themeColor="text1"/>
          <w:kern w:val="0"/>
          <w:sz w:val="44"/>
          <w:szCs w:val="44"/>
          <w14:textFill>
            <w14:solidFill>
              <w14:schemeClr w14:val="tx1"/>
            </w14:solidFill>
          </w14:textFill>
        </w:rPr>
        <w:t xml:space="preserve"> </w:t>
      </w:r>
    </w:p>
    <w:p>
      <w:pPr>
        <w:widowControl/>
        <w:snapToGrid w:val="0"/>
        <w:spacing w:line="360" w:lineRule="auto"/>
        <w:ind w:left="-210" w:leftChars="-100" w:right="-210" w:rightChars="-100"/>
        <w:jc w:val="center"/>
        <w:rPr>
          <w:rFonts w:ascii="宋体" w:hAnsi="宋体" w:cs="宋体"/>
          <w:b/>
          <w:color w:val="000000" w:themeColor="text1"/>
          <w:kern w:val="0"/>
          <w:sz w:val="44"/>
          <w:szCs w:val="44"/>
          <w14:textFill>
            <w14:solidFill>
              <w14:schemeClr w14:val="tx1"/>
            </w14:solidFill>
          </w14:textFill>
        </w:rPr>
      </w:pPr>
    </w:p>
    <w:p>
      <w:pPr>
        <w:rPr>
          <w:rFonts w:ascii="宋体" w:hAnsi="宋体"/>
          <w:color w:val="000000" w:themeColor="text1"/>
          <w:sz w:val="72"/>
          <w:szCs w:val="72"/>
          <w14:textFill>
            <w14:solidFill>
              <w14:schemeClr w14:val="tx1"/>
            </w14:solidFill>
          </w14:textFill>
        </w:rPr>
      </w:pPr>
    </w:p>
    <w:p>
      <w:pPr>
        <w:jc w:val="center"/>
        <w:rPr>
          <w:rFonts w:ascii="宋体" w:hAnsi="宋体"/>
          <w:color w:val="000000" w:themeColor="text1"/>
          <w:sz w:val="72"/>
          <w:szCs w:val="72"/>
          <w14:textFill>
            <w14:solidFill>
              <w14:schemeClr w14:val="tx1"/>
            </w14:solidFill>
          </w14:textFill>
        </w:rPr>
      </w:pPr>
    </w:p>
    <w:p>
      <w:pPr>
        <w:jc w:val="center"/>
        <w:rPr>
          <w:rFonts w:ascii="宋体" w:hAnsi="宋体"/>
          <w:color w:val="000000" w:themeColor="text1"/>
          <w:sz w:val="72"/>
          <w:szCs w:val="72"/>
          <w14:textFill>
            <w14:solidFill>
              <w14:schemeClr w14:val="tx1"/>
            </w14:solidFill>
          </w14:textFill>
        </w:rPr>
      </w:pPr>
      <w:r>
        <w:rPr>
          <w:rFonts w:hint="eastAsia" w:ascii="宋体" w:hAnsi="宋体"/>
          <w:color w:val="000000" w:themeColor="text1"/>
          <w:sz w:val="72"/>
          <w:szCs w:val="72"/>
          <w14:textFill>
            <w14:solidFill>
              <w14:schemeClr w14:val="tx1"/>
            </w14:solidFill>
          </w14:textFill>
        </w:rPr>
        <w:t xml:space="preserve">招 标 公 告 </w:t>
      </w:r>
    </w:p>
    <w:p>
      <w:pPr>
        <w:jc w:val="center"/>
        <w:rPr>
          <w:rStyle w:val="45"/>
          <w:rFonts w:ascii="宋体" w:hAnsi="宋体"/>
          <w:color w:val="000000" w:themeColor="text1"/>
          <w:sz w:val="48"/>
          <w14:textFill>
            <w14:solidFill>
              <w14:schemeClr w14:val="tx1"/>
            </w14:solidFill>
          </w14:textFill>
        </w:rPr>
      </w:pPr>
    </w:p>
    <w:p>
      <w:pPr>
        <w:jc w:val="center"/>
        <w:rPr>
          <w:rFonts w:ascii="宋体" w:hAnsi="宋体"/>
          <w:color w:val="000000" w:themeColor="text1"/>
          <w:sz w:val="32"/>
          <w:szCs w:val="32"/>
          <w14:textFill>
            <w14:solidFill>
              <w14:schemeClr w14:val="tx1"/>
            </w14:solidFill>
          </w14:textFill>
        </w:rPr>
      </w:pPr>
    </w:p>
    <w:p>
      <w:pPr>
        <w:spacing w:line="400" w:lineRule="exact"/>
        <w:jc w:val="center"/>
        <w:rPr>
          <w:rFonts w:ascii="宋体" w:hAnsi="宋体"/>
          <w:b/>
          <w:color w:val="000000" w:themeColor="text1"/>
          <w:spacing w:val="-20"/>
          <w:sz w:val="72"/>
          <w:szCs w:val="72"/>
          <w14:textFill>
            <w14:solidFill>
              <w14:schemeClr w14:val="tx1"/>
            </w14:solidFill>
          </w14:textFill>
        </w:rPr>
      </w:pPr>
    </w:p>
    <w:p>
      <w:pPr>
        <w:spacing w:line="400" w:lineRule="exact"/>
        <w:jc w:val="center"/>
        <w:rPr>
          <w:rFonts w:ascii="宋体" w:hAnsi="宋体"/>
          <w:color w:val="000000" w:themeColor="text1"/>
          <w14:textFill>
            <w14:solidFill>
              <w14:schemeClr w14:val="tx1"/>
            </w14:solidFill>
          </w14:textFill>
        </w:rPr>
      </w:pPr>
    </w:p>
    <w:p>
      <w:pPr>
        <w:spacing w:line="400" w:lineRule="exact"/>
        <w:jc w:val="center"/>
        <w:rPr>
          <w:rFonts w:ascii="宋体" w:hAnsi="宋体"/>
          <w:color w:val="000000" w:themeColor="text1"/>
          <w14:textFill>
            <w14:solidFill>
              <w14:schemeClr w14:val="tx1"/>
            </w14:solidFill>
          </w14:textFill>
        </w:rPr>
      </w:pPr>
    </w:p>
    <w:p>
      <w:pPr>
        <w:spacing w:line="400" w:lineRule="exact"/>
        <w:jc w:val="center"/>
        <w:rPr>
          <w:rFonts w:ascii="宋体" w:hAnsi="宋体"/>
          <w:color w:val="000000" w:themeColor="text1"/>
          <w14:textFill>
            <w14:solidFill>
              <w14:schemeClr w14:val="tx1"/>
            </w14:solidFill>
          </w14:textFill>
        </w:rPr>
      </w:pPr>
    </w:p>
    <w:p>
      <w:pPr>
        <w:spacing w:line="400" w:lineRule="exact"/>
        <w:jc w:val="center"/>
        <w:rPr>
          <w:rFonts w:ascii="宋体" w:hAnsi="宋体"/>
          <w:color w:val="000000" w:themeColor="text1"/>
          <w14:textFill>
            <w14:solidFill>
              <w14:schemeClr w14:val="tx1"/>
            </w14:solidFill>
          </w14:textFill>
        </w:rPr>
      </w:pPr>
    </w:p>
    <w:p>
      <w:pPr>
        <w:spacing w:line="400" w:lineRule="exact"/>
        <w:jc w:val="center"/>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360" w:lineRule="auto"/>
        <w:ind w:firstLine="1208" w:firstLineChars="376"/>
        <w:outlineLvl w:val="0"/>
        <w:rPr>
          <w:rFonts w:ascii="宋体" w:hAnsi="宋体"/>
          <w:b/>
          <w:bCs/>
          <w:color w:val="000000" w:themeColor="text1"/>
          <w:sz w:val="32"/>
          <w:szCs w:val="32"/>
          <w14:textFill>
            <w14:solidFill>
              <w14:schemeClr w14:val="tx1"/>
            </w14:solidFill>
          </w14:textFill>
        </w:rPr>
      </w:pPr>
      <w:bookmarkStart w:id="1" w:name="_Toc11259"/>
      <w:r>
        <w:rPr>
          <w:rFonts w:hint="eastAsia" w:ascii="宋体" w:hAnsi="宋体"/>
          <w:b/>
          <w:bCs/>
          <w:color w:val="000000" w:themeColor="text1"/>
          <w:sz w:val="32"/>
          <w:szCs w:val="32"/>
          <w14:textFill>
            <w14:solidFill>
              <w14:schemeClr w14:val="tx1"/>
            </w14:solidFill>
          </w14:textFill>
        </w:rPr>
        <w:t>招标人：</w:t>
      </w:r>
      <w:r>
        <w:rPr>
          <w:rFonts w:hint="eastAsia" w:ascii="宋体" w:hAnsi="宋体"/>
          <w:b/>
          <w:bCs/>
          <w:color w:val="000000" w:themeColor="text1"/>
          <w:sz w:val="32"/>
          <w:szCs w:val="32"/>
          <w:lang w:eastAsia="zh-CN"/>
          <w14:textFill>
            <w14:solidFill>
              <w14:schemeClr w14:val="tx1"/>
            </w14:solidFill>
          </w14:textFill>
        </w:rPr>
        <w:t>广州市增城排水有限公司</w:t>
      </w:r>
      <w:bookmarkEnd w:id="1"/>
      <w:r>
        <w:rPr>
          <w:rFonts w:hint="eastAsia" w:ascii="宋体" w:hAnsi="宋体"/>
          <w:b/>
          <w:bCs/>
          <w:color w:val="000000" w:themeColor="text1"/>
          <w:sz w:val="32"/>
          <w:szCs w:val="32"/>
          <w14:textFill>
            <w14:solidFill>
              <w14:schemeClr w14:val="tx1"/>
            </w14:solidFill>
          </w14:textFill>
        </w:rPr>
        <w:t xml:space="preserve"> </w:t>
      </w:r>
    </w:p>
    <w:p>
      <w:pPr>
        <w:spacing w:line="360" w:lineRule="auto"/>
        <w:ind w:firstLine="1208" w:firstLineChars="376"/>
        <w:outlineLvl w:val="0"/>
        <w:rPr>
          <w:rFonts w:hint="eastAsia" w:ascii="宋体" w:hAnsi="宋体" w:eastAsia="宋体" w:cs="宋体"/>
          <w:b/>
          <w:color w:val="000000" w:themeColor="text1"/>
          <w:kern w:val="0"/>
          <w:sz w:val="32"/>
          <w:szCs w:val="32"/>
          <w:lang w:eastAsia="zh-CN"/>
          <w14:textFill>
            <w14:solidFill>
              <w14:schemeClr w14:val="tx1"/>
            </w14:solidFill>
          </w14:textFill>
        </w:rPr>
      </w:pPr>
      <w:bookmarkStart w:id="2" w:name="_Toc32255"/>
      <w:r>
        <w:rPr>
          <w:rFonts w:hint="eastAsia" w:ascii="宋体" w:hAnsi="宋体"/>
          <w:b/>
          <w:bCs/>
          <w:color w:val="000000" w:themeColor="text1"/>
          <w:sz w:val="32"/>
          <w:szCs w:val="32"/>
          <w14:textFill>
            <w14:solidFill>
              <w14:schemeClr w14:val="tx1"/>
            </w14:solidFill>
          </w14:textFill>
        </w:rPr>
        <w:t>招标代理机构：</w:t>
      </w:r>
      <w:r>
        <w:rPr>
          <w:rFonts w:hint="eastAsia" w:ascii="宋体" w:hAnsi="宋体"/>
          <w:b/>
          <w:bCs/>
          <w:color w:val="000000" w:themeColor="text1"/>
          <w:sz w:val="32"/>
          <w:szCs w:val="32"/>
          <w:lang w:eastAsia="zh-CN"/>
          <w14:textFill>
            <w14:solidFill>
              <w14:schemeClr w14:val="tx1"/>
            </w14:solidFill>
          </w14:textFill>
        </w:rPr>
        <w:t>广东省建筑工程监理有限公司</w:t>
      </w:r>
      <w:bookmarkEnd w:id="2"/>
    </w:p>
    <w:p>
      <w:pPr>
        <w:pStyle w:val="35"/>
        <w:spacing w:line="480" w:lineRule="auto"/>
        <w:ind w:firstLine="3534" w:firstLineChars="1100"/>
        <w:rPr>
          <w:b/>
          <w:color w:val="auto"/>
          <w:sz w:val="28"/>
          <w:szCs w:val="28"/>
        </w:rPr>
        <w:sectPr>
          <w:headerReference r:id="rId3" w:type="default"/>
          <w:pgSz w:w="11906" w:h="16838"/>
          <w:pgMar w:top="1440" w:right="1800" w:bottom="1440" w:left="1800" w:header="851" w:footer="992" w:gutter="0"/>
          <w:cols w:space="720" w:num="1"/>
          <w:docGrid w:type="lines" w:linePitch="312" w:charSpace="0"/>
        </w:sectPr>
      </w:pPr>
      <w:r>
        <w:rPr>
          <w:rFonts w:hint="eastAsia"/>
          <w:b/>
          <w:bCs/>
          <w:color w:val="auto"/>
          <w:sz w:val="32"/>
          <w:szCs w:val="32"/>
          <w:u w:val="none"/>
        </w:rPr>
        <w:t>202</w:t>
      </w:r>
      <w:r>
        <w:rPr>
          <w:rFonts w:hint="eastAsia"/>
          <w:b/>
          <w:bCs/>
          <w:color w:val="auto"/>
          <w:sz w:val="32"/>
          <w:szCs w:val="32"/>
          <w:u w:val="none"/>
          <w:lang w:val="en-US" w:eastAsia="zh-CN"/>
        </w:rPr>
        <w:t>3</w:t>
      </w:r>
      <w:r>
        <w:rPr>
          <w:rFonts w:hint="eastAsia"/>
          <w:b/>
          <w:bCs/>
          <w:color w:val="auto"/>
          <w:sz w:val="32"/>
          <w:szCs w:val="32"/>
          <w:u w:val="none"/>
        </w:rPr>
        <w:t>年</w:t>
      </w:r>
      <w:r>
        <w:rPr>
          <w:rFonts w:hint="eastAsia"/>
          <w:b/>
          <w:bCs/>
          <w:color w:val="auto"/>
          <w:sz w:val="32"/>
          <w:szCs w:val="32"/>
          <w:u w:val="none"/>
          <w:lang w:val="en-US" w:eastAsia="zh-CN"/>
        </w:rPr>
        <w:t>2</w:t>
      </w:r>
      <w:r>
        <w:rPr>
          <w:rFonts w:hint="eastAsia"/>
          <w:b/>
          <w:bCs/>
          <w:color w:val="auto"/>
          <w:sz w:val="32"/>
          <w:szCs w:val="32"/>
          <w:u w:val="none"/>
        </w:rPr>
        <w:t>月</w:t>
      </w:r>
    </w:p>
    <w:p>
      <w:pPr>
        <w:jc w:val="center"/>
        <w:outlineLvl w:val="0"/>
        <w:rPr>
          <w:rFonts w:hint="eastAsia" w:ascii="宋体" w:hAnsi="宋体"/>
          <w:b/>
          <w:color w:val="000000" w:themeColor="text1"/>
          <w:sz w:val="32"/>
          <w:szCs w:val="32"/>
          <w:lang w:eastAsia="zh-CN"/>
          <w14:textFill>
            <w14:solidFill>
              <w14:schemeClr w14:val="tx1"/>
            </w14:solidFill>
          </w14:textFill>
        </w:rPr>
      </w:pPr>
      <w:bookmarkStart w:id="3" w:name="_Toc11592"/>
      <w:bookmarkStart w:id="4" w:name="_Toc21504"/>
      <w:bookmarkStart w:id="5" w:name="_Toc29146"/>
      <w:r>
        <w:rPr>
          <w:rFonts w:hint="eastAsia" w:ascii="宋体" w:hAnsi="宋体"/>
          <w:b/>
          <w:color w:val="000000" w:themeColor="text1"/>
          <w:sz w:val="32"/>
          <w:szCs w:val="32"/>
          <w14:textFill>
            <w14:solidFill>
              <w14:schemeClr w14:val="tx1"/>
            </w14:solidFill>
          </w14:textFill>
        </w:rPr>
        <w:t>增城区开发区下沉式再生水厂及配套管网工程</w:t>
      </w:r>
      <w:r>
        <w:rPr>
          <w:rFonts w:hint="eastAsia" w:ascii="宋体" w:hAnsi="宋体"/>
          <w:b/>
          <w:color w:val="000000" w:themeColor="text1"/>
          <w:sz w:val="32"/>
          <w:szCs w:val="32"/>
          <w:lang w:eastAsia="zh-CN"/>
          <w14:textFill>
            <w14:solidFill>
              <w14:schemeClr w14:val="tx1"/>
            </w14:solidFill>
          </w14:textFill>
        </w:rPr>
        <w:t>勘察及初步</w:t>
      </w:r>
    </w:p>
    <w:p>
      <w:pPr>
        <w:jc w:val="center"/>
        <w:outlineLvl w:val="0"/>
        <w:rPr>
          <w:rFonts w:ascii="宋体" w:hAnsi="宋体"/>
          <w:b/>
          <w:color w:val="000000" w:themeColor="text1"/>
          <w:sz w:val="32"/>
          <w:szCs w:val="32"/>
          <w14:textFill>
            <w14:solidFill>
              <w14:schemeClr w14:val="tx1"/>
            </w14:solidFill>
          </w14:textFill>
        </w:rPr>
      </w:pPr>
      <w:bookmarkStart w:id="66" w:name="_GoBack"/>
      <w:bookmarkEnd w:id="66"/>
      <w:r>
        <w:rPr>
          <w:rFonts w:hint="eastAsia" w:ascii="宋体" w:hAnsi="宋体"/>
          <w:b/>
          <w:color w:val="000000" w:themeColor="text1"/>
          <w:sz w:val="32"/>
          <w:szCs w:val="32"/>
          <w:lang w:eastAsia="zh-CN"/>
          <w14:textFill>
            <w14:solidFill>
              <w14:schemeClr w14:val="tx1"/>
            </w14:solidFill>
          </w14:textFill>
        </w:rPr>
        <w:t>设计</w:t>
      </w:r>
      <w:r>
        <w:rPr>
          <w:rFonts w:hint="eastAsia" w:ascii="宋体" w:hAnsi="宋体"/>
          <w:b/>
          <w:color w:val="000000" w:themeColor="text1"/>
          <w:sz w:val="32"/>
          <w:szCs w:val="32"/>
          <w14:textFill>
            <w14:solidFill>
              <w14:schemeClr w14:val="tx1"/>
            </w14:solidFill>
          </w14:textFill>
        </w:rPr>
        <w:t>招标公告</w:t>
      </w:r>
      <w:bookmarkEnd w:id="3"/>
      <w:bookmarkEnd w:id="4"/>
      <w:bookmarkEnd w:id="5"/>
    </w:p>
    <w:p>
      <w:pPr>
        <w:topLinePunct/>
        <w:spacing w:line="560" w:lineRule="exact"/>
        <w:jc w:val="center"/>
        <w:rPr>
          <w:rFonts w:ascii="宋体" w:hAnsi="宋体"/>
          <w:color w:val="000000" w:themeColor="text1"/>
          <w:sz w:val="24"/>
          <w14:textFill>
            <w14:solidFill>
              <w14:schemeClr w14:val="tx1"/>
            </w14:solidFill>
          </w14:textFill>
        </w:rPr>
      </w:pPr>
    </w:p>
    <w:p>
      <w:pPr>
        <w:topLinePunct/>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    项目概况</w:t>
      </w:r>
    </w:p>
    <w:p>
      <w:pPr>
        <w:topLinePunct/>
        <w:spacing w:line="360" w:lineRule="auto"/>
        <w:jc w:val="lef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1.1.1  项目名称：</w:t>
      </w:r>
      <w:r>
        <w:rPr>
          <w:rFonts w:hint="eastAsia" w:ascii="宋体" w:hAnsi="宋体" w:cs="宋体"/>
          <w:color w:val="000000" w:themeColor="text1"/>
          <w:sz w:val="24"/>
          <w:u w:val="single"/>
          <w14:textFill>
            <w14:solidFill>
              <w14:schemeClr w14:val="tx1"/>
            </w14:solidFill>
          </w14:textFill>
        </w:rPr>
        <w:t>增城区开发区下沉式再生水厂及配套管网工程</w:t>
      </w:r>
      <w:r>
        <w:rPr>
          <w:rFonts w:hint="eastAsia" w:ascii="宋体" w:hAnsi="宋体" w:cs="宋体"/>
          <w:color w:val="000000" w:themeColor="text1"/>
          <w:sz w:val="24"/>
          <w:u w:val="single"/>
          <w:lang w:eastAsia="zh-CN"/>
          <w14:textFill>
            <w14:solidFill>
              <w14:schemeClr w14:val="tx1"/>
            </w14:solidFill>
          </w14:textFill>
        </w:rPr>
        <w:t>勘察及初步设计</w:t>
      </w:r>
    </w:p>
    <w:p>
      <w:pPr>
        <w:topLinePunct/>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  工程位置：</w:t>
      </w:r>
      <w:r>
        <w:rPr>
          <w:rFonts w:hint="eastAsia" w:ascii="宋体" w:hAnsi="宋体" w:cs="宋体"/>
          <w:color w:val="000000" w:themeColor="text1"/>
          <w:sz w:val="24"/>
          <w:u w:val="single"/>
          <w14:textFill>
            <w14:solidFill>
              <w14:schemeClr w14:val="tx1"/>
            </w14:solidFill>
          </w14:textFill>
        </w:rPr>
        <w:t>广州市增城区</w:t>
      </w:r>
      <w:r>
        <w:rPr>
          <w:rFonts w:hint="eastAsia" w:ascii="宋体" w:hAnsi="宋体" w:cs="宋体"/>
          <w:color w:val="000000" w:themeColor="text1"/>
          <w:sz w:val="24"/>
          <w:u w:val="single"/>
          <w:lang w:eastAsia="zh-CN"/>
          <w14:textFill>
            <w14:solidFill>
              <w14:schemeClr w14:val="tx1"/>
            </w14:solidFill>
          </w14:textFill>
        </w:rPr>
        <w:t>永宁街长岗村</w:t>
      </w:r>
      <w:r>
        <w:rPr>
          <w:rFonts w:hint="eastAsia" w:ascii="宋体" w:hAnsi="宋体"/>
          <w:color w:val="000000" w:themeColor="text1"/>
          <w:sz w:val="24"/>
          <w14:textFill>
            <w14:solidFill>
              <w14:schemeClr w14:val="tx1"/>
            </w14:solidFill>
          </w14:textFill>
        </w:rPr>
        <w:t>。</w:t>
      </w:r>
    </w:p>
    <w:p>
      <w:pPr>
        <w:wordWrap w:val="0"/>
        <w:topLinePunct/>
        <w:spacing w:line="336" w:lineRule="auto"/>
        <w:ind w:left="720" w:hanging="732" w:hangingChars="3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lang w:eastAsia="zh-CN"/>
          <w14:textFill>
            <w14:solidFill>
              <w14:schemeClr w14:val="tx1"/>
            </w14:solidFill>
          </w14:textFill>
        </w:rPr>
        <w:t>勘察及初步设计</w:t>
      </w:r>
      <w:r>
        <w:rPr>
          <w:rFonts w:hint="eastAsia" w:ascii="宋体" w:hAnsi="宋体"/>
          <w:color w:val="000000" w:themeColor="text1"/>
          <w:sz w:val="24"/>
          <w14:textFill>
            <w14:solidFill>
              <w14:schemeClr w14:val="tx1"/>
            </w14:solidFill>
          </w14:textFill>
        </w:rPr>
        <w:t>范</w:t>
      </w:r>
      <w:r>
        <w:rPr>
          <w:rFonts w:hint="eastAsia" w:ascii="宋体" w:hAnsi="宋体"/>
          <w:color w:val="000000" w:themeColor="text1"/>
          <w:sz w:val="24"/>
          <w:highlight w:val="none"/>
          <w14:textFill>
            <w14:solidFill>
              <w14:schemeClr w14:val="tx1"/>
            </w14:solidFill>
          </w14:textFill>
        </w:rPr>
        <w:t>围：</w:t>
      </w:r>
      <w:r>
        <w:rPr>
          <w:rFonts w:hint="eastAsia" w:ascii="宋体" w:hAnsi="宋体"/>
          <w:color w:val="000000" w:themeColor="text1"/>
          <w:sz w:val="24"/>
          <w:szCs w:val="24"/>
          <w:highlight w:val="none"/>
          <w14:textFill>
            <w14:solidFill>
              <w14:schemeClr w14:val="tx1"/>
            </w14:solidFill>
          </w14:textFill>
        </w:rPr>
        <w:t>主要工作内容包括（但不限于）：</w:t>
      </w:r>
      <w:r>
        <w:rPr>
          <w:rFonts w:hint="eastAsia" w:ascii="宋体" w:hAnsi="宋体"/>
          <w:bCs/>
          <w:sz w:val="24"/>
          <w:highlight w:val="none"/>
          <w:lang w:eastAsia="zh-CN"/>
        </w:rPr>
        <w:t>岩土工程勘察、工程测量、岩土工程物探</w:t>
      </w:r>
      <w:r>
        <w:rPr>
          <w:rFonts w:hint="eastAsia" w:ascii="宋体" w:hAnsi="宋体"/>
          <w:color w:val="000000" w:themeColor="text1"/>
          <w:sz w:val="24"/>
          <w:szCs w:val="24"/>
          <w:highlight w:val="none"/>
          <w14:textFill>
            <w14:solidFill>
              <w14:schemeClr w14:val="tx1"/>
            </w14:solidFill>
          </w14:textFill>
        </w:rPr>
        <w:t>、方案设计</w:t>
      </w:r>
      <w:r>
        <w:rPr>
          <w:rFonts w:hint="eastAsia" w:ascii="宋体" w:hAnsi="宋体"/>
          <w:color w:val="000000" w:themeColor="text1"/>
          <w:sz w:val="24"/>
          <w:szCs w:val="24"/>
          <w:highlight w:val="none"/>
          <w:lang w:eastAsia="zh-CN"/>
          <w14:textFill>
            <w14:solidFill>
              <w14:schemeClr w14:val="tx1"/>
            </w14:solidFill>
          </w14:textFill>
        </w:rPr>
        <w:t>及估算</w:t>
      </w:r>
      <w:r>
        <w:rPr>
          <w:rFonts w:hint="eastAsia" w:ascii="宋体" w:hAnsi="宋体"/>
          <w:color w:val="000000" w:themeColor="text1"/>
          <w:sz w:val="24"/>
          <w:szCs w:val="24"/>
          <w:highlight w:val="none"/>
          <w14:textFill>
            <w14:solidFill>
              <w14:schemeClr w14:val="tx1"/>
            </w14:solidFill>
          </w14:textFill>
        </w:rPr>
        <w:t>、初步设计及概算并办理相关前期报建手续通过相关部门审批</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办理相关前期报建手续。</w:t>
      </w:r>
    </w:p>
    <w:p>
      <w:pPr>
        <w:wordWrap w:val="0"/>
        <w:topLinePunct/>
        <w:spacing w:line="336" w:lineRule="auto"/>
        <w:ind w:left="720" w:hanging="732" w:hangingChars="300"/>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1.1.4  专业内容: </w:t>
      </w:r>
      <w:r>
        <w:rPr>
          <w:rFonts w:hint="eastAsia" w:ascii="宋体" w:hAnsi="宋体" w:cs="MS Mincho"/>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道路工程、</w:t>
      </w:r>
      <w:r>
        <w:rPr>
          <w:rFonts w:hint="eastAsia" w:ascii="宋体" w:hAnsi="宋体" w:cs="MS Mincho"/>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桥梁工程、</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城市隧道工程、</w:t>
      </w:r>
      <w:r>
        <w:rPr>
          <w:rFonts w:hint="eastAsia" w:ascii="宋体" w:hAnsi="宋体" w:cs="MS Gothic"/>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排水工程、</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给水工程、</w:t>
      </w:r>
      <w:r>
        <w:rPr>
          <w:rFonts w:hint="eastAsia" w:ascii="宋体" w:hAnsi="宋体" w:cs="MS Gothic"/>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照明工程、</w:t>
      </w:r>
      <w:r>
        <w:rPr>
          <w:rFonts w:hint="eastAsia" w:ascii="宋体" w:hAnsi="宋体" w:cs="MS Gothic"/>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公共交通工程、</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城镇燃气工程</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热力工程、</w:t>
      </w:r>
      <w:r>
        <w:rPr>
          <w:rFonts w:hint="eastAsia" w:ascii="宋体" w:hAnsi="宋体" w:cs="MS Gothic"/>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相关配套设施工程</w:t>
      </w:r>
      <w:r>
        <w:rPr>
          <w:rFonts w:hint="eastAsia" w:ascii="宋体" w:hAnsi="宋体"/>
          <w:color w:val="000000" w:themeColor="text1"/>
          <w:sz w:val="24"/>
          <w:highlight w:val="none"/>
          <w14:textFill>
            <w14:solidFill>
              <w14:schemeClr w14:val="tx1"/>
            </w14:solidFill>
          </w14:textFill>
        </w:rPr>
        <w:t>。</w:t>
      </w:r>
    </w:p>
    <w:p>
      <w:pPr>
        <w:topLinePunct/>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1.1.5  项目批准文件：</w:t>
      </w:r>
      <w:r>
        <w:rPr>
          <w:rFonts w:hint="eastAsia" w:ascii="宋体" w:hAnsi="宋体"/>
          <w:color w:val="000000" w:themeColor="text1"/>
          <w:sz w:val="24"/>
          <w:highlight w:val="none"/>
          <w:u w:val="single"/>
          <w14:textFill>
            <w14:solidFill>
              <w14:schemeClr w14:val="tx1"/>
            </w14:solidFill>
          </w14:textFill>
        </w:rPr>
        <w:t>/</w:t>
      </w:r>
    </w:p>
    <w:p>
      <w:pPr>
        <w:topLinePunct/>
        <w:spacing w:line="360" w:lineRule="auto"/>
        <w:jc w:val="left"/>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1.1.6  资金来源：</w:t>
      </w:r>
      <w:r>
        <w:rPr>
          <w:rFonts w:hint="eastAsia" w:ascii="宋体" w:hAnsi="宋体"/>
          <w:strike w:val="0"/>
          <w:dstrike w:val="0"/>
          <w:color w:val="000000" w:themeColor="text1"/>
          <w:sz w:val="24"/>
          <w:highlight w:val="none"/>
          <w:u w:val="single"/>
          <w:lang w:val="en-US" w:eastAsia="zh-CN"/>
          <w14:textFill>
            <w14:solidFill>
              <w14:schemeClr w14:val="tx1"/>
            </w14:solidFill>
          </w14:textFill>
        </w:rPr>
        <w:t>由广州市增城排水有限公司自筹</w:t>
      </w:r>
      <w:r>
        <w:rPr>
          <w:color w:val="000000" w:themeColor="text1"/>
          <w:highlight w:val="none"/>
          <w14:textFill>
            <w14:solidFill>
              <w14:schemeClr w14:val="tx1"/>
            </w14:solidFill>
          </w14:textFill>
        </w:rPr>
        <w:t>。</w:t>
      </w:r>
    </w:p>
    <w:p>
      <w:pPr>
        <w:topLinePunct/>
        <w:spacing w:line="360" w:lineRule="auto"/>
        <w:jc w:val="both"/>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1.1.7  建设规模：</w:t>
      </w:r>
      <w:r>
        <w:rPr>
          <w:rFonts w:hint="eastAsia" w:ascii="宋体" w:hAnsi="宋体" w:cs="宋体"/>
          <w:color w:val="000000" w:themeColor="text1"/>
          <w:sz w:val="24"/>
          <w:highlight w:val="none"/>
          <w:u w:val="single"/>
          <w14:textFill>
            <w14:solidFill>
              <w14:schemeClr w14:val="tx1"/>
            </w14:solidFill>
          </w14:textFill>
        </w:rPr>
        <w:t>本工程在永宁街长岗村创誉路与永和河交界的西南角，厂区建设征用地</w:t>
      </w:r>
      <w:r>
        <w:rPr>
          <w:rFonts w:hint="eastAsia" w:ascii="宋体" w:hAnsi="宋体" w:cs="宋体"/>
          <w:color w:val="000000" w:themeColor="text1"/>
          <w:sz w:val="24"/>
          <w:highlight w:val="none"/>
          <w:u w:val="single"/>
          <w:lang w:eastAsia="zh-CN"/>
          <w14:textFill>
            <w14:solidFill>
              <w14:schemeClr w14:val="tx1"/>
            </w14:solidFill>
          </w14:textFill>
        </w:rPr>
        <w:t>约</w:t>
      </w:r>
      <w:r>
        <w:rPr>
          <w:rFonts w:hint="eastAsia" w:ascii="宋体" w:hAnsi="宋体" w:cs="宋体"/>
          <w:color w:val="000000" w:themeColor="text1"/>
          <w:sz w:val="24"/>
          <w:highlight w:val="none"/>
          <w:u w:val="single"/>
          <w14:textFill>
            <w14:solidFill>
              <w14:schemeClr w14:val="tx1"/>
            </w14:solidFill>
          </w14:textFill>
        </w:rPr>
        <w:t>100亩，新建开发区下沉式污水处理厂，采用全地下布置形式，近期总建设规模15万m³/d,生活污水厂设计规模10万m³/d（土建一次性完成，设备分阶段安装，一阶段安装设备 7.5万m³/d,二阶段再安装设备2.</w:t>
      </w:r>
      <w:r>
        <w:rPr>
          <w:rFonts w:hint="eastAsia" w:ascii="宋体" w:hAnsi="宋体" w:cs="宋体"/>
          <w:color w:val="auto"/>
          <w:sz w:val="24"/>
          <w:highlight w:val="none"/>
          <w:u w:val="single"/>
        </w:rPr>
        <w:t>5万m³/d，本工程不考虑二阶段相关设备选型及费用等），工业废水厂5万m³/d；</w:t>
      </w:r>
      <w:r>
        <w:rPr>
          <w:rFonts w:hint="eastAsia" w:hAnsi="宋体" w:cs="宋体"/>
          <w:color w:val="auto"/>
          <w:sz w:val="24"/>
          <w:szCs w:val="24"/>
          <w:highlight w:val="none"/>
          <w:u w:val="single"/>
        </w:rPr>
        <w:t>新建配套管网</w:t>
      </w:r>
      <w:r>
        <w:rPr>
          <w:rFonts w:hint="eastAsia" w:hAnsi="宋体" w:cs="宋体"/>
          <w:color w:val="auto"/>
          <w:sz w:val="24"/>
          <w:szCs w:val="24"/>
          <w:highlight w:val="none"/>
          <w:u w:val="single"/>
          <w:lang w:val="en-US" w:eastAsia="zh-CN"/>
        </w:rPr>
        <w:t>约</w:t>
      </w:r>
      <w:r>
        <w:rPr>
          <w:rFonts w:hint="eastAsia" w:hAnsi="宋体" w:cs="宋体"/>
          <w:color w:val="auto"/>
          <w:sz w:val="24"/>
          <w:szCs w:val="24"/>
          <w:highlight w:val="none"/>
          <w:u w:val="single"/>
        </w:rPr>
        <w:t>18.</w:t>
      </w:r>
      <w:r>
        <w:rPr>
          <w:rFonts w:hint="eastAsia" w:hAnsi="宋体" w:cs="宋体"/>
          <w:color w:val="auto"/>
          <w:sz w:val="24"/>
          <w:szCs w:val="24"/>
          <w:highlight w:val="none"/>
          <w:u w:val="single"/>
          <w:lang w:val="en-US" w:eastAsia="zh-CN"/>
        </w:rPr>
        <w:t>2</w:t>
      </w:r>
      <w:r>
        <w:rPr>
          <w:rFonts w:hint="eastAsia" w:hAnsi="宋体" w:cs="宋体"/>
          <w:color w:val="auto"/>
          <w:sz w:val="24"/>
          <w:szCs w:val="24"/>
          <w:highlight w:val="none"/>
          <w:u w:val="single"/>
        </w:rPr>
        <w:t>公里，包含d1350~d1500生活污水管</w:t>
      </w:r>
      <w:r>
        <w:rPr>
          <w:rFonts w:hint="eastAsia" w:hAnsi="宋体" w:cs="宋体"/>
          <w:color w:val="auto"/>
          <w:sz w:val="24"/>
          <w:szCs w:val="24"/>
          <w:highlight w:val="none"/>
          <w:u w:val="single"/>
          <w:lang w:val="en-US" w:eastAsia="zh-CN"/>
        </w:rPr>
        <w:t>约</w:t>
      </w:r>
      <w:r>
        <w:rPr>
          <w:rFonts w:hint="eastAsia" w:hAnsi="宋体" w:cs="宋体"/>
          <w:color w:val="auto"/>
          <w:sz w:val="24"/>
          <w:szCs w:val="24"/>
          <w:highlight w:val="none"/>
          <w:u w:val="single"/>
        </w:rPr>
        <w:t>8.4公里，d800~d1500工业废水管</w:t>
      </w:r>
      <w:r>
        <w:rPr>
          <w:rFonts w:hint="eastAsia" w:hAnsi="宋体" w:cs="宋体"/>
          <w:color w:val="auto"/>
          <w:sz w:val="24"/>
          <w:szCs w:val="24"/>
          <w:highlight w:val="none"/>
          <w:u w:val="single"/>
          <w:lang w:val="en-US" w:eastAsia="zh-CN"/>
        </w:rPr>
        <w:t>约</w:t>
      </w:r>
      <w:r>
        <w:rPr>
          <w:rFonts w:hint="eastAsia" w:hAnsi="宋体" w:cs="宋体"/>
          <w:color w:val="auto"/>
          <w:sz w:val="24"/>
          <w:szCs w:val="24"/>
          <w:highlight w:val="none"/>
          <w:u w:val="single"/>
        </w:rPr>
        <w:t>5.8公里，生活污水厂DN1500尾水排放管约50米，工业废水厂DN800尾水排放管约</w:t>
      </w:r>
      <w:r>
        <w:rPr>
          <w:rFonts w:hint="eastAsia" w:hAnsi="宋体" w:cs="宋体"/>
          <w:color w:val="auto"/>
          <w:sz w:val="24"/>
          <w:szCs w:val="24"/>
          <w:highlight w:val="none"/>
          <w:u w:val="single"/>
          <w:lang w:val="en-US" w:eastAsia="zh-CN"/>
        </w:rPr>
        <w:t>3.9</w:t>
      </w:r>
      <w:r>
        <w:rPr>
          <w:rFonts w:hint="eastAsia" w:hAnsi="宋体" w:cs="宋体"/>
          <w:color w:val="auto"/>
          <w:sz w:val="24"/>
          <w:szCs w:val="24"/>
          <w:highlight w:val="none"/>
          <w:u w:val="single"/>
        </w:rPr>
        <w:t>公里</w:t>
      </w:r>
      <w:r>
        <w:rPr>
          <w:rFonts w:hint="eastAsia" w:hAnsi="宋体" w:cs="宋体"/>
          <w:sz w:val="24"/>
          <w:szCs w:val="24"/>
          <w:highlight w:val="none"/>
          <w:u w:val="single"/>
          <w:lang w:eastAsia="zh-CN"/>
        </w:rPr>
        <w:t>。</w:t>
      </w:r>
      <w:r>
        <w:rPr>
          <w:rFonts w:hint="eastAsia" w:ascii="宋体" w:hAnsi="宋体" w:cs="宋体"/>
          <w:color w:val="000000" w:themeColor="text1"/>
          <w:sz w:val="24"/>
          <w:highlight w:val="none"/>
          <w:u w:val="single"/>
          <w14:textFill>
            <w14:solidFill>
              <w14:schemeClr w14:val="tx1"/>
            </w14:solidFill>
          </w14:textFill>
        </w:rPr>
        <w:t>本工程服务范围为永宁街道，宁西街道和增城区技术开发区，服务面积104.14平方公里。项目总投资估算约</w:t>
      </w:r>
      <w:r>
        <w:rPr>
          <w:rFonts w:hint="eastAsia" w:ascii="宋体" w:hAnsi="宋体" w:cs="宋体"/>
          <w:color w:val="auto"/>
          <w:sz w:val="24"/>
          <w:highlight w:val="none"/>
          <w:u w:val="single"/>
        </w:rPr>
        <w:t>201372.83</w:t>
      </w:r>
      <w:r>
        <w:rPr>
          <w:rFonts w:hint="eastAsia" w:ascii="宋体" w:hAnsi="宋体" w:cs="宋体"/>
          <w:color w:val="000000" w:themeColor="text1"/>
          <w:sz w:val="24"/>
          <w:highlight w:val="none"/>
          <w:u w:val="single"/>
          <w14:textFill>
            <w14:solidFill>
              <w14:schemeClr w14:val="tx1"/>
            </w14:solidFill>
          </w14:textFill>
        </w:rPr>
        <w:t>万元，建安费约</w:t>
      </w:r>
      <w:r>
        <w:rPr>
          <w:rFonts w:hint="eastAsia" w:ascii="宋体" w:hAnsi="宋体" w:cs="宋体"/>
          <w:color w:val="auto"/>
          <w:sz w:val="24"/>
          <w:highlight w:val="none"/>
          <w:u w:val="single"/>
          <w:lang w:val="en-US" w:eastAsia="zh-CN"/>
        </w:rPr>
        <w:t>156516.31</w:t>
      </w:r>
      <w:r>
        <w:rPr>
          <w:rFonts w:hint="eastAsia" w:ascii="宋体" w:hAnsi="宋体" w:cs="宋体"/>
          <w:color w:val="000000" w:themeColor="text1"/>
          <w:sz w:val="24"/>
          <w:highlight w:val="none"/>
          <w:u w:val="single"/>
          <w14:textFill>
            <w14:solidFill>
              <w14:schemeClr w14:val="tx1"/>
            </w14:solidFill>
          </w14:textFill>
        </w:rPr>
        <w:t>万元。</w:t>
      </w:r>
    </w:p>
    <w:p>
      <w:pPr>
        <w:topLinePunct/>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1.1.8  设计合理使用年限：</w:t>
      </w:r>
      <w:r>
        <w:rPr>
          <w:rFonts w:hint="eastAsia" w:ascii="宋体" w:hAnsi="宋体"/>
          <w:color w:val="000000" w:themeColor="text1"/>
          <w:sz w:val="24"/>
          <w:highlight w:val="none"/>
          <w:u w:val="single"/>
          <w14:textFill>
            <w14:solidFill>
              <w14:schemeClr w14:val="tx1"/>
            </w14:solidFill>
          </w14:textFill>
        </w:rPr>
        <w:t>按规范要求</w:t>
      </w:r>
      <w:r>
        <w:rPr>
          <w:rFonts w:hint="eastAsia" w:ascii="宋体" w:hAnsi="宋体"/>
          <w:color w:val="000000" w:themeColor="text1"/>
          <w:sz w:val="24"/>
          <w:highlight w:val="none"/>
          <w14:textFill>
            <w14:solidFill>
              <w14:schemeClr w14:val="tx1"/>
            </w14:solidFill>
          </w14:textFill>
        </w:rPr>
        <w:t>。</w:t>
      </w:r>
    </w:p>
    <w:p>
      <w:pPr>
        <w:topLinePunct/>
        <w:spacing w:line="360" w:lineRule="auto"/>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1.1.9  招标范围：■工程勘察（■岩土工程勘察、■工程测量、■</w:t>
      </w:r>
      <w:r>
        <w:rPr>
          <w:rFonts w:hint="eastAsia" w:ascii="宋体" w:hAnsi="宋体"/>
          <w:color w:val="000000" w:themeColor="text1"/>
          <w:sz w:val="24"/>
          <w:highlight w:val="none"/>
          <w:lang w:eastAsia="zh-CN"/>
          <w14:textFill>
            <w14:solidFill>
              <w14:schemeClr w14:val="tx1"/>
            </w14:solidFill>
          </w14:textFill>
        </w:rPr>
        <w:t>岩土</w:t>
      </w:r>
      <w:r>
        <w:rPr>
          <w:rFonts w:hint="eastAsia" w:ascii="宋体" w:hAnsi="宋体"/>
          <w:color w:val="000000" w:themeColor="text1"/>
          <w:sz w:val="24"/>
          <w:highlight w:val="none"/>
          <w14:textFill>
            <w14:solidFill>
              <w14:schemeClr w14:val="tx1"/>
            </w14:solidFill>
          </w14:textFill>
        </w:rPr>
        <w:t>工程物探</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■工程</w:t>
      </w:r>
      <w:r>
        <w:rPr>
          <w:rFonts w:hint="eastAsia" w:ascii="宋体" w:hAnsi="宋体"/>
          <w:color w:val="000000" w:themeColor="text1"/>
          <w:sz w:val="24"/>
          <w:highlight w:val="none"/>
          <w:lang w:eastAsia="zh-CN"/>
          <w14:textFill>
            <w14:solidFill>
              <w14:schemeClr w14:val="tx1"/>
            </w14:solidFill>
          </w14:textFill>
        </w:rPr>
        <w:t>设计</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初步</w:t>
      </w:r>
      <w:r>
        <w:rPr>
          <w:rFonts w:hint="eastAsia" w:ascii="宋体" w:hAnsi="宋体"/>
          <w:color w:val="auto"/>
          <w:sz w:val="24"/>
          <w:highlight w:val="none"/>
          <w:lang w:eastAsia="zh-CN"/>
        </w:rPr>
        <w:t>设计及服</w:t>
      </w:r>
      <w:r>
        <w:rPr>
          <w:rFonts w:hint="eastAsia" w:ascii="宋体" w:hAnsi="宋体"/>
          <w:color w:val="000000" w:themeColor="text1"/>
          <w:sz w:val="24"/>
          <w:highlight w:val="none"/>
          <w:lang w:eastAsia="zh-CN"/>
          <w14:textFill>
            <w14:solidFill>
              <w14:schemeClr w14:val="tx1"/>
            </w14:solidFill>
          </w14:textFill>
        </w:rPr>
        <w:t>务（</w:t>
      </w:r>
      <w:r>
        <w:rPr>
          <w:rFonts w:hint="eastAsia" w:ascii="宋体" w:hAnsi="宋体"/>
          <w:color w:val="000000" w:themeColor="text1"/>
          <w:sz w:val="24"/>
          <w:highlight w:val="none"/>
          <w14:textFill>
            <w14:solidFill>
              <w14:schemeClr w14:val="tx1"/>
            </w14:solidFill>
          </w14:textFill>
        </w:rPr>
        <w:t>■方案设计及估算、■初步设计及概算、■办理相关前期报建手续</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■现场服务</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pPr>
        <w:topLinePunct/>
        <w:spacing w:line="360" w:lineRule="auto"/>
        <w:jc w:val="lef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1.1.10  前期服务机构名称：</w:t>
      </w:r>
      <w:r>
        <w:rPr>
          <w:rFonts w:hint="eastAsia" w:ascii="宋体" w:hAnsi="宋体" w:cs="宋体"/>
          <w:color w:val="000000" w:themeColor="text1"/>
          <w:sz w:val="24"/>
          <w:highlight w:val="none"/>
          <w:u w:val="single"/>
          <w14:textFill>
            <w14:solidFill>
              <w14:schemeClr w14:val="tx1"/>
            </w14:solidFill>
          </w14:textFill>
        </w:rPr>
        <w:t>广东华纬工程咨询有限公司（可行性研究报告编制单位）</w:t>
      </w:r>
      <w:r>
        <w:rPr>
          <w:rFonts w:hint="eastAsia" w:ascii="宋体" w:hAnsi="宋体" w:cs="宋体"/>
          <w:color w:val="000000" w:themeColor="text1"/>
          <w:sz w:val="24"/>
          <w:highlight w:val="none"/>
          <w14:textFill>
            <w14:solidFill>
              <w14:schemeClr w14:val="tx1"/>
            </w14:solidFill>
          </w14:textFill>
        </w:rPr>
        <w:t>。</w:t>
      </w:r>
    </w:p>
    <w:p>
      <w:pPr>
        <w:topLinePunct/>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[注释] 如果前期服务机构参加本次投标，应将本公告发布前最终完成的工作成果（含电子文件）在投标人获取招标文件的同时提供给所有投标人参考，否则前期参与的服务机构中标无效。</w:t>
      </w:r>
    </w:p>
    <w:p>
      <w:pPr>
        <w:topLinePunct/>
        <w:spacing w:line="360" w:lineRule="auto"/>
        <w:rPr>
          <w:rFonts w:ascii="宋体" w:hAnsi="宋体"/>
          <w:b/>
          <w:color w:val="000000" w:themeColor="text1"/>
          <w:sz w:val="24"/>
          <w:highlight w:val="none"/>
          <w14:textFill>
            <w14:solidFill>
              <w14:schemeClr w14:val="tx1"/>
            </w14:solidFill>
          </w14:textFill>
        </w:rPr>
      </w:pPr>
    </w:p>
    <w:p>
      <w:pPr>
        <w:topLinePunct/>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1.2   资格审查合格条件</w:t>
      </w:r>
    </w:p>
    <w:p>
      <w:pPr>
        <w:topLinePunct/>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  投标人参加投标的意思表达清楚，投标人代表被授权有效。</w:t>
      </w:r>
    </w:p>
    <w:p>
      <w:pPr>
        <w:topLinePunct/>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  投标人具有独立法人资格，持有工商行政管理部门核发的法人营业执照，按国家法律经营。</w:t>
      </w:r>
    </w:p>
    <w:p>
      <w:pPr>
        <w:topLinePunct/>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1.2.3  投标人须</w:t>
      </w:r>
      <w:r>
        <w:rPr>
          <w:rFonts w:hint="eastAsia" w:ascii="宋体" w:hAnsi="宋体"/>
          <w:color w:val="000000" w:themeColor="text1"/>
          <w:sz w:val="24"/>
          <w:highlight w:val="none"/>
          <w:u w:val="single"/>
          <w14:textFill>
            <w14:solidFill>
              <w14:schemeClr w14:val="tx1"/>
            </w14:solidFill>
          </w14:textFill>
        </w:rPr>
        <w:t>同时</w:t>
      </w:r>
      <w:r>
        <w:rPr>
          <w:rFonts w:hint="eastAsia" w:ascii="宋体" w:hAnsi="宋体"/>
          <w:color w:val="000000" w:themeColor="text1"/>
          <w:sz w:val="24"/>
          <w:highlight w:val="none"/>
          <w14:textFill>
            <w14:solidFill>
              <w14:schemeClr w14:val="tx1"/>
            </w14:solidFill>
          </w14:textFill>
        </w:rPr>
        <w:t>具备建设行政主管部门颁发的</w:t>
      </w:r>
      <w:r>
        <w:rPr>
          <w:rFonts w:hint="eastAsia" w:ascii="宋体" w:hAnsi="宋体"/>
          <w:color w:val="000000" w:themeColor="text1"/>
          <w:sz w:val="24"/>
          <w:highlight w:val="none"/>
          <w:u w:val="single"/>
          <w14:textFill>
            <w14:solidFill>
              <w14:schemeClr w14:val="tx1"/>
            </w14:solidFill>
          </w14:textFill>
        </w:rPr>
        <w:t>①和②资质：</w:t>
      </w:r>
    </w:p>
    <w:p>
      <w:pPr>
        <w:topLinePunct/>
        <w:spacing w:line="360" w:lineRule="auto"/>
        <w:ind w:firstLine="488"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①工程设计综合类甲级资质，或市政行业设计</w:t>
      </w:r>
      <w:r>
        <w:rPr>
          <w:rFonts w:hint="eastAsia" w:ascii="宋体" w:hAnsi="宋体"/>
          <w:color w:val="000000" w:themeColor="text1"/>
          <w:sz w:val="24"/>
          <w:highlight w:val="none"/>
          <w:u w:val="single"/>
          <w:lang w:eastAsia="zh-CN"/>
          <w14:textFill>
            <w14:solidFill>
              <w14:schemeClr w14:val="tx1"/>
            </w14:solidFill>
          </w14:textFill>
        </w:rPr>
        <w:t>甲</w:t>
      </w:r>
      <w:r>
        <w:rPr>
          <w:rFonts w:hint="eastAsia" w:ascii="宋体" w:hAnsi="宋体"/>
          <w:color w:val="000000" w:themeColor="text1"/>
          <w:sz w:val="24"/>
          <w:highlight w:val="none"/>
          <w:u w:val="single"/>
          <w14:textFill>
            <w14:solidFill>
              <w14:schemeClr w14:val="tx1"/>
            </w14:solidFill>
          </w14:textFill>
        </w:rPr>
        <w:t>级（或以上）资质，或市政行业设计（</w:t>
      </w:r>
      <w:r>
        <w:rPr>
          <w:rFonts w:hint="eastAsia" w:ascii="宋体" w:hAnsi="宋体"/>
          <w:color w:val="000000" w:themeColor="text1"/>
          <w:sz w:val="24"/>
          <w:highlight w:val="none"/>
          <w:u w:val="single"/>
          <w:lang w:val="en-US" w:eastAsia="zh-CN"/>
          <w14:textFill>
            <w14:solidFill>
              <w14:schemeClr w14:val="tx1"/>
            </w14:solidFill>
          </w14:textFill>
        </w:rPr>
        <w:t>排</w:t>
      </w:r>
      <w:r>
        <w:rPr>
          <w:rFonts w:hint="eastAsia" w:ascii="宋体" w:hAnsi="宋体"/>
          <w:color w:val="000000" w:themeColor="text1"/>
          <w:sz w:val="24"/>
          <w:highlight w:val="none"/>
          <w:u w:val="single"/>
          <w14:textFill>
            <w14:solidFill>
              <w14:schemeClr w14:val="tx1"/>
            </w14:solidFill>
          </w14:textFill>
        </w:rPr>
        <w:t>水工程）专业</w:t>
      </w:r>
      <w:r>
        <w:rPr>
          <w:rFonts w:hint="eastAsia" w:ascii="宋体" w:hAnsi="宋体"/>
          <w:color w:val="000000" w:themeColor="text1"/>
          <w:sz w:val="24"/>
          <w:highlight w:val="none"/>
          <w:u w:val="single"/>
          <w:lang w:eastAsia="zh-CN"/>
          <w14:textFill>
            <w14:solidFill>
              <w14:schemeClr w14:val="tx1"/>
            </w14:solidFill>
          </w14:textFill>
        </w:rPr>
        <w:t>甲</w:t>
      </w:r>
      <w:r>
        <w:rPr>
          <w:rFonts w:hint="eastAsia" w:ascii="宋体" w:hAnsi="宋体"/>
          <w:color w:val="000000" w:themeColor="text1"/>
          <w:sz w:val="24"/>
          <w:highlight w:val="none"/>
          <w:u w:val="single"/>
          <w14:textFill>
            <w14:solidFill>
              <w14:schemeClr w14:val="tx1"/>
            </w14:solidFill>
          </w14:textFill>
        </w:rPr>
        <w:t>级（或以上）资质；</w:t>
      </w:r>
    </w:p>
    <w:p>
      <w:pPr>
        <w:topLinePunct/>
        <w:spacing w:line="360" w:lineRule="auto"/>
        <w:ind w:firstLine="488"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②工程勘察综合资质甲级，或同时具备工程勘察（岩土工程）专业甲级资质和工程勘察（工程测量）专业甲级资质，或同时具备工程勘察岩土工程（分项：岩土工程勘察）专业甲级资质和工程勘察（工程测量）专业甲级资质；</w:t>
      </w:r>
    </w:p>
    <w:p>
      <w:pPr>
        <w:topLinePunct/>
        <w:spacing w:line="360" w:lineRule="auto"/>
        <w:ind w:firstLine="488"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香港企业独立参加投标的，须在广东省住房和城乡建设主管部门备案且备案的业务范围满足本项目的资质要求。</w:t>
      </w:r>
    </w:p>
    <w:p>
      <w:pPr>
        <w:topLinePunct/>
        <w:spacing w:line="360" w:lineRule="auto"/>
        <w:ind w:firstLine="488"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外国或澳门、台湾的设计企业必须选择一家符合上述条件的企业进行合作设计。香港企业如不单独参加投标，也必须选择一家符合上述条件的企业进行合作设计。</w:t>
      </w:r>
    </w:p>
    <w:p>
      <w:pPr>
        <w:pStyle w:val="110"/>
        <w:autoSpaceDN w:val="0"/>
        <w:spacing w:line="360" w:lineRule="auto"/>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注释]（1）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要求同时具备2项或以上资质证书的，申请人可以组成联合体投标。工程勘察、工程设计企业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执行。</w:t>
      </w:r>
    </w:p>
    <w:p>
      <w:pPr>
        <w:pStyle w:val="110"/>
        <w:autoSpaceDN w:val="0"/>
        <w:spacing w:line="360" w:lineRule="auto"/>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（2）</w:t>
      </w:r>
      <w:r>
        <w:rPr>
          <w:rFonts w:hint="eastAsia" w:ascii="宋体" w:hAnsi="宋体" w:eastAsia="宋体"/>
          <w:color w:val="000000" w:themeColor="text1"/>
          <w:spacing w:val="-6"/>
          <w:sz w:val="24"/>
          <w:highlight w:val="none"/>
          <w:u w:val="single"/>
          <w14:textFill>
            <w14:solidFill>
              <w14:schemeClr w14:val="tx1"/>
            </w14:solidFill>
          </w14:textFill>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w:t>
      </w:r>
    </w:p>
    <w:p>
      <w:pPr>
        <w:topLinePunct/>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1.2.4  申请人已在广州公共资源交易中心办理企业信息登记，本项目负责人是本企业在广州公共资源交易中心企业信息登记中的在册人员。</w:t>
      </w:r>
    </w:p>
    <w:p>
      <w:pPr>
        <w:topLinePunct/>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1.2.5  申请人委派的项目负责人须具备</w:t>
      </w:r>
      <w:r>
        <w:rPr>
          <w:rFonts w:hint="eastAsia" w:ascii="宋体" w:hAnsi="宋体"/>
          <w:color w:val="000000" w:themeColor="text1"/>
          <w:sz w:val="24"/>
          <w:highlight w:val="none"/>
          <w:u w:val="single"/>
          <w14:textFill>
            <w14:solidFill>
              <w14:schemeClr w14:val="tx1"/>
            </w14:solidFill>
          </w14:textFill>
        </w:rPr>
        <w:t>给排水专业（含相近专业）高级（或以上）工程师职称，需提供由投标人所在地的社会保险机构出具的有关投标人为其缴纳连续近6个月（2022年</w:t>
      </w:r>
      <w:r>
        <w:rPr>
          <w:rFonts w:hint="eastAsia" w:ascii="宋体" w:hAnsi="宋体"/>
          <w:color w:val="000000" w:themeColor="text1"/>
          <w:sz w:val="24"/>
          <w:highlight w:val="none"/>
          <w:u w:val="single"/>
          <w:lang w:val="en-US" w:eastAsia="zh-CN"/>
          <w14:textFill>
            <w14:solidFill>
              <w14:schemeClr w14:val="tx1"/>
            </w14:solidFill>
          </w14:textFill>
        </w:rPr>
        <w:t>8</w:t>
      </w:r>
      <w:r>
        <w:rPr>
          <w:rFonts w:hint="eastAsia" w:ascii="宋体" w:hAnsi="宋体"/>
          <w:color w:val="000000" w:themeColor="text1"/>
          <w:sz w:val="24"/>
          <w:highlight w:val="none"/>
          <w:u w:val="single"/>
          <w14:textFill>
            <w14:solidFill>
              <w14:schemeClr w14:val="tx1"/>
            </w14:solidFill>
          </w14:textFill>
        </w:rPr>
        <w:t>月至</w:t>
      </w:r>
      <w:r>
        <w:rPr>
          <w:rFonts w:hint="eastAsia" w:ascii="宋体" w:hAnsi="宋体"/>
          <w:color w:val="000000" w:themeColor="text1"/>
          <w:sz w:val="24"/>
          <w:highlight w:val="none"/>
          <w:u w:val="single"/>
          <w:lang w:eastAsia="zh-CN"/>
          <w14:textFill>
            <w14:solidFill>
              <w14:schemeClr w14:val="tx1"/>
            </w14:solidFill>
          </w14:textFill>
        </w:rPr>
        <w:t>2023</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月）社会保险费用的证明，或在广东省住房和城乡建设主管部门备案且备案的业务范围符合本招标项目对项目负责人要求的香港专业人士。</w:t>
      </w:r>
    </w:p>
    <w:p>
      <w:pPr>
        <w:topLinePunct/>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[注释]：香港专业人士的备案业务范围依据《广东省住房和城乡建设厅关于印发香港工程建设咨询企业和专业人士在粤港澳大湾区内地城市开业执业试点管理暂行办法的通知》（粤建规范〔2020〕1号）确定。</w:t>
      </w:r>
    </w:p>
    <w:p>
      <w:pPr>
        <w:topLinePunct/>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1.2.6  申请人没有处于被本地建设行政主管部门取消投标资格的处罚期内；</w:t>
      </w:r>
    </w:p>
    <w:p>
      <w:pPr>
        <w:topLinePunct/>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1.2.7  投标申请人业绩要求（</w:t>
      </w: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color w:val="000000" w:themeColor="text1"/>
          <w:sz w:val="24"/>
          <w:highlight w:val="none"/>
          <w14:textFill>
            <w14:solidFill>
              <w14:schemeClr w14:val="tx1"/>
            </w14:solidFill>
          </w14:textFill>
        </w:rPr>
        <w:t>需要/</w:t>
      </w:r>
      <w:r>
        <w:rPr>
          <w:rFonts w:hint="eastAsia" w:ascii="宋体" w:hAnsi="宋体" w:cs="MS Gothic"/>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不需要）；</w:t>
      </w:r>
    </w:p>
    <w:p>
      <w:pPr>
        <w:topLinePunct/>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1.2.8  项目负责人业绩要求（□需要/</w:t>
      </w:r>
      <w:r>
        <w:rPr>
          <w:rFonts w:hint="eastAsia" w:ascii="宋体" w:hAnsi="宋体" w:cs="MS Gothic"/>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不需要）；</w:t>
      </w:r>
    </w:p>
    <w:p>
      <w:pPr>
        <w:topLinePunct/>
        <w:spacing w:line="360" w:lineRule="auto"/>
        <w:rPr>
          <w:rFonts w:ascii="宋体" w:hAnsi="宋体"/>
          <w:color w:val="000000" w:themeColor="text1"/>
          <w:sz w:val="24"/>
          <w:highlight w:val="none"/>
          <w14:textFill>
            <w14:solidFill>
              <w14:schemeClr w14:val="tx1"/>
            </w14:solidFill>
          </w14:textFill>
        </w:rPr>
      </w:pPr>
      <w:bookmarkStart w:id="6" w:name="_Toc266881397"/>
      <w:bookmarkStart w:id="7" w:name="_Toc249846223"/>
      <w:bookmarkStart w:id="8" w:name="_Toc249845968"/>
      <w:bookmarkStart w:id="9" w:name="_Toc253143216"/>
      <w:bookmarkStart w:id="10" w:name="_Toc245023997"/>
      <w:bookmarkStart w:id="11" w:name="_Toc266093545"/>
      <w:r>
        <w:rPr>
          <w:rFonts w:hint="eastAsia" w:ascii="宋体" w:hAnsi="宋体"/>
          <w:color w:val="000000" w:themeColor="text1"/>
          <w:sz w:val="24"/>
          <w:highlight w:val="none"/>
          <w14:textFill>
            <w14:solidFill>
              <w14:schemeClr w14:val="tx1"/>
            </w14:solidFill>
          </w14:textFill>
        </w:rPr>
        <w:t>1.2.9  关于联合体投标：</w:t>
      </w:r>
      <w:bookmarkEnd w:id="6"/>
      <w:bookmarkEnd w:id="7"/>
      <w:bookmarkEnd w:id="8"/>
      <w:bookmarkEnd w:id="9"/>
      <w:bookmarkEnd w:id="10"/>
      <w:bookmarkEnd w:id="11"/>
    </w:p>
    <w:p>
      <w:pPr>
        <w:pStyle w:val="110"/>
        <w:autoSpaceDN w:val="0"/>
        <w:spacing w:line="360" w:lineRule="auto"/>
        <w:ind w:firstLine="488"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如投标人组成联合体，联合体应当在投标登记前组成，联合体组成单位不得超过</w:t>
      </w:r>
      <w:r>
        <w:rPr>
          <w:rFonts w:hint="eastAsia" w:ascii="宋体" w:hAnsi="宋体" w:eastAsia="宋体"/>
          <w:color w:val="000000" w:themeColor="text1"/>
          <w:sz w:val="24"/>
          <w:highlight w:val="none"/>
          <w:lang w:val="en-US" w:eastAsia="zh-CN"/>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家，且应以具备相应设计资质的企业为</w:t>
      </w:r>
      <w:r>
        <w:rPr>
          <w:rFonts w:hint="eastAsia" w:ascii="宋体" w:hAnsi="宋体" w:eastAsia="宋体"/>
          <w:color w:val="000000" w:themeColor="text1"/>
          <w:sz w:val="24"/>
          <w:highlight w:val="none"/>
          <w:lang w:eastAsia="zh-CN"/>
          <w14:textFill>
            <w14:solidFill>
              <w14:schemeClr w14:val="tx1"/>
            </w14:solidFill>
          </w14:textFill>
        </w:rPr>
        <w:t>牵头方</w:t>
      </w:r>
      <w:r>
        <w:rPr>
          <w:rFonts w:hint="eastAsia" w:ascii="宋体" w:hAnsi="宋体" w:eastAsia="宋体"/>
          <w:color w:val="000000" w:themeColor="text1"/>
          <w:sz w:val="24"/>
          <w:highlight w:val="none"/>
          <w14:textFill>
            <w14:solidFill>
              <w14:schemeClr w14:val="tx1"/>
            </w14:solidFill>
          </w14:textFill>
        </w:rPr>
        <w:t>，并签定联合体共同投标协议。投标人拟任本工程项目负责人应为</w:t>
      </w:r>
      <w:r>
        <w:rPr>
          <w:rFonts w:hint="eastAsia" w:ascii="宋体" w:hAnsi="宋体" w:eastAsia="宋体"/>
          <w:color w:val="000000" w:themeColor="text1"/>
          <w:sz w:val="24"/>
          <w:highlight w:val="none"/>
          <w:lang w:eastAsia="zh-CN"/>
          <w14:textFill>
            <w14:solidFill>
              <w14:schemeClr w14:val="tx1"/>
            </w14:solidFill>
          </w14:textFill>
        </w:rPr>
        <w:t>牵头方</w:t>
      </w:r>
      <w:r>
        <w:rPr>
          <w:rFonts w:hint="eastAsia" w:ascii="宋体" w:hAnsi="宋体" w:eastAsia="宋体"/>
          <w:color w:val="000000" w:themeColor="text1"/>
          <w:sz w:val="24"/>
          <w:highlight w:val="none"/>
          <w14:textFill>
            <w14:solidFill>
              <w14:schemeClr w14:val="tx1"/>
            </w14:solidFill>
          </w14:textFill>
        </w:rPr>
        <w:t>正式员工。联合体共同投标协议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pPr>
        <w:pStyle w:val="110"/>
        <w:autoSpaceDN w:val="0"/>
        <w:spacing w:line="360" w:lineRule="auto"/>
        <w:rPr>
          <w:rFonts w:ascii="宋体" w:hAnsi="宋体" w:eastAsia="宋体"/>
          <w:color w:val="000000" w:themeColor="text1"/>
          <w:sz w:val="24"/>
          <w:szCs w:val="22"/>
          <w:highlight w:val="none"/>
          <w14:textFill>
            <w14:solidFill>
              <w14:schemeClr w14:val="tx1"/>
            </w14:solidFill>
          </w14:textFill>
        </w:rPr>
      </w:pPr>
      <w:r>
        <w:rPr>
          <w:rFonts w:hint="eastAsia" w:ascii="宋体" w:hAnsi="宋体" w:eastAsia="宋体"/>
          <w:color w:val="000000" w:themeColor="text1"/>
          <w:sz w:val="24"/>
          <w:szCs w:val="22"/>
          <w:highlight w:val="none"/>
          <w14:textFill>
            <w14:solidFill>
              <w14:schemeClr w14:val="tx1"/>
            </w14:solidFill>
          </w14:textFill>
        </w:rPr>
        <w:t>1.2.10  未被纳入国家、市、区的失信联合惩戒名单且被限制参加财政投资工程或政府投资工程或建设工程投标的（具体名单以递交投标文件截止时间“信用广州”https://credit1.gz.gov.cn/sgs/sgsXkNew公布的“失信黑名单”为准。</w:t>
      </w:r>
    </w:p>
    <w:p>
      <w:pPr>
        <w:pStyle w:val="110"/>
        <w:autoSpaceDN w:val="0"/>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olor w:val="000000" w:themeColor="text1"/>
          <w:sz w:val="24"/>
          <w:szCs w:val="22"/>
          <w:highlight w:val="none"/>
          <w14:textFill>
            <w14:solidFill>
              <w14:schemeClr w14:val="tx1"/>
            </w14:solidFill>
          </w14:textFill>
        </w:rPr>
        <w:t>注：因联合惩戒措施表述存在细微差别，惩戒措施与上文不完全一致但措施内容相同的，也应属于被限制参与相关项目的投标。</w:t>
      </w:r>
    </w:p>
    <w:p>
      <w:pPr>
        <w:pStyle w:val="110"/>
        <w:autoSpaceDN w:val="0"/>
        <w:spacing w:line="360" w:lineRule="auto"/>
        <w:rPr>
          <w:rFonts w:ascii="宋体" w:hAnsi="宋体" w:eastAsia="宋体"/>
          <w:color w:val="000000" w:themeColor="text1"/>
          <w:sz w:val="24"/>
          <w:szCs w:val="22"/>
          <w:highlight w:val="none"/>
          <w14:textFill>
            <w14:solidFill>
              <w14:schemeClr w14:val="tx1"/>
            </w14:solidFill>
          </w14:textFill>
        </w:rPr>
      </w:pPr>
      <w:r>
        <w:rPr>
          <w:rFonts w:hint="eastAsia" w:ascii="宋体" w:hAnsi="宋体" w:eastAsia="宋体"/>
          <w:color w:val="000000" w:themeColor="text1"/>
          <w:sz w:val="24"/>
          <w:szCs w:val="22"/>
          <w:highlight w:val="none"/>
          <w14:textFill>
            <w14:solidFill>
              <w14:schemeClr w14:val="tx1"/>
            </w14:solidFill>
          </w14:textFill>
        </w:rPr>
        <w:t>1.2.11  投标人已按照招标公告附件1的格式及内容签署并盖章《投标人声明》。</w:t>
      </w:r>
    </w:p>
    <w:p>
      <w:pPr>
        <w:topLinePunct/>
        <w:spacing w:line="360" w:lineRule="auto"/>
        <w:jc w:val="left"/>
        <w:rPr>
          <w:rFonts w:ascii="宋体" w:hAnsi="宋体" w:cs="宋体-PUA"/>
          <w:b/>
          <w:color w:val="000000" w:themeColor="text1"/>
          <w:sz w:val="24"/>
          <w:highlight w:val="none"/>
          <w14:textFill>
            <w14:solidFill>
              <w14:schemeClr w14:val="tx1"/>
            </w14:solidFill>
          </w14:textFill>
        </w:rPr>
      </w:pPr>
    </w:p>
    <w:p>
      <w:pPr>
        <w:topLinePunct/>
        <w:spacing w:line="360" w:lineRule="auto"/>
        <w:jc w:val="left"/>
        <w:rPr>
          <w:rFonts w:ascii="宋体" w:hAnsi="宋体" w:cs="宋体-PUA"/>
          <w:b/>
          <w:color w:val="000000" w:themeColor="text1"/>
          <w:sz w:val="24"/>
          <w:highlight w:val="none"/>
          <w14:textFill>
            <w14:solidFill>
              <w14:schemeClr w14:val="tx1"/>
            </w14:solidFill>
          </w14:textFill>
        </w:rPr>
      </w:pPr>
      <w:r>
        <w:rPr>
          <w:rFonts w:hint="eastAsia" w:ascii="宋体" w:hAnsi="宋体" w:cs="宋体-PUA"/>
          <w:b/>
          <w:color w:val="000000" w:themeColor="text1"/>
          <w:sz w:val="24"/>
          <w:highlight w:val="none"/>
          <w14:textFill>
            <w14:solidFill>
              <w14:schemeClr w14:val="tx1"/>
            </w14:solidFill>
          </w14:textFill>
        </w:rPr>
        <w:t>1.3    发布招标公告、投标</w:t>
      </w:r>
      <w:r>
        <w:rPr>
          <w:rFonts w:hint="eastAsia" w:ascii="宋体" w:hAnsi="宋体" w:cs="宋体-PUA"/>
          <w:b/>
          <w:color w:val="000000" w:themeColor="text1"/>
          <w:sz w:val="24"/>
          <w:highlight w:val="none"/>
          <w:u w:val="single"/>
          <w14:textFill>
            <w14:solidFill>
              <w14:schemeClr w14:val="tx1"/>
            </w14:solidFill>
          </w14:textFill>
        </w:rPr>
        <w:t>截止</w:t>
      </w:r>
      <w:r>
        <w:rPr>
          <w:rFonts w:hint="eastAsia" w:ascii="宋体" w:hAnsi="宋体" w:cs="宋体-PUA"/>
          <w:b/>
          <w:color w:val="000000" w:themeColor="text1"/>
          <w:sz w:val="24"/>
          <w:highlight w:val="none"/>
          <w14:textFill>
            <w14:solidFill>
              <w14:schemeClr w14:val="tx1"/>
            </w14:solidFill>
          </w14:textFill>
        </w:rPr>
        <w:t xml:space="preserve">时间、办理投标登记手续、开标开始时间、投标文件解密时间、提交投标文件光盘、招标文件获取   </w:t>
      </w:r>
    </w:p>
    <w:p>
      <w:pPr>
        <w:topLinePunct/>
        <w:spacing w:line="360" w:lineRule="auto"/>
        <w:jc w:val="left"/>
        <w:rPr>
          <w:rFonts w:ascii="宋体" w:hAnsi="宋体" w:cs="宋体-PUA"/>
          <w:color w:val="000000" w:themeColor="text1"/>
          <w:sz w:val="24"/>
          <w:highlight w:val="none"/>
          <w:u w:val="singl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1.3.1  发布招标公告时间（含本日）：</w:t>
      </w:r>
      <w:r>
        <w:rPr>
          <w:rFonts w:hint="eastAsia" w:ascii="宋体" w:hAnsi="宋体" w:cs="宋体-PUA"/>
          <w:color w:val="000000" w:themeColor="text1"/>
          <w:sz w:val="24"/>
          <w:highlight w:val="none"/>
          <w:u w:val="single"/>
          <w:lang w:eastAsia="zh-CN"/>
          <w14:textFill>
            <w14:solidFill>
              <w14:schemeClr w14:val="tx1"/>
            </w14:solidFill>
          </w14:textFill>
        </w:rPr>
        <w:t>2023</w:t>
      </w:r>
      <w:r>
        <w:rPr>
          <w:rFonts w:hint="eastAsia" w:ascii="宋体" w:hAnsi="宋体" w:cs="宋体-PUA"/>
          <w:color w:val="000000" w:themeColor="text1"/>
          <w:sz w:val="24"/>
          <w:highlight w:val="none"/>
          <w14:textFill>
            <w14:solidFill>
              <w14:schemeClr w14:val="tx1"/>
            </w14:solidFill>
          </w14:textFill>
        </w:rPr>
        <w:t>年</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 xml:space="preserve">2 </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月</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11</w:t>
      </w:r>
      <w:r>
        <w:rPr>
          <w:rFonts w:hint="eastAsia" w:ascii="宋体" w:hAnsi="宋体" w:cs="宋体-PUA"/>
          <w:color w:val="000000" w:themeColor="text1"/>
          <w:sz w:val="24"/>
          <w:highlight w:val="none"/>
          <w14:textFill>
            <w14:solidFill>
              <w14:schemeClr w14:val="tx1"/>
            </w14:solidFill>
          </w14:textFill>
        </w:rPr>
        <w:t>日</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00</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时</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00</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分至</w:t>
      </w:r>
      <w:r>
        <w:rPr>
          <w:rFonts w:hint="eastAsia" w:ascii="宋体" w:hAnsi="宋体" w:cs="宋体-PUA"/>
          <w:color w:val="000000" w:themeColor="text1"/>
          <w:sz w:val="24"/>
          <w:highlight w:val="none"/>
          <w:u w:val="single"/>
          <w:lang w:eastAsia="zh-CN"/>
          <w14:textFill>
            <w14:solidFill>
              <w14:schemeClr w14:val="tx1"/>
            </w14:solidFill>
          </w14:textFill>
        </w:rPr>
        <w:t>2023</w:t>
      </w:r>
      <w:r>
        <w:rPr>
          <w:rFonts w:hint="eastAsia" w:ascii="宋体" w:hAnsi="宋体" w:cs="宋体-PUA"/>
          <w:color w:val="000000" w:themeColor="text1"/>
          <w:sz w:val="24"/>
          <w:highlight w:val="none"/>
          <w14:textFill>
            <w14:solidFill>
              <w14:schemeClr w14:val="tx1"/>
            </w14:solidFill>
          </w14:textFill>
        </w:rPr>
        <w:t>年</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3</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月</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6</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日</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8</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时</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45</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分（</w:t>
      </w:r>
      <w:r>
        <w:rPr>
          <w:rFonts w:ascii="宋体" w:hAnsi="宋体" w:cs="宋体-PUA"/>
          <w:color w:val="000000" w:themeColor="text1"/>
          <w:sz w:val="24"/>
          <w:highlight w:val="none"/>
          <w:u w:val="single"/>
          <w14:textFill>
            <w14:solidFill>
              <w14:schemeClr w14:val="tx1"/>
            </w14:solidFill>
          </w14:textFill>
        </w:rPr>
        <w:t>北</w:t>
      </w:r>
      <w:r>
        <w:rPr>
          <w:rFonts w:hint="eastAsia" w:ascii="宋体" w:hAnsi="宋体" w:cs="宋体-PUA"/>
          <w:color w:val="000000" w:themeColor="text1"/>
          <w:sz w:val="24"/>
          <w:highlight w:val="none"/>
          <w:u w:val="single"/>
          <w14:textFill>
            <w14:solidFill>
              <w14:schemeClr w14:val="tx1"/>
            </w14:solidFill>
          </w14:textFill>
        </w:rPr>
        <w:t>京时间，下同</w:t>
      </w:r>
      <w:r>
        <w:rPr>
          <w:rFonts w:hint="eastAsia" w:ascii="宋体" w:hAnsi="宋体" w:cs="宋体-PUA"/>
          <w:color w:val="000000" w:themeColor="text1"/>
          <w:sz w:val="24"/>
          <w:highlight w:val="none"/>
          <w14:textFill>
            <w14:solidFill>
              <w14:schemeClr w14:val="tx1"/>
            </w14:solidFill>
          </w14:textFill>
        </w:rPr>
        <w:t>）。</w:t>
      </w:r>
    </w:p>
    <w:p>
      <w:pPr>
        <w:topLinePunct/>
        <w:spacing w:line="360" w:lineRule="auto"/>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u w:val="single"/>
          <w14:textFill>
            <w14:solidFill>
              <w14:schemeClr w14:val="tx1"/>
            </w14:solidFill>
          </w14:textFill>
        </w:rPr>
        <w:t>凡有意参加投标者，请登录广州公共资源交易中心交易平台网站（以下简称“交易平台”。</w:t>
      </w:r>
      <w:r>
        <w:rPr>
          <w:rFonts w:ascii="宋体" w:hAnsi="宋体" w:cs="宋体-PUA"/>
          <w:color w:val="000000" w:themeColor="text1"/>
          <w:sz w:val="24"/>
          <w:highlight w:val="none"/>
          <w:u w:val="single"/>
          <w14:textFill>
            <w14:solidFill>
              <w14:schemeClr w14:val="tx1"/>
            </w14:solidFill>
          </w14:textFill>
        </w:rPr>
        <w:t>招</w:t>
      </w:r>
      <w:r>
        <w:rPr>
          <w:rFonts w:hint="eastAsia" w:ascii="宋体" w:hAnsi="宋体" w:cs="宋体-PUA"/>
          <w:color w:val="000000" w:themeColor="text1"/>
          <w:sz w:val="24"/>
          <w:highlight w:val="none"/>
          <w:u w:val="single"/>
          <w14:textFill>
            <w14:solidFill>
              <w14:schemeClr w14:val="tx1"/>
            </w14:solidFill>
          </w14:textFill>
        </w:rPr>
        <w:t>标</w:t>
      </w:r>
      <w:r>
        <w:rPr>
          <w:rFonts w:ascii="宋体" w:hAnsi="宋体" w:cs="宋体-PUA"/>
          <w:color w:val="000000" w:themeColor="text1"/>
          <w:sz w:val="24"/>
          <w:highlight w:val="none"/>
          <w:u w:val="single"/>
          <w14:textFill>
            <w14:solidFill>
              <w14:schemeClr w14:val="tx1"/>
            </w14:solidFill>
          </w14:textFill>
        </w:rPr>
        <w:t>公告下</w:t>
      </w:r>
      <w:r>
        <w:rPr>
          <w:rFonts w:hint="eastAsia" w:ascii="宋体" w:hAnsi="宋体" w:cs="宋体-PUA"/>
          <w:color w:val="000000" w:themeColor="text1"/>
          <w:sz w:val="24"/>
          <w:highlight w:val="none"/>
          <w:u w:val="single"/>
          <w14:textFill>
            <w14:solidFill>
              <w14:schemeClr w14:val="tx1"/>
            </w14:solidFill>
          </w14:textFill>
        </w:rPr>
        <w:t>文</w:t>
      </w:r>
      <w:r>
        <w:rPr>
          <w:rFonts w:ascii="宋体" w:hAnsi="宋体" w:cs="宋体-PUA"/>
          <w:color w:val="000000" w:themeColor="text1"/>
          <w:sz w:val="24"/>
          <w:highlight w:val="none"/>
          <w:u w:val="single"/>
          <w14:textFill>
            <w14:solidFill>
              <w14:schemeClr w14:val="tx1"/>
            </w14:solidFill>
          </w14:textFill>
        </w:rPr>
        <w:t>及</w:t>
      </w:r>
      <w:r>
        <w:rPr>
          <w:rFonts w:hint="eastAsia" w:ascii="宋体" w:hAnsi="宋体" w:cs="宋体-PUA"/>
          <w:color w:val="000000" w:themeColor="text1"/>
          <w:sz w:val="24"/>
          <w:highlight w:val="none"/>
          <w:u w:val="single"/>
          <w14:textFill>
            <w14:solidFill>
              <w14:schemeClr w14:val="tx1"/>
            </w14:solidFill>
          </w14:textFill>
        </w:rPr>
        <w:t>招标文件中提及的“交易平台”均指广州公共资源交易中心交易平台网站，网址：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"http://www.gzggzy.cn/" </w:instrText>
      </w:r>
      <w:r>
        <w:rPr>
          <w:color w:val="000000" w:themeColor="text1"/>
          <w:highlight w:val="none"/>
          <w14:textFill>
            <w14:solidFill>
              <w14:schemeClr w14:val="tx1"/>
            </w14:solidFill>
          </w14:textFill>
        </w:rPr>
        <w:fldChar w:fldCharType="separate"/>
      </w:r>
      <w:r>
        <w:rPr>
          <w:rStyle w:val="44"/>
          <w:rFonts w:ascii="宋体" w:hAnsi="宋体" w:cs="宋体-PUA"/>
          <w:color w:val="000000" w:themeColor="text1"/>
          <w:sz w:val="24"/>
          <w:highlight w:val="none"/>
          <w:u w:val="single"/>
          <w14:textFill>
            <w14:solidFill>
              <w14:schemeClr w14:val="tx1"/>
            </w14:solidFill>
          </w14:textFill>
        </w:rPr>
        <w:t>http://www.gzggzy.cn/</w:t>
      </w:r>
      <w:r>
        <w:rPr>
          <w:rStyle w:val="44"/>
          <w:rFonts w:ascii="宋体" w:hAnsi="宋体" w:cs="宋体-PUA"/>
          <w:color w:val="000000" w:themeColor="text1"/>
          <w:sz w:val="24"/>
          <w:highlight w:val="none"/>
          <w:u w:val="single"/>
          <w14:textFill>
            <w14:solidFill>
              <w14:schemeClr w14:val="tx1"/>
            </w14:solidFill>
          </w14:textFill>
        </w:rPr>
        <w:fldChar w:fldCharType="end"/>
      </w:r>
      <w:r>
        <w:rPr>
          <w:rFonts w:hint="eastAsia" w:ascii="宋体" w:hAnsi="宋体" w:cs="宋体-PUA"/>
          <w:color w:val="000000" w:themeColor="text1"/>
          <w:sz w:val="24"/>
          <w:highlight w:val="none"/>
          <w:u w:val="single"/>
          <w14:textFill>
            <w14:solidFill>
              <w14:schemeClr w14:val="tx1"/>
            </w14:solidFill>
          </w14:textFill>
        </w:rPr>
        <w:t>）下载电子招标文件。</w:t>
      </w:r>
    </w:p>
    <w:p>
      <w:pPr>
        <w:topLinePunct/>
        <w:spacing w:line="360" w:lineRule="auto"/>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注：发布招标公告的时间为招标公告发出之日起至递交投标文件截止时间止。</w:t>
      </w:r>
    </w:p>
    <w:p>
      <w:pPr>
        <w:spacing w:line="360" w:lineRule="auto"/>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1.3.2  投标截止时间为</w:t>
      </w:r>
      <w:r>
        <w:rPr>
          <w:rFonts w:hint="eastAsia" w:ascii="宋体" w:hAnsi="宋体" w:cs="宋体-PUA"/>
          <w:color w:val="000000" w:themeColor="text1"/>
          <w:sz w:val="24"/>
          <w:highlight w:val="none"/>
          <w:u w:val="single"/>
          <w:lang w:eastAsia="zh-CN"/>
          <w14:textFill>
            <w14:solidFill>
              <w14:schemeClr w14:val="tx1"/>
            </w14:solidFill>
          </w14:textFill>
        </w:rPr>
        <w:t>2023</w:t>
      </w:r>
      <w:r>
        <w:rPr>
          <w:rFonts w:hint="eastAsia" w:ascii="宋体" w:hAnsi="宋体" w:cs="宋体-PUA"/>
          <w:color w:val="000000" w:themeColor="text1"/>
          <w:sz w:val="24"/>
          <w:highlight w:val="none"/>
          <w14:textFill>
            <w14:solidFill>
              <w14:schemeClr w14:val="tx1"/>
            </w14:solidFill>
          </w14:textFill>
        </w:rPr>
        <w:t>年</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3</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月</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6</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日</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8</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时</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45</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分，投标人应在投标截止时间前通过交易平台网站递交电子投标文件。投标人完成电子投标上传后，交易平台即时向投标人发出递交回执通知。递交时间以递交回执通知载明的传输时间为准。</w:t>
      </w:r>
    </w:p>
    <w:p>
      <w:pPr>
        <w:spacing w:line="360" w:lineRule="auto"/>
        <w:ind w:firstLine="488" w:firstLineChars="200"/>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投标人应在递交投标文件截止时间前，登录交易平台网站办理网上投标登记手续。按照交易平台关于全流程电子化项目的相关指南进行操作。</w:t>
      </w:r>
    </w:p>
    <w:p>
      <w:pPr>
        <w:spacing w:line="360" w:lineRule="auto"/>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1.3.3  采用电子开标，在招标投标交易平台上公开进行。开标开始时间：</w:t>
      </w:r>
      <w:r>
        <w:rPr>
          <w:rFonts w:hint="eastAsia" w:ascii="宋体" w:hAnsi="宋体" w:cs="宋体-PUA"/>
          <w:color w:val="000000" w:themeColor="text1"/>
          <w:sz w:val="24"/>
          <w:highlight w:val="none"/>
          <w:u w:val="single"/>
          <w:lang w:eastAsia="zh-CN"/>
          <w14:textFill>
            <w14:solidFill>
              <w14:schemeClr w14:val="tx1"/>
            </w14:solidFill>
          </w14:textFill>
        </w:rPr>
        <w:t>2023</w:t>
      </w:r>
      <w:r>
        <w:rPr>
          <w:rFonts w:hint="eastAsia" w:ascii="宋体" w:hAnsi="宋体" w:cs="宋体-PUA"/>
          <w:color w:val="000000" w:themeColor="text1"/>
          <w:sz w:val="24"/>
          <w:highlight w:val="none"/>
          <w14:textFill>
            <w14:solidFill>
              <w14:schemeClr w14:val="tx1"/>
            </w14:solidFill>
          </w14:textFill>
        </w:rPr>
        <w:t>年</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3</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月</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6</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日</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8</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时</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45</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分（与投标截止时间为同一时间）。邀请所有投标人准时在线参加开标。投标人参与电子开标的具体操作详见交易平台发布的相关操作指引。</w:t>
      </w:r>
    </w:p>
    <w:p>
      <w:pPr>
        <w:widowControl/>
        <w:topLinePunct/>
        <w:spacing w:line="360" w:lineRule="auto"/>
        <w:ind w:firstLine="488" w:firstLineChars="200"/>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投标文件解密时间：</w:t>
      </w:r>
      <w:r>
        <w:rPr>
          <w:rFonts w:hint="eastAsia" w:ascii="宋体" w:hAnsi="宋体" w:cs="宋体-PUA"/>
          <w:color w:val="000000" w:themeColor="text1"/>
          <w:sz w:val="24"/>
          <w:highlight w:val="none"/>
          <w:u w:val="single"/>
          <w:lang w:eastAsia="zh-CN"/>
          <w14:textFill>
            <w14:solidFill>
              <w14:schemeClr w14:val="tx1"/>
            </w14:solidFill>
          </w14:textFill>
        </w:rPr>
        <w:t>2023</w:t>
      </w:r>
      <w:r>
        <w:rPr>
          <w:rFonts w:hint="eastAsia" w:ascii="宋体" w:hAnsi="宋体" w:cs="宋体-PUA"/>
          <w:color w:val="000000" w:themeColor="text1"/>
          <w:sz w:val="24"/>
          <w:highlight w:val="none"/>
          <w14:textFill>
            <w14:solidFill>
              <w14:schemeClr w14:val="tx1"/>
            </w14:solidFill>
          </w14:textFill>
        </w:rPr>
        <w:t>年</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3</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月</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 xml:space="preserve"> 6</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日</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8</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时</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45</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分至</w:t>
      </w:r>
      <w:r>
        <w:rPr>
          <w:rFonts w:hint="eastAsia" w:ascii="宋体" w:hAnsi="宋体" w:cs="宋体-PUA"/>
          <w:color w:val="000000" w:themeColor="text1"/>
          <w:sz w:val="24"/>
          <w:highlight w:val="none"/>
          <w:u w:val="single"/>
          <w:lang w:eastAsia="zh-CN"/>
          <w14:textFill>
            <w14:solidFill>
              <w14:schemeClr w14:val="tx1"/>
            </w14:solidFill>
          </w14:textFill>
        </w:rPr>
        <w:t>2023</w:t>
      </w:r>
      <w:r>
        <w:rPr>
          <w:rFonts w:hint="eastAsia" w:ascii="宋体" w:hAnsi="宋体" w:cs="宋体-PUA"/>
          <w:color w:val="000000" w:themeColor="text1"/>
          <w:sz w:val="24"/>
          <w:highlight w:val="none"/>
          <w14:textFill>
            <w14:solidFill>
              <w14:schemeClr w14:val="tx1"/>
            </w14:solidFill>
          </w14:textFill>
        </w:rPr>
        <w:t>年</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3</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月</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6</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日</w:t>
      </w:r>
      <w:r>
        <w:rPr>
          <w:rFonts w:hint="eastAsia" w:ascii="宋体" w:hAnsi="宋体" w:cs="宋体-PUA"/>
          <w:color w:val="000000" w:themeColor="text1"/>
          <w:sz w:val="24"/>
          <w:highlight w:val="none"/>
          <w:u w:val="single"/>
          <w:lang w:val="en-US" w:eastAsia="zh-CN"/>
          <w14:textFill>
            <w14:solidFill>
              <w14:schemeClr w14:val="tx1"/>
            </w14:solidFill>
          </w14:textFill>
        </w:rPr>
        <w:t>9</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时</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45</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分，投标人应在投标截止时间后通过交易平台网站对电子投标文件进行投标文件解密。</w:t>
      </w:r>
    </w:p>
    <w:p>
      <w:pPr>
        <w:spacing w:line="360" w:lineRule="auto"/>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1.3.4  提交投标文件光盘备用：</w:t>
      </w:r>
    </w:p>
    <w:p>
      <w:pPr>
        <w:spacing w:line="360" w:lineRule="auto"/>
        <w:jc w:val="left"/>
        <w:rPr>
          <w:rFonts w:hint="eastAsia"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 xml:space="preserve">    投标文件光盘（备用）递交时间：</w:t>
      </w:r>
      <w:r>
        <w:rPr>
          <w:rFonts w:hint="eastAsia" w:ascii="宋体" w:hAnsi="宋体" w:cs="宋体-PUA"/>
          <w:color w:val="000000" w:themeColor="text1"/>
          <w:sz w:val="24"/>
          <w:highlight w:val="none"/>
          <w:u w:val="single"/>
          <w:lang w:eastAsia="zh-CN"/>
          <w14:textFill>
            <w14:solidFill>
              <w14:schemeClr w14:val="tx1"/>
            </w14:solidFill>
          </w14:textFill>
        </w:rPr>
        <w:t>2023</w:t>
      </w:r>
      <w:r>
        <w:rPr>
          <w:rFonts w:hint="eastAsia" w:ascii="宋体" w:hAnsi="宋体" w:cs="宋体-PUA"/>
          <w:color w:val="000000" w:themeColor="text1"/>
          <w:sz w:val="24"/>
          <w:highlight w:val="none"/>
          <w14:textFill>
            <w14:solidFill>
              <w14:schemeClr w14:val="tx1"/>
            </w14:solidFill>
          </w14:textFill>
        </w:rPr>
        <w:t>年</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3</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月</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 xml:space="preserve"> 6</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日</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8</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时</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30</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分至</w:t>
      </w:r>
      <w:r>
        <w:rPr>
          <w:rFonts w:hint="eastAsia" w:ascii="宋体" w:hAnsi="宋体" w:cs="宋体-PUA"/>
          <w:color w:val="000000" w:themeColor="text1"/>
          <w:sz w:val="24"/>
          <w:highlight w:val="none"/>
          <w:u w:val="single"/>
          <w:lang w:eastAsia="zh-CN"/>
          <w14:textFill>
            <w14:solidFill>
              <w14:schemeClr w14:val="tx1"/>
            </w14:solidFill>
          </w14:textFill>
        </w:rPr>
        <w:t>2023</w:t>
      </w:r>
      <w:r>
        <w:rPr>
          <w:rFonts w:hint="eastAsia" w:ascii="宋体" w:hAnsi="宋体" w:cs="宋体-PUA"/>
          <w:color w:val="000000" w:themeColor="text1"/>
          <w:sz w:val="24"/>
          <w:highlight w:val="none"/>
          <w14:textFill>
            <w14:solidFill>
              <w14:schemeClr w14:val="tx1"/>
            </w14:solidFill>
          </w14:textFill>
        </w:rPr>
        <w:t>年</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3</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月</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6</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日</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8</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时</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u w:val="single"/>
          <w:lang w:val="en-US" w:eastAsia="zh-CN"/>
          <w14:textFill>
            <w14:solidFill>
              <w14:schemeClr w14:val="tx1"/>
            </w14:solidFill>
          </w14:textFill>
        </w:rPr>
        <w:t>45</w:t>
      </w:r>
      <w:r>
        <w:rPr>
          <w:rFonts w:hint="eastAsia" w:ascii="宋体" w:hAnsi="宋体" w:cs="宋体-PUA"/>
          <w:color w:val="000000" w:themeColor="text1"/>
          <w:sz w:val="24"/>
          <w:highlight w:val="none"/>
          <w:u w:val="single"/>
          <w14:textFill>
            <w14:solidFill>
              <w14:schemeClr w14:val="tx1"/>
            </w14:solidFill>
          </w14:textFill>
        </w:rPr>
        <w:t xml:space="preserve"> </w:t>
      </w:r>
      <w:r>
        <w:rPr>
          <w:rFonts w:hint="eastAsia" w:ascii="宋体" w:hAnsi="宋体" w:cs="宋体-PUA"/>
          <w:color w:val="000000" w:themeColor="text1"/>
          <w:sz w:val="24"/>
          <w:highlight w:val="none"/>
          <w14:textFill>
            <w14:solidFill>
              <w14:schemeClr w14:val="tx1"/>
            </w14:solidFill>
          </w14:textFill>
        </w:rPr>
        <w:t>分；地点：广州公共资源交易中心</w:t>
      </w:r>
      <w:r>
        <w:rPr>
          <w:rFonts w:hint="eastAsia" w:ascii="宋体" w:hAnsi="宋体" w:cs="宋体-PUA"/>
          <w:color w:val="000000" w:themeColor="text1"/>
          <w:sz w:val="24"/>
          <w:highlight w:val="none"/>
          <w:lang w:val="en-US" w:eastAsia="zh-CN"/>
          <w14:textFill>
            <w14:solidFill>
              <w14:schemeClr w14:val="tx1"/>
            </w14:solidFill>
          </w14:textFill>
        </w:rPr>
        <w:t>本部</w:t>
      </w:r>
      <w:r>
        <w:rPr>
          <w:rFonts w:hint="eastAsia" w:ascii="宋体" w:hAnsi="宋体" w:cs="宋体"/>
          <w:color w:val="000000" w:themeColor="text1"/>
          <w:sz w:val="24"/>
          <w:highlight w:val="none"/>
          <w:u w:val="single"/>
          <w14:textFill>
            <w14:solidFill>
              <w14:schemeClr w14:val="tx1"/>
            </w14:solidFill>
          </w14:textFill>
        </w:rPr>
        <w:t>第</w:t>
      </w:r>
      <w:r>
        <w:rPr>
          <w:rFonts w:hint="eastAsia" w:ascii="宋体" w:hAnsi="宋体" w:cs="宋体"/>
          <w:color w:val="000000" w:themeColor="text1"/>
          <w:sz w:val="24"/>
          <w:highlight w:val="none"/>
          <w:u w:val="single"/>
          <w:lang w:val="en-US" w:eastAsia="zh-CN"/>
          <w14:textFill>
            <w14:solidFill>
              <w14:schemeClr w14:val="tx1"/>
            </w14:solidFill>
          </w14:textFill>
        </w:rPr>
        <w:t>11</w:t>
      </w:r>
      <w:r>
        <w:rPr>
          <w:rFonts w:hint="eastAsia" w:ascii="宋体" w:hAnsi="宋体" w:cs="宋体"/>
          <w:color w:val="000000" w:themeColor="text1"/>
          <w:sz w:val="24"/>
          <w:highlight w:val="none"/>
          <w:u w:val="single"/>
          <w14:textFill>
            <w14:solidFill>
              <w14:schemeClr w14:val="tx1"/>
            </w14:solidFill>
          </w14:textFill>
        </w:rPr>
        <w:t xml:space="preserve">开标室 </w:t>
      </w:r>
      <w:r>
        <w:rPr>
          <w:rFonts w:hint="eastAsia" w:ascii="宋体" w:hAnsi="宋体" w:cs="宋体"/>
          <w:color w:val="000000" w:themeColor="text1"/>
          <w:sz w:val="24"/>
          <w:highlight w:val="none"/>
          <w:u w:val="single"/>
          <w:lang w:val="en-US" w:eastAsia="zh-CN"/>
          <w14:textFill>
            <w14:solidFill>
              <w14:schemeClr w14:val="tx1"/>
            </w14:solidFill>
          </w14:textFill>
        </w:rPr>
        <w:t>(地址：广东省广州市天河区天润路333号）。</w:t>
      </w:r>
    </w:p>
    <w:p>
      <w:pPr>
        <w:spacing w:line="360" w:lineRule="auto"/>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注：投标人代表须凭法定代表人证明书原件（格式见招标文件附录）、法定代表人授权委托书原件（非法定代表人递交投标文件光盘时提供，格式见招标文件附录）、本人身份证复印件（提供原件核对）、联合体共同投标协议原件（联合体投标时提供，格式见招标文件附录）递交投标文件光盘（备用）。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spacing w:line="360" w:lineRule="auto"/>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1.3.5  招标文件获取：本项目招</w:t>
      </w:r>
      <w:r>
        <w:rPr>
          <w:rFonts w:hint="eastAsia" w:ascii="宋体" w:hAnsi="宋体" w:cs="宋体-PUA"/>
          <w:color w:val="000000" w:themeColor="text1"/>
          <w:sz w:val="24"/>
          <w14:textFill>
            <w14:solidFill>
              <w14:schemeClr w14:val="tx1"/>
            </w14:solidFill>
          </w14:textFill>
        </w:rPr>
        <w:t>标文件等相关资料随招标公告一并在交易平台网站发布。招标文件一经在交易平台发布，视为发出给投标人，招标文件由投标人自行在交易平台网站下载。从发布招标公告之日起开始计算备标时间不少于20日。如招标人需发布补充公告的，以最后发布的补充公告的时间起计算编制投标文件时间，并需在补充公告中明确说明。</w:t>
      </w:r>
    </w:p>
    <w:p>
      <w:pPr>
        <w:spacing w:line="360" w:lineRule="auto"/>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1.3.6  逾期送达的投标文件，交易平台将予以拒收。</w:t>
      </w:r>
    </w:p>
    <w:p>
      <w:pPr>
        <w:spacing w:line="360" w:lineRule="auto"/>
        <w:jc w:val="left"/>
        <w:rPr>
          <w:rFonts w:ascii="宋体" w:hAnsi="宋体" w:cs="宋体-PUA"/>
          <w:color w:val="000000" w:themeColor="text1"/>
          <w:sz w:val="24"/>
          <w:highlight w:val="none"/>
          <w14:textFill>
            <w14:solidFill>
              <w14:schemeClr w14:val="tx1"/>
            </w14:solidFill>
          </w14:textFill>
        </w:rPr>
      </w:pPr>
      <w:r>
        <w:rPr>
          <w:rFonts w:hint="eastAsia" w:ascii="宋体" w:hAnsi="宋体" w:cs="宋体-PUA"/>
          <w:color w:val="000000" w:themeColor="text1"/>
          <w:sz w:val="24"/>
          <w:highlight w:val="none"/>
          <w14:textFill>
            <w14:solidFill>
              <w14:schemeClr w14:val="tx1"/>
            </w14:solidFill>
          </w14:textFill>
        </w:rPr>
        <w:t>1.3.7  在规定的投标截止时间，递交电子投标文件的申请人不足3名时，为招标失败，招标人分析招标失败原因，修正招标方案，报有关管理部门核准后，重新组织招标。</w:t>
      </w:r>
    </w:p>
    <w:p>
      <w:pPr>
        <w:topLinePunct/>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1.4   费用</w:t>
      </w:r>
    </w:p>
    <w:p>
      <w:pPr>
        <w:widowControl/>
        <w:shd w:val="clear" w:color="auto" w:fill="FFFFFF"/>
        <w:spacing w:line="360" w:lineRule="auto"/>
        <w:rPr>
          <w:rFonts w:hint="eastAsia" w:ascii="宋体" w:hAnsi="宋体" w:cs="宋体-PUA"/>
          <w:color w:val="auto"/>
          <w:sz w:val="24"/>
          <w:highlight w:val="none"/>
        </w:rPr>
      </w:pPr>
      <w:r>
        <w:rPr>
          <w:rFonts w:hint="eastAsia" w:ascii="宋体" w:hAnsi="宋体"/>
          <w:color w:val="000000" w:themeColor="text1"/>
          <w:sz w:val="24"/>
          <w:highlight w:val="none"/>
          <w14:textFill>
            <w14:solidFill>
              <w14:schemeClr w14:val="tx1"/>
            </w14:solidFill>
          </w14:textFill>
        </w:rPr>
        <w:t>1.4.1</w:t>
      </w:r>
      <w:r>
        <w:rPr>
          <w:rFonts w:hint="eastAsia" w:ascii="宋体" w:hAnsi="宋体" w:cs="宋体-PUA"/>
          <w:color w:val="000000" w:themeColor="text1"/>
          <w:sz w:val="24"/>
          <w:highlight w:val="none"/>
          <w14:textFill>
            <w14:solidFill>
              <w14:schemeClr w14:val="tx1"/>
            </w14:solidFill>
          </w14:textFill>
        </w:rPr>
        <w:t xml:space="preserve"> 工程勘察</w:t>
      </w:r>
      <w:r>
        <w:rPr>
          <w:rFonts w:hint="eastAsia" w:ascii="宋体" w:hAnsi="宋体" w:cs="宋体-PUA"/>
          <w:color w:val="000000" w:themeColor="text1"/>
          <w:sz w:val="24"/>
          <w:highlight w:val="none"/>
          <w:lang w:val="en-US" w:eastAsia="zh-CN"/>
          <w14:textFill>
            <w14:solidFill>
              <w14:schemeClr w14:val="tx1"/>
            </w14:solidFill>
          </w14:textFill>
        </w:rPr>
        <w:t>及初步</w:t>
      </w:r>
      <w:r>
        <w:rPr>
          <w:rFonts w:hint="eastAsia" w:ascii="宋体" w:hAnsi="宋体" w:cs="宋体-PUA"/>
          <w:color w:val="000000" w:themeColor="text1"/>
          <w:sz w:val="24"/>
          <w:highlight w:val="none"/>
          <w14:textFill>
            <w14:solidFill>
              <w14:schemeClr w14:val="tx1"/>
            </w14:solidFill>
          </w14:textFill>
        </w:rPr>
        <w:t>设计费 (</w:t>
      </w:r>
      <w:r>
        <w:rPr>
          <w:rFonts w:hint="eastAsia" w:ascii="宋体" w:hAnsi="宋体" w:cs="宋体-PUA"/>
          <w:color w:val="auto"/>
          <w:sz w:val="24"/>
          <w:highlight w:val="none"/>
        </w:rPr>
        <w:t>含工程勘察</w:t>
      </w:r>
      <w:r>
        <w:rPr>
          <w:rFonts w:hint="eastAsia" w:ascii="宋体" w:hAnsi="宋体" w:cs="宋体-PUA"/>
          <w:color w:val="auto"/>
          <w:sz w:val="24"/>
          <w:highlight w:val="none"/>
          <w:lang w:val="en-US" w:eastAsia="zh-CN"/>
        </w:rPr>
        <w:t>费</w:t>
      </w:r>
      <w:r>
        <w:rPr>
          <w:rFonts w:hint="eastAsia" w:ascii="宋体" w:hAnsi="宋体" w:cs="宋体-PUA"/>
          <w:color w:val="auto"/>
          <w:sz w:val="24"/>
          <w:highlight w:val="none"/>
        </w:rPr>
        <w:t>、工程</w:t>
      </w:r>
      <w:r>
        <w:rPr>
          <w:rFonts w:hint="eastAsia" w:ascii="宋体" w:hAnsi="宋体" w:cs="宋体-PUA"/>
          <w:color w:val="auto"/>
          <w:sz w:val="24"/>
          <w:highlight w:val="none"/>
          <w:lang w:val="en-US" w:eastAsia="zh-CN"/>
        </w:rPr>
        <w:t>初步</w:t>
      </w:r>
      <w:r>
        <w:rPr>
          <w:rFonts w:hint="eastAsia" w:ascii="宋体" w:hAnsi="宋体" w:cs="宋体-PUA"/>
          <w:color w:val="auto"/>
          <w:sz w:val="24"/>
          <w:highlight w:val="none"/>
        </w:rPr>
        <w:t>设计</w:t>
      </w:r>
      <w:r>
        <w:rPr>
          <w:rFonts w:hint="eastAsia" w:ascii="宋体" w:hAnsi="宋体" w:cs="宋体-PUA"/>
          <w:color w:val="auto"/>
          <w:sz w:val="24"/>
          <w:highlight w:val="none"/>
          <w:lang w:val="en-US" w:eastAsia="zh-CN"/>
        </w:rPr>
        <w:t>费</w:t>
      </w:r>
      <w:r>
        <w:rPr>
          <w:rFonts w:hint="eastAsia" w:ascii="宋体" w:hAnsi="宋体" w:cs="宋体-PUA"/>
          <w:color w:val="auto"/>
          <w:sz w:val="24"/>
          <w:highlight w:val="none"/>
        </w:rPr>
        <w:t>)最高投标限价为</w:t>
      </w:r>
      <w:r>
        <w:rPr>
          <w:rFonts w:hint="eastAsia" w:ascii="宋体" w:hAnsi="宋体" w:cs="宋体-PUA"/>
          <w:color w:val="auto"/>
          <w:sz w:val="24"/>
          <w:highlight w:val="none"/>
          <w:u w:val="single"/>
        </w:rPr>
        <w:t>30131801.46</w:t>
      </w:r>
      <w:r>
        <w:rPr>
          <w:rFonts w:hint="eastAsia" w:ascii="宋体" w:hAnsi="宋体" w:eastAsia="宋体" w:cs="宋体-PUA"/>
          <w:color w:val="auto"/>
          <w:sz w:val="24"/>
          <w:highlight w:val="none"/>
          <w:u w:val="single"/>
        </w:rPr>
        <w:t xml:space="preserve"> </w:t>
      </w:r>
      <w:r>
        <w:rPr>
          <w:rFonts w:hint="eastAsia" w:ascii="宋体" w:hAnsi="宋体" w:cs="宋体-PUA"/>
          <w:color w:val="auto"/>
          <w:sz w:val="24"/>
          <w:highlight w:val="none"/>
        </w:rPr>
        <w:t>元，</w:t>
      </w:r>
      <w:r>
        <w:rPr>
          <w:rFonts w:hint="eastAsia" w:ascii="宋体" w:hAnsi="宋体" w:cs="宋体-PUA"/>
          <w:color w:val="auto"/>
          <w:sz w:val="24"/>
          <w:highlight w:val="none"/>
          <w:lang w:eastAsia="zh-CN"/>
        </w:rPr>
        <w:t>其中</w:t>
      </w:r>
      <w:r>
        <w:rPr>
          <w:rFonts w:hint="eastAsia" w:ascii="宋体" w:hAnsi="宋体" w:cs="宋体-PUA"/>
          <w:color w:val="auto"/>
          <w:sz w:val="24"/>
          <w:highlight w:val="none"/>
        </w:rPr>
        <w:t>工程勘察费最高投标限价为</w:t>
      </w:r>
      <w:r>
        <w:rPr>
          <w:rFonts w:hint="eastAsia" w:ascii="宋体" w:hAnsi="宋体" w:cs="宋体-PUA"/>
          <w:color w:val="auto"/>
          <w:sz w:val="24"/>
          <w:highlight w:val="none"/>
          <w:u w:val="single"/>
        </w:rPr>
        <w:t>13773435.28</w:t>
      </w:r>
      <w:r>
        <w:rPr>
          <w:rFonts w:hint="eastAsia" w:ascii="宋体" w:hAnsi="宋体" w:cs="宋体-PUA"/>
          <w:color w:val="auto"/>
          <w:sz w:val="24"/>
          <w:highlight w:val="none"/>
        </w:rPr>
        <w:t>元</w:t>
      </w:r>
      <w:r>
        <w:rPr>
          <w:rFonts w:hint="eastAsia" w:ascii="宋体" w:hAnsi="宋体" w:cs="宋体-PUA"/>
          <w:color w:val="auto"/>
          <w:sz w:val="24"/>
          <w:highlight w:val="none"/>
          <w:lang w:eastAsia="zh-CN"/>
        </w:rPr>
        <w:t>，</w:t>
      </w:r>
      <w:r>
        <w:rPr>
          <w:rFonts w:hint="eastAsia" w:ascii="宋体" w:hAnsi="宋体" w:cs="宋体-PUA"/>
          <w:color w:val="auto"/>
          <w:sz w:val="24"/>
          <w:highlight w:val="none"/>
        </w:rPr>
        <w:t>工程</w:t>
      </w:r>
      <w:r>
        <w:rPr>
          <w:rFonts w:hint="eastAsia" w:ascii="宋体" w:hAnsi="宋体" w:cs="宋体-PUA"/>
          <w:color w:val="auto"/>
          <w:sz w:val="24"/>
          <w:highlight w:val="none"/>
          <w:lang w:val="en-US" w:eastAsia="zh-CN"/>
        </w:rPr>
        <w:t>初步</w:t>
      </w:r>
      <w:r>
        <w:rPr>
          <w:rFonts w:hint="eastAsia" w:ascii="宋体" w:hAnsi="宋体" w:cs="宋体-PUA"/>
          <w:color w:val="auto"/>
          <w:sz w:val="24"/>
          <w:highlight w:val="none"/>
        </w:rPr>
        <w:t>设计</w:t>
      </w:r>
      <w:r>
        <w:rPr>
          <w:rFonts w:hint="eastAsia" w:ascii="宋体" w:hAnsi="宋体" w:cs="宋体-PUA"/>
          <w:color w:val="auto"/>
          <w:sz w:val="24"/>
          <w:highlight w:val="none"/>
          <w:lang w:eastAsia="zh-CN"/>
        </w:rPr>
        <w:t>费</w:t>
      </w:r>
      <w:r>
        <w:rPr>
          <w:rFonts w:hint="eastAsia" w:ascii="宋体" w:hAnsi="宋体" w:cs="宋体-PUA"/>
          <w:color w:val="auto"/>
          <w:sz w:val="24"/>
          <w:highlight w:val="none"/>
        </w:rPr>
        <w:t>（含方案设计费）最高投标限价为</w:t>
      </w:r>
      <w:r>
        <w:rPr>
          <w:rFonts w:hint="eastAsia" w:ascii="宋体" w:hAnsi="宋体" w:cs="宋体-PUA"/>
          <w:color w:val="auto"/>
          <w:sz w:val="24"/>
          <w:highlight w:val="none"/>
          <w:u w:val="single"/>
          <w:lang w:eastAsia="zh-CN"/>
        </w:rPr>
        <w:t>16358366.18</w:t>
      </w:r>
      <w:r>
        <w:rPr>
          <w:rFonts w:hint="eastAsia" w:ascii="宋体" w:hAnsi="宋体" w:eastAsia="宋体" w:cs="宋体-PUA"/>
          <w:color w:val="auto"/>
          <w:sz w:val="24"/>
          <w:highlight w:val="none"/>
          <w:u w:val="single"/>
        </w:rPr>
        <w:t xml:space="preserve"> </w:t>
      </w:r>
      <w:r>
        <w:rPr>
          <w:rFonts w:hint="eastAsia" w:ascii="宋体" w:hAnsi="宋体" w:cs="宋体-PUA"/>
          <w:color w:val="auto"/>
          <w:sz w:val="24"/>
          <w:highlight w:val="none"/>
        </w:rPr>
        <w:t>元。</w:t>
      </w:r>
    </w:p>
    <w:p>
      <w:pPr>
        <w:widowControl/>
        <w:shd w:val="clear" w:color="auto" w:fill="FFFFFF"/>
        <w:spacing w:line="360" w:lineRule="auto"/>
        <w:ind w:firstLine="488"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本项目</w:t>
      </w:r>
      <w:r>
        <w:rPr>
          <w:rFonts w:hint="eastAsia" w:ascii="宋体" w:hAnsi="宋体"/>
          <w:color w:val="auto"/>
          <w:sz w:val="24"/>
          <w:highlight w:val="none"/>
        </w:rPr>
        <w:t>工程勘察费</w:t>
      </w:r>
      <w:r>
        <w:rPr>
          <w:rFonts w:hint="eastAsia" w:ascii="宋体" w:hAnsi="宋体"/>
          <w:color w:val="auto"/>
          <w:sz w:val="24"/>
          <w:highlight w:val="none"/>
          <w:lang w:val="en-US" w:eastAsia="zh-CN"/>
        </w:rPr>
        <w:t>包含</w:t>
      </w:r>
      <w:r>
        <w:rPr>
          <w:rFonts w:hint="eastAsia" w:ascii="宋体" w:hAnsi="宋体"/>
          <w:color w:val="auto"/>
          <w:sz w:val="24"/>
          <w:highlight w:val="none"/>
        </w:rPr>
        <w:t>岩土工程勘察费、工程测量费、</w:t>
      </w:r>
      <w:r>
        <w:rPr>
          <w:rFonts w:hint="eastAsia" w:ascii="宋体" w:hAnsi="宋体"/>
          <w:color w:val="auto"/>
          <w:sz w:val="24"/>
          <w:highlight w:val="none"/>
          <w:lang w:eastAsia="zh-CN"/>
        </w:rPr>
        <w:t>岩土</w:t>
      </w:r>
      <w:r>
        <w:rPr>
          <w:rFonts w:hint="eastAsia" w:ascii="宋体" w:hAnsi="宋体"/>
          <w:color w:val="auto"/>
          <w:sz w:val="24"/>
          <w:highlight w:val="none"/>
        </w:rPr>
        <w:t>工程物探</w:t>
      </w:r>
      <w:r>
        <w:rPr>
          <w:rFonts w:hint="eastAsia" w:ascii="宋体" w:hAnsi="宋体"/>
          <w:color w:val="auto"/>
          <w:sz w:val="24"/>
          <w:highlight w:val="none"/>
          <w:lang w:eastAsia="zh-CN"/>
        </w:rPr>
        <w:t>费</w:t>
      </w:r>
      <w:r>
        <w:rPr>
          <w:rFonts w:hint="eastAsia" w:ascii="宋体" w:hAnsi="宋体"/>
          <w:color w:val="auto"/>
          <w:sz w:val="24"/>
          <w:highlight w:val="none"/>
        </w:rPr>
        <w:t>等</w:t>
      </w:r>
      <w:r>
        <w:rPr>
          <w:rFonts w:hint="eastAsia" w:ascii="宋体" w:hAnsi="宋体"/>
          <w:color w:val="auto"/>
          <w:sz w:val="24"/>
          <w:highlight w:val="none"/>
          <w:lang w:val="en-US" w:eastAsia="zh-CN"/>
        </w:rPr>
        <w:t>工程</w:t>
      </w:r>
      <w:r>
        <w:rPr>
          <w:rFonts w:hint="eastAsia" w:ascii="宋体" w:hAnsi="宋体"/>
          <w:color w:val="auto"/>
          <w:sz w:val="24"/>
          <w:highlight w:val="none"/>
        </w:rPr>
        <w:t>勘察工作发生的所有费用及税金</w:t>
      </w:r>
      <w:r>
        <w:rPr>
          <w:rFonts w:hint="eastAsia" w:ascii="宋体" w:hAnsi="宋体"/>
          <w:color w:val="auto"/>
          <w:sz w:val="24"/>
          <w:highlight w:val="none"/>
          <w:lang w:eastAsia="zh-CN"/>
        </w:rPr>
        <w:t>。工程</w:t>
      </w:r>
      <w:r>
        <w:rPr>
          <w:rFonts w:hint="eastAsia" w:hAnsi="宋体" w:cs="宋体"/>
          <w:sz w:val="24"/>
          <w:szCs w:val="24"/>
          <w:highlight w:val="none"/>
        </w:rPr>
        <w:t>勘察费最终结算价以发包人确认的</w:t>
      </w:r>
      <w:r>
        <w:rPr>
          <w:rFonts w:hint="eastAsia" w:ascii="宋体" w:hAnsi="宋体"/>
          <w:color w:val="auto"/>
          <w:sz w:val="24"/>
          <w:highlight w:val="none"/>
        </w:rPr>
        <w:t>岩土工程勘察、工程测量、</w:t>
      </w:r>
      <w:r>
        <w:rPr>
          <w:rFonts w:hint="eastAsia" w:ascii="宋体" w:hAnsi="宋体"/>
          <w:color w:val="auto"/>
          <w:sz w:val="24"/>
          <w:highlight w:val="none"/>
          <w:lang w:eastAsia="zh-CN"/>
        </w:rPr>
        <w:t>岩土</w:t>
      </w:r>
      <w:r>
        <w:rPr>
          <w:rFonts w:hint="eastAsia" w:ascii="宋体" w:hAnsi="宋体"/>
          <w:color w:val="auto"/>
          <w:sz w:val="24"/>
          <w:highlight w:val="none"/>
        </w:rPr>
        <w:t>工程物探</w:t>
      </w:r>
      <w:r>
        <w:rPr>
          <w:rFonts w:hint="eastAsia" w:hAnsi="宋体" w:cs="宋体"/>
          <w:sz w:val="24"/>
          <w:szCs w:val="24"/>
          <w:highlight w:val="none"/>
        </w:rPr>
        <w:t>成果报告</w:t>
      </w:r>
      <w:r>
        <w:rPr>
          <w:rFonts w:hint="eastAsia" w:hAnsi="宋体" w:cs="宋体"/>
          <w:sz w:val="24"/>
          <w:szCs w:val="24"/>
          <w:highlight w:val="none"/>
          <w:lang w:eastAsia="zh-CN"/>
        </w:rPr>
        <w:t>及实际</w:t>
      </w:r>
      <w:r>
        <w:rPr>
          <w:rFonts w:hint="eastAsia" w:hAnsi="宋体" w:cs="宋体"/>
          <w:sz w:val="24"/>
          <w:szCs w:val="24"/>
          <w:highlight w:val="none"/>
        </w:rPr>
        <w:t>工程量为结算依据，</w:t>
      </w:r>
      <w:r>
        <w:rPr>
          <w:rFonts w:hint="eastAsia" w:hAnsi="宋体" w:cs="宋体"/>
          <w:color w:val="auto"/>
          <w:sz w:val="24"/>
          <w:szCs w:val="24"/>
          <w:highlight w:val="none"/>
        </w:rPr>
        <w:t>以经</w:t>
      </w:r>
      <w:r>
        <w:rPr>
          <w:rFonts w:hint="eastAsia" w:hAnsi="宋体" w:cs="宋体"/>
          <w:color w:val="auto"/>
          <w:sz w:val="24"/>
          <w:szCs w:val="24"/>
          <w:highlight w:val="none"/>
          <w:lang w:eastAsia="zh-CN"/>
        </w:rPr>
        <w:t>发包</w:t>
      </w:r>
      <w:r>
        <w:rPr>
          <w:rFonts w:hint="eastAsia" w:hAnsi="宋体" w:cs="宋体"/>
          <w:color w:val="auto"/>
          <w:sz w:val="24"/>
          <w:szCs w:val="24"/>
          <w:highlight w:val="none"/>
        </w:rPr>
        <w:t>人或第三方单位审核的结算价中建筑安装工程费作为计费基数</w:t>
      </w:r>
      <w:r>
        <w:rPr>
          <w:rFonts w:hint="eastAsia" w:hAnsi="宋体" w:cs="宋体"/>
          <w:color w:val="auto"/>
          <w:sz w:val="24"/>
          <w:szCs w:val="24"/>
          <w:highlight w:val="none"/>
          <w:lang w:eastAsia="zh-CN"/>
        </w:rPr>
        <w:t>，</w:t>
      </w:r>
      <w:r>
        <w:rPr>
          <w:rFonts w:hint="eastAsia" w:ascii="Times New Roman" w:hAnsi="宋体"/>
          <w:sz w:val="24"/>
          <w:szCs w:val="24"/>
          <w:highlight w:val="none"/>
          <w:lang w:eastAsia="zh-CN"/>
        </w:rPr>
        <w:t>以</w:t>
      </w:r>
      <w:r>
        <w:rPr>
          <w:rFonts w:ascii="Times New Roman" w:hAnsi="宋体"/>
          <w:sz w:val="24"/>
          <w:szCs w:val="24"/>
          <w:highlight w:val="none"/>
        </w:rPr>
        <w:t>《工程勘察设计收费标准》（</w:t>
      </w:r>
      <w:r>
        <w:rPr>
          <w:rFonts w:ascii="Times New Roman" w:hAnsi="Times New Roman"/>
          <w:sz w:val="24"/>
          <w:szCs w:val="24"/>
          <w:highlight w:val="none"/>
        </w:rPr>
        <w:t>2002</w:t>
      </w:r>
      <w:r>
        <w:rPr>
          <w:rFonts w:ascii="Times New Roman" w:hAnsi="宋体"/>
          <w:sz w:val="24"/>
          <w:szCs w:val="24"/>
          <w:highlight w:val="none"/>
        </w:rPr>
        <w:t>年修订本）及国家测绘局颁发的国家测绘产品价格规定计算的勘察收费基准价</w:t>
      </w:r>
      <w:r>
        <w:rPr>
          <w:rFonts w:ascii="Times New Roman" w:hAnsi="Times New Roman"/>
          <w:sz w:val="24"/>
          <w:szCs w:val="24"/>
          <w:highlight w:val="none"/>
        </w:rPr>
        <w:t>×</w:t>
      </w:r>
      <w:r>
        <w:rPr>
          <w:sz w:val="24"/>
          <w:highlight w:val="none"/>
        </w:rPr>
        <w:t>(1-发包下浮率</w:t>
      </w:r>
      <w:r>
        <w:rPr>
          <w:rFonts w:hint="eastAsia"/>
          <w:sz w:val="24"/>
          <w:highlight w:val="none"/>
          <w:lang w:val="en-US" w:eastAsia="zh-CN"/>
        </w:rPr>
        <w:t>20</w:t>
      </w:r>
      <w:r>
        <w:rPr>
          <w:sz w:val="24"/>
          <w:highlight w:val="none"/>
        </w:rPr>
        <w:t>%)×（1-中标下浮率</w:t>
      </w:r>
      <w:r>
        <w:rPr>
          <w:rFonts w:hint="eastAsia"/>
          <w:sz w:val="24"/>
          <w:highlight w:val="none"/>
          <w:lang w:val="en-US" w:eastAsia="zh-CN"/>
        </w:rPr>
        <w:t xml:space="preserve">  </w:t>
      </w:r>
      <w:r>
        <w:rPr>
          <w:sz w:val="24"/>
          <w:highlight w:val="none"/>
        </w:rPr>
        <w:t>%）</w:t>
      </w:r>
      <w:r>
        <w:rPr>
          <w:rFonts w:hint="eastAsia"/>
          <w:sz w:val="24"/>
          <w:highlight w:val="none"/>
          <w:lang w:eastAsia="zh-CN"/>
        </w:rPr>
        <w:t>为计算标准</w:t>
      </w:r>
      <w:r>
        <w:rPr>
          <w:rFonts w:hint="eastAsia" w:hAnsi="宋体" w:cs="宋体"/>
          <w:sz w:val="24"/>
          <w:szCs w:val="24"/>
          <w:highlight w:val="none"/>
        </w:rPr>
        <w:t>，最终以</w:t>
      </w:r>
      <w:r>
        <w:rPr>
          <w:rFonts w:hint="eastAsia" w:hAnsi="宋体" w:cs="宋体"/>
          <w:sz w:val="24"/>
          <w:szCs w:val="24"/>
          <w:highlight w:val="none"/>
          <w:lang w:eastAsia="zh-CN"/>
        </w:rPr>
        <w:t>发包人</w:t>
      </w:r>
      <w:r>
        <w:rPr>
          <w:rFonts w:hint="eastAsia" w:hAnsi="宋体" w:cs="宋体"/>
          <w:sz w:val="24"/>
          <w:szCs w:val="24"/>
          <w:highlight w:val="none"/>
        </w:rPr>
        <w:t>或第三方</w:t>
      </w:r>
      <w:r>
        <w:rPr>
          <w:rFonts w:hint="eastAsia" w:hAnsi="宋体" w:cs="宋体"/>
          <w:sz w:val="24"/>
          <w:szCs w:val="24"/>
          <w:highlight w:val="none"/>
          <w:lang w:eastAsia="zh-CN"/>
        </w:rPr>
        <w:t>单位审核</w:t>
      </w:r>
      <w:r>
        <w:rPr>
          <w:rFonts w:hint="eastAsia" w:hAnsi="宋体" w:cs="宋体"/>
          <w:sz w:val="24"/>
          <w:szCs w:val="24"/>
          <w:highlight w:val="none"/>
        </w:rPr>
        <w:t>为准。(结算价不得超过经审核批复后的概算造价)。</w:t>
      </w:r>
    </w:p>
    <w:p>
      <w:pPr>
        <w:widowControl/>
        <w:shd w:val="clear" w:color="auto" w:fill="FFFFFF"/>
        <w:spacing w:line="360" w:lineRule="auto"/>
        <w:ind w:firstLine="488" w:firstLineChars="200"/>
        <w:rPr>
          <w:rFonts w:hint="eastAsia" w:ascii="宋体" w:hAnsi="宋体" w:eastAsia="宋体" w:cs="Courier New"/>
          <w:strike w:val="0"/>
          <w:dstrike w:val="0"/>
          <w:color w:val="auto"/>
          <w:kern w:val="2"/>
          <w:sz w:val="24"/>
          <w:szCs w:val="21"/>
          <w:highlight w:val="none"/>
          <w:lang w:val="en-US" w:eastAsia="zh-CN" w:bidi="ar-SA"/>
        </w:rPr>
      </w:pPr>
      <w:r>
        <w:rPr>
          <w:rFonts w:hint="eastAsia" w:ascii="宋体" w:hAnsi="宋体"/>
          <w:color w:val="auto"/>
          <w:sz w:val="24"/>
          <w:highlight w:val="none"/>
          <w:lang w:val="en-US" w:eastAsia="zh-CN"/>
        </w:rPr>
        <w:t>本项目</w:t>
      </w:r>
      <w:r>
        <w:rPr>
          <w:rFonts w:hint="eastAsia" w:ascii="宋体" w:hAnsi="宋体" w:cs="宋体-PUA"/>
          <w:color w:val="000000" w:themeColor="text1"/>
          <w:sz w:val="24"/>
          <w:highlight w:val="none"/>
          <w14:textFill>
            <w14:solidFill>
              <w14:schemeClr w14:val="tx1"/>
            </w14:solidFill>
          </w14:textFill>
        </w:rPr>
        <w:t>工程设计</w:t>
      </w:r>
      <w:r>
        <w:rPr>
          <w:rFonts w:hint="eastAsia" w:ascii="宋体" w:hAnsi="宋体" w:cs="宋体-PUA"/>
          <w:color w:val="auto"/>
          <w:sz w:val="24"/>
          <w:highlight w:val="none"/>
        </w:rPr>
        <w:t>费包含</w:t>
      </w:r>
      <w:r>
        <w:rPr>
          <w:rFonts w:hint="eastAsia" w:ascii="宋体" w:hAnsi="宋体"/>
          <w:color w:val="auto"/>
          <w:sz w:val="24"/>
          <w:highlight w:val="none"/>
          <w:lang w:val="en-US" w:eastAsia="zh-CN"/>
        </w:rPr>
        <w:t>初步</w:t>
      </w:r>
      <w:r>
        <w:rPr>
          <w:rFonts w:hint="eastAsia" w:ascii="宋体" w:hAnsi="宋体"/>
          <w:color w:val="auto"/>
          <w:sz w:val="24"/>
          <w:highlight w:val="none"/>
          <w:lang w:eastAsia="zh-CN"/>
        </w:rPr>
        <w:t>设计</w:t>
      </w:r>
      <w:r>
        <w:rPr>
          <w:rFonts w:hint="eastAsia" w:ascii="宋体" w:hAnsi="宋体" w:cs="宋体-PUA"/>
          <w:color w:val="auto"/>
          <w:sz w:val="24"/>
          <w:highlight w:val="none"/>
        </w:rPr>
        <w:t>费</w:t>
      </w:r>
      <w:r>
        <w:rPr>
          <w:rFonts w:hint="eastAsia" w:ascii="宋体" w:hAnsi="宋体" w:cs="宋体-PUA"/>
          <w:color w:val="auto"/>
          <w:sz w:val="24"/>
          <w:highlight w:val="none"/>
          <w:lang w:eastAsia="zh-CN"/>
        </w:rPr>
        <w:t>（</w:t>
      </w:r>
      <w:r>
        <w:rPr>
          <w:rFonts w:hint="eastAsia" w:ascii="宋体" w:hAnsi="宋体" w:cs="宋体-PUA"/>
          <w:color w:val="auto"/>
          <w:sz w:val="24"/>
          <w:highlight w:val="none"/>
          <w:lang w:val="en-US" w:eastAsia="zh-CN"/>
        </w:rPr>
        <w:t>含方案设计费</w:t>
      </w:r>
      <w:r>
        <w:rPr>
          <w:rFonts w:hint="eastAsia" w:ascii="宋体" w:hAnsi="宋体" w:cs="宋体-PUA"/>
          <w:color w:val="auto"/>
          <w:sz w:val="24"/>
          <w:highlight w:val="none"/>
          <w:lang w:eastAsia="zh-CN"/>
        </w:rPr>
        <w:t>）</w:t>
      </w:r>
      <w:r>
        <w:rPr>
          <w:rFonts w:hint="eastAsia" w:ascii="宋体" w:hAnsi="宋体"/>
          <w:color w:val="auto"/>
          <w:sz w:val="24"/>
          <w:highlight w:val="none"/>
          <w:lang w:eastAsia="zh-CN"/>
        </w:rPr>
        <w:t>（</w:t>
      </w:r>
      <w:r>
        <w:rPr>
          <w:rFonts w:hint="eastAsia" w:ascii="宋体" w:hAnsi="宋体"/>
          <w:color w:val="auto"/>
          <w:sz w:val="24"/>
          <w:highlight w:val="none"/>
        </w:rPr>
        <w:t>方案</w:t>
      </w:r>
      <w:r>
        <w:rPr>
          <w:rFonts w:hint="eastAsia" w:ascii="宋体" w:hAnsi="宋体"/>
          <w:color w:val="000000" w:themeColor="text1"/>
          <w:sz w:val="24"/>
          <w:highlight w:val="none"/>
          <w14:textFill>
            <w14:solidFill>
              <w14:schemeClr w14:val="tx1"/>
            </w14:solidFill>
          </w14:textFill>
        </w:rPr>
        <w:t>设计及估算、初步设计及概算、办理相关前期报建手续</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现场服务</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auto"/>
          <w:sz w:val="24"/>
          <w:highlight w:val="none"/>
        </w:rPr>
        <w:t>等</w:t>
      </w:r>
      <w:r>
        <w:rPr>
          <w:rFonts w:hint="eastAsia" w:ascii="宋体" w:hAnsi="宋体" w:cs="宋体-PUA"/>
          <w:color w:val="000000" w:themeColor="text1"/>
          <w:sz w:val="24"/>
          <w:highlight w:val="none"/>
          <w14:textFill>
            <w14:solidFill>
              <w14:schemeClr w14:val="tx1"/>
            </w14:solidFill>
          </w14:textFill>
        </w:rPr>
        <w:t>设计</w:t>
      </w:r>
      <w:r>
        <w:rPr>
          <w:rFonts w:hint="eastAsia" w:ascii="宋体" w:hAnsi="宋体"/>
          <w:color w:val="auto"/>
          <w:sz w:val="24"/>
          <w:highlight w:val="none"/>
        </w:rPr>
        <w:t>工作发生的所有费用及税金</w:t>
      </w:r>
      <w:r>
        <w:rPr>
          <w:rFonts w:hint="eastAsia" w:hAnsi="宋体" w:cs="宋体"/>
          <w:sz w:val="24"/>
          <w:szCs w:val="24"/>
          <w:highlight w:val="none"/>
        </w:rPr>
        <w:t>。</w:t>
      </w:r>
      <w:r>
        <w:rPr>
          <w:rFonts w:hint="eastAsia" w:ascii="宋体" w:hAnsi="宋体" w:eastAsia="宋体" w:cs="Times New Roman"/>
          <w:strike w:val="0"/>
          <w:dstrike w:val="0"/>
          <w:color w:val="auto"/>
          <w:sz w:val="24"/>
          <w:highlight w:val="none"/>
          <w:lang w:val="en-US" w:eastAsia="zh-CN"/>
        </w:rPr>
        <w:t xml:space="preserve"> </w:t>
      </w:r>
      <w:r>
        <w:rPr>
          <w:rFonts w:hint="eastAsia" w:ascii="宋体" w:hAnsi="宋体" w:cs="宋体"/>
          <w:color w:val="auto"/>
          <w:sz w:val="24"/>
          <w:highlight w:val="none"/>
          <w:lang w:bidi="ar"/>
        </w:rPr>
        <w:t>工程</w:t>
      </w:r>
      <w:r>
        <w:rPr>
          <w:rFonts w:hint="eastAsia" w:ascii="宋体" w:hAnsi="宋体" w:cs="宋体"/>
          <w:color w:val="auto"/>
          <w:sz w:val="24"/>
          <w:highlight w:val="none"/>
          <w:lang w:val="en-US" w:eastAsia="zh-CN" w:bidi="ar"/>
        </w:rPr>
        <w:t>初步</w:t>
      </w:r>
      <w:r>
        <w:rPr>
          <w:rFonts w:hint="eastAsia" w:ascii="宋体" w:hAnsi="宋体" w:cs="宋体"/>
          <w:color w:val="auto"/>
          <w:sz w:val="24"/>
          <w:highlight w:val="none"/>
          <w:lang w:bidi="ar"/>
        </w:rPr>
        <w:t>设计费</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含方案设计费</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最终结算以概算审定设计费</w:t>
      </w:r>
      <w:r>
        <w:rPr>
          <w:rFonts w:hint="eastAsia" w:ascii="宋体" w:hAnsi="宋体" w:cs="宋体"/>
          <w:color w:val="auto"/>
          <w:sz w:val="24"/>
          <w:highlight w:val="none"/>
          <w:lang w:val="en-US" w:eastAsia="zh-CN" w:bidi="ar"/>
        </w:rPr>
        <w:t>的50%</w:t>
      </w:r>
      <w:r>
        <w:rPr>
          <w:rFonts w:hint="eastAsia" w:ascii="宋体" w:hAnsi="宋体" w:cs="宋体"/>
          <w:color w:val="auto"/>
          <w:sz w:val="24"/>
          <w:highlight w:val="none"/>
          <w:lang w:bidi="ar"/>
        </w:rPr>
        <w:t>，并下浮</w:t>
      </w:r>
      <w:r>
        <w:rPr>
          <w:rFonts w:hint="eastAsia" w:ascii="宋体" w:hAnsi="宋体" w:cs="宋体"/>
          <w:color w:val="auto"/>
          <w:sz w:val="24"/>
          <w:highlight w:val="none"/>
          <w:u w:val="single"/>
          <w:lang w:val="en-US" w:eastAsia="zh-CN" w:bidi="ar"/>
        </w:rPr>
        <w:t>20</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发包</w:t>
      </w:r>
      <w:r>
        <w:rPr>
          <w:rFonts w:hint="eastAsia" w:ascii="宋体" w:hAnsi="宋体" w:cs="宋体"/>
          <w:color w:val="auto"/>
          <w:sz w:val="24"/>
          <w:highlight w:val="none"/>
          <w:lang w:bidi="ar"/>
        </w:rPr>
        <w:t>下浮率）</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%（中标人下浮率），即</w:t>
      </w:r>
      <w:r>
        <w:rPr>
          <w:rFonts w:hint="eastAsia" w:ascii="宋体" w:hAnsi="宋体" w:cs="宋体"/>
          <w:color w:val="auto"/>
          <w:sz w:val="24"/>
          <w:highlight w:val="none"/>
          <w:lang w:val="en-US" w:eastAsia="zh-CN" w:bidi="ar"/>
        </w:rPr>
        <w:t>工程初步</w:t>
      </w:r>
      <w:r>
        <w:rPr>
          <w:rFonts w:hint="eastAsia" w:ascii="宋体" w:hAnsi="宋体" w:cs="宋体"/>
          <w:color w:val="auto"/>
          <w:sz w:val="24"/>
          <w:highlight w:val="none"/>
          <w:lang w:bidi="ar"/>
        </w:rPr>
        <w:t>设计费</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含方案设计费</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结算价=概算审定设计费</w:t>
      </w:r>
      <w:r>
        <w:rPr>
          <w:rFonts w:hint="eastAsia" w:ascii="宋体" w:hAnsi="宋体" w:cs="宋体"/>
          <w:color w:val="auto"/>
          <w:sz w:val="24"/>
          <w:highlight w:val="none"/>
          <w:lang w:val="en-US" w:eastAsia="zh-CN" w:bidi="ar"/>
        </w:rPr>
        <w:t>*50%*</w:t>
      </w:r>
      <w:r>
        <w:rPr>
          <w:rFonts w:hint="eastAsia" w:ascii="宋体" w:hAnsi="宋体" w:eastAsia="宋体" w:cs="Times New Roman"/>
          <w:color w:val="auto"/>
          <w:sz w:val="24"/>
          <w:highlight w:val="none"/>
          <w:lang w:val="en-US" w:eastAsia="zh-CN"/>
        </w:rPr>
        <w:t>(1-发包下浮率20%)</w:t>
      </w:r>
      <w:r>
        <w:rPr>
          <w:rFonts w:hint="eastAsia" w:ascii="宋体" w:hAnsi="宋体" w:cs="宋体"/>
          <w:color w:val="auto"/>
          <w:sz w:val="24"/>
          <w:highlight w:val="none"/>
          <w:lang w:val="en-US" w:eastAsia="zh-CN" w:bidi="ar"/>
        </w:rPr>
        <w:t>*</w:t>
      </w:r>
      <w:r>
        <w:rPr>
          <w:rFonts w:hint="eastAsia" w:ascii="宋体" w:hAnsi="宋体" w:eastAsia="宋体" w:cs="Times New Roman"/>
          <w:color w:val="auto"/>
          <w:sz w:val="24"/>
          <w:highlight w:val="none"/>
          <w:lang w:val="en-US" w:eastAsia="zh-CN"/>
        </w:rPr>
        <w:t>（1-中标下浮率  %）</w:t>
      </w:r>
      <w:r>
        <w:rPr>
          <w:rFonts w:hint="eastAsia" w:ascii="宋体" w:hAnsi="宋体"/>
          <w:color w:val="auto"/>
          <w:sz w:val="24"/>
          <w:highlight w:val="none"/>
        </w:rPr>
        <w:t>。国家和地方没有规定的，由双方商定。且该中标价包括专家评审费等</w:t>
      </w:r>
      <w:r>
        <w:rPr>
          <w:rFonts w:hint="eastAsia" w:ascii="宋体" w:hAnsi="宋体"/>
          <w:color w:val="auto"/>
          <w:sz w:val="24"/>
          <w:highlight w:val="none"/>
          <w:lang w:eastAsia="zh-CN"/>
        </w:rPr>
        <w:t>。</w:t>
      </w:r>
    </w:p>
    <w:p>
      <w:pPr>
        <w:widowControl/>
        <w:shd w:val="clear" w:color="auto" w:fill="FFFFFF"/>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14:textFill>
            <w14:solidFill>
              <w14:schemeClr w14:val="tx1"/>
            </w14:solidFill>
          </w14:textFill>
        </w:rPr>
        <w:t>1.4.2</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Calibri"/>
          <w:color w:val="000000" w:themeColor="text1"/>
          <w:kern w:val="0"/>
          <w:sz w:val="24"/>
          <w:highlight w:val="none"/>
          <w:shd w:val="clear" w:color="auto" w:fill="FFFFFF"/>
          <w:lang w:val="en-US" w:eastAsia="zh-CN" w:bidi="ar"/>
          <w14:textFill>
            <w14:solidFill>
              <w14:schemeClr w14:val="tx1"/>
            </w14:solidFill>
          </w14:textFill>
        </w:rPr>
        <w:t>本项目应实行限额设计，初步设计的建设内容和建设标准不得超过可行性研究报告批复的范围，编制初步设计概算不得超过经批准的可行性研究报告总投资。本项目投资应当坚持估算控制概算，概算控制预算，预算控制决算的原则（如国家、广东省和广州市增城区有新规定按新规定执行）</w:t>
      </w:r>
      <w:r>
        <w:rPr>
          <w:rFonts w:ascii="宋体" w:hAnsi="宋体" w:cs="Calibri"/>
          <w:color w:val="000000" w:themeColor="text1"/>
          <w:kern w:val="0"/>
          <w:sz w:val="24"/>
          <w:highlight w:val="none"/>
          <w:shd w:val="clear" w:color="auto" w:fill="FFFFFF"/>
          <w:lang w:bidi="ar"/>
          <w14:textFill>
            <w14:solidFill>
              <w14:schemeClr w14:val="tx1"/>
            </w14:solidFill>
          </w14:textFill>
        </w:rPr>
        <w:t>。</w:t>
      </w:r>
    </w:p>
    <w:p>
      <w:pPr>
        <w:widowControl/>
        <w:shd w:val="clear" w:color="auto" w:fill="FFFFFF"/>
        <w:spacing w:line="360" w:lineRule="auto"/>
        <w:rPr>
          <w:rFonts w:ascii="宋体" w:hAnsi="宋体" w:cs="Calibri"/>
          <w:color w:val="000000" w:themeColor="text1"/>
          <w:kern w:val="0"/>
          <w:sz w:val="24"/>
          <w:highlight w:val="none"/>
          <w:shd w:val="clear" w:color="auto" w:fill="FFFFFF"/>
          <w:lang w:bidi="ar"/>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1.4.3</w:t>
      </w:r>
      <w:r>
        <w:rPr>
          <w:rFonts w:hint="eastAsia" w:ascii="宋体" w:hAnsi="宋体" w:cs="宋体-PUA"/>
          <w:color w:val="000000" w:themeColor="text1"/>
          <w:sz w:val="24"/>
          <w:highlight w:val="none"/>
          <w14:textFill>
            <w14:solidFill>
              <w14:schemeClr w14:val="tx1"/>
            </w14:solidFill>
          </w14:textFill>
        </w:rPr>
        <w:t xml:space="preserve">  </w:t>
      </w:r>
      <w:r>
        <w:rPr>
          <w:rFonts w:hint="eastAsia" w:ascii="宋体" w:hAnsi="宋体" w:cs="Calibri"/>
          <w:color w:val="000000" w:themeColor="text1"/>
          <w:kern w:val="0"/>
          <w:sz w:val="24"/>
          <w:highlight w:val="none"/>
          <w:shd w:val="clear" w:color="auto" w:fill="FFFFFF"/>
          <w:lang w:bidi="ar"/>
          <w14:textFill>
            <w14:solidFill>
              <w14:schemeClr w14:val="tx1"/>
            </w14:solidFill>
          </w14:textFill>
        </w:rPr>
        <w:t>未中标单位经济补偿及补偿金额</w:t>
      </w:r>
    </w:p>
    <w:p>
      <w:pPr>
        <w:widowControl/>
        <w:shd w:val="clear" w:color="auto" w:fill="FFFFFF"/>
        <w:spacing w:line="360" w:lineRule="auto"/>
        <w:jc w:val="left"/>
        <w:rPr>
          <w:rFonts w:ascii="宋体" w:hAnsi="宋体"/>
          <w:b/>
          <w:color w:val="000000" w:themeColor="text1"/>
          <w:sz w:val="24"/>
          <w14:textFill>
            <w14:solidFill>
              <w14:schemeClr w14:val="tx1"/>
            </w14:solidFill>
          </w14:textFill>
        </w:rPr>
      </w:pPr>
      <w:r>
        <w:rPr>
          <w:rFonts w:hint="eastAsia" w:ascii="宋体"/>
          <w:color w:val="000000" w:themeColor="text1"/>
          <w:szCs w:val="21"/>
          <w14:textFill>
            <w14:solidFill>
              <w14:schemeClr w14:val="tx1"/>
            </w14:solidFill>
          </w14:textFill>
        </w:rPr>
        <w:t>■</w:t>
      </w:r>
      <w:r>
        <w:rPr>
          <w:rFonts w:hint="eastAsia" w:ascii="宋体" w:hAnsi="宋体" w:cs="宋体"/>
          <w:color w:val="000000" w:themeColor="text1"/>
          <w:kern w:val="0"/>
          <w:sz w:val="24"/>
          <w:shd w:val="clear" w:color="auto" w:fill="FFFFFF"/>
          <w:lang w:bidi="ar"/>
          <w14:textFill>
            <w14:solidFill>
              <w14:schemeClr w14:val="tx1"/>
            </w14:solidFill>
          </w14:textFill>
        </w:rPr>
        <w:t>本工程不设未中标单位经济补偿，投标费用由投标人自理。</w:t>
      </w:r>
    </w:p>
    <w:p>
      <w:pPr>
        <w:topLinePunct/>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1.5   工期</w:t>
      </w:r>
    </w:p>
    <w:p>
      <w:pPr>
        <w:pageBreakBefore w:val="0"/>
        <w:widowControl w:val="0"/>
        <w:kinsoku/>
        <w:wordWrap/>
        <w:overflowPunct/>
        <w:topLinePunct/>
        <w:autoSpaceDE/>
        <w:autoSpaceDN/>
        <w:bidi w:val="0"/>
        <w:adjustRightInd/>
        <w:snapToGrid/>
        <w:spacing w:line="360" w:lineRule="auto"/>
        <w:jc w:val="left"/>
        <w:textAlignment w:val="auto"/>
        <w:rPr>
          <w:rFonts w:hint="eastAsia" w:ascii="宋体" w:hAnsi="宋体" w:eastAsia="宋体" w:cs="Times New Roman"/>
          <w:b w:val="0"/>
          <w:bCs/>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1.5.1</w:t>
      </w:r>
      <w:r>
        <w:rPr>
          <w:rFonts w:hint="eastAsia" w:ascii="宋体" w:hAnsi="宋体"/>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lang w:eastAsia="zh-CN"/>
          <w14:textFill>
            <w14:solidFill>
              <w14:schemeClr w14:val="tx1"/>
            </w14:solidFill>
          </w14:textFill>
        </w:rPr>
        <w:t>工程</w:t>
      </w:r>
      <w:r>
        <w:rPr>
          <w:rFonts w:hint="eastAsia" w:ascii="宋体" w:hAnsi="宋体"/>
          <w:bCs/>
          <w:color w:val="000000" w:themeColor="text1"/>
          <w:sz w:val="24"/>
          <w:highlight w:val="none"/>
          <w14:textFill>
            <w14:solidFill>
              <w14:schemeClr w14:val="tx1"/>
            </w14:solidFill>
          </w14:textFill>
        </w:rPr>
        <w:t>设计工期：中标人应在中标通知书正式发出后 7 日历天内完成初步设计</w:t>
      </w:r>
      <w:r>
        <w:rPr>
          <w:rFonts w:hint="eastAsia" w:ascii="宋体" w:hAnsi="宋体"/>
          <w:bCs/>
          <w:color w:val="000000" w:themeColor="text1"/>
          <w:sz w:val="24"/>
          <w:highlight w:val="none"/>
          <w:lang w:eastAsia="zh-CN"/>
          <w14:textFill>
            <w14:solidFill>
              <w14:schemeClr w14:val="tx1"/>
            </w14:solidFill>
          </w14:textFill>
        </w:rPr>
        <w:t>及概算</w:t>
      </w:r>
      <w:r>
        <w:rPr>
          <w:rFonts w:hint="eastAsia" w:ascii="宋体" w:hAnsi="宋体"/>
          <w:bCs/>
          <w:color w:val="000000" w:themeColor="text1"/>
          <w:sz w:val="24"/>
          <w:highlight w:val="none"/>
          <w14:textFill>
            <w14:solidFill>
              <w14:schemeClr w14:val="tx1"/>
            </w14:solidFill>
          </w14:textFill>
        </w:rPr>
        <w:t>，初步设计</w:t>
      </w:r>
      <w:r>
        <w:rPr>
          <w:rFonts w:hint="eastAsia" w:ascii="宋体" w:hAnsi="宋体"/>
          <w:bCs/>
          <w:color w:val="000000" w:themeColor="text1"/>
          <w:sz w:val="24"/>
          <w:highlight w:val="none"/>
          <w:lang w:eastAsia="zh-CN"/>
          <w14:textFill>
            <w14:solidFill>
              <w14:schemeClr w14:val="tx1"/>
            </w14:solidFill>
          </w14:textFill>
        </w:rPr>
        <w:t>及概</w:t>
      </w:r>
      <w:r>
        <w:rPr>
          <w:rFonts w:hint="eastAsia" w:ascii="宋体" w:hAnsi="宋体"/>
          <w:bCs/>
          <w:color w:val="auto"/>
          <w:sz w:val="24"/>
          <w:highlight w:val="none"/>
          <w:lang w:eastAsia="zh-CN"/>
        </w:rPr>
        <w:t>算</w:t>
      </w:r>
      <w:r>
        <w:rPr>
          <w:rFonts w:hint="eastAsia" w:ascii="宋体" w:hAnsi="宋体"/>
          <w:bCs/>
          <w:color w:val="auto"/>
          <w:sz w:val="24"/>
          <w:highlight w:val="none"/>
        </w:rPr>
        <w:t>文件经审查发现问题后15日历天内完成补充、修改</w:t>
      </w:r>
      <w:r>
        <w:rPr>
          <w:rFonts w:hint="eastAsia" w:ascii="宋体" w:hAnsi="宋体"/>
          <w:bCs/>
          <w:color w:val="auto"/>
          <w:sz w:val="24"/>
          <w:highlight w:val="none"/>
          <w:lang w:eastAsia="zh-CN"/>
        </w:rPr>
        <w:t>。</w:t>
      </w:r>
      <w:r>
        <w:rPr>
          <w:rFonts w:hint="eastAsia" w:ascii="宋体" w:hAnsi="宋体"/>
          <w:bCs/>
          <w:color w:val="auto"/>
          <w:sz w:val="24"/>
          <w:highlight w:val="none"/>
        </w:rPr>
        <w:t xml:space="preserve">1.5.2 </w:t>
      </w:r>
      <w:r>
        <w:rPr>
          <w:rFonts w:hint="eastAsia" w:ascii="宋体" w:hAnsi="宋体"/>
          <w:bCs/>
          <w:color w:val="auto"/>
          <w:sz w:val="24"/>
          <w:highlight w:val="none"/>
          <w:lang w:eastAsia="zh-CN"/>
        </w:rPr>
        <w:t>工程</w:t>
      </w:r>
      <w:r>
        <w:rPr>
          <w:rFonts w:hint="eastAsia" w:ascii="宋体" w:hAnsi="宋体"/>
          <w:bCs/>
          <w:color w:val="auto"/>
          <w:sz w:val="24"/>
          <w:highlight w:val="none"/>
        </w:rPr>
        <w:t>勘察工期：承包人提交</w:t>
      </w:r>
      <w:r>
        <w:rPr>
          <w:rFonts w:hint="eastAsia" w:ascii="宋体" w:hAnsi="宋体"/>
          <w:color w:val="auto"/>
          <w:sz w:val="24"/>
          <w:highlight w:val="none"/>
        </w:rPr>
        <w:t>岩土工程勘察、工程测量、</w:t>
      </w:r>
      <w:r>
        <w:rPr>
          <w:rFonts w:hint="eastAsia" w:ascii="宋体" w:hAnsi="宋体"/>
          <w:color w:val="auto"/>
          <w:sz w:val="24"/>
          <w:highlight w:val="none"/>
          <w:lang w:eastAsia="zh-CN"/>
        </w:rPr>
        <w:t>岩土</w:t>
      </w:r>
      <w:r>
        <w:rPr>
          <w:rFonts w:hint="eastAsia" w:ascii="宋体" w:hAnsi="宋体"/>
          <w:color w:val="auto"/>
          <w:sz w:val="24"/>
          <w:highlight w:val="none"/>
        </w:rPr>
        <w:t>工程物探</w:t>
      </w:r>
      <w:r>
        <w:rPr>
          <w:rFonts w:hint="eastAsia" w:ascii="宋体" w:hAnsi="宋体"/>
          <w:bCs/>
          <w:color w:val="000000" w:themeColor="text1"/>
          <w:sz w:val="24"/>
          <w14:textFill>
            <w14:solidFill>
              <w14:schemeClr w14:val="tx1"/>
            </w14:solidFill>
          </w14:textFill>
        </w:rPr>
        <w:t>成果文件的工期必须满足</w:t>
      </w:r>
      <w:r>
        <w:rPr>
          <w:rFonts w:hint="eastAsia" w:ascii="宋体" w:hAnsi="宋体"/>
          <w:bCs/>
          <w:color w:val="000000" w:themeColor="text1"/>
          <w:sz w:val="24"/>
          <w:lang w:val="en-US" w:eastAsia="zh-CN"/>
          <w14:textFill>
            <w14:solidFill>
              <w14:schemeClr w14:val="tx1"/>
            </w14:solidFill>
          </w14:textFill>
        </w:rPr>
        <w:t>工程</w:t>
      </w:r>
      <w:r>
        <w:rPr>
          <w:rFonts w:hint="eastAsia" w:ascii="宋体" w:hAnsi="宋体"/>
          <w:bCs/>
          <w:color w:val="000000" w:themeColor="text1"/>
          <w:sz w:val="24"/>
          <w14:textFill>
            <w14:solidFill>
              <w14:schemeClr w14:val="tx1"/>
            </w14:solidFill>
          </w14:textFill>
        </w:rPr>
        <w:t>设计工期要求。如果延误工期，承包人向发包人支付的误期损害赔偿费每天为合同价的</w:t>
      </w:r>
      <w:r>
        <w:rPr>
          <w:rFonts w:hint="eastAsia" w:ascii="宋体" w:hAnsi="宋体"/>
          <w:bCs/>
          <w:color w:val="000000" w:themeColor="text1"/>
          <w:sz w:val="24"/>
          <w:u w:val="none"/>
          <w14:textFill>
            <w14:solidFill>
              <w14:schemeClr w14:val="tx1"/>
            </w14:solidFill>
          </w14:textFill>
        </w:rPr>
        <w:t>0.1%</w:t>
      </w:r>
      <w:r>
        <w:rPr>
          <w:rFonts w:hint="eastAsia" w:ascii="宋体" w:hAnsi="宋体" w:cs="宋体"/>
          <w:color w:val="000000" w:themeColor="text1"/>
          <w:sz w:val="24"/>
          <w:lang w:bidi="ar"/>
          <w14:textFill>
            <w14:solidFill>
              <w14:schemeClr w14:val="tx1"/>
            </w14:solidFill>
          </w14:textFill>
        </w:rPr>
        <w:t>；误期损害赔偿费的最高限额为最终合同价格的20%</w:t>
      </w:r>
      <w:r>
        <w:rPr>
          <w:rFonts w:hint="eastAsia" w:ascii="宋体" w:hAnsi="宋体"/>
          <w:bCs/>
          <w:color w:val="000000" w:themeColor="text1"/>
          <w:sz w:val="24"/>
          <w14:textFill>
            <w14:solidFill>
              <w14:schemeClr w14:val="tx1"/>
            </w14:solidFill>
          </w14:textFill>
        </w:rPr>
        <w:t>。</w:t>
      </w:r>
    </w:p>
    <w:p>
      <w:pPr>
        <w:topLinePunct/>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1.6   其他事项</w:t>
      </w:r>
    </w:p>
    <w:p>
      <w:pPr>
        <w:topLinePunct/>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  投标时是否需要提交设计模型：</w:t>
      </w:r>
      <w:r>
        <w:rPr>
          <w:rFonts w:hint="eastAsia" w:ascii="宋体" w:hAnsi="宋体"/>
          <w:color w:val="000000" w:themeColor="text1"/>
          <w:sz w:val="24"/>
          <w:u w:val="single"/>
          <w14:textFill>
            <w14:solidFill>
              <w14:schemeClr w14:val="tx1"/>
            </w14:solidFill>
          </w14:textFill>
        </w:rPr>
        <w:t xml:space="preserve"> 否 </w:t>
      </w:r>
      <w:r>
        <w:rPr>
          <w:rFonts w:hint="eastAsia" w:ascii="宋体" w:hAnsi="宋体"/>
          <w:color w:val="000000" w:themeColor="text1"/>
          <w:sz w:val="24"/>
          <w14:textFill>
            <w14:solidFill>
              <w14:schemeClr w14:val="tx1"/>
            </w14:solidFill>
          </w14:textFill>
        </w:rPr>
        <w:t>。</w:t>
      </w:r>
    </w:p>
    <w:p>
      <w:pPr>
        <w:topLinePunct/>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1.6.2  招标项目的电子地形图及相关资料由投标人自行收集。</w:t>
      </w:r>
    </w:p>
    <w:p>
      <w:pPr>
        <w:topLinePunct/>
        <w:spacing w:line="360" w:lineRule="auto"/>
        <w:ind w:right="-295" w:rightChars="-138"/>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  潜在投标人或利害关系人对本招标公告及招标内容异议的，可向招标人书面提出。</w:t>
      </w:r>
    </w:p>
    <w:p>
      <w:pPr>
        <w:topLinePunct/>
        <w:spacing w:line="360" w:lineRule="auto"/>
        <w:ind w:right="-295" w:rightChars="-138"/>
        <w:jc w:val="lef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异议受理部门：</w:t>
      </w:r>
      <w:r>
        <w:rPr>
          <w:rFonts w:hint="eastAsia" w:ascii="宋体" w:hAnsi="宋体"/>
          <w:color w:val="000000" w:themeColor="text1"/>
          <w:sz w:val="24"/>
          <w:u w:val="single"/>
          <w:lang w:eastAsia="zh-CN"/>
          <w14:textFill>
            <w14:solidFill>
              <w14:schemeClr w14:val="tx1"/>
            </w14:solidFill>
          </w14:textFill>
        </w:rPr>
        <w:t>广州市增城排水有限公司</w:t>
      </w:r>
    </w:p>
    <w:p>
      <w:pPr>
        <w:topLinePunct/>
        <w:spacing w:line="360" w:lineRule="auto"/>
        <w:jc w:val="lef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异议受理电话：</w:t>
      </w:r>
      <w:r>
        <w:rPr>
          <w:rFonts w:hint="eastAsia" w:ascii="宋体" w:hAnsi="宋体"/>
          <w:color w:val="000000" w:themeColor="text1"/>
          <w:sz w:val="24"/>
          <w:u w:val="single"/>
          <w14:textFill>
            <w14:solidFill>
              <w14:schemeClr w14:val="tx1"/>
            </w14:solidFill>
          </w14:textFill>
        </w:rPr>
        <w:t xml:space="preserve"> 020-82663316 </w:t>
      </w:r>
      <w:r>
        <w:rPr>
          <w:rFonts w:hint="eastAsia" w:ascii="宋体" w:hAnsi="宋体"/>
          <w:color w:val="000000" w:themeColor="text1"/>
          <w:sz w:val="24"/>
          <w14:textFill>
            <w14:solidFill>
              <w14:schemeClr w14:val="tx1"/>
            </w14:solidFill>
          </w14:textFill>
        </w:rPr>
        <w:t xml:space="preserve"> </w:t>
      </w:r>
    </w:p>
    <w:p>
      <w:pPr>
        <w:topLinePunct/>
        <w:spacing w:line="360" w:lineRule="auto"/>
        <w:ind w:right="0" w:rightChars="0"/>
        <w:jc w:val="left"/>
        <w:outlineLvl w:val="0"/>
        <w:rPr>
          <w:rFonts w:hint="eastAsia" w:ascii="宋体" w:hAnsi="宋体"/>
          <w:color w:val="000000" w:themeColor="text1"/>
          <w:sz w:val="24"/>
          <w14:textFill>
            <w14:solidFill>
              <w14:schemeClr w14:val="tx1"/>
            </w14:solidFill>
          </w14:textFill>
        </w:rPr>
      </w:pPr>
      <w:bookmarkStart w:id="12" w:name="_Toc29306"/>
      <w:bookmarkStart w:id="13" w:name="_Toc23353"/>
      <w:bookmarkStart w:id="14" w:name="_Toc8545"/>
      <w:r>
        <w:rPr>
          <w:rFonts w:hint="eastAsia" w:ascii="宋体" w:hAnsi="宋体"/>
          <w:color w:val="000000" w:themeColor="text1"/>
          <w:sz w:val="24"/>
          <w14:textFill>
            <w14:solidFill>
              <w14:schemeClr w14:val="tx1"/>
            </w14:solidFill>
          </w14:textFill>
        </w:rPr>
        <w:t>地址：</w:t>
      </w:r>
      <w:r>
        <w:rPr>
          <w:rFonts w:hint="eastAsia" w:ascii="宋体" w:hAnsi="宋体" w:eastAsia="宋体" w:cs="宋体"/>
          <w:color w:val="000000" w:themeColor="text1"/>
          <w:sz w:val="24"/>
          <w:szCs w:val="24"/>
          <w:u w:val="single"/>
          <w14:textFill>
            <w14:solidFill>
              <w14:schemeClr w14:val="tx1"/>
            </w14:solidFill>
          </w14:textFill>
        </w:rPr>
        <w:t>广州市增城区荔城街荔乡路81号融媒体中心第八层</w:t>
      </w:r>
      <w:bookmarkEnd w:id="12"/>
      <w:bookmarkEnd w:id="13"/>
      <w:bookmarkEnd w:id="14"/>
    </w:p>
    <w:p>
      <w:pPr>
        <w:topLinePunct/>
        <w:spacing w:line="360" w:lineRule="auto"/>
        <w:ind w:right="-295" w:rightChars="-138"/>
        <w:jc w:val="lef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1.6.4</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本次招标公告同时在广州公共资源交易中心网站（网址：</w:t>
      </w:r>
      <w:r>
        <w:rPr>
          <w:color w:val="000000" w:themeColor="text1"/>
          <w:u w:val="single"/>
          <w14:textFill>
            <w14:solidFill>
              <w14:schemeClr w14:val="tx1"/>
            </w14:solidFill>
          </w14:textFill>
        </w:rPr>
        <w:fldChar w:fldCharType="begin"/>
      </w:r>
      <w:r>
        <w:rPr>
          <w:color w:val="000000" w:themeColor="text1"/>
          <w:u w:val="single"/>
          <w14:textFill>
            <w14:solidFill>
              <w14:schemeClr w14:val="tx1"/>
            </w14:solidFill>
          </w14:textFill>
        </w:rPr>
        <w:instrText xml:space="preserve"> HYPERLINK "http://www.gzggzy.cn/" </w:instrText>
      </w:r>
      <w:r>
        <w:rPr>
          <w:color w:val="000000" w:themeColor="text1"/>
          <w:u w:val="single"/>
          <w14:textFill>
            <w14:solidFill>
              <w14:schemeClr w14:val="tx1"/>
            </w14:solidFill>
          </w14:textFill>
        </w:rPr>
        <w:fldChar w:fldCharType="separate"/>
      </w:r>
      <w:r>
        <w:rPr>
          <w:rStyle w:val="44"/>
          <w:rFonts w:ascii="宋体" w:hAnsi="宋体" w:cs="宋体-PUA"/>
          <w:color w:val="000000" w:themeColor="text1"/>
          <w:sz w:val="24"/>
          <w:u w:val="single"/>
          <w14:textFill>
            <w14:solidFill>
              <w14:schemeClr w14:val="tx1"/>
            </w14:solidFill>
          </w14:textFill>
        </w:rPr>
        <w:t>http://www.gzggzy.cn/</w:t>
      </w:r>
      <w:r>
        <w:rPr>
          <w:rStyle w:val="44"/>
          <w:rFonts w:ascii="宋体" w:hAnsi="宋体" w:cs="宋体-PUA"/>
          <w:color w:val="000000" w:themeColor="text1"/>
          <w:sz w:val="24"/>
          <w:u w:val="single"/>
          <w14:textFill>
            <w14:solidFill>
              <w14:schemeClr w14:val="tx1"/>
            </w14:solidFill>
          </w14:textFill>
        </w:rPr>
        <w:fldChar w:fldCharType="end"/>
      </w:r>
      <w:r>
        <w:rPr>
          <w:rFonts w:hint="eastAsia" w:ascii="宋体" w:hAnsi="宋体"/>
          <w:color w:val="000000" w:themeColor="text1"/>
          <w:sz w:val="24"/>
          <w:u w:val="single"/>
          <w14:textFill>
            <w14:solidFill>
              <w14:schemeClr w14:val="tx1"/>
            </w14:solidFill>
          </w14:textFill>
        </w:rPr>
        <w:t>）、 广东省招标投标监管网站（网址：</w:t>
      </w:r>
      <w:r>
        <w:rPr>
          <w:rFonts w:ascii="宋体" w:hAnsi="宋体"/>
          <w:color w:val="000000" w:themeColor="text1"/>
          <w:sz w:val="24"/>
          <w:u w:val="single"/>
          <w14:textFill>
            <w14:solidFill>
              <w14:schemeClr w14:val="tx1"/>
            </w14:solidFill>
          </w14:textFill>
        </w:rPr>
        <w:t>http://zbtb.gd.gov.cn/login</w:t>
      </w:r>
      <w:r>
        <w:rPr>
          <w:rFonts w:hint="eastAsia" w:ascii="宋体" w:hAnsi="宋体"/>
          <w:color w:val="000000" w:themeColor="text1"/>
          <w:sz w:val="24"/>
          <w:u w:val="single"/>
          <w14:textFill>
            <w14:solidFill>
              <w14:schemeClr w14:val="tx1"/>
            </w14:solidFill>
          </w14:textFill>
        </w:rPr>
        <w:t>）、中国招标投标公共服务平台（网址：</w:t>
      </w:r>
      <w:r>
        <w:rPr>
          <w:color w:val="000000" w:themeColor="text1"/>
          <w:u w:val="single"/>
          <w14:textFill>
            <w14:solidFill>
              <w14:schemeClr w14:val="tx1"/>
            </w14:solidFill>
          </w14:textFill>
        </w:rPr>
        <w:fldChar w:fldCharType="begin"/>
      </w:r>
      <w:r>
        <w:rPr>
          <w:color w:val="000000" w:themeColor="text1"/>
          <w:u w:val="single"/>
          <w14:textFill>
            <w14:solidFill>
              <w14:schemeClr w14:val="tx1"/>
            </w14:solidFill>
          </w14:textFill>
        </w:rPr>
        <w:instrText xml:space="preserve"> HYPERLINK "http://www.cebpubservice.com）等法定媒体发布。本公告的修改、补充，在广州公共资源交易中心网站发布。本公告在各媒体发布的文本如有不同之处，以在广州公共资源交易中心网站发布的文本为准。" </w:instrText>
      </w:r>
      <w:r>
        <w:rPr>
          <w:color w:val="000000" w:themeColor="text1"/>
          <w:u w:val="single"/>
          <w14:textFill>
            <w14:solidFill>
              <w14:schemeClr w14:val="tx1"/>
            </w14:solidFill>
          </w14:textFill>
        </w:rPr>
        <w:fldChar w:fldCharType="separate"/>
      </w:r>
      <w:r>
        <w:rPr>
          <w:rStyle w:val="44"/>
          <w:rFonts w:hint="eastAsia" w:ascii="宋体" w:hAnsi="宋体"/>
          <w:color w:val="000000" w:themeColor="text1"/>
          <w:sz w:val="24"/>
          <w:u w:val="single"/>
          <w14:textFill>
            <w14:solidFill>
              <w14:schemeClr w14:val="tx1"/>
            </w14:solidFill>
          </w14:textFill>
        </w:rPr>
        <w:t>http://www.cebpubservice.com）和</w:t>
      </w:r>
      <w:r>
        <w:rPr>
          <w:rFonts w:hint="eastAsia" w:ascii="宋体" w:hAnsi="宋体"/>
          <w:color w:val="000000" w:themeColor="text1"/>
          <w:sz w:val="24"/>
          <w:u w:val="single"/>
          <w14:textFill>
            <w14:solidFill>
              <w14:schemeClr w14:val="tx1"/>
            </w14:solidFill>
          </w14:textFill>
        </w:rPr>
        <w:t>广州市增城区人民政府门户网站的“首页&gt;公开&gt;公共资源配置领域&gt;工程建设项目招投标</w:t>
      </w:r>
      <w:r>
        <w:rPr>
          <w:rStyle w:val="44"/>
          <w:rFonts w:hint="eastAsia" w:ascii="宋体" w:hAnsi="宋体"/>
          <w:color w:val="000000" w:themeColor="text1"/>
          <w:sz w:val="24"/>
          <w:u w:val="single"/>
          <w14:textFill>
            <w14:solidFill>
              <w14:schemeClr w14:val="tx1"/>
            </w14:solidFill>
          </w14:textFill>
        </w:rPr>
        <w:t>等法定媒体发布。本公告的修改、补充，在广州公共资源交易中心网站发布。本公告在各媒体发布的文本如有不同之处，以在广州公共资源交易中心网站发布的文本为准。</w:t>
      </w:r>
      <w:r>
        <w:rPr>
          <w:rStyle w:val="44"/>
          <w:rFonts w:hint="eastAsia" w:ascii="宋体" w:hAnsi="宋体"/>
          <w:color w:val="000000" w:themeColor="text1"/>
          <w:sz w:val="24"/>
          <w:u w:val="single"/>
          <w14:textFill>
            <w14:solidFill>
              <w14:schemeClr w14:val="tx1"/>
            </w14:solidFill>
          </w14:textFill>
        </w:rPr>
        <w:fldChar w:fldCharType="end"/>
      </w:r>
    </w:p>
    <w:p>
      <w:pPr>
        <w:topLinePunct/>
        <w:spacing w:line="360" w:lineRule="auto"/>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1.7   </w:t>
      </w:r>
      <w:r>
        <w:rPr>
          <w:rFonts w:hint="eastAsia" w:ascii="宋体" w:hAnsi="宋体"/>
          <w:b/>
          <w:bCs/>
          <w:color w:val="000000" w:themeColor="text1"/>
          <w:sz w:val="24"/>
          <w14:textFill>
            <w14:solidFill>
              <w14:schemeClr w14:val="tx1"/>
            </w14:solidFill>
          </w14:textFill>
        </w:rPr>
        <w:t>招标人</w:t>
      </w:r>
    </w:p>
    <w:p>
      <w:pPr>
        <w:topLinePunct/>
        <w:spacing w:line="360" w:lineRule="auto"/>
        <w:outlineLvl w:val="0"/>
        <w:rPr>
          <w:rFonts w:hint="eastAsia" w:ascii="宋体" w:hAnsi="宋体" w:eastAsia="宋体"/>
          <w:color w:val="000000" w:themeColor="text1"/>
          <w:sz w:val="24"/>
          <w:lang w:eastAsia="zh-CN"/>
          <w14:textFill>
            <w14:solidFill>
              <w14:schemeClr w14:val="tx1"/>
            </w14:solidFill>
          </w14:textFill>
        </w:rPr>
      </w:pPr>
      <w:bookmarkStart w:id="15" w:name="_Toc13763"/>
      <w:bookmarkStart w:id="16" w:name="_Toc11890"/>
      <w:bookmarkStart w:id="17" w:name="_Toc10601"/>
      <w:r>
        <w:rPr>
          <w:rFonts w:hint="eastAsia" w:ascii="宋体" w:hAnsi="宋体"/>
          <w:color w:val="000000" w:themeColor="text1"/>
          <w:sz w:val="24"/>
          <w14:textFill>
            <w14:solidFill>
              <w14:schemeClr w14:val="tx1"/>
            </w14:solidFill>
          </w14:textFill>
        </w:rPr>
        <w:t>1.7.1</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名称：</w:t>
      </w:r>
      <w:r>
        <w:rPr>
          <w:rFonts w:hint="eastAsia" w:ascii="宋体" w:hAnsi="宋体"/>
          <w:color w:val="000000" w:themeColor="text1"/>
          <w:sz w:val="24"/>
          <w:u w:val="single"/>
          <w:lang w:eastAsia="zh-CN"/>
          <w14:textFill>
            <w14:solidFill>
              <w14:schemeClr w14:val="tx1"/>
            </w14:solidFill>
          </w14:textFill>
        </w:rPr>
        <w:t>广州市增城排水有限公司</w:t>
      </w:r>
      <w:bookmarkEnd w:id="15"/>
      <w:bookmarkEnd w:id="16"/>
      <w:bookmarkEnd w:id="17"/>
    </w:p>
    <w:p>
      <w:pPr>
        <w:topLinePunct/>
        <w:spacing w:line="360" w:lineRule="auto"/>
        <w:outlineLvl w:val="0"/>
        <w:rPr>
          <w:rFonts w:ascii="宋体" w:hAnsi="宋体"/>
          <w:color w:val="000000" w:themeColor="text1"/>
          <w:sz w:val="24"/>
          <w14:textFill>
            <w14:solidFill>
              <w14:schemeClr w14:val="tx1"/>
            </w14:solidFill>
          </w14:textFill>
        </w:rPr>
      </w:pPr>
      <w:bookmarkStart w:id="18" w:name="_Toc18298"/>
      <w:bookmarkStart w:id="19" w:name="_Toc28529"/>
      <w:bookmarkStart w:id="20" w:name="_Toc26058"/>
      <w:r>
        <w:rPr>
          <w:rFonts w:hint="eastAsia" w:ascii="宋体" w:hAnsi="宋体"/>
          <w:color w:val="000000" w:themeColor="text1"/>
          <w:sz w:val="24"/>
          <w14:textFill>
            <w14:solidFill>
              <w14:schemeClr w14:val="tx1"/>
            </w14:solidFill>
          </w14:textFill>
        </w:rPr>
        <w:t>1.7.2</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邮政编码、地址：</w:t>
      </w:r>
      <w:r>
        <w:rPr>
          <w:rFonts w:hint="eastAsia" w:ascii="宋体" w:hAnsi="宋体" w:eastAsia="宋体" w:cs="宋体"/>
          <w:color w:val="000000" w:themeColor="text1"/>
          <w:sz w:val="24"/>
          <w:szCs w:val="24"/>
          <w:u w:val="single"/>
          <w14:textFill>
            <w14:solidFill>
              <w14:schemeClr w14:val="tx1"/>
            </w14:solidFill>
          </w14:textFill>
        </w:rPr>
        <w:t>511300 广州市增城区荔城街荔乡路81号融媒体中心第八层</w:t>
      </w:r>
      <w:bookmarkEnd w:id="18"/>
      <w:bookmarkEnd w:id="19"/>
      <w:bookmarkEnd w:id="20"/>
    </w:p>
    <w:p>
      <w:pPr>
        <w:topLinePunct/>
        <w:spacing w:line="360" w:lineRule="auto"/>
        <w:jc w:val="left"/>
        <w:outlineLvl w:val="0"/>
        <w:rPr>
          <w:rFonts w:hint="eastAsia" w:ascii="宋体" w:hAnsi="宋体"/>
          <w:color w:val="000000" w:themeColor="text1"/>
          <w:sz w:val="24"/>
          <w14:textFill>
            <w14:solidFill>
              <w14:schemeClr w14:val="tx1"/>
            </w14:solidFill>
          </w14:textFill>
        </w:rPr>
      </w:pPr>
      <w:bookmarkStart w:id="21" w:name="_Toc28389"/>
      <w:bookmarkStart w:id="22" w:name="_Toc6278"/>
      <w:bookmarkStart w:id="23" w:name="_Toc626"/>
      <w:r>
        <w:rPr>
          <w:rFonts w:hint="eastAsia" w:ascii="宋体" w:hAnsi="宋体"/>
          <w:color w:val="000000" w:themeColor="text1"/>
          <w:sz w:val="24"/>
          <w14:textFill>
            <w14:solidFill>
              <w14:schemeClr w14:val="tx1"/>
            </w14:solidFill>
          </w14:textFill>
        </w:rPr>
        <w:t>1.7.3</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u w:val="single"/>
          <w14:textFill>
            <w14:solidFill>
              <w14:schemeClr w14:val="tx1"/>
            </w14:solidFill>
          </w14:textFill>
        </w:rPr>
        <w:t>余工</w:t>
      </w:r>
      <w:bookmarkEnd w:id="21"/>
      <w:bookmarkEnd w:id="22"/>
      <w:bookmarkEnd w:id="23"/>
    </w:p>
    <w:p>
      <w:pPr>
        <w:topLinePunct/>
        <w:spacing w:line="360" w:lineRule="auto"/>
        <w:jc w:val="left"/>
        <w:outlineLvl w:val="0"/>
        <w:rPr>
          <w:rFonts w:ascii="宋体" w:hAnsi="宋体"/>
          <w:color w:val="000000" w:themeColor="text1"/>
          <w:sz w:val="24"/>
          <w:u w:val="single"/>
          <w14:textFill>
            <w14:solidFill>
              <w14:schemeClr w14:val="tx1"/>
            </w14:solidFill>
          </w14:textFill>
        </w:rPr>
      </w:pPr>
      <w:bookmarkStart w:id="24" w:name="_Toc5181"/>
      <w:bookmarkStart w:id="25" w:name="_Toc9673"/>
      <w:bookmarkStart w:id="26" w:name="_Toc26976"/>
      <w:r>
        <w:rPr>
          <w:rFonts w:hint="eastAsia" w:ascii="宋体" w:hAnsi="宋体"/>
          <w:color w:val="000000" w:themeColor="text1"/>
          <w:sz w:val="24"/>
          <w14:textFill>
            <w14:solidFill>
              <w14:schemeClr w14:val="tx1"/>
            </w14:solidFill>
          </w14:textFill>
        </w:rPr>
        <w:t>1.7.4</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电话号码：</w:t>
      </w:r>
      <w:r>
        <w:rPr>
          <w:rFonts w:hint="eastAsia" w:ascii="宋体" w:hAnsi="宋体"/>
          <w:color w:val="000000" w:themeColor="text1"/>
          <w:sz w:val="24"/>
          <w:u w:val="single"/>
          <w14:textFill>
            <w14:solidFill>
              <w14:schemeClr w14:val="tx1"/>
            </w14:solidFill>
          </w14:textFill>
        </w:rPr>
        <w:t>020-82663316</w:t>
      </w:r>
      <w:bookmarkEnd w:id="24"/>
      <w:bookmarkEnd w:id="25"/>
      <w:bookmarkEnd w:id="26"/>
    </w:p>
    <w:p>
      <w:pPr>
        <w:topLinePunct/>
        <w:spacing w:line="360" w:lineRule="auto"/>
        <w:jc w:val="left"/>
        <w:rPr>
          <w:rFonts w:hint="eastAsia" w:ascii="宋体" w:hAnsi="宋体"/>
          <w:b/>
          <w:color w:val="000000" w:themeColor="text1"/>
          <w:sz w:val="24"/>
          <w14:textFill>
            <w14:solidFill>
              <w14:schemeClr w14:val="tx1"/>
            </w14:solidFill>
          </w14:textFill>
        </w:rPr>
      </w:pPr>
    </w:p>
    <w:p>
      <w:pPr>
        <w:topLinePunct/>
        <w:spacing w:line="360" w:lineRule="auto"/>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1.8   </w:t>
      </w:r>
      <w:r>
        <w:rPr>
          <w:rFonts w:hint="eastAsia" w:ascii="宋体" w:hAnsi="宋体"/>
          <w:b/>
          <w:bCs/>
          <w:color w:val="000000" w:themeColor="text1"/>
          <w:sz w:val="24"/>
          <w14:textFill>
            <w14:solidFill>
              <w14:schemeClr w14:val="tx1"/>
            </w14:solidFill>
          </w14:textFill>
        </w:rPr>
        <w:t>招标代理机构</w:t>
      </w:r>
    </w:p>
    <w:p>
      <w:pPr>
        <w:topLinePunct/>
        <w:spacing w:line="360" w:lineRule="auto"/>
        <w:jc w:val="left"/>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1.8.1 名称：</w:t>
      </w:r>
      <w:r>
        <w:rPr>
          <w:rFonts w:hint="eastAsia" w:ascii="宋体" w:hAnsi="宋体"/>
          <w:color w:val="000000" w:themeColor="text1"/>
          <w:sz w:val="24"/>
          <w:highlight w:val="none"/>
          <w:u w:val="single"/>
          <w:lang w:eastAsia="zh-CN"/>
          <w14:textFill>
            <w14:solidFill>
              <w14:schemeClr w14:val="tx1"/>
            </w14:solidFill>
          </w14:textFill>
        </w:rPr>
        <w:t>广东省建筑工程监理有限公司</w:t>
      </w:r>
    </w:p>
    <w:p>
      <w:pPr>
        <w:topLinePunct/>
        <w:spacing w:line="360" w:lineRule="auto"/>
        <w:jc w:val="lef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1.8.2 </w:t>
      </w:r>
      <w:r>
        <w:rPr>
          <w:rFonts w:hint="eastAsia" w:ascii="宋体" w:hAnsi="宋体"/>
          <w:color w:val="000000" w:themeColor="text1"/>
          <w:sz w:val="24"/>
          <w:highlight w:val="none"/>
          <w14:textFill>
            <w14:solidFill>
              <w14:schemeClr w14:val="tx1"/>
            </w14:solidFill>
          </w14:textFill>
        </w:rPr>
        <w:t>邮政编码、地址</w:t>
      </w:r>
      <w:r>
        <w:rPr>
          <w:rFonts w:hint="eastAsia" w:ascii="宋体" w:hAnsi="宋体"/>
          <w:bCs/>
          <w:color w:val="000000" w:themeColor="text1"/>
          <w:sz w:val="24"/>
          <w14:textFill>
            <w14:solidFill>
              <w14:schemeClr w14:val="tx1"/>
            </w14:solidFill>
          </w14:textFill>
        </w:rPr>
        <w:t>：510010</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广东省广州市荔湾区流花路85号</w:t>
      </w:r>
    </w:p>
    <w:p>
      <w:pPr>
        <w:topLinePunct/>
        <w:spacing w:line="360" w:lineRule="auto"/>
        <w:jc w:val="left"/>
        <w:outlineLvl w:val="0"/>
        <w:rPr>
          <w:rFonts w:ascii="宋体" w:hAnsi="宋体"/>
          <w:bCs/>
          <w:color w:val="000000" w:themeColor="text1"/>
          <w:sz w:val="24"/>
          <w14:textFill>
            <w14:solidFill>
              <w14:schemeClr w14:val="tx1"/>
            </w14:solidFill>
          </w14:textFill>
        </w:rPr>
      </w:pPr>
      <w:bookmarkStart w:id="27" w:name="_Toc9137"/>
      <w:bookmarkStart w:id="28" w:name="_Toc12019"/>
      <w:bookmarkStart w:id="29" w:name="_Toc4148"/>
      <w:r>
        <w:rPr>
          <w:rFonts w:hint="eastAsia" w:ascii="宋体" w:hAnsi="宋体"/>
          <w:bCs/>
          <w:color w:val="000000" w:themeColor="text1"/>
          <w:sz w:val="24"/>
          <w14:textFill>
            <w14:solidFill>
              <w14:schemeClr w14:val="tx1"/>
            </w14:solidFill>
          </w14:textFill>
        </w:rPr>
        <w:t>1.8.3 联系人：</w:t>
      </w:r>
      <w:r>
        <w:rPr>
          <w:rFonts w:hint="eastAsia" w:ascii="宋体" w:hAnsi="宋体"/>
          <w:color w:val="000000" w:themeColor="text1"/>
          <w:sz w:val="24"/>
          <w:highlight w:val="none"/>
          <w:u w:val="single"/>
          <w:lang w:val="en-US" w:eastAsia="zh-CN"/>
          <w14:textFill>
            <w14:solidFill>
              <w14:schemeClr w14:val="tx1"/>
            </w14:solidFill>
          </w14:textFill>
        </w:rPr>
        <w:t>林</w:t>
      </w:r>
      <w:r>
        <w:rPr>
          <w:rFonts w:hint="eastAsia" w:ascii="宋体" w:hAnsi="宋体"/>
          <w:color w:val="000000" w:themeColor="text1"/>
          <w:sz w:val="24"/>
          <w:highlight w:val="none"/>
          <w:u w:val="single"/>
          <w14:textFill>
            <w14:solidFill>
              <w14:schemeClr w14:val="tx1"/>
            </w14:solidFill>
          </w14:textFill>
        </w:rPr>
        <w:t>工</w:t>
      </w:r>
      <w:bookmarkEnd w:id="27"/>
      <w:bookmarkEnd w:id="28"/>
      <w:bookmarkEnd w:id="29"/>
    </w:p>
    <w:p>
      <w:pPr>
        <w:topLinePunct/>
        <w:spacing w:line="360" w:lineRule="auto"/>
        <w:jc w:val="left"/>
        <w:outlineLvl w:val="0"/>
        <w:rPr>
          <w:rFonts w:hint="default" w:ascii="宋体" w:hAnsi="宋体" w:eastAsia="宋体"/>
          <w:color w:val="000000" w:themeColor="text1"/>
          <w:sz w:val="24"/>
          <w:highlight w:val="none"/>
          <w:u w:val="single"/>
          <w:lang w:val="en-US" w:eastAsia="zh-CN"/>
          <w14:textFill>
            <w14:solidFill>
              <w14:schemeClr w14:val="tx1"/>
            </w14:solidFill>
          </w14:textFill>
        </w:rPr>
      </w:pPr>
      <w:bookmarkStart w:id="30" w:name="_Toc23524"/>
      <w:bookmarkStart w:id="31" w:name="_Toc14002"/>
      <w:bookmarkStart w:id="32" w:name="_Toc8339"/>
      <w:r>
        <w:rPr>
          <w:rFonts w:hint="eastAsia" w:ascii="宋体" w:hAnsi="宋体"/>
          <w:bCs/>
          <w:color w:val="000000" w:themeColor="text1"/>
          <w:sz w:val="24"/>
          <w14:textFill>
            <w14:solidFill>
              <w14:schemeClr w14:val="tx1"/>
            </w14:solidFill>
          </w14:textFill>
        </w:rPr>
        <w:t>1.8.4 电话号码：020-86673560</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18302085077</w:t>
      </w:r>
      <w:bookmarkEnd w:id="30"/>
      <w:bookmarkEnd w:id="31"/>
      <w:bookmarkEnd w:id="32"/>
    </w:p>
    <w:p>
      <w:pPr>
        <w:topLinePunct/>
        <w:spacing w:line="360" w:lineRule="auto"/>
        <w:jc w:val="left"/>
        <w:rPr>
          <w:rFonts w:hint="eastAsia" w:ascii="宋体" w:hAnsi="宋体"/>
          <w:b/>
          <w:bCs/>
          <w:color w:val="000000" w:themeColor="text1"/>
          <w:sz w:val="24"/>
          <w14:textFill>
            <w14:solidFill>
              <w14:schemeClr w14:val="tx1"/>
            </w14:solidFill>
          </w14:textFill>
        </w:rPr>
      </w:pPr>
    </w:p>
    <w:p>
      <w:pPr>
        <w:topLinePunct/>
        <w:spacing w:line="360" w:lineRule="auto"/>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1.9  交易服务机构</w:t>
      </w:r>
    </w:p>
    <w:p>
      <w:pPr>
        <w:topLinePunct/>
        <w:spacing w:line="360" w:lineRule="auto"/>
        <w:jc w:val="left"/>
        <w:outlineLvl w:val="0"/>
        <w:rPr>
          <w:rFonts w:ascii="宋体" w:hAnsi="宋体"/>
          <w:color w:val="000000" w:themeColor="text1"/>
          <w:sz w:val="24"/>
          <w14:textFill>
            <w14:solidFill>
              <w14:schemeClr w14:val="tx1"/>
            </w14:solidFill>
          </w14:textFill>
        </w:rPr>
      </w:pPr>
      <w:bookmarkStart w:id="33" w:name="_Toc21319"/>
      <w:bookmarkStart w:id="34" w:name="_Toc14901"/>
      <w:bookmarkStart w:id="35" w:name="_Toc12382"/>
      <w:r>
        <w:rPr>
          <w:rFonts w:hint="eastAsia" w:ascii="宋体" w:hAnsi="宋体"/>
          <w:color w:val="000000" w:themeColor="text1"/>
          <w:sz w:val="24"/>
          <w14:textFill>
            <w14:solidFill>
              <w14:schemeClr w14:val="tx1"/>
            </w14:solidFill>
          </w14:textFill>
        </w:rPr>
        <w:t>1.9.1</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广州公共资源交易中心增城交易部</w:t>
      </w:r>
      <w:bookmarkEnd w:id="33"/>
      <w:bookmarkEnd w:id="34"/>
      <w:bookmarkEnd w:id="35"/>
      <w:r>
        <w:rPr>
          <w:rFonts w:hint="eastAsia" w:ascii="宋体" w:hAnsi="宋体"/>
          <w:color w:val="000000" w:themeColor="text1"/>
          <w:sz w:val="24"/>
          <w14:textFill>
            <w14:solidFill>
              <w14:schemeClr w14:val="tx1"/>
            </w14:solidFill>
          </w14:textFill>
        </w:rPr>
        <w:t xml:space="preserve"> </w:t>
      </w:r>
    </w:p>
    <w:p>
      <w:pPr>
        <w:topLinePunct/>
        <w:spacing w:line="360" w:lineRule="auto"/>
        <w:jc w:val="left"/>
        <w:outlineLvl w:val="0"/>
        <w:rPr>
          <w:rFonts w:ascii="宋体" w:hAnsi="宋体"/>
          <w:color w:val="000000" w:themeColor="text1"/>
          <w:sz w:val="24"/>
          <w14:textFill>
            <w14:solidFill>
              <w14:schemeClr w14:val="tx1"/>
            </w14:solidFill>
          </w14:textFill>
        </w:rPr>
      </w:pPr>
      <w:bookmarkStart w:id="36" w:name="_Toc4619"/>
      <w:bookmarkStart w:id="37" w:name="_Toc21048"/>
      <w:bookmarkStart w:id="38" w:name="_Toc4077"/>
      <w:r>
        <w:rPr>
          <w:rFonts w:hint="eastAsia" w:ascii="宋体" w:hAnsi="宋体"/>
          <w:color w:val="000000" w:themeColor="text1"/>
          <w:sz w:val="24"/>
          <w14:textFill>
            <w14:solidFill>
              <w14:schemeClr w14:val="tx1"/>
            </w14:solidFill>
          </w14:textFill>
        </w:rPr>
        <w:t>1.9.2</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邮政编码、地址：</w:t>
      </w:r>
      <w:r>
        <w:rPr>
          <w:rFonts w:hint="eastAsia" w:ascii="宋体" w:hAnsi="宋体"/>
          <w:color w:val="000000" w:themeColor="text1"/>
          <w:sz w:val="24"/>
          <w:u w:val="single"/>
          <w14:textFill>
            <w14:solidFill>
              <w14:schemeClr w14:val="tx1"/>
            </w14:solidFill>
          </w14:textFill>
        </w:rPr>
        <w:t>510000 增城区荔城街增城大道2号金河湾3栋108</w:t>
      </w:r>
      <w:bookmarkEnd w:id="36"/>
      <w:bookmarkEnd w:id="37"/>
      <w:bookmarkEnd w:id="38"/>
    </w:p>
    <w:p>
      <w:pPr>
        <w:topLinePunct/>
        <w:spacing w:line="360" w:lineRule="auto"/>
        <w:jc w:val="left"/>
        <w:outlineLvl w:val="0"/>
        <w:rPr>
          <w:rFonts w:ascii="宋体" w:hAnsi="宋体"/>
          <w:color w:val="000000" w:themeColor="text1"/>
          <w:sz w:val="24"/>
          <w14:textFill>
            <w14:solidFill>
              <w14:schemeClr w14:val="tx1"/>
            </w14:solidFill>
          </w14:textFill>
        </w:rPr>
      </w:pPr>
      <w:bookmarkStart w:id="39" w:name="_Toc2251"/>
      <w:bookmarkStart w:id="40" w:name="_Toc23450"/>
      <w:bookmarkStart w:id="41" w:name="_Toc19869"/>
      <w:r>
        <w:rPr>
          <w:rFonts w:hint="eastAsia" w:ascii="宋体" w:hAnsi="宋体"/>
          <w:color w:val="000000" w:themeColor="text1"/>
          <w:sz w:val="24"/>
          <w14:textFill>
            <w14:solidFill>
              <w14:schemeClr w14:val="tx1"/>
            </w14:solidFill>
          </w14:textFill>
        </w:rPr>
        <w:t>1.9.3</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电话（手机）号码：/</w:t>
      </w:r>
      <w:bookmarkEnd w:id="39"/>
      <w:bookmarkEnd w:id="40"/>
      <w:bookmarkEnd w:id="41"/>
    </w:p>
    <w:p>
      <w:pPr>
        <w:topLinePunct/>
        <w:spacing w:line="360" w:lineRule="auto"/>
        <w:jc w:val="left"/>
        <w:outlineLvl w:val="0"/>
        <w:rPr>
          <w:rFonts w:ascii="宋体" w:hAnsi="宋体"/>
          <w:color w:val="000000" w:themeColor="text1"/>
          <w:sz w:val="24"/>
          <w14:textFill>
            <w14:solidFill>
              <w14:schemeClr w14:val="tx1"/>
            </w14:solidFill>
          </w14:textFill>
        </w:rPr>
      </w:pPr>
      <w:bookmarkStart w:id="42" w:name="_Toc25391"/>
      <w:bookmarkStart w:id="43" w:name="_Toc25298"/>
      <w:bookmarkStart w:id="44" w:name="_Toc9186"/>
      <w:r>
        <w:rPr>
          <w:rFonts w:hint="eastAsia" w:ascii="宋体" w:hAnsi="宋体"/>
          <w:color w:val="000000" w:themeColor="text1"/>
          <w:sz w:val="24"/>
          <w14:textFill>
            <w14:solidFill>
              <w14:schemeClr w14:val="tx1"/>
            </w14:solidFill>
          </w14:textFill>
        </w:rPr>
        <w:t>1.9.4</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传真号码：/</w:t>
      </w:r>
      <w:bookmarkEnd w:id="42"/>
      <w:bookmarkEnd w:id="43"/>
      <w:bookmarkEnd w:id="44"/>
    </w:p>
    <w:p>
      <w:pPr>
        <w:topLinePunct/>
        <w:spacing w:line="360" w:lineRule="auto"/>
        <w:jc w:val="left"/>
        <w:outlineLvl w:val="0"/>
        <w:rPr>
          <w:rFonts w:ascii="宋体" w:hAnsi="宋体"/>
          <w:color w:val="000000" w:themeColor="text1"/>
          <w:sz w:val="24"/>
          <w14:textFill>
            <w14:solidFill>
              <w14:schemeClr w14:val="tx1"/>
            </w14:solidFill>
          </w14:textFill>
        </w:rPr>
      </w:pPr>
      <w:bookmarkStart w:id="45" w:name="_Toc17861"/>
      <w:bookmarkStart w:id="46" w:name="_Toc21419"/>
      <w:bookmarkStart w:id="47" w:name="_Toc22870"/>
      <w:r>
        <w:rPr>
          <w:rFonts w:hint="eastAsia" w:ascii="宋体" w:hAnsi="宋体"/>
          <w:color w:val="000000" w:themeColor="text1"/>
          <w:sz w:val="24"/>
          <w14:textFill>
            <w14:solidFill>
              <w14:schemeClr w14:val="tx1"/>
            </w14:solidFill>
          </w14:textFill>
        </w:rPr>
        <w:t>1.9.5</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网址：/</w:t>
      </w:r>
      <w:bookmarkEnd w:id="45"/>
      <w:bookmarkEnd w:id="46"/>
      <w:bookmarkEnd w:id="47"/>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1.10   招标管理机构</w:t>
      </w:r>
    </w:p>
    <w:p>
      <w:pPr>
        <w:spacing w:line="360" w:lineRule="auto"/>
        <w:outlineLvl w:val="0"/>
        <w:rPr>
          <w:rFonts w:ascii="宋体" w:hAnsi="宋体"/>
          <w:color w:val="000000" w:themeColor="text1"/>
          <w:sz w:val="24"/>
          <w14:textFill>
            <w14:solidFill>
              <w14:schemeClr w14:val="tx1"/>
            </w14:solidFill>
          </w14:textFill>
        </w:rPr>
      </w:pPr>
      <w:bookmarkStart w:id="48" w:name="_Toc25370"/>
      <w:bookmarkStart w:id="49" w:name="_Toc23491"/>
      <w:bookmarkStart w:id="50" w:name="_Toc14840"/>
      <w:r>
        <w:rPr>
          <w:rFonts w:hint="eastAsia" w:ascii="宋体" w:hAnsi="宋体"/>
          <w:color w:val="000000" w:themeColor="text1"/>
          <w:sz w:val="24"/>
          <w14:textFill>
            <w14:solidFill>
              <w14:schemeClr w14:val="tx1"/>
            </w14:solidFill>
          </w14:textFill>
        </w:rPr>
        <w:t>1.10.1</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广州市增城区水务局</w:t>
      </w:r>
      <w:bookmarkEnd w:id="48"/>
      <w:bookmarkEnd w:id="49"/>
      <w:bookmarkEnd w:id="50"/>
    </w:p>
    <w:p>
      <w:pPr>
        <w:spacing w:line="360" w:lineRule="auto"/>
        <w:outlineLvl w:val="0"/>
        <w:rPr>
          <w:rFonts w:ascii="宋体" w:hAnsi="宋体"/>
          <w:color w:val="000000" w:themeColor="text1"/>
          <w:sz w:val="24"/>
          <w14:textFill>
            <w14:solidFill>
              <w14:schemeClr w14:val="tx1"/>
            </w14:solidFill>
          </w14:textFill>
        </w:rPr>
      </w:pPr>
      <w:bookmarkStart w:id="51" w:name="_Toc2134"/>
      <w:bookmarkStart w:id="52" w:name="_Toc27972"/>
      <w:bookmarkStart w:id="53" w:name="_Toc14332"/>
      <w:r>
        <w:rPr>
          <w:rFonts w:hint="eastAsia" w:ascii="宋体" w:hAnsi="宋体"/>
          <w:color w:val="000000" w:themeColor="text1"/>
          <w:sz w:val="24"/>
          <w14:textFill>
            <w14:solidFill>
              <w14:schemeClr w14:val="tx1"/>
            </w14:solidFill>
          </w14:textFill>
        </w:rPr>
        <w:t>1.10.2</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邮政编码、地址：</w:t>
      </w:r>
      <w:r>
        <w:rPr>
          <w:rFonts w:hint="eastAsia" w:ascii="宋体" w:hAnsi="宋体"/>
          <w:color w:val="000000" w:themeColor="text1"/>
          <w:sz w:val="24"/>
          <w:u w:val="single"/>
          <w14:textFill>
            <w14:solidFill>
              <w14:schemeClr w14:val="tx1"/>
            </w14:solidFill>
          </w14:textFill>
        </w:rPr>
        <w:t>511300 增城区荔城街园圃路4号</w:t>
      </w:r>
      <w:bookmarkEnd w:id="51"/>
      <w:bookmarkEnd w:id="52"/>
      <w:bookmarkEnd w:id="53"/>
    </w:p>
    <w:p>
      <w:pPr>
        <w:spacing w:line="360" w:lineRule="auto"/>
        <w:outlineLvl w:val="0"/>
        <w:rPr>
          <w:rFonts w:ascii="宋体" w:hAnsi="宋体"/>
          <w:color w:val="000000" w:themeColor="text1"/>
          <w:sz w:val="24"/>
          <w14:textFill>
            <w14:solidFill>
              <w14:schemeClr w14:val="tx1"/>
            </w14:solidFill>
          </w14:textFill>
        </w:rPr>
      </w:pPr>
      <w:bookmarkStart w:id="54" w:name="_Toc31610"/>
      <w:bookmarkStart w:id="55" w:name="_Toc13710"/>
      <w:bookmarkStart w:id="56" w:name="_Toc20055"/>
      <w:r>
        <w:rPr>
          <w:rFonts w:hint="eastAsia" w:ascii="宋体" w:hAnsi="宋体"/>
          <w:color w:val="000000" w:themeColor="text1"/>
          <w:sz w:val="24"/>
          <w14:textFill>
            <w14:solidFill>
              <w14:schemeClr w14:val="tx1"/>
            </w14:solidFill>
          </w14:textFill>
        </w:rPr>
        <w:t>1.10.3</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电话（手机）号码：</w:t>
      </w:r>
      <w:r>
        <w:rPr>
          <w:rFonts w:hint="eastAsia" w:ascii="宋体" w:hAnsi="宋体"/>
          <w:color w:val="000000" w:themeColor="text1"/>
          <w:sz w:val="24"/>
          <w:u w:val="single"/>
          <w14:textFill>
            <w14:solidFill>
              <w14:schemeClr w14:val="tx1"/>
            </w14:solidFill>
          </w14:textFill>
        </w:rPr>
        <w:t>020-82639502</w:t>
      </w:r>
      <w:bookmarkEnd w:id="54"/>
      <w:bookmarkEnd w:id="55"/>
      <w:bookmarkEnd w:id="56"/>
    </w:p>
    <w:p>
      <w:pPr>
        <w:spacing w:line="360" w:lineRule="auto"/>
        <w:outlineLvl w:val="0"/>
        <w:rPr>
          <w:rFonts w:ascii="宋体" w:hAnsi="宋体"/>
          <w:color w:val="000000" w:themeColor="text1"/>
          <w:sz w:val="24"/>
          <w14:textFill>
            <w14:solidFill>
              <w14:schemeClr w14:val="tx1"/>
            </w14:solidFill>
          </w14:textFill>
        </w:rPr>
      </w:pPr>
      <w:bookmarkStart w:id="57" w:name="_Toc29061"/>
      <w:bookmarkStart w:id="58" w:name="_Toc32683"/>
      <w:bookmarkStart w:id="59" w:name="_Toc13184"/>
      <w:r>
        <w:rPr>
          <w:rFonts w:hint="eastAsia" w:ascii="宋体" w:hAnsi="宋体"/>
          <w:color w:val="000000" w:themeColor="text1"/>
          <w:sz w:val="24"/>
          <w14:textFill>
            <w14:solidFill>
              <w14:schemeClr w14:val="tx1"/>
            </w14:solidFill>
          </w14:textFill>
        </w:rPr>
        <w:t>1.10.4</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传真号码：</w:t>
      </w:r>
      <w:r>
        <w:rPr>
          <w:rFonts w:hint="eastAsia" w:ascii="宋体" w:hAnsi="宋体"/>
          <w:color w:val="000000" w:themeColor="text1"/>
          <w:sz w:val="24"/>
          <w:u w:val="single"/>
          <w14:textFill>
            <w14:solidFill>
              <w14:schemeClr w14:val="tx1"/>
            </w14:solidFill>
          </w14:textFill>
        </w:rPr>
        <w:t>020-82639502</w:t>
      </w:r>
      <w:bookmarkEnd w:id="57"/>
      <w:bookmarkEnd w:id="58"/>
      <w:bookmarkEnd w:id="59"/>
    </w:p>
    <w:p>
      <w:pPr>
        <w:spacing w:line="360" w:lineRule="auto"/>
        <w:outlineLvl w:val="0"/>
        <w:rPr>
          <w:rFonts w:ascii="宋体" w:hAnsi="宋体"/>
          <w:color w:val="000000" w:themeColor="text1"/>
          <w:sz w:val="24"/>
          <w14:textFill>
            <w14:solidFill>
              <w14:schemeClr w14:val="tx1"/>
            </w14:solidFill>
          </w14:textFill>
        </w:rPr>
      </w:pPr>
      <w:bookmarkStart w:id="60" w:name="_Toc7112"/>
      <w:bookmarkStart w:id="61" w:name="_Toc27994"/>
      <w:bookmarkStart w:id="62" w:name="_Toc24372"/>
      <w:r>
        <w:rPr>
          <w:rFonts w:hint="eastAsia" w:ascii="宋体" w:hAnsi="宋体"/>
          <w:color w:val="000000" w:themeColor="text1"/>
          <w:sz w:val="24"/>
          <w14:textFill>
            <w14:solidFill>
              <w14:schemeClr w14:val="tx1"/>
            </w14:solidFill>
          </w14:textFill>
        </w:rPr>
        <w:t>1.10.5</w:t>
      </w:r>
      <w:r>
        <w:rPr>
          <w:rFonts w:hint="eastAsia" w:ascii="宋体" w:hAnsi="宋体" w:cs="宋体-PU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网址：/</w:t>
      </w:r>
      <w:bookmarkEnd w:id="60"/>
      <w:bookmarkEnd w:id="61"/>
      <w:bookmarkEnd w:id="62"/>
      <w:r>
        <w:rPr>
          <w:rFonts w:hint="eastAsia" w:ascii="宋体" w:hAnsi="宋体"/>
          <w:color w:val="000000" w:themeColor="text1"/>
          <w:sz w:val="24"/>
          <w14:textFill>
            <w14:solidFill>
              <w14:schemeClr w14:val="tx1"/>
            </w14:solidFill>
          </w14:textFill>
        </w:rPr>
        <w:t xml:space="preserve">  </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600" w:lineRule="exact"/>
        <w:ind w:firstLine="488" w:firstLineChars="200"/>
        <w:jc w:val="left"/>
        <w:rPr>
          <w:rFonts w:ascii="宋体" w:hAnsi="宋体"/>
          <w:b/>
          <w:bCs/>
          <w:color w:val="000000" w:themeColor="text1"/>
          <w:kern w:val="0"/>
          <w:szCs w:val="21"/>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附件1</w:t>
      </w:r>
    </w:p>
    <w:p>
      <w:pPr>
        <w:spacing w:line="600" w:lineRule="exact"/>
        <w:ind w:firstLine="608" w:firstLineChars="200"/>
        <w:jc w:val="center"/>
        <w:outlineLvl w:val="0"/>
        <w:rPr>
          <w:rFonts w:ascii="宋体" w:hAnsi="宋体"/>
          <w:b/>
          <w:bCs/>
          <w:color w:val="000000" w:themeColor="text1"/>
          <w:kern w:val="0"/>
          <w:sz w:val="30"/>
          <w:szCs w:val="30"/>
          <w14:textFill>
            <w14:solidFill>
              <w14:schemeClr w14:val="tx1"/>
            </w14:solidFill>
          </w14:textFill>
        </w:rPr>
      </w:pPr>
      <w:bookmarkStart w:id="63" w:name="_Toc15367"/>
      <w:bookmarkStart w:id="64" w:name="_Toc20293"/>
      <w:bookmarkStart w:id="65" w:name="_Toc20782"/>
      <w:r>
        <w:rPr>
          <w:rFonts w:hint="eastAsia" w:ascii="宋体" w:hAnsi="宋体"/>
          <w:b/>
          <w:bCs/>
          <w:color w:val="000000" w:themeColor="text1"/>
          <w:kern w:val="0"/>
          <w:sz w:val="30"/>
          <w:szCs w:val="30"/>
          <w14:textFill>
            <w14:solidFill>
              <w14:schemeClr w14:val="tx1"/>
            </w14:solidFill>
          </w14:textFill>
        </w:rPr>
        <w:t>投标人声明</w:t>
      </w:r>
      <w:bookmarkEnd w:id="63"/>
      <w:bookmarkEnd w:id="64"/>
      <w:bookmarkEnd w:id="65"/>
    </w:p>
    <w:p>
      <w:pPr>
        <w:spacing w:line="560" w:lineRule="exac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本招标项目招标人及招标监管机构：</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本公司就参加</w:t>
      </w:r>
      <w:r>
        <w:rPr>
          <w:rFonts w:hint="eastAsia"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投标工作，作出郑重声明：</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涉及商业秘密的内容除外）等资料进行公开。</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二、本公司保证在本项目投标中不与其他单位围标、串标，不出让投标资格，不向招标人或评标委员会成员行贿。</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三、本公司不存在下列情形：</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）为招标人不具有独立法人资格的附属机构（单位）；</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）为本标段的代建人；</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（3）为本标段提供招标代理服务的；</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（4）与本标段的代建人或招标代理机构同为一个法定代表人的；</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（5）与本标段的代建人或招标代理机构互相控股或参股的；</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（6）与本标段的代建人或招标代理机构相互任职或工作的；</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（7）与招标人存在利害关系且可能影响招标公正性；</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（8）与本标段的其他投标人为同一个单位负责人；</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（9）与本标段的其他投标人存在控股、管理关系；</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0）被依法暂停或取消投标资格的；</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1）被责令停产停业、暂扣或者吊销许可证、暂扣或者吊销执照的；</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2）进入清算程序，或被宣布破产，或其他丧失履约能力的情形；</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3）在最近三年内有骗取中标或严重违约或重大工程质量问题的；</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4）被工商行政管理机关在全国企业信用信息公示系统中列入严重违法失信企业名单；</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5）被最高人民法院在“信用中国”网站（</w:t>
      </w:r>
      <w:r>
        <w:rPr>
          <w:rFonts w:ascii="宋体" w:hAnsi="宋体"/>
          <w:color w:val="000000" w:themeColor="text1"/>
          <w:kern w:val="0"/>
          <w:sz w:val="24"/>
          <w14:textFill>
            <w14:solidFill>
              <w14:schemeClr w14:val="tx1"/>
            </w14:solidFill>
          </w14:textFill>
        </w:rPr>
        <w:t>www.creditchina.gov.cn</w:t>
      </w:r>
      <w:r>
        <w:rPr>
          <w:rFonts w:hint="eastAsia" w:ascii="宋体" w:hAnsi="宋体"/>
          <w:color w:val="000000" w:themeColor="text1"/>
          <w:kern w:val="0"/>
          <w:sz w:val="24"/>
          <w14:textFill>
            <w14:solidFill>
              <w14:schemeClr w14:val="tx1"/>
            </w14:solidFill>
          </w14:textFill>
        </w:rPr>
        <w:t>）或各级信用信息共享平台中列入失信被执行人名单；</w:t>
      </w:r>
    </w:p>
    <w:p>
      <w:pPr>
        <w:snapToGrid w:val="0"/>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（16）被发改委、人力资源社会保障、质检总局等有关部门、单位在“信用中国”网站中列入联合惩戒失信黑名单；</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（17）在近三年内投标人或其法定代表人、拟委派的项目负责人有行贿犯罪行为的；</w:t>
      </w:r>
    </w:p>
    <w:p>
      <w:pPr>
        <w:spacing w:line="360" w:lineRule="auto"/>
        <w:ind w:firstLine="488"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（18）法律法规规定的其他情形。</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四、本公司承诺，中标后不转包或违法分包。</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五、与本公司单位负责人为同一人或者与本公司存在控股、管理关系的其他单位包括：</w:t>
      </w:r>
      <w:r>
        <w:rPr>
          <w:rFonts w:hint="eastAsia"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（注：本条由投标人如实填写，如有，应列出全部满足招标公告资质要求的相关单位的名称；如无，则填写“无”。）</w:t>
      </w: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8" w:firstLineChars="200"/>
        <w:rPr>
          <w:rFonts w:ascii="宋体" w:hAnsi="宋体"/>
          <w:color w:val="000000" w:themeColor="text1"/>
          <w:kern w:val="0"/>
          <w:sz w:val="24"/>
          <w14:textFill>
            <w14:solidFill>
              <w14:schemeClr w14:val="tx1"/>
            </w14:solidFill>
          </w14:textFill>
        </w:rPr>
      </w:pPr>
    </w:p>
    <w:p>
      <w:pPr>
        <w:spacing w:line="360" w:lineRule="auto"/>
        <w:ind w:firstLine="488"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特此声明</w:t>
      </w:r>
    </w:p>
    <w:p>
      <w:pPr>
        <w:spacing w:line="600" w:lineRule="exact"/>
        <w:ind w:left="629" w:right="1689" w:firstLine="488" w:firstLineChars="200"/>
        <w:jc w:val="righ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声明企业（</w:t>
      </w:r>
      <w:r>
        <w:rPr>
          <w:rFonts w:hint="eastAsia" w:ascii="宋体" w:hAnsi="宋体"/>
          <w:color w:val="000000" w:themeColor="text1"/>
          <w:kern w:val="0"/>
          <w:sz w:val="24"/>
          <w14:textFill>
            <w14:solidFill>
              <w14:schemeClr w14:val="tx1"/>
            </w14:solidFill>
          </w14:textFill>
        </w:rPr>
        <w:t>盖单位</w:t>
      </w:r>
      <w:r>
        <w:rPr>
          <w:rFonts w:ascii="宋体" w:hAnsi="宋体"/>
          <w:color w:val="000000" w:themeColor="text1"/>
          <w:kern w:val="0"/>
          <w:sz w:val="24"/>
          <w14:textFill>
            <w14:solidFill>
              <w14:schemeClr w14:val="tx1"/>
            </w14:solidFill>
          </w14:textFill>
        </w:rPr>
        <w:t>章）：</w:t>
      </w:r>
    </w:p>
    <w:p>
      <w:pPr>
        <w:spacing w:line="600" w:lineRule="exact"/>
        <w:ind w:right="1779"/>
        <w:jc w:val="righ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法定代表人</w:t>
      </w:r>
      <w:r>
        <w:rPr>
          <w:rFonts w:hint="eastAsia" w:ascii="宋体" w:hAnsi="宋体"/>
          <w:color w:val="000000" w:themeColor="text1"/>
          <w:kern w:val="0"/>
          <w:sz w:val="24"/>
          <w14:textFill>
            <w14:solidFill>
              <w14:schemeClr w14:val="tx1"/>
            </w14:solidFill>
          </w14:textFill>
        </w:rPr>
        <w:t>（签字）</w:t>
      </w:r>
      <w:r>
        <w:rPr>
          <w:rFonts w:ascii="宋体" w:hAnsi="宋体"/>
          <w:color w:val="000000" w:themeColor="text1"/>
          <w:kern w:val="0"/>
          <w:sz w:val="24"/>
          <w14:textFill>
            <w14:solidFill>
              <w14:schemeClr w14:val="tx1"/>
            </w14:solidFill>
          </w14:textFill>
        </w:rPr>
        <w:t>：</w:t>
      </w:r>
    </w:p>
    <w:p>
      <w:pPr>
        <w:spacing w:line="600" w:lineRule="exact"/>
        <w:ind w:right="1779"/>
        <w:jc w:val="righ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项目负责人（签字）：</w:t>
      </w:r>
    </w:p>
    <w:p>
      <w:pPr>
        <w:spacing w:line="600" w:lineRule="exact"/>
        <w:ind w:right="879" w:firstLine="488" w:firstLineChars="200"/>
        <w:jc w:val="righ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日</w:t>
      </w:r>
    </w:p>
    <w:p>
      <w:pPr>
        <w:spacing w:line="360" w:lineRule="auto"/>
        <w:ind w:right="1179" w:firstLine="428"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注：以联合体形式投标的，可只需投标</w:t>
      </w:r>
      <w:r>
        <w:rPr>
          <w:rFonts w:hint="eastAsia" w:ascii="宋体" w:hAnsi="宋体"/>
          <w:color w:val="000000" w:themeColor="text1"/>
          <w:lang w:eastAsia="zh-CN"/>
          <w14:textFill>
            <w14:solidFill>
              <w14:schemeClr w14:val="tx1"/>
            </w14:solidFill>
          </w14:textFill>
        </w:rPr>
        <w:t>牵头方</w:t>
      </w:r>
      <w:r>
        <w:rPr>
          <w:rFonts w:hint="eastAsia" w:ascii="宋体" w:hAnsi="宋体"/>
          <w:color w:val="000000" w:themeColor="text1"/>
          <w14:textFill>
            <w14:solidFill>
              <w14:schemeClr w14:val="tx1"/>
            </w14:solidFill>
          </w14:textFill>
        </w:rPr>
        <w:t>签名及盖章。</w:t>
      </w:r>
    </w:p>
    <w:p>
      <w:pPr>
        <w:pStyle w:val="2"/>
        <w:jc w:val="both"/>
        <w:rPr>
          <w:rFonts w:ascii="宋体" w:hAnsi="宋体"/>
          <w:b w:val="0"/>
          <w:color w:val="auto"/>
          <w:sz w:val="52"/>
          <w:szCs w:val="52"/>
          <w:highlight w:val="none"/>
        </w:rPr>
      </w:pPr>
    </w:p>
    <w:p>
      <w:pPr>
        <w:wordWrap w:val="0"/>
        <w:topLinePunct/>
        <w:jc w:val="center"/>
        <w:rPr>
          <w:rFonts w:ascii="宋体" w:hAnsi="宋体"/>
          <w:b/>
          <w:color w:val="auto"/>
          <w:sz w:val="40"/>
          <w:szCs w:val="40"/>
          <w:highlight w:val="none"/>
        </w:rPr>
      </w:pPr>
    </w:p>
    <w:p>
      <w:pPr>
        <w:wordWrap w:val="0"/>
        <w:topLinePunct/>
        <w:jc w:val="center"/>
        <w:rPr>
          <w:rFonts w:hint="eastAsia" w:ascii="宋体" w:hAnsi="宋体"/>
          <w:b/>
          <w:color w:val="auto"/>
          <w:sz w:val="40"/>
          <w:szCs w:val="40"/>
          <w:highlight w:val="none"/>
        </w:rPr>
      </w:pPr>
    </w:p>
    <w:p>
      <w:pPr>
        <w:wordWrap w:val="0"/>
        <w:topLinePunct/>
        <w:jc w:val="center"/>
        <w:rPr>
          <w:rFonts w:hint="eastAsia" w:ascii="宋体" w:hAnsi="宋体"/>
          <w:b/>
          <w:color w:val="auto"/>
          <w:sz w:val="40"/>
          <w:szCs w:val="40"/>
          <w:highlight w:val="none"/>
        </w:rPr>
      </w:pPr>
    </w:p>
    <w:p>
      <w:pPr>
        <w:pStyle w:val="8"/>
        <w:spacing w:line="360" w:lineRule="auto"/>
        <w:ind w:left="0" w:leftChars="0" w:firstLine="0" w:firstLineChars="0"/>
        <w:rPr>
          <w:color w:val="auto"/>
          <w:highlight w:val="none"/>
        </w:rPr>
      </w:pPr>
    </w:p>
    <w:sectPr>
      <w:headerReference r:id="rId4" w:type="default"/>
      <w:footerReference r:id="rId5" w:type="default"/>
      <w:pgSz w:w="11906" w:h="16838"/>
      <w:pgMar w:top="1440" w:right="1587" w:bottom="1440" w:left="1587" w:header="851" w:footer="992" w:gutter="0"/>
      <w:pgNumType w:fmt="decimal"/>
      <w:cols w:space="0" w:num="1"/>
      <w:rtlGutter w:val="0"/>
      <w:docGrid w:type="linesAndChars" w:linePitch="321" w:charSpace="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黑体"/>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auto"/>
    <w:pitch w:val="default"/>
    <w:sig w:usb0="00000000" w:usb1="00000000" w:usb2="00000000" w:usb3="00000000" w:csb0="80000000" w:csb1="00000000"/>
  </w:font>
  <w:font w:name="宋体-PUA">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7"/>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DY1MjJmNDMwZWQ3NDIwMTMyYTM3ZGVkMGM3ODYifQ=="/>
  </w:docVars>
  <w:rsids>
    <w:rsidRoot w:val="00000000"/>
    <w:rsid w:val="01987D5A"/>
    <w:rsid w:val="037203C5"/>
    <w:rsid w:val="04E13A54"/>
    <w:rsid w:val="075F2BA3"/>
    <w:rsid w:val="09E541F1"/>
    <w:rsid w:val="09F629B6"/>
    <w:rsid w:val="0C4274CE"/>
    <w:rsid w:val="0CD220E6"/>
    <w:rsid w:val="0DDB1F81"/>
    <w:rsid w:val="0E6D7DD6"/>
    <w:rsid w:val="10126B76"/>
    <w:rsid w:val="106E57AF"/>
    <w:rsid w:val="11FA3431"/>
    <w:rsid w:val="12125842"/>
    <w:rsid w:val="12AA21AB"/>
    <w:rsid w:val="1310397A"/>
    <w:rsid w:val="136E7E4E"/>
    <w:rsid w:val="14A23E5C"/>
    <w:rsid w:val="16837260"/>
    <w:rsid w:val="16FC55C0"/>
    <w:rsid w:val="17F47793"/>
    <w:rsid w:val="185A64D7"/>
    <w:rsid w:val="1B7B1E62"/>
    <w:rsid w:val="1CFD5705"/>
    <w:rsid w:val="1D7067B3"/>
    <w:rsid w:val="1E345464"/>
    <w:rsid w:val="1EF51DDC"/>
    <w:rsid w:val="1F33592C"/>
    <w:rsid w:val="20232A63"/>
    <w:rsid w:val="2039557E"/>
    <w:rsid w:val="212C77D7"/>
    <w:rsid w:val="21771570"/>
    <w:rsid w:val="238B0AE9"/>
    <w:rsid w:val="23BC3183"/>
    <w:rsid w:val="23CA4528"/>
    <w:rsid w:val="245C0859"/>
    <w:rsid w:val="246838A5"/>
    <w:rsid w:val="24971F54"/>
    <w:rsid w:val="24BB577C"/>
    <w:rsid w:val="252B023A"/>
    <w:rsid w:val="263A00FA"/>
    <w:rsid w:val="27CE6E7A"/>
    <w:rsid w:val="29CA0B66"/>
    <w:rsid w:val="2B8A6F13"/>
    <w:rsid w:val="2DA656A9"/>
    <w:rsid w:val="2F084F3A"/>
    <w:rsid w:val="2F880E52"/>
    <w:rsid w:val="300317A0"/>
    <w:rsid w:val="30D03AB3"/>
    <w:rsid w:val="323D3CAE"/>
    <w:rsid w:val="3273635B"/>
    <w:rsid w:val="32E10E82"/>
    <w:rsid w:val="36B255C1"/>
    <w:rsid w:val="37053B61"/>
    <w:rsid w:val="38EE67CB"/>
    <w:rsid w:val="39C649EB"/>
    <w:rsid w:val="3BDB3FBE"/>
    <w:rsid w:val="3E297C7D"/>
    <w:rsid w:val="404A4EA8"/>
    <w:rsid w:val="406D52A8"/>
    <w:rsid w:val="40D823D4"/>
    <w:rsid w:val="42E41B74"/>
    <w:rsid w:val="432A1125"/>
    <w:rsid w:val="44395CA1"/>
    <w:rsid w:val="448D039C"/>
    <w:rsid w:val="46334A85"/>
    <w:rsid w:val="468F042F"/>
    <w:rsid w:val="4741539F"/>
    <w:rsid w:val="485F1209"/>
    <w:rsid w:val="48F96E49"/>
    <w:rsid w:val="49601083"/>
    <w:rsid w:val="4E1B4017"/>
    <w:rsid w:val="4E96140B"/>
    <w:rsid w:val="50412F29"/>
    <w:rsid w:val="51320067"/>
    <w:rsid w:val="51DB3C45"/>
    <w:rsid w:val="53912EB6"/>
    <w:rsid w:val="53D762E9"/>
    <w:rsid w:val="541303D5"/>
    <w:rsid w:val="54452F25"/>
    <w:rsid w:val="54EC7D4D"/>
    <w:rsid w:val="552010D5"/>
    <w:rsid w:val="562C5357"/>
    <w:rsid w:val="58530317"/>
    <w:rsid w:val="5B871268"/>
    <w:rsid w:val="5BFC1F61"/>
    <w:rsid w:val="5CA5657E"/>
    <w:rsid w:val="5CA85860"/>
    <w:rsid w:val="5CF6417E"/>
    <w:rsid w:val="5D4D50A9"/>
    <w:rsid w:val="5D4F27E7"/>
    <w:rsid w:val="5F1F0F16"/>
    <w:rsid w:val="5F4F48E8"/>
    <w:rsid w:val="5FF97985"/>
    <w:rsid w:val="617E36B7"/>
    <w:rsid w:val="61D16A91"/>
    <w:rsid w:val="61EC2FA7"/>
    <w:rsid w:val="63424A97"/>
    <w:rsid w:val="66E063D6"/>
    <w:rsid w:val="66EE0164"/>
    <w:rsid w:val="67C344BF"/>
    <w:rsid w:val="685F2BD6"/>
    <w:rsid w:val="691F2255"/>
    <w:rsid w:val="69F0512E"/>
    <w:rsid w:val="6BC05279"/>
    <w:rsid w:val="6C512E3D"/>
    <w:rsid w:val="6CC93DC9"/>
    <w:rsid w:val="6D9D09CE"/>
    <w:rsid w:val="6DD14507"/>
    <w:rsid w:val="6DD26358"/>
    <w:rsid w:val="6F235519"/>
    <w:rsid w:val="6F991BC5"/>
    <w:rsid w:val="706A3CF2"/>
    <w:rsid w:val="70B71926"/>
    <w:rsid w:val="7120068F"/>
    <w:rsid w:val="73E1063D"/>
    <w:rsid w:val="75837241"/>
    <w:rsid w:val="76DF6E27"/>
    <w:rsid w:val="7933352C"/>
    <w:rsid w:val="79974DFF"/>
    <w:rsid w:val="7A9F07F9"/>
    <w:rsid w:val="7AE155AC"/>
    <w:rsid w:val="7DBC3744"/>
    <w:rsid w:val="7E59555A"/>
    <w:rsid w:val="7F141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48"/>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49"/>
    <w:qFormat/>
    <w:uiPriority w:val="0"/>
    <w:pPr>
      <w:spacing w:before="156" w:beforeLines="50" w:after="156" w:afterLines="50" w:line="360" w:lineRule="auto"/>
      <w:ind w:left="284" w:hanging="284"/>
      <w:jc w:val="center"/>
      <w:outlineLvl w:val="3"/>
    </w:pPr>
    <w:rPr>
      <w:rFonts w:ascii="Arial" w:hAnsi="Arial"/>
      <w:color w:val="000000"/>
      <w:sz w:val="24"/>
      <w:szCs w:val="24"/>
    </w:rPr>
  </w:style>
  <w:style w:type="paragraph" w:styleId="7">
    <w:name w:val="heading 5"/>
    <w:basedOn w:val="6"/>
    <w:next w:val="8"/>
    <w:link w:val="50"/>
    <w:qFormat/>
    <w:uiPriority w:val="0"/>
    <w:pPr>
      <w:spacing w:line="240" w:lineRule="exact"/>
      <w:outlineLvl w:val="4"/>
    </w:pPr>
  </w:style>
  <w:style w:type="paragraph" w:styleId="9">
    <w:name w:val="heading 7"/>
    <w:basedOn w:val="1"/>
    <w:next w:val="8"/>
    <w:link w:val="51"/>
    <w:qFormat/>
    <w:uiPriority w:val="0"/>
    <w:pPr>
      <w:keepNext/>
      <w:keepLines/>
      <w:spacing w:before="240" w:after="64" w:line="320" w:lineRule="auto"/>
      <w:outlineLvl w:val="6"/>
    </w:pPr>
    <w:rPr>
      <w:b/>
      <w:kern w:val="0"/>
      <w:sz w:val="24"/>
      <w:szCs w:val="20"/>
    </w:rPr>
  </w:style>
  <w:style w:type="paragraph" w:styleId="10">
    <w:name w:val="heading 8"/>
    <w:basedOn w:val="1"/>
    <w:next w:val="8"/>
    <w:link w:val="52"/>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8"/>
    <w:link w:val="53"/>
    <w:qFormat/>
    <w:uiPriority w:val="0"/>
    <w:pPr>
      <w:keepNext/>
      <w:keepLines/>
      <w:spacing w:before="240" w:after="64" w:line="320" w:lineRule="auto"/>
      <w:outlineLvl w:val="8"/>
    </w:pPr>
    <w:rPr>
      <w:rFonts w:ascii="Arial" w:hAnsi="Arial" w:eastAsia="黑体"/>
      <w:kern w:val="0"/>
      <w:sz w:val="20"/>
      <w:szCs w:val="20"/>
    </w:rPr>
  </w:style>
  <w:style w:type="character" w:default="1" w:styleId="40">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Calibri" w:hAnsi="Calibri"/>
      <w:b/>
    </w:rPr>
  </w:style>
  <w:style w:type="paragraph" w:styleId="8">
    <w:name w:val="Normal Indent"/>
    <w:basedOn w:val="1"/>
    <w:qFormat/>
    <w:uiPriority w:val="0"/>
    <w:pPr>
      <w:ind w:firstLine="420" w:firstLineChars="200"/>
    </w:pPr>
  </w:style>
  <w:style w:type="paragraph" w:styleId="12">
    <w:name w:val="toc 7"/>
    <w:basedOn w:val="1"/>
    <w:next w:val="1"/>
    <w:qFormat/>
    <w:uiPriority w:val="0"/>
    <w:pPr>
      <w:ind w:left="2520" w:leftChars="1200"/>
    </w:pPr>
  </w:style>
  <w:style w:type="paragraph" w:styleId="13">
    <w:name w:val="caption"/>
    <w:basedOn w:val="1"/>
    <w:next w:val="1"/>
    <w:link w:val="114"/>
    <w:unhideWhenUsed/>
    <w:qFormat/>
    <w:uiPriority w:val="35"/>
    <w:pPr>
      <w:keepNext/>
      <w:spacing w:after="120" w:afterLines="50"/>
      <w:jc w:val="center"/>
    </w:pPr>
    <w:rPr>
      <w:rFonts w:cstheme="majorBidi"/>
      <w:b/>
      <w:sz w:val="24"/>
      <w:szCs w:val="20"/>
    </w:rPr>
  </w:style>
  <w:style w:type="paragraph" w:styleId="14">
    <w:name w:val="Document Map"/>
    <w:basedOn w:val="1"/>
    <w:link w:val="54"/>
    <w:qFormat/>
    <w:uiPriority w:val="0"/>
    <w:pPr>
      <w:shd w:val="clear" w:color="auto" w:fill="000080"/>
    </w:pPr>
    <w:rPr>
      <w:kern w:val="0"/>
      <w:sz w:val="20"/>
      <w:shd w:val="clear" w:color="auto" w:fill="000080"/>
    </w:rPr>
  </w:style>
  <w:style w:type="paragraph" w:styleId="15">
    <w:name w:val="annotation text"/>
    <w:basedOn w:val="1"/>
    <w:link w:val="55"/>
    <w:qFormat/>
    <w:uiPriority w:val="99"/>
    <w:pPr>
      <w:jc w:val="left"/>
    </w:pPr>
    <w:rPr>
      <w:kern w:val="0"/>
      <w:sz w:val="20"/>
    </w:rPr>
  </w:style>
  <w:style w:type="paragraph" w:styleId="16">
    <w:name w:val="Body Text 3"/>
    <w:basedOn w:val="1"/>
    <w:link w:val="56"/>
    <w:qFormat/>
    <w:uiPriority w:val="0"/>
    <w:pPr>
      <w:adjustRightInd w:val="0"/>
      <w:snapToGrid w:val="0"/>
    </w:pPr>
    <w:rPr>
      <w:rFonts w:ascii="宋体" w:hAnsi="宋体"/>
      <w:color w:val="339966"/>
      <w:sz w:val="24"/>
    </w:rPr>
  </w:style>
  <w:style w:type="paragraph" w:styleId="17">
    <w:name w:val="Body Text"/>
    <w:basedOn w:val="1"/>
    <w:link w:val="57"/>
    <w:qFormat/>
    <w:uiPriority w:val="0"/>
    <w:pPr>
      <w:pBdr>
        <w:top w:val="single" w:color="auto" w:sz="4" w:space="1"/>
      </w:pBdr>
    </w:pPr>
    <w:rPr>
      <w:b/>
      <w:bCs/>
      <w:kern w:val="0"/>
      <w:sz w:val="20"/>
    </w:rPr>
  </w:style>
  <w:style w:type="paragraph" w:styleId="18">
    <w:name w:val="Body Text Indent"/>
    <w:basedOn w:val="1"/>
    <w:link w:val="58"/>
    <w:qFormat/>
    <w:uiPriority w:val="0"/>
    <w:pPr>
      <w:ind w:firstLine="600" w:firstLineChars="200"/>
    </w:pPr>
    <w:rPr>
      <w:rFonts w:ascii="宋体"/>
      <w:kern w:val="0"/>
      <w:sz w:val="30"/>
      <w:szCs w:val="20"/>
    </w:rPr>
  </w:style>
  <w:style w:type="paragraph" w:styleId="19">
    <w:name w:val="Block Text"/>
    <w:basedOn w:val="1"/>
    <w:unhideWhenUsed/>
    <w:qFormat/>
    <w:uiPriority w:val="99"/>
    <w:pPr>
      <w:spacing w:after="120"/>
      <w:ind w:left="1440" w:leftChars="700" w:right="1440" w:rightChars="700"/>
    </w:p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59"/>
    <w:qFormat/>
    <w:uiPriority w:val="0"/>
    <w:rPr>
      <w:rFonts w:ascii="宋体" w:hAnsi="Courier New"/>
      <w:kern w:val="0"/>
      <w:sz w:val="20"/>
      <w:szCs w:val="20"/>
    </w:rPr>
  </w:style>
  <w:style w:type="paragraph" w:styleId="23">
    <w:name w:val="toc 8"/>
    <w:basedOn w:val="1"/>
    <w:next w:val="1"/>
    <w:qFormat/>
    <w:uiPriority w:val="0"/>
    <w:pPr>
      <w:ind w:left="2940" w:leftChars="1400"/>
    </w:pPr>
  </w:style>
  <w:style w:type="paragraph" w:styleId="24">
    <w:name w:val="Date"/>
    <w:basedOn w:val="1"/>
    <w:next w:val="1"/>
    <w:link w:val="60"/>
    <w:qFormat/>
    <w:uiPriority w:val="0"/>
    <w:pPr>
      <w:ind w:left="100" w:leftChars="2500"/>
    </w:pPr>
    <w:rPr>
      <w:kern w:val="0"/>
      <w:sz w:val="20"/>
    </w:rPr>
  </w:style>
  <w:style w:type="paragraph" w:styleId="25">
    <w:name w:val="Body Text Indent 2"/>
    <w:basedOn w:val="1"/>
    <w:link w:val="61"/>
    <w:unhideWhenUsed/>
    <w:qFormat/>
    <w:uiPriority w:val="0"/>
    <w:pPr>
      <w:spacing w:after="120" w:line="480" w:lineRule="auto"/>
      <w:ind w:left="420" w:leftChars="200"/>
    </w:pPr>
    <w:rPr>
      <w:kern w:val="0"/>
      <w:sz w:val="20"/>
    </w:rPr>
  </w:style>
  <w:style w:type="paragraph" w:styleId="26">
    <w:name w:val="Balloon Text"/>
    <w:basedOn w:val="1"/>
    <w:link w:val="62"/>
    <w:qFormat/>
    <w:uiPriority w:val="0"/>
    <w:rPr>
      <w:kern w:val="0"/>
      <w:sz w:val="18"/>
      <w:szCs w:val="18"/>
    </w:rPr>
  </w:style>
  <w:style w:type="paragraph" w:styleId="27">
    <w:name w:val="footer"/>
    <w:basedOn w:val="1"/>
    <w:link w:val="63"/>
    <w:unhideWhenUsed/>
    <w:qFormat/>
    <w:uiPriority w:val="0"/>
    <w:pPr>
      <w:tabs>
        <w:tab w:val="center" w:pos="4153"/>
        <w:tab w:val="right" w:pos="8306"/>
      </w:tabs>
      <w:snapToGrid w:val="0"/>
      <w:jc w:val="left"/>
    </w:pPr>
    <w:rPr>
      <w:kern w:val="0"/>
      <w:sz w:val="18"/>
      <w:szCs w:val="18"/>
    </w:rPr>
  </w:style>
  <w:style w:type="paragraph" w:styleId="28">
    <w:name w:val="header"/>
    <w:basedOn w:val="1"/>
    <w:link w:val="6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pPr>
      <w:adjustRightInd w:val="0"/>
      <w:snapToGrid w:val="0"/>
    </w:pPr>
    <w:rPr>
      <w:rFonts w:ascii="宋体" w:hAnsi="宋体"/>
      <w:b/>
      <w:bCs/>
      <w:kern w:val="0"/>
      <w:sz w:val="28"/>
      <w:szCs w:val="20"/>
    </w:rPr>
  </w:style>
  <w:style w:type="paragraph" w:styleId="30">
    <w:name w:val="toc 4"/>
    <w:basedOn w:val="1"/>
    <w:next w:val="1"/>
    <w:qFormat/>
    <w:uiPriority w:val="0"/>
    <w:pPr>
      <w:ind w:left="1260" w:leftChars="600"/>
    </w:pPr>
  </w:style>
  <w:style w:type="paragraph" w:styleId="31">
    <w:name w:val="toc 6"/>
    <w:basedOn w:val="1"/>
    <w:next w:val="1"/>
    <w:qFormat/>
    <w:uiPriority w:val="0"/>
    <w:pPr>
      <w:ind w:left="2100" w:leftChars="1000"/>
    </w:pPr>
  </w:style>
  <w:style w:type="paragraph" w:styleId="32">
    <w:name w:val="Body Text Indent 3"/>
    <w:basedOn w:val="1"/>
    <w:link w:val="65"/>
    <w:qFormat/>
    <w:uiPriority w:val="0"/>
    <w:pPr>
      <w:spacing w:after="120"/>
      <w:ind w:left="420" w:leftChars="200"/>
    </w:pPr>
    <w:rPr>
      <w:sz w:val="16"/>
      <w:szCs w:val="16"/>
    </w:rPr>
  </w:style>
  <w:style w:type="paragraph" w:styleId="33">
    <w:name w:val="toc 2"/>
    <w:basedOn w:val="1"/>
    <w:next w:val="1"/>
    <w:qFormat/>
    <w:uiPriority w:val="0"/>
    <w:pPr>
      <w:ind w:left="420" w:leftChars="200"/>
    </w:pPr>
  </w:style>
  <w:style w:type="paragraph" w:styleId="34">
    <w:name w:val="toc 9"/>
    <w:basedOn w:val="1"/>
    <w:next w:val="1"/>
    <w:qFormat/>
    <w:uiPriority w:val="0"/>
    <w:pPr>
      <w:ind w:left="3360" w:leftChars="1600"/>
    </w:pPr>
  </w:style>
  <w:style w:type="paragraph" w:styleId="35">
    <w:name w:val="Body Text 2"/>
    <w:basedOn w:val="1"/>
    <w:link w:val="66"/>
    <w:qFormat/>
    <w:uiPriority w:val="0"/>
    <w:pPr>
      <w:adjustRightInd w:val="0"/>
      <w:snapToGrid w:val="0"/>
    </w:pPr>
    <w:rPr>
      <w:rFonts w:ascii="宋体" w:hAnsi="宋体"/>
      <w:sz w:val="24"/>
    </w:r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Title"/>
    <w:basedOn w:val="1"/>
    <w:link w:val="67"/>
    <w:qFormat/>
    <w:uiPriority w:val="0"/>
    <w:pPr>
      <w:spacing w:before="240" w:after="60"/>
      <w:jc w:val="center"/>
      <w:outlineLvl w:val="0"/>
    </w:pPr>
    <w:rPr>
      <w:rFonts w:ascii="Arial" w:hAnsi="Arial"/>
      <w:b/>
      <w:bCs/>
      <w:kern w:val="0"/>
      <w:sz w:val="32"/>
      <w:szCs w:val="32"/>
    </w:rPr>
  </w:style>
  <w:style w:type="paragraph" w:styleId="38">
    <w:name w:val="annotation subject"/>
    <w:basedOn w:val="15"/>
    <w:next w:val="15"/>
    <w:link w:val="68"/>
    <w:qFormat/>
    <w:uiPriority w:val="0"/>
    <w:rPr>
      <w:b/>
      <w:bCs/>
    </w:r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Hyperlink"/>
    <w:basedOn w:val="40"/>
    <w:qFormat/>
    <w:uiPriority w:val="0"/>
    <w:rPr>
      <w:color w:val="0000FF"/>
      <w:u w:val="single"/>
    </w:rPr>
  </w:style>
  <w:style w:type="character" w:styleId="45">
    <w:name w:val="annotation reference"/>
    <w:qFormat/>
    <w:uiPriority w:val="99"/>
    <w:rPr>
      <w:sz w:val="21"/>
      <w:szCs w:val="21"/>
    </w:rPr>
  </w:style>
  <w:style w:type="character" w:customStyle="1" w:styleId="46">
    <w:name w:val="标题 1 字符"/>
    <w:link w:val="3"/>
    <w:qFormat/>
    <w:uiPriority w:val="0"/>
    <w:rPr>
      <w:rFonts w:ascii="Times New Roman" w:hAnsi="Times New Roman"/>
      <w:b/>
      <w:bCs/>
      <w:kern w:val="44"/>
      <w:sz w:val="44"/>
      <w:szCs w:val="44"/>
    </w:rPr>
  </w:style>
  <w:style w:type="character" w:customStyle="1" w:styleId="47">
    <w:name w:val="标题 2 字符"/>
    <w:link w:val="4"/>
    <w:qFormat/>
    <w:uiPriority w:val="0"/>
    <w:rPr>
      <w:rFonts w:ascii="Arial" w:hAnsi="Arial" w:eastAsia="宋体" w:cs="Times New Roman"/>
      <w:b/>
      <w:color w:val="000000"/>
      <w:kern w:val="0"/>
      <w:sz w:val="24"/>
      <w:szCs w:val="24"/>
    </w:rPr>
  </w:style>
  <w:style w:type="character" w:customStyle="1" w:styleId="48">
    <w:name w:val="标题 3 字符"/>
    <w:link w:val="5"/>
    <w:qFormat/>
    <w:uiPriority w:val="0"/>
    <w:rPr>
      <w:rFonts w:ascii="Times New Roman" w:hAnsi="Times New Roman" w:eastAsia="宋体" w:cs="Times New Roman"/>
      <w:b/>
      <w:bCs/>
      <w:kern w:val="0"/>
      <w:sz w:val="32"/>
      <w:szCs w:val="32"/>
    </w:rPr>
  </w:style>
  <w:style w:type="character" w:customStyle="1" w:styleId="49">
    <w:name w:val="标题 4 字符"/>
    <w:link w:val="6"/>
    <w:qFormat/>
    <w:uiPriority w:val="0"/>
    <w:rPr>
      <w:rFonts w:ascii="Arial" w:hAnsi="Arial" w:eastAsia="宋体" w:cs="Times New Roman"/>
      <w:b/>
      <w:bCs/>
      <w:color w:val="000000"/>
      <w:sz w:val="24"/>
      <w:szCs w:val="24"/>
    </w:rPr>
  </w:style>
  <w:style w:type="character" w:customStyle="1" w:styleId="50">
    <w:name w:val="标题 5 字符"/>
    <w:link w:val="7"/>
    <w:qFormat/>
    <w:uiPriority w:val="0"/>
    <w:rPr>
      <w:rFonts w:ascii="Arial" w:hAnsi="Arial" w:eastAsia="宋体" w:cs="Times New Roman"/>
      <w:b/>
      <w:bCs/>
      <w:color w:val="000000"/>
      <w:sz w:val="24"/>
      <w:szCs w:val="24"/>
    </w:rPr>
  </w:style>
  <w:style w:type="character" w:customStyle="1" w:styleId="51">
    <w:name w:val="标题 7 字符"/>
    <w:link w:val="9"/>
    <w:qFormat/>
    <w:uiPriority w:val="0"/>
    <w:rPr>
      <w:rFonts w:ascii="Times New Roman" w:hAnsi="Times New Roman" w:eastAsia="宋体" w:cs="Times New Roman"/>
      <w:b/>
      <w:sz w:val="24"/>
      <w:szCs w:val="20"/>
    </w:rPr>
  </w:style>
  <w:style w:type="character" w:customStyle="1" w:styleId="52">
    <w:name w:val="标题 8 字符"/>
    <w:link w:val="10"/>
    <w:qFormat/>
    <w:uiPriority w:val="0"/>
    <w:rPr>
      <w:rFonts w:ascii="Arial" w:hAnsi="Arial" w:eastAsia="黑体" w:cs="Times New Roman"/>
      <w:sz w:val="24"/>
      <w:szCs w:val="20"/>
    </w:rPr>
  </w:style>
  <w:style w:type="character" w:customStyle="1" w:styleId="53">
    <w:name w:val="标题 9 字符"/>
    <w:link w:val="11"/>
    <w:qFormat/>
    <w:uiPriority w:val="0"/>
    <w:rPr>
      <w:rFonts w:ascii="Arial" w:hAnsi="Arial" w:eastAsia="黑体" w:cs="Times New Roman"/>
      <w:szCs w:val="20"/>
    </w:rPr>
  </w:style>
  <w:style w:type="character" w:customStyle="1" w:styleId="54">
    <w:name w:val="文档结构图 字符"/>
    <w:link w:val="14"/>
    <w:qFormat/>
    <w:uiPriority w:val="0"/>
    <w:rPr>
      <w:rFonts w:ascii="Times New Roman" w:hAnsi="Times New Roman" w:eastAsia="宋体" w:cs="Times New Roman"/>
      <w:szCs w:val="24"/>
      <w:shd w:val="clear" w:color="auto" w:fill="000080"/>
    </w:rPr>
  </w:style>
  <w:style w:type="character" w:customStyle="1" w:styleId="55">
    <w:name w:val="批注文字 字符"/>
    <w:link w:val="15"/>
    <w:qFormat/>
    <w:uiPriority w:val="99"/>
    <w:rPr>
      <w:rFonts w:ascii="Times New Roman" w:hAnsi="Times New Roman" w:eastAsia="宋体" w:cs="Times New Roman"/>
      <w:szCs w:val="24"/>
    </w:rPr>
  </w:style>
  <w:style w:type="character" w:customStyle="1" w:styleId="56">
    <w:name w:val="正文文本 3 字符"/>
    <w:link w:val="16"/>
    <w:qFormat/>
    <w:uiPriority w:val="0"/>
    <w:rPr>
      <w:rFonts w:ascii="宋体" w:hAnsi="宋体"/>
      <w:color w:val="339966"/>
      <w:kern w:val="2"/>
      <w:sz w:val="24"/>
      <w:szCs w:val="24"/>
    </w:rPr>
  </w:style>
  <w:style w:type="character" w:customStyle="1" w:styleId="57">
    <w:name w:val="正文文本 字符"/>
    <w:link w:val="17"/>
    <w:qFormat/>
    <w:uiPriority w:val="0"/>
    <w:rPr>
      <w:rFonts w:ascii="Times New Roman" w:hAnsi="Times New Roman" w:eastAsia="宋体" w:cs="Times New Roman"/>
      <w:b/>
      <w:bCs/>
      <w:szCs w:val="24"/>
    </w:rPr>
  </w:style>
  <w:style w:type="character" w:customStyle="1" w:styleId="58">
    <w:name w:val="正文文本缩进 字符"/>
    <w:link w:val="18"/>
    <w:qFormat/>
    <w:uiPriority w:val="0"/>
    <w:rPr>
      <w:rFonts w:ascii="宋体" w:hAnsi="Times New Roman" w:eastAsia="宋体" w:cs="Times New Roman"/>
      <w:sz w:val="30"/>
      <w:szCs w:val="20"/>
    </w:rPr>
  </w:style>
  <w:style w:type="character" w:customStyle="1" w:styleId="59">
    <w:name w:val="纯文本 字符"/>
    <w:link w:val="22"/>
    <w:qFormat/>
    <w:uiPriority w:val="0"/>
    <w:rPr>
      <w:rFonts w:ascii="宋体" w:hAnsi="Courier New" w:eastAsia="宋体" w:cs="Times New Roman"/>
      <w:szCs w:val="20"/>
    </w:rPr>
  </w:style>
  <w:style w:type="character" w:customStyle="1" w:styleId="60">
    <w:name w:val="日期 字符"/>
    <w:link w:val="24"/>
    <w:qFormat/>
    <w:uiPriority w:val="0"/>
    <w:rPr>
      <w:rFonts w:ascii="Times New Roman" w:hAnsi="Times New Roman" w:eastAsia="宋体" w:cs="Times New Roman"/>
      <w:szCs w:val="24"/>
    </w:rPr>
  </w:style>
  <w:style w:type="character" w:customStyle="1" w:styleId="61">
    <w:name w:val="正文文本缩进 2 字符"/>
    <w:link w:val="25"/>
    <w:qFormat/>
    <w:uiPriority w:val="0"/>
    <w:rPr>
      <w:rFonts w:ascii="Times New Roman" w:hAnsi="Times New Roman" w:eastAsia="宋体" w:cs="Times New Roman"/>
      <w:szCs w:val="24"/>
    </w:rPr>
  </w:style>
  <w:style w:type="character" w:customStyle="1" w:styleId="62">
    <w:name w:val="批注框文本 字符"/>
    <w:link w:val="26"/>
    <w:qFormat/>
    <w:uiPriority w:val="0"/>
    <w:rPr>
      <w:rFonts w:ascii="Times New Roman" w:hAnsi="Times New Roman" w:eastAsia="宋体" w:cs="Times New Roman"/>
      <w:sz w:val="18"/>
      <w:szCs w:val="18"/>
    </w:rPr>
  </w:style>
  <w:style w:type="character" w:customStyle="1" w:styleId="63">
    <w:name w:val="页脚 字符"/>
    <w:link w:val="27"/>
    <w:qFormat/>
    <w:uiPriority w:val="99"/>
    <w:rPr>
      <w:sz w:val="18"/>
      <w:szCs w:val="18"/>
    </w:rPr>
  </w:style>
  <w:style w:type="character" w:customStyle="1" w:styleId="64">
    <w:name w:val="页眉 字符"/>
    <w:link w:val="28"/>
    <w:qFormat/>
    <w:uiPriority w:val="0"/>
    <w:rPr>
      <w:sz w:val="18"/>
      <w:szCs w:val="18"/>
    </w:rPr>
  </w:style>
  <w:style w:type="character" w:customStyle="1" w:styleId="65">
    <w:name w:val="正文文本缩进 3 字符"/>
    <w:link w:val="32"/>
    <w:qFormat/>
    <w:uiPriority w:val="0"/>
    <w:rPr>
      <w:rFonts w:ascii="Times New Roman" w:hAnsi="Times New Roman"/>
      <w:kern w:val="2"/>
      <w:sz w:val="16"/>
      <w:szCs w:val="16"/>
    </w:rPr>
  </w:style>
  <w:style w:type="character" w:customStyle="1" w:styleId="66">
    <w:name w:val="正文文本 2 字符"/>
    <w:link w:val="35"/>
    <w:qFormat/>
    <w:uiPriority w:val="0"/>
    <w:rPr>
      <w:rFonts w:ascii="宋体" w:hAnsi="宋体"/>
      <w:kern w:val="2"/>
      <w:sz w:val="24"/>
      <w:szCs w:val="24"/>
    </w:rPr>
  </w:style>
  <w:style w:type="character" w:customStyle="1" w:styleId="67">
    <w:name w:val="标题 字符"/>
    <w:link w:val="37"/>
    <w:qFormat/>
    <w:uiPriority w:val="0"/>
    <w:rPr>
      <w:rFonts w:ascii="Arial" w:hAnsi="Arial" w:eastAsia="宋体" w:cs="Arial"/>
      <w:b/>
      <w:bCs/>
      <w:sz w:val="32"/>
      <w:szCs w:val="32"/>
    </w:rPr>
  </w:style>
  <w:style w:type="character" w:customStyle="1" w:styleId="68">
    <w:name w:val="批注主题 字符"/>
    <w:link w:val="38"/>
    <w:qFormat/>
    <w:uiPriority w:val="0"/>
    <w:rPr>
      <w:rFonts w:ascii="Times New Roman" w:hAnsi="Times New Roman" w:eastAsia="宋体" w:cs="Times New Roman"/>
      <w:b/>
      <w:bCs/>
      <w:szCs w:val="24"/>
    </w:rPr>
  </w:style>
  <w:style w:type="character" w:customStyle="1" w:styleId="69">
    <w:name w:val="contenttext11"/>
    <w:qFormat/>
    <w:uiPriority w:val="0"/>
    <w:rPr>
      <w:rFonts w:ascii="宋体" w:hAnsi="宋体" w:eastAsia="宋体"/>
      <w:color w:val="000000"/>
      <w:sz w:val="24"/>
    </w:rPr>
  </w:style>
  <w:style w:type="character" w:customStyle="1" w:styleId="70">
    <w:name w:val="批注文字 Char1"/>
    <w:semiHidden/>
    <w:qFormat/>
    <w:uiPriority w:val="99"/>
    <w:rPr>
      <w:rFonts w:ascii="Times New Roman" w:hAnsi="Times New Roman" w:eastAsia="宋体" w:cs="Times New Roman"/>
      <w:szCs w:val="24"/>
    </w:rPr>
  </w:style>
  <w:style w:type="character" w:customStyle="1" w:styleId="71">
    <w:name w:val="正文文本 Char1"/>
    <w:semiHidden/>
    <w:qFormat/>
    <w:uiPriority w:val="99"/>
    <w:rPr>
      <w:rFonts w:ascii="Times New Roman" w:hAnsi="Times New Roman" w:eastAsia="宋体" w:cs="Times New Roman"/>
      <w:szCs w:val="24"/>
    </w:rPr>
  </w:style>
  <w:style w:type="character" w:customStyle="1" w:styleId="72">
    <w:name w:val="文档结构图 Char1"/>
    <w:semiHidden/>
    <w:qFormat/>
    <w:uiPriority w:val="99"/>
    <w:rPr>
      <w:rFonts w:ascii="宋体" w:hAnsi="Times New Roman" w:eastAsia="宋体" w:cs="Times New Roman"/>
      <w:sz w:val="18"/>
      <w:szCs w:val="18"/>
    </w:rPr>
  </w:style>
  <w:style w:type="character" w:customStyle="1" w:styleId="73">
    <w:name w:val="纯文本 Char1"/>
    <w:semiHidden/>
    <w:qFormat/>
    <w:uiPriority w:val="99"/>
    <w:rPr>
      <w:rFonts w:ascii="宋体" w:hAnsi="Courier New" w:eastAsia="宋体" w:cs="Courier New"/>
      <w:szCs w:val="21"/>
    </w:rPr>
  </w:style>
  <w:style w:type="character" w:customStyle="1" w:styleId="74">
    <w:name w:val="日期 Char1"/>
    <w:semiHidden/>
    <w:qFormat/>
    <w:uiPriority w:val="99"/>
    <w:rPr>
      <w:rFonts w:ascii="Times New Roman" w:hAnsi="Times New Roman" w:eastAsia="宋体" w:cs="Times New Roman"/>
      <w:szCs w:val="24"/>
    </w:rPr>
  </w:style>
  <w:style w:type="character" w:customStyle="1" w:styleId="75">
    <w:name w:val="页脚 Char1"/>
    <w:semiHidden/>
    <w:qFormat/>
    <w:uiPriority w:val="99"/>
    <w:rPr>
      <w:rFonts w:ascii="Calibri" w:hAnsi="Calibri" w:eastAsia="宋体" w:cs="Times New Roman"/>
      <w:sz w:val="18"/>
      <w:szCs w:val="18"/>
    </w:rPr>
  </w:style>
  <w:style w:type="character" w:customStyle="1" w:styleId="76">
    <w:name w:val="标题 Char1"/>
    <w:qFormat/>
    <w:uiPriority w:val="10"/>
    <w:rPr>
      <w:rFonts w:ascii="Cambria" w:hAnsi="Cambria" w:eastAsia="宋体" w:cs="Times New Roman"/>
      <w:b/>
      <w:bCs/>
      <w:sz w:val="32"/>
      <w:szCs w:val="32"/>
    </w:rPr>
  </w:style>
  <w:style w:type="character" w:customStyle="1" w:styleId="77">
    <w:name w:val="批注主题 Char1"/>
    <w:semiHidden/>
    <w:qFormat/>
    <w:uiPriority w:val="99"/>
    <w:rPr>
      <w:rFonts w:ascii="Times New Roman" w:hAnsi="Times New Roman" w:eastAsia="宋体" w:cs="Times New Roman"/>
      <w:b/>
      <w:bCs/>
      <w:szCs w:val="24"/>
    </w:rPr>
  </w:style>
  <w:style w:type="character" w:customStyle="1" w:styleId="78">
    <w:name w:val="样式 正文缩进首行缩进两字正文（首行缩进两字） Char特点表正文正文非缩进正文（首行缩进两字）标题4正文（首行... Char"/>
    <w:link w:val="79"/>
    <w:qFormat/>
    <w:uiPriority w:val="0"/>
    <w:rPr>
      <w:rFonts w:ascii="Times New Roman" w:hAnsi="Times New Roman"/>
      <w:sz w:val="24"/>
      <w:szCs w:val="20"/>
    </w:rPr>
  </w:style>
  <w:style w:type="paragraph" w:customStyle="1" w:styleId="79">
    <w:name w:val="样式 正文缩进首行缩进两字正文（首行缩进两字） Char特点表正文正文非缩进正文（首行缩进两字）标题4正文（首行..."/>
    <w:basedOn w:val="8"/>
    <w:link w:val="78"/>
    <w:qFormat/>
    <w:uiPriority w:val="0"/>
    <w:pPr>
      <w:adjustRightInd w:val="0"/>
      <w:spacing w:line="360" w:lineRule="auto"/>
      <w:ind w:firstLine="200"/>
      <w:jc w:val="left"/>
      <w:textAlignment w:val="baseline"/>
    </w:pPr>
    <w:rPr>
      <w:sz w:val="24"/>
      <w:szCs w:val="20"/>
    </w:rPr>
  </w:style>
  <w:style w:type="character" w:customStyle="1" w:styleId="80">
    <w:name w:val="正文文本缩进 Char1"/>
    <w:semiHidden/>
    <w:qFormat/>
    <w:uiPriority w:val="99"/>
    <w:rPr>
      <w:rFonts w:ascii="Times New Roman" w:hAnsi="Times New Roman" w:eastAsia="宋体" w:cs="Times New Roman"/>
      <w:szCs w:val="24"/>
    </w:rPr>
  </w:style>
  <w:style w:type="character" w:customStyle="1" w:styleId="81">
    <w:name w:val="批注框文本 Char1"/>
    <w:semiHidden/>
    <w:qFormat/>
    <w:uiPriority w:val="99"/>
    <w:rPr>
      <w:rFonts w:ascii="Times New Roman" w:hAnsi="Times New Roman" w:eastAsia="宋体" w:cs="Times New Roman"/>
      <w:sz w:val="18"/>
      <w:szCs w:val="18"/>
    </w:rPr>
  </w:style>
  <w:style w:type="paragraph" w:customStyle="1" w:styleId="82">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83">
    <w:name w:val="Pa2+1"/>
    <w:basedOn w:val="1"/>
    <w:next w:val="1"/>
    <w:qFormat/>
    <w:uiPriority w:val="0"/>
    <w:pPr>
      <w:autoSpaceDE w:val="0"/>
      <w:autoSpaceDN w:val="0"/>
      <w:adjustRightInd w:val="0"/>
      <w:spacing w:before="100" w:line="251" w:lineRule="atLeast"/>
      <w:jc w:val="left"/>
    </w:pPr>
    <w:rPr>
      <w:rFonts w:ascii="华文细黑..." w:hAnsi="Calibri" w:eastAsia="华文细黑..."/>
      <w:kern w:val="0"/>
      <w:sz w:val="24"/>
    </w:rPr>
  </w:style>
  <w:style w:type="paragraph" w:customStyle="1" w:styleId="8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页眉 New"/>
    <w:basedOn w:val="87"/>
    <w:qFormat/>
    <w:uiPriority w:val="0"/>
    <w:pPr>
      <w:pBdr>
        <w:bottom w:val="single" w:color="auto" w:sz="6" w:space="1"/>
      </w:pBdr>
      <w:tabs>
        <w:tab w:val="center" w:pos="4153"/>
        <w:tab w:val="right" w:pos="8306"/>
      </w:tabs>
      <w:snapToGrid w:val="0"/>
      <w:jc w:val="center"/>
    </w:pPr>
    <w:rPr>
      <w:sz w:val="18"/>
      <w:szCs w:val="18"/>
    </w:rPr>
  </w:style>
  <w:style w:type="paragraph" w:customStyle="1" w:styleId="8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序列"/>
    <w:basedOn w:val="8"/>
    <w:qFormat/>
    <w:uiPriority w:val="0"/>
    <w:pPr>
      <w:tabs>
        <w:tab w:val="left" w:pos="980"/>
      </w:tabs>
      <w:spacing w:line="360" w:lineRule="auto"/>
      <w:ind w:left="980" w:firstLine="0" w:firstLineChars="0"/>
    </w:pPr>
    <w:rPr>
      <w:sz w:val="24"/>
    </w:rPr>
  </w:style>
  <w:style w:type="paragraph" w:customStyle="1" w:styleId="89">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4">
    <w:name w:val="表格"/>
    <w:basedOn w:val="1"/>
    <w:qFormat/>
    <w:uiPriority w:val="0"/>
    <w:pPr>
      <w:adjustRightInd w:val="0"/>
      <w:snapToGrid w:val="0"/>
      <w:spacing w:line="300" w:lineRule="exact"/>
      <w:jc w:val="center"/>
    </w:pPr>
    <w:rPr>
      <w:rFonts w:ascii="宋体" w:hAnsi="宋体"/>
      <w:color w:val="000000"/>
    </w:rPr>
  </w:style>
  <w:style w:type="paragraph" w:customStyle="1" w:styleId="95">
    <w:name w:val="样式 标题 3 + 首行缩进:  1.06 厘米"/>
    <w:basedOn w:val="5"/>
    <w:qFormat/>
    <w:uiPriority w:val="0"/>
    <w:pPr>
      <w:spacing w:before="120" w:after="0" w:line="240" w:lineRule="auto"/>
      <w:jc w:val="center"/>
    </w:pPr>
    <w:rPr>
      <w:rFonts w:ascii="宋体" w:hAnsi="宋体" w:cs="宋体"/>
      <w:bCs w:val="0"/>
      <w:color w:val="000000"/>
    </w:rPr>
  </w:style>
  <w:style w:type="paragraph" w:customStyle="1" w:styleId="96">
    <w:name w:val="正文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7">
    <w:name w:val="Char Char Char Char"/>
    <w:basedOn w:val="1"/>
    <w:qFormat/>
    <w:uiPriority w:val="0"/>
  </w:style>
  <w:style w:type="paragraph" w:customStyle="1" w:styleId="98">
    <w:name w:val="页脚 New"/>
    <w:basedOn w:val="99"/>
    <w:qFormat/>
    <w:uiPriority w:val="0"/>
    <w:pPr>
      <w:tabs>
        <w:tab w:val="center" w:pos="4153"/>
        <w:tab w:val="right" w:pos="8306"/>
      </w:tabs>
      <w:autoSpaceDE w:val="0"/>
      <w:autoSpaceDN w:val="0"/>
      <w:adjustRightInd w:val="0"/>
      <w:snapToGrid w:val="0"/>
      <w:jc w:val="left"/>
    </w:pPr>
    <w:rPr>
      <w:rFonts w:eastAsia="宋体"/>
      <w:kern w:val="0"/>
      <w:sz w:val="18"/>
      <w:szCs w:val="18"/>
    </w:rPr>
  </w:style>
  <w:style w:type="paragraph" w:customStyle="1" w:styleId="99">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0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文本缩进 New"/>
    <w:basedOn w:val="1"/>
    <w:qFormat/>
    <w:uiPriority w:val="0"/>
    <w:pPr>
      <w:spacing w:line="460" w:lineRule="exact"/>
      <w:ind w:left="1271" w:leftChars="269" w:hanging="706" w:hangingChars="294"/>
    </w:pPr>
    <w:rPr>
      <w:rFonts w:ascii="宋体" w:hAnsi="宋体"/>
      <w:sz w:val="24"/>
    </w:rPr>
  </w:style>
  <w:style w:type="paragraph" w:customStyle="1" w:styleId="103">
    <w:name w:val="_Style 3"/>
    <w:basedOn w:val="1"/>
    <w:qFormat/>
    <w:uiPriority w:val="0"/>
    <w:pPr>
      <w:ind w:firstLine="420" w:firstLineChars="200"/>
    </w:pPr>
    <w:rPr>
      <w:sz w:val="20"/>
    </w:rPr>
  </w:style>
  <w:style w:type="paragraph" w:customStyle="1" w:styleId="10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105">
    <w:name w:val="_Style 102"/>
    <w:qFormat/>
    <w:uiPriority w:val="0"/>
    <w:rPr>
      <w:rFonts w:ascii="Times New Roman" w:hAnsi="Times New Roman" w:eastAsia="宋体" w:cs="Times New Roman"/>
      <w:kern w:val="2"/>
      <w:sz w:val="21"/>
      <w:szCs w:val="24"/>
      <w:lang w:val="en-US" w:eastAsia="zh-CN" w:bidi="ar-SA"/>
    </w:rPr>
  </w:style>
  <w:style w:type="paragraph" w:customStyle="1" w:styleId="106">
    <w:name w:val="样式 行距: 1.5 倍行距1"/>
    <w:basedOn w:val="1"/>
    <w:qFormat/>
    <w:uiPriority w:val="0"/>
    <w:pPr>
      <w:adjustRightInd w:val="0"/>
      <w:snapToGrid w:val="0"/>
      <w:ind w:firstLine="560" w:firstLineChars="200"/>
    </w:pPr>
    <w:rPr>
      <w:rFonts w:cs="宋体"/>
    </w:rPr>
  </w:style>
  <w:style w:type="paragraph" w:customStyle="1" w:styleId="107">
    <w:name w:val="表格内文字"/>
    <w:basedOn w:val="1"/>
    <w:qFormat/>
    <w:uiPriority w:val="0"/>
    <w:pPr>
      <w:adjustRightInd w:val="0"/>
      <w:snapToGrid w:val="0"/>
      <w:spacing w:before="40" w:after="40" w:line="320" w:lineRule="exact"/>
      <w:jc w:val="center"/>
    </w:pPr>
    <w:rPr>
      <w:snapToGrid w:val="0"/>
      <w:kern w:val="0"/>
      <w:sz w:val="24"/>
      <w:szCs w:val="20"/>
    </w:rPr>
  </w:style>
  <w:style w:type="paragraph" w:customStyle="1" w:styleId="108">
    <w:name w:val="_Style 41"/>
    <w:basedOn w:val="1"/>
    <w:qFormat/>
    <w:uiPriority w:val="0"/>
    <w:rPr>
      <w:rFonts w:ascii="宋体" w:hAnsi="CG Times (W1)"/>
      <w:kern w:val="0"/>
      <w:szCs w:val="20"/>
    </w:rPr>
  </w:style>
  <w:style w:type="paragraph" w:customStyle="1" w:styleId="10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正文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表标题"/>
    <w:basedOn w:val="1"/>
    <w:qFormat/>
    <w:uiPriority w:val="0"/>
    <w:pPr>
      <w:adjustRightInd w:val="0"/>
      <w:spacing w:line="360" w:lineRule="auto"/>
      <w:jc w:val="center"/>
      <w:textAlignment w:val="baseline"/>
    </w:pPr>
    <w:rPr>
      <w:b/>
      <w:bCs/>
      <w:kern w:val="0"/>
      <w:sz w:val="24"/>
      <w:szCs w:val="21"/>
    </w:rPr>
  </w:style>
  <w:style w:type="paragraph" w:customStyle="1" w:styleId="11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113">
    <w:name w:val="网格型1"/>
    <w:basedOn w:val="39"/>
    <w:qFormat/>
    <w:uiPriority w:val="0"/>
    <w:pPr>
      <w:widowControl w:val="0"/>
      <w:spacing w:line="360" w:lineRule="auto"/>
      <w:ind w:firstLine="425"/>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4">
    <w:name w:val="题注 字符"/>
    <w:link w:val="13"/>
    <w:qFormat/>
    <w:uiPriority w:val="35"/>
    <w:rPr>
      <w:rFonts w:cstheme="majorBidi"/>
      <w:b/>
      <w:kern w:val="2"/>
      <w:sz w:val="24"/>
    </w:rPr>
  </w:style>
  <w:style w:type="paragraph" w:customStyle="1" w:styleId="115">
    <w:name w:val="表格内容"/>
    <w:basedOn w:val="1"/>
    <w:link w:val="116"/>
    <w:qFormat/>
    <w:uiPriority w:val="0"/>
    <w:pPr>
      <w:snapToGrid w:val="0"/>
      <w:spacing w:line="360" w:lineRule="auto"/>
      <w:jc w:val="center"/>
    </w:pPr>
    <w:rPr>
      <w:sz w:val="24"/>
      <w:szCs w:val="21"/>
    </w:rPr>
  </w:style>
  <w:style w:type="character" w:customStyle="1" w:styleId="116">
    <w:name w:val="表格内容 Char"/>
    <w:link w:val="115"/>
    <w:qFormat/>
    <w:uiPriority w:val="0"/>
    <w:rPr>
      <w:kern w:val="2"/>
      <w:sz w:val="24"/>
      <w:szCs w:val="21"/>
    </w:rPr>
  </w:style>
  <w:style w:type="paragraph" w:customStyle="1" w:styleId="117">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列出段落2"/>
    <w:basedOn w:val="1"/>
    <w:qFormat/>
    <w:uiPriority w:val="34"/>
    <w:pPr>
      <w:ind w:firstLine="420" w:firstLineChars="200"/>
    </w:pPr>
    <w:rPr>
      <w:rFonts w:ascii="Calibri" w:hAnsi="Calibri"/>
      <w:szCs w:val="22"/>
    </w:rPr>
  </w:style>
  <w:style w:type="paragraph" w:customStyle="1" w:styleId="119">
    <w:name w:val="BodyText"/>
    <w:basedOn w:val="1"/>
    <w:qFormat/>
    <w:uiPriority w:val="0"/>
    <w:pPr>
      <w:spacing w:after="120"/>
    </w:pPr>
    <w:rPr>
      <w:rFonts w:ascii="Times New Roman" w:hAnsi="Times New Roman"/>
      <w:kern w:val="0"/>
      <w:sz w:val="20"/>
      <w:szCs w:val="20"/>
    </w:rPr>
  </w:style>
  <w:style w:type="paragraph" w:customStyle="1" w:styleId="120">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21">
    <w:name w:val="纯文本 New"/>
    <w:basedOn w:val="96"/>
    <w:qFormat/>
    <w:uiPriority w:val="0"/>
    <w:rPr>
      <w:rFonts w:ascii="宋体" w:hAnsi="Courier New"/>
      <w:kern w:val="0"/>
      <w:sz w:val="22"/>
      <w:szCs w:val="22"/>
    </w:rPr>
  </w:style>
  <w:style w:type="paragraph" w:customStyle="1" w:styleId="122">
    <w:name w:val="报告表内"/>
    <w:basedOn w:val="1"/>
    <w:qFormat/>
    <w:uiPriority w:val="0"/>
    <w:pPr>
      <w:adjustRightInd w:val="0"/>
      <w:snapToGrid w:val="0"/>
      <w:jc w:val="center"/>
    </w:pPr>
    <w:rPr>
      <w:lang w:val="zh-CN"/>
    </w:rPr>
  </w:style>
  <w:style w:type="paragraph" w:customStyle="1" w:styleId="12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6073</Words>
  <Characters>6870</Characters>
  <DocSecurity>0</DocSecurity>
  <Lines>1</Lines>
  <Paragraphs>1</Paragraphs>
  <ScaleCrop>false</ScaleCrop>
  <LinksUpToDate>false</LinksUpToDate>
  <CharactersWithSpaces>7166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2023-02-10T09:21:00Z</cp:lastPrinted>
  <dcterms:created xsi:type="dcterms:W3CDTF">2022-08-10T12:08:00Z</dcterms:created>
  <dcterms:modified xsi:type="dcterms:W3CDTF">2023-02-10T10:28:48Z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3321EFB0C81D405789DE8BDF39FCB031</vt:lpwstr>
  </property>
  <property fmtid="{D5CDD505-2E9C-101B-9397-08002B2CF9AE}" pid="4" name="commondata">
    <vt:lpwstr>eyJoZGlkIjoiZGI0MDc4YWRhOTViZTg4MmU2ZTI1MTAzZTI0NTE0ZWYifQ==</vt:lpwstr>
  </property>
</Properties>
</file>