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0A0E2">
      <w:pPr>
        <w:pStyle w:val="80"/>
        <w:spacing w:line="360" w:lineRule="auto"/>
        <w:ind w:firstLine="0" w:firstLineChars="0"/>
        <w:jc w:val="center"/>
        <w:rPr>
          <w:rFonts w:ascii="宋体" w:hAnsi="宋体" w:cs="宋体"/>
          <w:sz w:val="24"/>
          <w:szCs w:val="24"/>
          <w:highlight w:val="none"/>
        </w:rPr>
      </w:pPr>
    </w:p>
    <w:p w14:paraId="3B655528">
      <w:pPr>
        <w:pStyle w:val="80"/>
        <w:spacing w:line="360" w:lineRule="auto"/>
        <w:ind w:firstLine="0" w:firstLineChars="0"/>
        <w:jc w:val="center"/>
        <w:rPr>
          <w:rFonts w:ascii="宋体" w:hAnsi="宋体" w:cs="宋体"/>
          <w:sz w:val="24"/>
          <w:szCs w:val="24"/>
          <w:highlight w:val="none"/>
        </w:rPr>
      </w:pPr>
    </w:p>
    <w:p w14:paraId="7744085A">
      <w:pPr>
        <w:spacing w:line="600" w:lineRule="auto"/>
        <w:jc w:val="center"/>
        <w:rPr>
          <w:rFonts w:ascii="宋体" w:hAnsi="宋体" w:cs="宋体"/>
          <w:b/>
          <w:kern w:val="0"/>
          <w:sz w:val="44"/>
          <w:szCs w:val="44"/>
          <w:highlight w:val="none"/>
        </w:rPr>
      </w:pPr>
      <w:r>
        <w:rPr>
          <w:rFonts w:hint="eastAsia" w:ascii="宋体" w:hAnsi="宋体" w:cs="宋体"/>
          <w:b/>
          <w:kern w:val="0"/>
          <w:sz w:val="44"/>
          <w:szCs w:val="44"/>
          <w:highlight w:val="none"/>
        </w:rPr>
        <w:t>中国-新西兰生物医药与健康“一带一路”智能化动物实验平台适应性改造施工图设计施工总承包(EPC)</w:t>
      </w:r>
    </w:p>
    <w:p w14:paraId="6D3F3B30">
      <w:pPr>
        <w:pStyle w:val="80"/>
        <w:spacing w:line="360" w:lineRule="auto"/>
        <w:ind w:firstLine="0" w:firstLineChars="0"/>
        <w:jc w:val="center"/>
        <w:rPr>
          <w:rFonts w:ascii="宋体" w:hAnsi="宋体" w:cs="宋体"/>
          <w:sz w:val="24"/>
          <w:szCs w:val="24"/>
          <w:highlight w:val="none"/>
        </w:rPr>
      </w:pPr>
    </w:p>
    <w:p w14:paraId="15D18246">
      <w:pPr>
        <w:pStyle w:val="80"/>
        <w:spacing w:line="360" w:lineRule="auto"/>
        <w:ind w:firstLine="0" w:firstLineChars="0"/>
        <w:jc w:val="center"/>
        <w:rPr>
          <w:rFonts w:ascii="宋体" w:hAnsi="宋体" w:cs="宋体"/>
          <w:sz w:val="24"/>
          <w:szCs w:val="24"/>
          <w:highlight w:val="none"/>
        </w:rPr>
      </w:pPr>
    </w:p>
    <w:p w14:paraId="05297B12">
      <w:pPr>
        <w:pStyle w:val="80"/>
        <w:spacing w:line="360" w:lineRule="auto"/>
        <w:ind w:firstLine="0" w:firstLineChars="0"/>
        <w:jc w:val="center"/>
        <w:rPr>
          <w:rFonts w:ascii="宋体" w:hAnsi="宋体" w:cs="宋体"/>
          <w:sz w:val="24"/>
          <w:szCs w:val="24"/>
          <w:highlight w:val="none"/>
        </w:rPr>
      </w:pPr>
    </w:p>
    <w:p w14:paraId="67287BA0">
      <w:pPr>
        <w:pStyle w:val="80"/>
        <w:spacing w:line="360" w:lineRule="auto"/>
        <w:ind w:firstLine="0" w:firstLineChars="0"/>
        <w:jc w:val="center"/>
        <w:rPr>
          <w:rFonts w:ascii="宋体" w:hAnsi="宋体" w:cs="宋体"/>
          <w:sz w:val="24"/>
          <w:szCs w:val="24"/>
          <w:highlight w:val="none"/>
        </w:rPr>
      </w:pPr>
    </w:p>
    <w:p w14:paraId="7500AA0F">
      <w:pPr>
        <w:pStyle w:val="80"/>
        <w:spacing w:line="360" w:lineRule="auto"/>
        <w:ind w:firstLine="0" w:firstLineChars="0"/>
        <w:jc w:val="center"/>
        <w:rPr>
          <w:rFonts w:ascii="宋体" w:hAnsi="宋体" w:cs="宋体"/>
          <w:sz w:val="24"/>
          <w:szCs w:val="24"/>
          <w:highlight w:val="none"/>
        </w:rPr>
      </w:pPr>
    </w:p>
    <w:p w14:paraId="12177DCF">
      <w:pPr>
        <w:jc w:val="center"/>
        <w:rPr>
          <w:rFonts w:ascii="宋体" w:hAnsi="宋体" w:cs="宋体"/>
          <w:b/>
          <w:sz w:val="72"/>
          <w:szCs w:val="72"/>
          <w:highlight w:val="none"/>
        </w:rPr>
      </w:pPr>
      <w:r>
        <w:rPr>
          <w:rFonts w:hint="eastAsia" w:ascii="宋体" w:hAnsi="宋体" w:cs="宋体"/>
          <w:b/>
          <w:sz w:val="72"/>
          <w:szCs w:val="72"/>
          <w:highlight w:val="none"/>
        </w:rPr>
        <w:t>招 标 文 件</w:t>
      </w:r>
    </w:p>
    <w:p w14:paraId="352F2C50">
      <w:pPr>
        <w:pStyle w:val="80"/>
        <w:spacing w:line="360" w:lineRule="auto"/>
        <w:ind w:firstLine="0" w:firstLineChars="0"/>
        <w:jc w:val="center"/>
        <w:rPr>
          <w:rFonts w:ascii="宋体" w:hAnsi="宋体" w:cs="宋体"/>
          <w:sz w:val="32"/>
          <w:szCs w:val="32"/>
          <w:highlight w:val="none"/>
        </w:rPr>
      </w:pPr>
    </w:p>
    <w:p w14:paraId="7B4BDB7D">
      <w:pPr>
        <w:pStyle w:val="80"/>
        <w:spacing w:line="360" w:lineRule="auto"/>
        <w:ind w:firstLine="0" w:firstLineChars="0"/>
        <w:jc w:val="center"/>
        <w:rPr>
          <w:rFonts w:ascii="宋体" w:hAnsi="宋体" w:cs="宋体"/>
          <w:sz w:val="24"/>
          <w:szCs w:val="24"/>
          <w:highlight w:val="none"/>
        </w:rPr>
      </w:pPr>
    </w:p>
    <w:p w14:paraId="632D6235">
      <w:pPr>
        <w:pStyle w:val="80"/>
        <w:spacing w:line="360" w:lineRule="auto"/>
        <w:ind w:firstLine="0" w:firstLineChars="0"/>
        <w:jc w:val="center"/>
        <w:rPr>
          <w:rFonts w:ascii="宋体" w:hAnsi="宋体" w:cs="宋体"/>
          <w:sz w:val="24"/>
          <w:szCs w:val="24"/>
          <w:highlight w:val="none"/>
        </w:rPr>
      </w:pPr>
    </w:p>
    <w:p w14:paraId="4B6CA2EF">
      <w:pPr>
        <w:pStyle w:val="80"/>
        <w:spacing w:line="360" w:lineRule="auto"/>
        <w:ind w:firstLine="0" w:firstLineChars="0"/>
        <w:jc w:val="center"/>
        <w:rPr>
          <w:rFonts w:ascii="宋体" w:hAnsi="宋体" w:cs="宋体"/>
          <w:sz w:val="24"/>
          <w:szCs w:val="24"/>
          <w:highlight w:val="none"/>
        </w:rPr>
      </w:pPr>
    </w:p>
    <w:p w14:paraId="741DCC61">
      <w:pPr>
        <w:pStyle w:val="80"/>
        <w:spacing w:line="360" w:lineRule="auto"/>
        <w:ind w:firstLine="0" w:firstLineChars="0"/>
        <w:jc w:val="center"/>
        <w:rPr>
          <w:rFonts w:ascii="宋体" w:hAnsi="宋体" w:cs="宋体"/>
          <w:sz w:val="24"/>
          <w:szCs w:val="24"/>
          <w:highlight w:val="none"/>
        </w:rPr>
      </w:pPr>
    </w:p>
    <w:p w14:paraId="6B73592F">
      <w:pPr>
        <w:pStyle w:val="80"/>
        <w:spacing w:line="360" w:lineRule="auto"/>
        <w:ind w:firstLine="0" w:firstLineChars="0"/>
        <w:jc w:val="center"/>
        <w:rPr>
          <w:rFonts w:ascii="宋体" w:hAnsi="宋体" w:cs="宋体"/>
          <w:sz w:val="24"/>
          <w:szCs w:val="24"/>
          <w:highlight w:val="none"/>
        </w:rPr>
      </w:pPr>
    </w:p>
    <w:p w14:paraId="2A136E84">
      <w:pPr>
        <w:pStyle w:val="80"/>
        <w:spacing w:line="360" w:lineRule="auto"/>
        <w:ind w:firstLine="0" w:firstLineChars="0"/>
        <w:jc w:val="center"/>
        <w:rPr>
          <w:rFonts w:ascii="宋体" w:hAnsi="宋体" w:cs="宋体"/>
          <w:sz w:val="24"/>
          <w:szCs w:val="24"/>
          <w:highlight w:val="none"/>
        </w:rPr>
      </w:pPr>
    </w:p>
    <w:p w14:paraId="16DB2D0C">
      <w:pPr>
        <w:pStyle w:val="80"/>
        <w:spacing w:line="360" w:lineRule="auto"/>
        <w:ind w:firstLine="0" w:firstLineChars="0"/>
        <w:jc w:val="center"/>
        <w:rPr>
          <w:rFonts w:ascii="宋体" w:hAnsi="宋体" w:cs="宋体"/>
          <w:sz w:val="24"/>
          <w:szCs w:val="24"/>
          <w:highlight w:val="none"/>
        </w:rPr>
      </w:pPr>
    </w:p>
    <w:p w14:paraId="42E0CA01">
      <w:pPr>
        <w:pStyle w:val="80"/>
        <w:spacing w:line="360" w:lineRule="auto"/>
        <w:ind w:firstLine="0" w:firstLineChars="0"/>
        <w:jc w:val="center"/>
        <w:rPr>
          <w:rFonts w:ascii="宋体" w:hAnsi="宋体" w:cs="宋体"/>
          <w:sz w:val="24"/>
          <w:szCs w:val="24"/>
          <w:highlight w:val="none"/>
        </w:rPr>
      </w:pPr>
    </w:p>
    <w:p w14:paraId="634A1208">
      <w:pPr>
        <w:spacing w:line="360" w:lineRule="auto"/>
        <w:ind w:firstLine="1263" w:firstLineChars="393"/>
        <w:rPr>
          <w:rFonts w:ascii="宋体" w:hAnsi="宋体" w:cs="宋体"/>
          <w:b/>
          <w:bCs/>
          <w:sz w:val="32"/>
          <w:szCs w:val="32"/>
          <w:highlight w:val="none"/>
        </w:rPr>
      </w:pPr>
      <w:r>
        <w:rPr>
          <w:rFonts w:hint="eastAsia" w:ascii="宋体" w:hAnsi="宋体" w:cs="宋体"/>
          <w:b/>
          <w:bCs/>
          <w:sz w:val="32"/>
          <w:szCs w:val="32"/>
          <w:highlight w:val="none"/>
        </w:rPr>
        <w:t>招标单位：中国科学院广州生物医药与健康研究院</w:t>
      </w:r>
    </w:p>
    <w:p w14:paraId="199D5510">
      <w:pPr>
        <w:spacing w:line="360" w:lineRule="auto"/>
        <w:ind w:firstLine="1263" w:firstLineChars="393"/>
        <w:rPr>
          <w:rFonts w:ascii="宋体" w:hAnsi="宋体" w:cs="宋体"/>
          <w:b/>
          <w:bCs/>
          <w:sz w:val="32"/>
          <w:szCs w:val="32"/>
          <w:highlight w:val="none"/>
        </w:rPr>
      </w:pPr>
      <w:r>
        <w:rPr>
          <w:rFonts w:hint="eastAsia" w:ascii="宋体" w:hAnsi="宋体" w:cs="宋体"/>
          <w:b/>
          <w:bCs/>
          <w:sz w:val="32"/>
          <w:szCs w:val="32"/>
          <w:highlight w:val="none"/>
        </w:rPr>
        <w:t>招标代理机构：东方国际招标有限责任公司</w:t>
      </w:r>
    </w:p>
    <w:p w14:paraId="65B3721D">
      <w:pPr>
        <w:spacing w:line="360" w:lineRule="auto"/>
        <w:ind w:firstLine="1263" w:firstLineChars="393"/>
        <w:rPr>
          <w:rFonts w:ascii="宋体" w:hAnsi="宋体" w:cs="宋体"/>
          <w:b/>
          <w:bCs/>
          <w:sz w:val="32"/>
          <w:szCs w:val="32"/>
          <w:highlight w:val="none"/>
        </w:rPr>
      </w:pPr>
      <w:r>
        <w:rPr>
          <w:rFonts w:hint="eastAsia" w:ascii="宋体" w:hAnsi="宋体" w:cs="宋体"/>
          <w:b/>
          <w:bCs/>
          <w:sz w:val="32"/>
          <w:szCs w:val="32"/>
          <w:highlight w:val="none"/>
        </w:rPr>
        <w:t>日   期：2025年</w:t>
      </w:r>
      <w:r>
        <w:rPr>
          <w:rFonts w:hint="eastAsia" w:ascii="宋体" w:hAnsi="宋体" w:cs="宋体"/>
          <w:b/>
          <w:bCs/>
          <w:sz w:val="32"/>
          <w:szCs w:val="32"/>
          <w:highlight w:val="none"/>
          <w:lang w:eastAsia="zh-CN"/>
        </w:rPr>
        <w:t>10</w:t>
      </w:r>
      <w:r>
        <w:rPr>
          <w:rFonts w:hint="eastAsia" w:ascii="宋体" w:hAnsi="宋体" w:cs="宋体"/>
          <w:b/>
          <w:bCs/>
          <w:sz w:val="32"/>
          <w:szCs w:val="32"/>
          <w:highlight w:val="none"/>
        </w:rPr>
        <w:t>月</w:t>
      </w:r>
    </w:p>
    <w:p w14:paraId="1CD1A0C9">
      <w:pPr>
        <w:pStyle w:val="13"/>
        <w:rPr>
          <w:rFonts w:ascii="宋体" w:hAnsi="宋体" w:cs="宋体"/>
          <w:highlight w:val="none"/>
        </w:rPr>
      </w:pPr>
    </w:p>
    <w:p w14:paraId="72C56062">
      <w:pPr>
        <w:pStyle w:val="2"/>
        <w:jc w:val="center"/>
        <w:rPr>
          <w:rFonts w:ascii="宋体" w:hAnsi="宋体" w:cs="宋体"/>
          <w:highlight w:val="none"/>
        </w:rPr>
        <w:sectPr>
          <w:headerReference r:id="rId4" w:type="first"/>
          <w:headerReference r:id="rId3" w:type="default"/>
          <w:footerReference r:id="rId5" w:type="even"/>
          <w:pgSz w:w="11906" w:h="16838"/>
          <w:pgMar w:top="1440" w:right="1080" w:bottom="1440" w:left="1080"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14:paraId="0E3408B0">
      <w:pPr>
        <w:jc w:val="center"/>
        <w:rPr>
          <w:rFonts w:ascii="宋体" w:hAnsi="宋体" w:cs="宋体"/>
          <w:b/>
          <w:sz w:val="44"/>
          <w:szCs w:val="44"/>
          <w:highlight w:val="none"/>
        </w:rPr>
      </w:pPr>
    </w:p>
    <w:p w14:paraId="2EB039CF">
      <w:pPr>
        <w:jc w:val="center"/>
        <w:rPr>
          <w:rFonts w:ascii="宋体" w:hAnsi="宋体" w:cs="宋体"/>
          <w:b/>
          <w:sz w:val="44"/>
          <w:szCs w:val="44"/>
          <w:highlight w:val="none"/>
        </w:rPr>
      </w:pPr>
    </w:p>
    <w:p w14:paraId="085D348F">
      <w:pPr>
        <w:jc w:val="center"/>
        <w:rPr>
          <w:rFonts w:ascii="宋体" w:hAnsi="宋体" w:cs="宋体"/>
          <w:b/>
          <w:sz w:val="44"/>
          <w:szCs w:val="44"/>
          <w:highlight w:val="none"/>
          <w:shd w:val="clear" w:color="FFFFFF" w:fill="D9D9D9"/>
        </w:rPr>
      </w:pPr>
      <w:r>
        <w:rPr>
          <w:rFonts w:hint="eastAsia" w:ascii="宋体" w:hAnsi="宋体" w:cs="宋体"/>
          <w:b/>
          <w:sz w:val="44"/>
          <w:szCs w:val="44"/>
          <w:highlight w:val="none"/>
        </w:rPr>
        <w:t>目  录</w:t>
      </w:r>
    </w:p>
    <w:p w14:paraId="7BB23280">
      <w:pPr>
        <w:pStyle w:val="29"/>
        <w:tabs>
          <w:tab w:val="right" w:leader="dot" w:pos="9411"/>
        </w:tabs>
        <w:rPr>
          <w:rFonts w:ascii="宋体" w:hAnsi="宋体" w:cs="宋体"/>
          <w:b w:val="0"/>
          <w:bCs w:val="0"/>
          <w:caps w:val="0"/>
          <w:sz w:val="28"/>
          <w:szCs w:val="28"/>
          <w:highlight w:val="none"/>
          <w:shd w:val="clear" w:color="FFFFFF" w:fill="D9D9D9"/>
        </w:rPr>
      </w:pPr>
    </w:p>
    <w:p w14:paraId="79F607F0">
      <w:pPr>
        <w:pStyle w:val="29"/>
        <w:tabs>
          <w:tab w:val="right" w:leader="dot" w:pos="9071"/>
        </w:tabs>
        <w:rPr>
          <w:rFonts w:ascii="宋体" w:hAnsi="宋体" w:cs="宋体"/>
          <w:color w:val="auto"/>
          <w:sz w:val="28"/>
          <w:szCs w:val="28"/>
          <w:highlight w:val="none"/>
        </w:rPr>
      </w:pPr>
      <w:r>
        <w:rPr>
          <w:rFonts w:hint="eastAsia" w:ascii="宋体" w:hAnsi="宋体" w:cs="宋体"/>
          <w:b w:val="0"/>
          <w:bCs w:val="0"/>
          <w:caps w:val="0"/>
          <w:color w:val="auto"/>
          <w:sz w:val="28"/>
          <w:szCs w:val="28"/>
          <w:highlight w:val="none"/>
          <w:shd w:val="clear" w:color="FFFFFF" w:fill="D9D9D9"/>
        </w:rPr>
        <w:fldChar w:fldCharType="begin"/>
      </w:r>
      <w:r>
        <w:rPr>
          <w:rFonts w:hint="eastAsia" w:ascii="宋体" w:hAnsi="宋体" w:cs="宋体"/>
          <w:b w:val="0"/>
          <w:bCs w:val="0"/>
          <w:caps w:val="0"/>
          <w:color w:val="auto"/>
          <w:sz w:val="28"/>
          <w:szCs w:val="28"/>
          <w:highlight w:val="none"/>
          <w:shd w:val="clear" w:color="FFFFFF" w:fill="D9D9D9"/>
        </w:rPr>
        <w:instrText xml:space="preserve">TOC \o "1-3" \h \u </w:instrText>
      </w:r>
      <w:r>
        <w:rPr>
          <w:rFonts w:hint="eastAsia" w:ascii="宋体" w:hAnsi="宋体" w:cs="宋体"/>
          <w:b w:val="0"/>
          <w:bCs w:val="0"/>
          <w:caps w:val="0"/>
          <w:color w:val="auto"/>
          <w:sz w:val="28"/>
          <w:szCs w:val="28"/>
          <w:highlight w:val="none"/>
          <w:shd w:val="clear" w:color="FFFFFF" w:fill="D9D9D9"/>
        </w:rPr>
        <w:fldChar w:fldCharType="separate"/>
      </w:r>
      <w:r>
        <w:rPr>
          <w:color w:val="auto"/>
          <w:highlight w:val="none"/>
        </w:rPr>
        <w:fldChar w:fldCharType="begin"/>
      </w:r>
      <w:r>
        <w:rPr>
          <w:color w:val="auto"/>
          <w:highlight w:val="none"/>
        </w:rPr>
        <w:instrText xml:space="preserve"> HYPERLINK \l "_Toc10076" </w:instrText>
      </w:r>
      <w:r>
        <w:rPr>
          <w:color w:val="auto"/>
          <w:highlight w:val="none"/>
        </w:rPr>
        <w:fldChar w:fldCharType="separate"/>
      </w:r>
      <w:r>
        <w:rPr>
          <w:rFonts w:hint="eastAsia" w:ascii="宋体" w:hAnsi="宋体" w:cs="宋体"/>
          <w:color w:val="auto"/>
          <w:kern w:val="44"/>
          <w:sz w:val="28"/>
          <w:szCs w:val="28"/>
          <w:highlight w:val="none"/>
        </w:rPr>
        <w:t>第一章 招标公告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_Toc10076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EE5E418">
      <w:pPr>
        <w:pStyle w:val="29"/>
        <w:tabs>
          <w:tab w:val="right" w:leader="dot" w:pos="9071"/>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"_Toc31731" </w:instrText>
      </w:r>
      <w:r>
        <w:rPr>
          <w:color w:val="auto"/>
          <w:highlight w:val="none"/>
        </w:rPr>
        <w:fldChar w:fldCharType="separate"/>
      </w:r>
      <w:r>
        <w:rPr>
          <w:rFonts w:hint="eastAsia" w:ascii="宋体" w:hAnsi="宋体" w:cs="宋体"/>
          <w:color w:val="auto"/>
          <w:kern w:val="44"/>
          <w:sz w:val="28"/>
          <w:szCs w:val="28"/>
          <w:highlight w:val="none"/>
        </w:rPr>
        <w:t>第二章 投标人须知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_Toc31731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A27F10F">
      <w:pPr>
        <w:pStyle w:val="29"/>
        <w:tabs>
          <w:tab w:val="right" w:leader="dot" w:pos="9071"/>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"_Toc9673" </w:instrText>
      </w:r>
      <w:r>
        <w:rPr>
          <w:color w:val="auto"/>
          <w:highlight w:val="none"/>
        </w:rPr>
        <w:fldChar w:fldCharType="separate"/>
      </w:r>
      <w:r>
        <w:rPr>
          <w:rFonts w:hint="eastAsia" w:ascii="宋体" w:hAnsi="宋体" w:cs="宋体"/>
          <w:color w:val="auto"/>
          <w:kern w:val="44"/>
          <w:sz w:val="28"/>
          <w:szCs w:val="28"/>
          <w:highlight w:val="none"/>
        </w:rPr>
        <w:t>第三章 评标办法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_Toc9673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5632CE8">
      <w:pPr>
        <w:pStyle w:val="29"/>
        <w:tabs>
          <w:tab w:val="right" w:leader="dot" w:pos="9071"/>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"_Toc15092" </w:instrText>
      </w:r>
      <w:r>
        <w:rPr>
          <w:color w:val="auto"/>
          <w:highlight w:val="none"/>
        </w:rPr>
        <w:fldChar w:fldCharType="separate"/>
      </w:r>
      <w:r>
        <w:rPr>
          <w:rFonts w:hint="eastAsia" w:ascii="宋体" w:hAnsi="宋体" w:cs="宋体"/>
          <w:color w:val="auto"/>
          <w:kern w:val="44"/>
          <w:sz w:val="28"/>
          <w:szCs w:val="28"/>
          <w:highlight w:val="none"/>
        </w:rPr>
        <w:t>第四章 合同条款及格式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_Toc15092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E67B11C">
      <w:pPr>
        <w:pStyle w:val="29"/>
        <w:tabs>
          <w:tab w:val="right" w:leader="dot" w:pos="9071"/>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"_Toc3978" </w:instrText>
      </w:r>
      <w:r>
        <w:rPr>
          <w:color w:val="auto"/>
          <w:highlight w:val="none"/>
        </w:rPr>
        <w:fldChar w:fldCharType="separate"/>
      </w:r>
      <w:r>
        <w:rPr>
          <w:rFonts w:hint="eastAsia" w:ascii="宋体" w:hAnsi="宋体" w:cs="宋体"/>
          <w:color w:val="auto"/>
          <w:kern w:val="44"/>
          <w:sz w:val="28"/>
          <w:szCs w:val="28"/>
          <w:highlight w:val="none"/>
        </w:rPr>
        <w:t>第五章 发包人要求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_Toc3978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15757FB">
      <w:pPr>
        <w:pStyle w:val="29"/>
        <w:tabs>
          <w:tab w:val="right" w:leader="dot" w:pos="9071"/>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"_Toc23494" </w:instrText>
      </w:r>
      <w:r>
        <w:rPr>
          <w:color w:val="auto"/>
          <w:highlight w:val="none"/>
        </w:rPr>
        <w:fldChar w:fldCharType="separate"/>
      </w:r>
      <w:r>
        <w:rPr>
          <w:rFonts w:hint="eastAsia" w:ascii="宋体" w:hAnsi="宋体" w:cs="宋体"/>
          <w:color w:val="auto"/>
          <w:kern w:val="44"/>
          <w:sz w:val="28"/>
          <w:szCs w:val="28"/>
          <w:highlight w:val="none"/>
        </w:rPr>
        <w:t>第六章 投标文件格式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_Toc23494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71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9AE04B9">
      <w:pPr>
        <w:spacing w:line="480" w:lineRule="auto"/>
        <w:ind w:firstLine="560" w:firstLineChars="200"/>
        <w:jc w:val="center"/>
        <w:rPr>
          <w:rFonts w:ascii="宋体" w:hAnsi="宋体" w:cs="宋体"/>
          <w:szCs w:val="28"/>
          <w:highlight w:val="none"/>
          <w:shd w:val="clear" w:color="FFFFFF" w:fill="D9D9D9"/>
        </w:rPr>
      </w:pPr>
      <w:r>
        <w:rPr>
          <w:rFonts w:hint="eastAsia" w:ascii="宋体" w:hAnsi="宋体" w:cs="宋体"/>
          <w:color w:val="auto"/>
          <w:sz w:val="28"/>
          <w:szCs w:val="28"/>
          <w:highlight w:val="none"/>
          <w:shd w:val="clear" w:color="FFFFFF" w:fill="D9D9D9"/>
        </w:rPr>
        <w:fldChar w:fldCharType="end"/>
      </w:r>
    </w:p>
    <w:p w14:paraId="2D92A315">
      <w:pPr>
        <w:keepNext/>
        <w:keepLines/>
        <w:spacing w:before="340" w:after="330"/>
        <w:jc w:val="center"/>
        <w:outlineLvl w:val="0"/>
        <w:rPr>
          <w:rFonts w:ascii="宋体" w:hAnsi="宋体" w:cs="宋体"/>
          <w:b/>
          <w:bCs/>
          <w:kern w:val="44"/>
          <w:sz w:val="44"/>
          <w:szCs w:val="44"/>
          <w:highlight w:val="none"/>
        </w:rPr>
        <w:sectPr>
          <w:headerReference r:id="rId6" w:type="default"/>
          <w:footerReference r:id="rId7" w:type="default"/>
          <w:pgSz w:w="11905" w:h="16838"/>
          <w:pgMar w:top="1417" w:right="1417" w:bottom="1417" w:left="1417" w:header="567" w:footer="850" w:gutter="0"/>
          <w:pgBorders>
            <w:top w:val="none" w:sz="0" w:space="0"/>
            <w:left w:val="none" w:sz="0" w:space="0"/>
            <w:bottom w:val="none" w:sz="0" w:space="0"/>
            <w:right w:val="none" w:sz="0" w:space="0"/>
          </w:pgBorders>
          <w:pgNumType w:start="1"/>
          <w:cols w:space="720" w:num="1"/>
          <w:docGrid w:type="lines" w:linePitch="312" w:charSpace="0"/>
        </w:sectPr>
      </w:pPr>
      <w:bookmarkStart w:id="0" w:name="_Toc485211037"/>
      <w:bookmarkStart w:id="1" w:name="_Toc4910"/>
      <w:bookmarkStart w:id="2" w:name="_Toc8601"/>
      <w:bookmarkStart w:id="3" w:name="_Toc21337"/>
      <w:bookmarkStart w:id="4" w:name="_Toc25868"/>
      <w:bookmarkStart w:id="5" w:name="_Toc29410"/>
      <w:bookmarkStart w:id="6" w:name="_Toc1080"/>
    </w:p>
    <w:p w14:paraId="31A22A8D">
      <w:pPr>
        <w:keepNext/>
        <w:keepLines/>
        <w:spacing w:before="340" w:after="330"/>
        <w:jc w:val="center"/>
        <w:outlineLvl w:val="0"/>
        <w:rPr>
          <w:rFonts w:ascii="宋体" w:hAnsi="宋体" w:cs="宋体"/>
          <w:b/>
          <w:bCs/>
          <w:kern w:val="44"/>
          <w:sz w:val="44"/>
          <w:szCs w:val="44"/>
          <w:highlight w:val="none"/>
        </w:rPr>
      </w:pPr>
      <w:bookmarkStart w:id="7" w:name="_Toc10076"/>
      <w:r>
        <w:rPr>
          <w:rFonts w:hint="eastAsia" w:ascii="宋体" w:hAnsi="宋体" w:cs="宋体"/>
          <w:b/>
          <w:bCs/>
          <w:kern w:val="44"/>
          <w:sz w:val="44"/>
          <w:szCs w:val="44"/>
          <w:highlight w:val="none"/>
        </w:rPr>
        <w:t>第一章 招标公告</w:t>
      </w:r>
      <w:bookmarkEnd w:id="7"/>
    </w:p>
    <w:p w14:paraId="74F1BC34">
      <w:pPr>
        <w:jc w:val="center"/>
        <w:rPr>
          <w:rFonts w:ascii="宋体" w:hAnsi="宋体" w:cs="宋体"/>
          <w:b/>
          <w:bCs/>
          <w:sz w:val="32"/>
          <w:szCs w:val="36"/>
          <w:highlight w:val="none"/>
        </w:rPr>
      </w:pPr>
      <w:r>
        <w:rPr>
          <w:rFonts w:hint="eastAsia" w:ascii="宋体" w:hAnsi="宋体" w:cs="宋体"/>
          <w:b/>
          <w:bCs/>
          <w:sz w:val="32"/>
          <w:szCs w:val="36"/>
          <w:highlight w:val="none"/>
        </w:rPr>
        <w:t>（另册）</w:t>
      </w:r>
    </w:p>
    <w:p w14:paraId="4FA7F741">
      <w:pPr>
        <w:keepNext/>
        <w:keepLines/>
        <w:spacing w:before="340" w:after="330"/>
        <w:jc w:val="center"/>
        <w:outlineLvl w:val="0"/>
        <w:rPr>
          <w:rFonts w:ascii="宋体" w:hAnsi="宋体" w:cs="宋体"/>
          <w:b/>
          <w:bCs/>
          <w:kern w:val="44"/>
          <w:sz w:val="44"/>
          <w:szCs w:val="44"/>
          <w:highlight w:val="none"/>
        </w:rPr>
      </w:pPr>
      <w:r>
        <w:rPr>
          <w:rFonts w:hint="eastAsia" w:ascii="宋体" w:hAnsi="宋体" w:cs="宋体"/>
          <w:b/>
          <w:bCs/>
          <w:kern w:val="44"/>
          <w:sz w:val="44"/>
          <w:szCs w:val="44"/>
          <w:highlight w:val="none"/>
        </w:rPr>
        <w:br w:type="page"/>
      </w:r>
      <w:bookmarkStart w:id="8" w:name="_Toc31731"/>
      <w:r>
        <w:rPr>
          <w:rFonts w:hint="eastAsia" w:ascii="宋体" w:hAnsi="宋体" w:cs="宋体"/>
          <w:b/>
          <w:bCs/>
          <w:kern w:val="44"/>
          <w:sz w:val="44"/>
          <w:szCs w:val="44"/>
          <w:highlight w:val="none"/>
        </w:rPr>
        <w:t>第二章 投标人须知</w:t>
      </w:r>
      <w:bookmarkEnd w:id="0"/>
      <w:bookmarkEnd w:id="1"/>
      <w:bookmarkEnd w:id="2"/>
      <w:bookmarkEnd w:id="3"/>
      <w:bookmarkEnd w:id="4"/>
      <w:bookmarkEnd w:id="5"/>
      <w:bookmarkEnd w:id="6"/>
      <w:bookmarkEnd w:id="8"/>
    </w:p>
    <w:p w14:paraId="484476FB">
      <w:pPr>
        <w:jc w:val="center"/>
        <w:rPr>
          <w:rFonts w:ascii="宋体" w:hAnsi="宋体" w:cs="宋体"/>
          <w:b/>
          <w:bCs/>
          <w:sz w:val="24"/>
          <w:szCs w:val="28"/>
          <w:highlight w:val="none"/>
        </w:rPr>
      </w:pPr>
      <w:bookmarkStart w:id="9" w:name="_Toc6263"/>
      <w:bookmarkStart w:id="10" w:name="_Toc31358"/>
      <w:bookmarkStart w:id="11" w:name="_Toc5128"/>
      <w:bookmarkStart w:id="12" w:name="_Toc14702"/>
      <w:r>
        <w:rPr>
          <w:rFonts w:hint="eastAsia" w:ascii="宋体" w:hAnsi="宋体" w:cs="宋体"/>
          <w:b/>
          <w:bCs/>
          <w:sz w:val="24"/>
          <w:szCs w:val="28"/>
          <w:highlight w:val="none"/>
        </w:rPr>
        <w:t>《投标人须知前附表》</w:t>
      </w:r>
      <w:bookmarkEnd w:id="9"/>
      <w:bookmarkEnd w:id="10"/>
      <w:bookmarkEnd w:id="11"/>
      <w:bookmarkEnd w:id="12"/>
    </w:p>
    <w:tbl>
      <w:tblPr>
        <w:tblStyle w:val="41"/>
        <w:tblW w:w="0" w:type="auto"/>
        <w:tblInd w:w="0" w:type="dxa"/>
        <w:tblLayout w:type="fixed"/>
        <w:tblCellMar>
          <w:top w:w="57" w:type="dxa"/>
          <w:left w:w="108" w:type="dxa"/>
          <w:bottom w:w="57" w:type="dxa"/>
          <w:right w:w="108" w:type="dxa"/>
        </w:tblCellMar>
      </w:tblPr>
      <w:tblGrid>
        <w:gridCol w:w="948"/>
        <w:gridCol w:w="2801"/>
        <w:gridCol w:w="5525"/>
      </w:tblGrid>
      <w:tr w14:paraId="3300F424">
        <w:tblPrEx>
          <w:tblCellMar>
            <w:top w:w="57" w:type="dxa"/>
            <w:left w:w="108" w:type="dxa"/>
            <w:bottom w:w="57" w:type="dxa"/>
            <w:right w:w="108" w:type="dxa"/>
          </w:tblCellMar>
        </w:tblPrEx>
        <w:trPr>
          <w:trHeight w:val="620" w:hRule="atLeast"/>
          <w:tblHeader/>
        </w:trPr>
        <w:tc>
          <w:tcPr>
            <w:tcW w:w="948" w:type="dxa"/>
            <w:tcBorders>
              <w:top w:val="single" w:color="auto" w:sz="4" w:space="0"/>
              <w:left w:val="single" w:color="auto" w:sz="4" w:space="0"/>
              <w:bottom w:val="single" w:color="auto" w:sz="4" w:space="0"/>
              <w:right w:val="single" w:color="auto" w:sz="4" w:space="0"/>
            </w:tcBorders>
            <w:vAlign w:val="center"/>
          </w:tcPr>
          <w:p w14:paraId="5AE136B8">
            <w:pPr>
              <w:snapToGrid w:val="0"/>
              <w:spacing w:line="240" w:lineRule="exact"/>
              <w:ind w:left="-55" w:leftChars="-26" w:right="-59" w:rightChars="-28"/>
              <w:jc w:val="center"/>
              <w:rPr>
                <w:rFonts w:ascii="宋体" w:hAnsi="宋体" w:cs="宋体"/>
                <w:b/>
                <w:szCs w:val="21"/>
                <w:highlight w:val="none"/>
              </w:rPr>
            </w:pPr>
            <w:r>
              <w:rPr>
                <w:rFonts w:hint="eastAsia" w:ascii="宋体" w:hAnsi="宋体" w:cs="宋体"/>
                <w:b/>
                <w:szCs w:val="21"/>
                <w:highlight w:val="none"/>
              </w:rPr>
              <w:t>条款号</w:t>
            </w:r>
          </w:p>
        </w:tc>
        <w:tc>
          <w:tcPr>
            <w:tcW w:w="2801" w:type="dxa"/>
            <w:tcBorders>
              <w:top w:val="single" w:color="auto" w:sz="4" w:space="0"/>
              <w:left w:val="single" w:color="auto" w:sz="4" w:space="0"/>
              <w:bottom w:val="single" w:color="auto" w:sz="4" w:space="0"/>
              <w:right w:val="single" w:color="auto" w:sz="4" w:space="0"/>
            </w:tcBorders>
            <w:vAlign w:val="center"/>
          </w:tcPr>
          <w:p w14:paraId="6BDDA275">
            <w:pPr>
              <w:snapToGrid w:val="0"/>
              <w:spacing w:line="240" w:lineRule="exact"/>
              <w:ind w:left="-55" w:leftChars="-26" w:right="-59" w:rightChars="-28"/>
              <w:jc w:val="center"/>
              <w:rPr>
                <w:rFonts w:ascii="宋体" w:hAnsi="宋体" w:cs="宋体"/>
                <w:b/>
                <w:szCs w:val="21"/>
                <w:highlight w:val="none"/>
              </w:rPr>
            </w:pPr>
            <w:r>
              <w:rPr>
                <w:rFonts w:hint="eastAsia" w:ascii="宋体" w:hAnsi="宋体" w:cs="宋体"/>
                <w:b/>
                <w:szCs w:val="21"/>
                <w:highlight w:val="none"/>
              </w:rPr>
              <w:t>条  款  名  称</w:t>
            </w:r>
          </w:p>
        </w:tc>
        <w:tc>
          <w:tcPr>
            <w:tcW w:w="5525" w:type="dxa"/>
            <w:tcBorders>
              <w:top w:val="single" w:color="auto" w:sz="4" w:space="0"/>
              <w:left w:val="single" w:color="auto" w:sz="4" w:space="0"/>
              <w:bottom w:val="single" w:color="auto" w:sz="4" w:space="0"/>
              <w:right w:val="single" w:color="auto" w:sz="4" w:space="0"/>
            </w:tcBorders>
            <w:vAlign w:val="center"/>
          </w:tcPr>
          <w:p w14:paraId="4D44CF73">
            <w:pPr>
              <w:snapToGrid w:val="0"/>
              <w:ind w:left="-55" w:leftChars="-26" w:right="-59" w:rightChars="-28"/>
              <w:jc w:val="center"/>
              <w:rPr>
                <w:rFonts w:ascii="宋体" w:hAnsi="宋体" w:cs="宋体"/>
                <w:b/>
                <w:szCs w:val="21"/>
                <w:highlight w:val="none"/>
              </w:rPr>
            </w:pPr>
            <w:r>
              <w:rPr>
                <w:rFonts w:hint="eastAsia" w:ascii="宋体" w:hAnsi="宋体" w:cs="宋体"/>
                <w:b/>
                <w:szCs w:val="21"/>
                <w:highlight w:val="none"/>
              </w:rPr>
              <w:t>编  列  内  容</w:t>
            </w:r>
          </w:p>
        </w:tc>
      </w:tr>
      <w:tr w14:paraId="5D1A6CC5">
        <w:tblPrEx>
          <w:tblCellMar>
            <w:top w:w="57" w:type="dxa"/>
            <w:left w:w="108" w:type="dxa"/>
            <w:bottom w:w="57" w:type="dxa"/>
            <w:right w:w="108" w:type="dxa"/>
          </w:tblCellMar>
        </w:tblPrEx>
        <w:trPr>
          <w:trHeight w:val="1407" w:hRule="atLeast"/>
        </w:trPr>
        <w:tc>
          <w:tcPr>
            <w:tcW w:w="948" w:type="dxa"/>
            <w:tcBorders>
              <w:top w:val="single" w:color="auto" w:sz="4" w:space="0"/>
              <w:left w:val="single" w:color="auto" w:sz="4" w:space="0"/>
              <w:bottom w:val="single" w:color="auto" w:sz="4" w:space="0"/>
              <w:right w:val="single" w:color="auto" w:sz="4" w:space="0"/>
            </w:tcBorders>
            <w:vAlign w:val="center"/>
          </w:tcPr>
          <w:p w14:paraId="56146F97">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1.1.2</w:t>
            </w:r>
          </w:p>
        </w:tc>
        <w:tc>
          <w:tcPr>
            <w:tcW w:w="2801" w:type="dxa"/>
            <w:tcBorders>
              <w:top w:val="single" w:color="auto" w:sz="4" w:space="0"/>
              <w:left w:val="single" w:color="auto" w:sz="4" w:space="0"/>
              <w:bottom w:val="single" w:color="auto" w:sz="4" w:space="0"/>
              <w:right w:val="single" w:color="auto" w:sz="4" w:space="0"/>
            </w:tcBorders>
            <w:vAlign w:val="center"/>
          </w:tcPr>
          <w:p w14:paraId="36B722AC">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招标人</w:t>
            </w:r>
          </w:p>
        </w:tc>
        <w:tc>
          <w:tcPr>
            <w:tcW w:w="5525" w:type="dxa"/>
            <w:tcBorders>
              <w:top w:val="single" w:color="auto" w:sz="4" w:space="0"/>
              <w:left w:val="single" w:color="auto" w:sz="4" w:space="0"/>
              <w:bottom w:val="single" w:color="auto" w:sz="4" w:space="0"/>
              <w:right w:val="single" w:color="auto" w:sz="4" w:space="0"/>
            </w:tcBorders>
            <w:vAlign w:val="center"/>
          </w:tcPr>
          <w:p w14:paraId="5B8D87A9">
            <w:pPr>
              <w:spacing w:line="276" w:lineRule="auto"/>
              <w:rPr>
                <w:rFonts w:ascii="宋体" w:hAnsi="宋体" w:cs="宋体"/>
                <w:szCs w:val="21"/>
                <w:highlight w:val="none"/>
              </w:rPr>
            </w:pPr>
            <w:r>
              <w:rPr>
                <w:rFonts w:hint="eastAsia" w:ascii="宋体" w:hAnsi="宋体" w:cs="宋体"/>
                <w:szCs w:val="21"/>
                <w:highlight w:val="none"/>
              </w:rPr>
              <w:t>名称：</w:t>
            </w:r>
            <w:r>
              <w:rPr>
                <w:rFonts w:hint="eastAsia" w:ascii="宋体" w:hAnsi="宋体" w:cs="宋体"/>
                <w:szCs w:val="21"/>
                <w:highlight w:val="none"/>
                <w:u w:val="single"/>
              </w:rPr>
              <w:t>中国科学院广州生物医药与健康研究院</w:t>
            </w:r>
          </w:p>
          <w:p w14:paraId="580EB4B4">
            <w:pPr>
              <w:spacing w:line="276" w:lineRule="auto"/>
              <w:rPr>
                <w:rFonts w:ascii="宋体" w:hAnsi="宋体" w:cs="宋体"/>
                <w:szCs w:val="21"/>
                <w:highlight w:val="none"/>
                <w:u w:val="single"/>
                <w:shd w:val="clear" w:color="auto" w:fill="FFFFFF"/>
              </w:rPr>
            </w:pPr>
            <w:r>
              <w:rPr>
                <w:rFonts w:hint="eastAsia" w:ascii="宋体" w:hAnsi="宋体" w:cs="宋体"/>
                <w:szCs w:val="21"/>
                <w:highlight w:val="none"/>
              </w:rPr>
              <w:t>地址：</w:t>
            </w:r>
            <w:r>
              <w:rPr>
                <w:rFonts w:hint="eastAsia" w:ascii="宋体" w:hAnsi="宋体" w:cs="宋体"/>
                <w:szCs w:val="21"/>
                <w:highlight w:val="none"/>
                <w:u w:val="single"/>
                <w:shd w:val="clear" w:color="auto" w:fill="FFFFFF"/>
              </w:rPr>
              <w:t>广东省广州市科学城开源大道190号</w:t>
            </w:r>
          </w:p>
          <w:p w14:paraId="5D33D832">
            <w:pPr>
              <w:spacing w:line="276" w:lineRule="auto"/>
              <w:rPr>
                <w:rFonts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u w:val="single"/>
              </w:rPr>
              <w:t>张老师</w:t>
            </w:r>
          </w:p>
          <w:p w14:paraId="7F7C5831">
            <w:pPr>
              <w:rPr>
                <w:rFonts w:ascii="宋体" w:hAnsi="宋体" w:cs="宋体"/>
                <w:highlight w:val="none"/>
              </w:rPr>
            </w:pPr>
            <w:r>
              <w:rPr>
                <w:rFonts w:hint="eastAsia" w:ascii="宋体" w:hAnsi="宋体" w:cs="宋体"/>
                <w:szCs w:val="21"/>
                <w:highlight w:val="none"/>
              </w:rPr>
              <w:t>电话：</w:t>
            </w:r>
            <w:r>
              <w:rPr>
                <w:rFonts w:hint="eastAsia" w:ascii="宋体" w:hAnsi="宋体" w:cs="宋体"/>
                <w:szCs w:val="21"/>
                <w:highlight w:val="none"/>
                <w:u w:val="single"/>
              </w:rPr>
              <w:t>020-32015326</w:t>
            </w:r>
          </w:p>
        </w:tc>
      </w:tr>
      <w:tr w14:paraId="30858DE0">
        <w:tblPrEx>
          <w:tblCellMar>
            <w:top w:w="57" w:type="dxa"/>
            <w:left w:w="108" w:type="dxa"/>
            <w:bottom w:w="57" w:type="dxa"/>
            <w:right w:w="108" w:type="dxa"/>
          </w:tblCellMar>
        </w:tblPrEx>
        <w:trPr>
          <w:trHeight w:val="1498" w:hRule="atLeast"/>
        </w:trPr>
        <w:tc>
          <w:tcPr>
            <w:tcW w:w="948" w:type="dxa"/>
            <w:tcBorders>
              <w:top w:val="single" w:color="auto" w:sz="4" w:space="0"/>
              <w:left w:val="single" w:color="auto" w:sz="4" w:space="0"/>
              <w:bottom w:val="single" w:color="auto" w:sz="4" w:space="0"/>
              <w:right w:val="single" w:color="auto" w:sz="4" w:space="0"/>
            </w:tcBorders>
            <w:vAlign w:val="center"/>
          </w:tcPr>
          <w:p w14:paraId="12BDF2E9">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1.1.3</w:t>
            </w:r>
          </w:p>
        </w:tc>
        <w:tc>
          <w:tcPr>
            <w:tcW w:w="2801" w:type="dxa"/>
            <w:tcBorders>
              <w:top w:val="single" w:color="auto" w:sz="4" w:space="0"/>
              <w:left w:val="single" w:color="auto" w:sz="4" w:space="0"/>
              <w:bottom w:val="single" w:color="auto" w:sz="4" w:space="0"/>
              <w:right w:val="single" w:color="auto" w:sz="4" w:space="0"/>
            </w:tcBorders>
            <w:vAlign w:val="center"/>
          </w:tcPr>
          <w:p w14:paraId="2E1BF023">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招标代理机构</w:t>
            </w:r>
          </w:p>
        </w:tc>
        <w:tc>
          <w:tcPr>
            <w:tcW w:w="5525" w:type="dxa"/>
            <w:tcBorders>
              <w:top w:val="single" w:color="auto" w:sz="4" w:space="0"/>
              <w:left w:val="single" w:color="auto" w:sz="4" w:space="0"/>
              <w:bottom w:val="single" w:color="auto" w:sz="4" w:space="0"/>
              <w:right w:val="single" w:color="auto" w:sz="4" w:space="0"/>
            </w:tcBorders>
            <w:vAlign w:val="center"/>
          </w:tcPr>
          <w:p w14:paraId="5C226CE4">
            <w:pPr>
              <w:spacing w:line="276" w:lineRule="auto"/>
              <w:rPr>
                <w:rFonts w:ascii="宋体" w:hAnsi="宋体" w:cs="宋体"/>
                <w:szCs w:val="21"/>
                <w:highlight w:val="none"/>
              </w:rPr>
            </w:pPr>
            <w:r>
              <w:rPr>
                <w:rFonts w:hint="eastAsia" w:ascii="宋体" w:hAnsi="宋体" w:cs="宋体"/>
                <w:szCs w:val="21"/>
                <w:highlight w:val="none"/>
              </w:rPr>
              <w:t>名称：</w:t>
            </w:r>
            <w:r>
              <w:rPr>
                <w:rFonts w:hint="eastAsia" w:ascii="宋体" w:hAnsi="宋体" w:cs="宋体"/>
                <w:szCs w:val="21"/>
                <w:highlight w:val="none"/>
                <w:u w:val="single"/>
                <w:shd w:val="clear" w:color="auto" w:fill="FFFFFF"/>
              </w:rPr>
              <w:t>东方国际招标有限责任公司</w:t>
            </w:r>
          </w:p>
          <w:p w14:paraId="6825218D">
            <w:pPr>
              <w:spacing w:line="276" w:lineRule="auto"/>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北京市海淀区丹棱街1号院1号楼18层1801室</w:t>
            </w:r>
          </w:p>
          <w:p w14:paraId="6C71FC7D">
            <w:pPr>
              <w:spacing w:line="276" w:lineRule="auto"/>
              <w:rPr>
                <w:rFonts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u w:val="single"/>
              </w:rPr>
              <w:t>王滨、吴琅、王雨来</w:t>
            </w:r>
          </w:p>
          <w:p w14:paraId="31C14A95">
            <w:pPr>
              <w:rPr>
                <w:rFonts w:ascii="宋体" w:hAnsi="宋体" w:cs="宋体"/>
                <w:highlight w:val="none"/>
              </w:rPr>
            </w:pPr>
            <w:r>
              <w:rPr>
                <w:rFonts w:hint="eastAsia" w:ascii="宋体" w:hAnsi="宋体" w:cs="宋体"/>
                <w:szCs w:val="21"/>
                <w:highlight w:val="none"/>
              </w:rPr>
              <w:t>电话：</w:t>
            </w:r>
            <w:r>
              <w:rPr>
                <w:rFonts w:hint="eastAsia" w:ascii="宋体" w:hAnsi="宋体" w:cs="宋体"/>
                <w:kern w:val="0"/>
                <w:szCs w:val="21"/>
                <w:highlight w:val="none"/>
                <w:u w:val="single"/>
              </w:rPr>
              <w:t>029-89585662转814</w:t>
            </w:r>
          </w:p>
        </w:tc>
      </w:tr>
      <w:tr w14:paraId="1A36D168">
        <w:tblPrEx>
          <w:tblCellMar>
            <w:top w:w="57" w:type="dxa"/>
            <w:left w:w="108" w:type="dxa"/>
            <w:bottom w:w="57"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vAlign w:val="center"/>
          </w:tcPr>
          <w:p w14:paraId="5A5D5903">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1.1.4</w:t>
            </w:r>
          </w:p>
        </w:tc>
        <w:tc>
          <w:tcPr>
            <w:tcW w:w="2801" w:type="dxa"/>
            <w:tcBorders>
              <w:top w:val="single" w:color="auto" w:sz="4" w:space="0"/>
              <w:left w:val="single" w:color="auto" w:sz="4" w:space="0"/>
              <w:bottom w:val="single" w:color="auto" w:sz="4" w:space="0"/>
              <w:right w:val="single" w:color="auto" w:sz="4" w:space="0"/>
            </w:tcBorders>
            <w:vAlign w:val="center"/>
          </w:tcPr>
          <w:p w14:paraId="0C8474E5">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项目名称</w:t>
            </w:r>
          </w:p>
        </w:tc>
        <w:tc>
          <w:tcPr>
            <w:tcW w:w="5525" w:type="dxa"/>
            <w:tcBorders>
              <w:top w:val="single" w:color="auto" w:sz="4" w:space="0"/>
              <w:left w:val="single" w:color="auto" w:sz="4" w:space="0"/>
              <w:bottom w:val="single" w:color="auto" w:sz="4" w:space="0"/>
              <w:right w:val="single" w:color="auto" w:sz="4" w:space="0"/>
            </w:tcBorders>
            <w:vAlign w:val="center"/>
          </w:tcPr>
          <w:p w14:paraId="7B7B82DE">
            <w:pPr>
              <w:rPr>
                <w:rFonts w:ascii="宋体" w:hAnsi="宋体" w:cs="宋体"/>
                <w:highlight w:val="none"/>
              </w:rPr>
            </w:pPr>
            <w:bookmarkStart w:id="1139" w:name="_GoBack"/>
            <w:r>
              <w:rPr>
                <w:rFonts w:hint="eastAsia" w:ascii="宋体" w:hAnsi="宋体" w:cs="宋体"/>
                <w:szCs w:val="21"/>
                <w:highlight w:val="none"/>
              </w:rPr>
              <w:t>中国-新西兰生物医药与健康“一带一路”智能化动物实验平台适应性改造施工图设计施工总承包(EPC)</w:t>
            </w:r>
            <w:bookmarkEnd w:id="1139"/>
          </w:p>
        </w:tc>
      </w:tr>
      <w:tr w14:paraId="769FFD1D">
        <w:tblPrEx>
          <w:tblCellMar>
            <w:top w:w="57" w:type="dxa"/>
            <w:left w:w="108" w:type="dxa"/>
            <w:bottom w:w="57"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vAlign w:val="center"/>
          </w:tcPr>
          <w:p w14:paraId="69E7414E">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1.1.5</w:t>
            </w:r>
          </w:p>
        </w:tc>
        <w:tc>
          <w:tcPr>
            <w:tcW w:w="2801" w:type="dxa"/>
            <w:tcBorders>
              <w:top w:val="single" w:color="auto" w:sz="4" w:space="0"/>
              <w:left w:val="single" w:color="auto" w:sz="4" w:space="0"/>
              <w:bottom w:val="single" w:color="auto" w:sz="4" w:space="0"/>
              <w:right w:val="single" w:color="auto" w:sz="4" w:space="0"/>
            </w:tcBorders>
            <w:vAlign w:val="center"/>
          </w:tcPr>
          <w:p w14:paraId="074D8C69">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建设地点</w:t>
            </w:r>
          </w:p>
        </w:tc>
        <w:tc>
          <w:tcPr>
            <w:tcW w:w="5525" w:type="dxa"/>
            <w:tcBorders>
              <w:top w:val="single" w:color="auto" w:sz="4" w:space="0"/>
              <w:left w:val="single" w:color="auto" w:sz="4" w:space="0"/>
              <w:bottom w:val="single" w:color="auto" w:sz="4" w:space="0"/>
              <w:right w:val="single" w:color="auto" w:sz="4" w:space="0"/>
            </w:tcBorders>
            <w:vAlign w:val="center"/>
          </w:tcPr>
          <w:p w14:paraId="2C4A7CED">
            <w:pPr>
              <w:rPr>
                <w:rFonts w:ascii="宋体" w:hAnsi="宋体" w:cs="宋体"/>
                <w:highlight w:val="none"/>
              </w:rPr>
            </w:pPr>
            <w:r>
              <w:rPr>
                <w:rFonts w:hint="eastAsia" w:ascii="宋体" w:hAnsi="宋体" w:cs="宋体"/>
                <w:highlight w:val="none"/>
              </w:rPr>
              <w:t>详见招标公告</w:t>
            </w:r>
          </w:p>
        </w:tc>
      </w:tr>
      <w:tr w14:paraId="6B96E9BA">
        <w:tblPrEx>
          <w:tblCellMar>
            <w:top w:w="57" w:type="dxa"/>
            <w:left w:w="108" w:type="dxa"/>
            <w:bottom w:w="57"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vAlign w:val="center"/>
          </w:tcPr>
          <w:p w14:paraId="49890C5D">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1.2.1</w:t>
            </w:r>
          </w:p>
        </w:tc>
        <w:tc>
          <w:tcPr>
            <w:tcW w:w="2801" w:type="dxa"/>
            <w:tcBorders>
              <w:top w:val="single" w:color="auto" w:sz="4" w:space="0"/>
              <w:left w:val="single" w:color="auto" w:sz="4" w:space="0"/>
              <w:bottom w:val="single" w:color="auto" w:sz="4" w:space="0"/>
              <w:right w:val="single" w:color="auto" w:sz="4" w:space="0"/>
            </w:tcBorders>
            <w:vAlign w:val="center"/>
          </w:tcPr>
          <w:p w14:paraId="46439020">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资金来源及比例</w:t>
            </w:r>
          </w:p>
        </w:tc>
        <w:tc>
          <w:tcPr>
            <w:tcW w:w="5525" w:type="dxa"/>
            <w:tcBorders>
              <w:top w:val="single" w:color="auto" w:sz="4" w:space="0"/>
              <w:left w:val="single" w:color="auto" w:sz="4" w:space="0"/>
              <w:bottom w:val="single" w:color="auto" w:sz="4" w:space="0"/>
              <w:right w:val="single" w:color="auto" w:sz="4" w:space="0"/>
            </w:tcBorders>
            <w:vAlign w:val="center"/>
          </w:tcPr>
          <w:p w14:paraId="2BE9DBAD">
            <w:pPr>
              <w:rPr>
                <w:rFonts w:ascii="宋体" w:hAnsi="宋体" w:cs="宋体"/>
                <w:highlight w:val="none"/>
              </w:rPr>
            </w:pPr>
            <w:r>
              <w:rPr>
                <w:rFonts w:hint="eastAsia" w:ascii="宋体" w:hAnsi="宋体" w:cs="宋体"/>
                <w:highlight w:val="none"/>
              </w:rPr>
              <w:t>自筹资金100%</w:t>
            </w:r>
          </w:p>
        </w:tc>
      </w:tr>
      <w:tr w14:paraId="0FD4B6AF">
        <w:tblPrEx>
          <w:tblCellMar>
            <w:top w:w="57" w:type="dxa"/>
            <w:left w:w="108" w:type="dxa"/>
            <w:bottom w:w="57"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vAlign w:val="center"/>
          </w:tcPr>
          <w:p w14:paraId="26205736">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1.2.2</w:t>
            </w:r>
          </w:p>
        </w:tc>
        <w:tc>
          <w:tcPr>
            <w:tcW w:w="2801" w:type="dxa"/>
            <w:tcBorders>
              <w:top w:val="single" w:color="auto" w:sz="4" w:space="0"/>
              <w:left w:val="single" w:color="auto" w:sz="4" w:space="0"/>
              <w:bottom w:val="single" w:color="auto" w:sz="4" w:space="0"/>
              <w:right w:val="single" w:color="auto" w:sz="4" w:space="0"/>
            </w:tcBorders>
            <w:vAlign w:val="center"/>
          </w:tcPr>
          <w:p w14:paraId="3B67249A">
            <w:pPr>
              <w:jc w:val="center"/>
              <w:rPr>
                <w:rFonts w:ascii="宋体" w:hAnsi="宋体" w:cs="宋体"/>
                <w:highlight w:val="none"/>
                <w:u w:val="single"/>
              </w:rPr>
            </w:pPr>
            <w:r>
              <w:rPr>
                <w:rFonts w:hint="eastAsia" w:ascii="宋体" w:hAnsi="宋体" w:cs="宋体"/>
                <w:highlight w:val="none"/>
              </w:rPr>
              <w:t>资金落实情况</w:t>
            </w:r>
          </w:p>
        </w:tc>
        <w:tc>
          <w:tcPr>
            <w:tcW w:w="5525" w:type="dxa"/>
            <w:tcBorders>
              <w:top w:val="single" w:color="auto" w:sz="4" w:space="0"/>
              <w:left w:val="single" w:color="auto" w:sz="4" w:space="0"/>
              <w:bottom w:val="single" w:color="auto" w:sz="4" w:space="0"/>
              <w:right w:val="single" w:color="auto" w:sz="4" w:space="0"/>
            </w:tcBorders>
            <w:vAlign w:val="center"/>
          </w:tcPr>
          <w:p w14:paraId="255B9FA4">
            <w:pPr>
              <w:rPr>
                <w:rFonts w:ascii="宋体" w:hAnsi="宋体" w:cs="宋体"/>
                <w:highlight w:val="none"/>
              </w:rPr>
            </w:pPr>
            <w:r>
              <w:rPr>
                <w:rFonts w:hint="eastAsia" w:ascii="宋体" w:hAnsi="宋体" w:cs="宋体"/>
                <w:highlight w:val="none"/>
              </w:rPr>
              <w:t>资金已落实。</w:t>
            </w:r>
          </w:p>
        </w:tc>
      </w:tr>
      <w:tr w14:paraId="18C0C58D">
        <w:tblPrEx>
          <w:tblCellMar>
            <w:top w:w="57" w:type="dxa"/>
            <w:left w:w="108" w:type="dxa"/>
            <w:bottom w:w="57"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vAlign w:val="center"/>
          </w:tcPr>
          <w:p w14:paraId="4226000D">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1.3.1</w:t>
            </w:r>
          </w:p>
        </w:tc>
        <w:tc>
          <w:tcPr>
            <w:tcW w:w="2801" w:type="dxa"/>
            <w:tcBorders>
              <w:top w:val="single" w:color="auto" w:sz="4" w:space="0"/>
              <w:left w:val="single" w:color="auto" w:sz="4" w:space="0"/>
              <w:bottom w:val="single" w:color="auto" w:sz="4" w:space="0"/>
              <w:right w:val="single" w:color="auto" w:sz="4" w:space="0"/>
            </w:tcBorders>
            <w:vAlign w:val="center"/>
          </w:tcPr>
          <w:p w14:paraId="2D3F231C">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招标范围</w:t>
            </w:r>
          </w:p>
        </w:tc>
        <w:tc>
          <w:tcPr>
            <w:tcW w:w="5525" w:type="dxa"/>
            <w:tcBorders>
              <w:top w:val="single" w:color="auto" w:sz="4" w:space="0"/>
              <w:left w:val="single" w:color="auto" w:sz="4" w:space="0"/>
              <w:bottom w:val="single" w:color="auto" w:sz="4" w:space="0"/>
              <w:right w:val="single" w:color="auto" w:sz="4" w:space="0"/>
            </w:tcBorders>
            <w:vAlign w:val="center"/>
          </w:tcPr>
          <w:p w14:paraId="3976C2A7">
            <w:pPr>
              <w:rPr>
                <w:rFonts w:ascii="宋体" w:hAnsi="宋体" w:cs="宋体"/>
                <w:highlight w:val="none"/>
              </w:rPr>
            </w:pPr>
            <w:r>
              <w:rPr>
                <w:rFonts w:hint="eastAsia" w:ascii="宋体" w:hAnsi="宋体" w:cs="宋体"/>
                <w:highlight w:val="none"/>
              </w:rPr>
              <w:t>详见招标公告</w:t>
            </w:r>
          </w:p>
          <w:p w14:paraId="5333FEE9">
            <w:pPr>
              <w:rPr>
                <w:rFonts w:ascii="宋体" w:hAnsi="宋体" w:cs="宋体"/>
                <w:highlight w:val="none"/>
              </w:rPr>
            </w:pPr>
            <w:r>
              <w:rPr>
                <w:rFonts w:hint="eastAsia" w:ascii="宋体" w:hAnsi="宋体" w:cs="宋体"/>
                <w:highlight w:val="none"/>
              </w:rPr>
              <w:t>注：招标人有权根据项目的实际情况增加和减少工作内容。</w:t>
            </w:r>
          </w:p>
        </w:tc>
      </w:tr>
      <w:tr w14:paraId="6D5EB9B6">
        <w:tblPrEx>
          <w:tblCellMar>
            <w:top w:w="57" w:type="dxa"/>
            <w:left w:w="108" w:type="dxa"/>
            <w:bottom w:w="57" w:type="dxa"/>
            <w:right w:w="108" w:type="dxa"/>
          </w:tblCellMar>
        </w:tblPrEx>
        <w:trPr>
          <w:trHeight w:val="449" w:hRule="atLeast"/>
        </w:trPr>
        <w:tc>
          <w:tcPr>
            <w:tcW w:w="948" w:type="dxa"/>
            <w:tcBorders>
              <w:top w:val="single" w:color="auto" w:sz="4" w:space="0"/>
              <w:left w:val="single" w:color="auto" w:sz="4" w:space="0"/>
              <w:bottom w:val="single" w:color="auto" w:sz="4" w:space="0"/>
              <w:right w:val="single" w:color="auto" w:sz="4" w:space="0"/>
            </w:tcBorders>
            <w:vAlign w:val="center"/>
          </w:tcPr>
          <w:p w14:paraId="7E175499">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1.3.2</w:t>
            </w:r>
          </w:p>
        </w:tc>
        <w:tc>
          <w:tcPr>
            <w:tcW w:w="2801" w:type="dxa"/>
            <w:tcBorders>
              <w:top w:val="single" w:color="auto" w:sz="4" w:space="0"/>
              <w:left w:val="single" w:color="auto" w:sz="4" w:space="0"/>
              <w:bottom w:val="single" w:color="auto" w:sz="4" w:space="0"/>
              <w:right w:val="single" w:color="auto" w:sz="4" w:space="0"/>
            </w:tcBorders>
            <w:vAlign w:val="center"/>
          </w:tcPr>
          <w:p w14:paraId="62B74B2D">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计划工期</w:t>
            </w:r>
          </w:p>
        </w:tc>
        <w:tc>
          <w:tcPr>
            <w:tcW w:w="5525" w:type="dxa"/>
            <w:tcBorders>
              <w:top w:val="single" w:color="auto" w:sz="4" w:space="0"/>
              <w:left w:val="single" w:color="auto" w:sz="4" w:space="0"/>
              <w:bottom w:val="single" w:color="auto" w:sz="4" w:space="0"/>
              <w:right w:val="single" w:color="auto" w:sz="4" w:space="0"/>
            </w:tcBorders>
            <w:vAlign w:val="center"/>
          </w:tcPr>
          <w:p w14:paraId="7F3CDF0B">
            <w:pPr>
              <w:rPr>
                <w:rFonts w:ascii="宋体" w:hAnsi="宋体" w:cs="宋体"/>
                <w:highlight w:val="none"/>
              </w:rPr>
            </w:pPr>
            <w:r>
              <w:rPr>
                <w:rFonts w:hint="eastAsia" w:ascii="宋体" w:hAnsi="宋体" w:cs="宋体"/>
                <w:highlight w:val="none"/>
              </w:rPr>
              <w:t>详见本项目招标公告</w:t>
            </w:r>
          </w:p>
          <w:p w14:paraId="0B6DBD95">
            <w:pPr>
              <w:rPr>
                <w:rFonts w:ascii="宋体" w:hAnsi="宋体" w:cs="宋体"/>
                <w:highlight w:val="none"/>
              </w:rPr>
            </w:pPr>
            <w:r>
              <w:rPr>
                <w:rFonts w:hint="eastAsia" w:ascii="宋体" w:hAnsi="宋体" w:cs="宋体"/>
                <w:highlight w:val="none"/>
              </w:rPr>
              <w:t>注：本工程正式签署合同时，工期按中标人投标文件承诺的工期。</w:t>
            </w:r>
          </w:p>
        </w:tc>
      </w:tr>
      <w:tr w14:paraId="216D4296">
        <w:tblPrEx>
          <w:tblCellMar>
            <w:top w:w="57" w:type="dxa"/>
            <w:left w:w="108" w:type="dxa"/>
            <w:bottom w:w="57"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vAlign w:val="center"/>
          </w:tcPr>
          <w:p w14:paraId="780ACBB5">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1.3.3</w:t>
            </w:r>
          </w:p>
        </w:tc>
        <w:tc>
          <w:tcPr>
            <w:tcW w:w="2801" w:type="dxa"/>
            <w:tcBorders>
              <w:top w:val="single" w:color="auto" w:sz="4" w:space="0"/>
              <w:left w:val="single" w:color="auto" w:sz="4" w:space="0"/>
              <w:bottom w:val="single" w:color="auto" w:sz="4" w:space="0"/>
              <w:right w:val="single" w:color="auto" w:sz="4" w:space="0"/>
            </w:tcBorders>
            <w:vAlign w:val="center"/>
          </w:tcPr>
          <w:p w14:paraId="21C33482">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质量标准</w:t>
            </w:r>
          </w:p>
        </w:tc>
        <w:tc>
          <w:tcPr>
            <w:tcW w:w="5525" w:type="dxa"/>
            <w:tcBorders>
              <w:top w:val="single" w:color="auto" w:sz="4" w:space="0"/>
              <w:left w:val="single" w:color="auto" w:sz="4" w:space="0"/>
              <w:bottom w:val="single" w:color="auto" w:sz="4" w:space="0"/>
              <w:right w:val="single" w:color="auto" w:sz="4" w:space="0"/>
            </w:tcBorders>
            <w:vAlign w:val="center"/>
          </w:tcPr>
          <w:p w14:paraId="0EBBB6D7">
            <w:pPr>
              <w:snapToGrid w:val="0"/>
              <w:ind w:left="-55" w:leftChars="-26" w:right="-59" w:rightChars="-28"/>
              <w:rPr>
                <w:rFonts w:ascii="宋体" w:hAnsi="宋体" w:cs="宋体"/>
                <w:highlight w:val="none"/>
              </w:rPr>
            </w:pPr>
            <w:r>
              <w:rPr>
                <w:rFonts w:hint="eastAsia" w:ascii="宋体" w:hAnsi="宋体" w:cs="宋体"/>
                <w:highlight w:val="none"/>
              </w:rPr>
              <w:t>见本项目招标公告</w:t>
            </w:r>
          </w:p>
        </w:tc>
      </w:tr>
      <w:tr w14:paraId="3E7C4FAE">
        <w:tblPrEx>
          <w:tblCellMar>
            <w:top w:w="57" w:type="dxa"/>
            <w:left w:w="108" w:type="dxa"/>
            <w:bottom w:w="57"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vAlign w:val="center"/>
          </w:tcPr>
          <w:p w14:paraId="55ECA2A4">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1.4.1</w:t>
            </w:r>
          </w:p>
        </w:tc>
        <w:tc>
          <w:tcPr>
            <w:tcW w:w="2801" w:type="dxa"/>
            <w:tcBorders>
              <w:top w:val="single" w:color="auto" w:sz="4" w:space="0"/>
              <w:left w:val="single" w:color="auto" w:sz="4" w:space="0"/>
              <w:bottom w:val="single" w:color="auto" w:sz="4" w:space="0"/>
              <w:right w:val="single" w:color="auto" w:sz="4" w:space="0"/>
            </w:tcBorders>
            <w:vAlign w:val="center"/>
          </w:tcPr>
          <w:p w14:paraId="7F40C4AD">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投标人资质条件、能力和信誉</w:t>
            </w:r>
          </w:p>
        </w:tc>
        <w:tc>
          <w:tcPr>
            <w:tcW w:w="5525" w:type="dxa"/>
            <w:tcBorders>
              <w:top w:val="single" w:color="auto" w:sz="4" w:space="0"/>
              <w:left w:val="single" w:color="auto" w:sz="4" w:space="0"/>
              <w:bottom w:val="single" w:color="auto" w:sz="4" w:space="0"/>
              <w:right w:val="single" w:color="auto" w:sz="4" w:space="0"/>
            </w:tcBorders>
            <w:vAlign w:val="center"/>
          </w:tcPr>
          <w:p w14:paraId="71D429C2">
            <w:pPr>
              <w:snapToGrid w:val="0"/>
              <w:ind w:left="-55" w:leftChars="-26" w:right="-59" w:rightChars="-28"/>
              <w:rPr>
                <w:rFonts w:hint="eastAsia" w:ascii="宋体" w:hAnsi="宋体" w:cs="宋体"/>
                <w:highlight w:val="none"/>
              </w:rPr>
            </w:pPr>
            <w:r>
              <w:rPr>
                <w:rFonts w:hint="eastAsia" w:ascii="宋体" w:hAnsi="宋体" w:cs="宋体"/>
                <w:highlight w:val="none"/>
              </w:rPr>
              <w:t>详见本项目招标公告。</w:t>
            </w:r>
          </w:p>
        </w:tc>
      </w:tr>
      <w:tr w14:paraId="2085EF0F">
        <w:tblPrEx>
          <w:tblCellMar>
            <w:top w:w="57" w:type="dxa"/>
            <w:left w:w="108" w:type="dxa"/>
            <w:bottom w:w="57" w:type="dxa"/>
            <w:right w:w="108" w:type="dxa"/>
          </w:tblCellMar>
        </w:tblPrEx>
        <w:trPr>
          <w:trHeight w:val="702" w:hRule="atLeast"/>
        </w:trPr>
        <w:tc>
          <w:tcPr>
            <w:tcW w:w="948" w:type="dxa"/>
            <w:tcBorders>
              <w:top w:val="single" w:color="auto" w:sz="4" w:space="0"/>
              <w:left w:val="single" w:color="auto" w:sz="4" w:space="0"/>
              <w:bottom w:val="single" w:color="auto" w:sz="4" w:space="0"/>
              <w:right w:val="single" w:color="auto" w:sz="4" w:space="0"/>
            </w:tcBorders>
            <w:vAlign w:val="center"/>
          </w:tcPr>
          <w:p w14:paraId="382D68F7">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1.4.2</w:t>
            </w:r>
          </w:p>
        </w:tc>
        <w:tc>
          <w:tcPr>
            <w:tcW w:w="2801" w:type="dxa"/>
            <w:tcBorders>
              <w:top w:val="single" w:color="auto" w:sz="4" w:space="0"/>
              <w:left w:val="single" w:color="auto" w:sz="4" w:space="0"/>
              <w:bottom w:val="single" w:color="auto" w:sz="4" w:space="0"/>
              <w:right w:val="single" w:color="auto" w:sz="4" w:space="0"/>
            </w:tcBorders>
            <w:vAlign w:val="center"/>
          </w:tcPr>
          <w:p w14:paraId="79809268">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是否接受联合体投标</w:t>
            </w:r>
          </w:p>
        </w:tc>
        <w:tc>
          <w:tcPr>
            <w:tcW w:w="5525" w:type="dxa"/>
            <w:tcBorders>
              <w:top w:val="single" w:color="auto" w:sz="4" w:space="0"/>
              <w:left w:val="single" w:color="auto" w:sz="4" w:space="0"/>
              <w:bottom w:val="single" w:color="auto" w:sz="4" w:space="0"/>
              <w:right w:val="single" w:color="auto" w:sz="4" w:space="0"/>
            </w:tcBorders>
            <w:vAlign w:val="center"/>
          </w:tcPr>
          <w:p w14:paraId="186D029E">
            <w:pPr>
              <w:topLinePunct/>
              <w:snapToGrid w:val="0"/>
              <w:ind w:left="-55" w:leftChars="-26" w:right="-59" w:rightChars="-28"/>
              <w:rPr>
                <w:rFonts w:ascii="宋体" w:hAnsi="宋体" w:cs="宋体"/>
                <w:szCs w:val="21"/>
                <w:highlight w:val="none"/>
              </w:rPr>
            </w:pPr>
            <w:r>
              <w:rPr>
                <w:rFonts w:hint="eastAsia" w:ascii="宋体" w:hAnsi="宋体" w:cs="宋体"/>
                <w:szCs w:val="21"/>
                <w:highlight w:val="none"/>
              </w:rPr>
              <w:t>□不接受</w:t>
            </w:r>
          </w:p>
          <w:p w14:paraId="7E7534CA">
            <w:pPr>
              <w:snapToGrid w:val="0"/>
              <w:ind w:left="-55" w:leftChars="-26" w:right="-59" w:rightChars="-28"/>
              <w:rPr>
                <w:rFonts w:ascii="宋体" w:hAnsi="宋体" w:cs="宋体"/>
                <w:szCs w:val="21"/>
                <w:highlight w:val="none"/>
              </w:rPr>
            </w:pPr>
            <w:r>
              <w:rPr>
                <w:rFonts w:hint="eastAsia" w:ascii="宋体" w:hAnsi="宋体" w:cs="宋体"/>
                <w:szCs w:val="21"/>
                <w:highlight w:val="none"/>
              </w:rPr>
              <w:t>■接受，应满足下列要求：</w:t>
            </w:r>
            <w:r>
              <w:rPr>
                <w:rFonts w:hint="eastAsia" w:ascii="宋体" w:hAnsi="宋体" w:cs="宋体"/>
                <w:szCs w:val="21"/>
                <w:highlight w:val="none"/>
                <w:u w:val="single"/>
              </w:rPr>
              <w:t>详见本项目招标公告</w:t>
            </w:r>
          </w:p>
        </w:tc>
      </w:tr>
      <w:tr w14:paraId="0B3F413F">
        <w:tblPrEx>
          <w:tblCellMar>
            <w:top w:w="57" w:type="dxa"/>
            <w:left w:w="108" w:type="dxa"/>
            <w:bottom w:w="57" w:type="dxa"/>
            <w:right w:w="108" w:type="dxa"/>
          </w:tblCellMar>
        </w:tblPrEx>
        <w:trPr>
          <w:trHeight w:val="716" w:hRule="atLeast"/>
        </w:trPr>
        <w:tc>
          <w:tcPr>
            <w:tcW w:w="948" w:type="dxa"/>
            <w:tcBorders>
              <w:top w:val="single" w:color="auto" w:sz="4" w:space="0"/>
              <w:left w:val="single" w:color="auto" w:sz="4" w:space="0"/>
              <w:bottom w:val="single" w:color="auto" w:sz="4" w:space="0"/>
              <w:right w:val="single" w:color="auto" w:sz="4" w:space="0"/>
            </w:tcBorders>
            <w:vAlign w:val="center"/>
          </w:tcPr>
          <w:p w14:paraId="7B9C7703">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1.5</w:t>
            </w:r>
          </w:p>
        </w:tc>
        <w:tc>
          <w:tcPr>
            <w:tcW w:w="2801" w:type="dxa"/>
            <w:tcBorders>
              <w:top w:val="single" w:color="auto" w:sz="4" w:space="0"/>
              <w:left w:val="single" w:color="auto" w:sz="4" w:space="0"/>
              <w:bottom w:val="single" w:color="auto" w:sz="4" w:space="0"/>
              <w:right w:val="single" w:color="auto" w:sz="4" w:space="0"/>
            </w:tcBorders>
            <w:vAlign w:val="center"/>
          </w:tcPr>
          <w:p w14:paraId="48947688">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费用承担和设计成果补偿</w:t>
            </w:r>
          </w:p>
        </w:tc>
        <w:tc>
          <w:tcPr>
            <w:tcW w:w="5525" w:type="dxa"/>
            <w:tcBorders>
              <w:top w:val="single" w:color="auto" w:sz="4" w:space="0"/>
              <w:left w:val="single" w:color="auto" w:sz="4" w:space="0"/>
              <w:bottom w:val="single" w:color="auto" w:sz="4" w:space="0"/>
              <w:right w:val="single" w:color="auto" w:sz="4" w:space="0"/>
            </w:tcBorders>
            <w:vAlign w:val="center"/>
          </w:tcPr>
          <w:p w14:paraId="77E8B6CD">
            <w:pPr>
              <w:snapToGrid w:val="0"/>
              <w:ind w:left="-55" w:leftChars="-26" w:right="-59" w:rightChars="-28"/>
              <w:rPr>
                <w:rFonts w:ascii="宋体" w:hAnsi="宋体" w:cs="宋体"/>
                <w:szCs w:val="21"/>
                <w:highlight w:val="none"/>
              </w:rPr>
            </w:pPr>
            <w:r>
              <w:rPr>
                <w:rFonts w:hint="eastAsia" w:ascii="宋体" w:hAnsi="宋体" w:cs="宋体"/>
                <w:szCs w:val="21"/>
                <w:highlight w:val="none"/>
              </w:rPr>
              <w:t>■不补偿</w:t>
            </w:r>
          </w:p>
          <w:p w14:paraId="008DECC0">
            <w:pPr>
              <w:snapToGrid w:val="0"/>
              <w:ind w:left="-55" w:leftChars="-26" w:right="-59" w:rightChars="-28"/>
              <w:rPr>
                <w:rFonts w:ascii="宋体" w:hAnsi="宋体" w:cs="宋体"/>
                <w:szCs w:val="21"/>
                <w:highlight w:val="none"/>
                <w:u w:val="single"/>
              </w:rPr>
            </w:pPr>
            <w:r>
              <w:rPr>
                <w:rFonts w:hint="eastAsia" w:ascii="宋体" w:hAnsi="宋体" w:cs="宋体"/>
                <w:szCs w:val="21"/>
                <w:highlight w:val="none"/>
              </w:rPr>
              <w:t>□补偿，补偿标准：</w:t>
            </w:r>
          </w:p>
        </w:tc>
      </w:tr>
      <w:tr w14:paraId="5520A8E3">
        <w:tblPrEx>
          <w:tblCellMar>
            <w:top w:w="57" w:type="dxa"/>
            <w:left w:w="108" w:type="dxa"/>
            <w:bottom w:w="57" w:type="dxa"/>
            <w:right w:w="108" w:type="dxa"/>
          </w:tblCellMar>
        </w:tblPrEx>
        <w:trPr>
          <w:trHeight w:val="399" w:hRule="atLeast"/>
        </w:trPr>
        <w:tc>
          <w:tcPr>
            <w:tcW w:w="948" w:type="dxa"/>
            <w:tcBorders>
              <w:top w:val="single" w:color="auto" w:sz="4" w:space="0"/>
              <w:left w:val="single" w:color="auto" w:sz="4" w:space="0"/>
              <w:bottom w:val="single" w:color="auto" w:sz="4" w:space="0"/>
              <w:right w:val="single" w:color="auto" w:sz="4" w:space="0"/>
            </w:tcBorders>
            <w:vAlign w:val="center"/>
          </w:tcPr>
          <w:p w14:paraId="6429D3C4">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1.9.1</w:t>
            </w:r>
          </w:p>
        </w:tc>
        <w:tc>
          <w:tcPr>
            <w:tcW w:w="2801" w:type="dxa"/>
            <w:tcBorders>
              <w:top w:val="single" w:color="auto" w:sz="4" w:space="0"/>
              <w:left w:val="single" w:color="auto" w:sz="4" w:space="0"/>
              <w:bottom w:val="single" w:color="auto" w:sz="4" w:space="0"/>
              <w:right w:val="single" w:color="auto" w:sz="4" w:space="0"/>
            </w:tcBorders>
            <w:vAlign w:val="center"/>
          </w:tcPr>
          <w:p w14:paraId="525FDEE7">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踏勘</w:t>
            </w:r>
          </w:p>
        </w:tc>
        <w:tc>
          <w:tcPr>
            <w:tcW w:w="5525" w:type="dxa"/>
            <w:tcBorders>
              <w:top w:val="single" w:color="auto" w:sz="4" w:space="0"/>
              <w:left w:val="single" w:color="auto" w:sz="4" w:space="0"/>
              <w:bottom w:val="single" w:color="auto" w:sz="4" w:space="0"/>
              <w:right w:val="single" w:color="auto" w:sz="4" w:space="0"/>
            </w:tcBorders>
            <w:vAlign w:val="center"/>
          </w:tcPr>
          <w:p w14:paraId="23B6C9F8">
            <w:pPr>
              <w:snapToGrid w:val="0"/>
              <w:ind w:left="-55" w:leftChars="-26" w:right="-59" w:rightChars="-28"/>
              <w:rPr>
                <w:rFonts w:ascii="宋体" w:hAnsi="宋体" w:cs="宋体"/>
                <w:szCs w:val="21"/>
                <w:highlight w:val="none"/>
              </w:rPr>
            </w:pPr>
            <w:r>
              <w:rPr>
                <w:rFonts w:hint="eastAsia" w:ascii="宋体" w:hAnsi="宋体" w:cs="宋体"/>
                <w:szCs w:val="21"/>
                <w:highlight w:val="none"/>
              </w:rPr>
              <w:t>■不组织：</w:t>
            </w:r>
            <w:r>
              <w:rPr>
                <w:rFonts w:hint="eastAsia" w:ascii="宋体" w:hAnsi="宋体" w:cs="宋体"/>
                <w:szCs w:val="21"/>
                <w:highlight w:val="none"/>
                <w:u w:val="single"/>
              </w:rPr>
              <w:t>自行踏勘。投标人不进行踏勘的，视为已熟知现场条件，自行承担相关风险。</w:t>
            </w:r>
          </w:p>
          <w:p w14:paraId="54FFE668">
            <w:pPr>
              <w:snapToGrid w:val="0"/>
              <w:ind w:left="-55" w:leftChars="-26" w:right="-59" w:rightChars="-28"/>
              <w:rPr>
                <w:rFonts w:ascii="宋体" w:hAnsi="宋体" w:cs="宋体"/>
                <w:szCs w:val="21"/>
                <w:highlight w:val="none"/>
              </w:rPr>
            </w:pPr>
            <w:r>
              <w:rPr>
                <w:rFonts w:hint="eastAsia" w:ascii="宋体" w:hAnsi="宋体" w:cs="宋体"/>
                <w:szCs w:val="21"/>
                <w:highlight w:val="none"/>
              </w:rPr>
              <w:t>□组织，踏勘时间：</w:t>
            </w:r>
          </w:p>
          <w:p w14:paraId="3B6F6A09">
            <w:pPr>
              <w:snapToGrid w:val="0"/>
              <w:ind w:left="-55" w:leftChars="-26" w:right="-59" w:rightChars="-28" w:firstLine="840" w:firstLineChars="400"/>
              <w:rPr>
                <w:rFonts w:ascii="宋体" w:hAnsi="宋体" w:cs="宋体"/>
                <w:szCs w:val="21"/>
                <w:highlight w:val="none"/>
              </w:rPr>
            </w:pPr>
            <w:r>
              <w:rPr>
                <w:rFonts w:hint="eastAsia" w:ascii="宋体" w:hAnsi="宋体" w:cs="宋体"/>
                <w:szCs w:val="21"/>
                <w:highlight w:val="none"/>
              </w:rPr>
              <w:t>踏勘集中地点：</w:t>
            </w:r>
          </w:p>
        </w:tc>
      </w:tr>
      <w:tr w14:paraId="016906EF">
        <w:tblPrEx>
          <w:tblCellMar>
            <w:top w:w="57" w:type="dxa"/>
            <w:left w:w="108" w:type="dxa"/>
            <w:bottom w:w="57"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vAlign w:val="center"/>
          </w:tcPr>
          <w:p w14:paraId="6BF82E82">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1.10.1</w:t>
            </w:r>
          </w:p>
        </w:tc>
        <w:tc>
          <w:tcPr>
            <w:tcW w:w="2801" w:type="dxa"/>
            <w:tcBorders>
              <w:top w:val="single" w:color="auto" w:sz="4" w:space="0"/>
              <w:left w:val="single" w:color="auto" w:sz="4" w:space="0"/>
              <w:bottom w:val="single" w:color="auto" w:sz="4" w:space="0"/>
              <w:right w:val="single" w:color="auto" w:sz="4" w:space="0"/>
            </w:tcBorders>
            <w:vAlign w:val="center"/>
          </w:tcPr>
          <w:p w14:paraId="72C41935">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投标预备会</w:t>
            </w:r>
          </w:p>
        </w:tc>
        <w:tc>
          <w:tcPr>
            <w:tcW w:w="5525" w:type="dxa"/>
            <w:tcBorders>
              <w:top w:val="single" w:color="auto" w:sz="4" w:space="0"/>
              <w:left w:val="single" w:color="auto" w:sz="4" w:space="0"/>
              <w:bottom w:val="single" w:color="auto" w:sz="4" w:space="0"/>
              <w:right w:val="single" w:color="auto" w:sz="4" w:space="0"/>
            </w:tcBorders>
            <w:vAlign w:val="center"/>
          </w:tcPr>
          <w:p w14:paraId="5CD14B83">
            <w:pPr>
              <w:topLinePunct/>
              <w:snapToGrid w:val="0"/>
              <w:ind w:left="-55" w:leftChars="-26" w:right="-59" w:rightChars="-28"/>
              <w:rPr>
                <w:rFonts w:ascii="宋体" w:hAnsi="宋体" w:cs="宋体"/>
                <w:szCs w:val="21"/>
                <w:highlight w:val="none"/>
              </w:rPr>
            </w:pPr>
            <w:r>
              <w:rPr>
                <w:rFonts w:hint="eastAsia" w:ascii="宋体" w:hAnsi="宋体" w:cs="宋体"/>
                <w:szCs w:val="21"/>
                <w:highlight w:val="none"/>
              </w:rPr>
              <w:t>■不召开</w:t>
            </w:r>
          </w:p>
          <w:p w14:paraId="4160C617">
            <w:pPr>
              <w:snapToGrid w:val="0"/>
              <w:ind w:left="-55" w:leftChars="-26" w:right="-59" w:rightChars="-28"/>
              <w:rPr>
                <w:rFonts w:ascii="宋体" w:hAnsi="宋体" w:cs="宋体"/>
                <w:szCs w:val="21"/>
                <w:highlight w:val="none"/>
              </w:rPr>
            </w:pPr>
            <w:r>
              <w:rPr>
                <w:rFonts w:hint="eastAsia" w:ascii="宋体" w:hAnsi="宋体" w:cs="宋体"/>
                <w:szCs w:val="21"/>
                <w:highlight w:val="none"/>
              </w:rPr>
              <w:t>□召开，召开时间：</w:t>
            </w:r>
          </w:p>
          <w:p w14:paraId="4C134A13">
            <w:pPr>
              <w:snapToGrid w:val="0"/>
              <w:ind w:left="-55" w:leftChars="-26" w:right="-59" w:rightChars="-28" w:firstLine="840" w:firstLineChars="400"/>
              <w:rPr>
                <w:rFonts w:ascii="宋体" w:hAnsi="宋体" w:cs="宋体"/>
                <w:szCs w:val="21"/>
                <w:highlight w:val="none"/>
              </w:rPr>
            </w:pPr>
            <w:r>
              <w:rPr>
                <w:rFonts w:hint="eastAsia" w:ascii="宋体" w:hAnsi="宋体" w:cs="宋体"/>
                <w:szCs w:val="21"/>
                <w:highlight w:val="none"/>
              </w:rPr>
              <w:t>召开地点：</w:t>
            </w:r>
          </w:p>
        </w:tc>
      </w:tr>
      <w:tr w14:paraId="22402415">
        <w:tblPrEx>
          <w:tblCellMar>
            <w:top w:w="57" w:type="dxa"/>
            <w:left w:w="108" w:type="dxa"/>
            <w:bottom w:w="57" w:type="dxa"/>
            <w:right w:w="108" w:type="dxa"/>
          </w:tblCellMar>
        </w:tblPrEx>
        <w:trPr>
          <w:trHeight w:val="971" w:hRule="atLeast"/>
        </w:trPr>
        <w:tc>
          <w:tcPr>
            <w:tcW w:w="948" w:type="dxa"/>
            <w:tcBorders>
              <w:top w:val="single" w:color="auto" w:sz="4" w:space="0"/>
              <w:left w:val="single" w:color="auto" w:sz="4" w:space="0"/>
              <w:bottom w:val="single" w:color="auto" w:sz="4" w:space="0"/>
              <w:right w:val="single" w:color="auto" w:sz="4" w:space="0"/>
            </w:tcBorders>
            <w:vAlign w:val="center"/>
          </w:tcPr>
          <w:p w14:paraId="058A08E1">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1.10.2</w:t>
            </w:r>
          </w:p>
        </w:tc>
        <w:tc>
          <w:tcPr>
            <w:tcW w:w="2801" w:type="dxa"/>
            <w:tcBorders>
              <w:top w:val="single" w:color="auto" w:sz="4" w:space="0"/>
              <w:left w:val="single" w:color="auto" w:sz="4" w:space="0"/>
              <w:bottom w:val="single" w:color="auto" w:sz="4" w:space="0"/>
              <w:right w:val="single" w:color="auto" w:sz="4" w:space="0"/>
            </w:tcBorders>
            <w:vAlign w:val="center"/>
          </w:tcPr>
          <w:p w14:paraId="255569FD">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投标人提出问题的截止时间</w:t>
            </w:r>
          </w:p>
        </w:tc>
        <w:tc>
          <w:tcPr>
            <w:tcW w:w="5525" w:type="dxa"/>
            <w:tcBorders>
              <w:top w:val="single" w:color="auto" w:sz="4" w:space="0"/>
              <w:left w:val="single" w:color="auto" w:sz="4" w:space="0"/>
              <w:bottom w:val="single" w:color="auto" w:sz="4" w:space="0"/>
              <w:right w:val="single" w:color="auto" w:sz="4" w:space="0"/>
            </w:tcBorders>
            <w:vAlign w:val="center"/>
          </w:tcPr>
          <w:p w14:paraId="1B2606EE">
            <w:pPr>
              <w:adjustRightInd w:val="0"/>
              <w:snapToGrid w:val="0"/>
              <w:rPr>
                <w:rFonts w:ascii="宋体" w:hAnsi="宋体" w:cs="宋体"/>
                <w:szCs w:val="21"/>
                <w:highlight w:val="none"/>
              </w:rPr>
            </w:pPr>
            <w:r>
              <w:rPr>
                <w:rFonts w:hint="eastAsia" w:ascii="宋体" w:hAnsi="宋体" w:cs="宋体"/>
                <w:szCs w:val="21"/>
                <w:highlight w:val="none"/>
              </w:rPr>
              <w:t>1.方式：</w:t>
            </w:r>
            <w:r>
              <w:rPr>
                <w:rFonts w:hint="eastAsia" w:ascii="宋体" w:hAnsi="宋体" w:cs="宋体"/>
                <w:szCs w:val="21"/>
                <w:highlight w:val="none"/>
                <w:u w:val="single"/>
              </w:rPr>
              <w:t>网上答疑。</w:t>
            </w:r>
            <w:r>
              <w:rPr>
                <w:rFonts w:hint="eastAsia" w:ascii="宋体" w:hAnsi="宋体" w:cs="宋体"/>
                <w:szCs w:val="21"/>
                <w:highlight w:val="none"/>
              </w:rPr>
              <w:t>投标人疑问通过网上提交，具体操作详见广州交易集团有限公司（广州公共资源交易中心）网站最新发布的指引。</w:t>
            </w:r>
          </w:p>
          <w:p w14:paraId="6294B9E6">
            <w:pPr>
              <w:snapToGrid w:val="0"/>
              <w:ind w:left="-55" w:leftChars="-26" w:right="-59" w:rightChars="-28"/>
              <w:rPr>
                <w:rFonts w:ascii="宋体" w:hAnsi="宋体" w:cs="宋体"/>
                <w:szCs w:val="21"/>
                <w:highlight w:val="none"/>
              </w:rPr>
            </w:pPr>
            <w:r>
              <w:rPr>
                <w:rFonts w:hint="eastAsia" w:ascii="宋体" w:hAnsi="宋体" w:cs="宋体"/>
                <w:szCs w:val="21"/>
                <w:highlight w:val="none"/>
              </w:rPr>
              <w:t>2.投标人质疑期限：</w:t>
            </w:r>
            <w:r>
              <w:rPr>
                <w:rFonts w:hint="eastAsia" w:ascii="宋体" w:hAnsi="宋体" w:cs="宋体"/>
                <w:szCs w:val="21"/>
                <w:highlight w:val="none"/>
                <w:u w:val="single"/>
              </w:rPr>
              <w:t>在递交投标文件截止日期前18日。</w:t>
            </w:r>
          </w:p>
        </w:tc>
      </w:tr>
      <w:tr w14:paraId="058D98E6">
        <w:tblPrEx>
          <w:tblCellMar>
            <w:top w:w="57" w:type="dxa"/>
            <w:left w:w="108" w:type="dxa"/>
            <w:bottom w:w="57"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vAlign w:val="center"/>
          </w:tcPr>
          <w:p w14:paraId="0A4AFDE6">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1.10.3</w:t>
            </w:r>
          </w:p>
        </w:tc>
        <w:tc>
          <w:tcPr>
            <w:tcW w:w="2801" w:type="dxa"/>
            <w:tcBorders>
              <w:top w:val="single" w:color="auto" w:sz="4" w:space="0"/>
              <w:left w:val="single" w:color="auto" w:sz="4" w:space="0"/>
              <w:bottom w:val="single" w:color="auto" w:sz="4" w:space="0"/>
              <w:right w:val="single" w:color="auto" w:sz="4" w:space="0"/>
            </w:tcBorders>
            <w:vAlign w:val="center"/>
          </w:tcPr>
          <w:p w14:paraId="64C6B450">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招标人书面澄清的时间</w:t>
            </w:r>
          </w:p>
        </w:tc>
        <w:tc>
          <w:tcPr>
            <w:tcW w:w="5525" w:type="dxa"/>
            <w:tcBorders>
              <w:top w:val="single" w:color="auto" w:sz="4" w:space="0"/>
              <w:left w:val="single" w:color="auto" w:sz="4" w:space="0"/>
              <w:bottom w:val="single" w:color="auto" w:sz="4" w:space="0"/>
              <w:right w:val="single" w:color="auto" w:sz="4" w:space="0"/>
            </w:tcBorders>
            <w:vAlign w:val="center"/>
          </w:tcPr>
          <w:p w14:paraId="1A0486DD">
            <w:pPr>
              <w:snapToGrid w:val="0"/>
              <w:ind w:left="-55" w:leftChars="-26" w:right="-59" w:rightChars="-28"/>
              <w:rPr>
                <w:rFonts w:ascii="宋体" w:hAnsi="宋体" w:cs="宋体"/>
                <w:szCs w:val="21"/>
                <w:highlight w:val="none"/>
              </w:rPr>
            </w:pPr>
            <w:r>
              <w:rPr>
                <w:rFonts w:hint="eastAsia" w:ascii="宋体" w:hAnsi="宋体" w:cs="宋体"/>
                <w:highlight w:val="none"/>
              </w:rPr>
              <w:t>在递交投标文件截止日期前15日。</w:t>
            </w:r>
          </w:p>
        </w:tc>
      </w:tr>
      <w:tr w14:paraId="35B5AD28">
        <w:tblPrEx>
          <w:tblCellMar>
            <w:top w:w="57" w:type="dxa"/>
            <w:left w:w="108" w:type="dxa"/>
            <w:bottom w:w="57"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vAlign w:val="center"/>
          </w:tcPr>
          <w:p w14:paraId="7389CB93">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1.11.1</w:t>
            </w:r>
          </w:p>
        </w:tc>
        <w:tc>
          <w:tcPr>
            <w:tcW w:w="2801" w:type="dxa"/>
            <w:tcBorders>
              <w:top w:val="single" w:color="auto" w:sz="4" w:space="0"/>
              <w:left w:val="single" w:color="auto" w:sz="4" w:space="0"/>
              <w:bottom w:val="single" w:color="auto" w:sz="4" w:space="0"/>
              <w:right w:val="single" w:color="auto" w:sz="4" w:space="0"/>
            </w:tcBorders>
            <w:vAlign w:val="center"/>
          </w:tcPr>
          <w:p w14:paraId="645203E2">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招标人规定由分包人承担的工作</w:t>
            </w:r>
          </w:p>
        </w:tc>
        <w:tc>
          <w:tcPr>
            <w:tcW w:w="5525" w:type="dxa"/>
            <w:tcBorders>
              <w:top w:val="single" w:color="auto" w:sz="4" w:space="0"/>
              <w:left w:val="single" w:color="auto" w:sz="4" w:space="0"/>
              <w:bottom w:val="single" w:color="auto" w:sz="4" w:space="0"/>
              <w:right w:val="single" w:color="auto" w:sz="4" w:space="0"/>
            </w:tcBorders>
            <w:vAlign w:val="center"/>
          </w:tcPr>
          <w:p w14:paraId="2B6BF95C">
            <w:pPr>
              <w:snapToGrid w:val="0"/>
              <w:ind w:left="-55" w:leftChars="-26" w:right="-59" w:rightChars="-28"/>
              <w:rPr>
                <w:rFonts w:ascii="宋体" w:hAnsi="宋体" w:cs="宋体"/>
                <w:szCs w:val="21"/>
                <w:highlight w:val="none"/>
              </w:rPr>
            </w:pPr>
            <w:r>
              <w:rPr>
                <w:rFonts w:hint="eastAsia" w:ascii="宋体" w:hAnsi="宋体" w:cs="宋体"/>
                <w:szCs w:val="21"/>
                <w:highlight w:val="none"/>
              </w:rPr>
              <w:t>无</w:t>
            </w:r>
          </w:p>
        </w:tc>
      </w:tr>
      <w:tr w14:paraId="6670E374">
        <w:tblPrEx>
          <w:tblCellMar>
            <w:top w:w="57" w:type="dxa"/>
            <w:left w:w="108" w:type="dxa"/>
            <w:bottom w:w="57" w:type="dxa"/>
            <w:right w:w="108" w:type="dxa"/>
          </w:tblCellMar>
        </w:tblPrEx>
        <w:trPr>
          <w:trHeight w:val="1124" w:hRule="atLeast"/>
        </w:trPr>
        <w:tc>
          <w:tcPr>
            <w:tcW w:w="948" w:type="dxa"/>
            <w:tcBorders>
              <w:top w:val="single" w:color="auto" w:sz="4" w:space="0"/>
              <w:left w:val="single" w:color="auto" w:sz="4" w:space="0"/>
              <w:bottom w:val="single" w:color="auto" w:sz="4" w:space="0"/>
              <w:right w:val="single" w:color="auto" w:sz="4" w:space="0"/>
            </w:tcBorders>
            <w:vAlign w:val="center"/>
          </w:tcPr>
          <w:p w14:paraId="554F1A95">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1.11.2</w:t>
            </w:r>
          </w:p>
        </w:tc>
        <w:tc>
          <w:tcPr>
            <w:tcW w:w="2801" w:type="dxa"/>
            <w:tcBorders>
              <w:top w:val="single" w:color="auto" w:sz="4" w:space="0"/>
              <w:left w:val="single" w:color="auto" w:sz="4" w:space="0"/>
              <w:bottom w:val="single" w:color="auto" w:sz="4" w:space="0"/>
              <w:right w:val="single" w:color="auto" w:sz="4" w:space="0"/>
            </w:tcBorders>
            <w:vAlign w:val="center"/>
          </w:tcPr>
          <w:p w14:paraId="21982FF4">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投标人拟分包的工作</w:t>
            </w:r>
          </w:p>
        </w:tc>
        <w:tc>
          <w:tcPr>
            <w:tcW w:w="5525" w:type="dxa"/>
            <w:tcBorders>
              <w:top w:val="single" w:color="auto" w:sz="4" w:space="0"/>
              <w:left w:val="single" w:color="auto" w:sz="4" w:space="0"/>
              <w:bottom w:val="single" w:color="auto" w:sz="4" w:space="0"/>
              <w:right w:val="single" w:color="auto" w:sz="4" w:space="0"/>
            </w:tcBorders>
            <w:vAlign w:val="center"/>
          </w:tcPr>
          <w:p w14:paraId="74F05E2F">
            <w:pPr>
              <w:topLinePunct/>
              <w:snapToGrid w:val="0"/>
              <w:ind w:left="-55" w:leftChars="-26" w:right="-59" w:rightChars="-28"/>
              <w:rPr>
                <w:rFonts w:ascii="宋体" w:hAnsi="宋体" w:cs="宋体"/>
                <w:szCs w:val="21"/>
                <w:highlight w:val="none"/>
              </w:rPr>
            </w:pPr>
            <w:r>
              <w:rPr>
                <w:rFonts w:hint="eastAsia" w:ascii="宋体" w:hAnsi="宋体" w:cs="宋体"/>
                <w:szCs w:val="32"/>
                <w:highlight w:val="none"/>
              </w:rPr>
              <w:t>■</w:t>
            </w:r>
            <w:r>
              <w:rPr>
                <w:rFonts w:hint="eastAsia" w:ascii="宋体" w:hAnsi="宋体" w:cs="宋体"/>
                <w:szCs w:val="21"/>
                <w:highlight w:val="none"/>
              </w:rPr>
              <w:t>不允许</w:t>
            </w:r>
          </w:p>
          <w:p w14:paraId="6BC6AD3C">
            <w:pPr>
              <w:snapToGrid w:val="0"/>
              <w:ind w:left="-55" w:leftChars="-26" w:right="-59" w:rightChars="-28"/>
              <w:rPr>
                <w:rFonts w:ascii="宋体" w:hAnsi="宋体" w:cs="宋体"/>
                <w:szCs w:val="21"/>
                <w:highlight w:val="none"/>
              </w:rPr>
            </w:pPr>
            <w:r>
              <w:rPr>
                <w:rFonts w:hint="eastAsia" w:ascii="宋体" w:hAnsi="宋体" w:cs="宋体"/>
                <w:szCs w:val="32"/>
                <w:highlight w:val="none"/>
              </w:rPr>
              <w:t>□</w:t>
            </w:r>
            <w:r>
              <w:rPr>
                <w:rFonts w:hint="eastAsia" w:ascii="宋体" w:hAnsi="宋体" w:cs="宋体"/>
                <w:szCs w:val="21"/>
                <w:highlight w:val="none"/>
              </w:rPr>
              <w:t>允许，经招标人同意，中标人可以把中标项目的部分非主体、非关键性工作分包给具有相应资质和能力的专业单位实施，但不得再次分包。</w:t>
            </w:r>
          </w:p>
        </w:tc>
      </w:tr>
      <w:tr w14:paraId="4677E564">
        <w:tblPrEx>
          <w:tblCellMar>
            <w:top w:w="57" w:type="dxa"/>
            <w:left w:w="108" w:type="dxa"/>
            <w:bottom w:w="57" w:type="dxa"/>
            <w:right w:w="108" w:type="dxa"/>
          </w:tblCellMar>
        </w:tblPrEx>
        <w:trPr>
          <w:trHeight w:val="669" w:hRule="atLeast"/>
        </w:trPr>
        <w:tc>
          <w:tcPr>
            <w:tcW w:w="948" w:type="dxa"/>
            <w:tcBorders>
              <w:top w:val="single" w:color="auto" w:sz="4" w:space="0"/>
              <w:left w:val="single" w:color="auto" w:sz="4" w:space="0"/>
              <w:bottom w:val="single" w:color="auto" w:sz="4" w:space="0"/>
              <w:right w:val="single" w:color="auto" w:sz="4" w:space="0"/>
            </w:tcBorders>
            <w:vAlign w:val="center"/>
          </w:tcPr>
          <w:p w14:paraId="01B51622">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1.12</w:t>
            </w:r>
          </w:p>
        </w:tc>
        <w:tc>
          <w:tcPr>
            <w:tcW w:w="2801" w:type="dxa"/>
            <w:tcBorders>
              <w:top w:val="single" w:color="auto" w:sz="4" w:space="0"/>
              <w:left w:val="single" w:color="auto" w:sz="4" w:space="0"/>
              <w:bottom w:val="single" w:color="auto" w:sz="4" w:space="0"/>
              <w:right w:val="single" w:color="auto" w:sz="4" w:space="0"/>
            </w:tcBorders>
            <w:vAlign w:val="center"/>
          </w:tcPr>
          <w:p w14:paraId="553291D2">
            <w:pPr>
              <w:topLinePunct/>
              <w:snapToGrid w:val="0"/>
              <w:spacing w:line="240" w:lineRule="exact"/>
              <w:ind w:left="-55" w:leftChars="-26" w:right="-59" w:rightChars="-28"/>
              <w:jc w:val="center"/>
              <w:rPr>
                <w:rFonts w:ascii="宋体" w:hAnsi="宋体" w:cs="宋体"/>
                <w:szCs w:val="32"/>
                <w:highlight w:val="none"/>
              </w:rPr>
            </w:pPr>
            <w:r>
              <w:rPr>
                <w:rFonts w:hint="eastAsia" w:ascii="宋体" w:hAnsi="宋体" w:cs="宋体"/>
                <w:szCs w:val="32"/>
                <w:highlight w:val="none"/>
              </w:rPr>
              <w:t>偏离</w:t>
            </w:r>
          </w:p>
        </w:tc>
        <w:tc>
          <w:tcPr>
            <w:tcW w:w="5525" w:type="dxa"/>
            <w:tcBorders>
              <w:top w:val="single" w:color="auto" w:sz="4" w:space="0"/>
              <w:left w:val="single" w:color="auto" w:sz="4" w:space="0"/>
              <w:bottom w:val="single" w:color="auto" w:sz="4" w:space="0"/>
              <w:right w:val="single" w:color="auto" w:sz="4" w:space="0"/>
            </w:tcBorders>
            <w:vAlign w:val="center"/>
          </w:tcPr>
          <w:p w14:paraId="59D144CC">
            <w:pPr>
              <w:topLinePunct/>
              <w:snapToGrid w:val="0"/>
              <w:ind w:left="-55" w:leftChars="-26" w:right="-59" w:rightChars="-28"/>
              <w:rPr>
                <w:rFonts w:ascii="宋体" w:hAnsi="宋体" w:cs="宋体"/>
                <w:szCs w:val="32"/>
                <w:highlight w:val="none"/>
              </w:rPr>
            </w:pPr>
            <w:r>
              <w:rPr>
                <w:rFonts w:hint="eastAsia" w:ascii="宋体" w:hAnsi="宋体" w:cs="宋体"/>
                <w:szCs w:val="32"/>
                <w:highlight w:val="none"/>
              </w:rPr>
              <w:t>■不允许</w:t>
            </w:r>
          </w:p>
          <w:p w14:paraId="05F3E9D4">
            <w:pPr>
              <w:topLinePunct/>
              <w:snapToGrid w:val="0"/>
              <w:ind w:left="-55" w:leftChars="-26" w:right="-59" w:rightChars="-28"/>
              <w:rPr>
                <w:rFonts w:ascii="宋体" w:hAnsi="宋体" w:cs="宋体"/>
                <w:szCs w:val="32"/>
                <w:highlight w:val="none"/>
              </w:rPr>
            </w:pPr>
            <w:r>
              <w:rPr>
                <w:rFonts w:hint="eastAsia" w:ascii="宋体" w:hAnsi="宋体" w:cs="宋体"/>
                <w:szCs w:val="32"/>
                <w:highlight w:val="none"/>
              </w:rPr>
              <w:t>□允许，允许偏离的内容、偏离范围和幅度</w:t>
            </w:r>
          </w:p>
        </w:tc>
      </w:tr>
      <w:tr w14:paraId="1AA3EEA5">
        <w:tblPrEx>
          <w:tblCellMar>
            <w:top w:w="57" w:type="dxa"/>
            <w:left w:w="108" w:type="dxa"/>
            <w:bottom w:w="57"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vAlign w:val="center"/>
          </w:tcPr>
          <w:p w14:paraId="181ACACE">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2.1</w:t>
            </w:r>
          </w:p>
        </w:tc>
        <w:tc>
          <w:tcPr>
            <w:tcW w:w="2801" w:type="dxa"/>
            <w:tcBorders>
              <w:top w:val="single" w:color="auto" w:sz="4" w:space="0"/>
              <w:left w:val="single" w:color="auto" w:sz="4" w:space="0"/>
              <w:bottom w:val="single" w:color="auto" w:sz="4" w:space="0"/>
              <w:right w:val="single" w:color="auto" w:sz="4" w:space="0"/>
            </w:tcBorders>
            <w:vAlign w:val="center"/>
          </w:tcPr>
          <w:p w14:paraId="509EEBEA">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构成招标文件的其他资料</w:t>
            </w:r>
          </w:p>
        </w:tc>
        <w:tc>
          <w:tcPr>
            <w:tcW w:w="5525" w:type="dxa"/>
            <w:tcBorders>
              <w:top w:val="single" w:color="auto" w:sz="4" w:space="0"/>
              <w:left w:val="single" w:color="auto" w:sz="4" w:space="0"/>
              <w:bottom w:val="single" w:color="auto" w:sz="4" w:space="0"/>
              <w:right w:val="single" w:color="auto" w:sz="4" w:space="0"/>
            </w:tcBorders>
            <w:vAlign w:val="center"/>
          </w:tcPr>
          <w:p w14:paraId="5652E2EF">
            <w:pPr>
              <w:snapToGrid w:val="0"/>
              <w:ind w:left="-55" w:leftChars="-26" w:right="-59" w:rightChars="-28"/>
              <w:rPr>
                <w:rFonts w:ascii="宋体" w:hAnsi="宋体" w:cs="宋体"/>
                <w:szCs w:val="21"/>
                <w:highlight w:val="none"/>
              </w:rPr>
            </w:pPr>
            <w:r>
              <w:rPr>
                <w:rFonts w:hint="eastAsia" w:ascii="宋体" w:hAnsi="宋体" w:cs="宋体"/>
                <w:szCs w:val="21"/>
                <w:highlight w:val="none"/>
              </w:rPr>
              <w:t>补充公告、答疑纪要、澄清文件等（如有）</w:t>
            </w:r>
          </w:p>
        </w:tc>
      </w:tr>
      <w:tr w14:paraId="43EDF27B">
        <w:tblPrEx>
          <w:tblCellMar>
            <w:top w:w="57" w:type="dxa"/>
            <w:left w:w="108" w:type="dxa"/>
            <w:bottom w:w="57"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vAlign w:val="center"/>
          </w:tcPr>
          <w:p w14:paraId="000B72CE">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2.2.1</w:t>
            </w:r>
          </w:p>
        </w:tc>
        <w:tc>
          <w:tcPr>
            <w:tcW w:w="2801" w:type="dxa"/>
            <w:tcBorders>
              <w:top w:val="single" w:color="auto" w:sz="4" w:space="0"/>
              <w:left w:val="single" w:color="auto" w:sz="4" w:space="0"/>
              <w:bottom w:val="single" w:color="auto" w:sz="4" w:space="0"/>
              <w:right w:val="single" w:color="auto" w:sz="4" w:space="0"/>
            </w:tcBorders>
            <w:vAlign w:val="center"/>
          </w:tcPr>
          <w:p w14:paraId="14249047">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投标人要求澄清招标文件的截止时间</w:t>
            </w:r>
          </w:p>
        </w:tc>
        <w:tc>
          <w:tcPr>
            <w:tcW w:w="5525" w:type="dxa"/>
            <w:tcBorders>
              <w:top w:val="single" w:color="auto" w:sz="4" w:space="0"/>
              <w:left w:val="single" w:color="auto" w:sz="4" w:space="0"/>
              <w:bottom w:val="single" w:color="auto" w:sz="4" w:space="0"/>
              <w:right w:val="single" w:color="auto" w:sz="4" w:space="0"/>
            </w:tcBorders>
            <w:vAlign w:val="center"/>
          </w:tcPr>
          <w:p w14:paraId="4148666F">
            <w:pPr>
              <w:snapToGrid w:val="0"/>
              <w:ind w:left="-55" w:leftChars="-26" w:right="-59" w:rightChars="-28"/>
              <w:rPr>
                <w:rFonts w:ascii="宋体" w:hAnsi="宋体" w:cs="宋体"/>
                <w:szCs w:val="21"/>
                <w:highlight w:val="none"/>
              </w:rPr>
            </w:pPr>
            <w:r>
              <w:rPr>
                <w:rFonts w:hint="eastAsia" w:ascii="宋体" w:hAnsi="宋体" w:cs="宋体"/>
                <w:szCs w:val="21"/>
                <w:highlight w:val="none"/>
              </w:rPr>
              <w:t>在递交投标文件截止日期前15日。</w:t>
            </w:r>
          </w:p>
        </w:tc>
      </w:tr>
      <w:tr w14:paraId="17033CC1">
        <w:tblPrEx>
          <w:tblCellMar>
            <w:top w:w="57" w:type="dxa"/>
            <w:left w:w="108" w:type="dxa"/>
            <w:bottom w:w="57"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vAlign w:val="center"/>
          </w:tcPr>
          <w:p w14:paraId="41EB20C5">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2.2.3</w:t>
            </w:r>
          </w:p>
        </w:tc>
        <w:tc>
          <w:tcPr>
            <w:tcW w:w="2801" w:type="dxa"/>
            <w:tcBorders>
              <w:top w:val="single" w:color="auto" w:sz="4" w:space="0"/>
              <w:left w:val="single" w:color="auto" w:sz="4" w:space="0"/>
              <w:bottom w:val="single" w:color="auto" w:sz="4" w:space="0"/>
              <w:right w:val="single" w:color="auto" w:sz="4" w:space="0"/>
            </w:tcBorders>
            <w:vAlign w:val="center"/>
          </w:tcPr>
          <w:p w14:paraId="0F2D1556">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highlight w:val="none"/>
              </w:rPr>
              <w:t>投标人确认收到答疑纪要或澄清的时间</w:t>
            </w:r>
          </w:p>
        </w:tc>
        <w:tc>
          <w:tcPr>
            <w:tcW w:w="5525" w:type="dxa"/>
            <w:tcBorders>
              <w:top w:val="single" w:color="auto" w:sz="4" w:space="0"/>
              <w:left w:val="single" w:color="auto" w:sz="4" w:space="0"/>
              <w:bottom w:val="single" w:color="auto" w:sz="4" w:space="0"/>
              <w:right w:val="single" w:color="auto" w:sz="4" w:space="0"/>
            </w:tcBorders>
            <w:vAlign w:val="center"/>
          </w:tcPr>
          <w:p w14:paraId="7CEDCD45">
            <w:pPr>
              <w:snapToGrid w:val="0"/>
              <w:ind w:left="-55" w:leftChars="-26" w:right="-59" w:rightChars="-28"/>
              <w:rPr>
                <w:rFonts w:ascii="宋体" w:hAnsi="宋体" w:cs="宋体"/>
                <w:szCs w:val="21"/>
                <w:highlight w:val="none"/>
              </w:rPr>
            </w:pPr>
            <w:r>
              <w:rPr>
                <w:rFonts w:hint="eastAsia" w:ascii="宋体" w:hAnsi="宋体" w:cs="宋体"/>
                <w:highlight w:val="none"/>
              </w:rPr>
              <w:t>招标文件的澄清或修改或补充公告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修改内容作为招标文件的组成部分，具有约束作用。</w:t>
            </w:r>
          </w:p>
        </w:tc>
      </w:tr>
      <w:tr w14:paraId="0CF85E74">
        <w:tblPrEx>
          <w:tblCellMar>
            <w:top w:w="57" w:type="dxa"/>
            <w:left w:w="108" w:type="dxa"/>
            <w:bottom w:w="57" w:type="dxa"/>
            <w:right w:w="108" w:type="dxa"/>
          </w:tblCellMar>
        </w:tblPrEx>
        <w:trPr>
          <w:trHeight w:val="2012" w:hRule="atLeast"/>
        </w:trPr>
        <w:tc>
          <w:tcPr>
            <w:tcW w:w="948" w:type="dxa"/>
            <w:tcBorders>
              <w:top w:val="single" w:color="auto" w:sz="4" w:space="0"/>
              <w:left w:val="single" w:color="auto" w:sz="4" w:space="0"/>
              <w:bottom w:val="single" w:color="auto" w:sz="4" w:space="0"/>
              <w:right w:val="single" w:color="auto" w:sz="4" w:space="0"/>
            </w:tcBorders>
            <w:vAlign w:val="center"/>
          </w:tcPr>
          <w:p w14:paraId="2FC4FB1A">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2.3.2</w:t>
            </w:r>
          </w:p>
        </w:tc>
        <w:tc>
          <w:tcPr>
            <w:tcW w:w="2801" w:type="dxa"/>
            <w:tcBorders>
              <w:top w:val="single" w:color="auto" w:sz="4" w:space="0"/>
              <w:left w:val="single" w:color="auto" w:sz="4" w:space="0"/>
              <w:bottom w:val="single" w:color="auto" w:sz="4" w:space="0"/>
              <w:right w:val="single" w:color="auto" w:sz="4" w:space="0"/>
            </w:tcBorders>
            <w:vAlign w:val="center"/>
          </w:tcPr>
          <w:p w14:paraId="7993BC2E">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投标人确认收到招标文件修改的时间</w:t>
            </w:r>
          </w:p>
        </w:tc>
        <w:tc>
          <w:tcPr>
            <w:tcW w:w="5525" w:type="dxa"/>
            <w:tcBorders>
              <w:top w:val="single" w:color="auto" w:sz="4" w:space="0"/>
              <w:left w:val="single" w:color="auto" w:sz="4" w:space="0"/>
              <w:bottom w:val="single" w:color="auto" w:sz="4" w:space="0"/>
              <w:right w:val="single" w:color="auto" w:sz="4" w:space="0"/>
            </w:tcBorders>
            <w:vAlign w:val="center"/>
          </w:tcPr>
          <w:p w14:paraId="14BE9405">
            <w:pPr>
              <w:snapToGrid w:val="0"/>
              <w:ind w:left="-55" w:leftChars="-26" w:right="-59" w:rightChars="-28"/>
              <w:rPr>
                <w:rFonts w:ascii="宋体" w:hAnsi="宋体" w:cs="宋体"/>
                <w:szCs w:val="21"/>
                <w:highlight w:val="none"/>
              </w:rPr>
            </w:pPr>
            <w:r>
              <w:rPr>
                <w:rFonts w:hint="eastAsia" w:ascii="宋体" w:hAnsi="宋体" w:cs="宋体"/>
                <w:highlight w:val="none"/>
              </w:rPr>
              <w:t>招标文件的澄清或修改或补充公告一经在广州交易集团有限公司（广州公共资源交易中心）交易平台网站发布，视作已发放给所有投标人，以广州交易集团有限公司（广州公共资源交易中心）交易平台网站发布时间作为送达时间。无需投标人确认。投标人应自行关注，招标人不再一一通知。招标文件的修改内容作为招标文件的组成部分，具有约束作用。</w:t>
            </w:r>
          </w:p>
        </w:tc>
      </w:tr>
      <w:tr w14:paraId="2E584D70">
        <w:tblPrEx>
          <w:tblCellMar>
            <w:top w:w="57" w:type="dxa"/>
            <w:left w:w="108" w:type="dxa"/>
            <w:bottom w:w="57" w:type="dxa"/>
            <w:right w:w="108" w:type="dxa"/>
          </w:tblCellMar>
        </w:tblPrEx>
        <w:trPr>
          <w:trHeight w:val="459" w:hRule="atLeast"/>
        </w:trPr>
        <w:tc>
          <w:tcPr>
            <w:tcW w:w="948" w:type="dxa"/>
            <w:tcBorders>
              <w:top w:val="single" w:color="auto" w:sz="4" w:space="0"/>
              <w:left w:val="single" w:color="auto" w:sz="4" w:space="0"/>
              <w:bottom w:val="single" w:color="auto" w:sz="4" w:space="0"/>
              <w:right w:val="single" w:color="auto" w:sz="4" w:space="0"/>
            </w:tcBorders>
            <w:vAlign w:val="center"/>
          </w:tcPr>
          <w:p w14:paraId="1BBD4A98">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3.1.1</w:t>
            </w:r>
          </w:p>
        </w:tc>
        <w:tc>
          <w:tcPr>
            <w:tcW w:w="2801" w:type="dxa"/>
            <w:tcBorders>
              <w:top w:val="single" w:color="auto" w:sz="4" w:space="0"/>
              <w:left w:val="single" w:color="auto" w:sz="4" w:space="0"/>
              <w:bottom w:val="single" w:color="auto" w:sz="4" w:space="0"/>
              <w:right w:val="single" w:color="auto" w:sz="4" w:space="0"/>
            </w:tcBorders>
            <w:vAlign w:val="center"/>
          </w:tcPr>
          <w:p w14:paraId="24500867">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构成投标文件的其他资料</w:t>
            </w:r>
          </w:p>
        </w:tc>
        <w:tc>
          <w:tcPr>
            <w:tcW w:w="5525" w:type="dxa"/>
            <w:tcBorders>
              <w:top w:val="single" w:color="auto" w:sz="4" w:space="0"/>
              <w:left w:val="single" w:color="auto" w:sz="4" w:space="0"/>
              <w:bottom w:val="single" w:color="auto" w:sz="4" w:space="0"/>
              <w:right w:val="single" w:color="auto" w:sz="4" w:space="0"/>
            </w:tcBorders>
            <w:vAlign w:val="center"/>
          </w:tcPr>
          <w:p w14:paraId="66DCD26A">
            <w:pPr>
              <w:snapToGrid w:val="0"/>
              <w:ind w:left="-55" w:leftChars="-26" w:right="-59" w:rightChars="-28"/>
              <w:rPr>
                <w:rFonts w:ascii="宋体" w:hAnsi="宋体" w:cs="宋体"/>
                <w:szCs w:val="21"/>
                <w:highlight w:val="none"/>
              </w:rPr>
            </w:pPr>
            <w:r>
              <w:rPr>
                <w:rFonts w:hint="eastAsia" w:ascii="宋体" w:hAnsi="宋体" w:cs="宋体"/>
                <w:szCs w:val="21"/>
                <w:highlight w:val="none"/>
              </w:rPr>
              <w:t>投标文件的组成详见“3.1投标文件的组成”</w:t>
            </w:r>
          </w:p>
        </w:tc>
      </w:tr>
      <w:tr w14:paraId="53F5F42F">
        <w:tblPrEx>
          <w:tblCellMar>
            <w:top w:w="57" w:type="dxa"/>
            <w:left w:w="108" w:type="dxa"/>
            <w:bottom w:w="57" w:type="dxa"/>
            <w:right w:w="108" w:type="dxa"/>
          </w:tblCellMar>
        </w:tblPrEx>
        <w:trPr>
          <w:trHeight w:val="1477" w:hRule="atLeast"/>
        </w:trPr>
        <w:tc>
          <w:tcPr>
            <w:tcW w:w="948" w:type="dxa"/>
            <w:tcBorders>
              <w:top w:val="single" w:color="auto" w:sz="4" w:space="0"/>
              <w:left w:val="single" w:color="auto" w:sz="4" w:space="0"/>
              <w:bottom w:val="single" w:color="auto" w:sz="4" w:space="0"/>
              <w:right w:val="single" w:color="auto" w:sz="4" w:space="0"/>
            </w:tcBorders>
            <w:vAlign w:val="center"/>
          </w:tcPr>
          <w:p w14:paraId="0B3C131E">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3.2.3</w:t>
            </w:r>
          </w:p>
        </w:tc>
        <w:tc>
          <w:tcPr>
            <w:tcW w:w="2801" w:type="dxa"/>
            <w:tcBorders>
              <w:top w:val="single" w:color="auto" w:sz="4" w:space="0"/>
              <w:left w:val="single" w:color="auto" w:sz="4" w:space="0"/>
              <w:bottom w:val="single" w:color="auto" w:sz="4" w:space="0"/>
              <w:right w:val="single" w:color="auto" w:sz="4" w:space="0"/>
            </w:tcBorders>
            <w:vAlign w:val="center"/>
          </w:tcPr>
          <w:p w14:paraId="68997DCE">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招标控制价</w:t>
            </w:r>
          </w:p>
        </w:tc>
        <w:tc>
          <w:tcPr>
            <w:tcW w:w="5525" w:type="dxa"/>
            <w:tcBorders>
              <w:top w:val="single" w:color="auto" w:sz="4" w:space="0"/>
              <w:left w:val="single" w:color="auto" w:sz="4" w:space="0"/>
              <w:bottom w:val="single" w:color="auto" w:sz="4" w:space="0"/>
              <w:right w:val="single" w:color="auto" w:sz="4" w:space="0"/>
            </w:tcBorders>
            <w:vAlign w:val="center"/>
          </w:tcPr>
          <w:p w14:paraId="3F2CDFC4">
            <w:pPr>
              <w:widowControl/>
              <w:snapToGrid w:val="0"/>
              <w:ind w:right="-59" w:rightChars="-28"/>
              <w:rPr>
                <w:rFonts w:ascii="宋体" w:hAnsi="宋体" w:cs="宋体"/>
                <w:kern w:val="0"/>
                <w:szCs w:val="21"/>
                <w:highlight w:val="none"/>
                <w:u w:val="single"/>
              </w:rPr>
            </w:pPr>
            <w:r>
              <w:rPr>
                <w:rFonts w:hint="eastAsia" w:ascii="宋体" w:hAnsi="宋体" w:cs="宋体"/>
                <w:kern w:val="0"/>
                <w:szCs w:val="21"/>
                <w:highlight w:val="none"/>
              </w:rPr>
              <w:t>最高投标限价：</w:t>
            </w:r>
            <w:r>
              <w:rPr>
                <w:rFonts w:hint="eastAsia" w:ascii="宋体" w:hAnsi="宋体" w:cs="宋体"/>
                <w:szCs w:val="21"/>
                <w:highlight w:val="none"/>
                <w:shd w:val="clear" w:color="auto" w:fill="FFFFFF"/>
              </w:rPr>
              <w:t>本项目最高投标限价总价为</w:t>
            </w:r>
            <w:r>
              <w:rPr>
                <w:rFonts w:hint="eastAsia" w:ascii="宋体" w:hAnsi="宋体" w:cs="宋体"/>
                <w:color w:val="auto"/>
                <w:szCs w:val="21"/>
                <w:highlight w:val="none"/>
                <w:u w:val="single"/>
                <w:shd w:val="clear" w:color="auto" w:fill="FFFFFF"/>
              </w:rPr>
              <w:t xml:space="preserve"> </w:t>
            </w:r>
            <w:r>
              <w:rPr>
                <w:rFonts w:hint="eastAsia" w:ascii="宋体" w:hAnsi="宋体" w:cs="宋体"/>
                <w:color w:val="auto"/>
                <w:szCs w:val="21"/>
                <w:highlight w:val="none"/>
                <w:u w:val="single"/>
                <w:shd w:val="clear" w:color="auto" w:fill="FFFFFF"/>
                <w:lang w:val="en-US" w:eastAsia="zh-CN"/>
              </w:rPr>
              <w:t>902.8</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shd w:val="clear" w:color="auto" w:fill="FFFFFF"/>
              </w:rPr>
              <w:t>万元</w:t>
            </w:r>
            <w:r>
              <w:rPr>
                <w:rFonts w:hint="eastAsia" w:ascii="宋体" w:hAnsi="宋体" w:cs="宋体"/>
                <w:szCs w:val="21"/>
                <w:highlight w:val="none"/>
                <w:shd w:val="clear" w:color="auto" w:fill="FFFFFF"/>
              </w:rPr>
              <w:t>；</w:t>
            </w:r>
            <w:r>
              <w:rPr>
                <w:rFonts w:hint="eastAsia" w:ascii="宋体" w:hAnsi="宋体" w:cs="宋体"/>
                <w:szCs w:val="21"/>
                <w:highlight w:val="none"/>
                <w:shd w:val="clear" w:color="auto" w:fill="FFFFFF"/>
              </w:rPr>
              <w:t>其中：建安工程费最高投标限价为</w:t>
            </w:r>
            <w:r>
              <w:rPr>
                <w:rFonts w:hint="eastAsia" w:ascii="宋体" w:hAnsi="宋体" w:cs="宋体"/>
                <w:color w:val="auto"/>
                <w:szCs w:val="21"/>
                <w:highlight w:val="none"/>
                <w:u w:val="single"/>
                <w:shd w:val="clear" w:color="auto" w:fill="FFFFFF"/>
              </w:rPr>
              <w:t xml:space="preserve"> </w:t>
            </w:r>
            <w:r>
              <w:rPr>
                <w:rFonts w:hint="eastAsia" w:ascii="宋体" w:hAnsi="宋体" w:cs="宋体"/>
                <w:color w:val="auto"/>
                <w:szCs w:val="21"/>
                <w:highlight w:val="none"/>
                <w:u w:val="single"/>
                <w:shd w:val="clear" w:color="auto" w:fill="FFFFFF"/>
                <w:lang w:val="en-US" w:eastAsia="zh-CN"/>
              </w:rPr>
              <w:t>856.36</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shd w:val="clear" w:color="auto" w:fill="FFFFFF"/>
              </w:rPr>
              <w:t>万元</w:t>
            </w:r>
            <w:r>
              <w:rPr>
                <w:rFonts w:hint="eastAsia" w:ascii="宋体" w:hAnsi="宋体" w:cs="宋体"/>
                <w:szCs w:val="21"/>
                <w:highlight w:val="none"/>
                <w:shd w:val="clear" w:color="auto" w:fill="FFFFFF"/>
              </w:rPr>
              <w:t>，设计费最高投标限价为</w:t>
            </w:r>
            <w:r>
              <w:rPr>
                <w:rFonts w:hint="eastAsia" w:ascii="宋体" w:hAnsi="宋体" w:cs="宋体"/>
                <w:color w:val="auto"/>
                <w:szCs w:val="21"/>
                <w:highlight w:val="none"/>
                <w:u w:val="single"/>
                <w:shd w:val="clear" w:color="auto" w:fill="FFFFFF"/>
              </w:rPr>
              <w:t xml:space="preserve"> </w:t>
            </w:r>
            <w:r>
              <w:rPr>
                <w:rFonts w:hint="eastAsia" w:ascii="宋体" w:hAnsi="宋体" w:cs="宋体"/>
                <w:bCs/>
                <w:color w:val="auto"/>
                <w:szCs w:val="21"/>
                <w:highlight w:val="none"/>
                <w:u w:val="single"/>
                <w:lang w:val="en-US" w:eastAsia="zh-CN"/>
              </w:rPr>
              <w:t>46.44</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shd w:val="clear" w:color="auto" w:fill="FFFFFF"/>
              </w:rPr>
              <w:t>万元</w:t>
            </w:r>
            <w:r>
              <w:rPr>
                <w:rFonts w:hint="eastAsia" w:ascii="宋体" w:hAnsi="宋体" w:cs="宋体"/>
                <w:kern w:val="0"/>
                <w:szCs w:val="21"/>
                <w:highlight w:val="none"/>
              </w:rPr>
              <w:t>。</w:t>
            </w:r>
          </w:p>
          <w:p w14:paraId="09992EBF">
            <w:pPr>
              <w:snapToGrid w:val="0"/>
              <w:ind w:right="-59" w:rightChars="-28"/>
              <w:rPr>
                <w:rFonts w:ascii="宋体" w:hAnsi="宋体" w:cs="宋体"/>
                <w:highlight w:val="none"/>
              </w:rPr>
            </w:pPr>
            <w:r>
              <w:rPr>
                <w:rFonts w:hint="eastAsia" w:ascii="宋体" w:hAnsi="宋体" w:cs="宋体"/>
                <w:b/>
                <w:kern w:val="0"/>
                <w:szCs w:val="21"/>
                <w:highlight w:val="none"/>
                <w:u w:val="single"/>
              </w:rPr>
              <w:t>注：（1）投标人未按要求报价或投标报价（含投标总报价、建安工程费报价、设计费报价）超过上述相应最高投标限价的为无效标。</w:t>
            </w:r>
          </w:p>
        </w:tc>
      </w:tr>
      <w:tr w14:paraId="149BD5ED">
        <w:tblPrEx>
          <w:tblCellMar>
            <w:top w:w="57" w:type="dxa"/>
            <w:left w:w="108" w:type="dxa"/>
            <w:bottom w:w="57" w:type="dxa"/>
            <w:right w:w="108" w:type="dxa"/>
          </w:tblCellMar>
        </w:tblPrEx>
        <w:trPr>
          <w:trHeight w:val="5259" w:hRule="atLeast"/>
        </w:trPr>
        <w:tc>
          <w:tcPr>
            <w:tcW w:w="948" w:type="dxa"/>
            <w:tcBorders>
              <w:top w:val="single" w:color="auto" w:sz="4" w:space="0"/>
              <w:left w:val="single" w:color="auto" w:sz="4" w:space="0"/>
              <w:bottom w:val="single" w:color="auto" w:sz="4" w:space="0"/>
              <w:right w:val="single" w:color="auto" w:sz="4" w:space="0"/>
            </w:tcBorders>
            <w:vAlign w:val="center"/>
          </w:tcPr>
          <w:p w14:paraId="34425E9F">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3.2.3.2</w:t>
            </w:r>
          </w:p>
        </w:tc>
        <w:tc>
          <w:tcPr>
            <w:tcW w:w="2801" w:type="dxa"/>
            <w:tcBorders>
              <w:top w:val="single" w:color="auto" w:sz="4" w:space="0"/>
              <w:left w:val="single" w:color="auto" w:sz="4" w:space="0"/>
              <w:bottom w:val="single" w:color="auto" w:sz="4" w:space="0"/>
              <w:right w:val="single" w:color="auto" w:sz="4" w:space="0"/>
            </w:tcBorders>
            <w:vAlign w:val="center"/>
          </w:tcPr>
          <w:p w14:paraId="470A7669">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投标报价的其他要求</w:t>
            </w:r>
          </w:p>
        </w:tc>
        <w:tc>
          <w:tcPr>
            <w:tcW w:w="5525" w:type="dxa"/>
            <w:tcBorders>
              <w:top w:val="single" w:color="auto" w:sz="4" w:space="0"/>
              <w:left w:val="single" w:color="auto" w:sz="4" w:space="0"/>
              <w:bottom w:val="single" w:color="auto" w:sz="4" w:space="0"/>
              <w:right w:val="single" w:color="auto" w:sz="4" w:space="0"/>
            </w:tcBorders>
            <w:vAlign w:val="center"/>
          </w:tcPr>
          <w:p w14:paraId="0A2841FD">
            <w:pPr>
              <w:widowControl/>
              <w:snapToGrid w:val="0"/>
              <w:ind w:right="-59" w:rightChars="-28"/>
              <w:rPr>
                <w:rFonts w:ascii="宋体" w:hAnsi="宋体" w:cs="宋体"/>
                <w:kern w:val="0"/>
                <w:szCs w:val="21"/>
                <w:highlight w:val="none"/>
              </w:rPr>
            </w:pPr>
            <w:r>
              <w:rPr>
                <w:rFonts w:hint="eastAsia" w:ascii="宋体" w:hAnsi="宋体" w:cs="宋体"/>
                <w:kern w:val="0"/>
                <w:szCs w:val="21"/>
                <w:highlight w:val="none"/>
              </w:rPr>
              <w:t>投标报价由设计费报价与建安工程费报价组成。</w:t>
            </w:r>
          </w:p>
          <w:p w14:paraId="33175F58">
            <w:pPr>
              <w:widowControl/>
              <w:snapToGrid w:val="0"/>
              <w:ind w:right="-59" w:rightChars="-28"/>
              <w:rPr>
                <w:rFonts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rPr>
              <w:t>设计费：设计费为总价包干，投标报价由投标人根据招标文件要求以及企业自身情况填报报价及下浮率。结算方式详见合同约定的相应条款。</w:t>
            </w:r>
          </w:p>
          <w:p w14:paraId="008A42A5">
            <w:pPr>
              <w:widowControl/>
              <w:snapToGrid w:val="0"/>
              <w:ind w:right="-59" w:rightChars="-28"/>
              <w:rPr>
                <w:rFonts w:ascii="宋体" w:hAnsi="宋体" w:cs="宋体"/>
                <w:kern w:val="0"/>
                <w:szCs w:val="21"/>
                <w:highlight w:val="none"/>
              </w:rPr>
            </w:pPr>
            <w:r>
              <w:rPr>
                <w:rFonts w:hint="eastAsia" w:ascii="宋体" w:hAnsi="宋体" w:cs="宋体"/>
                <w:kern w:val="0"/>
                <w:szCs w:val="21"/>
                <w:highlight w:val="none"/>
              </w:rPr>
              <w:t>该设计费已包含该项目的全部设计内容及后续项目的变更的设计工作量。</w:t>
            </w:r>
          </w:p>
          <w:p w14:paraId="32258759">
            <w:pPr>
              <w:widowControl/>
              <w:snapToGrid w:val="0"/>
              <w:ind w:right="-59" w:rightChars="-28"/>
              <w:rPr>
                <w:rFonts w:ascii="宋体" w:hAnsi="宋体" w:cs="宋体"/>
                <w:kern w:val="0"/>
                <w:szCs w:val="21"/>
                <w:highlight w:val="none"/>
              </w:rPr>
            </w:pPr>
            <w:r>
              <w:rPr>
                <w:rFonts w:hint="eastAsia" w:ascii="宋体" w:hAnsi="宋体" w:cs="宋体"/>
                <w:kern w:val="0"/>
                <w:szCs w:val="21"/>
                <w:highlight w:val="none"/>
              </w:rPr>
              <w:t>（2）建安工程费：由投标人根据招标文件要求以及企业自身情况填报下浮率。结算方式详见合同约定的相应条款。</w:t>
            </w:r>
          </w:p>
          <w:p w14:paraId="1AB3D292">
            <w:pPr>
              <w:widowControl/>
              <w:snapToGrid w:val="0"/>
              <w:ind w:right="-59" w:rightChars="-28"/>
              <w:rPr>
                <w:rFonts w:ascii="宋体" w:hAnsi="宋体" w:cs="宋体"/>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w:t>
            </w:r>
            <w:r>
              <w:rPr>
                <w:rFonts w:hint="default" w:ascii="宋体" w:hAnsi="宋体" w:eastAsia="宋体" w:cs="宋体"/>
                <w:kern w:val="0"/>
                <w:szCs w:val="21"/>
                <w:highlight w:val="none"/>
              </w:rPr>
              <w:t>工程成本警戒价按招标控制价的90%，设置为</w:t>
            </w:r>
            <w:r>
              <w:rPr>
                <w:rFonts w:hint="eastAsia" w:ascii="宋体" w:hAnsi="宋体" w:eastAsia="宋体" w:cs="宋体"/>
                <w:kern w:val="0"/>
                <w:szCs w:val="21"/>
                <w:highlight w:val="none"/>
                <w:u w:val="single"/>
                <w:lang w:val="en-US" w:eastAsia="zh-CN"/>
              </w:rPr>
              <w:t xml:space="preserve"> </w:t>
            </w:r>
            <w:r>
              <w:rPr>
                <w:rFonts w:hint="eastAsia" w:ascii="宋体" w:hAnsi="宋体" w:cs="宋体"/>
                <w:kern w:val="0"/>
                <w:szCs w:val="21"/>
                <w:highlight w:val="none"/>
                <w:u w:val="single"/>
                <w:lang w:val="en-US" w:eastAsia="zh-CN"/>
              </w:rPr>
              <w:t>812.52</w:t>
            </w:r>
            <w:r>
              <w:rPr>
                <w:rFonts w:hint="eastAsia" w:ascii="宋体" w:hAnsi="宋体" w:eastAsia="宋体" w:cs="宋体"/>
                <w:kern w:val="0"/>
                <w:szCs w:val="21"/>
                <w:highlight w:val="none"/>
                <w:u w:val="single"/>
                <w:lang w:val="en-US" w:eastAsia="zh-CN"/>
              </w:rPr>
              <w:t xml:space="preserve">   </w:t>
            </w:r>
            <w:r>
              <w:rPr>
                <w:rFonts w:hint="default" w:ascii="宋体" w:hAnsi="宋体" w:eastAsia="宋体" w:cs="宋体"/>
                <w:kern w:val="0"/>
                <w:szCs w:val="21"/>
                <w:highlight w:val="none"/>
              </w:rPr>
              <w:t>元。对低于该警戒</w:t>
            </w:r>
            <w:r>
              <w:rPr>
                <w:rFonts w:hint="default" w:ascii="Times New Roman" w:hAnsi="Times New Roman" w:cs="Times New Roman"/>
                <w:color w:val="auto"/>
                <w:szCs w:val="21"/>
                <w:highlight w:val="none"/>
              </w:rPr>
              <w:t>价的投标报价，</w:t>
            </w:r>
            <w:r>
              <w:rPr>
                <w:rFonts w:hint="eastAsia" w:ascii="宋体" w:hAnsi="宋体" w:cs="宋体"/>
                <w:kern w:val="0"/>
                <w:szCs w:val="21"/>
                <w:highlight w:val="none"/>
              </w:rPr>
              <w:t>投标人必须提供详细的施工组织设计、单价、措施性费用、单价分析表、主要材料价格表、投标人成本分析供评标委员会评审，由评标委员会判定其是否低于企业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1D663090">
        <w:tblPrEx>
          <w:tblCellMar>
            <w:top w:w="57" w:type="dxa"/>
            <w:left w:w="108" w:type="dxa"/>
            <w:bottom w:w="57" w:type="dxa"/>
            <w:right w:w="108" w:type="dxa"/>
          </w:tblCellMar>
        </w:tblPrEx>
        <w:trPr>
          <w:trHeight w:val="1229" w:hRule="atLeast"/>
        </w:trPr>
        <w:tc>
          <w:tcPr>
            <w:tcW w:w="948" w:type="dxa"/>
            <w:tcBorders>
              <w:top w:val="single" w:color="auto" w:sz="4" w:space="0"/>
              <w:left w:val="single" w:color="auto" w:sz="4" w:space="0"/>
              <w:bottom w:val="single" w:color="auto" w:sz="4" w:space="0"/>
              <w:right w:val="single" w:color="auto" w:sz="4" w:space="0"/>
            </w:tcBorders>
            <w:vAlign w:val="center"/>
          </w:tcPr>
          <w:p w14:paraId="7F111530">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3.3.1</w:t>
            </w:r>
          </w:p>
        </w:tc>
        <w:tc>
          <w:tcPr>
            <w:tcW w:w="2801" w:type="dxa"/>
            <w:tcBorders>
              <w:top w:val="single" w:color="auto" w:sz="4" w:space="0"/>
              <w:left w:val="single" w:color="auto" w:sz="4" w:space="0"/>
              <w:bottom w:val="single" w:color="auto" w:sz="4" w:space="0"/>
              <w:right w:val="single" w:color="auto" w:sz="4" w:space="0"/>
            </w:tcBorders>
            <w:vAlign w:val="center"/>
          </w:tcPr>
          <w:p w14:paraId="42EB47DD">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投标有效期</w:t>
            </w:r>
          </w:p>
        </w:tc>
        <w:tc>
          <w:tcPr>
            <w:tcW w:w="5525" w:type="dxa"/>
            <w:tcBorders>
              <w:top w:val="single" w:color="auto" w:sz="4" w:space="0"/>
              <w:left w:val="single" w:color="auto" w:sz="4" w:space="0"/>
              <w:bottom w:val="single" w:color="auto" w:sz="4" w:space="0"/>
              <w:right w:val="single" w:color="auto" w:sz="4" w:space="0"/>
            </w:tcBorders>
            <w:vAlign w:val="center"/>
          </w:tcPr>
          <w:p w14:paraId="496A7C4E">
            <w:pPr>
              <w:snapToGrid w:val="0"/>
              <w:ind w:left="-55" w:leftChars="-26" w:right="-59" w:rightChars="-28"/>
              <w:rPr>
                <w:rFonts w:ascii="宋体" w:hAnsi="宋体" w:cs="宋体"/>
                <w:szCs w:val="21"/>
                <w:highlight w:val="none"/>
              </w:rPr>
            </w:pPr>
            <w:r>
              <w:rPr>
                <w:rFonts w:hint="eastAsia" w:ascii="宋体" w:hAnsi="宋体" w:cs="宋体"/>
                <w:szCs w:val="21"/>
                <w:highlight w:val="none"/>
                <w:u w:val="single"/>
              </w:rPr>
              <w:t xml:space="preserve"> 90 </w:t>
            </w:r>
            <w:r>
              <w:rPr>
                <w:rFonts w:hint="eastAsia" w:ascii="宋体" w:hAnsi="宋体" w:cs="宋体"/>
                <w:szCs w:val="21"/>
                <w:highlight w:val="none"/>
              </w:rPr>
              <w:t>日历天</w:t>
            </w:r>
            <w:r>
              <w:rPr>
                <w:rFonts w:hint="eastAsia" w:ascii="宋体" w:hAnsi="宋体" w:cs="宋体"/>
                <w:kern w:val="0"/>
                <w:szCs w:val="21"/>
                <w:highlight w:val="none"/>
              </w:rPr>
              <w:t>（从递交投标文件截止之日计起），如出现异议或投诉，则投标有效期自动延长至异议或投诉处理结束，确定中标人并发放中标通知书为止。中标人的投标有效期自动延期至合同履行完毕。</w:t>
            </w:r>
          </w:p>
        </w:tc>
      </w:tr>
      <w:tr w14:paraId="7982E6DE">
        <w:tblPrEx>
          <w:tblCellMar>
            <w:top w:w="57" w:type="dxa"/>
            <w:left w:w="108" w:type="dxa"/>
            <w:bottom w:w="57" w:type="dxa"/>
            <w:right w:w="108" w:type="dxa"/>
          </w:tblCellMar>
        </w:tblPrEx>
        <w:trPr>
          <w:trHeight w:val="90" w:hRule="atLeast"/>
        </w:trPr>
        <w:tc>
          <w:tcPr>
            <w:tcW w:w="948" w:type="dxa"/>
            <w:tcBorders>
              <w:top w:val="single" w:color="auto" w:sz="4" w:space="0"/>
              <w:left w:val="single" w:color="auto" w:sz="4" w:space="0"/>
              <w:bottom w:val="single" w:color="auto" w:sz="4" w:space="0"/>
              <w:right w:val="single" w:color="auto" w:sz="4" w:space="0"/>
            </w:tcBorders>
            <w:vAlign w:val="center"/>
          </w:tcPr>
          <w:p w14:paraId="765F6E4A">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3.4.1</w:t>
            </w:r>
          </w:p>
        </w:tc>
        <w:tc>
          <w:tcPr>
            <w:tcW w:w="2801" w:type="dxa"/>
            <w:tcBorders>
              <w:top w:val="single" w:color="auto" w:sz="4" w:space="0"/>
              <w:left w:val="single" w:color="auto" w:sz="4" w:space="0"/>
              <w:bottom w:val="single" w:color="auto" w:sz="4" w:space="0"/>
              <w:right w:val="single" w:color="auto" w:sz="4" w:space="0"/>
            </w:tcBorders>
            <w:vAlign w:val="center"/>
          </w:tcPr>
          <w:p w14:paraId="7FF7D507">
            <w:pPr>
              <w:jc w:val="center"/>
              <w:rPr>
                <w:rFonts w:ascii="宋体" w:hAnsi="宋体" w:cs="宋体"/>
                <w:szCs w:val="21"/>
                <w:highlight w:val="none"/>
              </w:rPr>
            </w:pPr>
            <w:r>
              <w:rPr>
                <w:rFonts w:hint="eastAsia" w:ascii="宋体" w:hAnsi="宋体" w:cs="宋体"/>
                <w:szCs w:val="21"/>
                <w:highlight w:val="none"/>
              </w:rPr>
              <w:t>投标担保</w:t>
            </w:r>
          </w:p>
        </w:tc>
        <w:tc>
          <w:tcPr>
            <w:tcW w:w="5525" w:type="dxa"/>
            <w:tcBorders>
              <w:top w:val="single" w:color="auto" w:sz="4" w:space="0"/>
              <w:left w:val="single" w:color="auto" w:sz="4" w:space="0"/>
              <w:bottom w:val="single" w:color="auto" w:sz="4" w:space="0"/>
              <w:right w:val="single" w:color="auto" w:sz="4" w:space="0"/>
            </w:tcBorders>
            <w:vAlign w:val="center"/>
          </w:tcPr>
          <w:p w14:paraId="2C32CA56">
            <w:pPr>
              <w:widowControl/>
              <w:rPr>
                <w:rFonts w:ascii="宋体" w:hAnsi="宋体" w:cs="宋体"/>
                <w:color w:val="auto"/>
                <w:szCs w:val="21"/>
                <w:highlight w:val="none"/>
              </w:rPr>
            </w:pPr>
            <w:r>
              <w:rPr>
                <w:rFonts w:hint="eastAsia" w:ascii="宋体" w:hAnsi="宋体" w:cs="宋体"/>
                <w:szCs w:val="21"/>
                <w:highlight w:val="none"/>
              </w:rPr>
              <w:t>投标担保的金额：人民币</w:t>
            </w:r>
            <w:r>
              <w:rPr>
                <w:rFonts w:hint="eastAsia" w:ascii="宋体" w:hAnsi="宋体" w:cs="宋体"/>
                <w:color w:val="auto"/>
                <w:szCs w:val="21"/>
                <w:highlight w:val="none"/>
                <w:u w:val="single"/>
              </w:rPr>
              <w:t>10</w:t>
            </w:r>
            <w:r>
              <w:rPr>
                <w:rFonts w:hint="eastAsia" w:ascii="宋体" w:hAnsi="宋体" w:cs="宋体"/>
                <w:color w:val="auto"/>
                <w:szCs w:val="21"/>
                <w:highlight w:val="none"/>
              </w:rPr>
              <w:t>万元</w:t>
            </w:r>
          </w:p>
          <w:p w14:paraId="525DFF19">
            <w:pPr>
              <w:widowControl/>
              <w:rPr>
                <w:rFonts w:ascii="宋体" w:hAnsi="宋体" w:cs="宋体"/>
                <w:szCs w:val="21"/>
                <w:highlight w:val="none"/>
              </w:rPr>
            </w:pPr>
            <w:r>
              <w:rPr>
                <w:rFonts w:hint="eastAsia" w:ascii="宋体" w:hAnsi="宋体" w:cs="宋体"/>
                <w:szCs w:val="21"/>
                <w:highlight w:val="none"/>
              </w:rPr>
              <w:t>投标保证金有效期：大于或等于投标有效期。</w:t>
            </w:r>
          </w:p>
          <w:p w14:paraId="761CE597">
            <w:pPr>
              <w:rPr>
                <w:rFonts w:ascii="宋体" w:hAnsi="宋体" w:cs="宋体"/>
                <w:highlight w:val="none"/>
              </w:rPr>
            </w:pPr>
            <w:r>
              <w:rPr>
                <w:rFonts w:hint="eastAsia" w:ascii="宋体" w:hAnsi="宋体" w:cs="宋体"/>
                <w:highlight w:val="none"/>
              </w:rPr>
              <w:t>缴纳时间：投标保证金，须在递交投标文件截止时间前完成缴纳，</w:t>
            </w:r>
            <w:r>
              <w:rPr>
                <w:rFonts w:hint="eastAsia" w:ascii="宋体" w:hAnsi="宋体" w:cs="宋体"/>
                <w:b/>
                <w:bCs/>
                <w:highlight w:val="none"/>
                <w:u w:val="single"/>
              </w:rPr>
              <w:t>对于联合体投标人，投标保证金由联合体主办方缴纳</w:t>
            </w:r>
            <w:r>
              <w:rPr>
                <w:rFonts w:hint="eastAsia" w:ascii="宋体" w:hAnsi="宋体" w:cs="宋体"/>
                <w:highlight w:val="none"/>
              </w:rPr>
              <w:t>。</w:t>
            </w:r>
          </w:p>
          <w:p w14:paraId="511268B7">
            <w:pPr>
              <w:rPr>
                <w:rFonts w:ascii="宋体" w:hAnsi="宋体" w:cs="宋体"/>
                <w:highlight w:val="none"/>
              </w:rPr>
            </w:pPr>
            <w:r>
              <w:rPr>
                <w:rFonts w:hint="eastAsia" w:ascii="宋体" w:hAnsi="宋体" w:cs="宋体"/>
                <w:highlight w:val="none"/>
              </w:rPr>
              <w:t>1、投标保证金可采用现金、支票、汇票、信用证、保函、保险等能够实现保证目的的方式。</w:t>
            </w:r>
          </w:p>
          <w:p w14:paraId="4AA46D3E">
            <w:pPr>
              <w:rPr>
                <w:rFonts w:ascii="宋体" w:hAnsi="宋体" w:cs="宋体"/>
                <w:highlight w:val="none"/>
              </w:rPr>
            </w:pPr>
            <w:r>
              <w:rPr>
                <w:rFonts w:hint="eastAsia" w:ascii="宋体" w:hAnsi="宋体" w:cs="宋体"/>
                <w:highlight w:val="none"/>
              </w:rPr>
              <w:t>2、如采用现金、支票或汇票形式提交的，由广州交易集团有限公司（广州公共资源交易中心）代收（保证金从投标人基本账户转账至广州交易集团有限公司（广州公共资源交易中心））。具体操作要求详见广州交易集团有限公司（广州公共资源交易中心）最新的投标保证金缴纳操作流程及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06171674">
            <w:pPr>
              <w:rPr>
                <w:rFonts w:ascii="宋体" w:hAnsi="宋体" w:cs="宋体"/>
                <w:highlight w:val="none"/>
              </w:rPr>
            </w:pPr>
            <w:r>
              <w:rPr>
                <w:rFonts w:hint="eastAsia" w:ascii="宋体" w:hAnsi="宋体" w:cs="宋体"/>
                <w:highlight w:val="none"/>
              </w:rPr>
              <w:t>3、如采用非电子形式的投标保函或投标保证保险【银行保函或保险需开具给招标人（受益人也必须是招标人）】。提交投标保证金的，在开标前不强制要求投标人提交纸质原件，由中标候选人在中标候选人公示前提交并在网上公示，投标人应在投标文件中提交投标保函或投标保证保险扫描件并加盖投标人公章。</w:t>
            </w:r>
          </w:p>
          <w:p w14:paraId="1C2ECF4F">
            <w:pPr>
              <w:rPr>
                <w:rFonts w:ascii="宋体" w:hAnsi="宋体" w:cs="宋体"/>
                <w:highlight w:val="none"/>
              </w:rPr>
            </w:pPr>
            <w:r>
              <w:rPr>
                <w:rFonts w:hint="eastAsia" w:ascii="宋体" w:hAnsi="宋体" w:cs="宋体"/>
                <w:highlight w:val="none"/>
              </w:rPr>
              <w:t>纸质保函或保险等凭证纸质原件也可在投标截止时间前将原件单独密封（封口处加盖投标人单位公章）递交至开标室。递交纸质保函或保险等凭证纸质原件时需提供法定代表人证明书；委托投标的还应提供法人授权委托证明书。</w:t>
            </w:r>
          </w:p>
          <w:p w14:paraId="761D70BA">
            <w:pPr>
              <w:rPr>
                <w:rFonts w:ascii="宋体" w:hAnsi="宋体" w:cs="宋体"/>
                <w:highlight w:val="none"/>
              </w:rPr>
            </w:pPr>
            <w:r>
              <w:rPr>
                <w:rFonts w:hint="eastAsia" w:ascii="宋体" w:hAnsi="宋体" w:cs="宋体"/>
                <w:highlight w:val="none"/>
              </w:rPr>
              <w:t>4、采用电子保函提交投标保证金的，具体操作要求详见广州交易集团有限公司（广州公共资源交易中心）有关指引，递交事宜请自行咨询交易中心。</w:t>
            </w:r>
          </w:p>
        </w:tc>
      </w:tr>
      <w:tr w14:paraId="2372D259">
        <w:tblPrEx>
          <w:tblCellMar>
            <w:top w:w="57" w:type="dxa"/>
            <w:left w:w="108" w:type="dxa"/>
            <w:bottom w:w="57" w:type="dxa"/>
            <w:right w:w="108" w:type="dxa"/>
          </w:tblCellMar>
        </w:tblPrEx>
        <w:trPr>
          <w:trHeight w:val="828" w:hRule="atLeast"/>
        </w:trPr>
        <w:tc>
          <w:tcPr>
            <w:tcW w:w="948" w:type="dxa"/>
            <w:tcBorders>
              <w:top w:val="single" w:color="auto" w:sz="4" w:space="0"/>
              <w:left w:val="single" w:color="auto" w:sz="4" w:space="0"/>
              <w:bottom w:val="single" w:color="auto" w:sz="4" w:space="0"/>
              <w:right w:val="single" w:color="auto" w:sz="4" w:space="0"/>
            </w:tcBorders>
            <w:vAlign w:val="center"/>
          </w:tcPr>
          <w:p w14:paraId="75D0BD86">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3.6</w:t>
            </w:r>
          </w:p>
        </w:tc>
        <w:tc>
          <w:tcPr>
            <w:tcW w:w="2801" w:type="dxa"/>
            <w:tcBorders>
              <w:top w:val="single" w:color="auto" w:sz="4" w:space="0"/>
              <w:left w:val="single" w:color="auto" w:sz="4" w:space="0"/>
              <w:bottom w:val="single" w:color="auto" w:sz="4" w:space="0"/>
              <w:right w:val="single" w:color="auto" w:sz="4" w:space="0"/>
            </w:tcBorders>
            <w:vAlign w:val="center"/>
          </w:tcPr>
          <w:p w14:paraId="4EF20394">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是否允许递交备选投标方案</w:t>
            </w:r>
          </w:p>
        </w:tc>
        <w:tc>
          <w:tcPr>
            <w:tcW w:w="5525" w:type="dxa"/>
            <w:tcBorders>
              <w:top w:val="single" w:color="auto" w:sz="4" w:space="0"/>
              <w:left w:val="single" w:color="auto" w:sz="4" w:space="0"/>
              <w:bottom w:val="single" w:color="auto" w:sz="4" w:space="0"/>
              <w:right w:val="single" w:color="auto" w:sz="4" w:space="0"/>
            </w:tcBorders>
            <w:vAlign w:val="center"/>
          </w:tcPr>
          <w:p w14:paraId="71E73875">
            <w:pPr>
              <w:topLinePunct/>
              <w:snapToGrid w:val="0"/>
              <w:ind w:left="-55" w:leftChars="-26" w:right="-59" w:rightChars="-28"/>
              <w:rPr>
                <w:rFonts w:ascii="宋体" w:hAnsi="宋体" w:cs="宋体"/>
                <w:szCs w:val="21"/>
                <w:highlight w:val="none"/>
              </w:rPr>
            </w:pPr>
            <w:r>
              <w:rPr>
                <w:rFonts w:hint="eastAsia" w:ascii="宋体" w:hAnsi="宋体" w:cs="宋体"/>
                <w:szCs w:val="21"/>
                <w:highlight w:val="none"/>
              </w:rPr>
              <w:t>■不允许</w:t>
            </w:r>
          </w:p>
          <w:p w14:paraId="75CF7FFF">
            <w:pPr>
              <w:snapToGrid w:val="0"/>
              <w:ind w:left="-55" w:leftChars="-26" w:right="-59" w:rightChars="-28"/>
              <w:rPr>
                <w:rFonts w:ascii="宋体" w:hAnsi="宋体" w:cs="宋体"/>
                <w:szCs w:val="21"/>
                <w:highlight w:val="none"/>
              </w:rPr>
            </w:pPr>
            <w:r>
              <w:rPr>
                <w:rFonts w:hint="eastAsia" w:ascii="宋体" w:hAnsi="宋体" w:cs="宋体"/>
                <w:szCs w:val="21"/>
                <w:highlight w:val="none"/>
              </w:rPr>
              <w:t>□允许</w:t>
            </w:r>
          </w:p>
        </w:tc>
      </w:tr>
      <w:tr w14:paraId="4812DCE4">
        <w:tblPrEx>
          <w:tblCellMar>
            <w:top w:w="57" w:type="dxa"/>
            <w:left w:w="108" w:type="dxa"/>
            <w:bottom w:w="57" w:type="dxa"/>
            <w:right w:w="108" w:type="dxa"/>
          </w:tblCellMar>
        </w:tblPrEx>
        <w:trPr>
          <w:trHeight w:val="90" w:hRule="atLeast"/>
        </w:trPr>
        <w:tc>
          <w:tcPr>
            <w:tcW w:w="948" w:type="dxa"/>
            <w:tcBorders>
              <w:top w:val="single" w:color="auto" w:sz="4" w:space="0"/>
              <w:left w:val="single" w:color="auto" w:sz="4" w:space="0"/>
              <w:bottom w:val="single" w:color="auto" w:sz="4" w:space="0"/>
              <w:right w:val="single" w:color="auto" w:sz="4" w:space="0"/>
            </w:tcBorders>
            <w:vAlign w:val="center"/>
          </w:tcPr>
          <w:p w14:paraId="466880A6">
            <w:pPr>
              <w:jc w:val="center"/>
              <w:rPr>
                <w:rFonts w:ascii="宋体" w:hAnsi="宋体" w:cs="宋体"/>
                <w:szCs w:val="21"/>
                <w:highlight w:val="none"/>
              </w:rPr>
            </w:pPr>
            <w:r>
              <w:rPr>
                <w:rFonts w:hint="eastAsia" w:ascii="宋体" w:hAnsi="宋体" w:cs="宋体"/>
                <w:szCs w:val="21"/>
                <w:highlight w:val="none"/>
              </w:rPr>
              <w:t>3.7.3</w:t>
            </w:r>
          </w:p>
        </w:tc>
        <w:tc>
          <w:tcPr>
            <w:tcW w:w="2801" w:type="dxa"/>
            <w:tcBorders>
              <w:top w:val="single" w:color="auto" w:sz="4" w:space="0"/>
              <w:left w:val="single" w:color="auto" w:sz="4" w:space="0"/>
              <w:bottom w:val="single" w:color="auto" w:sz="4" w:space="0"/>
              <w:right w:val="single" w:color="auto" w:sz="4" w:space="0"/>
            </w:tcBorders>
            <w:vAlign w:val="center"/>
          </w:tcPr>
          <w:p w14:paraId="75922239">
            <w:pPr>
              <w:jc w:val="center"/>
              <w:rPr>
                <w:rFonts w:ascii="宋体" w:hAnsi="宋体" w:cs="宋体"/>
                <w:szCs w:val="21"/>
                <w:highlight w:val="none"/>
              </w:rPr>
            </w:pPr>
            <w:r>
              <w:rPr>
                <w:rFonts w:hint="eastAsia" w:ascii="宋体" w:hAnsi="宋体" w:cs="宋体"/>
                <w:szCs w:val="21"/>
                <w:highlight w:val="none"/>
              </w:rPr>
              <w:t>签字或盖章要求</w:t>
            </w:r>
          </w:p>
        </w:tc>
        <w:tc>
          <w:tcPr>
            <w:tcW w:w="5525" w:type="dxa"/>
            <w:tcBorders>
              <w:top w:val="single" w:color="auto" w:sz="4" w:space="0"/>
              <w:left w:val="single" w:color="auto" w:sz="4" w:space="0"/>
              <w:bottom w:val="single" w:color="auto" w:sz="4" w:space="0"/>
              <w:right w:val="single" w:color="auto" w:sz="4" w:space="0"/>
            </w:tcBorders>
            <w:vAlign w:val="center"/>
          </w:tcPr>
          <w:p w14:paraId="33911C2E">
            <w:pPr>
              <w:rPr>
                <w:rFonts w:ascii="宋体" w:hAnsi="宋体" w:cs="宋体"/>
                <w:szCs w:val="21"/>
                <w:highlight w:val="none"/>
              </w:rPr>
            </w:pPr>
            <w:r>
              <w:rPr>
                <w:rFonts w:hint="eastAsia" w:ascii="宋体" w:hAnsi="宋体" w:cs="宋体"/>
                <w:highlight w:val="none"/>
                <w:u w:val="single"/>
              </w:rPr>
              <w:t>投标人采用单位数字证书，按招标文件要求在相应位置加盖电子印章。投标文件中需个人签字或盖章的，应</w:t>
            </w:r>
            <w:r>
              <w:rPr>
                <w:rFonts w:hint="eastAsia" w:ascii="宋体" w:hAnsi="宋体" w:cs="宋体"/>
                <w:bCs/>
                <w:highlight w:val="none"/>
                <w:u w:val="single"/>
              </w:rPr>
              <w:t>加盖个人电子印章或在</w:t>
            </w:r>
            <w:r>
              <w:rPr>
                <w:rFonts w:hint="eastAsia" w:ascii="宋体" w:hAnsi="宋体" w:cs="宋体"/>
                <w:highlight w:val="none"/>
                <w:u w:val="single"/>
              </w:rPr>
              <w:t>线下完成后扫描上传。按照交易平台关于全流程电子化项目的相关指南进行操作，联合体投标的，除投标文件中的联合体投标协议书、投标人声明需联合体各方按要求盖章、签字外，投标文件其他内容中的“投标人”等，应填写联合体各方的单位全称[格式表示为：(主)XXXX公司(成)XXXX公司…]，但由主办方盖章、签字即可；法定代表人证明书及授权委托证明书可由联合体主办方出具。</w:t>
            </w:r>
          </w:p>
        </w:tc>
      </w:tr>
      <w:tr w14:paraId="1691DAFB">
        <w:tblPrEx>
          <w:tblCellMar>
            <w:top w:w="57" w:type="dxa"/>
            <w:left w:w="108" w:type="dxa"/>
            <w:bottom w:w="57" w:type="dxa"/>
            <w:right w:w="108" w:type="dxa"/>
          </w:tblCellMar>
        </w:tblPrEx>
        <w:trPr>
          <w:trHeight w:val="1011" w:hRule="atLeast"/>
        </w:trPr>
        <w:tc>
          <w:tcPr>
            <w:tcW w:w="948" w:type="dxa"/>
            <w:tcBorders>
              <w:top w:val="single" w:color="auto" w:sz="4" w:space="0"/>
              <w:left w:val="single" w:color="auto" w:sz="4" w:space="0"/>
              <w:bottom w:val="single" w:color="auto" w:sz="4" w:space="0"/>
              <w:right w:val="single" w:color="auto" w:sz="4" w:space="0"/>
            </w:tcBorders>
            <w:vAlign w:val="center"/>
          </w:tcPr>
          <w:p w14:paraId="7EDD5D01">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4.2.2</w:t>
            </w:r>
          </w:p>
        </w:tc>
        <w:tc>
          <w:tcPr>
            <w:tcW w:w="2801" w:type="dxa"/>
            <w:tcBorders>
              <w:top w:val="single" w:color="auto" w:sz="4" w:space="0"/>
              <w:left w:val="single" w:color="auto" w:sz="4" w:space="0"/>
              <w:bottom w:val="single" w:color="auto" w:sz="4" w:space="0"/>
              <w:right w:val="single" w:color="auto" w:sz="4" w:space="0"/>
            </w:tcBorders>
            <w:vAlign w:val="center"/>
          </w:tcPr>
          <w:p w14:paraId="0E5636AA">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递交投标文件地点</w:t>
            </w:r>
          </w:p>
        </w:tc>
        <w:tc>
          <w:tcPr>
            <w:tcW w:w="5525" w:type="dxa"/>
            <w:tcBorders>
              <w:top w:val="single" w:color="auto" w:sz="4" w:space="0"/>
              <w:left w:val="single" w:color="auto" w:sz="4" w:space="0"/>
              <w:bottom w:val="single" w:color="auto" w:sz="4" w:space="0"/>
              <w:right w:val="single" w:color="auto" w:sz="4" w:space="0"/>
            </w:tcBorders>
            <w:vAlign w:val="center"/>
          </w:tcPr>
          <w:p w14:paraId="5E9E5BCC">
            <w:pPr>
              <w:snapToGrid w:val="0"/>
              <w:ind w:left="-55" w:leftChars="-26" w:right="-59" w:rightChars="-28"/>
              <w:rPr>
                <w:rFonts w:ascii="宋体" w:hAnsi="宋体" w:cs="宋体"/>
                <w:szCs w:val="21"/>
                <w:highlight w:val="none"/>
              </w:rPr>
            </w:pPr>
            <w:r>
              <w:rPr>
                <w:rFonts w:hint="eastAsia" w:ascii="宋体" w:hAnsi="宋体" w:cs="宋体"/>
                <w:szCs w:val="21"/>
                <w:highlight w:val="none"/>
              </w:rPr>
              <w:t>投标人应在投标文件递交截止时间前通过广州交易集团有限公司（广州公共资源交易中心）数字交易平台递交电子投标文件。</w:t>
            </w:r>
          </w:p>
        </w:tc>
      </w:tr>
      <w:tr w14:paraId="46E257F5">
        <w:tblPrEx>
          <w:tblCellMar>
            <w:top w:w="57" w:type="dxa"/>
            <w:left w:w="108" w:type="dxa"/>
            <w:bottom w:w="57" w:type="dxa"/>
            <w:right w:w="108" w:type="dxa"/>
          </w:tblCellMar>
        </w:tblPrEx>
        <w:trPr>
          <w:trHeight w:val="702" w:hRule="atLeast"/>
        </w:trPr>
        <w:tc>
          <w:tcPr>
            <w:tcW w:w="948" w:type="dxa"/>
            <w:tcBorders>
              <w:top w:val="single" w:color="auto" w:sz="4" w:space="0"/>
              <w:left w:val="single" w:color="auto" w:sz="4" w:space="0"/>
              <w:bottom w:val="single" w:color="auto" w:sz="4" w:space="0"/>
              <w:right w:val="single" w:color="auto" w:sz="4" w:space="0"/>
            </w:tcBorders>
            <w:vAlign w:val="center"/>
          </w:tcPr>
          <w:p w14:paraId="60EC0A9E">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4.2.3</w:t>
            </w:r>
          </w:p>
        </w:tc>
        <w:tc>
          <w:tcPr>
            <w:tcW w:w="2801" w:type="dxa"/>
            <w:tcBorders>
              <w:top w:val="single" w:color="auto" w:sz="4" w:space="0"/>
              <w:left w:val="single" w:color="auto" w:sz="4" w:space="0"/>
              <w:bottom w:val="single" w:color="auto" w:sz="4" w:space="0"/>
              <w:right w:val="single" w:color="auto" w:sz="4" w:space="0"/>
            </w:tcBorders>
            <w:vAlign w:val="center"/>
          </w:tcPr>
          <w:p w14:paraId="35CD0E52">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是否退还投标文件</w:t>
            </w:r>
          </w:p>
        </w:tc>
        <w:tc>
          <w:tcPr>
            <w:tcW w:w="5525" w:type="dxa"/>
            <w:tcBorders>
              <w:top w:val="single" w:color="auto" w:sz="4" w:space="0"/>
              <w:left w:val="single" w:color="auto" w:sz="4" w:space="0"/>
              <w:bottom w:val="single" w:color="auto" w:sz="4" w:space="0"/>
              <w:right w:val="single" w:color="auto" w:sz="4" w:space="0"/>
            </w:tcBorders>
            <w:vAlign w:val="center"/>
          </w:tcPr>
          <w:p w14:paraId="3557A074">
            <w:pPr>
              <w:topLinePunct/>
              <w:snapToGrid w:val="0"/>
              <w:ind w:left="-55" w:leftChars="-26" w:right="-59" w:rightChars="-28"/>
              <w:rPr>
                <w:rFonts w:ascii="宋体" w:hAnsi="宋体" w:cs="宋体"/>
                <w:szCs w:val="21"/>
                <w:highlight w:val="none"/>
              </w:rPr>
            </w:pPr>
            <w:r>
              <w:rPr>
                <w:rFonts w:hint="eastAsia" w:ascii="宋体" w:hAnsi="宋体" w:cs="宋体"/>
                <w:szCs w:val="21"/>
                <w:highlight w:val="none"/>
              </w:rPr>
              <w:t>■否</w:t>
            </w:r>
          </w:p>
          <w:p w14:paraId="397D3DEB">
            <w:pPr>
              <w:snapToGrid w:val="0"/>
              <w:ind w:left="-55" w:leftChars="-26" w:right="-59" w:rightChars="-28"/>
              <w:rPr>
                <w:rFonts w:ascii="宋体" w:hAnsi="宋体" w:cs="宋体"/>
                <w:szCs w:val="21"/>
                <w:highlight w:val="none"/>
                <w:u w:val="single"/>
              </w:rPr>
            </w:pPr>
            <w:r>
              <w:rPr>
                <w:rFonts w:hint="eastAsia" w:ascii="宋体" w:hAnsi="宋体" w:cs="宋体"/>
                <w:szCs w:val="21"/>
                <w:highlight w:val="none"/>
              </w:rPr>
              <w:t>□是</w:t>
            </w:r>
          </w:p>
        </w:tc>
      </w:tr>
      <w:tr w14:paraId="0B019817">
        <w:tblPrEx>
          <w:tblCellMar>
            <w:top w:w="57" w:type="dxa"/>
            <w:left w:w="108" w:type="dxa"/>
            <w:bottom w:w="57" w:type="dxa"/>
            <w:right w:w="108" w:type="dxa"/>
          </w:tblCellMar>
        </w:tblPrEx>
        <w:trPr>
          <w:trHeight w:val="660" w:hRule="atLeast"/>
        </w:trPr>
        <w:tc>
          <w:tcPr>
            <w:tcW w:w="948" w:type="dxa"/>
            <w:tcBorders>
              <w:top w:val="single" w:color="auto" w:sz="4" w:space="0"/>
              <w:left w:val="single" w:color="auto" w:sz="4" w:space="0"/>
              <w:bottom w:val="single" w:color="auto" w:sz="4" w:space="0"/>
              <w:right w:val="single" w:color="auto" w:sz="4" w:space="0"/>
            </w:tcBorders>
            <w:vAlign w:val="center"/>
          </w:tcPr>
          <w:p w14:paraId="30370B8D">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5.1</w:t>
            </w:r>
          </w:p>
        </w:tc>
        <w:tc>
          <w:tcPr>
            <w:tcW w:w="2801" w:type="dxa"/>
            <w:tcBorders>
              <w:top w:val="single" w:color="auto" w:sz="4" w:space="0"/>
              <w:left w:val="single" w:color="auto" w:sz="4" w:space="0"/>
              <w:bottom w:val="single" w:color="auto" w:sz="4" w:space="0"/>
              <w:right w:val="single" w:color="auto" w:sz="4" w:space="0"/>
            </w:tcBorders>
            <w:vAlign w:val="center"/>
          </w:tcPr>
          <w:p w14:paraId="5D9F5221">
            <w:pPr>
              <w:snapToGrid w:val="0"/>
              <w:ind w:left="-55" w:leftChars="-26" w:right="-59" w:rightChars="-28"/>
              <w:jc w:val="center"/>
              <w:rPr>
                <w:rFonts w:ascii="宋体" w:hAnsi="宋体" w:cs="宋体"/>
                <w:szCs w:val="21"/>
                <w:highlight w:val="none"/>
              </w:rPr>
            </w:pPr>
            <w:r>
              <w:rPr>
                <w:rFonts w:hint="eastAsia" w:ascii="宋体" w:hAnsi="宋体" w:cs="宋体"/>
                <w:szCs w:val="21"/>
                <w:highlight w:val="none"/>
              </w:rPr>
              <w:t>开标开始时间和地点</w:t>
            </w:r>
          </w:p>
        </w:tc>
        <w:tc>
          <w:tcPr>
            <w:tcW w:w="5525" w:type="dxa"/>
            <w:tcBorders>
              <w:top w:val="single" w:color="auto" w:sz="4" w:space="0"/>
              <w:left w:val="single" w:color="auto" w:sz="4" w:space="0"/>
              <w:bottom w:val="single" w:color="auto" w:sz="4" w:space="0"/>
              <w:right w:val="single" w:color="auto" w:sz="4" w:space="0"/>
            </w:tcBorders>
            <w:vAlign w:val="center"/>
          </w:tcPr>
          <w:p w14:paraId="69BD9AA3">
            <w:pPr>
              <w:snapToGrid w:val="0"/>
              <w:ind w:left="-55" w:leftChars="-26" w:right="-59" w:rightChars="-28"/>
              <w:rPr>
                <w:rFonts w:ascii="宋体" w:hAnsi="宋体" w:cs="宋体"/>
                <w:szCs w:val="21"/>
                <w:highlight w:val="none"/>
              </w:rPr>
            </w:pPr>
            <w:r>
              <w:rPr>
                <w:rFonts w:hint="eastAsia" w:ascii="宋体" w:hAnsi="宋体" w:cs="宋体"/>
                <w:szCs w:val="21"/>
                <w:highlight w:val="none"/>
              </w:rPr>
              <w:t>开标时间同投标截止时间。在电子招标投标交易平台进行网上开标。</w:t>
            </w:r>
          </w:p>
        </w:tc>
      </w:tr>
      <w:tr w14:paraId="44C5D948">
        <w:tblPrEx>
          <w:tblCellMar>
            <w:top w:w="57" w:type="dxa"/>
            <w:left w:w="108" w:type="dxa"/>
            <w:bottom w:w="57" w:type="dxa"/>
            <w:right w:w="108" w:type="dxa"/>
          </w:tblCellMar>
        </w:tblPrEx>
        <w:trPr>
          <w:trHeight w:val="1635" w:hRule="atLeast"/>
        </w:trPr>
        <w:tc>
          <w:tcPr>
            <w:tcW w:w="948" w:type="dxa"/>
            <w:tcBorders>
              <w:top w:val="single" w:color="auto" w:sz="4" w:space="0"/>
              <w:left w:val="single" w:color="auto" w:sz="4" w:space="0"/>
              <w:bottom w:val="single" w:color="auto" w:sz="4" w:space="0"/>
              <w:right w:val="single" w:color="auto" w:sz="4" w:space="0"/>
            </w:tcBorders>
            <w:vAlign w:val="center"/>
          </w:tcPr>
          <w:p w14:paraId="05B2D373">
            <w:pPr>
              <w:jc w:val="center"/>
              <w:rPr>
                <w:rFonts w:ascii="宋体" w:hAnsi="宋体" w:cs="宋体"/>
                <w:szCs w:val="21"/>
                <w:highlight w:val="none"/>
              </w:rPr>
            </w:pPr>
            <w:r>
              <w:rPr>
                <w:rFonts w:hint="eastAsia" w:ascii="宋体" w:hAnsi="宋体" w:cs="宋体"/>
                <w:szCs w:val="21"/>
                <w:highlight w:val="none"/>
              </w:rPr>
              <w:t>5.2</w:t>
            </w:r>
          </w:p>
        </w:tc>
        <w:tc>
          <w:tcPr>
            <w:tcW w:w="2801" w:type="dxa"/>
            <w:tcBorders>
              <w:top w:val="single" w:color="auto" w:sz="4" w:space="0"/>
              <w:left w:val="single" w:color="auto" w:sz="4" w:space="0"/>
              <w:bottom w:val="single" w:color="auto" w:sz="4" w:space="0"/>
              <w:right w:val="single" w:color="auto" w:sz="4" w:space="0"/>
            </w:tcBorders>
            <w:vAlign w:val="center"/>
          </w:tcPr>
          <w:p w14:paraId="0AAD9285">
            <w:pPr>
              <w:jc w:val="center"/>
              <w:rPr>
                <w:rFonts w:ascii="宋体" w:hAnsi="宋体" w:cs="宋体"/>
                <w:szCs w:val="21"/>
                <w:highlight w:val="none"/>
              </w:rPr>
            </w:pPr>
            <w:r>
              <w:rPr>
                <w:rFonts w:hint="eastAsia" w:ascii="宋体" w:hAnsi="宋体" w:cs="宋体"/>
                <w:szCs w:val="21"/>
                <w:highlight w:val="none"/>
              </w:rPr>
              <w:t>开标程序</w:t>
            </w:r>
          </w:p>
        </w:tc>
        <w:tc>
          <w:tcPr>
            <w:tcW w:w="5525" w:type="dxa"/>
            <w:tcBorders>
              <w:top w:val="single" w:color="auto" w:sz="4" w:space="0"/>
              <w:left w:val="single" w:color="auto" w:sz="4" w:space="0"/>
              <w:bottom w:val="single" w:color="auto" w:sz="4" w:space="0"/>
              <w:right w:val="single" w:color="auto" w:sz="4" w:space="0"/>
            </w:tcBorders>
            <w:vAlign w:val="center"/>
          </w:tcPr>
          <w:p w14:paraId="190BCF9B">
            <w:pPr>
              <w:snapToGrid w:val="0"/>
              <w:rPr>
                <w:rFonts w:ascii="宋体" w:hAnsi="宋体" w:cs="宋体"/>
                <w:szCs w:val="21"/>
                <w:highlight w:val="none"/>
                <w:u w:val="single"/>
              </w:rPr>
            </w:pPr>
            <w:r>
              <w:rPr>
                <w:rFonts w:hint="eastAsia" w:ascii="宋体" w:hAnsi="宋体" w:cs="宋体"/>
                <w:szCs w:val="21"/>
                <w:highlight w:val="none"/>
                <w:u w:val="single"/>
              </w:rPr>
              <w:t>主持人按下列程序进行开标：</w:t>
            </w:r>
          </w:p>
          <w:p w14:paraId="0FE81E22">
            <w:pPr>
              <w:snapToGrid w:val="0"/>
              <w:rPr>
                <w:rFonts w:ascii="宋体" w:hAnsi="宋体" w:cs="宋体"/>
                <w:szCs w:val="21"/>
                <w:highlight w:val="none"/>
                <w:u w:val="single"/>
              </w:rPr>
            </w:pPr>
            <w:r>
              <w:rPr>
                <w:rFonts w:hint="eastAsia" w:ascii="宋体" w:hAnsi="宋体" w:cs="宋体"/>
                <w:szCs w:val="21"/>
                <w:highlight w:val="none"/>
                <w:u w:val="single"/>
              </w:rPr>
              <w:t>（1）宣布开标纪律；</w:t>
            </w:r>
          </w:p>
          <w:p w14:paraId="619E6FEA">
            <w:pPr>
              <w:snapToGrid w:val="0"/>
              <w:rPr>
                <w:rFonts w:ascii="宋体" w:hAnsi="宋体" w:cs="宋体"/>
                <w:szCs w:val="21"/>
                <w:highlight w:val="none"/>
                <w:u w:val="single"/>
              </w:rPr>
            </w:pPr>
            <w:r>
              <w:rPr>
                <w:rFonts w:hint="eastAsia" w:ascii="宋体" w:hAnsi="宋体" w:cs="宋体"/>
                <w:szCs w:val="21"/>
                <w:highlight w:val="none"/>
                <w:u w:val="single"/>
              </w:rPr>
              <w:t>（2）公布在投标截止时间前递交投标文件的投标人名称；</w:t>
            </w:r>
          </w:p>
          <w:p w14:paraId="033D6759">
            <w:pPr>
              <w:snapToGrid w:val="0"/>
              <w:rPr>
                <w:rFonts w:ascii="宋体" w:hAnsi="宋体" w:cs="宋体"/>
                <w:szCs w:val="21"/>
                <w:highlight w:val="none"/>
                <w:u w:val="single"/>
              </w:rPr>
            </w:pPr>
            <w:r>
              <w:rPr>
                <w:rFonts w:hint="eastAsia" w:ascii="宋体" w:hAnsi="宋体" w:cs="宋体"/>
                <w:szCs w:val="21"/>
                <w:highlight w:val="none"/>
                <w:u w:val="single"/>
              </w:rPr>
              <w:t>（3）在投标截止时间后一个小时内，投标人通过递交投标文件的交易平台对已递交的电子投标文件进行解密。投标人完成解密后，再由招标人进行解密（投标人只用执行一次解密，招标人执行解密次数根据招标文件开标次数确定）。</w:t>
            </w:r>
          </w:p>
          <w:p w14:paraId="4E7160AF">
            <w:pPr>
              <w:snapToGrid w:val="0"/>
              <w:rPr>
                <w:rFonts w:ascii="宋体" w:hAnsi="宋体" w:cs="宋体"/>
                <w:szCs w:val="21"/>
                <w:highlight w:val="none"/>
                <w:u w:val="single"/>
              </w:rPr>
            </w:pPr>
            <w:r>
              <w:rPr>
                <w:rFonts w:hint="eastAsia" w:ascii="宋体" w:hAnsi="宋体" w:cs="宋体"/>
                <w:szCs w:val="21"/>
                <w:highlight w:val="none"/>
                <w:u w:val="single"/>
              </w:rPr>
              <w:t>（4）解密完成后，公布：a投标人名称；b投标文件递交情况；c投标文件解密情况；d投标担保递交情况；e项目负责人、设计负责人、技术负责人、专职安全员；f投标报价（含设计费报价和建安工程费报价）；g工期；h质量标准；i投标人的加密打包投标文件电脑机器特征码等主要内容，并记录在案。未在规定时间内解密的投标文件不参与开标、评标。</w:t>
            </w:r>
          </w:p>
          <w:p w14:paraId="069A1271">
            <w:pPr>
              <w:snapToGrid w:val="0"/>
              <w:rPr>
                <w:rFonts w:ascii="宋体" w:hAnsi="宋体" w:cs="宋体"/>
                <w:szCs w:val="21"/>
                <w:highlight w:val="none"/>
                <w:u w:val="single"/>
              </w:rPr>
            </w:pPr>
            <w:r>
              <w:rPr>
                <w:rFonts w:hint="eastAsia" w:ascii="宋体" w:hAnsi="宋体" w:cs="宋体"/>
                <w:szCs w:val="21"/>
                <w:highlight w:val="none"/>
                <w:u w:val="single"/>
              </w:rPr>
              <w:t>（5）截标后，开标开始时间因故推迟的，相关评标信息仍以原定的开标开始时间的信息为准。</w:t>
            </w:r>
          </w:p>
          <w:p w14:paraId="3014C8A5">
            <w:pPr>
              <w:snapToGrid w:val="0"/>
              <w:rPr>
                <w:rFonts w:ascii="宋体" w:hAnsi="宋体" w:cs="宋体"/>
                <w:szCs w:val="21"/>
                <w:highlight w:val="none"/>
                <w:u w:val="single"/>
              </w:rPr>
            </w:pPr>
            <w:r>
              <w:rPr>
                <w:rFonts w:hint="eastAsia" w:ascii="宋体" w:hAnsi="宋体" w:cs="宋体"/>
                <w:szCs w:val="21"/>
                <w:highlight w:val="none"/>
                <w:u w:val="single"/>
              </w:rPr>
              <w:t>（6）备用光盘的读取按“10 电子招标投标”第6点的规定执行。</w:t>
            </w:r>
          </w:p>
          <w:p w14:paraId="47DA97C3">
            <w:pPr>
              <w:snapToGrid w:val="0"/>
              <w:rPr>
                <w:rFonts w:ascii="宋体" w:hAnsi="宋体" w:cs="宋体"/>
                <w:szCs w:val="21"/>
                <w:highlight w:val="none"/>
                <w:u w:val="single"/>
              </w:rPr>
            </w:pPr>
            <w:r>
              <w:rPr>
                <w:rFonts w:hint="eastAsia" w:ascii="宋体" w:hAnsi="宋体" w:cs="宋体"/>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1CA824D1">
            <w:pPr>
              <w:snapToGrid w:val="0"/>
              <w:rPr>
                <w:rFonts w:ascii="宋体" w:hAnsi="宋体" w:cs="宋体"/>
                <w:szCs w:val="21"/>
                <w:highlight w:val="none"/>
                <w:u w:val="single"/>
              </w:rPr>
            </w:pPr>
            <w:r>
              <w:rPr>
                <w:rFonts w:hint="eastAsia" w:ascii="宋体" w:hAnsi="宋体" w:cs="宋体"/>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0B50FB7E">
            <w:pPr>
              <w:snapToGrid w:val="0"/>
              <w:rPr>
                <w:rFonts w:ascii="宋体" w:hAnsi="宋体" w:cs="宋体"/>
                <w:szCs w:val="21"/>
                <w:highlight w:val="none"/>
                <w:u w:val="single"/>
              </w:rPr>
            </w:pPr>
            <w:r>
              <w:rPr>
                <w:rFonts w:hint="eastAsia" w:ascii="宋体" w:hAnsi="宋体" w:cs="宋体"/>
                <w:szCs w:val="21"/>
                <w:highlight w:val="none"/>
                <w:u w:val="single"/>
              </w:rPr>
              <w:t>（9）投标人未参加开标或在规定的时间内未提出异议的，视为对开标无异议。</w:t>
            </w:r>
          </w:p>
          <w:p w14:paraId="7D0C94C5">
            <w:pPr>
              <w:snapToGrid w:val="0"/>
              <w:ind w:left="-55" w:leftChars="-26" w:right="-59" w:rightChars="-28"/>
              <w:rPr>
                <w:rFonts w:ascii="宋体" w:hAnsi="宋体" w:cs="宋体"/>
                <w:szCs w:val="21"/>
                <w:highlight w:val="none"/>
              </w:rPr>
            </w:pPr>
            <w:r>
              <w:rPr>
                <w:rFonts w:hint="eastAsia" w:ascii="宋体" w:hAnsi="宋体" w:cs="宋体"/>
                <w:szCs w:val="21"/>
                <w:highlight w:val="none"/>
              </w:rPr>
              <w:t>（10）开标时，两个（含两个）以上的投标人加密打包投标文件电脑机器特征码一致的，不参与下一程序，并由评标委员会否决其投标。</w:t>
            </w:r>
          </w:p>
          <w:p w14:paraId="42D0AFC9">
            <w:pPr>
              <w:snapToGrid w:val="0"/>
              <w:ind w:left="-55" w:leftChars="-26" w:right="-59" w:rightChars="-28"/>
              <w:rPr>
                <w:rFonts w:ascii="宋体" w:hAnsi="宋体" w:cs="宋体"/>
                <w:szCs w:val="21"/>
                <w:highlight w:val="none"/>
              </w:rPr>
            </w:pPr>
            <w:r>
              <w:rPr>
                <w:rFonts w:hint="eastAsia" w:ascii="宋体" w:hAnsi="宋体" w:cs="宋体"/>
                <w:szCs w:val="21"/>
                <w:highlight w:val="none"/>
              </w:rPr>
              <w:t>（11）投标人代表、招标人代表、监标人、记录人等有关人员在开标记录上签字确认；若有关人员不签字的，不影响开标程序；</w:t>
            </w:r>
          </w:p>
          <w:p w14:paraId="2A578730">
            <w:pPr>
              <w:snapToGrid w:val="0"/>
              <w:ind w:left="-55" w:leftChars="-26" w:right="-59" w:rightChars="-28"/>
              <w:rPr>
                <w:rFonts w:ascii="宋体" w:hAnsi="宋体" w:cs="宋体"/>
                <w:szCs w:val="21"/>
                <w:highlight w:val="none"/>
              </w:rPr>
            </w:pPr>
            <w:r>
              <w:rPr>
                <w:rFonts w:hint="eastAsia" w:ascii="宋体" w:hAnsi="宋体" w:cs="宋体"/>
                <w:szCs w:val="21"/>
                <w:highlight w:val="none"/>
              </w:rPr>
              <w:t>（12）开标结束。</w:t>
            </w:r>
          </w:p>
        </w:tc>
      </w:tr>
      <w:tr w14:paraId="11AD633B">
        <w:tblPrEx>
          <w:tblCellMar>
            <w:top w:w="57" w:type="dxa"/>
            <w:left w:w="108" w:type="dxa"/>
            <w:bottom w:w="57" w:type="dxa"/>
            <w:right w:w="108" w:type="dxa"/>
          </w:tblCellMar>
        </w:tblPrEx>
        <w:trPr>
          <w:trHeight w:val="542" w:hRule="atLeast"/>
        </w:trPr>
        <w:tc>
          <w:tcPr>
            <w:tcW w:w="948" w:type="dxa"/>
            <w:tcBorders>
              <w:top w:val="single" w:color="auto" w:sz="4" w:space="0"/>
              <w:left w:val="single" w:color="auto" w:sz="4" w:space="0"/>
              <w:bottom w:val="single" w:color="auto" w:sz="4" w:space="0"/>
              <w:right w:val="single" w:color="auto" w:sz="4" w:space="0"/>
            </w:tcBorders>
            <w:vAlign w:val="center"/>
          </w:tcPr>
          <w:p w14:paraId="68BD48C2">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6.1.1</w:t>
            </w:r>
          </w:p>
        </w:tc>
        <w:tc>
          <w:tcPr>
            <w:tcW w:w="2801" w:type="dxa"/>
            <w:tcBorders>
              <w:top w:val="single" w:color="auto" w:sz="4" w:space="0"/>
              <w:left w:val="single" w:color="auto" w:sz="4" w:space="0"/>
              <w:bottom w:val="single" w:color="auto" w:sz="4" w:space="0"/>
              <w:right w:val="single" w:color="auto" w:sz="4" w:space="0"/>
            </w:tcBorders>
            <w:vAlign w:val="center"/>
          </w:tcPr>
          <w:p w14:paraId="6B4388A2">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评标委员会的组建</w:t>
            </w:r>
          </w:p>
        </w:tc>
        <w:tc>
          <w:tcPr>
            <w:tcW w:w="5525" w:type="dxa"/>
            <w:tcBorders>
              <w:top w:val="single" w:color="auto" w:sz="4" w:space="0"/>
              <w:left w:val="single" w:color="auto" w:sz="4" w:space="0"/>
              <w:bottom w:val="single" w:color="auto" w:sz="4" w:space="0"/>
              <w:right w:val="single" w:color="auto" w:sz="4" w:space="0"/>
            </w:tcBorders>
            <w:vAlign w:val="center"/>
          </w:tcPr>
          <w:p w14:paraId="7F493DF5">
            <w:pPr>
              <w:snapToGrid w:val="0"/>
              <w:ind w:left="-55" w:leftChars="-26" w:right="-59" w:rightChars="-28"/>
              <w:rPr>
                <w:rFonts w:ascii="宋体" w:hAnsi="宋体" w:cs="宋体"/>
                <w:szCs w:val="21"/>
                <w:highlight w:val="none"/>
              </w:rPr>
            </w:pPr>
            <w:r>
              <w:rPr>
                <w:rFonts w:hint="eastAsia" w:ascii="宋体" w:hAnsi="宋体" w:cs="宋体"/>
                <w:highlight w:val="none"/>
              </w:rPr>
              <w:t>评标委员会由招标人依法组建。</w:t>
            </w:r>
          </w:p>
        </w:tc>
      </w:tr>
      <w:tr w14:paraId="18C395FF">
        <w:tblPrEx>
          <w:tblCellMar>
            <w:top w:w="57" w:type="dxa"/>
            <w:left w:w="108" w:type="dxa"/>
            <w:bottom w:w="57" w:type="dxa"/>
            <w:right w:w="108" w:type="dxa"/>
          </w:tblCellMar>
        </w:tblPrEx>
        <w:trPr>
          <w:trHeight w:val="90" w:hRule="atLeast"/>
        </w:trPr>
        <w:tc>
          <w:tcPr>
            <w:tcW w:w="948" w:type="dxa"/>
            <w:tcBorders>
              <w:top w:val="single" w:color="auto" w:sz="4" w:space="0"/>
              <w:left w:val="single" w:color="auto" w:sz="4" w:space="0"/>
              <w:bottom w:val="single" w:color="auto" w:sz="4" w:space="0"/>
              <w:right w:val="single" w:color="auto" w:sz="4" w:space="0"/>
            </w:tcBorders>
            <w:vAlign w:val="center"/>
          </w:tcPr>
          <w:p w14:paraId="29E2F3EC">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7.1</w:t>
            </w:r>
          </w:p>
        </w:tc>
        <w:tc>
          <w:tcPr>
            <w:tcW w:w="2801" w:type="dxa"/>
            <w:tcBorders>
              <w:top w:val="single" w:color="auto" w:sz="4" w:space="0"/>
              <w:left w:val="single" w:color="auto" w:sz="4" w:space="0"/>
              <w:bottom w:val="single" w:color="auto" w:sz="4" w:space="0"/>
              <w:right w:val="single" w:color="auto" w:sz="4" w:space="0"/>
            </w:tcBorders>
            <w:vAlign w:val="center"/>
          </w:tcPr>
          <w:p w14:paraId="62524E18">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是否授权评标委员会确定中标人</w:t>
            </w:r>
          </w:p>
        </w:tc>
        <w:tc>
          <w:tcPr>
            <w:tcW w:w="5525" w:type="dxa"/>
            <w:tcBorders>
              <w:top w:val="single" w:color="auto" w:sz="4" w:space="0"/>
              <w:left w:val="single" w:color="auto" w:sz="4" w:space="0"/>
              <w:bottom w:val="single" w:color="auto" w:sz="4" w:space="0"/>
              <w:right w:val="single" w:color="auto" w:sz="4" w:space="0"/>
            </w:tcBorders>
            <w:vAlign w:val="center"/>
          </w:tcPr>
          <w:p w14:paraId="53ED8CB1">
            <w:pPr>
              <w:snapToGrid w:val="0"/>
              <w:ind w:left="-55" w:leftChars="-26" w:right="-59" w:rightChars="-28"/>
              <w:rPr>
                <w:rFonts w:ascii="宋体" w:hAnsi="宋体" w:cs="宋体"/>
                <w:szCs w:val="21"/>
                <w:highlight w:val="none"/>
              </w:rPr>
            </w:pPr>
            <w:r>
              <w:rPr>
                <w:rFonts w:hint="eastAsia" w:ascii="宋体" w:hAnsi="宋体" w:cs="宋体"/>
                <w:szCs w:val="21"/>
                <w:highlight w:val="none"/>
              </w:rPr>
              <w:t>□是</w:t>
            </w:r>
          </w:p>
          <w:p w14:paraId="4675CD69">
            <w:pPr>
              <w:snapToGrid w:val="0"/>
              <w:ind w:left="-55" w:leftChars="-26" w:right="-59" w:rightChars="-28"/>
              <w:rPr>
                <w:rFonts w:ascii="宋体" w:hAnsi="宋体" w:cs="宋体"/>
                <w:szCs w:val="21"/>
                <w:highlight w:val="none"/>
              </w:rPr>
            </w:pPr>
            <w:r>
              <w:rPr>
                <w:rFonts w:hint="eastAsia" w:ascii="宋体" w:hAnsi="宋体" w:cs="宋体"/>
                <w:szCs w:val="21"/>
                <w:highlight w:val="none"/>
              </w:rPr>
              <w:t>■否，推荐的中标候选人数：</w:t>
            </w:r>
            <w:r>
              <w:rPr>
                <w:rFonts w:hint="eastAsia" w:ascii="宋体" w:hAnsi="宋体" w:cs="宋体"/>
                <w:szCs w:val="21"/>
                <w:highlight w:val="none"/>
                <w:u w:val="single"/>
              </w:rPr>
              <w:t>3人</w:t>
            </w:r>
          </w:p>
        </w:tc>
      </w:tr>
      <w:tr w14:paraId="44A2BF20">
        <w:tblPrEx>
          <w:tblCellMar>
            <w:top w:w="57" w:type="dxa"/>
            <w:left w:w="108" w:type="dxa"/>
            <w:bottom w:w="57" w:type="dxa"/>
            <w:right w:w="108" w:type="dxa"/>
          </w:tblCellMar>
        </w:tblPrEx>
        <w:trPr>
          <w:trHeight w:val="1688" w:hRule="atLeast"/>
        </w:trPr>
        <w:tc>
          <w:tcPr>
            <w:tcW w:w="948" w:type="dxa"/>
            <w:tcBorders>
              <w:top w:val="single" w:color="auto" w:sz="4" w:space="0"/>
              <w:left w:val="single" w:color="auto" w:sz="4" w:space="0"/>
              <w:right w:val="single" w:color="auto" w:sz="4" w:space="0"/>
            </w:tcBorders>
            <w:vAlign w:val="center"/>
          </w:tcPr>
          <w:p w14:paraId="242027D5">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7.2</w:t>
            </w:r>
          </w:p>
        </w:tc>
        <w:tc>
          <w:tcPr>
            <w:tcW w:w="2801" w:type="dxa"/>
            <w:tcBorders>
              <w:top w:val="single" w:color="auto" w:sz="4" w:space="0"/>
              <w:left w:val="single" w:color="auto" w:sz="4" w:space="0"/>
              <w:right w:val="single" w:color="auto" w:sz="4" w:space="0"/>
            </w:tcBorders>
            <w:vAlign w:val="center"/>
          </w:tcPr>
          <w:p w14:paraId="697970A4">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中标候选人公示媒介</w:t>
            </w:r>
          </w:p>
        </w:tc>
        <w:tc>
          <w:tcPr>
            <w:tcW w:w="5525" w:type="dxa"/>
            <w:tcBorders>
              <w:top w:val="single" w:color="auto" w:sz="4" w:space="0"/>
              <w:left w:val="single" w:color="auto" w:sz="4" w:space="0"/>
              <w:right w:val="single" w:color="auto" w:sz="4" w:space="0"/>
            </w:tcBorders>
            <w:vAlign w:val="center"/>
          </w:tcPr>
          <w:p w14:paraId="3D2DE81C">
            <w:pPr>
              <w:snapToGrid w:val="0"/>
              <w:ind w:left="-55" w:leftChars="-26" w:right="-59" w:rightChars="-28"/>
              <w:rPr>
                <w:rFonts w:ascii="宋体" w:hAnsi="宋体" w:cs="宋体"/>
                <w:szCs w:val="21"/>
                <w:highlight w:val="none"/>
              </w:rPr>
            </w:pPr>
            <w:r>
              <w:rPr>
                <w:rFonts w:hint="eastAsia" w:ascii="宋体" w:hAnsi="宋体" w:cs="宋体"/>
                <w:kern w:val="0"/>
                <w:szCs w:val="21"/>
                <w:highlight w:val="none"/>
                <w:u w:val="single"/>
              </w:rPr>
              <w:t>中国招标投标公共服务平台、广东省招标投标监管网、广州交易集团有限公司（广州公共资源交易中心）网站。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4DAB25E2">
        <w:tblPrEx>
          <w:tblCellMar>
            <w:top w:w="57" w:type="dxa"/>
            <w:left w:w="108" w:type="dxa"/>
            <w:bottom w:w="57" w:type="dxa"/>
            <w:right w:w="108" w:type="dxa"/>
          </w:tblCellMar>
        </w:tblPrEx>
        <w:trPr>
          <w:trHeight w:val="1062" w:hRule="atLeast"/>
        </w:trPr>
        <w:tc>
          <w:tcPr>
            <w:tcW w:w="948" w:type="dxa"/>
            <w:tcBorders>
              <w:top w:val="single" w:color="auto" w:sz="4" w:space="0"/>
              <w:left w:val="single" w:color="auto" w:sz="4" w:space="0"/>
              <w:bottom w:val="single" w:color="auto" w:sz="4" w:space="0"/>
              <w:right w:val="single" w:color="auto" w:sz="4" w:space="0"/>
            </w:tcBorders>
            <w:vAlign w:val="center"/>
          </w:tcPr>
          <w:p w14:paraId="6DB26D42">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7.4.1</w:t>
            </w:r>
          </w:p>
        </w:tc>
        <w:tc>
          <w:tcPr>
            <w:tcW w:w="2801" w:type="dxa"/>
            <w:tcBorders>
              <w:top w:val="single" w:color="auto" w:sz="4" w:space="0"/>
              <w:left w:val="single" w:color="auto" w:sz="4" w:space="0"/>
              <w:bottom w:val="single" w:color="auto" w:sz="4" w:space="0"/>
              <w:right w:val="single" w:color="auto" w:sz="4" w:space="0"/>
            </w:tcBorders>
            <w:vAlign w:val="center"/>
          </w:tcPr>
          <w:p w14:paraId="3175034B">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履约担保</w:t>
            </w:r>
          </w:p>
        </w:tc>
        <w:tc>
          <w:tcPr>
            <w:tcW w:w="5525" w:type="dxa"/>
            <w:tcBorders>
              <w:top w:val="single" w:color="auto" w:sz="4" w:space="0"/>
              <w:left w:val="single" w:color="auto" w:sz="4" w:space="0"/>
              <w:bottom w:val="single" w:color="auto" w:sz="4" w:space="0"/>
              <w:right w:val="single" w:color="auto" w:sz="4" w:space="0"/>
            </w:tcBorders>
            <w:vAlign w:val="center"/>
          </w:tcPr>
          <w:p w14:paraId="380EA58A">
            <w:pPr>
              <w:jc w:val="left"/>
              <w:rPr>
                <w:rFonts w:ascii="宋体" w:hAnsi="宋体" w:cs="宋体"/>
                <w:szCs w:val="21"/>
                <w:highlight w:val="none"/>
              </w:rPr>
            </w:pPr>
            <w:r>
              <w:rPr>
                <w:rFonts w:hint="eastAsia" w:ascii="宋体" w:hAnsi="宋体" w:cs="宋体"/>
                <w:szCs w:val="21"/>
                <w:highlight w:val="none"/>
              </w:rPr>
              <w:t>履约担保的形式：以合同约定为准。</w:t>
            </w:r>
          </w:p>
          <w:p w14:paraId="4EDC5137">
            <w:pPr>
              <w:jc w:val="left"/>
              <w:rPr>
                <w:rFonts w:ascii="宋体" w:hAnsi="宋体" w:cs="宋体"/>
                <w:highlight w:val="none"/>
                <w:u w:val="single"/>
              </w:rPr>
            </w:pPr>
            <w:r>
              <w:rPr>
                <w:rFonts w:hint="eastAsia" w:ascii="宋体" w:hAnsi="宋体" w:cs="宋体"/>
                <w:szCs w:val="21"/>
                <w:highlight w:val="none"/>
              </w:rPr>
              <w:t>履约担保的金额：</w:t>
            </w:r>
            <w:r>
              <w:rPr>
                <w:rFonts w:hint="eastAsia" w:ascii="宋体" w:hAnsi="宋体" w:cs="宋体"/>
                <w:highlight w:val="none"/>
              </w:rPr>
              <w:t>中标人（若为联合体，指联合体施工方）提供的履约担保为中标价款的10%。</w:t>
            </w:r>
          </w:p>
        </w:tc>
      </w:tr>
      <w:tr w14:paraId="50572992">
        <w:tblPrEx>
          <w:tblCellMar>
            <w:top w:w="57" w:type="dxa"/>
            <w:left w:w="108" w:type="dxa"/>
            <w:bottom w:w="57" w:type="dxa"/>
            <w:right w:w="108" w:type="dxa"/>
          </w:tblCellMar>
        </w:tblPrEx>
        <w:tc>
          <w:tcPr>
            <w:tcW w:w="948" w:type="dxa"/>
            <w:tcBorders>
              <w:top w:val="single" w:color="auto" w:sz="4" w:space="0"/>
              <w:left w:val="single" w:color="auto" w:sz="4" w:space="0"/>
              <w:bottom w:val="single" w:color="auto" w:sz="4" w:space="0"/>
              <w:right w:val="single" w:color="auto" w:sz="4" w:space="0"/>
            </w:tcBorders>
            <w:vAlign w:val="center"/>
          </w:tcPr>
          <w:p w14:paraId="5A3B5090">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w:t>
            </w:r>
          </w:p>
        </w:tc>
        <w:tc>
          <w:tcPr>
            <w:tcW w:w="2801" w:type="dxa"/>
            <w:tcBorders>
              <w:top w:val="single" w:color="auto" w:sz="4" w:space="0"/>
              <w:left w:val="single" w:color="auto" w:sz="4" w:space="0"/>
              <w:bottom w:val="single" w:color="auto" w:sz="4" w:space="0"/>
              <w:right w:val="single" w:color="auto" w:sz="4" w:space="0"/>
            </w:tcBorders>
            <w:vAlign w:val="center"/>
          </w:tcPr>
          <w:p w14:paraId="46307F2B">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承包方式</w:t>
            </w:r>
          </w:p>
        </w:tc>
        <w:tc>
          <w:tcPr>
            <w:tcW w:w="5525" w:type="dxa"/>
            <w:tcBorders>
              <w:top w:val="single" w:color="auto" w:sz="4" w:space="0"/>
              <w:left w:val="single" w:color="auto" w:sz="4" w:space="0"/>
              <w:bottom w:val="single" w:color="auto" w:sz="4" w:space="0"/>
              <w:right w:val="single" w:color="auto" w:sz="4" w:space="0"/>
            </w:tcBorders>
            <w:vAlign w:val="center"/>
          </w:tcPr>
          <w:p w14:paraId="369A5DF7">
            <w:pPr>
              <w:rPr>
                <w:rFonts w:ascii="宋体" w:hAnsi="宋体" w:cs="宋体"/>
                <w:highlight w:val="none"/>
              </w:rPr>
            </w:pPr>
            <w:r>
              <w:rPr>
                <w:rFonts w:hint="eastAsia" w:ascii="宋体" w:hAnsi="宋体" w:cs="宋体"/>
                <w:highlight w:val="none"/>
              </w:rPr>
              <w:t>包设计、包工、包料、包设备、包工期、包质量、包施工图预算编制、工程量清单编制、包造价控制、包安全、包文明施工、包项目协调管理、包验收移交、包竣工资料收集整理、包编制竣工图、包保修。综合单价包干，措施费项目包干。</w:t>
            </w:r>
          </w:p>
          <w:p w14:paraId="6E9B8219">
            <w:pPr>
              <w:rPr>
                <w:rFonts w:ascii="宋体" w:hAnsi="宋体" w:cs="宋体"/>
                <w:highlight w:val="none"/>
              </w:rPr>
            </w:pPr>
            <w:r>
              <w:rPr>
                <w:rFonts w:hint="eastAsia" w:ascii="宋体" w:hAnsi="宋体" w:cs="宋体"/>
                <w:highlight w:val="none"/>
              </w:rPr>
              <w:t>结算方式具体按合同条款规定。</w:t>
            </w:r>
          </w:p>
          <w:p w14:paraId="392B9179">
            <w:pPr>
              <w:rPr>
                <w:rFonts w:ascii="宋体" w:hAnsi="宋体" w:cs="宋体"/>
                <w:highlight w:val="none"/>
              </w:rPr>
            </w:pPr>
            <w:r>
              <w:rPr>
                <w:rFonts w:hint="eastAsia" w:ascii="宋体" w:hAnsi="宋体" w:cs="宋体"/>
                <w:highlight w:val="none"/>
              </w:rPr>
              <w:t>项目在施工阶段，因工程实施环境变化等任何因素引起的设计及施工调整、设计和施工最终造价不得超过招标控制价。</w:t>
            </w:r>
          </w:p>
          <w:p w14:paraId="713F26ED">
            <w:pPr>
              <w:rPr>
                <w:rFonts w:ascii="宋体" w:hAnsi="宋体" w:cs="宋体"/>
                <w:highlight w:val="none"/>
              </w:rPr>
            </w:pPr>
            <w:r>
              <w:rPr>
                <w:rFonts w:hint="eastAsia" w:ascii="宋体" w:hAnsi="宋体" w:cs="宋体"/>
                <w:highlight w:val="none"/>
              </w:rPr>
              <w:t>本工程实行全过程限额设计施工，限额投资。工程变更需经过建设单位审定后方可实施。</w:t>
            </w:r>
          </w:p>
        </w:tc>
      </w:tr>
      <w:tr w14:paraId="5F2377B5">
        <w:tblPrEx>
          <w:tblCellMar>
            <w:top w:w="57" w:type="dxa"/>
            <w:left w:w="108" w:type="dxa"/>
            <w:bottom w:w="57"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vAlign w:val="center"/>
          </w:tcPr>
          <w:p w14:paraId="59A6756F">
            <w:pPr>
              <w:snapToGrid w:val="0"/>
              <w:spacing w:line="240" w:lineRule="exact"/>
              <w:ind w:left="-55" w:leftChars="-26" w:right="-59" w:rightChars="-28"/>
              <w:jc w:val="center"/>
              <w:rPr>
                <w:rFonts w:ascii="宋体" w:hAnsi="宋体" w:cs="宋体"/>
                <w:b/>
                <w:szCs w:val="21"/>
                <w:highlight w:val="none"/>
              </w:rPr>
            </w:pPr>
            <w:r>
              <w:rPr>
                <w:rFonts w:hint="eastAsia" w:ascii="宋体" w:hAnsi="宋体" w:cs="宋体"/>
                <w:b/>
                <w:szCs w:val="21"/>
                <w:highlight w:val="none"/>
              </w:rPr>
              <w:t>9</w:t>
            </w:r>
          </w:p>
        </w:tc>
        <w:tc>
          <w:tcPr>
            <w:tcW w:w="8326" w:type="dxa"/>
            <w:gridSpan w:val="2"/>
            <w:tcBorders>
              <w:top w:val="single" w:color="auto" w:sz="4" w:space="0"/>
              <w:left w:val="single" w:color="auto" w:sz="4" w:space="0"/>
              <w:bottom w:val="single" w:color="auto" w:sz="4" w:space="0"/>
              <w:right w:val="single" w:color="auto" w:sz="4" w:space="0"/>
            </w:tcBorders>
            <w:vAlign w:val="center"/>
          </w:tcPr>
          <w:p w14:paraId="7EAB6509">
            <w:pPr>
              <w:snapToGrid w:val="0"/>
              <w:ind w:left="-55" w:leftChars="-26" w:right="-59" w:rightChars="-28"/>
              <w:jc w:val="center"/>
              <w:rPr>
                <w:rFonts w:ascii="宋体" w:hAnsi="宋体" w:cs="宋体"/>
                <w:b/>
                <w:szCs w:val="21"/>
                <w:highlight w:val="none"/>
              </w:rPr>
            </w:pPr>
            <w:r>
              <w:rPr>
                <w:rFonts w:hint="eastAsia" w:ascii="宋体" w:hAnsi="宋体" w:cs="宋体"/>
                <w:b/>
                <w:szCs w:val="21"/>
                <w:highlight w:val="none"/>
              </w:rPr>
              <w:t>需要补充的其他内容</w:t>
            </w:r>
          </w:p>
        </w:tc>
      </w:tr>
      <w:tr w14:paraId="1912038C">
        <w:tblPrEx>
          <w:tblCellMar>
            <w:top w:w="57" w:type="dxa"/>
            <w:left w:w="108" w:type="dxa"/>
            <w:bottom w:w="57" w:type="dxa"/>
            <w:right w:w="108" w:type="dxa"/>
          </w:tblCellMar>
        </w:tblPrEx>
        <w:trPr>
          <w:trHeight w:val="2629" w:hRule="atLeast"/>
        </w:trPr>
        <w:tc>
          <w:tcPr>
            <w:tcW w:w="948" w:type="dxa"/>
            <w:tcBorders>
              <w:top w:val="single" w:color="auto" w:sz="4" w:space="0"/>
              <w:left w:val="single" w:color="auto" w:sz="4" w:space="0"/>
              <w:bottom w:val="single" w:color="auto" w:sz="4" w:space="0"/>
              <w:right w:val="single" w:color="auto" w:sz="4" w:space="0"/>
            </w:tcBorders>
            <w:vAlign w:val="center"/>
          </w:tcPr>
          <w:p w14:paraId="0FAD7F39">
            <w:pPr>
              <w:snapToGrid w:val="0"/>
              <w:spacing w:line="240" w:lineRule="exact"/>
              <w:ind w:left="-55" w:leftChars="-26" w:right="-59" w:rightChars="-28"/>
              <w:jc w:val="center"/>
              <w:rPr>
                <w:rFonts w:ascii="宋体" w:hAnsi="宋体" w:cs="宋体"/>
                <w:b/>
                <w:szCs w:val="21"/>
                <w:highlight w:val="none"/>
              </w:rPr>
            </w:pPr>
            <w:r>
              <w:rPr>
                <w:rFonts w:hint="eastAsia" w:ascii="宋体" w:hAnsi="宋体" w:cs="宋体"/>
                <w:bCs/>
                <w:szCs w:val="21"/>
                <w:highlight w:val="none"/>
              </w:rPr>
              <w:t>9.1</w:t>
            </w:r>
          </w:p>
        </w:tc>
        <w:tc>
          <w:tcPr>
            <w:tcW w:w="8326" w:type="dxa"/>
            <w:gridSpan w:val="2"/>
            <w:tcBorders>
              <w:top w:val="single" w:color="auto" w:sz="4" w:space="0"/>
              <w:left w:val="single" w:color="auto" w:sz="4" w:space="0"/>
              <w:bottom w:val="single" w:color="auto" w:sz="4" w:space="0"/>
              <w:right w:val="single" w:color="auto" w:sz="4" w:space="0"/>
            </w:tcBorders>
            <w:vAlign w:val="center"/>
          </w:tcPr>
          <w:p w14:paraId="477D129D">
            <w:pPr>
              <w:rPr>
                <w:rFonts w:ascii="宋体" w:hAnsi="宋体" w:cs="宋体"/>
                <w:b/>
                <w:bCs/>
                <w:highlight w:val="none"/>
              </w:rPr>
            </w:pPr>
            <w:r>
              <w:rPr>
                <w:rFonts w:hint="eastAsia" w:ascii="宋体" w:hAnsi="宋体" w:cs="宋体"/>
                <w:b/>
                <w:bCs/>
                <w:highlight w:val="none"/>
              </w:rPr>
              <w:t>建设工程质量检测管理办法:</w:t>
            </w:r>
          </w:p>
          <w:p w14:paraId="227634AD">
            <w:pPr>
              <w:rPr>
                <w:rFonts w:ascii="宋体" w:hAnsi="宋体" w:cs="宋体"/>
                <w:highlight w:val="none"/>
                <w:u w:val="single"/>
              </w:rPr>
            </w:pPr>
            <w:r>
              <w:rPr>
                <w:rFonts w:hint="eastAsia" w:ascii="宋体" w:hAnsi="宋体" w:cs="宋体"/>
                <w:highlight w:val="none"/>
                <w:u w:val="single"/>
              </w:rPr>
              <w:t>根据《建设工程质量检测管理办法》(建设部令〔2022〕第57号)第二十一条规定，非建设单位委托的检测机构出具的检测报告不得作为工程质量验收资料。招标文件中与此条不一致的，以此条为准。</w:t>
            </w:r>
          </w:p>
          <w:p w14:paraId="30222F4D">
            <w:pPr>
              <w:rPr>
                <w:rFonts w:ascii="宋体" w:hAnsi="宋体" w:cs="宋体"/>
                <w:b/>
                <w:bCs/>
                <w:highlight w:val="none"/>
              </w:rPr>
            </w:pPr>
            <w:r>
              <w:rPr>
                <w:rFonts w:hint="eastAsia" w:ascii="宋体" w:hAnsi="宋体" w:cs="宋体"/>
                <w:b/>
                <w:bCs/>
                <w:highlight w:val="none"/>
              </w:rPr>
              <w:t>建设工程质量检测单位：</w:t>
            </w:r>
          </w:p>
          <w:p w14:paraId="48A58869">
            <w:pPr>
              <w:snapToGrid w:val="0"/>
              <w:ind w:left="-55" w:leftChars="-26" w:right="-59" w:rightChars="-28"/>
              <w:jc w:val="left"/>
              <w:rPr>
                <w:rFonts w:ascii="宋体" w:hAnsi="宋体" w:cs="宋体"/>
                <w:b/>
                <w:szCs w:val="21"/>
                <w:highlight w:val="none"/>
              </w:rPr>
            </w:pPr>
            <w:r>
              <w:rPr>
                <w:rFonts w:hint="eastAsia" w:ascii="宋体" w:hAnsi="宋体" w:cs="宋体"/>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57FAF46A">
        <w:tblPrEx>
          <w:tblCellMar>
            <w:top w:w="57" w:type="dxa"/>
            <w:left w:w="108" w:type="dxa"/>
            <w:bottom w:w="57" w:type="dxa"/>
            <w:right w:w="108" w:type="dxa"/>
          </w:tblCellMar>
        </w:tblPrEx>
        <w:trPr>
          <w:trHeight w:val="90" w:hRule="atLeast"/>
        </w:trPr>
        <w:tc>
          <w:tcPr>
            <w:tcW w:w="948" w:type="dxa"/>
            <w:tcBorders>
              <w:top w:val="single" w:color="auto" w:sz="4" w:space="0"/>
              <w:left w:val="single" w:color="auto" w:sz="4" w:space="0"/>
              <w:bottom w:val="single" w:color="auto" w:sz="4" w:space="0"/>
              <w:right w:val="single" w:color="auto" w:sz="4" w:space="0"/>
            </w:tcBorders>
            <w:vAlign w:val="center"/>
          </w:tcPr>
          <w:p w14:paraId="22B876A0">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9.2</w:t>
            </w:r>
          </w:p>
        </w:tc>
        <w:tc>
          <w:tcPr>
            <w:tcW w:w="8326" w:type="dxa"/>
            <w:gridSpan w:val="2"/>
            <w:tcBorders>
              <w:top w:val="single" w:color="auto" w:sz="4" w:space="0"/>
              <w:left w:val="single" w:color="auto" w:sz="4" w:space="0"/>
              <w:bottom w:val="single" w:color="auto" w:sz="4" w:space="0"/>
              <w:right w:val="single" w:color="auto" w:sz="4" w:space="0"/>
            </w:tcBorders>
            <w:vAlign w:val="center"/>
          </w:tcPr>
          <w:p w14:paraId="22AF20A1">
            <w:pPr>
              <w:rPr>
                <w:rFonts w:ascii="宋体" w:hAnsi="宋体" w:cs="宋体"/>
                <w:highlight w:val="none"/>
              </w:rPr>
            </w:pPr>
            <w:r>
              <w:rPr>
                <w:rFonts w:hint="eastAsia" w:ascii="宋体" w:hAnsi="宋体" w:cs="宋体"/>
                <w:highlight w:val="none"/>
              </w:rPr>
              <w:t>在招标和合同实施期间，招标人要求投标人和承包人遵守最高的道德标准。</w:t>
            </w:r>
          </w:p>
          <w:p w14:paraId="2D0D2D47">
            <w:pPr>
              <w:rPr>
                <w:rFonts w:ascii="宋体" w:hAnsi="宋体" w:cs="宋体"/>
                <w:b/>
                <w:bCs/>
                <w:highlight w:val="none"/>
              </w:rPr>
            </w:pPr>
            <w:r>
              <w:rPr>
                <w:rFonts w:hint="eastAsia" w:ascii="宋体" w:hAnsi="宋体" w:cs="宋体"/>
                <w:b/>
                <w:bCs/>
                <w:highlight w:val="none"/>
              </w:rPr>
              <w:t>1.对本条款的规定，特定义如下词汇：</w:t>
            </w:r>
          </w:p>
          <w:p w14:paraId="53CC9AC7">
            <w:pPr>
              <w:ind w:firstLine="210" w:firstLineChars="100"/>
              <w:rPr>
                <w:rFonts w:ascii="宋体" w:hAnsi="宋体" w:cs="宋体"/>
                <w:highlight w:val="none"/>
              </w:rPr>
            </w:pPr>
            <w:r>
              <w:rPr>
                <w:rFonts w:hint="eastAsia" w:ascii="宋体" w:hAnsi="宋体" w:cs="宋体"/>
                <w:highlight w:val="none"/>
              </w:rPr>
              <w:t>1）“腐败行为”是指在招标或合同执行期间，通过提供、给予、接受或索要任何有价值的东西，从而影响招标人有关人员工作的行为；</w:t>
            </w:r>
          </w:p>
          <w:p w14:paraId="1B82C7B5">
            <w:pPr>
              <w:ind w:firstLine="210" w:firstLineChars="100"/>
              <w:rPr>
                <w:rFonts w:ascii="宋体" w:hAnsi="宋体" w:cs="宋体"/>
                <w:highlight w:val="none"/>
              </w:rPr>
            </w:pPr>
            <w:r>
              <w:rPr>
                <w:rFonts w:hint="eastAsia" w:ascii="宋体" w:hAnsi="宋体" w:cs="宋体"/>
                <w:highlight w:val="none"/>
              </w:rPr>
              <w:t>2）“欺诈行为”是指通过提供伪证影响招标或合同执行，从而损害招标人利益的行为；也包括投标人之间串通（在提交投标书之前或之后），人为地使招标过程失去竞争性，从而使业主无法从公开的自由竞争中获得利益的行为。</w:t>
            </w:r>
          </w:p>
          <w:p w14:paraId="6393F31B">
            <w:pPr>
              <w:snapToGrid w:val="0"/>
              <w:ind w:left="-55" w:leftChars="-26" w:right="-59" w:rightChars="-28"/>
              <w:rPr>
                <w:rFonts w:ascii="宋体" w:hAnsi="宋体" w:cs="宋体"/>
                <w:szCs w:val="21"/>
                <w:highlight w:val="none"/>
              </w:rPr>
            </w:pPr>
            <w:r>
              <w:rPr>
                <w:rFonts w:hint="eastAsia" w:ascii="宋体" w:hAnsi="宋体" w:cs="宋体"/>
                <w:b/>
                <w:bCs/>
                <w:highlight w:val="none"/>
              </w:rPr>
              <w:t>2.如果投标人被认定在本次招标的竞争中有腐败或欺诈行为，则会被取消投标资格。</w:t>
            </w:r>
          </w:p>
        </w:tc>
      </w:tr>
      <w:tr w14:paraId="5DE1AA52">
        <w:tblPrEx>
          <w:tblCellMar>
            <w:top w:w="57" w:type="dxa"/>
            <w:left w:w="108" w:type="dxa"/>
            <w:bottom w:w="57" w:type="dxa"/>
            <w:right w:w="108" w:type="dxa"/>
          </w:tblCellMar>
        </w:tblPrEx>
        <w:tc>
          <w:tcPr>
            <w:tcW w:w="948" w:type="dxa"/>
            <w:tcBorders>
              <w:top w:val="single" w:color="auto" w:sz="4" w:space="0"/>
              <w:left w:val="single" w:color="auto" w:sz="4" w:space="0"/>
              <w:bottom w:val="single" w:color="auto" w:sz="4" w:space="0"/>
              <w:right w:val="single" w:color="auto" w:sz="4" w:space="0"/>
            </w:tcBorders>
            <w:vAlign w:val="center"/>
          </w:tcPr>
          <w:p w14:paraId="5D5ADD51">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9.3</w:t>
            </w:r>
          </w:p>
        </w:tc>
        <w:tc>
          <w:tcPr>
            <w:tcW w:w="8326" w:type="dxa"/>
            <w:gridSpan w:val="2"/>
            <w:tcBorders>
              <w:top w:val="single" w:color="auto" w:sz="4" w:space="0"/>
              <w:left w:val="single" w:color="auto" w:sz="4" w:space="0"/>
              <w:bottom w:val="single" w:color="auto" w:sz="4" w:space="0"/>
              <w:right w:val="single" w:color="auto" w:sz="4" w:space="0"/>
            </w:tcBorders>
            <w:vAlign w:val="center"/>
          </w:tcPr>
          <w:p w14:paraId="4E5EC837">
            <w:pPr>
              <w:snapToGrid w:val="0"/>
              <w:ind w:left="-55" w:leftChars="-26" w:right="-59" w:rightChars="-28"/>
              <w:rPr>
                <w:rFonts w:ascii="宋体" w:hAnsi="宋体" w:cs="宋体"/>
                <w:b/>
                <w:bCs/>
                <w:highlight w:val="none"/>
              </w:rPr>
            </w:pPr>
            <w:r>
              <w:rPr>
                <w:rFonts w:hint="eastAsia" w:ascii="宋体" w:hAnsi="宋体" w:cs="宋体"/>
                <w:highlight w:val="none"/>
              </w:rPr>
              <w:t>本项目的监理、施工图审查、第三方检测工作、可行性研究报告的编制工作、方案设计、初步设计、节能评估服务、造价咨询工作不列入本次招标范围。</w:t>
            </w:r>
          </w:p>
        </w:tc>
      </w:tr>
      <w:tr w14:paraId="63DA7049">
        <w:tblPrEx>
          <w:tblCellMar>
            <w:top w:w="57" w:type="dxa"/>
            <w:left w:w="108" w:type="dxa"/>
            <w:bottom w:w="57"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vAlign w:val="center"/>
          </w:tcPr>
          <w:p w14:paraId="38932228">
            <w:pPr>
              <w:jc w:val="center"/>
              <w:rPr>
                <w:rFonts w:ascii="宋体" w:hAnsi="宋体" w:cs="宋体"/>
                <w:szCs w:val="21"/>
                <w:highlight w:val="none"/>
              </w:rPr>
            </w:pPr>
            <w:r>
              <w:rPr>
                <w:rFonts w:hint="eastAsia" w:ascii="宋体" w:hAnsi="宋体" w:cs="宋体"/>
                <w:szCs w:val="21"/>
                <w:highlight w:val="none"/>
              </w:rPr>
              <w:t>9.4</w:t>
            </w:r>
          </w:p>
        </w:tc>
        <w:tc>
          <w:tcPr>
            <w:tcW w:w="8326" w:type="dxa"/>
            <w:gridSpan w:val="2"/>
            <w:tcBorders>
              <w:top w:val="single" w:color="auto" w:sz="4" w:space="0"/>
              <w:left w:val="single" w:color="auto" w:sz="4" w:space="0"/>
              <w:bottom w:val="single" w:color="auto" w:sz="4" w:space="0"/>
              <w:right w:val="single" w:color="auto" w:sz="4" w:space="0"/>
            </w:tcBorders>
            <w:vAlign w:val="center"/>
          </w:tcPr>
          <w:p w14:paraId="2958C882">
            <w:pPr>
              <w:pStyle w:val="80"/>
              <w:ind w:firstLine="0" w:firstLineChars="0"/>
              <w:rPr>
                <w:rFonts w:ascii="宋体" w:hAnsi="宋体" w:cs="宋体"/>
                <w:szCs w:val="21"/>
                <w:highlight w:val="none"/>
              </w:rPr>
            </w:pPr>
            <w:r>
              <w:rPr>
                <w:rFonts w:hint="eastAsia" w:ascii="宋体" w:hAnsi="宋体" w:cs="宋体"/>
                <w:szCs w:val="21"/>
                <w:highlight w:val="none"/>
              </w:rPr>
              <w:t>施工保修期限：按照《建设工程质量管理条例》规定及合同要求。</w:t>
            </w:r>
          </w:p>
        </w:tc>
      </w:tr>
      <w:tr w14:paraId="7AB6EE82">
        <w:tblPrEx>
          <w:tblCellMar>
            <w:top w:w="57" w:type="dxa"/>
            <w:left w:w="108" w:type="dxa"/>
            <w:bottom w:w="57"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vAlign w:val="center"/>
          </w:tcPr>
          <w:p w14:paraId="5241A17E">
            <w:pPr>
              <w:jc w:val="center"/>
              <w:rPr>
                <w:rFonts w:ascii="宋体" w:hAnsi="宋体" w:cs="宋体"/>
                <w:szCs w:val="21"/>
                <w:highlight w:val="none"/>
              </w:rPr>
            </w:pPr>
            <w:r>
              <w:rPr>
                <w:rFonts w:hint="eastAsia" w:ascii="宋体" w:hAnsi="宋体" w:cs="宋体"/>
                <w:szCs w:val="21"/>
                <w:highlight w:val="none"/>
              </w:rPr>
              <w:t>9.5</w:t>
            </w:r>
          </w:p>
        </w:tc>
        <w:tc>
          <w:tcPr>
            <w:tcW w:w="8326" w:type="dxa"/>
            <w:gridSpan w:val="2"/>
            <w:tcBorders>
              <w:top w:val="single" w:color="auto" w:sz="4" w:space="0"/>
              <w:left w:val="single" w:color="auto" w:sz="4" w:space="0"/>
              <w:bottom w:val="single" w:color="auto" w:sz="4" w:space="0"/>
              <w:right w:val="single" w:color="auto" w:sz="4" w:space="0"/>
            </w:tcBorders>
            <w:vAlign w:val="center"/>
          </w:tcPr>
          <w:p w14:paraId="4B1969BD">
            <w:pPr>
              <w:jc w:val="left"/>
              <w:rPr>
                <w:rFonts w:ascii="宋体" w:hAnsi="宋体" w:cs="宋体"/>
                <w:szCs w:val="21"/>
                <w:highlight w:val="none"/>
              </w:rPr>
            </w:pPr>
            <w:r>
              <w:rPr>
                <w:rFonts w:hint="eastAsia" w:ascii="宋体" w:hAnsi="宋体" w:cs="宋体"/>
                <w:szCs w:val="21"/>
                <w:highlight w:val="none"/>
              </w:rPr>
              <w:t>投标文件中需同时填写大写和小写的，大写和小写不一致时以大写为准。</w:t>
            </w:r>
          </w:p>
        </w:tc>
      </w:tr>
      <w:tr w14:paraId="1C7D3ED8">
        <w:tblPrEx>
          <w:tblCellMar>
            <w:top w:w="57" w:type="dxa"/>
            <w:left w:w="108" w:type="dxa"/>
            <w:bottom w:w="57" w:type="dxa"/>
            <w:right w:w="108" w:type="dxa"/>
          </w:tblCellMar>
        </w:tblPrEx>
        <w:trPr>
          <w:trHeight w:val="676" w:hRule="atLeast"/>
        </w:trPr>
        <w:tc>
          <w:tcPr>
            <w:tcW w:w="948" w:type="dxa"/>
            <w:tcBorders>
              <w:top w:val="single" w:color="auto" w:sz="4" w:space="0"/>
              <w:left w:val="single" w:color="auto" w:sz="4" w:space="0"/>
              <w:bottom w:val="single" w:color="auto" w:sz="4" w:space="0"/>
              <w:right w:val="single" w:color="auto" w:sz="4" w:space="0"/>
            </w:tcBorders>
            <w:vAlign w:val="center"/>
          </w:tcPr>
          <w:p w14:paraId="203C7C24">
            <w:pPr>
              <w:jc w:val="center"/>
              <w:rPr>
                <w:rFonts w:ascii="宋体" w:hAnsi="宋体" w:cs="宋体"/>
                <w:szCs w:val="21"/>
                <w:highlight w:val="none"/>
              </w:rPr>
            </w:pPr>
            <w:r>
              <w:rPr>
                <w:rFonts w:hint="eastAsia" w:ascii="宋体" w:hAnsi="宋体" w:cs="宋体"/>
                <w:szCs w:val="21"/>
                <w:highlight w:val="none"/>
              </w:rPr>
              <w:t>9.6</w:t>
            </w:r>
          </w:p>
        </w:tc>
        <w:tc>
          <w:tcPr>
            <w:tcW w:w="8326" w:type="dxa"/>
            <w:gridSpan w:val="2"/>
            <w:tcBorders>
              <w:top w:val="single" w:color="auto" w:sz="4" w:space="0"/>
              <w:left w:val="single" w:color="auto" w:sz="4" w:space="0"/>
              <w:bottom w:val="single" w:color="auto" w:sz="4" w:space="0"/>
              <w:right w:val="single" w:color="auto" w:sz="4" w:space="0"/>
            </w:tcBorders>
            <w:vAlign w:val="center"/>
          </w:tcPr>
          <w:p w14:paraId="692F8713">
            <w:pPr>
              <w:jc w:val="left"/>
              <w:rPr>
                <w:rFonts w:ascii="宋体" w:hAnsi="宋体" w:cs="宋体"/>
                <w:szCs w:val="21"/>
                <w:highlight w:val="none"/>
              </w:rPr>
            </w:pPr>
            <w:r>
              <w:rPr>
                <w:rFonts w:hint="eastAsia" w:ascii="宋体" w:hAnsi="宋体" w:cs="宋体"/>
                <w:szCs w:val="21"/>
                <w:highlight w:val="none"/>
              </w:rPr>
              <w:t>开工前中标人应当投保安全生产责任保险，且该保险保障场所应包含中标项目。投标人的投标报价视为包含该项费用。</w:t>
            </w:r>
          </w:p>
        </w:tc>
      </w:tr>
      <w:tr w14:paraId="566CC408">
        <w:tblPrEx>
          <w:tblCellMar>
            <w:top w:w="57" w:type="dxa"/>
            <w:left w:w="108" w:type="dxa"/>
            <w:bottom w:w="57"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vAlign w:val="center"/>
          </w:tcPr>
          <w:p w14:paraId="04322E9B">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10</w:t>
            </w:r>
          </w:p>
        </w:tc>
        <w:tc>
          <w:tcPr>
            <w:tcW w:w="2801" w:type="dxa"/>
            <w:tcBorders>
              <w:top w:val="single" w:color="auto" w:sz="4" w:space="0"/>
              <w:left w:val="single" w:color="auto" w:sz="4" w:space="0"/>
              <w:bottom w:val="single" w:color="auto" w:sz="4" w:space="0"/>
              <w:right w:val="single" w:color="auto" w:sz="4" w:space="0"/>
            </w:tcBorders>
            <w:vAlign w:val="center"/>
          </w:tcPr>
          <w:p w14:paraId="64B35D91">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电子招标投标</w:t>
            </w:r>
          </w:p>
        </w:tc>
        <w:tc>
          <w:tcPr>
            <w:tcW w:w="5525" w:type="dxa"/>
            <w:tcBorders>
              <w:top w:val="single" w:color="auto" w:sz="4" w:space="0"/>
              <w:left w:val="single" w:color="auto" w:sz="4" w:space="0"/>
              <w:bottom w:val="single" w:color="auto" w:sz="4" w:space="0"/>
              <w:right w:val="single" w:color="auto" w:sz="4" w:space="0"/>
            </w:tcBorders>
            <w:vAlign w:val="center"/>
          </w:tcPr>
          <w:p w14:paraId="1EE842D9">
            <w:pPr>
              <w:rPr>
                <w:rFonts w:ascii="宋体" w:hAnsi="宋体" w:cs="宋体"/>
                <w:highlight w:val="none"/>
                <w:lang w:val="zh-CN"/>
              </w:rPr>
            </w:pPr>
            <w:r>
              <w:rPr>
                <w:rFonts w:hint="eastAsia" w:ascii="宋体" w:hAnsi="宋体" w:cs="宋体"/>
                <w:highlight w:val="none"/>
                <w:lang w:val="zh-CN"/>
              </w:rPr>
              <w:t>□否</w:t>
            </w:r>
          </w:p>
          <w:p w14:paraId="7C329CAC">
            <w:pPr>
              <w:rPr>
                <w:rFonts w:ascii="宋体" w:hAnsi="宋体" w:cs="宋体"/>
                <w:highlight w:val="none"/>
                <w:lang w:val="zh-CN"/>
              </w:rPr>
            </w:pPr>
            <w:r>
              <w:rPr>
                <w:rFonts w:hint="eastAsia" w:ascii="宋体" w:hAnsi="宋体" w:cs="宋体"/>
                <w:highlight w:val="none"/>
                <w:lang w:val="zh-CN"/>
              </w:rPr>
              <w:t>■是</w:t>
            </w:r>
          </w:p>
          <w:p w14:paraId="16B2AA4C">
            <w:pPr>
              <w:rPr>
                <w:rFonts w:ascii="宋体" w:hAnsi="宋体" w:cs="宋体"/>
                <w:highlight w:val="none"/>
                <w:lang w:val="zh-CN"/>
              </w:rPr>
            </w:pPr>
            <w:r>
              <w:rPr>
                <w:rFonts w:hint="eastAsia" w:ascii="宋体" w:hAnsi="宋体" w:cs="宋体"/>
                <w:b/>
                <w:bCs/>
                <w:highlight w:val="none"/>
                <w:lang w:val="zh-CN"/>
              </w:rPr>
              <w:t>1、投标文件形式：</w:t>
            </w:r>
            <w:r>
              <w:rPr>
                <w:rFonts w:hint="eastAsia" w:ascii="宋体" w:hAnsi="宋体" w:cs="宋体"/>
                <w:highlight w:val="none"/>
                <w:lang w:val="zh-CN"/>
              </w:rPr>
              <w:t>投标文件全部采用电子文档，投标文件所附证书证件均为原件扫描件，并采用单位数字证书，对投标文件加盖电子印章。投标文件中需个人签字或盖章的，应加盖个人电子印章或在线下完成后扫描上传。投标文件应按广州交易集团有限公司（广州公共资源交易中心）数字交易平台相关操作指南编制。如不按上述要求编制引起系统无法检索、读取相关信息的，其后果由投标人承担。具体操作详见：《房屋建筑和市政基础设施工程全流程电子化项目专章》。</w:t>
            </w:r>
          </w:p>
          <w:p w14:paraId="7D9ED680">
            <w:pPr>
              <w:rPr>
                <w:rFonts w:ascii="宋体" w:hAnsi="宋体" w:cs="宋体"/>
                <w:b/>
                <w:bCs/>
                <w:highlight w:val="none"/>
                <w:u w:val="single"/>
                <w:lang w:val="zh-CN"/>
              </w:rPr>
            </w:pPr>
            <w:r>
              <w:rPr>
                <w:rFonts w:hint="eastAsia" w:ascii="宋体" w:hAnsi="宋体" w:cs="宋体"/>
                <w:b/>
                <w:bCs/>
                <w:highlight w:val="none"/>
                <w:u w:val="single"/>
                <w:lang w:val="zh-CN"/>
              </w:rPr>
              <w:t>注释：投标文件电子文档需要投标人单位盖章的材料，投标人加盖电子印章即可，不得将投标人未对电子文档加盖实物印章作为否决投标的情形。</w:t>
            </w:r>
          </w:p>
          <w:p w14:paraId="0994B0DA">
            <w:pPr>
              <w:rPr>
                <w:rFonts w:ascii="宋体" w:hAnsi="宋体" w:cs="宋体"/>
                <w:highlight w:val="none"/>
                <w:lang w:val="zh-CN"/>
              </w:rPr>
            </w:pPr>
            <w:r>
              <w:rPr>
                <w:rFonts w:hint="eastAsia" w:ascii="宋体" w:hAnsi="宋体" w:cs="宋体"/>
                <w:b/>
                <w:bCs/>
                <w:highlight w:val="none"/>
                <w:lang w:val="zh-CN"/>
              </w:rPr>
              <w:t>2、投标文件的修改与撤回：</w:t>
            </w:r>
            <w:r>
              <w:rPr>
                <w:rFonts w:hint="eastAsia" w:ascii="宋体" w:hAnsi="宋体" w:cs="宋体"/>
                <w:highlight w:val="none"/>
                <w:lang w:val="zh-CN"/>
              </w:rPr>
              <w:t>投标人修改或撤回已递交的投标文件，需在广州交易集团有限公司（广州公共资源交易中心）数字交易平台发出撤回通知，并按要求加盖电子印章。电子招标投标交易平台收到通知后，即时向投标人发出确认回执通知。投标人撤回投标文件的，招标人自收到投标人书面撤回通知之日起5日内退还已收取的投标保证金。</w:t>
            </w:r>
          </w:p>
          <w:p w14:paraId="4EAFCCE0">
            <w:pPr>
              <w:rPr>
                <w:rFonts w:ascii="宋体" w:hAnsi="宋体" w:cs="宋体"/>
                <w:highlight w:val="none"/>
                <w:lang w:val="zh-CN"/>
              </w:rPr>
            </w:pPr>
            <w:r>
              <w:rPr>
                <w:rFonts w:hint="eastAsia" w:ascii="宋体" w:hAnsi="宋体" w:cs="宋体"/>
                <w:b/>
                <w:bCs/>
                <w:highlight w:val="none"/>
                <w:lang w:val="zh-CN"/>
              </w:rPr>
              <w:t>3、（重要风险提示）备用光盘或</w:t>
            </w:r>
            <w:r>
              <w:rPr>
                <w:rFonts w:hint="eastAsia" w:ascii="宋体" w:hAnsi="宋体" w:cs="宋体"/>
                <w:b/>
                <w:bCs/>
                <w:highlight w:val="none"/>
              </w:rPr>
              <w:t>U盘</w:t>
            </w:r>
            <w:r>
              <w:rPr>
                <w:rFonts w:hint="eastAsia" w:ascii="宋体" w:hAnsi="宋体" w:cs="宋体"/>
                <w:b/>
                <w:bCs/>
                <w:highlight w:val="none"/>
                <w:lang w:val="zh-CN"/>
              </w:rPr>
              <w:t>。</w:t>
            </w:r>
            <w:r>
              <w:rPr>
                <w:rFonts w:hint="eastAsia" w:ascii="宋体" w:hAnsi="宋体" w:cs="宋体"/>
                <w:highlight w:val="none"/>
                <w:lang w:val="zh-CN"/>
              </w:rPr>
              <w:t>投标人可使用投标文件制作工具生成非加密的电子投标文件载入光盘或</w:t>
            </w:r>
            <w:r>
              <w:rPr>
                <w:rFonts w:hint="eastAsia" w:ascii="宋体" w:hAnsi="宋体" w:cs="宋体"/>
                <w:highlight w:val="none"/>
              </w:rPr>
              <w:t>U盘</w:t>
            </w:r>
            <w:r>
              <w:rPr>
                <w:rFonts w:hint="eastAsia" w:ascii="宋体" w:hAnsi="宋体" w:cs="宋体"/>
                <w:highlight w:val="none"/>
                <w:lang w:val="zh-CN"/>
              </w:rPr>
              <w:t>（1份，载体形式由投标人自选），在规定的时间、地点提交备用。（刻录好的投标文件光盘或U盘密封在密封袋中，并在封口处加盖投标人单位公章。密封袋上应写明项目名称和招标人名称。递交的投标文件光盘或U盘(备用)不得加密。光盘或</w:t>
            </w:r>
            <w:r>
              <w:rPr>
                <w:rFonts w:hint="eastAsia" w:ascii="宋体" w:hAnsi="宋体" w:cs="宋体"/>
                <w:highlight w:val="none"/>
              </w:rPr>
              <w:t>U盘</w:t>
            </w:r>
            <w:r>
              <w:rPr>
                <w:rFonts w:hint="eastAsia" w:ascii="宋体" w:hAnsi="宋体" w:cs="宋体"/>
                <w:highlight w:val="none"/>
                <w:lang w:val="zh-CN"/>
              </w:rPr>
              <w:t>（备用投标文件）无法读取或导入的，则视为未提交投标文件光盘或</w:t>
            </w:r>
            <w:r>
              <w:rPr>
                <w:rFonts w:hint="eastAsia" w:ascii="宋体" w:hAnsi="宋体" w:cs="宋体"/>
                <w:highlight w:val="none"/>
              </w:rPr>
              <w:t>U盘</w:t>
            </w:r>
            <w:r>
              <w:rPr>
                <w:rFonts w:hint="eastAsia" w:ascii="宋体" w:hAnsi="宋体" w:cs="宋体"/>
                <w:highlight w:val="none"/>
                <w:lang w:val="zh-CN"/>
              </w:rPr>
              <w:t>(备用)。如果投标人没有按规定通过交易平台网上递交电子投标文件的，不再读取提交的光盘或</w:t>
            </w:r>
            <w:r>
              <w:rPr>
                <w:rFonts w:hint="eastAsia" w:ascii="宋体" w:hAnsi="宋体" w:cs="宋体"/>
                <w:highlight w:val="none"/>
              </w:rPr>
              <w:t>U盘</w:t>
            </w:r>
            <w:r>
              <w:rPr>
                <w:rFonts w:hint="eastAsia" w:ascii="宋体" w:hAnsi="宋体" w:cs="宋体"/>
                <w:highlight w:val="none"/>
                <w:lang w:val="zh-CN"/>
              </w:rPr>
              <w:t>。投标人也可不提交投标文件光盘或</w:t>
            </w:r>
            <w:r>
              <w:rPr>
                <w:rFonts w:hint="eastAsia" w:ascii="宋体" w:hAnsi="宋体" w:cs="宋体"/>
                <w:highlight w:val="none"/>
              </w:rPr>
              <w:t>U盘</w:t>
            </w:r>
            <w:r>
              <w:rPr>
                <w:rFonts w:hint="eastAsia" w:ascii="宋体" w:hAnsi="宋体" w:cs="宋体"/>
                <w:highlight w:val="none"/>
                <w:lang w:val="zh-CN"/>
              </w:rPr>
              <w:t>(备用)。</w:t>
            </w:r>
          </w:p>
          <w:p w14:paraId="4CCAC7AE">
            <w:pPr>
              <w:rPr>
                <w:rFonts w:ascii="宋体" w:hAnsi="宋体" w:cs="宋体"/>
                <w:b/>
                <w:bCs/>
                <w:highlight w:val="none"/>
                <w:lang w:val="zh-CN"/>
              </w:rPr>
            </w:pPr>
            <w:r>
              <w:rPr>
                <w:rFonts w:hint="eastAsia" w:ascii="宋体" w:hAnsi="宋体" w:cs="宋体"/>
                <w:b/>
                <w:bCs/>
                <w:highlight w:val="none"/>
                <w:lang w:val="zh-CN"/>
              </w:rPr>
              <w:t>4、投标文件的递交：</w:t>
            </w:r>
          </w:p>
          <w:p w14:paraId="3BAAEADF">
            <w:pPr>
              <w:rPr>
                <w:rFonts w:ascii="宋体" w:hAnsi="宋体" w:cs="宋体"/>
                <w:highlight w:val="none"/>
                <w:lang w:val="zh-CN"/>
              </w:rPr>
            </w:pPr>
            <w:r>
              <w:rPr>
                <w:rFonts w:hint="eastAsia" w:ascii="宋体" w:hAnsi="宋体" w:cs="宋体"/>
                <w:highlight w:val="none"/>
                <w:lang w:val="zh-CN"/>
              </w:rPr>
              <w:t>①投标文件递交的截止时间（投标截止时间，下同）为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r>
              <w:rPr>
                <w:rFonts w:hint="eastAsia" w:ascii="宋体" w:hAnsi="宋体" w:cs="宋体"/>
                <w:highlight w:val="none"/>
                <w:lang w:val="zh-CN"/>
              </w:rPr>
              <w:t>，投标人应在截止时间前通过电子招标投标交易平台递交电子投标文件。</w:t>
            </w:r>
          </w:p>
          <w:p w14:paraId="3C4B431E">
            <w:pPr>
              <w:rPr>
                <w:rFonts w:ascii="宋体" w:hAnsi="宋体" w:cs="宋体"/>
                <w:highlight w:val="none"/>
                <w:lang w:val="zh-CN"/>
              </w:rPr>
            </w:pPr>
            <w:r>
              <w:rPr>
                <w:rFonts w:hint="eastAsia" w:ascii="宋体" w:hAnsi="宋体" w:cs="宋体"/>
                <w:highlight w:val="none"/>
                <w:lang w:val="zh-CN"/>
              </w:rPr>
              <w:t>②提交投标文件备用光盘或U盘。</w:t>
            </w:r>
          </w:p>
          <w:p w14:paraId="15755667">
            <w:pPr>
              <w:rPr>
                <w:rFonts w:ascii="宋体" w:hAnsi="宋体" w:cs="宋体"/>
                <w:highlight w:val="none"/>
                <w:lang w:val="zh-CN"/>
              </w:rPr>
            </w:pPr>
            <w:r>
              <w:rPr>
                <w:rFonts w:hint="eastAsia" w:ascii="宋体" w:hAnsi="宋体" w:cs="宋体"/>
                <w:highlight w:val="none"/>
                <w:lang w:val="zh-CN"/>
              </w:rPr>
              <w:t>投标文件光盘或U盘(备用)递交时间：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r>
              <w:rPr>
                <w:rFonts w:hint="eastAsia" w:ascii="宋体" w:hAnsi="宋体" w:cs="宋体"/>
                <w:highlight w:val="none"/>
                <w:lang w:val="zh-CN"/>
              </w:rPr>
              <w:t>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r>
              <w:rPr>
                <w:rFonts w:hint="eastAsia" w:ascii="宋体" w:hAnsi="宋体" w:cs="宋体"/>
                <w:highlight w:val="none"/>
                <w:lang w:val="zh-CN"/>
              </w:rPr>
              <w:t>，</w:t>
            </w:r>
            <w:r>
              <w:rPr>
                <w:rFonts w:hint="eastAsia" w:ascii="宋体" w:hAnsi="宋体" w:cs="宋体"/>
                <w:b/>
                <w:bCs/>
                <w:highlight w:val="none"/>
                <w:lang w:val="zh-CN"/>
              </w:rPr>
              <w:t>地点：</w:t>
            </w:r>
            <w:r>
              <w:rPr>
                <w:rFonts w:hint="eastAsia" w:ascii="宋体" w:hAnsi="宋体" w:cs="宋体"/>
                <w:highlight w:val="none"/>
                <w:u w:val="single"/>
                <w:lang w:val="zh-CN"/>
              </w:rPr>
              <w:t>广州交易集团有限公司（广州公共资源交易中心）指定开标室</w:t>
            </w:r>
            <w:r>
              <w:rPr>
                <w:rFonts w:hint="eastAsia" w:ascii="宋体" w:hAnsi="宋体" w:cs="宋体"/>
                <w:highlight w:val="none"/>
                <w:lang w:val="zh-CN"/>
              </w:rPr>
              <w:t>。</w:t>
            </w:r>
          </w:p>
          <w:p w14:paraId="3B126DA7">
            <w:pPr>
              <w:rPr>
                <w:rFonts w:ascii="宋体" w:hAnsi="宋体" w:cs="宋体"/>
                <w:highlight w:val="none"/>
                <w:lang w:val="zh-CN"/>
              </w:rPr>
            </w:pPr>
            <w:r>
              <w:rPr>
                <w:rFonts w:hint="eastAsia" w:ascii="宋体" w:hAnsi="宋体" w:cs="宋体"/>
                <w:highlight w:val="none"/>
                <w:lang w:val="zh-CN"/>
              </w:rPr>
              <w:t>③投标人完成电子投标上传后，电子招标投标交易平台即时向投标人发出递交回执通知。递交时间以递交回执通知载明的传输时间为准。</w:t>
            </w:r>
          </w:p>
          <w:p w14:paraId="073DE07F">
            <w:pPr>
              <w:rPr>
                <w:rFonts w:ascii="宋体" w:hAnsi="宋体" w:cs="宋体"/>
                <w:highlight w:val="none"/>
                <w:lang w:val="zh-CN"/>
              </w:rPr>
            </w:pPr>
            <w:r>
              <w:rPr>
                <w:rFonts w:hint="eastAsia" w:ascii="宋体" w:hAnsi="宋体" w:cs="宋体"/>
                <w:highlight w:val="none"/>
                <w:lang w:val="zh-CN"/>
              </w:rPr>
              <w:t>④逾期送达的投标文件，电子招标投标交易平台将予以拒收。</w:t>
            </w:r>
          </w:p>
          <w:p w14:paraId="768101D8">
            <w:pPr>
              <w:rPr>
                <w:rFonts w:ascii="宋体" w:hAnsi="宋体" w:cs="宋体"/>
                <w:b/>
                <w:bCs/>
                <w:highlight w:val="none"/>
                <w:lang w:val="zh-CN"/>
              </w:rPr>
            </w:pPr>
            <w:r>
              <w:rPr>
                <w:rFonts w:hint="eastAsia" w:ascii="宋体" w:hAnsi="宋体" w:cs="宋体"/>
                <w:b/>
                <w:bCs/>
                <w:highlight w:val="none"/>
                <w:lang w:val="zh-CN"/>
              </w:rPr>
              <w:t>5、投标文件加密要求：</w:t>
            </w:r>
          </w:p>
          <w:p w14:paraId="0A2BE711">
            <w:pPr>
              <w:rPr>
                <w:rFonts w:ascii="宋体" w:hAnsi="宋体" w:cs="宋体"/>
                <w:highlight w:val="none"/>
                <w:lang w:val="zh-CN"/>
              </w:rPr>
            </w:pPr>
            <w:r>
              <w:rPr>
                <w:rFonts w:hint="eastAsia" w:ascii="宋体" w:hAnsi="宋体" w:cs="宋体"/>
                <w:highlight w:val="none"/>
                <w:lang w:val="zh-CN"/>
              </w:rPr>
              <w:t>①网上递交的电子投标文件须进行加密。具体操作详见交易平台相关操作指南。</w:t>
            </w:r>
          </w:p>
          <w:p w14:paraId="14919636">
            <w:pPr>
              <w:rPr>
                <w:rFonts w:ascii="宋体" w:hAnsi="宋体" w:cs="宋体"/>
                <w:highlight w:val="none"/>
                <w:lang w:val="zh-CN"/>
              </w:rPr>
            </w:pPr>
            <w:r>
              <w:rPr>
                <w:rFonts w:hint="eastAsia" w:ascii="宋体" w:hAnsi="宋体" w:cs="宋体"/>
                <w:highlight w:val="none"/>
                <w:lang w:val="zh-CN"/>
              </w:rPr>
              <w:t>②未按要求加密的投标文件，招标人将予以拒收。</w:t>
            </w:r>
          </w:p>
          <w:p w14:paraId="5F631B8D">
            <w:pPr>
              <w:rPr>
                <w:rFonts w:ascii="宋体" w:hAnsi="宋体" w:cs="宋体"/>
                <w:b/>
                <w:bCs/>
                <w:highlight w:val="none"/>
                <w:lang w:val="zh-CN"/>
              </w:rPr>
            </w:pPr>
            <w:r>
              <w:rPr>
                <w:rFonts w:hint="eastAsia" w:ascii="宋体" w:hAnsi="宋体" w:cs="宋体"/>
                <w:b/>
                <w:bCs/>
                <w:highlight w:val="none"/>
                <w:lang w:val="zh-CN"/>
              </w:rPr>
              <w:t>6、投标文件解密失败的补救方案：</w:t>
            </w:r>
          </w:p>
          <w:p w14:paraId="269840CE">
            <w:pPr>
              <w:rPr>
                <w:rFonts w:ascii="宋体" w:hAnsi="宋体" w:cs="宋体"/>
                <w:highlight w:val="none"/>
                <w:lang w:val="zh-CN"/>
              </w:rPr>
            </w:pPr>
            <w:r>
              <w:rPr>
                <w:rFonts w:hint="eastAsia" w:ascii="宋体" w:hAnsi="宋体" w:cs="宋体"/>
                <w:highlight w:val="none"/>
                <w:lang w:val="zh-CN"/>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3A07DC2B">
            <w:pPr>
              <w:pStyle w:val="22"/>
              <w:rPr>
                <w:rFonts w:hAnsi="宋体" w:cs="宋体"/>
                <w:highlight w:val="none"/>
                <w:lang w:val="en-US"/>
              </w:rPr>
            </w:pPr>
            <w:r>
              <w:rPr>
                <w:rFonts w:hint="eastAsia" w:hAnsi="宋体" w:cs="宋体"/>
                <w:highlight w:val="none"/>
              </w:rPr>
              <w:t>除发生上述情况外，开标评标均以投标人通过交易平台网上递交的电子投标文件为准。</w:t>
            </w:r>
          </w:p>
        </w:tc>
      </w:tr>
      <w:tr w14:paraId="5EE80CD3">
        <w:tblPrEx>
          <w:tblCellMar>
            <w:top w:w="57" w:type="dxa"/>
            <w:left w:w="108" w:type="dxa"/>
            <w:bottom w:w="57"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vAlign w:val="center"/>
          </w:tcPr>
          <w:p w14:paraId="1ADA0AE1">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11</w:t>
            </w:r>
          </w:p>
        </w:tc>
        <w:tc>
          <w:tcPr>
            <w:tcW w:w="2801" w:type="dxa"/>
            <w:tcBorders>
              <w:top w:val="single" w:color="auto" w:sz="4" w:space="0"/>
              <w:left w:val="single" w:color="auto" w:sz="4" w:space="0"/>
              <w:bottom w:val="single" w:color="auto" w:sz="4" w:space="0"/>
              <w:right w:val="single" w:color="auto" w:sz="4" w:space="0"/>
            </w:tcBorders>
            <w:vAlign w:val="center"/>
          </w:tcPr>
          <w:p w14:paraId="7FF97A29">
            <w:pPr>
              <w:jc w:val="center"/>
              <w:rPr>
                <w:rFonts w:ascii="宋体" w:hAnsi="宋体" w:cs="宋体"/>
                <w:szCs w:val="21"/>
                <w:highlight w:val="none"/>
              </w:rPr>
            </w:pPr>
            <w:r>
              <w:rPr>
                <w:rFonts w:hint="eastAsia" w:ascii="宋体" w:hAnsi="宋体" w:cs="宋体"/>
                <w:highlight w:val="none"/>
              </w:rPr>
              <w:t>中标公示后中标单位提交投标文件要求</w:t>
            </w:r>
          </w:p>
        </w:tc>
        <w:tc>
          <w:tcPr>
            <w:tcW w:w="5525" w:type="dxa"/>
            <w:tcBorders>
              <w:top w:val="single" w:color="auto" w:sz="4" w:space="0"/>
              <w:left w:val="single" w:color="auto" w:sz="4" w:space="0"/>
              <w:bottom w:val="single" w:color="auto" w:sz="4" w:space="0"/>
              <w:right w:val="single" w:color="auto" w:sz="4" w:space="0"/>
            </w:tcBorders>
            <w:vAlign w:val="center"/>
          </w:tcPr>
          <w:p w14:paraId="016E7F4A">
            <w:pPr>
              <w:rPr>
                <w:rFonts w:ascii="宋体" w:hAnsi="宋体" w:cs="宋体"/>
                <w:highlight w:val="none"/>
                <w:lang w:val="zh-CN"/>
              </w:rPr>
            </w:pPr>
            <w:r>
              <w:rPr>
                <w:rFonts w:hint="eastAsia" w:ascii="宋体" w:hAnsi="宋体" w:cs="宋体"/>
                <w:highlight w:val="none"/>
              </w:rPr>
              <w:t>中标单位在中标公示结束后三个工作日内分别提交3套与电子投标文件内容完全一致的纸质版投标文件。</w:t>
            </w:r>
          </w:p>
        </w:tc>
      </w:tr>
      <w:tr w14:paraId="5A779AB8">
        <w:tblPrEx>
          <w:tblCellMar>
            <w:top w:w="57" w:type="dxa"/>
            <w:left w:w="108" w:type="dxa"/>
            <w:bottom w:w="57"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vAlign w:val="center"/>
          </w:tcPr>
          <w:p w14:paraId="16AE055D">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12</w:t>
            </w:r>
          </w:p>
        </w:tc>
        <w:tc>
          <w:tcPr>
            <w:tcW w:w="2801" w:type="dxa"/>
            <w:tcBorders>
              <w:top w:val="single" w:color="auto" w:sz="4" w:space="0"/>
              <w:left w:val="single" w:color="auto" w:sz="4" w:space="0"/>
              <w:bottom w:val="single" w:color="auto" w:sz="4" w:space="0"/>
              <w:right w:val="single" w:color="auto" w:sz="4" w:space="0"/>
            </w:tcBorders>
            <w:vAlign w:val="center"/>
          </w:tcPr>
          <w:p w14:paraId="44EE3078">
            <w:pPr>
              <w:jc w:val="center"/>
              <w:rPr>
                <w:rFonts w:ascii="宋体" w:hAnsi="宋体" w:cs="宋体"/>
                <w:highlight w:val="none"/>
              </w:rPr>
            </w:pPr>
            <w:r>
              <w:rPr>
                <w:rFonts w:hint="eastAsia" w:ascii="宋体" w:hAnsi="宋体" w:cs="宋体"/>
                <w:highlight w:val="none"/>
                <w:u w:val="single"/>
              </w:rPr>
              <w:t>其他</w:t>
            </w:r>
          </w:p>
        </w:tc>
        <w:tc>
          <w:tcPr>
            <w:tcW w:w="5525" w:type="dxa"/>
            <w:tcBorders>
              <w:top w:val="single" w:color="auto" w:sz="4" w:space="0"/>
              <w:left w:val="single" w:color="auto" w:sz="4" w:space="0"/>
              <w:bottom w:val="single" w:color="auto" w:sz="4" w:space="0"/>
              <w:right w:val="single" w:color="auto" w:sz="4" w:space="0"/>
            </w:tcBorders>
            <w:vAlign w:val="center"/>
          </w:tcPr>
          <w:p w14:paraId="3AC3DFA6">
            <w:pPr>
              <w:rPr>
                <w:rFonts w:ascii="宋体" w:hAnsi="宋体" w:cs="宋体"/>
                <w:highlight w:val="none"/>
              </w:rPr>
            </w:pPr>
            <w:r>
              <w:rPr>
                <w:rFonts w:hint="eastAsia" w:ascii="宋体" w:hAnsi="宋体" w:cs="宋体"/>
                <w:highlight w:val="none"/>
                <w:u w:val="single"/>
              </w:rPr>
              <w:t>招标公告及招标文件中未注明金额均为含税价。</w:t>
            </w:r>
          </w:p>
        </w:tc>
      </w:tr>
      <w:tr w14:paraId="7DDD6AF0">
        <w:tblPrEx>
          <w:tblCellMar>
            <w:top w:w="57" w:type="dxa"/>
            <w:left w:w="108" w:type="dxa"/>
            <w:bottom w:w="57" w:type="dxa"/>
            <w:right w:w="108" w:type="dxa"/>
          </w:tblCellMar>
        </w:tblPrEx>
        <w:trPr>
          <w:trHeight w:val="311" w:hRule="atLeast"/>
        </w:trPr>
        <w:tc>
          <w:tcPr>
            <w:tcW w:w="948" w:type="dxa"/>
            <w:tcBorders>
              <w:top w:val="single" w:color="auto" w:sz="4" w:space="0"/>
              <w:left w:val="single" w:color="auto" w:sz="4" w:space="0"/>
              <w:bottom w:val="single" w:color="auto" w:sz="4" w:space="0"/>
              <w:right w:val="single" w:color="auto" w:sz="4" w:space="0"/>
            </w:tcBorders>
            <w:vAlign w:val="center"/>
          </w:tcPr>
          <w:p w14:paraId="74CB6A67">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13</w:t>
            </w:r>
          </w:p>
        </w:tc>
        <w:tc>
          <w:tcPr>
            <w:tcW w:w="2801" w:type="dxa"/>
            <w:tcBorders>
              <w:top w:val="single" w:color="auto" w:sz="4" w:space="0"/>
              <w:left w:val="single" w:color="auto" w:sz="4" w:space="0"/>
              <w:bottom w:val="single" w:color="auto" w:sz="4" w:space="0"/>
              <w:right w:val="single" w:color="auto" w:sz="4" w:space="0"/>
            </w:tcBorders>
            <w:vAlign w:val="center"/>
          </w:tcPr>
          <w:p w14:paraId="2A865055">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项目负责人和安全员注意事项</w:t>
            </w:r>
          </w:p>
        </w:tc>
        <w:tc>
          <w:tcPr>
            <w:tcW w:w="5525" w:type="dxa"/>
            <w:tcBorders>
              <w:top w:val="single" w:color="auto" w:sz="4" w:space="0"/>
              <w:left w:val="single" w:color="auto" w:sz="4" w:space="0"/>
              <w:bottom w:val="single" w:color="auto" w:sz="4" w:space="0"/>
              <w:right w:val="single" w:color="auto" w:sz="4" w:space="0"/>
            </w:tcBorders>
            <w:vAlign w:val="center"/>
          </w:tcPr>
          <w:p w14:paraId="57D1450E">
            <w:pPr>
              <w:numPr>
                <w:ilvl w:val="0"/>
                <w:numId w:val="2"/>
              </w:numPr>
              <w:snapToGrid w:val="0"/>
              <w:ind w:left="-55" w:leftChars="-26" w:right="-59" w:rightChars="-28"/>
              <w:rPr>
                <w:rFonts w:ascii="宋体" w:hAnsi="宋体" w:cs="宋体"/>
                <w:szCs w:val="21"/>
                <w:highlight w:val="none"/>
              </w:rPr>
            </w:pPr>
            <w:r>
              <w:rPr>
                <w:rFonts w:hint="eastAsia" w:ascii="宋体" w:hAnsi="宋体" w:cs="宋体"/>
                <w:szCs w:val="21"/>
                <w:highlight w:val="none"/>
              </w:rPr>
              <w:t>投标人如违反《广州市住房和城乡建设局关于加强建筑工程项目负责人管理的通知》（穗建规字〔2020〕32号）有关规定，如经查实取消其本项目中标资格；</w:t>
            </w:r>
          </w:p>
          <w:p w14:paraId="021295E1">
            <w:pPr>
              <w:snapToGrid w:val="0"/>
              <w:ind w:left="-55" w:leftChars="-26" w:right="-59" w:rightChars="-28"/>
              <w:rPr>
                <w:rFonts w:ascii="宋体" w:hAnsi="宋体" w:cs="宋体"/>
                <w:szCs w:val="21"/>
                <w:highlight w:val="none"/>
              </w:rPr>
            </w:pPr>
            <w:r>
              <w:rPr>
                <w:rFonts w:hint="eastAsia" w:ascii="宋体" w:hAnsi="宋体" w:cs="宋体"/>
                <w:szCs w:val="21"/>
                <w:highlight w:val="none"/>
              </w:rPr>
              <w:t>2、本工程项目负责人与专职安全员不得为同一人。</w:t>
            </w:r>
          </w:p>
          <w:p w14:paraId="6084AE06">
            <w:pPr>
              <w:snapToGrid w:val="0"/>
              <w:ind w:left="-55" w:leftChars="-26" w:right="-59" w:rightChars="-28"/>
              <w:rPr>
                <w:rFonts w:ascii="宋体" w:hAnsi="宋体" w:cs="宋体"/>
                <w:szCs w:val="21"/>
                <w:highlight w:val="none"/>
                <w:u w:val="single"/>
              </w:rPr>
            </w:pPr>
            <w:r>
              <w:rPr>
                <w:rFonts w:hint="eastAsia" w:ascii="宋体" w:hAnsi="宋体" w:cs="宋体"/>
                <w:szCs w:val="21"/>
                <w:highlight w:val="none"/>
              </w:rPr>
              <w:t>3、中标人拟任本工程安全员不得同时担任本项目以外的安全员（法律法规规定的有关情形除外），如经查实取消其本项目中标资格。</w:t>
            </w:r>
          </w:p>
        </w:tc>
      </w:tr>
      <w:tr w14:paraId="619E3756">
        <w:tblPrEx>
          <w:tblCellMar>
            <w:top w:w="57" w:type="dxa"/>
            <w:left w:w="108" w:type="dxa"/>
            <w:bottom w:w="57" w:type="dxa"/>
            <w:right w:w="108" w:type="dxa"/>
          </w:tblCellMar>
        </w:tblPrEx>
        <w:trPr>
          <w:trHeight w:val="680" w:hRule="atLeast"/>
        </w:trPr>
        <w:tc>
          <w:tcPr>
            <w:tcW w:w="948" w:type="dxa"/>
            <w:tcBorders>
              <w:top w:val="single" w:color="auto" w:sz="4" w:space="0"/>
              <w:left w:val="single" w:color="auto" w:sz="4" w:space="0"/>
              <w:bottom w:val="single" w:color="auto" w:sz="4" w:space="0"/>
              <w:right w:val="single" w:color="auto" w:sz="4" w:space="0"/>
            </w:tcBorders>
            <w:vAlign w:val="center"/>
          </w:tcPr>
          <w:p w14:paraId="07D8A9EA">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14</w:t>
            </w:r>
          </w:p>
        </w:tc>
        <w:tc>
          <w:tcPr>
            <w:tcW w:w="2801" w:type="dxa"/>
            <w:tcBorders>
              <w:top w:val="single" w:color="auto" w:sz="4" w:space="0"/>
              <w:left w:val="single" w:color="auto" w:sz="4" w:space="0"/>
              <w:bottom w:val="single" w:color="auto" w:sz="4" w:space="0"/>
              <w:right w:val="single" w:color="auto" w:sz="4" w:space="0"/>
            </w:tcBorders>
            <w:vAlign w:val="center"/>
          </w:tcPr>
          <w:p w14:paraId="24F030D6">
            <w:pPr>
              <w:jc w:val="center"/>
              <w:rPr>
                <w:rFonts w:ascii="宋体" w:hAnsi="宋体" w:cs="宋体"/>
                <w:szCs w:val="21"/>
                <w:highlight w:val="none"/>
              </w:rPr>
            </w:pPr>
            <w:r>
              <w:rPr>
                <w:rFonts w:hint="eastAsia" w:ascii="宋体" w:hAnsi="宋体" w:cs="宋体"/>
                <w:szCs w:val="21"/>
                <w:highlight w:val="none"/>
              </w:rPr>
              <w:t>施工实名制</w:t>
            </w:r>
          </w:p>
        </w:tc>
        <w:tc>
          <w:tcPr>
            <w:tcW w:w="5525" w:type="dxa"/>
            <w:tcBorders>
              <w:top w:val="single" w:color="auto" w:sz="4" w:space="0"/>
              <w:left w:val="single" w:color="auto" w:sz="4" w:space="0"/>
              <w:bottom w:val="single" w:color="auto" w:sz="4" w:space="0"/>
              <w:right w:val="single" w:color="auto" w:sz="4" w:space="0"/>
            </w:tcBorders>
            <w:vAlign w:val="center"/>
          </w:tcPr>
          <w:p w14:paraId="5E4A7C0F">
            <w:pPr>
              <w:snapToGrid w:val="0"/>
              <w:ind w:left="-55" w:leftChars="-26" w:right="-59" w:rightChars="-28"/>
              <w:jc w:val="left"/>
              <w:rPr>
                <w:rFonts w:ascii="宋体" w:hAnsi="宋体" w:cs="宋体"/>
                <w:szCs w:val="21"/>
                <w:highlight w:val="none"/>
              </w:rPr>
            </w:pPr>
            <w:r>
              <w:rPr>
                <w:rFonts w:hint="eastAsia" w:ascii="宋体" w:hAnsi="宋体" w:cs="宋体"/>
                <w:szCs w:val="21"/>
                <w:highlight w:val="none"/>
                <w:lang w:val="zh-CN"/>
              </w:rPr>
              <w:t>本工程按《广州市建筑施工实名制管理办法》（穗建规字〔2020〕18号）规定，实施建筑施工实名制。</w:t>
            </w:r>
          </w:p>
        </w:tc>
      </w:tr>
      <w:tr w14:paraId="29C7E912">
        <w:tblPrEx>
          <w:tblCellMar>
            <w:top w:w="57" w:type="dxa"/>
            <w:left w:w="108" w:type="dxa"/>
            <w:bottom w:w="57" w:type="dxa"/>
            <w:right w:w="108" w:type="dxa"/>
          </w:tblCellMar>
        </w:tblPrEx>
        <w:trPr>
          <w:trHeight w:val="860" w:hRule="atLeast"/>
        </w:trPr>
        <w:tc>
          <w:tcPr>
            <w:tcW w:w="948" w:type="dxa"/>
            <w:tcBorders>
              <w:top w:val="single" w:color="auto" w:sz="4" w:space="0"/>
              <w:left w:val="single" w:color="auto" w:sz="4" w:space="0"/>
              <w:bottom w:val="single" w:color="auto" w:sz="4" w:space="0"/>
              <w:right w:val="single" w:color="auto" w:sz="4" w:space="0"/>
            </w:tcBorders>
            <w:vAlign w:val="center"/>
          </w:tcPr>
          <w:p w14:paraId="2C6A4132">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15</w:t>
            </w:r>
          </w:p>
        </w:tc>
        <w:tc>
          <w:tcPr>
            <w:tcW w:w="2801" w:type="dxa"/>
            <w:tcBorders>
              <w:top w:val="single" w:color="auto" w:sz="4" w:space="0"/>
              <w:left w:val="single" w:color="auto" w:sz="4" w:space="0"/>
              <w:bottom w:val="single" w:color="auto" w:sz="4" w:space="0"/>
              <w:right w:val="single" w:color="auto" w:sz="4" w:space="0"/>
            </w:tcBorders>
            <w:vAlign w:val="center"/>
          </w:tcPr>
          <w:p w14:paraId="3554F5F3">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工人工资分账管理</w:t>
            </w:r>
          </w:p>
        </w:tc>
        <w:tc>
          <w:tcPr>
            <w:tcW w:w="5525" w:type="dxa"/>
            <w:tcBorders>
              <w:top w:val="single" w:color="auto" w:sz="4" w:space="0"/>
              <w:left w:val="single" w:color="auto" w:sz="4" w:space="0"/>
              <w:bottom w:val="single" w:color="auto" w:sz="4" w:space="0"/>
              <w:right w:val="single" w:color="auto" w:sz="4" w:space="0"/>
            </w:tcBorders>
            <w:vAlign w:val="center"/>
          </w:tcPr>
          <w:p w14:paraId="392951BB">
            <w:pPr>
              <w:snapToGrid w:val="0"/>
              <w:ind w:left="-55" w:leftChars="-26" w:right="-59" w:rightChars="-28"/>
              <w:jc w:val="left"/>
              <w:rPr>
                <w:rFonts w:ascii="宋体" w:hAnsi="宋体" w:cs="宋体"/>
                <w:szCs w:val="21"/>
                <w:highlight w:val="none"/>
              </w:rPr>
            </w:pPr>
            <w:r>
              <w:rPr>
                <w:rFonts w:hint="eastAsia" w:ascii="宋体" w:hAnsi="宋体" w:cs="宋体"/>
                <w:szCs w:val="21"/>
                <w:highlight w:val="none"/>
              </w:rPr>
              <w:t>本项目按照《关于印发广州市建设领域工人工资支付分账管理实施细则的通知》（穗建规字〔2020〕37号）实行工人工资分账管理。</w:t>
            </w:r>
          </w:p>
        </w:tc>
      </w:tr>
      <w:tr w14:paraId="0A863468">
        <w:tblPrEx>
          <w:tblCellMar>
            <w:top w:w="57" w:type="dxa"/>
            <w:left w:w="108" w:type="dxa"/>
            <w:bottom w:w="57" w:type="dxa"/>
            <w:right w:w="108" w:type="dxa"/>
          </w:tblCellMar>
        </w:tblPrEx>
        <w:trPr>
          <w:trHeight w:val="937" w:hRule="atLeast"/>
        </w:trPr>
        <w:tc>
          <w:tcPr>
            <w:tcW w:w="948" w:type="dxa"/>
            <w:tcBorders>
              <w:top w:val="single" w:color="auto" w:sz="4" w:space="0"/>
              <w:left w:val="single" w:color="auto" w:sz="4" w:space="0"/>
              <w:bottom w:val="single" w:color="auto" w:sz="4" w:space="0"/>
              <w:right w:val="single" w:color="auto" w:sz="4" w:space="0"/>
            </w:tcBorders>
            <w:vAlign w:val="center"/>
          </w:tcPr>
          <w:p w14:paraId="7CA206CD">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16</w:t>
            </w:r>
          </w:p>
        </w:tc>
        <w:tc>
          <w:tcPr>
            <w:tcW w:w="2801" w:type="dxa"/>
            <w:tcBorders>
              <w:top w:val="single" w:color="auto" w:sz="4" w:space="0"/>
              <w:left w:val="single" w:color="auto" w:sz="4" w:space="0"/>
              <w:bottom w:val="single" w:color="auto" w:sz="4" w:space="0"/>
              <w:right w:val="single" w:color="auto" w:sz="4" w:space="0"/>
            </w:tcBorders>
            <w:vAlign w:val="center"/>
          </w:tcPr>
          <w:p w14:paraId="708AA920">
            <w:pPr>
              <w:rPr>
                <w:rFonts w:ascii="宋体" w:hAnsi="宋体" w:cs="宋体"/>
                <w:szCs w:val="21"/>
                <w:highlight w:val="none"/>
              </w:rPr>
            </w:pPr>
            <w:r>
              <w:rPr>
                <w:rFonts w:hint="eastAsia" w:ascii="宋体" w:hAnsi="宋体" w:cs="宋体"/>
                <w:highlight w:val="none"/>
                <w:lang w:val="zh-CN"/>
              </w:rPr>
              <w:t>危险性较大的分部分项工程清单及超过一定规模的危险性较大的分部分项清单</w:t>
            </w:r>
          </w:p>
        </w:tc>
        <w:tc>
          <w:tcPr>
            <w:tcW w:w="5525" w:type="dxa"/>
            <w:tcBorders>
              <w:top w:val="single" w:color="auto" w:sz="4" w:space="0"/>
              <w:left w:val="single" w:color="auto" w:sz="4" w:space="0"/>
              <w:bottom w:val="single" w:color="auto" w:sz="4" w:space="0"/>
              <w:right w:val="single" w:color="auto" w:sz="4" w:space="0"/>
            </w:tcBorders>
            <w:vAlign w:val="center"/>
          </w:tcPr>
          <w:p w14:paraId="5D8B753E">
            <w:pPr>
              <w:rPr>
                <w:rFonts w:ascii="宋体" w:hAnsi="宋体" w:cs="宋体"/>
                <w:szCs w:val="21"/>
                <w:highlight w:val="none"/>
              </w:rPr>
            </w:pPr>
            <w:r>
              <w:rPr>
                <w:rFonts w:hint="eastAsia" w:ascii="宋体" w:hAnsi="宋体" w:cs="宋体"/>
                <w:highlight w:val="none"/>
                <w:lang w:val="zh-CN"/>
              </w:rPr>
              <w:t>本项目目前处于设计施工总承包招标阶段，现阶段无法明确危险性较大的分部分项工程清单及超过一定规模的危险性较大的分部分项清单，投标单位中标后，在施工图设计批复后，须根据项目实际情况，对危险性较大的分部分项工程清单及超过一定规模的危险性较大的分部分项清单部分工程内容明确相应的安全管理措施。投标人应充分考虑该部分工作内容及相关措施费。</w:t>
            </w:r>
          </w:p>
        </w:tc>
      </w:tr>
      <w:tr w14:paraId="4934EC7F">
        <w:tblPrEx>
          <w:tblCellMar>
            <w:top w:w="57" w:type="dxa"/>
            <w:left w:w="108" w:type="dxa"/>
            <w:bottom w:w="57" w:type="dxa"/>
            <w:right w:w="108" w:type="dxa"/>
          </w:tblCellMar>
        </w:tblPrEx>
        <w:trPr>
          <w:trHeight w:val="937" w:hRule="atLeast"/>
        </w:trPr>
        <w:tc>
          <w:tcPr>
            <w:tcW w:w="948" w:type="dxa"/>
            <w:tcBorders>
              <w:top w:val="single" w:color="auto" w:sz="4" w:space="0"/>
              <w:left w:val="single" w:color="auto" w:sz="4" w:space="0"/>
              <w:bottom w:val="single" w:color="auto" w:sz="4" w:space="0"/>
              <w:right w:val="single" w:color="auto" w:sz="4" w:space="0"/>
            </w:tcBorders>
            <w:vAlign w:val="center"/>
          </w:tcPr>
          <w:p w14:paraId="08C0A3CA">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17</w:t>
            </w:r>
          </w:p>
        </w:tc>
        <w:tc>
          <w:tcPr>
            <w:tcW w:w="2801" w:type="dxa"/>
            <w:tcBorders>
              <w:top w:val="single" w:color="auto" w:sz="4" w:space="0"/>
              <w:left w:val="single" w:color="auto" w:sz="4" w:space="0"/>
              <w:bottom w:val="single" w:color="auto" w:sz="4" w:space="0"/>
              <w:right w:val="single" w:color="auto" w:sz="4" w:space="0"/>
            </w:tcBorders>
            <w:vAlign w:val="center"/>
          </w:tcPr>
          <w:p w14:paraId="3438F441">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u w:val="single"/>
              </w:rPr>
              <w:t>否决投标条款（《投标文件有效性审查表》）</w:t>
            </w:r>
          </w:p>
        </w:tc>
        <w:tc>
          <w:tcPr>
            <w:tcW w:w="5525" w:type="dxa"/>
            <w:tcBorders>
              <w:top w:val="single" w:color="auto" w:sz="4" w:space="0"/>
              <w:left w:val="single" w:color="auto" w:sz="4" w:space="0"/>
              <w:bottom w:val="single" w:color="auto" w:sz="4" w:space="0"/>
              <w:right w:val="single" w:color="auto" w:sz="4" w:space="0"/>
            </w:tcBorders>
            <w:vAlign w:val="center"/>
          </w:tcPr>
          <w:p w14:paraId="11D1DEF5">
            <w:pPr>
              <w:ind w:left="1"/>
              <w:jc w:val="left"/>
              <w:rPr>
                <w:rFonts w:ascii="宋体" w:hAnsi="宋体" w:cs="宋体"/>
                <w:kern w:val="0"/>
                <w:szCs w:val="21"/>
                <w:highlight w:val="none"/>
                <w:u w:val="single"/>
              </w:rPr>
            </w:pPr>
            <w:r>
              <w:rPr>
                <w:rFonts w:hint="eastAsia" w:ascii="宋体" w:hAnsi="宋体" w:cs="宋体"/>
                <w:kern w:val="0"/>
                <w:szCs w:val="21"/>
                <w:highlight w:val="none"/>
                <w:u w:val="single"/>
              </w:rPr>
              <w:t>否决投标条款：</w:t>
            </w:r>
          </w:p>
          <w:p w14:paraId="05C6EC87">
            <w:pPr>
              <w:ind w:left="1"/>
              <w:jc w:val="left"/>
              <w:rPr>
                <w:rFonts w:ascii="宋体" w:hAnsi="宋体" w:cs="宋体"/>
                <w:kern w:val="0"/>
                <w:szCs w:val="21"/>
                <w:highlight w:val="none"/>
                <w:u w:val="single"/>
              </w:rPr>
            </w:pPr>
            <w:r>
              <w:rPr>
                <w:rFonts w:hint="eastAsia" w:ascii="宋体" w:hAnsi="宋体" w:cs="宋体"/>
                <w:kern w:val="0"/>
                <w:szCs w:val="21"/>
                <w:highlight w:val="none"/>
                <w:u w:val="single"/>
              </w:rPr>
              <w:t>1.在投标截止期后逾期或未在广州交易集团有限公司（广州公共资源交易中心）数字交易平台（http://www.gzggzy.cn）递交电子投标文件的，电子招标投标交易平台将拒绝接收其投标文件。</w:t>
            </w:r>
          </w:p>
          <w:p w14:paraId="5397D627">
            <w:pPr>
              <w:ind w:left="1"/>
              <w:jc w:val="left"/>
              <w:rPr>
                <w:rFonts w:ascii="宋体" w:hAnsi="宋体" w:cs="宋体"/>
                <w:kern w:val="0"/>
                <w:szCs w:val="21"/>
                <w:highlight w:val="none"/>
                <w:u w:val="single"/>
              </w:rPr>
            </w:pPr>
            <w:r>
              <w:rPr>
                <w:rFonts w:hint="eastAsia" w:ascii="宋体" w:hAnsi="宋体" w:cs="宋体"/>
                <w:kern w:val="0"/>
                <w:szCs w:val="21"/>
                <w:highlight w:val="none"/>
                <w:u w:val="single"/>
              </w:rPr>
              <w:t>2.</w:t>
            </w:r>
            <w:r>
              <w:rPr>
                <w:rFonts w:hint="eastAsia" w:ascii="宋体" w:hAnsi="宋体" w:cs="宋体"/>
                <w:highlight w:val="none"/>
                <w:u w:val="single"/>
                <w:lang w:val="zh-CN"/>
              </w:rPr>
              <w:t>投标人未按投标文件要求提供附件或未按要求加盖电子印章及签名的，经评标委员会认定后，其投标文件将被否决</w:t>
            </w:r>
            <w:r>
              <w:rPr>
                <w:rFonts w:hint="eastAsia" w:ascii="宋体" w:hAnsi="宋体" w:cs="宋体"/>
                <w:kern w:val="0"/>
                <w:szCs w:val="21"/>
                <w:highlight w:val="none"/>
                <w:u w:val="single"/>
              </w:rPr>
              <w:t>。</w:t>
            </w:r>
          </w:p>
          <w:p w14:paraId="171DB99A">
            <w:pPr>
              <w:ind w:left="1"/>
              <w:jc w:val="left"/>
              <w:rPr>
                <w:rFonts w:ascii="宋体" w:hAnsi="宋体" w:cs="宋体"/>
                <w:kern w:val="0"/>
                <w:szCs w:val="21"/>
                <w:highlight w:val="none"/>
                <w:u w:val="single"/>
              </w:rPr>
            </w:pPr>
            <w:r>
              <w:rPr>
                <w:rFonts w:hint="eastAsia" w:ascii="宋体" w:hAnsi="宋体" w:cs="宋体"/>
                <w:kern w:val="0"/>
                <w:szCs w:val="21"/>
                <w:highlight w:val="none"/>
                <w:u w:val="single"/>
              </w:rPr>
              <w:t>3.投标文件中投标总报价高于最高投标限价总价的，或设计费报价高于设计费的最高投标限价，或建安工程费报价高于建安工程费的最高投标限价，其投标文件将被否决。</w:t>
            </w:r>
          </w:p>
          <w:p w14:paraId="0B914410">
            <w:pPr>
              <w:ind w:left="1"/>
              <w:jc w:val="left"/>
              <w:rPr>
                <w:rFonts w:ascii="宋体" w:hAnsi="宋体" w:cs="宋体"/>
                <w:kern w:val="0"/>
                <w:szCs w:val="21"/>
                <w:highlight w:val="none"/>
                <w:u w:val="single"/>
              </w:rPr>
            </w:pPr>
            <w:r>
              <w:rPr>
                <w:rFonts w:hint="eastAsia" w:ascii="宋体" w:hAnsi="宋体" w:cs="宋体"/>
                <w:kern w:val="0"/>
                <w:szCs w:val="21"/>
                <w:highlight w:val="none"/>
                <w:u w:val="single"/>
              </w:rPr>
              <w:t>4.</w:t>
            </w:r>
            <w:r>
              <w:rPr>
                <w:rFonts w:hint="eastAsia" w:ascii="宋体" w:hAnsi="宋体" w:cs="宋体"/>
                <w:highlight w:val="none"/>
                <w:u w:val="single"/>
                <w:lang w:val="zh-CN"/>
              </w:rPr>
              <w:t>按投标报价的算术校核原则及方法调整或修正投标文件的投标报价，调整后的投标报价对投标人起约束作用。如果投标人不接受修正后的报价，则取消其中标资格</w:t>
            </w:r>
            <w:r>
              <w:rPr>
                <w:rFonts w:hint="eastAsia" w:ascii="宋体" w:hAnsi="宋体" w:cs="宋体"/>
                <w:kern w:val="0"/>
                <w:szCs w:val="21"/>
                <w:highlight w:val="none"/>
                <w:u w:val="single"/>
              </w:rPr>
              <w:t>。</w:t>
            </w:r>
          </w:p>
          <w:p w14:paraId="40FF2407">
            <w:pPr>
              <w:ind w:left="1"/>
              <w:jc w:val="left"/>
              <w:rPr>
                <w:rFonts w:ascii="宋体" w:hAnsi="宋体" w:cs="宋体"/>
                <w:kern w:val="0"/>
                <w:szCs w:val="21"/>
                <w:highlight w:val="none"/>
                <w:u w:val="single"/>
              </w:rPr>
            </w:pPr>
            <w:r>
              <w:rPr>
                <w:rFonts w:hint="eastAsia" w:ascii="宋体" w:hAnsi="宋体" w:cs="宋体"/>
                <w:kern w:val="0"/>
                <w:szCs w:val="21"/>
                <w:highlight w:val="none"/>
                <w:u w:val="single"/>
              </w:rPr>
              <w:t>5.</w:t>
            </w:r>
            <w:r>
              <w:rPr>
                <w:rFonts w:hint="eastAsia" w:ascii="宋体" w:hAnsi="宋体" w:cs="宋体"/>
                <w:highlight w:val="none"/>
                <w:u w:val="single"/>
                <w:lang w:val="zh-CN"/>
              </w:rPr>
              <w:t>投标人如在本项目中存在串通投标、弄虚作假、行贿情形的，中标无效，该投标人将被招标人列入黑名单并限制其投标。行政监督部门将对其违法行为进行行政处罚并通报</w:t>
            </w:r>
            <w:r>
              <w:rPr>
                <w:rFonts w:hint="eastAsia" w:ascii="宋体" w:hAnsi="宋体" w:cs="宋体"/>
                <w:kern w:val="0"/>
                <w:szCs w:val="21"/>
                <w:highlight w:val="none"/>
                <w:u w:val="single"/>
              </w:rPr>
              <w:t>。</w:t>
            </w:r>
          </w:p>
          <w:p w14:paraId="3ECBDD51">
            <w:pPr>
              <w:snapToGrid w:val="0"/>
              <w:ind w:left="-55" w:leftChars="-26" w:right="-59" w:rightChars="-28"/>
              <w:jc w:val="left"/>
              <w:rPr>
                <w:rFonts w:ascii="宋体" w:hAnsi="宋体" w:cs="宋体"/>
                <w:kern w:val="0"/>
                <w:szCs w:val="21"/>
                <w:highlight w:val="none"/>
                <w:u w:val="single"/>
              </w:rPr>
            </w:pPr>
            <w:r>
              <w:rPr>
                <w:rFonts w:hint="eastAsia" w:ascii="宋体" w:hAnsi="宋体" w:cs="宋体"/>
                <w:kern w:val="0"/>
                <w:szCs w:val="21"/>
                <w:highlight w:val="none"/>
                <w:u w:val="single"/>
              </w:rPr>
              <w:t>6.投标文件符合列于《评标办法前附表》“资格审查表”中所有情形的，为有效投标文件。否则为无效投标文件，经评标委员会认定后，其投标文件将被否决。</w:t>
            </w:r>
          </w:p>
          <w:p w14:paraId="19E36E56">
            <w:pPr>
              <w:snapToGrid w:val="0"/>
              <w:ind w:left="-55" w:leftChars="-26" w:right="-59" w:rightChars="-28"/>
              <w:jc w:val="left"/>
              <w:rPr>
                <w:rFonts w:ascii="宋体" w:hAnsi="宋体" w:cs="宋体"/>
                <w:kern w:val="0"/>
                <w:szCs w:val="21"/>
                <w:highlight w:val="none"/>
                <w:u w:val="single"/>
              </w:rPr>
            </w:pPr>
            <w:r>
              <w:rPr>
                <w:rFonts w:hint="eastAsia" w:ascii="宋体" w:hAnsi="宋体" w:cs="宋体"/>
                <w:kern w:val="0"/>
                <w:szCs w:val="21"/>
                <w:highlight w:val="none"/>
                <w:u w:val="single"/>
              </w:rPr>
              <w:t>7.投标文件未出现列于《评标办法前附表》“设计方案投标文件有效性审查表”“工程总承包实施方案投标文件有效性审查表”中所列情形的，为有效投标文件。否则为无效投标文件，经评标委员会认定后，其投标文件将被否决。</w:t>
            </w:r>
          </w:p>
        </w:tc>
      </w:tr>
      <w:tr w14:paraId="1E6DE409">
        <w:tblPrEx>
          <w:tblCellMar>
            <w:top w:w="57" w:type="dxa"/>
            <w:left w:w="108" w:type="dxa"/>
            <w:bottom w:w="57" w:type="dxa"/>
            <w:right w:w="108" w:type="dxa"/>
          </w:tblCellMar>
        </w:tblPrEx>
        <w:trPr>
          <w:trHeight w:val="937" w:hRule="atLeast"/>
        </w:trPr>
        <w:tc>
          <w:tcPr>
            <w:tcW w:w="948" w:type="dxa"/>
            <w:tcBorders>
              <w:top w:val="single" w:color="auto" w:sz="4" w:space="0"/>
              <w:left w:val="single" w:color="auto" w:sz="4" w:space="0"/>
              <w:bottom w:val="single" w:color="auto" w:sz="4" w:space="0"/>
              <w:right w:val="single" w:color="auto" w:sz="4" w:space="0"/>
            </w:tcBorders>
            <w:vAlign w:val="center"/>
          </w:tcPr>
          <w:p w14:paraId="698029F5">
            <w:pPr>
              <w:snapToGrid w:val="0"/>
              <w:spacing w:line="240" w:lineRule="exact"/>
              <w:ind w:left="-55" w:leftChars="-26" w:right="-59" w:rightChars="-28"/>
              <w:jc w:val="center"/>
              <w:rPr>
                <w:rFonts w:ascii="宋体" w:hAnsi="宋体" w:cs="宋体"/>
                <w:szCs w:val="21"/>
                <w:highlight w:val="none"/>
              </w:rPr>
            </w:pPr>
            <w:r>
              <w:rPr>
                <w:rFonts w:hint="eastAsia" w:ascii="宋体" w:hAnsi="宋体" w:cs="宋体"/>
                <w:szCs w:val="21"/>
                <w:highlight w:val="none"/>
              </w:rPr>
              <w:t>18</w:t>
            </w:r>
          </w:p>
        </w:tc>
        <w:tc>
          <w:tcPr>
            <w:tcW w:w="2801" w:type="dxa"/>
            <w:tcBorders>
              <w:top w:val="single" w:color="auto" w:sz="4" w:space="0"/>
              <w:left w:val="single" w:color="auto" w:sz="4" w:space="0"/>
              <w:bottom w:val="single" w:color="auto" w:sz="4" w:space="0"/>
              <w:right w:val="single" w:color="auto" w:sz="4" w:space="0"/>
            </w:tcBorders>
            <w:vAlign w:val="center"/>
          </w:tcPr>
          <w:p w14:paraId="0F537F21">
            <w:pPr>
              <w:ind w:left="1"/>
              <w:jc w:val="left"/>
              <w:rPr>
                <w:rFonts w:ascii="宋体" w:hAnsi="宋体" w:cs="宋体"/>
                <w:szCs w:val="21"/>
                <w:highlight w:val="none"/>
                <w:u w:val="single"/>
              </w:rPr>
            </w:pPr>
            <w:r>
              <w:rPr>
                <w:rFonts w:hint="eastAsia" w:ascii="宋体" w:hAnsi="宋体" w:cs="宋体"/>
                <w:kern w:val="0"/>
                <w:szCs w:val="21"/>
                <w:highlight w:val="none"/>
                <w:u w:val="single"/>
              </w:rPr>
              <w:t>招标人对中标人参与“百千万工程”的具体要求</w:t>
            </w:r>
          </w:p>
        </w:tc>
        <w:tc>
          <w:tcPr>
            <w:tcW w:w="5525" w:type="dxa"/>
            <w:tcBorders>
              <w:top w:val="single" w:color="auto" w:sz="4" w:space="0"/>
              <w:left w:val="single" w:color="auto" w:sz="4" w:space="0"/>
              <w:bottom w:val="single" w:color="auto" w:sz="4" w:space="0"/>
              <w:right w:val="single" w:color="auto" w:sz="4" w:space="0"/>
            </w:tcBorders>
            <w:vAlign w:val="center"/>
          </w:tcPr>
          <w:p w14:paraId="74B3104E">
            <w:pPr>
              <w:ind w:left="1"/>
              <w:jc w:val="left"/>
              <w:rPr>
                <w:rFonts w:ascii="宋体" w:hAnsi="宋体" w:cs="宋体"/>
                <w:kern w:val="0"/>
                <w:szCs w:val="21"/>
                <w:highlight w:val="none"/>
                <w:u w:val="single"/>
              </w:rPr>
            </w:pPr>
            <w:r>
              <w:rPr>
                <w:rFonts w:hint="eastAsia" w:ascii="宋体" w:hAnsi="宋体" w:cs="宋体"/>
                <w:kern w:val="0"/>
                <w:szCs w:val="21"/>
                <w:highlight w:val="none"/>
                <w:u w:val="single"/>
              </w:rPr>
              <w:t>内容：招标人对中标人参与“百千万工程”的具体要求</w:t>
            </w:r>
          </w:p>
          <w:p w14:paraId="199AFDAC">
            <w:pPr>
              <w:ind w:left="1"/>
              <w:jc w:val="left"/>
              <w:rPr>
                <w:rFonts w:ascii="宋体" w:hAnsi="宋体" w:cs="宋体"/>
                <w:kern w:val="0"/>
                <w:szCs w:val="21"/>
                <w:highlight w:val="none"/>
                <w:u w:val="single"/>
              </w:rPr>
            </w:pPr>
            <w:r>
              <w:rPr>
                <w:rFonts w:hint="eastAsia" w:ascii="宋体" w:hAnsi="宋体" w:cs="宋体"/>
                <w:kern w:val="0"/>
                <w:szCs w:val="21"/>
                <w:highlight w:val="none"/>
                <w:u w:val="single"/>
              </w:rPr>
              <w:t>说明与要求：</w:t>
            </w:r>
          </w:p>
          <w:p w14:paraId="273672FB">
            <w:pPr>
              <w:ind w:left="1"/>
              <w:jc w:val="left"/>
              <w:rPr>
                <w:rFonts w:ascii="宋体" w:hAnsi="宋体" w:cs="宋体"/>
                <w:kern w:val="0"/>
                <w:szCs w:val="21"/>
                <w:highlight w:val="none"/>
                <w:u w:val="single"/>
                <w:lang w:val="zh-CN"/>
              </w:rPr>
            </w:pPr>
            <w:r>
              <w:rPr>
                <w:rFonts w:hint="eastAsia" w:ascii="宋体" w:hAnsi="宋体" w:cs="宋体"/>
                <w:highlight w:val="none"/>
              </w:rPr>
              <w:t>■</w:t>
            </w:r>
            <w:r>
              <w:rPr>
                <w:rFonts w:hint="eastAsia" w:ascii="宋体" w:hAnsi="宋体" w:cs="宋体"/>
                <w:kern w:val="0"/>
                <w:szCs w:val="21"/>
                <w:highlight w:val="none"/>
                <w:u w:val="single"/>
                <w:lang w:val="zh-CN"/>
              </w:rPr>
              <w:t>具体要求在中标后按照投标承诺和招标人的要求执行。</w:t>
            </w:r>
          </w:p>
          <w:p w14:paraId="11EFAEC6">
            <w:pPr>
              <w:ind w:left="1"/>
              <w:jc w:val="left"/>
              <w:rPr>
                <w:rFonts w:ascii="宋体" w:hAnsi="宋体" w:cs="宋体"/>
                <w:kern w:val="0"/>
                <w:szCs w:val="21"/>
                <w:highlight w:val="none"/>
                <w:u w:val="single"/>
              </w:rPr>
            </w:pPr>
            <w:r>
              <w:rPr>
                <w:rFonts w:hint="eastAsia" w:ascii="宋体" w:hAnsi="宋体" w:cs="宋体"/>
                <w:kern w:val="0"/>
                <w:szCs w:val="21"/>
                <w:highlight w:val="none"/>
                <w:u w:val="single"/>
                <w:lang w:val="zh-CN"/>
              </w:rPr>
              <w:t>□具体要求：（由招标人填写）</w:t>
            </w:r>
          </w:p>
        </w:tc>
      </w:tr>
      <w:tr w14:paraId="0290B3DB">
        <w:tblPrEx>
          <w:tblCellMar>
            <w:top w:w="57" w:type="dxa"/>
            <w:left w:w="108" w:type="dxa"/>
            <w:bottom w:w="57" w:type="dxa"/>
            <w:right w:w="108" w:type="dxa"/>
          </w:tblCellMar>
        </w:tblPrEx>
        <w:trPr>
          <w:trHeight w:val="1824" w:hRule="atLeast"/>
        </w:trPr>
        <w:tc>
          <w:tcPr>
            <w:tcW w:w="9274" w:type="dxa"/>
            <w:gridSpan w:val="3"/>
            <w:tcBorders>
              <w:top w:val="single" w:color="auto" w:sz="4" w:space="0"/>
              <w:left w:val="single" w:color="auto" w:sz="4" w:space="0"/>
              <w:bottom w:val="single" w:color="auto" w:sz="4" w:space="0"/>
              <w:right w:val="single" w:color="auto" w:sz="4" w:space="0"/>
            </w:tcBorders>
            <w:vAlign w:val="center"/>
          </w:tcPr>
          <w:p w14:paraId="06DDA962">
            <w:pPr>
              <w:rPr>
                <w:rFonts w:ascii="宋体" w:hAnsi="宋体" w:cs="宋体"/>
                <w:b/>
                <w:bCs/>
                <w:highlight w:val="none"/>
              </w:rPr>
            </w:pPr>
            <w:bookmarkStart w:id="13" w:name="_Toc16820"/>
            <w:bookmarkStart w:id="14" w:name="_Toc1156"/>
            <w:bookmarkStart w:id="15" w:name="_Toc14359"/>
            <w:bookmarkStart w:id="16" w:name="_Toc17566"/>
            <w:bookmarkStart w:id="17" w:name="_Toc247527553"/>
            <w:bookmarkStart w:id="18" w:name="_Toc247513952"/>
            <w:bookmarkStart w:id="19" w:name="_Toc144974497"/>
            <w:bookmarkStart w:id="20" w:name="_Toc152042305"/>
            <w:bookmarkStart w:id="21" w:name="_Toc2958"/>
            <w:bookmarkStart w:id="22" w:name="_Toc485211038"/>
            <w:bookmarkStart w:id="23" w:name="_Toc1831"/>
            <w:bookmarkStart w:id="24" w:name="_Toc8989"/>
            <w:bookmarkStart w:id="25" w:name="_Toc152045529"/>
            <w:r>
              <w:rPr>
                <w:rFonts w:hint="eastAsia" w:ascii="宋体" w:hAnsi="宋体" w:cs="宋体"/>
                <w:b/>
                <w:bCs/>
                <w:highlight w:val="none"/>
              </w:rPr>
              <w:t>需要补充的其他内容：</w:t>
            </w:r>
          </w:p>
          <w:p w14:paraId="55B2EF46">
            <w:pPr>
              <w:rPr>
                <w:rFonts w:ascii="宋体" w:hAnsi="宋体" w:cs="宋体"/>
                <w:highlight w:val="none"/>
              </w:rPr>
            </w:pPr>
            <w:r>
              <w:rPr>
                <w:rFonts w:hint="eastAsia" w:ascii="宋体" w:hAnsi="宋体" w:cs="宋体"/>
                <w:highlight w:val="none"/>
              </w:rPr>
              <w:t>1.本项目招标代理服务费由中标人（联合体主办方）按招标人与招标单位签订的招标代理合同约定（依据《国家计委关于印发〈招标代理服务收费管理暂行办法〉的通知》（计价格［2002］1980号）、《国家发展改革委办公厅&lt;关于招标代理服务收费有关问题的通知&gt;》（发改办价格[2003]857号）标准×80%收取）执行，并在领取中标通知书前将此费用支付给招标代理单位。</w:t>
            </w:r>
          </w:p>
          <w:p w14:paraId="64B47F09">
            <w:pPr>
              <w:ind w:left="1"/>
              <w:jc w:val="left"/>
              <w:rPr>
                <w:rFonts w:ascii="宋体" w:hAnsi="宋体" w:cs="宋体"/>
                <w:kern w:val="0"/>
                <w:szCs w:val="21"/>
                <w:highlight w:val="none"/>
                <w:u w:val="single"/>
                <w:lang w:val="zh-CN"/>
              </w:rPr>
            </w:pPr>
            <w:r>
              <w:rPr>
                <w:rFonts w:hint="eastAsia" w:ascii="宋体" w:hAnsi="宋体" w:cs="宋体"/>
                <w:highlight w:val="none"/>
              </w:rPr>
              <w:t>2.交易服务费：中标单位根据广州市规定向广州交易集团有限公司（广州公共资源交易中心）缴纳。</w:t>
            </w:r>
          </w:p>
        </w:tc>
      </w:tr>
    </w:tbl>
    <w:p w14:paraId="3AF228ED">
      <w:pPr>
        <w:rPr>
          <w:rFonts w:ascii="宋体" w:hAnsi="宋体" w:cs="宋体"/>
          <w:b/>
          <w:bCs/>
          <w:sz w:val="32"/>
          <w:szCs w:val="32"/>
          <w:highlight w:val="none"/>
        </w:rPr>
      </w:pPr>
      <w:bookmarkStart w:id="26" w:name="_Toc3625"/>
      <w:bookmarkStart w:id="27" w:name="_Toc25841"/>
      <w:bookmarkStart w:id="28" w:name="_Toc28109"/>
      <w:r>
        <w:rPr>
          <w:rFonts w:hint="eastAsia" w:ascii="宋体" w:hAnsi="宋体" w:cs="宋体"/>
          <w:b/>
          <w:bCs/>
          <w:sz w:val="32"/>
          <w:szCs w:val="32"/>
          <w:highlight w:val="none"/>
        </w:rPr>
        <w:br w:type="page"/>
      </w:r>
    </w:p>
    <w:p w14:paraId="7A2F7CA9">
      <w:pPr>
        <w:rPr>
          <w:rFonts w:ascii="宋体" w:hAnsi="宋体" w:cs="宋体"/>
          <w:b/>
          <w:bCs/>
          <w:sz w:val="28"/>
          <w:szCs w:val="32"/>
          <w:highlight w:val="none"/>
        </w:rPr>
      </w:pPr>
      <w:bookmarkStart w:id="29" w:name="_Toc14510"/>
      <w:r>
        <w:rPr>
          <w:rFonts w:hint="eastAsia" w:ascii="宋体" w:hAnsi="宋体" w:cs="宋体"/>
          <w:b/>
          <w:bCs/>
          <w:sz w:val="28"/>
          <w:szCs w:val="32"/>
          <w:highlight w:val="none"/>
        </w:rPr>
        <w:t>1. 总则</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F1A387B">
      <w:pPr>
        <w:spacing w:line="288" w:lineRule="auto"/>
        <w:rPr>
          <w:rFonts w:ascii="宋体" w:hAnsi="宋体" w:cs="宋体"/>
          <w:sz w:val="24"/>
          <w:szCs w:val="24"/>
          <w:highlight w:val="none"/>
        </w:rPr>
      </w:pPr>
      <w:bookmarkStart w:id="30" w:name="_Toc31995"/>
      <w:bookmarkStart w:id="31" w:name="_Toc14525"/>
      <w:bookmarkStart w:id="32" w:name="_Toc13105"/>
      <w:bookmarkStart w:id="33" w:name="_Toc11716"/>
      <w:bookmarkStart w:id="34" w:name="_Toc152042322"/>
      <w:bookmarkStart w:id="35" w:name="_Toc6005"/>
      <w:bookmarkStart w:id="36" w:name="_Toc152045546"/>
      <w:bookmarkStart w:id="37" w:name="_Toc247513970"/>
      <w:bookmarkStart w:id="38" w:name="_Toc18287"/>
      <w:bookmarkStart w:id="39" w:name="_Toc144974514"/>
      <w:bookmarkStart w:id="40" w:name="_Toc485211055"/>
      <w:bookmarkStart w:id="41" w:name="_Toc2293"/>
      <w:bookmarkStart w:id="42" w:name="_Toc27747"/>
      <w:bookmarkStart w:id="43" w:name="_Toc20660"/>
      <w:bookmarkStart w:id="44" w:name="_Toc247527571"/>
      <w:bookmarkStart w:id="45" w:name="_Toc22993"/>
      <w:bookmarkStart w:id="46" w:name="_Toc30688"/>
      <w:bookmarkStart w:id="47" w:name="_Toc11146"/>
      <w:r>
        <w:rPr>
          <w:rFonts w:hint="eastAsia" w:ascii="宋体" w:hAnsi="宋体" w:cs="宋体"/>
          <w:sz w:val="24"/>
          <w:szCs w:val="24"/>
          <w:highlight w:val="none"/>
        </w:rPr>
        <w:t>1.1 项目概况</w:t>
      </w:r>
      <w:bookmarkEnd w:id="30"/>
      <w:bookmarkEnd w:id="31"/>
    </w:p>
    <w:p w14:paraId="4DDCDC7D">
      <w:pPr>
        <w:spacing w:line="288" w:lineRule="auto"/>
        <w:ind w:firstLine="420" w:firstLineChars="200"/>
        <w:rPr>
          <w:rFonts w:ascii="宋体" w:hAnsi="宋体" w:cs="宋体"/>
          <w:highlight w:val="none"/>
        </w:rPr>
      </w:pPr>
      <w:r>
        <w:rPr>
          <w:rFonts w:hint="eastAsia" w:ascii="宋体" w:hAnsi="宋体" w:cs="宋体"/>
          <w:highlight w:val="none"/>
        </w:rPr>
        <w:t>1.1.1 根据《中华人民共和国招标投标法》等有关法律、法规和规章的规定，本招标项目已具备招标条件，现对本项目</w:t>
      </w:r>
      <w:r>
        <w:rPr>
          <w:rFonts w:hint="eastAsia" w:ascii="宋体" w:hAnsi="宋体" w:cs="宋体"/>
          <w:highlight w:val="none"/>
          <w:u w:val="single"/>
        </w:rPr>
        <w:t>施工图</w:t>
      </w:r>
      <w:r>
        <w:rPr>
          <w:rFonts w:hint="eastAsia" w:ascii="宋体" w:hAnsi="宋体" w:cs="宋体"/>
          <w:szCs w:val="24"/>
          <w:highlight w:val="none"/>
          <w:u w:val="single"/>
        </w:rPr>
        <w:t>设计、施工</w:t>
      </w:r>
      <w:r>
        <w:rPr>
          <w:rFonts w:hint="eastAsia" w:ascii="宋体" w:hAnsi="宋体" w:cs="宋体"/>
          <w:highlight w:val="none"/>
        </w:rPr>
        <w:t>进行总承包招标。</w:t>
      </w:r>
    </w:p>
    <w:p w14:paraId="6942BF5C">
      <w:pPr>
        <w:spacing w:line="288" w:lineRule="auto"/>
        <w:ind w:firstLine="420" w:firstLineChars="200"/>
        <w:rPr>
          <w:rFonts w:ascii="宋体" w:hAnsi="宋体" w:cs="宋体"/>
          <w:highlight w:val="none"/>
        </w:rPr>
      </w:pPr>
      <w:r>
        <w:rPr>
          <w:rFonts w:hint="eastAsia" w:ascii="宋体" w:hAnsi="宋体" w:cs="宋体"/>
          <w:highlight w:val="none"/>
        </w:rPr>
        <w:t>1.1.2 招标人：见投标人须知前附表。</w:t>
      </w:r>
    </w:p>
    <w:p w14:paraId="70BC2ABE">
      <w:pPr>
        <w:spacing w:line="288" w:lineRule="auto"/>
        <w:ind w:firstLine="420" w:firstLineChars="200"/>
        <w:rPr>
          <w:rFonts w:ascii="宋体" w:hAnsi="宋体" w:cs="宋体"/>
          <w:highlight w:val="none"/>
        </w:rPr>
      </w:pPr>
      <w:r>
        <w:rPr>
          <w:rFonts w:hint="eastAsia" w:ascii="宋体" w:hAnsi="宋体" w:cs="宋体"/>
          <w:highlight w:val="none"/>
        </w:rPr>
        <w:t>1.1.3 招标代理机构：见投标人须知前附表。</w:t>
      </w:r>
    </w:p>
    <w:p w14:paraId="12CEAA33">
      <w:pPr>
        <w:spacing w:line="288" w:lineRule="auto"/>
        <w:ind w:firstLine="420" w:firstLineChars="200"/>
        <w:rPr>
          <w:rFonts w:ascii="宋体" w:hAnsi="宋体" w:cs="宋体"/>
          <w:highlight w:val="none"/>
        </w:rPr>
      </w:pPr>
      <w:r>
        <w:rPr>
          <w:rFonts w:hint="eastAsia" w:ascii="宋体" w:hAnsi="宋体" w:cs="宋体"/>
          <w:highlight w:val="none"/>
        </w:rPr>
        <w:t>1.1.4 招标项目名称：见投标人须知前附表。</w:t>
      </w:r>
    </w:p>
    <w:p w14:paraId="5960E632">
      <w:pPr>
        <w:spacing w:line="288" w:lineRule="auto"/>
        <w:ind w:firstLine="420" w:firstLineChars="200"/>
        <w:rPr>
          <w:rFonts w:ascii="宋体" w:hAnsi="宋体" w:cs="宋体"/>
          <w:highlight w:val="none"/>
        </w:rPr>
      </w:pPr>
      <w:r>
        <w:rPr>
          <w:rFonts w:hint="eastAsia" w:ascii="宋体" w:hAnsi="宋体" w:cs="宋体"/>
          <w:highlight w:val="none"/>
        </w:rPr>
        <w:t>1.1.5 项目建设地点：见投标人须知前附表。</w:t>
      </w:r>
    </w:p>
    <w:p w14:paraId="57AEE8CD">
      <w:pPr>
        <w:spacing w:line="288" w:lineRule="auto"/>
        <w:rPr>
          <w:rFonts w:ascii="宋体" w:hAnsi="宋体" w:cs="宋体"/>
          <w:sz w:val="24"/>
          <w:szCs w:val="24"/>
          <w:highlight w:val="none"/>
        </w:rPr>
      </w:pPr>
      <w:bookmarkStart w:id="48" w:name="_Toc152042307"/>
      <w:bookmarkStart w:id="49" w:name="_Toc362816482"/>
      <w:bookmarkStart w:id="50" w:name="_Toc144974499"/>
      <w:bookmarkStart w:id="51" w:name="_Toc152045531"/>
      <w:bookmarkStart w:id="52" w:name="_Toc356469179"/>
      <w:bookmarkStart w:id="53" w:name="_Toc247527555"/>
      <w:bookmarkStart w:id="54" w:name="_Toc357089513"/>
      <w:bookmarkStart w:id="55" w:name="_Toc247513954"/>
      <w:bookmarkStart w:id="56" w:name="_Toc300834951"/>
      <w:bookmarkStart w:id="57" w:name="_Toc4225"/>
      <w:bookmarkStart w:id="58" w:name="_Toc24499"/>
      <w:r>
        <w:rPr>
          <w:rFonts w:hint="eastAsia" w:ascii="宋体" w:hAnsi="宋体" w:cs="宋体"/>
          <w:sz w:val="24"/>
          <w:szCs w:val="24"/>
          <w:highlight w:val="none"/>
        </w:rPr>
        <w:t>1.2 项目的资金来源和落实情况</w:t>
      </w:r>
      <w:bookmarkEnd w:id="48"/>
      <w:bookmarkEnd w:id="49"/>
      <w:bookmarkEnd w:id="50"/>
      <w:bookmarkEnd w:id="51"/>
      <w:bookmarkEnd w:id="52"/>
      <w:bookmarkEnd w:id="53"/>
      <w:bookmarkEnd w:id="54"/>
      <w:bookmarkEnd w:id="55"/>
      <w:bookmarkEnd w:id="56"/>
      <w:bookmarkEnd w:id="57"/>
      <w:bookmarkEnd w:id="58"/>
    </w:p>
    <w:p w14:paraId="5E9ED552">
      <w:pPr>
        <w:spacing w:line="288" w:lineRule="auto"/>
        <w:ind w:firstLine="420" w:firstLineChars="200"/>
        <w:rPr>
          <w:rFonts w:ascii="宋体" w:hAnsi="宋体" w:cs="宋体"/>
          <w:highlight w:val="none"/>
        </w:rPr>
      </w:pPr>
      <w:r>
        <w:rPr>
          <w:rFonts w:hint="eastAsia" w:ascii="宋体" w:hAnsi="宋体" w:cs="宋体"/>
          <w:highlight w:val="none"/>
        </w:rPr>
        <w:t>1.2.1 资金来源及比例：见投标人须知前附表。</w:t>
      </w:r>
    </w:p>
    <w:p w14:paraId="082BE6E7">
      <w:pPr>
        <w:spacing w:line="288" w:lineRule="auto"/>
        <w:ind w:firstLine="420" w:firstLineChars="200"/>
        <w:rPr>
          <w:rFonts w:ascii="宋体" w:hAnsi="宋体" w:cs="宋体"/>
          <w:highlight w:val="none"/>
        </w:rPr>
      </w:pPr>
      <w:r>
        <w:rPr>
          <w:rFonts w:hint="eastAsia" w:ascii="宋体" w:hAnsi="宋体" w:cs="宋体"/>
          <w:highlight w:val="none"/>
        </w:rPr>
        <w:t>1.2.2 资金落实情况：见投标人须知前附表。</w:t>
      </w:r>
    </w:p>
    <w:p w14:paraId="049C21E7">
      <w:pPr>
        <w:spacing w:line="288" w:lineRule="auto"/>
        <w:rPr>
          <w:rFonts w:ascii="宋体" w:hAnsi="宋体" w:cs="宋体"/>
          <w:sz w:val="24"/>
          <w:szCs w:val="24"/>
          <w:highlight w:val="none"/>
        </w:rPr>
      </w:pPr>
      <w:bookmarkStart w:id="59" w:name="_Toc144974500"/>
      <w:bookmarkStart w:id="60" w:name="_Toc152042308"/>
      <w:bookmarkStart w:id="61" w:name="_Toc247527556"/>
      <w:bookmarkStart w:id="62" w:name="_Toc247513955"/>
      <w:bookmarkStart w:id="63" w:name="_Toc152045532"/>
      <w:bookmarkStart w:id="64" w:name="_Toc300834952"/>
      <w:bookmarkStart w:id="65" w:name="_Toc362816483"/>
      <w:bookmarkStart w:id="66" w:name="_Toc356469180"/>
      <w:bookmarkStart w:id="67" w:name="_Toc357089514"/>
      <w:bookmarkStart w:id="68" w:name="_Toc23441"/>
      <w:bookmarkStart w:id="69" w:name="_Toc19000"/>
      <w:r>
        <w:rPr>
          <w:rFonts w:hint="eastAsia" w:ascii="宋体" w:hAnsi="宋体" w:cs="宋体"/>
          <w:sz w:val="24"/>
          <w:szCs w:val="24"/>
          <w:highlight w:val="none"/>
        </w:rPr>
        <w:t>1.3 招标范围、计划工期和</w:t>
      </w:r>
      <w:bookmarkEnd w:id="59"/>
      <w:bookmarkEnd w:id="60"/>
      <w:bookmarkEnd w:id="61"/>
      <w:bookmarkEnd w:id="62"/>
      <w:bookmarkEnd w:id="63"/>
      <w:r>
        <w:rPr>
          <w:rFonts w:hint="eastAsia" w:ascii="宋体" w:hAnsi="宋体" w:cs="宋体"/>
          <w:sz w:val="24"/>
          <w:szCs w:val="24"/>
          <w:highlight w:val="none"/>
        </w:rPr>
        <w:t>质量标准</w:t>
      </w:r>
      <w:bookmarkEnd w:id="64"/>
      <w:bookmarkEnd w:id="65"/>
      <w:bookmarkEnd w:id="66"/>
      <w:bookmarkEnd w:id="67"/>
      <w:bookmarkEnd w:id="68"/>
      <w:bookmarkEnd w:id="69"/>
    </w:p>
    <w:p w14:paraId="19F87E12">
      <w:pPr>
        <w:spacing w:line="288" w:lineRule="auto"/>
        <w:ind w:firstLine="420" w:firstLineChars="200"/>
        <w:rPr>
          <w:rFonts w:ascii="宋体" w:hAnsi="宋体" w:cs="宋体"/>
          <w:highlight w:val="none"/>
        </w:rPr>
      </w:pPr>
      <w:r>
        <w:rPr>
          <w:rFonts w:hint="eastAsia" w:ascii="宋体" w:hAnsi="宋体" w:cs="宋体"/>
          <w:highlight w:val="none"/>
        </w:rPr>
        <w:t>1.3.1 招标范围：见投标人须知前附表。</w:t>
      </w:r>
    </w:p>
    <w:p w14:paraId="0FEFF520">
      <w:pPr>
        <w:spacing w:line="288" w:lineRule="auto"/>
        <w:ind w:firstLine="420" w:firstLineChars="200"/>
        <w:rPr>
          <w:rFonts w:ascii="宋体" w:hAnsi="宋体" w:cs="宋体"/>
          <w:highlight w:val="none"/>
        </w:rPr>
      </w:pPr>
      <w:r>
        <w:rPr>
          <w:rFonts w:hint="eastAsia" w:ascii="宋体" w:hAnsi="宋体" w:cs="宋体"/>
          <w:highlight w:val="none"/>
        </w:rPr>
        <w:t>1.3.2 计划工期：见投标人须知前附表。</w:t>
      </w:r>
    </w:p>
    <w:p w14:paraId="74CF3B96">
      <w:pPr>
        <w:spacing w:line="288" w:lineRule="auto"/>
        <w:ind w:firstLine="420" w:firstLineChars="200"/>
        <w:rPr>
          <w:rFonts w:ascii="宋体" w:hAnsi="宋体" w:cs="宋体"/>
          <w:highlight w:val="none"/>
        </w:rPr>
      </w:pPr>
      <w:r>
        <w:rPr>
          <w:rFonts w:hint="eastAsia" w:ascii="宋体" w:hAnsi="宋体" w:cs="宋体"/>
          <w:highlight w:val="none"/>
        </w:rPr>
        <w:t>1.3.3 质量标准：见投标人须知前附表。</w:t>
      </w:r>
    </w:p>
    <w:p w14:paraId="64FE9923">
      <w:pPr>
        <w:spacing w:line="288" w:lineRule="auto"/>
        <w:rPr>
          <w:rFonts w:ascii="宋体" w:hAnsi="宋体" w:cs="宋体"/>
          <w:sz w:val="24"/>
          <w:szCs w:val="24"/>
          <w:highlight w:val="none"/>
        </w:rPr>
      </w:pPr>
      <w:bookmarkStart w:id="70" w:name="_Toc13495"/>
      <w:bookmarkStart w:id="71" w:name="_Toc152042310"/>
      <w:bookmarkStart w:id="72" w:name="_Toc152045534"/>
      <w:bookmarkStart w:id="73" w:name="_Toc247527558"/>
      <w:bookmarkStart w:id="74" w:name="_Toc300834954"/>
      <w:bookmarkStart w:id="75" w:name="_Toc247513957"/>
      <w:bookmarkStart w:id="76" w:name="_Toc144974502"/>
      <w:r>
        <w:rPr>
          <w:rFonts w:hint="eastAsia" w:ascii="宋体" w:hAnsi="宋体" w:cs="宋体"/>
          <w:sz w:val="24"/>
          <w:szCs w:val="24"/>
          <w:highlight w:val="none"/>
        </w:rPr>
        <w:t>1.4投标人资格要求（详见招标公告要求）</w:t>
      </w:r>
      <w:bookmarkEnd w:id="70"/>
    </w:p>
    <w:p w14:paraId="5718F855">
      <w:pPr>
        <w:spacing w:line="288" w:lineRule="auto"/>
        <w:ind w:firstLine="420" w:firstLineChars="200"/>
        <w:rPr>
          <w:rFonts w:ascii="宋体" w:hAnsi="宋体" w:cs="宋体"/>
          <w:highlight w:val="none"/>
          <w:u w:val="single"/>
        </w:rPr>
      </w:pPr>
      <w:r>
        <w:rPr>
          <w:rFonts w:hint="eastAsia" w:ascii="宋体" w:hAnsi="宋体" w:cs="宋体"/>
          <w:highlight w:val="none"/>
        </w:rPr>
        <w:t xml:space="preserve">1.4.1 </w:t>
      </w:r>
      <w:r>
        <w:rPr>
          <w:rFonts w:hint="eastAsia" w:ascii="宋体" w:hAnsi="宋体" w:cs="宋体"/>
          <w:highlight w:val="none"/>
          <w:u w:val="single"/>
        </w:rPr>
        <w:t>投标人应是按招标公告要求成功投标登记的单位。</w:t>
      </w:r>
      <w:bookmarkEnd w:id="71"/>
      <w:bookmarkEnd w:id="72"/>
      <w:bookmarkEnd w:id="73"/>
      <w:bookmarkEnd w:id="74"/>
      <w:bookmarkEnd w:id="75"/>
      <w:bookmarkEnd w:id="76"/>
    </w:p>
    <w:p w14:paraId="3F4EE8BF">
      <w:pPr>
        <w:spacing w:line="288" w:lineRule="auto"/>
        <w:ind w:firstLine="420" w:firstLineChars="200"/>
        <w:rPr>
          <w:rFonts w:ascii="宋体" w:hAnsi="宋体" w:cs="宋体"/>
          <w:highlight w:val="none"/>
        </w:rPr>
      </w:pPr>
      <w:r>
        <w:rPr>
          <w:rFonts w:hint="eastAsia" w:ascii="宋体" w:hAnsi="宋体" w:cs="宋体"/>
          <w:highlight w:val="none"/>
        </w:rPr>
        <w:t>1.4.2 关于联合体投标：</w:t>
      </w:r>
      <w:r>
        <w:rPr>
          <w:rFonts w:hint="eastAsia" w:ascii="宋体" w:hAnsi="宋体" w:cs="宋体"/>
          <w:highlight w:val="none"/>
          <w:u w:val="single"/>
        </w:rPr>
        <w:t>见投标人须知前附表。</w:t>
      </w:r>
    </w:p>
    <w:p w14:paraId="3FE4B5C3">
      <w:pPr>
        <w:spacing w:line="288" w:lineRule="auto"/>
        <w:rPr>
          <w:rFonts w:ascii="宋体" w:hAnsi="宋体" w:cs="宋体"/>
          <w:sz w:val="24"/>
          <w:szCs w:val="24"/>
          <w:highlight w:val="none"/>
        </w:rPr>
      </w:pPr>
      <w:bookmarkStart w:id="77" w:name="_Toc144974503"/>
      <w:bookmarkStart w:id="78" w:name="_Toc247513958"/>
      <w:bookmarkStart w:id="79" w:name="_Toc152045535"/>
      <w:bookmarkStart w:id="80" w:name="_Toc247527559"/>
      <w:bookmarkStart w:id="81" w:name="_Toc152042311"/>
      <w:bookmarkStart w:id="82" w:name="_Toc362816485"/>
      <w:bookmarkStart w:id="83" w:name="_Toc300834955"/>
      <w:bookmarkStart w:id="84" w:name="_Toc9712"/>
      <w:bookmarkStart w:id="85" w:name="_Toc5634"/>
      <w:bookmarkStart w:id="86" w:name="_Toc356469182"/>
      <w:bookmarkStart w:id="87" w:name="_Toc357089516"/>
      <w:r>
        <w:rPr>
          <w:rFonts w:hint="eastAsia" w:ascii="宋体" w:hAnsi="宋体" w:cs="宋体"/>
          <w:sz w:val="24"/>
          <w:szCs w:val="24"/>
          <w:highlight w:val="none"/>
        </w:rPr>
        <w:t>1.5 费用承担</w:t>
      </w:r>
      <w:bookmarkEnd w:id="77"/>
      <w:bookmarkEnd w:id="78"/>
      <w:bookmarkEnd w:id="79"/>
      <w:bookmarkEnd w:id="80"/>
      <w:bookmarkEnd w:id="81"/>
      <w:r>
        <w:rPr>
          <w:rFonts w:hint="eastAsia" w:ascii="宋体" w:hAnsi="宋体" w:cs="宋体"/>
          <w:sz w:val="24"/>
          <w:szCs w:val="24"/>
          <w:highlight w:val="none"/>
        </w:rPr>
        <w:t>和设计成果补偿</w:t>
      </w:r>
      <w:bookmarkEnd w:id="82"/>
      <w:bookmarkEnd w:id="83"/>
      <w:bookmarkEnd w:id="84"/>
      <w:bookmarkEnd w:id="85"/>
      <w:bookmarkEnd w:id="86"/>
      <w:bookmarkEnd w:id="87"/>
    </w:p>
    <w:p w14:paraId="2B92801D">
      <w:pPr>
        <w:spacing w:line="288" w:lineRule="auto"/>
        <w:ind w:firstLine="420" w:firstLineChars="200"/>
        <w:rPr>
          <w:rFonts w:ascii="宋体" w:hAnsi="宋体" w:cs="宋体"/>
          <w:highlight w:val="none"/>
        </w:rPr>
      </w:pPr>
      <w:r>
        <w:rPr>
          <w:rFonts w:hint="eastAsia" w:ascii="宋体" w:hAnsi="宋体" w:cs="宋体"/>
          <w:highlight w:val="none"/>
        </w:rPr>
        <w:t>1.5.1 投标人准备和参加投标活动发生的设计费用成果补偿参考招标文件前附表1.5条设定。</w:t>
      </w:r>
    </w:p>
    <w:p w14:paraId="6FEC45FF">
      <w:pPr>
        <w:spacing w:line="288" w:lineRule="auto"/>
        <w:ind w:firstLine="420" w:firstLineChars="200"/>
        <w:rPr>
          <w:rFonts w:ascii="宋体" w:hAnsi="宋体" w:cs="宋体"/>
          <w:highlight w:val="none"/>
        </w:rPr>
      </w:pPr>
      <w:r>
        <w:rPr>
          <w:rFonts w:hint="eastAsia" w:ascii="宋体" w:hAnsi="宋体" w:cs="宋体"/>
          <w:highlight w:val="none"/>
        </w:rPr>
        <w:t xml:space="preserve">1.5.2 </w:t>
      </w:r>
      <w:r>
        <w:rPr>
          <w:rFonts w:hint="eastAsia" w:ascii="宋体" w:hAnsi="宋体" w:cs="宋体"/>
          <w:highlight w:val="none"/>
          <w:u w:val="single"/>
        </w:rPr>
        <w:t>招标人在征得未中标人的同意后有权免费使用未中标人设计成果。</w:t>
      </w:r>
    </w:p>
    <w:p w14:paraId="51C860F0">
      <w:pPr>
        <w:spacing w:line="288" w:lineRule="auto"/>
        <w:ind w:firstLine="420" w:firstLineChars="200"/>
        <w:rPr>
          <w:rFonts w:ascii="宋体" w:hAnsi="宋体" w:cs="宋体"/>
          <w:highlight w:val="none"/>
        </w:rPr>
      </w:pPr>
      <w:r>
        <w:rPr>
          <w:rFonts w:hint="eastAsia" w:ascii="宋体" w:hAnsi="宋体" w:cs="宋体"/>
          <w:highlight w:val="none"/>
        </w:rPr>
        <w:t>1.5.3</w:t>
      </w:r>
      <w:r>
        <w:rPr>
          <w:rFonts w:hint="eastAsia" w:ascii="宋体" w:hAnsi="宋体" w:cs="宋体"/>
          <w:highlight w:val="none"/>
          <w:u w:val="single"/>
        </w:rPr>
        <w:t xml:space="preserve"> 中标人应根据政府有关规定，向广州公共资源交易中心交纳交易服务费。</w:t>
      </w:r>
    </w:p>
    <w:p w14:paraId="4972AF0C">
      <w:pPr>
        <w:spacing w:line="288" w:lineRule="auto"/>
        <w:rPr>
          <w:rFonts w:ascii="宋体" w:hAnsi="宋体" w:cs="宋体"/>
          <w:sz w:val="24"/>
          <w:szCs w:val="24"/>
          <w:highlight w:val="none"/>
        </w:rPr>
      </w:pPr>
      <w:bookmarkStart w:id="88" w:name="_Toc152042312"/>
      <w:bookmarkStart w:id="89" w:name="_Toc247527560"/>
      <w:bookmarkStart w:id="90" w:name="_Toc356469183"/>
      <w:bookmarkStart w:id="91" w:name="_Toc144974504"/>
      <w:bookmarkStart w:id="92" w:name="_Toc24237"/>
      <w:bookmarkStart w:id="93" w:name="_Toc152045536"/>
      <w:bookmarkStart w:id="94" w:name="_Toc6454"/>
      <w:bookmarkStart w:id="95" w:name="_Toc300834956"/>
      <w:bookmarkStart w:id="96" w:name="_Toc362816486"/>
      <w:bookmarkStart w:id="97" w:name="_Toc247513959"/>
      <w:bookmarkStart w:id="98" w:name="_Toc357089517"/>
      <w:r>
        <w:rPr>
          <w:rFonts w:hint="eastAsia" w:ascii="宋体" w:hAnsi="宋体" w:cs="宋体"/>
          <w:sz w:val="24"/>
          <w:szCs w:val="24"/>
          <w:highlight w:val="none"/>
        </w:rPr>
        <w:t>1.6 保密</w:t>
      </w:r>
      <w:bookmarkEnd w:id="88"/>
      <w:bookmarkEnd w:id="89"/>
      <w:bookmarkEnd w:id="90"/>
      <w:bookmarkEnd w:id="91"/>
      <w:bookmarkEnd w:id="92"/>
      <w:bookmarkEnd w:id="93"/>
      <w:bookmarkEnd w:id="94"/>
      <w:bookmarkEnd w:id="95"/>
      <w:bookmarkEnd w:id="96"/>
      <w:bookmarkEnd w:id="97"/>
      <w:bookmarkEnd w:id="98"/>
    </w:p>
    <w:p w14:paraId="7C7C9225">
      <w:pPr>
        <w:spacing w:line="288" w:lineRule="auto"/>
        <w:ind w:firstLine="420" w:firstLineChars="200"/>
        <w:rPr>
          <w:rFonts w:ascii="宋体" w:hAnsi="宋体" w:cs="宋体"/>
          <w:highlight w:val="none"/>
        </w:rPr>
      </w:pPr>
      <w:r>
        <w:rPr>
          <w:rFonts w:hint="eastAsia" w:ascii="宋体" w:hAnsi="宋体" w:cs="宋体"/>
          <w:highlight w:val="none"/>
        </w:rPr>
        <w:t>1.6.1参与招标投标活动的各方应对招标文件和投标文件中的商业和技术等秘密保密，否则应承担相应的法律责任。</w:t>
      </w:r>
    </w:p>
    <w:p w14:paraId="77397C12">
      <w:pPr>
        <w:spacing w:line="288" w:lineRule="auto"/>
        <w:rPr>
          <w:rFonts w:ascii="宋体" w:hAnsi="宋体" w:cs="宋体"/>
          <w:sz w:val="24"/>
          <w:szCs w:val="24"/>
          <w:highlight w:val="none"/>
        </w:rPr>
      </w:pPr>
      <w:bookmarkStart w:id="99" w:name="_Toc144974505"/>
      <w:bookmarkStart w:id="100" w:name="_Toc247527561"/>
      <w:bookmarkStart w:id="101" w:name="_Toc300834957"/>
      <w:bookmarkStart w:id="102" w:name="_Toc356469184"/>
      <w:bookmarkStart w:id="103" w:name="_Toc152045537"/>
      <w:bookmarkStart w:id="104" w:name="_Toc357089518"/>
      <w:bookmarkStart w:id="105" w:name="_Toc29636"/>
      <w:bookmarkStart w:id="106" w:name="_Toc362816487"/>
      <w:bookmarkStart w:id="107" w:name="_Toc4697"/>
      <w:bookmarkStart w:id="108" w:name="_Toc247513960"/>
      <w:bookmarkStart w:id="109" w:name="_Toc152042313"/>
      <w:r>
        <w:rPr>
          <w:rFonts w:hint="eastAsia" w:ascii="宋体" w:hAnsi="宋体" w:cs="宋体"/>
          <w:sz w:val="24"/>
          <w:szCs w:val="24"/>
          <w:highlight w:val="none"/>
        </w:rPr>
        <w:t>1.7 语言</w:t>
      </w:r>
      <w:bookmarkEnd w:id="99"/>
      <w:r>
        <w:rPr>
          <w:rFonts w:hint="eastAsia" w:ascii="宋体" w:hAnsi="宋体" w:cs="宋体"/>
          <w:sz w:val="24"/>
          <w:szCs w:val="24"/>
          <w:highlight w:val="none"/>
        </w:rPr>
        <w:t>文字</w:t>
      </w:r>
      <w:bookmarkEnd w:id="100"/>
      <w:bookmarkEnd w:id="101"/>
      <w:bookmarkEnd w:id="102"/>
      <w:bookmarkEnd w:id="103"/>
      <w:bookmarkEnd w:id="104"/>
      <w:bookmarkEnd w:id="105"/>
      <w:bookmarkEnd w:id="106"/>
      <w:bookmarkEnd w:id="107"/>
      <w:bookmarkEnd w:id="108"/>
      <w:bookmarkEnd w:id="109"/>
    </w:p>
    <w:p w14:paraId="44DDB26C">
      <w:pPr>
        <w:spacing w:line="288" w:lineRule="auto"/>
        <w:ind w:firstLine="420" w:firstLineChars="200"/>
        <w:rPr>
          <w:rFonts w:ascii="宋体" w:hAnsi="宋体" w:cs="宋体"/>
          <w:highlight w:val="none"/>
        </w:rPr>
      </w:pPr>
      <w:r>
        <w:rPr>
          <w:rFonts w:hint="eastAsia" w:ascii="宋体" w:hAnsi="宋体" w:cs="宋体"/>
          <w:highlight w:val="none"/>
        </w:rPr>
        <w:t>1.7.1招标投标文件使用的语言文字为中文。专用术语使用外文的，应附有中文注释。</w:t>
      </w:r>
    </w:p>
    <w:p w14:paraId="1539F8DB">
      <w:pPr>
        <w:spacing w:line="288" w:lineRule="auto"/>
        <w:rPr>
          <w:rFonts w:ascii="宋体" w:hAnsi="宋体" w:cs="宋体"/>
          <w:sz w:val="24"/>
          <w:szCs w:val="24"/>
          <w:highlight w:val="none"/>
        </w:rPr>
      </w:pPr>
      <w:bookmarkStart w:id="110" w:name="_Toc152042314"/>
      <w:bookmarkStart w:id="111" w:name="_Toc152045538"/>
      <w:bookmarkStart w:id="112" w:name="_Toc12986"/>
      <w:bookmarkStart w:id="113" w:name="_Toc357089519"/>
      <w:bookmarkStart w:id="114" w:name="_Toc144974506"/>
      <w:bookmarkStart w:id="115" w:name="_Toc300834958"/>
      <w:bookmarkStart w:id="116" w:name="_Toc247527562"/>
      <w:bookmarkStart w:id="117" w:name="_Toc362816488"/>
      <w:bookmarkStart w:id="118" w:name="_Toc356469185"/>
      <w:bookmarkStart w:id="119" w:name="_Toc27502"/>
      <w:bookmarkStart w:id="120" w:name="_Toc247513961"/>
      <w:r>
        <w:rPr>
          <w:rFonts w:hint="eastAsia" w:ascii="宋体" w:hAnsi="宋体" w:cs="宋体"/>
          <w:sz w:val="24"/>
          <w:szCs w:val="24"/>
          <w:highlight w:val="none"/>
        </w:rPr>
        <w:t>1.8 计量单位</w:t>
      </w:r>
      <w:bookmarkEnd w:id="110"/>
      <w:bookmarkEnd w:id="111"/>
      <w:bookmarkEnd w:id="112"/>
      <w:bookmarkEnd w:id="113"/>
      <w:bookmarkEnd w:id="114"/>
      <w:bookmarkEnd w:id="115"/>
      <w:bookmarkEnd w:id="116"/>
      <w:bookmarkEnd w:id="117"/>
      <w:bookmarkEnd w:id="118"/>
      <w:bookmarkEnd w:id="119"/>
      <w:bookmarkEnd w:id="120"/>
    </w:p>
    <w:p w14:paraId="2A5E5C7A">
      <w:pPr>
        <w:spacing w:line="288" w:lineRule="auto"/>
        <w:ind w:firstLine="420" w:firstLineChars="200"/>
        <w:rPr>
          <w:rFonts w:ascii="宋体" w:hAnsi="宋体" w:cs="宋体"/>
          <w:highlight w:val="none"/>
        </w:rPr>
      </w:pPr>
      <w:r>
        <w:rPr>
          <w:rFonts w:hint="eastAsia" w:ascii="宋体" w:hAnsi="宋体" w:cs="宋体"/>
          <w:highlight w:val="none"/>
        </w:rPr>
        <w:t>1.8.1 所有计量均采用中华人民共和国法定计量单位。</w:t>
      </w:r>
    </w:p>
    <w:p w14:paraId="253777C2">
      <w:pPr>
        <w:spacing w:line="288" w:lineRule="auto"/>
        <w:ind w:firstLine="420" w:firstLineChars="200"/>
        <w:rPr>
          <w:rFonts w:ascii="宋体" w:hAnsi="宋体" w:cs="宋体"/>
          <w:highlight w:val="none"/>
          <w:u w:val="single"/>
        </w:rPr>
      </w:pPr>
      <w:r>
        <w:rPr>
          <w:rFonts w:hint="eastAsia" w:ascii="宋体" w:hAnsi="宋体" w:cs="宋体"/>
          <w:highlight w:val="none"/>
        </w:rPr>
        <w:t xml:space="preserve">1.8.2 </w:t>
      </w:r>
      <w:r>
        <w:rPr>
          <w:rFonts w:hint="eastAsia" w:ascii="宋体" w:hAnsi="宋体" w:cs="宋体"/>
          <w:highlight w:val="none"/>
          <w:u w:val="single"/>
        </w:rPr>
        <w:t>本工程投标报价采用的币种为人民币。</w:t>
      </w:r>
    </w:p>
    <w:p w14:paraId="7668A7F2">
      <w:pPr>
        <w:spacing w:line="288" w:lineRule="auto"/>
        <w:rPr>
          <w:rFonts w:ascii="宋体" w:hAnsi="宋体" w:cs="宋体"/>
          <w:sz w:val="24"/>
          <w:szCs w:val="24"/>
          <w:highlight w:val="none"/>
        </w:rPr>
      </w:pPr>
      <w:bookmarkStart w:id="121" w:name="_Toc12824"/>
      <w:bookmarkStart w:id="122" w:name="_Toc357089520"/>
      <w:bookmarkStart w:id="123" w:name="_Toc362816489"/>
      <w:bookmarkStart w:id="124" w:name="_Toc247527563"/>
      <w:bookmarkStart w:id="125" w:name="_Toc356469186"/>
      <w:bookmarkStart w:id="126" w:name="_Toc152042315"/>
      <w:bookmarkStart w:id="127" w:name="_Toc247513962"/>
      <w:bookmarkStart w:id="128" w:name="_Toc144974507"/>
      <w:bookmarkStart w:id="129" w:name="_Toc16672"/>
      <w:bookmarkStart w:id="130" w:name="_Toc300834959"/>
      <w:bookmarkStart w:id="131" w:name="_Toc152045539"/>
      <w:r>
        <w:rPr>
          <w:rFonts w:hint="eastAsia" w:ascii="宋体" w:hAnsi="宋体" w:cs="宋体"/>
          <w:sz w:val="24"/>
          <w:szCs w:val="24"/>
          <w:highlight w:val="none"/>
        </w:rPr>
        <w:t>1.9 踏勘现场</w:t>
      </w:r>
      <w:bookmarkEnd w:id="121"/>
      <w:bookmarkEnd w:id="122"/>
      <w:bookmarkEnd w:id="123"/>
      <w:bookmarkEnd w:id="124"/>
      <w:bookmarkEnd w:id="125"/>
      <w:bookmarkEnd w:id="126"/>
      <w:bookmarkEnd w:id="127"/>
      <w:bookmarkEnd w:id="128"/>
      <w:bookmarkEnd w:id="129"/>
      <w:bookmarkEnd w:id="130"/>
      <w:bookmarkEnd w:id="131"/>
    </w:p>
    <w:p w14:paraId="3F3E07C9">
      <w:pPr>
        <w:spacing w:line="288" w:lineRule="auto"/>
        <w:ind w:firstLine="420" w:firstLineChars="200"/>
        <w:rPr>
          <w:rFonts w:ascii="宋体" w:hAnsi="宋体" w:cs="宋体"/>
          <w:highlight w:val="none"/>
        </w:rPr>
      </w:pPr>
      <w:r>
        <w:rPr>
          <w:rFonts w:hint="eastAsia" w:ascii="宋体" w:hAnsi="宋体" w:cs="宋体"/>
          <w:highlight w:val="none"/>
        </w:rPr>
        <w:t>1.9.1 投标人须知前附表规定组织踏勘现场的，招标人按投标人须知前附表规定的时间、地点组织投标人踏勘项目现场。</w:t>
      </w:r>
    </w:p>
    <w:p w14:paraId="23C793F3">
      <w:pPr>
        <w:spacing w:line="288" w:lineRule="auto"/>
        <w:ind w:firstLine="420" w:firstLineChars="200"/>
        <w:rPr>
          <w:rFonts w:ascii="宋体" w:hAnsi="宋体" w:cs="宋体"/>
          <w:highlight w:val="none"/>
        </w:rPr>
      </w:pPr>
      <w:r>
        <w:rPr>
          <w:rFonts w:hint="eastAsia" w:ascii="宋体" w:hAnsi="宋体" w:cs="宋体"/>
          <w:highlight w:val="none"/>
        </w:rPr>
        <w:t>1.9.2 投标人踏勘现场发生的费用自理。</w:t>
      </w:r>
    </w:p>
    <w:p w14:paraId="7201E7A7">
      <w:pPr>
        <w:spacing w:line="288" w:lineRule="auto"/>
        <w:ind w:firstLine="420" w:firstLineChars="200"/>
        <w:rPr>
          <w:rFonts w:ascii="宋体" w:hAnsi="宋体" w:cs="宋体"/>
          <w:highlight w:val="none"/>
        </w:rPr>
      </w:pPr>
      <w:r>
        <w:rPr>
          <w:rFonts w:hint="eastAsia" w:ascii="宋体" w:hAnsi="宋体" w:cs="宋体"/>
          <w:highlight w:val="none"/>
        </w:rPr>
        <w:t>1.9.3 除招标人的原因外，投标人自行负责在踏勘现场中所发生的人员伤亡和财产损失。</w:t>
      </w:r>
    </w:p>
    <w:p w14:paraId="1BD27F57">
      <w:pPr>
        <w:spacing w:line="288" w:lineRule="auto"/>
        <w:ind w:firstLine="420" w:firstLineChars="200"/>
        <w:rPr>
          <w:rFonts w:ascii="宋体" w:hAnsi="宋体" w:cs="宋体"/>
          <w:highlight w:val="none"/>
        </w:rPr>
      </w:pPr>
      <w:r>
        <w:rPr>
          <w:rFonts w:hint="eastAsia" w:ascii="宋体" w:hAnsi="宋体" w:cs="宋体"/>
          <w:highlight w:val="none"/>
        </w:rPr>
        <w:t>1.9.4</w:t>
      </w:r>
      <w:r>
        <w:rPr>
          <w:rFonts w:hint="eastAsia" w:ascii="宋体" w:hAnsi="宋体" w:cs="宋体"/>
          <w:highlight w:val="none"/>
          <w:u w:val="single"/>
        </w:rPr>
        <w:t>现场由投标人自行踏勘，投标人不进行踏勘的，视为已熟知现场条件，自行承担相关风险。招标人不对投标人自行踏勘现场作出的判断和决策负责。</w:t>
      </w:r>
    </w:p>
    <w:p w14:paraId="7A97B536">
      <w:pPr>
        <w:spacing w:line="288" w:lineRule="auto"/>
        <w:rPr>
          <w:rFonts w:ascii="宋体" w:hAnsi="宋体" w:cs="宋体"/>
          <w:sz w:val="24"/>
          <w:szCs w:val="24"/>
          <w:highlight w:val="none"/>
        </w:rPr>
      </w:pPr>
      <w:bookmarkStart w:id="132" w:name="_Toc152045540"/>
      <w:bookmarkStart w:id="133" w:name="_Toc357089521"/>
      <w:bookmarkStart w:id="134" w:name="_Toc362816490"/>
      <w:bookmarkStart w:id="135" w:name="_Toc356469187"/>
      <w:bookmarkStart w:id="136" w:name="_Toc20968"/>
      <w:bookmarkStart w:id="137" w:name="_Toc300834960"/>
      <w:bookmarkStart w:id="138" w:name="_Toc152042316"/>
      <w:bookmarkStart w:id="139" w:name="_Toc247527564"/>
      <w:bookmarkStart w:id="140" w:name="_Toc6764"/>
      <w:bookmarkStart w:id="141" w:name="_Toc144974508"/>
      <w:bookmarkStart w:id="142" w:name="_Toc247513963"/>
      <w:r>
        <w:rPr>
          <w:rFonts w:hint="eastAsia" w:ascii="宋体" w:hAnsi="宋体" w:cs="宋体"/>
          <w:sz w:val="24"/>
          <w:szCs w:val="24"/>
          <w:highlight w:val="none"/>
        </w:rPr>
        <w:t>1.10 投标预备会</w:t>
      </w:r>
      <w:bookmarkEnd w:id="132"/>
      <w:bookmarkEnd w:id="133"/>
      <w:bookmarkEnd w:id="134"/>
      <w:bookmarkEnd w:id="135"/>
      <w:bookmarkEnd w:id="136"/>
      <w:bookmarkEnd w:id="137"/>
      <w:bookmarkEnd w:id="138"/>
      <w:bookmarkEnd w:id="139"/>
      <w:bookmarkEnd w:id="140"/>
      <w:bookmarkEnd w:id="141"/>
      <w:bookmarkEnd w:id="142"/>
    </w:p>
    <w:p w14:paraId="272B05C9">
      <w:pPr>
        <w:spacing w:line="288" w:lineRule="auto"/>
        <w:ind w:firstLine="420" w:firstLineChars="200"/>
        <w:rPr>
          <w:rFonts w:ascii="宋体" w:hAnsi="宋体" w:cs="宋体"/>
          <w:highlight w:val="none"/>
        </w:rPr>
      </w:pPr>
      <w:r>
        <w:rPr>
          <w:rFonts w:hint="eastAsia" w:ascii="宋体" w:hAnsi="宋体" w:cs="宋体"/>
          <w:highlight w:val="none"/>
        </w:rPr>
        <w:t>1.10.1 投标人须知前附表规定召开投标预备会的，招标人按投标人须知前附表规定的时间和地点召开投标预备会，澄清投标人提出的问题。</w:t>
      </w:r>
    </w:p>
    <w:p w14:paraId="2C239865">
      <w:pPr>
        <w:spacing w:line="288" w:lineRule="auto"/>
        <w:ind w:firstLine="420" w:firstLineChars="200"/>
        <w:rPr>
          <w:rFonts w:ascii="宋体" w:hAnsi="宋体" w:cs="宋体"/>
          <w:highlight w:val="none"/>
        </w:rPr>
      </w:pPr>
      <w:r>
        <w:rPr>
          <w:rFonts w:hint="eastAsia" w:ascii="宋体" w:hAnsi="宋体" w:cs="宋体"/>
          <w:highlight w:val="none"/>
        </w:rPr>
        <w:t>1.10.2 投标人应在投标人须知前附表规定的时间前，以书面形式将提出的问题送达招标人，以便招标人在会议期间澄清。</w:t>
      </w:r>
    </w:p>
    <w:p w14:paraId="0ADCA498">
      <w:pPr>
        <w:spacing w:line="288" w:lineRule="auto"/>
        <w:ind w:firstLine="420" w:firstLineChars="200"/>
        <w:rPr>
          <w:rFonts w:ascii="宋体" w:hAnsi="宋体" w:cs="宋体"/>
          <w:highlight w:val="none"/>
        </w:rPr>
      </w:pPr>
      <w:r>
        <w:rPr>
          <w:rFonts w:hint="eastAsia" w:ascii="宋体" w:hAnsi="宋体" w:cs="宋体"/>
          <w:highlight w:val="none"/>
        </w:rPr>
        <w:t>1.10.3 投标预备会后，招标人在投标人须知前附表规定的时间内，将对投标人所提问题的澄清，以书面形式通知所有购买招标文件的投标人。该澄清内容为招标文件的组成部分。</w:t>
      </w:r>
    </w:p>
    <w:p w14:paraId="4E03C089">
      <w:pPr>
        <w:spacing w:line="288" w:lineRule="auto"/>
        <w:rPr>
          <w:rFonts w:ascii="宋体" w:hAnsi="宋体" w:cs="宋体"/>
          <w:sz w:val="24"/>
          <w:szCs w:val="24"/>
          <w:highlight w:val="none"/>
        </w:rPr>
      </w:pPr>
      <w:bookmarkStart w:id="143" w:name="_Toc152042317"/>
      <w:bookmarkStart w:id="144" w:name="_Toc152045541"/>
      <w:bookmarkStart w:id="145" w:name="_Toc21034"/>
      <w:bookmarkStart w:id="146" w:name="_Toc247527565"/>
      <w:bookmarkStart w:id="147" w:name="_Toc362816491"/>
      <w:bookmarkStart w:id="148" w:name="_Toc357089522"/>
      <w:bookmarkStart w:id="149" w:name="_Toc247513964"/>
      <w:bookmarkStart w:id="150" w:name="_Toc22105"/>
      <w:bookmarkStart w:id="151" w:name="_Toc356469188"/>
      <w:bookmarkStart w:id="152" w:name="_Toc300834961"/>
      <w:bookmarkStart w:id="153" w:name="_Toc144974509"/>
      <w:r>
        <w:rPr>
          <w:rFonts w:hint="eastAsia" w:ascii="宋体" w:hAnsi="宋体" w:cs="宋体"/>
          <w:sz w:val="24"/>
          <w:szCs w:val="24"/>
          <w:highlight w:val="none"/>
        </w:rPr>
        <w:t>1.11 分包</w:t>
      </w:r>
      <w:bookmarkEnd w:id="143"/>
      <w:bookmarkEnd w:id="144"/>
      <w:bookmarkEnd w:id="145"/>
      <w:bookmarkEnd w:id="146"/>
      <w:bookmarkEnd w:id="147"/>
      <w:bookmarkEnd w:id="148"/>
      <w:bookmarkEnd w:id="149"/>
      <w:bookmarkEnd w:id="150"/>
      <w:bookmarkEnd w:id="151"/>
      <w:bookmarkEnd w:id="152"/>
      <w:bookmarkEnd w:id="153"/>
    </w:p>
    <w:p w14:paraId="396963DF">
      <w:pPr>
        <w:spacing w:line="288" w:lineRule="auto"/>
        <w:ind w:firstLine="420" w:firstLineChars="200"/>
        <w:rPr>
          <w:rFonts w:ascii="宋体" w:hAnsi="宋体" w:cs="宋体"/>
          <w:highlight w:val="none"/>
        </w:rPr>
      </w:pPr>
      <w:r>
        <w:rPr>
          <w:rFonts w:hint="eastAsia" w:ascii="宋体" w:hAnsi="宋体" w:cs="宋体"/>
          <w:highlight w:val="none"/>
        </w:rPr>
        <w:t>1.11.1 投标人须知前附表规定应当由分包人实施的非主体、非关键性工作，投标人应当按照第五章“发包人要求”的规定提供分包人候选名单及其相应资料。</w:t>
      </w:r>
    </w:p>
    <w:p w14:paraId="6CD44AEE">
      <w:pPr>
        <w:spacing w:line="288" w:lineRule="auto"/>
        <w:ind w:firstLine="420" w:firstLineChars="200"/>
        <w:rPr>
          <w:rFonts w:ascii="宋体" w:hAnsi="宋体" w:cs="宋体"/>
          <w:highlight w:val="none"/>
        </w:rPr>
      </w:pPr>
      <w:r>
        <w:rPr>
          <w:rFonts w:hint="eastAsia" w:ascii="宋体" w:hAnsi="宋体" w:cs="宋体"/>
          <w:highlight w:val="none"/>
        </w:rPr>
        <w:t>1.11.2 招标人允许投标人在中标后将中标项目的部分非主体、非关键性工作进行分包的，应符合投标人须知前附表规定的分包内容、资质要求等限制性条件。</w:t>
      </w:r>
    </w:p>
    <w:p w14:paraId="2E53EA63">
      <w:pPr>
        <w:spacing w:line="288" w:lineRule="auto"/>
        <w:rPr>
          <w:rFonts w:ascii="宋体" w:hAnsi="宋体" w:cs="宋体"/>
          <w:sz w:val="24"/>
          <w:szCs w:val="24"/>
          <w:highlight w:val="none"/>
        </w:rPr>
      </w:pPr>
      <w:bookmarkStart w:id="154" w:name="_Toc356469189"/>
      <w:bookmarkStart w:id="155" w:name="_Toc300834962"/>
      <w:bookmarkStart w:id="156" w:name="_Toc2881"/>
      <w:bookmarkStart w:id="157" w:name="_Toc357089523"/>
      <w:bookmarkStart w:id="158" w:name="_Toc247527566"/>
      <w:bookmarkStart w:id="159" w:name="_Toc247513965"/>
      <w:bookmarkStart w:id="160" w:name="_Toc362816492"/>
      <w:bookmarkStart w:id="161" w:name="_Toc20302"/>
      <w:r>
        <w:rPr>
          <w:rFonts w:hint="eastAsia" w:ascii="宋体" w:hAnsi="宋体" w:cs="宋体"/>
          <w:sz w:val="24"/>
          <w:szCs w:val="24"/>
          <w:highlight w:val="none"/>
        </w:rPr>
        <w:t>1.12 偏离</w:t>
      </w:r>
      <w:bookmarkEnd w:id="154"/>
      <w:bookmarkEnd w:id="155"/>
      <w:bookmarkEnd w:id="156"/>
      <w:bookmarkEnd w:id="157"/>
      <w:bookmarkEnd w:id="158"/>
      <w:bookmarkEnd w:id="159"/>
      <w:bookmarkEnd w:id="160"/>
      <w:bookmarkEnd w:id="161"/>
    </w:p>
    <w:p w14:paraId="5A32A932">
      <w:pPr>
        <w:spacing w:line="288" w:lineRule="auto"/>
        <w:ind w:firstLine="420" w:firstLineChars="200"/>
        <w:rPr>
          <w:rFonts w:ascii="宋体" w:hAnsi="宋体" w:cs="宋体"/>
          <w:highlight w:val="none"/>
        </w:rPr>
      </w:pPr>
      <w:r>
        <w:rPr>
          <w:rFonts w:hint="eastAsia" w:ascii="宋体" w:hAnsi="宋体" w:cs="宋体"/>
          <w:highlight w:val="none"/>
        </w:rPr>
        <w:t>1.12.1投标人须知前附表允许投标文件偏离招标文件某些要求的，偏离应当符合招标文件规定的偏离范围和幅度。</w:t>
      </w:r>
    </w:p>
    <w:p w14:paraId="26E5B5B3">
      <w:pPr>
        <w:spacing w:line="288" w:lineRule="auto"/>
        <w:rPr>
          <w:rFonts w:ascii="宋体" w:hAnsi="宋体" w:cs="宋体"/>
          <w:b/>
          <w:bCs/>
          <w:sz w:val="24"/>
          <w:szCs w:val="24"/>
          <w:highlight w:val="none"/>
        </w:rPr>
      </w:pPr>
      <w:bookmarkStart w:id="162" w:name="_Toc247527567"/>
      <w:bookmarkStart w:id="163" w:name="_Toc247513966"/>
      <w:bookmarkStart w:id="164" w:name="_Toc300834963"/>
      <w:bookmarkStart w:id="165" w:name="_Toc144974510"/>
      <w:bookmarkStart w:id="166" w:name="_Toc443505823"/>
      <w:bookmarkStart w:id="167" w:name="_Toc22240"/>
      <w:bookmarkStart w:id="168" w:name="_Toc480225649"/>
      <w:bookmarkStart w:id="169" w:name="_Toc7215"/>
      <w:bookmarkStart w:id="170" w:name="_Toc505152688"/>
      <w:bookmarkStart w:id="171" w:name="_Toc152045542"/>
      <w:bookmarkStart w:id="172" w:name="_Toc357089524"/>
      <w:bookmarkStart w:id="173" w:name="_Toc362816493"/>
      <w:bookmarkStart w:id="174" w:name="_Toc152042318"/>
      <w:r>
        <w:rPr>
          <w:rFonts w:hint="eastAsia" w:ascii="宋体" w:hAnsi="宋体" w:cs="宋体"/>
          <w:b/>
          <w:bCs/>
          <w:sz w:val="24"/>
          <w:szCs w:val="24"/>
          <w:highlight w:val="none"/>
        </w:rPr>
        <w:t>2. 招标文件</w:t>
      </w:r>
      <w:bookmarkEnd w:id="162"/>
      <w:bookmarkEnd w:id="163"/>
      <w:bookmarkEnd w:id="164"/>
      <w:bookmarkEnd w:id="165"/>
      <w:bookmarkEnd w:id="166"/>
      <w:bookmarkEnd w:id="167"/>
      <w:bookmarkEnd w:id="168"/>
      <w:bookmarkEnd w:id="169"/>
      <w:bookmarkEnd w:id="170"/>
      <w:bookmarkEnd w:id="171"/>
      <w:bookmarkEnd w:id="172"/>
      <w:bookmarkEnd w:id="173"/>
      <w:bookmarkEnd w:id="174"/>
    </w:p>
    <w:p w14:paraId="1B48A811">
      <w:pPr>
        <w:spacing w:line="288" w:lineRule="auto"/>
        <w:rPr>
          <w:rFonts w:ascii="宋体" w:hAnsi="宋体" w:cs="宋体"/>
          <w:sz w:val="24"/>
          <w:szCs w:val="24"/>
          <w:highlight w:val="none"/>
        </w:rPr>
      </w:pPr>
      <w:bookmarkStart w:id="175" w:name="_Toc23912"/>
      <w:bookmarkStart w:id="176" w:name="_Toc357089525"/>
      <w:bookmarkStart w:id="177" w:name="_Toc356469191"/>
      <w:bookmarkStart w:id="178" w:name="_Toc362816494"/>
      <w:bookmarkStart w:id="179" w:name="_Toc144974511"/>
      <w:bookmarkStart w:id="180" w:name="_Toc247527568"/>
      <w:bookmarkStart w:id="181" w:name="_Toc247513967"/>
      <w:bookmarkStart w:id="182" w:name="_Toc152045543"/>
      <w:bookmarkStart w:id="183" w:name="_Toc152042319"/>
      <w:bookmarkStart w:id="184" w:name="_Toc300834964"/>
      <w:bookmarkStart w:id="185" w:name="_Toc8188"/>
      <w:r>
        <w:rPr>
          <w:rFonts w:hint="eastAsia" w:ascii="宋体" w:hAnsi="宋体" w:cs="宋体"/>
          <w:sz w:val="24"/>
          <w:szCs w:val="24"/>
          <w:highlight w:val="none"/>
        </w:rPr>
        <w:t>2.1 招标文件的组成</w:t>
      </w:r>
      <w:bookmarkEnd w:id="175"/>
      <w:bookmarkEnd w:id="176"/>
      <w:bookmarkEnd w:id="177"/>
      <w:bookmarkEnd w:id="178"/>
      <w:bookmarkEnd w:id="179"/>
      <w:bookmarkEnd w:id="180"/>
      <w:bookmarkEnd w:id="181"/>
      <w:bookmarkEnd w:id="182"/>
      <w:bookmarkEnd w:id="183"/>
      <w:bookmarkEnd w:id="184"/>
      <w:bookmarkEnd w:id="185"/>
    </w:p>
    <w:p w14:paraId="6EAF5197">
      <w:pPr>
        <w:spacing w:line="288" w:lineRule="auto"/>
        <w:ind w:firstLine="420" w:firstLineChars="200"/>
        <w:rPr>
          <w:rFonts w:ascii="宋体" w:hAnsi="宋体" w:cs="宋体"/>
          <w:highlight w:val="none"/>
        </w:rPr>
      </w:pPr>
      <w:r>
        <w:rPr>
          <w:rFonts w:hint="eastAsia" w:ascii="宋体" w:hAnsi="宋体" w:cs="宋体"/>
          <w:highlight w:val="none"/>
        </w:rPr>
        <w:t>2.1.1本招标文件包括：</w:t>
      </w:r>
    </w:p>
    <w:p w14:paraId="20D4F435">
      <w:pPr>
        <w:spacing w:line="288" w:lineRule="auto"/>
        <w:ind w:firstLine="420" w:firstLineChars="200"/>
        <w:rPr>
          <w:rFonts w:ascii="宋体" w:hAnsi="宋体" w:cs="宋体"/>
          <w:szCs w:val="24"/>
          <w:highlight w:val="none"/>
        </w:rPr>
      </w:pPr>
      <w:r>
        <w:rPr>
          <w:rFonts w:hint="eastAsia" w:ascii="宋体" w:hAnsi="宋体" w:cs="宋体"/>
          <w:szCs w:val="24"/>
          <w:highlight w:val="none"/>
        </w:rPr>
        <w:t>（1）招标公告（另册）；</w:t>
      </w:r>
    </w:p>
    <w:p w14:paraId="193F6590">
      <w:pPr>
        <w:spacing w:line="288" w:lineRule="auto"/>
        <w:ind w:firstLine="420" w:firstLineChars="200"/>
        <w:rPr>
          <w:rFonts w:ascii="宋体" w:hAnsi="宋体" w:cs="宋体"/>
          <w:szCs w:val="24"/>
          <w:highlight w:val="none"/>
        </w:rPr>
      </w:pPr>
      <w:r>
        <w:rPr>
          <w:rFonts w:hint="eastAsia" w:ascii="宋体" w:hAnsi="宋体" w:cs="宋体"/>
          <w:szCs w:val="24"/>
          <w:highlight w:val="none"/>
        </w:rPr>
        <w:t>（2）投标人须知；</w:t>
      </w:r>
    </w:p>
    <w:p w14:paraId="2F6A63BF">
      <w:pPr>
        <w:spacing w:line="288" w:lineRule="auto"/>
        <w:ind w:firstLine="420" w:firstLineChars="200"/>
        <w:rPr>
          <w:rFonts w:ascii="宋体" w:hAnsi="宋体" w:cs="宋体"/>
          <w:szCs w:val="24"/>
          <w:highlight w:val="none"/>
        </w:rPr>
      </w:pPr>
      <w:r>
        <w:rPr>
          <w:rFonts w:hint="eastAsia" w:ascii="宋体" w:hAnsi="宋体" w:cs="宋体"/>
          <w:szCs w:val="24"/>
          <w:highlight w:val="none"/>
        </w:rPr>
        <w:t>（3）评标办法；</w:t>
      </w:r>
    </w:p>
    <w:p w14:paraId="736E683D">
      <w:pPr>
        <w:spacing w:line="288" w:lineRule="auto"/>
        <w:ind w:firstLine="420" w:firstLineChars="200"/>
        <w:rPr>
          <w:rFonts w:ascii="宋体" w:hAnsi="宋体" w:cs="宋体"/>
          <w:szCs w:val="24"/>
          <w:highlight w:val="none"/>
        </w:rPr>
      </w:pPr>
      <w:r>
        <w:rPr>
          <w:rFonts w:hint="eastAsia" w:ascii="宋体" w:hAnsi="宋体" w:cs="宋体"/>
          <w:szCs w:val="24"/>
          <w:highlight w:val="none"/>
        </w:rPr>
        <w:t>（4）合同条款及格式(另册)；</w:t>
      </w:r>
    </w:p>
    <w:p w14:paraId="273FF102">
      <w:pPr>
        <w:spacing w:line="288" w:lineRule="auto"/>
        <w:ind w:firstLine="420" w:firstLineChars="200"/>
        <w:rPr>
          <w:rFonts w:ascii="宋体" w:hAnsi="宋体" w:cs="宋体"/>
          <w:szCs w:val="24"/>
          <w:highlight w:val="none"/>
        </w:rPr>
      </w:pPr>
      <w:r>
        <w:rPr>
          <w:rFonts w:hint="eastAsia" w:ascii="宋体" w:hAnsi="宋体" w:cs="宋体"/>
          <w:szCs w:val="24"/>
          <w:highlight w:val="none"/>
        </w:rPr>
        <w:t>（5）发包人要求；</w:t>
      </w:r>
    </w:p>
    <w:p w14:paraId="1773C935">
      <w:pPr>
        <w:spacing w:line="288" w:lineRule="auto"/>
        <w:ind w:firstLine="420" w:firstLineChars="200"/>
        <w:rPr>
          <w:rFonts w:ascii="宋体" w:hAnsi="宋体" w:cs="宋体"/>
          <w:szCs w:val="24"/>
          <w:highlight w:val="none"/>
        </w:rPr>
      </w:pPr>
      <w:r>
        <w:rPr>
          <w:rFonts w:hint="eastAsia" w:ascii="宋体" w:hAnsi="宋体" w:cs="宋体"/>
          <w:szCs w:val="24"/>
          <w:highlight w:val="none"/>
        </w:rPr>
        <w:t>（6）</w:t>
      </w:r>
      <w:r>
        <w:rPr>
          <w:rFonts w:hint="eastAsia" w:ascii="宋体" w:hAnsi="宋体" w:cs="宋体"/>
          <w:highlight w:val="none"/>
        </w:rPr>
        <w:t>发包人提供的资料和条件（另册）</w:t>
      </w:r>
      <w:r>
        <w:rPr>
          <w:rFonts w:hint="eastAsia" w:ascii="宋体" w:hAnsi="宋体" w:cs="宋体"/>
          <w:szCs w:val="24"/>
          <w:highlight w:val="none"/>
        </w:rPr>
        <w:t>；</w:t>
      </w:r>
    </w:p>
    <w:p w14:paraId="1C17A709">
      <w:pPr>
        <w:spacing w:line="288" w:lineRule="auto"/>
        <w:ind w:firstLine="420" w:firstLineChars="200"/>
        <w:rPr>
          <w:rFonts w:ascii="宋体" w:hAnsi="宋体" w:cs="宋体"/>
          <w:szCs w:val="24"/>
          <w:highlight w:val="none"/>
        </w:rPr>
      </w:pPr>
      <w:r>
        <w:rPr>
          <w:rFonts w:hint="eastAsia" w:ascii="宋体" w:hAnsi="宋体" w:cs="宋体"/>
          <w:szCs w:val="24"/>
          <w:highlight w:val="none"/>
        </w:rPr>
        <w:t>（7）投标文件格式；</w:t>
      </w:r>
    </w:p>
    <w:p w14:paraId="35532AEF">
      <w:pPr>
        <w:spacing w:line="288" w:lineRule="auto"/>
        <w:ind w:firstLine="420" w:firstLineChars="200"/>
        <w:rPr>
          <w:rFonts w:ascii="宋体" w:hAnsi="宋体" w:cs="宋体"/>
          <w:szCs w:val="24"/>
          <w:highlight w:val="none"/>
        </w:rPr>
      </w:pPr>
      <w:r>
        <w:rPr>
          <w:rFonts w:hint="eastAsia" w:ascii="宋体" w:hAnsi="宋体" w:cs="宋体"/>
          <w:szCs w:val="24"/>
          <w:highlight w:val="none"/>
        </w:rPr>
        <w:t>（8）《投标人须知前附表》规定的其他资料。</w:t>
      </w:r>
    </w:p>
    <w:p w14:paraId="714145F3">
      <w:pPr>
        <w:spacing w:line="288" w:lineRule="auto"/>
        <w:ind w:firstLine="420" w:firstLineChars="200"/>
        <w:rPr>
          <w:rFonts w:ascii="宋体" w:hAnsi="宋体" w:cs="宋体"/>
          <w:highlight w:val="none"/>
        </w:rPr>
      </w:pPr>
      <w:r>
        <w:rPr>
          <w:rFonts w:hint="eastAsia" w:ascii="宋体" w:hAnsi="宋体" w:cs="宋体"/>
          <w:highlight w:val="none"/>
        </w:rPr>
        <w:t>2.1.2根据本章第1.10款、第2.2款和第2.3款对招标文件所作的澄清、修改，发布并构成招标文件的组成部分。当招标文件的澄清、修改等在同一内容的表述不一致时，以最后发出的书面文件为准。</w:t>
      </w:r>
    </w:p>
    <w:p w14:paraId="289D0DE1">
      <w:pPr>
        <w:spacing w:line="288" w:lineRule="auto"/>
        <w:ind w:firstLine="420" w:firstLineChars="200"/>
        <w:rPr>
          <w:rFonts w:ascii="宋体" w:hAnsi="宋体" w:cs="宋体"/>
          <w:highlight w:val="none"/>
          <w:u w:val="single"/>
        </w:rPr>
      </w:pPr>
      <w:r>
        <w:rPr>
          <w:rFonts w:hint="eastAsia" w:ascii="宋体" w:hAnsi="宋体" w:cs="宋体"/>
          <w:highlight w:val="none"/>
        </w:rPr>
        <w:t>2.1.3</w:t>
      </w:r>
      <w:r>
        <w:rPr>
          <w:rFonts w:hint="eastAsia" w:ascii="宋体" w:hAnsi="宋体" w:cs="宋体"/>
          <w:highlight w:val="none"/>
          <w:u w:val="single"/>
        </w:rPr>
        <w:t>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销其不符合要求的差异或保留使之成为具有响应性的投标文件。</w:t>
      </w:r>
    </w:p>
    <w:p w14:paraId="6649C7DA">
      <w:pPr>
        <w:spacing w:line="288" w:lineRule="auto"/>
        <w:ind w:firstLine="420" w:firstLineChars="200"/>
        <w:rPr>
          <w:rFonts w:ascii="宋体" w:hAnsi="宋体" w:cs="宋体"/>
          <w:highlight w:val="none"/>
          <w:u w:val="single"/>
        </w:rPr>
      </w:pPr>
      <w:r>
        <w:rPr>
          <w:rFonts w:hint="eastAsia" w:ascii="宋体" w:hAnsi="宋体" w:cs="宋体"/>
          <w:highlight w:val="none"/>
        </w:rPr>
        <w:t>2.1.4</w:t>
      </w:r>
      <w:r>
        <w:rPr>
          <w:rFonts w:hint="eastAsia" w:ascii="宋体" w:hAnsi="宋体" w:cs="宋体"/>
          <w:highlight w:val="none"/>
          <w:u w:val="single"/>
        </w:rPr>
        <w:t>投标人一旦中标，招标文件的内容对招标人和中标人双方均有约束力。</w:t>
      </w:r>
    </w:p>
    <w:p w14:paraId="6E2204BC">
      <w:pPr>
        <w:spacing w:line="288" w:lineRule="auto"/>
        <w:ind w:firstLine="420" w:firstLineChars="200"/>
        <w:rPr>
          <w:rFonts w:ascii="宋体" w:hAnsi="宋体" w:cs="宋体"/>
          <w:highlight w:val="none"/>
          <w:u w:val="single"/>
        </w:rPr>
      </w:pPr>
      <w:r>
        <w:rPr>
          <w:rFonts w:hint="eastAsia" w:ascii="宋体" w:hAnsi="宋体" w:cs="宋体"/>
          <w:highlight w:val="none"/>
        </w:rPr>
        <w:t>2.1.5</w:t>
      </w:r>
      <w:r>
        <w:rPr>
          <w:rFonts w:hint="eastAsia" w:ascii="宋体" w:hAnsi="宋体" w:cs="宋体"/>
          <w:highlight w:val="none"/>
          <w:u w:val="single"/>
        </w:rPr>
        <w:t>发布招标公告的同时，通过广州交易集团有限公司（广州公共资源交易中心）网站发布电子招标文件、招标控制价。</w:t>
      </w:r>
    </w:p>
    <w:p w14:paraId="0081A7D2">
      <w:pPr>
        <w:spacing w:line="288" w:lineRule="auto"/>
        <w:ind w:firstLine="420" w:firstLineChars="200"/>
        <w:rPr>
          <w:rFonts w:ascii="宋体" w:hAnsi="宋体" w:cs="宋体"/>
          <w:highlight w:val="none"/>
          <w:u w:val="single"/>
        </w:rPr>
      </w:pPr>
      <w:r>
        <w:rPr>
          <w:rFonts w:hint="eastAsia" w:ascii="宋体" w:hAnsi="宋体" w:cs="宋体"/>
          <w:highlight w:val="none"/>
        </w:rPr>
        <w:t>2.1.6</w:t>
      </w:r>
      <w:r>
        <w:rPr>
          <w:rFonts w:hint="eastAsia" w:ascii="宋体" w:hAnsi="宋体" w:cs="宋体"/>
          <w:highlight w:val="none"/>
          <w:u w:val="single"/>
        </w:rPr>
        <w:t>招标文件一经在广州交易集团有限公司（广州公共资源交易中心）网站发布，视作已发放给所有投标人。</w:t>
      </w:r>
    </w:p>
    <w:p w14:paraId="65805289">
      <w:pPr>
        <w:spacing w:line="288" w:lineRule="auto"/>
        <w:rPr>
          <w:rFonts w:ascii="宋体" w:hAnsi="宋体" w:cs="宋体"/>
          <w:sz w:val="24"/>
          <w:szCs w:val="24"/>
          <w:highlight w:val="none"/>
        </w:rPr>
      </w:pPr>
      <w:bookmarkStart w:id="186" w:name="_Toc32670"/>
      <w:bookmarkStart w:id="187" w:name="_Toc247513968"/>
      <w:bookmarkStart w:id="188" w:name="_Toc247527569"/>
      <w:bookmarkStart w:id="189" w:name="_Toc152042320"/>
      <w:bookmarkStart w:id="190" w:name="_Toc357089526"/>
      <w:bookmarkStart w:id="191" w:name="_Toc362816495"/>
      <w:bookmarkStart w:id="192" w:name="_Toc29920"/>
      <w:bookmarkStart w:id="193" w:name="_Toc356469192"/>
      <w:bookmarkStart w:id="194" w:name="_Toc144974512"/>
      <w:bookmarkStart w:id="195" w:name="_Toc152045544"/>
      <w:bookmarkStart w:id="196" w:name="_Toc300834965"/>
      <w:r>
        <w:rPr>
          <w:rFonts w:hint="eastAsia" w:ascii="宋体" w:hAnsi="宋体" w:cs="宋体"/>
          <w:sz w:val="24"/>
          <w:szCs w:val="24"/>
          <w:highlight w:val="none"/>
        </w:rPr>
        <w:t>2.2 招标文件的澄清</w:t>
      </w:r>
      <w:bookmarkEnd w:id="186"/>
      <w:bookmarkEnd w:id="187"/>
      <w:bookmarkEnd w:id="188"/>
      <w:bookmarkEnd w:id="189"/>
      <w:bookmarkEnd w:id="190"/>
      <w:bookmarkEnd w:id="191"/>
      <w:bookmarkEnd w:id="192"/>
      <w:bookmarkEnd w:id="193"/>
      <w:bookmarkEnd w:id="194"/>
      <w:bookmarkEnd w:id="195"/>
      <w:bookmarkEnd w:id="196"/>
    </w:p>
    <w:p w14:paraId="2530DC1E">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rPr>
        <w:t>2.2.1 投标人应仔细阅读和检查招标文件的全部内容。如发现缺页或附件不全，应及时向招标人提出，以便补齐。如有疑问，</w:t>
      </w:r>
      <w:r>
        <w:rPr>
          <w:rFonts w:hint="eastAsia" w:ascii="宋体" w:hAnsi="宋体" w:cs="宋体"/>
          <w:szCs w:val="21"/>
          <w:highlight w:val="none"/>
          <w:u w:val="single"/>
        </w:rPr>
        <w:t>可在规定的时间内通过广州交易集团有限公司（广州公共资源交易中心）网站进入提问区域将问题提交给招标人或招标代理人，</w:t>
      </w:r>
      <w:r>
        <w:rPr>
          <w:rFonts w:hint="eastAsia" w:ascii="宋体" w:hAnsi="宋体" w:cs="宋体"/>
          <w:highlight w:val="none"/>
          <w:u w:val="single"/>
        </w:rPr>
        <w:t>提交问题时一律不得署名</w:t>
      </w:r>
      <w:r>
        <w:rPr>
          <w:rFonts w:hint="eastAsia" w:ascii="宋体" w:hAnsi="宋体" w:cs="宋体"/>
          <w:szCs w:val="21"/>
          <w:highlight w:val="none"/>
          <w:u w:val="single"/>
        </w:rPr>
        <w:t>。</w:t>
      </w:r>
    </w:p>
    <w:p w14:paraId="28F674BA">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rPr>
        <w:t>2.2.2</w:t>
      </w:r>
      <w:r>
        <w:rPr>
          <w:rFonts w:hint="eastAsia" w:ascii="宋体" w:hAnsi="宋体" w:cs="宋体"/>
          <w:szCs w:val="21"/>
          <w:highlight w:val="none"/>
          <w:u w:val="single"/>
        </w:rPr>
        <w:t>招标人应在投标截止时间15日前解答投标人对招标文件提出的疑问，形成答疑纪要，在交易中心网站“项目答疑纪要”专区发布。</w:t>
      </w:r>
    </w:p>
    <w:p w14:paraId="47E6584F">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rPr>
        <w:t>2.2.3</w:t>
      </w:r>
      <w:r>
        <w:rPr>
          <w:rFonts w:hint="eastAsia" w:ascii="宋体" w:hAnsi="宋体" w:cs="宋体"/>
          <w:szCs w:val="21"/>
          <w:highlight w:val="none"/>
          <w:u w:val="single"/>
        </w:rPr>
        <w:t>招标答疑纪要一经在广州交易集团有限公司（广州公共资源交易中心）网站发布，视作已发放给所有投标人。</w:t>
      </w:r>
    </w:p>
    <w:p w14:paraId="14D03BC0">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rPr>
        <w:t>2.2.4</w:t>
      </w:r>
      <w:r>
        <w:rPr>
          <w:rFonts w:hint="eastAsia" w:ascii="宋体" w:hAnsi="宋体" w:cs="宋体"/>
          <w:szCs w:val="21"/>
          <w:highlight w:val="none"/>
          <w:u w:val="single"/>
        </w:rPr>
        <w:t>招标答疑纪要为招标文件的一部分。投标人可在广州交易集团有限公司（广州公共资源交易中心）网站浏览、下载招标答疑纪要。</w:t>
      </w:r>
    </w:p>
    <w:p w14:paraId="58CFBE30">
      <w:pPr>
        <w:spacing w:line="288" w:lineRule="auto"/>
        <w:ind w:firstLine="420" w:firstLineChars="200"/>
        <w:rPr>
          <w:rFonts w:ascii="宋体" w:hAnsi="宋体" w:cs="宋体"/>
          <w:szCs w:val="21"/>
          <w:highlight w:val="none"/>
        </w:rPr>
      </w:pPr>
      <w:r>
        <w:rPr>
          <w:rFonts w:hint="eastAsia" w:ascii="宋体" w:hAnsi="宋体" w:cs="宋体"/>
          <w:szCs w:val="21"/>
          <w:highlight w:val="none"/>
        </w:rPr>
        <w:t>2.2.5</w:t>
      </w:r>
      <w:r>
        <w:rPr>
          <w:rFonts w:hint="eastAsia" w:ascii="宋体" w:hAnsi="宋体" w:cs="宋体"/>
          <w:szCs w:val="21"/>
          <w:highlight w:val="none"/>
          <w:u w:val="single"/>
        </w:rPr>
        <w:t>若招标答疑纪要与招标文件有矛盾时，以广州交易集团有限公司（广州公共资源交易中心）网站最后发布的答疑纪要为准。</w:t>
      </w:r>
    </w:p>
    <w:p w14:paraId="2851D366">
      <w:pPr>
        <w:spacing w:line="288" w:lineRule="auto"/>
        <w:rPr>
          <w:rFonts w:ascii="宋体" w:hAnsi="宋体" w:cs="宋体"/>
          <w:sz w:val="24"/>
          <w:szCs w:val="24"/>
          <w:highlight w:val="none"/>
        </w:rPr>
      </w:pPr>
      <w:bookmarkStart w:id="197" w:name="_Toc144974513"/>
      <w:bookmarkStart w:id="198" w:name="_Toc362816496"/>
      <w:bookmarkStart w:id="199" w:name="_Toc247527570"/>
      <w:bookmarkStart w:id="200" w:name="_Toc300834966"/>
      <w:bookmarkStart w:id="201" w:name="_Toc24715"/>
      <w:bookmarkStart w:id="202" w:name="_Toc14205"/>
      <w:bookmarkStart w:id="203" w:name="_Toc152042321"/>
      <w:bookmarkStart w:id="204" w:name="_Toc247513969"/>
      <w:bookmarkStart w:id="205" w:name="_Toc357089527"/>
      <w:bookmarkStart w:id="206" w:name="_Toc356469193"/>
      <w:bookmarkStart w:id="207" w:name="_Toc152045545"/>
      <w:r>
        <w:rPr>
          <w:rFonts w:hint="eastAsia" w:ascii="宋体" w:hAnsi="宋体" w:cs="宋体"/>
          <w:sz w:val="24"/>
          <w:szCs w:val="24"/>
          <w:highlight w:val="none"/>
        </w:rPr>
        <w:t>2.3 招标文件的修改</w:t>
      </w:r>
      <w:bookmarkEnd w:id="197"/>
      <w:bookmarkEnd w:id="198"/>
      <w:bookmarkEnd w:id="199"/>
      <w:bookmarkEnd w:id="200"/>
      <w:bookmarkEnd w:id="201"/>
      <w:bookmarkEnd w:id="202"/>
      <w:bookmarkEnd w:id="203"/>
      <w:bookmarkEnd w:id="204"/>
      <w:bookmarkEnd w:id="205"/>
      <w:bookmarkEnd w:id="206"/>
      <w:bookmarkEnd w:id="207"/>
    </w:p>
    <w:p w14:paraId="39B44ACF">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rPr>
        <w:t>2.3.1</w:t>
      </w:r>
      <w:r>
        <w:rPr>
          <w:rFonts w:hint="eastAsia" w:ascii="宋体" w:hAnsi="宋体" w:cs="宋体"/>
          <w:szCs w:val="21"/>
          <w:highlight w:val="none"/>
          <w:u w:val="single"/>
        </w:rPr>
        <w:t>招标文件发出后，在提交投标文件截止时间15日前，招标人可对招标文件进行必要的澄清或修改。</w:t>
      </w:r>
    </w:p>
    <w:p w14:paraId="07A69100">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rPr>
        <w:t>2.3.2</w:t>
      </w:r>
      <w:r>
        <w:rPr>
          <w:rFonts w:hint="eastAsia" w:ascii="宋体" w:hAnsi="宋体" w:cs="宋体"/>
          <w:szCs w:val="21"/>
          <w:highlight w:val="none"/>
          <w:u w:val="single"/>
        </w:rPr>
        <w:t>招标文件的澄清或修改在广州交易集团有限公司（广州公共资源交易中心）网站发布。招标文件的澄清或修改一经在广州交易集团有限公司（广州公共资源交易中心）网站发布，视作已发放给所有投标人，招标文件的修改内容作为招标文件的组成部分，具有约束作用。</w:t>
      </w:r>
    </w:p>
    <w:p w14:paraId="3F4296FC">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rPr>
        <w:t>2.3.3</w:t>
      </w:r>
      <w:r>
        <w:rPr>
          <w:rFonts w:hint="eastAsia" w:ascii="宋体" w:hAnsi="宋体" w:cs="宋体"/>
          <w:szCs w:val="21"/>
          <w:highlight w:val="none"/>
          <w:u w:val="single"/>
        </w:rPr>
        <w:t>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44B0B03A">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rPr>
        <w:t>2.3.4</w:t>
      </w:r>
      <w:r>
        <w:rPr>
          <w:rFonts w:hint="eastAsia" w:ascii="宋体" w:hAnsi="宋体" w:cs="宋体"/>
          <w:szCs w:val="21"/>
          <w:highlight w:val="none"/>
          <w:u w:val="single"/>
        </w:rPr>
        <w:t>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51B5D2EB">
      <w:pPr>
        <w:spacing w:line="288" w:lineRule="auto"/>
        <w:rPr>
          <w:rFonts w:ascii="宋体" w:hAnsi="宋体" w:cs="宋体"/>
          <w:b/>
          <w:bCs/>
          <w:sz w:val="24"/>
          <w:szCs w:val="24"/>
          <w:highlight w:val="none"/>
        </w:rPr>
      </w:pPr>
      <w:bookmarkStart w:id="208" w:name="_Toc27708"/>
      <w:r>
        <w:rPr>
          <w:rFonts w:hint="eastAsia" w:ascii="宋体" w:hAnsi="宋体" w:cs="宋体"/>
          <w:b/>
          <w:bCs/>
          <w:sz w:val="24"/>
          <w:szCs w:val="24"/>
          <w:highlight w:val="none"/>
        </w:rPr>
        <w:t xml:space="preserve">3.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cs="宋体"/>
          <w:b/>
          <w:bCs/>
          <w:sz w:val="24"/>
          <w:szCs w:val="24"/>
          <w:highlight w:val="none"/>
        </w:rPr>
        <w:t>投标文件</w:t>
      </w:r>
      <w:bookmarkEnd w:id="208"/>
    </w:p>
    <w:p w14:paraId="2EF03277">
      <w:pPr>
        <w:spacing w:line="288" w:lineRule="auto"/>
        <w:rPr>
          <w:rFonts w:ascii="宋体" w:hAnsi="宋体" w:cs="宋体"/>
          <w:sz w:val="24"/>
          <w:szCs w:val="24"/>
          <w:highlight w:val="none"/>
        </w:rPr>
      </w:pPr>
      <w:bookmarkStart w:id="209" w:name="_Toc18769"/>
      <w:bookmarkStart w:id="210" w:name="_Toc152042323"/>
      <w:bookmarkStart w:id="211" w:name="_Toc18043"/>
      <w:bookmarkStart w:id="212" w:name="_Toc10609"/>
      <w:bookmarkStart w:id="213" w:name="_Toc144974515"/>
      <w:bookmarkStart w:id="214" w:name="_Toc13959"/>
      <w:bookmarkStart w:id="215" w:name="_Toc485211056"/>
      <w:bookmarkStart w:id="216" w:name="_Toc16238"/>
      <w:bookmarkStart w:id="217" w:name="_Toc247527572"/>
      <w:bookmarkStart w:id="218" w:name="_Toc678"/>
      <w:bookmarkStart w:id="219" w:name="_Toc10975"/>
      <w:bookmarkStart w:id="220" w:name="_Toc436834149"/>
      <w:bookmarkStart w:id="221" w:name="_Toc152045547"/>
      <w:bookmarkStart w:id="222" w:name="_Toc436834742"/>
      <w:bookmarkStart w:id="223" w:name="_Toc19073"/>
      <w:bookmarkStart w:id="224" w:name="_Toc24046"/>
      <w:bookmarkStart w:id="225" w:name="_Toc31828"/>
      <w:bookmarkStart w:id="226" w:name="_Toc247513971"/>
      <w:bookmarkStart w:id="227" w:name="_Toc384759593"/>
      <w:bookmarkStart w:id="228" w:name="_Toc29680"/>
      <w:r>
        <w:rPr>
          <w:rFonts w:hint="eastAsia" w:ascii="宋体" w:hAnsi="宋体" w:cs="宋体"/>
          <w:sz w:val="24"/>
          <w:szCs w:val="24"/>
          <w:highlight w:val="none"/>
        </w:rPr>
        <w:t xml:space="preserve">3.1 </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rFonts w:hint="eastAsia" w:ascii="宋体" w:hAnsi="宋体" w:cs="宋体"/>
          <w:sz w:val="24"/>
          <w:szCs w:val="24"/>
          <w:highlight w:val="none"/>
        </w:rPr>
        <w:t>投标文件的组成</w:t>
      </w:r>
      <w:bookmarkEnd w:id="228"/>
    </w:p>
    <w:p w14:paraId="588335A8">
      <w:pPr>
        <w:spacing w:line="288" w:lineRule="auto"/>
        <w:ind w:firstLine="420" w:firstLineChars="200"/>
        <w:rPr>
          <w:rFonts w:ascii="宋体" w:hAnsi="宋体" w:cs="宋体"/>
          <w:b/>
          <w:szCs w:val="21"/>
          <w:highlight w:val="none"/>
        </w:rPr>
      </w:pPr>
      <w:bookmarkStart w:id="229" w:name="_Toc26143"/>
      <w:bookmarkStart w:id="230" w:name="_Toc535"/>
      <w:bookmarkStart w:id="231" w:name="_Toc13108"/>
      <w:bookmarkStart w:id="232" w:name="_Toc17206"/>
      <w:bookmarkStart w:id="233" w:name="_Toc12325"/>
      <w:bookmarkStart w:id="234" w:name="_Toc30511"/>
      <w:r>
        <w:rPr>
          <w:rFonts w:hint="eastAsia" w:ascii="宋体" w:hAnsi="宋体" w:cs="宋体"/>
          <w:szCs w:val="21"/>
          <w:highlight w:val="none"/>
        </w:rPr>
        <w:t>3.1.1 投标文件由</w:t>
      </w:r>
      <w:r>
        <w:rPr>
          <w:rFonts w:hint="eastAsia" w:ascii="宋体" w:hAnsi="宋体" w:cs="宋体"/>
          <w:szCs w:val="21"/>
          <w:highlight w:val="none"/>
          <w:u w:val="single"/>
        </w:rPr>
        <w:t>工程总承包实施方案投标文件（含资格审查文件）</w:t>
      </w:r>
      <w:r>
        <w:rPr>
          <w:rFonts w:hint="eastAsia" w:ascii="宋体" w:hAnsi="宋体" w:cs="宋体"/>
          <w:szCs w:val="21"/>
          <w:highlight w:val="none"/>
        </w:rPr>
        <w:t>组成</w:t>
      </w:r>
      <w:r>
        <w:rPr>
          <w:rFonts w:hint="eastAsia" w:ascii="宋体" w:hAnsi="宋体" w:cs="宋体"/>
          <w:b/>
          <w:szCs w:val="21"/>
          <w:highlight w:val="none"/>
        </w:rPr>
        <w:t>，主要包括下列内容：</w:t>
      </w:r>
    </w:p>
    <w:p w14:paraId="429C6A31">
      <w:pPr>
        <w:spacing w:line="288"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3.1.1.1工程总承包实施方案投标文件主要包括下列内容：</w:t>
      </w:r>
    </w:p>
    <w:p w14:paraId="7B3F7F2D">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rPr>
        <w:t>（1）</w:t>
      </w:r>
      <w:r>
        <w:rPr>
          <w:rFonts w:hint="eastAsia" w:ascii="宋体" w:hAnsi="宋体" w:cs="宋体"/>
          <w:kern w:val="0"/>
          <w:szCs w:val="21"/>
          <w:highlight w:val="none"/>
          <w:u w:val="single"/>
        </w:rPr>
        <w:t>封面：写明项目名称、工程总承包实施方案投标文件、投标人单位及年月日；加盖投标人电子印章（联合体投标的，“投标人”一栏需书写所有联合体成员的单位全称，由主办方签署、盖章）；</w:t>
      </w:r>
    </w:p>
    <w:p w14:paraId="0B9987D8">
      <w:pPr>
        <w:spacing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（2）</w:t>
      </w:r>
      <w:r>
        <w:rPr>
          <w:rFonts w:hint="eastAsia" w:ascii="宋体" w:hAnsi="宋体" w:cs="宋体"/>
          <w:kern w:val="0"/>
          <w:szCs w:val="21"/>
          <w:highlight w:val="none"/>
          <w:u w:val="single"/>
        </w:rPr>
        <w:t>投标函（见招标文件第六章）</w:t>
      </w:r>
    </w:p>
    <w:p w14:paraId="012A05BB">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rPr>
        <w:t>（3）</w:t>
      </w:r>
      <w:r>
        <w:rPr>
          <w:rFonts w:hint="eastAsia" w:ascii="宋体" w:hAnsi="宋体" w:cs="宋体"/>
          <w:kern w:val="0"/>
          <w:szCs w:val="21"/>
          <w:highlight w:val="none"/>
          <w:u w:val="single"/>
        </w:rPr>
        <w:t>投标承诺函（见招标文件第六章）；</w:t>
      </w:r>
    </w:p>
    <w:p w14:paraId="787CEB8F">
      <w:pPr>
        <w:spacing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（4）</w:t>
      </w:r>
      <w:r>
        <w:rPr>
          <w:rFonts w:hint="eastAsia" w:ascii="宋体" w:hAnsi="宋体" w:cs="宋体"/>
          <w:kern w:val="0"/>
          <w:szCs w:val="21"/>
          <w:highlight w:val="none"/>
          <w:u w:val="single"/>
        </w:rPr>
        <w:t>投标书（见招标文件第六章）</w:t>
      </w:r>
      <w:r>
        <w:rPr>
          <w:rFonts w:hint="eastAsia" w:ascii="宋体" w:hAnsi="宋体" w:cs="宋体"/>
          <w:kern w:val="0"/>
          <w:szCs w:val="21"/>
          <w:highlight w:val="none"/>
        </w:rPr>
        <w:t>；</w:t>
      </w:r>
    </w:p>
    <w:p w14:paraId="42805D99">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rPr>
        <w:t>（5）</w:t>
      </w:r>
      <w:r>
        <w:rPr>
          <w:rFonts w:hint="eastAsia" w:ascii="宋体" w:hAnsi="宋体" w:cs="宋体"/>
          <w:kern w:val="0"/>
          <w:szCs w:val="21"/>
          <w:highlight w:val="none"/>
          <w:u w:val="single"/>
        </w:rPr>
        <w:t>资格审查文件：</w:t>
      </w:r>
    </w:p>
    <w:p w14:paraId="4375E8CA">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u w:val="single"/>
        </w:rPr>
        <w:t>1）按招标公告附件一盖章签署的《投标人声明》；</w:t>
      </w:r>
    </w:p>
    <w:p w14:paraId="0F9077A5">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u w:val="single"/>
        </w:rPr>
        <w:t>2）法定代表人证明书，如投标文件为委托代理人签署应同时附上法定代表人证明书和法定代表人授权书；（联合体投标的，由联合体主办方出具即可）；</w:t>
      </w:r>
    </w:p>
    <w:p w14:paraId="0A53C2A3">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u w:val="single"/>
        </w:rPr>
        <w:t>3）企业营业执照扫描件或电子证照（联合体投标的，联合体各方均提供）；</w:t>
      </w:r>
    </w:p>
    <w:p w14:paraId="0433B80E">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u w:val="single"/>
        </w:rPr>
        <w:t>4）有效期内的企业资质证书扫描件或电子证照（联合体投标的，联合体各方均提供）；</w:t>
      </w:r>
    </w:p>
    <w:p w14:paraId="5A252393">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u w:val="single"/>
        </w:rPr>
        <w:t>5）建筑施工企业安全生产许可证扫描件或电子证照（联合体投标的，由联合体施工方出具）；</w:t>
      </w:r>
    </w:p>
    <w:p w14:paraId="266DDD87">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u w:val="single"/>
        </w:rPr>
        <w:t>6）拟派的施工负责人（兼项目负责人）的建造师注册证书扫描件或电子证书（按网上投标登记时选择拟投标的项目负责人）（联合体投标的，由联合体主办方出具）；</w:t>
      </w:r>
    </w:p>
    <w:p w14:paraId="3951D9F0">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u w:val="single"/>
        </w:rPr>
        <w:t>7）设计负责人的注册执业资格证书扫描件或电子证书（以投标登记时选取的设计负责人为准）（若为联合体投标，由承担设计任务方提供）；</w:t>
      </w:r>
    </w:p>
    <w:p w14:paraId="1C38485D">
      <w:pPr>
        <w:spacing w:line="288" w:lineRule="auto"/>
        <w:ind w:firstLine="420" w:firstLineChars="200"/>
        <w:rPr>
          <w:rFonts w:ascii="宋体" w:hAnsi="宋体" w:cs="宋体"/>
          <w:szCs w:val="21"/>
          <w:highlight w:val="none"/>
        </w:rPr>
      </w:pPr>
      <w:r>
        <w:rPr>
          <w:rFonts w:hint="eastAsia" w:ascii="宋体" w:hAnsi="宋体" w:cs="宋体"/>
          <w:kern w:val="0"/>
          <w:szCs w:val="21"/>
          <w:highlight w:val="none"/>
          <w:u w:val="single"/>
        </w:rPr>
        <w:t>8）技术负责人的职称证书扫描件或电子证书（若为联合体投标，由联合体施工方出具）；</w:t>
      </w:r>
    </w:p>
    <w:p w14:paraId="20B207B9">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u w:val="single"/>
        </w:rPr>
        <w:t>9）项目负责人持有在有效期内的安全生产考核合格证（B类）或建筑施工企业项目负责人安全生产考核合格证书扫描件或电子证书；（联合体投标的，由联合体主办方出具）；</w:t>
      </w:r>
    </w:p>
    <w:p w14:paraId="1A647BB1">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u w:val="single"/>
        </w:rPr>
        <w:t>10）专职安全员须具有在有效期内的安全生产考核合格证（C类）或建筑施工企业专职安全生产管理人员安全生产考核合格证书（C3）扫描件或电子证书（按投标登记时选择拟派专职安全员）。项目负责人与安全员不为同一人；（联合体投标的，由联合体施工方出具）；</w:t>
      </w:r>
    </w:p>
    <w:p w14:paraId="5BBB3D06">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u w:val="single"/>
        </w:rPr>
        <w:t>11）列明主办单位的联合体投标协议书（格式见招标公告附件，采用联合体投标时需递交，投标人拟任本工程项目负责人应为联合体主办方信用档案中的在册人员，联合体投标协议书应明确约定各方拟承担的工作和责任）；</w:t>
      </w:r>
    </w:p>
    <w:p w14:paraId="55B20943">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u w:val="single"/>
        </w:rPr>
        <w:t>12）投标人未被列入拖欠农民工工资失信联合惩戒对象名单和失信被执行人；（投标人无需提供资料，按投标截止时间交易系统比对的结果进行评审）；</w:t>
      </w:r>
    </w:p>
    <w:p w14:paraId="575F6A79">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u w:val="single"/>
        </w:rPr>
        <w:t>13）资格审查要求的其他文件（如有）。</w:t>
      </w:r>
    </w:p>
    <w:p w14:paraId="3A77B93E">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u w:val="single"/>
        </w:rPr>
        <w:t>注：①相关电子证书按规定需打印后手写本人签名的，应按照规定手写本人签名后再扫描提交。</w:t>
      </w:r>
    </w:p>
    <w:p w14:paraId="2B40ACAA">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u w:val="single"/>
        </w:rPr>
        <w:t>②投标人在投标登记时选择了登记企业、拟投入本项目的项目负责人、专职安全员、设计负责人，即已满足“资格审查前，投标人（若为联合体投标，指联合体各方）须在广州市住建行业信用管理平台建立企业信用档案及拟担任本工程项目负责人、专职安全员、设计负责人须是本企业信用档案中的在册人员”的要求，投标人无需提供证明材料。</w:t>
      </w:r>
    </w:p>
    <w:p w14:paraId="6F311ED8">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rPr>
        <w:t>（6）</w:t>
      </w:r>
      <w:r>
        <w:rPr>
          <w:rFonts w:hint="eastAsia" w:ascii="宋体" w:hAnsi="宋体" w:cs="宋体"/>
          <w:kern w:val="0"/>
          <w:szCs w:val="21"/>
          <w:highlight w:val="none"/>
          <w:u w:val="single"/>
        </w:rPr>
        <w:t>工程总承包实施方案；</w:t>
      </w:r>
    </w:p>
    <w:p w14:paraId="792F893E">
      <w:pPr>
        <w:spacing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（7）</w:t>
      </w:r>
      <w:r>
        <w:rPr>
          <w:rFonts w:hint="eastAsia" w:ascii="宋体" w:hAnsi="宋体" w:cs="宋体"/>
          <w:szCs w:val="21"/>
          <w:highlight w:val="none"/>
          <w:u w:val="single"/>
        </w:rPr>
        <w:t>投标文件编制人员名单</w:t>
      </w:r>
      <w:r>
        <w:rPr>
          <w:rFonts w:hint="eastAsia" w:ascii="宋体" w:hAnsi="宋体" w:cs="宋体"/>
          <w:kern w:val="0"/>
          <w:szCs w:val="21"/>
          <w:highlight w:val="none"/>
          <w:u w:val="single"/>
        </w:rPr>
        <w:t>（见招标文件第六章）；</w:t>
      </w:r>
    </w:p>
    <w:p w14:paraId="2DF5C022">
      <w:pPr>
        <w:spacing w:line="288"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rPr>
        <w:t>（8）</w:t>
      </w:r>
      <w:r>
        <w:rPr>
          <w:rFonts w:hint="eastAsia" w:ascii="宋体" w:hAnsi="宋体" w:cs="宋体"/>
          <w:kern w:val="0"/>
          <w:szCs w:val="21"/>
          <w:highlight w:val="none"/>
          <w:u w:val="single"/>
        </w:rPr>
        <w:t>投标人认为需要提交的其他资料。</w:t>
      </w:r>
    </w:p>
    <w:p w14:paraId="376189B0">
      <w:pPr>
        <w:spacing w:line="288" w:lineRule="auto"/>
        <w:rPr>
          <w:rFonts w:ascii="宋体" w:hAnsi="宋体" w:cs="宋体"/>
          <w:sz w:val="24"/>
          <w:szCs w:val="24"/>
          <w:highlight w:val="none"/>
        </w:rPr>
      </w:pPr>
      <w:bookmarkStart w:id="235" w:name="_Toc31210"/>
      <w:r>
        <w:rPr>
          <w:rFonts w:hint="eastAsia" w:ascii="宋体" w:hAnsi="宋体" w:cs="宋体"/>
          <w:sz w:val="24"/>
          <w:szCs w:val="24"/>
          <w:highlight w:val="none"/>
        </w:rPr>
        <w:t>3.2 投标报价</w:t>
      </w:r>
      <w:bookmarkEnd w:id="229"/>
      <w:bookmarkEnd w:id="230"/>
      <w:bookmarkEnd w:id="231"/>
      <w:bookmarkEnd w:id="232"/>
      <w:bookmarkEnd w:id="233"/>
      <w:bookmarkEnd w:id="234"/>
      <w:bookmarkEnd w:id="235"/>
    </w:p>
    <w:p w14:paraId="3D2D1769">
      <w:pPr>
        <w:spacing w:line="288" w:lineRule="auto"/>
        <w:ind w:firstLine="420" w:firstLineChars="200"/>
        <w:rPr>
          <w:rFonts w:ascii="宋体" w:hAnsi="宋体" w:cs="宋体"/>
          <w:szCs w:val="24"/>
          <w:highlight w:val="none"/>
        </w:rPr>
      </w:pPr>
      <w:bookmarkStart w:id="236" w:name="_Toc32164"/>
      <w:bookmarkStart w:id="237" w:name="_Toc152045548"/>
      <w:bookmarkStart w:id="238" w:name="_Toc92"/>
      <w:bookmarkStart w:id="239" w:name="_Toc8042"/>
      <w:bookmarkStart w:id="240" w:name="_Toc6661"/>
      <w:bookmarkStart w:id="241" w:name="_Toc485211057"/>
      <w:bookmarkStart w:id="242" w:name="_Toc12966"/>
      <w:bookmarkStart w:id="243" w:name="_Toc436834743"/>
      <w:bookmarkStart w:id="244" w:name="_Toc144974516"/>
      <w:bookmarkStart w:id="245" w:name="_Toc19364"/>
      <w:bookmarkStart w:id="246" w:name="_Toc8600"/>
      <w:bookmarkStart w:id="247" w:name="_Toc152042324"/>
      <w:bookmarkStart w:id="248" w:name="_Toc300834969"/>
      <w:bookmarkStart w:id="249" w:name="_Toc247513972"/>
      <w:bookmarkStart w:id="250" w:name="_Toc247527573"/>
      <w:bookmarkStart w:id="251" w:name="_Toc436834150"/>
      <w:bookmarkStart w:id="252" w:name="_Toc399165392"/>
      <w:r>
        <w:rPr>
          <w:rFonts w:hint="eastAsia" w:ascii="宋体" w:hAnsi="宋体" w:cs="宋体"/>
          <w:szCs w:val="24"/>
          <w:highlight w:val="none"/>
        </w:rPr>
        <w:t>3.2.1 本工程的投标报价按照3.2.3.2项所规定的方式。</w:t>
      </w:r>
    </w:p>
    <w:p w14:paraId="0AD70D46">
      <w:pPr>
        <w:spacing w:line="288" w:lineRule="auto"/>
        <w:ind w:firstLine="420" w:firstLineChars="200"/>
        <w:rPr>
          <w:rFonts w:ascii="宋体" w:hAnsi="宋体" w:cs="宋体"/>
          <w:szCs w:val="24"/>
          <w:highlight w:val="none"/>
        </w:rPr>
      </w:pPr>
      <w:r>
        <w:rPr>
          <w:rFonts w:hint="eastAsia" w:ascii="宋体" w:hAnsi="宋体" w:cs="宋体"/>
          <w:szCs w:val="24"/>
          <w:highlight w:val="none"/>
        </w:rPr>
        <w:t>3.2.2 投标人应充分了解施工场地的位置、周边环境、道路、装卸、保管、安装限制以及影响投标报价的其他要素。投标人根据投标设计，结合市场情况进行投标报价。</w:t>
      </w:r>
    </w:p>
    <w:p w14:paraId="556B6F7A">
      <w:pPr>
        <w:spacing w:line="288" w:lineRule="auto"/>
        <w:ind w:firstLine="420" w:firstLineChars="200"/>
        <w:rPr>
          <w:rFonts w:ascii="宋体" w:hAnsi="宋体" w:cs="宋体"/>
          <w:szCs w:val="24"/>
          <w:highlight w:val="none"/>
        </w:rPr>
      </w:pPr>
      <w:r>
        <w:rPr>
          <w:rFonts w:hint="eastAsia" w:ascii="宋体" w:hAnsi="宋体" w:cs="宋体"/>
          <w:szCs w:val="24"/>
          <w:highlight w:val="none"/>
        </w:rPr>
        <w:t>3.2.3 招标人设有最高投标限价的，投标人的投标报价不得超过招标控制价。详见投标人须知前附表。</w:t>
      </w:r>
    </w:p>
    <w:p w14:paraId="369A1AF4">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rPr>
        <w:t>3.2.3.1</w:t>
      </w:r>
      <w:r>
        <w:rPr>
          <w:rFonts w:hint="eastAsia" w:ascii="宋体" w:hAnsi="宋体" w:cs="宋体"/>
          <w:szCs w:val="21"/>
          <w:highlight w:val="none"/>
          <w:u w:val="single"/>
        </w:rPr>
        <w:t>招标人按照招标需求制定招标控制价（最高投标限价）。此处的招标控制价（最高投标限价）有两层含义，①</w:t>
      </w:r>
      <w:r>
        <w:rPr>
          <w:rFonts w:hint="eastAsia" w:ascii="宋体" w:hAnsi="宋体" w:cs="宋体"/>
          <w:b/>
          <w:bCs/>
          <w:szCs w:val="21"/>
          <w:highlight w:val="none"/>
          <w:u w:val="single"/>
        </w:rPr>
        <w:t>招标控制（最高投标限价）总价</w:t>
      </w:r>
      <w:r>
        <w:rPr>
          <w:rFonts w:hint="eastAsia" w:ascii="宋体" w:hAnsi="宋体" w:cs="宋体"/>
          <w:szCs w:val="21"/>
          <w:highlight w:val="none"/>
          <w:u w:val="single"/>
        </w:rPr>
        <w:t>，②</w:t>
      </w:r>
      <w:r>
        <w:rPr>
          <w:rFonts w:hint="eastAsia" w:ascii="宋体" w:hAnsi="宋体" w:cs="宋体"/>
          <w:b/>
          <w:bCs/>
          <w:szCs w:val="21"/>
          <w:highlight w:val="none"/>
          <w:u w:val="single"/>
        </w:rPr>
        <w:t>设计费最高投标限价、建安工程费最高投标限价</w:t>
      </w:r>
      <w:r>
        <w:rPr>
          <w:rFonts w:hint="eastAsia" w:ascii="宋体" w:hAnsi="宋体" w:cs="宋体"/>
          <w:szCs w:val="21"/>
          <w:highlight w:val="none"/>
          <w:u w:val="single"/>
        </w:rPr>
        <w:t>。投标人按照招标文件要求的内容自行报价。</w:t>
      </w:r>
    </w:p>
    <w:p w14:paraId="2F9377C6">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rPr>
        <w:t>3.2.3.1.1</w:t>
      </w:r>
      <w:r>
        <w:rPr>
          <w:rFonts w:hint="eastAsia" w:ascii="宋体" w:hAnsi="宋体" w:cs="宋体"/>
          <w:szCs w:val="21"/>
          <w:highlight w:val="none"/>
          <w:u w:val="single"/>
        </w:rPr>
        <w:t>每一项费用只允许有一个报价，任何有选择的报价或未填报单价的投标文件将不予接受。</w:t>
      </w:r>
    </w:p>
    <w:p w14:paraId="4C2AE350">
      <w:pPr>
        <w:spacing w:line="288" w:lineRule="auto"/>
        <w:ind w:firstLine="420" w:firstLineChars="200"/>
        <w:rPr>
          <w:rFonts w:ascii="宋体" w:hAnsi="宋体" w:cs="宋体"/>
          <w:szCs w:val="21"/>
          <w:highlight w:val="none"/>
        </w:rPr>
      </w:pPr>
      <w:r>
        <w:rPr>
          <w:rFonts w:hint="eastAsia" w:ascii="宋体" w:hAnsi="宋体" w:cs="宋体"/>
          <w:szCs w:val="21"/>
          <w:highlight w:val="none"/>
        </w:rPr>
        <w:t>3.2.3.2</w:t>
      </w:r>
      <w:r>
        <w:rPr>
          <w:rFonts w:hint="eastAsia" w:ascii="宋体" w:hAnsi="宋体" w:cs="宋体"/>
          <w:szCs w:val="21"/>
          <w:highlight w:val="none"/>
          <w:u w:val="single"/>
        </w:rPr>
        <w:t>投标人的投标总报价，包括设计费报价和建安工程费报价。投标人应按照投标人须知前附表第 1.3.2 项的工期要求，在投标人须知前附表第 1.1.5 项的建设地点，完成投标人须知前附表第 1.3.1项的招标范围列明工作的全部费用，包括但不限于完成全部设计、建安工程施工工作的成本、利润、税金、技术措施费、大型机械进出场费、风险费以及政策性文件规定的费用等，不得以任何理由予以重复计算。</w:t>
      </w:r>
    </w:p>
    <w:p w14:paraId="201E23DC">
      <w:pPr>
        <w:spacing w:line="288" w:lineRule="auto"/>
        <w:ind w:firstLine="420" w:firstLineChars="200"/>
        <w:rPr>
          <w:rFonts w:ascii="宋体" w:hAnsi="宋体" w:cs="宋体"/>
          <w:szCs w:val="21"/>
          <w:highlight w:val="none"/>
        </w:rPr>
      </w:pPr>
      <w:r>
        <w:rPr>
          <w:rFonts w:hint="eastAsia" w:ascii="宋体" w:hAnsi="宋体" w:cs="宋体"/>
          <w:szCs w:val="21"/>
          <w:highlight w:val="none"/>
        </w:rPr>
        <w:t>3.2.4 投标报价的其他要求见投标人须知前附表。</w:t>
      </w:r>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14:paraId="32FD328D">
      <w:pPr>
        <w:spacing w:line="288" w:lineRule="auto"/>
        <w:rPr>
          <w:rFonts w:ascii="宋体" w:hAnsi="宋体" w:cs="宋体"/>
          <w:sz w:val="24"/>
          <w:szCs w:val="24"/>
          <w:highlight w:val="none"/>
        </w:rPr>
      </w:pPr>
      <w:bookmarkStart w:id="253" w:name="_Toc4826"/>
      <w:bookmarkStart w:id="254" w:name="_Toc152045549"/>
      <w:bookmarkStart w:id="255" w:name="_Toc13045"/>
      <w:bookmarkStart w:id="256" w:name="_Toc22871"/>
      <w:bookmarkStart w:id="257" w:name="_Toc436834744"/>
      <w:bookmarkStart w:id="258" w:name="_Toc9785"/>
      <w:bookmarkStart w:id="259" w:name="_Toc30468"/>
      <w:bookmarkStart w:id="260" w:name="_Toc31054"/>
      <w:bookmarkStart w:id="261" w:name="_Toc144974517"/>
      <w:bookmarkStart w:id="262" w:name="_Toc436834151"/>
      <w:bookmarkStart w:id="263" w:name="_Toc152042325"/>
      <w:bookmarkStart w:id="264" w:name="_Toc485211058"/>
      <w:bookmarkStart w:id="265" w:name="_Toc247513973"/>
      <w:bookmarkStart w:id="266" w:name="_Toc13869"/>
      <w:bookmarkStart w:id="267" w:name="_Toc21650"/>
      <w:bookmarkStart w:id="268" w:name="_Toc9600"/>
      <w:bookmarkStart w:id="269" w:name="_Toc300834970"/>
      <w:bookmarkStart w:id="270" w:name="_Toc247527574"/>
      <w:bookmarkStart w:id="271" w:name="_Toc15039"/>
      <w:bookmarkStart w:id="272" w:name="_Toc10475"/>
      <w:bookmarkStart w:id="273" w:name="_Toc399165393"/>
      <w:r>
        <w:rPr>
          <w:rFonts w:hint="eastAsia" w:ascii="宋体" w:hAnsi="宋体" w:cs="宋体"/>
          <w:sz w:val="24"/>
          <w:szCs w:val="24"/>
          <w:highlight w:val="none"/>
        </w:rPr>
        <w:t>3.3 投标有效期</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6CDC24C2">
      <w:pPr>
        <w:spacing w:line="288" w:lineRule="auto"/>
        <w:ind w:firstLine="420" w:firstLineChars="200"/>
        <w:rPr>
          <w:rFonts w:ascii="宋体" w:hAnsi="宋体" w:cs="宋体"/>
          <w:szCs w:val="24"/>
          <w:highlight w:val="none"/>
        </w:rPr>
      </w:pPr>
      <w:r>
        <w:rPr>
          <w:rFonts w:hint="eastAsia" w:ascii="宋体" w:hAnsi="宋体" w:cs="宋体"/>
          <w:szCs w:val="24"/>
          <w:highlight w:val="none"/>
        </w:rPr>
        <w:t>3.3.1投标有效期按须知前附表的规定。</w:t>
      </w:r>
    </w:p>
    <w:p w14:paraId="16CAA3CD">
      <w:pPr>
        <w:spacing w:line="288" w:lineRule="auto"/>
        <w:ind w:firstLine="420" w:firstLineChars="200"/>
        <w:rPr>
          <w:rFonts w:ascii="宋体" w:hAnsi="宋体" w:cs="宋体"/>
          <w:szCs w:val="24"/>
          <w:highlight w:val="none"/>
        </w:rPr>
      </w:pPr>
      <w:r>
        <w:rPr>
          <w:rFonts w:hint="eastAsia" w:ascii="宋体" w:hAnsi="宋体" w:cs="宋体"/>
          <w:szCs w:val="24"/>
          <w:highlight w:val="none"/>
        </w:rPr>
        <w:t>3.3.2 在投标有效期内，投标人撤销或修改其投标文件的，应承担招标文件和法律规定的责任。</w:t>
      </w:r>
    </w:p>
    <w:p w14:paraId="2497C1A9">
      <w:pPr>
        <w:spacing w:line="288" w:lineRule="auto"/>
        <w:ind w:firstLine="420" w:firstLineChars="200"/>
        <w:rPr>
          <w:rFonts w:ascii="宋体" w:hAnsi="宋体" w:cs="宋体"/>
          <w:szCs w:val="24"/>
          <w:highlight w:val="none"/>
          <w:u w:val="single"/>
        </w:rPr>
      </w:pPr>
      <w:r>
        <w:rPr>
          <w:rFonts w:hint="eastAsia" w:ascii="宋体" w:hAnsi="宋体" w:cs="宋体"/>
          <w:szCs w:val="24"/>
          <w:highlight w:val="none"/>
        </w:rPr>
        <w:t xml:space="preserve">3.3.3 </w:t>
      </w:r>
      <w:r>
        <w:rPr>
          <w:rFonts w:hint="eastAsia" w:ascii="宋体" w:hAnsi="宋体" w:cs="宋体"/>
          <w:szCs w:val="24"/>
          <w:highlight w:val="none"/>
          <w:u w:val="single"/>
        </w:rPr>
        <w:t>出现特殊情况需要延长投标有效期的，招标人以书面形式通知所有投标人延长投标有效期。但不得要求或被允许修改或撤销其投标文件；投标人拒绝延长的，其投标失效。</w:t>
      </w:r>
    </w:p>
    <w:p w14:paraId="1FF70B81">
      <w:pPr>
        <w:spacing w:line="288" w:lineRule="auto"/>
        <w:rPr>
          <w:rFonts w:ascii="宋体" w:hAnsi="宋体" w:cs="宋体"/>
          <w:sz w:val="24"/>
          <w:szCs w:val="24"/>
          <w:highlight w:val="none"/>
        </w:rPr>
      </w:pPr>
      <w:bookmarkStart w:id="274" w:name="_Toc21972"/>
      <w:bookmarkStart w:id="275" w:name="_Toc247513974"/>
      <w:bookmarkStart w:id="276" w:name="_Toc5853"/>
      <w:bookmarkStart w:id="277" w:name="_Toc11120"/>
      <w:bookmarkStart w:id="278" w:name="_Toc152045550"/>
      <w:bookmarkStart w:id="279" w:name="_Toc436834152"/>
      <w:bookmarkStart w:id="280" w:name="_Toc13638"/>
      <w:bookmarkStart w:id="281" w:name="_Toc247527575"/>
      <w:bookmarkStart w:id="282" w:name="_Toc26430"/>
      <w:bookmarkStart w:id="283" w:name="_Toc31634"/>
      <w:bookmarkStart w:id="284" w:name="_Toc144974518"/>
      <w:bookmarkStart w:id="285" w:name="_Toc152042326"/>
      <w:bookmarkStart w:id="286" w:name="_Toc300834971"/>
      <w:bookmarkStart w:id="287" w:name="_Toc26267"/>
      <w:bookmarkStart w:id="288" w:name="_Toc436834745"/>
      <w:bookmarkStart w:id="289" w:name="_Toc24147"/>
      <w:bookmarkStart w:id="290" w:name="_Toc6160"/>
      <w:bookmarkStart w:id="291" w:name="_Toc485211059"/>
      <w:bookmarkStart w:id="292" w:name="_Toc13048"/>
      <w:bookmarkStart w:id="293" w:name="_Toc399165394"/>
      <w:bookmarkStart w:id="294" w:name="_Toc680"/>
      <w:r>
        <w:rPr>
          <w:rFonts w:hint="eastAsia" w:ascii="宋体" w:hAnsi="宋体" w:cs="宋体"/>
          <w:sz w:val="24"/>
          <w:szCs w:val="24"/>
          <w:highlight w:val="none"/>
        </w:rPr>
        <w:t>3.4 投标担保</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6C95E69F">
      <w:pPr>
        <w:spacing w:line="288" w:lineRule="auto"/>
        <w:ind w:firstLine="420" w:firstLineChars="200"/>
        <w:rPr>
          <w:rFonts w:ascii="宋体" w:hAnsi="宋体" w:cs="宋体"/>
          <w:szCs w:val="21"/>
          <w:highlight w:val="none"/>
        </w:rPr>
      </w:pPr>
      <w:bookmarkStart w:id="295" w:name="_Toc436834746"/>
      <w:bookmarkStart w:id="296" w:name="_Toc29352"/>
      <w:bookmarkStart w:id="297" w:name="_Toc432"/>
      <w:bookmarkStart w:id="298" w:name="_Toc24641"/>
      <w:bookmarkStart w:id="299" w:name="_Toc20469"/>
      <w:bookmarkStart w:id="300" w:name="_Toc10212"/>
      <w:bookmarkStart w:id="301" w:name="_Toc399165395"/>
      <w:bookmarkStart w:id="302" w:name="_Toc5399"/>
      <w:bookmarkStart w:id="303" w:name="_Toc26980"/>
      <w:bookmarkStart w:id="304" w:name="_Toc152042327"/>
      <w:bookmarkStart w:id="305" w:name="_Toc247527576"/>
      <w:bookmarkStart w:id="306" w:name="_Toc3053"/>
      <w:bookmarkStart w:id="307" w:name="_Toc22700"/>
      <w:bookmarkStart w:id="308" w:name="_Toc152045551"/>
      <w:bookmarkStart w:id="309" w:name="_Toc436834153"/>
      <w:bookmarkStart w:id="310" w:name="_Toc16018"/>
      <w:bookmarkStart w:id="311" w:name="_Toc485211060"/>
      <w:bookmarkStart w:id="312" w:name="_Toc300834972"/>
      <w:bookmarkStart w:id="313" w:name="_Toc247513975"/>
      <w:bookmarkStart w:id="314" w:name="_Toc144974519"/>
      <w:r>
        <w:rPr>
          <w:rFonts w:hint="eastAsia" w:ascii="宋体" w:hAnsi="宋体" w:cs="宋体"/>
          <w:szCs w:val="21"/>
          <w:highlight w:val="none"/>
        </w:rPr>
        <w:t>3.4.1 投标人在递交投标文件的同时，应按投标人须知前附表规定的金额、担保形式递交投标担保，并作为其投标文件的组成部分。联合体投标的，其投标担保由主办方递交，并应符合投标人须知前附表的规定。</w:t>
      </w:r>
    </w:p>
    <w:p w14:paraId="0EB69F80">
      <w:pPr>
        <w:spacing w:line="288" w:lineRule="auto"/>
        <w:ind w:firstLine="420" w:firstLineChars="200"/>
        <w:rPr>
          <w:rFonts w:ascii="宋体" w:hAnsi="宋体" w:cs="宋体"/>
          <w:szCs w:val="21"/>
          <w:highlight w:val="none"/>
        </w:rPr>
      </w:pPr>
      <w:r>
        <w:rPr>
          <w:rFonts w:hint="eastAsia" w:ascii="宋体" w:hAnsi="宋体" w:cs="宋体"/>
          <w:szCs w:val="21"/>
          <w:highlight w:val="none"/>
        </w:rPr>
        <w:t>3.4.2 投标人不按本章第3.4.1项要求提交投标担保的，不参与资格审查和评标。</w:t>
      </w:r>
    </w:p>
    <w:p w14:paraId="44DEDA74">
      <w:pPr>
        <w:spacing w:line="288" w:lineRule="auto"/>
        <w:ind w:firstLine="420" w:firstLineChars="200"/>
        <w:rPr>
          <w:rFonts w:ascii="宋体" w:hAnsi="宋体" w:cs="宋体"/>
          <w:szCs w:val="21"/>
          <w:highlight w:val="none"/>
        </w:rPr>
      </w:pPr>
      <w:r>
        <w:rPr>
          <w:rFonts w:hint="eastAsia" w:ascii="宋体" w:hAnsi="宋体" w:cs="宋体"/>
          <w:szCs w:val="21"/>
          <w:highlight w:val="none"/>
        </w:rPr>
        <w:t>3.4.3未中标的投标担保将尽快退还，最迟不超过招标人与中标人签订合同后的5日。中标人的投标担保，在签署合同并按要求提供了履约担保后5日内予以退还。</w:t>
      </w:r>
    </w:p>
    <w:p w14:paraId="59C58022">
      <w:pPr>
        <w:spacing w:line="288" w:lineRule="auto"/>
        <w:ind w:firstLine="420" w:firstLineChars="200"/>
        <w:rPr>
          <w:rFonts w:ascii="宋体" w:hAnsi="宋体" w:cs="宋体"/>
          <w:szCs w:val="21"/>
          <w:highlight w:val="none"/>
        </w:rPr>
      </w:pPr>
      <w:r>
        <w:rPr>
          <w:rFonts w:hint="eastAsia" w:ascii="宋体" w:hAnsi="宋体" w:cs="宋体"/>
          <w:szCs w:val="21"/>
          <w:highlight w:val="none"/>
        </w:rPr>
        <w:t xml:space="preserve">3.4.4有下列情形之一的，投标担保将不予退还： </w:t>
      </w:r>
    </w:p>
    <w:p w14:paraId="391B57C6">
      <w:pPr>
        <w:spacing w:line="288" w:lineRule="auto"/>
        <w:ind w:firstLine="420" w:firstLineChars="200"/>
        <w:rPr>
          <w:rFonts w:ascii="宋体" w:hAnsi="宋体" w:cs="宋体"/>
          <w:szCs w:val="21"/>
          <w:highlight w:val="none"/>
        </w:rPr>
      </w:pPr>
      <w:r>
        <w:rPr>
          <w:rFonts w:hint="eastAsia" w:ascii="宋体" w:hAnsi="宋体" w:cs="宋体"/>
          <w:szCs w:val="21"/>
          <w:highlight w:val="none"/>
        </w:rPr>
        <w:t>（1）投标人在规定的投标有效期内撤销或修改其投标文件；</w:t>
      </w:r>
    </w:p>
    <w:p w14:paraId="6A74C692">
      <w:pPr>
        <w:spacing w:line="288" w:lineRule="auto"/>
        <w:ind w:firstLine="420" w:firstLineChars="200"/>
        <w:rPr>
          <w:rFonts w:ascii="宋体" w:hAnsi="宋体" w:cs="宋体"/>
          <w:szCs w:val="21"/>
          <w:highlight w:val="none"/>
        </w:rPr>
      </w:pPr>
      <w:r>
        <w:rPr>
          <w:rFonts w:hint="eastAsia" w:ascii="宋体" w:hAnsi="宋体" w:cs="宋体"/>
          <w:szCs w:val="21"/>
          <w:highlight w:val="none"/>
        </w:rPr>
        <w:t>（2）投标人提供了虚假的证明材料；</w:t>
      </w:r>
    </w:p>
    <w:p w14:paraId="6236EA08">
      <w:pPr>
        <w:spacing w:line="288" w:lineRule="auto"/>
        <w:ind w:firstLine="420" w:firstLineChars="200"/>
        <w:rPr>
          <w:rFonts w:ascii="宋体" w:hAnsi="宋体" w:cs="宋体"/>
          <w:szCs w:val="21"/>
          <w:highlight w:val="none"/>
        </w:rPr>
      </w:pPr>
      <w:r>
        <w:rPr>
          <w:rFonts w:hint="eastAsia" w:ascii="宋体" w:hAnsi="宋体" w:cs="宋体"/>
          <w:szCs w:val="21"/>
          <w:highlight w:val="none"/>
        </w:rPr>
        <w:t>（3）中标候选人放弃中标；</w:t>
      </w:r>
    </w:p>
    <w:p w14:paraId="5CB30B7E">
      <w:pPr>
        <w:spacing w:line="288" w:lineRule="auto"/>
        <w:ind w:firstLine="420" w:firstLineChars="200"/>
        <w:rPr>
          <w:rFonts w:ascii="宋体" w:hAnsi="宋体" w:cs="宋体"/>
          <w:szCs w:val="21"/>
          <w:highlight w:val="none"/>
        </w:rPr>
      </w:pPr>
      <w:r>
        <w:rPr>
          <w:rFonts w:hint="eastAsia" w:ascii="宋体" w:hAnsi="宋体" w:cs="宋体"/>
          <w:szCs w:val="21"/>
          <w:highlight w:val="none"/>
        </w:rPr>
        <w:t>（4）中标人在收到中标通知书后，无正当理由拒签合同或未按招标文件规定提交履约担保。</w:t>
      </w:r>
    </w:p>
    <w:p w14:paraId="36649D90">
      <w:pPr>
        <w:spacing w:line="288" w:lineRule="auto"/>
        <w:rPr>
          <w:rFonts w:ascii="宋体" w:hAnsi="宋体" w:cs="宋体"/>
          <w:sz w:val="24"/>
          <w:szCs w:val="24"/>
          <w:highlight w:val="none"/>
        </w:rPr>
      </w:pPr>
      <w:bookmarkStart w:id="315" w:name="_Toc14036"/>
      <w:r>
        <w:rPr>
          <w:rFonts w:hint="eastAsia" w:ascii="宋体" w:hAnsi="宋体" w:cs="宋体"/>
          <w:sz w:val="24"/>
          <w:szCs w:val="24"/>
          <w:highlight w:val="none"/>
        </w:rPr>
        <w:t>3.5 资格审查资料</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01F351B0">
      <w:pPr>
        <w:spacing w:line="288" w:lineRule="auto"/>
        <w:ind w:firstLine="420" w:firstLineChars="200"/>
        <w:rPr>
          <w:rFonts w:ascii="宋体" w:hAnsi="宋体" w:cs="宋体"/>
          <w:szCs w:val="24"/>
          <w:highlight w:val="none"/>
          <w:u w:val="single"/>
        </w:rPr>
      </w:pPr>
      <w:r>
        <w:rPr>
          <w:rFonts w:hint="eastAsia" w:ascii="宋体" w:hAnsi="宋体" w:cs="宋体"/>
          <w:szCs w:val="24"/>
          <w:highlight w:val="none"/>
          <w:u w:val="single"/>
        </w:rPr>
        <w:t>采用电子化资格后审</w:t>
      </w:r>
      <w:bookmarkStart w:id="316" w:name="_Toc439240619"/>
      <w:bookmarkStart w:id="317" w:name="_Toc357089532"/>
      <w:bookmarkStart w:id="318" w:name="_Toc439246018"/>
      <w:bookmarkStart w:id="319" w:name="_Toc356469198"/>
      <w:r>
        <w:rPr>
          <w:rFonts w:hint="eastAsia" w:ascii="宋体" w:hAnsi="宋体" w:cs="宋体"/>
          <w:szCs w:val="24"/>
          <w:highlight w:val="none"/>
          <w:u w:val="single"/>
        </w:rPr>
        <w:t>，由评标委员会负</w:t>
      </w:r>
      <w:bookmarkEnd w:id="316"/>
      <w:bookmarkEnd w:id="317"/>
      <w:bookmarkEnd w:id="318"/>
      <w:bookmarkEnd w:id="319"/>
      <w:r>
        <w:rPr>
          <w:rFonts w:hint="eastAsia" w:ascii="宋体" w:hAnsi="宋体" w:cs="宋体"/>
          <w:szCs w:val="24"/>
          <w:highlight w:val="none"/>
          <w:u w:val="single"/>
        </w:rPr>
        <w:t>责对投标人的资格进行审查，评标时只对通过资格审查的投标人进行下一阶段的评审。</w:t>
      </w:r>
    </w:p>
    <w:p w14:paraId="51A321E2">
      <w:pPr>
        <w:spacing w:line="400" w:lineRule="exact"/>
        <w:ind w:firstLine="420" w:firstLineChars="200"/>
        <w:rPr>
          <w:rFonts w:ascii="宋体" w:hAnsi="宋体" w:cs="宋体"/>
          <w:szCs w:val="24"/>
          <w:highlight w:val="none"/>
          <w:u w:val="single"/>
        </w:rPr>
      </w:pPr>
      <w:r>
        <w:rPr>
          <w:rFonts w:hint="eastAsia" w:ascii="宋体" w:hAnsi="宋体" w:cs="宋体"/>
          <w:szCs w:val="24"/>
          <w:highlight w:val="none"/>
          <w:u w:val="single"/>
        </w:rPr>
        <w:t>资审合格后，投标人的资格发生变化而不满足投标人合格条件，在发出中标通知书前，资格问题仍未解决的，招标人将取消其中标资格。</w:t>
      </w:r>
    </w:p>
    <w:p w14:paraId="59A24879">
      <w:pPr>
        <w:spacing w:line="288" w:lineRule="auto"/>
        <w:rPr>
          <w:rFonts w:ascii="宋体" w:hAnsi="宋体" w:cs="宋体"/>
          <w:sz w:val="24"/>
          <w:szCs w:val="24"/>
          <w:highlight w:val="none"/>
        </w:rPr>
      </w:pPr>
      <w:bookmarkStart w:id="320" w:name="_Toc14964"/>
      <w:bookmarkStart w:id="321" w:name="_Toc6837"/>
      <w:bookmarkStart w:id="322" w:name="_Toc21267"/>
      <w:bookmarkStart w:id="323" w:name="_Toc7912"/>
      <w:bookmarkStart w:id="324" w:name="_Toc436834154"/>
      <w:bookmarkStart w:id="325" w:name="_Toc144974521"/>
      <w:bookmarkStart w:id="326" w:name="_Toc247527578"/>
      <w:bookmarkStart w:id="327" w:name="_Toc19123"/>
      <w:bookmarkStart w:id="328" w:name="_Toc247513977"/>
      <w:bookmarkStart w:id="329" w:name="_Toc300834974"/>
      <w:bookmarkStart w:id="330" w:name="_Toc19287"/>
      <w:bookmarkStart w:id="331" w:name="_Toc30313"/>
      <w:bookmarkStart w:id="332" w:name="_Toc152042329"/>
      <w:bookmarkStart w:id="333" w:name="_Toc485211061"/>
      <w:bookmarkStart w:id="334" w:name="_Toc152045553"/>
      <w:bookmarkStart w:id="335" w:name="_Toc436834747"/>
      <w:bookmarkStart w:id="336" w:name="_Toc399165396"/>
      <w:bookmarkStart w:id="337" w:name="_Toc20485"/>
      <w:bookmarkStart w:id="338" w:name="_Toc16473"/>
      <w:bookmarkStart w:id="339" w:name="_Toc27106"/>
      <w:bookmarkStart w:id="340" w:name="_Toc15173"/>
      <w:r>
        <w:rPr>
          <w:rFonts w:hint="eastAsia" w:ascii="宋体" w:hAnsi="宋体" w:cs="宋体"/>
          <w:sz w:val="24"/>
          <w:szCs w:val="24"/>
          <w:highlight w:val="none"/>
        </w:rPr>
        <w:t>3.6 备选投标方案</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0FE631A9">
      <w:pPr>
        <w:spacing w:line="288" w:lineRule="auto"/>
        <w:ind w:firstLine="420" w:firstLineChars="200"/>
        <w:rPr>
          <w:rFonts w:ascii="宋体" w:hAnsi="宋体" w:cs="宋体"/>
          <w:szCs w:val="24"/>
          <w:highlight w:val="none"/>
        </w:rPr>
      </w:pPr>
      <w:r>
        <w:rPr>
          <w:rFonts w:hint="eastAsia" w:ascii="宋体" w:hAnsi="宋体" w:cs="宋体"/>
          <w:szCs w:val="24"/>
          <w:highlight w:val="none"/>
        </w:rPr>
        <w:t>除《投标人须知前附表》另有规定外，投标人不得递交备选投标方案。</w:t>
      </w:r>
    </w:p>
    <w:p w14:paraId="26613C93">
      <w:pPr>
        <w:spacing w:line="288" w:lineRule="auto"/>
        <w:rPr>
          <w:rFonts w:ascii="宋体" w:hAnsi="宋体" w:cs="宋体"/>
          <w:sz w:val="24"/>
          <w:szCs w:val="24"/>
          <w:highlight w:val="none"/>
        </w:rPr>
      </w:pPr>
      <w:bookmarkStart w:id="341" w:name="_Toc19573"/>
      <w:bookmarkStart w:id="342" w:name="_Toc18853"/>
      <w:bookmarkStart w:id="343" w:name="_Toc30912"/>
      <w:bookmarkStart w:id="344" w:name="_Toc399165397"/>
      <w:bookmarkStart w:id="345" w:name="_Toc10840"/>
      <w:bookmarkStart w:id="346" w:name="_Toc485211062"/>
      <w:bookmarkStart w:id="347" w:name="_Toc300834975"/>
      <w:bookmarkStart w:id="348" w:name="_Toc12905"/>
      <w:bookmarkStart w:id="349" w:name="_Toc436834155"/>
      <w:bookmarkStart w:id="350" w:name="_Toc21558"/>
      <w:bookmarkStart w:id="351" w:name="_Toc19858"/>
      <w:bookmarkStart w:id="352" w:name="_Toc436834748"/>
      <w:bookmarkStart w:id="353" w:name="_Toc28735"/>
      <w:bookmarkStart w:id="354" w:name="_Toc152042330"/>
      <w:bookmarkStart w:id="355" w:name="_Toc31446"/>
      <w:bookmarkStart w:id="356" w:name="_Toc144974522"/>
      <w:bookmarkStart w:id="357" w:name="_Toc9691"/>
      <w:bookmarkStart w:id="358" w:name="_Toc247527579"/>
      <w:bookmarkStart w:id="359" w:name="_Toc152045554"/>
      <w:bookmarkStart w:id="360" w:name="_Toc891"/>
      <w:bookmarkStart w:id="361" w:name="_Toc247513978"/>
      <w:r>
        <w:rPr>
          <w:rFonts w:hint="eastAsia" w:ascii="宋体" w:hAnsi="宋体" w:cs="宋体"/>
          <w:sz w:val="24"/>
          <w:szCs w:val="24"/>
          <w:highlight w:val="none"/>
        </w:rPr>
        <w:t>3.7 投标文件的编制</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51BB192A">
      <w:pPr>
        <w:spacing w:line="288" w:lineRule="auto"/>
        <w:ind w:firstLine="420" w:firstLineChars="200"/>
        <w:rPr>
          <w:rFonts w:ascii="宋体" w:hAnsi="宋体" w:cs="宋体"/>
          <w:szCs w:val="24"/>
          <w:highlight w:val="none"/>
        </w:rPr>
      </w:pPr>
      <w:r>
        <w:rPr>
          <w:rFonts w:hint="eastAsia" w:ascii="宋体" w:hAnsi="宋体" w:cs="宋体"/>
          <w:szCs w:val="24"/>
          <w:highlight w:val="none"/>
        </w:rPr>
        <w:t xml:space="preserve">3.7.1 </w:t>
      </w:r>
      <w:r>
        <w:rPr>
          <w:rFonts w:hint="eastAsia" w:ascii="宋体" w:hAnsi="宋体" w:cs="宋体"/>
          <w:szCs w:val="24"/>
          <w:highlight w:val="none"/>
          <w:u w:val="single"/>
        </w:rPr>
        <w:t>招标文件第六章“投标文件格式”有提供格式要求的，投标文件应按其进行编写并加盖电子签章</w:t>
      </w:r>
      <w:r>
        <w:rPr>
          <w:rFonts w:hint="eastAsia" w:ascii="宋体" w:hAnsi="宋体" w:cs="宋体"/>
          <w:szCs w:val="24"/>
          <w:highlight w:val="none"/>
        </w:rPr>
        <w:t>，如有必要，可以增加附页，作为投标文件的组成部分。其中，投标书在满足招标文件实质性要求的基础上，可以提出比招标文件要求更有利于招标人的承诺。</w:t>
      </w:r>
    </w:p>
    <w:p w14:paraId="5C188A12">
      <w:pPr>
        <w:spacing w:line="288" w:lineRule="auto"/>
        <w:ind w:firstLine="420" w:firstLineChars="200"/>
        <w:rPr>
          <w:rFonts w:ascii="宋体" w:hAnsi="宋体" w:cs="宋体"/>
          <w:szCs w:val="21"/>
          <w:highlight w:val="none"/>
        </w:rPr>
      </w:pPr>
      <w:r>
        <w:rPr>
          <w:rFonts w:hint="eastAsia" w:ascii="宋体" w:hAnsi="宋体" w:cs="宋体"/>
          <w:szCs w:val="24"/>
          <w:highlight w:val="none"/>
        </w:rPr>
        <w:t>3.7.2 投标文件应当对招标文件有关</w:t>
      </w:r>
      <w:r>
        <w:rPr>
          <w:rFonts w:hint="eastAsia" w:ascii="宋体" w:hAnsi="宋体" w:cs="宋体"/>
          <w:szCs w:val="21"/>
          <w:highlight w:val="none"/>
        </w:rPr>
        <w:t>招标范围、投标有效期、工期、质量标准、发包人要求等实质性内容作出响应。</w:t>
      </w:r>
    </w:p>
    <w:p w14:paraId="04E07239">
      <w:pPr>
        <w:spacing w:line="288" w:lineRule="auto"/>
        <w:ind w:firstLine="420" w:firstLineChars="200"/>
        <w:rPr>
          <w:rFonts w:ascii="宋体" w:hAnsi="宋体" w:cs="宋体"/>
          <w:highlight w:val="none"/>
        </w:rPr>
      </w:pPr>
      <w:r>
        <w:rPr>
          <w:rFonts w:hint="eastAsia" w:ascii="宋体" w:hAnsi="宋体" w:cs="宋体"/>
          <w:szCs w:val="24"/>
          <w:highlight w:val="none"/>
        </w:rPr>
        <w:t>3.7.3投标文件编制要求：</w:t>
      </w:r>
      <w:r>
        <w:rPr>
          <w:rFonts w:hint="eastAsia" w:ascii="宋体" w:hAnsi="宋体" w:cs="宋体"/>
          <w:highlight w:val="none"/>
          <w:u w:val="single"/>
        </w:rPr>
        <w:t>投标人采用单位数字证书，对投标文件加盖电子印章。取消在招标文件中采用个人数字证书和加盖个人电子印章的要求，投标文件中需个人签字或盖章的，应</w:t>
      </w:r>
      <w:r>
        <w:rPr>
          <w:rFonts w:hint="eastAsia" w:ascii="宋体" w:hAnsi="宋体" w:cs="宋体"/>
          <w:bCs/>
          <w:highlight w:val="none"/>
          <w:u w:val="single"/>
        </w:rPr>
        <w:t>加盖个人电子印章或</w:t>
      </w:r>
      <w:r>
        <w:rPr>
          <w:rFonts w:hint="eastAsia" w:ascii="宋体" w:hAnsi="宋体" w:cs="宋体"/>
          <w:highlight w:val="none"/>
          <w:u w:val="single"/>
        </w:rPr>
        <w:t>在线下完成后扫描上传。按照广州交易集团有限公司（广州公共资源交易中心）网站最新发布的《房屋建筑和市政基础设施工程全流程电子化项目专章》进行操作；</w:t>
      </w:r>
    </w:p>
    <w:p w14:paraId="1334EFC8">
      <w:pPr>
        <w:spacing w:line="288" w:lineRule="auto"/>
        <w:ind w:firstLine="420" w:firstLineChars="200"/>
        <w:rPr>
          <w:rFonts w:ascii="宋体" w:hAnsi="宋体" w:cs="宋体"/>
          <w:sz w:val="24"/>
          <w:highlight w:val="none"/>
          <w:u w:val="single"/>
        </w:rPr>
      </w:pPr>
      <w:r>
        <w:rPr>
          <w:rFonts w:hint="eastAsia" w:ascii="宋体" w:hAnsi="宋体" w:cs="宋体"/>
          <w:highlight w:val="none"/>
          <w:u w:val="single"/>
        </w:rPr>
        <w:t>联合体投标的，除投标文件中的联合体投标协议书、投标人声明需联合体各方按要求盖章、签字外，法定代表人证明书及授权委托证明书可由联合体主办方出具，投标文件其他内容中的“投标人”等，应填写联合体各方的单位全称[格式表示为：(主)XXXX公司(成)XXXX公司…]，但由主办方盖章、签字即可。</w:t>
      </w:r>
    </w:p>
    <w:p w14:paraId="74D78083">
      <w:pPr>
        <w:spacing w:line="288" w:lineRule="auto"/>
        <w:rPr>
          <w:rFonts w:ascii="宋体" w:hAnsi="宋体" w:cs="宋体"/>
          <w:b/>
          <w:bCs/>
          <w:sz w:val="24"/>
          <w:szCs w:val="24"/>
          <w:highlight w:val="none"/>
        </w:rPr>
      </w:pPr>
      <w:bookmarkStart w:id="362" w:name="_Toc144974523"/>
      <w:bookmarkStart w:id="363" w:name="_Toc485211063"/>
      <w:bookmarkStart w:id="364" w:name="_Toc4201"/>
      <w:bookmarkStart w:id="365" w:name="_Toc8014"/>
      <w:bookmarkStart w:id="366" w:name="_Toc5356"/>
      <w:bookmarkStart w:id="367" w:name="_Toc436834156"/>
      <w:bookmarkStart w:id="368" w:name="_Toc247513979"/>
      <w:bookmarkStart w:id="369" w:name="_Toc152042331"/>
      <w:bookmarkStart w:id="370" w:name="_Toc22778"/>
      <w:bookmarkStart w:id="371" w:name="_Toc436834749"/>
      <w:bookmarkStart w:id="372" w:name="_Toc247527580"/>
      <w:bookmarkStart w:id="373" w:name="_Toc14461"/>
      <w:bookmarkStart w:id="374" w:name="_Toc384759600"/>
      <w:bookmarkStart w:id="375" w:name="_Toc18915"/>
      <w:bookmarkStart w:id="376" w:name="_Toc8135"/>
      <w:bookmarkStart w:id="377" w:name="_Toc19013"/>
      <w:bookmarkStart w:id="378" w:name="_Toc19642"/>
      <w:bookmarkStart w:id="379" w:name="_Toc31576"/>
      <w:bookmarkStart w:id="380" w:name="_Toc18477"/>
      <w:bookmarkStart w:id="381" w:name="_Toc152045555"/>
      <w:bookmarkStart w:id="382" w:name="_Toc247527582"/>
      <w:bookmarkStart w:id="383" w:name="_Toc300834978"/>
      <w:bookmarkStart w:id="384" w:name="_Toc152045557"/>
      <w:bookmarkStart w:id="385" w:name="_Toc152042333"/>
      <w:bookmarkStart w:id="386" w:name="_Toc247513981"/>
      <w:bookmarkStart w:id="387" w:name="_Toc144974525"/>
      <w:bookmarkStart w:id="388" w:name="_Toc399165400"/>
      <w:r>
        <w:rPr>
          <w:rFonts w:hint="eastAsia" w:ascii="宋体" w:hAnsi="宋体" w:cs="宋体"/>
          <w:b/>
          <w:bCs/>
          <w:sz w:val="24"/>
          <w:szCs w:val="24"/>
          <w:highlight w:val="none"/>
        </w:rPr>
        <w:t>4. 投标</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30CD29BA">
      <w:pPr>
        <w:spacing w:line="288" w:lineRule="auto"/>
        <w:rPr>
          <w:rFonts w:ascii="宋体" w:hAnsi="宋体" w:cs="宋体"/>
          <w:sz w:val="24"/>
          <w:szCs w:val="24"/>
          <w:highlight w:val="none"/>
        </w:rPr>
      </w:pPr>
      <w:bookmarkStart w:id="389" w:name="_Toc21175"/>
      <w:bookmarkStart w:id="390" w:name="_Toc14380"/>
      <w:bookmarkStart w:id="391" w:name="_Toc26110"/>
      <w:bookmarkStart w:id="392" w:name="_Toc32403"/>
      <w:bookmarkStart w:id="393" w:name="_Toc26252"/>
      <w:bookmarkStart w:id="394" w:name="_Toc144974524"/>
      <w:bookmarkStart w:id="395" w:name="_Toc247513980"/>
      <w:bookmarkStart w:id="396" w:name="_Toc152045556"/>
      <w:bookmarkStart w:id="397" w:name="_Toc25808"/>
      <w:bookmarkStart w:id="398" w:name="_Toc28266"/>
      <w:bookmarkStart w:id="399" w:name="_Toc152042332"/>
      <w:bookmarkStart w:id="400" w:name="_Toc8390"/>
      <w:bookmarkStart w:id="401" w:name="_Toc436834157"/>
      <w:bookmarkStart w:id="402" w:name="_Toc247527581"/>
      <w:bookmarkStart w:id="403" w:name="_Toc485211064"/>
      <w:bookmarkStart w:id="404" w:name="_Toc384759601"/>
      <w:bookmarkStart w:id="405" w:name="_Toc436834750"/>
      <w:bookmarkStart w:id="406" w:name="_Toc2704"/>
      <w:bookmarkStart w:id="407" w:name="_Toc28008"/>
      <w:bookmarkStart w:id="408" w:name="_Toc12356"/>
      <w:r>
        <w:rPr>
          <w:rFonts w:hint="eastAsia" w:ascii="宋体" w:hAnsi="宋体" w:cs="宋体"/>
          <w:sz w:val="24"/>
          <w:szCs w:val="24"/>
          <w:highlight w:val="none"/>
        </w:rPr>
        <w:t>4.1 投标文件的密封和标记</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4DE0F77D">
      <w:pPr>
        <w:spacing w:line="288" w:lineRule="auto"/>
        <w:ind w:firstLine="420" w:firstLineChars="200"/>
        <w:rPr>
          <w:rFonts w:ascii="宋体" w:hAnsi="宋体" w:cs="宋体"/>
          <w:szCs w:val="24"/>
          <w:highlight w:val="none"/>
        </w:rPr>
      </w:pPr>
      <w:r>
        <w:rPr>
          <w:rFonts w:hint="eastAsia" w:ascii="宋体" w:hAnsi="宋体" w:cs="宋体"/>
          <w:szCs w:val="24"/>
          <w:highlight w:val="none"/>
        </w:rPr>
        <w:t>4.1.1投标人应当按照招标文件和电子招标投标交易平台的要求加密投标文件，具体操作详见《房屋建筑和市政基础设施工程全流程电子化项目专章》；</w:t>
      </w:r>
    </w:p>
    <w:p w14:paraId="0E59E504">
      <w:pPr>
        <w:spacing w:line="288" w:lineRule="auto"/>
        <w:ind w:firstLine="420" w:firstLineChars="200"/>
        <w:rPr>
          <w:rFonts w:ascii="宋体" w:hAnsi="宋体" w:cs="宋体"/>
          <w:highlight w:val="none"/>
        </w:rPr>
      </w:pPr>
      <w:r>
        <w:rPr>
          <w:rFonts w:hint="eastAsia" w:ascii="宋体" w:hAnsi="宋体" w:cs="宋体"/>
          <w:highlight w:val="none"/>
        </w:rPr>
        <w:t>4.1.2 投标文件电子备用光盘或U盘应进行包装、加贴封条，并在封套的封口处加盖投标人单位公章。</w:t>
      </w:r>
    </w:p>
    <w:p w14:paraId="71D7339C">
      <w:pPr>
        <w:spacing w:line="288" w:lineRule="auto"/>
        <w:ind w:firstLine="420" w:firstLineChars="200"/>
        <w:rPr>
          <w:rFonts w:ascii="宋体" w:hAnsi="宋体" w:cs="宋体"/>
          <w:highlight w:val="none"/>
        </w:rPr>
      </w:pPr>
      <w:r>
        <w:rPr>
          <w:rFonts w:hint="eastAsia" w:ascii="宋体" w:hAnsi="宋体" w:cs="宋体"/>
          <w:highlight w:val="none"/>
        </w:rPr>
        <w:t>4.1.3 未按本章第4.1.1项或第4.1.2项要求密封和加写标记的投标文件、投标文件电子备用光盘或U盘，招标人不予受理。</w:t>
      </w:r>
    </w:p>
    <w:p w14:paraId="42D95A89">
      <w:pPr>
        <w:spacing w:line="288" w:lineRule="auto"/>
        <w:rPr>
          <w:rFonts w:ascii="宋体" w:hAnsi="宋体" w:cs="宋体"/>
          <w:sz w:val="24"/>
          <w:szCs w:val="24"/>
          <w:highlight w:val="none"/>
        </w:rPr>
      </w:pPr>
      <w:bookmarkStart w:id="409" w:name="_Toc7217"/>
      <w:bookmarkStart w:id="410" w:name="_Toc13525"/>
      <w:bookmarkStart w:id="411" w:name="_Toc436834158"/>
      <w:bookmarkStart w:id="412" w:name="_Toc436834751"/>
      <w:bookmarkStart w:id="413" w:name="_Toc10998"/>
      <w:bookmarkStart w:id="414" w:name="_Toc20463"/>
      <w:bookmarkStart w:id="415" w:name="_Toc22154"/>
      <w:bookmarkStart w:id="416" w:name="_Toc8844"/>
      <w:bookmarkStart w:id="417" w:name="_Toc29781"/>
      <w:bookmarkStart w:id="418" w:name="_Toc485211065"/>
      <w:bookmarkStart w:id="419" w:name="_Toc4191"/>
      <w:bookmarkStart w:id="420" w:name="_Toc18437"/>
      <w:bookmarkStart w:id="421" w:name="_Toc20862"/>
      <w:bookmarkStart w:id="422" w:name="_Toc26573"/>
      <w:r>
        <w:rPr>
          <w:rFonts w:hint="eastAsia" w:ascii="宋体" w:hAnsi="宋体" w:cs="宋体"/>
          <w:sz w:val="24"/>
          <w:szCs w:val="24"/>
          <w:highlight w:val="none"/>
        </w:rPr>
        <w:t>4.2 投标文件的递交</w:t>
      </w:r>
      <w:bookmarkEnd w:id="382"/>
      <w:bookmarkEnd w:id="383"/>
      <w:bookmarkEnd w:id="384"/>
      <w:bookmarkEnd w:id="385"/>
      <w:bookmarkEnd w:id="386"/>
      <w:bookmarkEnd w:id="387"/>
      <w:bookmarkEnd w:id="38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0D508930">
      <w:pPr>
        <w:spacing w:line="288" w:lineRule="auto"/>
        <w:ind w:firstLine="420" w:firstLineChars="200"/>
        <w:rPr>
          <w:rFonts w:ascii="宋体" w:hAnsi="宋体" w:cs="宋体"/>
          <w:highlight w:val="none"/>
          <w:u w:val="single"/>
        </w:rPr>
      </w:pPr>
      <w:bookmarkStart w:id="423" w:name="_Toc399165401"/>
      <w:bookmarkStart w:id="424" w:name="_Toc152042334"/>
      <w:bookmarkStart w:id="425" w:name="_Toc152045558"/>
      <w:bookmarkStart w:id="426" w:name="_Toc247513982"/>
      <w:bookmarkStart w:id="427" w:name="_Toc300834979"/>
      <w:bookmarkStart w:id="428" w:name="_Toc247527583"/>
      <w:bookmarkStart w:id="429" w:name="_Toc144974526"/>
      <w:r>
        <w:rPr>
          <w:rFonts w:hint="eastAsia" w:ascii="宋体" w:hAnsi="宋体" w:cs="宋体"/>
          <w:highlight w:val="none"/>
        </w:rPr>
        <w:t>4.2.1</w:t>
      </w:r>
      <w:r>
        <w:rPr>
          <w:rFonts w:hint="eastAsia" w:ascii="宋体" w:hAnsi="宋体" w:cs="宋体"/>
          <w:highlight w:val="none"/>
          <w:u w:val="single"/>
        </w:rPr>
        <w:t>投标人代表按投标须知前附表所规定的时间和地点向招标人提交投标文件电子备用光盘或U盘（投标人也可不提交投标文件光盘或U盘）。</w:t>
      </w:r>
    </w:p>
    <w:p w14:paraId="4D9A433C">
      <w:pPr>
        <w:spacing w:line="288" w:lineRule="auto"/>
        <w:ind w:firstLine="420" w:firstLineChars="200"/>
        <w:rPr>
          <w:rFonts w:ascii="宋体" w:hAnsi="宋体" w:cs="宋体"/>
          <w:highlight w:val="none"/>
          <w:u w:val="single"/>
        </w:rPr>
      </w:pPr>
      <w:r>
        <w:rPr>
          <w:rFonts w:hint="eastAsia" w:ascii="宋体" w:hAnsi="宋体" w:cs="宋体"/>
          <w:highlight w:val="none"/>
        </w:rPr>
        <w:t xml:space="preserve">4.2.2 </w:t>
      </w:r>
      <w:r>
        <w:rPr>
          <w:rFonts w:hint="eastAsia" w:ascii="宋体" w:hAnsi="宋体" w:cs="宋体"/>
          <w:highlight w:val="none"/>
          <w:u w:val="single"/>
        </w:rPr>
        <w:t>投标人递交投标文件电子备用光盘或U盘的地点：见投标人须知前附表。</w:t>
      </w:r>
    </w:p>
    <w:p w14:paraId="1AE40C5C">
      <w:pPr>
        <w:spacing w:line="288" w:lineRule="auto"/>
        <w:ind w:firstLine="420" w:firstLineChars="200"/>
        <w:rPr>
          <w:rFonts w:ascii="宋体" w:hAnsi="宋体" w:cs="宋体"/>
          <w:highlight w:val="none"/>
          <w:u w:val="single"/>
        </w:rPr>
      </w:pPr>
      <w:r>
        <w:rPr>
          <w:rFonts w:hint="eastAsia" w:ascii="宋体" w:hAnsi="宋体" w:cs="宋体"/>
          <w:highlight w:val="none"/>
        </w:rPr>
        <w:t xml:space="preserve">4.2.3 </w:t>
      </w:r>
      <w:r>
        <w:rPr>
          <w:rFonts w:hint="eastAsia" w:ascii="宋体" w:hAnsi="宋体" w:cs="宋体"/>
          <w:highlight w:val="none"/>
          <w:u w:val="single"/>
        </w:rPr>
        <w:t>除投标人须知前附表另有规定外，投标人所递交的投标文件不予退还。</w:t>
      </w:r>
    </w:p>
    <w:p w14:paraId="14D520D4">
      <w:pPr>
        <w:spacing w:line="288" w:lineRule="auto"/>
        <w:ind w:firstLine="420" w:firstLineChars="200"/>
        <w:rPr>
          <w:rFonts w:ascii="宋体" w:hAnsi="宋体" w:cs="宋体"/>
          <w:highlight w:val="none"/>
          <w:u w:val="single"/>
        </w:rPr>
      </w:pPr>
      <w:r>
        <w:rPr>
          <w:rFonts w:hint="eastAsia" w:ascii="宋体" w:hAnsi="宋体" w:cs="宋体"/>
          <w:highlight w:val="none"/>
        </w:rPr>
        <w:t>4.2.4</w:t>
      </w:r>
      <w:r>
        <w:rPr>
          <w:rFonts w:hint="eastAsia" w:ascii="宋体" w:hAnsi="宋体" w:cs="宋体"/>
          <w:highlight w:val="none"/>
          <w:u w:val="single"/>
        </w:rPr>
        <w:t xml:space="preserve"> 逾期送达的或者未送达指定地点的投标文件电子备用光盘或U盘，招标人不予受理。</w:t>
      </w:r>
    </w:p>
    <w:p w14:paraId="45A2F4CC">
      <w:pPr>
        <w:spacing w:line="288" w:lineRule="auto"/>
        <w:ind w:firstLine="420" w:firstLineChars="200"/>
        <w:rPr>
          <w:rFonts w:ascii="宋体" w:hAnsi="宋体" w:cs="宋体"/>
          <w:highlight w:val="none"/>
          <w:u w:val="single"/>
        </w:rPr>
      </w:pPr>
      <w:r>
        <w:rPr>
          <w:rFonts w:hint="eastAsia" w:ascii="宋体" w:hAnsi="宋体" w:cs="宋体"/>
          <w:highlight w:val="none"/>
        </w:rPr>
        <w:t>4.2.5</w:t>
      </w:r>
      <w:r>
        <w:rPr>
          <w:rFonts w:hint="eastAsia" w:ascii="宋体" w:hAnsi="宋体" w:cs="宋体"/>
          <w:highlight w:val="none"/>
          <w:u w:val="single"/>
        </w:rPr>
        <w:t>若出现以下情况，招标人将拒绝接收投标文件电子备用光盘或U盘：</w:t>
      </w:r>
    </w:p>
    <w:p w14:paraId="7C7D59D3">
      <w:pPr>
        <w:spacing w:line="288" w:lineRule="auto"/>
        <w:ind w:firstLine="420" w:firstLineChars="200"/>
        <w:rPr>
          <w:rFonts w:ascii="宋体" w:hAnsi="宋体" w:cs="宋体"/>
          <w:highlight w:val="none"/>
          <w:u w:val="single"/>
        </w:rPr>
      </w:pPr>
      <w:r>
        <w:rPr>
          <w:rFonts w:hint="eastAsia" w:ascii="宋体" w:hAnsi="宋体" w:cs="宋体"/>
          <w:highlight w:val="none"/>
          <w:u w:val="single"/>
        </w:rPr>
        <w:t>（1）在投标截止期后逾期或未在指定地点递交投标文件电子备用光盘或U盘的；</w:t>
      </w:r>
    </w:p>
    <w:p w14:paraId="768E66B0">
      <w:pPr>
        <w:spacing w:line="288" w:lineRule="auto"/>
        <w:ind w:firstLine="420" w:firstLineChars="200"/>
        <w:rPr>
          <w:rFonts w:ascii="宋体" w:hAnsi="宋体" w:cs="宋体"/>
          <w:highlight w:val="none"/>
          <w:u w:val="single"/>
        </w:rPr>
      </w:pPr>
      <w:r>
        <w:rPr>
          <w:rFonts w:hint="eastAsia" w:ascii="宋体" w:hAnsi="宋体" w:cs="宋体"/>
          <w:highlight w:val="none"/>
          <w:u w:val="single"/>
        </w:rPr>
        <w:t>（2）投标文件电子备用光盘或U盘未按招标文件要求密封和标志的；</w:t>
      </w:r>
    </w:p>
    <w:p w14:paraId="592D71DB">
      <w:pPr>
        <w:spacing w:line="288" w:lineRule="auto"/>
        <w:ind w:firstLine="420" w:firstLineChars="200"/>
        <w:rPr>
          <w:rFonts w:ascii="宋体" w:hAnsi="宋体" w:cs="宋体"/>
          <w:highlight w:val="none"/>
          <w:u w:val="single"/>
        </w:rPr>
      </w:pPr>
      <w:r>
        <w:rPr>
          <w:rFonts w:hint="eastAsia" w:ascii="宋体" w:hAnsi="宋体" w:cs="宋体"/>
          <w:highlight w:val="none"/>
          <w:u w:val="single"/>
        </w:rPr>
        <w:t>（3）在投标截止期前，法定代表人提交投标文件电子备用光盘或U盘，未同时提交本人身份证和法定代表人证明书原件，或委托代理人提交投标文件电子备用光盘或U盘，未同时提交本人身份证、法定代表人证明书原件和法定代表人授权委托证明书原件的。</w:t>
      </w:r>
    </w:p>
    <w:p w14:paraId="763F63D6">
      <w:pPr>
        <w:spacing w:line="288" w:lineRule="auto"/>
        <w:ind w:firstLine="422" w:firstLineChars="200"/>
        <w:rPr>
          <w:rFonts w:ascii="宋体" w:hAnsi="宋体" w:cs="宋体"/>
          <w:szCs w:val="21"/>
          <w:highlight w:val="none"/>
        </w:rPr>
      </w:pPr>
      <w:r>
        <w:rPr>
          <w:rFonts w:hint="eastAsia" w:ascii="宋体" w:hAnsi="宋体" w:cs="宋体"/>
          <w:b/>
          <w:bCs/>
          <w:highlight w:val="none"/>
          <w:u w:val="single"/>
        </w:rPr>
        <w:t>注：因投标人自身原因导致的电子投标文件上传有误、解密未及时等情况，投标人自行承担相应后果。</w:t>
      </w:r>
    </w:p>
    <w:p w14:paraId="401095B1">
      <w:pPr>
        <w:spacing w:line="288" w:lineRule="auto"/>
        <w:rPr>
          <w:rFonts w:ascii="宋体" w:hAnsi="宋体" w:cs="宋体"/>
          <w:sz w:val="24"/>
          <w:szCs w:val="24"/>
          <w:highlight w:val="none"/>
        </w:rPr>
      </w:pPr>
      <w:bookmarkStart w:id="430" w:name="_Toc1087"/>
      <w:bookmarkStart w:id="431" w:name="_Toc26983"/>
      <w:bookmarkStart w:id="432" w:name="_Toc14142"/>
      <w:bookmarkStart w:id="433" w:name="_Toc436834159"/>
      <w:bookmarkStart w:id="434" w:name="_Toc485211066"/>
      <w:bookmarkStart w:id="435" w:name="_Toc12422"/>
      <w:bookmarkStart w:id="436" w:name="_Toc29566"/>
      <w:bookmarkStart w:id="437" w:name="_Toc13787"/>
      <w:bookmarkStart w:id="438" w:name="_Toc8164"/>
      <w:bookmarkStart w:id="439" w:name="_Toc27403"/>
      <w:bookmarkStart w:id="440" w:name="_Toc436834752"/>
      <w:bookmarkStart w:id="441" w:name="_Toc29112"/>
      <w:bookmarkStart w:id="442" w:name="_Toc27723"/>
      <w:bookmarkStart w:id="443" w:name="_Toc2195"/>
      <w:r>
        <w:rPr>
          <w:rFonts w:hint="eastAsia" w:ascii="宋体" w:hAnsi="宋体" w:cs="宋体"/>
          <w:sz w:val="24"/>
          <w:szCs w:val="24"/>
          <w:highlight w:val="none"/>
        </w:rPr>
        <w:t>4.3 投标文件的修改与撤回</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1F390D90">
      <w:pPr>
        <w:spacing w:line="288" w:lineRule="auto"/>
        <w:ind w:firstLine="420" w:firstLineChars="200"/>
        <w:rPr>
          <w:rFonts w:ascii="宋体" w:hAnsi="宋体" w:cs="宋体"/>
          <w:szCs w:val="24"/>
          <w:highlight w:val="none"/>
        </w:rPr>
      </w:pPr>
      <w:r>
        <w:rPr>
          <w:rFonts w:hint="eastAsia" w:ascii="宋体" w:hAnsi="宋体" w:cs="宋体"/>
          <w:szCs w:val="24"/>
          <w:highlight w:val="none"/>
        </w:rPr>
        <w:t>4.3.1 在本章第4.2.1项规定的投标截止时间前，投标人可以修改或撤回已递交的投标文件，但应以书面形式通知招标人。</w:t>
      </w:r>
    </w:p>
    <w:p w14:paraId="50E29DFE">
      <w:pPr>
        <w:spacing w:line="288" w:lineRule="auto"/>
        <w:ind w:firstLine="420" w:firstLineChars="200"/>
        <w:rPr>
          <w:rFonts w:ascii="宋体" w:hAnsi="宋体" w:cs="宋体"/>
          <w:szCs w:val="24"/>
          <w:highlight w:val="none"/>
        </w:rPr>
      </w:pPr>
      <w:r>
        <w:rPr>
          <w:rFonts w:hint="eastAsia" w:ascii="宋体" w:hAnsi="宋体" w:cs="宋体"/>
          <w:szCs w:val="24"/>
          <w:highlight w:val="none"/>
        </w:rPr>
        <w:t>4.3.2 投标人修改或撤回已递交投标文件的书面通知应按照本章第3.7.3项的要求签字或盖章。招标人收到书面通知后，向投标人出具签收凭证。</w:t>
      </w:r>
    </w:p>
    <w:p w14:paraId="6BA1C741">
      <w:pPr>
        <w:spacing w:line="288" w:lineRule="auto"/>
        <w:ind w:firstLine="420" w:firstLineChars="200"/>
        <w:rPr>
          <w:rFonts w:ascii="宋体" w:hAnsi="宋体" w:cs="宋体"/>
          <w:szCs w:val="24"/>
          <w:highlight w:val="none"/>
        </w:rPr>
      </w:pPr>
      <w:r>
        <w:rPr>
          <w:rFonts w:hint="eastAsia" w:ascii="宋体" w:hAnsi="宋体" w:cs="宋体"/>
          <w:szCs w:val="24"/>
          <w:highlight w:val="none"/>
        </w:rPr>
        <w:t>4.3.3 投标人撤回投标文件的，招标人自收到投标人书面撤回通知之日起5日内退还已收取的投标担保。</w:t>
      </w:r>
    </w:p>
    <w:p w14:paraId="2D99DFF6">
      <w:pPr>
        <w:spacing w:line="288" w:lineRule="auto"/>
        <w:ind w:firstLine="420" w:firstLineChars="200"/>
        <w:rPr>
          <w:rFonts w:ascii="宋体" w:hAnsi="宋体" w:cs="宋体"/>
          <w:szCs w:val="24"/>
          <w:highlight w:val="none"/>
        </w:rPr>
      </w:pPr>
      <w:r>
        <w:rPr>
          <w:rFonts w:hint="eastAsia" w:ascii="宋体" w:hAnsi="宋体" w:cs="宋体"/>
          <w:szCs w:val="24"/>
          <w:highlight w:val="none"/>
        </w:rPr>
        <w:t>4.3.4 修改的内容为投标文件的组成部分。修改的投标文件应按照本章第3条、第4条规定进行编制、密封、标记和递交，并标明“修改”字样。</w:t>
      </w:r>
    </w:p>
    <w:p w14:paraId="0906C1D7">
      <w:pPr>
        <w:spacing w:line="288" w:lineRule="auto"/>
        <w:ind w:firstLine="420" w:firstLineChars="200"/>
        <w:rPr>
          <w:rFonts w:ascii="宋体" w:hAnsi="宋体" w:cs="宋体"/>
          <w:szCs w:val="24"/>
          <w:highlight w:val="none"/>
        </w:rPr>
      </w:pPr>
      <w:r>
        <w:rPr>
          <w:rFonts w:hint="eastAsia" w:ascii="宋体" w:hAnsi="宋体" w:cs="宋体"/>
          <w:szCs w:val="24"/>
          <w:highlight w:val="none"/>
        </w:rPr>
        <w:t>4.3.5 在投标截止时间之后，投标人不得补充、修改和更换投标文件。</w:t>
      </w:r>
    </w:p>
    <w:p w14:paraId="4E2586F4">
      <w:pPr>
        <w:spacing w:line="288" w:lineRule="auto"/>
        <w:ind w:firstLine="420" w:firstLineChars="200"/>
        <w:rPr>
          <w:rFonts w:ascii="宋体" w:hAnsi="宋体" w:cs="宋体"/>
          <w:szCs w:val="24"/>
          <w:highlight w:val="none"/>
          <w:u w:val="single"/>
        </w:rPr>
      </w:pPr>
      <w:r>
        <w:rPr>
          <w:rFonts w:hint="eastAsia" w:ascii="宋体" w:hAnsi="宋体" w:cs="宋体"/>
          <w:szCs w:val="24"/>
          <w:highlight w:val="none"/>
        </w:rPr>
        <w:t xml:space="preserve">4.3.6 </w:t>
      </w:r>
      <w:r>
        <w:rPr>
          <w:rFonts w:hint="eastAsia" w:ascii="宋体" w:hAnsi="宋体" w:cs="宋体"/>
          <w:szCs w:val="24"/>
          <w:highlight w:val="none"/>
          <w:u w:val="single"/>
        </w:rPr>
        <w:t>在投标截止后，投标人在投标文件格式中规定的有效期终止日前，投标人不能撤回投标文件，否则其投标担保将被没收且招标人有权就其撤回行为报告政府主管部门载入不良信用记录。</w:t>
      </w:r>
    </w:p>
    <w:p w14:paraId="143DFAEF">
      <w:pPr>
        <w:spacing w:line="288" w:lineRule="auto"/>
        <w:rPr>
          <w:rFonts w:ascii="宋体" w:hAnsi="宋体" w:cs="宋体"/>
          <w:b/>
          <w:bCs/>
          <w:sz w:val="24"/>
          <w:szCs w:val="24"/>
          <w:highlight w:val="none"/>
        </w:rPr>
      </w:pPr>
      <w:bookmarkStart w:id="444" w:name="_Toc16642"/>
      <w:bookmarkStart w:id="445" w:name="_Toc6364"/>
      <w:bookmarkStart w:id="446" w:name="_Toc12170"/>
      <w:bookmarkStart w:id="447" w:name="_Toc436834160"/>
      <w:bookmarkStart w:id="448" w:name="_Toc5421"/>
      <w:bookmarkStart w:id="449" w:name="_Toc30507"/>
      <w:bookmarkStart w:id="450" w:name="_Toc31450"/>
      <w:bookmarkStart w:id="451" w:name="_Toc17608"/>
      <w:bookmarkStart w:id="452" w:name="_Toc247513983"/>
      <w:bookmarkStart w:id="453" w:name="_Toc144974527"/>
      <w:bookmarkStart w:id="454" w:name="_Toc26618"/>
      <w:bookmarkStart w:id="455" w:name="_Toc436834753"/>
      <w:bookmarkStart w:id="456" w:name="_Toc247527584"/>
      <w:bookmarkStart w:id="457" w:name="_Toc300834980"/>
      <w:bookmarkStart w:id="458" w:name="_Toc28294"/>
      <w:bookmarkStart w:id="459" w:name="_Toc32688"/>
      <w:bookmarkStart w:id="460" w:name="_Toc152045559"/>
      <w:bookmarkStart w:id="461" w:name="_Toc152042335"/>
      <w:bookmarkStart w:id="462" w:name="_Toc399165402"/>
      <w:bookmarkStart w:id="463" w:name="_Toc485211067"/>
      <w:bookmarkStart w:id="464" w:name="_Toc4459"/>
      <w:r>
        <w:rPr>
          <w:rFonts w:hint="eastAsia" w:ascii="宋体" w:hAnsi="宋体" w:cs="宋体"/>
          <w:b/>
          <w:bCs/>
          <w:sz w:val="24"/>
          <w:szCs w:val="24"/>
          <w:highlight w:val="none"/>
        </w:rPr>
        <w:t>5. 开标</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733AB747">
      <w:pPr>
        <w:spacing w:line="288" w:lineRule="auto"/>
        <w:rPr>
          <w:rFonts w:ascii="宋体" w:hAnsi="宋体" w:cs="宋体"/>
          <w:sz w:val="24"/>
          <w:szCs w:val="24"/>
          <w:highlight w:val="none"/>
        </w:rPr>
      </w:pPr>
      <w:bookmarkStart w:id="465" w:name="_Toc399165403"/>
      <w:bookmarkStart w:id="466" w:name="_Toc152045560"/>
      <w:bookmarkStart w:id="467" w:name="_Toc24693"/>
      <w:bookmarkStart w:id="468" w:name="_Toc436834161"/>
      <w:bookmarkStart w:id="469" w:name="_Toc10949"/>
      <w:bookmarkStart w:id="470" w:name="_Toc4802"/>
      <w:bookmarkStart w:id="471" w:name="_Toc24982"/>
      <w:bookmarkStart w:id="472" w:name="_Toc247527585"/>
      <w:bookmarkStart w:id="473" w:name="_Toc247513984"/>
      <w:bookmarkStart w:id="474" w:name="_Toc300834981"/>
      <w:bookmarkStart w:id="475" w:name="_Toc22565"/>
      <w:bookmarkStart w:id="476" w:name="_Toc144974528"/>
      <w:bookmarkStart w:id="477" w:name="_Toc29641"/>
      <w:bookmarkStart w:id="478" w:name="_Toc152042336"/>
      <w:bookmarkStart w:id="479" w:name="_Toc436834754"/>
      <w:bookmarkStart w:id="480" w:name="_Toc7901"/>
      <w:bookmarkStart w:id="481" w:name="_Toc16605"/>
      <w:bookmarkStart w:id="482" w:name="_Toc485211068"/>
      <w:bookmarkStart w:id="483" w:name="_Toc19541"/>
      <w:bookmarkStart w:id="484" w:name="_Toc27797"/>
      <w:bookmarkStart w:id="485" w:name="_Toc6981"/>
      <w:r>
        <w:rPr>
          <w:rFonts w:hint="eastAsia" w:ascii="宋体" w:hAnsi="宋体" w:cs="宋体"/>
          <w:sz w:val="24"/>
          <w:szCs w:val="24"/>
          <w:highlight w:val="none"/>
        </w:rPr>
        <w:t>5.1 开标时间和地点</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42084699">
      <w:pPr>
        <w:spacing w:line="288" w:lineRule="auto"/>
        <w:ind w:firstLine="420" w:firstLineChars="200"/>
        <w:rPr>
          <w:rFonts w:ascii="宋体" w:hAnsi="宋体" w:cs="宋体"/>
          <w:szCs w:val="24"/>
          <w:highlight w:val="none"/>
        </w:rPr>
      </w:pPr>
      <w:r>
        <w:rPr>
          <w:rFonts w:hint="eastAsia" w:ascii="宋体" w:hAnsi="宋体" w:cs="宋体"/>
          <w:szCs w:val="24"/>
          <w:highlight w:val="none"/>
        </w:rPr>
        <w:t>招标人在本章第4.2.1项规定的投标截止时间（开标时间）和《投标人须知前附表》规定的地点公开开标，并邀请所有投标人的法定代表人或其委托代理人准时参加。</w:t>
      </w:r>
      <w:r>
        <w:rPr>
          <w:rFonts w:hint="eastAsia" w:ascii="宋体" w:hAnsi="宋体" w:cs="宋体"/>
          <w:highlight w:val="none"/>
          <w:u w:val="single"/>
        </w:rPr>
        <w:t>投标人（法定代表人或其委托代理人）可自行决定是否参加开标。投标人不参加的，视为认可开标过程及结果。</w:t>
      </w:r>
    </w:p>
    <w:p w14:paraId="5A0348A2">
      <w:pPr>
        <w:spacing w:line="288" w:lineRule="auto"/>
        <w:rPr>
          <w:rFonts w:ascii="宋体" w:hAnsi="宋体" w:cs="宋体"/>
          <w:sz w:val="24"/>
          <w:szCs w:val="24"/>
          <w:highlight w:val="none"/>
        </w:rPr>
      </w:pPr>
      <w:bookmarkStart w:id="486" w:name="_Toc30906"/>
      <w:bookmarkStart w:id="487" w:name="_Toc22128"/>
      <w:bookmarkStart w:id="488" w:name="_Toc436834755"/>
      <w:bookmarkStart w:id="489" w:name="_Toc399165404"/>
      <w:bookmarkStart w:id="490" w:name="_Toc1228"/>
      <w:bookmarkStart w:id="491" w:name="_Toc149"/>
      <w:bookmarkStart w:id="492" w:name="_Toc485211069"/>
      <w:bookmarkStart w:id="493" w:name="_Toc1215"/>
      <w:bookmarkStart w:id="494" w:name="_Toc152042337"/>
      <w:bookmarkStart w:id="495" w:name="_Toc436834162"/>
      <w:bookmarkStart w:id="496" w:name="_Toc247527586"/>
      <w:bookmarkStart w:id="497" w:name="_Toc11280"/>
      <w:bookmarkStart w:id="498" w:name="_Toc3858"/>
      <w:bookmarkStart w:id="499" w:name="_Toc247513985"/>
      <w:bookmarkStart w:id="500" w:name="_Toc32550"/>
      <w:bookmarkStart w:id="501" w:name="_Toc2356"/>
      <w:bookmarkStart w:id="502" w:name="_Toc300834982"/>
      <w:bookmarkStart w:id="503" w:name="_Toc144974529"/>
      <w:bookmarkStart w:id="504" w:name="_Toc29350"/>
      <w:bookmarkStart w:id="505" w:name="_Toc21731"/>
      <w:bookmarkStart w:id="506" w:name="_Toc152045561"/>
      <w:bookmarkStart w:id="507" w:name="_Toc399165405"/>
      <w:bookmarkStart w:id="508" w:name="_Toc300834983"/>
      <w:r>
        <w:rPr>
          <w:rFonts w:hint="eastAsia" w:ascii="宋体" w:hAnsi="宋体" w:cs="宋体"/>
          <w:sz w:val="24"/>
          <w:szCs w:val="24"/>
          <w:highlight w:val="none"/>
        </w:rPr>
        <w:t>5.2 开标程序</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31490E02">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u w:val="single"/>
        </w:rPr>
        <w:t>主持人按下列程序进行开标：</w:t>
      </w:r>
    </w:p>
    <w:p w14:paraId="63989580">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（1）宣布开标纪律；</w:t>
      </w:r>
    </w:p>
    <w:p w14:paraId="4D907C55">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u w:val="single"/>
        </w:rPr>
        <w:t>（2）公布在投标截止时间前递交投标文件的投标人名称；</w:t>
      </w:r>
    </w:p>
    <w:p w14:paraId="06BB57EB">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u w:val="single"/>
        </w:rPr>
        <w:t>（3）在投标截止时间后一个小时内，投标人通过递交投标文件的交易平台对已递交的电子投标文件进行解密。投标人完成解密后，再由招标人进行解密（投标人只用执行一次解密，招标人执行解密次数根据招标文件开标次数确定）。</w:t>
      </w:r>
    </w:p>
    <w:p w14:paraId="48A6D4E0">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u w:val="single"/>
        </w:rPr>
        <w:t>（4）解密完成后，公布：a投标人名称；b投标文件递交情况；c投标文件解密情况；d投标担保递交情况；e项目负责人、设计负责人、技术负责人、专职安全员；f投标报价（含设计费报价和建安工程费报价）；g工期；h质量标准；i投标人的加密打包投标文件电脑机器特征码等主要内容，并记录在案。未在规定时间内解密的投标文件不参与开标、评标。</w:t>
      </w:r>
    </w:p>
    <w:p w14:paraId="00503D08">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u w:val="single"/>
        </w:rPr>
        <w:t>（5）截标后，开标开始时间因故推迟的，相关评标信息仍以原定的开标开始时间的信息为准。</w:t>
      </w:r>
    </w:p>
    <w:p w14:paraId="5DFAD762">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u w:val="single"/>
        </w:rPr>
        <w:t>（6）备用光盘的读取按“10 电子招标投标”第6点的规定执行。</w:t>
      </w:r>
    </w:p>
    <w:p w14:paraId="4F426A06">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26A3CF37">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0BD5BEC8">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u w:val="single"/>
        </w:rPr>
        <w:t>（9）投标人未参加开标或在规定的时间内未提出异议的，视为对开标无异议。</w:t>
      </w:r>
    </w:p>
    <w:p w14:paraId="7C26EC25">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（10）开标时，两个（含两个）以上的投标人加密打包投标文件电脑机器特征码一致的，不参与下一程序，并由评标委员会否决其投标。</w:t>
      </w:r>
    </w:p>
    <w:p w14:paraId="17D4A76F">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（11）投标人代表、招标人代表、监标人、记录人等有关人员在开标记录上签字确认；若有关人员不签字的，不影响开标程序；</w:t>
      </w:r>
    </w:p>
    <w:p w14:paraId="214546D5">
      <w:pPr>
        <w:spacing w:line="288"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（12）开标结束。</w:t>
      </w:r>
    </w:p>
    <w:p w14:paraId="277926FD">
      <w:pPr>
        <w:spacing w:line="288" w:lineRule="auto"/>
        <w:rPr>
          <w:rFonts w:ascii="宋体" w:hAnsi="宋体" w:cs="宋体"/>
          <w:sz w:val="24"/>
          <w:szCs w:val="24"/>
          <w:highlight w:val="none"/>
        </w:rPr>
      </w:pPr>
      <w:bookmarkStart w:id="509" w:name="_Toc19375"/>
      <w:bookmarkStart w:id="510" w:name="_Toc30018"/>
      <w:bookmarkStart w:id="511" w:name="_Toc3636"/>
      <w:bookmarkStart w:id="512" w:name="_Toc436834756"/>
      <w:bookmarkStart w:id="513" w:name="_Toc1755"/>
      <w:bookmarkStart w:id="514" w:name="_Toc27243"/>
      <w:bookmarkStart w:id="515" w:name="_Toc6371"/>
      <w:bookmarkStart w:id="516" w:name="_Toc17100"/>
      <w:bookmarkStart w:id="517" w:name="_Toc436834163"/>
      <w:bookmarkStart w:id="518" w:name="_Toc28564"/>
      <w:bookmarkStart w:id="519" w:name="_Toc20459"/>
      <w:bookmarkStart w:id="520" w:name="_Toc11445"/>
      <w:bookmarkStart w:id="521" w:name="_Toc30580"/>
      <w:bookmarkStart w:id="522" w:name="_Toc485211070"/>
      <w:r>
        <w:rPr>
          <w:rFonts w:hint="eastAsia" w:ascii="宋体" w:hAnsi="宋体" w:cs="宋体"/>
          <w:sz w:val="24"/>
          <w:szCs w:val="24"/>
          <w:highlight w:val="none"/>
        </w:rPr>
        <w:t>5.3 开标异议</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6545678">
      <w:pPr>
        <w:spacing w:line="288" w:lineRule="auto"/>
        <w:ind w:firstLine="420" w:firstLineChars="200"/>
        <w:rPr>
          <w:rFonts w:ascii="宋体" w:hAnsi="宋体" w:cs="宋体"/>
          <w:szCs w:val="24"/>
          <w:highlight w:val="none"/>
        </w:rPr>
      </w:pPr>
      <w:r>
        <w:rPr>
          <w:rFonts w:hint="eastAsia" w:ascii="宋体" w:hAnsi="宋体" w:cs="宋体"/>
          <w:szCs w:val="24"/>
          <w:highlight w:val="none"/>
        </w:rPr>
        <w:t>投标人对开标有异议的，应当在开标现场提出，同时出示本人身份证原件，招标人当场作出答复，并制作记录。参加在线开标的，投标人应通过广交易建设工程电子交易系统在线提出，招标人应通过广交易建设工程电子交易系统答复，答复后方可结束开标。</w:t>
      </w:r>
    </w:p>
    <w:p w14:paraId="552D0125">
      <w:pPr>
        <w:spacing w:line="288" w:lineRule="auto"/>
        <w:ind w:firstLine="420" w:firstLineChars="200"/>
        <w:rPr>
          <w:rFonts w:ascii="宋体" w:hAnsi="宋体" w:cs="宋体"/>
          <w:szCs w:val="24"/>
          <w:highlight w:val="none"/>
        </w:rPr>
      </w:pPr>
      <w:r>
        <w:rPr>
          <w:rFonts w:hint="eastAsia" w:ascii="宋体" w:hAnsi="宋体" w:cs="宋体"/>
          <w:szCs w:val="24"/>
          <w:highlight w:val="none"/>
        </w:rPr>
        <w:t>1、具体操作详见“广州交易集团有限公司（广州公共资源交易中心）门户网站首页-&gt;服务指南-&gt;系统帮助-&gt;操作手册-&gt;发起及受理异议操作指引”。</w:t>
      </w:r>
    </w:p>
    <w:p w14:paraId="3108C075">
      <w:pPr>
        <w:spacing w:line="288" w:lineRule="auto"/>
        <w:ind w:firstLine="420" w:firstLineChars="200"/>
        <w:rPr>
          <w:rFonts w:ascii="宋体" w:hAnsi="宋体" w:cs="宋体"/>
          <w:szCs w:val="24"/>
          <w:highlight w:val="none"/>
        </w:rPr>
      </w:pPr>
      <w:r>
        <w:rPr>
          <w:rFonts w:hint="eastAsia" w:ascii="宋体" w:hAnsi="宋体" w:cs="宋体"/>
          <w:szCs w:val="24"/>
          <w:highlight w:val="none"/>
        </w:rPr>
        <w:t>2、投标人可登录交易平台网站向招标人提出异议申请，招标人在线处理完异议后，提出异议的投标人可以在线查询处理结果。异议处理结果仅对提出异议的投标人开放查询。投标人登录广交易建设工程电子交易平台进入“我是投标人”-选择“新建设工程交易平台”-“异议管理”-点击“新增异议”-选择要发起异议的项目。</w:t>
      </w:r>
    </w:p>
    <w:p w14:paraId="2F0AA5ED">
      <w:pPr>
        <w:spacing w:line="288" w:lineRule="auto"/>
        <w:rPr>
          <w:rFonts w:ascii="宋体" w:hAnsi="宋体" w:cs="宋体"/>
          <w:b/>
          <w:bCs/>
          <w:sz w:val="24"/>
          <w:szCs w:val="24"/>
          <w:highlight w:val="none"/>
        </w:rPr>
      </w:pPr>
      <w:bookmarkStart w:id="523" w:name="_Toc399165406"/>
      <w:bookmarkStart w:id="524" w:name="_Toc300834984"/>
      <w:bookmarkStart w:id="525" w:name="_Toc17022"/>
      <w:bookmarkStart w:id="526" w:name="_Toc144974530"/>
      <w:bookmarkStart w:id="527" w:name="_Toc152042338"/>
      <w:bookmarkStart w:id="528" w:name="_Toc3138"/>
      <w:bookmarkStart w:id="529" w:name="_Toc2702"/>
      <w:bookmarkStart w:id="530" w:name="_Toc6781"/>
      <w:bookmarkStart w:id="531" w:name="_Toc485211071"/>
      <w:bookmarkStart w:id="532" w:name="_Toc247513986"/>
      <w:bookmarkStart w:id="533" w:name="_Toc21872"/>
      <w:bookmarkStart w:id="534" w:name="_Toc436834757"/>
      <w:bookmarkStart w:id="535" w:name="_Toc247527587"/>
      <w:bookmarkStart w:id="536" w:name="_Toc791"/>
      <w:bookmarkStart w:id="537" w:name="_Toc17424"/>
      <w:bookmarkStart w:id="538" w:name="_Toc152045562"/>
      <w:bookmarkStart w:id="539" w:name="_Toc27065"/>
      <w:bookmarkStart w:id="540" w:name="_Toc29530"/>
      <w:bookmarkStart w:id="541" w:name="_Toc16899"/>
      <w:bookmarkStart w:id="542" w:name="_Toc29634"/>
      <w:bookmarkStart w:id="543" w:name="_Toc436834164"/>
      <w:r>
        <w:rPr>
          <w:rFonts w:hint="eastAsia" w:ascii="宋体" w:hAnsi="宋体" w:cs="宋体"/>
          <w:b/>
          <w:bCs/>
          <w:sz w:val="24"/>
          <w:szCs w:val="24"/>
          <w:highlight w:val="none"/>
        </w:rPr>
        <w:t>6. 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22EBF944">
      <w:pPr>
        <w:spacing w:line="288" w:lineRule="auto"/>
        <w:rPr>
          <w:rFonts w:ascii="宋体" w:hAnsi="宋体" w:cs="宋体"/>
          <w:sz w:val="24"/>
          <w:szCs w:val="24"/>
          <w:highlight w:val="none"/>
        </w:rPr>
      </w:pPr>
      <w:bookmarkStart w:id="544" w:name="_Toc15499"/>
      <w:bookmarkStart w:id="545" w:name="_Toc152045563"/>
      <w:bookmarkStart w:id="546" w:name="_Toc300834985"/>
      <w:bookmarkStart w:id="547" w:name="_Toc436834758"/>
      <w:bookmarkStart w:id="548" w:name="_Toc144974531"/>
      <w:bookmarkStart w:id="549" w:name="_Toc22048"/>
      <w:bookmarkStart w:id="550" w:name="_Toc16102"/>
      <w:bookmarkStart w:id="551" w:name="_Toc436834165"/>
      <w:bookmarkStart w:id="552" w:name="_Toc485211072"/>
      <w:bookmarkStart w:id="553" w:name="_Toc16779"/>
      <w:bookmarkStart w:id="554" w:name="_Toc25490"/>
      <w:bookmarkStart w:id="555" w:name="_Toc399165407"/>
      <w:bookmarkStart w:id="556" w:name="_Toc247513987"/>
      <w:bookmarkStart w:id="557" w:name="_Toc26166"/>
      <w:bookmarkStart w:id="558" w:name="_Toc152042339"/>
      <w:bookmarkStart w:id="559" w:name="_Toc29291"/>
      <w:bookmarkStart w:id="560" w:name="_Toc9770"/>
      <w:bookmarkStart w:id="561" w:name="_Toc247527588"/>
      <w:bookmarkStart w:id="562" w:name="_Toc1432"/>
      <w:bookmarkStart w:id="563" w:name="_Toc12762"/>
      <w:bookmarkStart w:id="564" w:name="_Toc28026"/>
      <w:r>
        <w:rPr>
          <w:rFonts w:hint="eastAsia" w:ascii="宋体" w:hAnsi="宋体" w:cs="宋体"/>
          <w:sz w:val="24"/>
          <w:szCs w:val="24"/>
          <w:highlight w:val="none"/>
        </w:rPr>
        <w:t>6.1 评标委员会</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29B1A788">
      <w:pPr>
        <w:spacing w:line="288" w:lineRule="auto"/>
        <w:ind w:firstLine="420" w:firstLineChars="200"/>
        <w:rPr>
          <w:rFonts w:ascii="宋体" w:hAnsi="宋体" w:cs="宋体"/>
          <w:szCs w:val="21"/>
          <w:highlight w:val="none"/>
        </w:rPr>
      </w:pPr>
      <w:r>
        <w:rPr>
          <w:rFonts w:hint="eastAsia" w:ascii="宋体" w:hAnsi="宋体" w:cs="宋体"/>
          <w:szCs w:val="21"/>
          <w:highlight w:val="none"/>
        </w:rPr>
        <w:t>6.1.1评标由招标人依法组建的评标委员会负责。</w:t>
      </w:r>
      <w:bookmarkStart w:id="565" w:name="_Toc247513988"/>
      <w:bookmarkStart w:id="566" w:name="_Toc144974532"/>
      <w:bookmarkStart w:id="567" w:name="_Toc152042340"/>
      <w:bookmarkStart w:id="568" w:name="_Toc300834986"/>
      <w:bookmarkStart w:id="569" w:name="_Toc247527589"/>
      <w:bookmarkStart w:id="570" w:name="_Toc152045564"/>
      <w:bookmarkStart w:id="571" w:name="_Toc399165408"/>
    </w:p>
    <w:p w14:paraId="1A2D00AF">
      <w:pPr>
        <w:spacing w:line="288" w:lineRule="auto"/>
        <w:ind w:firstLine="420" w:firstLineChars="200"/>
        <w:rPr>
          <w:rFonts w:ascii="宋体" w:hAnsi="宋体" w:cs="宋体"/>
          <w:szCs w:val="21"/>
          <w:highlight w:val="none"/>
        </w:rPr>
      </w:pPr>
      <w:r>
        <w:rPr>
          <w:rFonts w:hint="eastAsia" w:ascii="宋体" w:hAnsi="宋体" w:cs="宋体"/>
          <w:szCs w:val="21"/>
          <w:highlight w:val="none"/>
        </w:rPr>
        <w:t>6.1.2 评标委员会成员有下列情形之一的，应当回避：</w:t>
      </w:r>
    </w:p>
    <w:p w14:paraId="06E36260">
      <w:pPr>
        <w:spacing w:line="288" w:lineRule="auto"/>
        <w:ind w:firstLine="420" w:firstLineChars="200"/>
        <w:rPr>
          <w:rFonts w:ascii="宋体" w:hAnsi="宋体" w:cs="宋体"/>
          <w:szCs w:val="21"/>
          <w:highlight w:val="none"/>
        </w:rPr>
      </w:pPr>
      <w:r>
        <w:rPr>
          <w:rFonts w:hint="eastAsia" w:ascii="宋体" w:hAnsi="宋体" w:cs="宋体"/>
          <w:szCs w:val="21"/>
          <w:highlight w:val="none"/>
        </w:rPr>
        <w:t>（1）投标人或投标人主要负责人的近亲属；</w:t>
      </w:r>
    </w:p>
    <w:p w14:paraId="3CC8A6C2">
      <w:pPr>
        <w:spacing w:line="288" w:lineRule="auto"/>
        <w:ind w:firstLine="420" w:firstLineChars="200"/>
        <w:rPr>
          <w:rFonts w:ascii="宋体" w:hAnsi="宋体" w:cs="宋体"/>
          <w:szCs w:val="21"/>
          <w:highlight w:val="none"/>
        </w:rPr>
      </w:pPr>
      <w:r>
        <w:rPr>
          <w:rFonts w:hint="eastAsia" w:ascii="宋体" w:hAnsi="宋体" w:cs="宋体"/>
          <w:szCs w:val="21"/>
          <w:highlight w:val="none"/>
        </w:rPr>
        <w:t>（2）项目主管部门或者行政监督部门的人员；</w:t>
      </w:r>
    </w:p>
    <w:p w14:paraId="3AEAF920">
      <w:pPr>
        <w:spacing w:line="288" w:lineRule="auto"/>
        <w:ind w:firstLine="420" w:firstLineChars="200"/>
        <w:rPr>
          <w:rFonts w:ascii="宋体" w:hAnsi="宋体" w:cs="宋体"/>
          <w:szCs w:val="21"/>
          <w:highlight w:val="none"/>
        </w:rPr>
      </w:pPr>
      <w:r>
        <w:rPr>
          <w:rFonts w:hint="eastAsia" w:ascii="宋体" w:hAnsi="宋体" w:cs="宋体"/>
          <w:szCs w:val="21"/>
          <w:highlight w:val="none"/>
        </w:rPr>
        <w:t>（3）与投标人有经济利益关系，可能影响对投标公正评审的；</w:t>
      </w:r>
    </w:p>
    <w:p w14:paraId="0B332D7D">
      <w:pPr>
        <w:spacing w:line="288" w:lineRule="auto"/>
        <w:ind w:firstLine="420" w:firstLineChars="200"/>
        <w:rPr>
          <w:rFonts w:ascii="宋体" w:hAnsi="宋体" w:cs="宋体"/>
          <w:szCs w:val="21"/>
          <w:highlight w:val="none"/>
        </w:rPr>
      </w:pPr>
      <w:r>
        <w:rPr>
          <w:rFonts w:hint="eastAsia" w:ascii="宋体" w:hAnsi="宋体" w:cs="宋体"/>
          <w:szCs w:val="21"/>
          <w:highlight w:val="none"/>
        </w:rPr>
        <w:t>（4）曾因在招标、评标以及其他与招标投标有关活动中从事违法行为而受过行政处罚或刑事处罚的；</w:t>
      </w:r>
    </w:p>
    <w:p w14:paraId="2092299E">
      <w:pPr>
        <w:spacing w:line="288" w:lineRule="auto"/>
        <w:ind w:firstLine="420" w:firstLineChars="200"/>
        <w:rPr>
          <w:rFonts w:ascii="宋体" w:hAnsi="宋体" w:cs="宋体"/>
          <w:szCs w:val="21"/>
          <w:highlight w:val="none"/>
        </w:rPr>
      </w:pPr>
      <w:r>
        <w:rPr>
          <w:rFonts w:hint="eastAsia" w:ascii="宋体" w:hAnsi="宋体" w:cs="宋体"/>
          <w:szCs w:val="21"/>
          <w:highlight w:val="none"/>
        </w:rPr>
        <w:t>（5）与投标人有其他利害关系。</w:t>
      </w:r>
    </w:p>
    <w:p w14:paraId="066A221A">
      <w:pPr>
        <w:spacing w:line="288" w:lineRule="auto"/>
        <w:ind w:firstLine="420" w:firstLineChars="200"/>
        <w:rPr>
          <w:rFonts w:ascii="宋体" w:hAnsi="宋体" w:cs="宋体"/>
          <w:szCs w:val="21"/>
          <w:highlight w:val="none"/>
        </w:rPr>
      </w:pPr>
      <w:r>
        <w:rPr>
          <w:rFonts w:hint="eastAsia" w:ascii="宋体" w:hAnsi="宋体" w:cs="宋体"/>
          <w:szCs w:val="21"/>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0A4B43E8">
      <w:pPr>
        <w:spacing w:line="288" w:lineRule="auto"/>
        <w:rPr>
          <w:rFonts w:ascii="宋体" w:hAnsi="宋体" w:cs="宋体"/>
          <w:sz w:val="24"/>
          <w:szCs w:val="24"/>
          <w:highlight w:val="none"/>
        </w:rPr>
      </w:pPr>
      <w:bookmarkStart w:id="572" w:name="_Toc23158"/>
      <w:bookmarkStart w:id="573" w:name="_Toc7385"/>
      <w:bookmarkStart w:id="574" w:name="_Toc22045"/>
      <w:bookmarkStart w:id="575" w:name="_Toc30304"/>
      <w:bookmarkStart w:id="576" w:name="_Toc10755"/>
      <w:bookmarkStart w:id="577" w:name="_Toc436834166"/>
      <w:bookmarkStart w:id="578" w:name="_Toc436834759"/>
      <w:bookmarkStart w:id="579" w:name="_Toc1675"/>
      <w:bookmarkStart w:id="580" w:name="_Toc15933"/>
      <w:bookmarkStart w:id="581" w:name="_Toc12018"/>
      <w:bookmarkStart w:id="582" w:name="_Toc31466"/>
      <w:bookmarkStart w:id="583" w:name="_Toc485211073"/>
      <w:bookmarkStart w:id="584" w:name="_Toc14481"/>
      <w:bookmarkStart w:id="585" w:name="_Toc29188"/>
      <w:r>
        <w:rPr>
          <w:rFonts w:hint="eastAsia" w:ascii="宋体" w:hAnsi="宋体" w:cs="宋体"/>
          <w:sz w:val="24"/>
          <w:szCs w:val="24"/>
          <w:highlight w:val="none"/>
        </w:rPr>
        <w:t>6.2 评标原则</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3B49E0A3">
      <w:pPr>
        <w:spacing w:line="288" w:lineRule="auto"/>
        <w:ind w:firstLine="420" w:firstLineChars="200"/>
        <w:rPr>
          <w:rFonts w:ascii="宋体" w:hAnsi="宋体" w:cs="宋体"/>
          <w:szCs w:val="24"/>
          <w:highlight w:val="none"/>
        </w:rPr>
      </w:pPr>
      <w:r>
        <w:rPr>
          <w:rFonts w:hint="eastAsia" w:ascii="宋体" w:hAnsi="宋体" w:cs="宋体"/>
          <w:szCs w:val="24"/>
          <w:highlight w:val="none"/>
        </w:rPr>
        <w:t>评标活动遵循公平、公正、科学和择优的原则。</w:t>
      </w:r>
    </w:p>
    <w:p w14:paraId="0DE454EC">
      <w:pPr>
        <w:spacing w:line="288" w:lineRule="auto"/>
        <w:rPr>
          <w:rFonts w:ascii="宋体" w:hAnsi="宋体" w:cs="宋体"/>
          <w:sz w:val="24"/>
          <w:szCs w:val="24"/>
          <w:highlight w:val="none"/>
        </w:rPr>
      </w:pPr>
      <w:bookmarkStart w:id="586" w:name="_Toc144974533"/>
      <w:bookmarkStart w:id="587" w:name="_Toc22884"/>
      <w:bookmarkStart w:id="588" w:name="_Toc247527590"/>
      <w:bookmarkStart w:id="589" w:name="_Toc6398"/>
      <w:bookmarkStart w:id="590" w:name="_Toc436834760"/>
      <w:bookmarkStart w:id="591" w:name="_Toc152042341"/>
      <w:bookmarkStart w:id="592" w:name="_Toc24080"/>
      <w:bookmarkStart w:id="593" w:name="_Toc9983"/>
      <w:bookmarkStart w:id="594" w:name="_Toc18962"/>
      <w:bookmarkStart w:id="595" w:name="_Toc247513989"/>
      <w:bookmarkStart w:id="596" w:name="_Toc21087"/>
      <w:bookmarkStart w:id="597" w:name="_Toc19074"/>
      <w:bookmarkStart w:id="598" w:name="_Toc23921"/>
      <w:bookmarkStart w:id="599" w:name="_Toc18155"/>
      <w:bookmarkStart w:id="600" w:name="_Toc152045565"/>
      <w:bookmarkStart w:id="601" w:name="_Toc436834167"/>
      <w:bookmarkStart w:id="602" w:name="_Toc18940"/>
      <w:bookmarkStart w:id="603" w:name="_Toc399165409"/>
      <w:bookmarkStart w:id="604" w:name="_Toc485211074"/>
      <w:bookmarkStart w:id="605" w:name="_Toc300834987"/>
      <w:bookmarkStart w:id="606" w:name="_Toc22925"/>
      <w:r>
        <w:rPr>
          <w:rFonts w:hint="eastAsia" w:ascii="宋体" w:hAnsi="宋体" w:cs="宋体"/>
          <w:sz w:val="24"/>
          <w:szCs w:val="24"/>
          <w:highlight w:val="none"/>
        </w:rPr>
        <w:t>6.3 评标</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5BE7091E">
      <w:pPr>
        <w:spacing w:line="288" w:lineRule="auto"/>
        <w:ind w:firstLine="420" w:firstLineChars="200"/>
        <w:rPr>
          <w:rFonts w:ascii="宋体" w:hAnsi="宋体" w:cs="宋体"/>
          <w:szCs w:val="24"/>
          <w:highlight w:val="none"/>
        </w:rPr>
      </w:pPr>
      <w:r>
        <w:rPr>
          <w:rFonts w:hint="eastAsia" w:ascii="宋体" w:hAnsi="宋体" w:cs="宋体"/>
          <w:szCs w:val="24"/>
          <w:highlight w:val="none"/>
        </w:rPr>
        <w:t>6.3.1评标委员会按照第三章“评标办法”规定的方法、评审因素、标准和程序对投标文件进行评审。第三章“评标办法”没有规定的方法、评审因素和标准，不作为评标依据。</w:t>
      </w:r>
    </w:p>
    <w:p w14:paraId="212231AF">
      <w:pPr>
        <w:spacing w:line="288" w:lineRule="auto"/>
        <w:ind w:firstLine="420" w:firstLineChars="200"/>
        <w:rPr>
          <w:rFonts w:ascii="宋体" w:hAnsi="宋体" w:cs="宋体"/>
          <w:szCs w:val="24"/>
          <w:highlight w:val="none"/>
        </w:rPr>
      </w:pPr>
      <w:r>
        <w:rPr>
          <w:rFonts w:hint="eastAsia" w:ascii="宋体" w:hAnsi="宋体" w:cs="宋体"/>
          <w:szCs w:val="24"/>
          <w:highlight w:val="none"/>
        </w:rPr>
        <w:t>6.3.2评标完成后，评标委员会应当向招标人提交书面评标报告和中标候选人名单。评标委员会推荐中标候选人的人数见投标人须知前附表。</w:t>
      </w:r>
    </w:p>
    <w:p w14:paraId="04F3B635">
      <w:pPr>
        <w:spacing w:line="288" w:lineRule="auto"/>
        <w:ind w:firstLine="420" w:firstLineChars="200"/>
        <w:rPr>
          <w:rFonts w:ascii="宋体" w:hAnsi="宋体" w:cs="宋体"/>
          <w:szCs w:val="24"/>
          <w:highlight w:val="none"/>
        </w:rPr>
      </w:pPr>
      <w:r>
        <w:rPr>
          <w:rFonts w:hint="eastAsia" w:ascii="宋体" w:hAnsi="宋体" w:cs="宋体"/>
          <w:szCs w:val="24"/>
          <w:highlight w:val="none"/>
        </w:rPr>
        <w:t>6.3.3评标委员会在开始评标前，应了解评标专家的职责及守则，认真阅读附件1《评标委员会</w:t>
      </w:r>
      <w:r>
        <w:rPr>
          <w:rFonts w:hint="eastAsia" w:ascii="宋体" w:hAnsi="宋体" w:cs="宋体"/>
          <w:szCs w:val="21"/>
          <w:highlight w:val="none"/>
        </w:rPr>
        <w:t>成员</w:t>
      </w:r>
      <w:r>
        <w:rPr>
          <w:rFonts w:hint="eastAsia" w:ascii="宋体" w:hAnsi="宋体" w:cs="宋体"/>
          <w:szCs w:val="24"/>
          <w:highlight w:val="none"/>
        </w:rPr>
        <w:t>声明》的内容并签名，签字后方可进行评标。</w:t>
      </w:r>
    </w:p>
    <w:p w14:paraId="3F3FFDAF">
      <w:pPr>
        <w:spacing w:line="288" w:lineRule="auto"/>
        <w:rPr>
          <w:rFonts w:ascii="宋体" w:hAnsi="宋体" w:cs="宋体"/>
          <w:b/>
          <w:bCs/>
          <w:sz w:val="24"/>
          <w:szCs w:val="24"/>
          <w:highlight w:val="none"/>
        </w:rPr>
      </w:pPr>
      <w:bookmarkStart w:id="607" w:name="_Toc485211075"/>
      <w:bookmarkStart w:id="608" w:name="_Toc26489"/>
      <w:bookmarkStart w:id="609" w:name="_Toc436834761"/>
      <w:bookmarkStart w:id="610" w:name="_Toc300834988"/>
      <w:bookmarkStart w:id="611" w:name="_Toc247513990"/>
      <w:bookmarkStart w:id="612" w:name="_Toc11011"/>
      <w:bookmarkStart w:id="613" w:name="_Toc30169"/>
      <w:bookmarkStart w:id="614" w:name="_Toc1457"/>
      <w:bookmarkStart w:id="615" w:name="_Toc15814"/>
      <w:bookmarkStart w:id="616" w:name="_Toc247527591"/>
      <w:bookmarkStart w:id="617" w:name="_Toc144974534"/>
      <w:bookmarkStart w:id="618" w:name="_Toc152045566"/>
      <w:bookmarkStart w:id="619" w:name="_Toc399165410"/>
      <w:bookmarkStart w:id="620" w:name="_Toc27113"/>
      <w:bookmarkStart w:id="621" w:name="_Toc436834168"/>
      <w:bookmarkStart w:id="622" w:name="_Toc20501"/>
      <w:bookmarkStart w:id="623" w:name="_Toc3773"/>
      <w:bookmarkStart w:id="624" w:name="_Toc16775"/>
      <w:bookmarkStart w:id="625" w:name="_Toc152042342"/>
      <w:bookmarkStart w:id="626" w:name="_Toc9325"/>
      <w:bookmarkStart w:id="627" w:name="_Toc19417"/>
      <w:r>
        <w:rPr>
          <w:rFonts w:hint="eastAsia" w:ascii="宋体" w:hAnsi="宋体" w:cs="宋体"/>
          <w:b/>
          <w:bCs/>
          <w:sz w:val="24"/>
          <w:szCs w:val="24"/>
          <w:highlight w:val="none"/>
        </w:rPr>
        <w:t>7. 合同授予</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685B8804">
      <w:pPr>
        <w:spacing w:line="288" w:lineRule="auto"/>
        <w:rPr>
          <w:rFonts w:ascii="宋体" w:hAnsi="宋体" w:cs="宋体"/>
          <w:sz w:val="24"/>
          <w:szCs w:val="24"/>
          <w:highlight w:val="none"/>
        </w:rPr>
      </w:pPr>
      <w:bookmarkStart w:id="628" w:name="_Toc17516"/>
      <w:bookmarkStart w:id="629" w:name="_Toc4558"/>
      <w:bookmarkStart w:id="630" w:name="_Toc247513991"/>
      <w:bookmarkStart w:id="631" w:name="_Toc436834169"/>
      <w:bookmarkStart w:id="632" w:name="_Toc126"/>
      <w:bookmarkStart w:id="633" w:name="_Toc24540"/>
      <w:bookmarkStart w:id="634" w:name="_Toc152045567"/>
      <w:bookmarkStart w:id="635" w:name="_Toc399165411"/>
      <w:bookmarkStart w:id="636" w:name="_Toc26639"/>
      <w:bookmarkStart w:id="637" w:name="_Toc14648"/>
      <w:bookmarkStart w:id="638" w:name="_Toc485211076"/>
      <w:bookmarkStart w:id="639" w:name="_Toc3151"/>
      <w:bookmarkStart w:id="640" w:name="_Toc436834762"/>
      <w:bookmarkStart w:id="641" w:name="_Toc12346"/>
      <w:bookmarkStart w:id="642" w:name="_Toc23658"/>
      <w:bookmarkStart w:id="643" w:name="_Toc32320"/>
      <w:bookmarkStart w:id="644" w:name="_Toc13774"/>
      <w:bookmarkStart w:id="645" w:name="_Toc247527592"/>
      <w:bookmarkStart w:id="646" w:name="_Toc152042343"/>
      <w:bookmarkStart w:id="647" w:name="_Toc144974535"/>
      <w:bookmarkStart w:id="648" w:name="_Toc300834989"/>
      <w:r>
        <w:rPr>
          <w:rFonts w:hint="eastAsia" w:ascii="宋体" w:hAnsi="宋体" w:cs="宋体"/>
          <w:sz w:val="24"/>
          <w:szCs w:val="24"/>
          <w:highlight w:val="none"/>
        </w:rPr>
        <w:t>7.1 定标方式</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4AD639F0">
      <w:pPr>
        <w:spacing w:line="288" w:lineRule="auto"/>
        <w:ind w:firstLine="420" w:firstLineChars="200"/>
        <w:rPr>
          <w:rFonts w:ascii="宋体" w:hAnsi="宋体" w:cs="宋体"/>
          <w:szCs w:val="24"/>
          <w:highlight w:val="none"/>
        </w:rPr>
      </w:pPr>
      <w:bookmarkStart w:id="649" w:name="_Toc30794"/>
      <w:bookmarkStart w:id="650" w:name="_Toc1089"/>
      <w:bookmarkStart w:id="651" w:name="_Toc436834170"/>
      <w:bookmarkStart w:id="652" w:name="_Toc1391"/>
      <w:bookmarkStart w:id="653" w:name="_Toc11008"/>
      <w:bookmarkStart w:id="654" w:name="_Toc20879"/>
      <w:bookmarkStart w:id="655" w:name="_Toc7129"/>
      <w:bookmarkStart w:id="656" w:name="_Toc8769"/>
      <w:bookmarkStart w:id="657" w:name="_Toc8456"/>
      <w:bookmarkStart w:id="658" w:name="_Toc436834763"/>
      <w:bookmarkStart w:id="659" w:name="_Toc23065"/>
      <w:bookmarkStart w:id="660" w:name="_Toc455"/>
      <w:bookmarkStart w:id="661" w:name="_Toc300834990"/>
      <w:bookmarkStart w:id="662" w:name="_Toc399165412"/>
      <w:bookmarkStart w:id="663" w:name="_Toc485211077"/>
      <w:r>
        <w:rPr>
          <w:rFonts w:hint="eastAsia" w:ascii="宋体" w:hAnsi="宋体" w:cs="宋体"/>
          <w:szCs w:val="24"/>
          <w:highlight w:val="none"/>
        </w:rPr>
        <w:t>7.1.1  除投标人须知前附表规定评标委员会直接确定中标人外，招标人依据评标委员会推荐的中标候选人确定中标人，评标委员会推荐中标候选人的人数见投标人须知前附表。</w:t>
      </w:r>
    </w:p>
    <w:p w14:paraId="0A0B4EC5">
      <w:pPr>
        <w:spacing w:line="288" w:lineRule="auto"/>
        <w:ind w:firstLine="420" w:firstLineChars="200"/>
        <w:rPr>
          <w:rFonts w:ascii="宋体" w:hAnsi="宋体" w:cs="宋体"/>
          <w:szCs w:val="24"/>
          <w:highlight w:val="none"/>
        </w:rPr>
      </w:pPr>
      <w:r>
        <w:rPr>
          <w:rFonts w:hint="eastAsia" w:ascii="宋体" w:hAnsi="宋体" w:cs="宋体"/>
          <w:szCs w:val="24"/>
          <w:highlight w:val="none"/>
        </w:rPr>
        <w:t>7.1.2 依法必须进行公开招标的项目，招标人应当确定排名第一的中标候选人为中标人。</w:t>
      </w:r>
    </w:p>
    <w:p w14:paraId="6D227D4E">
      <w:pPr>
        <w:spacing w:line="288" w:lineRule="auto"/>
        <w:ind w:firstLine="420" w:firstLineChars="200"/>
        <w:rPr>
          <w:rFonts w:ascii="宋体" w:hAnsi="宋体" w:cs="宋体"/>
          <w:szCs w:val="24"/>
          <w:highlight w:val="none"/>
        </w:rPr>
      </w:pPr>
      <w:r>
        <w:rPr>
          <w:rFonts w:hint="eastAsia" w:ascii="宋体" w:hAnsi="宋体" w:cs="宋体"/>
          <w:szCs w:val="24"/>
          <w:highlight w:val="none"/>
        </w:rPr>
        <w:t>7.1.3 排名第一的中标候选人放弃中标、因不可抗力不能履行合同、不按照招标文件要求提交履约保证金，或经核查发现委派的项目负责人已在其他在建项目中担任任何职务的，或者被查实存在影响中标结果的违法行为等情形，不符合中标条件的，招标人可以按照评标委员会评出的中标候选人顺序依次上升替补确定中标人，以此类推，也可以重新招标。</w:t>
      </w:r>
    </w:p>
    <w:p w14:paraId="017AFA0B">
      <w:pPr>
        <w:spacing w:line="288" w:lineRule="auto"/>
        <w:rPr>
          <w:rFonts w:ascii="宋体" w:hAnsi="宋体" w:cs="宋体"/>
          <w:sz w:val="24"/>
          <w:szCs w:val="24"/>
          <w:highlight w:val="none"/>
        </w:rPr>
      </w:pPr>
      <w:bookmarkStart w:id="664" w:name="_Toc11162"/>
      <w:r>
        <w:rPr>
          <w:rFonts w:hint="eastAsia" w:ascii="宋体" w:hAnsi="宋体" w:cs="宋体"/>
          <w:sz w:val="24"/>
          <w:szCs w:val="24"/>
          <w:highlight w:val="none"/>
        </w:rPr>
        <w:t xml:space="preserve">7.2 </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Pr>
          <w:rFonts w:hint="eastAsia" w:ascii="宋体" w:hAnsi="宋体" w:cs="宋体"/>
          <w:sz w:val="24"/>
          <w:szCs w:val="24"/>
          <w:highlight w:val="none"/>
        </w:rPr>
        <w:t>中标候选人公示</w:t>
      </w:r>
      <w:bookmarkEnd w:id="664"/>
    </w:p>
    <w:p w14:paraId="3D7D5F94">
      <w:pPr>
        <w:spacing w:line="288" w:lineRule="auto"/>
        <w:ind w:firstLine="420" w:firstLineChars="200"/>
        <w:rPr>
          <w:rFonts w:ascii="宋体" w:hAnsi="宋体" w:cs="宋体"/>
          <w:szCs w:val="24"/>
          <w:highlight w:val="none"/>
        </w:rPr>
      </w:pPr>
      <w:bookmarkStart w:id="665" w:name="_Toc485211078"/>
      <w:bookmarkStart w:id="666" w:name="_Toc144974536"/>
      <w:bookmarkStart w:id="667" w:name="_Toc27933"/>
      <w:bookmarkStart w:id="668" w:name="_Toc13727"/>
      <w:bookmarkStart w:id="669" w:name="_Toc399165413"/>
      <w:bookmarkStart w:id="670" w:name="_Toc152045568"/>
      <w:bookmarkStart w:id="671" w:name="_Toc15766"/>
      <w:bookmarkStart w:id="672" w:name="_Toc436834764"/>
      <w:bookmarkStart w:id="673" w:name="_Toc19952"/>
      <w:bookmarkStart w:id="674" w:name="_Toc247513992"/>
      <w:bookmarkStart w:id="675" w:name="_Toc300834991"/>
      <w:bookmarkStart w:id="676" w:name="_Toc28986"/>
      <w:bookmarkStart w:id="677" w:name="_Toc152042344"/>
      <w:bookmarkStart w:id="678" w:name="_Toc247527593"/>
      <w:bookmarkStart w:id="679" w:name="_Toc5132"/>
      <w:bookmarkStart w:id="680" w:name="_Toc8002"/>
      <w:bookmarkStart w:id="681" w:name="_Toc17946"/>
      <w:bookmarkStart w:id="682" w:name="_Toc31317"/>
      <w:bookmarkStart w:id="683" w:name="_Toc3310"/>
      <w:bookmarkStart w:id="684" w:name="_Toc436834171"/>
      <w:r>
        <w:rPr>
          <w:rFonts w:hint="eastAsia" w:ascii="宋体" w:hAnsi="宋体" w:cs="宋体"/>
          <w:szCs w:val="24"/>
          <w:highlight w:val="none"/>
        </w:rPr>
        <w:t>7.2.1招标人在投标人须知前附表规定的媒介公示合格的中标候选人，合格的中标候选人不排序。公示时间为三天，公示期的最后1天应当为工作日，否则将公示期的最后1天顺延至下一个工作日。</w:t>
      </w:r>
      <w:r>
        <w:rPr>
          <w:rFonts w:hint="eastAsia" w:ascii="宋体" w:hAnsi="宋体" w:cs="宋体"/>
          <w:szCs w:val="24"/>
          <w:highlight w:val="none"/>
          <w:u w:val="single"/>
        </w:rPr>
        <w:t>投标人或其他利害关系人对评标结果有异议的，应当在中标候选人公示期间提出，可以通过线下或线上的形式提出异议。线上提交的，应通过广州交易集团有限公司（广州公共资源交易中心）交易平台进行，招标人也应通过广州交易集团有限公司（广州公共资源交易中心）交易平台答复线上提交的异议。作出答复前，应当暂停招标投标活动。</w:t>
      </w:r>
    </w:p>
    <w:p w14:paraId="5D0F3312">
      <w:pPr>
        <w:spacing w:line="288" w:lineRule="auto"/>
        <w:ind w:firstLine="420" w:firstLineChars="200"/>
        <w:rPr>
          <w:rFonts w:ascii="宋体" w:hAnsi="宋体" w:cs="宋体"/>
          <w:szCs w:val="24"/>
          <w:highlight w:val="none"/>
        </w:rPr>
      </w:pPr>
      <w:r>
        <w:rPr>
          <w:rFonts w:hint="eastAsia" w:ascii="宋体" w:hAnsi="宋体" w:cs="宋体"/>
          <w:szCs w:val="24"/>
          <w:highlight w:val="none"/>
        </w:rPr>
        <w:t>7.2.2</w:t>
      </w:r>
      <w:r>
        <w:rPr>
          <w:rFonts w:hint="eastAsia" w:ascii="宋体" w:hAnsi="宋体" w:cs="宋体"/>
          <w:szCs w:val="24"/>
          <w:highlight w:val="none"/>
          <w:u w:val="single"/>
        </w:rPr>
        <w:t>在产生中标候选人后，招标人将中标候选人的投标文件商务部分的电子版（报价清单、施工方案等涉及商业秘密的内容除外）在相关网站公开。</w:t>
      </w:r>
    </w:p>
    <w:p w14:paraId="0A1D5BC9">
      <w:pPr>
        <w:spacing w:line="288" w:lineRule="auto"/>
        <w:rPr>
          <w:rFonts w:ascii="宋体" w:hAnsi="宋体" w:cs="宋体"/>
          <w:sz w:val="24"/>
          <w:szCs w:val="24"/>
          <w:highlight w:val="none"/>
        </w:rPr>
      </w:pPr>
      <w:bookmarkStart w:id="685" w:name="_Toc31205"/>
      <w:r>
        <w:rPr>
          <w:rFonts w:hint="eastAsia" w:ascii="宋体" w:hAnsi="宋体" w:cs="宋体"/>
          <w:sz w:val="24"/>
          <w:szCs w:val="24"/>
          <w:highlight w:val="none"/>
        </w:rPr>
        <w:t>7.3 中标通知</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7880EF00">
      <w:pPr>
        <w:spacing w:line="288" w:lineRule="auto"/>
        <w:ind w:firstLine="420" w:firstLineChars="200"/>
        <w:rPr>
          <w:rFonts w:ascii="宋体" w:hAnsi="宋体" w:cs="宋体"/>
          <w:szCs w:val="24"/>
          <w:highlight w:val="none"/>
        </w:rPr>
      </w:pPr>
      <w:r>
        <w:rPr>
          <w:rFonts w:hint="eastAsia" w:ascii="宋体" w:hAnsi="宋体" w:cs="宋体"/>
          <w:szCs w:val="24"/>
          <w:highlight w:val="none"/>
        </w:rPr>
        <w:t>7.3.1在本章第3.3款规定的投标有效期内，招标人向中标人发出中标通知书，中标通知书发出前须经广州交易集团有限公司（广州公共资源交易中心）盖章确认，同时将中标结果通知未中标的投标人。中标通知书按本章附表格式填写。</w:t>
      </w:r>
    </w:p>
    <w:p w14:paraId="1A9A693B">
      <w:pPr>
        <w:spacing w:line="288" w:lineRule="auto"/>
        <w:ind w:firstLine="420" w:firstLineChars="200"/>
        <w:rPr>
          <w:rFonts w:ascii="宋体" w:hAnsi="宋体" w:cs="宋体"/>
          <w:szCs w:val="24"/>
          <w:highlight w:val="none"/>
        </w:rPr>
      </w:pPr>
      <w:r>
        <w:rPr>
          <w:rFonts w:hint="eastAsia" w:ascii="宋体" w:hAnsi="宋体" w:cs="宋体"/>
          <w:szCs w:val="24"/>
          <w:highlight w:val="none"/>
        </w:rPr>
        <w:t>7.3.2招标人应当自确定中标人后，向招投标监管机构提交招标投标情况的书面报告；经招投标监管机构备案后，方可发出中标通知书。中标通知书由招标人颁发，并经广州交易集团有限公司（广州公共资源交易中心）确认。</w:t>
      </w:r>
    </w:p>
    <w:p w14:paraId="3092FA73">
      <w:pPr>
        <w:spacing w:line="288" w:lineRule="auto"/>
        <w:rPr>
          <w:rFonts w:ascii="宋体" w:hAnsi="宋体" w:cs="宋体"/>
          <w:sz w:val="24"/>
          <w:szCs w:val="24"/>
          <w:highlight w:val="none"/>
        </w:rPr>
      </w:pPr>
      <w:bookmarkStart w:id="686" w:name="_Toc15332"/>
      <w:bookmarkStart w:id="687" w:name="_Toc247513993"/>
      <w:bookmarkStart w:id="688" w:name="_Toc16658"/>
      <w:bookmarkStart w:id="689" w:name="_Toc247527594"/>
      <w:bookmarkStart w:id="690" w:name="_Toc436834765"/>
      <w:bookmarkStart w:id="691" w:name="_Toc28701"/>
      <w:bookmarkStart w:id="692" w:name="_Toc11792"/>
      <w:bookmarkStart w:id="693" w:name="_Toc399165414"/>
      <w:bookmarkStart w:id="694" w:name="_Toc20415"/>
      <w:bookmarkStart w:id="695" w:name="_Toc152042345"/>
      <w:bookmarkStart w:id="696" w:name="_Toc152045569"/>
      <w:bookmarkStart w:id="697" w:name="_Toc9996"/>
      <w:bookmarkStart w:id="698" w:name="_Toc29469"/>
      <w:bookmarkStart w:id="699" w:name="_Toc436834172"/>
      <w:bookmarkStart w:id="700" w:name="_Toc144974537"/>
      <w:bookmarkStart w:id="701" w:name="_Toc28148"/>
      <w:bookmarkStart w:id="702" w:name="_Toc7052"/>
      <w:bookmarkStart w:id="703" w:name="_Toc300834992"/>
      <w:bookmarkStart w:id="704" w:name="_Toc485211079"/>
      <w:bookmarkStart w:id="705" w:name="_Toc14040"/>
      <w:bookmarkStart w:id="706" w:name="_Toc32175"/>
      <w:r>
        <w:rPr>
          <w:rFonts w:hint="eastAsia" w:ascii="宋体" w:hAnsi="宋体" w:cs="宋体"/>
          <w:sz w:val="24"/>
          <w:szCs w:val="24"/>
          <w:highlight w:val="none"/>
        </w:rPr>
        <w:t>7.4 履约担保</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7FC85B04">
      <w:pPr>
        <w:spacing w:line="288" w:lineRule="auto"/>
        <w:ind w:firstLine="420" w:firstLineChars="200"/>
        <w:rPr>
          <w:rFonts w:ascii="宋体" w:hAnsi="宋体" w:cs="宋体"/>
          <w:szCs w:val="21"/>
          <w:highlight w:val="none"/>
        </w:rPr>
      </w:pPr>
      <w:bookmarkStart w:id="707" w:name="_Toc26297"/>
      <w:bookmarkStart w:id="708" w:name="_Toc16750"/>
      <w:bookmarkStart w:id="709" w:name="_Toc436834766"/>
      <w:bookmarkStart w:id="710" w:name="_Toc485211080"/>
      <w:bookmarkStart w:id="711" w:name="_Toc30893"/>
      <w:bookmarkStart w:id="712" w:name="_Toc300834993"/>
      <w:bookmarkStart w:id="713" w:name="_Toc247513994"/>
      <w:bookmarkStart w:id="714" w:name="_Toc1426"/>
      <w:bookmarkStart w:id="715" w:name="_Toc152042346"/>
      <w:bookmarkStart w:id="716" w:name="_Toc399165415"/>
      <w:bookmarkStart w:id="717" w:name="_Toc144974538"/>
      <w:bookmarkStart w:id="718" w:name="_Toc10427"/>
      <w:bookmarkStart w:id="719" w:name="_Toc152045570"/>
      <w:bookmarkStart w:id="720" w:name="_Toc29811"/>
      <w:bookmarkStart w:id="721" w:name="_Toc24472"/>
      <w:bookmarkStart w:id="722" w:name="_Toc28474"/>
      <w:bookmarkStart w:id="723" w:name="_Toc247527595"/>
      <w:bookmarkStart w:id="724" w:name="_Toc5465"/>
      <w:bookmarkStart w:id="725" w:name="_Toc436834173"/>
      <w:bookmarkStart w:id="726" w:name="_Toc13654"/>
      <w:r>
        <w:rPr>
          <w:rFonts w:hint="eastAsia" w:ascii="宋体" w:hAnsi="宋体" w:cs="宋体"/>
          <w:szCs w:val="21"/>
          <w:highlight w:val="none"/>
        </w:rPr>
        <w:t>7.4.1 在签订合同前，中标人应按投标人须知前附表规定的担保形式向招标人提交履约担保。除投标人须知前附表另有规定外，履约担保金额为中标价款的10%。</w:t>
      </w:r>
    </w:p>
    <w:p w14:paraId="15DC835F">
      <w:pPr>
        <w:spacing w:line="288" w:lineRule="auto"/>
        <w:ind w:firstLine="420" w:firstLineChars="200"/>
        <w:rPr>
          <w:rFonts w:ascii="宋体" w:hAnsi="宋体" w:cs="宋体"/>
          <w:szCs w:val="21"/>
          <w:highlight w:val="none"/>
        </w:rPr>
      </w:pPr>
      <w:r>
        <w:rPr>
          <w:rFonts w:hint="eastAsia" w:ascii="宋体" w:hAnsi="宋体" w:cs="宋体"/>
          <w:szCs w:val="21"/>
          <w:highlight w:val="none"/>
        </w:rPr>
        <w:t>7.4.2 中标人不能按本章第7.4.1项要求提交履约担保的，视为放弃中标，其投标担保不予退还，给招标人造成的损失超过投标担保数额的，中标人还应当对超过部分予以赔偿。</w:t>
      </w:r>
    </w:p>
    <w:p w14:paraId="17AF2EED">
      <w:pPr>
        <w:spacing w:line="288" w:lineRule="auto"/>
        <w:rPr>
          <w:rFonts w:ascii="宋体" w:hAnsi="宋体" w:cs="宋体"/>
          <w:sz w:val="24"/>
          <w:szCs w:val="24"/>
          <w:highlight w:val="none"/>
        </w:rPr>
      </w:pPr>
      <w:bookmarkStart w:id="727" w:name="_Toc21604"/>
      <w:r>
        <w:rPr>
          <w:rFonts w:hint="eastAsia" w:ascii="宋体" w:hAnsi="宋体" w:cs="宋体"/>
          <w:sz w:val="24"/>
          <w:szCs w:val="24"/>
          <w:highlight w:val="none"/>
        </w:rPr>
        <w:t>7.5 签订合同</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2C38AA20">
      <w:pPr>
        <w:spacing w:line="288" w:lineRule="auto"/>
        <w:ind w:firstLine="420" w:firstLineChars="200"/>
        <w:rPr>
          <w:rFonts w:ascii="宋体" w:hAnsi="宋体" w:cs="宋体"/>
          <w:szCs w:val="24"/>
          <w:highlight w:val="none"/>
        </w:rPr>
      </w:pPr>
      <w:r>
        <w:rPr>
          <w:rFonts w:hint="eastAsia" w:ascii="宋体" w:hAnsi="宋体" w:cs="宋体"/>
          <w:szCs w:val="24"/>
          <w:highlight w:val="none"/>
        </w:rPr>
        <w:t xml:space="preserve">7.5.1 </w:t>
      </w:r>
      <w:r>
        <w:rPr>
          <w:rFonts w:hint="eastAsia" w:ascii="宋体" w:hAnsi="宋体" w:cs="宋体"/>
          <w:szCs w:val="24"/>
          <w:highlight w:val="none"/>
          <w:u w:val="single"/>
        </w:rPr>
        <w:t>招标人和中标人应当自中标通知书发出之日起30天内，根据招标文件和中标人的投标文件订立书面合同。中标人无正当理由拒签合同的，招标人取消其中标资格；给招标人造成损失的，中标人还应当予以赔偿。</w:t>
      </w:r>
    </w:p>
    <w:p w14:paraId="5FA43829">
      <w:pPr>
        <w:spacing w:line="288" w:lineRule="auto"/>
        <w:ind w:firstLine="420" w:firstLineChars="200"/>
        <w:rPr>
          <w:rFonts w:ascii="宋体" w:hAnsi="宋体" w:cs="宋体"/>
          <w:szCs w:val="24"/>
          <w:highlight w:val="none"/>
        </w:rPr>
      </w:pPr>
      <w:r>
        <w:rPr>
          <w:rFonts w:hint="eastAsia" w:ascii="宋体" w:hAnsi="宋体" w:cs="宋体"/>
          <w:szCs w:val="24"/>
          <w:highlight w:val="none"/>
        </w:rPr>
        <w:t xml:space="preserve">7.5.2 </w:t>
      </w:r>
      <w:r>
        <w:rPr>
          <w:rFonts w:hint="eastAsia" w:ascii="宋体" w:hAnsi="宋体" w:cs="宋体"/>
          <w:szCs w:val="24"/>
          <w:highlight w:val="none"/>
          <w:u w:val="single"/>
        </w:rPr>
        <w:t>发出中标通知书后，招标人无正当理由拒签合同的，给中标人造成损失的，还应当赔偿损失。</w:t>
      </w:r>
    </w:p>
    <w:p w14:paraId="0FF70904">
      <w:pPr>
        <w:spacing w:line="288" w:lineRule="auto"/>
        <w:rPr>
          <w:rFonts w:ascii="宋体" w:hAnsi="宋体" w:cs="宋体"/>
          <w:b/>
          <w:bCs/>
          <w:sz w:val="24"/>
          <w:szCs w:val="24"/>
          <w:highlight w:val="none"/>
        </w:rPr>
      </w:pPr>
      <w:bookmarkStart w:id="728" w:name="_Toc152045571"/>
      <w:bookmarkStart w:id="729" w:name="_Toc144974539"/>
      <w:bookmarkStart w:id="730" w:name="_Toc247527596"/>
      <w:bookmarkStart w:id="731" w:name="_Toc247513995"/>
      <w:bookmarkStart w:id="732" w:name="_Toc152042347"/>
      <w:bookmarkStart w:id="733" w:name="_Toc23073"/>
      <w:bookmarkStart w:id="734" w:name="_Toc30528"/>
      <w:bookmarkStart w:id="735" w:name="_Toc436834767"/>
      <w:bookmarkStart w:id="736" w:name="_Toc25566"/>
      <w:bookmarkStart w:id="737" w:name="_Toc485211081"/>
      <w:bookmarkStart w:id="738" w:name="_Toc28927"/>
      <w:bookmarkStart w:id="739" w:name="_Toc399165416"/>
      <w:bookmarkStart w:id="740" w:name="_Toc6337"/>
      <w:bookmarkStart w:id="741" w:name="_Toc29250"/>
      <w:bookmarkStart w:id="742" w:name="_Toc5708"/>
      <w:bookmarkStart w:id="743" w:name="_Toc11110"/>
      <w:bookmarkStart w:id="744" w:name="_Toc18789"/>
      <w:bookmarkStart w:id="745" w:name="_Toc31469"/>
      <w:bookmarkStart w:id="746" w:name="_Toc436834174"/>
      <w:bookmarkStart w:id="747" w:name="_Toc7834"/>
      <w:bookmarkStart w:id="748" w:name="_Toc300834994"/>
      <w:r>
        <w:rPr>
          <w:rFonts w:hint="eastAsia" w:ascii="宋体" w:hAnsi="宋体" w:cs="宋体"/>
          <w:b/>
          <w:bCs/>
          <w:sz w:val="24"/>
          <w:szCs w:val="24"/>
          <w:highlight w:val="none"/>
        </w:rPr>
        <w:t>8.</w:t>
      </w:r>
      <w:bookmarkEnd w:id="728"/>
      <w:bookmarkEnd w:id="729"/>
      <w:bookmarkEnd w:id="730"/>
      <w:bookmarkEnd w:id="731"/>
      <w:bookmarkEnd w:id="732"/>
      <w:bookmarkStart w:id="749" w:name="_Toc247513998"/>
      <w:bookmarkStart w:id="750" w:name="_Toc152045574"/>
      <w:bookmarkStart w:id="751" w:name="_Toc247527599"/>
      <w:bookmarkStart w:id="752" w:name="_Toc144974542"/>
      <w:bookmarkStart w:id="753" w:name="_Toc152042350"/>
      <w:r>
        <w:rPr>
          <w:rFonts w:hint="eastAsia" w:ascii="宋体" w:hAnsi="宋体" w:cs="宋体"/>
          <w:b/>
          <w:bCs/>
          <w:sz w:val="24"/>
          <w:szCs w:val="24"/>
          <w:highlight w:val="none"/>
        </w:rPr>
        <w:t xml:space="preserve"> 纪律和监督</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78861D08">
      <w:pPr>
        <w:spacing w:line="288" w:lineRule="auto"/>
        <w:rPr>
          <w:rFonts w:ascii="宋体" w:hAnsi="宋体" w:cs="宋体"/>
          <w:sz w:val="24"/>
          <w:szCs w:val="24"/>
          <w:highlight w:val="none"/>
        </w:rPr>
      </w:pPr>
      <w:bookmarkStart w:id="754" w:name="_Toc5172"/>
      <w:bookmarkStart w:id="755" w:name="_Toc25574"/>
      <w:bookmarkStart w:id="756" w:name="_Toc26815"/>
      <w:bookmarkStart w:id="757" w:name="_Toc25919"/>
      <w:bookmarkStart w:id="758" w:name="_Toc399165417"/>
      <w:bookmarkStart w:id="759" w:name="_Toc8648"/>
      <w:bookmarkStart w:id="760" w:name="_Toc24913"/>
      <w:bookmarkStart w:id="761" w:name="_Toc1452"/>
      <w:bookmarkStart w:id="762" w:name="_Toc300834995"/>
      <w:bookmarkStart w:id="763" w:name="_Toc436834768"/>
      <w:bookmarkStart w:id="764" w:name="_Toc1360"/>
      <w:bookmarkStart w:id="765" w:name="_Toc21684"/>
      <w:bookmarkStart w:id="766" w:name="_Toc152042351"/>
      <w:bookmarkStart w:id="767" w:name="_Toc247527600"/>
      <w:bookmarkStart w:id="768" w:name="_Toc3121"/>
      <w:bookmarkStart w:id="769" w:name="_Toc436834175"/>
      <w:bookmarkStart w:id="770" w:name="_Toc144974543"/>
      <w:bookmarkStart w:id="771" w:name="_Toc152045575"/>
      <w:bookmarkStart w:id="772" w:name="_Toc23464"/>
      <w:bookmarkStart w:id="773" w:name="_Toc485211082"/>
      <w:bookmarkStart w:id="774" w:name="_Toc247513999"/>
      <w:r>
        <w:rPr>
          <w:rFonts w:hint="eastAsia" w:ascii="宋体" w:hAnsi="宋体" w:cs="宋体"/>
          <w:sz w:val="24"/>
          <w:szCs w:val="24"/>
          <w:highlight w:val="none"/>
        </w:rPr>
        <w:t>8.1 对招标人的纪律要求</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55E21414">
      <w:pPr>
        <w:spacing w:line="400" w:lineRule="exact"/>
        <w:ind w:firstLine="420" w:firstLineChars="200"/>
        <w:rPr>
          <w:rFonts w:ascii="宋体" w:hAnsi="宋体" w:cs="宋体"/>
          <w:szCs w:val="24"/>
          <w:highlight w:val="none"/>
        </w:rPr>
      </w:pPr>
      <w:r>
        <w:rPr>
          <w:rFonts w:hint="eastAsia" w:ascii="宋体" w:hAnsi="宋体" w:cs="宋体"/>
          <w:szCs w:val="24"/>
          <w:highlight w:val="none"/>
        </w:rPr>
        <w:t>招标人不得泄露招标投标活动中应当保密的情况和资料，不得与投标人串通损害国家利益、社会公共利益或者他人合法权益。</w:t>
      </w:r>
    </w:p>
    <w:p w14:paraId="2C203D66">
      <w:pPr>
        <w:spacing w:line="288" w:lineRule="auto"/>
        <w:rPr>
          <w:rFonts w:ascii="宋体" w:hAnsi="宋体" w:cs="宋体"/>
          <w:sz w:val="24"/>
          <w:szCs w:val="24"/>
          <w:highlight w:val="none"/>
        </w:rPr>
      </w:pPr>
      <w:bookmarkStart w:id="775" w:name="_Toc144974544"/>
      <w:bookmarkStart w:id="776" w:name="_Toc399165418"/>
      <w:bookmarkStart w:id="777" w:name="_Toc247514000"/>
      <w:bookmarkStart w:id="778" w:name="_Toc247527601"/>
      <w:bookmarkStart w:id="779" w:name="_Toc7734"/>
      <w:bookmarkStart w:id="780" w:name="_Toc25854"/>
      <w:bookmarkStart w:id="781" w:name="_Toc436834176"/>
      <w:bookmarkStart w:id="782" w:name="_Toc24737"/>
      <w:bookmarkStart w:id="783" w:name="_Toc21966"/>
      <w:bookmarkStart w:id="784" w:name="_Toc28773"/>
      <w:bookmarkStart w:id="785" w:name="_Toc485211083"/>
      <w:bookmarkStart w:id="786" w:name="_Toc152042352"/>
      <w:bookmarkStart w:id="787" w:name="_Toc3971"/>
      <w:bookmarkStart w:id="788" w:name="_Toc152045576"/>
      <w:bookmarkStart w:id="789" w:name="_Toc300834996"/>
      <w:bookmarkStart w:id="790" w:name="_Toc10085"/>
      <w:bookmarkStart w:id="791" w:name="_Toc436834769"/>
      <w:bookmarkStart w:id="792" w:name="_Toc11497"/>
      <w:bookmarkStart w:id="793" w:name="_Toc3689"/>
      <w:bookmarkStart w:id="794" w:name="_Toc7793"/>
      <w:bookmarkStart w:id="795" w:name="_Toc9604"/>
      <w:r>
        <w:rPr>
          <w:rFonts w:hint="eastAsia" w:ascii="宋体" w:hAnsi="宋体" w:cs="宋体"/>
          <w:sz w:val="24"/>
          <w:szCs w:val="24"/>
          <w:highlight w:val="none"/>
        </w:rPr>
        <w:t>8.2 对投标人的纪律要求</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35572DC8">
      <w:pPr>
        <w:spacing w:line="400" w:lineRule="exact"/>
        <w:ind w:firstLine="420" w:firstLineChars="200"/>
        <w:rPr>
          <w:rFonts w:ascii="宋体" w:hAnsi="宋体" w:cs="宋体"/>
          <w:szCs w:val="24"/>
          <w:highlight w:val="none"/>
        </w:rPr>
      </w:pPr>
      <w:r>
        <w:rPr>
          <w:rFonts w:hint="eastAsia" w:ascii="宋体" w:hAnsi="宋体" w:cs="宋体"/>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F30E7A7">
      <w:pPr>
        <w:spacing w:line="288" w:lineRule="auto"/>
        <w:rPr>
          <w:rFonts w:ascii="宋体" w:hAnsi="宋体" w:cs="宋体"/>
          <w:sz w:val="24"/>
          <w:szCs w:val="24"/>
          <w:highlight w:val="none"/>
        </w:rPr>
      </w:pPr>
      <w:bookmarkStart w:id="796" w:name="_Toc436834177"/>
      <w:bookmarkStart w:id="797" w:name="_Toc12847"/>
      <w:bookmarkStart w:id="798" w:name="_Toc247527602"/>
      <w:bookmarkStart w:id="799" w:name="_Toc16030"/>
      <w:bookmarkStart w:id="800" w:name="_Toc13115"/>
      <w:bookmarkStart w:id="801" w:name="_Toc7942"/>
      <w:bookmarkStart w:id="802" w:name="_Toc20671"/>
      <w:bookmarkStart w:id="803" w:name="_Toc152042353"/>
      <w:bookmarkStart w:id="804" w:name="_Toc436834770"/>
      <w:bookmarkStart w:id="805" w:name="_Toc16502"/>
      <w:bookmarkStart w:id="806" w:name="_Toc485211084"/>
      <w:bookmarkStart w:id="807" w:name="_Toc152045577"/>
      <w:bookmarkStart w:id="808" w:name="_Toc14578"/>
      <w:bookmarkStart w:id="809" w:name="_Toc399165419"/>
      <w:bookmarkStart w:id="810" w:name="_Toc144974545"/>
      <w:bookmarkStart w:id="811" w:name="_Toc5574"/>
      <w:bookmarkStart w:id="812" w:name="_Toc247514001"/>
      <w:bookmarkStart w:id="813" w:name="_Toc9452"/>
      <w:bookmarkStart w:id="814" w:name="_Toc9436"/>
      <w:bookmarkStart w:id="815" w:name="_Toc300834997"/>
      <w:bookmarkStart w:id="816" w:name="_Toc18726"/>
      <w:r>
        <w:rPr>
          <w:rFonts w:hint="eastAsia" w:ascii="宋体" w:hAnsi="宋体" w:cs="宋体"/>
          <w:sz w:val="24"/>
          <w:szCs w:val="24"/>
          <w:highlight w:val="none"/>
        </w:rPr>
        <w:t>8.3 对评标委员会成员的纪律要求</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0DE1F12B">
      <w:pPr>
        <w:spacing w:line="400" w:lineRule="exact"/>
        <w:ind w:firstLine="420" w:firstLineChars="200"/>
        <w:rPr>
          <w:rFonts w:ascii="宋体" w:hAnsi="宋体" w:cs="宋体"/>
          <w:szCs w:val="24"/>
          <w:highlight w:val="none"/>
        </w:rPr>
      </w:pPr>
      <w:r>
        <w:rPr>
          <w:rFonts w:hint="eastAsia" w:ascii="宋体" w:hAnsi="宋体" w:cs="宋体"/>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C62191D">
      <w:pPr>
        <w:spacing w:line="288" w:lineRule="auto"/>
        <w:rPr>
          <w:rFonts w:ascii="宋体" w:hAnsi="宋体" w:cs="宋体"/>
          <w:sz w:val="24"/>
          <w:szCs w:val="24"/>
          <w:highlight w:val="none"/>
        </w:rPr>
      </w:pPr>
      <w:bookmarkStart w:id="817" w:name="_Toc247527603"/>
      <w:bookmarkStart w:id="818" w:name="_Toc28465"/>
      <w:bookmarkStart w:id="819" w:name="_Toc2073"/>
      <w:bookmarkStart w:id="820" w:name="_Toc247514002"/>
      <w:bookmarkStart w:id="821" w:name="_Toc13233"/>
      <w:bookmarkStart w:id="822" w:name="_Toc436834771"/>
      <w:bookmarkStart w:id="823" w:name="_Toc16055"/>
      <w:bookmarkStart w:id="824" w:name="_Toc23424"/>
      <w:bookmarkStart w:id="825" w:name="_Toc485211085"/>
      <w:bookmarkStart w:id="826" w:name="_Toc300834998"/>
      <w:bookmarkStart w:id="827" w:name="_Toc399165420"/>
      <w:bookmarkStart w:id="828" w:name="_Toc9582"/>
      <w:bookmarkStart w:id="829" w:name="_Toc15426"/>
      <w:bookmarkStart w:id="830" w:name="_Toc13534"/>
      <w:bookmarkStart w:id="831" w:name="_Toc24670"/>
      <w:bookmarkStart w:id="832" w:name="_Toc152042354"/>
      <w:bookmarkStart w:id="833" w:name="_Toc424"/>
      <w:bookmarkStart w:id="834" w:name="_Toc6372"/>
      <w:bookmarkStart w:id="835" w:name="_Toc436834178"/>
      <w:bookmarkStart w:id="836" w:name="_Toc152045578"/>
      <w:bookmarkStart w:id="837" w:name="_Toc144974546"/>
      <w:r>
        <w:rPr>
          <w:rFonts w:hint="eastAsia" w:ascii="宋体" w:hAnsi="宋体" w:cs="宋体"/>
          <w:sz w:val="24"/>
          <w:szCs w:val="24"/>
          <w:highlight w:val="none"/>
        </w:rPr>
        <w:t>8.4 对与评标活动有关的工作人员的纪律要求</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74F18D71">
      <w:pPr>
        <w:spacing w:line="400" w:lineRule="exact"/>
        <w:ind w:firstLine="420" w:firstLineChars="200"/>
        <w:rPr>
          <w:rFonts w:ascii="宋体" w:hAnsi="宋体" w:cs="宋体"/>
          <w:szCs w:val="24"/>
          <w:highlight w:val="none"/>
        </w:rPr>
      </w:pPr>
      <w:bookmarkStart w:id="838" w:name="_Toc152042355"/>
      <w:r>
        <w:rPr>
          <w:rFonts w:hint="eastAsia" w:ascii="宋体" w:hAnsi="宋体" w:cs="宋体"/>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838"/>
    </w:p>
    <w:p w14:paraId="125E7515">
      <w:pPr>
        <w:spacing w:line="288" w:lineRule="auto"/>
        <w:rPr>
          <w:rFonts w:ascii="宋体" w:hAnsi="宋体" w:cs="宋体"/>
          <w:sz w:val="24"/>
          <w:szCs w:val="24"/>
          <w:highlight w:val="none"/>
        </w:rPr>
      </w:pPr>
      <w:bookmarkStart w:id="839" w:name="_Toc21901"/>
      <w:bookmarkStart w:id="840" w:name="_Toc300834999"/>
      <w:bookmarkStart w:id="841" w:name="_Toc15882"/>
      <w:bookmarkStart w:id="842" w:name="_Toc436834179"/>
      <w:bookmarkStart w:id="843" w:name="_Toc152042356"/>
      <w:bookmarkStart w:id="844" w:name="_Toc8527"/>
      <w:bookmarkStart w:id="845" w:name="_Toc485211086"/>
      <w:bookmarkStart w:id="846" w:name="_Toc10059"/>
      <w:bookmarkStart w:id="847" w:name="_Toc247527604"/>
      <w:bookmarkStart w:id="848" w:name="_Toc247514003"/>
      <w:bookmarkStart w:id="849" w:name="_Toc399165421"/>
      <w:bookmarkStart w:id="850" w:name="_Toc21040"/>
      <w:bookmarkStart w:id="851" w:name="_Toc436834772"/>
      <w:bookmarkStart w:id="852" w:name="_Toc28353"/>
      <w:bookmarkStart w:id="853" w:name="_Toc27663"/>
      <w:bookmarkStart w:id="854" w:name="_Toc5305"/>
      <w:bookmarkStart w:id="855" w:name="_Toc738"/>
      <w:bookmarkStart w:id="856" w:name="_Toc2374"/>
      <w:bookmarkStart w:id="857" w:name="_Toc152045579"/>
      <w:bookmarkStart w:id="858" w:name="_Toc22999"/>
      <w:r>
        <w:rPr>
          <w:rFonts w:hint="eastAsia" w:ascii="宋体" w:hAnsi="宋体" w:cs="宋体"/>
          <w:sz w:val="24"/>
          <w:szCs w:val="24"/>
          <w:highlight w:val="none"/>
        </w:rPr>
        <w:t>8.5 投诉</w:t>
      </w:r>
      <w:bookmarkEnd w:id="837"/>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52B13A34">
      <w:pPr>
        <w:spacing w:line="400" w:lineRule="exact"/>
        <w:ind w:firstLine="420" w:firstLineChars="200"/>
        <w:rPr>
          <w:rFonts w:ascii="宋体" w:hAnsi="宋体" w:cs="宋体"/>
          <w:szCs w:val="24"/>
          <w:highlight w:val="none"/>
        </w:rPr>
      </w:pPr>
      <w:r>
        <w:rPr>
          <w:rFonts w:hint="eastAsia" w:ascii="宋体" w:hAnsi="宋体" w:cs="宋体"/>
          <w:szCs w:val="24"/>
          <w:highlight w:val="none"/>
        </w:rPr>
        <w:t>投标人和其他利害关系人认为本次招标活动违反法律、法规和规章规定的，有权向有关行政监督部门投诉。</w:t>
      </w:r>
    </w:p>
    <w:p w14:paraId="2EB99DAF">
      <w:pPr>
        <w:spacing w:line="288" w:lineRule="auto"/>
        <w:rPr>
          <w:rFonts w:ascii="宋体" w:hAnsi="宋体" w:cs="宋体"/>
          <w:b/>
          <w:bCs/>
          <w:sz w:val="24"/>
          <w:szCs w:val="24"/>
          <w:highlight w:val="none"/>
        </w:rPr>
      </w:pPr>
      <w:bookmarkStart w:id="859" w:name="_Toc19109"/>
      <w:bookmarkStart w:id="860" w:name="_Toc22539"/>
      <w:bookmarkStart w:id="861" w:name="_Toc5380"/>
      <w:bookmarkStart w:id="862" w:name="_Toc152042357"/>
      <w:bookmarkStart w:id="863" w:name="_Toc6670"/>
      <w:bookmarkStart w:id="864" w:name="_Toc152045580"/>
      <w:bookmarkStart w:id="865" w:name="_Toc11182"/>
      <w:bookmarkStart w:id="866" w:name="_Toc11995"/>
      <w:bookmarkStart w:id="867" w:name="_Toc18590"/>
      <w:bookmarkStart w:id="868" w:name="_Toc485211087"/>
      <w:bookmarkStart w:id="869" w:name="_Toc13569"/>
      <w:bookmarkStart w:id="870" w:name="_Toc22770"/>
      <w:bookmarkStart w:id="871" w:name="_Toc399165422"/>
      <w:bookmarkStart w:id="872" w:name="_Toc144974547"/>
      <w:bookmarkStart w:id="873" w:name="_Toc1548"/>
      <w:bookmarkStart w:id="874" w:name="_Toc247514004"/>
      <w:bookmarkStart w:id="875" w:name="_Toc436834773"/>
      <w:bookmarkStart w:id="876" w:name="_Toc436834180"/>
      <w:bookmarkStart w:id="877" w:name="_Toc300835000"/>
      <w:bookmarkStart w:id="878" w:name="_Toc247527605"/>
      <w:bookmarkStart w:id="879" w:name="_Toc9615"/>
      <w:r>
        <w:rPr>
          <w:rFonts w:hint="eastAsia" w:ascii="宋体" w:hAnsi="宋体" w:cs="宋体"/>
          <w:b/>
          <w:bCs/>
          <w:sz w:val="24"/>
          <w:szCs w:val="24"/>
          <w:highlight w:val="none"/>
        </w:rPr>
        <w:t>9. 需要补充的其他内容</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59824C15">
      <w:pPr>
        <w:spacing w:line="400" w:lineRule="exact"/>
        <w:ind w:firstLine="420" w:firstLineChars="200"/>
        <w:rPr>
          <w:rFonts w:ascii="宋体" w:hAnsi="宋体" w:cs="宋体"/>
          <w:szCs w:val="24"/>
          <w:highlight w:val="none"/>
        </w:rPr>
      </w:pPr>
      <w:r>
        <w:rPr>
          <w:rFonts w:hint="eastAsia" w:ascii="宋体" w:hAnsi="宋体" w:cs="宋体"/>
          <w:szCs w:val="24"/>
          <w:highlight w:val="none"/>
        </w:rPr>
        <w:t>需要补充的其他内容：见《投标人须知前附表》。</w:t>
      </w:r>
    </w:p>
    <w:p w14:paraId="169A4FE6">
      <w:pPr>
        <w:spacing w:line="288" w:lineRule="auto"/>
        <w:rPr>
          <w:rFonts w:ascii="宋体" w:hAnsi="宋体" w:cs="宋体"/>
          <w:b/>
          <w:bCs/>
          <w:sz w:val="24"/>
          <w:szCs w:val="24"/>
          <w:highlight w:val="none"/>
        </w:rPr>
      </w:pPr>
      <w:bookmarkStart w:id="880" w:name="_Toc485211088"/>
      <w:bookmarkStart w:id="881" w:name="_Toc10015"/>
      <w:bookmarkStart w:id="882" w:name="_Toc300835001"/>
      <w:bookmarkStart w:id="883" w:name="_Toc144"/>
      <w:bookmarkStart w:id="884" w:name="_Toc436834774"/>
      <w:bookmarkStart w:id="885" w:name="_Toc399165423"/>
      <w:bookmarkStart w:id="886" w:name="_Toc5960"/>
      <w:bookmarkStart w:id="887" w:name="_Toc15898"/>
      <w:bookmarkStart w:id="888" w:name="_Toc436834181"/>
      <w:bookmarkStart w:id="889" w:name="_Toc19525"/>
      <w:bookmarkStart w:id="890" w:name="_Toc18743"/>
      <w:bookmarkStart w:id="891" w:name="_Toc10898"/>
      <w:bookmarkStart w:id="892" w:name="_Toc21545"/>
      <w:bookmarkStart w:id="893" w:name="_Toc29306"/>
      <w:bookmarkStart w:id="894" w:name="_Toc29749"/>
      <w:bookmarkStart w:id="895" w:name="_Toc15755"/>
      <w:r>
        <w:rPr>
          <w:rFonts w:hint="eastAsia" w:ascii="宋体" w:hAnsi="宋体" w:cs="宋体"/>
          <w:b/>
          <w:bCs/>
          <w:sz w:val="24"/>
          <w:szCs w:val="24"/>
          <w:highlight w:val="none"/>
        </w:rPr>
        <w:t>10. 电子招标投标</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52E7A68C">
      <w:pPr>
        <w:spacing w:line="400" w:lineRule="exact"/>
        <w:ind w:firstLine="420" w:firstLineChars="200"/>
        <w:rPr>
          <w:rFonts w:ascii="宋体" w:hAnsi="宋体" w:cs="宋体"/>
          <w:szCs w:val="24"/>
          <w:highlight w:val="none"/>
          <w:u w:val="single"/>
        </w:rPr>
      </w:pPr>
      <w:r>
        <w:rPr>
          <w:rFonts w:hint="eastAsia" w:ascii="宋体" w:hAnsi="宋体" w:cs="宋体"/>
          <w:szCs w:val="24"/>
          <w:highlight w:val="none"/>
          <w:u w:val="single"/>
        </w:rPr>
        <w:t>本项目采用电子招标投标。投标人需按招标文件要求提交电子投标文件。</w:t>
      </w:r>
    </w:p>
    <w:p w14:paraId="1C01B7E1">
      <w:pPr>
        <w:spacing w:line="400" w:lineRule="exact"/>
        <w:ind w:firstLine="420" w:firstLineChars="200"/>
        <w:rPr>
          <w:rFonts w:ascii="宋体" w:hAnsi="宋体" w:cs="宋体"/>
          <w:szCs w:val="24"/>
          <w:highlight w:val="none"/>
        </w:rPr>
      </w:pPr>
    </w:p>
    <w:p w14:paraId="5D502929">
      <w:pPr>
        <w:keepNext/>
        <w:keepLines/>
        <w:spacing w:before="260" w:after="260" w:line="415" w:lineRule="auto"/>
        <w:outlineLvl w:val="1"/>
        <w:rPr>
          <w:rFonts w:ascii="宋体" w:hAnsi="宋体" w:cs="宋体"/>
          <w:szCs w:val="24"/>
          <w:highlight w:val="none"/>
        </w:rPr>
      </w:pPr>
    </w:p>
    <w:p w14:paraId="379C3ABC">
      <w:pPr>
        <w:keepNext/>
        <w:keepLines/>
        <w:spacing w:before="260" w:after="260" w:line="415" w:lineRule="auto"/>
        <w:outlineLvl w:val="1"/>
        <w:rPr>
          <w:rFonts w:ascii="宋体" w:hAnsi="宋体" w:cs="宋体"/>
          <w:szCs w:val="24"/>
          <w:highlight w:val="none"/>
        </w:rPr>
        <w:sectPr>
          <w:footerReference r:id="rId8" w:type="default"/>
          <w:pgSz w:w="11905" w:h="16838"/>
          <w:pgMar w:top="1417" w:right="1417" w:bottom="1417" w:left="1417" w:header="567" w:footer="850" w:gutter="0"/>
          <w:pgBorders>
            <w:top w:val="none" w:sz="0" w:space="0"/>
            <w:left w:val="none" w:sz="0" w:space="0"/>
            <w:bottom w:val="none" w:sz="0" w:space="0"/>
            <w:right w:val="none" w:sz="0" w:space="0"/>
          </w:pgBorders>
          <w:pgNumType w:start="1"/>
          <w:cols w:space="720" w:num="1"/>
          <w:docGrid w:type="lines" w:linePitch="312" w:charSpace="0"/>
        </w:sectPr>
      </w:pPr>
    </w:p>
    <w:p w14:paraId="3294611C">
      <w:pPr>
        <w:jc w:val="left"/>
        <w:rPr>
          <w:rFonts w:ascii="宋体" w:hAnsi="宋体" w:cs="宋体"/>
          <w:sz w:val="32"/>
          <w:szCs w:val="32"/>
          <w:highlight w:val="none"/>
        </w:rPr>
      </w:pPr>
      <w:bookmarkStart w:id="896" w:name="_Toc3212"/>
      <w:bookmarkStart w:id="897" w:name="_Toc247514005"/>
      <w:bookmarkStart w:id="898" w:name="_Toc3477"/>
      <w:bookmarkStart w:id="899" w:name="_Toc17173"/>
      <w:bookmarkStart w:id="900" w:name="_Toc13480"/>
      <w:bookmarkStart w:id="901" w:name="_Toc152042358"/>
      <w:bookmarkStart w:id="902" w:name="_Toc144974548"/>
      <w:bookmarkStart w:id="903" w:name="_Toc12839"/>
      <w:bookmarkStart w:id="904" w:name="_Toc32530"/>
      <w:bookmarkStart w:id="905" w:name="_Toc14581"/>
      <w:bookmarkStart w:id="906" w:name="_Toc1292"/>
      <w:bookmarkStart w:id="907" w:name="_Toc1539"/>
      <w:bookmarkStart w:id="908" w:name="_Toc152045581"/>
      <w:bookmarkStart w:id="909" w:name="_Toc485211089"/>
      <w:bookmarkStart w:id="910" w:name="_Toc247527606"/>
      <w:bookmarkStart w:id="911" w:name="_Toc16275"/>
      <w:r>
        <w:rPr>
          <w:rFonts w:hint="eastAsia" w:ascii="宋体" w:hAnsi="宋体" w:cs="宋体"/>
          <w:sz w:val="32"/>
          <w:szCs w:val="32"/>
          <w:highlight w:val="none"/>
        </w:rPr>
        <w:t>附件1</w:t>
      </w:r>
    </w:p>
    <w:p w14:paraId="207B8DC6">
      <w:pPr>
        <w:ind w:firstLine="640" w:firstLineChars="200"/>
        <w:jc w:val="center"/>
        <w:rPr>
          <w:rFonts w:ascii="宋体" w:hAnsi="宋体" w:cs="宋体"/>
          <w:sz w:val="32"/>
          <w:szCs w:val="32"/>
          <w:highlight w:val="none"/>
        </w:rPr>
      </w:pPr>
      <w:r>
        <w:rPr>
          <w:rFonts w:hint="eastAsia" w:ascii="宋体" w:hAnsi="宋体" w:cs="宋体"/>
          <w:sz w:val="32"/>
          <w:szCs w:val="32"/>
          <w:highlight w:val="none"/>
        </w:rPr>
        <w:t>评标委员会成员声明</w:t>
      </w:r>
    </w:p>
    <w:p w14:paraId="5D3FA27D">
      <w:pPr>
        <w:spacing w:line="360" w:lineRule="auto"/>
        <w:rPr>
          <w:rFonts w:ascii="宋体" w:hAnsi="宋体" w:cs="宋体"/>
          <w:sz w:val="24"/>
          <w:szCs w:val="24"/>
          <w:highlight w:val="none"/>
        </w:rPr>
      </w:pPr>
      <w:r>
        <w:rPr>
          <w:rFonts w:hint="eastAsia" w:ascii="宋体" w:hAnsi="宋体" w:cs="宋体"/>
          <w:sz w:val="24"/>
          <w:szCs w:val="24"/>
          <w:highlight w:val="none"/>
          <w:u w:val="single"/>
        </w:rPr>
        <w:t xml:space="preserve">           （本项目招标人）</w:t>
      </w:r>
      <w:r>
        <w:rPr>
          <w:rFonts w:hint="eastAsia" w:ascii="宋体" w:hAnsi="宋体" w:cs="宋体"/>
          <w:sz w:val="24"/>
          <w:szCs w:val="24"/>
          <w:highlight w:val="none"/>
        </w:rPr>
        <w:t>：</w:t>
      </w:r>
    </w:p>
    <w:p w14:paraId="5B358F7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本人就参与</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项目的评标工作，作出郑重声明：</w:t>
      </w:r>
    </w:p>
    <w:p w14:paraId="5378DD5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E870E8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7507FF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D1367C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03C935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CB0168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如果本人违反上述声明内容，造成的后果由本人自行承担。</w:t>
      </w:r>
    </w:p>
    <w:p w14:paraId="6F5EC429">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 xml:space="preserve">                             声明人：</w:t>
      </w:r>
      <w:r>
        <w:rPr>
          <w:rFonts w:hint="eastAsia" w:ascii="宋体" w:hAnsi="宋体" w:cs="宋体"/>
          <w:sz w:val="24"/>
          <w:szCs w:val="24"/>
          <w:highlight w:val="none"/>
          <w:u w:val="single"/>
        </w:rPr>
        <w:t xml:space="preserve">（签名）  </w:t>
      </w:r>
    </w:p>
    <w:p w14:paraId="3FC58EC5">
      <w:pPr>
        <w:rPr>
          <w:rFonts w:ascii="宋体" w:hAnsi="宋体" w:cs="宋体"/>
          <w:bCs/>
          <w:sz w:val="28"/>
          <w:szCs w:val="28"/>
          <w:highlight w:val="none"/>
        </w:rPr>
      </w:pPr>
      <w:r>
        <w:rPr>
          <w:rFonts w:hint="eastAsia" w:ascii="宋体" w:hAnsi="宋体" w:cs="宋体"/>
          <w:bCs/>
          <w:sz w:val="28"/>
          <w:szCs w:val="28"/>
          <w:highlight w:val="none"/>
        </w:rPr>
        <w:br w:type="page"/>
      </w:r>
    </w:p>
    <w:p w14:paraId="0A57B12D">
      <w:pPr>
        <w:keepNext/>
        <w:keepLines/>
        <w:spacing w:before="260" w:after="260" w:line="415" w:lineRule="auto"/>
        <w:ind w:firstLine="137" w:firstLineChars="49"/>
        <w:outlineLvl w:val="2"/>
        <w:rPr>
          <w:rFonts w:ascii="宋体" w:hAnsi="宋体" w:cs="宋体"/>
          <w:bCs/>
          <w:sz w:val="28"/>
          <w:szCs w:val="28"/>
          <w:highlight w:val="none"/>
        </w:rPr>
      </w:pPr>
      <w:bookmarkStart w:id="912" w:name="_Toc11502"/>
      <w:r>
        <w:rPr>
          <w:rFonts w:hint="eastAsia" w:ascii="宋体" w:hAnsi="宋体" w:cs="宋体"/>
          <w:bCs/>
          <w:sz w:val="28"/>
          <w:szCs w:val="28"/>
          <w:highlight w:val="none"/>
        </w:rPr>
        <w:t>附件一：开标记录表</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14:paraId="44B97647">
      <w:pPr>
        <w:jc w:val="center"/>
        <w:rPr>
          <w:rFonts w:ascii="宋体" w:hAnsi="宋体" w:cs="宋体"/>
          <w:sz w:val="28"/>
          <w:szCs w:val="28"/>
          <w:highlight w:val="none"/>
        </w:rPr>
      </w:pPr>
      <w:r>
        <w:rPr>
          <w:rFonts w:hint="eastAsia" w:ascii="宋体" w:hAnsi="宋体" w:cs="宋体"/>
          <w:sz w:val="28"/>
          <w:szCs w:val="28"/>
          <w:highlight w:val="none"/>
        </w:rPr>
        <w:t>开标记录表采用广州交易集团有限公司（广州公共资源交易中心）</w:t>
      </w:r>
    </w:p>
    <w:p w14:paraId="4014D4B2">
      <w:pPr>
        <w:jc w:val="center"/>
        <w:rPr>
          <w:rFonts w:ascii="宋体" w:hAnsi="宋体" w:cs="宋体"/>
          <w:sz w:val="28"/>
          <w:szCs w:val="28"/>
          <w:highlight w:val="none"/>
        </w:rPr>
      </w:pPr>
      <w:r>
        <w:rPr>
          <w:rFonts w:hint="eastAsia" w:ascii="宋体" w:hAnsi="宋体" w:cs="宋体"/>
          <w:sz w:val="28"/>
          <w:szCs w:val="28"/>
          <w:highlight w:val="none"/>
        </w:rPr>
        <w:t>系统生成格式</w:t>
      </w:r>
    </w:p>
    <w:p w14:paraId="6C69E4D2">
      <w:pPr>
        <w:spacing w:line="440" w:lineRule="exact"/>
        <w:jc w:val="center"/>
        <w:rPr>
          <w:rFonts w:ascii="宋体" w:hAnsi="宋体" w:cs="宋体"/>
          <w:sz w:val="28"/>
          <w:szCs w:val="28"/>
          <w:highlight w:val="none"/>
        </w:rPr>
      </w:pPr>
    </w:p>
    <w:p w14:paraId="4E9532E1">
      <w:pPr>
        <w:spacing w:line="440" w:lineRule="exact"/>
        <w:rPr>
          <w:rFonts w:ascii="宋体" w:hAnsi="宋体" w:cs="宋体"/>
          <w:szCs w:val="21"/>
          <w:highlight w:val="none"/>
        </w:rPr>
      </w:pPr>
    </w:p>
    <w:p w14:paraId="58B815A3">
      <w:pPr>
        <w:spacing w:line="440" w:lineRule="exact"/>
        <w:rPr>
          <w:rFonts w:ascii="宋体" w:hAnsi="宋体" w:cs="宋体"/>
          <w:bCs/>
          <w:sz w:val="28"/>
          <w:szCs w:val="28"/>
          <w:highlight w:val="none"/>
        </w:rPr>
      </w:pPr>
      <w:r>
        <w:rPr>
          <w:rFonts w:hint="eastAsia" w:ascii="宋体" w:hAnsi="宋体" w:cs="宋体"/>
          <w:szCs w:val="21"/>
          <w:highlight w:val="none"/>
        </w:rPr>
        <w:br w:type="page"/>
      </w:r>
      <w:bookmarkStart w:id="913" w:name="_Toc6023"/>
      <w:bookmarkStart w:id="914" w:name="_Toc152045582"/>
      <w:bookmarkStart w:id="915" w:name="_Toc22250"/>
      <w:bookmarkStart w:id="916" w:name="_Toc22367"/>
      <w:bookmarkStart w:id="917" w:name="_Toc144974549"/>
      <w:bookmarkStart w:id="918" w:name="_Toc26951"/>
      <w:bookmarkStart w:id="919" w:name="_Toc8530"/>
      <w:bookmarkStart w:id="920" w:name="_Toc23946"/>
      <w:bookmarkStart w:id="921" w:name="_Toc12992"/>
      <w:bookmarkStart w:id="922" w:name="_Toc247527607"/>
      <w:bookmarkStart w:id="923" w:name="_Toc20609"/>
      <w:bookmarkStart w:id="924" w:name="_Toc247514006"/>
      <w:bookmarkStart w:id="925" w:name="_Toc22267"/>
      <w:bookmarkStart w:id="926" w:name="_Toc485211090"/>
      <w:bookmarkStart w:id="927" w:name="_Toc7096"/>
      <w:bookmarkStart w:id="928" w:name="_Toc152042359"/>
      <w:r>
        <w:rPr>
          <w:rFonts w:hint="eastAsia" w:ascii="宋体" w:hAnsi="宋体" w:cs="宋体"/>
          <w:bCs/>
          <w:sz w:val="28"/>
          <w:szCs w:val="28"/>
          <w:highlight w:val="none"/>
        </w:rPr>
        <w:t>附件二：问题澄清通知</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6E0A3C55">
      <w:pPr>
        <w:spacing w:line="440" w:lineRule="exact"/>
        <w:jc w:val="center"/>
        <w:rPr>
          <w:rFonts w:ascii="宋体" w:hAnsi="宋体" w:cs="宋体"/>
          <w:szCs w:val="21"/>
          <w:highlight w:val="none"/>
        </w:rPr>
      </w:pPr>
    </w:p>
    <w:p w14:paraId="26E94DF2">
      <w:pPr>
        <w:spacing w:line="440" w:lineRule="exact"/>
        <w:jc w:val="center"/>
        <w:rPr>
          <w:rFonts w:ascii="宋体" w:hAnsi="宋体" w:cs="宋体"/>
          <w:sz w:val="28"/>
          <w:szCs w:val="28"/>
          <w:highlight w:val="none"/>
        </w:rPr>
      </w:pPr>
      <w:r>
        <w:rPr>
          <w:rFonts w:hint="eastAsia" w:ascii="宋体" w:hAnsi="宋体" w:cs="宋体"/>
          <w:sz w:val="28"/>
          <w:szCs w:val="28"/>
          <w:highlight w:val="none"/>
        </w:rPr>
        <w:t>问题澄清通知</w:t>
      </w:r>
    </w:p>
    <w:p w14:paraId="4B6CCF28">
      <w:pPr>
        <w:spacing w:line="440" w:lineRule="exact"/>
        <w:rPr>
          <w:rFonts w:ascii="宋体" w:hAnsi="宋体" w:cs="宋体"/>
          <w:szCs w:val="21"/>
          <w:highlight w:val="none"/>
        </w:rPr>
      </w:pPr>
      <w:r>
        <w:rPr>
          <w:rFonts w:hint="eastAsia" w:ascii="宋体" w:hAnsi="宋体" w:cs="宋体"/>
          <w:szCs w:val="21"/>
          <w:highlight w:val="none"/>
        </w:rPr>
        <w:t xml:space="preserve">                               编号：</w:t>
      </w:r>
    </w:p>
    <w:p w14:paraId="3462D067">
      <w:pPr>
        <w:spacing w:line="440" w:lineRule="exact"/>
        <w:rPr>
          <w:rFonts w:ascii="宋体" w:hAnsi="宋体" w:cs="宋体"/>
          <w:szCs w:val="21"/>
          <w:highlight w:val="none"/>
        </w:rPr>
      </w:pPr>
    </w:p>
    <w:p w14:paraId="5096E739">
      <w:pPr>
        <w:spacing w:line="440" w:lineRule="exact"/>
        <w:rPr>
          <w:rFonts w:ascii="宋体" w:hAnsi="宋体" w:cs="宋体"/>
          <w:szCs w:val="21"/>
          <w:highlight w:val="none"/>
        </w:rPr>
      </w:pPr>
      <w:r>
        <w:rPr>
          <w:rFonts w:hint="eastAsia" w:ascii="宋体" w:hAnsi="宋体" w:cs="宋体"/>
          <w:szCs w:val="21"/>
          <w:highlight w:val="none"/>
        </w:rPr>
        <w:t>（投标人名称）：</w:t>
      </w:r>
    </w:p>
    <w:p w14:paraId="1B34BC26">
      <w:pPr>
        <w:spacing w:line="440" w:lineRule="exact"/>
        <w:rPr>
          <w:rFonts w:ascii="宋体" w:hAnsi="宋体" w:cs="宋体"/>
          <w:szCs w:val="21"/>
          <w:highlight w:val="none"/>
        </w:rPr>
      </w:pPr>
    </w:p>
    <w:p w14:paraId="60D2A1AA">
      <w:pPr>
        <w:spacing w:line="440" w:lineRule="exact"/>
        <w:ind w:firstLine="420" w:firstLineChars="200"/>
        <w:rPr>
          <w:rFonts w:ascii="宋体" w:hAnsi="宋体" w:cs="宋体"/>
          <w:szCs w:val="21"/>
          <w:highlight w:val="none"/>
        </w:rPr>
      </w:pPr>
      <w:r>
        <w:rPr>
          <w:rFonts w:hint="eastAsia" w:ascii="宋体" w:hAnsi="宋体" w:cs="宋体"/>
          <w:szCs w:val="21"/>
          <w:highlight w:val="none"/>
          <w:u w:val="single"/>
        </w:rPr>
        <w:t xml:space="preserve">    （项目名称）   </w:t>
      </w:r>
      <w:r>
        <w:rPr>
          <w:rFonts w:hint="eastAsia" w:ascii="宋体" w:hAnsi="宋体" w:cs="宋体"/>
          <w:szCs w:val="21"/>
          <w:highlight w:val="none"/>
        </w:rPr>
        <w:t>招标的评标委员会，对你方的投标文件进行了仔细的审查，现需你方对下列问题以书面形式予以澄清：</w:t>
      </w:r>
    </w:p>
    <w:p w14:paraId="08296642">
      <w:pPr>
        <w:spacing w:line="440" w:lineRule="exact"/>
        <w:rPr>
          <w:rFonts w:ascii="宋体" w:hAnsi="宋体" w:cs="宋体"/>
          <w:szCs w:val="21"/>
          <w:highlight w:val="none"/>
        </w:rPr>
      </w:pPr>
    </w:p>
    <w:p w14:paraId="0A91EEE6">
      <w:pPr>
        <w:spacing w:line="440" w:lineRule="exact"/>
        <w:ind w:firstLine="420" w:firstLineChars="200"/>
        <w:rPr>
          <w:rFonts w:ascii="宋体" w:hAnsi="宋体" w:cs="宋体"/>
          <w:szCs w:val="21"/>
          <w:highlight w:val="none"/>
        </w:rPr>
      </w:pPr>
      <w:r>
        <w:rPr>
          <w:rFonts w:hint="eastAsia" w:ascii="宋体" w:hAnsi="宋体" w:cs="宋体"/>
          <w:szCs w:val="21"/>
          <w:highlight w:val="none"/>
        </w:rPr>
        <w:t>1.</w:t>
      </w:r>
    </w:p>
    <w:p w14:paraId="329297FF">
      <w:pPr>
        <w:spacing w:line="440" w:lineRule="exact"/>
        <w:ind w:firstLine="420" w:firstLineChars="200"/>
        <w:rPr>
          <w:rFonts w:ascii="宋体" w:hAnsi="宋体" w:cs="宋体"/>
          <w:szCs w:val="21"/>
          <w:highlight w:val="none"/>
        </w:rPr>
      </w:pPr>
      <w:r>
        <w:rPr>
          <w:rFonts w:hint="eastAsia" w:ascii="宋体" w:hAnsi="宋体" w:cs="宋体"/>
          <w:szCs w:val="21"/>
          <w:highlight w:val="none"/>
        </w:rPr>
        <w:t>2.</w:t>
      </w:r>
    </w:p>
    <w:p w14:paraId="5817F1A4">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   </w:t>
      </w:r>
    </w:p>
    <w:p w14:paraId="2938EB3B">
      <w:pPr>
        <w:spacing w:line="440" w:lineRule="exact"/>
        <w:rPr>
          <w:rFonts w:ascii="宋体" w:hAnsi="宋体" w:cs="宋体"/>
          <w:szCs w:val="21"/>
          <w:highlight w:val="none"/>
        </w:rPr>
      </w:pPr>
    </w:p>
    <w:p w14:paraId="47524DA0">
      <w:pPr>
        <w:spacing w:line="440" w:lineRule="exact"/>
        <w:ind w:firstLine="420" w:firstLineChars="200"/>
        <w:rPr>
          <w:rFonts w:ascii="宋体" w:hAnsi="宋体" w:cs="宋体"/>
          <w:szCs w:val="21"/>
          <w:highlight w:val="none"/>
        </w:rPr>
      </w:pPr>
      <w:r>
        <w:rPr>
          <w:rFonts w:hint="eastAsia" w:ascii="宋体" w:hAnsi="宋体" w:cs="宋体"/>
          <w:szCs w:val="21"/>
          <w:highlight w:val="none"/>
        </w:rPr>
        <w:t>请将上述问题的澄清于年月日时前递交至（详细地址）或传真至（传真号码）。采用传真方式的，应在年月日时前将原件递交至（详细地址）。</w:t>
      </w:r>
    </w:p>
    <w:p w14:paraId="26265C01">
      <w:pPr>
        <w:spacing w:line="440" w:lineRule="exact"/>
        <w:rPr>
          <w:rFonts w:ascii="宋体" w:hAnsi="宋体" w:cs="宋体"/>
          <w:szCs w:val="21"/>
          <w:highlight w:val="none"/>
        </w:rPr>
      </w:pPr>
    </w:p>
    <w:p w14:paraId="7EA87768">
      <w:pPr>
        <w:spacing w:line="440" w:lineRule="exact"/>
        <w:rPr>
          <w:rFonts w:ascii="宋体" w:hAnsi="宋体" w:cs="宋体"/>
          <w:szCs w:val="21"/>
          <w:highlight w:val="none"/>
        </w:rPr>
      </w:pPr>
    </w:p>
    <w:p w14:paraId="34F39EE8">
      <w:pPr>
        <w:spacing w:line="440" w:lineRule="exact"/>
        <w:jc w:val="right"/>
        <w:rPr>
          <w:rFonts w:ascii="宋体" w:hAnsi="宋体" w:cs="宋体"/>
          <w:szCs w:val="21"/>
          <w:highlight w:val="none"/>
        </w:rPr>
      </w:pPr>
      <w:r>
        <w:rPr>
          <w:rFonts w:hint="eastAsia" w:ascii="宋体" w:hAnsi="宋体" w:cs="宋体"/>
          <w:szCs w:val="21"/>
          <w:highlight w:val="none"/>
        </w:rPr>
        <w:t xml:space="preserve">                评标委员会授权的招标人或招标代理机构：（签字或盖章）</w:t>
      </w:r>
    </w:p>
    <w:p w14:paraId="5DF025ED">
      <w:pPr>
        <w:spacing w:line="440" w:lineRule="exact"/>
        <w:jc w:val="right"/>
        <w:rPr>
          <w:rFonts w:ascii="宋体" w:hAnsi="宋体" w:cs="宋体"/>
          <w:szCs w:val="21"/>
          <w:highlight w:val="none"/>
        </w:rPr>
      </w:pPr>
    </w:p>
    <w:p w14:paraId="19AC5188">
      <w:pPr>
        <w:spacing w:line="440" w:lineRule="exact"/>
        <w:ind w:right="840"/>
        <w:jc w:val="center"/>
        <w:rPr>
          <w:rFonts w:ascii="宋体" w:hAnsi="宋体" w:cs="宋体"/>
          <w:szCs w:val="21"/>
          <w:highlight w:val="none"/>
        </w:rPr>
      </w:pPr>
      <w:r>
        <w:rPr>
          <w:rFonts w:hint="eastAsia" w:ascii="宋体" w:hAnsi="宋体" w:cs="宋体"/>
          <w:szCs w:val="21"/>
          <w:highlight w:val="none"/>
        </w:rPr>
        <w:t xml:space="preserve">                                       年   月    日</w:t>
      </w:r>
    </w:p>
    <w:p w14:paraId="436E5903">
      <w:pPr>
        <w:spacing w:line="400" w:lineRule="exact"/>
        <w:jc w:val="right"/>
        <w:rPr>
          <w:rFonts w:ascii="宋体" w:hAnsi="宋体" w:cs="宋体"/>
          <w:szCs w:val="24"/>
          <w:highlight w:val="none"/>
        </w:rPr>
      </w:pPr>
    </w:p>
    <w:p w14:paraId="21AD0B7D">
      <w:pPr>
        <w:spacing w:line="400" w:lineRule="exact"/>
        <w:rPr>
          <w:rFonts w:ascii="宋体" w:hAnsi="宋体" w:cs="宋体"/>
          <w:bCs/>
          <w:sz w:val="28"/>
          <w:szCs w:val="28"/>
          <w:highlight w:val="none"/>
        </w:rPr>
      </w:pPr>
      <w:r>
        <w:rPr>
          <w:rFonts w:hint="eastAsia" w:ascii="宋体" w:hAnsi="宋体" w:cs="宋体"/>
          <w:szCs w:val="24"/>
          <w:highlight w:val="none"/>
        </w:rPr>
        <w:br w:type="page"/>
      </w:r>
      <w:bookmarkStart w:id="929" w:name="_Toc144974550"/>
      <w:bookmarkStart w:id="930" w:name="_Toc4085"/>
      <w:bookmarkStart w:id="931" w:name="_Toc18642"/>
      <w:bookmarkStart w:id="932" w:name="_Toc21221"/>
      <w:bookmarkStart w:id="933" w:name="_Toc18238"/>
      <w:bookmarkStart w:id="934" w:name="_Toc2612"/>
      <w:bookmarkStart w:id="935" w:name="_Toc152042360"/>
      <w:bookmarkStart w:id="936" w:name="_Toc152045583"/>
      <w:bookmarkStart w:id="937" w:name="_Toc13028"/>
      <w:bookmarkStart w:id="938" w:name="_Toc26015"/>
      <w:bookmarkStart w:id="939" w:name="_Toc29892"/>
      <w:bookmarkStart w:id="940" w:name="_Toc485211091"/>
      <w:bookmarkStart w:id="941" w:name="_Toc247527608"/>
      <w:bookmarkStart w:id="942" w:name="_Toc5410"/>
      <w:bookmarkStart w:id="943" w:name="_Toc20542"/>
      <w:bookmarkStart w:id="944" w:name="_Toc247514007"/>
      <w:r>
        <w:rPr>
          <w:rFonts w:hint="eastAsia" w:ascii="宋体" w:hAnsi="宋体" w:cs="宋体"/>
          <w:bCs/>
          <w:sz w:val="28"/>
          <w:szCs w:val="28"/>
          <w:highlight w:val="none"/>
        </w:rPr>
        <w:t>附件三：问题的澄清</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14:paraId="54049237">
      <w:pPr>
        <w:spacing w:line="400" w:lineRule="exact"/>
        <w:jc w:val="center"/>
        <w:rPr>
          <w:rFonts w:ascii="宋体" w:hAnsi="宋体" w:cs="宋体"/>
          <w:sz w:val="28"/>
          <w:szCs w:val="28"/>
          <w:highlight w:val="none"/>
        </w:rPr>
      </w:pPr>
    </w:p>
    <w:p w14:paraId="4D5886D4">
      <w:pPr>
        <w:spacing w:line="400" w:lineRule="exact"/>
        <w:jc w:val="center"/>
        <w:rPr>
          <w:rFonts w:ascii="宋体" w:hAnsi="宋体" w:cs="宋体"/>
          <w:sz w:val="28"/>
          <w:szCs w:val="28"/>
          <w:highlight w:val="none"/>
        </w:rPr>
      </w:pPr>
      <w:r>
        <w:rPr>
          <w:rFonts w:hint="eastAsia" w:ascii="宋体" w:hAnsi="宋体" w:cs="宋体"/>
          <w:sz w:val="28"/>
          <w:szCs w:val="28"/>
          <w:highlight w:val="none"/>
        </w:rPr>
        <w:t>问题的澄清</w:t>
      </w:r>
    </w:p>
    <w:p w14:paraId="6246E615">
      <w:pPr>
        <w:spacing w:line="400" w:lineRule="exact"/>
        <w:ind w:firstLine="3465" w:firstLineChars="1650"/>
        <w:rPr>
          <w:rFonts w:ascii="宋体" w:hAnsi="宋体" w:cs="宋体"/>
          <w:szCs w:val="24"/>
          <w:highlight w:val="none"/>
        </w:rPr>
      </w:pPr>
      <w:r>
        <w:rPr>
          <w:rFonts w:hint="eastAsia" w:ascii="宋体" w:hAnsi="宋体" w:cs="宋体"/>
          <w:szCs w:val="24"/>
          <w:highlight w:val="none"/>
        </w:rPr>
        <w:t xml:space="preserve">编号： </w:t>
      </w:r>
    </w:p>
    <w:p w14:paraId="23C32907">
      <w:pPr>
        <w:spacing w:line="400" w:lineRule="exact"/>
        <w:rPr>
          <w:rFonts w:ascii="宋体" w:hAnsi="宋体" w:cs="宋体"/>
          <w:szCs w:val="21"/>
          <w:highlight w:val="none"/>
        </w:rPr>
      </w:pPr>
    </w:p>
    <w:p w14:paraId="64923A3D">
      <w:pPr>
        <w:spacing w:line="440" w:lineRule="exact"/>
        <w:ind w:firstLine="420" w:firstLineChars="200"/>
        <w:rPr>
          <w:rFonts w:ascii="宋体" w:hAnsi="宋体" w:cs="宋体"/>
          <w:szCs w:val="21"/>
          <w:highlight w:val="none"/>
        </w:rPr>
      </w:pPr>
      <w:r>
        <w:rPr>
          <w:rFonts w:hint="eastAsia" w:ascii="宋体" w:hAnsi="宋体" w:cs="宋体"/>
          <w:szCs w:val="21"/>
          <w:highlight w:val="none"/>
          <w:u w:val="single"/>
        </w:rPr>
        <w:t xml:space="preserve">    （项目名称）    </w:t>
      </w:r>
      <w:r>
        <w:rPr>
          <w:rFonts w:hint="eastAsia" w:ascii="宋体" w:hAnsi="宋体" w:cs="宋体"/>
          <w:szCs w:val="21"/>
          <w:highlight w:val="none"/>
        </w:rPr>
        <w:t>招标评标委员会：</w:t>
      </w:r>
    </w:p>
    <w:p w14:paraId="63C0DE8E">
      <w:pPr>
        <w:spacing w:line="440" w:lineRule="exact"/>
        <w:rPr>
          <w:rFonts w:ascii="宋体" w:hAnsi="宋体" w:cs="宋体"/>
          <w:szCs w:val="21"/>
          <w:highlight w:val="none"/>
        </w:rPr>
      </w:pPr>
    </w:p>
    <w:p w14:paraId="3718150A">
      <w:pPr>
        <w:spacing w:line="440" w:lineRule="exact"/>
        <w:ind w:firstLine="420" w:firstLineChars="200"/>
        <w:rPr>
          <w:rFonts w:ascii="宋体" w:hAnsi="宋体" w:cs="宋体"/>
          <w:szCs w:val="21"/>
          <w:highlight w:val="none"/>
        </w:rPr>
      </w:pPr>
      <w:r>
        <w:rPr>
          <w:rFonts w:hint="eastAsia" w:ascii="宋体" w:hAnsi="宋体" w:cs="宋体"/>
          <w:szCs w:val="21"/>
          <w:highlight w:val="none"/>
        </w:rPr>
        <w:t>问题澄清通知（编号：           ）已收悉，现澄清如下：</w:t>
      </w:r>
    </w:p>
    <w:p w14:paraId="65BA3AB3">
      <w:pPr>
        <w:spacing w:line="440" w:lineRule="exact"/>
        <w:ind w:firstLine="420" w:firstLineChars="200"/>
        <w:rPr>
          <w:rFonts w:ascii="宋体" w:hAnsi="宋体" w:cs="宋体"/>
          <w:szCs w:val="21"/>
          <w:highlight w:val="none"/>
        </w:rPr>
      </w:pPr>
      <w:r>
        <w:rPr>
          <w:rFonts w:hint="eastAsia" w:ascii="宋体" w:hAnsi="宋体" w:cs="宋体"/>
          <w:szCs w:val="21"/>
          <w:highlight w:val="none"/>
        </w:rPr>
        <w:t>1.</w:t>
      </w:r>
    </w:p>
    <w:p w14:paraId="2AB3A77E">
      <w:pPr>
        <w:spacing w:line="440" w:lineRule="exact"/>
        <w:ind w:firstLine="420" w:firstLineChars="200"/>
        <w:rPr>
          <w:rFonts w:ascii="宋体" w:hAnsi="宋体" w:cs="宋体"/>
          <w:szCs w:val="21"/>
          <w:highlight w:val="none"/>
        </w:rPr>
      </w:pPr>
      <w:r>
        <w:rPr>
          <w:rFonts w:hint="eastAsia" w:ascii="宋体" w:hAnsi="宋体" w:cs="宋体"/>
          <w:szCs w:val="21"/>
          <w:highlight w:val="none"/>
        </w:rPr>
        <w:t>2.</w:t>
      </w:r>
    </w:p>
    <w:p w14:paraId="60183EAB">
      <w:pPr>
        <w:spacing w:line="440" w:lineRule="exact"/>
        <w:ind w:firstLine="420" w:firstLineChars="200"/>
        <w:rPr>
          <w:rFonts w:ascii="宋体" w:hAnsi="宋体" w:cs="宋体"/>
          <w:szCs w:val="21"/>
          <w:highlight w:val="none"/>
        </w:rPr>
      </w:pPr>
      <w:r>
        <w:rPr>
          <w:rFonts w:hint="eastAsia" w:ascii="宋体" w:hAnsi="宋体" w:cs="宋体"/>
          <w:szCs w:val="21"/>
          <w:highlight w:val="none"/>
        </w:rPr>
        <w:t>.....</w:t>
      </w:r>
    </w:p>
    <w:p w14:paraId="0A909CFF">
      <w:pPr>
        <w:spacing w:line="440" w:lineRule="exact"/>
        <w:rPr>
          <w:rFonts w:ascii="宋体" w:hAnsi="宋体" w:cs="宋体"/>
          <w:szCs w:val="21"/>
          <w:highlight w:val="none"/>
        </w:rPr>
      </w:pPr>
    </w:p>
    <w:p w14:paraId="098FC632">
      <w:pPr>
        <w:spacing w:line="440" w:lineRule="exact"/>
        <w:rPr>
          <w:rFonts w:ascii="宋体" w:hAnsi="宋体" w:cs="宋体"/>
          <w:szCs w:val="21"/>
          <w:highlight w:val="none"/>
        </w:rPr>
      </w:pPr>
    </w:p>
    <w:p w14:paraId="03B6070A">
      <w:pPr>
        <w:spacing w:line="440" w:lineRule="exact"/>
        <w:rPr>
          <w:rFonts w:ascii="宋体" w:hAnsi="宋体" w:cs="宋体"/>
          <w:szCs w:val="21"/>
          <w:highlight w:val="none"/>
        </w:rPr>
      </w:pPr>
    </w:p>
    <w:p w14:paraId="0963F51E">
      <w:pPr>
        <w:spacing w:line="440" w:lineRule="exact"/>
        <w:rPr>
          <w:rFonts w:ascii="宋体" w:hAnsi="宋体" w:cs="宋体"/>
          <w:szCs w:val="21"/>
          <w:highlight w:val="none"/>
        </w:rPr>
      </w:pPr>
    </w:p>
    <w:p w14:paraId="5A872304">
      <w:pPr>
        <w:spacing w:line="440" w:lineRule="exact"/>
        <w:jc w:val="center"/>
        <w:rPr>
          <w:rFonts w:ascii="宋体" w:hAnsi="宋体" w:cs="宋体"/>
          <w:szCs w:val="21"/>
          <w:highlight w:val="none"/>
        </w:rPr>
      </w:pPr>
      <w:r>
        <w:rPr>
          <w:rFonts w:hint="eastAsia" w:ascii="宋体" w:hAnsi="宋体" w:cs="宋体"/>
          <w:szCs w:val="21"/>
          <w:highlight w:val="none"/>
        </w:rPr>
        <w:t xml:space="preserve">                                      投标人：（盖单位章）</w:t>
      </w:r>
    </w:p>
    <w:p w14:paraId="7F7F62D4">
      <w:pPr>
        <w:spacing w:line="440" w:lineRule="exact"/>
        <w:rPr>
          <w:rFonts w:ascii="宋体" w:hAnsi="宋体" w:cs="宋体"/>
          <w:szCs w:val="21"/>
          <w:highlight w:val="none"/>
        </w:rPr>
      </w:pPr>
    </w:p>
    <w:p w14:paraId="0CC3D1FC">
      <w:pPr>
        <w:spacing w:line="440" w:lineRule="exact"/>
        <w:jc w:val="center"/>
        <w:rPr>
          <w:rFonts w:ascii="宋体" w:hAnsi="宋体" w:cs="宋体"/>
          <w:szCs w:val="21"/>
          <w:highlight w:val="none"/>
        </w:rPr>
      </w:pPr>
      <w:r>
        <w:rPr>
          <w:rFonts w:hint="eastAsia" w:ascii="宋体" w:hAnsi="宋体" w:cs="宋体"/>
          <w:szCs w:val="21"/>
          <w:highlight w:val="none"/>
        </w:rPr>
        <w:t xml:space="preserve">                                法定代表人或其委托代理人：（签字）</w:t>
      </w:r>
    </w:p>
    <w:p w14:paraId="3F6490B4">
      <w:pPr>
        <w:spacing w:line="440" w:lineRule="exact"/>
        <w:rPr>
          <w:rFonts w:ascii="宋体" w:hAnsi="宋体" w:cs="宋体"/>
          <w:szCs w:val="21"/>
          <w:highlight w:val="none"/>
        </w:rPr>
      </w:pPr>
    </w:p>
    <w:p w14:paraId="461FF01D">
      <w:pPr>
        <w:spacing w:line="440" w:lineRule="exact"/>
        <w:jc w:val="center"/>
        <w:rPr>
          <w:rFonts w:ascii="宋体" w:hAnsi="宋体" w:cs="宋体"/>
          <w:szCs w:val="21"/>
          <w:highlight w:val="none"/>
        </w:rPr>
      </w:pPr>
      <w:r>
        <w:rPr>
          <w:rFonts w:hint="eastAsia" w:ascii="宋体" w:hAnsi="宋体" w:cs="宋体"/>
          <w:szCs w:val="21"/>
          <w:highlight w:val="none"/>
        </w:rPr>
        <w:t xml:space="preserve">                                                   年   月   日</w:t>
      </w:r>
    </w:p>
    <w:p w14:paraId="0D58668D">
      <w:pPr>
        <w:spacing w:line="400" w:lineRule="exact"/>
        <w:rPr>
          <w:rFonts w:ascii="宋体" w:hAnsi="宋体" w:cs="宋体"/>
          <w:szCs w:val="24"/>
          <w:highlight w:val="none"/>
        </w:rPr>
      </w:pPr>
    </w:p>
    <w:p w14:paraId="043C41B9">
      <w:pPr>
        <w:spacing w:line="400" w:lineRule="exact"/>
        <w:rPr>
          <w:rFonts w:ascii="宋体" w:hAnsi="宋体" w:cs="宋体"/>
          <w:bCs/>
          <w:sz w:val="28"/>
          <w:szCs w:val="28"/>
          <w:highlight w:val="none"/>
        </w:rPr>
      </w:pPr>
      <w:r>
        <w:rPr>
          <w:rFonts w:hint="eastAsia" w:ascii="宋体" w:hAnsi="宋体" w:cs="宋体"/>
          <w:szCs w:val="24"/>
          <w:highlight w:val="none"/>
        </w:rPr>
        <w:br w:type="page"/>
      </w:r>
      <w:bookmarkStart w:id="945" w:name="_Toc172"/>
      <w:bookmarkStart w:id="946" w:name="_Toc23717"/>
      <w:bookmarkStart w:id="947" w:name="_Toc247514008"/>
      <w:bookmarkStart w:id="948" w:name="_Toc144974551"/>
      <w:bookmarkStart w:id="949" w:name="_Toc22580"/>
      <w:bookmarkStart w:id="950" w:name="_Toc2111"/>
      <w:bookmarkStart w:id="951" w:name="_Toc26426"/>
      <w:bookmarkStart w:id="952" w:name="_Toc30679"/>
      <w:bookmarkStart w:id="953" w:name="_Toc247527609"/>
      <w:bookmarkStart w:id="954" w:name="_Toc14178"/>
      <w:bookmarkStart w:id="955" w:name="_Toc152045584"/>
      <w:bookmarkStart w:id="956" w:name="_Toc32454"/>
      <w:bookmarkStart w:id="957" w:name="_Toc485211092"/>
      <w:bookmarkStart w:id="958" w:name="_Toc15621"/>
      <w:bookmarkStart w:id="959" w:name="_Toc152042361"/>
      <w:bookmarkStart w:id="960" w:name="_Toc947"/>
      <w:r>
        <w:rPr>
          <w:rFonts w:hint="eastAsia" w:ascii="宋体" w:hAnsi="宋体" w:cs="宋体"/>
          <w:bCs/>
          <w:sz w:val="28"/>
          <w:szCs w:val="28"/>
          <w:highlight w:val="none"/>
        </w:rPr>
        <w:t>附件四：中标通知书</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14:paraId="14E6216F">
      <w:pPr>
        <w:spacing w:line="400" w:lineRule="exact"/>
        <w:rPr>
          <w:rFonts w:ascii="宋体" w:hAnsi="宋体" w:cs="宋体"/>
          <w:szCs w:val="24"/>
          <w:highlight w:val="none"/>
        </w:rPr>
      </w:pPr>
    </w:p>
    <w:p w14:paraId="7817BFA9">
      <w:pPr>
        <w:spacing w:line="400" w:lineRule="exact"/>
        <w:jc w:val="center"/>
        <w:rPr>
          <w:rFonts w:ascii="宋体" w:hAnsi="宋体" w:cs="宋体"/>
          <w:sz w:val="28"/>
          <w:szCs w:val="28"/>
          <w:highlight w:val="none"/>
        </w:rPr>
      </w:pPr>
      <w:r>
        <w:rPr>
          <w:rFonts w:hint="eastAsia" w:ascii="宋体" w:hAnsi="宋体" w:cs="宋体"/>
          <w:sz w:val="28"/>
          <w:szCs w:val="28"/>
          <w:highlight w:val="none"/>
        </w:rPr>
        <w:t>中标通知书采用广州交易集团有限公司（广州公共资源交易中心）格式</w:t>
      </w:r>
    </w:p>
    <w:p w14:paraId="176A6E51">
      <w:pPr>
        <w:spacing w:line="400" w:lineRule="exact"/>
        <w:rPr>
          <w:rFonts w:ascii="宋体" w:hAnsi="宋体" w:cs="宋体"/>
          <w:szCs w:val="24"/>
          <w:highlight w:val="none"/>
        </w:rPr>
      </w:pPr>
    </w:p>
    <w:p w14:paraId="28127FFC">
      <w:pPr>
        <w:spacing w:line="540" w:lineRule="exact"/>
        <w:jc w:val="center"/>
        <w:rPr>
          <w:rFonts w:ascii="宋体" w:hAnsi="宋体" w:cs="宋体"/>
          <w:szCs w:val="21"/>
          <w:highlight w:val="none"/>
        </w:rPr>
      </w:pPr>
      <w:r>
        <w:rPr>
          <w:rFonts w:hint="eastAsia" w:ascii="宋体" w:hAnsi="宋体" w:cs="宋体"/>
          <w:szCs w:val="21"/>
          <w:highlight w:val="none"/>
        </w:rPr>
        <w:t>（以广州交易集团有限公司（广州公共资源交易中心）出具格式为准）</w:t>
      </w:r>
    </w:p>
    <w:p w14:paraId="2BD277E0">
      <w:pPr>
        <w:spacing w:line="540" w:lineRule="exact"/>
        <w:jc w:val="center"/>
        <w:rPr>
          <w:rFonts w:ascii="宋体" w:hAnsi="宋体" w:cs="宋体"/>
          <w:szCs w:val="21"/>
          <w:highlight w:val="none"/>
        </w:rPr>
      </w:pPr>
    </w:p>
    <w:p w14:paraId="77DEB842">
      <w:pPr>
        <w:spacing w:line="540" w:lineRule="exact"/>
        <w:jc w:val="center"/>
        <w:rPr>
          <w:rFonts w:ascii="宋体" w:hAnsi="宋体" w:cs="宋体"/>
          <w:szCs w:val="21"/>
          <w:highlight w:val="none"/>
        </w:rPr>
      </w:pPr>
    </w:p>
    <w:p w14:paraId="0A68FCCE">
      <w:pPr>
        <w:spacing w:line="540" w:lineRule="exact"/>
        <w:jc w:val="center"/>
        <w:rPr>
          <w:rFonts w:ascii="宋体" w:hAnsi="宋体" w:cs="宋体"/>
          <w:szCs w:val="21"/>
          <w:highlight w:val="none"/>
        </w:rPr>
      </w:pPr>
    </w:p>
    <w:p w14:paraId="38A35652">
      <w:pPr>
        <w:spacing w:line="540" w:lineRule="exact"/>
        <w:jc w:val="center"/>
        <w:rPr>
          <w:rFonts w:ascii="宋体" w:hAnsi="宋体" w:cs="宋体"/>
          <w:szCs w:val="21"/>
          <w:highlight w:val="none"/>
        </w:rPr>
      </w:pPr>
    </w:p>
    <w:p w14:paraId="2F72BE1C">
      <w:pPr>
        <w:spacing w:line="540" w:lineRule="exact"/>
        <w:jc w:val="center"/>
        <w:rPr>
          <w:rFonts w:ascii="宋体" w:hAnsi="宋体" w:cs="宋体"/>
          <w:szCs w:val="21"/>
          <w:highlight w:val="none"/>
        </w:rPr>
      </w:pPr>
    </w:p>
    <w:p w14:paraId="0F51A36E">
      <w:pPr>
        <w:spacing w:line="540" w:lineRule="exact"/>
        <w:jc w:val="center"/>
        <w:rPr>
          <w:rFonts w:ascii="宋体" w:hAnsi="宋体" w:cs="宋体"/>
          <w:szCs w:val="24"/>
          <w:highlight w:val="none"/>
        </w:rPr>
        <w:sectPr>
          <w:pgSz w:w="11905" w:h="16838"/>
          <w:pgMar w:top="1247" w:right="1247" w:bottom="1247" w:left="1247" w:header="567" w:footer="850" w:gutter="0"/>
          <w:pgBorders>
            <w:top w:val="none" w:sz="0" w:space="0"/>
            <w:left w:val="none" w:sz="0" w:space="0"/>
            <w:bottom w:val="none" w:sz="0" w:space="0"/>
            <w:right w:val="none" w:sz="0" w:space="0"/>
          </w:pgBorders>
          <w:cols w:space="720" w:num="1"/>
          <w:docGrid w:type="lines" w:linePitch="312" w:charSpace="0"/>
        </w:sectPr>
      </w:pPr>
    </w:p>
    <w:p w14:paraId="02022E58">
      <w:pPr>
        <w:keepNext/>
        <w:keepLines/>
        <w:spacing w:before="340" w:after="330" w:line="576" w:lineRule="auto"/>
        <w:jc w:val="center"/>
        <w:outlineLvl w:val="0"/>
        <w:rPr>
          <w:rFonts w:ascii="宋体" w:hAnsi="宋体" w:cs="宋体"/>
          <w:b/>
          <w:bCs/>
          <w:kern w:val="44"/>
          <w:sz w:val="44"/>
          <w:szCs w:val="44"/>
          <w:highlight w:val="none"/>
        </w:rPr>
      </w:pPr>
      <w:bookmarkStart w:id="961" w:name="_Toc144974565"/>
      <w:bookmarkStart w:id="962" w:name="_Toc14000"/>
      <w:bookmarkStart w:id="963" w:name="_Toc247527623"/>
      <w:bookmarkStart w:id="964" w:name="_Toc24996"/>
      <w:bookmarkStart w:id="965" w:name="_Toc247514022"/>
      <w:bookmarkStart w:id="966" w:name="_Toc5053"/>
      <w:bookmarkStart w:id="967" w:name="_Toc152045598"/>
      <w:bookmarkStart w:id="968" w:name="_Toc5899"/>
      <w:bookmarkStart w:id="969" w:name="_Toc32048"/>
      <w:bookmarkStart w:id="970" w:name="_Toc485211093"/>
      <w:bookmarkStart w:id="971" w:name="_Toc13679"/>
      <w:bookmarkStart w:id="972" w:name="_Toc9673"/>
      <w:bookmarkStart w:id="973" w:name="_Toc152042375"/>
      <w:bookmarkStart w:id="974" w:name="_Toc354847399"/>
      <w:r>
        <w:rPr>
          <w:rFonts w:hint="eastAsia" w:ascii="宋体" w:hAnsi="宋体" w:cs="宋体"/>
          <w:b/>
          <w:bCs/>
          <w:kern w:val="44"/>
          <w:sz w:val="44"/>
          <w:szCs w:val="44"/>
          <w:highlight w:val="none"/>
        </w:rPr>
        <w:t>第三章 评标办法</w:t>
      </w:r>
      <w:bookmarkEnd w:id="961"/>
      <w:bookmarkEnd w:id="962"/>
      <w:bookmarkEnd w:id="963"/>
      <w:bookmarkEnd w:id="964"/>
      <w:bookmarkEnd w:id="965"/>
      <w:bookmarkEnd w:id="966"/>
      <w:bookmarkEnd w:id="967"/>
      <w:bookmarkEnd w:id="968"/>
      <w:bookmarkEnd w:id="969"/>
      <w:bookmarkEnd w:id="970"/>
      <w:bookmarkEnd w:id="971"/>
      <w:bookmarkEnd w:id="972"/>
      <w:bookmarkEnd w:id="973"/>
      <w:bookmarkStart w:id="975" w:name="_Toc144974566"/>
      <w:bookmarkStart w:id="976" w:name="_Toc152045599"/>
      <w:bookmarkStart w:id="977" w:name="_Toc247514023"/>
      <w:bookmarkStart w:id="978" w:name="_Toc247527624"/>
      <w:bookmarkStart w:id="979" w:name="_Toc152042376"/>
    </w:p>
    <w:bookmarkEnd w:id="975"/>
    <w:bookmarkEnd w:id="976"/>
    <w:bookmarkEnd w:id="977"/>
    <w:bookmarkEnd w:id="978"/>
    <w:bookmarkEnd w:id="979"/>
    <w:p w14:paraId="2BEAA9F9">
      <w:pPr>
        <w:jc w:val="center"/>
        <w:rPr>
          <w:b/>
          <w:bCs/>
          <w:sz w:val="28"/>
          <w:szCs w:val="32"/>
          <w:highlight w:val="none"/>
        </w:rPr>
      </w:pPr>
      <w:bookmarkStart w:id="980" w:name="_Toc19639"/>
      <w:bookmarkStart w:id="981" w:name="_Toc399165430"/>
      <w:bookmarkStart w:id="982" w:name="_Toc17809"/>
      <w:bookmarkStart w:id="983" w:name="_Toc26598"/>
      <w:bookmarkStart w:id="984" w:name="_Toc29441"/>
      <w:bookmarkStart w:id="985" w:name="_Toc18534"/>
      <w:bookmarkStart w:id="986" w:name="_Toc25722"/>
      <w:bookmarkStart w:id="987" w:name="_Toc24145"/>
      <w:bookmarkStart w:id="988" w:name="_Toc26731"/>
      <w:bookmarkStart w:id="989" w:name="_Toc436834777"/>
      <w:bookmarkStart w:id="990" w:name="_Toc30443"/>
      <w:bookmarkStart w:id="991" w:name="_Toc485211094"/>
      <w:bookmarkStart w:id="992" w:name="_Toc300835009"/>
      <w:bookmarkStart w:id="993" w:name="_Toc4140"/>
      <w:bookmarkStart w:id="994" w:name="_Toc28730"/>
      <w:bookmarkStart w:id="995" w:name="_Toc436834184"/>
      <w:r>
        <w:rPr>
          <w:rFonts w:hint="eastAsia"/>
          <w:b/>
          <w:bCs/>
          <w:sz w:val="28"/>
          <w:szCs w:val="32"/>
          <w:highlight w:val="none"/>
        </w:rPr>
        <w:t>评标办法前附表</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14:paraId="1A73964F">
      <w:pPr>
        <w:rPr>
          <w:rFonts w:ascii="宋体" w:hAnsi="宋体" w:cs="宋体"/>
          <w:szCs w:val="24"/>
          <w:highlight w:val="none"/>
        </w:rPr>
      </w:pPr>
    </w:p>
    <w:tbl>
      <w:tblPr>
        <w:tblStyle w:val="41"/>
        <w:tblW w:w="0" w:type="auto"/>
        <w:tblInd w:w="108" w:type="dxa"/>
        <w:tblLayout w:type="fixed"/>
        <w:tblCellMar>
          <w:top w:w="57" w:type="dxa"/>
          <w:left w:w="108" w:type="dxa"/>
          <w:bottom w:w="57" w:type="dxa"/>
          <w:right w:w="108" w:type="dxa"/>
        </w:tblCellMar>
      </w:tblPr>
      <w:tblGrid>
        <w:gridCol w:w="840"/>
        <w:gridCol w:w="2279"/>
        <w:gridCol w:w="1559"/>
        <w:gridCol w:w="4888"/>
      </w:tblGrid>
      <w:tr w14:paraId="0367F4F9">
        <w:tblPrEx>
          <w:tblCellMar>
            <w:top w:w="57" w:type="dxa"/>
            <w:left w:w="108" w:type="dxa"/>
            <w:bottom w:w="57" w:type="dxa"/>
            <w:right w:w="108" w:type="dxa"/>
          </w:tblCellMar>
        </w:tblPrEx>
        <w:trPr>
          <w:trHeight w:val="492" w:hRule="atLeast"/>
          <w:tblHeader/>
        </w:trPr>
        <w:tc>
          <w:tcPr>
            <w:tcW w:w="3119" w:type="dxa"/>
            <w:gridSpan w:val="2"/>
            <w:tcBorders>
              <w:top w:val="single" w:color="000000" w:sz="4" w:space="0"/>
              <w:left w:val="single" w:color="000000" w:sz="4" w:space="0"/>
              <w:bottom w:val="single" w:color="000000" w:sz="6" w:space="0"/>
              <w:right w:val="single" w:color="000000" w:sz="6" w:space="0"/>
            </w:tcBorders>
            <w:vAlign w:val="center"/>
          </w:tcPr>
          <w:p w14:paraId="537160EE">
            <w:pPr>
              <w:spacing w:line="360" w:lineRule="auto"/>
              <w:jc w:val="center"/>
              <w:rPr>
                <w:rFonts w:ascii="宋体" w:hAnsi="宋体" w:cs="宋体"/>
                <w:b/>
                <w:kern w:val="1"/>
                <w:sz w:val="24"/>
                <w:szCs w:val="24"/>
                <w:highlight w:val="none"/>
              </w:rPr>
            </w:pPr>
            <w:r>
              <w:rPr>
                <w:rFonts w:hint="eastAsia" w:ascii="宋体" w:hAnsi="宋体" w:cs="宋体"/>
                <w:b/>
                <w:kern w:val="1"/>
                <w:sz w:val="24"/>
                <w:szCs w:val="24"/>
                <w:highlight w:val="none"/>
              </w:rPr>
              <w:t>条款号</w:t>
            </w:r>
          </w:p>
        </w:tc>
        <w:tc>
          <w:tcPr>
            <w:tcW w:w="1559" w:type="dxa"/>
            <w:tcBorders>
              <w:top w:val="single" w:color="000000" w:sz="4" w:space="0"/>
              <w:left w:val="single" w:color="000000" w:sz="6" w:space="0"/>
              <w:bottom w:val="single" w:color="000000" w:sz="6" w:space="0"/>
              <w:right w:val="single" w:color="000000" w:sz="6" w:space="0"/>
            </w:tcBorders>
            <w:vAlign w:val="center"/>
          </w:tcPr>
          <w:p w14:paraId="491D8544">
            <w:pPr>
              <w:spacing w:line="360" w:lineRule="auto"/>
              <w:jc w:val="center"/>
              <w:rPr>
                <w:rFonts w:ascii="宋体" w:hAnsi="宋体" w:cs="宋体"/>
                <w:b/>
                <w:kern w:val="1"/>
                <w:sz w:val="24"/>
                <w:szCs w:val="24"/>
                <w:highlight w:val="none"/>
              </w:rPr>
            </w:pPr>
            <w:r>
              <w:rPr>
                <w:rFonts w:hint="eastAsia" w:ascii="宋体" w:hAnsi="宋体" w:cs="宋体"/>
                <w:b/>
                <w:kern w:val="1"/>
                <w:sz w:val="24"/>
                <w:szCs w:val="24"/>
                <w:highlight w:val="none"/>
              </w:rPr>
              <w:t>评审因素</w:t>
            </w:r>
          </w:p>
        </w:tc>
        <w:tc>
          <w:tcPr>
            <w:tcW w:w="4888" w:type="dxa"/>
            <w:tcBorders>
              <w:top w:val="single" w:color="000000" w:sz="4" w:space="0"/>
              <w:left w:val="single" w:color="000000" w:sz="6" w:space="0"/>
              <w:bottom w:val="single" w:color="000000" w:sz="6" w:space="0"/>
              <w:right w:val="single" w:color="000000" w:sz="4" w:space="0"/>
            </w:tcBorders>
            <w:vAlign w:val="center"/>
          </w:tcPr>
          <w:p w14:paraId="6C198D1B">
            <w:pPr>
              <w:spacing w:line="360" w:lineRule="auto"/>
              <w:jc w:val="center"/>
              <w:rPr>
                <w:rFonts w:ascii="宋体" w:hAnsi="宋体" w:cs="宋体"/>
                <w:b/>
                <w:kern w:val="1"/>
                <w:sz w:val="24"/>
                <w:szCs w:val="24"/>
                <w:highlight w:val="none"/>
              </w:rPr>
            </w:pPr>
            <w:r>
              <w:rPr>
                <w:rFonts w:hint="eastAsia" w:ascii="宋体" w:hAnsi="宋体" w:cs="宋体"/>
                <w:b/>
                <w:kern w:val="1"/>
                <w:sz w:val="24"/>
                <w:szCs w:val="24"/>
                <w:highlight w:val="none"/>
              </w:rPr>
              <w:t>评审标准</w:t>
            </w:r>
          </w:p>
        </w:tc>
      </w:tr>
      <w:tr w14:paraId="0B0B285A">
        <w:tblPrEx>
          <w:tblCellMar>
            <w:top w:w="57" w:type="dxa"/>
            <w:left w:w="108" w:type="dxa"/>
            <w:bottom w:w="57" w:type="dxa"/>
            <w:right w:w="108" w:type="dxa"/>
          </w:tblCellMar>
        </w:tblPrEx>
        <w:trPr>
          <w:trHeight w:val="627" w:hRule="atLeast"/>
        </w:trPr>
        <w:tc>
          <w:tcPr>
            <w:tcW w:w="840" w:type="dxa"/>
            <w:tcBorders>
              <w:top w:val="single" w:color="000000" w:sz="6" w:space="0"/>
              <w:left w:val="single" w:color="000000" w:sz="4" w:space="0"/>
              <w:right w:val="single" w:color="000000" w:sz="6" w:space="0"/>
            </w:tcBorders>
            <w:vAlign w:val="center"/>
          </w:tcPr>
          <w:p w14:paraId="3337DA6D">
            <w:pPr>
              <w:jc w:val="center"/>
              <w:rPr>
                <w:rFonts w:ascii="宋体" w:hAnsi="宋体" w:cs="宋体"/>
                <w:highlight w:val="none"/>
              </w:rPr>
            </w:pPr>
            <w:r>
              <w:rPr>
                <w:rFonts w:hint="eastAsia" w:ascii="宋体" w:hAnsi="宋体" w:cs="宋体"/>
                <w:highlight w:val="none"/>
              </w:rPr>
              <w:t>2.1.1</w:t>
            </w:r>
          </w:p>
        </w:tc>
        <w:tc>
          <w:tcPr>
            <w:tcW w:w="2279" w:type="dxa"/>
            <w:tcBorders>
              <w:top w:val="single" w:color="000000" w:sz="6" w:space="0"/>
              <w:left w:val="single" w:color="000000" w:sz="6" w:space="0"/>
              <w:right w:val="single" w:color="000000" w:sz="6" w:space="0"/>
            </w:tcBorders>
            <w:vAlign w:val="center"/>
          </w:tcPr>
          <w:p w14:paraId="5D38D24E">
            <w:pPr>
              <w:jc w:val="center"/>
              <w:rPr>
                <w:rFonts w:ascii="宋体" w:hAnsi="宋体" w:cs="宋体"/>
                <w:highlight w:val="none"/>
              </w:rPr>
            </w:pPr>
            <w:r>
              <w:rPr>
                <w:rFonts w:hint="eastAsia" w:ascii="宋体" w:hAnsi="宋体" w:cs="宋体"/>
                <w:highlight w:val="none"/>
              </w:rPr>
              <w:t>资格审查</w:t>
            </w:r>
          </w:p>
        </w:tc>
        <w:tc>
          <w:tcPr>
            <w:tcW w:w="6447" w:type="dxa"/>
            <w:gridSpan w:val="2"/>
            <w:tcBorders>
              <w:top w:val="single" w:color="000000" w:sz="6" w:space="0"/>
              <w:left w:val="single" w:color="000000" w:sz="6" w:space="0"/>
              <w:bottom w:val="single" w:color="000000" w:sz="6" w:space="0"/>
              <w:right w:val="single" w:color="000000" w:sz="4" w:space="0"/>
            </w:tcBorders>
            <w:vAlign w:val="center"/>
          </w:tcPr>
          <w:p w14:paraId="0F66DAA7">
            <w:pPr>
              <w:spacing w:line="360" w:lineRule="auto"/>
              <w:jc w:val="left"/>
              <w:rPr>
                <w:rFonts w:ascii="宋体" w:hAnsi="宋体" w:cs="宋体"/>
                <w:szCs w:val="21"/>
                <w:highlight w:val="none"/>
              </w:rPr>
            </w:pPr>
            <w:r>
              <w:rPr>
                <w:rFonts w:hint="eastAsia" w:ascii="宋体" w:hAnsi="宋体" w:cs="宋体"/>
                <w:szCs w:val="21"/>
                <w:highlight w:val="none"/>
              </w:rPr>
              <w:t>见附表1《资格审查表》</w:t>
            </w:r>
          </w:p>
        </w:tc>
      </w:tr>
      <w:tr w14:paraId="713400DF">
        <w:tblPrEx>
          <w:tblCellMar>
            <w:top w:w="57" w:type="dxa"/>
            <w:left w:w="108" w:type="dxa"/>
            <w:bottom w:w="57" w:type="dxa"/>
            <w:right w:w="108" w:type="dxa"/>
          </w:tblCellMar>
        </w:tblPrEx>
        <w:trPr>
          <w:trHeight w:val="397" w:hRule="atLeast"/>
        </w:trPr>
        <w:tc>
          <w:tcPr>
            <w:tcW w:w="840" w:type="dxa"/>
            <w:vMerge w:val="restart"/>
            <w:tcBorders>
              <w:top w:val="single" w:color="000000" w:sz="6" w:space="0"/>
              <w:left w:val="single" w:color="000000" w:sz="4" w:space="0"/>
              <w:right w:val="single" w:color="000000" w:sz="6" w:space="0"/>
            </w:tcBorders>
            <w:vAlign w:val="center"/>
          </w:tcPr>
          <w:p w14:paraId="59E4C3FF">
            <w:pPr>
              <w:jc w:val="center"/>
              <w:rPr>
                <w:rFonts w:ascii="宋体" w:hAnsi="宋体" w:cs="宋体"/>
                <w:highlight w:val="none"/>
              </w:rPr>
            </w:pPr>
            <w:r>
              <w:rPr>
                <w:rFonts w:hint="eastAsia" w:ascii="宋体" w:hAnsi="宋体" w:cs="宋体"/>
                <w:highlight w:val="none"/>
              </w:rPr>
              <w:t>2.1.2</w:t>
            </w:r>
          </w:p>
        </w:tc>
        <w:tc>
          <w:tcPr>
            <w:tcW w:w="2279" w:type="dxa"/>
            <w:vMerge w:val="restart"/>
            <w:tcBorders>
              <w:top w:val="single" w:color="000000" w:sz="6" w:space="0"/>
              <w:left w:val="single" w:color="000000" w:sz="6" w:space="0"/>
              <w:right w:val="single" w:color="000000" w:sz="6" w:space="0"/>
            </w:tcBorders>
            <w:vAlign w:val="center"/>
          </w:tcPr>
          <w:p w14:paraId="0809218A">
            <w:pPr>
              <w:jc w:val="center"/>
              <w:rPr>
                <w:rFonts w:ascii="宋体" w:hAnsi="宋体" w:cs="宋体"/>
                <w:highlight w:val="none"/>
              </w:rPr>
            </w:pPr>
            <w:r>
              <w:rPr>
                <w:rFonts w:hint="eastAsia" w:ascii="宋体" w:hAnsi="宋体" w:cs="宋体"/>
                <w:highlight w:val="none"/>
              </w:rPr>
              <w:t>有效性审查</w:t>
            </w:r>
          </w:p>
        </w:tc>
        <w:tc>
          <w:tcPr>
            <w:tcW w:w="6447" w:type="dxa"/>
            <w:gridSpan w:val="2"/>
            <w:tcBorders>
              <w:top w:val="single" w:color="000000" w:sz="6" w:space="0"/>
              <w:left w:val="single" w:color="000000" w:sz="6" w:space="0"/>
              <w:bottom w:val="single" w:color="000000" w:sz="6" w:space="0"/>
              <w:right w:val="single" w:color="000000" w:sz="4" w:space="0"/>
            </w:tcBorders>
            <w:vAlign w:val="center"/>
          </w:tcPr>
          <w:p w14:paraId="0A5BE229">
            <w:pPr>
              <w:spacing w:line="360" w:lineRule="auto"/>
              <w:jc w:val="left"/>
              <w:rPr>
                <w:rFonts w:ascii="宋体" w:hAnsi="宋体" w:cs="宋体"/>
                <w:szCs w:val="21"/>
                <w:highlight w:val="none"/>
              </w:rPr>
            </w:pPr>
            <w:r>
              <w:rPr>
                <w:rFonts w:hint="eastAsia" w:ascii="宋体" w:hAnsi="宋体" w:cs="宋体"/>
                <w:szCs w:val="21"/>
                <w:highlight w:val="none"/>
              </w:rPr>
              <w:t>见附表2《工程总承包实施方案投标文件有效性审查表》</w:t>
            </w:r>
          </w:p>
        </w:tc>
      </w:tr>
      <w:tr w14:paraId="26401776">
        <w:tblPrEx>
          <w:tblCellMar>
            <w:top w:w="57" w:type="dxa"/>
            <w:left w:w="108" w:type="dxa"/>
            <w:bottom w:w="57" w:type="dxa"/>
            <w:right w:w="108" w:type="dxa"/>
          </w:tblCellMar>
        </w:tblPrEx>
        <w:trPr>
          <w:trHeight w:val="397" w:hRule="atLeast"/>
        </w:trPr>
        <w:tc>
          <w:tcPr>
            <w:tcW w:w="840" w:type="dxa"/>
            <w:vMerge w:val="continue"/>
            <w:tcBorders>
              <w:left w:val="single" w:color="000000" w:sz="4" w:space="0"/>
              <w:bottom w:val="single" w:color="auto" w:sz="4" w:space="0"/>
              <w:right w:val="single" w:color="000000" w:sz="6" w:space="0"/>
            </w:tcBorders>
            <w:vAlign w:val="center"/>
          </w:tcPr>
          <w:p w14:paraId="1DF292BD">
            <w:pPr>
              <w:jc w:val="center"/>
              <w:rPr>
                <w:rFonts w:ascii="宋体" w:hAnsi="宋体" w:cs="宋体"/>
                <w:highlight w:val="none"/>
              </w:rPr>
            </w:pPr>
          </w:p>
        </w:tc>
        <w:tc>
          <w:tcPr>
            <w:tcW w:w="2279" w:type="dxa"/>
            <w:vMerge w:val="continue"/>
            <w:tcBorders>
              <w:left w:val="single" w:color="000000" w:sz="6" w:space="0"/>
              <w:bottom w:val="single" w:color="auto" w:sz="4" w:space="0"/>
              <w:right w:val="single" w:color="000000" w:sz="6" w:space="0"/>
            </w:tcBorders>
            <w:vAlign w:val="center"/>
          </w:tcPr>
          <w:p w14:paraId="696B61E1">
            <w:pPr>
              <w:jc w:val="center"/>
              <w:rPr>
                <w:rFonts w:ascii="宋体" w:hAnsi="宋体" w:cs="宋体"/>
                <w:highlight w:val="none"/>
              </w:rPr>
            </w:pPr>
          </w:p>
        </w:tc>
        <w:tc>
          <w:tcPr>
            <w:tcW w:w="6447" w:type="dxa"/>
            <w:gridSpan w:val="2"/>
            <w:tcBorders>
              <w:top w:val="single" w:color="000000" w:sz="6" w:space="0"/>
              <w:left w:val="single" w:color="000000" w:sz="6" w:space="0"/>
              <w:bottom w:val="single" w:color="000000" w:sz="6" w:space="0"/>
              <w:right w:val="single" w:color="000000" w:sz="4" w:space="0"/>
            </w:tcBorders>
            <w:vAlign w:val="center"/>
          </w:tcPr>
          <w:p w14:paraId="06734310">
            <w:pPr>
              <w:spacing w:line="360" w:lineRule="auto"/>
              <w:jc w:val="left"/>
              <w:rPr>
                <w:rFonts w:ascii="宋体" w:hAnsi="宋体" w:cs="宋体"/>
                <w:szCs w:val="21"/>
                <w:highlight w:val="none"/>
              </w:rPr>
            </w:pPr>
            <w:r>
              <w:rPr>
                <w:rFonts w:hint="eastAsia" w:ascii="宋体" w:hAnsi="宋体" w:cs="宋体"/>
                <w:szCs w:val="21"/>
                <w:highlight w:val="none"/>
              </w:rPr>
              <w:t>见</w:t>
            </w:r>
            <w:r>
              <w:rPr>
                <w:rFonts w:hint="eastAsia" w:ascii="宋体" w:hAnsi="宋体" w:cs="宋体"/>
                <w:kern w:val="1"/>
                <w:szCs w:val="21"/>
                <w:highlight w:val="none"/>
              </w:rPr>
              <w:t>附表3《经济标投标文件有效性审查表》</w:t>
            </w:r>
          </w:p>
        </w:tc>
      </w:tr>
      <w:tr w14:paraId="1A851277">
        <w:tblPrEx>
          <w:tblCellMar>
            <w:top w:w="57" w:type="dxa"/>
            <w:left w:w="108" w:type="dxa"/>
            <w:bottom w:w="57" w:type="dxa"/>
            <w:right w:w="108" w:type="dxa"/>
          </w:tblCellMar>
        </w:tblPrEx>
        <w:trPr>
          <w:trHeight w:val="397"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14:paraId="66E1D919">
            <w:pPr>
              <w:spacing w:line="360" w:lineRule="auto"/>
              <w:jc w:val="center"/>
              <w:rPr>
                <w:rFonts w:ascii="宋体" w:hAnsi="宋体" w:cs="宋体"/>
                <w:sz w:val="24"/>
                <w:szCs w:val="24"/>
                <w:highlight w:val="none"/>
              </w:rPr>
            </w:pPr>
            <w:r>
              <w:rPr>
                <w:rFonts w:hint="eastAsia" w:ascii="宋体" w:hAnsi="宋体" w:cs="宋体"/>
                <w:b/>
                <w:kern w:val="1"/>
                <w:sz w:val="24"/>
                <w:szCs w:val="24"/>
                <w:highlight w:val="none"/>
              </w:rPr>
              <w:t>条款号</w:t>
            </w:r>
          </w:p>
        </w:tc>
        <w:tc>
          <w:tcPr>
            <w:tcW w:w="1559" w:type="dxa"/>
            <w:tcBorders>
              <w:top w:val="single" w:color="000000" w:sz="6" w:space="0"/>
              <w:left w:val="single" w:color="auto" w:sz="4" w:space="0"/>
              <w:bottom w:val="single" w:color="000000" w:sz="6" w:space="0"/>
              <w:right w:val="single" w:color="000000" w:sz="4" w:space="0"/>
            </w:tcBorders>
            <w:vAlign w:val="center"/>
          </w:tcPr>
          <w:p w14:paraId="41271E50">
            <w:pPr>
              <w:spacing w:line="360" w:lineRule="auto"/>
              <w:jc w:val="center"/>
              <w:rPr>
                <w:rFonts w:ascii="宋体" w:hAnsi="宋体" w:cs="宋体"/>
                <w:sz w:val="24"/>
                <w:szCs w:val="24"/>
                <w:highlight w:val="none"/>
              </w:rPr>
            </w:pPr>
            <w:r>
              <w:rPr>
                <w:rFonts w:hint="eastAsia" w:ascii="宋体" w:hAnsi="宋体" w:cs="宋体"/>
                <w:b/>
                <w:kern w:val="1"/>
                <w:sz w:val="24"/>
                <w:szCs w:val="24"/>
                <w:highlight w:val="none"/>
              </w:rPr>
              <w:t>条款内容</w:t>
            </w:r>
          </w:p>
        </w:tc>
        <w:tc>
          <w:tcPr>
            <w:tcW w:w="4888" w:type="dxa"/>
            <w:tcBorders>
              <w:top w:val="single" w:color="000000" w:sz="6" w:space="0"/>
              <w:left w:val="single" w:color="auto" w:sz="4" w:space="0"/>
              <w:bottom w:val="single" w:color="000000" w:sz="6" w:space="0"/>
              <w:right w:val="single" w:color="000000" w:sz="4" w:space="0"/>
            </w:tcBorders>
            <w:vAlign w:val="center"/>
          </w:tcPr>
          <w:p w14:paraId="3CC9FF79">
            <w:pPr>
              <w:spacing w:line="360" w:lineRule="auto"/>
              <w:jc w:val="center"/>
              <w:rPr>
                <w:rFonts w:ascii="宋体" w:hAnsi="宋体" w:cs="宋体"/>
                <w:sz w:val="24"/>
                <w:szCs w:val="24"/>
                <w:highlight w:val="none"/>
              </w:rPr>
            </w:pPr>
            <w:r>
              <w:rPr>
                <w:rFonts w:hint="eastAsia" w:ascii="宋体" w:hAnsi="宋体" w:cs="宋体"/>
                <w:b/>
                <w:kern w:val="1"/>
                <w:sz w:val="24"/>
                <w:szCs w:val="24"/>
                <w:highlight w:val="none"/>
              </w:rPr>
              <w:t>编列内容</w:t>
            </w:r>
          </w:p>
        </w:tc>
      </w:tr>
      <w:tr w14:paraId="57381393">
        <w:tblPrEx>
          <w:tblCellMar>
            <w:top w:w="57" w:type="dxa"/>
            <w:left w:w="108" w:type="dxa"/>
            <w:bottom w:w="57" w:type="dxa"/>
            <w:right w:w="108" w:type="dxa"/>
          </w:tblCellMar>
        </w:tblPrEx>
        <w:trPr>
          <w:trHeight w:val="1488"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14:paraId="7062367A">
            <w:pPr>
              <w:jc w:val="center"/>
              <w:rPr>
                <w:rFonts w:ascii="宋体" w:hAnsi="宋体" w:cs="宋体"/>
                <w:sz w:val="24"/>
                <w:szCs w:val="24"/>
                <w:highlight w:val="none"/>
              </w:rPr>
            </w:pPr>
            <w:r>
              <w:rPr>
                <w:rFonts w:hint="eastAsia" w:ascii="宋体" w:hAnsi="宋体" w:cs="宋体"/>
                <w:highlight w:val="none"/>
              </w:rPr>
              <w:t>2.2.1</w:t>
            </w:r>
          </w:p>
        </w:tc>
        <w:tc>
          <w:tcPr>
            <w:tcW w:w="1559" w:type="dxa"/>
            <w:tcBorders>
              <w:top w:val="single" w:color="000000" w:sz="6" w:space="0"/>
              <w:left w:val="single" w:color="auto" w:sz="4" w:space="0"/>
              <w:bottom w:val="single" w:color="000000" w:sz="6" w:space="0"/>
              <w:right w:val="single" w:color="000000" w:sz="4" w:space="0"/>
            </w:tcBorders>
            <w:vAlign w:val="center"/>
          </w:tcPr>
          <w:p w14:paraId="7D82F660">
            <w:pPr>
              <w:jc w:val="center"/>
              <w:rPr>
                <w:rFonts w:ascii="宋体" w:hAnsi="宋体" w:cs="宋体"/>
                <w:sz w:val="24"/>
                <w:szCs w:val="24"/>
                <w:highlight w:val="none"/>
              </w:rPr>
            </w:pPr>
            <w:r>
              <w:rPr>
                <w:rFonts w:hint="eastAsia" w:ascii="宋体" w:hAnsi="宋体" w:cs="宋体"/>
                <w:highlight w:val="none"/>
              </w:rPr>
              <w:t>分值构成及权重</w:t>
            </w:r>
          </w:p>
        </w:tc>
        <w:tc>
          <w:tcPr>
            <w:tcW w:w="4888" w:type="dxa"/>
            <w:tcBorders>
              <w:top w:val="single" w:color="000000" w:sz="6" w:space="0"/>
              <w:left w:val="single" w:color="auto" w:sz="4" w:space="0"/>
              <w:bottom w:val="single" w:color="000000" w:sz="6" w:space="0"/>
              <w:right w:val="single" w:color="000000" w:sz="4" w:space="0"/>
            </w:tcBorders>
            <w:vAlign w:val="center"/>
          </w:tcPr>
          <w:p w14:paraId="46614D10">
            <w:pPr>
              <w:pStyle w:val="22"/>
              <w:rPr>
                <w:rFonts w:hAnsi="宋体" w:cs="宋体"/>
                <w:highlight w:val="none"/>
              </w:rPr>
            </w:pPr>
            <w:r>
              <w:rPr>
                <w:rFonts w:hAnsi="宋体" w:cs="宋体"/>
                <w:highlight w:val="none"/>
              </w:rPr>
              <w:t>投标人总得分</w:t>
            </w:r>
            <w:r>
              <w:rPr>
                <w:rFonts w:hint="eastAsia" w:hAnsi="宋体" w:cs="宋体"/>
                <w:highlight w:val="none"/>
                <w:lang w:val="en-US"/>
              </w:rPr>
              <w:t>满分100分</w:t>
            </w:r>
            <w:r>
              <w:rPr>
                <w:rFonts w:hAnsi="宋体" w:cs="宋体"/>
                <w:highlight w:val="none"/>
              </w:rPr>
              <w:t>=[工程总承包实施方案部分得分</w:t>
            </w:r>
            <w:r>
              <w:rPr>
                <w:rFonts w:hint="eastAsia" w:hAnsi="宋体" w:cs="宋体"/>
                <w:highlight w:val="none"/>
              </w:rPr>
              <w:t>（权重</w:t>
            </w:r>
            <w:r>
              <w:rPr>
                <w:rFonts w:hint="eastAsia" w:hAnsi="宋体" w:cs="宋体"/>
                <w:highlight w:val="none"/>
                <w:lang w:val="en-US" w:eastAsia="zh-CN"/>
              </w:rPr>
              <w:t>6</w:t>
            </w:r>
            <w:r>
              <w:rPr>
                <w:rFonts w:hint="eastAsia" w:hAnsi="宋体" w:cs="宋体"/>
                <w:highlight w:val="none"/>
                <w:lang w:val="en-US"/>
              </w:rPr>
              <w:t>0</w:t>
            </w:r>
            <w:r>
              <w:rPr>
                <w:rFonts w:hint="eastAsia" w:hAnsi="宋体" w:cs="宋体"/>
                <w:highlight w:val="none"/>
              </w:rPr>
              <w:t>%）+投标报价（权重</w:t>
            </w:r>
            <w:r>
              <w:rPr>
                <w:rFonts w:hint="eastAsia" w:hAnsi="宋体" w:cs="宋体"/>
                <w:highlight w:val="none"/>
                <w:lang w:val="en-US" w:eastAsia="zh-CN"/>
              </w:rPr>
              <w:t>4</w:t>
            </w:r>
            <w:r>
              <w:rPr>
                <w:rFonts w:hint="eastAsia" w:hAnsi="宋体" w:cs="宋体"/>
                <w:highlight w:val="none"/>
              </w:rPr>
              <w:t>0%）]</w:t>
            </w:r>
          </w:p>
          <w:p w14:paraId="2A958793">
            <w:pPr>
              <w:pStyle w:val="22"/>
              <w:rPr>
                <w:rFonts w:hAnsi="宋体" w:cs="宋体"/>
                <w:highlight w:val="none"/>
              </w:rPr>
            </w:pPr>
            <w:r>
              <w:rPr>
                <w:rFonts w:hint="eastAsia" w:hAnsi="宋体" w:cs="宋体"/>
                <w:highlight w:val="none"/>
              </w:rPr>
              <w:t>工程总承包实施方案得分100分：资信部分（</w:t>
            </w:r>
            <w:r>
              <w:rPr>
                <w:rFonts w:hint="eastAsia" w:hAnsi="宋体" w:cs="宋体"/>
                <w:highlight w:val="none"/>
                <w:lang w:val="en-US"/>
              </w:rPr>
              <w:t>30</w:t>
            </w:r>
            <w:r>
              <w:rPr>
                <w:rFonts w:hint="eastAsia" w:hAnsi="宋体" w:cs="宋体"/>
                <w:highlight w:val="none"/>
              </w:rPr>
              <w:t>分）+项目实施组织方案部分（</w:t>
            </w:r>
            <w:r>
              <w:rPr>
                <w:rFonts w:hint="eastAsia" w:hAnsi="宋体" w:cs="宋体"/>
                <w:highlight w:val="none"/>
                <w:lang w:val="en-US"/>
              </w:rPr>
              <w:t>70</w:t>
            </w:r>
            <w:r>
              <w:rPr>
                <w:rFonts w:hint="eastAsia" w:hAnsi="宋体" w:cs="宋体"/>
                <w:highlight w:val="none"/>
              </w:rPr>
              <w:t>分）</w:t>
            </w:r>
          </w:p>
          <w:p w14:paraId="1ECAF542">
            <w:pPr>
              <w:rPr>
                <w:rFonts w:ascii="宋体" w:hAnsi="宋体" w:cs="宋体"/>
                <w:sz w:val="24"/>
                <w:szCs w:val="24"/>
                <w:highlight w:val="none"/>
              </w:rPr>
            </w:pPr>
            <w:r>
              <w:rPr>
                <w:rFonts w:hint="eastAsia" w:ascii="宋体" w:hAnsi="宋体" w:cs="宋体"/>
                <w:highlight w:val="none"/>
              </w:rPr>
              <w:t>投标报价得分：100分。</w:t>
            </w:r>
          </w:p>
        </w:tc>
      </w:tr>
      <w:tr w14:paraId="2C4EF06B">
        <w:tblPrEx>
          <w:tblCellMar>
            <w:top w:w="57" w:type="dxa"/>
            <w:left w:w="108" w:type="dxa"/>
            <w:bottom w:w="57" w:type="dxa"/>
            <w:right w:w="108" w:type="dxa"/>
          </w:tblCellMar>
        </w:tblPrEx>
        <w:trPr>
          <w:trHeight w:val="397"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14:paraId="1F868E85">
            <w:pPr>
              <w:spacing w:line="360" w:lineRule="auto"/>
              <w:jc w:val="center"/>
              <w:rPr>
                <w:rFonts w:ascii="宋体" w:hAnsi="宋体" w:cs="宋体"/>
                <w:sz w:val="24"/>
                <w:szCs w:val="24"/>
                <w:highlight w:val="none"/>
              </w:rPr>
            </w:pPr>
            <w:r>
              <w:rPr>
                <w:rFonts w:hint="eastAsia" w:ascii="宋体" w:hAnsi="宋体" w:cs="宋体"/>
                <w:b/>
                <w:kern w:val="1"/>
                <w:sz w:val="24"/>
                <w:szCs w:val="24"/>
                <w:highlight w:val="none"/>
              </w:rPr>
              <w:t>条款号</w:t>
            </w:r>
          </w:p>
        </w:tc>
        <w:tc>
          <w:tcPr>
            <w:tcW w:w="1559" w:type="dxa"/>
            <w:tcBorders>
              <w:top w:val="single" w:color="000000" w:sz="6" w:space="0"/>
              <w:left w:val="single" w:color="auto" w:sz="4" w:space="0"/>
              <w:bottom w:val="single" w:color="000000" w:sz="6" w:space="0"/>
              <w:right w:val="single" w:color="000000" w:sz="4" w:space="0"/>
            </w:tcBorders>
            <w:vAlign w:val="center"/>
          </w:tcPr>
          <w:p w14:paraId="0A39F434">
            <w:pPr>
              <w:spacing w:line="360" w:lineRule="auto"/>
              <w:jc w:val="center"/>
              <w:rPr>
                <w:rFonts w:ascii="宋体" w:hAnsi="宋体" w:cs="宋体"/>
                <w:sz w:val="24"/>
                <w:szCs w:val="24"/>
                <w:highlight w:val="none"/>
              </w:rPr>
            </w:pPr>
            <w:r>
              <w:rPr>
                <w:rFonts w:hint="eastAsia" w:ascii="宋体" w:hAnsi="宋体" w:cs="宋体"/>
                <w:b/>
                <w:kern w:val="1"/>
                <w:sz w:val="24"/>
                <w:szCs w:val="24"/>
                <w:highlight w:val="none"/>
              </w:rPr>
              <w:t>评审因素</w:t>
            </w:r>
          </w:p>
        </w:tc>
        <w:tc>
          <w:tcPr>
            <w:tcW w:w="4888" w:type="dxa"/>
            <w:tcBorders>
              <w:top w:val="single" w:color="000000" w:sz="6" w:space="0"/>
              <w:left w:val="single" w:color="auto" w:sz="4" w:space="0"/>
              <w:bottom w:val="single" w:color="000000" w:sz="6" w:space="0"/>
              <w:right w:val="single" w:color="000000" w:sz="4" w:space="0"/>
            </w:tcBorders>
            <w:vAlign w:val="center"/>
          </w:tcPr>
          <w:p w14:paraId="214275AF">
            <w:pPr>
              <w:spacing w:line="360" w:lineRule="auto"/>
              <w:jc w:val="center"/>
              <w:rPr>
                <w:rFonts w:ascii="宋体" w:hAnsi="宋体" w:cs="宋体"/>
                <w:sz w:val="24"/>
                <w:szCs w:val="24"/>
                <w:highlight w:val="none"/>
              </w:rPr>
            </w:pPr>
            <w:r>
              <w:rPr>
                <w:rFonts w:hint="eastAsia" w:ascii="宋体" w:hAnsi="宋体" w:cs="宋体"/>
                <w:b/>
                <w:kern w:val="1"/>
                <w:sz w:val="24"/>
                <w:szCs w:val="24"/>
                <w:highlight w:val="none"/>
              </w:rPr>
              <w:t>评审标准</w:t>
            </w:r>
          </w:p>
        </w:tc>
      </w:tr>
      <w:tr w14:paraId="76C060B9">
        <w:tblPrEx>
          <w:tblCellMar>
            <w:top w:w="57" w:type="dxa"/>
            <w:left w:w="108" w:type="dxa"/>
            <w:bottom w:w="57" w:type="dxa"/>
            <w:right w:w="108" w:type="dxa"/>
          </w:tblCellMar>
        </w:tblPrEx>
        <w:trPr>
          <w:trHeight w:val="575" w:hRule="atLeast"/>
        </w:trPr>
        <w:tc>
          <w:tcPr>
            <w:tcW w:w="840" w:type="dxa"/>
            <w:vMerge w:val="restart"/>
            <w:tcBorders>
              <w:top w:val="single" w:color="auto" w:sz="4" w:space="0"/>
              <w:left w:val="single" w:color="auto" w:sz="4" w:space="0"/>
              <w:right w:val="single" w:color="000000" w:sz="6" w:space="0"/>
            </w:tcBorders>
            <w:vAlign w:val="center"/>
          </w:tcPr>
          <w:p w14:paraId="3B64C9C4">
            <w:pPr>
              <w:jc w:val="center"/>
              <w:rPr>
                <w:rFonts w:ascii="宋体" w:hAnsi="宋体" w:cs="宋体"/>
                <w:kern w:val="1"/>
                <w:sz w:val="24"/>
                <w:szCs w:val="24"/>
                <w:highlight w:val="none"/>
              </w:rPr>
            </w:pPr>
            <w:r>
              <w:rPr>
                <w:rFonts w:hint="eastAsia" w:ascii="宋体" w:hAnsi="宋体" w:cs="宋体"/>
                <w:highlight w:val="none"/>
              </w:rPr>
              <w:t>2.2.2</w:t>
            </w:r>
          </w:p>
        </w:tc>
        <w:tc>
          <w:tcPr>
            <w:tcW w:w="2279" w:type="dxa"/>
            <w:vMerge w:val="restart"/>
            <w:tcBorders>
              <w:top w:val="single" w:color="auto" w:sz="4" w:space="0"/>
              <w:left w:val="single" w:color="000000" w:sz="6" w:space="0"/>
              <w:right w:val="single" w:color="auto" w:sz="4" w:space="0"/>
            </w:tcBorders>
            <w:vAlign w:val="center"/>
          </w:tcPr>
          <w:p w14:paraId="134F9DDE">
            <w:pPr>
              <w:adjustRightInd w:val="0"/>
              <w:snapToGrid w:val="0"/>
              <w:spacing w:line="260" w:lineRule="exact"/>
              <w:jc w:val="center"/>
              <w:rPr>
                <w:rFonts w:ascii="宋体" w:hAnsi="宋体" w:cs="宋体"/>
                <w:sz w:val="24"/>
                <w:szCs w:val="24"/>
                <w:highlight w:val="none"/>
              </w:rPr>
            </w:pPr>
            <w:r>
              <w:rPr>
                <w:rFonts w:hint="eastAsia" w:ascii="宋体" w:hAnsi="宋体" w:cs="宋体"/>
                <w:kern w:val="1"/>
                <w:szCs w:val="21"/>
                <w:highlight w:val="none"/>
              </w:rPr>
              <w:t>评分标准</w:t>
            </w:r>
          </w:p>
        </w:tc>
        <w:tc>
          <w:tcPr>
            <w:tcW w:w="1559" w:type="dxa"/>
            <w:tcBorders>
              <w:top w:val="single" w:color="000000" w:sz="6" w:space="0"/>
              <w:left w:val="single" w:color="auto" w:sz="4" w:space="0"/>
              <w:bottom w:val="single" w:color="000000" w:sz="6" w:space="0"/>
              <w:right w:val="single" w:color="000000" w:sz="4" w:space="0"/>
            </w:tcBorders>
            <w:vAlign w:val="center"/>
          </w:tcPr>
          <w:p w14:paraId="2969ABA9">
            <w:pPr>
              <w:adjustRightInd w:val="0"/>
              <w:snapToGrid w:val="0"/>
              <w:spacing w:line="260" w:lineRule="exact"/>
              <w:jc w:val="center"/>
              <w:rPr>
                <w:rFonts w:ascii="宋体" w:hAnsi="宋体" w:cs="宋体"/>
                <w:sz w:val="24"/>
                <w:szCs w:val="24"/>
                <w:highlight w:val="none"/>
              </w:rPr>
            </w:pPr>
            <w:r>
              <w:rPr>
                <w:rFonts w:hint="eastAsia" w:ascii="宋体" w:hAnsi="宋体" w:cs="宋体"/>
                <w:kern w:val="1"/>
                <w:szCs w:val="21"/>
                <w:highlight w:val="none"/>
              </w:rPr>
              <w:t>投标报价</w:t>
            </w:r>
          </w:p>
        </w:tc>
        <w:tc>
          <w:tcPr>
            <w:tcW w:w="4888" w:type="dxa"/>
            <w:tcBorders>
              <w:top w:val="single" w:color="000000" w:sz="6" w:space="0"/>
              <w:left w:val="single" w:color="auto" w:sz="4" w:space="0"/>
              <w:bottom w:val="single" w:color="000000" w:sz="6" w:space="0"/>
              <w:right w:val="single" w:color="000000" w:sz="4" w:space="0"/>
            </w:tcBorders>
            <w:vAlign w:val="center"/>
          </w:tcPr>
          <w:p w14:paraId="633FAB88">
            <w:pPr>
              <w:adjustRightInd w:val="0"/>
              <w:snapToGrid w:val="0"/>
              <w:spacing w:line="260" w:lineRule="exact"/>
              <w:rPr>
                <w:rFonts w:ascii="宋体" w:hAnsi="宋体" w:cs="宋体"/>
                <w:sz w:val="24"/>
                <w:szCs w:val="24"/>
                <w:highlight w:val="none"/>
              </w:rPr>
            </w:pPr>
            <w:r>
              <w:rPr>
                <w:rFonts w:hint="eastAsia" w:ascii="宋体" w:hAnsi="宋体" w:cs="宋体"/>
                <w:szCs w:val="21"/>
                <w:highlight w:val="none"/>
              </w:rPr>
              <w:t>见</w:t>
            </w:r>
            <w:r>
              <w:rPr>
                <w:rFonts w:hint="eastAsia" w:ascii="宋体" w:hAnsi="宋体" w:cs="宋体"/>
                <w:kern w:val="1"/>
                <w:szCs w:val="21"/>
                <w:highlight w:val="none"/>
              </w:rPr>
              <w:t>附表4《经济标详细审查评分标准》</w:t>
            </w:r>
          </w:p>
        </w:tc>
      </w:tr>
      <w:tr w14:paraId="2AFB0808">
        <w:tblPrEx>
          <w:tblCellMar>
            <w:top w:w="57" w:type="dxa"/>
            <w:left w:w="108" w:type="dxa"/>
            <w:bottom w:w="57" w:type="dxa"/>
            <w:right w:w="108" w:type="dxa"/>
          </w:tblCellMar>
        </w:tblPrEx>
        <w:trPr>
          <w:trHeight w:val="860" w:hRule="atLeast"/>
        </w:trPr>
        <w:tc>
          <w:tcPr>
            <w:tcW w:w="840" w:type="dxa"/>
            <w:vMerge w:val="continue"/>
            <w:tcBorders>
              <w:left w:val="single" w:color="auto" w:sz="4" w:space="0"/>
              <w:bottom w:val="single" w:color="auto" w:sz="4" w:space="0"/>
              <w:right w:val="single" w:color="000000" w:sz="6" w:space="0"/>
            </w:tcBorders>
            <w:vAlign w:val="center"/>
          </w:tcPr>
          <w:p w14:paraId="6982B31E">
            <w:pPr>
              <w:jc w:val="center"/>
              <w:rPr>
                <w:rFonts w:ascii="宋体" w:hAnsi="宋体" w:cs="宋体"/>
                <w:kern w:val="1"/>
                <w:sz w:val="24"/>
                <w:szCs w:val="24"/>
                <w:highlight w:val="none"/>
              </w:rPr>
            </w:pPr>
          </w:p>
        </w:tc>
        <w:tc>
          <w:tcPr>
            <w:tcW w:w="2279" w:type="dxa"/>
            <w:vMerge w:val="continue"/>
            <w:tcBorders>
              <w:left w:val="single" w:color="000000" w:sz="6" w:space="0"/>
              <w:bottom w:val="single" w:color="auto" w:sz="4" w:space="0"/>
              <w:right w:val="single" w:color="auto" w:sz="4" w:space="0"/>
            </w:tcBorders>
            <w:vAlign w:val="center"/>
          </w:tcPr>
          <w:p w14:paraId="054AF6CF">
            <w:pPr>
              <w:spacing w:line="300" w:lineRule="exact"/>
              <w:jc w:val="center"/>
              <w:rPr>
                <w:rFonts w:ascii="宋体" w:hAnsi="宋体" w:cs="宋体"/>
                <w:sz w:val="24"/>
                <w:szCs w:val="24"/>
                <w:highlight w:val="none"/>
              </w:rPr>
            </w:pPr>
          </w:p>
        </w:tc>
        <w:tc>
          <w:tcPr>
            <w:tcW w:w="1559" w:type="dxa"/>
            <w:tcBorders>
              <w:top w:val="single" w:color="000000" w:sz="6" w:space="0"/>
              <w:left w:val="single" w:color="auto" w:sz="4" w:space="0"/>
              <w:bottom w:val="single" w:color="000000" w:sz="6" w:space="0"/>
              <w:right w:val="single" w:color="000000" w:sz="4" w:space="0"/>
            </w:tcBorders>
            <w:vAlign w:val="center"/>
          </w:tcPr>
          <w:p w14:paraId="59BBD326">
            <w:pPr>
              <w:spacing w:line="300" w:lineRule="exact"/>
              <w:jc w:val="center"/>
              <w:rPr>
                <w:rFonts w:ascii="宋体" w:hAnsi="宋体" w:cs="宋体"/>
                <w:sz w:val="24"/>
                <w:szCs w:val="24"/>
                <w:highlight w:val="none"/>
              </w:rPr>
            </w:pPr>
            <w:r>
              <w:rPr>
                <w:rFonts w:hint="eastAsia" w:ascii="宋体" w:hAnsi="宋体" w:cs="宋体"/>
                <w:kern w:val="1"/>
                <w:szCs w:val="21"/>
                <w:highlight w:val="none"/>
              </w:rPr>
              <w:t>资信部分和</w:t>
            </w:r>
            <w:r>
              <w:rPr>
                <w:rFonts w:hint="eastAsia" w:ascii="宋体" w:hAnsi="宋体" w:cs="宋体"/>
                <w:szCs w:val="21"/>
                <w:highlight w:val="none"/>
              </w:rPr>
              <w:t>项目实施组织方案部分</w:t>
            </w:r>
          </w:p>
        </w:tc>
        <w:tc>
          <w:tcPr>
            <w:tcW w:w="4888" w:type="dxa"/>
            <w:tcBorders>
              <w:top w:val="single" w:color="000000" w:sz="6" w:space="0"/>
              <w:left w:val="single" w:color="auto" w:sz="4" w:space="0"/>
              <w:bottom w:val="single" w:color="000000" w:sz="6" w:space="0"/>
              <w:right w:val="single" w:color="000000" w:sz="4" w:space="0"/>
            </w:tcBorders>
            <w:vAlign w:val="center"/>
          </w:tcPr>
          <w:p w14:paraId="12521A4D">
            <w:pPr>
              <w:spacing w:line="300" w:lineRule="exact"/>
              <w:rPr>
                <w:rFonts w:ascii="宋体" w:hAnsi="宋体" w:cs="宋体"/>
                <w:sz w:val="24"/>
                <w:szCs w:val="24"/>
                <w:highlight w:val="none"/>
              </w:rPr>
            </w:pPr>
            <w:r>
              <w:rPr>
                <w:rFonts w:hint="eastAsia" w:ascii="宋体" w:hAnsi="宋体" w:cs="宋体"/>
                <w:szCs w:val="21"/>
                <w:highlight w:val="none"/>
              </w:rPr>
              <w:t>见</w:t>
            </w:r>
            <w:r>
              <w:rPr>
                <w:rFonts w:hint="eastAsia" w:ascii="宋体" w:hAnsi="宋体" w:cs="宋体"/>
                <w:kern w:val="1"/>
                <w:szCs w:val="21"/>
                <w:highlight w:val="none"/>
              </w:rPr>
              <w:t>附表5《工程总承包实施方案详细审查评分表》</w:t>
            </w:r>
          </w:p>
        </w:tc>
      </w:tr>
    </w:tbl>
    <w:p w14:paraId="4B778990">
      <w:pPr>
        <w:pStyle w:val="26"/>
        <w:rPr>
          <w:rFonts w:ascii="宋体" w:hAnsi="宋体" w:cs="宋体"/>
          <w:highlight w:val="none"/>
        </w:rPr>
        <w:sectPr>
          <w:pgSz w:w="11905" w:h="16838"/>
          <w:pgMar w:top="1247" w:right="1247" w:bottom="1247" w:left="1247" w:header="567" w:footer="850" w:gutter="0"/>
          <w:pgBorders>
            <w:top w:val="none" w:sz="0" w:space="0"/>
            <w:left w:val="none" w:sz="0" w:space="0"/>
            <w:bottom w:val="none" w:sz="0" w:space="0"/>
            <w:right w:val="none" w:sz="0" w:space="0"/>
          </w:pgBorders>
          <w:cols w:space="720" w:num="1"/>
          <w:docGrid w:type="lines" w:linePitch="312" w:charSpace="0"/>
        </w:sectPr>
      </w:pPr>
    </w:p>
    <w:p w14:paraId="53A8B07C">
      <w:pPr>
        <w:spacing w:line="360" w:lineRule="auto"/>
        <w:rPr>
          <w:rFonts w:ascii="宋体" w:hAnsi="宋体" w:cs="宋体"/>
          <w:b/>
          <w:bCs/>
          <w:sz w:val="24"/>
          <w:szCs w:val="24"/>
          <w:highlight w:val="none"/>
        </w:rPr>
      </w:pPr>
      <w:bookmarkStart w:id="996" w:name="_Toc29426"/>
      <w:bookmarkStart w:id="997" w:name="_Toc375931097"/>
      <w:bookmarkStart w:id="998" w:name="_Toc16531"/>
      <w:bookmarkStart w:id="999" w:name="_Toc22237"/>
      <w:bookmarkStart w:id="1000" w:name="_Toc12763"/>
      <w:bookmarkStart w:id="1001" w:name="_Toc8954"/>
      <w:bookmarkStart w:id="1002" w:name="_Toc3030"/>
      <w:bookmarkStart w:id="1003" w:name="_Toc27168"/>
      <w:bookmarkStart w:id="1004" w:name="_Toc21694"/>
      <w:bookmarkStart w:id="1005" w:name="_Toc485211095"/>
      <w:bookmarkStart w:id="1006" w:name="_Toc24945"/>
      <w:bookmarkStart w:id="1007" w:name="_Toc14459"/>
      <w:bookmarkStart w:id="1008" w:name="_Toc28121"/>
      <w:r>
        <w:rPr>
          <w:rFonts w:hint="eastAsia" w:ascii="宋体" w:hAnsi="宋体" w:cs="宋体"/>
          <w:b/>
          <w:bCs/>
          <w:sz w:val="24"/>
          <w:szCs w:val="24"/>
          <w:highlight w:val="none"/>
        </w:rPr>
        <w:t>1. 评标方法</w:t>
      </w:r>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1099CA57">
      <w:pPr>
        <w:spacing w:line="400" w:lineRule="exact"/>
        <w:ind w:firstLine="420" w:firstLineChars="200"/>
        <w:rPr>
          <w:rFonts w:ascii="宋体" w:hAnsi="宋体" w:cs="宋体"/>
          <w:szCs w:val="21"/>
          <w:highlight w:val="none"/>
        </w:rPr>
      </w:pPr>
      <w:r>
        <w:rPr>
          <w:rFonts w:hint="eastAsia" w:ascii="宋体" w:hAnsi="宋体" w:cs="宋体"/>
          <w:szCs w:val="21"/>
          <w:highlight w:val="none"/>
        </w:rPr>
        <w:t>本次评标采用综合评分法。评标委员会对满足招标文件实质性要</w:t>
      </w:r>
      <w:bookmarkStart w:id="1009" w:name="_Toc443505836"/>
      <w:r>
        <w:rPr>
          <w:rFonts w:hint="eastAsia" w:ascii="宋体" w:hAnsi="宋体" w:cs="宋体"/>
          <w:szCs w:val="21"/>
          <w:highlight w:val="none"/>
        </w:rPr>
        <w:t>求的投标文件，</w:t>
      </w:r>
      <w:bookmarkEnd w:id="1009"/>
      <w:r>
        <w:rPr>
          <w:rFonts w:hint="eastAsia" w:ascii="宋体" w:hAnsi="宋体" w:cs="宋体"/>
          <w:szCs w:val="21"/>
          <w:highlight w:val="none"/>
        </w:rPr>
        <w:t>按照本章第2.2款规定的评分标准进行打分，并按得分由高到低顺序推荐中标候选人，但投标报价低于其成本的除外。综合评分相等时，以投标报价低的优先；投标报价也相等的，由评标委员会无记名投票推举排名顺序。</w:t>
      </w:r>
    </w:p>
    <w:p w14:paraId="09796411">
      <w:pPr>
        <w:spacing w:line="360" w:lineRule="auto"/>
        <w:rPr>
          <w:rFonts w:ascii="宋体" w:hAnsi="宋体" w:cs="宋体"/>
          <w:b/>
          <w:bCs/>
          <w:sz w:val="24"/>
          <w:szCs w:val="24"/>
          <w:highlight w:val="none"/>
        </w:rPr>
      </w:pPr>
      <w:bookmarkStart w:id="1010" w:name="_Toc3630"/>
      <w:bookmarkStart w:id="1011" w:name="_Toc26325"/>
      <w:bookmarkStart w:id="1012" w:name="_Toc2279"/>
      <w:bookmarkStart w:id="1013" w:name="_Toc15820"/>
      <w:bookmarkStart w:id="1014" w:name="_Toc24828"/>
      <w:bookmarkStart w:id="1015" w:name="_Toc27392"/>
      <w:bookmarkStart w:id="1016" w:name="_Toc10045"/>
      <w:bookmarkStart w:id="1017" w:name="_Toc17945"/>
      <w:bookmarkStart w:id="1018" w:name="_Toc375931098"/>
      <w:bookmarkStart w:id="1019" w:name="_Toc2505"/>
      <w:bookmarkStart w:id="1020" w:name="_Toc10955"/>
      <w:bookmarkStart w:id="1021" w:name="_Toc485211096"/>
      <w:bookmarkStart w:id="1022" w:name="_Toc23131"/>
      <w:r>
        <w:rPr>
          <w:rFonts w:hint="eastAsia" w:ascii="宋体" w:hAnsi="宋体" w:cs="宋体"/>
          <w:b/>
          <w:bCs/>
          <w:sz w:val="24"/>
          <w:szCs w:val="24"/>
          <w:highlight w:val="none"/>
        </w:rPr>
        <w:t>2. 评审标准</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14:paraId="1244D094">
      <w:pPr>
        <w:spacing w:line="400" w:lineRule="exact"/>
        <w:rPr>
          <w:rFonts w:ascii="宋体" w:hAnsi="宋体" w:cs="宋体"/>
          <w:b/>
          <w:bCs/>
          <w:szCs w:val="21"/>
          <w:highlight w:val="none"/>
        </w:rPr>
      </w:pPr>
      <w:bookmarkStart w:id="1023" w:name="_Toc3950"/>
      <w:bookmarkStart w:id="1024" w:name="_Toc247527627"/>
      <w:bookmarkStart w:id="1025" w:name="_Toc152042379"/>
      <w:bookmarkStart w:id="1026" w:name="_Toc247514026"/>
      <w:bookmarkStart w:id="1027" w:name="_Toc144974569"/>
      <w:bookmarkStart w:id="1028" w:name="_Toc152045602"/>
      <w:bookmarkStart w:id="1029" w:name="_Toc300835012"/>
      <w:bookmarkStart w:id="1030" w:name="_Toc16162"/>
      <w:r>
        <w:rPr>
          <w:rFonts w:hint="eastAsia" w:ascii="宋体" w:hAnsi="宋体" w:cs="宋体"/>
          <w:b/>
          <w:bCs/>
          <w:szCs w:val="21"/>
          <w:highlight w:val="none"/>
        </w:rPr>
        <w:t>2.1 初步评审标准</w:t>
      </w:r>
      <w:bookmarkEnd w:id="1023"/>
      <w:bookmarkEnd w:id="1024"/>
      <w:bookmarkEnd w:id="1025"/>
      <w:bookmarkEnd w:id="1026"/>
      <w:bookmarkEnd w:id="1027"/>
      <w:bookmarkEnd w:id="1028"/>
      <w:bookmarkEnd w:id="1029"/>
      <w:bookmarkEnd w:id="1030"/>
    </w:p>
    <w:p w14:paraId="1EEAAE67">
      <w:pPr>
        <w:spacing w:line="400" w:lineRule="exact"/>
        <w:ind w:firstLine="420" w:firstLineChars="200"/>
        <w:rPr>
          <w:rFonts w:ascii="宋体" w:hAnsi="宋体" w:cs="宋体"/>
          <w:highlight w:val="none"/>
        </w:rPr>
      </w:pPr>
      <w:r>
        <w:rPr>
          <w:rFonts w:hint="eastAsia" w:ascii="宋体" w:hAnsi="宋体" w:cs="宋体"/>
          <w:highlight w:val="none"/>
        </w:rPr>
        <w:t>2.1.1 资格审查标准：见评标办法前附表。</w:t>
      </w:r>
    </w:p>
    <w:p w14:paraId="603690FA">
      <w:pPr>
        <w:spacing w:line="400" w:lineRule="exact"/>
        <w:ind w:firstLine="420" w:firstLineChars="200"/>
        <w:rPr>
          <w:rFonts w:ascii="宋体" w:hAnsi="宋体" w:cs="宋体"/>
          <w:highlight w:val="none"/>
        </w:rPr>
      </w:pPr>
      <w:r>
        <w:rPr>
          <w:rFonts w:hint="eastAsia" w:ascii="宋体" w:hAnsi="宋体" w:cs="宋体"/>
          <w:highlight w:val="none"/>
        </w:rPr>
        <w:t>2.1.2 有效性审查：见评标办法前附表。</w:t>
      </w:r>
    </w:p>
    <w:p w14:paraId="20BB01FE">
      <w:pPr>
        <w:spacing w:line="400" w:lineRule="exact"/>
        <w:rPr>
          <w:rFonts w:ascii="宋体" w:hAnsi="宋体" w:cs="宋体"/>
          <w:b/>
          <w:bCs/>
          <w:szCs w:val="21"/>
          <w:highlight w:val="none"/>
        </w:rPr>
      </w:pPr>
      <w:bookmarkStart w:id="1031" w:name="_Toc3314"/>
      <w:r>
        <w:rPr>
          <w:rFonts w:hint="eastAsia" w:ascii="宋体" w:hAnsi="宋体" w:cs="宋体"/>
          <w:b/>
          <w:bCs/>
          <w:szCs w:val="21"/>
          <w:highlight w:val="none"/>
        </w:rPr>
        <w:t>2.2 分值构成与评分标准</w:t>
      </w:r>
      <w:bookmarkEnd w:id="1031"/>
    </w:p>
    <w:p w14:paraId="5FE02864">
      <w:pPr>
        <w:spacing w:line="400" w:lineRule="exact"/>
        <w:ind w:firstLine="420" w:firstLineChars="200"/>
        <w:rPr>
          <w:rFonts w:ascii="宋体" w:hAnsi="宋体" w:cs="宋体"/>
          <w:highlight w:val="none"/>
        </w:rPr>
      </w:pPr>
      <w:r>
        <w:rPr>
          <w:rFonts w:hint="eastAsia" w:ascii="宋体" w:hAnsi="宋体" w:cs="宋体"/>
          <w:highlight w:val="none"/>
        </w:rPr>
        <w:t>2.2.1分值构成及权重：见评标办法前附表。</w:t>
      </w:r>
    </w:p>
    <w:p w14:paraId="22ADAA18">
      <w:pPr>
        <w:spacing w:line="400" w:lineRule="exact"/>
        <w:ind w:firstLine="420" w:firstLineChars="200"/>
        <w:rPr>
          <w:rFonts w:ascii="宋体" w:hAnsi="宋体" w:cs="宋体"/>
          <w:highlight w:val="none"/>
        </w:rPr>
      </w:pPr>
      <w:r>
        <w:rPr>
          <w:rFonts w:hint="eastAsia" w:ascii="宋体" w:hAnsi="宋体" w:cs="宋体"/>
          <w:highlight w:val="none"/>
        </w:rPr>
        <w:t>2.2.2 评分标准：见评标办法前附表。</w:t>
      </w:r>
    </w:p>
    <w:p w14:paraId="1E3659D5">
      <w:pPr>
        <w:spacing w:line="360" w:lineRule="auto"/>
        <w:rPr>
          <w:rFonts w:ascii="宋体" w:hAnsi="宋体" w:cs="宋体"/>
          <w:b/>
          <w:bCs/>
          <w:sz w:val="24"/>
          <w:szCs w:val="24"/>
          <w:highlight w:val="none"/>
        </w:rPr>
      </w:pPr>
      <w:bookmarkStart w:id="1032" w:name="_Toc31043"/>
      <w:bookmarkStart w:id="1033" w:name="_Toc6743"/>
      <w:bookmarkStart w:id="1034" w:name="_Toc19008"/>
      <w:bookmarkStart w:id="1035" w:name="_Toc6828"/>
      <w:bookmarkStart w:id="1036" w:name="_Toc12185"/>
      <w:bookmarkStart w:id="1037" w:name="_Toc4535"/>
      <w:bookmarkStart w:id="1038" w:name="_Toc30826"/>
      <w:bookmarkStart w:id="1039" w:name="_Toc19115"/>
      <w:bookmarkStart w:id="1040" w:name="_Toc2463"/>
      <w:bookmarkStart w:id="1041" w:name="_Toc9293"/>
      <w:bookmarkStart w:id="1042" w:name="_Toc485211099"/>
      <w:bookmarkStart w:id="1043" w:name="_Toc375931099"/>
      <w:bookmarkStart w:id="1044" w:name="_Toc28694"/>
      <w:r>
        <w:rPr>
          <w:rFonts w:hint="eastAsia" w:ascii="宋体" w:hAnsi="宋体" w:cs="宋体"/>
          <w:b/>
          <w:bCs/>
          <w:sz w:val="24"/>
          <w:szCs w:val="24"/>
          <w:highlight w:val="none"/>
        </w:rPr>
        <w:t>3. 评标程序</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0BCD7509">
      <w:pPr>
        <w:spacing w:line="400" w:lineRule="exact"/>
        <w:rPr>
          <w:rFonts w:ascii="宋体" w:hAnsi="宋体" w:cs="宋体"/>
          <w:b/>
          <w:bCs/>
          <w:szCs w:val="21"/>
          <w:highlight w:val="none"/>
        </w:rPr>
      </w:pPr>
      <w:bookmarkStart w:id="1045" w:name="_Toc14048"/>
      <w:bookmarkStart w:id="1046" w:name="_Toc4501"/>
      <w:bookmarkStart w:id="1047" w:name="_Toc485211100"/>
      <w:bookmarkStart w:id="1048" w:name="_Toc20824"/>
      <w:bookmarkStart w:id="1049" w:name="_Toc16960"/>
      <w:r>
        <w:rPr>
          <w:rFonts w:hint="eastAsia" w:ascii="宋体" w:hAnsi="宋体" w:cs="宋体"/>
          <w:b/>
          <w:bCs/>
          <w:szCs w:val="21"/>
          <w:highlight w:val="none"/>
        </w:rPr>
        <w:t xml:space="preserve">3.1 </w:t>
      </w:r>
      <w:bookmarkEnd w:id="1045"/>
      <w:r>
        <w:rPr>
          <w:rFonts w:hint="eastAsia" w:ascii="宋体" w:hAnsi="宋体" w:cs="宋体"/>
          <w:b/>
          <w:bCs/>
          <w:szCs w:val="21"/>
          <w:highlight w:val="none"/>
        </w:rPr>
        <w:t>资格审查</w:t>
      </w:r>
      <w:bookmarkEnd w:id="1046"/>
    </w:p>
    <w:bookmarkEnd w:id="1047"/>
    <w:bookmarkEnd w:id="1048"/>
    <w:bookmarkEnd w:id="1049"/>
    <w:p w14:paraId="0A6DD1BF">
      <w:pPr>
        <w:spacing w:line="400" w:lineRule="exact"/>
        <w:ind w:firstLine="420" w:firstLineChars="200"/>
        <w:rPr>
          <w:rFonts w:ascii="宋体" w:hAnsi="宋体" w:cs="宋体"/>
          <w:highlight w:val="none"/>
        </w:rPr>
      </w:pPr>
      <w:r>
        <w:rPr>
          <w:rFonts w:hint="eastAsia" w:ascii="宋体" w:hAnsi="宋体" w:cs="宋体"/>
          <w:highlight w:val="none"/>
        </w:rPr>
        <w:t>3.1.1资格审查文件中全部符合附表1《资格审查表》中情形的，为资格审查合格。否则为资格审查不合格，经评标委员会认定后，其资格审查文件将被拒绝。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只有通过资格审查的投标人方可进入下一阶段的评审。</w:t>
      </w:r>
    </w:p>
    <w:p w14:paraId="27A0C82D">
      <w:pPr>
        <w:spacing w:line="400" w:lineRule="exact"/>
        <w:ind w:firstLine="420" w:firstLineChars="200"/>
        <w:rPr>
          <w:rFonts w:ascii="宋体" w:hAnsi="宋体" w:cs="宋体"/>
          <w:highlight w:val="none"/>
        </w:rPr>
      </w:pPr>
      <w:r>
        <w:rPr>
          <w:rFonts w:hint="eastAsia" w:ascii="宋体" w:hAnsi="宋体" w:cs="宋体"/>
          <w:highlight w:val="none"/>
        </w:rPr>
        <w:t>3.1.2汇总资格审查情况，编写资格审查报告。</w:t>
      </w:r>
    </w:p>
    <w:p w14:paraId="53EF9F2F">
      <w:pPr>
        <w:spacing w:line="400" w:lineRule="exact"/>
        <w:ind w:firstLine="420" w:firstLineChars="200"/>
        <w:rPr>
          <w:rFonts w:ascii="宋体" w:hAnsi="宋体" w:cs="宋体"/>
          <w:highlight w:val="none"/>
        </w:rPr>
      </w:pPr>
      <w:r>
        <w:rPr>
          <w:rFonts w:hint="eastAsia" w:ascii="宋体" w:hAnsi="宋体" w:cs="宋体"/>
          <w:highlight w:val="none"/>
        </w:rPr>
        <w:t>3.1.3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7316EB05">
      <w:pPr>
        <w:spacing w:line="400" w:lineRule="exact"/>
        <w:ind w:firstLine="420" w:firstLineChars="200"/>
        <w:rPr>
          <w:rFonts w:ascii="宋体" w:hAnsi="宋体" w:cs="宋体"/>
          <w:highlight w:val="none"/>
        </w:rPr>
      </w:pPr>
      <w:r>
        <w:rPr>
          <w:rFonts w:hint="eastAsia" w:ascii="宋体" w:hAnsi="宋体" w:cs="宋体"/>
          <w:highlight w:val="none"/>
        </w:rPr>
        <w:t>特别声明：资审合格后，投标人的资格发生变化而不满足投标人合格条件，在发出中标通知书前，资格问题仍未解决的，招标人将取消其中标资格。</w:t>
      </w:r>
    </w:p>
    <w:p w14:paraId="0D56E9A0">
      <w:pPr>
        <w:spacing w:line="400" w:lineRule="exact"/>
        <w:rPr>
          <w:rFonts w:ascii="宋体" w:hAnsi="宋体" w:cs="宋体"/>
          <w:b/>
          <w:bCs/>
          <w:szCs w:val="21"/>
          <w:highlight w:val="none"/>
        </w:rPr>
      </w:pPr>
      <w:r>
        <w:rPr>
          <w:rFonts w:hint="eastAsia" w:ascii="宋体" w:hAnsi="宋体" w:cs="宋体"/>
          <w:b/>
          <w:bCs/>
          <w:szCs w:val="21"/>
          <w:highlight w:val="none"/>
        </w:rPr>
        <w:t>3.2工程总承包实施方案投标文件评审</w:t>
      </w:r>
    </w:p>
    <w:p w14:paraId="515CC492">
      <w:pPr>
        <w:spacing w:line="400" w:lineRule="exact"/>
        <w:ind w:firstLine="420" w:firstLineChars="200"/>
        <w:rPr>
          <w:rFonts w:ascii="宋体" w:hAnsi="宋体" w:cs="宋体"/>
          <w:highlight w:val="none"/>
        </w:rPr>
      </w:pPr>
      <w:r>
        <w:rPr>
          <w:rFonts w:hint="eastAsia" w:ascii="宋体" w:hAnsi="宋体" w:cs="宋体"/>
          <w:highlight w:val="none"/>
        </w:rPr>
        <w:t>3.2.1 工程总承包实施方案投标文件的有效性审查：通过资格审查的投标文件中没有任一种列于本办法附表2《工程总承包实施方案投标文件有效性审查表》中情形的，为有效标书。否则为无效标书，经评标委员会认定后，其投标文件将被拒绝。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未通过有效性审查的，不得进入下一阶段评审。</w:t>
      </w:r>
    </w:p>
    <w:p w14:paraId="3CC7E696">
      <w:pPr>
        <w:spacing w:line="400" w:lineRule="exact"/>
        <w:ind w:firstLine="420" w:firstLineChars="200"/>
        <w:rPr>
          <w:rFonts w:ascii="宋体" w:hAnsi="宋体" w:cs="宋体"/>
          <w:highlight w:val="none"/>
        </w:rPr>
      </w:pPr>
      <w:r>
        <w:rPr>
          <w:rFonts w:hint="eastAsia" w:ascii="宋体" w:hAnsi="宋体" w:cs="宋体"/>
          <w:highlight w:val="none"/>
        </w:rPr>
        <w:t>3.2.2投标文件详细审查评分：评标委员会按照本办法附表5《工程总承包实施方案详细审查评分表》的标准对通过投标文件有效性审查的投标文件进行详细审查。</w:t>
      </w:r>
    </w:p>
    <w:p w14:paraId="24CEB21A">
      <w:pPr>
        <w:spacing w:line="400" w:lineRule="exact"/>
        <w:ind w:firstLine="420" w:firstLineChars="200"/>
        <w:rPr>
          <w:rFonts w:ascii="宋体" w:hAnsi="宋体" w:cs="宋体"/>
          <w:highlight w:val="none"/>
        </w:rPr>
      </w:pPr>
      <w:r>
        <w:rPr>
          <w:rFonts w:hint="eastAsia" w:ascii="宋体" w:hAnsi="宋体" w:cs="宋体"/>
          <w:highlight w:val="none"/>
        </w:rPr>
        <w:t>3.2.3评标委员会成员评出各投标人工程总承包实施方案得分的分数，工程总承包实施方案得分为从各评标专家打分中去掉一个最高分和去掉一个最低分后的剩余评标专家打分的算术平均值，得出每个投标人工程总承包实施方案得分，分数出现小数点，保留小数点后二位，第三位小数四舍五入。</w:t>
      </w:r>
    </w:p>
    <w:p w14:paraId="19BB99F4">
      <w:pPr>
        <w:spacing w:line="400" w:lineRule="exact"/>
        <w:rPr>
          <w:rFonts w:ascii="宋体" w:hAnsi="宋体" w:cs="宋体"/>
          <w:b/>
          <w:bCs/>
          <w:szCs w:val="21"/>
          <w:highlight w:val="none"/>
        </w:rPr>
      </w:pPr>
      <w:r>
        <w:rPr>
          <w:rFonts w:hint="eastAsia" w:ascii="宋体" w:hAnsi="宋体" w:cs="宋体"/>
          <w:b/>
          <w:bCs/>
          <w:szCs w:val="21"/>
          <w:highlight w:val="none"/>
        </w:rPr>
        <w:t>3.3经济标投标文件有效性审查</w:t>
      </w:r>
    </w:p>
    <w:p w14:paraId="4DC2F43F">
      <w:pPr>
        <w:spacing w:line="400" w:lineRule="exact"/>
        <w:ind w:firstLine="420" w:firstLineChars="200"/>
        <w:rPr>
          <w:rFonts w:ascii="宋体" w:hAnsi="宋体" w:cs="宋体"/>
          <w:highlight w:val="none"/>
        </w:rPr>
      </w:pPr>
      <w:r>
        <w:rPr>
          <w:rFonts w:hint="eastAsia" w:ascii="宋体" w:hAnsi="宋体" w:cs="宋体"/>
          <w:highlight w:val="none"/>
        </w:rPr>
        <w:t>经济标投标文件有效性审查：评标委员会对通过资格审查和工程总承包实施方案投标文件有效性审查的投标人递交的经济标投标文件进行有效性审查，按本办法附表3《经济标投标文件有效性审查表》的评审内容进行经济标投标文件有效性审查，经评标委员会认定为无效标书的，其投标文件将被拒绝。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未通过有效性审查的，不得进入下一阶段评审。</w:t>
      </w:r>
    </w:p>
    <w:p w14:paraId="5D9933DE">
      <w:pPr>
        <w:spacing w:line="400" w:lineRule="exact"/>
        <w:ind w:firstLine="420" w:firstLineChars="200"/>
        <w:rPr>
          <w:rFonts w:ascii="宋体" w:hAnsi="宋体" w:cs="宋体"/>
          <w:highlight w:val="none"/>
        </w:rPr>
      </w:pPr>
      <w:r>
        <w:rPr>
          <w:rFonts w:hint="eastAsia" w:ascii="宋体" w:hAnsi="宋体" w:cs="宋体"/>
          <w:highlight w:val="none"/>
        </w:rPr>
        <w:t>3.3.2投标报价的算术校核。评标委员会对通过经济标投标文件有效性审查的投标文件的投标报价进行算术校核，具体标准如下：</w:t>
      </w:r>
    </w:p>
    <w:p w14:paraId="48C8E139">
      <w:pPr>
        <w:spacing w:line="400" w:lineRule="exact"/>
        <w:ind w:firstLine="420" w:firstLineChars="200"/>
        <w:rPr>
          <w:rFonts w:ascii="宋体" w:hAnsi="宋体" w:cs="宋体"/>
          <w:highlight w:val="none"/>
        </w:rPr>
      </w:pPr>
      <w:r>
        <w:rPr>
          <w:rFonts w:hint="eastAsia" w:ascii="宋体" w:hAnsi="宋体" w:cs="宋体"/>
          <w:highlight w:val="none"/>
        </w:rPr>
        <w:t>（1）如果数字表示的金额和用文字表示的金额不一致时，应以文字表示的金额为准（有以下算术性错误需要修正的除外）；</w:t>
      </w:r>
    </w:p>
    <w:p w14:paraId="63429411">
      <w:pPr>
        <w:spacing w:line="400" w:lineRule="exact"/>
        <w:ind w:firstLine="420" w:firstLineChars="200"/>
        <w:rPr>
          <w:rFonts w:ascii="宋体" w:hAnsi="宋体" w:cs="宋体"/>
          <w:highlight w:val="none"/>
        </w:rPr>
      </w:pPr>
      <w:r>
        <w:rPr>
          <w:rFonts w:hint="eastAsia" w:ascii="宋体" w:hAnsi="宋体" w:cs="宋体"/>
          <w:highlight w:val="none"/>
        </w:rPr>
        <w:t>（2）如果费率与对应最高投标限价乘积不等于合价时，以费率为准修正合价（费率有明显的数量级错误的除外，此时应修正费率）；</w:t>
      </w:r>
    </w:p>
    <w:p w14:paraId="5DA525B3">
      <w:pPr>
        <w:spacing w:line="400" w:lineRule="exact"/>
        <w:ind w:firstLine="420" w:firstLineChars="200"/>
        <w:rPr>
          <w:rFonts w:ascii="宋体" w:hAnsi="宋体" w:cs="宋体"/>
          <w:highlight w:val="none"/>
        </w:rPr>
      </w:pPr>
      <w:r>
        <w:rPr>
          <w:rFonts w:hint="eastAsia" w:ascii="宋体" w:hAnsi="宋体" w:cs="宋体"/>
          <w:highlight w:val="none"/>
        </w:rPr>
        <w:t>（3）如果分项报价累加不等总价的，以分项报价累加为准，修正总价；</w:t>
      </w:r>
    </w:p>
    <w:p w14:paraId="78FCEEBE">
      <w:pPr>
        <w:spacing w:line="400" w:lineRule="exact"/>
        <w:ind w:firstLine="420" w:firstLineChars="200"/>
        <w:rPr>
          <w:rFonts w:ascii="宋体" w:hAnsi="宋体" w:cs="宋体"/>
          <w:highlight w:val="none"/>
        </w:rPr>
      </w:pPr>
      <w:r>
        <w:rPr>
          <w:rFonts w:hint="eastAsia" w:ascii="宋体" w:hAnsi="宋体" w:cs="宋体"/>
          <w:highlight w:val="none"/>
        </w:rPr>
        <w:t>（4）投标文件存在其他计算性错误的，按就低不就高计算并修正；</w:t>
      </w:r>
    </w:p>
    <w:p w14:paraId="2097CE61">
      <w:pPr>
        <w:spacing w:line="400" w:lineRule="exact"/>
        <w:ind w:firstLine="420" w:firstLineChars="200"/>
        <w:rPr>
          <w:rFonts w:ascii="宋体" w:hAnsi="宋体" w:cs="宋体"/>
          <w:highlight w:val="none"/>
        </w:rPr>
      </w:pPr>
      <w:r>
        <w:rPr>
          <w:rFonts w:hint="eastAsia" w:ascii="宋体" w:hAnsi="宋体" w:cs="宋体"/>
          <w:highlight w:val="none"/>
        </w:rPr>
        <w:t>（5）按上述修正错误的原则及方法调整或修正投标文件的投标报价，调整后的投标报价对投标人起约束作用。如果投标人不接受修正后的报价，则取消其投标资格，并且其投标担保也将被没收。</w:t>
      </w:r>
    </w:p>
    <w:p w14:paraId="09AE3230">
      <w:pPr>
        <w:spacing w:line="400" w:lineRule="exact"/>
        <w:rPr>
          <w:rFonts w:ascii="宋体" w:hAnsi="宋体" w:cs="宋体"/>
          <w:b/>
          <w:bCs/>
          <w:szCs w:val="21"/>
          <w:highlight w:val="none"/>
        </w:rPr>
      </w:pPr>
      <w:r>
        <w:rPr>
          <w:rFonts w:hint="eastAsia" w:ascii="宋体" w:hAnsi="宋体" w:cs="宋体"/>
          <w:b/>
          <w:bCs/>
          <w:szCs w:val="21"/>
          <w:highlight w:val="none"/>
        </w:rPr>
        <w:t>3.4投标报价评审</w:t>
      </w:r>
    </w:p>
    <w:p w14:paraId="337557A3">
      <w:pPr>
        <w:spacing w:line="400" w:lineRule="exact"/>
        <w:ind w:firstLine="420" w:firstLineChars="200"/>
        <w:rPr>
          <w:rFonts w:ascii="宋体" w:hAnsi="宋体" w:cs="宋体"/>
          <w:highlight w:val="none"/>
        </w:rPr>
      </w:pPr>
      <w:r>
        <w:rPr>
          <w:rFonts w:hint="eastAsia" w:ascii="宋体" w:hAnsi="宋体" w:cs="宋体"/>
          <w:highlight w:val="none"/>
        </w:rPr>
        <w:t>评标委员会对通过工程总承包实施方案投标文件投标文件有效性审查的投标人进行投标报价评审。</w:t>
      </w:r>
    </w:p>
    <w:p w14:paraId="0A15A5BC">
      <w:pPr>
        <w:spacing w:line="400" w:lineRule="exact"/>
        <w:ind w:firstLine="420" w:firstLineChars="200"/>
        <w:rPr>
          <w:rFonts w:ascii="宋体" w:hAnsi="宋体" w:cs="宋体"/>
          <w:highlight w:val="none"/>
        </w:rPr>
      </w:pPr>
      <w:r>
        <w:rPr>
          <w:rFonts w:hint="eastAsia" w:ascii="宋体" w:hAnsi="宋体" w:cs="宋体"/>
          <w:highlight w:val="none"/>
        </w:rPr>
        <w:t>3.4.1 投标报价的算术校核。评标委员会对通过工程总承包实施方案有效性审查的投标文件投标报价进行算术校核，具体标准如下：</w:t>
      </w:r>
    </w:p>
    <w:p w14:paraId="73AE59DE">
      <w:pPr>
        <w:spacing w:line="400" w:lineRule="exact"/>
        <w:ind w:firstLine="420" w:firstLineChars="200"/>
        <w:rPr>
          <w:rFonts w:ascii="宋体" w:hAnsi="宋体" w:cs="宋体"/>
          <w:highlight w:val="none"/>
        </w:rPr>
      </w:pPr>
      <w:r>
        <w:rPr>
          <w:rFonts w:hint="eastAsia" w:ascii="宋体" w:hAnsi="宋体" w:cs="宋体"/>
          <w:highlight w:val="none"/>
        </w:rPr>
        <w:t>（1）如果数字表示的金额和用文字表示的金额不一致时，应以文字表示的金额为准（有以下算术性错误需要修正的除外）；</w:t>
      </w:r>
    </w:p>
    <w:p w14:paraId="164004E7">
      <w:pPr>
        <w:spacing w:line="400" w:lineRule="exact"/>
        <w:ind w:firstLine="420" w:firstLineChars="200"/>
        <w:rPr>
          <w:rFonts w:ascii="宋体" w:hAnsi="宋体" w:cs="宋体"/>
          <w:highlight w:val="none"/>
        </w:rPr>
      </w:pPr>
      <w:r>
        <w:rPr>
          <w:rFonts w:hint="eastAsia" w:ascii="宋体" w:hAnsi="宋体" w:cs="宋体"/>
          <w:highlight w:val="none"/>
        </w:rPr>
        <w:t>（2）如果分项报价累加不等总价的，以分项报价累加为准，修正总价；</w:t>
      </w:r>
    </w:p>
    <w:p w14:paraId="452C548B">
      <w:pPr>
        <w:spacing w:line="400" w:lineRule="exact"/>
        <w:ind w:firstLine="420" w:firstLineChars="200"/>
        <w:rPr>
          <w:rFonts w:ascii="宋体" w:hAnsi="宋体" w:cs="宋体"/>
          <w:highlight w:val="none"/>
        </w:rPr>
      </w:pPr>
      <w:r>
        <w:rPr>
          <w:rFonts w:hint="eastAsia" w:ascii="宋体" w:hAnsi="宋体" w:cs="宋体"/>
          <w:highlight w:val="none"/>
        </w:rPr>
        <w:t>（3）投标文件存在其他计算性错误的，按就低不就高计算并修正；</w:t>
      </w:r>
    </w:p>
    <w:p w14:paraId="2B41032A">
      <w:pPr>
        <w:spacing w:line="400" w:lineRule="exact"/>
        <w:ind w:firstLine="420" w:firstLineChars="200"/>
        <w:rPr>
          <w:rFonts w:ascii="宋体" w:hAnsi="宋体" w:cs="宋体"/>
          <w:highlight w:val="none"/>
        </w:rPr>
      </w:pPr>
      <w:r>
        <w:rPr>
          <w:rFonts w:hint="eastAsia" w:ascii="宋体" w:hAnsi="宋体" w:cs="宋体"/>
          <w:highlight w:val="none"/>
        </w:rPr>
        <w:t>（4）按上述修正错误的原则及方法调整或修正投标文件的投标报价，调整后的投标报价对投标人起约束作用。如果投标人不接受修正后的报价，则取消其投标资格，并且其投标担保也将被没收。</w:t>
      </w:r>
    </w:p>
    <w:p w14:paraId="5EC6E203">
      <w:pPr>
        <w:spacing w:line="400" w:lineRule="exact"/>
        <w:ind w:firstLine="420" w:firstLineChars="200"/>
        <w:rPr>
          <w:rFonts w:ascii="宋体" w:hAnsi="宋体" w:cs="宋体"/>
          <w:highlight w:val="none"/>
        </w:rPr>
      </w:pPr>
      <w:r>
        <w:rPr>
          <w:rFonts w:hint="eastAsia" w:ascii="宋体" w:hAnsi="宋体" w:cs="宋体"/>
          <w:highlight w:val="none"/>
        </w:rPr>
        <w:t>3.4.2投标报价评分</w:t>
      </w:r>
    </w:p>
    <w:p w14:paraId="26BB201B">
      <w:pPr>
        <w:spacing w:line="400" w:lineRule="exact"/>
        <w:ind w:firstLine="420" w:firstLineChars="200"/>
        <w:rPr>
          <w:rFonts w:ascii="宋体" w:hAnsi="宋体" w:cs="宋体"/>
          <w:highlight w:val="none"/>
        </w:rPr>
      </w:pPr>
      <w:r>
        <w:rPr>
          <w:rFonts w:hint="eastAsia" w:ascii="宋体" w:hAnsi="宋体" w:cs="宋体"/>
          <w:highlight w:val="none"/>
        </w:rPr>
        <w:t>（1）经评审的投标总报价低于成本警戒价的投标文件，不参加投标报价评分。</w:t>
      </w:r>
    </w:p>
    <w:p w14:paraId="7D57C9CF">
      <w:pPr>
        <w:spacing w:line="400" w:lineRule="exact"/>
        <w:ind w:firstLine="420" w:firstLineChars="200"/>
        <w:rPr>
          <w:rFonts w:ascii="宋体" w:hAnsi="宋体" w:cs="宋体"/>
          <w:highlight w:val="none"/>
        </w:rPr>
      </w:pPr>
      <w:r>
        <w:rPr>
          <w:rFonts w:hint="eastAsia" w:ascii="宋体" w:hAnsi="宋体" w:cs="宋体"/>
          <w:highlight w:val="none"/>
        </w:rPr>
        <w:t>（2）确定评标参考价：以通过初步评审并经算术校核的投标人的投标总报价中，设在[成本警戒价，最高投标限价×95%]区间的投标报价数量为G，上述G个投标人的工程总承包实施方案部分得分由高至低排序，将工程总承包实施方案部分得分前H名的投标总报价的算术平均值作为评标参考价(如G≥10，则H=10；如1≤G&lt;10，则H=G)；若G=0的，则采用成本警戒价与“最高投标限价×95%”的算术平均值为评标参考价。</w:t>
      </w:r>
    </w:p>
    <w:p w14:paraId="2C7DCA00">
      <w:pPr>
        <w:spacing w:line="400" w:lineRule="exact"/>
        <w:ind w:firstLine="420" w:firstLineChars="200"/>
        <w:rPr>
          <w:rFonts w:ascii="宋体" w:hAnsi="宋体" w:cs="宋体"/>
          <w:highlight w:val="none"/>
        </w:rPr>
      </w:pPr>
      <w:r>
        <w:rPr>
          <w:rFonts w:hint="eastAsia" w:ascii="宋体" w:hAnsi="宋体" w:cs="宋体"/>
          <w:highlight w:val="none"/>
        </w:rPr>
        <w:t>（3）计算投标总报价得分：当投标总报价等于评标参考价时得100分，投标总报价每高于评标参考价1%，扣1.5分，每低于评标参考价1%，扣1分，最多扣100分，得出的投标总报价得分，精确到小数点后两位。</w:t>
      </w:r>
    </w:p>
    <w:p w14:paraId="60D0754A">
      <w:pPr>
        <w:spacing w:line="400" w:lineRule="exact"/>
        <w:rPr>
          <w:rFonts w:ascii="宋体" w:hAnsi="宋体" w:cs="宋体"/>
          <w:b/>
          <w:bCs/>
          <w:szCs w:val="21"/>
          <w:highlight w:val="none"/>
        </w:rPr>
      </w:pPr>
      <w:r>
        <w:rPr>
          <w:rFonts w:hint="eastAsia" w:ascii="宋体" w:hAnsi="宋体" w:cs="宋体"/>
          <w:b/>
          <w:bCs/>
          <w:szCs w:val="21"/>
          <w:highlight w:val="none"/>
        </w:rPr>
        <w:t>3.5 评审汇总</w:t>
      </w:r>
    </w:p>
    <w:p w14:paraId="25CC2E82">
      <w:pPr>
        <w:spacing w:line="400" w:lineRule="exact"/>
        <w:ind w:firstLine="420" w:firstLineChars="200"/>
        <w:rPr>
          <w:rFonts w:ascii="宋体" w:hAnsi="宋体" w:cs="宋体"/>
          <w:highlight w:val="none"/>
        </w:rPr>
      </w:pPr>
      <w:r>
        <w:rPr>
          <w:rFonts w:hint="eastAsia" w:ascii="宋体" w:hAnsi="宋体" w:cs="宋体"/>
          <w:highlight w:val="none"/>
        </w:rPr>
        <w:t>3.5.1 投标人总得分满分为100分，分值构成及权重见：评标办法前附表。</w:t>
      </w:r>
    </w:p>
    <w:p w14:paraId="5E35F0C8">
      <w:pPr>
        <w:spacing w:line="400" w:lineRule="exact"/>
        <w:ind w:firstLine="420" w:firstLineChars="200"/>
        <w:rPr>
          <w:rFonts w:ascii="宋体" w:hAnsi="宋体" w:cs="宋体"/>
          <w:highlight w:val="none"/>
        </w:rPr>
      </w:pPr>
      <w:r>
        <w:rPr>
          <w:rFonts w:hint="eastAsia" w:ascii="宋体" w:hAnsi="宋体" w:cs="宋体"/>
          <w:highlight w:val="none"/>
        </w:rPr>
        <w:t>3.5.2 评标委员会按照评标办法前附表的分值构成及权重见公式，计算各有效投标文件的总得分，并按照总得分从高到低排列先后次序。总得分相同的，以工程总承包实施方案“项目实施组织方案部分”得分高的排前；如仍存在相同情况，则以工程总承包实施方案“资信部分”得分高的排前。如仍存在相同情况，由评标委员会按照合格中标候选人数的规定采用记名投票方式确定排序。评标委员会施工评审组应按排序先后，在招标文件有效的投标人中，向招标人推荐前3名投标人依次为第一中标候选人至第三中标候选人，并编写评标报告。</w:t>
      </w:r>
    </w:p>
    <w:p w14:paraId="75460C8C">
      <w:pPr>
        <w:spacing w:line="400" w:lineRule="exact"/>
        <w:ind w:firstLine="420" w:firstLineChars="200"/>
        <w:rPr>
          <w:rFonts w:ascii="宋体" w:hAnsi="宋体" w:cs="宋体"/>
          <w:highlight w:val="none"/>
        </w:rPr>
      </w:pPr>
      <w:r>
        <w:rPr>
          <w:rFonts w:hint="eastAsia" w:ascii="宋体" w:hAnsi="宋体" w:cs="宋体"/>
          <w:highlight w:val="none"/>
        </w:rPr>
        <w:t>3.5.3 同时通过资格审查、设计方案投标文件有效性审查、工程总承包实施方案投标文件有效性审查的投标人才参与投标人总得分汇总。</w:t>
      </w:r>
    </w:p>
    <w:p w14:paraId="261240A0">
      <w:pPr>
        <w:spacing w:line="400" w:lineRule="exact"/>
        <w:ind w:firstLine="420" w:firstLineChars="200"/>
        <w:rPr>
          <w:rFonts w:ascii="宋体" w:hAnsi="宋体" w:cs="宋体"/>
          <w:highlight w:val="none"/>
        </w:rPr>
      </w:pPr>
      <w:r>
        <w:rPr>
          <w:rFonts w:hint="eastAsia" w:ascii="宋体" w:hAnsi="宋体" w:cs="宋体"/>
          <w:highlight w:val="none"/>
        </w:rPr>
        <w:t>3.5.4 评标委员会编写、签署评标报告。评标报告由评标委员会全体成员签字，对评标结论持有异议的评标委员会成员可以书面方式阐述其不同意见和理由。</w:t>
      </w:r>
    </w:p>
    <w:p w14:paraId="62D06861">
      <w:pPr>
        <w:spacing w:line="400" w:lineRule="exact"/>
        <w:ind w:firstLine="420" w:firstLineChars="200"/>
        <w:rPr>
          <w:rFonts w:ascii="宋体" w:hAnsi="宋体" w:cs="宋体"/>
          <w:highlight w:val="none"/>
        </w:rPr>
      </w:pPr>
      <w:r>
        <w:rPr>
          <w:rFonts w:hint="eastAsia" w:ascii="宋体" w:hAnsi="宋体" w:cs="宋体"/>
          <w:highlight w:val="none"/>
        </w:rPr>
        <w:t>3.5.5 评标委员会向招标人提交书面评标报告，评标过程中使用的文件、表格以及其他资料应当即时归还招标人（招标代理机构）。</w:t>
      </w:r>
    </w:p>
    <w:p w14:paraId="7F7B7042">
      <w:pPr>
        <w:spacing w:line="400" w:lineRule="exact"/>
        <w:ind w:firstLine="420" w:firstLineChars="200"/>
        <w:rPr>
          <w:rFonts w:ascii="宋体" w:hAnsi="宋体" w:cs="宋体"/>
          <w:highlight w:val="none"/>
        </w:rPr>
      </w:pPr>
      <w:r>
        <w:rPr>
          <w:rFonts w:hint="eastAsia" w:ascii="宋体" w:hAnsi="宋体" w:cs="宋体"/>
          <w:highlight w:val="none"/>
        </w:rPr>
        <w:t>3.5.6 通过资格审查的投标人不足3家或经评审通过设计方案投标文件有效性审查或工程总承包实施方案投标文件有效性审查的投标人不足3家，应当依法重新招标。</w:t>
      </w:r>
    </w:p>
    <w:p w14:paraId="72A4A97B">
      <w:pPr>
        <w:spacing w:line="400" w:lineRule="exact"/>
        <w:rPr>
          <w:rFonts w:ascii="宋体" w:hAnsi="宋体" w:cs="宋体"/>
          <w:b/>
          <w:bCs/>
          <w:szCs w:val="21"/>
          <w:highlight w:val="none"/>
        </w:rPr>
      </w:pPr>
      <w:r>
        <w:rPr>
          <w:rFonts w:hint="eastAsia" w:ascii="宋体" w:hAnsi="宋体" w:cs="宋体"/>
          <w:b/>
          <w:bCs/>
          <w:szCs w:val="21"/>
          <w:highlight w:val="none"/>
        </w:rPr>
        <w:t>3.6 投标文件的澄清和补正</w:t>
      </w:r>
    </w:p>
    <w:p w14:paraId="23012A58">
      <w:pPr>
        <w:spacing w:line="400" w:lineRule="exact"/>
        <w:ind w:firstLine="420" w:firstLineChars="200"/>
        <w:rPr>
          <w:rFonts w:ascii="宋体" w:hAnsi="宋体" w:cs="宋体"/>
          <w:highlight w:val="none"/>
        </w:rPr>
      </w:pPr>
      <w:r>
        <w:rPr>
          <w:rFonts w:hint="eastAsia" w:ascii="宋体" w:hAnsi="宋体" w:cs="宋体"/>
          <w:highlight w:val="none"/>
        </w:rPr>
        <w:t>3.6.1 为有助于投标文件的审查、评价和比较，评标期间，经评标委员会中超过两人（含两人）的成员以书面形式提出动议，评标委员会应当书面发出澄清通知，要求投标人对投标文件含义不明确的内容作出澄清。</w:t>
      </w:r>
    </w:p>
    <w:p w14:paraId="6F20F96F">
      <w:pPr>
        <w:spacing w:line="400" w:lineRule="exact"/>
        <w:ind w:firstLine="420" w:firstLineChars="200"/>
        <w:rPr>
          <w:rFonts w:ascii="宋体" w:hAnsi="宋体" w:cs="宋体"/>
          <w:highlight w:val="none"/>
        </w:rPr>
      </w:pPr>
      <w:r>
        <w:rPr>
          <w:rFonts w:hint="eastAsia" w:ascii="宋体" w:hAnsi="宋体" w:cs="宋体"/>
          <w:highlight w:val="non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2564BDAB">
      <w:pPr>
        <w:spacing w:line="400" w:lineRule="exact"/>
        <w:ind w:firstLine="420" w:firstLineChars="200"/>
        <w:rPr>
          <w:rFonts w:ascii="宋体" w:hAnsi="宋体" w:cs="宋体"/>
          <w:highlight w:val="none"/>
        </w:rPr>
      </w:pPr>
      <w:r>
        <w:rPr>
          <w:rFonts w:hint="eastAsia" w:ascii="宋体" w:hAnsi="宋体" w:cs="宋体"/>
          <w:highlight w:val="none"/>
        </w:rPr>
        <w:t>3.6.3 评标委员会成员均应当阅读投标人的澄清，但应独立参考澄清对投标文件进行评审。</w:t>
      </w:r>
    </w:p>
    <w:p w14:paraId="72FD9515">
      <w:pPr>
        <w:spacing w:line="400" w:lineRule="exact"/>
        <w:ind w:firstLine="420" w:firstLineChars="200"/>
        <w:rPr>
          <w:rFonts w:ascii="宋体" w:hAnsi="宋体" w:cs="宋体"/>
          <w:highlight w:val="none"/>
        </w:rPr>
      </w:pPr>
      <w:r>
        <w:rPr>
          <w:rFonts w:hint="eastAsia" w:ascii="宋体" w:hAnsi="宋体" w:cs="宋体"/>
          <w:highlight w:val="none"/>
        </w:rPr>
        <w:t>3.6.4 如果投标文件实质上不响应招标文件的各项要求，评标委员会相应评审将按照有效性审查标准予以拒绝，不接受投标人通过修改或撤销其不符合要求的差异或保留，使之成为具有响应性的投标。</w:t>
      </w:r>
    </w:p>
    <w:p w14:paraId="408F586D">
      <w:pPr>
        <w:spacing w:line="400" w:lineRule="exact"/>
        <w:rPr>
          <w:rFonts w:ascii="宋体" w:hAnsi="宋体" w:cs="宋体"/>
          <w:b/>
          <w:bCs/>
          <w:szCs w:val="21"/>
          <w:highlight w:val="none"/>
        </w:rPr>
      </w:pPr>
      <w:r>
        <w:rPr>
          <w:rFonts w:hint="eastAsia" w:ascii="宋体" w:hAnsi="宋体" w:cs="宋体"/>
          <w:b/>
          <w:bCs/>
          <w:szCs w:val="21"/>
          <w:highlight w:val="none"/>
        </w:rPr>
        <w:t>3.7 评标结果</w:t>
      </w:r>
    </w:p>
    <w:p w14:paraId="177FE9FB">
      <w:pPr>
        <w:spacing w:line="400" w:lineRule="exact"/>
        <w:ind w:firstLine="420" w:firstLineChars="200"/>
        <w:rPr>
          <w:rFonts w:ascii="宋体" w:hAnsi="宋体" w:cs="宋体"/>
          <w:highlight w:val="none"/>
        </w:rPr>
      </w:pPr>
      <w:r>
        <w:rPr>
          <w:rFonts w:hint="eastAsia" w:ascii="宋体" w:hAnsi="宋体" w:cs="宋体"/>
          <w:highlight w:val="none"/>
        </w:rPr>
        <w:t>3.7.1评标委员会应按排序先后，在招标文件有效的投标人中，向招标人推荐前3名投标人依次为第一中标候选人至第三中标候选人。</w:t>
      </w:r>
    </w:p>
    <w:p w14:paraId="4CD185E3">
      <w:pPr>
        <w:spacing w:line="400" w:lineRule="exact"/>
        <w:ind w:firstLine="420" w:firstLineChars="200"/>
        <w:rPr>
          <w:rFonts w:ascii="宋体" w:hAnsi="宋体" w:cs="宋体"/>
          <w:highlight w:val="none"/>
        </w:rPr>
      </w:pPr>
      <w:r>
        <w:rPr>
          <w:rFonts w:hint="eastAsia" w:ascii="宋体" w:hAnsi="宋体" w:cs="宋体"/>
          <w:highlight w:val="none"/>
        </w:rPr>
        <w:t>3.7.2 评标委员会完成评标后，应当向招标人提交书面评标报告。</w:t>
      </w:r>
    </w:p>
    <w:p w14:paraId="22F8E9B3">
      <w:pPr>
        <w:spacing w:line="400" w:lineRule="exact"/>
        <w:ind w:firstLine="420" w:firstLineChars="200"/>
        <w:rPr>
          <w:rFonts w:ascii="宋体" w:hAnsi="宋体" w:cs="宋体"/>
          <w:highlight w:val="none"/>
        </w:rPr>
      </w:pPr>
      <w:r>
        <w:rPr>
          <w:rFonts w:hint="eastAsia" w:ascii="宋体" w:hAnsi="宋体" w:cs="宋体"/>
          <w:highlight w:val="none"/>
        </w:rPr>
        <w:t>3.7.3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0D2E8843">
      <w:pPr>
        <w:spacing w:line="360" w:lineRule="auto"/>
        <w:rPr>
          <w:rFonts w:ascii="宋体" w:hAnsi="宋体" w:cs="宋体"/>
          <w:b/>
          <w:bCs/>
          <w:sz w:val="24"/>
          <w:szCs w:val="24"/>
          <w:highlight w:val="none"/>
        </w:rPr>
      </w:pPr>
      <w:r>
        <w:rPr>
          <w:rFonts w:hint="eastAsia" w:ascii="宋体" w:hAnsi="宋体" w:cs="宋体"/>
          <w:b/>
          <w:bCs/>
          <w:sz w:val="24"/>
          <w:szCs w:val="24"/>
          <w:highlight w:val="none"/>
        </w:rPr>
        <w:t>4. 其他事项</w:t>
      </w:r>
    </w:p>
    <w:p w14:paraId="1E8094E6">
      <w:pPr>
        <w:spacing w:line="400" w:lineRule="exact"/>
        <w:ind w:firstLine="420" w:firstLineChars="200"/>
        <w:rPr>
          <w:rFonts w:ascii="宋体" w:hAnsi="宋体" w:cs="宋体"/>
          <w:highlight w:val="none"/>
        </w:rPr>
      </w:pPr>
      <w:r>
        <w:rPr>
          <w:rFonts w:hint="eastAsia" w:ascii="宋体" w:hAnsi="宋体" w:cs="宋体"/>
          <w:highlight w:val="none"/>
        </w:rPr>
        <w:t>因投诉生效，需要重新评标的，评标信息（含业绩、奖项等）仍以投标截止时投标人的信息为准。在评标阶段，因特殊原因需要延长投标有效期，投标人拒绝延长投标有效期的，仍参与评标，但不被推荐为中标候选人。</w:t>
      </w:r>
    </w:p>
    <w:p w14:paraId="188F58F9">
      <w:pPr>
        <w:spacing w:line="360" w:lineRule="auto"/>
        <w:rPr>
          <w:rFonts w:ascii="宋体" w:hAnsi="宋体" w:cs="宋体"/>
          <w:b/>
          <w:bCs/>
          <w:sz w:val="24"/>
          <w:szCs w:val="24"/>
          <w:highlight w:val="none"/>
        </w:rPr>
      </w:pPr>
      <w:r>
        <w:rPr>
          <w:rFonts w:hint="eastAsia" w:ascii="宋体" w:hAnsi="宋体" w:cs="宋体"/>
          <w:b/>
          <w:bCs/>
          <w:sz w:val="24"/>
          <w:szCs w:val="24"/>
          <w:highlight w:val="none"/>
        </w:rPr>
        <w:t>5. 评标表格</w:t>
      </w:r>
    </w:p>
    <w:p w14:paraId="25DEC681">
      <w:pPr>
        <w:spacing w:line="400" w:lineRule="exact"/>
        <w:ind w:firstLine="420" w:firstLineChars="200"/>
        <w:rPr>
          <w:rFonts w:ascii="宋体" w:hAnsi="宋体" w:cs="宋体"/>
          <w:szCs w:val="24"/>
          <w:highlight w:val="none"/>
        </w:rPr>
        <w:sectPr>
          <w:pgSz w:w="11905" w:h="16838"/>
          <w:pgMar w:top="1247" w:right="1247" w:bottom="1247" w:left="1247" w:header="567" w:footer="850"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highlight w:val="none"/>
        </w:rPr>
        <w:t>见后附表。</w:t>
      </w:r>
    </w:p>
    <w:p w14:paraId="6C1B2D8C">
      <w:pPr>
        <w:jc w:val="left"/>
        <w:rPr>
          <w:rFonts w:ascii="宋体" w:hAnsi="宋体" w:cs="宋体"/>
          <w:b/>
          <w:sz w:val="24"/>
          <w:szCs w:val="32"/>
          <w:highlight w:val="none"/>
        </w:rPr>
      </w:pPr>
      <w:bookmarkStart w:id="1050" w:name="_Hlk127782846"/>
      <w:r>
        <w:rPr>
          <w:rFonts w:hint="eastAsia" w:ascii="宋体" w:hAnsi="宋体" w:cs="宋体"/>
          <w:b/>
          <w:sz w:val="24"/>
          <w:szCs w:val="32"/>
          <w:highlight w:val="none"/>
        </w:rPr>
        <w:t xml:space="preserve">附表1 </w:t>
      </w:r>
    </w:p>
    <w:p w14:paraId="76F7D72B">
      <w:pPr>
        <w:jc w:val="center"/>
        <w:rPr>
          <w:rFonts w:ascii="宋体" w:hAnsi="宋体" w:cs="宋体"/>
          <w:b/>
          <w:sz w:val="32"/>
          <w:szCs w:val="32"/>
          <w:highlight w:val="none"/>
        </w:rPr>
      </w:pPr>
      <w:r>
        <w:rPr>
          <w:rFonts w:hint="eastAsia" w:ascii="宋体" w:hAnsi="宋体" w:cs="宋体"/>
          <w:b/>
          <w:sz w:val="32"/>
          <w:szCs w:val="32"/>
          <w:highlight w:val="none"/>
        </w:rPr>
        <w:t>资格审查表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478"/>
        <w:gridCol w:w="7424"/>
      </w:tblGrid>
      <w:tr w14:paraId="1DF9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C741EA3">
            <w:pPr>
              <w:widowControl/>
              <w:tabs>
                <w:tab w:val="left" w:pos="704"/>
              </w:tabs>
              <w:adjustRightInd w:val="0"/>
              <w:snapToGrid w:val="0"/>
              <w:jc w:val="center"/>
              <w:rPr>
                <w:rFonts w:ascii="宋体" w:hAnsi="宋体" w:cs="宋体"/>
                <w:szCs w:val="24"/>
                <w:highlight w:val="none"/>
              </w:rPr>
            </w:pPr>
            <w:r>
              <w:rPr>
                <w:rFonts w:hint="eastAsia" w:ascii="宋体" w:hAnsi="宋体" w:cs="宋体"/>
                <w:szCs w:val="24"/>
                <w:highlight w:val="none"/>
              </w:rPr>
              <w:t>序号</w:t>
            </w:r>
          </w:p>
        </w:tc>
        <w:tc>
          <w:tcPr>
            <w:tcW w:w="5478" w:type="dxa"/>
            <w:tcBorders>
              <w:top w:val="single" w:color="auto" w:sz="4" w:space="0"/>
              <w:left w:val="single" w:color="auto" w:sz="4" w:space="0"/>
              <w:bottom w:val="single" w:color="auto" w:sz="4" w:space="0"/>
              <w:right w:val="single" w:color="auto" w:sz="4" w:space="0"/>
            </w:tcBorders>
            <w:vAlign w:val="center"/>
          </w:tcPr>
          <w:p w14:paraId="66232305">
            <w:pPr>
              <w:widowControl/>
              <w:adjustRightInd w:val="0"/>
              <w:snapToGrid w:val="0"/>
              <w:jc w:val="center"/>
              <w:rPr>
                <w:rFonts w:ascii="宋体" w:hAnsi="宋体" w:cs="宋体"/>
                <w:szCs w:val="24"/>
                <w:highlight w:val="none"/>
              </w:rPr>
            </w:pPr>
            <w:r>
              <w:rPr>
                <w:rFonts w:hint="eastAsia" w:ascii="宋体" w:hAnsi="宋体" w:cs="宋体"/>
                <w:szCs w:val="24"/>
                <w:highlight w:val="none"/>
              </w:rPr>
              <w:t>审查项目</w:t>
            </w:r>
          </w:p>
        </w:tc>
        <w:tc>
          <w:tcPr>
            <w:tcW w:w="7424" w:type="dxa"/>
            <w:tcBorders>
              <w:top w:val="single" w:color="auto" w:sz="4" w:space="0"/>
              <w:left w:val="single" w:color="auto" w:sz="4" w:space="0"/>
              <w:bottom w:val="single" w:color="auto" w:sz="4" w:space="0"/>
              <w:right w:val="single" w:color="auto" w:sz="4" w:space="0"/>
            </w:tcBorders>
            <w:vAlign w:val="center"/>
          </w:tcPr>
          <w:p w14:paraId="270E8F12">
            <w:pPr>
              <w:widowControl/>
              <w:adjustRightInd w:val="0"/>
              <w:snapToGrid w:val="0"/>
              <w:jc w:val="center"/>
              <w:rPr>
                <w:rFonts w:ascii="宋体" w:hAnsi="宋体" w:cs="宋体"/>
                <w:szCs w:val="24"/>
                <w:highlight w:val="none"/>
              </w:rPr>
            </w:pPr>
            <w:r>
              <w:rPr>
                <w:rFonts w:hint="eastAsia" w:ascii="宋体" w:hAnsi="宋体" w:cs="宋体"/>
                <w:szCs w:val="24"/>
                <w:highlight w:val="none"/>
              </w:rPr>
              <w:t>须审查的资料</w:t>
            </w:r>
          </w:p>
        </w:tc>
      </w:tr>
      <w:tr w14:paraId="2B9C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6240239">
            <w:pPr>
              <w:widowControl/>
              <w:adjustRightInd w:val="0"/>
              <w:snapToGrid w:val="0"/>
              <w:jc w:val="center"/>
              <w:rPr>
                <w:rFonts w:ascii="宋体" w:hAnsi="宋体" w:cs="宋体"/>
                <w:szCs w:val="24"/>
                <w:highlight w:val="none"/>
              </w:rPr>
            </w:pPr>
            <w:r>
              <w:rPr>
                <w:rFonts w:hint="eastAsia" w:ascii="宋体" w:hAnsi="宋体" w:cs="宋体"/>
                <w:szCs w:val="24"/>
                <w:highlight w:val="none"/>
              </w:rPr>
              <w:t>1</w:t>
            </w:r>
          </w:p>
        </w:tc>
        <w:tc>
          <w:tcPr>
            <w:tcW w:w="5478" w:type="dxa"/>
            <w:tcBorders>
              <w:top w:val="single" w:color="auto" w:sz="4" w:space="0"/>
              <w:left w:val="single" w:color="auto" w:sz="4" w:space="0"/>
              <w:bottom w:val="single" w:color="auto" w:sz="4" w:space="0"/>
              <w:right w:val="single" w:color="auto" w:sz="4" w:space="0"/>
            </w:tcBorders>
            <w:vAlign w:val="center"/>
          </w:tcPr>
          <w:p w14:paraId="0DD59E32">
            <w:pPr>
              <w:widowControl/>
              <w:adjustRightInd w:val="0"/>
              <w:snapToGrid w:val="0"/>
              <w:rPr>
                <w:rFonts w:ascii="宋体" w:hAnsi="宋体" w:cs="宋体"/>
                <w:szCs w:val="24"/>
                <w:highlight w:val="none"/>
              </w:rPr>
            </w:pPr>
            <w:r>
              <w:rPr>
                <w:rFonts w:hint="eastAsia" w:ascii="宋体" w:hAnsi="宋体" w:cs="宋体"/>
                <w:szCs w:val="24"/>
                <w:highlight w:val="none"/>
              </w:rPr>
              <w:t>投标人参加投标的意思表达清楚，投标人代表被授权有效。</w:t>
            </w:r>
          </w:p>
        </w:tc>
        <w:tc>
          <w:tcPr>
            <w:tcW w:w="7424" w:type="dxa"/>
            <w:tcBorders>
              <w:top w:val="single" w:color="auto" w:sz="4" w:space="0"/>
              <w:left w:val="single" w:color="auto" w:sz="4" w:space="0"/>
              <w:bottom w:val="single" w:color="auto" w:sz="4" w:space="0"/>
              <w:right w:val="single" w:color="auto" w:sz="4" w:space="0"/>
            </w:tcBorders>
            <w:vAlign w:val="center"/>
          </w:tcPr>
          <w:p w14:paraId="2670807E">
            <w:pPr>
              <w:widowControl/>
              <w:adjustRightInd w:val="0"/>
              <w:snapToGrid w:val="0"/>
              <w:rPr>
                <w:rFonts w:ascii="宋体" w:hAnsi="宋体" w:cs="宋体"/>
                <w:szCs w:val="24"/>
                <w:highlight w:val="none"/>
              </w:rPr>
            </w:pPr>
            <w:r>
              <w:rPr>
                <w:rFonts w:hint="eastAsia" w:ascii="宋体" w:hAnsi="宋体" w:cs="宋体"/>
                <w:szCs w:val="24"/>
                <w:highlight w:val="none"/>
              </w:rPr>
              <w:t>法定代表人证明书；委托投标的还应提供法人授权委托证明书。</w:t>
            </w:r>
          </w:p>
        </w:tc>
      </w:tr>
      <w:tr w14:paraId="52F8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1BA42DD">
            <w:pPr>
              <w:widowControl/>
              <w:adjustRightInd w:val="0"/>
              <w:snapToGrid w:val="0"/>
              <w:jc w:val="center"/>
              <w:rPr>
                <w:rFonts w:ascii="宋体" w:hAnsi="宋体" w:cs="宋体"/>
                <w:szCs w:val="24"/>
                <w:highlight w:val="none"/>
              </w:rPr>
            </w:pPr>
            <w:r>
              <w:rPr>
                <w:rFonts w:hint="eastAsia" w:ascii="宋体" w:hAnsi="宋体" w:cs="宋体"/>
                <w:szCs w:val="24"/>
                <w:highlight w:val="none"/>
              </w:rPr>
              <w:t>2</w:t>
            </w:r>
          </w:p>
        </w:tc>
        <w:tc>
          <w:tcPr>
            <w:tcW w:w="5478" w:type="dxa"/>
            <w:tcBorders>
              <w:top w:val="single" w:color="auto" w:sz="4" w:space="0"/>
              <w:left w:val="single" w:color="auto" w:sz="4" w:space="0"/>
              <w:bottom w:val="single" w:color="auto" w:sz="4" w:space="0"/>
              <w:right w:val="single" w:color="auto" w:sz="4" w:space="0"/>
            </w:tcBorders>
            <w:vAlign w:val="center"/>
          </w:tcPr>
          <w:p w14:paraId="58482F05">
            <w:pPr>
              <w:widowControl/>
              <w:adjustRightInd w:val="0"/>
              <w:snapToGrid w:val="0"/>
              <w:rPr>
                <w:rFonts w:ascii="宋体" w:hAnsi="宋体" w:cs="宋体"/>
                <w:szCs w:val="24"/>
                <w:highlight w:val="none"/>
              </w:rPr>
            </w:pPr>
            <w:r>
              <w:rPr>
                <w:rFonts w:hint="eastAsia" w:ascii="宋体" w:hAnsi="宋体" w:cs="宋体"/>
                <w:szCs w:val="24"/>
                <w:highlight w:val="none"/>
              </w:rPr>
              <w:t>投标人（若为联合体投标，指联合体各方）均具有独立法人资格，按国家法律经营。</w:t>
            </w:r>
          </w:p>
        </w:tc>
        <w:tc>
          <w:tcPr>
            <w:tcW w:w="7424" w:type="dxa"/>
            <w:tcBorders>
              <w:top w:val="single" w:color="auto" w:sz="4" w:space="0"/>
              <w:left w:val="single" w:color="auto" w:sz="4" w:space="0"/>
              <w:bottom w:val="single" w:color="auto" w:sz="4" w:space="0"/>
              <w:right w:val="single" w:color="auto" w:sz="4" w:space="0"/>
            </w:tcBorders>
            <w:vAlign w:val="center"/>
          </w:tcPr>
          <w:p w14:paraId="12389EB4">
            <w:pPr>
              <w:widowControl/>
              <w:adjustRightInd w:val="0"/>
              <w:snapToGrid w:val="0"/>
              <w:rPr>
                <w:rFonts w:ascii="宋体" w:hAnsi="宋体" w:cs="宋体"/>
                <w:szCs w:val="24"/>
                <w:highlight w:val="none"/>
              </w:rPr>
            </w:pPr>
            <w:r>
              <w:rPr>
                <w:rFonts w:hint="eastAsia" w:ascii="宋体" w:hAnsi="宋体" w:cs="宋体"/>
                <w:szCs w:val="24"/>
                <w:highlight w:val="none"/>
                <w:u w:val="single"/>
              </w:rPr>
              <w:t>投标人（联合体投标的，联合体所有成员均出具）持有市场监督管理部门核发的企业营业执照扫描件或电子证照</w:t>
            </w:r>
            <w:r>
              <w:rPr>
                <w:rFonts w:hint="eastAsia" w:ascii="宋体" w:hAnsi="宋体" w:cs="宋体"/>
                <w:szCs w:val="24"/>
                <w:highlight w:val="none"/>
              </w:rPr>
              <w:t>。</w:t>
            </w:r>
          </w:p>
        </w:tc>
      </w:tr>
      <w:tr w14:paraId="3512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3F85CBE6">
            <w:pPr>
              <w:widowControl/>
              <w:adjustRightInd w:val="0"/>
              <w:snapToGrid w:val="0"/>
              <w:jc w:val="center"/>
              <w:rPr>
                <w:rFonts w:ascii="宋体" w:hAnsi="宋体" w:cs="宋体"/>
                <w:szCs w:val="24"/>
                <w:highlight w:val="none"/>
              </w:rPr>
            </w:pPr>
            <w:r>
              <w:rPr>
                <w:rFonts w:hint="eastAsia" w:ascii="宋体" w:hAnsi="宋体" w:cs="宋体"/>
                <w:szCs w:val="24"/>
                <w:highlight w:val="none"/>
              </w:rPr>
              <w:t>3</w:t>
            </w:r>
          </w:p>
        </w:tc>
        <w:tc>
          <w:tcPr>
            <w:tcW w:w="5478" w:type="dxa"/>
            <w:tcBorders>
              <w:top w:val="single" w:color="auto" w:sz="4" w:space="0"/>
              <w:left w:val="single" w:color="auto" w:sz="4" w:space="0"/>
              <w:bottom w:val="single" w:color="auto" w:sz="4" w:space="0"/>
              <w:right w:val="single" w:color="auto" w:sz="4" w:space="0"/>
            </w:tcBorders>
            <w:vAlign w:val="center"/>
          </w:tcPr>
          <w:p w14:paraId="491B374D">
            <w:pPr>
              <w:widowControl/>
              <w:adjustRightInd w:val="0"/>
              <w:snapToGrid w:val="0"/>
              <w:rPr>
                <w:rFonts w:ascii="宋体" w:hAnsi="宋体" w:cs="宋体"/>
                <w:szCs w:val="24"/>
                <w:highlight w:val="none"/>
              </w:rPr>
            </w:pPr>
            <w:r>
              <w:rPr>
                <w:rFonts w:hint="eastAsia" w:ascii="宋体" w:hAnsi="宋体" w:cs="宋体"/>
                <w:szCs w:val="24"/>
                <w:highlight w:val="none"/>
              </w:rPr>
              <w:t>投标人（联合体各成员）持有建设行政主管部门颁发的企业资质证书；投标人（若为联合体投标，由联合体施工方提供）持有建设行政主管部门颁发的安全生产许可证；投标人资质符合公告要求。</w:t>
            </w:r>
          </w:p>
        </w:tc>
        <w:tc>
          <w:tcPr>
            <w:tcW w:w="7424" w:type="dxa"/>
            <w:tcBorders>
              <w:top w:val="single" w:color="auto" w:sz="4" w:space="0"/>
              <w:left w:val="single" w:color="auto" w:sz="4" w:space="0"/>
              <w:bottom w:val="single" w:color="auto" w:sz="4" w:space="0"/>
              <w:right w:val="single" w:color="auto" w:sz="4" w:space="0"/>
            </w:tcBorders>
            <w:vAlign w:val="center"/>
          </w:tcPr>
          <w:p w14:paraId="7BA979DB">
            <w:pPr>
              <w:widowControl/>
              <w:adjustRightInd w:val="0"/>
              <w:snapToGrid w:val="0"/>
              <w:rPr>
                <w:rFonts w:ascii="宋体" w:hAnsi="宋体" w:cs="宋体"/>
                <w:szCs w:val="24"/>
                <w:highlight w:val="none"/>
              </w:rPr>
            </w:pPr>
            <w:r>
              <w:rPr>
                <w:rFonts w:hint="eastAsia" w:ascii="宋体" w:hAnsi="宋体" w:cs="宋体"/>
                <w:szCs w:val="24"/>
                <w:highlight w:val="none"/>
                <w:u w:val="single"/>
              </w:rPr>
              <w:t>资质证书扫描件或电子证照、安全生产许可证扫描件或电子证照</w:t>
            </w:r>
          </w:p>
        </w:tc>
      </w:tr>
      <w:tr w14:paraId="4DEE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878D146">
            <w:pPr>
              <w:widowControl/>
              <w:adjustRightInd w:val="0"/>
              <w:snapToGrid w:val="0"/>
              <w:jc w:val="center"/>
              <w:rPr>
                <w:rFonts w:ascii="宋体" w:hAnsi="宋体" w:cs="宋体"/>
                <w:szCs w:val="24"/>
                <w:highlight w:val="none"/>
              </w:rPr>
            </w:pPr>
            <w:r>
              <w:rPr>
                <w:rFonts w:hint="eastAsia" w:ascii="宋体" w:hAnsi="宋体" w:cs="宋体"/>
                <w:szCs w:val="24"/>
                <w:highlight w:val="none"/>
              </w:rPr>
              <w:t>4</w:t>
            </w:r>
          </w:p>
        </w:tc>
        <w:tc>
          <w:tcPr>
            <w:tcW w:w="5478" w:type="dxa"/>
            <w:tcBorders>
              <w:top w:val="single" w:color="auto" w:sz="4" w:space="0"/>
              <w:left w:val="single" w:color="auto" w:sz="4" w:space="0"/>
              <w:bottom w:val="single" w:color="auto" w:sz="4" w:space="0"/>
              <w:right w:val="single" w:color="auto" w:sz="4" w:space="0"/>
            </w:tcBorders>
            <w:vAlign w:val="center"/>
          </w:tcPr>
          <w:p w14:paraId="6819F8C1">
            <w:pPr>
              <w:widowControl/>
              <w:adjustRightInd w:val="0"/>
              <w:snapToGrid w:val="0"/>
              <w:rPr>
                <w:rFonts w:ascii="宋体" w:hAnsi="宋体" w:cs="宋体"/>
                <w:szCs w:val="24"/>
                <w:highlight w:val="none"/>
              </w:rPr>
            </w:pPr>
            <w:r>
              <w:rPr>
                <w:rFonts w:hint="eastAsia" w:ascii="宋体" w:hAnsi="宋体" w:cs="宋体"/>
                <w:szCs w:val="24"/>
                <w:highlight w:val="none"/>
              </w:rPr>
              <w:t>项目负责人符合公告要求。</w:t>
            </w:r>
          </w:p>
        </w:tc>
        <w:tc>
          <w:tcPr>
            <w:tcW w:w="7424" w:type="dxa"/>
            <w:tcBorders>
              <w:top w:val="single" w:color="auto" w:sz="4" w:space="0"/>
              <w:left w:val="single" w:color="auto" w:sz="4" w:space="0"/>
              <w:bottom w:val="single" w:color="auto" w:sz="4" w:space="0"/>
              <w:right w:val="single" w:color="auto" w:sz="4" w:space="0"/>
            </w:tcBorders>
            <w:vAlign w:val="center"/>
          </w:tcPr>
          <w:p w14:paraId="2B1E3276">
            <w:pPr>
              <w:widowControl/>
              <w:adjustRightInd w:val="0"/>
              <w:snapToGrid w:val="0"/>
              <w:rPr>
                <w:rFonts w:ascii="宋体" w:hAnsi="宋体" w:cs="宋体"/>
                <w:szCs w:val="24"/>
                <w:highlight w:val="none"/>
              </w:rPr>
            </w:pPr>
            <w:r>
              <w:rPr>
                <w:rFonts w:hint="eastAsia" w:ascii="宋体" w:hAnsi="宋体" w:cs="宋体"/>
                <w:szCs w:val="24"/>
                <w:highlight w:val="none"/>
              </w:rPr>
              <w:t>投标人拟担任本项目项目负责人（兼施工负责人，若为联合体投标，由联合体主办方提供）资格符合招标公告要求，提供项目负责人有效期内的建造师注册证书扫描件或电子证书。</w:t>
            </w:r>
          </w:p>
        </w:tc>
      </w:tr>
      <w:tr w14:paraId="416F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CA41C98">
            <w:pPr>
              <w:widowControl/>
              <w:adjustRightInd w:val="0"/>
              <w:snapToGrid w:val="0"/>
              <w:jc w:val="center"/>
              <w:rPr>
                <w:rFonts w:ascii="宋体" w:hAnsi="宋体" w:cs="宋体"/>
                <w:szCs w:val="24"/>
                <w:highlight w:val="none"/>
              </w:rPr>
            </w:pPr>
            <w:r>
              <w:rPr>
                <w:rFonts w:hint="eastAsia" w:ascii="宋体" w:hAnsi="宋体" w:cs="宋体"/>
                <w:szCs w:val="24"/>
                <w:highlight w:val="none"/>
              </w:rPr>
              <w:t>5</w:t>
            </w:r>
          </w:p>
        </w:tc>
        <w:tc>
          <w:tcPr>
            <w:tcW w:w="5478" w:type="dxa"/>
            <w:tcBorders>
              <w:top w:val="single" w:color="auto" w:sz="4" w:space="0"/>
              <w:left w:val="single" w:color="auto" w:sz="4" w:space="0"/>
              <w:bottom w:val="single" w:color="auto" w:sz="4" w:space="0"/>
              <w:right w:val="single" w:color="auto" w:sz="4" w:space="0"/>
            </w:tcBorders>
            <w:vAlign w:val="center"/>
          </w:tcPr>
          <w:p w14:paraId="04F34C95">
            <w:pPr>
              <w:widowControl/>
              <w:adjustRightInd w:val="0"/>
              <w:snapToGrid w:val="0"/>
              <w:rPr>
                <w:rFonts w:ascii="宋体" w:hAnsi="宋体" w:cs="宋体"/>
                <w:szCs w:val="24"/>
                <w:highlight w:val="none"/>
              </w:rPr>
            </w:pPr>
            <w:r>
              <w:rPr>
                <w:rFonts w:hint="eastAsia" w:ascii="宋体" w:hAnsi="宋体" w:cs="宋体"/>
                <w:szCs w:val="24"/>
                <w:highlight w:val="none"/>
              </w:rPr>
              <w:t>设计负责人符合公告要求。</w:t>
            </w:r>
          </w:p>
        </w:tc>
        <w:tc>
          <w:tcPr>
            <w:tcW w:w="7424" w:type="dxa"/>
            <w:tcBorders>
              <w:top w:val="single" w:color="auto" w:sz="4" w:space="0"/>
              <w:left w:val="single" w:color="auto" w:sz="4" w:space="0"/>
              <w:bottom w:val="single" w:color="auto" w:sz="4" w:space="0"/>
              <w:right w:val="single" w:color="auto" w:sz="4" w:space="0"/>
            </w:tcBorders>
            <w:vAlign w:val="center"/>
          </w:tcPr>
          <w:p w14:paraId="21A58BC5">
            <w:pPr>
              <w:widowControl/>
              <w:adjustRightInd w:val="0"/>
              <w:snapToGrid w:val="0"/>
              <w:rPr>
                <w:rFonts w:ascii="宋体" w:hAnsi="宋体" w:cs="宋体"/>
                <w:szCs w:val="24"/>
                <w:highlight w:val="none"/>
              </w:rPr>
            </w:pPr>
            <w:r>
              <w:rPr>
                <w:rFonts w:hint="eastAsia" w:ascii="宋体" w:hAnsi="宋体" w:cs="宋体"/>
                <w:szCs w:val="24"/>
                <w:highlight w:val="none"/>
              </w:rPr>
              <w:t>投标人拟担任本项目设计负责人（若联合体投标的，由联合体中承接设计任务的单位提供）资格符合招标公告要求，提供设计负责人相关证书或电子证书。</w:t>
            </w:r>
          </w:p>
        </w:tc>
      </w:tr>
      <w:tr w14:paraId="2B2C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917A757">
            <w:pPr>
              <w:widowControl/>
              <w:adjustRightInd w:val="0"/>
              <w:snapToGrid w:val="0"/>
              <w:jc w:val="center"/>
              <w:rPr>
                <w:rFonts w:ascii="宋体" w:hAnsi="宋体" w:cs="宋体"/>
                <w:szCs w:val="24"/>
                <w:highlight w:val="none"/>
              </w:rPr>
            </w:pPr>
            <w:r>
              <w:rPr>
                <w:rFonts w:hint="eastAsia" w:ascii="宋体" w:hAnsi="宋体" w:cs="宋体"/>
                <w:szCs w:val="24"/>
                <w:highlight w:val="none"/>
              </w:rPr>
              <w:t>6</w:t>
            </w:r>
          </w:p>
        </w:tc>
        <w:tc>
          <w:tcPr>
            <w:tcW w:w="5478" w:type="dxa"/>
            <w:tcBorders>
              <w:top w:val="single" w:color="auto" w:sz="4" w:space="0"/>
              <w:left w:val="single" w:color="auto" w:sz="4" w:space="0"/>
              <w:bottom w:val="single" w:color="auto" w:sz="4" w:space="0"/>
              <w:right w:val="single" w:color="auto" w:sz="4" w:space="0"/>
            </w:tcBorders>
            <w:vAlign w:val="center"/>
          </w:tcPr>
          <w:p w14:paraId="00E2FDD1">
            <w:pPr>
              <w:widowControl/>
              <w:adjustRightInd w:val="0"/>
              <w:snapToGrid w:val="0"/>
              <w:rPr>
                <w:rFonts w:ascii="宋体" w:hAnsi="宋体" w:cs="宋体"/>
                <w:szCs w:val="24"/>
                <w:highlight w:val="none"/>
              </w:rPr>
            </w:pPr>
            <w:r>
              <w:rPr>
                <w:rFonts w:hint="eastAsia" w:ascii="宋体" w:hAnsi="宋体" w:cs="宋体"/>
                <w:szCs w:val="24"/>
                <w:highlight w:val="none"/>
              </w:rPr>
              <w:t>技术负责人符合公告要求。</w:t>
            </w:r>
          </w:p>
        </w:tc>
        <w:tc>
          <w:tcPr>
            <w:tcW w:w="7424" w:type="dxa"/>
            <w:tcBorders>
              <w:top w:val="single" w:color="auto" w:sz="4" w:space="0"/>
              <w:left w:val="single" w:color="auto" w:sz="4" w:space="0"/>
              <w:bottom w:val="single" w:color="auto" w:sz="4" w:space="0"/>
              <w:right w:val="single" w:color="auto" w:sz="4" w:space="0"/>
            </w:tcBorders>
            <w:vAlign w:val="center"/>
          </w:tcPr>
          <w:p w14:paraId="377E2889">
            <w:pPr>
              <w:widowControl/>
              <w:adjustRightInd w:val="0"/>
              <w:snapToGrid w:val="0"/>
              <w:rPr>
                <w:rFonts w:ascii="宋体" w:hAnsi="宋体" w:cs="宋体"/>
                <w:szCs w:val="24"/>
                <w:highlight w:val="none"/>
              </w:rPr>
            </w:pPr>
            <w:r>
              <w:rPr>
                <w:rFonts w:hint="eastAsia" w:ascii="宋体" w:hAnsi="宋体" w:cs="宋体"/>
                <w:szCs w:val="24"/>
                <w:highlight w:val="none"/>
              </w:rPr>
              <w:t>投标人拟担任本工程项目技术负责人（若联合体投标，由联合体施工方提供）资格符合招标公告要求，提供技术负责人相关证书扫描件或电子证书。</w:t>
            </w:r>
          </w:p>
        </w:tc>
      </w:tr>
      <w:tr w14:paraId="2C9A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F8EE0F5">
            <w:pPr>
              <w:widowControl/>
              <w:adjustRightInd w:val="0"/>
              <w:snapToGrid w:val="0"/>
              <w:jc w:val="center"/>
              <w:rPr>
                <w:rFonts w:ascii="宋体" w:hAnsi="宋体" w:cs="宋体"/>
                <w:szCs w:val="24"/>
                <w:highlight w:val="none"/>
              </w:rPr>
            </w:pPr>
            <w:r>
              <w:rPr>
                <w:rFonts w:hint="eastAsia" w:ascii="宋体" w:hAnsi="宋体" w:cs="宋体"/>
                <w:szCs w:val="24"/>
                <w:highlight w:val="none"/>
              </w:rPr>
              <w:t>7</w:t>
            </w:r>
          </w:p>
        </w:tc>
        <w:tc>
          <w:tcPr>
            <w:tcW w:w="5478" w:type="dxa"/>
            <w:tcBorders>
              <w:top w:val="single" w:color="auto" w:sz="4" w:space="0"/>
              <w:left w:val="single" w:color="auto" w:sz="4" w:space="0"/>
              <w:bottom w:val="single" w:color="auto" w:sz="4" w:space="0"/>
              <w:right w:val="single" w:color="auto" w:sz="4" w:space="0"/>
            </w:tcBorders>
            <w:vAlign w:val="center"/>
          </w:tcPr>
          <w:p w14:paraId="30241DD0">
            <w:pPr>
              <w:widowControl/>
              <w:adjustRightInd w:val="0"/>
              <w:snapToGrid w:val="0"/>
              <w:rPr>
                <w:rFonts w:ascii="宋体" w:hAnsi="宋体" w:cs="宋体"/>
                <w:szCs w:val="24"/>
                <w:highlight w:val="none"/>
              </w:rPr>
            </w:pPr>
            <w:r>
              <w:rPr>
                <w:rFonts w:hint="eastAsia" w:ascii="宋体" w:hAnsi="宋体" w:cs="宋体"/>
                <w:szCs w:val="24"/>
                <w:highlight w:val="none"/>
              </w:rPr>
              <w:t>项目负责人安全生产考核合格证书符合公告要求。</w:t>
            </w:r>
          </w:p>
        </w:tc>
        <w:tc>
          <w:tcPr>
            <w:tcW w:w="7424" w:type="dxa"/>
            <w:tcBorders>
              <w:top w:val="single" w:color="auto" w:sz="4" w:space="0"/>
              <w:left w:val="single" w:color="auto" w:sz="4" w:space="0"/>
              <w:bottom w:val="single" w:color="auto" w:sz="4" w:space="0"/>
              <w:right w:val="single" w:color="auto" w:sz="4" w:space="0"/>
            </w:tcBorders>
            <w:vAlign w:val="center"/>
          </w:tcPr>
          <w:p w14:paraId="1CA4CAC2">
            <w:pPr>
              <w:widowControl/>
              <w:adjustRightInd w:val="0"/>
              <w:snapToGrid w:val="0"/>
              <w:rPr>
                <w:rFonts w:ascii="宋体" w:hAnsi="宋体" w:cs="宋体"/>
                <w:szCs w:val="24"/>
                <w:highlight w:val="none"/>
              </w:rPr>
            </w:pPr>
            <w:r>
              <w:rPr>
                <w:rFonts w:hint="eastAsia" w:ascii="宋体" w:hAnsi="宋体" w:cs="宋体"/>
                <w:szCs w:val="24"/>
                <w:highlight w:val="none"/>
              </w:rPr>
              <w:t>项目负责人应持有在有效期内的安全生产合格证书（B类）或建筑施工企业项目负责人安全生产考核合格证书扫描件或电子证书。</w:t>
            </w:r>
          </w:p>
        </w:tc>
      </w:tr>
      <w:tr w14:paraId="5C73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E674065">
            <w:pPr>
              <w:widowControl/>
              <w:adjustRightInd w:val="0"/>
              <w:snapToGrid w:val="0"/>
              <w:jc w:val="center"/>
              <w:rPr>
                <w:rFonts w:ascii="宋体" w:hAnsi="宋体" w:cs="宋体"/>
                <w:szCs w:val="24"/>
                <w:highlight w:val="none"/>
              </w:rPr>
            </w:pPr>
            <w:r>
              <w:rPr>
                <w:rFonts w:hint="eastAsia" w:ascii="宋体" w:hAnsi="宋体" w:cs="宋体"/>
                <w:szCs w:val="24"/>
                <w:highlight w:val="none"/>
              </w:rPr>
              <w:t>8</w:t>
            </w:r>
          </w:p>
        </w:tc>
        <w:tc>
          <w:tcPr>
            <w:tcW w:w="5478" w:type="dxa"/>
            <w:tcBorders>
              <w:top w:val="single" w:color="auto" w:sz="4" w:space="0"/>
              <w:left w:val="single" w:color="auto" w:sz="4" w:space="0"/>
              <w:bottom w:val="single" w:color="auto" w:sz="4" w:space="0"/>
              <w:right w:val="single" w:color="auto" w:sz="4" w:space="0"/>
            </w:tcBorders>
            <w:vAlign w:val="center"/>
          </w:tcPr>
          <w:p w14:paraId="1C319A62">
            <w:pPr>
              <w:widowControl/>
              <w:adjustRightInd w:val="0"/>
              <w:snapToGrid w:val="0"/>
              <w:rPr>
                <w:rFonts w:ascii="宋体" w:hAnsi="宋体" w:cs="宋体"/>
                <w:szCs w:val="24"/>
                <w:highlight w:val="none"/>
              </w:rPr>
            </w:pPr>
            <w:r>
              <w:rPr>
                <w:rFonts w:hint="eastAsia" w:ascii="宋体" w:hAnsi="宋体" w:cs="宋体"/>
                <w:szCs w:val="24"/>
                <w:highlight w:val="none"/>
              </w:rPr>
              <w:t>专职安全人员符合公告要求。</w:t>
            </w:r>
          </w:p>
        </w:tc>
        <w:tc>
          <w:tcPr>
            <w:tcW w:w="7424" w:type="dxa"/>
            <w:tcBorders>
              <w:top w:val="single" w:color="auto" w:sz="4" w:space="0"/>
              <w:left w:val="single" w:color="auto" w:sz="4" w:space="0"/>
              <w:bottom w:val="single" w:color="auto" w:sz="4" w:space="0"/>
              <w:right w:val="single" w:color="auto" w:sz="4" w:space="0"/>
            </w:tcBorders>
            <w:vAlign w:val="center"/>
          </w:tcPr>
          <w:p w14:paraId="2E6B5743">
            <w:pPr>
              <w:widowControl/>
              <w:adjustRightInd w:val="0"/>
              <w:snapToGrid w:val="0"/>
              <w:rPr>
                <w:rFonts w:ascii="宋体" w:hAnsi="宋体" w:cs="宋体"/>
                <w:szCs w:val="24"/>
                <w:highlight w:val="none"/>
              </w:rPr>
            </w:pPr>
            <w:r>
              <w:rPr>
                <w:rFonts w:hint="eastAsia" w:ascii="宋体" w:hAnsi="宋体" w:cs="宋体"/>
                <w:szCs w:val="24"/>
                <w:highlight w:val="none"/>
              </w:rPr>
              <w:t>投标人拟担任本工程专职安全人员（若联合体投标，由联合体施工方提供）具有在有效期内的安全生产考核合格证（C类）或建筑施工企业专职安全生产管理人员安全生产考核合格证书（C3）扫描件或电子证书。</w:t>
            </w:r>
          </w:p>
        </w:tc>
      </w:tr>
      <w:tr w14:paraId="6C05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FF63597">
            <w:pPr>
              <w:widowControl/>
              <w:adjustRightInd w:val="0"/>
              <w:snapToGrid w:val="0"/>
              <w:jc w:val="center"/>
              <w:rPr>
                <w:rFonts w:ascii="宋体" w:hAnsi="宋体" w:cs="宋体"/>
                <w:szCs w:val="24"/>
                <w:highlight w:val="none"/>
              </w:rPr>
            </w:pPr>
            <w:r>
              <w:rPr>
                <w:rFonts w:hint="eastAsia" w:ascii="宋体" w:hAnsi="宋体" w:cs="宋体"/>
                <w:szCs w:val="24"/>
                <w:highlight w:val="none"/>
              </w:rPr>
              <w:t>9</w:t>
            </w:r>
          </w:p>
        </w:tc>
        <w:tc>
          <w:tcPr>
            <w:tcW w:w="5478" w:type="dxa"/>
            <w:tcBorders>
              <w:top w:val="single" w:color="auto" w:sz="4" w:space="0"/>
              <w:left w:val="single" w:color="auto" w:sz="4" w:space="0"/>
              <w:bottom w:val="single" w:color="auto" w:sz="4" w:space="0"/>
              <w:right w:val="single" w:color="auto" w:sz="4" w:space="0"/>
            </w:tcBorders>
            <w:vAlign w:val="center"/>
          </w:tcPr>
          <w:p w14:paraId="086C7F30">
            <w:pPr>
              <w:widowControl/>
              <w:adjustRightInd w:val="0"/>
              <w:snapToGrid w:val="0"/>
              <w:rPr>
                <w:rFonts w:ascii="宋体" w:hAnsi="宋体" w:cs="宋体"/>
                <w:szCs w:val="24"/>
                <w:highlight w:val="none"/>
              </w:rPr>
            </w:pPr>
            <w:r>
              <w:rPr>
                <w:rFonts w:hint="eastAsia" w:ascii="宋体" w:hAnsi="宋体" w:cs="宋体"/>
                <w:szCs w:val="24"/>
                <w:highlight w:val="none"/>
              </w:rPr>
              <w:t>投标人（联合体各方）提供的投标申请人声明符合招标公告要求。</w:t>
            </w:r>
          </w:p>
        </w:tc>
        <w:tc>
          <w:tcPr>
            <w:tcW w:w="7424" w:type="dxa"/>
            <w:tcBorders>
              <w:top w:val="single" w:color="auto" w:sz="4" w:space="0"/>
              <w:left w:val="single" w:color="auto" w:sz="4" w:space="0"/>
              <w:bottom w:val="single" w:color="auto" w:sz="4" w:space="0"/>
              <w:right w:val="single" w:color="auto" w:sz="4" w:space="0"/>
            </w:tcBorders>
            <w:vAlign w:val="center"/>
          </w:tcPr>
          <w:p w14:paraId="7A0D4562">
            <w:pPr>
              <w:widowControl/>
              <w:adjustRightInd w:val="0"/>
              <w:snapToGrid w:val="0"/>
              <w:rPr>
                <w:rFonts w:ascii="宋体" w:hAnsi="宋体" w:cs="宋体"/>
                <w:szCs w:val="24"/>
                <w:highlight w:val="none"/>
              </w:rPr>
            </w:pPr>
            <w:r>
              <w:rPr>
                <w:rFonts w:hint="eastAsia" w:ascii="宋体" w:hAnsi="宋体" w:cs="宋体"/>
                <w:szCs w:val="24"/>
                <w:highlight w:val="none"/>
              </w:rPr>
              <w:t>投标人按规定的格式及内容要求签署《投标人声明》（格式见招标公告附件一）。</w:t>
            </w:r>
          </w:p>
        </w:tc>
      </w:tr>
      <w:tr w14:paraId="5118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F9CB410">
            <w:pPr>
              <w:widowControl/>
              <w:adjustRightInd w:val="0"/>
              <w:snapToGrid w:val="0"/>
              <w:jc w:val="center"/>
              <w:rPr>
                <w:rFonts w:ascii="宋体" w:hAnsi="宋体" w:cs="宋体"/>
                <w:szCs w:val="24"/>
                <w:highlight w:val="none"/>
              </w:rPr>
            </w:pPr>
            <w:r>
              <w:rPr>
                <w:rFonts w:hint="eastAsia" w:ascii="宋体" w:hAnsi="宋体" w:cs="宋体"/>
                <w:szCs w:val="24"/>
                <w:highlight w:val="none"/>
              </w:rPr>
              <w:t>10</w:t>
            </w:r>
          </w:p>
        </w:tc>
        <w:tc>
          <w:tcPr>
            <w:tcW w:w="5478" w:type="dxa"/>
            <w:tcBorders>
              <w:top w:val="single" w:color="auto" w:sz="4" w:space="0"/>
              <w:left w:val="single" w:color="auto" w:sz="4" w:space="0"/>
              <w:bottom w:val="single" w:color="auto" w:sz="4" w:space="0"/>
              <w:right w:val="single" w:color="auto" w:sz="4" w:space="0"/>
            </w:tcBorders>
            <w:vAlign w:val="center"/>
          </w:tcPr>
          <w:p w14:paraId="1FA4C0B7">
            <w:pPr>
              <w:widowControl/>
              <w:adjustRightInd w:val="0"/>
              <w:snapToGrid w:val="0"/>
              <w:rPr>
                <w:rFonts w:ascii="宋体" w:hAnsi="宋体" w:cs="宋体"/>
                <w:szCs w:val="24"/>
                <w:highlight w:val="none"/>
              </w:rPr>
            </w:pPr>
            <w:r>
              <w:rPr>
                <w:rFonts w:hint="eastAsia" w:ascii="宋体" w:hAnsi="宋体" w:cs="宋体"/>
                <w:szCs w:val="24"/>
                <w:highlight w:val="none"/>
              </w:rPr>
              <w:t>关于联合体投标。</w:t>
            </w:r>
          </w:p>
        </w:tc>
        <w:tc>
          <w:tcPr>
            <w:tcW w:w="7424" w:type="dxa"/>
            <w:tcBorders>
              <w:top w:val="single" w:color="auto" w:sz="4" w:space="0"/>
              <w:left w:val="single" w:color="auto" w:sz="4" w:space="0"/>
              <w:bottom w:val="single" w:color="auto" w:sz="4" w:space="0"/>
              <w:right w:val="single" w:color="auto" w:sz="4" w:space="0"/>
            </w:tcBorders>
            <w:vAlign w:val="center"/>
          </w:tcPr>
          <w:p w14:paraId="514A3026">
            <w:pPr>
              <w:widowControl/>
              <w:adjustRightInd w:val="0"/>
              <w:snapToGrid w:val="0"/>
              <w:rPr>
                <w:rFonts w:ascii="宋体" w:hAnsi="宋体" w:cs="宋体"/>
                <w:szCs w:val="24"/>
                <w:highlight w:val="none"/>
              </w:rPr>
            </w:pPr>
            <w:r>
              <w:rPr>
                <w:rFonts w:hint="eastAsia" w:ascii="宋体" w:hAnsi="宋体" w:cs="宋体"/>
                <w:szCs w:val="24"/>
                <w:highlight w:val="none"/>
              </w:rPr>
              <w:t>提供《联合体投标协议书》。联合体投标协议书应明确约定各方拟承担的工作和责任（适用于以联合体投标的需递交，</w:t>
            </w:r>
            <w:r>
              <w:rPr>
                <w:rFonts w:hint="eastAsia" w:ascii="宋体" w:hAnsi="宋体" w:cs="宋体"/>
                <w:szCs w:val="21"/>
                <w:highlight w:val="none"/>
              </w:rPr>
              <w:t>且符合招标公告要求</w:t>
            </w:r>
            <w:r>
              <w:rPr>
                <w:rFonts w:hint="eastAsia" w:ascii="宋体" w:hAnsi="宋体" w:cs="宋体"/>
                <w:szCs w:val="24"/>
                <w:highlight w:val="none"/>
              </w:rPr>
              <w:t>）</w:t>
            </w:r>
          </w:p>
        </w:tc>
      </w:tr>
      <w:tr w14:paraId="13F9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5A7C6A1">
            <w:pPr>
              <w:widowControl/>
              <w:adjustRightInd w:val="0"/>
              <w:snapToGrid w:val="0"/>
              <w:jc w:val="center"/>
              <w:rPr>
                <w:rFonts w:ascii="宋体" w:hAnsi="宋体" w:cs="宋体"/>
                <w:szCs w:val="24"/>
                <w:highlight w:val="none"/>
              </w:rPr>
            </w:pPr>
            <w:r>
              <w:rPr>
                <w:rFonts w:hint="eastAsia" w:ascii="宋体" w:hAnsi="宋体" w:cs="宋体"/>
                <w:szCs w:val="24"/>
                <w:highlight w:val="none"/>
              </w:rPr>
              <w:t>11</w:t>
            </w:r>
          </w:p>
        </w:tc>
        <w:tc>
          <w:tcPr>
            <w:tcW w:w="5478" w:type="dxa"/>
            <w:tcBorders>
              <w:top w:val="single" w:color="auto" w:sz="4" w:space="0"/>
              <w:left w:val="single" w:color="auto" w:sz="4" w:space="0"/>
              <w:bottom w:val="single" w:color="auto" w:sz="4" w:space="0"/>
              <w:right w:val="single" w:color="auto" w:sz="4" w:space="0"/>
            </w:tcBorders>
            <w:vAlign w:val="center"/>
          </w:tcPr>
          <w:p w14:paraId="76663A28">
            <w:pPr>
              <w:widowControl/>
              <w:adjustRightInd w:val="0"/>
              <w:snapToGrid w:val="0"/>
              <w:rPr>
                <w:rFonts w:ascii="宋体" w:hAnsi="宋体" w:cs="宋体"/>
                <w:bCs/>
                <w:kern w:val="0"/>
                <w:szCs w:val="24"/>
                <w:highlight w:val="none"/>
              </w:rPr>
            </w:pPr>
            <w:r>
              <w:rPr>
                <w:rFonts w:hint="eastAsia" w:ascii="宋体" w:hAnsi="宋体" w:cs="宋体"/>
                <w:bCs/>
                <w:kern w:val="0"/>
                <w:szCs w:val="24"/>
                <w:highlight w:val="none"/>
              </w:rPr>
              <w:t>资格审查前，投标人（含联合体各方）须在广州市住房和城乡建设局建立企业信用档案及拟担任本工程项目负责人、专职安全员、设计负责人须是本企业信用档案中的在册人员。</w:t>
            </w:r>
          </w:p>
        </w:tc>
        <w:tc>
          <w:tcPr>
            <w:tcW w:w="7424" w:type="dxa"/>
            <w:tcBorders>
              <w:top w:val="single" w:color="auto" w:sz="4" w:space="0"/>
              <w:left w:val="single" w:color="auto" w:sz="4" w:space="0"/>
              <w:bottom w:val="single" w:color="auto" w:sz="4" w:space="0"/>
              <w:right w:val="single" w:color="auto" w:sz="4" w:space="0"/>
            </w:tcBorders>
            <w:vAlign w:val="center"/>
          </w:tcPr>
          <w:p w14:paraId="00CFD6F7">
            <w:pPr>
              <w:widowControl/>
              <w:adjustRightInd w:val="0"/>
              <w:snapToGrid w:val="0"/>
              <w:rPr>
                <w:rFonts w:ascii="宋体" w:hAnsi="宋体" w:cs="宋体"/>
                <w:bCs/>
                <w:kern w:val="0"/>
                <w:szCs w:val="24"/>
                <w:highlight w:val="none"/>
              </w:rPr>
            </w:pPr>
            <w:r>
              <w:rPr>
                <w:rFonts w:hint="eastAsia" w:ascii="宋体" w:hAnsi="宋体" w:cs="宋体"/>
                <w:bCs/>
                <w:kern w:val="0"/>
                <w:szCs w:val="24"/>
                <w:highlight w:val="none"/>
              </w:rPr>
              <w:t>投标人在投标登记时选择了登记企业、拟投入本项目的项目负责人、专职安全员、设计负责人即可，投标人无需提供证明材料。</w:t>
            </w:r>
          </w:p>
        </w:tc>
      </w:tr>
      <w:tr w14:paraId="7483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12DA51D3">
            <w:pPr>
              <w:widowControl/>
              <w:adjustRightInd w:val="0"/>
              <w:snapToGrid w:val="0"/>
              <w:jc w:val="center"/>
              <w:rPr>
                <w:rFonts w:ascii="宋体" w:hAnsi="宋体" w:cs="宋体"/>
                <w:szCs w:val="24"/>
                <w:highlight w:val="none"/>
              </w:rPr>
            </w:pPr>
            <w:r>
              <w:rPr>
                <w:rFonts w:hint="eastAsia" w:ascii="宋体" w:hAnsi="宋体" w:cs="宋体"/>
                <w:szCs w:val="24"/>
                <w:highlight w:val="none"/>
              </w:rPr>
              <w:t>12</w:t>
            </w:r>
          </w:p>
        </w:tc>
        <w:tc>
          <w:tcPr>
            <w:tcW w:w="5478" w:type="dxa"/>
            <w:tcBorders>
              <w:top w:val="single" w:color="auto" w:sz="4" w:space="0"/>
              <w:left w:val="single" w:color="auto" w:sz="4" w:space="0"/>
              <w:bottom w:val="single" w:color="auto" w:sz="4" w:space="0"/>
              <w:right w:val="single" w:color="auto" w:sz="4" w:space="0"/>
            </w:tcBorders>
            <w:vAlign w:val="center"/>
          </w:tcPr>
          <w:p w14:paraId="3C2FE78D">
            <w:pPr>
              <w:widowControl/>
              <w:adjustRightInd w:val="0"/>
              <w:snapToGrid w:val="0"/>
              <w:rPr>
                <w:rFonts w:ascii="宋体" w:hAnsi="宋体" w:cs="宋体"/>
                <w:bCs/>
                <w:kern w:val="0"/>
                <w:szCs w:val="24"/>
                <w:highlight w:val="none"/>
              </w:rPr>
            </w:pPr>
            <w:r>
              <w:rPr>
                <w:rFonts w:hint="eastAsia" w:ascii="宋体" w:hAnsi="宋体" w:cs="宋体"/>
                <w:bCs/>
                <w:kern w:val="0"/>
                <w:szCs w:val="24"/>
                <w:highlight w:val="none"/>
              </w:rPr>
              <w:t>投标人（若为联合体投标，指联合体各方）未出现以下情形：与其它投标人的单位负责人为同一人或者存在控股、管理关系的（按投标人提供的《投标人声明》第九条内容进行评审）。如不同投标申请人出现单位负责人为同一人或者存在控股、管理关系的情形，则均按不符合投标人合格条件处理。</w:t>
            </w:r>
          </w:p>
        </w:tc>
        <w:tc>
          <w:tcPr>
            <w:tcW w:w="7424" w:type="dxa"/>
            <w:tcBorders>
              <w:top w:val="single" w:color="auto" w:sz="4" w:space="0"/>
              <w:left w:val="single" w:color="auto" w:sz="4" w:space="0"/>
              <w:bottom w:val="single" w:color="auto" w:sz="4" w:space="0"/>
              <w:right w:val="single" w:color="auto" w:sz="4" w:space="0"/>
            </w:tcBorders>
            <w:vAlign w:val="center"/>
          </w:tcPr>
          <w:p w14:paraId="0D07745E">
            <w:pPr>
              <w:widowControl/>
              <w:adjustRightInd w:val="0"/>
              <w:snapToGrid w:val="0"/>
              <w:rPr>
                <w:rFonts w:ascii="宋体" w:hAnsi="宋体" w:cs="宋体"/>
                <w:bCs/>
                <w:kern w:val="0"/>
                <w:szCs w:val="24"/>
                <w:highlight w:val="none"/>
              </w:rPr>
            </w:pPr>
            <w:r>
              <w:rPr>
                <w:rFonts w:hint="eastAsia" w:ascii="宋体" w:hAnsi="宋体" w:cs="宋体"/>
                <w:bCs/>
                <w:kern w:val="0"/>
                <w:szCs w:val="24"/>
                <w:highlight w:val="none"/>
              </w:rPr>
              <w:t>按《投标人声明》。</w:t>
            </w:r>
          </w:p>
        </w:tc>
      </w:tr>
      <w:tr w14:paraId="7CDB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4B16785">
            <w:pPr>
              <w:widowControl/>
              <w:adjustRightInd w:val="0"/>
              <w:snapToGrid w:val="0"/>
              <w:jc w:val="center"/>
              <w:rPr>
                <w:rFonts w:ascii="宋体" w:hAnsi="宋体" w:cs="宋体"/>
                <w:szCs w:val="24"/>
                <w:highlight w:val="none"/>
              </w:rPr>
            </w:pPr>
            <w:r>
              <w:rPr>
                <w:rFonts w:hint="eastAsia" w:ascii="宋体" w:hAnsi="宋体" w:cs="宋体"/>
                <w:szCs w:val="24"/>
                <w:highlight w:val="none"/>
              </w:rPr>
              <w:t>13</w:t>
            </w:r>
          </w:p>
        </w:tc>
        <w:tc>
          <w:tcPr>
            <w:tcW w:w="5478" w:type="dxa"/>
            <w:tcBorders>
              <w:top w:val="single" w:color="auto" w:sz="4" w:space="0"/>
              <w:left w:val="single" w:color="auto" w:sz="4" w:space="0"/>
              <w:bottom w:val="single" w:color="auto" w:sz="4" w:space="0"/>
              <w:right w:val="single" w:color="auto" w:sz="4" w:space="0"/>
            </w:tcBorders>
            <w:vAlign w:val="center"/>
          </w:tcPr>
          <w:p w14:paraId="5A63EC20">
            <w:pPr>
              <w:widowControl/>
              <w:adjustRightInd w:val="0"/>
              <w:snapToGrid w:val="0"/>
              <w:rPr>
                <w:rFonts w:hint="eastAsia" w:ascii="宋体" w:hAnsi="宋体" w:eastAsia="宋体" w:cs="宋体"/>
                <w:bCs/>
                <w:kern w:val="0"/>
                <w:szCs w:val="24"/>
                <w:highlight w:val="none"/>
                <w:lang w:eastAsia="zh-CN"/>
              </w:rPr>
            </w:pPr>
            <w:r>
              <w:rPr>
                <w:rFonts w:hint="eastAsia" w:ascii="宋体" w:hAnsi="宋体" w:cs="宋体"/>
                <w:bCs/>
                <w:kern w:val="0"/>
                <w:szCs w:val="24"/>
                <w:highlight w:val="none"/>
              </w:rPr>
              <w:t>投标人（含联合体成员）未被列入拖欠农民工工资失信联合惩戒对象名单和失信被执行人</w:t>
            </w:r>
            <w:r>
              <w:rPr>
                <w:rFonts w:hint="eastAsia" w:ascii="宋体" w:hAnsi="宋体" w:cs="宋体"/>
                <w:bCs/>
                <w:kern w:val="0"/>
                <w:szCs w:val="24"/>
                <w:highlight w:val="none"/>
                <w:lang w:eastAsia="zh-CN"/>
              </w:rPr>
              <w:t>。</w:t>
            </w:r>
          </w:p>
        </w:tc>
        <w:tc>
          <w:tcPr>
            <w:tcW w:w="7424" w:type="dxa"/>
            <w:tcBorders>
              <w:top w:val="single" w:color="auto" w:sz="4" w:space="0"/>
              <w:left w:val="single" w:color="auto" w:sz="4" w:space="0"/>
              <w:bottom w:val="single" w:color="auto" w:sz="4" w:space="0"/>
              <w:right w:val="single" w:color="auto" w:sz="4" w:space="0"/>
            </w:tcBorders>
            <w:vAlign w:val="center"/>
          </w:tcPr>
          <w:p w14:paraId="510C8998">
            <w:pPr>
              <w:widowControl/>
              <w:adjustRightInd w:val="0"/>
              <w:snapToGrid w:val="0"/>
              <w:rPr>
                <w:rFonts w:ascii="宋体" w:hAnsi="宋体" w:cs="宋体"/>
                <w:bCs/>
                <w:kern w:val="0"/>
                <w:szCs w:val="24"/>
                <w:highlight w:val="none"/>
              </w:rPr>
            </w:pPr>
            <w:r>
              <w:rPr>
                <w:rFonts w:hint="eastAsia" w:ascii="宋体" w:hAnsi="宋体" w:cs="宋体"/>
                <w:szCs w:val="24"/>
                <w:highlight w:val="none"/>
              </w:rPr>
              <w:t>投标人无需提供资料，按投标截止时间交易系统比对的结果进行评审</w:t>
            </w:r>
            <w:r>
              <w:rPr>
                <w:rFonts w:hint="eastAsia" w:ascii="宋体" w:hAnsi="宋体" w:cs="宋体"/>
                <w:highlight w:val="none"/>
              </w:rPr>
              <w:t>。</w:t>
            </w:r>
          </w:p>
        </w:tc>
      </w:tr>
      <w:tr w14:paraId="4898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3749" w:type="dxa"/>
            <w:gridSpan w:val="3"/>
            <w:tcBorders>
              <w:top w:val="single" w:color="auto" w:sz="4" w:space="0"/>
              <w:left w:val="single" w:color="auto" w:sz="4" w:space="0"/>
              <w:bottom w:val="single" w:color="auto" w:sz="4" w:space="0"/>
              <w:right w:val="single" w:color="auto" w:sz="4" w:space="0"/>
            </w:tcBorders>
            <w:vAlign w:val="center"/>
          </w:tcPr>
          <w:p w14:paraId="4FB05D71">
            <w:pPr>
              <w:widowControl/>
              <w:adjustRightInd w:val="0"/>
              <w:snapToGrid w:val="0"/>
              <w:jc w:val="center"/>
              <w:rPr>
                <w:rFonts w:ascii="宋体" w:hAnsi="宋体" w:cs="宋体"/>
                <w:szCs w:val="24"/>
                <w:highlight w:val="none"/>
              </w:rPr>
            </w:pPr>
            <w:r>
              <w:rPr>
                <w:rFonts w:hint="eastAsia" w:ascii="宋体" w:hAnsi="宋体" w:cs="宋体"/>
                <w:b/>
                <w:bCs/>
                <w:szCs w:val="24"/>
                <w:highlight w:val="none"/>
              </w:rPr>
              <w:t>结论</w:t>
            </w:r>
          </w:p>
        </w:tc>
      </w:tr>
    </w:tbl>
    <w:p w14:paraId="69920E91">
      <w:pPr>
        <w:spacing w:line="200" w:lineRule="exact"/>
        <w:rPr>
          <w:rFonts w:ascii="宋体" w:hAnsi="宋体" w:cs="宋体"/>
          <w:sz w:val="18"/>
          <w:szCs w:val="18"/>
          <w:highlight w:val="none"/>
        </w:rPr>
      </w:pPr>
    </w:p>
    <w:p w14:paraId="47EDB779">
      <w:pPr>
        <w:rPr>
          <w:rFonts w:ascii="宋体" w:hAnsi="宋体" w:cs="宋体"/>
          <w:szCs w:val="21"/>
          <w:highlight w:val="none"/>
        </w:rPr>
      </w:pPr>
      <w:r>
        <w:rPr>
          <w:rFonts w:hint="eastAsia" w:ascii="宋体" w:hAnsi="宋体" w:cs="宋体"/>
          <w:szCs w:val="21"/>
          <w:highlight w:val="none"/>
        </w:rPr>
        <w:t>注：1.凡不满足以上任何一项情形，结论均为无效，否则视为有效。有效的记“○”无效的记“×”，全部审查项目均为有效的，结论为“通过”，否则为“不通过”。</w:t>
      </w:r>
    </w:p>
    <w:p w14:paraId="6B343893">
      <w:pPr>
        <w:ind w:firstLine="420" w:firstLineChars="200"/>
        <w:rPr>
          <w:rFonts w:ascii="宋体" w:hAnsi="宋体" w:cs="宋体"/>
          <w:szCs w:val="21"/>
          <w:highlight w:val="none"/>
        </w:rPr>
      </w:pPr>
      <w:r>
        <w:rPr>
          <w:rFonts w:hint="eastAsia" w:ascii="宋体" w:hAnsi="宋体" w:cs="宋体"/>
          <w:szCs w:val="21"/>
          <w:highlight w:val="none"/>
        </w:rPr>
        <w:t>2.如对本表中某种情形的评审意见不一致时，以评审组过半数成员的意见作为评审组对该情形的认定结论。</w:t>
      </w:r>
    </w:p>
    <w:p w14:paraId="6F79D0B9">
      <w:pPr>
        <w:ind w:firstLine="422" w:firstLineChars="200"/>
        <w:rPr>
          <w:rFonts w:ascii="宋体" w:hAnsi="宋体" w:cs="宋体"/>
          <w:szCs w:val="21"/>
          <w:highlight w:val="none"/>
        </w:rPr>
      </w:pPr>
      <w:r>
        <w:rPr>
          <w:rFonts w:hint="eastAsia" w:ascii="宋体" w:hAnsi="宋体" w:cs="宋体"/>
          <w:b/>
          <w:szCs w:val="21"/>
          <w:highlight w:val="none"/>
        </w:rPr>
        <w:t>3.</w:t>
      </w:r>
      <w:r>
        <w:rPr>
          <w:rFonts w:hint="eastAsia" w:ascii="宋体" w:hAnsi="宋体" w:cs="宋体"/>
          <w:b/>
          <w:bCs/>
          <w:szCs w:val="21"/>
          <w:highlight w:val="none"/>
        </w:rPr>
        <w:t>不得将文件顺序、明显的文字错误等列为否决投标的情形。评委发现投标文件中含义不明确、对同类问题表述不一致、有明显文字和计算错误、投标报价可能低于成本影响履约的，应当要求投标人作必要的澄清、</w:t>
      </w:r>
      <w:r>
        <w:rPr>
          <w:rFonts w:hint="eastAsia" w:ascii="宋体" w:hAnsi="宋体" w:cs="宋体"/>
          <w:b/>
          <w:bCs/>
          <w:kern w:val="0"/>
          <w:szCs w:val="21"/>
          <w:highlight w:val="none"/>
        </w:rPr>
        <w:t>说明后再判定投标人是否通过资格审查，不得直接认定其不通过资格审查</w:t>
      </w:r>
      <w:r>
        <w:rPr>
          <w:rFonts w:hint="eastAsia" w:ascii="宋体" w:hAnsi="宋体" w:cs="宋体"/>
          <w:b/>
          <w:bCs/>
          <w:szCs w:val="21"/>
          <w:highlight w:val="none"/>
        </w:rPr>
        <w:t>。</w:t>
      </w:r>
    </w:p>
    <w:p w14:paraId="7DD320B1">
      <w:pPr>
        <w:pStyle w:val="126"/>
        <w:rPr>
          <w:rFonts w:cs="宋体"/>
          <w:highlight w:val="none"/>
        </w:rPr>
      </w:pPr>
    </w:p>
    <w:p w14:paraId="01795B7D">
      <w:pPr>
        <w:jc w:val="left"/>
        <w:rPr>
          <w:rFonts w:ascii="宋体" w:hAnsi="宋体" w:cs="宋体"/>
          <w:highlight w:val="none"/>
        </w:rPr>
      </w:pPr>
      <w:r>
        <w:rPr>
          <w:rFonts w:hint="eastAsia" w:ascii="宋体" w:hAnsi="宋体" w:cs="宋体"/>
          <w:highlight w:val="none"/>
        </w:rPr>
        <w:t>评委签名：                                                                                                     日期：</w:t>
      </w:r>
    </w:p>
    <w:p w14:paraId="21473F1B">
      <w:pPr>
        <w:jc w:val="left"/>
        <w:rPr>
          <w:rFonts w:ascii="宋体" w:hAnsi="宋体" w:cs="宋体"/>
          <w:b/>
          <w:sz w:val="24"/>
          <w:szCs w:val="32"/>
          <w:highlight w:val="none"/>
        </w:rPr>
      </w:pPr>
      <w:r>
        <w:rPr>
          <w:rFonts w:hint="eastAsia" w:ascii="宋体" w:hAnsi="宋体" w:cs="宋体"/>
          <w:b/>
          <w:szCs w:val="21"/>
          <w:highlight w:val="none"/>
        </w:rPr>
        <w:br w:type="page"/>
      </w:r>
      <w:bookmarkEnd w:id="1050"/>
      <w:bookmarkStart w:id="1051" w:name="OLE_LINK1"/>
      <w:bookmarkEnd w:id="1051"/>
      <w:r>
        <w:rPr>
          <w:rFonts w:hint="eastAsia" w:ascii="宋体" w:hAnsi="宋体" w:cs="宋体"/>
          <w:b/>
          <w:sz w:val="24"/>
          <w:szCs w:val="32"/>
          <w:highlight w:val="none"/>
        </w:rPr>
        <w:t>附表2：</w:t>
      </w:r>
    </w:p>
    <w:p w14:paraId="7D25A0D9">
      <w:pPr>
        <w:jc w:val="center"/>
        <w:rPr>
          <w:rFonts w:ascii="宋体" w:hAnsi="宋体" w:cs="宋体"/>
          <w:b/>
          <w:kern w:val="1"/>
          <w:sz w:val="28"/>
          <w:szCs w:val="28"/>
          <w:highlight w:val="none"/>
        </w:rPr>
      </w:pPr>
      <w:r>
        <w:rPr>
          <w:rFonts w:hint="eastAsia" w:ascii="宋体" w:hAnsi="宋体" w:cs="宋体"/>
          <w:b/>
          <w:kern w:val="1"/>
          <w:sz w:val="28"/>
          <w:szCs w:val="28"/>
          <w:highlight w:val="none"/>
        </w:rPr>
        <w:t>工程总承包实施方案投标文件有效性审查表</w:t>
      </w:r>
    </w:p>
    <w:p w14:paraId="232E508C">
      <w:pPr>
        <w:rPr>
          <w:rFonts w:ascii="宋体" w:hAnsi="宋体" w:cs="宋体"/>
          <w:kern w:val="1"/>
          <w:highlight w:val="none"/>
        </w:rPr>
      </w:pPr>
      <w:r>
        <w:rPr>
          <w:rFonts w:hint="eastAsia" w:ascii="宋体" w:hAnsi="宋体" w:cs="宋体"/>
          <w:kern w:val="1"/>
          <w:highlight w:val="none"/>
        </w:rPr>
        <w:t>项目名称：</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8809"/>
        <w:gridCol w:w="1244"/>
        <w:gridCol w:w="1913"/>
        <w:gridCol w:w="1363"/>
      </w:tblGrid>
      <w:tr w14:paraId="73C4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39" w:type="dxa"/>
            <w:vAlign w:val="center"/>
          </w:tcPr>
          <w:p w14:paraId="46433D15">
            <w:pPr>
              <w:adjustRightInd w:val="0"/>
              <w:snapToGrid w:val="0"/>
              <w:jc w:val="center"/>
              <w:rPr>
                <w:rFonts w:ascii="宋体" w:hAnsi="宋体" w:cs="宋体"/>
                <w:b/>
                <w:szCs w:val="21"/>
                <w:highlight w:val="none"/>
              </w:rPr>
            </w:pPr>
            <w:r>
              <w:rPr>
                <w:rFonts w:hint="eastAsia" w:ascii="宋体" w:hAnsi="宋体" w:cs="宋体"/>
                <w:b/>
                <w:szCs w:val="21"/>
                <w:highlight w:val="none"/>
              </w:rPr>
              <w:t>序号</w:t>
            </w:r>
          </w:p>
        </w:tc>
        <w:tc>
          <w:tcPr>
            <w:tcW w:w="8809" w:type="dxa"/>
            <w:tcBorders>
              <w:tl2br w:val="single" w:color="auto" w:sz="4" w:space="0"/>
            </w:tcBorders>
          </w:tcPr>
          <w:p w14:paraId="25A99C0E">
            <w:pPr>
              <w:adjustRightInd w:val="0"/>
              <w:snapToGrid w:val="0"/>
              <w:ind w:firstLine="4849" w:firstLineChars="2300"/>
              <w:rPr>
                <w:rFonts w:ascii="宋体" w:hAnsi="宋体" w:cs="宋体"/>
                <w:b/>
                <w:szCs w:val="21"/>
                <w:highlight w:val="none"/>
              </w:rPr>
            </w:pPr>
            <w:r>
              <w:rPr>
                <w:rFonts w:hint="eastAsia" w:ascii="宋体" w:hAnsi="宋体" w:cs="宋体"/>
                <w:b/>
                <w:szCs w:val="21"/>
                <w:highlight w:val="none"/>
              </w:rPr>
              <w:t>投标单位</w:t>
            </w:r>
          </w:p>
          <w:p w14:paraId="3EEE26E3">
            <w:pPr>
              <w:adjustRightInd w:val="0"/>
              <w:snapToGrid w:val="0"/>
              <w:ind w:firstLine="211" w:firstLineChars="100"/>
              <w:rPr>
                <w:rFonts w:ascii="宋体" w:hAnsi="宋体" w:cs="宋体"/>
                <w:b/>
                <w:szCs w:val="21"/>
                <w:highlight w:val="none"/>
              </w:rPr>
            </w:pPr>
            <w:r>
              <w:rPr>
                <w:rFonts w:hint="eastAsia" w:ascii="宋体" w:hAnsi="宋体" w:cs="宋体"/>
                <w:b/>
                <w:szCs w:val="21"/>
                <w:highlight w:val="none"/>
              </w:rPr>
              <w:t>评审内容</w:t>
            </w:r>
          </w:p>
        </w:tc>
        <w:tc>
          <w:tcPr>
            <w:tcW w:w="1244" w:type="dxa"/>
          </w:tcPr>
          <w:p w14:paraId="4EF17495">
            <w:pPr>
              <w:adjustRightInd w:val="0"/>
              <w:snapToGrid w:val="0"/>
              <w:rPr>
                <w:rFonts w:ascii="宋体" w:hAnsi="宋体" w:cs="宋体"/>
                <w:b/>
                <w:szCs w:val="21"/>
                <w:highlight w:val="none"/>
              </w:rPr>
            </w:pPr>
          </w:p>
        </w:tc>
        <w:tc>
          <w:tcPr>
            <w:tcW w:w="1913" w:type="dxa"/>
          </w:tcPr>
          <w:p w14:paraId="451E91DD">
            <w:pPr>
              <w:adjustRightInd w:val="0"/>
              <w:snapToGrid w:val="0"/>
              <w:rPr>
                <w:rFonts w:ascii="宋体" w:hAnsi="宋体" w:cs="宋体"/>
                <w:b/>
                <w:szCs w:val="21"/>
                <w:highlight w:val="none"/>
              </w:rPr>
            </w:pPr>
          </w:p>
        </w:tc>
        <w:tc>
          <w:tcPr>
            <w:tcW w:w="1363" w:type="dxa"/>
          </w:tcPr>
          <w:p w14:paraId="797D4B6C">
            <w:pPr>
              <w:adjustRightInd w:val="0"/>
              <w:snapToGrid w:val="0"/>
              <w:rPr>
                <w:rFonts w:ascii="宋体" w:hAnsi="宋体" w:cs="宋体"/>
                <w:b/>
                <w:szCs w:val="21"/>
                <w:highlight w:val="none"/>
              </w:rPr>
            </w:pPr>
          </w:p>
        </w:tc>
      </w:tr>
      <w:tr w14:paraId="6B62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9" w:type="dxa"/>
            <w:vAlign w:val="center"/>
          </w:tcPr>
          <w:p w14:paraId="5CAE6C93">
            <w:pPr>
              <w:adjustRightInd w:val="0"/>
              <w:snapToGrid w:val="0"/>
              <w:jc w:val="center"/>
              <w:rPr>
                <w:rFonts w:ascii="宋体" w:hAnsi="宋体" w:cs="宋体"/>
                <w:szCs w:val="21"/>
                <w:highlight w:val="none"/>
              </w:rPr>
            </w:pPr>
            <w:r>
              <w:rPr>
                <w:rFonts w:hint="eastAsia" w:ascii="宋体" w:hAnsi="宋体" w:cs="宋体"/>
                <w:szCs w:val="21"/>
                <w:highlight w:val="none"/>
              </w:rPr>
              <w:t>1</w:t>
            </w:r>
          </w:p>
        </w:tc>
        <w:tc>
          <w:tcPr>
            <w:tcW w:w="8809" w:type="dxa"/>
            <w:vAlign w:val="center"/>
          </w:tcPr>
          <w:p w14:paraId="6C4B99F3">
            <w:pPr>
              <w:autoSpaceDE w:val="0"/>
              <w:autoSpaceDN w:val="0"/>
              <w:adjustRightInd w:val="0"/>
              <w:snapToGrid w:val="0"/>
              <w:jc w:val="left"/>
              <w:rPr>
                <w:rFonts w:ascii="宋体" w:hAnsi="宋体" w:cs="宋体"/>
                <w:szCs w:val="21"/>
                <w:highlight w:val="none"/>
              </w:rPr>
            </w:pPr>
            <w:r>
              <w:rPr>
                <w:rFonts w:hint="eastAsia" w:ascii="宋体" w:hAnsi="宋体" w:cs="宋体"/>
                <w:szCs w:val="21"/>
                <w:highlight w:val="none"/>
              </w:rPr>
              <w:t>《投标书》中工期能满足完成投标项目工期的。</w:t>
            </w:r>
          </w:p>
        </w:tc>
        <w:tc>
          <w:tcPr>
            <w:tcW w:w="1244" w:type="dxa"/>
          </w:tcPr>
          <w:p w14:paraId="71C9286F">
            <w:pPr>
              <w:adjustRightInd w:val="0"/>
              <w:snapToGrid w:val="0"/>
              <w:rPr>
                <w:rFonts w:ascii="宋体" w:hAnsi="宋体" w:cs="宋体"/>
                <w:szCs w:val="21"/>
                <w:highlight w:val="none"/>
              </w:rPr>
            </w:pPr>
          </w:p>
        </w:tc>
        <w:tc>
          <w:tcPr>
            <w:tcW w:w="1913" w:type="dxa"/>
          </w:tcPr>
          <w:p w14:paraId="45EF1553">
            <w:pPr>
              <w:adjustRightInd w:val="0"/>
              <w:snapToGrid w:val="0"/>
              <w:rPr>
                <w:rFonts w:ascii="宋体" w:hAnsi="宋体" w:cs="宋体"/>
                <w:szCs w:val="21"/>
                <w:highlight w:val="none"/>
              </w:rPr>
            </w:pPr>
          </w:p>
        </w:tc>
        <w:tc>
          <w:tcPr>
            <w:tcW w:w="1363" w:type="dxa"/>
          </w:tcPr>
          <w:p w14:paraId="30D2E9F6">
            <w:pPr>
              <w:adjustRightInd w:val="0"/>
              <w:snapToGrid w:val="0"/>
              <w:rPr>
                <w:rFonts w:ascii="宋体" w:hAnsi="宋体" w:cs="宋体"/>
                <w:szCs w:val="21"/>
                <w:highlight w:val="none"/>
              </w:rPr>
            </w:pPr>
          </w:p>
        </w:tc>
      </w:tr>
      <w:tr w14:paraId="3D2A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9" w:type="dxa"/>
            <w:vAlign w:val="center"/>
          </w:tcPr>
          <w:p w14:paraId="436ED3C3">
            <w:pPr>
              <w:adjustRightInd w:val="0"/>
              <w:snapToGrid w:val="0"/>
              <w:jc w:val="center"/>
              <w:rPr>
                <w:rFonts w:ascii="宋体" w:hAnsi="宋体" w:cs="宋体"/>
                <w:szCs w:val="21"/>
                <w:highlight w:val="none"/>
              </w:rPr>
            </w:pPr>
            <w:r>
              <w:rPr>
                <w:rFonts w:hint="eastAsia" w:ascii="宋体" w:hAnsi="宋体" w:cs="宋体"/>
                <w:szCs w:val="21"/>
                <w:highlight w:val="none"/>
              </w:rPr>
              <w:t>2</w:t>
            </w:r>
          </w:p>
        </w:tc>
        <w:tc>
          <w:tcPr>
            <w:tcW w:w="8809" w:type="dxa"/>
            <w:vAlign w:val="center"/>
          </w:tcPr>
          <w:p w14:paraId="4988AB06">
            <w:pPr>
              <w:tabs>
                <w:tab w:val="right" w:pos="6584"/>
              </w:tabs>
              <w:autoSpaceDE w:val="0"/>
              <w:autoSpaceDN w:val="0"/>
              <w:adjustRightInd w:val="0"/>
              <w:snapToGrid w:val="0"/>
              <w:jc w:val="left"/>
              <w:rPr>
                <w:rFonts w:ascii="宋体" w:hAnsi="宋体" w:cs="宋体"/>
                <w:szCs w:val="21"/>
                <w:highlight w:val="none"/>
              </w:rPr>
            </w:pPr>
            <w:r>
              <w:rPr>
                <w:rFonts w:hint="eastAsia" w:ascii="宋体" w:hAnsi="宋体" w:cs="宋体"/>
                <w:szCs w:val="21"/>
                <w:highlight w:val="none"/>
              </w:rPr>
              <w:t>《投标书》中质量标准能满足完成投标项目质量标准的。</w:t>
            </w:r>
          </w:p>
        </w:tc>
        <w:tc>
          <w:tcPr>
            <w:tcW w:w="1244" w:type="dxa"/>
          </w:tcPr>
          <w:p w14:paraId="48F836FE">
            <w:pPr>
              <w:adjustRightInd w:val="0"/>
              <w:snapToGrid w:val="0"/>
              <w:rPr>
                <w:rFonts w:ascii="宋体" w:hAnsi="宋体" w:cs="宋体"/>
                <w:szCs w:val="21"/>
                <w:highlight w:val="none"/>
              </w:rPr>
            </w:pPr>
          </w:p>
        </w:tc>
        <w:tc>
          <w:tcPr>
            <w:tcW w:w="1913" w:type="dxa"/>
          </w:tcPr>
          <w:p w14:paraId="6FF7C3DF">
            <w:pPr>
              <w:adjustRightInd w:val="0"/>
              <w:snapToGrid w:val="0"/>
              <w:rPr>
                <w:rFonts w:ascii="宋体" w:hAnsi="宋体" w:cs="宋体"/>
                <w:szCs w:val="21"/>
                <w:highlight w:val="none"/>
              </w:rPr>
            </w:pPr>
          </w:p>
        </w:tc>
        <w:tc>
          <w:tcPr>
            <w:tcW w:w="1363" w:type="dxa"/>
          </w:tcPr>
          <w:p w14:paraId="3C02B8C5">
            <w:pPr>
              <w:adjustRightInd w:val="0"/>
              <w:snapToGrid w:val="0"/>
              <w:rPr>
                <w:rFonts w:ascii="宋体" w:hAnsi="宋体" w:cs="宋体"/>
                <w:szCs w:val="21"/>
                <w:highlight w:val="none"/>
              </w:rPr>
            </w:pPr>
          </w:p>
        </w:tc>
      </w:tr>
      <w:tr w14:paraId="48D9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9" w:type="dxa"/>
            <w:vAlign w:val="center"/>
          </w:tcPr>
          <w:p w14:paraId="7F86FCA4">
            <w:pPr>
              <w:adjustRightInd w:val="0"/>
              <w:snapToGrid w:val="0"/>
              <w:jc w:val="center"/>
              <w:rPr>
                <w:rFonts w:ascii="宋体" w:hAnsi="宋体" w:cs="宋体"/>
                <w:szCs w:val="21"/>
                <w:highlight w:val="none"/>
              </w:rPr>
            </w:pPr>
            <w:r>
              <w:rPr>
                <w:rFonts w:hint="eastAsia" w:ascii="宋体" w:hAnsi="宋体" w:cs="宋体"/>
                <w:szCs w:val="21"/>
                <w:highlight w:val="none"/>
              </w:rPr>
              <w:t>3</w:t>
            </w:r>
          </w:p>
        </w:tc>
        <w:tc>
          <w:tcPr>
            <w:tcW w:w="8809" w:type="dxa"/>
            <w:vAlign w:val="center"/>
          </w:tcPr>
          <w:p w14:paraId="1A746326">
            <w:pPr>
              <w:adjustRightInd w:val="0"/>
              <w:snapToGrid w:val="0"/>
              <w:jc w:val="left"/>
              <w:rPr>
                <w:rFonts w:ascii="宋体" w:hAnsi="宋体" w:cs="宋体"/>
                <w:szCs w:val="21"/>
                <w:highlight w:val="none"/>
              </w:rPr>
            </w:pPr>
            <w:r>
              <w:rPr>
                <w:rFonts w:hint="eastAsia" w:ascii="宋体" w:hAnsi="宋体" w:cs="宋体"/>
                <w:szCs w:val="21"/>
                <w:highlight w:val="none"/>
              </w:rPr>
              <w:t>按招标文件要求提供《</w:t>
            </w:r>
            <w:r>
              <w:rPr>
                <w:rFonts w:hint="eastAsia" w:ascii="宋体" w:hAnsi="宋体" w:cs="宋体"/>
                <w:szCs w:val="21"/>
                <w:highlight w:val="none"/>
                <w:lang w:val="zh-CN"/>
              </w:rPr>
              <w:t>投标承诺书</w:t>
            </w:r>
            <w:r>
              <w:rPr>
                <w:rFonts w:hint="eastAsia" w:ascii="宋体" w:hAnsi="宋体" w:cs="宋体"/>
                <w:szCs w:val="21"/>
                <w:highlight w:val="none"/>
              </w:rPr>
              <w:t>》的。</w:t>
            </w:r>
          </w:p>
        </w:tc>
        <w:tc>
          <w:tcPr>
            <w:tcW w:w="1244" w:type="dxa"/>
          </w:tcPr>
          <w:p w14:paraId="014DDE56">
            <w:pPr>
              <w:adjustRightInd w:val="0"/>
              <w:snapToGrid w:val="0"/>
              <w:rPr>
                <w:rFonts w:ascii="宋体" w:hAnsi="宋体" w:cs="宋体"/>
                <w:szCs w:val="21"/>
                <w:highlight w:val="none"/>
              </w:rPr>
            </w:pPr>
          </w:p>
        </w:tc>
        <w:tc>
          <w:tcPr>
            <w:tcW w:w="1913" w:type="dxa"/>
          </w:tcPr>
          <w:p w14:paraId="7BD0DC4D">
            <w:pPr>
              <w:adjustRightInd w:val="0"/>
              <w:snapToGrid w:val="0"/>
              <w:rPr>
                <w:rFonts w:ascii="宋体" w:hAnsi="宋体" w:cs="宋体"/>
                <w:szCs w:val="21"/>
                <w:highlight w:val="none"/>
              </w:rPr>
            </w:pPr>
          </w:p>
        </w:tc>
        <w:tc>
          <w:tcPr>
            <w:tcW w:w="1363" w:type="dxa"/>
          </w:tcPr>
          <w:p w14:paraId="2711D6DD">
            <w:pPr>
              <w:adjustRightInd w:val="0"/>
              <w:snapToGrid w:val="0"/>
              <w:rPr>
                <w:rFonts w:ascii="宋体" w:hAnsi="宋体" w:cs="宋体"/>
                <w:szCs w:val="21"/>
                <w:highlight w:val="none"/>
              </w:rPr>
            </w:pPr>
          </w:p>
        </w:tc>
      </w:tr>
      <w:tr w14:paraId="2754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9" w:type="dxa"/>
            <w:vAlign w:val="center"/>
          </w:tcPr>
          <w:p w14:paraId="1CD12D1C">
            <w:pPr>
              <w:adjustRightInd w:val="0"/>
              <w:snapToGrid w:val="0"/>
              <w:jc w:val="center"/>
              <w:rPr>
                <w:rFonts w:ascii="宋体" w:hAnsi="宋体" w:cs="宋体"/>
                <w:szCs w:val="21"/>
                <w:highlight w:val="none"/>
              </w:rPr>
            </w:pPr>
            <w:r>
              <w:rPr>
                <w:rFonts w:hint="eastAsia" w:ascii="宋体" w:hAnsi="宋体" w:cs="宋体"/>
                <w:szCs w:val="21"/>
                <w:highlight w:val="none"/>
              </w:rPr>
              <w:t>4</w:t>
            </w:r>
          </w:p>
        </w:tc>
        <w:tc>
          <w:tcPr>
            <w:tcW w:w="8809" w:type="dxa"/>
            <w:vAlign w:val="center"/>
          </w:tcPr>
          <w:p w14:paraId="32A9660A">
            <w:pPr>
              <w:adjustRightInd w:val="0"/>
              <w:snapToGrid w:val="0"/>
              <w:jc w:val="left"/>
              <w:rPr>
                <w:rFonts w:ascii="宋体" w:hAnsi="宋体" w:cs="宋体"/>
                <w:szCs w:val="21"/>
                <w:highlight w:val="none"/>
              </w:rPr>
            </w:pPr>
            <w:r>
              <w:rPr>
                <w:rFonts w:hint="eastAsia" w:ascii="宋体" w:hAnsi="宋体" w:cs="宋体"/>
                <w:szCs w:val="21"/>
                <w:highlight w:val="none"/>
              </w:rPr>
              <w:t>投标人有按要求提供投标担保的。</w:t>
            </w:r>
          </w:p>
        </w:tc>
        <w:tc>
          <w:tcPr>
            <w:tcW w:w="1244" w:type="dxa"/>
          </w:tcPr>
          <w:p w14:paraId="5FAADC82">
            <w:pPr>
              <w:adjustRightInd w:val="0"/>
              <w:snapToGrid w:val="0"/>
              <w:rPr>
                <w:rFonts w:ascii="宋体" w:hAnsi="宋体" w:cs="宋体"/>
                <w:szCs w:val="21"/>
                <w:highlight w:val="none"/>
              </w:rPr>
            </w:pPr>
          </w:p>
        </w:tc>
        <w:tc>
          <w:tcPr>
            <w:tcW w:w="1913" w:type="dxa"/>
          </w:tcPr>
          <w:p w14:paraId="42A9F1AE">
            <w:pPr>
              <w:adjustRightInd w:val="0"/>
              <w:snapToGrid w:val="0"/>
              <w:rPr>
                <w:rFonts w:ascii="宋体" w:hAnsi="宋体" w:cs="宋体"/>
                <w:szCs w:val="21"/>
                <w:highlight w:val="none"/>
              </w:rPr>
            </w:pPr>
          </w:p>
        </w:tc>
        <w:tc>
          <w:tcPr>
            <w:tcW w:w="1363" w:type="dxa"/>
          </w:tcPr>
          <w:p w14:paraId="67DE5906">
            <w:pPr>
              <w:adjustRightInd w:val="0"/>
              <w:snapToGrid w:val="0"/>
              <w:rPr>
                <w:rFonts w:ascii="宋体" w:hAnsi="宋体" w:cs="宋体"/>
                <w:szCs w:val="21"/>
                <w:highlight w:val="none"/>
              </w:rPr>
            </w:pPr>
          </w:p>
        </w:tc>
      </w:tr>
      <w:tr w14:paraId="5320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9" w:type="dxa"/>
            <w:vAlign w:val="center"/>
          </w:tcPr>
          <w:p w14:paraId="11C736FC">
            <w:pPr>
              <w:adjustRightInd w:val="0"/>
              <w:snapToGrid w:val="0"/>
              <w:jc w:val="center"/>
              <w:rPr>
                <w:rFonts w:ascii="宋体" w:hAnsi="宋体" w:cs="宋体"/>
                <w:szCs w:val="21"/>
                <w:highlight w:val="none"/>
              </w:rPr>
            </w:pPr>
            <w:r>
              <w:rPr>
                <w:rFonts w:hint="eastAsia" w:ascii="宋体" w:hAnsi="宋体" w:cs="宋体"/>
                <w:szCs w:val="21"/>
                <w:highlight w:val="none"/>
              </w:rPr>
              <w:t>5</w:t>
            </w:r>
          </w:p>
        </w:tc>
        <w:tc>
          <w:tcPr>
            <w:tcW w:w="8809" w:type="dxa"/>
            <w:vAlign w:val="center"/>
          </w:tcPr>
          <w:p w14:paraId="528A4A1D">
            <w:pPr>
              <w:adjustRightInd w:val="0"/>
              <w:snapToGrid w:val="0"/>
              <w:jc w:val="left"/>
              <w:rPr>
                <w:rFonts w:ascii="宋体" w:hAnsi="宋体" w:cs="宋体"/>
                <w:szCs w:val="21"/>
                <w:highlight w:val="none"/>
              </w:rPr>
            </w:pPr>
            <w:r>
              <w:rPr>
                <w:rFonts w:hint="eastAsia" w:ascii="宋体" w:hAnsi="宋体" w:cs="宋体"/>
                <w:szCs w:val="21"/>
                <w:highlight w:val="none"/>
              </w:rPr>
              <w:t>《投标书》和《</w:t>
            </w:r>
            <w:r>
              <w:rPr>
                <w:rFonts w:hint="eastAsia" w:ascii="宋体" w:hAnsi="宋体" w:cs="宋体"/>
                <w:szCs w:val="21"/>
                <w:highlight w:val="none"/>
                <w:lang w:val="zh-CN"/>
              </w:rPr>
              <w:t>投标承诺</w:t>
            </w:r>
            <w:r>
              <w:rPr>
                <w:rFonts w:hint="eastAsia" w:ascii="宋体" w:hAnsi="宋体" w:cs="宋体"/>
                <w:szCs w:val="21"/>
                <w:highlight w:val="none"/>
                <w:lang w:val="en-US" w:eastAsia="zh-CN"/>
              </w:rPr>
              <w:t>函</w:t>
            </w:r>
            <w:r>
              <w:rPr>
                <w:rFonts w:hint="eastAsia" w:ascii="宋体" w:hAnsi="宋体" w:cs="宋体"/>
                <w:szCs w:val="21"/>
                <w:highlight w:val="none"/>
              </w:rPr>
              <w:t>》按相应的格式</w:t>
            </w:r>
            <w:r>
              <w:rPr>
                <w:rFonts w:hint="eastAsia" w:ascii="宋体" w:hAnsi="宋体" w:cs="宋体"/>
                <w:szCs w:val="21"/>
                <w:highlight w:val="none"/>
                <w:lang w:val="en-US" w:eastAsia="zh-CN"/>
              </w:rPr>
              <w:t>3</w:t>
            </w:r>
            <w:r>
              <w:rPr>
                <w:rFonts w:hint="eastAsia" w:ascii="宋体" w:hAnsi="宋体" w:cs="宋体"/>
                <w:szCs w:val="21"/>
                <w:highlight w:val="none"/>
              </w:rPr>
              <w:t>和格式4填写，主要内容全，关键字迹清晰、能辨认的。</w:t>
            </w:r>
          </w:p>
        </w:tc>
        <w:tc>
          <w:tcPr>
            <w:tcW w:w="1244" w:type="dxa"/>
          </w:tcPr>
          <w:p w14:paraId="6187A77E">
            <w:pPr>
              <w:adjustRightInd w:val="0"/>
              <w:snapToGrid w:val="0"/>
              <w:rPr>
                <w:rFonts w:ascii="宋体" w:hAnsi="宋体" w:cs="宋体"/>
                <w:szCs w:val="21"/>
                <w:highlight w:val="none"/>
              </w:rPr>
            </w:pPr>
          </w:p>
        </w:tc>
        <w:tc>
          <w:tcPr>
            <w:tcW w:w="1913" w:type="dxa"/>
          </w:tcPr>
          <w:p w14:paraId="646A2934">
            <w:pPr>
              <w:adjustRightInd w:val="0"/>
              <w:snapToGrid w:val="0"/>
              <w:rPr>
                <w:rFonts w:ascii="宋体" w:hAnsi="宋体" w:cs="宋体"/>
                <w:szCs w:val="21"/>
                <w:highlight w:val="none"/>
              </w:rPr>
            </w:pPr>
          </w:p>
        </w:tc>
        <w:tc>
          <w:tcPr>
            <w:tcW w:w="1363" w:type="dxa"/>
          </w:tcPr>
          <w:p w14:paraId="2FFB5F6E">
            <w:pPr>
              <w:adjustRightInd w:val="0"/>
              <w:snapToGrid w:val="0"/>
              <w:rPr>
                <w:rFonts w:ascii="宋体" w:hAnsi="宋体" w:cs="宋体"/>
                <w:szCs w:val="21"/>
                <w:highlight w:val="none"/>
              </w:rPr>
            </w:pPr>
          </w:p>
        </w:tc>
      </w:tr>
      <w:tr w14:paraId="2CAF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9" w:type="dxa"/>
            <w:vAlign w:val="center"/>
          </w:tcPr>
          <w:p w14:paraId="5CD1E5F2">
            <w:pPr>
              <w:adjustRightInd w:val="0"/>
              <w:snapToGrid w:val="0"/>
              <w:jc w:val="center"/>
              <w:rPr>
                <w:rFonts w:ascii="宋体" w:hAnsi="宋体" w:cs="宋体"/>
                <w:szCs w:val="21"/>
                <w:highlight w:val="none"/>
              </w:rPr>
            </w:pPr>
            <w:r>
              <w:rPr>
                <w:rFonts w:hint="eastAsia" w:ascii="宋体" w:hAnsi="宋体" w:cs="宋体"/>
                <w:szCs w:val="21"/>
                <w:highlight w:val="none"/>
              </w:rPr>
              <w:t>6</w:t>
            </w:r>
          </w:p>
        </w:tc>
        <w:tc>
          <w:tcPr>
            <w:tcW w:w="8809" w:type="dxa"/>
            <w:vAlign w:val="center"/>
          </w:tcPr>
          <w:p w14:paraId="4BBB635C">
            <w:pPr>
              <w:adjustRightInd w:val="0"/>
              <w:snapToGrid w:val="0"/>
              <w:jc w:val="left"/>
              <w:rPr>
                <w:rFonts w:ascii="宋体" w:hAnsi="宋体" w:cs="宋体"/>
                <w:szCs w:val="21"/>
                <w:highlight w:val="none"/>
              </w:rPr>
            </w:pPr>
            <w:r>
              <w:rPr>
                <w:rFonts w:hint="eastAsia" w:ascii="宋体" w:hAnsi="宋体" w:cs="宋体"/>
                <w:szCs w:val="21"/>
                <w:highlight w:val="none"/>
              </w:rPr>
              <w:t>不存在串通投标情形（串通投标情形以《中华人民共和国招标投标法实施条例》的规定为准）。</w:t>
            </w:r>
          </w:p>
        </w:tc>
        <w:tc>
          <w:tcPr>
            <w:tcW w:w="1244" w:type="dxa"/>
          </w:tcPr>
          <w:p w14:paraId="386AD635">
            <w:pPr>
              <w:adjustRightInd w:val="0"/>
              <w:snapToGrid w:val="0"/>
              <w:rPr>
                <w:rFonts w:ascii="宋体" w:hAnsi="宋体" w:cs="宋体"/>
                <w:szCs w:val="21"/>
                <w:highlight w:val="none"/>
              </w:rPr>
            </w:pPr>
          </w:p>
        </w:tc>
        <w:tc>
          <w:tcPr>
            <w:tcW w:w="1913" w:type="dxa"/>
          </w:tcPr>
          <w:p w14:paraId="498BA41B">
            <w:pPr>
              <w:adjustRightInd w:val="0"/>
              <w:snapToGrid w:val="0"/>
              <w:rPr>
                <w:rFonts w:ascii="宋体" w:hAnsi="宋体" w:cs="宋体"/>
                <w:szCs w:val="21"/>
                <w:highlight w:val="none"/>
              </w:rPr>
            </w:pPr>
          </w:p>
        </w:tc>
        <w:tc>
          <w:tcPr>
            <w:tcW w:w="1363" w:type="dxa"/>
          </w:tcPr>
          <w:p w14:paraId="429CF455">
            <w:pPr>
              <w:adjustRightInd w:val="0"/>
              <w:snapToGrid w:val="0"/>
              <w:rPr>
                <w:rFonts w:ascii="宋体" w:hAnsi="宋体" w:cs="宋体"/>
                <w:szCs w:val="21"/>
                <w:highlight w:val="none"/>
              </w:rPr>
            </w:pPr>
          </w:p>
        </w:tc>
      </w:tr>
      <w:tr w14:paraId="36D3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9" w:type="dxa"/>
            <w:vAlign w:val="center"/>
          </w:tcPr>
          <w:p w14:paraId="592AA97D">
            <w:pPr>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7</w:t>
            </w:r>
          </w:p>
        </w:tc>
        <w:tc>
          <w:tcPr>
            <w:tcW w:w="8809" w:type="dxa"/>
            <w:vAlign w:val="center"/>
          </w:tcPr>
          <w:p w14:paraId="6BDC433F">
            <w:pPr>
              <w:adjustRightInd w:val="0"/>
              <w:snapToGrid w:val="0"/>
              <w:jc w:val="left"/>
              <w:rPr>
                <w:rFonts w:ascii="宋体" w:hAnsi="宋体" w:cs="宋体"/>
                <w:szCs w:val="21"/>
                <w:highlight w:val="none"/>
              </w:rPr>
            </w:pPr>
            <w:r>
              <w:rPr>
                <w:rFonts w:hint="eastAsia" w:ascii="宋体" w:hAnsi="宋体" w:cs="宋体"/>
                <w:szCs w:val="21"/>
                <w:highlight w:val="none"/>
              </w:rPr>
              <w:t>投标人与本项目其他投标人加密打包投标文件电脑机器特征码不一致（以广州公共资源交易中心评标系统的检索信息为准），如一致，其投标将被否决。</w:t>
            </w:r>
          </w:p>
        </w:tc>
        <w:tc>
          <w:tcPr>
            <w:tcW w:w="1244" w:type="dxa"/>
          </w:tcPr>
          <w:p w14:paraId="797071E4">
            <w:pPr>
              <w:adjustRightInd w:val="0"/>
              <w:snapToGrid w:val="0"/>
              <w:rPr>
                <w:rFonts w:ascii="宋体" w:hAnsi="宋体" w:cs="宋体"/>
                <w:szCs w:val="21"/>
                <w:highlight w:val="none"/>
              </w:rPr>
            </w:pPr>
          </w:p>
        </w:tc>
        <w:tc>
          <w:tcPr>
            <w:tcW w:w="1913" w:type="dxa"/>
          </w:tcPr>
          <w:p w14:paraId="215DBE92">
            <w:pPr>
              <w:adjustRightInd w:val="0"/>
              <w:snapToGrid w:val="0"/>
              <w:rPr>
                <w:rFonts w:ascii="宋体" w:hAnsi="宋体" w:cs="宋体"/>
                <w:szCs w:val="21"/>
                <w:highlight w:val="none"/>
              </w:rPr>
            </w:pPr>
          </w:p>
        </w:tc>
        <w:tc>
          <w:tcPr>
            <w:tcW w:w="1363" w:type="dxa"/>
          </w:tcPr>
          <w:p w14:paraId="6AE73DD5">
            <w:pPr>
              <w:adjustRightInd w:val="0"/>
              <w:snapToGrid w:val="0"/>
              <w:rPr>
                <w:rFonts w:ascii="宋体" w:hAnsi="宋体" w:cs="宋体"/>
                <w:szCs w:val="21"/>
                <w:highlight w:val="none"/>
              </w:rPr>
            </w:pPr>
          </w:p>
        </w:tc>
      </w:tr>
      <w:tr w14:paraId="487A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9" w:type="dxa"/>
            <w:vAlign w:val="center"/>
          </w:tcPr>
          <w:p w14:paraId="4FE158D3">
            <w:pPr>
              <w:adjustRightInd w:val="0"/>
              <w:snapToGrid w:val="0"/>
              <w:jc w:val="center"/>
              <w:rPr>
                <w:rFonts w:ascii="宋体" w:hAnsi="宋体" w:cs="宋体"/>
                <w:szCs w:val="21"/>
                <w:highlight w:val="none"/>
              </w:rPr>
            </w:pPr>
            <w:r>
              <w:rPr>
                <w:rFonts w:hint="eastAsia" w:ascii="宋体" w:hAnsi="宋体" w:cs="宋体"/>
                <w:szCs w:val="21"/>
                <w:highlight w:val="none"/>
              </w:rPr>
              <w:t>结论</w:t>
            </w:r>
          </w:p>
        </w:tc>
        <w:tc>
          <w:tcPr>
            <w:tcW w:w="8809" w:type="dxa"/>
            <w:vAlign w:val="center"/>
          </w:tcPr>
          <w:p w14:paraId="14A6A705">
            <w:pPr>
              <w:adjustRightInd w:val="0"/>
              <w:snapToGrid w:val="0"/>
              <w:jc w:val="left"/>
              <w:rPr>
                <w:rFonts w:ascii="宋体" w:hAnsi="宋体" w:cs="宋体"/>
                <w:szCs w:val="21"/>
                <w:highlight w:val="none"/>
              </w:rPr>
            </w:pPr>
            <w:r>
              <w:rPr>
                <w:rFonts w:hint="eastAsia" w:ascii="宋体" w:hAnsi="宋体" w:cs="宋体"/>
                <w:szCs w:val="21"/>
                <w:highlight w:val="none"/>
              </w:rPr>
              <w:t>是否通过并进入下一阶段评审（通过/不通过）</w:t>
            </w:r>
          </w:p>
        </w:tc>
        <w:tc>
          <w:tcPr>
            <w:tcW w:w="1244" w:type="dxa"/>
            <w:vAlign w:val="center"/>
          </w:tcPr>
          <w:p w14:paraId="5852BCC9">
            <w:pPr>
              <w:adjustRightInd w:val="0"/>
              <w:snapToGrid w:val="0"/>
              <w:spacing w:line="240" w:lineRule="exact"/>
              <w:rPr>
                <w:rFonts w:ascii="宋体" w:hAnsi="宋体" w:cs="宋体"/>
                <w:szCs w:val="21"/>
                <w:highlight w:val="none"/>
              </w:rPr>
            </w:pPr>
          </w:p>
        </w:tc>
        <w:tc>
          <w:tcPr>
            <w:tcW w:w="1913" w:type="dxa"/>
            <w:vAlign w:val="center"/>
          </w:tcPr>
          <w:p w14:paraId="171EA5F7">
            <w:pPr>
              <w:adjustRightInd w:val="0"/>
              <w:snapToGrid w:val="0"/>
              <w:rPr>
                <w:rFonts w:ascii="宋体" w:hAnsi="宋体" w:cs="宋体"/>
                <w:szCs w:val="21"/>
                <w:highlight w:val="none"/>
                <w:shd w:val="pct10" w:color="auto" w:fill="FFFFFF"/>
              </w:rPr>
            </w:pPr>
          </w:p>
        </w:tc>
        <w:tc>
          <w:tcPr>
            <w:tcW w:w="1363" w:type="dxa"/>
          </w:tcPr>
          <w:p w14:paraId="7C5766F6">
            <w:pPr>
              <w:adjustRightInd w:val="0"/>
              <w:snapToGrid w:val="0"/>
              <w:rPr>
                <w:rFonts w:ascii="宋体" w:hAnsi="宋体" w:cs="宋体"/>
                <w:szCs w:val="21"/>
                <w:highlight w:val="none"/>
              </w:rPr>
            </w:pPr>
          </w:p>
        </w:tc>
      </w:tr>
    </w:tbl>
    <w:p w14:paraId="6DCC0053">
      <w:pPr>
        <w:ind w:firstLine="540" w:firstLineChars="300"/>
        <w:rPr>
          <w:rFonts w:ascii="宋体" w:hAnsi="宋体" w:cs="宋体"/>
          <w:sz w:val="18"/>
          <w:szCs w:val="18"/>
          <w:highlight w:val="none"/>
        </w:rPr>
      </w:pPr>
      <w:r>
        <w:rPr>
          <w:rFonts w:hint="eastAsia" w:ascii="宋体" w:hAnsi="宋体" w:cs="宋体"/>
          <w:sz w:val="18"/>
          <w:szCs w:val="18"/>
          <w:highlight w:val="none"/>
        </w:rPr>
        <w:t>注：1．每一项目符合有效的记“√”无效的记“×”，全部审查项目均为有效的，结论为“通过”否则为“不通过”。2.如对本表中某种情形的评审意见不一致时，以评审组过半数成员的意见作为评审组对该情形的认定结论。3.资格审查资料按招标公告要求提供。4.</w:t>
      </w:r>
      <w:r>
        <w:rPr>
          <w:rFonts w:hint="eastAsia" w:ascii="宋体" w:hAnsi="宋体"/>
          <w:sz w:val="18"/>
          <w:szCs w:val="18"/>
          <w:highlight w:val="none"/>
        </w:rPr>
        <w:t>不得将文件顺序、明显的文字错误等列为否决投标的情形。</w:t>
      </w:r>
      <w:r>
        <w:rPr>
          <w:rFonts w:hint="eastAsia" w:ascii="宋体" w:hAnsi="宋体" w:cs="宋体"/>
          <w:sz w:val="18"/>
          <w:szCs w:val="18"/>
          <w:highlight w:val="non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5E4DE63">
      <w:pPr>
        <w:jc w:val="left"/>
        <w:rPr>
          <w:rFonts w:ascii="宋体" w:hAnsi="宋体" w:cs="宋体"/>
          <w:b/>
          <w:sz w:val="24"/>
          <w:szCs w:val="32"/>
          <w:highlight w:val="none"/>
        </w:rPr>
      </w:pPr>
      <w:r>
        <w:rPr>
          <w:rFonts w:hint="eastAsia" w:ascii="宋体" w:hAnsi="宋体" w:cs="宋体"/>
          <w:kern w:val="1"/>
          <w:szCs w:val="21"/>
          <w:highlight w:val="none"/>
        </w:rPr>
        <w:t xml:space="preserve">评委签名：                     日期：        </w:t>
      </w:r>
      <w:r>
        <w:rPr>
          <w:rFonts w:hint="eastAsia" w:ascii="宋体" w:hAnsi="宋体" w:cs="宋体"/>
          <w:sz w:val="24"/>
          <w:szCs w:val="24"/>
          <w:highlight w:val="none"/>
        </w:rPr>
        <w:br w:type="page"/>
      </w:r>
      <w:r>
        <w:rPr>
          <w:rFonts w:hint="eastAsia" w:ascii="宋体" w:hAnsi="宋体" w:cs="宋体"/>
          <w:b/>
          <w:sz w:val="24"/>
          <w:szCs w:val="32"/>
          <w:highlight w:val="none"/>
        </w:rPr>
        <w:t>附表</w:t>
      </w:r>
      <w:r>
        <w:rPr>
          <w:rFonts w:hint="eastAsia" w:ascii="宋体" w:hAnsi="宋体" w:cs="宋体"/>
          <w:b/>
          <w:sz w:val="24"/>
          <w:szCs w:val="32"/>
          <w:highlight w:val="none"/>
          <w:lang w:val="en-US" w:eastAsia="zh-CN"/>
        </w:rPr>
        <w:t>3</w:t>
      </w:r>
      <w:r>
        <w:rPr>
          <w:rFonts w:hint="eastAsia" w:ascii="宋体" w:hAnsi="宋体" w:cs="宋体"/>
          <w:b/>
          <w:sz w:val="24"/>
          <w:szCs w:val="32"/>
          <w:highlight w:val="none"/>
        </w:rPr>
        <w:t>：</w:t>
      </w:r>
    </w:p>
    <w:p w14:paraId="53D2AB5F">
      <w:pPr>
        <w:jc w:val="center"/>
        <w:rPr>
          <w:rFonts w:ascii="宋体" w:hAnsi="宋体" w:cs="宋体"/>
          <w:b/>
          <w:sz w:val="28"/>
          <w:szCs w:val="28"/>
          <w:highlight w:val="none"/>
        </w:rPr>
      </w:pPr>
      <w:r>
        <w:rPr>
          <w:rFonts w:hint="eastAsia" w:ascii="宋体" w:hAnsi="宋体" w:cs="宋体"/>
          <w:b/>
          <w:sz w:val="28"/>
          <w:szCs w:val="28"/>
          <w:highlight w:val="none"/>
        </w:rPr>
        <w:t>经济标投标文件有效性审查表</w:t>
      </w:r>
    </w:p>
    <w:p w14:paraId="292A6E95">
      <w:pPr>
        <w:rPr>
          <w:rFonts w:ascii="宋体" w:hAnsi="宋体" w:cs="宋体"/>
          <w:highlight w:val="none"/>
        </w:rPr>
      </w:pPr>
      <w:r>
        <w:rPr>
          <w:rFonts w:hint="eastAsia" w:ascii="宋体" w:hAnsi="宋体" w:cs="宋体"/>
          <w:highlight w:val="none"/>
        </w:rPr>
        <w:t>工程名称：</w:t>
      </w:r>
    </w:p>
    <w:tbl>
      <w:tblPr>
        <w:tblStyle w:val="41"/>
        <w:tblW w:w="0" w:type="auto"/>
        <w:tblInd w:w="11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7"/>
        <w:gridCol w:w="8789"/>
        <w:gridCol w:w="838"/>
        <w:gridCol w:w="776"/>
        <w:gridCol w:w="776"/>
        <w:gridCol w:w="774"/>
        <w:gridCol w:w="774"/>
        <w:gridCol w:w="772"/>
      </w:tblGrid>
      <w:tr w14:paraId="0FA9BB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817" w:type="dxa"/>
            <w:tcBorders>
              <w:top w:val="single" w:color="auto" w:sz="4" w:space="0"/>
              <w:left w:val="single" w:color="auto" w:sz="4" w:space="0"/>
              <w:bottom w:val="single" w:color="auto" w:sz="6" w:space="0"/>
              <w:right w:val="single" w:color="auto" w:sz="4" w:space="0"/>
            </w:tcBorders>
            <w:vAlign w:val="center"/>
          </w:tcPr>
          <w:p w14:paraId="5199AD9D">
            <w:pPr>
              <w:tabs>
                <w:tab w:val="left" w:pos="0"/>
              </w:tabs>
              <w:spacing w:line="360" w:lineRule="auto"/>
              <w:rPr>
                <w:rFonts w:ascii="宋体" w:hAnsi="宋体" w:cs="宋体"/>
                <w:szCs w:val="21"/>
                <w:highlight w:val="none"/>
              </w:rPr>
            </w:pPr>
            <w:r>
              <w:rPr>
                <w:rFonts w:hint="eastAsia" w:ascii="宋体" w:hAnsi="宋体" w:cs="宋体"/>
                <w:szCs w:val="21"/>
                <w:highlight w:val="none"/>
              </w:rPr>
              <w:t>序号</w:t>
            </w:r>
          </w:p>
        </w:tc>
        <w:tc>
          <w:tcPr>
            <w:tcW w:w="8789" w:type="dxa"/>
            <w:tcBorders>
              <w:top w:val="single" w:color="auto" w:sz="4" w:space="0"/>
              <w:left w:val="single" w:color="auto" w:sz="4" w:space="0"/>
              <w:bottom w:val="single" w:color="auto" w:sz="4" w:space="0"/>
              <w:right w:val="single" w:color="auto" w:sz="4" w:space="0"/>
              <w:tl2br w:val="single" w:color="auto" w:sz="4" w:space="0"/>
            </w:tcBorders>
            <w:vAlign w:val="center"/>
          </w:tcPr>
          <w:p w14:paraId="25C7C7D1">
            <w:pPr>
              <w:tabs>
                <w:tab w:val="left" w:pos="0"/>
              </w:tabs>
              <w:wordWrap w:val="0"/>
              <w:snapToGrid w:val="0"/>
              <w:ind w:left="3702" w:leftChars="228" w:hanging="3223" w:hangingChars="1535"/>
              <w:jc w:val="right"/>
              <w:rPr>
                <w:rFonts w:ascii="宋体" w:hAnsi="宋体" w:cs="宋体"/>
                <w:szCs w:val="21"/>
                <w:highlight w:val="none"/>
              </w:rPr>
            </w:pPr>
            <w:r>
              <w:rPr>
                <w:rFonts w:hint="eastAsia" w:ascii="宋体" w:hAnsi="宋体" w:cs="宋体"/>
                <w:szCs w:val="21"/>
                <w:highlight w:val="none"/>
              </w:rPr>
              <w:t xml:space="preserve">投标单位  </w:t>
            </w:r>
          </w:p>
          <w:p w14:paraId="77C02B40">
            <w:pPr>
              <w:tabs>
                <w:tab w:val="left" w:pos="0"/>
              </w:tabs>
              <w:snapToGrid w:val="0"/>
              <w:ind w:firstLine="210" w:firstLineChars="100"/>
              <w:rPr>
                <w:rFonts w:ascii="宋体" w:hAnsi="宋体" w:cs="宋体"/>
                <w:szCs w:val="21"/>
                <w:highlight w:val="none"/>
              </w:rPr>
            </w:pPr>
            <w:r>
              <w:rPr>
                <w:rFonts w:hint="eastAsia" w:ascii="宋体" w:hAnsi="宋体" w:cs="宋体"/>
                <w:szCs w:val="21"/>
                <w:highlight w:val="none"/>
              </w:rPr>
              <w:t>评审内容</w:t>
            </w:r>
          </w:p>
        </w:tc>
        <w:tc>
          <w:tcPr>
            <w:tcW w:w="838" w:type="dxa"/>
            <w:tcBorders>
              <w:top w:val="single" w:color="auto" w:sz="4" w:space="0"/>
              <w:left w:val="single" w:color="auto" w:sz="4" w:space="0"/>
              <w:bottom w:val="single" w:color="auto" w:sz="6" w:space="0"/>
              <w:right w:val="single" w:color="auto" w:sz="6" w:space="0"/>
            </w:tcBorders>
          </w:tcPr>
          <w:p w14:paraId="4846134C">
            <w:pPr>
              <w:tabs>
                <w:tab w:val="left" w:pos="0"/>
              </w:tabs>
              <w:spacing w:line="360" w:lineRule="auto"/>
              <w:ind w:left="552" w:leftChars="228" w:hanging="73" w:hangingChars="35"/>
              <w:rPr>
                <w:rFonts w:ascii="宋体" w:hAnsi="宋体" w:cs="宋体"/>
                <w:szCs w:val="21"/>
                <w:highlight w:val="none"/>
              </w:rPr>
            </w:pPr>
          </w:p>
        </w:tc>
        <w:tc>
          <w:tcPr>
            <w:tcW w:w="776" w:type="dxa"/>
            <w:tcBorders>
              <w:top w:val="single" w:color="auto" w:sz="4" w:space="0"/>
              <w:left w:val="single" w:color="auto" w:sz="6" w:space="0"/>
              <w:bottom w:val="single" w:color="auto" w:sz="6" w:space="0"/>
              <w:right w:val="single" w:color="auto" w:sz="6" w:space="0"/>
            </w:tcBorders>
          </w:tcPr>
          <w:p w14:paraId="3A015AAE">
            <w:pPr>
              <w:tabs>
                <w:tab w:val="left" w:pos="0"/>
              </w:tabs>
              <w:spacing w:line="360" w:lineRule="auto"/>
              <w:ind w:left="552" w:leftChars="228" w:hanging="73" w:hangingChars="35"/>
              <w:rPr>
                <w:rFonts w:ascii="宋体" w:hAnsi="宋体" w:cs="宋体"/>
                <w:szCs w:val="21"/>
                <w:highlight w:val="none"/>
              </w:rPr>
            </w:pPr>
          </w:p>
        </w:tc>
        <w:tc>
          <w:tcPr>
            <w:tcW w:w="776" w:type="dxa"/>
            <w:tcBorders>
              <w:top w:val="single" w:color="auto" w:sz="4" w:space="0"/>
              <w:left w:val="single" w:color="auto" w:sz="6" w:space="0"/>
              <w:bottom w:val="single" w:color="auto" w:sz="6" w:space="0"/>
              <w:right w:val="single" w:color="auto" w:sz="6" w:space="0"/>
            </w:tcBorders>
          </w:tcPr>
          <w:p w14:paraId="566528A7">
            <w:pPr>
              <w:tabs>
                <w:tab w:val="left" w:pos="0"/>
              </w:tabs>
              <w:spacing w:line="360" w:lineRule="auto"/>
              <w:ind w:left="552" w:leftChars="228" w:hanging="73" w:hangingChars="35"/>
              <w:rPr>
                <w:rFonts w:ascii="宋体" w:hAnsi="宋体" w:cs="宋体"/>
                <w:szCs w:val="21"/>
                <w:highlight w:val="none"/>
              </w:rPr>
            </w:pPr>
          </w:p>
        </w:tc>
        <w:tc>
          <w:tcPr>
            <w:tcW w:w="774" w:type="dxa"/>
            <w:tcBorders>
              <w:top w:val="single" w:color="auto" w:sz="4" w:space="0"/>
              <w:left w:val="single" w:color="auto" w:sz="6" w:space="0"/>
              <w:bottom w:val="single" w:color="auto" w:sz="6" w:space="0"/>
              <w:right w:val="single" w:color="auto" w:sz="6" w:space="0"/>
            </w:tcBorders>
          </w:tcPr>
          <w:p w14:paraId="6DC33A38">
            <w:pPr>
              <w:tabs>
                <w:tab w:val="left" w:pos="0"/>
              </w:tabs>
              <w:spacing w:line="360" w:lineRule="auto"/>
              <w:ind w:left="552" w:leftChars="228" w:hanging="73" w:hangingChars="35"/>
              <w:rPr>
                <w:rFonts w:ascii="宋体" w:hAnsi="宋体" w:cs="宋体"/>
                <w:szCs w:val="21"/>
                <w:highlight w:val="none"/>
              </w:rPr>
            </w:pPr>
          </w:p>
        </w:tc>
        <w:tc>
          <w:tcPr>
            <w:tcW w:w="774" w:type="dxa"/>
            <w:tcBorders>
              <w:top w:val="single" w:color="auto" w:sz="4" w:space="0"/>
              <w:left w:val="single" w:color="auto" w:sz="6" w:space="0"/>
              <w:bottom w:val="single" w:color="auto" w:sz="6" w:space="0"/>
              <w:right w:val="single" w:color="auto" w:sz="6" w:space="0"/>
            </w:tcBorders>
          </w:tcPr>
          <w:p w14:paraId="6FB7FCC0">
            <w:pPr>
              <w:tabs>
                <w:tab w:val="left" w:pos="0"/>
              </w:tabs>
              <w:spacing w:line="360" w:lineRule="auto"/>
              <w:ind w:left="552" w:leftChars="228" w:hanging="73" w:hangingChars="35"/>
              <w:rPr>
                <w:rFonts w:ascii="宋体" w:hAnsi="宋体" w:cs="宋体"/>
                <w:szCs w:val="21"/>
                <w:highlight w:val="none"/>
              </w:rPr>
            </w:pPr>
          </w:p>
        </w:tc>
        <w:tc>
          <w:tcPr>
            <w:tcW w:w="772" w:type="dxa"/>
            <w:tcBorders>
              <w:top w:val="single" w:color="auto" w:sz="4" w:space="0"/>
              <w:left w:val="single" w:color="auto" w:sz="6" w:space="0"/>
              <w:bottom w:val="single" w:color="auto" w:sz="6" w:space="0"/>
              <w:right w:val="single" w:color="auto" w:sz="4" w:space="0"/>
            </w:tcBorders>
          </w:tcPr>
          <w:p w14:paraId="32A8A05A">
            <w:pPr>
              <w:tabs>
                <w:tab w:val="left" w:pos="0"/>
              </w:tabs>
              <w:spacing w:line="360" w:lineRule="auto"/>
              <w:ind w:left="552" w:leftChars="228" w:hanging="73" w:hangingChars="35"/>
              <w:rPr>
                <w:rFonts w:ascii="宋体" w:hAnsi="宋体" w:cs="宋体"/>
                <w:szCs w:val="21"/>
                <w:highlight w:val="none"/>
              </w:rPr>
            </w:pPr>
          </w:p>
        </w:tc>
      </w:tr>
      <w:tr w14:paraId="23D2BF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817" w:type="dxa"/>
            <w:tcBorders>
              <w:top w:val="single" w:color="auto" w:sz="6" w:space="0"/>
              <w:left w:val="single" w:color="auto" w:sz="4" w:space="0"/>
              <w:bottom w:val="single" w:color="auto" w:sz="6" w:space="0"/>
              <w:right w:val="single" w:color="auto" w:sz="6" w:space="0"/>
            </w:tcBorders>
            <w:vAlign w:val="center"/>
          </w:tcPr>
          <w:p w14:paraId="36D40286">
            <w:pPr>
              <w:tabs>
                <w:tab w:val="left" w:pos="0"/>
              </w:tabs>
              <w:spacing w:line="240" w:lineRule="atLeast"/>
              <w:ind w:left="425" w:hanging="425"/>
              <w:jc w:val="center"/>
              <w:rPr>
                <w:rFonts w:ascii="宋体" w:hAnsi="宋体" w:cs="宋体"/>
                <w:szCs w:val="21"/>
                <w:highlight w:val="none"/>
              </w:rPr>
            </w:pPr>
            <w:r>
              <w:rPr>
                <w:rFonts w:ascii="宋体" w:hAnsi="宋体" w:cs="宋体"/>
                <w:szCs w:val="21"/>
                <w:highlight w:val="none"/>
              </w:rPr>
              <w:t>1</w:t>
            </w:r>
          </w:p>
        </w:tc>
        <w:tc>
          <w:tcPr>
            <w:tcW w:w="8789" w:type="dxa"/>
            <w:tcBorders>
              <w:top w:val="single" w:color="auto" w:sz="4" w:space="0"/>
              <w:left w:val="single" w:color="auto" w:sz="6" w:space="0"/>
              <w:bottom w:val="single" w:color="auto" w:sz="6" w:space="0"/>
              <w:right w:val="single" w:color="auto" w:sz="6" w:space="0"/>
            </w:tcBorders>
            <w:vAlign w:val="center"/>
          </w:tcPr>
          <w:p w14:paraId="51B7A2C1">
            <w:pPr>
              <w:tabs>
                <w:tab w:val="left" w:pos="0"/>
              </w:tabs>
              <w:spacing w:line="240" w:lineRule="atLeast"/>
              <w:rPr>
                <w:rFonts w:ascii="宋体" w:hAnsi="宋体" w:cs="宋体"/>
                <w:szCs w:val="21"/>
                <w:highlight w:val="none"/>
              </w:rPr>
            </w:pPr>
            <w:r>
              <w:rPr>
                <w:rFonts w:hint="eastAsia" w:ascii="宋体" w:hAnsi="宋体" w:cs="宋体"/>
                <w:szCs w:val="21"/>
                <w:highlight w:val="none"/>
              </w:rPr>
              <w:t>投标文件的封面没有加盖投标单位的法定印章并经投标人代表签署或盖章的；</w:t>
            </w:r>
          </w:p>
        </w:tc>
        <w:tc>
          <w:tcPr>
            <w:tcW w:w="838" w:type="dxa"/>
            <w:tcBorders>
              <w:top w:val="single" w:color="auto" w:sz="6" w:space="0"/>
              <w:left w:val="single" w:color="auto" w:sz="6" w:space="0"/>
              <w:bottom w:val="single" w:color="auto" w:sz="6" w:space="0"/>
              <w:right w:val="single" w:color="auto" w:sz="6" w:space="0"/>
            </w:tcBorders>
          </w:tcPr>
          <w:p w14:paraId="53F9BCE6">
            <w:pPr>
              <w:tabs>
                <w:tab w:val="left" w:pos="0"/>
              </w:tabs>
              <w:spacing w:line="240" w:lineRule="atLeast"/>
              <w:ind w:left="552" w:leftChars="228" w:hanging="73" w:hangingChars="35"/>
              <w:rPr>
                <w:rFonts w:ascii="宋体" w:hAnsi="宋体" w:cs="宋体"/>
                <w:szCs w:val="21"/>
                <w:highlight w:val="none"/>
              </w:rPr>
            </w:pPr>
          </w:p>
        </w:tc>
        <w:tc>
          <w:tcPr>
            <w:tcW w:w="776" w:type="dxa"/>
            <w:tcBorders>
              <w:top w:val="single" w:color="auto" w:sz="6" w:space="0"/>
              <w:left w:val="single" w:color="auto" w:sz="6" w:space="0"/>
              <w:bottom w:val="single" w:color="auto" w:sz="6" w:space="0"/>
              <w:right w:val="single" w:color="auto" w:sz="6" w:space="0"/>
            </w:tcBorders>
          </w:tcPr>
          <w:p w14:paraId="6871AB1E">
            <w:pPr>
              <w:tabs>
                <w:tab w:val="left" w:pos="0"/>
              </w:tabs>
              <w:spacing w:line="240" w:lineRule="atLeast"/>
              <w:ind w:left="552" w:leftChars="228" w:hanging="73" w:hangingChars="35"/>
              <w:rPr>
                <w:rFonts w:ascii="宋体" w:hAnsi="宋体" w:cs="宋体"/>
                <w:szCs w:val="21"/>
                <w:highlight w:val="none"/>
              </w:rPr>
            </w:pPr>
          </w:p>
        </w:tc>
        <w:tc>
          <w:tcPr>
            <w:tcW w:w="776" w:type="dxa"/>
            <w:tcBorders>
              <w:top w:val="single" w:color="auto" w:sz="6" w:space="0"/>
              <w:left w:val="single" w:color="auto" w:sz="6" w:space="0"/>
              <w:bottom w:val="single" w:color="auto" w:sz="6" w:space="0"/>
              <w:right w:val="single" w:color="auto" w:sz="6" w:space="0"/>
            </w:tcBorders>
          </w:tcPr>
          <w:p w14:paraId="0689FF44">
            <w:pPr>
              <w:tabs>
                <w:tab w:val="left" w:pos="0"/>
              </w:tabs>
              <w:spacing w:line="240" w:lineRule="atLeast"/>
              <w:ind w:left="552" w:leftChars="228" w:hanging="73" w:hangingChars="35"/>
              <w:rPr>
                <w:rFonts w:ascii="宋体" w:hAnsi="宋体" w:cs="宋体"/>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321F370">
            <w:pPr>
              <w:tabs>
                <w:tab w:val="left" w:pos="0"/>
              </w:tabs>
              <w:spacing w:line="240" w:lineRule="atLeast"/>
              <w:ind w:left="552" w:leftChars="228" w:hanging="73" w:hangingChars="35"/>
              <w:rPr>
                <w:rFonts w:ascii="宋体" w:hAnsi="宋体" w:cs="宋体"/>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2445037E">
            <w:pPr>
              <w:tabs>
                <w:tab w:val="left" w:pos="0"/>
              </w:tabs>
              <w:spacing w:line="240" w:lineRule="atLeast"/>
              <w:ind w:left="552" w:leftChars="228" w:hanging="73" w:hangingChars="35"/>
              <w:rPr>
                <w:rFonts w:ascii="宋体" w:hAnsi="宋体" w:cs="宋体"/>
                <w:szCs w:val="21"/>
                <w:highlight w:val="none"/>
              </w:rPr>
            </w:pPr>
          </w:p>
        </w:tc>
        <w:tc>
          <w:tcPr>
            <w:tcW w:w="772" w:type="dxa"/>
            <w:tcBorders>
              <w:top w:val="single" w:color="auto" w:sz="6" w:space="0"/>
              <w:left w:val="single" w:color="auto" w:sz="6" w:space="0"/>
              <w:bottom w:val="single" w:color="auto" w:sz="6" w:space="0"/>
              <w:right w:val="single" w:color="auto" w:sz="4" w:space="0"/>
            </w:tcBorders>
          </w:tcPr>
          <w:p w14:paraId="15520692">
            <w:pPr>
              <w:tabs>
                <w:tab w:val="left" w:pos="0"/>
              </w:tabs>
              <w:spacing w:line="240" w:lineRule="atLeast"/>
              <w:ind w:left="552" w:leftChars="228" w:hanging="73" w:hangingChars="35"/>
              <w:rPr>
                <w:rFonts w:ascii="宋体" w:hAnsi="宋体" w:cs="宋体"/>
                <w:szCs w:val="21"/>
                <w:highlight w:val="none"/>
              </w:rPr>
            </w:pPr>
          </w:p>
        </w:tc>
      </w:tr>
      <w:tr w14:paraId="0E0153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817" w:type="dxa"/>
            <w:tcBorders>
              <w:top w:val="single" w:color="auto" w:sz="6" w:space="0"/>
              <w:left w:val="single" w:color="auto" w:sz="4" w:space="0"/>
              <w:bottom w:val="single" w:color="auto" w:sz="6" w:space="0"/>
              <w:right w:val="single" w:color="auto" w:sz="6" w:space="0"/>
            </w:tcBorders>
            <w:vAlign w:val="center"/>
          </w:tcPr>
          <w:p w14:paraId="08C4EC38">
            <w:pPr>
              <w:tabs>
                <w:tab w:val="left" w:pos="0"/>
              </w:tabs>
              <w:spacing w:line="240" w:lineRule="atLeast"/>
              <w:ind w:left="425" w:hanging="425"/>
              <w:jc w:val="center"/>
              <w:rPr>
                <w:rFonts w:ascii="宋体" w:hAnsi="宋体" w:cs="宋体"/>
                <w:szCs w:val="21"/>
                <w:highlight w:val="none"/>
              </w:rPr>
            </w:pPr>
            <w:r>
              <w:rPr>
                <w:rFonts w:ascii="宋体" w:hAnsi="宋体" w:cs="宋体"/>
                <w:szCs w:val="21"/>
                <w:highlight w:val="none"/>
              </w:rPr>
              <w:t>2</w:t>
            </w:r>
          </w:p>
        </w:tc>
        <w:tc>
          <w:tcPr>
            <w:tcW w:w="8789" w:type="dxa"/>
            <w:tcBorders>
              <w:top w:val="single" w:color="auto" w:sz="6" w:space="0"/>
              <w:left w:val="single" w:color="auto" w:sz="6" w:space="0"/>
              <w:bottom w:val="single" w:color="auto" w:sz="6" w:space="0"/>
              <w:right w:val="single" w:color="auto" w:sz="6" w:space="0"/>
            </w:tcBorders>
            <w:vAlign w:val="center"/>
          </w:tcPr>
          <w:p w14:paraId="41A38270">
            <w:pPr>
              <w:tabs>
                <w:tab w:val="left" w:pos="0"/>
              </w:tabs>
              <w:spacing w:line="240" w:lineRule="atLeast"/>
              <w:rPr>
                <w:rFonts w:ascii="宋体" w:hAnsi="宋体" w:cs="宋体"/>
                <w:szCs w:val="21"/>
                <w:highlight w:val="none"/>
              </w:rPr>
            </w:pPr>
            <w:r>
              <w:rPr>
                <w:rFonts w:hint="eastAsia" w:ascii="宋体" w:hAnsi="宋体" w:cs="宋体"/>
                <w:szCs w:val="21"/>
                <w:highlight w:val="none"/>
              </w:rPr>
              <w:t>对同一招标项目出现两个或以上的投标报价，且没有申明哪个有效；</w:t>
            </w:r>
          </w:p>
        </w:tc>
        <w:tc>
          <w:tcPr>
            <w:tcW w:w="838" w:type="dxa"/>
            <w:tcBorders>
              <w:top w:val="single" w:color="auto" w:sz="6" w:space="0"/>
              <w:left w:val="single" w:color="auto" w:sz="6" w:space="0"/>
              <w:bottom w:val="single" w:color="auto" w:sz="6" w:space="0"/>
              <w:right w:val="single" w:color="auto" w:sz="6" w:space="0"/>
            </w:tcBorders>
          </w:tcPr>
          <w:p w14:paraId="483850D4">
            <w:pPr>
              <w:tabs>
                <w:tab w:val="left" w:pos="0"/>
              </w:tabs>
              <w:spacing w:line="240" w:lineRule="atLeast"/>
              <w:ind w:left="552" w:leftChars="228" w:hanging="73" w:hangingChars="35"/>
              <w:rPr>
                <w:rFonts w:ascii="宋体" w:hAnsi="宋体" w:cs="宋体"/>
                <w:szCs w:val="21"/>
                <w:highlight w:val="none"/>
              </w:rPr>
            </w:pPr>
          </w:p>
        </w:tc>
        <w:tc>
          <w:tcPr>
            <w:tcW w:w="776" w:type="dxa"/>
            <w:tcBorders>
              <w:top w:val="single" w:color="auto" w:sz="6" w:space="0"/>
              <w:left w:val="single" w:color="auto" w:sz="6" w:space="0"/>
              <w:bottom w:val="single" w:color="auto" w:sz="6" w:space="0"/>
              <w:right w:val="single" w:color="auto" w:sz="6" w:space="0"/>
            </w:tcBorders>
          </w:tcPr>
          <w:p w14:paraId="33F54ACC">
            <w:pPr>
              <w:tabs>
                <w:tab w:val="left" w:pos="0"/>
              </w:tabs>
              <w:spacing w:line="240" w:lineRule="atLeast"/>
              <w:ind w:left="552" w:leftChars="228" w:hanging="73" w:hangingChars="35"/>
              <w:rPr>
                <w:rFonts w:ascii="宋体" w:hAnsi="宋体" w:cs="宋体"/>
                <w:szCs w:val="21"/>
                <w:highlight w:val="none"/>
              </w:rPr>
            </w:pPr>
          </w:p>
        </w:tc>
        <w:tc>
          <w:tcPr>
            <w:tcW w:w="776" w:type="dxa"/>
            <w:tcBorders>
              <w:top w:val="single" w:color="auto" w:sz="6" w:space="0"/>
              <w:left w:val="single" w:color="auto" w:sz="6" w:space="0"/>
              <w:bottom w:val="single" w:color="auto" w:sz="6" w:space="0"/>
              <w:right w:val="single" w:color="auto" w:sz="6" w:space="0"/>
            </w:tcBorders>
          </w:tcPr>
          <w:p w14:paraId="3991D745">
            <w:pPr>
              <w:tabs>
                <w:tab w:val="left" w:pos="0"/>
              </w:tabs>
              <w:spacing w:line="240" w:lineRule="atLeast"/>
              <w:ind w:left="552" w:leftChars="228" w:hanging="73" w:hangingChars="35"/>
              <w:rPr>
                <w:rFonts w:ascii="宋体" w:hAnsi="宋体" w:cs="宋体"/>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544E091">
            <w:pPr>
              <w:tabs>
                <w:tab w:val="left" w:pos="0"/>
              </w:tabs>
              <w:spacing w:line="240" w:lineRule="atLeast"/>
              <w:ind w:left="552" w:leftChars="228" w:hanging="73" w:hangingChars="35"/>
              <w:rPr>
                <w:rFonts w:ascii="宋体" w:hAnsi="宋体" w:cs="宋体"/>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7802D67">
            <w:pPr>
              <w:tabs>
                <w:tab w:val="left" w:pos="0"/>
              </w:tabs>
              <w:spacing w:line="240" w:lineRule="atLeast"/>
              <w:ind w:left="552" w:leftChars="228" w:hanging="73" w:hangingChars="35"/>
              <w:rPr>
                <w:rFonts w:ascii="宋体" w:hAnsi="宋体" w:cs="宋体"/>
                <w:szCs w:val="21"/>
                <w:highlight w:val="none"/>
              </w:rPr>
            </w:pPr>
          </w:p>
        </w:tc>
        <w:tc>
          <w:tcPr>
            <w:tcW w:w="772" w:type="dxa"/>
            <w:tcBorders>
              <w:top w:val="single" w:color="auto" w:sz="6" w:space="0"/>
              <w:left w:val="single" w:color="auto" w:sz="6" w:space="0"/>
              <w:bottom w:val="single" w:color="auto" w:sz="6" w:space="0"/>
              <w:right w:val="single" w:color="auto" w:sz="4" w:space="0"/>
            </w:tcBorders>
          </w:tcPr>
          <w:p w14:paraId="6A43D919">
            <w:pPr>
              <w:tabs>
                <w:tab w:val="left" w:pos="0"/>
              </w:tabs>
              <w:spacing w:line="240" w:lineRule="atLeast"/>
              <w:ind w:left="552" w:leftChars="228" w:hanging="73" w:hangingChars="35"/>
              <w:rPr>
                <w:rFonts w:ascii="宋体" w:hAnsi="宋体" w:cs="宋体"/>
                <w:szCs w:val="21"/>
                <w:highlight w:val="none"/>
              </w:rPr>
            </w:pPr>
          </w:p>
        </w:tc>
      </w:tr>
      <w:tr w14:paraId="3AE4DD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817" w:type="dxa"/>
            <w:tcBorders>
              <w:top w:val="single" w:color="auto" w:sz="6" w:space="0"/>
              <w:left w:val="single" w:color="auto" w:sz="4" w:space="0"/>
              <w:bottom w:val="single" w:color="auto" w:sz="6" w:space="0"/>
              <w:right w:val="single" w:color="auto" w:sz="6" w:space="0"/>
            </w:tcBorders>
            <w:vAlign w:val="center"/>
          </w:tcPr>
          <w:p w14:paraId="65771605">
            <w:pPr>
              <w:tabs>
                <w:tab w:val="left" w:pos="0"/>
              </w:tabs>
              <w:spacing w:line="240" w:lineRule="atLeast"/>
              <w:ind w:left="425" w:hanging="425"/>
              <w:jc w:val="center"/>
              <w:rPr>
                <w:rFonts w:ascii="宋体" w:hAnsi="宋体" w:cs="宋体"/>
                <w:szCs w:val="21"/>
                <w:highlight w:val="none"/>
              </w:rPr>
            </w:pPr>
            <w:r>
              <w:rPr>
                <w:rFonts w:ascii="宋体" w:hAnsi="宋体" w:cs="宋体"/>
                <w:szCs w:val="21"/>
                <w:highlight w:val="none"/>
              </w:rPr>
              <w:t>3</w:t>
            </w:r>
          </w:p>
        </w:tc>
        <w:tc>
          <w:tcPr>
            <w:tcW w:w="8789" w:type="dxa"/>
            <w:tcBorders>
              <w:top w:val="single" w:color="auto" w:sz="6" w:space="0"/>
              <w:left w:val="single" w:color="auto" w:sz="6" w:space="0"/>
              <w:bottom w:val="single" w:color="auto" w:sz="6" w:space="0"/>
              <w:right w:val="single" w:color="auto" w:sz="6" w:space="0"/>
            </w:tcBorders>
            <w:vAlign w:val="center"/>
          </w:tcPr>
          <w:p w14:paraId="01601C66">
            <w:pPr>
              <w:jc w:val="left"/>
              <w:rPr>
                <w:rFonts w:ascii="宋体" w:hAnsi="宋体" w:cs="宋体"/>
                <w:b/>
                <w:sz w:val="32"/>
                <w:highlight w:val="none"/>
              </w:rPr>
            </w:pPr>
            <w:r>
              <w:rPr>
                <w:rFonts w:hint="eastAsia" w:ascii="宋体" w:hAnsi="宋体" w:cs="宋体"/>
                <w:szCs w:val="21"/>
                <w:highlight w:val="none"/>
              </w:rPr>
              <w:t>投标总报价高于最高投标限价的，或各分项的投标报价高于相应分项的最高投标限价的；</w:t>
            </w:r>
          </w:p>
        </w:tc>
        <w:tc>
          <w:tcPr>
            <w:tcW w:w="838" w:type="dxa"/>
            <w:tcBorders>
              <w:top w:val="single" w:color="auto" w:sz="6" w:space="0"/>
              <w:left w:val="single" w:color="auto" w:sz="6" w:space="0"/>
              <w:bottom w:val="single" w:color="auto" w:sz="6" w:space="0"/>
              <w:right w:val="single" w:color="auto" w:sz="6" w:space="0"/>
            </w:tcBorders>
          </w:tcPr>
          <w:p w14:paraId="7D9BA418">
            <w:pPr>
              <w:tabs>
                <w:tab w:val="left" w:pos="0"/>
              </w:tabs>
              <w:spacing w:line="240" w:lineRule="atLeast"/>
              <w:ind w:left="552" w:leftChars="228" w:hanging="73" w:hangingChars="35"/>
              <w:rPr>
                <w:rFonts w:ascii="宋体" w:hAnsi="宋体" w:cs="宋体"/>
                <w:szCs w:val="21"/>
                <w:highlight w:val="none"/>
              </w:rPr>
            </w:pPr>
          </w:p>
        </w:tc>
        <w:tc>
          <w:tcPr>
            <w:tcW w:w="776" w:type="dxa"/>
            <w:tcBorders>
              <w:top w:val="single" w:color="auto" w:sz="6" w:space="0"/>
              <w:left w:val="single" w:color="auto" w:sz="6" w:space="0"/>
              <w:bottom w:val="single" w:color="auto" w:sz="6" w:space="0"/>
              <w:right w:val="single" w:color="auto" w:sz="6" w:space="0"/>
            </w:tcBorders>
          </w:tcPr>
          <w:p w14:paraId="3DD8E3FF">
            <w:pPr>
              <w:tabs>
                <w:tab w:val="left" w:pos="0"/>
              </w:tabs>
              <w:spacing w:line="240" w:lineRule="atLeast"/>
              <w:ind w:left="552" w:leftChars="228" w:hanging="73" w:hangingChars="35"/>
              <w:rPr>
                <w:rFonts w:ascii="宋体" w:hAnsi="宋体" w:cs="宋体"/>
                <w:szCs w:val="21"/>
                <w:highlight w:val="none"/>
              </w:rPr>
            </w:pPr>
          </w:p>
        </w:tc>
        <w:tc>
          <w:tcPr>
            <w:tcW w:w="776" w:type="dxa"/>
            <w:tcBorders>
              <w:top w:val="single" w:color="auto" w:sz="6" w:space="0"/>
              <w:left w:val="single" w:color="auto" w:sz="6" w:space="0"/>
              <w:bottom w:val="single" w:color="auto" w:sz="6" w:space="0"/>
              <w:right w:val="single" w:color="auto" w:sz="6" w:space="0"/>
            </w:tcBorders>
          </w:tcPr>
          <w:p w14:paraId="27FEC13E">
            <w:pPr>
              <w:tabs>
                <w:tab w:val="left" w:pos="0"/>
              </w:tabs>
              <w:spacing w:line="240" w:lineRule="atLeast"/>
              <w:ind w:left="552" w:leftChars="228" w:hanging="73" w:hangingChars="35"/>
              <w:rPr>
                <w:rFonts w:ascii="宋体" w:hAnsi="宋体" w:cs="宋体"/>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960C38A">
            <w:pPr>
              <w:tabs>
                <w:tab w:val="left" w:pos="0"/>
              </w:tabs>
              <w:spacing w:line="240" w:lineRule="atLeast"/>
              <w:ind w:left="552" w:leftChars="228" w:hanging="73" w:hangingChars="35"/>
              <w:rPr>
                <w:rFonts w:ascii="宋体" w:hAnsi="宋体" w:cs="宋体"/>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69AE128">
            <w:pPr>
              <w:tabs>
                <w:tab w:val="left" w:pos="0"/>
              </w:tabs>
              <w:spacing w:line="240" w:lineRule="atLeast"/>
              <w:ind w:left="552" w:leftChars="228" w:hanging="73" w:hangingChars="35"/>
              <w:rPr>
                <w:rFonts w:ascii="宋体" w:hAnsi="宋体" w:cs="宋体"/>
                <w:szCs w:val="21"/>
                <w:highlight w:val="none"/>
              </w:rPr>
            </w:pPr>
          </w:p>
        </w:tc>
        <w:tc>
          <w:tcPr>
            <w:tcW w:w="772" w:type="dxa"/>
            <w:tcBorders>
              <w:top w:val="single" w:color="auto" w:sz="6" w:space="0"/>
              <w:left w:val="single" w:color="auto" w:sz="6" w:space="0"/>
              <w:bottom w:val="single" w:color="auto" w:sz="6" w:space="0"/>
              <w:right w:val="single" w:color="auto" w:sz="4" w:space="0"/>
            </w:tcBorders>
          </w:tcPr>
          <w:p w14:paraId="16B1737B">
            <w:pPr>
              <w:tabs>
                <w:tab w:val="left" w:pos="0"/>
              </w:tabs>
              <w:spacing w:line="240" w:lineRule="atLeast"/>
              <w:ind w:left="552" w:leftChars="228" w:hanging="73" w:hangingChars="35"/>
              <w:rPr>
                <w:rFonts w:ascii="宋体" w:hAnsi="宋体" w:cs="宋体"/>
                <w:szCs w:val="21"/>
                <w:highlight w:val="none"/>
              </w:rPr>
            </w:pPr>
          </w:p>
        </w:tc>
      </w:tr>
      <w:tr w14:paraId="6ACA25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817" w:type="dxa"/>
            <w:tcBorders>
              <w:top w:val="single" w:color="auto" w:sz="6" w:space="0"/>
              <w:left w:val="single" w:color="auto" w:sz="4" w:space="0"/>
              <w:bottom w:val="single" w:color="auto" w:sz="6" w:space="0"/>
              <w:right w:val="single" w:color="auto" w:sz="6" w:space="0"/>
            </w:tcBorders>
            <w:vAlign w:val="center"/>
          </w:tcPr>
          <w:p w14:paraId="1112DF62">
            <w:pPr>
              <w:tabs>
                <w:tab w:val="left" w:pos="0"/>
              </w:tabs>
              <w:spacing w:line="240" w:lineRule="atLeast"/>
              <w:ind w:left="425" w:hanging="425"/>
              <w:jc w:val="center"/>
              <w:rPr>
                <w:rFonts w:ascii="宋体" w:hAnsi="宋体" w:cs="宋体"/>
                <w:szCs w:val="21"/>
                <w:highlight w:val="none"/>
              </w:rPr>
            </w:pPr>
            <w:r>
              <w:rPr>
                <w:rFonts w:ascii="宋体" w:hAnsi="宋体" w:cs="宋体"/>
                <w:szCs w:val="21"/>
                <w:highlight w:val="none"/>
              </w:rPr>
              <w:t>4</w:t>
            </w:r>
          </w:p>
        </w:tc>
        <w:tc>
          <w:tcPr>
            <w:tcW w:w="8789" w:type="dxa"/>
            <w:tcBorders>
              <w:top w:val="single" w:color="auto" w:sz="6" w:space="0"/>
              <w:left w:val="single" w:color="auto" w:sz="6" w:space="0"/>
              <w:bottom w:val="single" w:color="auto" w:sz="6" w:space="0"/>
              <w:right w:val="single" w:color="auto" w:sz="6" w:space="0"/>
            </w:tcBorders>
            <w:vAlign w:val="center"/>
          </w:tcPr>
          <w:p w14:paraId="57092DED">
            <w:pPr>
              <w:tabs>
                <w:tab w:val="left" w:pos="0"/>
              </w:tabs>
              <w:spacing w:line="240" w:lineRule="atLeast"/>
              <w:rPr>
                <w:rFonts w:ascii="宋体" w:hAnsi="宋体" w:cs="宋体"/>
                <w:szCs w:val="21"/>
                <w:highlight w:val="none"/>
              </w:rPr>
            </w:pPr>
            <w:r>
              <w:rPr>
                <w:rFonts w:hint="eastAsia" w:ascii="宋体" w:hAnsi="宋体" w:cs="宋体"/>
                <w:szCs w:val="21"/>
                <w:highlight w:val="none"/>
              </w:rPr>
              <w:t>投标报价低于企业成本的（投标人的报价明显低于其他投标报价，使得其投标报价可能低于其个别成本，又不能合理说明或者不能提供相关证明材料，评标委员会认定该投标人低于成本报价的）；</w:t>
            </w:r>
          </w:p>
        </w:tc>
        <w:tc>
          <w:tcPr>
            <w:tcW w:w="838" w:type="dxa"/>
            <w:tcBorders>
              <w:top w:val="single" w:color="auto" w:sz="6" w:space="0"/>
              <w:left w:val="single" w:color="auto" w:sz="6" w:space="0"/>
              <w:bottom w:val="single" w:color="auto" w:sz="6" w:space="0"/>
              <w:right w:val="single" w:color="auto" w:sz="6" w:space="0"/>
            </w:tcBorders>
          </w:tcPr>
          <w:p w14:paraId="510D1619">
            <w:pPr>
              <w:tabs>
                <w:tab w:val="left" w:pos="0"/>
              </w:tabs>
              <w:spacing w:line="240" w:lineRule="atLeast"/>
              <w:ind w:left="552" w:leftChars="228" w:hanging="73" w:hangingChars="35"/>
              <w:rPr>
                <w:rFonts w:ascii="宋体" w:hAnsi="宋体" w:cs="宋体"/>
                <w:szCs w:val="21"/>
                <w:highlight w:val="none"/>
              </w:rPr>
            </w:pPr>
          </w:p>
        </w:tc>
        <w:tc>
          <w:tcPr>
            <w:tcW w:w="776" w:type="dxa"/>
            <w:tcBorders>
              <w:top w:val="single" w:color="auto" w:sz="6" w:space="0"/>
              <w:left w:val="single" w:color="auto" w:sz="6" w:space="0"/>
              <w:bottom w:val="single" w:color="auto" w:sz="6" w:space="0"/>
              <w:right w:val="single" w:color="auto" w:sz="6" w:space="0"/>
            </w:tcBorders>
          </w:tcPr>
          <w:p w14:paraId="39E9578E">
            <w:pPr>
              <w:tabs>
                <w:tab w:val="left" w:pos="0"/>
              </w:tabs>
              <w:spacing w:line="240" w:lineRule="atLeast"/>
              <w:ind w:left="552" w:leftChars="228" w:hanging="73" w:hangingChars="35"/>
              <w:rPr>
                <w:rFonts w:ascii="宋体" w:hAnsi="宋体" w:cs="宋体"/>
                <w:szCs w:val="21"/>
                <w:highlight w:val="none"/>
              </w:rPr>
            </w:pPr>
          </w:p>
        </w:tc>
        <w:tc>
          <w:tcPr>
            <w:tcW w:w="776" w:type="dxa"/>
            <w:tcBorders>
              <w:top w:val="single" w:color="auto" w:sz="6" w:space="0"/>
              <w:left w:val="single" w:color="auto" w:sz="6" w:space="0"/>
              <w:bottom w:val="single" w:color="auto" w:sz="6" w:space="0"/>
              <w:right w:val="single" w:color="auto" w:sz="6" w:space="0"/>
            </w:tcBorders>
          </w:tcPr>
          <w:p w14:paraId="63EF2CA7">
            <w:pPr>
              <w:tabs>
                <w:tab w:val="left" w:pos="0"/>
              </w:tabs>
              <w:spacing w:line="240" w:lineRule="atLeast"/>
              <w:ind w:left="552" w:leftChars="228" w:hanging="73" w:hangingChars="35"/>
              <w:rPr>
                <w:rFonts w:ascii="宋体" w:hAnsi="宋体" w:cs="宋体"/>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D5B16BF">
            <w:pPr>
              <w:tabs>
                <w:tab w:val="left" w:pos="0"/>
              </w:tabs>
              <w:spacing w:line="240" w:lineRule="atLeast"/>
              <w:ind w:left="552" w:leftChars="228" w:hanging="73" w:hangingChars="35"/>
              <w:rPr>
                <w:rFonts w:ascii="宋体" w:hAnsi="宋体" w:cs="宋体"/>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3DCCCAE">
            <w:pPr>
              <w:tabs>
                <w:tab w:val="left" w:pos="0"/>
              </w:tabs>
              <w:spacing w:line="240" w:lineRule="atLeast"/>
              <w:ind w:left="552" w:leftChars="228" w:hanging="73" w:hangingChars="35"/>
              <w:rPr>
                <w:rFonts w:ascii="宋体" w:hAnsi="宋体" w:cs="宋体"/>
                <w:szCs w:val="21"/>
                <w:highlight w:val="none"/>
              </w:rPr>
            </w:pPr>
          </w:p>
        </w:tc>
        <w:tc>
          <w:tcPr>
            <w:tcW w:w="772" w:type="dxa"/>
            <w:tcBorders>
              <w:top w:val="single" w:color="auto" w:sz="6" w:space="0"/>
              <w:left w:val="single" w:color="auto" w:sz="6" w:space="0"/>
              <w:bottom w:val="single" w:color="auto" w:sz="6" w:space="0"/>
              <w:right w:val="single" w:color="auto" w:sz="4" w:space="0"/>
            </w:tcBorders>
          </w:tcPr>
          <w:p w14:paraId="2D3DF179">
            <w:pPr>
              <w:tabs>
                <w:tab w:val="left" w:pos="0"/>
              </w:tabs>
              <w:spacing w:line="240" w:lineRule="atLeast"/>
              <w:ind w:left="552" w:leftChars="228" w:hanging="73" w:hangingChars="35"/>
              <w:rPr>
                <w:rFonts w:ascii="宋体" w:hAnsi="宋体" w:cs="宋体"/>
                <w:szCs w:val="21"/>
                <w:highlight w:val="none"/>
              </w:rPr>
            </w:pPr>
          </w:p>
        </w:tc>
      </w:tr>
      <w:tr w14:paraId="0D34BD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817" w:type="dxa"/>
            <w:tcBorders>
              <w:top w:val="single" w:color="auto" w:sz="6" w:space="0"/>
              <w:left w:val="single" w:color="auto" w:sz="4" w:space="0"/>
              <w:bottom w:val="single" w:color="auto" w:sz="6" w:space="0"/>
              <w:right w:val="single" w:color="auto" w:sz="6" w:space="0"/>
            </w:tcBorders>
            <w:vAlign w:val="center"/>
          </w:tcPr>
          <w:p w14:paraId="03510BB7">
            <w:pPr>
              <w:tabs>
                <w:tab w:val="left" w:pos="0"/>
              </w:tabs>
              <w:spacing w:line="240" w:lineRule="atLeast"/>
              <w:ind w:left="425" w:hanging="425"/>
              <w:jc w:val="center"/>
              <w:rPr>
                <w:rFonts w:ascii="宋体" w:hAnsi="宋体" w:cs="宋体"/>
                <w:szCs w:val="21"/>
                <w:highlight w:val="none"/>
              </w:rPr>
            </w:pPr>
            <w:r>
              <w:rPr>
                <w:rFonts w:ascii="宋体" w:hAnsi="宋体" w:cs="宋体"/>
                <w:szCs w:val="21"/>
                <w:highlight w:val="none"/>
              </w:rPr>
              <w:t>5</w:t>
            </w:r>
          </w:p>
        </w:tc>
        <w:tc>
          <w:tcPr>
            <w:tcW w:w="8789" w:type="dxa"/>
            <w:tcBorders>
              <w:top w:val="single" w:color="auto" w:sz="6" w:space="0"/>
              <w:left w:val="single" w:color="auto" w:sz="6" w:space="0"/>
              <w:bottom w:val="single" w:color="auto" w:sz="6" w:space="0"/>
              <w:right w:val="single" w:color="auto" w:sz="6" w:space="0"/>
            </w:tcBorders>
            <w:vAlign w:val="center"/>
          </w:tcPr>
          <w:p w14:paraId="083C13CB">
            <w:pPr>
              <w:tabs>
                <w:tab w:val="left" w:pos="0"/>
              </w:tabs>
              <w:spacing w:line="240" w:lineRule="atLeast"/>
              <w:rPr>
                <w:rFonts w:ascii="宋体" w:hAnsi="宋体" w:cs="宋体"/>
                <w:szCs w:val="21"/>
                <w:highlight w:val="none"/>
              </w:rPr>
            </w:pPr>
            <w:r>
              <w:rPr>
                <w:rFonts w:hint="eastAsia" w:ascii="宋体" w:hAnsi="宋体" w:cs="宋体"/>
                <w:szCs w:val="21"/>
                <w:highlight w:val="none"/>
              </w:rPr>
              <w:t>投标文件未按规定的格式填写，或主要内容不全，或关键字迹模糊、无法辨认的；</w:t>
            </w:r>
          </w:p>
        </w:tc>
        <w:tc>
          <w:tcPr>
            <w:tcW w:w="838" w:type="dxa"/>
            <w:tcBorders>
              <w:top w:val="single" w:color="auto" w:sz="6" w:space="0"/>
              <w:left w:val="single" w:color="auto" w:sz="6" w:space="0"/>
              <w:bottom w:val="single" w:color="auto" w:sz="6" w:space="0"/>
              <w:right w:val="single" w:color="auto" w:sz="6" w:space="0"/>
            </w:tcBorders>
          </w:tcPr>
          <w:p w14:paraId="2644A2C7">
            <w:pPr>
              <w:tabs>
                <w:tab w:val="left" w:pos="0"/>
              </w:tabs>
              <w:spacing w:line="240" w:lineRule="atLeast"/>
              <w:ind w:left="552" w:leftChars="228" w:hanging="73" w:hangingChars="35"/>
              <w:rPr>
                <w:rFonts w:ascii="宋体" w:hAnsi="宋体" w:cs="宋体"/>
                <w:szCs w:val="21"/>
                <w:highlight w:val="none"/>
              </w:rPr>
            </w:pPr>
          </w:p>
        </w:tc>
        <w:tc>
          <w:tcPr>
            <w:tcW w:w="776" w:type="dxa"/>
            <w:tcBorders>
              <w:top w:val="single" w:color="auto" w:sz="6" w:space="0"/>
              <w:left w:val="single" w:color="auto" w:sz="6" w:space="0"/>
              <w:bottom w:val="single" w:color="auto" w:sz="6" w:space="0"/>
              <w:right w:val="single" w:color="auto" w:sz="6" w:space="0"/>
            </w:tcBorders>
          </w:tcPr>
          <w:p w14:paraId="7454126E">
            <w:pPr>
              <w:tabs>
                <w:tab w:val="left" w:pos="0"/>
              </w:tabs>
              <w:spacing w:line="240" w:lineRule="atLeast"/>
              <w:ind w:left="552" w:leftChars="228" w:hanging="73" w:hangingChars="35"/>
              <w:rPr>
                <w:rFonts w:ascii="宋体" w:hAnsi="宋体" w:cs="宋体"/>
                <w:szCs w:val="21"/>
                <w:highlight w:val="none"/>
              </w:rPr>
            </w:pPr>
          </w:p>
        </w:tc>
        <w:tc>
          <w:tcPr>
            <w:tcW w:w="776" w:type="dxa"/>
            <w:tcBorders>
              <w:top w:val="single" w:color="auto" w:sz="6" w:space="0"/>
              <w:left w:val="single" w:color="auto" w:sz="6" w:space="0"/>
              <w:bottom w:val="single" w:color="auto" w:sz="6" w:space="0"/>
              <w:right w:val="single" w:color="auto" w:sz="6" w:space="0"/>
            </w:tcBorders>
          </w:tcPr>
          <w:p w14:paraId="457C6807">
            <w:pPr>
              <w:tabs>
                <w:tab w:val="left" w:pos="0"/>
              </w:tabs>
              <w:spacing w:line="240" w:lineRule="atLeast"/>
              <w:ind w:left="552" w:leftChars="228" w:hanging="73" w:hangingChars="35"/>
              <w:rPr>
                <w:rFonts w:ascii="宋体" w:hAnsi="宋体" w:cs="宋体"/>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D6AE6C0">
            <w:pPr>
              <w:tabs>
                <w:tab w:val="left" w:pos="0"/>
              </w:tabs>
              <w:spacing w:line="240" w:lineRule="atLeast"/>
              <w:ind w:left="552" w:leftChars="228" w:hanging="73" w:hangingChars="35"/>
              <w:rPr>
                <w:rFonts w:ascii="宋体" w:hAnsi="宋体" w:cs="宋体"/>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2730E8A">
            <w:pPr>
              <w:tabs>
                <w:tab w:val="left" w:pos="0"/>
              </w:tabs>
              <w:spacing w:line="240" w:lineRule="atLeast"/>
              <w:ind w:left="552" w:leftChars="228" w:hanging="73" w:hangingChars="35"/>
              <w:rPr>
                <w:rFonts w:ascii="宋体" w:hAnsi="宋体" w:cs="宋体"/>
                <w:szCs w:val="21"/>
                <w:highlight w:val="none"/>
              </w:rPr>
            </w:pPr>
          </w:p>
        </w:tc>
        <w:tc>
          <w:tcPr>
            <w:tcW w:w="772" w:type="dxa"/>
            <w:tcBorders>
              <w:top w:val="single" w:color="auto" w:sz="6" w:space="0"/>
              <w:left w:val="single" w:color="auto" w:sz="6" w:space="0"/>
              <w:bottom w:val="single" w:color="auto" w:sz="6" w:space="0"/>
              <w:right w:val="single" w:color="auto" w:sz="4" w:space="0"/>
            </w:tcBorders>
          </w:tcPr>
          <w:p w14:paraId="0D412066">
            <w:pPr>
              <w:tabs>
                <w:tab w:val="left" w:pos="0"/>
              </w:tabs>
              <w:spacing w:line="240" w:lineRule="atLeast"/>
              <w:ind w:left="552" w:leftChars="228" w:hanging="73" w:hangingChars="35"/>
              <w:rPr>
                <w:rFonts w:ascii="宋体" w:hAnsi="宋体" w:cs="宋体"/>
                <w:szCs w:val="21"/>
                <w:highlight w:val="none"/>
              </w:rPr>
            </w:pPr>
          </w:p>
        </w:tc>
      </w:tr>
      <w:tr w14:paraId="5113C1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817" w:type="dxa"/>
            <w:tcBorders>
              <w:top w:val="single" w:color="auto" w:sz="6" w:space="0"/>
              <w:left w:val="single" w:color="auto" w:sz="4" w:space="0"/>
              <w:bottom w:val="single" w:color="auto" w:sz="6" w:space="0"/>
              <w:right w:val="single" w:color="auto" w:sz="6" w:space="0"/>
            </w:tcBorders>
            <w:vAlign w:val="center"/>
          </w:tcPr>
          <w:p w14:paraId="5BA1B3F6">
            <w:pPr>
              <w:tabs>
                <w:tab w:val="left" w:pos="0"/>
              </w:tabs>
              <w:spacing w:line="240" w:lineRule="atLeast"/>
              <w:ind w:left="425" w:hanging="425"/>
              <w:jc w:val="center"/>
              <w:rPr>
                <w:rFonts w:ascii="宋体" w:hAnsi="宋体" w:cs="宋体"/>
                <w:szCs w:val="21"/>
                <w:highlight w:val="none"/>
              </w:rPr>
            </w:pPr>
            <w:r>
              <w:rPr>
                <w:rFonts w:ascii="宋体" w:hAnsi="宋体" w:cs="宋体"/>
                <w:szCs w:val="21"/>
                <w:highlight w:val="none"/>
              </w:rPr>
              <w:t>6</w:t>
            </w:r>
          </w:p>
        </w:tc>
        <w:tc>
          <w:tcPr>
            <w:tcW w:w="8789" w:type="dxa"/>
            <w:tcBorders>
              <w:top w:val="single" w:color="auto" w:sz="6" w:space="0"/>
              <w:left w:val="single" w:color="auto" w:sz="6" w:space="0"/>
              <w:bottom w:val="single" w:color="auto" w:sz="6" w:space="0"/>
              <w:right w:val="single" w:color="auto" w:sz="6" w:space="0"/>
            </w:tcBorders>
            <w:vAlign w:val="center"/>
          </w:tcPr>
          <w:p w14:paraId="528DA666">
            <w:pPr>
              <w:tabs>
                <w:tab w:val="left" w:pos="0"/>
              </w:tabs>
              <w:spacing w:line="240" w:lineRule="atLeast"/>
              <w:rPr>
                <w:rFonts w:ascii="宋体" w:hAnsi="宋体" w:cs="宋体"/>
                <w:szCs w:val="21"/>
                <w:highlight w:val="none"/>
              </w:rPr>
            </w:pPr>
            <w:r>
              <w:rPr>
                <w:rFonts w:hint="eastAsia" w:ascii="宋体" w:hAnsi="宋体" w:cs="宋体"/>
                <w:szCs w:val="21"/>
                <w:highlight w:val="none"/>
              </w:rPr>
              <w:t>存在串通投标情形（串通投标情形以《中华人民共和国招标投标法实施条例》第四十条为准）；</w:t>
            </w:r>
          </w:p>
        </w:tc>
        <w:tc>
          <w:tcPr>
            <w:tcW w:w="838" w:type="dxa"/>
            <w:tcBorders>
              <w:top w:val="single" w:color="auto" w:sz="6" w:space="0"/>
              <w:left w:val="single" w:color="auto" w:sz="6" w:space="0"/>
              <w:bottom w:val="single" w:color="auto" w:sz="6" w:space="0"/>
              <w:right w:val="single" w:color="auto" w:sz="6" w:space="0"/>
            </w:tcBorders>
          </w:tcPr>
          <w:p w14:paraId="1096FC6B">
            <w:pPr>
              <w:tabs>
                <w:tab w:val="left" w:pos="0"/>
              </w:tabs>
              <w:spacing w:line="240" w:lineRule="atLeast"/>
              <w:ind w:left="552" w:leftChars="228" w:hanging="73" w:hangingChars="35"/>
              <w:rPr>
                <w:rFonts w:ascii="宋体" w:hAnsi="宋体" w:cs="宋体"/>
                <w:szCs w:val="21"/>
                <w:highlight w:val="none"/>
              </w:rPr>
            </w:pPr>
          </w:p>
        </w:tc>
        <w:tc>
          <w:tcPr>
            <w:tcW w:w="776" w:type="dxa"/>
            <w:tcBorders>
              <w:top w:val="single" w:color="auto" w:sz="6" w:space="0"/>
              <w:left w:val="single" w:color="auto" w:sz="6" w:space="0"/>
              <w:bottom w:val="single" w:color="auto" w:sz="6" w:space="0"/>
              <w:right w:val="single" w:color="auto" w:sz="6" w:space="0"/>
            </w:tcBorders>
          </w:tcPr>
          <w:p w14:paraId="0D7C089B">
            <w:pPr>
              <w:tabs>
                <w:tab w:val="left" w:pos="0"/>
              </w:tabs>
              <w:spacing w:line="240" w:lineRule="atLeast"/>
              <w:ind w:left="552" w:leftChars="228" w:hanging="73" w:hangingChars="35"/>
              <w:rPr>
                <w:rFonts w:ascii="宋体" w:hAnsi="宋体" w:cs="宋体"/>
                <w:szCs w:val="21"/>
                <w:highlight w:val="none"/>
              </w:rPr>
            </w:pPr>
          </w:p>
        </w:tc>
        <w:tc>
          <w:tcPr>
            <w:tcW w:w="776" w:type="dxa"/>
            <w:tcBorders>
              <w:top w:val="single" w:color="auto" w:sz="6" w:space="0"/>
              <w:left w:val="single" w:color="auto" w:sz="6" w:space="0"/>
              <w:bottom w:val="single" w:color="auto" w:sz="6" w:space="0"/>
              <w:right w:val="single" w:color="auto" w:sz="6" w:space="0"/>
            </w:tcBorders>
          </w:tcPr>
          <w:p w14:paraId="16E8B360">
            <w:pPr>
              <w:tabs>
                <w:tab w:val="left" w:pos="0"/>
              </w:tabs>
              <w:spacing w:line="240" w:lineRule="atLeast"/>
              <w:ind w:left="552" w:leftChars="228" w:hanging="73" w:hangingChars="35"/>
              <w:rPr>
                <w:rFonts w:ascii="宋体" w:hAnsi="宋体" w:cs="宋体"/>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DFCA9AB">
            <w:pPr>
              <w:tabs>
                <w:tab w:val="left" w:pos="0"/>
              </w:tabs>
              <w:spacing w:line="240" w:lineRule="atLeast"/>
              <w:ind w:left="552" w:leftChars="228" w:hanging="73" w:hangingChars="35"/>
              <w:rPr>
                <w:rFonts w:ascii="宋体" w:hAnsi="宋体" w:cs="宋体"/>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934901A">
            <w:pPr>
              <w:tabs>
                <w:tab w:val="left" w:pos="0"/>
              </w:tabs>
              <w:spacing w:line="240" w:lineRule="atLeast"/>
              <w:ind w:left="552" w:leftChars="228" w:hanging="73" w:hangingChars="35"/>
              <w:rPr>
                <w:rFonts w:ascii="宋体" w:hAnsi="宋体" w:cs="宋体"/>
                <w:szCs w:val="21"/>
                <w:highlight w:val="none"/>
              </w:rPr>
            </w:pPr>
          </w:p>
        </w:tc>
        <w:tc>
          <w:tcPr>
            <w:tcW w:w="772" w:type="dxa"/>
            <w:tcBorders>
              <w:top w:val="single" w:color="auto" w:sz="6" w:space="0"/>
              <w:left w:val="single" w:color="auto" w:sz="6" w:space="0"/>
              <w:bottom w:val="single" w:color="auto" w:sz="6" w:space="0"/>
              <w:right w:val="single" w:color="auto" w:sz="4" w:space="0"/>
            </w:tcBorders>
          </w:tcPr>
          <w:p w14:paraId="798E14C3">
            <w:pPr>
              <w:tabs>
                <w:tab w:val="left" w:pos="0"/>
              </w:tabs>
              <w:spacing w:line="240" w:lineRule="atLeast"/>
              <w:ind w:left="552" w:leftChars="228" w:hanging="73" w:hangingChars="35"/>
              <w:rPr>
                <w:rFonts w:ascii="宋体" w:hAnsi="宋体" w:cs="宋体"/>
                <w:szCs w:val="21"/>
                <w:highlight w:val="none"/>
              </w:rPr>
            </w:pPr>
          </w:p>
        </w:tc>
      </w:tr>
      <w:tr w14:paraId="18476D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817" w:type="dxa"/>
            <w:tcBorders>
              <w:top w:val="single" w:color="auto" w:sz="6" w:space="0"/>
              <w:left w:val="single" w:color="auto" w:sz="4" w:space="0"/>
              <w:bottom w:val="single" w:color="auto" w:sz="6" w:space="0"/>
              <w:right w:val="single" w:color="auto" w:sz="6" w:space="0"/>
            </w:tcBorders>
            <w:vAlign w:val="center"/>
          </w:tcPr>
          <w:p w14:paraId="4AFF8FDC">
            <w:pPr>
              <w:tabs>
                <w:tab w:val="left" w:pos="0"/>
              </w:tabs>
              <w:spacing w:line="240" w:lineRule="atLeast"/>
              <w:jc w:val="center"/>
              <w:rPr>
                <w:rFonts w:ascii="宋体" w:hAnsi="宋体" w:cs="宋体"/>
                <w:szCs w:val="21"/>
                <w:highlight w:val="none"/>
              </w:rPr>
            </w:pPr>
            <w:r>
              <w:rPr>
                <w:rFonts w:hint="eastAsia" w:ascii="宋体" w:hAnsi="宋体" w:cs="宋体"/>
                <w:szCs w:val="21"/>
                <w:highlight w:val="none"/>
              </w:rPr>
              <w:t>7</w:t>
            </w:r>
          </w:p>
        </w:tc>
        <w:tc>
          <w:tcPr>
            <w:tcW w:w="8789" w:type="dxa"/>
            <w:tcBorders>
              <w:top w:val="single" w:color="auto" w:sz="6" w:space="0"/>
              <w:left w:val="single" w:color="auto" w:sz="6" w:space="0"/>
              <w:bottom w:val="single" w:color="auto" w:sz="6" w:space="0"/>
              <w:right w:val="single" w:color="auto" w:sz="6" w:space="0"/>
            </w:tcBorders>
            <w:vAlign w:val="center"/>
          </w:tcPr>
          <w:p w14:paraId="40EF4657">
            <w:pPr>
              <w:tabs>
                <w:tab w:val="left" w:pos="0"/>
              </w:tabs>
              <w:spacing w:line="240" w:lineRule="atLeast"/>
              <w:rPr>
                <w:rFonts w:ascii="宋体" w:hAnsi="宋体" w:cs="宋体"/>
                <w:szCs w:val="21"/>
                <w:highlight w:val="none"/>
              </w:rPr>
            </w:pPr>
            <w:r>
              <w:rPr>
                <w:rFonts w:hint="eastAsia" w:ascii="宋体" w:hAnsi="宋体" w:cs="宋体"/>
                <w:szCs w:val="21"/>
                <w:highlight w:val="none"/>
              </w:rPr>
              <w:t>无《</w:t>
            </w:r>
            <w:r>
              <w:rPr>
                <w:rFonts w:hint="eastAsia" w:ascii="宋体" w:hAnsi="宋体" w:cs="宋体"/>
                <w:szCs w:val="21"/>
                <w:highlight w:val="none"/>
                <w:lang w:val="zh-CN"/>
              </w:rPr>
              <w:t>参与编制经济标投标文件人员名单</w:t>
            </w:r>
            <w:r>
              <w:rPr>
                <w:rFonts w:hint="eastAsia" w:ascii="宋体" w:hAnsi="宋体" w:cs="宋体"/>
                <w:szCs w:val="21"/>
                <w:highlight w:val="none"/>
              </w:rPr>
              <w:t>》的。</w:t>
            </w:r>
          </w:p>
        </w:tc>
        <w:tc>
          <w:tcPr>
            <w:tcW w:w="838" w:type="dxa"/>
            <w:tcBorders>
              <w:top w:val="single" w:color="auto" w:sz="6" w:space="0"/>
              <w:left w:val="single" w:color="auto" w:sz="6" w:space="0"/>
              <w:bottom w:val="single" w:color="auto" w:sz="6" w:space="0"/>
              <w:right w:val="single" w:color="auto" w:sz="6" w:space="0"/>
            </w:tcBorders>
          </w:tcPr>
          <w:p w14:paraId="56C4D715">
            <w:pPr>
              <w:tabs>
                <w:tab w:val="left" w:pos="0"/>
              </w:tabs>
              <w:spacing w:line="240" w:lineRule="atLeast"/>
              <w:ind w:left="552" w:leftChars="228" w:hanging="73" w:hangingChars="35"/>
              <w:rPr>
                <w:rFonts w:ascii="宋体" w:hAnsi="宋体" w:cs="宋体"/>
                <w:szCs w:val="21"/>
                <w:highlight w:val="none"/>
              </w:rPr>
            </w:pPr>
          </w:p>
        </w:tc>
        <w:tc>
          <w:tcPr>
            <w:tcW w:w="776" w:type="dxa"/>
            <w:tcBorders>
              <w:top w:val="single" w:color="auto" w:sz="6" w:space="0"/>
              <w:left w:val="single" w:color="auto" w:sz="6" w:space="0"/>
              <w:bottom w:val="single" w:color="auto" w:sz="6" w:space="0"/>
              <w:right w:val="single" w:color="auto" w:sz="6" w:space="0"/>
            </w:tcBorders>
          </w:tcPr>
          <w:p w14:paraId="60A1CA0A">
            <w:pPr>
              <w:tabs>
                <w:tab w:val="left" w:pos="0"/>
              </w:tabs>
              <w:spacing w:line="240" w:lineRule="atLeast"/>
              <w:ind w:left="552" w:leftChars="228" w:hanging="73" w:hangingChars="35"/>
              <w:rPr>
                <w:rFonts w:ascii="宋体" w:hAnsi="宋体" w:cs="宋体"/>
                <w:szCs w:val="21"/>
                <w:highlight w:val="none"/>
              </w:rPr>
            </w:pPr>
          </w:p>
        </w:tc>
        <w:tc>
          <w:tcPr>
            <w:tcW w:w="776" w:type="dxa"/>
            <w:tcBorders>
              <w:top w:val="single" w:color="auto" w:sz="6" w:space="0"/>
              <w:left w:val="single" w:color="auto" w:sz="6" w:space="0"/>
              <w:bottom w:val="single" w:color="auto" w:sz="6" w:space="0"/>
              <w:right w:val="single" w:color="auto" w:sz="6" w:space="0"/>
            </w:tcBorders>
          </w:tcPr>
          <w:p w14:paraId="5C90FC7A">
            <w:pPr>
              <w:tabs>
                <w:tab w:val="left" w:pos="0"/>
              </w:tabs>
              <w:spacing w:line="240" w:lineRule="atLeast"/>
              <w:ind w:left="552" w:leftChars="228" w:hanging="73" w:hangingChars="35"/>
              <w:rPr>
                <w:rFonts w:ascii="宋体" w:hAnsi="宋体" w:cs="宋体"/>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18A8973">
            <w:pPr>
              <w:tabs>
                <w:tab w:val="left" w:pos="0"/>
              </w:tabs>
              <w:spacing w:line="240" w:lineRule="atLeast"/>
              <w:ind w:left="552" w:leftChars="228" w:hanging="73" w:hangingChars="35"/>
              <w:rPr>
                <w:rFonts w:ascii="宋体" w:hAnsi="宋体" w:cs="宋体"/>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269843F">
            <w:pPr>
              <w:tabs>
                <w:tab w:val="left" w:pos="0"/>
              </w:tabs>
              <w:spacing w:line="240" w:lineRule="atLeast"/>
              <w:ind w:left="552" w:leftChars="228" w:hanging="73" w:hangingChars="35"/>
              <w:rPr>
                <w:rFonts w:ascii="宋体" w:hAnsi="宋体" w:cs="宋体"/>
                <w:szCs w:val="21"/>
                <w:highlight w:val="none"/>
              </w:rPr>
            </w:pPr>
          </w:p>
        </w:tc>
        <w:tc>
          <w:tcPr>
            <w:tcW w:w="772" w:type="dxa"/>
            <w:tcBorders>
              <w:top w:val="single" w:color="auto" w:sz="6" w:space="0"/>
              <w:left w:val="single" w:color="auto" w:sz="6" w:space="0"/>
              <w:bottom w:val="single" w:color="auto" w:sz="6" w:space="0"/>
              <w:right w:val="single" w:color="auto" w:sz="4" w:space="0"/>
            </w:tcBorders>
          </w:tcPr>
          <w:p w14:paraId="0D61E52E">
            <w:pPr>
              <w:tabs>
                <w:tab w:val="left" w:pos="0"/>
              </w:tabs>
              <w:spacing w:line="240" w:lineRule="atLeast"/>
              <w:ind w:left="552" w:leftChars="228" w:hanging="73" w:hangingChars="35"/>
              <w:rPr>
                <w:rFonts w:ascii="宋体" w:hAnsi="宋体" w:cs="宋体"/>
                <w:szCs w:val="21"/>
                <w:highlight w:val="none"/>
              </w:rPr>
            </w:pPr>
          </w:p>
        </w:tc>
      </w:tr>
      <w:tr w14:paraId="7BFD28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817" w:type="dxa"/>
            <w:tcBorders>
              <w:top w:val="single" w:color="auto" w:sz="6" w:space="0"/>
              <w:left w:val="single" w:color="auto" w:sz="4" w:space="0"/>
              <w:bottom w:val="single" w:color="auto" w:sz="4" w:space="0"/>
              <w:right w:val="single" w:color="auto" w:sz="6" w:space="0"/>
            </w:tcBorders>
            <w:vAlign w:val="center"/>
          </w:tcPr>
          <w:p w14:paraId="6CD9BE28">
            <w:pPr>
              <w:tabs>
                <w:tab w:val="left" w:pos="0"/>
              </w:tabs>
              <w:spacing w:line="240" w:lineRule="atLeast"/>
              <w:jc w:val="center"/>
              <w:rPr>
                <w:rFonts w:ascii="宋体" w:hAnsi="宋体" w:cs="宋体"/>
                <w:szCs w:val="21"/>
                <w:highlight w:val="none"/>
              </w:rPr>
            </w:pPr>
            <w:r>
              <w:rPr>
                <w:rFonts w:hint="eastAsia" w:ascii="宋体" w:hAnsi="宋体" w:cs="宋体"/>
                <w:szCs w:val="21"/>
                <w:highlight w:val="none"/>
              </w:rPr>
              <w:t>结论</w:t>
            </w:r>
          </w:p>
        </w:tc>
        <w:tc>
          <w:tcPr>
            <w:tcW w:w="8789" w:type="dxa"/>
            <w:tcBorders>
              <w:top w:val="single" w:color="auto" w:sz="6" w:space="0"/>
              <w:left w:val="single" w:color="auto" w:sz="6" w:space="0"/>
              <w:bottom w:val="single" w:color="auto" w:sz="4" w:space="0"/>
              <w:right w:val="single" w:color="auto" w:sz="6" w:space="0"/>
            </w:tcBorders>
            <w:vAlign w:val="center"/>
          </w:tcPr>
          <w:p w14:paraId="2664952B">
            <w:pPr>
              <w:tabs>
                <w:tab w:val="left" w:pos="0"/>
              </w:tabs>
              <w:spacing w:line="240" w:lineRule="atLeast"/>
              <w:rPr>
                <w:rFonts w:ascii="宋体" w:hAnsi="宋体" w:cs="宋体"/>
                <w:szCs w:val="21"/>
                <w:highlight w:val="none"/>
              </w:rPr>
            </w:pPr>
            <w:r>
              <w:rPr>
                <w:rFonts w:hint="eastAsia" w:ascii="宋体" w:hAnsi="宋体" w:cs="宋体"/>
                <w:szCs w:val="21"/>
                <w:highlight w:val="none"/>
              </w:rPr>
              <w:t>是否通过并进入下一阶段（通过/不通过）</w:t>
            </w:r>
          </w:p>
        </w:tc>
        <w:tc>
          <w:tcPr>
            <w:tcW w:w="838" w:type="dxa"/>
            <w:tcBorders>
              <w:top w:val="single" w:color="auto" w:sz="6" w:space="0"/>
              <w:left w:val="single" w:color="auto" w:sz="6" w:space="0"/>
              <w:bottom w:val="single" w:color="auto" w:sz="4" w:space="0"/>
              <w:right w:val="single" w:color="auto" w:sz="6" w:space="0"/>
            </w:tcBorders>
          </w:tcPr>
          <w:p w14:paraId="479307B0">
            <w:pPr>
              <w:tabs>
                <w:tab w:val="left" w:pos="0"/>
              </w:tabs>
              <w:spacing w:line="240" w:lineRule="atLeast"/>
              <w:ind w:left="552" w:leftChars="228" w:hanging="73" w:hangingChars="35"/>
              <w:rPr>
                <w:rFonts w:ascii="宋体" w:hAnsi="宋体" w:cs="宋体"/>
                <w:szCs w:val="21"/>
                <w:highlight w:val="none"/>
              </w:rPr>
            </w:pPr>
          </w:p>
        </w:tc>
        <w:tc>
          <w:tcPr>
            <w:tcW w:w="776" w:type="dxa"/>
            <w:tcBorders>
              <w:top w:val="single" w:color="auto" w:sz="6" w:space="0"/>
              <w:left w:val="single" w:color="auto" w:sz="6" w:space="0"/>
              <w:bottom w:val="single" w:color="auto" w:sz="4" w:space="0"/>
              <w:right w:val="single" w:color="auto" w:sz="6" w:space="0"/>
            </w:tcBorders>
          </w:tcPr>
          <w:p w14:paraId="08A1A1DA">
            <w:pPr>
              <w:tabs>
                <w:tab w:val="left" w:pos="0"/>
              </w:tabs>
              <w:spacing w:line="240" w:lineRule="atLeast"/>
              <w:ind w:left="552" w:leftChars="228" w:hanging="73" w:hangingChars="35"/>
              <w:rPr>
                <w:rFonts w:ascii="宋体" w:hAnsi="宋体" w:cs="宋体"/>
                <w:szCs w:val="21"/>
                <w:highlight w:val="none"/>
              </w:rPr>
            </w:pPr>
          </w:p>
        </w:tc>
        <w:tc>
          <w:tcPr>
            <w:tcW w:w="776" w:type="dxa"/>
            <w:tcBorders>
              <w:top w:val="single" w:color="auto" w:sz="6" w:space="0"/>
              <w:left w:val="single" w:color="auto" w:sz="6" w:space="0"/>
              <w:bottom w:val="single" w:color="auto" w:sz="4" w:space="0"/>
              <w:right w:val="single" w:color="auto" w:sz="6" w:space="0"/>
            </w:tcBorders>
          </w:tcPr>
          <w:p w14:paraId="1D6CC619">
            <w:pPr>
              <w:tabs>
                <w:tab w:val="left" w:pos="0"/>
              </w:tabs>
              <w:spacing w:line="240" w:lineRule="atLeast"/>
              <w:ind w:left="552" w:leftChars="228" w:hanging="73" w:hangingChars="35"/>
              <w:rPr>
                <w:rFonts w:ascii="宋体" w:hAnsi="宋体" w:cs="宋体"/>
                <w:szCs w:val="21"/>
                <w:highlight w:val="none"/>
              </w:rPr>
            </w:pPr>
          </w:p>
        </w:tc>
        <w:tc>
          <w:tcPr>
            <w:tcW w:w="774" w:type="dxa"/>
            <w:tcBorders>
              <w:top w:val="single" w:color="auto" w:sz="6" w:space="0"/>
              <w:left w:val="single" w:color="auto" w:sz="6" w:space="0"/>
              <w:bottom w:val="single" w:color="auto" w:sz="4" w:space="0"/>
              <w:right w:val="single" w:color="auto" w:sz="6" w:space="0"/>
            </w:tcBorders>
          </w:tcPr>
          <w:p w14:paraId="10AD0DEE">
            <w:pPr>
              <w:tabs>
                <w:tab w:val="left" w:pos="0"/>
              </w:tabs>
              <w:spacing w:line="240" w:lineRule="atLeast"/>
              <w:ind w:left="552" w:leftChars="228" w:hanging="73" w:hangingChars="35"/>
              <w:rPr>
                <w:rFonts w:ascii="宋体" w:hAnsi="宋体" w:cs="宋体"/>
                <w:szCs w:val="21"/>
                <w:highlight w:val="none"/>
              </w:rPr>
            </w:pPr>
          </w:p>
        </w:tc>
        <w:tc>
          <w:tcPr>
            <w:tcW w:w="774" w:type="dxa"/>
            <w:tcBorders>
              <w:top w:val="single" w:color="auto" w:sz="6" w:space="0"/>
              <w:left w:val="single" w:color="auto" w:sz="6" w:space="0"/>
              <w:bottom w:val="single" w:color="auto" w:sz="4" w:space="0"/>
              <w:right w:val="single" w:color="auto" w:sz="6" w:space="0"/>
            </w:tcBorders>
          </w:tcPr>
          <w:p w14:paraId="6180BFE0">
            <w:pPr>
              <w:tabs>
                <w:tab w:val="left" w:pos="0"/>
              </w:tabs>
              <w:spacing w:line="240" w:lineRule="atLeast"/>
              <w:ind w:left="552" w:leftChars="228" w:hanging="73" w:hangingChars="35"/>
              <w:rPr>
                <w:rFonts w:ascii="宋体" w:hAnsi="宋体" w:cs="宋体"/>
                <w:szCs w:val="21"/>
                <w:highlight w:val="none"/>
              </w:rPr>
            </w:pPr>
          </w:p>
        </w:tc>
        <w:tc>
          <w:tcPr>
            <w:tcW w:w="772" w:type="dxa"/>
            <w:tcBorders>
              <w:top w:val="single" w:color="auto" w:sz="6" w:space="0"/>
              <w:left w:val="single" w:color="auto" w:sz="6" w:space="0"/>
              <w:bottom w:val="single" w:color="auto" w:sz="4" w:space="0"/>
              <w:right w:val="single" w:color="auto" w:sz="4" w:space="0"/>
            </w:tcBorders>
          </w:tcPr>
          <w:p w14:paraId="373B8D22">
            <w:pPr>
              <w:tabs>
                <w:tab w:val="left" w:pos="0"/>
              </w:tabs>
              <w:spacing w:line="240" w:lineRule="atLeast"/>
              <w:ind w:left="552" w:leftChars="228" w:hanging="73" w:hangingChars="35"/>
              <w:rPr>
                <w:rFonts w:ascii="宋体" w:hAnsi="宋体" w:cs="宋体"/>
                <w:szCs w:val="21"/>
                <w:highlight w:val="none"/>
              </w:rPr>
            </w:pPr>
          </w:p>
        </w:tc>
      </w:tr>
    </w:tbl>
    <w:p w14:paraId="0F295CB0">
      <w:pPr>
        <w:rPr>
          <w:rFonts w:ascii="宋体" w:hAnsi="宋体" w:cs="宋体"/>
          <w:sz w:val="18"/>
          <w:szCs w:val="18"/>
          <w:highlight w:val="none"/>
        </w:rPr>
      </w:pPr>
      <w:r>
        <w:rPr>
          <w:rFonts w:hint="eastAsia" w:ascii="宋体" w:hAnsi="宋体" w:cs="宋体"/>
          <w:sz w:val="18"/>
          <w:szCs w:val="18"/>
          <w:highlight w:val="none"/>
        </w:rPr>
        <w:t>备注：1.凡出现以上任何一项情形，均为无效，否则就为有效。</w:t>
      </w:r>
    </w:p>
    <w:p w14:paraId="010D1965">
      <w:pPr>
        <w:ind w:firstLine="540" w:firstLineChars="300"/>
        <w:rPr>
          <w:rFonts w:ascii="宋体" w:hAnsi="宋体" w:cs="宋体"/>
          <w:sz w:val="18"/>
          <w:szCs w:val="18"/>
          <w:highlight w:val="none"/>
        </w:rPr>
      </w:pPr>
      <w:r>
        <w:rPr>
          <w:rFonts w:hint="eastAsia" w:ascii="宋体" w:hAnsi="宋体" w:cs="宋体"/>
          <w:sz w:val="18"/>
          <w:szCs w:val="18"/>
          <w:highlight w:val="none"/>
        </w:rPr>
        <w:t>2.本表评审项目全部为“√”，投标人的评审结论为“通过”，即该投标人进入下一阶段评审。</w:t>
      </w:r>
    </w:p>
    <w:p w14:paraId="471BB69E">
      <w:pPr>
        <w:ind w:firstLine="540" w:firstLineChars="300"/>
        <w:rPr>
          <w:rFonts w:ascii="宋体" w:hAnsi="宋体" w:cs="宋体"/>
          <w:sz w:val="18"/>
          <w:szCs w:val="18"/>
          <w:highlight w:val="none"/>
        </w:rPr>
      </w:pPr>
      <w:r>
        <w:rPr>
          <w:rFonts w:hint="eastAsia" w:ascii="宋体" w:hAnsi="宋体" w:cs="宋体"/>
          <w:sz w:val="18"/>
          <w:szCs w:val="18"/>
          <w:highlight w:val="none"/>
        </w:rPr>
        <w:t>3.本表中出现一个（或以上） “×”，投标人的评审结论为“不通过”，即该投标人不进入下一阶段评审。</w:t>
      </w:r>
    </w:p>
    <w:p w14:paraId="190B71AB">
      <w:pPr>
        <w:rPr>
          <w:rFonts w:ascii="宋体" w:hAnsi="宋体" w:cs="宋体"/>
          <w:sz w:val="18"/>
          <w:szCs w:val="18"/>
          <w:highlight w:val="none"/>
        </w:rPr>
      </w:pPr>
      <w:r>
        <w:rPr>
          <w:rFonts w:hint="eastAsia" w:ascii="宋体" w:hAnsi="宋体" w:cs="宋体"/>
          <w:sz w:val="18"/>
          <w:szCs w:val="18"/>
          <w:highlight w:val="none"/>
        </w:rPr>
        <w:t xml:space="preserve">      4.如对本表中某种情形的评审意见不一致时，以评审组过半数成员的意见作为评审组对该情形的认定结论。</w:t>
      </w:r>
    </w:p>
    <w:p w14:paraId="606FA4D5">
      <w:pPr>
        <w:ind w:firstLine="540" w:firstLineChars="300"/>
        <w:rPr>
          <w:rFonts w:ascii="宋体" w:hAnsi="宋体" w:cs="宋体"/>
          <w:sz w:val="18"/>
          <w:szCs w:val="18"/>
          <w:highlight w:val="none"/>
        </w:rPr>
      </w:pPr>
      <w:r>
        <w:rPr>
          <w:rFonts w:hint="eastAsia" w:ascii="宋体" w:hAnsi="宋体" w:cs="宋体"/>
          <w:sz w:val="18"/>
          <w:szCs w:val="18"/>
          <w:highlight w:val="none"/>
        </w:rPr>
        <w:t>5.</w:t>
      </w:r>
      <w:r>
        <w:rPr>
          <w:rFonts w:hint="eastAsia" w:ascii="宋体" w:hAnsi="宋体"/>
          <w:sz w:val="18"/>
          <w:szCs w:val="18"/>
          <w:highlight w:val="none"/>
        </w:rPr>
        <w:t>不得将文件顺序、明显的文字错误等列为否决投标的情形。</w:t>
      </w:r>
      <w:r>
        <w:rPr>
          <w:rFonts w:hint="eastAsia" w:ascii="宋体" w:hAnsi="宋体" w:cs="宋体"/>
          <w:sz w:val="18"/>
          <w:szCs w:val="18"/>
          <w:highlight w:val="non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77A7AC2">
      <w:pPr>
        <w:rPr>
          <w:rFonts w:ascii="宋体" w:hAnsi="宋体" w:cs="宋体"/>
          <w:szCs w:val="21"/>
          <w:highlight w:val="none"/>
        </w:rPr>
      </w:pPr>
      <w:r>
        <w:rPr>
          <w:rFonts w:hint="eastAsia" w:ascii="宋体" w:hAnsi="宋体" w:cs="宋体"/>
          <w:szCs w:val="21"/>
          <w:highlight w:val="none"/>
        </w:rPr>
        <w:t>评委签名：                                 日期：</w:t>
      </w:r>
    </w:p>
    <w:p w14:paraId="729F1B30">
      <w:pPr>
        <w:rPr>
          <w:rFonts w:ascii="宋体" w:hAnsi="宋体" w:cs="宋体"/>
          <w:sz w:val="24"/>
          <w:szCs w:val="24"/>
          <w:highlight w:val="none"/>
        </w:rPr>
      </w:pPr>
      <w:r>
        <w:rPr>
          <w:rFonts w:hint="eastAsia" w:ascii="宋体" w:hAnsi="宋体" w:cs="宋体"/>
          <w:sz w:val="24"/>
          <w:szCs w:val="24"/>
          <w:highlight w:val="none"/>
        </w:rPr>
        <w:br w:type="page"/>
      </w:r>
    </w:p>
    <w:p w14:paraId="5E443CF8">
      <w:pPr>
        <w:jc w:val="left"/>
        <w:rPr>
          <w:rFonts w:ascii="宋体" w:hAnsi="宋体" w:cs="宋体"/>
          <w:b/>
          <w:sz w:val="24"/>
          <w:szCs w:val="32"/>
          <w:highlight w:val="none"/>
        </w:rPr>
      </w:pPr>
      <w:r>
        <w:rPr>
          <w:rFonts w:hint="eastAsia" w:ascii="宋体" w:hAnsi="宋体" w:cs="宋体"/>
          <w:b/>
          <w:sz w:val="24"/>
          <w:szCs w:val="32"/>
          <w:highlight w:val="none"/>
        </w:rPr>
        <w:t>附表4</w:t>
      </w:r>
    </w:p>
    <w:p w14:paraId="2B894FB9">
      <w:pPr>
        <w:spacing w:line="360" w:lineRule="auto"/>
        <w:jc w:val="center"/>
        <w:rPr>
          <w:rFonts w:ascii="宋体" w:hAnsi="宋体" w:cs="宋体"/>
          <w:b/>
          <w:sz w:val="30"/>
          <w:szCs w:val="30"/>
          <w:highlight w:val="none"/>
        </w:rPr>
      </w:pPr>
      <w:r>
        <w:rPr>
          <w:rFonts w:hint="eastAsia" w:ascii="宋体" w:hAnsi="宋体" w:cs="宋体"/>
          <w:b/>
          <w:sz w:val="30"/>
          <w:szCs w:val="30"/>
          <w:highlight w:val="none"/>
        </w:rPr>
        <w:t>评标阶段经济标详细审查评分标准</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1011"/>
        <w:gridCol w:w="1008"/>
        <w:gridCol w:w="1008"/>
        <w:gridCol w:w="1008"/>
        <w:gridCol w:w="1007"/>
        <w:gridCol w:w="1007"/>
        <w:gridCol w:w="1007"/>
        <w:gridCol w:w="1007"/>
        <w:gridCol w:w="1007"/>
        <w:gridCol w:w="1007"/>
        <w:gridCol w:w="1007"/>
        <w:gridCol w:w="1033"/>
      </w:tblGrid>
      <w:tr w14:paraId="5C57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2275" w:type="dxa"/>
            <w:noWrap/>
            <w:vAlign w:val="center"/>
          </w:tcPr>
          <w:p w14:paraId="4E98A4F5">
            <w:pPr>
              <w:rPr>
                <w:rFonts w:ascii="宋体" w:hAnsi="宋体" w:cs="宋体"/>
                <w:szCs w:val="21"/>
                <w:highlight w:val="none"/>
              </w:rPr>
            </w:pPr>
            <w:r>
              <w:rPr>
                <w:rFonts w:hint="eastAsia" w:ascii="宋体" w:hAnsi="宋体" w:cs="宋体"/>
                <w:szCs w:val="21"/>
                <w:highlight w:val="none"/>
              </w:rPr>
              <w:t>投标人名称</w:t>
            </w:r>
          </w:p>
        </w:tc>
        <w:tc>
          <w:tcPr>
            <w:tcW w:w="1011" w:type="dxa"/>
            <w:noWrap/>
            <w:vAlign w:val="center"/>
          </w:tcPr>
          <w:p w14:paraId="3841216E">
            <w:pPr>
              <w:rPr>
                <w:rFonts w:ascii="宋体" w:hAnsi="宋体" w:cs="宋体"/>
                <w:szCs w:val="21"/>
                <w:highlight w:val="none"/>
              </w:rPr>
            </w:pPr>
          </w:p>
        </w:tc>
        <w:tc>
          <w:tcPr>
            <w:tcW w:w="1008" w:type="dxa"/>
            <w:noWrap/>
            <w:vAlign w:val="center"/>
          </w:tcPr>
          <w:p w14:paraId="7869BBBC">
            <w:pPr>
              <w:rPr>
                <w:rFonts w:ascii="宋体" w:hAnsi="宋体" w:cs="宋体"/>
                <w:szCs w:val="21"/>
                <w:highlight w:val="none"/>
              </w:rPr>
            </w:pPr>
          </w:p>
        </w:tc>
        <w:tc>
          <w:tcPr>
            <w:tcW w:w="1008" w:type="dxa"/>
            <w:noWrap/>
            <w:vAlign w:val="center"/>
          </w:tcPr>
          <w:p w14:paraId="14408259">
            <w:pPr>
              <w:rPr>
                <w:rFonts w:ascii="宋体" w:hAnsi="宋体" w:cs="宋体"/>
                <w:szCs w:val="21"/>
                <w:highlight w:val="none"/>
              </w:rPr>
            </w:pPr>
          </w:p>
        </w:tc>
        <w:tc>
          <w:tcPr>
            <w:tcW w:w="1008" w:type="dxa"/>
            <w:noWrap/>
            <w:vAlign w:val="center"/>
          </w:tcPr>
          <w:p w14:paraId="24793B59">
            <w:pPr>
              <w:rPr>
                <w:rFonts w:ascii="宋体" w:hAnsi="宋体" w:cs="宋体"/>
                <w:szCs w:val="21"/>
                <w:highlight w:val="none"/>
              </w:rPr>
            </w:pPr>
          </w:p>
        </w:tc>
        <w:tc>
          <w:tcPr>
            <w:tcW w:w="1007" w:type="dxa"/>
            <w:noWrap/>
            <w:vAlign w:val="center"/>
          </w:tcPr>
          <w:p w14:paraId="42C6C4E2">
            <w:pPr>
              <w:rPr>
                <w:rFonts w:ascii="宋体" w:hAnsi="宋体" w:cs="宋体"/>
                <w:szCs w:val="21"/>
                <w:highlight w:val="none"/>
              </w:rPr>
            </w:pPr>
          </w:p>
        </w:tc>
        <w:tc>
          <w:tcPr>
            <w:tcW w:w="1007" w:type="dxa"/>
            <w:noWrap/>
            <w:vAlign w:val="center"/>
          </w:tcPr>
          <w:p w14:paraId="4FF30DAC">
            <w:pPr>
              <w:rPr>
                <w:rFonts w:ascii="宋体" w:hAnsi="宋体" w:cs="宋体"/>
                <w:szCs w:val="21"/>
                <w:highlight w:val="none"/>
              </w:rPr>
            </w:pPr>
          </w:p>
        </w:tc>
        <w:tc>
          <w:tcPr>
            <w:tcW w:w="1007" w:type="dxa"/>
            <w:noWrap/>
            <w:vAlign w:val="center"/>
          </w:tcPr>
          <w:p w14:paraId="7B425042">
            <w:pPr>
              <w:rPr>
                <w:rFonts w:ascii="宋体" w:hAnsi="宋体" w:cs="宋体"/>
                <w:szCs w:val="21"/>
                <w:highlight w:val="none"/>
              </w:rPr>
            </w:pPr>
          </w:p>
        </w:tc>
        <w:tc>
          <w:tcPr>
            <w:tcW w:w="1007" w:type="dxa"/>
            <w:noWrap/>
            <w:vAlign w:val="center"/>
          </w:tcPr>
          <w:p w14:paraId="36F867F7">
            <w:pPr>
              <w:rPr>
                <w:rFonts w:ascii="宋体" w:hAnsi="宋体" w:cs="宋体"/>
                <w:szCs w:val="21"/>
                <w:highlight w:val="none"/>
              </w:rPr>
            </w:pPr>
          </w:p>
        </w:tc>
        <w:tc>
          <w:tcPr>
            <w:tcW w:w="1007" w:type="dxa"/>
            <w:noWrap/>
            <w:vAlign w:val="center"/>
          </w:tcPr>
          <w:p w14:paraId="2B65D94D">
            <w:pPr>
              <w:rPr>
                <w:rFonts w:ascii="宋体" w:hAnsi="宋体" w:cs="宋体"/>
                <w:szCs w:val="21"/>
                <w:highlight w:val="none"/>
              </w:rPr>
            </w:pPr>
          </w:p>
        </w:tc>
        <w:tc>
          <w:tcPr>
            <w:tcW w:w="1007" w:type="dxa"/>
            <w:noWrap/>
            <w:vAlign w:val="center"/>
          </w:tcPr>
          <w:p w14:paraId="52ADD0BC">
            <w:pPr>
              <w:rPr>
                <w:rFonts w:ascii="宋体" w:hAnsi="宋体" w:cs="宋体"/>
                <w:szCs w:val="21"/>
                <w:highlight w:val="none"/>
              </w:rPr>
            </w:pPr>
          </w:p>
        </w:tc>
        <w:tc>
          <w:tcPr>
            <w:tcW w:w="1007" w:type="dxa"/>
            <w:noWrap/>
            <w:vAlign w:val="center"/>
          </w:tcPr>
          <w:p w14:paraId="0BF19B8E">
            <w:pPr>
              <w:rPr>
                <w:rFonts w:ascii="宋体" w:hAnsi="宋体" w:cs="宋体"/>
                <w:szCs w:val="21"/>
                <w:highlight w:val="none"/>
              </w:rPr>
            </w:pPr>
          </w:p>
        </w:tc>
        <w:tc>
          <w:tcPr>
            <w:tcW w:w="1033" w:type="dxa"/>
            <w:noWrap/>
            <w:vAlign w:val="center"/>
          </w:tcPr>
          <w:p w14:paraId="78BAA1A4">
            <w:pPr>
              <w:rPr>
                <w:rFonts w:ascii="宋体" w:hAnsi="宋体" w:cs="宋体"/>
                <w:szCs w:val="21"/>
                <w:highlight w:val="none"/>
              </w:rPr>
            </w:pPr>
          </w:p>
        </w:tc>
      </w:tr>
      <w:tr w14:paraId="78AE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275" w:type="dxa"/>
            <w:noWrap/>
            <w:vAlign w:val="center"/>
          </w:tcPr>
          <w:p w14:paraId="0FD4F9BB">
            <w:pPr>
              <w:rPr>
                <w:rFonts w:ascii="宋体" w:hAnsi="宋体" w:cs="宋体"/>
                <w:szCs w:val="21"/>
                <w:highlight w:val="none"/>
              </w:rPr>
            </w:pPr>
            <w:r>
              <w:rPr>
                <w:rFonts w:hint="eastAsia" w:ascii="宋体" w:hAnsi="宋体" w:cs="宋体"/>
                <w:szCs w:val="21"/>
                <w:highlight w:val="none"/>
              </w:rPr>
              <w:t>工程施工费投标报价PT（元）</w:t>
            </w:r>
          </w:p>
        </w:tc>
        <w:tc>
          <w:tcPr>
            <w:tcW w:w="1011" w:type="dxa"/>
            <w:noWrap/>
            <w:vAlign w:val="center"/>
          </w:tcPr>
          <w:p w14:paraId="297FC90C">
            <w:pPr>
              <w:rPr>
                <w:rFonts w:ascii="宋体" w:hAnsi="宋体" w:cs="宋体"/>
                <w:szCs w:val="21"/>
                <w:highlight w:val="none"/>
              </w:rPr>
            </w:pPr>
          </w:p>
        </w:tc>
        <w:tc>
          <w:tcPr>
            <w:tcW w:w="1008" w:type="dxa"/>
            <w:noWrap/>
            <w:vAlign w:val="center"/>
          </w:tcPr>
          <w:p w14:paraId="5FF73ED2">
            <w:pPr>
              <w:rPr>
                <w:rFonts w:ascii="宋体" w:hAnsi="宋体" w:cs="宋体"/>
                <w:szCs w:val="21"/>
                <w:highlight w:val="none"/>
              </w:rPr>
            </w:pPr>
          </w:p>
        </w:tc>
        <w:tc>
          <w:tcPr>
            <w:tcW w:w="1008" w:type="dxa"/>
            <w:noWrap/>
            <w:vAlign w:val="center"/>
          </w:tcPr>
          <w:p w14:paraId="204377CE">
            <w:pPr>
              <w:rPr>
                <w:rFonts w:ascii="宋体" w:hAnsi="宋体" w:cs="宋体"/>
                <w:szCs w:val="21"/>
                <w:highlight w:val="none"/>
              </w:rPr>
            </w:pPr>
          </w:p>
        </w:tc>
        <w:tc>
          <w:tcPr>
            <w:tcW w:w="1008" w:type="dxa"/>
            <w:noWrap/>
            <w:vAlign w:val="center"/>
          </w:tcPr>
          <w:p w14:paraId="7E84AA99">
            <w:pPr>
              <w:rPr>
                <w:rFonts w:ascii="宋体" w:hAnsi="宋体" w:cs="宋体"/>
                <w:szCs w:val="21"/>
                <w:highlight w:val="none"/>
              </w:rPr>
            </w:pPr>
          </w:p>
        </w:tc>
        <w:tc>
          <w:tcPr>
            <w:tcW w:w="1007" w:type="dxa"/>
            <w:noWrap/>
            <w:vAlign w:val="center"/>
          </w:tcPr>
          <w:p w14:paraId="60A76B81">
            <w:pPr>
              <w:rPr>
                <w:rFonts w:ascii="宋体" w:hAnsi="宋体" w:cs="宋体"/>
                <w:szCs w:val="21"/>
                <w:highlight w:val="none"/>
              </w:rPr>
            </w:pPr>
          </w:p>
        </w:tc>
        <w:tc>
          <w:tcPr>
            <w:tcW w:w="1007" w:type="dxa"/>
            <w:noWrap/>
            <w:vAlign w:val="center"/>
          </w:tcPr>
          <w:p w14:paraId="05A0E4CB">
            <w:pPr>
              <w:rPr>
                <w:rFonts w:ascii="宋体" w:hAnsi="宋体" w:cs="宋体"/>
                <w:szCs w:val="21"/>
                <w:highlight w:val="none"/>
              </w:rPr>
            </w:pPr>
          </w:p>
        </w:tc>
        <w:tc>
          <w:tcPr>
            <w:tcW w:w="1007" w:type="dxa"/>
            <w:noWrap/>
            <w:vAlign w:val="center"/>
          </w:tcPr>
          <w:p w14:paraId="61031083">
            <w:pPr>
              <w:rPr>
                <w:rFonts w:ascii="宋体" w:hAnsi="宋体" w:cs="宋体"/>
                <w:szCs w:val="21"/>
                <w:highlight w:val="none"/>
              </w:rPr>
            </w:pPr>
          </w:p>
        </w:tc>
        <w:tc>
          <w:tcPr>
            <w:tcW w:w="1007" w:type="dxa"/>
            <w:noWrap/>
            <w:vAlign w:val="center"/>
          </w:tcPr>
          <w:p w14:paraId="5D2E5861">
            <w:pPr>
              <w:rPr>
                <w:rFonts w:ascii="宋体" w:hAnsi="宋体" w:cs="宋体"/>
                <w:szCs w:val="21"/>
                <w:highlight w:val="none"/>
              </w:rPr>
            </w:pPr>
          </w:p>
        </w:tc>
        <w:tc>
          <w:tcPr>
            <w:tcW w:w="1007" w:type="dxa"/>
            <w:noWrap/>
            <w:vAlign w:val="center"/>
          </w:tcPr>
          <w:p w14:paraId="17934D91">
            <w:pPr>
              <w:rPr>
                <w:rFonts w:ascii="宋体" w:hAnsi="宋体" w:cs="宋体"/>
                <w:szCs w:val="21"/>
                <w:highlight w:val="none"/>
              </w:rPr>
            </w:pPr>
          </w:p>
        </w:tc>
        <w:tc>
          <w:tcPr>
            <w:tcW w:w="1007" w:type="dxa"/>
            <w:noWrap/>
            <w:vAlign w:val="center"/>
          </w:tcPr>
          <w:p w14:paraId="38E86D1B">
            <w:pPr>
              <w:rPr>
                <w:rFonts w:ascii="宋体" w:hAnsi="宋体" w:cs="宋体"/>
                <w:szCs w:val="21"/>
                <w:highlight w:val="none"/>
              </w:rPr>
            </w:pPr>
          </w:p>
        </w:tc>
        <w:tc>
          <w:tcPr>
            <w:tcW w:w="1007" w:type="dxa"/>
            <w:noWrap/>
            <w:vAlign w:val="center"/>
          </w:tcPr>
          <w:p w14:paraId="09D77CD3">
            <w:pPr>
              <w:rPr>
                <w:rFonts w:ascii="宋体" w:hAnsi="宋体" w:cs="宋体"/>
                <w:szCs w:val="21"/>
                <w:highlight w:val="none"/>
              </w:rPr>
            </w:pPr>
          </w:p>
        </w:tc>
        <w:tc>
          <w:tcPr>
            <w:tcW w:w="1033" w:type="dxa"/>
            <w:noWrap/>
            <w:vAlign w:val="center"/>
          </w:tcPr>
          <w:p w14:paraId="5C28B24E">
            <w:pPr>
              <w:rPr>
                <w:rFonts w:ascii="宋体" w:hAnsi="宋体" w:cs="宋体"/>
                <w:szCs w:val="21"/>
                <w:highlight w:val="none"/>
              </w:rPr>
            </w:pPr>
          </w:p>
        </w:tc>
      </w:tr>
      <w:tr w14:paraId="0EE4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75" w:type="dxa"/>
            <w:noWrap/>
            <w:vAlign w:val="center"/>
          </w:tcPr>
          <w:p w14:paraId="25427397">
            <w:pPr>
              <w:rPr>
                <w:rFonts w:ascii="宋体" w:hAnsi="宋体" w:cs="宋体"/>
                <w:szCs w:val="21"/>
                <w:highlight w:val="none"/>
              </w:rPr>
            </w:pPr>
            <w:r>
              <w:rPr>
                <w:rFonts w:hint="eastAsia" w:ascii="宋体" w:hAnsi="宋体" w:cs="宋体"/>
                <w:szCs w:val="21"/>
                <w:highlight w:val="none"/>
              </w:rPr>
              <w:t>计算参考数据</w:t>
            </w:r>
          </w:p>
        </w:tc>
        <w:tc>
          <w:tcPr>
            <w:tcW w:w="12117" w:type="dxa"/>
            <w:gridSpan w:val="12"/>
            <w:noWrap/>
            <w:vAlign w:val="center"/>
          </w:tcPr>
          <w:p w14:paraId="0AACE595">
            <w:pPr>
              <w:rPr>
                <w:rFonts w:ascii="宋体" w:hAnsi="宋体" w:cs="宋体"/>
                <w:szCs w:val="21"/>
                <w:highlight w:val="none"/>
              </w:rPr>
            </w:pPr>
            <w:r>
              <w:rPr>
                <w:rFonts w:hint="eastAsia" w:ascii="宋体" w:hAnsi="宋体" w:cs="宋体"/>
                <w:szCs w:val="21"/>
                <w:highlight w:val="none"/>
              </w:rPr>
              <w:t>评标参考价（PC）：</w:t>
            </w:r>
          </w:p>
        </w:tc>
      </w:tr>
      <w:tr w14:paraId="1240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75" w:type="dxa"/>
            <w:noWrap/>
            <w:vAlign w:val="center"/>
          </w:tcPr>
          <w:p w14:paraId="562BE587">
            <w:pPr>
              <w:rPr>
                <w:rFonts w:ascii="宋体" w:hAnsi="宋体" w:cs="宋体"/>
                <w:spacing w:val="-10"/>
                <w:szCs w:val="21"/>
                <w:highlight w:val="none"/>
              </w:rPr>
            </w:pPr>
            <w:r>
              <w:rPr>
                <w:rFonts w:hint="eastAsia" w:ascii="宋体" w:hAnsi="宋体" w:cs="宋体"/>
                <w:spacing w:val="-10"/>
                <w:szCs w:val="21"/>
                <w:highlight w:val="none"/>
              </w:rPr>
              <w:t>偏差（（PT-PC）/PC）（%）</w:t>
            </w:r>
          </w:p>
        </w:tc>
        <w:tc>
          <w:tcPr>
            <w:tcW w:w="1011" w:type="dxa"/>
            <w:noWrap/>
            <w:vAlign w:val="center"/>
          </w:tcPr>
          <w:p w14:paraId="4878A8CB">
            <w:pPr>
              <w:rPr>
                <w:rFonts w:ascii="宋体" w:hAnsi="宋体" w:cs="宋体"/>
                <w:szCs w:val="21"/>
                <w:highlight w:val="none"/>
              </w:rPr>
            </w:pPr>
          </w:p>
        </w:tc>
        <w:tc>
          <w:tcPr>
            <w:tcW w:w="1008" w:type="dxa"/>
            <w:noWrap/>
            <w:vAlign w:val="center"/>
          </w:tcPr>
          <w:p w14:paraId="2295DCAE">
            <w:pPr>
              <w:rPr>
                <w:rFonts w:ascii="宋体" w:hAnsi="宋体" w:cs="宋体"/>
                <w:szCs w:val="21"/>
                <w:highlight w:val="none"/>
              </w:rPr>
            </w:pPr>
          </w:p>
        </w:tc>
        <w:tc>
          <w:tcPr>
            <w:tcW w:w="1008" w:type="dxa"/>
            <w:noWrap/>
            <w:vAlign w:val="center"/>
          </w:tcPr>
          <w:p w14:paraId="28661558">
            <w:pPr>
              <w:rPr>
                <w:rFonts w:ascii="宋体" w:hAnsi="宋体" w:cs="宋体"/>
                <w:szCs w:val="21"/>
                <w:highlight w:val="none"/>
              </w:rPr>
            </w:pPr>
          </w:p>
        </w:tc>
        <w:tc>
          <w:tcPr>
            <w:tcW w:w="1008" w:type="dxa"/>
            <w:noWrap/>
            <w:vAlign w:val="center"/>
          </w:tcPr>
          <w:p w14:paraId="537E10BA">
            <w:pPr>
              <w:rPr>
                <w:rFonts w:ascii="宋体" w:hAnsi="宋体" w:cs="宋体"/>
                <w:szCs w:val="21"/>
                <w:highlight w:val="none"/>
              </w:rPr>
            </w:pPr>
          </w:p>
        </w:tc>
        <w:tc>
          <w:tcPr>
            <w:tcW w:w="1007" w:type="dxa"/>
            <w:noWrap/>
            <w:vAlign w:val="center"/>
          </w:tcPr>
          <w:p w14:paraId="5408C089">
            <w:pPr>
              <w:rPr>
                <w:rFonts w:ascii="宋体" w:hAnsi="宋体" w:cs="宋体"/>
                <w:szCs w:val="21"/>
                <w:highlight w:val="none"/>
              </w:rPr>
            </w:pPr>
          </w:p>
        </w:tc>
        <w:tc>
          <w:tcPr>
            <w:tcW w:w="1007" w:type="dxa"/>
            <w:noWrap/>
            <w:vAlign w:val="center"/>
          </w:tcPr>
          <w:p w14:paraId="569A4903">
            <w:pPr>
              <w:rPr>
                <w:rFonts w:ascii="宋体" w:hAnsi="宋体" w:cs="宋体"/>
                <w:szCs w:val="21"/>
                <w:highlight w:val="none"/>
              </w:rPr>
            </w:pPr>
          </w:p>
        </w:tc>
        <w:tc>
          <w:tcPr>
            <w:tcW w:w="1007" w:type="dxa"/>
            <w:noWrap/>
            <w:vAlign w:val="center"/>
          </w:tcPr>
          <w:p w14:paraId="46BCFB17">
            <w:pPr>
              <w:rPr>
                <w:rFonts w:ascii="宋体" w:hAnsi="宋体" w:cs="宋体"/>
                <w:szCs w:val="21"/>
                <w:highlight w:val="none"/>
              </w:rPr>
            </w:pPr>
          </w:p>
        </w:tc>
        <w:tc>
          <w:tcPr>
            <w:tcW w:w="1007" w:type="dxa"/>
            <w:noWrap/>
            <w:vAlign w:val="center"/>
          </w:tcPr>
          <w:p w14:paraId="5A3F5D24">
            <w:pPr>
              <w:rPr>
                <w:rFonts w:ascii="宋体" w:hAnsi="宋体" w:cs="宋体"/>
                <w:szCs w:val="21"/>
                <w:highlight w:val="none"/>
              </w:rPr>
            </w:pPr>
          </w:p>
        </w:tc>
        <w:tc>
          <w:tcPr>
            <w:tcW w:w="1007" w:type="dxa"/>
            <w:noWrap/>
            <w:vAlign w:val="center"/>
          </w:tcPr>
          <w:p w14:paraId="1728F706">
            <w:pPr>
              <w:rPr>
                <w:rFonts w:ascii="宋体" w:hAnsi="宋体" w:cs="宋体"/>
                <w:szCs w:val="21"/>
                <w:highlight w:val="none"/>
              </w:rPr>
            </w:pPr>
          </w:p>
        </w:tc>
        <w:tc>
          <w:tcPr>
            <w:tcW w:w="1007" w:type="dxa"/>
            <w:noWrap/>
            <w:vAlign w:val="center"/>
          </w:tcPr>
          <w:p w14:paraId="4B9C34AB">
            <w:pPr>
              <w:rPr>
                <w:rFonts w:ascii="宋体" w:hAnsi="宋体" w:cs="宋体"/>
                <w:szCs w:val="21"/>
                <w:highlight w:val="none"/>
              </w:rPr>
            </w:pPr>
          </w:p>
          <w:p w14:paraId="524733A3">
            <w:pPr>
              <w:rPr>
                <w:rFonts w:ascii="宋体" w:hAnsi="宋体" w:cs="宋体"/>
                <w:szCs w:val="21"/>
                <w:highlight w:val="none"/>
              </w:rPr>
            </w:pPr>
          </w:p>
        </w:tc>
        <w:tc>
          <w:tcPr>
            <w:tcW w:w="1007" w:type="dxa"/>
            <w:noWrap/>
            <w:vAlign w:val="center"/>
          </w:tcPr>
          <w:p w14:paraId="2E92CC3E">
            <w:pPr>
              <w:rPr>
                <w:rFonts w:ascii="宋体" w:hAnsi="宋体" w:cs="宋体"/>
                <w:szCs w:val="21"/>
                <w:highlight w:val="none"/>
              </w:rPr>
            </w:pPr>
          </w:p>
        </w:tc>
        <w:tc>
          <w:tcPr>
            <w:tcW w:w="1033" w:type="dxa"/>
            <w:noWrap/>
            <w:vAlign w:val="center"/>
          </w:tcPr>
          <w:p w14:paraId="2994E52C">
            <w:pPr>
              <w:rPr>
                <w:rFonts w:ascii="宋体" w:hAnsi="宋体" w:cs="宋体"/>
                <w:szCs w:val="21"/>
                <w:highlight w:val="none"/>
              </w:rPr>
            </w:pPr>
          </w:p>
        </w:tc>
      </w:tr>
      <w:tr w14:paraId="1867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275" w:type="dxa"/>
            <w:noWrap/>
            <w:vAlign w:val="center"/>
          </w:tcPr>
          <w:p w14:paraId="4B325ACC">
            <w:pPr>
              <w:rPr>
                <w:rFonts w:ascii="宋体" w:hAnsi="宋体" w:cs="宋体"/>
                <w:szCs w:val="21"/>
                <w:highlight w:val="none"/>
              </w:rPr>
            </w:pPr>
            <w:r>
              <w:rPr>
                <w:rFonts w:hint="eastAsia" w:ascii="宋体" w:hAnsi="宋体" w:cs="宋体"/>
                <w:szCs w:val="21"/>
                <w:highlight w:val="none"/>
              </w:rPr>
              <w:t>减分（A）</w:t>
            </w:r>
          </w:p>
        </w:tc>
        <w:tc>
          <w:tcPr>
            <w:tcW w:w="1011" w:type="dxa"/>
            <w:noWrap/>
            <w:vAlign w:val="center"/>
          </w:tcPr>
          <w:p w14:paraId="1DC9A238">
            <w:pPr>
              <w:rPr>
                <w:rFonts w:ascii="宋体" w:hAnsi="宋体" w:cs="宋体"/>
                <w:szCs w:val="21"/>
                <w:highlight w:val="none"/>
              </w:rPr>
            </w:pPr>
          </w:p>
        </w:tc>
        <w:tc>
          <w:tcPr>
            <w:tcW w:w="1008" w:type="dxa"/>
            <w:noWrap/>
            <w:vAlign w:val="center"/>
          </w:tcPr>
          <w:p w14:paraId="3736B5B4">
            <w:pPr>
              <w:rPr>
                <w:rFonts w:ascii="宋体" w:hAnsi="宋体" w:cs="宋体"/>
                <w:szCs w:val="21"/>
                <w:highlight w:val="none"/>
              </w:rPr>
            </w:pPr>
          </w:p>
        </w:tc>
        <w:tc>
          <w:tcPr>
            <w:tcW w:w="1008" w:type="dxa"/>
            <w:noWrap/>
            <w:vAlign w:val="center"/>
          </w:tcPr>
          <w:p w14:paraId="42950034">
            <w:pPr>
              <w:rPr>
                <w:rFonts w:ascii="宋体" w:hAnsi="宋体" w:cs="宋体"/>
                <w:szCs w:val="21"/>
                <w:highlight w:val="none"/>
              </w:rPr>
            </w:pPr>
          </w:p>
        </w:tc>
        <w:tc>
          <w:tcPr>
            <w:tcW w:w="1008" w:type="dxa"/>
            <w:noWrap/>
            <w:vAlign w:val="center"/>
          </w:tcPr>
          <w:p w14:paraId="0627DC8E">
            <w:pPr>
              <w:rPr>
                <w:rFonts w:ascii="宋体" w:hAnsi="宋体" w:cs="宋体"/>
                <w:szCs w:val="21"/>
                <w:highlight w:val="none"/>
              </w:rPr>
            </w:pPr>
          </w:p>
        </w:tc>
        <w:tc>
          <w:tcPr>
            <w:tcW w:w="1007" w:type="dxa"/>
            <w:noWrap/>
            <w:vAlign w:val="center"/>
          </w:tcPr>
          <w:p w14:paraId="53D37CC4">
            <w:pPr>
              <w:rPr>
                <w:rFonts w:ascii="宋体" w:hAnsi="宋体" w:cs="宋体"/>
                <w:szCs w:val="21"/>
                <w:highlight w:val="none"/>
              </w:rPr>
            </w:pPr>
          </w:p>
        </w:tc>
        <w:tc>
          <w:tcPr>
            <w:tcW w:w="1007" w:type="dxa"/>
            <w:noWrap/>
            <w:vAlign w:val="center"/>
          </w:tcPr>
          <w:p w14:paraId="0603E88B">
            <w:pPr>
              <w:rPr>
                <w:rFonts w:ascii="宋体" w:hAnsi="宋体" w:cs="宋体"/>
                <w:szCs w:val="21"/>
                <w:highlight w:val="none"/>
              </w:rPr>
            </w:pPr>
          </w:p>
        </w:tc>
        <w:tc>
          <w:tcPr>
            <w:tcW w:w="1007" w:type="dxa"/>
            <w:noWrap/>
            <w:vAlign w:val="center"/>
          </w:tcPr>
          <w:p w14:paraId="61AC1D77">
            <w:pPr>
              <w:rPr>
                <w:rFonts w:ascii="宋体" w:hAnsi="宋体" w:cs="宋体"/>
                <w:szCs w:val="21"/>
                <w:highlight w:val="none"/>
              </w:rPr>
            </w:pPr>
          </w:p>
        </w:tc>
        <w:tc>
          <w:tcPr>
            <w:tcW w:w="1007" w:type="dxa"/>
            <w:noWrap/>
            <w:vAlign w:val="center"/>
          </w:tcPr>
          <w:p w14:paraId="589DE8C2">
            <w:pPr>
              <w:rPr>
                <w:rFonts w:ascii="宋体" w:hAnsi="宋体" w:cs="宋体"/>
                <w:szCs w:val="21"/>
                <w:highlight w:val="none"/>
              </w:rPr>
            </w:pPr>
          </w:p>
        </w:tc>
        <w:tc>
          <w:tcPr>
            <w:tcW w:w="1007" w:type="dxa"/>
            <w:noWrap/>
            <w:vAlign w:val="center"/>
          </w:tcPr>
          <w:p w14:paraId="2D9C0DBE">
            <w:pPr>
              <w:rPr>
                <w:rFonts w:ascii="宋体" w:hAnsi="宋体" w:cs="宋体"/>
                <w:szCs w:val="21"/>
                <w:highlight w:val="none"/>
              </w:rPr>
            </w:pPr>
          </w:p>
        </w:tc>
        <w:tc>
          <w:tcPr>
            <w:tcW w:w="1007" w:type="dxa"/>
            <w:noWrap/>
            <w:vAlign w:val="center"/>
          </w:tcPr>
          <w:p w14:paraId="24AB4A5E">
            <w:pPr>
              <w:rPr>
                <w:rFonts w:ascii="宋体" w:hAnsi="宋体" w:cs="宋体"/>
                <w:szCs w:val="21"/>
                <w:highlight w:val="none"/>
              </w:rPr>
            </w:pPr>
          </w:p>
        </w:tc>
        <w:tc>
          <w:tcPr>
            <w:tcW w:w="1007" w:type="dxa"/>
            <w:noWrap/>
            <w:vAlign w:val="center"/>
          </w:tcPr>
          <w:p w14:paraId="18D261E1">
            <w:pPr>
              <w:rPr>
                <w:rFonts w:ascii="宋体" w:hAnsi="宋体" w:cs="宋体"/>
                <w:szCs w:val="21"/>
                <w:highlight w:val="none"/>
              </w:rPr>
            </w:pPr>
          </w:p>
        </w:tc>
        <w:tc>
          <w:tcPr>
            <w:tcW w:w="1033" w:type="dxa"/>
            <w:noWrap/>
            <w:vAlign w:val="center"/>
          </w:tcPr>
          <w:p w14:paraId="19B19713">
            <w:pPr>
              <w:rPr>
                <w:rFonts w:ascii="宋体" w:hAnsi="宋体" w:cs="宋体"/>
                <w:szCs w:val="21"/>
                <w:highlight w:val="none"/>
              </w:rPr>
            </w:pPr>
          </w:p>
        </w:tc>
      </w:tr>
      <w:tr w14:paraId="24B9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75" w:type="dxa"/>
            <w:noWrap/>
            <w:vAlign w:val="center"/>
          </w:tcPr>
          <w:p w14:paraId="161114C6">
            <w:pPr>
              <w:rPr>
                <w:rFonts w:ascii="宋体" w:hAnsi="宋体" w:cs="宋体"/>
                <w:szCs w:val="21"/>
                <w:highlight w:val="none"/>
              </w:rPr>
            </w:pPr>
            <w:r>
              <w:rPr>
                <w:rFonts w:hint="eastAsia" w:ascii="宋体" w:hAnsi="宋体" w:cs="宋体"/>
                <w:szCs w:val="21"/>
                <w:highlight w:val="none"/>
              </w:rPr>
              <w:t>得分(I=100-A)</w:t>
            </w:r>
          </w:p>
        </w:tc>
        <w:tc>
          <w:tcPr>
            <w:tcW w:w="1011" w:type="dxa"/>
            <w:noWrap/>
            <w:vAlign w:val="center"/>
          </w:tcPr>
          <w:p w14:paraId="7C18AFBC">
            <w:pPr>
              <w:rPr>
                <w:rFonts w:ascii="宋体" w:hAnsi="宋体" w:cs="宋体"/>
                <w:szCs w:val="21"/>
                <w:highlight w:val="none"/>
              </w:rPr>
            </w:pPr>
          </w:p>
        </w:tc>
        <w:tc>
          <w:tcPr>
            <w:tcW w:w="1008" w:type="dxa"/>
            <w:noWrap/>
            <w:vAlign w:val="center"/>
          </w:tcPr>
          <w:p w14:paraId="7C671406">
            <w:pPr>
              <w:rPr>
                <w:rFonts w:ascii="宋体" w:hAnsi="宋体" w:cs="宋体"/>
                <w:szCs w:val="21"/>
                <w:highlight w:val="none"/>
              </w:rPr>
            </w:pPr>
          </w:p>
        </w:tc>
        <w:tc>
          <w:tcPr>
            <w:tcW w:w="1008" w:type="dxa"/>
            <w:noWrap/>
            <w:vAlign w:val="center"/>
          </w:tcPr>
          <w:p w14:paraId="77082B0C">
            <w:pPr>
              <w:rPr>
                <w:rFonts w:ascii="宋体" w:hAnsi="宋体" w:cs="宋体"/>
                <w:szCs w:val="21"/>
                <w:highlight w:val="none"/>
              </w:rPr>
            </w:pPr>
          </w:p>
        </w:tc>
        <w:tc>
          <w:tcPr>
            <w:tcW w:w="1008" w:type="dxa"/>
            <w:noWrap/>
            <w:vAlign w:val="center"/>
          </w:tcPr>
          <w:p w14:paraId="5840AD61">
            <w:pPr>
              <w:rPr>
                <w:rFonts w:ascii="宋体" w:hAnsi="宋体" w:cs="宋体"/>
                <w:szCs w:val="21"/>
                <w:highlight w:val="none"/>
              </w:rPr>
            </w:pPr>
          </w:p>
        </w:tc>
        <w:tc>
          <w:tcPr>
            <w:tcW w:w="1007" w:type="dxa"/>
            <w:noWrap/>
            <w:vAlign w:val="center"/>
          </w:tcPr>
          <w:p w14:paraId="2DC6CD1B">
            <w:pPr>
              <w:rPr>
                <w:rFonts w:ascii="宋体" w:hAnsi="宋体" w:cs="宋体"/>
                <w:szCs w:val="21"/>
                <w:highlight w:val="none"/>
              </w:rPr>
            </w:pPr>
          </w:p>
        </w:tc>
        <w:tc>
          <w:tcPr>
            <w:tcW w:w="1007" w:type="dxa"/>
            <w:noWrap/>
            <w:vAlign w:val="center"/>
          </w:tcPr>
          <w:p w14:paraId="1842AF72">
            <w:pPr>
              <w:rPr>
                <w:rFonts w:ascii="宋体" w:hAnsi="宋体" w:cs="宋体"/>
                <w:szCs w:val="21"/>
                <w:highlight w:val="none"/>
              </w:rPr>
            </w:pPr>
          </w:p>
        </w:tc>
        <w:tc>
          <w:tcPr>
            <w:tcW w:w="1007" w:type="dxa"/>
            <w:noWrap/>
            <w:vAlign w:val="center"/>
          </w:tcPr>
          <w:p w14:paraId="669B6DC2">
            <w:pPr>
              <w:rPr>
                <w:rFonts w:ascii="宋体" w:hAnsi="宋体" w:cs="宋体"/>
                <w:szCs w:val="21"/>
                <w:highlight w:val="none"/>
              </w:rPr>
            </w:pPr>
          </w:p>
        </w:tc>
        <w:tc>
          <w:tcPr>
            <w:tcW w:w="1007" w:type="dxa"/>
            <w:noWrap/>
            <w:vAlign w:val="center"/>
          </w:tcPr>
          <w:p w14:paraId="5EB9BD90">
            <w:pPr>
              <w:rPr>
                <w:rFonts w:ascii="宋体" w:hAnsi="宋体" w:cs="宋体"/>
                <w:szCs w:val="21"/>
                <w:highlight w:val="none"/>
              </w:rPr>
            </w:pPr>
          </w:p>
        </w:tc>
        <w:tc>
          <w:tcPr>
            <w:tcW w:w="1007" w:type="dxa"/>
            <w:noWrap/>
            <w:vAlign w:val="center"/>
          </w:tcPr>
          <w:p w14:paraId="73114E23">
            <w:pPr>
              <w:rPr>
                <w:rFonts w:ascii="宋体" w:hAnsi="宋体" w:cs="宋体"/>
                <w:szCs w:val="21"/>
                <w:highlight w:val="none"/>
              </w:rPr>
            </w:pPr>
          </w:p>
        </w:tc>
        <w:tc>
          <w:tcPr>
            <w:tcW w:w="1007" w:type="dxa"/>
            <w:noWrap/>
            <w:vAlign w:val="center"/>
          </w:tcPr>
          <w:p w14:paraId="44AAF118">
            <w:pPr>
              <w:rPr>
                <w:rFonts w:ascii="宋体" w:hAnsi="宋体" w:cs="宋体"/>
                <w:szCs w:val="21"/>
                <w:highlight w:val="none"/>
              </w:rPr>
            </w:pPr>
          </w:p>
        </w:tc>
        <w:tc>
          <w:tcPr>
            <w:tcW w:w="1007" w:type="dxa"/>
            <w:noWrap/>
            <w:vAlign w:val="center"/>
          </w:tcPr>
          <w:p w14:paraId="63F694A7">
            <w:pPr>
              <w:rPr>
                <w:rFonts w:ascii="宋体" w:hAnsi="宋体" w:cs="宋体"/>
                <w:szCs w:val="21"/>
                <w:highlight w:val="none"/>
              </w:rPr>
            </w:pPr>
          </w:p>
        </w:tc>
        <w:tc>
          <w:tcPr>
            <w:tcW w:w="1033" w:type="dxa"/>
            <w:noWrap/>
            <w:vAlign w:val="center"/>
          </w:tcPr>
          <w:p w14:paraId="39EB9EBF">
            <w:pPr>
              <w:rPr>
                <w:rFonts w:ascii="宋体" w:hAnsi="宋体" w:cs="宋体"/>
                <w:szCs w:val="21"/>
                <w:highlight w:val="none"/>
              </w:rPr>
            </w:pPr>
          </w:p>
        </w:tc>
      </w:tr>
    </w:tbl>
    <w:p w14:paraId="0C27BEEF">
      <w:pPr>
        <w:rPr>
          <w:rFonts w:ascii="宋体" w:hAnsi="宋体" w:cs="宋体"/>
          <w:highlight w:val="none"/>
        </w:rPr>
      </w:pPr>
      <w:r>
        <w:rPr>
          <w:rFonts w:hint="eastAsia" w:ascii="宋体" w:hAnsi="宋体" w:cs="宋体"/>
          <w:highlight w:val="none"/>
        </w:rPr>
        <w:t>注：（1）经评审的投标</w:t>
      </w:r>
      <w:r>
        <w:rPr>
          <w:rFonts w:hint="eastAsia" w:ascii="宋体" w:hAnsi="宋体" w:cs="宋体"/>
          <w:highlight w:val="none"/>
          <w:lang w:val="en-US" w:eastAsia="zh-CN"/>
        </w:rPr>
        <w:t>总</w:t>
      </w:r>
      <w:r>
        <w:rPr>
          <w:rFonts w:hint="eastAsia" w:ascii="宋体" w:hAnsi="宋体" w:cs="宋体"/>
          <w:highlight w:val="none"/>
        </w:rPr>
        <w:t>报价低于成本警戒价的投标文件，不参加投标报价评分。</w:t>
      </w:r>
    </w:p>
    <w:p w14:paraId="3E670292">
      <w:pPr>
        <w:rPr>
          <w:rFonts w:ascii="宋体" w:hAnsi="宋体" w:cs="宋体"/>
          <w:highlight w:val="none"/>
        </w:rPr>
      </w:pPr>
      <w:r>
        <w:rPr>
          <w:rFonts w:hint="eastAsia" w:ascii="宋体" w:hAnsi="宋体" w:cs="宋体"/>
          <w:highlight w:val="none"/>
        </w:rPr>
        <w:t>（2）确定评标参考价：以通过初步评审并经算术校核的投标人的投标</w:t>
      </w:r>
      <w:r>
        <w:rPr>
          <w:rFonts w:hint="eastAsia" w:ascii="宋体" w:hAnsi="宋体" w:cs="宋体"/>
          <w:highlight w:val="none"/>
          <w:lang w:val="en-US" w:eastAsia="zh-CN"/>
        </w:rPr>
        <w:t>总</w:t>
      </w:r>
      <w:r>
        <w:rPr>
          <w:rFonts w:hint="eastAsia" w:ascii="宋体" w:hAnsi="宋体" w:cs="宋体"/>
          <w:highlight w:val="none"/>
        </w:rPr>
        <w:t>报价中，设在[成本警戒价，最高投标限价×95%]区间的投标报价数量为G，上述G个投标人的工程总承包实施方案部分得分由高至低排序，将工程总承包实施方案部分得分前H名的投标</w:t>
      </w:r>
      <w:r>
        <w:rPr>
          <w:rFonts w:hint="eastAsia" w:ascii="宋体" w:hAnsi="宋体" w:cs="宋体"/>
          <w:highlight w:val="none"/>
          <w:lang w:val="en-US" w:eastAsia="zh-CN"/>
        </w:rPr>
        <w:t>总</w:t>
      </w:r>
      <w:r>
        <w:rPr>
          <w:rFonts w:hint="eastAsia" w:ascii="宋体" w:hAnsi="宋体" w:cs="宋体"/>
          <w:highlight w:val="none"/>
        </w:rPr>
        <w:t>报价的算术平均值作为评标参考价(如G≥10，则H=10；如1≤G&lt;10，则H=G)；若G=0的，则采用成本警戒价与“最高投标限价×95%”的算术平均值为评标参考价。</w:t>
      </w:r>
    </w:p>
    <w:p w14:paraId="6BDFA191">
      <w:pPr>
        <w:rPr>
          <w:rFonts w:ascii="宋体" w:hAnsi="宋体" w:cs="宋体"/>
          <w:b/>
          <w:bCs/>
          <w:szCs w:val="21"/>
          <w:highlight w:val="none"/>
        </w:rPr>
      </w:pPr>
      <w:r>
        <w:rPr>
          <w:rFonts w:hint="eastAsia" w:ascii="宋体" w:hAnsi="宋体" w:cs="宋体"/>
          <w:highlight w:val="none"/>
        </w:rPr>
        <w:t>（3）计算投标</w:t>
      </w:r>
      <w:r>
        <w:rPr>
          <w:rFonts w:hint="eastAsia" w:ascii="宋体" w:hAnsi="宋体" w:cs="宋体"/>
          <w:highlight w:val="none"/>
          <w:lang w:val="en-US" w:eastAsia="zh-CN"/>
        </w:rPr>
        <w:t>总</w:t>
      </w:r>
      <w:r>
        <w:rPr>
          <w:rFonts w:hint="eastAsia" w:ascii="宋体" w:hAnsi="宋体" w:cs="宋体"/>
          <w:highlight w:val="none"/>
        </w:rPr>
        <w:t>报价得分：当投标</w:t>
      </w:r>
      <w:r>
        <w:rPr>
          <w:rFonts w:hint="eastAsia" w:ascii="宋体" w:hAnsi="宋体" w:cs="宋体"/>
          <w:highlight w:val="none"/>
          <w:lang w:val="en-US" w:eastAsia="zh-CN"/>
        </w:rPr>
        <w:t>总</w:t>
      </w:r>
      <w:r>
        <w:rPr>
          <w:rFonts w:hint="eastAsia" w:ascii="宋体" w:hAnsi="宋体" w:cs="宋体"/>
          <w:highlight w:val="none"/>
        </w:rPr>
        <w:t>报价等于评标参考价时得100分，投标</w:t>
      </w:r>
      <w:r>
        <w:rPr>
          <w:rFonts w:hint="eastAsia" w:ascii="宋体" w:hAnsi="宋体" w:cs="宋体"/>
          <w:highlight w:val="none"/>
          <w:lang w:val="en-US" w:eastAsia="zh-CN"/>
        </w:rPr>
        <w:t>总</w:t>
      </w:r>
      <w:r>
        <w:rPr>
          <w:rFonts w:hint="eastAsia" w:ascii="宋体" w:hAnsi="宋体" w:cs="宋体"/>
          <w:highlight w:val="none"/>
        </w:rPr>
        <w:t>报价每高于评标参考价1%，扣1.5分，每低于评标参考价1%，扣1分，最多扣100分，得出的投标</w:t>
      </w:r>
      <w:r>
        <w:rPr>
          <w:rFonts w:hint="eastAsia" w:ascii="宋体" w:hAnsi="宋体" w:cs="宋体"/>
          <w:highlight w:val="none"/>
          <w:lang w:val="en-US" w:eastAsia="zh-CN"/>
        </w:rPr>
        <w:t>总</w:t>
      </w:r>
      <w:r>
        <w:rPr>
          <w:rFonts w:hint="eastAsia" w:ascii="宋体" w:hAnsi="宋体" w:cs="宋体"/>
          <w:highlight w:val="none"/>
        </w:rPr>
        <w:t>报价</w:t>
      </w:r>
      <w:r>
        <w:rPr>
          <w:rFonts w:hint="eastAsia" w:ascii="宋体" w:hAnsi="宋体" w:cs="宋体"/>
          <w:highlight w:val="none"/>
          <w:lang w:val="en-US" w:eastAsia="zh-CN"/>
        </w:rPr>
        <w:t>得分</w:t>
      </w:r>
      <w:r>
        <w:rPr>
          <w:rFonts w:hint="eastAsia" w:ascii="宋体" w:hAnsi="宋体" w:cs="宋体"/>
          <w:highlight w:val="none"/>
        </w:rPr>
        <w:t>，精确到小数点后两位。</w:t>
      </w:r>
    </w:p>
    <w:p w14:paraId="07EAEE5D">
      <w:pPr>
        <w:spacing w:line="360" w:lineRule="auto"/>
        <w:rPr>
          <w:rFonts w:ascii="宋体" w:hAnsi="宋体" w:cs="宋体"/>
          <w:sz w:val="24"/>
          <w:highlight w:val="none"/>
        </w:rPr>
      </w:pPr>
      <w:r>
        <w:rPr>
          <w:rFonts w:hint="eastAsia" w:ascii="宋体" w:hAnsi="宋体" w:cs="宋体"/>
          <w:b/>
          <w:bCs/>
          <w:szCs w:val="21"/>
          <w:highlight w:val="none"/>
        </w:rPr>
        <w:t>评委签名：                                        日期</w:t>
      </w:r>
    </w:p>
    <w:p w14:paraId="52D7CAA4">
      <w:pPr>
        <w:jc w:val="left"/>
        <w:rPr>
          <w:rFonts w:ascii="宋体" w:hAnsi="宋体" w:cs="宋体"/>
          <w:b/>
          <w:sz w:val="24"/>
          <w:szCs w:val="32"/>
          <w:highlight w:val="none"/>
        </w:rPr>
      </w:pPr>
      <w:r>
        <w:rPr>
          <w:rFonts w:hint="eastAsia"/>
          <w:highlight w:val="none"/>
        </w:rPr>
        <w:br w:type="page"/>
      </w:r>
      <w:r>
        <w:rPr>
          <w:rFonts w:hint="eastAsia" w:ascii="宋体" w:hAnsi="宋体" w:cs="宋体"/>
          <w:b/>
          <w:sz w:val="24"/>
          <w:szCs w:val="32"/>
          <w:highlight w:val="none"/>
        </w:rPr>
        <w:t>附表5：</w:t>
      </w:r>
    </w:p>
    <w:p w14:paraId="2683FBED">
      <w:pPr>
        <w:jc w:val="center"/>
        <w:rPr>
          <w:rFonts w:ascii="宋体" w:hAnsi="宋体" w:cs="宋体"/>
          <w:b/>
          <w:sz w:val="32"/>
          <w:szCs w:val="32"/>
          <w:highlight w:val="none"/>
        </w:rPr>
      </w:pPr>
      <w:r>
        <w:rPr>
          <w:rFonts w:hint="eastAsia" w:ascii="宋体" w:hAnsi="宋体" w:cs="宋体"/>
          <w:b/>
          <w:sz w:val="32"/>
          <w:szCs w:val="32"/>
          <w:highlight w:val="none"/>
          <w:lang w:val="zh-TW"/>
        </w:rPr>
        <w:t>工程总承包实施方案投标文件详细审查评分表</w:t>
      </w:r>
    </w:p>
    <w:p w14:paraId="5C448F45">
      <w:pPr>
        <w:rPr>
          <w:color w:val="000000"/>
          <w:highlight w:val="none"/>
        </w:rPr>
      </w:pPr>
      <w:r>
        <w:rPr>
          <w:rFonts w:hint="eastAsia"/>
          <w:color w:val="000000"/>
          <w:highlight w:val="none"/>
        </w:rPr>
        <w:t>项目名称：</w:t>
      </w:r>
    </w:p>
    <w:tbl>
      <w:tblPr>
        <w:tblStyle w:val="41"/>
        <w:tblW w:w="14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881"/>
        <w:gridCol w:w="1553"/>
        <w:gridCol w:w="11121"/>
      </w:tblGrid>
      <w:tr w14:paraId="221D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27" w:type="dxa"/>
            <w:vAlign w:val="center"/>
          </w:tcPr>
          <w:p w14:paraId="087F63C1">
            <w:pPr>
              <w:spacing w:line="360" w:lineRule="auto"/>
              <w:rPr>
                <w:rFonts w:ascii="宋体" w:hAnsi="宋体" w:cs="宋体"/>
                <w:b/>
                <w:color w:val="000000"/>
                <w:kern w:val="0"/>
                <w:szCs w:val="21"/>
                <w:highlight w:val="none"/>
              </w:rPr>
            </w:pPr>
            <w:r>
              <w:rPr>
                <w:rFonts w:hint="eastAsia" w:ascii="宋体" w:hAnsi="宋体" w:cs="宋体"/>
                <w:b/>
                <w:color w:val="000000"/>
                <w:kern w:val="0"/>
                <w:szCs w:val="21"/>
                <w:highlight w:val="none"/>
              </w:rPr>
              <w:t>序号</w:t>
            </w:r>
          </w:p>
        </w:tc>
        <w:tc>
          <w:tcPr>
            <w:tcW w:w="2434" w:type="dxa"/>
            <w:gridSpan w:val="2"/>
            <w:vAlign w:val="center"/>
          </w:tcPr>
          <w:p w14:paraId="765F7EF3">
            <w:pPr>
              <w:spacing w:line="360" w:lineRule="auto"/>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评审项目</w:t>
            </w:r>
          </w:p>
        </w:tc>
        <w:tc>
          <w:tcPr>
            <w:tcW w:w="11121" w:type="dxa"/>
            <w:vAlign w:val="center"/>
          </w:tcPr>
          <w:p w14:paraId="48A6A736">
            <w:pPr>
              <w:spacing w:line="360" w:lineRule="auto"/>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评分标准</w:t>
            </w:r>
          </w:p>
        </w:tc>
      </w:tr>
      <w:tr w14:paraId="1990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27" w:type="dxa"/>
            <w:vMerge w:val="restart"/>
            <w:vAlign w:val="center"/>
          </w:tcPr>
          <w:p w14:paraId="45A7E8BA">
            <w:pPr>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一</w:t>
            </w:r>
          </w:p>
        </w:tc>
        <w:tc>
          <w:tcPr>
            <w:tcW w:w="881" w:type="dxa"/>
            <w:vMerge w:val="restart"/>
            <w:vAlign w:val="center"/>
          </w:tcPr>
          <w:p w14:paraId="1BC83A35">
            <w:pPr>
              <w:jc w:val="center"/>
              <w:rPr>
                <w:rFonts w:ascii="宋体" w:hAnsi="宋体" w:cs="宋体"/>
                <w:color w:val="000000"/>
                <w:kern w:val="0"/>
                <w:szCs w:val="21"/>
                <w:highlight w:val="none"/>
              </w:rPr>
            </w:pPr>
            <w:r>
              <w:rPr>
                <w:rFonts w:hint="eastAsia" w:ascii="宋体" w:hAnsi="宋体" w:cs="宋体"/>
                <w:color w:val="000000"/>
                <w:kern w:val="0"/>
                <w:szCs w:val="21"/>
                <w:highlight w:val="none"/>
              </w:rPr>
              <w:t>资信部分（30分）</w:t>
            </w:r>
          </w:p>
        </w:tc>
        <w:tc>
          <w:tcPr>
            <w:tcW w:w="1553" w:type="dxa"/>
            <w:vMerge w:val="restart"/>
            <w:vAlign w:val="center"/>
          </w:tcPr>
          <w:p w14:paraId="58567B70">
            <w:pPr>
              <w:jc w:val="center"/>
              <w:rPr>
                <w:rFonts w:ascii="宋体" w:hAnsi="宋体" w:cs="宋体"/>
                <w:color w:val="000000"/>
                <w:kern w:val="0"/>
                <w:szCs w:val="21"/>
                <w:highlight w:val="none"/>
              </w:rPr>
            </w:pPr>
            <w:r>
              <w:rPr>
                <w:rFonts w:hint="eastAsia" w:ascii="宋体" w:hAnsi="宋体" w:cs="宋体"/>
                <w:color w:val="000000"/>
                <w:kern w:val="0"/>
                <w:szCs w:val="21"/>
                <w:highlight w:val="none"/>
              </w:rPr>
              <w:t>企业同类业绩（16分）</w:t>
            </w:r>
          </w:p>
        </w:tc>
        <w:tc>
          <w:tcPr>
            <w:tcW w:w="11121" w:type="dxa"/>
            <w:vAlign w:val="center"/>
          </w:tcPr>
          <w:p w14:paraId="03BD891C">
            <w:pPr>
              <w:jc w:val="left"/>
              <w:rPr>
                <w:rFonts w:ascii="宋体" w:hAnsi="宋体" w:cs="宋体"/>
                <w:szCs w:val="21"/>
                <w:highlight w:val="none"/>
              </w:rPr>
            </w:pPr>
            <w:r>
              <w:rPr>
                <w:rFonts w:hint="eastAsia" w:ascii="宋体" w:hAnsi="宋体" w:cs="宋体"/>
                <w:szCs w:val="21"/>
                <w:highlight w:val="none"/>
              </w:rPr>
              <w:t>（1）施工业绩：</w:t>
            </w:r>
          </w:p>
          <w:p w14:paraId="4A48062E">
            <w:pPr>
              <w:jc w:val="left"/>
              <w:rPr>
                <w:rFonts w:ascii="宋体" w:hAnsi="宋体" w:cs="宋体"/>
                <w:szCs w:val="21"/>
                <w:highlight w:val="none"/>
              </w:rPr>
            </w:pPr>
            <w:r>
              <w:rPr>
                <w:rFonts w:hint="eastAsia" w:ascii="宋体" w:hAnsi="宋体" w:cs="宋体"/>
                <w:szCs w:val="21"/>
                <w:highlight w:val="none"/>
              </w:rPr>
              <w:t>投标人(若为联合体投标，由联合体施工方提供)提供2021年1月1日至今完成的同类工程施工业绩，每个得</w:t>
            </w:r>
            <w:r>
              <w:rPr>
                <w:rFonts w:hint="eastAsia" w:ascii="宋体" w:hAnsi="宋体" w:cs="宋体"/>
                <w:szCs w:val="21"/>
                <w:highlight w:val="none"/>
                <w:lang w:val="en-US" w:eastAsia="zh-CN"/>
              </w:rPr>
              <w:t>3</w:t>
            </w:r>
            <w:r>
              <w:rPr>
                <w:rFonts w:hint="eastAsia" w:ascii="宋体" w:hAnsi="宋体" w:cs="宋体"/>
                <w:szCs w:val="21"/>
                <w:highlight w:val="none"/>
              </w:rPr>
              <w:t>分</w:t>
            </w:r>
            <w:r>
              <w:rPr>
                <w:rFonts w:hint="eastAsia" w:ascii="宋体" w:hAnsi="宋体" w:cs="宋体"/>
                <w:szCs w:val="21"/>
                <w:highlight w:val="none"/>
              </w:rPr>
              <w:t>，最高得12分。不提供或不满足的不得分。</w:t>
            </w:r>
          </w:p>
          <w:p w14:paraId="64EF09C6">
            <w:pPr>
              <w:jc w:val="left"/>
              <w:rPr>
                <w:rFonts w:ascii="宋体" w:hAnsi="宋体" w:cs="宋体"/>
                <w:szCs w:val="21"/>
                <w:highlight w:val="none"/>
              </w:rPr>
            </w:pPr>
            <w:r>
              <w:rPr>
                <w:rFonts w:hint="eastAsia" w:ascii="宋体" w:hAnsi="宋体" w:cs="宋体"/>
                <w:kern w:val="0"/>
                <w:szCs w:val="21"/>
                <w:highlight w:val="none"/>
              </w:rPr>
              <w:t>同类</w:t>
            </w:r>
            <w:r>
              <w:rPr>
                <w:rFonts w:hint="eastAsia" w:ascii="宋体" w:hAnsi="宋体" w:cs="宋体"/>
                <w:szCs w:val="21"/>
                <w:highlight w:val="none"/>
              </w:rPr>
              <w:t>工程业绩指满足以下要求的业绩：</w:t>
            </w:r>
            <w:r>
              <w:rPr>
                <w:rFonts w:hint="eastAsia" w:ascii="宋体" w:hAnsi="宋体" w:cs="宋体"/>
                <w:szCs w:val="21"/>
                <w:highlight w:val="none"/>
              </w:rPr>
              <w:t>动物实验</w:t>
            </w:r>
            <w:r>
              <w:rPr>
                <w:rFonts w:hint="eastAsia" w:ascii="宋体" w:hAnsi="宋体" w:cs="宋体"/>
                <w:szCs w:val="21"/>
                <w:highlight w:val="none"/>
                <w:lang w:val="en-US" w:eastAsia="zh-CN"/>
              </w:rPr>
              <w:t>室</w:t>
            </w:r>
            <w:r>
              <w:rPr>
                <w:rFonts w:hint="eastAsia" w:ascii="宋体" w:hAnsi="宋体" w:cs="宋体"/>
                <w:szCs w:val="21"/>
                <w:highlight w:val="none"/>
              </w:rPr>
              <w:t>建设（</w:t>
            </w:r>
            <w:r>
              <w:rPr>
                <w:rFonts w:hint="eastAsia" w:ascii="宋体" w:hAnsi="宋体" w:cs="宋体"/>
                <w:szCs w:val="21"/>
                <w:highlight w:val="none"/>
                <w:lang w:val="en-US" w:eastAsia="zh-CN"/>
              </w:rPr>
              <w:t>含</w:t>
            </w:r>
            <w:r>
              <w:rPr>
                <w:rFonts w:hint="eastAsia" w:ascii="宋体" w:hAnsi="宋体" w:cs="宋体"/>
                <w:szCs w:val="21"/>
                <w:highlight w:val="none"/>
              </w:rPr>
              <w:t>改造项目）工程施工业绩。</w:t>
            </w:r>
            <w:r>
              <w:rPr>
                <w:rFonts w:hint="eastAsia" w:ascii="宋体" w:hAnsi="宋体" w:cs="宋体"/>
                <w:szCs w:val="21"/>
                <w:highlight w:val="none"/>
              </w:rPr>
              <w:t>要求合同额不小于500万元。</w:t>
            </w:r>
          </w:p>
          <w:p w14:paraId="4FF8223A">
            <w:pPr>
              <w:jc w:val="left"/>
              <w:rPr>
                <w:rFonts w:ascii="宋体" w:hAnsi="宋体" w:cs="宋体"/>
                <w:szCs w:val="21"/>
                <w:highlight w:val="none"/>
              </w:rPr>
            </w:pPr>
            <w:r>
              <w:rPr>
                <w:rFonts w:hint="eastAsia" w:ascii="宋体" w:hAnsi="宋体" w:cs="宋体"/>
                <w:szCs w:val="21"/>
                <w:highlight w:val="none"/>
              </w:rPr>
              <w:t>注：①时间以合同签订时间为准；②须同时提供能够证明采分点的合同关键页及验收报告（需建设、施工、监理和设计单位盖章），若为联合体业绩，还需提供联合体分工责任书。业绩以投标人提供的扫描件为准。</w:t>
            </w:r>
          </w:p>
        </w:tc>
      </w:tr>
      <w:tr w14:paraId="5E91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27" w:type="dxa"/>
            <w:vMerge w:val="continue"/>
            <w:vAlign w:val="center"/>
          </w:tcPr>
          <w:p w14:paraId="5CB72853">
            <w:pPr>
              <w:spacing w:line="360" w:lineRule="auto"/>
              <w:jc w:val="center"/>
              <w:rPr>
                <w:rFonts w:ascii="宋体" w:hAnsi="宋体" w:cs="宋体"/>
                <w:color w:val="000000"/>
                <w:kern w:val="0"/>
                <w:szCs w:val="21"/>
                <w:highlight w:val="none"/>
              </w:rPr>
            </w:pPr>
          </w:p>
        </w:tc>
        <w:tc>
          <w:tcPr>
            <w:tcW w:w="881" w:type="dxa"/>
            <w:vMerge w:val="continue"/>
            <w:vAlign w:val="center"/>
          </w:tcPr>
          <w:p w14:paraId="0AA1FD78">
            <w:pPr>
              <w:jc w:val="center"/>
              <w:rPr>
                <w:rFonts w:ascii="宋体" w:hAnsi="宋体" w:cs="宋体"/>
                <w:color w:val="000000"/>
                <w:kern w:val="0"/>
                <w:szCs w:val="21"/>
                <w:highlight w:val="none"/>
              </w:rPr>
            </w:pPr>
          </w:p>
        </w:tc>
        <w:tc>
          <w:tcPr>
            <w:tcW w:w="1553" w:type="dxa"/>
            <w:vMerge w:val="continue"/>
            <w:vAlign w:val="center"/>
          </w:tcPr>
          <w:p w14:paraId="7C94254D">
            <w:pPr>
              <w:jc w:val="center"/>
              <w:rPr>
                <w:rFonts w:ascii="宋体" w:hAnsi="宋体" w:cs="宋体"/>
                <w:color w:val="000000"/>
                <w:kern w:val="0"/>
                <w:szCs w:val="21"/>
                <w:highlight w:val="none"/>
              </w:rPr>
            </w:pPr>
          </w:p>
        </w:tc>
        <w:tc>
          <w:tcPr>
            <w:tcW w:w="11121" w:type="dxa"/>
            <w:vAlign w:val="center"/>
          </w:tcPr>
          <w:p w14:paraId="6737EF3F">
            <w:pPr>
              <w:rPr>
                <w:rFonts w:ascii="宋体" w:hAnsi="宋体" w:cs="宋体"/>
                <w:szCs w:val="21"/>
                <w:highlight w:val="none"/>
              </w:rPr>
            </w:pPr>
            <w:r>
              <w:rPr>
                <w:rFonts w:hint="eastAsia" w:ascii="宋体" w:hAnsi="宋体" w:cs="宋体"/>
                <w:szCs w:val="21"/>
                <w:highlight w:val="none"/>
              </w:rPr>
              <w:t>（2）设计业绩：</w:t>
            </w:r>
          </w:p>
          <w:p w14:paraId="3DABE88A">
            <w:pPr>
              <w:rPr>
                <w:rFonts w:ascii="宋体" w:hAnsi="宋体" w:cs="宋体"/>
                <w:szCs w:val="21"/>
                <w:highlight w:val="none"/>
              </w:rPr>
            </w:pPr>
            <w:r>
              <w:rPr>
                <w:rFonts w:hint="eastAsia" w:ascii="宋体" w:hAnsi="宋体" w:cs="宋体"/>
                <w:szCs w:val="21"/>
                <w:highlight w:val="none"/>
              </w:rPr>
              <w:t>投标人（联合体投标的，由联合体设计方提供）自2021年1月1日至投标截止时间止，投标人</w:t>
            </w:r>
            <w:r>
              <w:rPr>
                <w:rFonts w:hint="eastAsia" w:ascii="宋体" w:hAnsi="宋体" w:cs="宋体"/>
                <w:szCs w:val="21"/>
                <w:highlight w:val="none"/>
              </w:rPr>
              <w:t>动物实验</w:t>
            </w:r>
            <w:r>
              <w:rPr>
                <w:rFonts w:hint="eastAsia" w:ascii="宋体" w:hAnsi="宋体" w:cs="宋体"/>
                <w:szCs w:val="21"/>
                <w:highlight w:val="none"/>
                <w:lang w:val="en-US" w:eastAsia="zh-CN"/>
              </w:rPr>
              <w:t>室</w:t>
            </w:r>
            <w:r>
              <w:rPr>
                <w:rFonts w:hint="eastAsia" w:ascii="宋体" w:hAnsi="宋体" w:cs="宋体"/>
                <w:szCs w:val="21"/>
                <w:highlight w:val="none"/>
                <w:lang w:val="zh-CN"/>
              </w:rPr>
              <w:t>建设项目（</w:t>
            </w:r>
            <w:r>
              <w:rPr>
                <w:rFonts w:hint="eastAsia" w:ascii="宋体" w:hAnsi="宋体" w:cs="宋体"/>
                <w:szCs w:val="21"/>
                <w:highlight w:val="none"/>
                <w:lang w:val="en-US" w:eastAsia="zh-CN"/>
              </w:rPr>
              <w:t>含</w:t>
            </w:r>
            <w:r>
              <w:rPr>
                <w:rFonts w:hint="eastAsia" w:ascii="宋体" w:hAnsi="宋体" w:cs="宋体"/>
                <w:szCs w:val="21"/>
                <w:highlight w:val="none"/>
                <w:lang w:val="zh-CN"/>
              </w:rPr>
              <w:t>改造项目）工程设计业绩</w:t>
            </w:r>
            <w:r>
              <w:rPr>
                <w:rFonts w:hint="eastAsia" w:ascii="宋体" w:hAnsi="宋体" w:cs="宋体"/>
                <w:szCs w:val="21"/>
                <w:highlight w:val="none"/>
              </w:rPr>
              <w:t>，每个得</w:t>
            </w:r>
            <w:r>
              <w:rPr>
                <w:rFonts w:hint="eastAsia" w:ascii="宋体" w:hAnsi="宋体" w:cs="宋体"/>
                <w:szCs w:val="21"/>
                <w:highlight w:val="none"/>
                <w:lang w:val="en-US" w:eastAsia="zh-CN"/>
              </w:rPr>
              <w:t>1</w:t>
            </w:r>
            <w:r>
              <w:rPr>
                <w:rFonts w:hint="eastAsia" w:ascii="宋体" w:hAnsi="宋体" w:cs="宋体"/>
                <w:szCs w:val="21"/>
                <w:highlight w:val="none"/>
              </w:rPr>
              <w:t>分，本项最多得4分。</w:t>
            </w:r>
          </w:p>
          <w:p w14:paraId="29599FED">
            <w:pPr>
              <w:rPr>
                <w:highlight w:val="none"/>
              </w:rPr>
            </w:pPr>
            <w:r>
              <w:rPr>
                <w:rFonts w:hint="eastAsia" w:ascii="宋体" w:hAnsi="宋体" w:cs="宋体"/>
                <w:szCs w:val="21"/>
                <w:highlight w:val="none"/>
              </w:rPr>
              <w:t>注：①时间以施工图审查合格书时间为准；②须同时提供合同关键页和施工图审查合格书的原件扫描件作为业绩证明文件。若为联合体业绩，需提供联合体分工责任书。不符合上述条件或未提供上述资料的不得分。</w:t>
            </w:r>
          </w:p>
        </w:tc>
      </w:tr>
      <w:tr w14:paraId="68ED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7" w:type="dxa"/>
            <w:vMerge w:val="continue"/>
            <w:vAlign w:val="center"/>
          </w:tcPr>
          <w:p w14:paraId="4C02F80C">
            <w:pPr>
              <w:spacing w:line="360" w:lineRule="auto"/>
              <w:jc w:val="center"/>
              <w:rPr>
                <w:rFonts w:ascii="宋体" w:hAnsi="宋体" w:cs="宋体"/>
                <w:color w:val="000000"/>
                <w:kern w:val="0"/>
                <w:szCs w:val="21"/>
                <w:highlight w:val="none"/>
              </w:rPr>
            </w:pPr>
          </w:p>
        </w:tc>
        <w:tc>
          <w:tcPr>
            <w:tcW w:w="881" w:type="dxa"/>
            <w:vMerge w:val="continue"/>
            <w:vAlign w:val="center"/>
          </w:tcPr>
          <w:p w14:paraId="66148C0B">
            <w:pPr>
              <w:jc w:val="center"/>
              <w:rPr>
                <w:rFonts w:ascii="宋体" w:hAnsi="宋体" w:cs="宋体"/>
                <w:color w:val="000000"/>
                <w:kern w:val="0"/>
                <w:szCs w:val="21"/>
                <w:highlight w:val="none"/>
              </w:rPr>
            </w:pPr>
          </w:p>
        </w:tc>
        <w:tc>
          <w:tcPr>
            <w:tcW w:w="1553" w:type="dxa"/>
            <w:vAlign w:val="center"/>
          </w:tcPr>
          <w:p w14:paraId="4061E27C">
            <w:pPr>
              <w:jc w:val="center"/>
              <w:rPr>
                <w:rFonts w:ascii="宋体" w:hAnsi="宋体" w:cs="宋体"/>
                <w:color w:val="000000"/>
                <w:kern w:val="0"/>
                <w:szCs w:val="21"/>
                <w:highlight w:val="none"/>
              </w:rPr>
            </w:pPr>
            <w:r>
              <w:rPr>
                <w:rFonts w:hint="eastAsia" w:ascii="宋体" w:hAnsi="宋体" w:cs="宋体"/>
                <w:color w:val="000000"/>
                <w:kern w:val="0"/>
                <w:szCs w:val="21"/>
                <w:highlight w:val="none"/>
              </w:rPr>
              <w:t>施工现场负责人业绩（</w:t>
            </w:r>
            <w:r>
              <w:rPr>
                <w:rFonts w:ascii="宋体" w:hAnsi="宋体" w:cs="宋体"/>
                <w:color w:val="000000"/>
                <w:szCs w:val="21"/>
                <w:highlight w:val="none"/>
              </w:rPr>
              <w:t>8</w:t>
            </w:r>
            <w:r>
              <w:rPr>
                <w:rFonts w:hint="eastAsia" w:ascii="宋体" w:hAnsi="宋体" w:cs="宋体"/>
                <w:color w:val="000000"/>
                <w:szCs w:val="21"/>
                <w:highlight w:val="none"/>
              </w:rPr>
              <w:t>分</w:t>
            </w:r>
            <w:r>
              <w:rPr>
                <w:rFonts w:hint="eastAsia" w:ascii="宋体" w:hAnsi="宋体" w:cs="宋体"/>
                <w:color w:val="000000"/>
                <w:kern w:val="0"/>
                <w:szCs w:val="21"/>
                <w:highlight w:val="none"/>
              </w:rPr>
              <w:t>）</w:t>
            </w:r>
          </w:p>
        </w:tc>
        <w:tc>
          <w:tcPr>
            <w:tcW w:w="11121" w:type="dxa"/>
            <w:vAlign w:val="center"/>
          </w:tcPr>
          <w:p w14:paraId="7235B8BA">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项目负责人提供2021年1月1日至今完成的同类工程施工业绩，每个得2分，最高得4分。不提供或不满足的不得分。</w:t>
            </w:r>
          </w:p>
          <w:p w14:paraId="224D0240">
            <w:pPr>
              <w:jc w:val="left"/>
              <w:rPr>
                <w:rFonts w:ascii="宋体" w:hAnsi="宋体" w:cs="宋体"/>
                <w:szCs w:val="21"/>
                <w:highlight w:val="none"/>
              </w:rPr>
            </w:pPr>
            <w:r>
              <w:rPr>
                <w:rFonts w:hint="eastAsia" w:ascii="宋体" w:hAnsi="宋体" w:cs="宋体"/>
                <w:szCs w:val="21"/>
                <w:highlight w:val="none"/>
              </w:rPr>
              <w:t>(2)项目技术负责人提供2021年1月1日至今完成的同类工程施工业绩，每个得2分，最高得4分。不提供或不满足的不得分。</w:t>
            </w:r>
          </w:p>
          <w:p w14:paraId="57D6C22E">
            <w:pPr>
              <w:jc w:val="left"/>
              <w:rPr>
                <w:rFonts w:ascii="宋体" w:hAnsi="宋体" w:cs="宋体"/>
                <w:szCs w:val="21"/>
                <w:highlight w:val="none"/>
              </w:rPr>
            </w:pPr>
            <w:r>
              <w:rPr>
                <w:rFonts w:hint="eastAsia" w:ascii="宋体" w:hAnsi="宋体" w:cs="宋体"/>
                <w:kern w:val="0"/>
                <w:szCs w:val="21"/>
                <w:highlight w:val="none"/>
              </w:rPr>
              <w:t>同类</w:t>
            </w:r>
            <w:r>
              <w:rPr>
                <w:rFonts w:hint="eastAsia" w:ascii="宋体" w:hAnsi="宋体" w:cs="宋体"/>
                <w:szCs w:val="21"/>
                <w:highlight w:val="none"/>
              </w:rPr>
              <w:t>工程业绩指满足以下要求的业绩：动物实验</w:t>
            </w:r>
            <w:r>
              <w:rPr>
                <w:rFonts w:hint="eastAsia" w:ascii="宋体" w:hAnsi="宋体" w:cs="宋体"/>
                <w:szCs w:val="21"/>
                <w:highlight w:val="none"/>
                <w:lang w:val="en-US" w:eastAsia="zh-CN"/>
              </w:rPr>
              <w:t>室</w:t>
            </w:r>
            <w:r>
              <w:rPr>
                <w:rFonts w:hint="eastAsia" w:ascii="宋体" w:hAnsi="宋体" w:cs="宋体"/>
                <w:szCs w:val="21"/>
                <w:highlight w:val="none"/>
              </w:rPr>
              <w:t>建设（</w:t>
            </w:r>
            <w:r>
              <w:rPr>
                <w:rFonts w:hint="eastAsia" w:ascii="宋体" w:hAnsi="宋体" w:cs="宋体"/>
                <w:szCs w:val="21"/>
                <w:highlight w:val="none"/>
                <w:lang w:val="en-US" w:eastAsia="zh-CN"/>
              </w:rPr>
              <w:t>含</w:t>
            </w:r>
            <w:r>
              <w:rPr>
                <w:rFonts w:hint="eastAsia" w:ascii="宋体" w:hAnsi="宋体" w:cs="宋体"/>
                <w:szCs w:val="21"/>
                <w:highlight w:val="none"/>
              </w:rPr>
              <w:t>改造项目）工程施工业绩。</w:t>
            </w:r>
          </w:p>
          <w:p w14:paraId="481491C2">
            <w:pPr>
              <w:rPr>
                <w:rFonts w:ascii="宋体" w:hAnsi="宋体" w:cs="宋体"/>
                <w:szCs w:val="21"/>
                <w:highlight w:val="none"/>
              </w:rPr>
            </w:pPr>
            <w:r>
              <w:rPr>
                <w:rFonts w:hint="eastAsia" w:ascii="宋体" w:hAnsi="宋体" w:cs="宋体"/>
                <w:szCs w:val="21"/>
                <w:highlight w:val="none"/>
              </w:rPr>
              <w:t>注：①时间以合同签订时间为准；②须同时提供能够证明采分点的合同关键页及验收报告（需建设、施工、监理和设计单位盖章），若为联合体业绩，还需提供联合体分工责任书。业绩以投标人提供的扫描件为准。</w:t>
            </w:r>
          </w:p>
        </w:tc>
      </w:tr>
      <w:tr w14:paraId="3F14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vMerge w:val="continue"/>
            <w:vAlign w:val="center"/>
          </w:tcPr>
          <w:p w14:paraId="4626A50F">
            <w:pPr>
              <w:spacing w:line="360" w:lineRule="auto"/>
              <w:jc w:val="center"/>
              <w:rPr>
                <w:rFonts w:ascii="宋体" w:hAnsi="宋体" w:cs="宋体"/>
                <w:color w:val="000000"/>
                <w:kern w:val="0"/>
                <w:szCs w:val="21"/>
                <w:highlight w:val="none"/>
              </w:rPr>
            </w:pPr>
          </w:p>
        </w:tc>
        <w:tc>
          <w:tcPr>
            <w:tcW w:w="881" w:type="dxa"/>
            <w:vMerge w:val="continue"/>
            <w:vAlign w:val="center"/>
          </w:tcPr>
          <w:p w14:paraId="11C4D095">
            <w:pPr>
              <w:jc w:val="center"/>
              <w:rPr>
                <w:rFonts w:ascii="宋体" w:hAnsi="宋体" w:cs="宋体"/>
                <w:color w:val="000000"/>
                <w:kern w:val="0"/>
                <w:szCs w:val="21"/>
                <w:highlight w:val="none"/>
              </w:rPr>
            </w:pPr>
          </w:p>
        </w:tc>
        <w:tc>
          <w:tcPr>
            <w:tcW w:w="1553" w:type="dxa"/>
            <w:vAlign w:val="center"/>
          </w:tcPr>
          <w:p w14:paraId="3E94EA11">
            <w:pPr>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工程施工奖项（</w:t>
            </w:r>
            <w:r>
              <w:rPr>
                <w:rFonts w:ascii="宋体" w:hAnsi="宋体" w:cs="宋体"/>
                <w:color w:val="000000"/>
                <w:kern w:val="0"/>
                <w:szCs w:val="21"/>
                <w:highlight w:val="none"/>
              </w:rPr>
              <w:t>3</w:t>
            </w:r>
            <w:r>
              <w:rPr>
                <w:rFonts w:hint="eastAsia" w:ascii="宋体" w:hAnsi="宋体" w:cs="宋体"/>
                <w:color w:val="auto"/>
                <w:kern w:val="2"/>
                <w:szCs w:val="21"/>
                <w:highlight w:val="none"/>
              </w:rPr>
              <w:t>分</w:t>
            </w:r>
            <w:r>
              <w:rPr>
                <w:rFonts w:hint="eastAsia" w:ascii="宋体" w:hAnsi="宋体" w:cs="宋体"/>
                <w:color w:val="auto"/>
                <w:kern w:val="2"/>
                <w:szCs w:val="21"/>
                <w:highlight w:val="none"/>
              </w:rPr>
              <w:t>）</w:t>
            </w:r>
          </w:p>
        </w:tc>
        <w:tc>
          <w:tcPr>
            <w:tcW w:w="11121" w:type="dxa"/>
            <w:vAlign w:val="center"/>
          </w:tcPr>
          <w:p w14:paraId="4660C976">
            <w:pPr>
              <w:rPr>
                <w:rFonts w:ascii="宋体" w:hAnsi="宋体" w:cs="宋体"/>
                <w:szCs w:val="21"/>
                <w:highlight w:val="none"/>
              </w:rPr>
            </w:pPr>
            <w:r>
              <w:rPr>
                <w:rFonts w:hint="eastAsia" w:ascii="宋体" w:hAnsi="宋体" w:cs="宋体"/>
                <w:szCs w:val="21"/>
                <w:highlight w:val="none"/>
              </w:rPr>
              <w:t>投标人（若为联合体投标，指联合体主办方）自2021年1月1日至今，完成的建筑工程施工项目：</w:t>
            </w:r>
          </w:p>
          <w:p w14:paraId="371C764C">
            <w:pPr>
              <w:rPr>
                <w:rFonts w:ascii="宋体" w:hAnsi="宋体" w:cs="宋体"/>
                <w:szCs w:val="21"/>
                <w:highlight w:val="none"/>
              </w:rPr>
            </w:pPr>
            <w:r>
              <w:rPr>
                <w:rFonts w:hint="eastAsia" w:ascii="宋体" w:hAnsi="宋体" w:cs="宋体"/>
                <w:szCs w:val="21"/>
                <w:highlight w:val="none"/>
              </w:rPr>
              <w:t>（1）获得国家级奖项的，每项得</w:t>
            </w:r>
            <w:r>
              <w:rPr>
                <w:rFonts w:ascii="宋体" w:hAnsi="宋体" w:cs="宋体"/>
                <w:szCs w:val="21"/>
                <w:highlight w:val="none"/>
              </w:rPr>
              <w:t>1</w:t>
            </w:r>
            <w:r>
              <w:rPr>
                <w:rFonts w:hint="eastAsia" w:ascii="宋体" w:hAnsi="宋体" w:cs="宋体"/>
                <w:szCs w:val="21"/>
                <w:highlight w:val="none"/>
              </w:rPr>
              <w:t>分；</w:t>
            </w:r>
          </w:p>
          <w:p w14:paraId="740146C1">
            <w:pPr>
              <w:rPr>
                <w:rFonts w:ascii="宋体" w:hAnsi="宋体" w:cs="宋体"/>
                <w:szCs w:val="21"/>
                <w:highlight w:val="none"/>
              </w:rPr>
            </w:pPr>
            <w:r>
              <w:rPr>
                <w:rFonts w:ascii="宋体" w:hAnsi="宋体" w:cs="宋体"/>
                <w:szCs w:val="21"/>
                <w:highlight w:val="none"/>
              </w:rPr>
              <w:t>（</w:t>
            </w:r>
            <w:r>
              <w:rPr>
                <w:rFonts w:hint="eastAsia" w:ascii="宋体" w:hAnsi="宋体" w:cs="宋体"/>
                <w:szCs w:val="21"/>
                <w:highlight w:val="none"/>
              </w:rPr>
              <w:t>2）获得省级奖项的，每项得</w:t>
            </w:r>
            <w:r>
              <w:rPr>
                <w:rFonts w:ascii="宋体" w:hAnsi="宋体" w:cs="宋体"/>
                <w:szCs w:val="21"/>
                <w:highlight w:val="none"/>
              </w:rPr>
              <w:t>0.75</w:t>
            </w:r>
            <w:r>
              <w:rPr>
                <w:rFonts w:hint="eastAsia" w:ascii="宋体" w:hAnsi="宋体" w:cs="宋体"/>
                <w:szCs w:val="21"/>
                <w:highlight w:val="none"/>
              </w:rPr>
              <w:t>分。</w:t>
            </w:r>
          </w:p>
          <w:p w14:paraId="54E9F17A">
            <w:pPr>
              <w:rPr>
                <w:rFonts w:ascii="宋体" w:hAnsi="宋体" w:cs="宋体"/>
                <w:szCs w:val="21"/>
                <w:highlight w:val="none"/>
              </w:rPr>
            </w:pPr>
            <w:r>
              <w:rPr>
                <w:rFonts w:hint="eastAsia" w:ascii="宋体" w:hAnsi="宋体" w:cs="宋体"/>
                <w:szCs w:val="21"/>
                <w:highlight w:val="none"/>
              </w:rPr>
              <w:t>（3）获得市级（含副省级）奖项的，每项得</w:t>
            </w:r>
            <w:r>
              <w:rPr>
                <w:rFonts w:ascii="宋体" w:hAnsi="宋体" w:cs="宋体"/>
                <w:szCs w:val="21"/>
                <w:highlight w:val="none"/>
              </w:rPr>
              <w:t>0.5</w:t>
            </w:r>
            <w:r>
              <w:rPr>
                <w:rFonts w:hint="eastAsia" w:ascii="宋体" w:hAnsi="宋体" w:cs="宋体"/>
                <w:szCs w:val="21"/>
                <w:highlight w:val="none"/>
              </w:rPr>
              <w:t>分。</w:t>
            </w:r>
          </w:p>
          <w:p w14:paraId="18796AB5">
            <w:pPr>
              <w:rPr>
                <w:rFonts w:hint="eastAsia" w:ascii="宋体" w:hAnsi="宋体" w:cs="宋体"/>
                <w:szCs w:val="21"/>
                <w:highlight w:val="none"/>
              </w:rPr>
            </w:pPr>
            <w:r>
              <w:rPr>
                <w:rFonts w:hint="eastAsia" w:ascii="宋体" w:hAnsi="宋体" w:cs="宋体"/>
                <w:szCs w:val="21"/>
                <w:highlight w:val="none"/>
              </w:rPr>
              <w:t>注：以上奖项合计最高得</w:t>
            </w:r>
            <w:r>
              <w:rPr>
                <w:rFonts w:ascii="宋体" w:hAnsi="宋体" w:cs="宋体"/>
                <w:szCs w:val="21"/>
                <w:highlight w:val="none"/>
              </w:rPr>
              <w:t>3</w:t>
            </w:r>
            <w:r>
              <w:rPr>
                <w:rFonts w:hint="eastAsia" w:ascii="宋体" w:hAnsi="宋体" w:cs="宋体"/>
                <w:szCs w:val="21"/>
                <w:highlight w:val="none"/>
              </w:rPr>
              <w:t>分。</w:t>
            </w:r>
          </w:p>
        </w:tc>
      </w:tr>
      <w:tr w14:paraId="77D4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27" w:type="dxa"/>
            <w:vMerge w:val="continue"/>
            <w:vAlign w:val="center"/>
          </w:tcPr>
          <w:p w14:paraId="3A45C7C6">
            <w:pPr>
              <w:spacing w:line="360" w:lineRule="auto"/>
              <w:jc w:val="center"/>
              <w:rPr>
                <w:rFonts w:ascii="宋体" w:hAnsi="宋体" w:cs="宋体"/>
                <w:color w:val="000000"/>
                <w:kern w:val="0"/>
                <w:szCs w:val="21"/>
                <w:highlight w:val="none"/>
              </w:rPr>
            </w:pPr>
          </w:p>
        </w:tc>
        <w:tc>
          <w:tcPr>
            <w:tcW w:w="881" w:type="dxa"/>
            <w:vMerge w:val="continue"/>
            <w:vAlign w:val="center"/>
          </w:tcPr>
          <w:p w14:paraId="61C03AEC">
            <w:pPr>
              <w:jc w:val="center"/>
              <w:rPr>
                <w:rFonts w:ascii="宋体" w:hAnsi="宋体" w:cs="宋体"/>
                <w:color w:val="000000"/>
                <w:kern w:val="0"/>
                <w:szCs w:val="21"/>
                <w:highlight w:val="none"/>
              </w:rPr>
            </w:pPr>
          </w:p>
        </w:tc>
        <w:tc>
          <w:tcPr>
            <w:tcW w:w="1553" w:type="dxa"/>
            <w:vAlign w:val="center"/>
          </w:tcPr>
          <w:p w14:paraId="71BB9F24">
            <w:pPr>
              <w:adjustRightInd w:val="0"/>
              <w:snapToGrid w:val="0"/>
              <w:jc w:val="center"/>
              <w:rPr>
                <w:rFonts w:ascii="宋体" w:hAnsi="宋体" w:cs="宋体"/>
                <w:color w:val="000000"/>
                <w:kern w:val="0"/>
                <w:szCs w:val="21"/>
                <w:highlight w:val="none"/>
              </w:rPr>
            </w:pPr>
            <w:r>
              <w:rPr>
                <w:rFonts w:hint="eastAsia" w:ascii="宋体" w:hAnsi="宋体" w:cs="宋体"/>
                <w:color w:val="000000"/>
                <w:szCs w:val="21"/>
                <w:highlight w:val="none"/>
              </w:rPr>
              <w:t>第三方评价（3分）</w:t>
            </w:r>
          </w:p>
        </w:tc>
        <w:tc>
          <w:tcPr>
            <w:tcW w:w="11121" w:type="dxa"/>
            <w:vAlign w:val="center"/>
          </w:tcPr>
          <w:p w14:paraId="1C1B5E52">
            <w:pPr>
              <w:rPr>
                <w:rFonts w:ascii="宋体" w:hAnsi="宋体" w:cs="宋体"/>
                <w:color w:val="000000"/>
                <w:szCs w:val="21"/>
                <w:highlight w:val="none"/>
              </w:rPr>
            </w:pPr>
            <w:r>
              <w:rPr>
                <w:rFonts w:hint="eastAsia" w:ascii="宋体" w:hAnsi="宋体" w:cs="宋体"/>
                <w:color w:val="000000"/>
                <w:szCs w:val="21"/>
                <w:highlight w:val="none"/>
                <w:lang w:val="zh-CN"/>
              </w:rPr>
              <w:t>（</w:t>
            </w:r>
            <w:r>
              <w:rPr>
                <w:rFonts w:hint="eastAsia" w:ascii="宋体" w:hAnsi="宋体" w:cs="宋体"/>
                <w:color w:val="000000"/>
                <w:szCs w:val="21"/>
                <w:highlight w:val="none"/>
              </w:rPr>
              <w:t>1</w:t>
            </w:r>
            <w:r>
              <w:rPr>
                <w:rFonts w:hint="eastAsia" w:ascii="宋体" w:hAnsi="宋体" w:cs="宋体"/>
                <w:color w:val="000000"/>
                <w:szCs w:val="21"/>
                <w:highlight w:val="none"/>
                <w:lang w:val="zh-CN"/>
              </w:rPr>
              <w:t>）投标人（如联合体投标的，由联合体</w:t>
            </w:r>
            <w:r>
              <w:rPr>
                <w:rFonts w:hint="eastAsia" w:ascii="宋体" w:hAnsi="宋体" w:cs="宋体"/>
                <w:color w:val="000000"/>
                <w:szCs w:val="21"/>
                <w:highlight w:val="none"/>
              </w:rPr>
              <w:t>主办</w:t>
            </w:r>
            <w:r>
              <w:rPr>
                <w:rFonts w:hint="eastAsia" w:ascii="宋体" w:hAnsi="宋体" w:cs="宋体"/>
                <w:color w:val="000000"/>
                <w:szCs w:val="21"/>
                <w:highlight w:val="none"/>
                <w:lang w:val="zh-CN"/>
              </w:rPr>
              <w:t>方提供）</w:t>
            </w:r>
            <w:r>
              <w:rPr>
                <w:rFonts w:hint="eastAsia" w:ascii="宋体" w:hAnsi="宋体" w:cs="宋体"/>
                <w:color w:val="000000"/>
                <w:szCs w:val="21"/>
                <w:highlight w:val="none"/>
              </w:rPr>
              <w:t>具备</w:t>
            </w:r>
            <w:r>
              <w:rPr>
                <w:rFonts w:hint="eastAsia" w:ascii="宋体" w:hAnsi="宋体" w:cs="宋体"/>
                <w:color w:val="000000"/>
                <w:szCs w:val="21"/>
                <w:highlight w:val="none"/>
                <w:lang w:val="zh-CN"/>
              </w:rPr>
              <w:t>质量管理体系认证、环境管理体系认证、职业健康安全管理体系认证，相关认证应在有效期内：</w:t>
            </w:r>
            <w:r>
              <w:rPr>
                <w:rFonts w:hint="eastAsia" w:ascii="宋体" w:hAnsi="宋体" w:cs="宋体"/>
                <w:color w:val="000000"/>
                <w:szCs w:val="21"/>
                <w:highlight w:val="none"/>
              </w:rPr>
              <w:t>每个证书得0.5分，本项最高得1.5分。</w:t>
            </w:r>
          </w:p>
          <w:p w14:paraId="156CE37D">
            <w:pPr>
              <w:rPr>
                <w:rFonts w:ascii="宋体" w:hAnsi="宋体" w:cs="宋体"/>
                <w:color w:val="000000"/>
                <w:szCs w:val="21"/>
                <w:highlight w:val="none"/>
              </w:rPr>
            </w:pPr>
            <w:r>
              <w:rPr>
                <w:rFonts w:hint="eastAsia" w:ascii="宋体" w:hAnsi="宋体" w:cs="宋体"/>
                <w:color w:val="000000"/>
                <w:szCs w:val="21"/>
                <w:highlight w:val="none"/>
              </w:rPr>
              <w:t>注：需提供证书扫描件。</w:t>
            </w:r>
          </w:p>
          <w:p w14:paraId="0423AA48">
            <w:pPr>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zh-CN"/>
              </w:rPr>
              <w:t>投标人（如联合体投标的，由联合体</w:t>
            </w:r>
            <w:r>
              <w:rPr>
                <w:rFonts w:hint="eastAsia" w:ascii="宋体" w:hAnsi="宋体" w:cs="宋体"/>
                <w:color w:val="000000"/>
                <w:szCs w:val="21"/>
                <w:highlight w:val="none"/>
              </w:rPr>
              <w:t>主办</w:t>
            </w:r>
            <w:r>
              <w:rPr>
                <w:rFonts w:hint="eastAsia" w:ascii="宋体" w:hAnsi="宋体" w:cs="宋体"/>
                <w:color w:val="000000"/>
                <w:szCs w:val="21"/>
                <w:highlight w:val="none"/>
                <w:lang w:val="zh-CN"/>
              </w:rPr>
              <w:t>方提供）</w:t>
            </w:r>
            <w:r>
              <w:rPr>
                <w:rFonts w:hint="eastAsia" w:ascii="宋体" w:hAnsi="宋体" w:cs="宋体"/>
                <w:color w:val="000000"/>
                <w:szCs w:val="21"/>
                <w:highlight w:val="none"/>
              </w:rPr>
              <w:t>自2022年1月1日至今任一年获得过的纳税信用评价：</w:t>
            </w:r>
          </w:p>
          <w:p w14:paraId="0C858420">
            <w:pPr>
              <w:rPr>
                <w:rFonts w:ascii="宋体" w:hAnsi="宋体" w:cs="宋体"/>
                <w:color w:val="000000"/>
                <w:szCs w:val="21"/>
                <w:highlight w:val="none"/>
              </w:rPr>
            </w:pPr>
            <w:r>
              <w:rPr>
                <w:rFonts w:hint="eastAsia" w:ascii="宋体" w:hAnsi="宋体" w:cs="宋体"/>
                <w:color w:val="000000"/>
                <w:szCs w:val="21"/>
                <w:highlight w:val="none"/>
              </w:rPr>
              <w:t>①A级纳税人，得1.5分；②B级纳税人，得</w:t>
            </w:r>
            <w:r>
              <w:rPr>
                <w:rFonts w:ascii="宋体" w:hAnsi="宋体" w:cs="宋体"/>
                <w:color w:val="000000"/>
                <w:szCs w:val="21"/>
                <w:highlight w:val="none"/>
              </w:rPr>
              <w:t>1</w:t>
            </w:r>
            <w:r>
              <w:rPr>
                <w:rFonts w:hint="eastAsia" w:ascii="宋体" w:hAnsi="宋体" w:cs="宋体"/>
                <w:color w:val="000000"/>
                <w:szCs w:val="21"/>
                <w:highlight w:val="none"/>
              </w:rPr>
              <w:t>分；③M级纳税人，得</w:t>
            </w:r>
            <w:r>
              <w:rPr>
                <w:rFonts w:ascii="宋体" w:hAnsi="宋体" w:cs="宋体"/>
                <w:szCs w:val="21"/>
                <w:highlight w:val="none"/>
              </w:rPr>
              <w:t>0.5</w:t>
            </w:r>
            <w:r>
              <w:rPr>
                <w:rFonts w:hint="eastAsia" w:ascii="宋体" w:hAnsi="宋体" w:cs="宋体"/>
                <w:color w:val="000000"/>
                <w:szCs w:val="21"/>
                <w:highlight w:val="none"/>
              </w:rPr>
              <w:t>分。其他情况不得分。</w:t>
            </w:r>
          </w:p>
        </w:tc>
      </w:tr>
      <w:tr w14:paraId="7FEC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727" w:type="dxa"/>
            <w:vMerge w:val="restart"/>
            <w:vAlign w:val="center"/>
          </w:tcPr>
          <w:p w14:paraId="43C06280">
            <w:pPr>
              <w:widowControl/>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二</w:t>
            </w:r>
          </w:p>
        </w:tc>
        <w:tc>
          <w:tcPr>
            <w:tcW w:w="881" w:type="dxa"/>
            <w:vMerge w:val="restart"/>
            <w:vAlign w:val="center"/>
          </w:tcPr>
          <w:p w14:paraId="33468BE5">
            <w:pPr>
              <w:widowControl/>
              <w:jc w:val="center"/>
              <w:rPr>
                <w:rFonts w:ascii="宋体" w:hAnsi="宋体" w:cs="宋体"/>
                <w:color w:val="000000"/>
                <w:szCs w:val="21"/>
                <w:highlight w:val="none"/>
              </w:rPr>
            </w:pPr>
            <w:r>
              <w:rPr>
                <w:rFonts w:hint="eastAsia" w:ascii="宋体" w:hAnsi="宋体" w:cs="宋体"/>
                <w:color w:val="000000"/>
                <w:szCs w:val="21"/>
                <w:highlight w:val="none"/>
              </w:rPr>
              <w:t>项目实施组织方案部分（70分）</w:t>
            </w:r>
          </w:p>
        </w:tc>
        <w:tc>
          <w:tcPr>
            <w:tcW w:w="1553" w:type="dxa"/>
            <w:vAlign w:val="center"/>
          </w:tcPr>
          <w:p w14:paraId="0059BE0A">
            <w:pPr>
              <w:jc w:val="center"/>
              <w:rPr>
                <w:rFonts w:ascii="宋体" w:hAnsi="宋体" w:cs="宋体"/>
                <w:color w:val="000000"/>
                <w:szCs w:val="21"/>
                <w:highlight w:val="none"/>
              </w:rPr>
            </w:pPr>
            <w:r>
              <w:rPr>
                <w:rFonts w:hint="eastAsia" w:ascii="宋体" w:hAnsi="宋体" w:eastAsia="宋体" w:cs="宋体"/>
                <w:color w:val="000000"/>
                <w:szCs w:val="21"/>
                <w:highlight w:val="none"/>
                <w:lang w:val="zh-CN"/>
              </w:rPr>
              <w:t>动物实验中心</w:t>
            </w:r>
            <w:r>
              <w:rPr>
                <w:rFonts w:hint="eastAsia" w:ascii="宋体" w:hAnsi="宋体" w:eastAsia="宋体" w:cs="宋体"/>
                <w:color w:val="000000"/>
                <w:szCs w:val="21"/>
                <w:highlight w:val="none"/>
                <w:lang w:val="en-US" w:eastAsia="zh-CN"/>
              </w:rPr>
              <w:t>装修、设备</w:t>
            </w:r>
            <w:r>
              <w:rPr>
                <w:rFonts w:hint="eastAsia" w:ascii="宋体" w:hAnsi="宋体" w:eastAsia="宋体" w:cs="宋体"/>
                <w:color w:val="000000"/>
                <w:szCs w:val="21"/>
                <w:highlight w:val="none"/>
                <w:lang w:val="zh-CN"/>
              </w:rPr>
              <w:t>技术参数偏离情况</w:t>
            </w: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0</w:t>
            </w:r>
            <w:r>
              <w:rPr>
                <w:rFonts w:hint="eastAsia" w:ascii="宋体" w:hAnsi="宋体" w:cs="宋体"/>
                <w:color w:val="000000"/>
                <w:szCs w:val="21"/>
                <w:highlight w:val="none"/>
              </w:rPr>
              <w:t>分）</w:t>
            </w:r>
          </w:p>
        </w:tc>
        <w:tc>
          <w:tcPr>
            <w:tcW w:w="11121" w:type="dxa"/>
            <w:vAlign w:val="center"/>
          </w:tcPr>
          <w:p w14:paraId="5DC0D28D">
            <w:pPr>
              <w:rPr>
                <w:rFonts w:ascii="宋体" w:hAnsi="宋体" w:cs="宋体"/>
                <w:color w:val="000000"/>
                <w:szCs w:val="21"/>
                <w:highlight w:val="none"/>
              </w:rPr>
            </w:pPr>
            <w:r>
              <w:rPr>
                <w:rFonts w:hint="eastAsia" w:ascii="宋体" w:hAnsi="宋体" w:cs="宋体"/>
                <w:color w:val="000000"/>
                <w:szCs w:val="21"/>
                <w:highlight w:val="none"/>
                <w:lang w:val="en-US" w:eastAsia="zh-CN"/>
              </w:rPr>
              <w:t>本表中所有带“</w:t>
            </w:r>
            <w:r>
              <w:rPr>
                <w:rFonts w:hint="eastAsia" w:ascii="宋体" w:hAnsi="宋体" w:eastAsia="宋体" w:cs="宋体"/>
                <w:spacing w:val="-1"/>
                <w:sz w:val="21"/>
                <w:szCs w:val="21"/>
                <w:highlight w:val="none"/>
                <w:lang w:val="en-US" w:eastAsia="zh-CN"/>
              </w:rPr>
              <w:t>▲</w:t>
            </w:r>
            <w:r>
              <w:rPr>
                <w:rFonts w:hint="eastAsia" w:ascii="宋体" w:hAnsi="宋体" w:cs="宋体"/>
                <w:color w:val="000000"/>
                <w:szCs w:val="21"/>
                <w:highlight w:val="none"/>
                <w:lang w:val="en-US" w:eastAsia="zh-CN"/>
              </w:rPr>
              <w:t>”的为重要指标，负偏离一项本项评审得0分；其余指标为一般指标，每偏离一项</w:t>
            </w:r>
            <w:r>
              <w:rPr>
                <w:rFonts w:hint="default" w:ascii="宋体" w:hAnsi="宋体" w:cs="宋体"/>
                <w:color w:val="000000"/>
                <w:szCs w:val="21"/>
                <w:highlight w:val="none"/>
                <w:lang w:eastAsia="zh-CN"/>
              </w:rPr>
              <w:t>扣2分，扣完为止。</w:t>
            </w:r>
            <w:r>
              <w:rPr>
                <w:rFonts w:hint="eastAsia" w:ascii="宋体" w:hAnsi="宋体" w:cs="宋体"/>
                <w:color w:val="000000"/>
                <w:szCs w:val="21"/>
                <w:highlight w:val="none"/>
                <w:lang w:val="en-US" w:eastAsia="zh-CN"/>
              </w:rPr>
              <w:t>本项评审得0分得投标人不得入中标候选人。</w:t>
            </w:r>
          </w:p>
        </w:tc>
      </w:tr>
      <w:tr w14:paraId="431F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727" w:type="dxa"/>
            <w:vMerge w:val="continue"/>
            <w:vAlign w:val="center"/>
          </w:tcPr>
          <w:p w14:paraId="2F0CF963">
            <w:pPr>
              <w:widowControl/>
              <w:spacing w:line="360" w:lineRule="auto"/>
              <w:jc w:val="center"/>
              <w:rPr>
                <w:rFonts w:hint="eastAsia" w:ascii="宋体" w:hAnsi="宋体" w:cs="宋体"/>
                <w:color w:val="000000"/>
                <w:szCs w:val="21"/>
                <w:highlight w:val="none"/>
              </w:rPr>
            </w:pPr>
          </w:p>
        </w:tc>
        <w:tc>
          <w:tcPr>
            <w:tcW w:w="881" w:type="dxa"/>
            <w:vMerge w:val="continue"/>
            <w:vAlign w:val="center"/>
          </w:tcPr>
          <w:p w14:paraId="59E3C959">
            <w:pPr>
              <w:widowControl/>
              <w:jc w:val="center"/>
              <w:rPr>
                <w:rFonts w:hint="eastAsia" w:ascii="宋体" w:hAnsi="宋体" w:cs="宋体"/>
                <w:color w:val="000000"/>
                <w:szCs w:val="21"/>
                <w:highlight w:val="none"/>
              </w:rPr>
            </w:pPr>
          </w:p>
        </w:tc>
        <w:tc>
          <w:tcPr>
            <w:tcW w:w="1553" w:type="dxa"/>
            <w:vAlign w:val="center"/>
          </w:tcPr>
          <w:p w14:paraId="432B2C25">
            <w:pPr>
              <w:jc w:val="center"/>
              <w:rPr>
                <w:rFonts w:hint="eastAsia" w:ascii="宋体" w:hAnsi="宋体" w:cs="宋体"/>
                <w:szCs w:val="21"/>
                <w:highlight w:val="none"/>
              </w:rPr>
            </w:pPr>
            <w:r>
              <w:rPr>
                <w:rFonts w:hint="eastAsia" w:ascii="宋体" w:hAnsi="宋体" w:cs="宋体"/>
                <w:szCs w:val="21"/>
                <w:highlight w:val="none"/>
              </w:rPr>
              <w:t>设计和施工融合措施</w:t>
            </w: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0</w:t>
            </w:r>
            <w:r>
              <w:rPr>
                <w:rFonts w:hint="eastAsia" w:ascii="宋体" w:hAnsi="宋体" w:cs="宋体"/>
                <w:color w:val="000000"/>
                <w:szCs w:val="21"/>
                <w:highlight w:val="none"/>
              </w:rPr>
              <w:t>分）</w:t>
            </w:r>
          </w:p>
        </w:tc>
        <w:tc>
          <w:tcPr>
            <w:tcW w:w="11121" w:type="dxa"/>
            <w:vAlign w:val="center"/>
          </w:tcPr>
          <w:p w14:paraId="7CA10679">
            <w:pPr>
              <w:rPr>
                <w:rFonts w:ascii="宋体" w:hAnsi="宋体" w:cs="宋体"/>
                <w:color w:val="000000"/>
                <w:szCs w:val="21"/>
                <w:highlight w:val="none"/>
              </w:rPr>
            </w:pPr>
            <w:r>
              <w:rPr>
                <w:rFonts w:hint="eastAsia" w:ascii="宋体" w:hAnsi="宋体" w:cs="宋体"/>
                <w:color w:val="000000"/>
                <w:szCs w:val="21"/>
                <w:highlight w:val="none"/>
              </w:rPr>
              <w:t>优：项目团队的组建（包括设计、施工方人员架构）、设计和施工融合目标、设计和施工融合管理体系及设计施工融合措施明确、具体、可行、针对性强、完善的</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深化设计采用BIM技术设计管道和马道</w:t>
            </w:r>
            <w:r>
              <w:rPr>
                <w:rFonts w:hint="eastAsia" w:ascii="宋体" w:hAnsi="宋体" w:cs="宋体"/>
                <w:color w:val="000000"/>
                <w:szCs w:val="21"/>
                <w:highlight w:val="none"/>
                <w:lang w:eastAsia="zh-CN"/>
              </w:rPr>
              <w:t>的，</w:t>
            </w:r>
            <w:r>
              <w:rPr>
                <w:rFonts w:hint="eastAsia" w:ascii="宋体" w:hAnsi="宋体" w:cs="宋体"/>
                <w:color w:val="000000"/>
                <w:szCs w:val="21"/>
                <w:highlight w:val="none"/>
              </w:rPr>
              <w:t>得[1</w:t>
            </w:r>
            <w:r>
              <w:rPr>
                <w:rFonts w:hint="eastAsia" w:ascii="宋体" w:hAnsi="宋体" w:cs="宋体"/>
                <w:color w:val="000000"/>
                <w:szCs w:val="21"/>
                <w:highlight w:val="none"/>
                <w:lang w:val="en-US" w:eastAsia="zh-CN"/>
              </w:rPr>
              <w:t>0</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）分；</w:t>
            </w:r>
          </w:p>
          <w:p w14:paraId="42BAD936">
            <w:pPr>
              <w:rPr>
                <w:rFonts w:ascii="宋体" w:hAnsi="宋体" w:cs="宋体"/>
                <w:color w:val="000000"/>
                <w:szCs w:val="21"/>
                <w:highlight w:val="none"/>
              </w:rPr>
            </w:pPr>
            <w:r>
              <w:rPr>
                <w:rFonts w:hint="eastAsia" w:ascii="宋体" w:hAnsi="宋体" w:cs="宋体"/>
                <w:color w:val="000000"/>
                <w:szCs w:val="21"/>
                <w:highlight w:val="none"/>
              </w:rPr>
              <w:t>良：项目团队的组建（包括设计、施工方人员架构）、设计和施工融合目标、设计和施工融合管理体系及设计施工融合措施较明确、较具体、较可行、针对性较强、较完善的，深化设计采用BIM技术设计管道和马道</w:t>
            </w:r>
            <w:r>
              <w:rPr>
                <w:rFonts w:hint="eastAsia" w:ascii="宋体" w:hAnsi="宋体" w:cs="宋体"/>
                <w:color w:val="000000"/>
                <w:szCs w:val="21"/>
                <w:highlight w:val="none"/>
                <w:lang w:eastAsia="zh-CN"/>
              </w:rPr>
              <w:t>的，</w:t>
            </w:r>
            <w:r>
              <w:rPr>
                <w:rFonts w:hint="eastAsia" w:ascii="宋体" w:hAnsi="宋体" w:cs="宋体"/>
                <w:color w:val="000000"/>
                <w:szCs w:val="21"/>
                <w:highlight w:val="none"/>
              </w:rPr>
              <w:t>得[</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）分；</w:t>
            </w:r>
          </w:p>
          <w:p w14:paraId="0BCBF8DF">
            <w:pPr>
              <w:rPr>
                <w:rFonts w:ascii="宋体" w:hAnsi="宋体" w:cs="宋体"/>
                <w:color w:val="000000"/>
                <w:szCs w:val="21"/>
                <w:highlight w:val="none"/>
              </w:rPr>
            </w:pPr>
            <w:r>
              <w:rPr>
                <w:rFonts w:hint="eastAsia" w:ascii="宋体" w:hAnsi="宋体" w:cs="宋体"/>
                <w:color w:val="000000"/>
                <w:szCs w:val="21"/>
                <w:highlight w:val="none"/>
              </w:rPr>
              <w:t>中：项目团队的组建（包括设计、施工方人员架构）、设计和施工融合目标、设计和施工融合管理体系及设计施工融合明确性一般，可行性及针对性一般，措施一般的，深化设计</w:t>
            </w:r>
            <w:r>
              <w:rPr>
                <w:rFonts w:hint="eastAsia" w:ascii="宋体" w:hAnsi="宋体" w:cs="宋体"/>
                <w:color w:val="000000"/>
                <w:szCs w:val="21"/>
                <w:highlight w:val="none"/>
                <w:lang w:val="en-US" w:eastAsia="zh-CN"/>
              </w:rPr>
              <w:t>不</w:t>
            </w:r>
            <w:r>
              <w:rPr>
                <w:rFonts w:hint="eastAsia" w:ascii="宋体" w:hAnsi="宋体" w:cs="宋体"/>
                <w:color w:val="000000"/>
                <w:szCs w:val="21"/>
                <w:highlight w:val="none"/>
              </w:rPr>
              <w:t>采用BIM技术设计</w:t>
            </w:r>
            <w:r>
              <w:rPr>
                <w:rFonts w:hint="eastAsia" w:ascii="宋体" w:hAnsi="宋体" w:cs="宋体"/>
                <w:color w:val="000000"/>
                <w:szCs w:val="21"/>
                <w:highlight w:val="none"/>
                <w:lang w:eastAsia="zh-CN"/>
              </w:rPr>
              <w:t>的，</w:t>
            </w:r>
            <w:r>
              <w:rPr>
                <w:rFonts w:hint="eastAsia" w:ascii="宋体" w:hAnsi="宋体" w:cs="宋体"/>
                <w:color w:val="000000"/>
                <w:szCs w:val="21"/>
                <w:highlight w:val="none"/>
              </w:rPr>
              <w:t>得[</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）分；</w:t>
            </w:r>
          </w:p>
          <w:p w14:paraId="2E8F2FE2">
            <w:pPr>
              <w:rPr>
                <w:rFonts w:hint="eastAsia" w:ascii="宋体" w:hAnsi="宋体" w:cs="宋体"/>
                <w:color w:val="000000"/>
                <w:szCs w:val="21"/>
                <w:highlight w:val="none"/>
              </w:rPr>
            </w:pPr>
            <w:r>
              <w:rPr>
                <w:rFonts w:hint="eastAsia" w:ascii="宋体" w:hAnsi="宋体" w:cs="宋体"/>
                <w:color w:val="000000"/>
                <w:szCs w:val="21"/>
                <w:highlight w:val="none"/>
              </w:rPr>
              <w:t>差：不满足前述要求者，得0分。</w:t>
            </w:r>
          </w:p>
        </w:tc>
      </w:tr>
      <w:tr w14:paraId="62DF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727" w:type="dxa"/>
            <w:vMerge w:val="continue"/>
            <w:vAlign w:val="center"/>
          </w:tcPr>
          <w:p w14:paraId="1A445642">
            <w:pPr>
              <w:widowControl/>
              <w:spacing w:line="360" w:lineRule="auto"/>
              <w:jc w:val="center"/>
              <w:rPr>
                <w:rFonts w:ascii="宋体" w:hAnsi="宋体" w:cs="宋体"/>
                <w:color w:val="000000"/>
                <w:szCs w:val="21"/>
                <w:highlight w:val="none"/>
              </w:rPr>
            </w:pPr>
          </w:p>
        </w:tc>
        <w:tc>
          <w:tcPr>
            <w:tcW w:w="881" w:type="dxa"/>
            <w:vMerge w:val="continue"/>
            <w:vAlign w:val="center"/>
          </w:tcPr>
          <w:p w14:paraId="56A7E4C5">
            <w:pPr>
              <w:widowControl/>
              <w:jc w:val="center"/>
              <w:rPr>
                <w:rFonts w:ascii="宋体" w:hAnsi="宋体" w:cs="宋体"/>
                <w:color w:val="000000"/>
                <w:szCs w:val="21"/>
                <w:highlight w:val="none"/>
              </w:rPr>
            </w:pPr>
          </w:p>
        </w:tc>
        <w:tc>
          <w:tcPr>
            <w:tcW w:w="1553" w:type="dxa"/>
            <w:shd w:val="clear" w:color="auto" w:fill="auto"/>
            <w:vAlign w:val="center"/>
          </w:tcPr>
          <w:p w14:paraId="5B5BFA24">
            <w:pPr>
              <w:jc w:val="center"/>
              <w:rPr>
                <w:rFonts w:ascii="宋体" w:hAnsi="宋体" w:cs="宋体"/>
                <w:szCs w:val="21"/>
                <w:highlight w:val="none"/>
              </w:rPr>
            </w:pPr>
            <w:r>
              <w:rPr>
                <w:rFonts w:hint="eastAsia" w:ascii="宋体" w:hAnsi="宋体" w:cs="宋体"/>
                <w:szCs w:val="21"/>
                <w:highlight w:val="none"/>
              </w:rPr>
              <w:t>对初步设计方案的理解</w:t>
            </w:r>
          </w:p>
          <w:p w14:paraId="50498CF2">
            <w:pPr>
              <w:jc w:val="center"/>
              <w:rPr>
                <w:rFonts w:ascii="宋体" w:hAnsi="宋体" w:cs="宋体"/>
                <w:color w:val="000000"/>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分）</w:t>
            </w:r>
          </w:p>
        </w:tc>
        <w:tc>
          <w:tcPr>
            <w:tcW w:w="11121" w:type="dxa"/>
            <w:shd w:val="clear" w:color="auto" w:fill="auto"/>
            <w:vAlign w:val="center"/>
          </w:tcPr>
          <w:p w14:paraId="58026441">
            <w:pPr>
              <w:rPr>
                <w:rFonts w:ascii="宋体" w:hAnsi="宋体" w:cs="宋体"/>
                <w:color w:val="000000"/>
                <w:szCs w:val="21"/>
                <w:highlight w:val="none"/>
              </w:rPr>
            </w:pPr>
            <w:r>
              <w:rPr>
                <w:rFonts w:hint="eastAsia" w:ascii="宋体" w:hAnsi="宋体" w:cs="宋体"/>
                <w:color w:val="000000"/>
                <w:szCs w:val="21"/>
                <w:highlight w:val="none"/>
              </w:rPr>
              <w:t>优：技术理解深度、细化设计内容、优化与创新性方面，明确、具体、可行、针对性强、完善的，得[</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）分。</w:t>
            </w:r>
          </w:p>
          <w:p w14:paraId="0A6BB5E9">
            <w:pPr>
              <w:rPr>
                <w:rFonts w:ascii="宋体" w:hAnsi="宋体" w:cs="宋体"/>
                <w:color w:val="000000"/>
                <w:szCs w:val="21"/>
                <w:highlight w:val="none"/>
              </w:rPr>
            </w:pPr>
            <w:r>
              <w:rPr>
                <w:rFonts w:hint="eastAsia" w:ascii="宋体" w:hAnsi="宋体" w:cs="宋体"/>
                <w:color w:val="000000"/>
                <w:szCs w:val="21"/>
                <w:highlight w:val="none"/>
              </w:rPr>
              <w:t>良：技术理解深度、细化设计内容、优化与创新性方面，较明确、较具体、较可行、针对性较强、较完善的，得[</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）分。</w:t>
            </w:r>
          </w:p>
          <w:p w14:paraId="4397A72E">
            <w:pPr>
              <w:rPr>
                <w:rFonts w:ascii="宋体" w:hAnsi="宋体" w:cs="宋体"/>
                <w:color w:val="000000"/>
                <w:szCs w:val="21"/>
                <w:highlight w:val="none"/>
              </w:rPr>
            </w:pPr>
            <w:r>
              <w:rPr>
                <w:rFonts w:hint="eastAsia" w:ascii="宋体" w:hAnsi="宋体" w:cs="宋体"/>
                <w:color w:val="000000"/>
                <w:szCs w:val="21"/>
                <w:highlight w:val="none"/>
              </w:rPr>
              <w:t>中：技术理解深度、细化设计内容、优化与创新性方面，明确性一般，可行性及针对性一般，措施一般的，得[</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）分。</w:t>
            </w:r>
          </w:p>
          <w:p w14:paraId="593E563A">
            <w:pPr>
              <w:rPr>
                <w:rFonts w:ascii="宋体" w:hAnsi="宋体" w:cs="宋体"/>
                <w:color w:val="000000"/>
                <w:szCs w:val="21"/>
                <w:highlight w:val="none"/>
              </w:rPr>
            </w:pPr>
            <w:r>
              <w:rPr>
                <w:rFonts w:hint="eastAsia" w:ascii="宋体" w:hAnsi="宋体" w:cs="宋体"/>
                <w:color w:val="000000"/>
                <w:szCs w:val="21"/>
                <w:highlight w:val="none"/>
              </w:rPr>
              <w:t>差：不满足前述要求者，得0分。</w:t>
            </w:r>
            <w:r>
              <w:rPr>
                <w:rFonts w:hint="eastAsia" w:ascii="宋体" w:hAnsi="宋体" w:cs="宋体"/>
                <w:color w:val="auto"/>
                <w:szCs w:val="21"/>
                <w:highlight w:val="none"/>
              </w:rPr>
              <w:t>以上内容需提供已完成业绩做为技术支撑。</w:t>
            </w:r>
          </w:p>
        </w:tc>
      </w:tr>
      <w:tr w14:paraId="0566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727" w:type="dxa"/>
            <w:vMerge w:val="continue"/>
            <w:vAlign w:val="center"/>
          </w:tcPr>
          <w:p w14:paraId="1CE26AC1">
            <w:pPr>
              <w:widowControl/>
              <w:spacing w:line="360" w:lineRule="auto"/>
              <w:jc w:val="center"/>
              <w:rPr>
                <w:rFonts w:ascii="宋体" w:hAnsi="宋体" w:cs="宋体"/>
                <w:color w:val="000000"/>
                <w:szCs w:val="21"/>
                <w:highlight w:val="none"/>
              </w:rPr>
            </w:pPr>
          </w:p>
        </w:tc>
        <w:tc>
          <w:tcPr>
            <w:tcW w:w="881" w:type="dxa"/>
            <w:vMerge w:val="continue"/>
            <w:vAlign w:val="center"/>
          </w:tcPr>
          <w:p w14:paraId="0BFC1757">
            <w:pPr>
              <w:widowControl/>
              <w:jc w:val="center"/>
              <w:rPr>
                <w:rFonts w:ascii="宋体" w:hAnsi="宋体" w:cs="宋体"/>
                <w:color w:val="000000"/>
                <w:szCs w:val="21"/>
                <w:highlight w:val="none"/>
              </w:rPr>
            </w:pPr>
          </w:p>
        </w:tc>
        <w:tc>
          <w:tcPr>
            <w:tcW w:w="1553" w:type="dxa"/>
            <w:vAlign w:val="center"/>
          </w:tcPr>
          <w:p w14:paraId="3C2F030D">
            <w:pPr>
              <w:jc w:val="center"/>
              <w:rPr>
                <w:rFonts w:ascii="宋体" w:hAnsi="宋体" w:cs="宋体"/>
                <w:color w:val="000000"/>
                <w:szCs w:val="21"/>
                <w:highlight w:val="none"/>
              </w:rPr>
            </w:pPr>
            <w:r>
              <w:rPr>
                <w:rFonts w:hint="eastAsia" w:ascii="宋体" w:hAnsi="宋体" w:cs="宋体"/>
                <w:szCs w:val="21"/>
                <w:highlight w:val="none"/>
              </w:rPr>
              <w:t>绿色节能控制措施</w:t>
            </w:r>
            <w:r>
              <w:rPr>
                <w:rFonts w:hint="eastAsia" w:ascii="宋体" w:hAnsi="宋体" w:cs="宋体"/>
                <w:color w:val="000000"/>
                <w:szCs w:val="21"/>
                <w:highlight w:val="none"/>
              </w:rPr>
              <w:t>（8分）</w:t>
            </w:r>
          </w:p>
        </w:tc>
        <w:tc>
          <w:tcPr>
            <w:tcW w:w="11121" w:type="dxa"/>
            <w:vAlign w:val="center"/>
          </w:tcPr>
          <w:p w14:paraId="270CEBE4">
            <w:pPr>
              <w:rPr>
                <w:rFonts w:ascii="宋体" w:hAnsi="宋体" w:cs="宋体"/>
                <w:color w:val="000000"/>
                <w:szCs w:val="21"/>
                <w:highlight w:val="none"/>
              </w:rPr>
            </w:pPr>
            <w:r>
              <w:rPr>
                <w:rFonts w:hint="eastAsia" w:ascii="宋体" w:hAnsi="宋体" w:cs="宋体"/>
                <w:color w:val="000000"/>
                <w:szCs w:val="21"/>
                <w:highlight w:val="none"/>
              </w:rPr>
              <w:t>优：绿色节能控制措施、材料消耗、环境保护及建筑废弃物的循序使用方面的控制措施明确、具体、可行、针对性强、完善的，得[</w:t>
            </w:r>
            <w:r>
              <w:rPr>
                <w:rFonts w:ascii="宋体" w:hAnsi="宋体" w:cs="宋体"/>
                <w:color w:val="000000"/>
                <w:szCs w:val="21"/>
                <w:highlight w:val="none"/>
              </w:rPr>
              <w:t>8</w:t>
            </w:r>
            <w:r>
              <w:rPr>
                <w:rFonts w:hint="eastAsia" w:ascii="宋体" w:hAnsi="宋体" w:cs="宋体"/>
                <w:color w:val="000000"/>
                <w:szCs w:val="21"/>
                <w:highlight w:val="none"/>
              </w:rPr>
              <w:t>,</w:t>
            </w:r>
            <w:r>
              <w:rPr>
                <w:rFonts w:ascii="宋体" w:hAnsi="宋体" w:cs="宋体"/>
                <w:color w:val="000000"/>
                <w:szCs w:val="21"/>
                <w:highlight w:val="none"/>
              </w:rPr>
              <w:t>6</w:t>
            </w:r>
            <w:r>
              <w:rPr>
                <w:rFonts w:hint="eastAsia" w:ascii="宋体" w:hAnsi="宋体" w:cs="宋体"/>
                <w:color w:val="000000"/>
                <w:szCs w:val="21"/>
                <w:highlight w:val="none"/>
              </w:rPr>
              <w:t>）分。</w:t>
            </w:r>
          </w:p>
          <w:p w14:paraId="03A81274">
            <w:pPr>
              <w:rPr>
                <w:rFonts w:ascii="宋体" w:hAnsi="宋体" w:cs="宋体"/>
                <w:color w:val="000000"/>
                <w:szCs w:val="21"/>
                <w:highlight w:val="none"/>
              </w:rPr>
            </w:pPr>
            <w:r>
              <w:rPr>
                <w:rFonts w:hint="eastAsia" w:ascii="宋体" w:hAnsi="宋体" w:cs="宋体"/>
                <w:color w:val="000000"/>
                <w:szCs w:val="21"/>
                <w:highlight w:val="none"/>
              </w:rPr>
              <w:t>良：绿色节能控制措施、材料消耗、环境保护及建筑废弃物的循序使用方面的控制措施较明确、较具体、较可行、针对性较强、较完善的，得[</w:t>
            </w:r>
            <w:r>
              <w:rPr>
                <w:rFonts w:ascii="宋体" w:hAnsi="宋体" w:cs="宋体"/>
                <w:color w:val="000000"/>
                <w:szCs w:val="21"/>
                <w:highlight w:val="none"/>
              </w:rPr>
              <w:t>6</w:t>
            </w:r>
            <w:r>
              <w:rPr>
                <w:rFonts w:hint="eastAsia" w:ascii="宋体" w:hAnsi="宋体" w:cs="宋体"/>
                <w:color w:val="000000"/>
                <w:szCs w:val="21"/>
                <w:highlight w:val="none"/>
              </w:rPr>
              <w:t>,4）分。</w:t>
            </w:r>
          </w:p>
          <w:p w14:paraId="34C18A10">
            <w:pPr>
              <w:rPr>
                <w:rFonts w:ascii="宋体" w:hAnsi="宋体" w:cs="宋体"/>
                <w:color w:val="000000"/>
                <w:szCs w:val="21"/>
                <w:highlight w:val="none"/>
              </w:rPr>
            </w:pPr>
            <w:r>
              <w:rPr>
                <w:rFonts w:hint="eastAsia" w:ascii="宋体" w:hAnsi="宋体" w:cs="宋体"/>
                <w:color w:val="000000"/>
                <w:szCs w:val="21"/>
                <w:highlight w:val="none"/>
              </w:rPr>
              <w:t>中：绿色节能控制措施、材料消耗、环境保护及建筑废弃物的循序使用方面的控制措施明确性一般，可行性及针对性一般，措施一般的，得[4,1）分。</w:t>
            </w:r>
          </w:p>
          <w:p w14:paraId="0B533C98">
            <w:pPr>
              <w:rPr>
                <w:rFonts w:ascii="宋体" w:hAnsi="宋体" w:eastAsia="Times New Roman" w:cs="宋体"/>
                <w:color w:val="000000"/>
                <w:szCs w:val="21"/>
                <w:highlight w:val="none"/>
              </w:rPr>
            </w:pPr>
            <w:r>
              <w:rPr>
                <w:rFonts w:hint="eastAsia" w:ascii="宋体" w:hAnsi="宋体" w:cs="宋体"/>
                <w:color w:val="000000"/>
                <w:szCs w:val="21"/>
                <w:highlight w:val="none"/>
              </w:rPr>
              <w:t>差：不满足前述要求者，得0分。</w:t>
            </w:r>
          </w:p>
        </w:tc>
      </w:tr>
      <w:tr w14:paraId="4DFE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vMerge w:val="continue"/>
            <w:vAlign w:val="center"/>
          </w:tcPr>
          <w:p w14:paraId="7C9B9330">
            <w:pPr>
              <w:widowControl/>
              <w:spacing w:line="360" w:lineRule="auto"/>
              <w:jc w:val="center"/>
              <w:rPr>
                <w:rFonts w:ascii="宋体" w:hAnsi="宋体" w:cs="宋体"/>
                <w:color w:val="000000"/>
                <w:szCs w:val="21"/>
                <w:highlight w:val="none"/>
              </w:rPr>
            </w:pPr>
          </w:p>
        </w:tc>
        <w:tc>
          <w:tcPr>
            <w:tcW w:w="881" w:type="dxa"/>
            <w:vMerge w:val="continue"/>
            <w:vAlign w:val="center"/>
          </w:tcPr>
          <w:p w14:paraId="0F409790">
            <w:pPr>
              <w:widowControl/>
              <w:jc w:val="center"/>
              <w:rPr>
                <w:rFonts w:ascii="宋体" w:hAnsi="宋体" w:cs="宋体"/>
                <w:color w:val="000000"/>
                <w:szCs w:val="21"/>
                <w:highlight w:val="none"/>
              </w:rPr>
            </w:pPr>
          </w:p>
        </w:tc>
        <w:tc>
          <w:tcPr>
            <w:tcW w:w="1553" w:type="dxa"/>
            <w:vAlign w:val="center"/>
          </w:tcPr>
          <w:p w14:paraId="02F07D44">
            <w:pPr>
              <w:jc w:val="center"/>
              <w:rPr>
                <w:rFonts w:ascii="宋体" w:hAnsi="宋体" w:cs="宋体"/>
                <w:color w:val="000000"/>
                <w:szCs w:val="21"/>
                <w:highlight w:val="none"/>
              </w:rPr>
            </w:pPr>
            <w:r>
              <w:rPr>
                <w:rFonts w:hint="eastAsia" w:ascii="宋体" w:hAnsi="宋体" w:cs="宋体"/>
                <w:color w:val="000000"/>
                <w:szCs w:val="21"/>
                <w:highlight w:val="none"/>
              </w:rPr>
              <w:t>安全控制措施（</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分）</w:t>
            </w:r>
          </w:p>
        </w:tc>
        <w:tc>
          <w:tcPr>
            <w:tcW w:w="11121" w:type="dxa"/>
            <w:vAlign w:val="center"/>
          </w:tcPr>
          <w:p w14:paraId="4F44FAFF">
            <w:pPr>
              <w:rPr>
                <w:rFonts w:ascii="宋体" w:hAnsi="宋体" w:cs="宋体"/>
                <w:color w:val="000000"/>
                <w:szCs w:val="21"/>
                <w:highlight w:val="none"/>
              </w:rPr>
            </w:pPr>
            <w:r>
              <w:rPr>
                <w:rFonts w:hint="eastAsia" w:ascii="宋体" w:hAnsi="宋体" w:cs="宋体"/>
                <w:color w:val="000000"/>
                <w:szCs w:val="21"/>
                <w:highlight w:val="none"/>
              </w:rPr>
              <w:t>优：安全文明施工管理目标、安全文明施工管理体系、安全生产措施、现场消防保证措施、文明施工措施、环境保护及绿色施工措施、应急预案明确、具体、可行、针对性强，措施完善的，得[</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）分。</w:t>
            </w:r>
          </w:p>
          <w:p w14:paraId="186D213F">
            <w:pPr>
              <w:rPr>
                <w:rFonts w:ascii="宋体" w:hAnsi="宋体" w:cs="宋体"/>
                <w:color w:val="000000"/>
                <w:szCs w:val="21"/>
                <w:highlight w:val="none"/>
              </w:rPr>
            </w:pPr>
            <w:r>
              <w:rPr>
                <w:rFonts w:hint="eastAsia" w:ascii="宋体" w:hAnsi="宋体" w:cs="宋体"/>
                <w:color w:val="000000"/>
                <w:szCs w:val="21"/>
                <w:highlight w:val="none"/>
              </w:rPr>
              <w:t>良：安全文明施工管理目标、安全文明施工管理体系、安全生产措施、现场消防保证措施、文明施工措施、环境保护及绿色施工措施、应急预案较明确、较具体、较可行、针对性较强，措施较好的，得[</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）分。</w:t>
            </w:r>
          </w:p>
          <w:p w14:paraId="4CB7771A">
            <w:pPr>
              <w:rPr>
                <w:rFonts w:ascii="宋体" w:hAnsi="宋体" w:cs="宋体"/>
                <w:color w:val="000000"/>
                <w:szCs w:val="21"/>
                <w:highlight w:val="none"/>
              </w:rPr>
            </w:pPr>
            <w:r>
              <w:rPr>
                <w:rFonts w:hint="eastAsia" w:ascii="宋体" w:hAnsi="宋体" w:cs="宋体"/>
                <w:color w:val="000000"/>
                <w:szCs w:val="21"/>
                <w:highlight w:val="none"/>
              </w:rPr>
              <w:t>中：安全文明施工管理目标、安全文明施工管理体系、安全生产措施、现场消防保证措施、文明施工措施、环境保护及绿色施工措施、应急预案明确性一般，可行及针对性一般，措施一般的，得[</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,1）分。</w:t>
            </w:r>
          </w:p>
          <w:p w14:paraId="342572CB">
            <w:pPr>
              <w:rPr>
                <w:rFonts w:ascii="宋体" w:hAnsi="宋体" w:eastAsia="Times New Roman" w:cs="宋体"/>
                <w:color w:val="000000"/>
                <w:szCs w:val="21"/>
                <w:highlight w:val="none"/>
              </w:rPr>
            </w:pPr>
            <w:r>
              <w:rPr>
                <w:rFonts w:hint="eastAsia" w:ascii="宋体" w:hAnsi="宋体" w:cs="宋体"/>
                <w:color w:val="000000"/>
                <w:szCs w:val="21"/>
                <w:highlight w:val="none"/>
              </w:rPr>
              <w:t>差：不满足前述要求者，得0分。</w:t>
            </w:r>
          </w:p>
        </w:tc>
      </w:tr>
      <w:tr w14:paraId="56F2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27" w:type="dxa"/>
            <w:vMerge w:val="continue"/>
            <w:vAlign w:val="center"/>
          </w:tcPr>
          <w:p w14:paraId="7F616EC3">
            <w:pPr>
              <w:widowControl/>
              <w:spacing w:line="360" w:lineRule="auto"/>
              <w:jc w:val="center"/>
              <w:rPr>
                <w:rFonts w:ascii="宋体" w:hAnsi="宋体" w:cs="宋体"/>
                <w:color w:val="000000"/>
                <w:szCs w:val="21"/>
                <w:highlight w:val="none"/>
              </w:rPr>
            </w:pPr>
          </w:p>
        </w:tc>
        <w:tc>
          <w:tcPr>
            <w:tcW w:w="881" w:type="dxa"/>
            <w:vMerge w:val="continue"/>
            <w:vAlign w:val="center"/>
          </w:tcPr>
          <w:p w14:paraId="12A632F8">
            <w:pPr>
              <w:widowControl/>
              <w:jc w:val="center"/>
              <w:rPr>
                <w:rFonts w:ascii="宋体" w:hAnsi="宋体" w:cs="宋体"/>
                <w:color w:val="000000"/>
                <w:szCs w:val="21"/>
                <w:highlight w:val="none"/>
              </w:rPr>
            </w:pPr>
          </w:p>
        </w:tc>
        <w:tc>
          <w:tcPr>
            <w:tcW w:w="1553" w:type="dxa"/>
            <w:vAlign w:val="center"/>
          </w:tcPr>
          <w:p w14:paraId="7FE8E954">
            <w:pPr>
              <w:jc w:val="center"/>
              <w:rPr>
                <w:rFonts w:ascii="宋体" w:hAnsi="宋体" w:cs="宋体"/>
                <w:color w:val="000000"/>
                <w:szCs w:val="21"/>
                <w:highlight w:val="none"/>
              </w:rPr>
            </w:pPr>
            <w:r>
              <w:rPr>
                <w:rFonts w:hint="eastAsia" w:ascii="宋体" w:hAnsi="宋体" w:cs="宋体"/>
                <w:color w:val="000000"/>
                <w:szCs w:val="21"/>
                <w:highlight w:val="none"/>
              </w:rPr>
              <w:t>质量控制措施（</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分）</w:t>
            </w:r>
          </w:p>
        </w:tc>
        <w:tc>
          <w:tcPr>
            <w:tcW w:w="11121" w:type="dxa"/>
            <w:vAlign w:val="center"/>
          </w:tcPr>
          <w:p w14:paraId="0BE32A92">
            <w:pPr>
              <w:tabs>
                <w:tab w:val="left" w:pos="5650"/>
              </w:tabs>
              <w:rPr>
                <w:rFonts w:ascii="宋体" w:hAnsi="宋体" w:eastAsia="Times New Roman" w:cs="宋体"/>
                <w:color w:val="000000"/>
                <w:szCs w:val="21"/>
                <w:highlight w:val="none"/>
              </w:rPr>
            </w:pPr>
            <w:r>
              <w:rPr>
                <w:rFonts w:hint="eastAsia" w:ascii="宋体" w:hAnsi="宋体" w:eastAsia="Times New Roman" w:cs="宋体"/>
                <w:color w:val="000000"/>
                <w:szCs w:val="21"/>
                <w:highlight w:val="none"/>
              </w:rPr>
              <w:t>优：质量目标、质量保证体系、质量保证措施、质量通病预防措施、材料进场检验措施、成品保护措施、质量事故应急预案措施明确、具体、可行、针对性强，措施完善的，得[</w:t>
            </w:r>
            <w:r>
              <w:rPr>
                <w:rFonts w:hint="eastAsia" w:ascii="宋体" w:hAnsi="宋体" w:cs="宋体"/>
                <w:color w:val="000000"/>
                <w:szCs w:val="21"/>
                <w:highlight w:val="none"/>
                <w:lang w:val="en-US" w:eastAsia="zh-CN"/>
              </w:rPr>
              <w:t>4</w:t>
            </w:r>
            <w:r>
              <w:rPr>
                <w:rFonts w:hint="eastAsia" w:ascii="宋体" w:hAnsi="宋体" w:eastAsia="Times New Roman" w:cs="宋体"/>
                <w:color w:val="000000"/>
                <w:szCs w:val="21"/>
                <w:highlight w:val="none"/>
              </w:rPr>
              <w:t>,</w:t>
            </w:r>
            <w:r>
              <w:rPr>
                <w:rFonts w:hint="eastAsia" w:ascii="宋体" w:hAnsi="宋体" w:cs="宋体"/>
                <w:color w:val="000000"/>
                <w:szCs w:val="21"/>
                <w:highlight w:val="none"/>
                <w:lang w:val="en-US" w:eastAsia="zh-CN"/>
              </w:rPr>
              <w:t>3</w:t>
            </w:r>
            <w:r>
              <w:rPr>
                <w:rFonts w:hint="eastAsia" w:ascii="宋体" w:hAnsi="宋体" w:eastAsia="Times New Roman" w:cs="宋体"/>
                <w:color w:val="000000"/>
                <w:szCs w:val="21"/>
                <w:highlight w:val="none"/>
              </w:rPr>
              <w:t>）分。</w:t>
            </w:r>
          </w:p>
          <w:p w14:paraId="0F76FA16">
            <w:pPr>
              <w:tabs>
                <w:tab w:val="left" w:pos="5650"/>
              </w:tabs>
              <w:rPr>
                <w:rFonts w:ascii="宋体" w:hAnsi="宋体" w:eastAsia="Times New Roman" w:cs="宋体"/>
                <w:color w:val="000000"/>
                <w:szCs w:val="21"/>
                <w:highlight w:val="none"/>
              </w:rPr>
            </w:pPr>
            <w:r>
              <w:rPr>
                <w:rFonts w:hint="eastAsia" w:ascii="宋体" w:hAnsi="宋体" w:eastAsia="Times New Roman" w:cs="宋体"/>
                <w:color w:val="000000"/>
                <w:szCs w:val="21"/>
                <w:highlight w:val="none"/>
              </w:rPr>
              <w:t>良：质量目标、质量保证体系、质量保证措施、质量通病预防措施、材料进场检验措施、成品保护措施、质量事故应急预案较明确、较具体、较可行、针对性较强，措施较好的的，得[</w:t>
            </w:r>
            <w:r>
              <w:rPr>
                <w:rFonts w:hint="eastAsia" w:ascii="宋体" w:hAnsi="宋体" w:cs="宋体"/>
                <w:color w:val="000000"/>
                <w:szCs w:val="21"/>
                <w:highlight w:val="none"/>
                <w:lang w:val="en-US" w:eastAsia="zh-CN"/>
              </w:rPr>
              <w:t>3</w:t>
            </w:r>
            <w:r>
              <w:rPr>
                <w:rFonts w:hint="eastAsia" w:ascii="宋体" w:hAnsi="宋体" w:eastAsia="Times New Roman" w:cs="宋体"/>
                <w:color w:val="000000"/>
                <w:szCs w:val="21"/>
                <w:highlight w:val="none"/>
              </w:rPr>
              <w:t>,</w:t>
            </w:r>
            <w:r>
              <w:rPr>
                <w:rFonts w:hint="eastAsia" w:ascii="宋体" w:hAnsi="宋体" w:eastAsia="宋体" w:cs="宋体"/>
                <w:color w:val="000000"/>
                <w:szCs w:val="21"/>
                <w:highlight w:val="none"/>
                <w:lang w:val="en-US" w:eastAsia="zh-CN"/>
              </w:rPr>
              <w:t>2</w:t>
            </w:r>
            <w:r>
              <w:rPr>
                <w:rFonts w:hint="eastAsia" w:ascii="宋体" w:hAnsi="宋体" w:eastAsia="Times New Roman" w:cs="宋体"/>
                <w:color w:val="000000"/>
                <w:szCs w:val="21"/>
                <w:highlight w:val="none"/>
              </w:rPr>
              <w:t>）分。</w:t>
            </w:r>
          </w:p>
          <w:p w14:paraId="7ED7C13A">
            <w:pPr>
              <w:tabs>
                <w:tab w:val="left" w:pos="5650"/>
              </w:tabs>
              <w:rPr>
                <w:rFonts w:ascii="宋体" w:hAnsi="宋体" w:eastAsia="Times New Roman" w:cs="宋体"/>
                <w:color w:val="000000"/>
                <w:szCs w:val="21"/>
                <w:highlight w:val="none"/>
              </w:rPr>
            </w:pPr>
            <w:r>
              <w:rPr>
                <w:rFonts w:hint="eastAsia" w:ascii="宋体" w:hAnsi="宋体" w:eastAsia="Times New Roman" w:cs="宋体"/>
                <w:color w:val="000000"/>
                <w:szCs w:val="21"/>
                <w:highlight w:val="none"/>
              </w:rPr>
              <w:t>中：质量目标、质量保证体系、质量保证措施、质量通病预防措施、材料进场检验措施、成品保护措施、质量事故应急预案措施明确性一般，可行及针对性一般，措施一般的，得[</w:t>
            </w:r>
            <w:r>
              <w:rPr>
                <w:rFonts w:hint="eastAsia" w:ascii="宋体" w:hAnsi="宋体" w:eastAsia="宋体" w:cs="宋体"/>
                <w:color w:val="000000"/>
                <w:szCs w:val="21"/>
                <w:highlight w:val="none"/>
                <w:lang w:val="en-US" w:eastAsia="zh-CN"/>
              </w:rPr>
              <w:t>2</w:t>
            </w:r>
            <w:r>
              <w:rPr>
                <w:rFonts w:hint="eastAsia" w:ascii="宋体" w:hAnsi="宋体" w:eastAsia="Times New Roman" w:cs="宋体"/>
                <w:color w:val="000000"/>
                <w:szCs w:val="21"/>
                <w:highlight w:val="none"/>
              </w:rPr>
              <w:t>,</w:t>
            </w:r>
            <w:r>
              <w:rPr>
                <w:rFonts w:hint="eastAsia" w:ascii="宋体" w:hAnsi="宋体" w:cs="宋体"/>
                <w:color w:val="000000"/>
                <w:szCs w:val="21"/>
                <w:highlight w:val="none"/>
              </w:rPr>
              <w:t>1</w:t>
            </w:r>
            <w:r>
              <w:rPr>
                <w:rFonts w:hint="eastAsia" w:ascii="宋体" w:hAnsi="宋体" w:eastAsia="Times New Roman" w:cs="宋体"/>
                <w:color w:val="000000"/>
                <w:szCs w:val="21"/>
                <w:highlight w:val="none"/>
              </w:rPr>
              <w:t>）分。</w:t>
            </w:r>
          </w:p>
          <w:p w14:paraId="7AC2E5A5">
            <w:pPr>
              <w:tabs>
                <w:tab w:val="left" w:pos="5650"/>
              </w:tabs>
              <w:rPr>
                <w:rFonts w:ascii="宋体" w:hAnsi="宋体" w:eastAsia="Times New Roman" w:cs="宋体"/>
                <w:color w:val="000000"/>
                <w:szCs w:val="21"/>
                <w:highlight w:val="none"/>
              </w:rPr>
            </w:pPr>
            <w:r>
              <w:rPr>
                <w:rFonts w:hint="eastAsia" w:ascii="宋体" w:hAnsi="宋体" w:eastAsia="Times New Roman" w:cs="宋体"/>
                <w:color w:val="000000"/>
                <w:szCs w:val="21"/>
                <w:highlight w:val="none"/>
              </w:rPr>
              <w:t>差：不满足前述要求者，得0分。</w:t>
            </w:r>
          </w:p>
        </w:tc>
      </w:tr>
      <w:tr w14:paraId="12B9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27" w:type="dxa"/>
            <w:vMerge w:val="continue"/>
            <w:vAlign w:val="center"/>
          </w:tcPr>
          <w:p w14:paraId="16BD2B06">
            <w:pPr>
              <w:widowControl/>
              <w:spacing w:line="360" w:lineRule="auto"/>
              <w:jc w:val="center"/>
              <w:rPr>
                <w:rFonts w:ascii="宋体" w:hAnsi="宋体" w:cs="宋体"/>
                <w:color w:val="000000"/>
                <w:szCs w:val="21"/>
                <w:highlight w:val="none"/>
              </w:rPr>
            </w:pPr>
          </w:p>
        </w:tc>
        <w:tc>
          <w:tcPr>
            <w:tcW w:w="881" w:type="dxa"/>
            <w:vMerge w:val="continue"/>
            <w:vAlign w:val="center"/>
          </w:tcPr>
          <w:p w14:paraId="5E23F2A7">
            <w:pPr>
              <w:widowControl/>
              <w:jc w:val="center"/>
              <w:rPr>
                <w:rFonts w:ascii="宋体" w:hAnsi="宋体" w:cs="宋体"/>
                <w:color w:val="000000"/>
                <w:szCs w:val="21"/>
                <w:highlight w:val="none"/>
              </w:rPr>
            </w:pPr>
          </w:p>
        </w:tc>
        <w:tc>
          <w:tcPr>
            <w:tcW w:w="1553" w:type="dxa"/>
            <w:shd w:val="clear" w:color="auto" w:fill="auto"/>
            <w:vAlign w:val="center"/>
          </w:tcPr>
          <w:p w14:paraId="5A9AF59D">
            <w:pPr>
              <w:jc w:val="center"/>
              <w:rPr>
                <w:rFonts w:ascii="宋体" w:hAnsi="宋体" w:cs="宋体"/>
                <w:color w:val="000000"/>
                <w:szCs w:val="21"/>
                <w:highlight w:val="none"/>
              </w:rPr>
            </w:pPr>
            <w:r>
              <w:rPr>
                <w:rFonts w:hint="eastAsia" w:ascii="宋体" w:hAnsi="宋体" w:cs="宋体"/>
                <w:color w:val="000000"/>
                <w:szCs w:val="21"/>
                <w:highlight w:val="none"/>
              </w:rPr>
              <w:t>进度控制措施（</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分）</w:t>
            </w:r>
          </w:p>
        </w:tc>
        <w:tc>
          <w:tcPr>
            <w:tcW w:w="11121" w:type="dxa"/>
            <w:shd w:val="clear" w:color="auto" w:fill="auto"/>
            <w:vAlign w:val="center"/>
          </w:tcPr>
          <w:p w14:paraId="26C4B95D">
            <w:pPr>
              <w:tabs>
                <w:tab w:val="left" w:pos="5650"/>
              </w:tabs>
              <w:rPr>
                <w:rFonts w:ascii="宋体" w:hAnsi="宋体" w:eastAsia="Times New Roman" w:cs="宋体"/>
                <w:color w:val="000000"/>
                <w:szCs w:val="21"/>
                <w:highlight w:val="none"/>
              </w:rPr>
            </w:pPr>
            <w:r>
              <w:rPr>
                <w:rFonts w:hint="eastAsia" w:ascii="宋体" w:hAnsi="宋体" w:eastAsia="Times New Roman" w:cs="宋体"/>
                <w:color w:val="000000"/>
                <w:szCs w:val="21"/>
                <w:highlight w:val="none"/>
              </w:rPr>
              <w:t>有工期保证措施，总工期比招标文件要求提前10天或以上完工，得[</w:t>
            </w:r>
            <w:r>
              <w:rPr>
                <w:rFonts w:hint="eastAsia" w:ascii="宋体" w:hAnsi="宋体" w:eastAsia="宋体" w:cs="宋体"/>
                <w:color w:val="000000"/>
                <w:szCs w:val="21"/>
                <w:highlight w:val="none"/>
                <w:lang w:val="en-US" w:eastAsia="zh-CN"/>
              </w:rPr>
              <w:t>4</w:t>
            </w:r>
            <w:r>
              <w:rPr>
                <w:rFonts w:hint="eastAsia" w:ascii="宋体" w:hAnsi="宋体" w:eastAsia="Times New Roman"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Times New Roman" w:cs="宋体"/>
                <w:color w:val="000000"/>
                <w:szCs w:val="21"/>
                <w:highlight w:val="none"/>
              </w:rPr>
              <w:t>]分。</w:t>
            </w:r>
          </w:p>
          <w:p w14:paraId="6C8251F4">
            <w:pPr>
              <w:tabs>
                <w:tab w:val="left" w:pos="5650"/>
              </w:tabs>
              <w:rPr>
                <w:rFonts w:ascii="宋体" w:hAnsi="宋体" w:eastAsia="Times New Roman" w:cs="宋体"/>
                <w:color w:val="000000"/>
                <w:szCs w:val="21"/>
                <w:highlight w:val="none"/>
              </w:rPr>
            </w:pPr>
            <w:r>
              <w:rPr>
                <w:rFonts w:hint="eastAsia" w:ascii="宋体" w:hAnsi="宋体" w:eastAsia="Times New Roman" w:cs="宋体"/>
                <w:color w:val="000000"/>
                <w:szCs w:val="21"/>
                <w:highlight w:val="none"/>
              </w:rPr>
              <w:t>有工期保证措施，总工期比招标文件要求提前3～9天完工，得[</w:t>
            </w:r>
            <w:r>
              <w:rPr>
                <w:rFonts w:hint="eastAsia" w:ascii="宋体" w:hAnsi="宋体" w:eastAsia="宋体" w:cs="宋体"/>
                <w:color w:val="000000"/>
                <w:szCs w:val="21"/>
                <w:highlight w:val="none"/>
                <w:lang w:val="en-US" w:eastAsia="zh-CN"/>
              </w:rPr>
              <w:t>3</w:t>
            </w:r>
            <w:r>
              <w:rPr>
                <w:rFonts w:hint="eastAsia" w:ascii="宋体" w:hAnsi="宋体" w:eastAsia="Times New Roman" w:cs="宋体"/>
                <w:color w:val="000000"/>
                <w:szCs w:val="21"/>
                <w:highlight w:val="none"/>
              </w:rPr>
              <w:t>,</w:t>
            </w:r>
            <w:r>
              <w:rPr>
                <w:rFonts w:ascii="宋体" w:hAnsi="宋体" w:cs="宋体"/>
                <w:color w:val="000000"/>
                <w:szCs w:val="21"/>
                <w:highlight w:val="none"/>
              </w:rPr>
              <w:t>2</w:t>
            </w:r>
            <w:r>
              <w:rPr>
                <w:rFonts w:hint="eastAsia" w:ascii="宋体" w:hAnsi="宋体" w:eastAsia="Times New Roman" w:cs="宋体"/>
                <w:color w:val="000000"/>
                <w:szCs w:val="21"/>
                <w:highlight w:val="none"/>
              </w:rPr>
              <w:t>]分。</w:t>
            </w:r>
          </w:p>
          <w:p w14:paraId="5C7E1730">
            <w:pPr>
              <w:tabs>
                <w:tab w:val="left" w:pos="5650"/>
              </w:tabs>
              <w:rPr>
                <w:rFonts w:ascii="宋体" w:hAnsi="宋体" w:eastAsia="Times New Roman" w:cs="宋体"/>
                <w:color w:val="000000"/>
                <w:szCs w:val="21"/>
                <w:highlight w:val="none"/>
              </w:rPr>
            </w:pPr>
            <w:r>
              <w:rPr>
                <w:rFonts w:hint="eastAsia" w:ascii="宋体" w:hAnsi="宋体" w:eastAsia="Times New Roman" w:cs="宋体"/>
                <w:color w:val="000000"/>
                <w:szCs w:val="21"/>
                <w:highlight w:val="none"/>
              </w:rPr>
              <w:t>有工期保证措施，总工期符合招标文件要求的，得[</w:t>
            </w:r>
            <w:r>
              <w:rPr>
                <w:rFonts w:ascii="宋体" w:hAnsi="宋体" w:cs="宋体"/>
                <w:color w:val="000000"/>
                <w:szCs w:val="21"/>
                <w:highlight w:val="none"/>
              </w:rPr>
              <w:t>2</w:t>
            </w:r>
            <w:r>
              <w:rPr>
                <w:rFonts w:hint="eastAsia" w:ascii="宋体" w:hAnsi="宋体" w:eastAsia="Times New Roman" w:cs="宋体"/>
                <w:color w:val="000000"/>
                <w:szCs w:val="21"/>
                <w:highlight w:val="none"/>
              </w:rPr>
              <w:t>,</w:t>
            </w:r>
            <w:r>
              <w:rPr>
                <w:rFonts w:hint="eastAsia" w:ascii="宋体" w:hAnsi="宋体" w:cs="宋体"/>
                <w:color w:val="000000"/>
                <w:szCs w:val="21"/>
                <w:highlight w:val="none"/>
              </w:rPr>
              <w:t>1</w:t>
            </w:r>
            <w:r>
              <w:rPr>
                <w:rFonts w:hint="eastAsia" w:ascii="宋体" w:hAnsi="宋体" w:eastAsia="Times New Roman" w:cs="宋体"/>
                <w:color w:val="000000"/>
                <w:szCs w:val="21"/>
                <w:highlight w:val="none"/>
              </w:rPr>
              <w:t>]分。</w:t>
            </w:r>
          </w:p>
          <w:p w14:paraId="539F348E">
            <w:pPr>
              <w:tabs>
                <w:tab w:val="left" w:pos="5650"/>
              </w:tabs>
              <w:rPr>
                <w:rFonts w:ascii="宋体" w:hAnsi="宋体" w:eastAsia="Times New Roman" w:cs="宋体"/>
                <w:color w:val="000000"/>
                <w:sz w:val="24"/>
                <w:szCs w:val="21"/>
                <w:highlight w:val="none"/>
              </w:rPr>
            </w:pPr>
            <w:r>
              <w:rPr>
                <w:rFonts w:hint="eastAsia" w:ascii="宋体" w:hAnsi="宋体" w:eastAsia="Times New Roman" w:cs="宋体"/>
                <w:color w:val="000000"/>
                <w:szCs w:val="21"/>
                <w:highlight w:val="none"/>
              </w:rPr>
              <w:t>不满足前述要求者，得0分。</w:t>
            </w:r>
          </w:p>
        </w:tc>
      </w:tr>
      <w:tr w14:paraId="0989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27" w:type="dxa"/>
            <w:vMerge w:val="continue"/>
            <w:vAlign w:val="center"/>
          </w:tcPr>
          <w:p w14:paraId="5D3E1BF6">
            <w:pPr>
              <w:widowControl/>
              <w:spacing w:line="360" w:lineRule="auto"/>
              <w:jc w:val="center"/>
              <w:rPr>
                <w:rFonts w:ascii="宋体" w:hAnsi="宋体" w:cs="宋体"/>
                <w:color w:val="000000"/>
                <w:szCs w:val="21"/>
                <w:highlight w:val="none"/>
              </w:rPr>
            </w:pPr>
          </w:p>
        </w:tc>
        <w:tc>
          <w:tcPr>
            <w:tcW w:w="881" w:type="dxa"/>
            <w:vMerge w:val="continue"/>
            <w:vAlign w:val="center"/>
          </w:tcPr>
          <w:p w14:paraId="4804E281">
            <w:pPr>
              <w:widowControl/>
              <w:jc w:val="center"/>
              <w:rPr>
                <w:rFonts w:ascii="宋体" w:hAnsi="宋体" w:cs="宋体"/>
                <w:color w:val="000000"/>
                <w:szCs w:val="21"/>
                <w:highlight w:val="none"/>
              </w:rPr>
            </w:pPr>
          </w:p>
        </w:tc>
        <w:tc>
          <w:tcPr>
            <w:tcW w:w="1553" w:type="dxa"/>
            <w:shd w:val="clear" w:color="auto" w:fill="auto"/>
            <w:vAlign w:val="center"/>
          </w:tcPr>
          <w:p w14:paraId="5A72E0C7">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合理化建议（1</w:t>
            </w:r>
            <w:r>
              <w:rPr>
                <w:rFonts w:hint="eastAsia" w:ascii="宋体" w:hAnsi="宋体" w:cs="宋体"/>
                <w:color w:val="000000"/>
                <w:szCs w:val="21"/>
                <w:highlight w:val="none"/>
                <w:lang w:val="en-US" w:eastAsia="zh-CN"/>
              </w:rPr>
              <w:t>0</w:t>
            </w:r>
            <w:r>
              <w:rPr>
                <w:rFonts w:hint="eastAsia" w:ascii="宋体" w:hAnsi="宋体" w:cs="宋体"/>
                <w:color w:val="000000"/>
                <w:szCs w:val="21"/>
                <w:highlight w:val="none"/>
              </w:rPr>
              <w:t>分）</w:t>
            </w:r>
          </w:p>
        </w:tc>
        <w:tc>
          <w:tcPr>
            <w:tcW w:w="11121" w:type="dxa"/>
            <w:shd w:val="clear" w:color="auto" w:fill="auto"/>
            <w:vAlign w:val="center"/>
          </w:tcPr>
          <w:p w14:paraId="368D4083">
            <w:pPr>
              <w:tabs>
                <w:tab w:val="left" w:pos="5650"/>
              </w:tabs>
              <w:rPr>
                <w:rFonts w:ascii="宋体" w:hAnsi="宋体" w:cs="宋体"/>
                <w:color w:val="000000"/>
                <w:szCs w:val="21"/>
                <w:highlight w:val="none"/>
              </w:rPr>
            </w:pPr>
            <w:r>
              <w:rPr>
                <w:rFonts w:hint="eastAsia" w:ascii="宋体" w:hAnsi="宋体" w:cs="宋体"/>
                <w:color w:val="000000"/>
                <w:szCs w:val="21"/>
                <w:highlight w:val="none"/>
              </w:rPr>
              <w:t>针对本项目特点：</w:t>
            </w:r>
          </w:p>
          <w:p w14:paraId="29A0A5AC">
            <w:pPr>
              <w:tabs>
                <w:tab w:val="left" w:pos="5650"/>
              </w:tabs>
              <w:rPr>
                <w:rFonts w:ascii="宋体" w:hAnsi="宋体" w:cs="宋体"/>
                <w:color w:val="000000"/>
                <w:szCs w:val="21"/>
                <w:highlight w:val="none"/>
              </w:rPr>
            </w:pPr>
            <w:r>
              <w:rPr>
                <w:rFonts w:hint="eastAsia" w:ascii="宋体" w:hAnsi="宋体" w:eastAsia="宋体" w:cs="宋体"/>
                <w:color w:val="000000"/>
                <w:szCs w:val="21"/>
                <w:highlight w:val="none"/>
              </w:rPr>
              <w:t>如何控制动物房的气味；小鼠对噪音很敏感，如何控制动物房的噪音，让噪音尽量低；动物房一般能耗是多少，有哪些措施可以让动物房更加节能；风管的施工，如何尽量降低阻力，保证系统阻力平衡；</w:t>
            </w:r>
            <w:r>
              <w:rPr>
                <w:rFonts w:hint="eastAsia" w:ascii="宋体" w:hAnsi="宋体" w:cs="宋体"/>
                <w:color w:val="000000"/>
                <w:szCs w:val="21"/>
                <w:highlight w:val="none"/>
              </w:rPr>
              <w:t>提出合理化建议。</w:t>
            </w:r>
          </w:p>
          <w:p w14:paraId="52F75765">
            <w:pPr>
              <w:tabs>
                <w:tab w:val="left" w:pos="5650"/>
              </w:tabs>
              <w:rPr>
                <w:rFonts w:ascii="宋体" w:hAnsi="宋体" w:eastAsia="Times New Roman" w:cs="宋体"/>
                <w:color w:val="000000"/>
                <w:szCs w:val="21"/>
                <w:highlight w:val="none"/>
              </w:rPr>
            </w:pPr>
            <w:r>
              <w:rPr>
                <w:rFonts w:hint="eastAsia" w:ascii="宋体" w:hAnsi="宋体" w:eastAsia="Times New Roman" w:cs="宋体"/>
                <w:color w:val="000000"/>
                <w:szCs w:val="21"/>
                <w:highlight w:val="none"/>
              </w:rPr>
              <w:t>优：对</w:t>
            </w:r>
            <w:r>
              <w:rPr>
                <w:rFonts w:hint="eastAsia" w:ascii="宋体" w:hAnsi="宋体" w:cs="宋体"/>
                <w:color w:val="000000"/>
                <w:szCs w:val="21"/>
                <w:highlight w:val="none"/>
              </w:rPr>
              <w:t>本项目特点</w:t>
            </w:r>
            <w:r>
              <w:rPr>
                <w:rFonts w:hint="eastAsia" w:ascii="宋体" w:hAnsi="宋体" w:eastAsia="Times New Roman" w:cs="宋体"/>
                <w:color w:val="000000"/>
                <w:szCs w:val="21"/>
                <w:highlight w:val="none"/>
              </w:rPr>
              <w:t>提出建议，建议明确、具体、可行、针对性强、措施完善，得[</w:t>
            </w: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0</w:t>
            </w:r>
            <w:r>
              <w:rPr>
                <w:rFonts w:hint="eastAsia" w:ascii="宋体" w:hAnsi="宋体" w:eastAsia="Times New Roman" w:cs="宋体"/>
                <w:color w:val="000000"/>
                <w:szCs w:val="21"/>
                <w:highlight w:val="none"/>
              </w:rPr>
              <w:t>,</w:t>
            </w:r>
            <w:r>
              <w:rPr>
                <w:rFonts w:hint="eastAsia" w:ascii="宋体" w:hAnsi="宋体" w:cs="宋体"/>
                <w:color w:val="000000"/>
                <w:szCs w:val="21"/>
                <w:highlight w:val="none"/>
                <w:lang w:val="en-US" w:eastAsia="zh-CN"/>
              </w:rPr>
              <w:t>7</w:t>
            </w:r>
            <w:r>
              <w:rPr>
                <w:rFonts w:hint="eastAsia" w:ascii="宋体" w:hAnsi="宋体" w:eastAsia="Times New Roman" w:cs="宋体"/>
                <w:color w:val="000000"/>
                <w:szCs w:val="21"/>
                <w:highlight w:val="none"/>
              </w:rPr>
              <w:t>]分；</w:t>
            </w:r>
          </w:p>
          <w:p w14:paraId="04EDB0CD">
            <w:pPr>
              <w:tabs>
                <w:tab w:val="left" w:pos="5650"/>
              </w:tabs>
              <w:rPr>
                <w:rFonts w:ascii="宋体" w:hAnsi="宋体" w:eastAsia="Times New Roman" w:cs="宋体"/>
                <w:color w:val="000000"/>
                <w:szCs w:val="21"/>
                <w:highlight w:val="none"/>
              </w:rPr>
            </w:pPr>
            <w:r>
              <w:rPr>
                <w:rFonts w:hint="eastAsia" w:ascii="宋体" w:hAnsi="宋体" w:eastAsia="Times New Roman" w:cs="宋体"/>
                <w:color w:val="000000"/>
                <w:szCs w:val="21"/>
                <w:highlight w:val="none"/>
              </w:rPr>
              <w:t>良：对</w:t>
            </w:r>
            <w:r>
              <w:rPr>
                <w:rFonts w:hint="eastAsia" w:ascii="宋体" w:hAnsi="宋体" w:cs="宋体"/>
                <w:color w:val="000000"/>
                <w:szCs w:val="21"/>
                <w:highlight w:val="none"/>
              </w:rPr>
              <w:t>本项目特点</w:t>
            </w:r>
            <w:r>
              <w:rPr>
                <w:rFonts w:hint="eastAsia" w:ascii="宋体" w:hAnsi="宋体" w:eastAsia="Times New Roman" w:cs="宋体"/>
                <w:color w:val="000000"/>
                <w:szCs w:val="21"/>
                <w:highlight w:val="none"/>
              </w:rPr>
              <w:t>提出建议，建议较明确、较具体、较可行、针对性较强、措施较完善，得[</w:t>
            </w:r>
            <w:r>
              <w:rPr>
                <w:rFonts w:hint="eastAsia" w:ascii="宋体" w:hAnsi="宋体" w:cs="宋体"/>
                <w:color w:val="000000"/>
                <w:szCs w:val="21"/>
                <w:highlight w:val="none"/>
                <w:lang w:val="en-US" w:eastAsia="zh-CN"/>
              </w:rPr>
              <w:t>7</w:t>
            </w:r>
            <w:r>
              <w:rPr>
                <w:rFonts w:hint="eastAsia" w:ascii="宋体" w:hAnsi="宋体" w:eastAsia="Times New Roman" w:cs="宋体"/>
                <w:color w:val="000000"/>
                <w:szCs w:val="21"/>
                <w:highlight w:val="none"/>
              </w:rPr>
              <w:t>,</w:t>
            </w:r>
            <w:r>
              <w:rPr>
                <w:rFonts w:hint="eastAsia" w:ascii="宋体" w:hAnsi="宋体" w:cs="宋体"/>
                <w:color w:val="000000"/>
                <w:szCs w:val="21"/>
                <w:highlight w:val="none"/>
                <w:lang w:val="en-US" w:eastAsia="zh-CN"/>
              </w:rPr>
              <w:t>4</w:t>
            </w:r>
            <w:r>
              <w:rPr>
                <w:rFonts w:hint="eastAsia" w:ascii="宋体" w:hAnsi="宋体" w:eastAsia="Times New Roman" w:cs="宋体"/>
                <w:color w:val="000000"/>
                <w:szCs w:val="21"/>
                <w:highlight w:val="none"/>
              </w:rPr>
              <w:t>]分；</w:t>
            </w:r>
          </w:p>
          <w:p w14:paraId="164A52C4">
            <w:pPr>
              <w:tabs>
                <w:tab w:val="left" w:pos="5650"/>
              </w:tabs>
              <w:rPr>
                <w:rFonts w:ascii="宋体" w:hAnsi="宋体" w:eastAsia="Times New Roman" w:cs="宋体"/>
                <w:color w:val="000000"/>
                <w:szCs w:val="21"/>
                <w:highlight w:val="none"/>
              </w:rPr>
            </w:pPr>
            <w:r>
              <w:rPr>
                <w:rFonts w:hint="eastAsia" w:ascii="宋体" w:hAnsi="宋体" w:eastAsia="Times New Roman" w:cs="宋体"/>
                <w:color w:val="000000"/>
                <w:szCs w:val="21"/>
                <w:highlight w:val="none"/>
              </w:rPr>
              <w:t>中：对</w:t>
            </w:r>
            <w:r>
              <w:rPr>
                <w:rFonts w:hint="eastAsia" w:ascii="宋体" w:hAnsi="宋体" w:cs="宋体"/>
                <w:color w:val="000000"/>
                <w:szCs w:val="21"/>
                <w:highlight w:val="none"/>
              </w:rPr>
              <w:t>本项目特点</w:t>
            </w:r>
            <w:r>
              <w:rPr>
                <w:rFonts w:hint="eastAsia" w:ascii="宋体" w:hAnsi="宋体" w:eastAsia="Times New Roman" w:cs="宋体"/>
                <w:color w:val="000000"/>
                <w:szCs w:val="21"/>
                <w:highlight w:val="none"/>
              </w:rPr>
              <w:t>提出建议但明确性一般，具体、可行及针对性一般，措施一般，得[</w:t>
            </w:r>
            <w:r>
              <w:rPr>
                <w:rFonts w:hint="eastAsia" w:ascii="宋体" w:hAnsi="宋体" w:cs="宋体"/>
                <w:color w:val="000000"/>
                <w:szCs w:val="21"/>
                <w:highlight w:val="none"/>
                <w:lang w:val="en-US" w:eastAsia="zh-CN"/>
              </w:rPr>
              <w:t>4</w:t>
            </w:r>
            <w:r>
              <w:rPr>
                <w:rFonts w:hint="eastAsia" w:ascii="宋体" w:hAnsi="宋体" w:eastAsia="Times New Roman" w:cs="宋体"/>
                <w:color w:val="000000"/>
                <w:szCs w:val="21"/>
                <w:highlight w:val="none"/>
              </w:rPr>
              <w:t>,</w:t>
            </w:r>
            <w:r>
              <w:rPr>
                <w:rFonts w:hint="eastAsia" w:ascii="宋体" w:hAnsi="宋体" w:cs="宋体"/>
                <w:color w:val="000000"/>
                <w:szCs w:val="21"/>
                <w:highlight w:val="none"/>
                <w:lang w:val="en-US" w:eastAsia="zh-CN"/>
              </w:rPr>
              <w:t>1</w:t>
            </w:r>
            <w:r>
              <w:rPr>
                <w:rFonts w:hint="eastAsia" w:ascii="宋体" w:hAnsi="宋体" w:eastAsia="Times New Roman" w:cs="宋体"/>
                <w:color w:val="000000"/>
                <w:szCs w:val="21"/>
                <w:highlight w:val="none"/>
              </w:rPr>
              <w:t>]分；</w:t>
            </w:r>
          </w:p>
          <w:p w14:paraId="6AC9C457">
            <w:pPr>
              <w:tabs>
                <w:tab w:val="left" w:pos="5650"/>
              </w:tabs>
              <w:rPr>
                <w:rFonts w:hint="eastAsia" w:ascii="宋体" w:hAnsi="宋体" w:eastAsia="Times New Roman" w:cs="宋体"/>
                <w:color w:val="000000"/>
                <w:kern w:val="2"/>
                <w:sz w:val="24"/>
                <w:szCs w:val="21"/>
                <w:highlight w:val="none"/>
                <w:lang w:val="en-US" w:eastAsia="zh-CN" w:bidi="ar-SA"/>
              </w:rPr>
            </w:pPr>
            <w:r>
              <w:rPr>
                <w:rFonts w:hint="eastAsia" w:ascii="宋体" w:hAnsi="宋体" w:eastAsia="Times New Roman" w:cs="宋体"/>
                <w:color w:val="000000"/>
                <w:szCs w:val="21"/>
                <w:highlight w:val="none"/>
              </w:rPr>
              <w:t>差：不满足前述要求者或不提供内容的，得0分。</w:t>
            </w:r>
            <w:r>
              <w:rPr>
                <w:rFonts w:hint="eastAsia" w:ascii="宋体" w:hAnsi="宋体" w:cs="宋体"/>
                <w:color w:val="auto"/>
                <w:szCs w:val="21"/>
                <w:highlight w:val="none"/>
              </w:rPr>
              <w:t>以上内容需提供已完成业绩做为技术支撑。</w:t>
            </w:r>
          </w:p>
        </w:tc>
      </w:tr>
      <w:tr w14:paraId="1ACF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7" w:type="dxa"/>
            <w:vMerge w:val="continue"/>
            <w:vAlign w:val="center"/>
          </w:tcPr>
          <w:p w14:paraId="6E1EFCFD">
            <w:pPr>
              <w:widowControl/>
              <w:spacing w:line="360" w:lineRule="auto"/>
              <w:jc w:val="center"/>
              <w:rPr>
                <w:rFonts w:ascii="宋体" w:hAnsi="宋体" w:cs="宋体"/>
                <w:color w:val="000000"/>
                <w:szCs w:val="21"/>
                <w:highlight w:val="none"/>
              </w:rPr>
            </w:pPr>
          </w:p>
        </w:tc>
        <w:tc>
          <w:tcPr>
            <w:tcW w:w="881" w:type="dxa"/>
            <w:vMerge w:val="continue"/>
            <w:vAlign w:val="center"/>
          </w:tcPr>
          <w:p w14:paraId="628A4D20">
            <w:pPr>
              <w:widowControl/>
              <w:jc w:val="center"/>
              <w:rPr>
                <w:rFonts w:ascii="宋体" w:hAnsi="宋体" w:cs="宋体"/>
                <w:color w:val="000000"/>
                <w:szCs w:val="21"/>
                <w:highlight w:val="none"/>
              </w:rPr>
            </w:pPr>
          </w:p>
        </w:tc>
        <w:tc>
          <w:tcPr>
            <w:tcW w:w="1553" w:type="dxa"/>
            <w:vAlign w:val="center"/>
          </w:tcPr>
          <w:p w14:paraId="767CAD2D">
            <w:pPr>
              <w:keepNext w:val="0"/>
              <w:keepLines w:val="0"/>
              <w:widowControl/>
              <w:suppressLineNumbers w:val="0"/>
              <w:shd w:val="clear"/>
              <w:snapToGrid w:val="0"/>
              <w:spacing w:before="0" w:beforeAutospacing="0" w:after="0" w:afterAutospacing="0" w:line="300" w:lineRule="exact"/>
              <w:ind w:left="0" w:leftChars="0" w:right="0" w:rightChars="0"/>
              <w:jc w:val="left"/>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项目管理班子答辩（10分）</w:t>
            </w:r>
          </w:p>
        </w:tc>
        <w:tc>
          <w:tcPr>
            <w:tcW w:w="11121" w:type="dxa"/>
            <w:vAlign w:val="center"/>
          </w:tcPr>
          <w:p w14:paraId="4449365E">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300" w:lineRule="exact"/>
              <w:ind w:left="0" w:right="0" w:rightChars="0"/>
              <w:contextualSpacing/>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投标人委派本项目拟投入的项目负责人、技术负责人组成1-2人答辩小组进行现场答辩。</w:t>
            </w:r>
          </w:p>
          <w:p w14:paraId="58A344A6">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300" w:lineRule="exact"/>
              <w:ind w:left="0" w:right="0" w:rightChars="0"/>
              <w:contextualSpacing/>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none"/>
                <w:lang w:val="en-US" w:eastAsia="zh-CN"/>
              </w:rPr>
              <w:t>答辩的人员</w:t>
            </w:r>
            <w:r>
              <w:rPr>
                <w:rFonts w:hint="eastAsia" w:ascii="宋体" w:hAnsi="宋体" w:eastAsia="宋体" w:cs="宋体"/>
                <w:b w:val="0"/>
                <w:bCs w:val="0"/>
                <w:color w:val="auto"/>
                <w:sz w:val="21"/>
                <w:szCs w:val="21"/>
                <w:highlight w:val="none"/>
              </w:rPr>
              <w:t>就本工程内容从以下方面进行陈述：</w:t>
            </w:r>
          </w:p>
          <w:p w14:paraId="0440E5D9">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300" w:lineRule="exact"/>
              <w:ind w:left="0" w:right="0" w:rightChars="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1、对参与投标项目的了解情况；</w:t>
            </w:r>
          </w:p>
          <w:p w14:paraId="0B34721B">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300" w:lineRule="exact"/>
              <w:ind w:left="0" w:right="0" w:rightChars="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2、项目施工的重点、难点分析及应对措施；</w:t>
            </w:r>
          </w:p>
          <w:p w14:paraId="2440056B">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300" w:lineRule="exact"/>
              <w:ind w:left="0" w:right="0" w:rightChars="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3、对工程质量、工程总工期的全面掌控，保证工程保质量保工期完工。</w:t>
            </w:r>
          </w:p>
          <w:p w14:paraId="2D7EB8EC">
            <w:pPr>
              <w:keepNext w:val="0"/>
              <w:keepLines w:val="0"/>
              <w:pageBreakBefore w:val="0"/>
              <w:widowControl w:val="0"/>
              <w:suppressLineNumbers w:val="0"/>
              <w:shd w:val="clear"/>
              <w:kinsoku/>
              <w:wordWrap/>
              <w:overflowPunct/>
              <w:topLinePunct w:val="0"/>
              <w:autoSpaceDE/>
              <w:autoSpaceDN/>
              <w:bidi w:val="0"/>
              <w:spacing w:before="0" w:beforeAutospacing="0" w:after="0" w:afterAutospacing="0" w:line="300" w:lineRule="exact"/>
              <w:ind w:left="0" w:right="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解答：评委针对其陈述内容及投标文件所</w:t>
            </w:r>
            <w:r>
              <w:rPr>
                <w:rFonts w:hint="eastAsia" w:ascii="宋体" w:hAnsi="宋体" w:eastAsia="宋体" w:cs="宋体"/>
                <w:color w:val="auto"/>
                <w:sz w:val="21"/>
                <w:szCs w:val="21"/>
                <w:highlight w:val="none"/>
                <w:lang w:eastAsia="zh-CN"/>
              </w:rPr>
              <w:t>提出</w:t>
            </w:r>
            <w:r>
              <w:rPr>
                <w:rFonts w:hint="eastAsia" w:ascii="宋体" w:hAnsi="宋体" w:eastAsia="宋体" w:cs="宋体"/>
                <w:color w:val="auto"/>
                <w:sz w:val="21"/>
                <w:szCs w:val="21"/>
                <w:highlight w:val="none"/>
              </w:rPr>
              <w:t>的相关问题。</w:t>
            </w:r>
          </w:p>
          <w:p w14:paraId="33D277E0">
            <w:pPr>
              <w:keepNext w:val="0"/>
              <w:keepLines w:val="0"/>
              <w:pageBreakBefore w:val="0"/>
              <w:suppressLineNumbers w:val="0"/>
              <w:shd w:val="clear"/>
              <w:kinsoku/>
              <w:wordWrap/>
              <w:overflowPunct/>
              <w:topLinePunct w:val="0"/>
              <w:autoSpaceDE/>
              <w:autoSpaceDN/>
              <w:bidi w:val="0"/>
              <w:spacing w:before="0" w:beforeAutospacing="0" w:after="0" w:afterAutospacing="0" w:line="300" w:lineRule="exact"/>
              <w:ind w:left="0" w:right="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横向比较各投标人的答辩情况：</w:t>
            </w:r>
          </w:p>
          <w:p w14:paraId="430DD748">
            <w:pPr>
              <w:keepNext w:val="0"/>
              <w:keepLines w:val="0"/>
              <w:pageBreakBefore w:val="0"/>
              <w:suppressLineNumbers w:val="0"/>
              <w:shd w:val="clear"/>
              <w:kinsoku/>
              <w:wordWrap/>
              <w:overflowPunct/>
              <w:topLinePunct w:val="0"/>
              <w:autoSpaceDE/>
              <w:autoSpaceDN/>
              <w:bidi w:val="0"/>
              <w:spacing w:before="0" w:beforeAutospacing="0" w:after="0" w:afterAutospacing="0" w:line="300" w:lineRule="exact"/>
              <w:ind w:left="0" w:right="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优：对项目的背景、规模、技术要求、周边环境等情况掌握全面且深入，认识清晰透彻，能够精准剖析施工过程中的重点、难点问题。针对这些重点、难点，制定的应对措施详细且具有创新性，</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丰富实践经验，确保措施切实可行。在工程质量保证方面，建立了完善的质量管控体系</w:t>
            </w:r>
            <w:r>
              <w:rPr>
                <w:rFonts w:hint="eastAsia" w:ascii="宋体" w:hAnsi="宋体" w:eastAsia="宋体" w:cs="宋体"/>
                <w:color w:val="auto"/>
                <w:sz w:val="21"/>
                <w:szCs w:val="21"/>
                <w:highlight w:val="none"/>
                <w:lang w:val="en-US" w:eastAsia="zh-CN"/>
              </w:rPr>
              <w:t>涵盖全流程</w:t>
            </w:r>
            <w:r>
              <w:rPr>
                <w:rFonts w:hint="eastAsia" w:ascii="宋体" w:hAnsi="宋体" w:eastAsia="宋体" w:cs="宋体"/>
                <w:color w:val="auto"/>
                <w:sz w:val="21"/>
                <w:szCs w:val="21"/>
                <w:highlight w:val="none"/>
              </w:rPr>
              <w:t>，采用先进的检测手段和严格的质量标准；工期保证措施科学合理，运用动态规划，充分考虑各环节的衔接和潜在风险，制定多套应急预案。项目管理规划科学严谨，对组织架构、人员分工、资源调配等进行了精细化安排，明确各岗位职责和协作机制，保障团队协作高效有序。在回答评委提问时，思路清晰流畅，逻辑严密，能够迅速抓住问题核心，内容准确详实，引用数据和案例进行有力支撑，充分展现出深厚的专业素养和丰富的项目管理经验。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6FEF9C5">
            <w:pPr>
              <w:keepNext w:val="0"/>
              <w:keepLines w:val="0"/>
              <w:pageBreakBefore w:val="0"/>
              <w:suppressLineNumbers w:val="0"/>
              <w:shd w:val="clear"/>
              <w:kinsoku/>
              <w:wordWrap/>
              <w:overflowPunct/>
              <w:topLinePunct w:val="0"/>
              <w:autoSpaceDE/>
              <w:autoSpaceDN/>
              <w:bidi w:val="0"/>
              <w:spacing w:before="0" w:beforeAutospacing="0" w:after="0" w:afterAutospacing="0" w:line="300" w:lineRule="exact"/>
              <w:ind w:left="0" w:right="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较为清晰地掌握项目的主要情况，对施工重点、难点有较深刻的认识，并提出相应的应对措施，措施具有一定的合理性和可操作性。在工程质量和工期保证方面，制定了较为合理可行的方案，质量保证措施涵盖了关键工序的质量控制要点，工期计划明确了主要节点目标和进度安排。项目管理计划较为完善，对团队成员的职责有明确划分，团队协作机制基本合理，能够保障项目的正常推进。面对评委提问，回答思路比较清晰，内容基本准确，能够对问题进行有效回应，但在专业性和深度</w:t>
            </w:r>
            <w:r>
              <w:rPr>
                <w:rFonts w:hint="eastAsia" w:ascii="宋体" w:hAnsi="宋体" w:eastAsia="宋体" w:cs="宋体"/>
                <w:color w:val="auto"/>
                <w:sz w:val="21"/>
                <w:szCs w:val="21"/>
                <w:highlight w:val="none"/>
                <w:lang w:val="en-US" w:eastAsia="zh-CN"/>
              </w:rPr>
              <w:t>不够</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7D626CBD">
            <w:pPr>
              <w:pStyle w:val="13"/>
              <w:keepNext w:val="0"/>
              <w:keepLines w:val="0"/>
              <w:suppressLineNumbers w:val="0"/>
              <w:shd w:val="clear"/>
              <w:spacing w:before="0" w:beforeAutospacing="0" w:after="0" w:afterAutospacing="0"/>
              <w:ind w:left="0" w:right="0" w:firstLine="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对项目状况有初步了解，能指出部分施工难点，</w:t>
            </w:r>
            <w:r>
              <w:rPr>
                <w:rFonts w:hint="eastAsia" w:ascii="宋体" w:hAnsi="宋体" w:eastAsia="宋体" w:cs="宋体"/>
                <w:color w:val="auto"/>
                <w:highlight w:val="none"/>
                <w:lang w:val="en-US" w:eastAsia="zh-CN"/>
              </w:rPr>
              <w:t>但</w:t>
            </w:r>
            <w:r>
              <w:rPr>
                <w:rFonts w:hint="eastAsia" w:ascii="宋体" w:hAnsi="宋体" w:eastAsia="宋体" w:cs="宋体"/>
                <w:color w:val="auto"/>
                <w:highlight w:val="none"/>
              </w:rPr>
              <w:t>应对措施缺乏针对性，多为泛泛而谈。质量保证措施存在漏洞，部分关键工序质量控制标准模糊；工期计划存在不合理之处，对工序衔接考虑不周</w:t>
            </w:r>
            <w:r>
              <w:rPr>
                <w:rFonts w:hint="eastAsia" w:ascii="宋体" w:hAnsi="宋体" w:eastAsia="宋体" w:cs="宋体"/>
                <w:color w:val="auto"/>
                <w:highlight w:val="none"/>
                <w:lang w:val="en-US" w:eastAsia="zh-CN"/>
              </w:rPr>
              <w:t>全</w:t>
            </w:r>
            <w:r>
              <w:rPr>
                <w:rFonts w:hint="eastAsia" w:ascii="宋体" w:hAnsi="宋体" w:eastAsia="宋体" w:cs="宋体"/>
                <w:color w:val="auto"/>
                <w:highlight w:val="none"/>
              </w:rPr>
              <w:t>，缺乏有效的进度调控手段。项目管理组织架构存在职责交叉，资源调配缺乏科学规划，团队协作偶有不畅。回答评委问题时，表述较为笼统，专业术语运用不规范，解决实际问题的能力较弱，得（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p w14:paraId="15D20DD1">
            <w:pPr>
              <w:keepNext w:val="0"/>
              <w:keepLines w:val="0"/>
              <w:pageBreakBefore w:val="0"/>
              <w:suppressLineNumbers w:val="0"/>
              <w:shd w:val="clear"/>
              <w:kinsoku/>
              <w:wordWrap/>
              <w:overflowPunct/>
              <w:topLinePunct w:val="0"/>
              <w:autoSpaceDE/>
              <w:autoSpaceDN/>
              <w:bidi w:val="0"/>
              <w:spacing w:before="0" w:beforeAutospacing="0" w:after="0" w:afterAutospacing="0" w:line="300" w:lineRule="exact"/>
              <w:ind w:left="0" w:right="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对项目情况认识模糊，未能准确把握施工的重点、难点问题，提出的应对措施空洞无物，缺乏实际可操作性。工程质量和工期保证措施不合理、不可行，无法有效保障项目的质量和进度目标。项目管理计划混乱，团队协作机制不健全，难以实现高效协同。在回答评委提问时，思路混乱，内容错误百出，无法清晰表达观点，严重缺乏专业知识和项目管理能力，不能满足项目实施的基本要求，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006A1295">
            <w:pPr>
              <w:keepNext w:val="0"/>
              <w:keepLines w:val="0"/>
              <w:suppressLineNumbers w:val="0"/>
              <w:shd w:val="clear"/>
              <w:spacing w:before="0" w:beforeAutospacing="0" w:after="0" w:afterAutospacing="0" w:line="300" w:lineRule="exact"/>
              <w:ind w:left="0" w:right="0"/>
              <w:contextualSpacing/>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注：投标人陈述时间不得超过15分钟。</w:t>
            </w:r>
          </w:p>
          <w:p w14:paraId="476FE503">
            <w:pPr>
              <w:keepNext w:val="0"/>
              <w:keepLines w:val="0"/>
              <w:suppressLineNumbers w:val="0"/>
              <w:shd w:val="clear"/>
              <w:spacing w:before="0" w:beforeAutospacing="0" w:after="0" w:afterAutospacing="0" w:line="300" w:lineRule="exact"/>
              <w:ind w:left="0" w:right="0"/>
              <w:contextualSpacing/>
              <w:jc w:val="left"/>
              <w:rPr>
                <w:rFonts w:hint="eastAsia" w:ascii="宋体" w:hAnsi="宋体" w:eastAsia="宋体" w:cs="宋体"/>
                <w:color w:val="000000"/>
                <w:sz w:val="24"/>
                <w:szCs w:val="21"/>
                <w:highlight w:val="none"/>
              </w:rPr>
            </w:pPr>
            <w:r>
              <w:rPr>
                <w:rFonts w:hint="eastAsia" w:ascii="宋体" w:hAnsi="宋体" w:eastAsia="宋体" w:cs="宋体"/>
                <w:color w:val="auto"/>
                <w:szCs w:val="21"/>
                <w:highlight w:val="none"/>
                <w:lang w:val="en-US" w:eastAsia="zh-CN"/>
              </w:rPr>
              <w:t>①答辩签到：项目负责人或技术负责人须携带本人身份证原件参加答辩，并在评标当天到达广州公共资源交易中心（广州市天河区天润路333号3楼）签到等候，签到时间为评标开始后2小时内，具体签到时间和地点以招标人（招标代理）通知为准。答辩人员到场后出示身份证原件，核对确认身份后签到。未能在规定的时间内进行签到的，视为放弃答辩。②答辩进场顺序：按开标记录表顺序号从小到大依次进场答辩。③答辩设备：陈述需使用的设备由投标人自行准备（包括但不限于电脑、线材、转接口、网络等）。</w:t>
            </w:r>
          </w:p>
        </w:tc>
      </w:tr>
      <w:tr w14:paraId="2FD1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161" w:type="dxa"/>
            <w:gridSpan w:val="3"/>
            <w:vAlign w:val="center"/>
          </w:tcPr>
          <w:p w14:paraId="4AE61ADB">
            <w:pPr>
              <w:widowControl/>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合计（100分）</w:t>
            </w:r>
          </w:p>
        </w:tc>
        <w:tc>
          <w:tcPr>
            <w:tcW w:w="11121" w:type="dxa"/>
            <w:vAlign w:val="center"/>
          </w:tcPr>
          <w:p w14:paraId="19D1C6D4">
            <w:pPr>
              <w:adjustRightInd w:val="0"/>
              <w:snapToGrid w:val="0"/>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（一）得分+（二）得分</w:t>
            </w:r>
          </w:p>
        </w:tc>
      </w:tr>
    </w:tbl>
    <w:p w14:paraId="493A7BCA">
      <w:pPr>
        <w:tabs>
          <w:tab w:val="left" w:pos="1526"/>
        </w:tabs>
        <w:adjustRightInd w:val="0"/>
        <w:snapToGrid w:val="0"/>
        <w:spacing w:line="360" w:lineRule="auto"/>
        <w:ind w:left="-53" w:leftChars="-25" w:right="-50" w:rightChars="-24" w:firstLine="360"/>
        <w:rPr>
          <w:rFonts w:ascii="宋体" w:hAnsi="宋体" w:cs="宋体"/>
          <w:bCs/>
          <w:color w:val="000000"/>
          <w:sz w:val="24"/>
          <w:szCs w:val="24"/>
          <w:highlight w:val="none"/>
        </w:rPr>
      </w:pPr>
      <w:r>
        <w:rPr>
          <w:rFonts w:hint="eastAsia" w:ascii="宋体" w:hAnsi="宋体" w:cs="宋体"/>
          <w:bCs/>
          <w:color w:val="000000"/>
          <w:sz w:val="24"/>
          <w:szCs w:val="24"/>
          <w:highlight w:val="none"/>
          <w:lang w:val="zh-CN"/>
        </w:rPr>
        <w:t>注：</w:t>
      </w:r>
      <w:r>
        <w:rPr>
          <w:rFonts w:hint="eastAsia" w:ascii="宋体" w:hAnsi="宋体" w:cs="宋体"/>
          <w:b/>
          <w:color w:val="000000"/>
          <w:sz w:val="24"/>
          <w:szCs w:val="24"/>
          <w:highlight w:val="none"/>
          <w:lang w:val="zh-CN"/>
        </w:rPr>
        <w:t>1.【企业类似业绩】</w:t>
      </w:r>
      <w:r>
        <w:rPr>
          <w:rFonts w:hint="eastAsia" w:ascii="宋体" w:hAnsi="宋体" w:cs="宋体"/>
          <w:b/>
          <w:color w:val="000000"/>
          <w:sz w:val="24"/>
          <w:szCs w:val="24"/>
          <w:highlight w:val="none"/>
        </w:rPr>
        <w:t>如投标人提供的企业类似业绩同时满足上述“（1）施工业绩”要求和“（2）设计业绩”要求，仅计算一次施工业绩得分或一次设计业绩得分，不得同时计算施工业绩部分得分和设计业绩部分得分。</w:t>
      </w:r>
    </w:p>
    <w:p w14:paraId="6A9B00B2">
      <w:pPr>
        <w:spacing w:line="360" w:lineRule="auto"/>
        <w:ind w:right="210" w:rightChars="100" w:firstLine="360"/>
        <w:rPr>
          <w:rFonts w:hAnsi="宋体" w:eastAsia="Times New Roman"/>
          <w:bCs w:val="0"/>
          <w:color w:val="000000"/>
          <w:sz w:val="24"/>
          <w:szCs w:val="24"/>
          <w:highlight w:val="none"/>
        </w:rPr>
      </w:pPr>
      <w:r>
        <w:rPr>
          <w:rFonts w:hint="eastAsia" w:hAnsi="宋体"/>
          <w:bCs/>
          <w:color w:val="000000"/>
          <w:sz w:val="24"/>
          <w:szCs w:val="24"/>
          <w:highlight w:val="none"/>
        </w:rPr>
        <w:t>2.</w:t>
      </w:r>
      <w:r>
        <w:rPr>
          <w:rFonts w:hint="eastAsia" w:ascii="宋体" w:hAnsi="宋体" w:cs="宋体"/>
          <w:b/>
          <w:color w:val="000000"/>
          <w:sz w:val="24"/>
          <w:szCs w:val="24"/>
          <w:highlight w:val="none"/>
          <w:lang w:val="zh-CN"/>
        </w:rPr>
        <w:t>【</w:t>
      </w:r>
      <w:r>
        <w:rPr>
          <w:rFonts w:ascii="宋体" w:hAnsi="宋体" w:cs="宋体"/>
          <w:b/>
          <w:color w:val="000000"/>
          <w:sz w:val="24"/>
          <w:szCs w:val="24"/>
          <w:highlight w:val="none"/>
        </w:rPr>
        <w:t>工程</w:t>
      </w:r>
      <w:r>
        <w:rPr>
          <w:rFonts w:ascii="宋体" w:hAnsi="宋体" w:cs="宋体"/>
          <w:b/>
          <w:color w:val="000000"/>
          <w:sz w:val="24"/>
          <w:szCs w:val="24"/>
          <w:highlight w:val="none"/>
          <w:lang w:val="zh-CN"/>
        </w:rPr>
        <w:t>获奖</w:t>
      </w:r>
      <w:r>
        <w:rPr>
          <w:rFonts w:hint="eastAsia" w:ascii="宋体" w:hAnsi="宋体" w:cs="宋体"/>
          <w:b/>
          <w:color w:val="000000"/>
          <w:sz w:val="24"/>
          <w:szCs w:val="24"/>
          <w:highlight w:val="none"/>
          <w:lang w:val="zh-CN"/>
        </w:rPr>
        <w:t>】</w:t>
      </w:r>
      <w:r>
        <w:rPr>
          <w:rFonts w:hint="eastAsia" w:ascii="宋体" w:hAnsi="宋体" w:cs="宋体"/>
          <w:bCs w:val="0"/>
          <w:color w:val="000000"/>
          <w:sz w:val="24"/>
          <w:szCs w:val="24"/>
          <w:highlight w:val="none"/>
        </w:rPr>
        <w:t>工程获奖可取自广州市住建行业信用管理平台或提供获奖证书扫描件。①国家级工程质量奖项指的是中国建设工程鲁班奖、国家优质工程金奖、国家优质工程奖、中国土木工程詹天佑奖；省或市级奖项包括：由省、市级建设行政主管部门或行业协会（行业协会须在民政部门取得成立登记批准）颁发的质量类工程奖项，其它如安全文明、绿色施工、技术创新、</w:t>
      </w:r>
      <w:r>
        <w:rPr>
          <w:rFonts w:hint="eastAsia" w:hAnsi="宋体" w:eastAsia="Times New Roman"/>
          <w:bCs w:val="0"/>
          <w:color w:val="000000"/>
          <w:sz w:val="24"/>
          <w:szCs w:val="24"/>
          <w:highlight w:val="none"/>
        </w:rPr>
        <w:t>QC</w:t>
      </w:r>
      <w:r>
        <w:rPr>
          <w:rFonts w:hint="eastAsia" w:ascii="宋体" w:hAnsi="宋体" w:cs="宋体"/>
          <w:bCs w:val="0"/>
          <w:color w:val="000000"/>
          <w:sz w:val="24"/>
          <w:szCs w:val="24"/>
          <w:highlight w:val="none"/>
        </w:rPr>
        <w:t>成果、钢结构、科技进步及技术应用类奖项不参与计分；②建类工程质量奖项，其他非房建项目，如：路桥、铁路、水利、电力、化工、冶金、市政等获奖不参与计分。同一项目获得多个奖项的，该项目获奖只按其中一个奖项所在最高级别计算一次分数，不得重复计算。</w:t>
      </w:r>
    </w:p>
    <w:p w14:paraId="182A3CBB">
      <w:pPr>
        <w:spacing w:line="360" w:lineRule="auto"/>
        <w:ind w:right="210" w:rightChars="100" w:firstLine="360"/>
        <w:rPr>
          <w:rFonts w:ascii="Times New Roman" w:hAnsi="宋体" w:eastAsia="Times New Roman" w:cs="Times New Roman"/>
          <w:color w:val="000000"/>
          <w:sz w:val="24"/>
          <w:szCs w:val="24"/>
          <w:highlight w:val="none"/>
        </w:rPr>
      </w:pPr>
      <w:r>
        <w:rPr>
          <w:rFonts w:hint="eastAsia" w:ascii="宋体" w:hAnsi="宋体" w:cs="宋体"/>
          <w:bCs w:val="0"/>
          <w:color w:val="000000"/>
          <w:sz w:val="24"/>
          <w:szCs w:val="24"/>
          <w:highlight w:val="none"/>
        </w:rPr>
        <w:t>（</w:t>
      </w:r>
      <w:r>
        <w:rPr>
          <w:rFonts w:hint="eastAsia" w:hAnsi="宋体" w:eastAsia="Times New Roman"/>
          <w:bCs w:val="0"/>
          <w:color w:val="000000"/>
          <w:sz w:val="24"/>
          <w:szCs w:val="24"/>
          <w:highlight w:val="none"/>
        </w:rPr>
        <w:t>2</w:t>
      </w:r>
      <w:r>
        <w:rPr>
          <w:rFonts w:hint="eastAsia" w:ascii="宋体" w:hAnsi="宋体" w:cs="宋体"/>
          <w:bCs w:val="0"/>
          <w:color w:val="000000"/>
          <w:sz w:val="24"/>
          <w:szCs w:val="24"/>
          <w:highlight w:val="none"/>
        </w:rPr>
        <w:t>）投标人须提交获奖证书扫描件或广州市住建行业信用管理平台的网页信息截图（网页信息截图须能清晰显示带有</w:t>
      </w:r>
      <w:r>
        <w:rPr>
          <w:rFonts w:hint="default" w:hAnsi="Times New Roman" w:eastAsia="Times New Roman"/>
          <w:bCs w:val="0"/>
          <w:color w:val="000000"/>
          <w:sz w:val="24"/>
          <w:szCs w:val="24"/>
          <w:highlight w:val="none"/>
        </w:rPr>
        <w:t>“</w:t>
      </w:r>
      <w:r>
        <w:rPr>
          <w:rFonts w:hint="eastAsia" w:ascii="宋体" w:hAnsi="宋体" w:cs="宋体"/>
          <w:bCs w:val="0"/>
          <w:color w:val="000000"/>
          <w:sz w:val="24"/>
          <w:szCs w:val="24"/>
          <w:highlight w:val="none"/>
        </w:rPr>
        <w:t>住建行业信用管理平台</w:t>
      </w:r>
      <w:r>
        <w:rPr>
          <w:rFonts w:hint="default" w:hAnsi="Times New Roman" w:eastAsia="Times New Roman"/>
          <w:bCs w:val="0"/>
          <w:color w:val="000000"/>
          <w:sz w:val="24"/>
          <w:szCs w:val="24"/>
          <w:highlight w:val="none"/>
        </w:rPr>
        <w:t>”</w:t>
      </w:r>
      <w:r>
        <w:rPr>
          <w:rFonts w:hint="eastAsia" w:ascii="宋体" w:hAnsi="宋体" w:cs="宋体"/>
          <w:bCs w:val="0"/>
          <w:color w:val="000000"/>
          <w:sz w:val="24"/>
          <w:szCs w:val="24"/>
          <w:highlight w:val="none"/>
        </w:rPr>
        <w:t>名称，并至少包含</w:t>
      </w:r>
      <w:r>
        <w:rPr>
          <w:rFonts w:hint="default" w:hAnsi="Times New Roman" w:eastAsia="Times New Roman"/>
          <w:bCs w:val="0"/>
          <w:color w:val="000000"/>
          <w:sz w:val="24"/>
          <w:szCs w:val="24"/>
          <w:highlight w:val="none"/>
        </w:rPr>
        <w:t>“</w:t>
      </w:r>
      <w:r>
        <w:rPr>
          <w:rFonts w:hint="eastAsia" w:ascii="宋体" w:hAnsi="宋体" w:cs="宋体"/>
          <w:bCs w:val="0"/>
          <w:color w:val="000000"/>
          <w:sz w:val="24"/>
          <w:szCs w:val="24"/>
          <w:highlight w:val="none"/>
        </w:rPr>
        <w:t>项目基本信息</w:t>
      </w:r>
      <w:r>
        <w:rPr>
          <w:rFonts w:hint="default" w:hAnsi="Times New Roman" w:eastAsia="Times New Roman"/>
          <w:bCs w:val="0"/>
          <w:color w:val="000000"/>
          <w:sz w:val="24"/>
          <w:szCs w:val="24"/>
          <w:highlight w:val="none"/>
        </w:rPr>
        <w:t>”</w:t>
      </w:r>
      <w:r>
        <w:rPr>
          <w:rFonts w:hint="eastAsia" w:ascii="宋体" w:hAnsi="宋体" w:cs="宋体"/>
          <w:bCs w:val="0"/>
          <w:color w:val="000000"/>
          <w:sz w:val="24"/>
          <w:szCs w:val="24"/>
          <w:highlight w:val="none"/>
        </w:rPr>
        <w:t>、</w:t>
      </w:r>
      <w:r>
        <w:rPr>
          <w:rFonts w:hint="default" w:hAnsi="Times New Roman" w:eastAsia="Times New Roman"/>
          <w:bCs w:val="0"/>
          <w:color w:val="000000"/>
          <w:sz w:val="24"/>
          <w:szCs w:val="24"/>
          <w:highlight w:val="none"/>
        </w:rPr>
        <w:t>“</w:t>
      </w:r>
      <w:r>
        <w:rPr>
          <w:rFonts w:hint="eastAsia" w:ascii="宋体" w:hAnsi="宋体" w:cs="宋体"/>
          <w:bCs w:val="0"/>
          <w:color w:val="000000"/>
          <w:sz w:val="24"/>
          <w:szCs w:val="24"/>
          <w:highlight w:val="none"/>
        </w:rPr>
        <w:t>奖项信息</w:t>
      </w:r>
      <w:r>
        <w:rPr>
          <w:rFonts w:hint="default" w:hAnsi="Times New Roman" w:eastAsia="Times New Roman"/>
          <w:bCs w:val="0"/>
          <w:color w:val="000000"/>
          <w:sz w:val="24"/>
          <w:szCs w:val="24"/>
          <w:highlight w:val="none"/>
        </w:rPr>
        <w:t>”</w:t>
      </w:r>
      <w:r>
        <w:rPr>
          <w:rFonts w:hint="eastAsia" w:ascii="宋体" w:hAnsi="宋体" w:cs="宋体"/>
          <w:bCs w:val="0"/>
          <w:color w:val="000000"/>
          <w:sz w:val="24"/>
          <w:szCs w:val="24"/>
          <w:highlight w:val="none"/>
        </w:rPr>
        <w:t>等信息），时间以获奖证书颁发时间为准，并加盖投标人电子印章，不符合上述条件不予评审。</w:t>
      </w:r>
    </w:p>
    <w:p w14:paraId="0A01BFD9">
      <w:pPr>
        <w:spacing w:line="360" w:lineRule="auto"/>
        <w:ind w:right="210" w:rightChars="100" w:firstLine="360"/>
        <w:rPr>
          <w:rFonts w:hAnsi="宋体"/>
          <w:color w:val="000000"/>
          <w:sz w:val="24"/>
          <w:szCs w:val="24"/>
          <w:highlight w:val="none"/>
        </w:rPr>
      </w:pPr>
      <w:r>
        <w:rPr>
          <w:rFonts w:hint="eastAsia" w:hAnsi="宋体"/>
          <w:bCs/>
          <w:color w:val="000000"/>
          <w:sz w:val="24"/>
          <w:szCs w:val="24"/>
          <w:highlight w:val="none"/>
        </w:rPr>
        <w:t>3.【纳税信用评价】：</w:t>
      </w:r>
      <w:r>
        <w:rPr>
          <w:rFonts w:hint="eastAsia" w:hAnsi="宋体" w:eastAsia="Times New Roman"/>
          <w:color w:val="000000"/>
          <w:sz w:val="24"/>
          <w:szCs w:val="24"/>
          <w:highlight w:val="none"/>
        </w:rPr>
        <w:t>如为联合体投标，由联合体</w:t>
      </w:r>
      <w:r>
        <w:rPr>
          <w:rFonts w:hint="eastAsia" w:hAnsi="宋体"/>
          <w:color w:val="000000"/>
          <w:sz w:val="24"/>
          <w:szCs w:val="24"/>
          <w:highlight w:val="none"/>
        </w:rPr>
        <w:t>设计</w:t>
      </w:r>
      <w:r>
        <w:rPr>
          <w:rFonts w:hint="eastAsia" w:hAnsi="宋体" w:eastAsia="Times New Roman"/>
          <w:color w:val="000000"/>
          <w:sz w:val="24"/>
          <w:szCs w:val="24"/>
          <w:highlight w:val="none"/>
        </w:rPr>
        <w:t>方提供。</w:t>
      </w:r>
      <w:r>
        <w:rPr>
          <w:rFonts w:hint="eastAsia" w:hAnsi="宋体"/>
          <w:color w:val="000000"/>
          <w:sz w:val="24"/>
          <w:szCs w:val="24"/>
          <w:highlight w:val="none"/>
        </w:rPr>
        <w:t>（1）</w:t>
      </w:r>
      <w:r>
        <w:rPr>
          <w:rFonts w:hint="eastAsia" w:hAnsi="宋体" w:eastAsia="Times New Roman"/>
          <w:color w:val="000000"/>
          <w:sz w:val="24"/>
          <w:szCs w:val="24"/>
          <w:highlight w:val="none"/>
        </w:rPr>
        <w:t>纳税信用A级纳税人须供国家税务总局官网(</w:t>
      </w:r>
      <w:r>
        <w:rPr>
          <w:highlight w:val="none"/>
        </w:rPr>
        <w:fldChar w:fldCharType="begin"/>
      </w:r>
      <w:r>
        <w:rPr>
          <w:highlight w:val="none"/>
        </w:rPr>
        <w:instrText xml:space="preserve"> HYPERLINK "https://www.chinatax.gov.cn/" </w:instrText>
      </w:r>
      <w:r>
        <w:rPr>
          <w:highlight w:val="none"/>
        </w:rPr>
        <w:fldChar w:fldCharType="separate"/>
      </w:r>
      <w:r>
        <w:rPr>
          <w:rFonts w:hAnsi="宋体" w:eastAsia="Times New Roman"/>
          <w:color w:val="000000"/>
          <w:sz w:val="24"/>
          <w:szCs w:val="24"/>
          <w:highlight w:val="none"/>
        </w:rPr>
        <w:t>https://www.chinatax.gov.cn/</w:t>
      </w:r>
      <w:r>
        <w:rPr>
          <w:rFonts w:hAnsi="宋体" w:eastAsia="Times New Roman"/>
          <w:color w:val="000000"/>
          <w:sz w:val="24"/>
          <w:szCs w:val="24"/>
          <w:highlight w:val="none"/>
        </w:rPr>
        <w:fldChar w:fldCharType="end"/>
      </w:r>
      <w:r>
        <w:rPr>
          <w:rFonts w:hint="eastAsia" w:hAnsi="宋体" w:eastAsia="Times New Roman"/>
          <w:color w:val="000000"/>
          <w:sz w:val="24"/>
          <w:szCs w:val="24"/>
          <w:highlight w:val="none"/>
        </w:rPr>
        <w:t>)“纳税信用A级纳税人名单公布栏”查询结果网页截图或其省级(含直辖市)税务局官网“纳税信用A级纳税人名单公布栏”查询结果网页截图。时间以国家税务总局或其省级(含直辖市)税务局网站纳税信用信息查询结果的网页截图公布的评价年度为准</w:t>
      </w:r>
      <w:r>
        <w:rPr>
          <w:rFonts w:hint="eastAsia" w:hAnsi="宋体"/>
          <w:color w:val="000000"/>
          <w:sz w:val="24"/>
          <w:szCs w:val="24"/>
          <w:highlight w:val="none"/>
        </w:rPr>
        <w:t>。（2）纳税信用B级纳税人或纳税信用M级纳税人：投标人须提供由税务局出具的盖章证明材料或在税务局官网查询的纳税信用登记信息查询结果网页截图。</w:t>
      </w:r>
    </w:p>
    <w:p w14:paraId="0B66834A">
      <w:pPr>
        <w:spacing w:line="360" w:lineRule="auto"/>
        <w:ind w:right="210" w:rightChars="100" w:firstLine="360"/>
        <w:rPr>
          <w:rFonts w:hAnsi="宋体"/>
          <w:bCs/>
          <w:color w:val="000000"/>
          <w:sz w:val="24"/>
          <w:szCs w:val="24"/>
          <w:highlight w:val="none"/>
        </w:rPr>
      </w:pPr>
      <w:r>
        <w:rPr>
          <w:rFonts w:hint="eastAsia" w:hAnsi="宋体" w:eastAsia="Times New Roman"/>
          <w:color w:val="000000"/>
          <w:sz w:val="24"/>
          <w:szCs w:val="24"/>
          <w:highlight w:val="none"/>
        </w:rPr>
        <w:t>上述资料显示的纳税人全称须与投标人名称一致，否则不得分。不满足上述要求或无提交上述资料不得分。</w:t>
      </w:r>
    </w:p>
    <w:p w14:paraId="5B6698AA">
      <w:pPr>
        <w:spacing w:line="360" w:lineRule="auto"/>
        <w:ind w:firstLine="360"/>
        <w:rPr>
          <w:rFonts w:hAnsi="宋体"/>
          <w:bCs/>
          <w:color w:val="000000"/>
          <w:sz w:val="24"/>
          <w:szCs w:val="24"/>
          <w:highlight w:val="none"/>
        </w:rPr>
      </w:pPr>
      <w:r>
        <w:rPr>
          <w:rFonts w:hint="eastAsia" w:hAnsi="宋体"/>
          <w:b/>
          <w:color w:val="000000"/>
          <w:sz w:val="24"/>
          <w:szCs w:val="24"/>
          <w:highlight w:val="none"/>
        </w:rPr>
        <w:t>4.以上所附证件证书及证明文件均须提供原件扫描件，投标人提供的网页截图或原件扫描件必须加盖投标人电子印章且内容必须清晰可辨，如因网页截图或扫描件内容模糊导致评标时无法判断的，后果由投标人自负。上述资料不提供或提供不完整或提供不符合要求的不得分。中标单位需准备投标文件涉及的所有原件待查，如原件不齐或与原件不符的，招标人有权取消其中标人资格，并上报建设行政主管部门。</w:t>
      </w:r>
    </w:p>
    <w:p w14:paraId="37F77071">
      <w:pPr>
        <w:spacing w:line="360" w:lineRule="auto"/>
        <w:ind w:firstLine="360"/>
        <w:rPr>
          <w:rFonts w:hAnsi="宋体"/>
          <w:color w:val="000000"/>
          <w:sz w:val="24"/>
          <w:szCs w:val="24"/>
          <w:highlight w:val="none"/>
        </w:rPr>
      </w:pPr>
      <w:r>
        <w:rPr>
          <w:rFonts w:hint="eastAsia" w:hAnsi="宋体"/>
          <w:color w:val="000000"/>
          <w:sz w:val="24"/>
          <w:szCs w:val="24"/>
          <w:highlight w:val="none"/>
        </w:rPr>
        <w:t>5.本表按百分制评分，</w:t>
      </w:r>
      <w:r>
        <w:rPr>
          <w:rFonts w:hint="eastAsia" w:hAnsi="宋体"/>
          <w:bCs/>
          <w:color w:val="000000"/>
          <w:sz w:val="24"/>
          <w:szCs w:val="24"/>
          <w:highlight w:val="none"/>
        </w:rPr>
        <w:t>所有评委总分汇总后的算术平均值为投标人的工程总承包实施方案部分最终得分</w:t>
      </w:r>
      <w:r>
        <w:rPr>
          <w:rFonts w:hint="eastAsia" w:hAnsi="宋体"/>
          <w:b/>
          <w:color w:val="000000"/>
          <w:sz w:val="24"/>
          <w:szCs w:val="24"/>
          <w:highlight w:val="none"/>
        </w:rPr>
        <w:t>。</w:t>
      </w:r>
      <w:r>
        <w:rPr>
          <w:rFonts w:hint="eastAsia" w:hAnsi="宋体"/>
          <w:color w:val="000000"/>
          <w:sz w:val="24"/>
          <w:szCs w:val="24"/>
          <w:highlight w:val="none"/>
        </w:rPr>
        <w:t>分数出现小数点，保留小数点后二位小数，第三位小数四舍五入。投标人满足多个档次的，按最高档得分。</w:t>
      </w:r>
    </w:p>
    <w:p w14:paraId="3E2587D4">
      <w:pPr>
        <w:spacing w:line="360" w:lineRule="auto"/>
        <w:ind w:firstLine="360"/>
        <w:rPr>
          <w:rFonts w:hAnsi="宋体"/>
          <w:color w:val="000000"/>
          <w:sz w:val="24"/>
          <w:szCs w:val="24"/>
          <w:highlight w:val="none"/>
        </w:rPr>
      </w:pPr>
      <w:r>
        <w:rPr>
          <w:rFonts w:hint="eastAsia" w:hAnsi="宋体"/>
          <w:color w:val="000000"/>
          <w:sz w:val="24"/>
          <w:szCs w:val="24"/>
          <w:highlight w:val="none"/>
        </w:rPr>
        <w:t>6.上表分值中“[”“]”表示包含本数，“（”“）”表示不包含本数。</w:t>
      </w:r>
    </w:p>
    <w:p w14:paraId="49AD194C">
      <w:pPr>
        <w:ind w:firstLine="363"/>
        <w:rPr>
          <w:rFonts w:ascii="宋体" w:hAnsi="宋体" w:cs="宋体"/>
          <w:szCs w:val="21"/>
          <w:highlight w:val="none"/>
        </w:rPr>
      </w:pPr>
      <w:r>
        <w:rPr>
          <w:rFonts w:hint="eastAsia"/>
          <w:color w:val="000000"/>
          <w:sz w:val="24"/>
          <w:szCs w:val="24"/>
          <w:highlight w:val="none"/>
        </w:rPr>
        <w:t>评委签名：                              日期：</w:t>
      </w:r>
    </w:p>
    <w:p w14:paraId="3EB02355">
      <w:pPr>
        <w:rPr>
          <w:rFonts w:ascii="宋体" w:hAnsi="宋体" w:cs="宋体"/>
          <w:sz w:val="24"/>
          <w:szCs w:val="24"/>
          <w:highlight w:val="none"/>
        </w:rPr>
      </w:pPr>
      <w:r>
        <w:rPr>
          <w:rFonts w:hint="eastAsia" w:ascii="宋体" w:hAnsi="宋体" w:cs="宋体"/>
          <w:sz w:val="24"/>
          <w:szCs w:val="24"/>
          <w:highlight w:val="none"/>
        </w:rPr>
        <w:br w:type="page"/>
      </w:r>
    </w:p>
    <w:p w14:paraId="2F625359">
      <w:pPr>
        <w:spacing w:line="360" w:lineRule="auto"/>
        <w:rPr>
          <w:rFonts w:ascii="宋体" w:hAnsi="宋体" w:cs="宋体"/>
          <w:b/>
          <w:sz w:val="24"/>
          <w:highlight w:val="none"/>
        </w:rPr>
      </w:pPr>
      <w:r>
        <w:rPr>
          <w:rFonts w:hint="eastAsia" w:ascii="宋体" w:hAnsi="宋体" w:cs="宋体"/>
          <w:b/>
          <w:sz w:val="24"/>
          <w:highlight w:val="none"/>
        </w:rPr>
        <w:t>附表：《项目管理岗位配备基本要求表》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1176"/>
        <w:gridCol w:w="8368"/>
      </w:tblGrid>
      <w:tr w14:paraId="51B1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0" w:type="dxa"/>
            <w:vAlign w:val="center"/>
          </w:tcPr>
          <w:p w14:paraId="4126FCEF">
            <w:pPr>
              <w:jc w:val="center"/>
              <w:rPr>
                <w:rFonts w:ascii="宋体" w:hAnsi="宋体" w:cs="宋体"/>
                <w:b/>
                <w:sz w:val="24"/>
                <w:highlight w:val="none"/>
              </w:rPr>
            </w:pPr>
            <w:r>
              <w:rPr>
                <w:rFonts w:hint="eastAsia" w:ascii="宋体" w:hAnsi="宋体" w:cs="宋体"/>
                <w:b/>
                <w:sz w:val="24"/>
                <w:highlight w:val="none"/>
              </w:rPr>
              <w:t>岗位名称</w:t>
            </w:r>
          </w:p>
        </w:tc>
        <w:tc>
          <w:tcPr>
            <w:tcW w:w="1176" w:type="dxa"/>
            <w:vAlign w:val="center"/>
          </w:tcPr>
          <w:p w14:paraId="7F226777">
            <w:pPr>
              <w:jc w:val="center"/>
              <w:rPr>
                <w:rFonts w:ascii="宋体" w:hAnsi="宋体" w:cs="宋体"/>
                <w:b/>
                <w:sz w:val="24"/>
                <w:highlight w:val="none"/>
              </w:rPr>
            </w:pPr>
            <w:r>
              <w:rPr>
                <w:rFonts w:hint="eastAsia" w:ascii="宋体" w:hAnsi="宋体" w:cs="宋体"/>
                <w:b/>
                <w:sz w:val="24"/>
                <w:highlight w:val="none"/>
              </w:rPr>
              <w:t>人数要求</w:t>
            </w:r>
          </w:p>
        </w:tc>
        <w:tc>
          <w:tcPr>
            <w:tcW w:w="8368" w:type="dxa"/>
            <w:vAlign w:val="center"/>
          </w:tcPr>
          <w:p w14:paraId="616DB7AC">
            <w:pPr>
              <w:jc w:val="center"/>
              <w:rPr>
                <w:rFonts w:ascii="宋体" w:hAnsi="宋体" w:cs="宋体"/>
                <w:b/>
                <w:sz w:val="24"/>
                <w:highlight w:val="none"/>
              </w:rPr>
            </w:pPr>
            <w:r>
              <w:rPr>
                <w:rFonts w:hint="eastAsia" w:ascii="宋体" w:hAnsi="宋体" w:cs="宋体"/>
                <w:b/>
                <w:sz w:val="24"/>
                <w:highlight w:val="none"/>
              </w:rPr>
              <w:t>基本要求</w:t>
            </w:r>
          </w:p>
        </w:tc>
      </w:tr>
      <w:tr w14:paraId="2541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74" w:type="dxa"/>
            <w:gridSpan w:val="3"/>
            <w:vAlign w:val="center"/>
          </w:tcPr>
          <w:p w14:paraId="531D3ED5">
            <w:pPr>
              <w:rPr>
                <w:rFonts w:ascii="宋体" w:hAnsi="宋体" w:cs="宋体"/>
                <w:sz w:val="24"/>
                <w:highlight w:val="none"/>
              </w:rPr>
            </w:pPr>
            <w:r>
              <w:rPr>
                <w:rFonts w:hint="eastAsia" w:ascii="宋体" w:hAnsi="宋体" w:cs="宋体"/>
                <w:b/>
                <w:bCs/>
                <w:sz w:val="24"/>
                <w:highlight w:val="none"/>
              </w:rPr>
              <w:t>设计人员部分</w:t>
            </w:r>
            <w:r>
              <w:rPr>
                <w:rFonts w:hint="eastAsia" w:ascii="宋体" w:hAnsi="宋体" w:cs="宋体"/>
                <w:kern w:val="0"/>
                <w:szCs w:val="21"/>
                <w:highlight w:val="none"/>
              </w:rPr>
              <w:t>（</w:t>
            </w:r>
            <w:r>
              <w:rPr>
                <w:rFonts w:hint="eastAsia" w:ascii="宋体" w:hAnsi="宋体" w:cs="宋体"/>
                <w:bCs/>
                <w:szCs w:val="21"/>
                <w:highlight w:val="none"/>
              </w:rPr>
              <w:t>联合体投标的，</w:t>
            </w:r>
            <w:r>
              <w:rPr>
                <w:rFonts w:hint="eastAsia" w:ascii="宋体" w:hAnsi="宋体" w:cs="宋体"/>
                <w:szCs w:val="21"/>
                <w:highlight w:val="none"/>
              </w:rPr>
              <w:t>由联合体中的设计方提供</w:t>
            </w:r>
            <w:r>
              <w:rPr>
                <w:rFonts w:hint="eastAsia" w:ascii="宋体" w:hAnsi="宋体" w:cs="宋体"/>
                <w:kern w:val="0"/>
                <w:szCs w:val="21"/>
                <w:highlight w:val="none"/>
              </w:rPr>
              <w:t>）</w:t>
            </w:r>
          </w:p>
        </w:tc>
      </w:tr>
      <w:tr w14:paraId="31D9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0" w:type="dxa"/>
            <w:vAlign w:val="center"/>
          </w:tcPr>
          <w:p w14:paraId="105C9BDF">
            <w:pPr>
              <w:jc w:val="left"/>
              <w:rPr>
                <w:rFonts w:ascii="宋体" w:hAnsi="宋体" w:cs="宋体"/>
                <w:sz w:val="24"/>
                <w:highlight w:val="none"/>
              </w:rPr>
            </w:pPr>
            <w:r>
              <w:rPr>
                <w:rFonts w:hint="eastAsia" w:ascii="宋体" w:hAnsi="宋体" w:cs="宋体"/>
                <w:sz w:val="24"/>
                <w:highlight w:val="none"/>
              </w:rPr>
              <w:t>设计负责人</w:t>
            </w:r>
          </w:p>
        </w:tc>
        <w:tc>
          <w:tcPr>
            <w:tcW w:w="1176" w:type="dxa"/>
            <w:vAlign w:val="center"/>
          </w:tcPr>
          <w:p w14:paraId="23004747">
            <w:pPr>
              <w:jc w:val="center"/>
              <w:rPr>
                <w:rFonts w:ascii="宋体" w:hAnsi="宋体" w:cs="宋体"/>
                <w:sz w:val="24"/>
                <w:highlight w:val="none"/>
              </w:rPr>
            </w:pPr>
            <w:r>
              <w:rPr>
                <w:rFonts w:hint="eastAsia" w:ascii="宋体" w:hAnsi="宋体" w:cs="宋体"/>
                <w:sz w:val="24"/>
                <w:highlight w:val="none"/>
              </w:rPr>
              <w:t>1人</w:t>
            </w:r>
          </w:p>
        </w:tc>
        <w:tc>
          <w:tcPr>
            <w:tcW w:w="8368" w:type="dxa"/>
            <w:vAlign w:val="center"/>
          </w:tcPr>
          <w:p w14:paraId="06CC771F">
            <w:pPr>
              <w:jc w:val="left"/>
              <w:rPr>
                <w:rFonts w:ascii="宋体" w:hAnsi="宋体" w:cs="宋体"/>
                <w:sz w:val="24"/>
                <w:highlight w:val="none"/>
              </w:rPr>
            </w:pPr>
            <w:r>
              <w:rPr>
                <w:rFonts w:hint="eastAsia" w:ascii="宋体" w:hAnsi="宋体" w:cs="宋体"/>
                <w:sz w:val="24"/>
                <w:highlight w:val="none"/>
              </w:rPr>
              <w:t>按招标公告要求</w:t>
            </w:r>
          </w:p>
        </w:tc>
      </w:tr>
      <w:tr w14:paraId="229D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0" w:type="dxa"/>
            <w:vAlign w:val="center"/>
          </w:tcPr>
          <w:p w14:paraId="1E210009">
            <w:pPr>
              <w:jc w:val="left"/>
              <w:rPr>
                <w:rFonts w:ascii="宋体" w:hAnsi="宋体" w:cs="宋体"/>
                <w:sz w:val="24"/>
                <w:highlight w:val="none"/>
              </w:rPr>
            </w:pPr>
            <w:r>
              <w:rPr>
                <w:rFonts w:hint="eastAsia" w:ascii="宋体" w:hAnsi="宋体" w:cs="宋体"/>
                <w:sz w:val="24"/>
                <w:highlight w:val="none"/>
              </w:rPr>
              <w:t>建筑专业负责人</w:t>
            </w:r>
          </w:p>
        </w:tc>
        <w:tc>
          <w:tcPr>
            <w:tcW w:w="1176" w:type="dxa"/>
            <w:vAlign w:val="center"/>
          </w:tcPr>
          <w:p w14:paraId="214AD4BC">
            <w:pPr>
              <w:jc w:val="center"/>
              <w:rPr>
                <w:rFonts w:ascii="宋体" w:hAnsi="宋体" w:cs="宋体"/>
                <w:sz w:val="24"/>
                <w:highlight w:val="none"/>
              </w:rPr>
            </w:pPr>
            <w:r>
              <w:rPr>
                <w:rFonts w:hint="eastAsia" w:ascii="宋体" w:hAnsi="宋体" w:cs="宋体"/>
                <w:sz w:val="24"/>
                <w:highlight w:val="none"/>
              </w:rPr>
              <w:t>1人</w:t>
            </w:r>
          </w:p>
        </w:tc>
        <w:tc>
          <w:tcPr>
            <w:tcW w:w="8368" w:type="dxa"/>
            <w:vAlign w:val="center"/>
          </w:tcPr>
          <w:p w14:paraId="05C9C233">
            <w:pPr>
              <w:jc w:val="left"/>
              <w:rPr>
                <w:rFonts w:ascii="宋体" w:hAnsi="宋体" w:cs="宋体"/>
                <w:sz w:val="24"/>
                <w:highlight w:val="none"/>
              </w:rPr>
            </w:pPr>
            <w:r>
              <w:rPr>
                <w:rFonts w:hint="eastAsia" w:ascii="宋体" w:hAnsi="宋体" w:cs="宋体"/>
                <w:sz w:val="24"/>
                <w:highlight w:val="none"/>
              </w:rPr>
              <w:t>具有二级及以上注册建筑师</w:t>
            </w:r>
          </w:p>
        </w:tc>
      </w:tr>
      <w:tr w14:paraId="0B34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0" w:type="dxa"/>
            <w:vAlign w:val="center"/>
          </w:tcPr>
          <w:p w14:paraId="552E5680">
            <w:pPr>
              <w:jc w:val="left"/>
              <w:rPr>
                <w:rFonts w:ascii="宋体" w:hAnsi="宋体" w:cs="宋体"/>
                <w:sz w:val="24"/>
                <w:highlight w:val="none"/>
              </w:rPr>
            </w:pPr>
            <w:r>
              <w:rPr>
                <w:rFonts w:hint="eastAsia" w:ascii="宋体" w:hAnsi="宋体" w:cs="宋体"/>
                <w:sz w:val="24"/>
                <w:highlight w:val="none"/>
              </w:rPr>
              <w:t>给水排水专业负责人</w:t>
            </w:r>
          </w:p>
        </w:tc>
        <w:tc>
          <w:tcPr>
            <w:tcW w:w="1176" w:type="dxa"/>
            <w:vAlign w:val="center"/>
          </w:tcPr>
          <w:p w14:paraId="77F5A120">
            <w:pPr>
              <w:jc w:val="center"/>
              <w:rPr>
                <w:rFonts w:ascii="宋体" w:hAnsi="宋体" w:cs="宋体"/>
                <w:sz w:val="24"/>
                <w:highlight w:val="none"/>
              </w:rPr>
            </w:pPr>
            <w:r>
              <w:rPr>
                <w:rFonts w:hint="eastAsia" w:ascii="宋体" w:hAnsi="宋体" w:cs="宋体"/>
                <w:sz w:val="24"/>
                <w:highlight w:val="none"/>
              </w:rPr>
              <w:t>1人</w:t>
            </w:r>
          </w:p>
        </w:tc>
        <w:tc>
          <w:tcPr>
            <w:tcW w:w="8368" w:type="dxa"/>
            <w:vAlign w:val="center"/>
          </w:tcPr>
          <w:p w14:paraId="2FDA9571">
            <w:pPr>
              <w:jc w:val="left"/>
              <w:rPr>
                <w:rFonts w:ascii="宋体" w:hAnsi="宋体" w:cs="宋体"/>
                <w:sz w:val="24"/>
                <w:highlight w:val="none"/>
              </w:rPr>
            </w:pPr>
            <w:r>
              <w:rPr>
                <w:rFonts w:hint="eastAsia" w:ascii="宋体" w:hAnsi="宋体" w:cs="宋体"/>
                <w:kern w:val="0"/>
                <w:sz w:val="24"/>
                <w:highlight w:val="none"/>
              </w:rPr>
              <w:t>具有</w:t>
            </w:r>
            <w:r>
              <w:rPr>
                <w:rFonts w:hint="eastAsia" w:ascii="宋体" w:hAnsi="宋体" w:cs="宋体"/>
                <w:sz w:val="24"/>
                <w:highlight w:val="none"/>
              </w:rPr>
              <w:t>相关中级（或以上）职称</w:t>
            </w:r>
          </w:p>
        </w:tc>
      </w:tr>
      <w:tr w14:paraId="7D64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0" w:type="dxa"/>
            <w:vAlign w:val="center"/>
          </w:tcPr>
          <w:p w14:paraId="2DBC9BEB">
            <w:pPr>
              <w:jc w:val="left"/>
              <w:rPr>
                <w:rFonts w:ascii="宋体" w:hAnsi="宋体" w:cs="宋体"/>
                <w:sz w:val="24"/>
                <w:highlight w:val="none"/>
              </w:rPr>
            </w:pPr>
            <w:r>
              <w:rPr>
                <w:rFonts w:hint="eastAsia" w:ascii="宋体" w:hAnsi="宋体" w:cs="宋体"/>
                <w:sz w:val="24"/>
                <w:highlight w:val="none"/>
              </w:rPr>
              <w:t>电气专业负责人</w:t>
            </w:r>
          </w:p>
        </w:tc>
        <w:tc>
          <w:tcPr>
            <w:tcW w:w="1176" w:type="dxa"/>
            <w:vAlign w:val="center"/>
          </w:tcPr>
          <w:p w14:paraId="4094BF8B">
            <w:pPr>
              <w:jc w:val="center"/>
              <w:rPr>
                <w:rFonts w:ascii="宋体" w:hAnsi="宋体" w:cs="宋体"/>
                <w:sz w:val="24"/>
                <w:highlight w:val="none"/>
              </w:rPr>
            </w:pPr>
            <w:r>
              <w:rPr>
                <w:rFonts w:hint="eastAsia" w:ascii="宋体" w:hAnsi="宋体" w:cs="宋体"/>
                <w:sz w:val="24"/>
                <w:highlight w:val="none"/>
              </w:rPr>
              <w:t>1人</w:t>
            </w:r>
          </w:p>
        </w:tc>
        <w:tc>
          <w:tcPr>
            <w:tcW w:w="8368" w:type="dxa"/>
            <w:vAlign w:val="center"/>
          </w:tcPr>
          <w:p w14:paraId="3C861177">
            <w:pPr>
              <w:jc w:val="left"/>
              <w:rPr>
                <w:rFonts w:ascii="宋体" w:hAnsi="宋体" w:cs="宋体"/>
                <w:kern w:val="0"/>
                <w:sz w:val="24"/>
                <w:highlight w:val="none"/>
              </w:rPr>
            </w:pPr>
            <w:r>
              <w:rPr>
                <w:rFonts w:hint="eastAsia" w:ascii="宋体" w:hAnsi="宋体" w:cs="宋体"/>
                <w:kern w:val="0"/>
                <w:sz w:val="24"/>
                <w:highlight w:val="none"/>
              </w:rPr>
              <w:t>具有</w:t>
            </w:r>
            <w:r>
              <w:rPr>
                <w:rFonts w:hint="eastAsia" w:ascii="宋体" w:hAnsi="宋体" w:cs="宋体"/>
                <w:sz w:val="24"/>
                <w:highlight w:val="none"/>
              </w:rPr>
              <w:t>相关中级（或以上）职称</w:t>
            </w:r>
          </w:p>
        </w:tc>
      </w:tr>
      <w:tr w14:paraId="793B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0" w:type="dxa"/>
            <w:vAlign w:val="center"/>
          </w:tcPr>
          <w:p w14:paraId="0D362E78">
            <w:pPr>
              <w:jc w:val="left"/>
              <w:rPr>
                <w:rFonts w:ascii="宋体" w:hAnsi="宋体" w:cs="宋体"/>
                <w:sz w:val="24"/>
                <w:highlight w:val="none"/>
              </w:rPr>
            </w:pPr>
            <w:r>
              <w:rPr>
                <w:rFonts w:hint="eastAsia" w:ascii="宋体" w:hAnsi="宋体" w:cs="宋体"/>
                <w:sz w:val="24"/>
                <w:highlight w:val="none"/>
              </w:rPr>
              <w:t>暖通专业负责人</w:t>
            </w:r>
          </w:p>
        </w:tc>
        <w:tc>
          <w:tcPr>
            <w:tcW w:w="1176" w:type="dxa"/>
            <w:vAlign w:val="center"/>
          </w:tcPr>
          <w:p w14:paraId="3741D34E">
            <w:pPr>
              <w:jc w:val="center"/>
              <w:rPr>
                <w:rFonts w:ascii="宋体" w:hAnsi="宋体" w:cs="宋体"/>
                <w:sz w:val="24"/>
                <w:highlight w:val="none"/>
              </w:rPr>
            </w:pPr>
            <w:r>
              <w:rPr>
                <w:rFonts w:hint="eastAsia" w:ascii="宋体" w:hAnsi="宋体" w:cs="宋体"/>
                <w:sz w:val="24"/>
                <w:highlight w:val="none"/>
              </w:rPr>
              <w:t>1人</w:t>
            </w:r>
          </w:p>
        </w:tc>
        <w:tc>
          <w:tcPr>
            <w:tcW w:w="8368" w:type="dxa"/>
            <w:vAlign w:val="center"/>
          </w:tcPr>
          <w:p w14:paraId="6A67BE5B">
            <w:pPr>
              <w:jc w:val="left"/>
              <w:rPr>
                <w:rFonts w:ascii="宋体" w:hAnsi="宋体" w:cs="宋体"/>
                <w:kern w:val="0"/>
                <w:sz w:val="24"/>
                <w:highlight w:val="none"/>
              </w:rPr>
            </w:pPr>
            <w:r>
              <w:rPr>
                <w:rFonts w:hint="eastAsia" w:ascii="宋体" w:hAnsi="宋体" w:cs="宋体"/>
                <w:kern w:val="0"/>
                <w:sz w:val="24"/>
                <w:highlight w:val="none"/>
              </w:rPr>
              <w:t>具有</w:t>
            </w:r>
            <w:r>
              <w:rPr>
                <w:rFonts w:hint="eastAsia" w:ascii="宋体" w:hAnsi="宋体" w:cs="宋体"/>
                <w:sz w:val="24"/>
                <w:highlight w:val="none"/>
              </w:rPr>
              <w:t>相关中级（或以上）职称</w:t>
            </w:r>
          </w:p>
        </w:tc>
      </w:tr>
      <w:tr w14:paraId="4899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74" w:type="dxa"/>
            <w:gridSpan w:val="3"/>
            <w:vAlign w:val="center"/>
          </w:tcPr>
          <w:p w14:paraId="250883B3">
            <w:pPr>
              <w:rPr>
                <w:rFonts w:ascii="宋体" w:hAnsi="宋体" w:cs="宋体"/>
                <w:kern w:val="0"/>
                <w:sz w:val="24"/>
                <w:highlight w:val="none"/>
              </w:rPr>
            </w:pPr>
            <w:r>
              <w:rPr>
                <w:rFonts w:hint="eastAsia" w:ascii="宋体" w:hAnsi="宋体" w:cs="宋体"/>
                <w:b/>
                <w:bCs/>
                <w:kern w:val="0"/>
                <w:sz w:val="24"/>
                <w:highlight w:val="none"/>
              </w:rPr>
              <w:t>施工管理人员部分</w:t>
            </w:r>
            <w:r>
              <w:rPr>
                <w:rFonts w:hint="eastAsia" w:ascii="宋体" w:hAnsi="宋体" w:cs="宋体"/>
                <w:kern w:val="0"/>
                <w:szCs w:val="21"/>
                <w:highlight w:val="none"/>
              </w:rPr>
              <w:t>（</w:t>
            </w:r>
            <w:r>
              <w:rPr>
                <w:rFonts w:hint="eastAsia" w:ascii="宋体" w:hAnsi="宋体" w:cs="宋体"/>
                <w:bCs/>
                <w:szCs w:val="21"/>
                <w:highlight w:val="none"/>
              </w:rPr>
              <w:t>联合体投标的，</w:t>
            </w:r>
            <w:r>
              <w:rPr>
                <w:rFonts w:hint="eastAsia" w:ascii="宋体" w:hAnsi="宋体" w:cs="宋体"/>
                <w:szCs w:val="21"/>
                <w:highlight w:val="none"/>
              </w:rPr>
              <w:t>由联合体中的施工方提供</w:t>
            </w:r>
            <w:r>
              <w:rPr>
                <w:rFonts w:hint="eastAsia" w:ascii="宋体" w:hAnsi="宋体" w:cs="宋体"/>
                <w:kern w:val="0"/>
                <w:szCs w:val="21"/>
                <w:highlight w:val="none"/>
              </w:rPr>
              <w:t>）</w:t>
            </w:r>
          </w:p>
        </w:tc>
      </w:tr>
      <w:tr w14:paraId="6EDB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0" w:type="dxa"/>
            <w:vAlign w:val="center"/>
          </w:tcPr>
          <w:p w14:paraId="39E18668">
            <w:pPr>
              <w:jc w:val="left"/>
              <w:rPr>
                <w:rFonts w:ascii="宋体" w:hAnsi="宋体" w:cs="宋体"/>
                <w:sz w:val="24"/>
                <w:highlight w:val="none"/>
              </w:rPr>
            </w:pPr>
            <w:r>
              <w:rPr>
                <w:rFonts w:hint="eastAsia" w:ascii="宋体" w:hAnsi="宋体" w:cs="宋体"/>
                <w:sz w:val="24"/>
                <w:highlight w:val="none"/>
              </w:rPr>
              <w:t>项目负责人（兼任施工负责人）</w:t>
            </w:r>
          </w:p>
        </w:tc>
        <w:tc>
          <w:tcPr>
            <w:tcW w:w="1176" w:type="dxa"/>
            <w:vAlign w:val="center"/>
          </w:tcPr>
          <w:p w14:paraId="2E757AC9">
            <w:pPr>
              <w:jc w:val="center"/>
              <w:rPr>
                <w:rFonts w:ascii="宋体" w:hAnsi="宋体" w:cs="宋体"/>
                <w:sz w:val="24"/>
                <w:highlight w:val="none"/>
              </w:rPr>
            </w:pPr>
            <w:r>
              <w:rPr>
                <w:rFonts w:hint="eastAsia" w:ascii="宋体" w:hAnsi="宋体" w:cs="宋体"/>
                <w:sz w:val="24"/>
                <w:highlight w:val="none"/>
              </w:rPr>
              <w:t>1人</w:t>
            </w:r>
          </w:p>
        </w:tc>
        <w:tc>
          <w:tcPr>
            <w:tcW w:w="8368" w:type="dxa"/>
            <w:vAlign w:val="center"/>
          </w:tcPr>
          <w:p w14:paraId="291E0406">
            <w:pPr>
              <w:jc w:val="left"/>
              <w:rPr>
                <w:rFonts w:ascii="宋体" w:hAnsi="宋体" w:cs="宋体"/>
                <w:sz w:val="24"/>
                <w:highlight w:val="none"/>
              </w:rPr>
            </w:pPr>
            <w:r>
              <w:rPr>
                <w:rFonts w:hint="eastAsia" w:ascii="宋体" w:hAnsi="宋体" w:cs="宋体"/>
                <w:sz w:val="24"/>
                <w:highlight w:val="none"/>
              </w:rPr>
              <w:t>按招标公告要求</w:t>
            </w:r>
          </w:p>
        </w:tc>
      </w:tr>
      <w:tr w14:paraId="4794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0" w:type="dxa"/>
            <w:vAlign w:val="center"/>
          </w:tcPr>
          <w:p w14:paraId="7F0B53DA">
            <w:pPr>
              <w:jc w:val="left"/>
              <w:rPr>
                <w:rFonts w:ascii="宋体" w:hAnsi="宋体" w:cs="宋体"/>
                <w:sz w:val="24"/>
                <w:highlight w:val="none"/>
              </w:rPr>
            </w:pPr>
            <w:r>
              <w:rPr>
                <w:rFonts w:hint="eastAsia" w:ascii="宋体" w:hAnsi="宋体" w:cs="宋体"/>
                <w:sz w:val="24"/>
                <w:highlight w:val="none"/>
              </w:rPr>
              <w:t>技术负责人</w:t>
            </w:r>
          </w:p>
        </w:tc>
        <w:tc>
          <w:tcPr>
            <w:tcW w:w="1176" w:type="dxa"/>
            <w:vAlign w:val="center"/>
          </w:tcPr>
          <w:p w14:paraId="33659B9B">
            <w:pPr>
              <w:jc w:val="center"/>
              <w:rPr>
                <w:rFonts w:ascii="宋体" w:hAnsi="宋体" w:cs="宋体"/>
                <w:sz w:val="24"/>
                <w:highlight w:val="none"/>
              </w:rPr>
            </w:pPr>
            <w:r>
              <w:rPr>
                <w:rFonts w:hint="eastAsia" w:ascii="宋体" w:hAnsi="宋体" w:cs="宋体"/>
                <w:sz w:val="24"/>
                <w:highlight w:val="none"/>
              </w:rPr>
              <w:t>1人</w:t>
            </w:r>
          </w:p>
        </w:tc>
        <w:tc>
          <w:tcPr>
            <w:tcW w:w="8368" w:type="dxa"/>
            <w:vAlign w:val="center"/>
          </w:tcPr>
          <w:p w14:paraId="08C84DA9">
            <w:pPr>
              <w:jc w:val="left"/>
              <w:rPr>
                <w:rFonts w:ascii="宋体" w:hAnsi="宋体" w:cs="宋体"/>
                <w:sz w:val="24"/>
                <w:highlight w:val="none"/>
              </w:rPr>
            </w:pPr>
            <w:r>
              <w:rPr>
                <w:rFonts w:hint="eastAsia" w:ascii="宋体" w:hAnsi="宋体" w:cs="宋体"/>
                <w:sz w:val="24"/>
                <w:highlight w:val="none"/>
              </w:rPr>
              <w:t>按招标公告要求</w:t>
            </w:r>
          </w:p>
        </w:tc>
      </w:tr>
      <w:tr w14:paraId="620A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0" w:type="dxa"/>
            <w:vAlign w:val="center"/>
          </w:tcPr>
          <w:p w14:paraId="3244510B">
            <w:pPr>
              <w:jc w:val="left"/>
              <w:rPr>
                <w:rFonts w:ascii="宋体" w:hAnsi="宋体" w:cs="宋体"/>
                <w:sz w:val="24"/>
                <w:highlight w:val="none"/>
              </w:rPr>
            </w:pPr>
            <w:r>
              <w:rPr>
                <w:rFonts w:hint="eastAsia" w:ascii="宋体" w:hAnsi="宋体" w:cs="宋体"/>
                <w:sz w:val="24"/>
                <w:highlight w:val="none"/>
              </w:rPr>
              <w:t>专职安全员</w:t>
            </w:r>
          </w:p>
        </w:tc>
        <w:tc>
          <w:tcPr>
            <w:tcW w:w="1176" w:type="dxa"/>
            <w:vAlign w:val="center"/>
          </w:tcPr>
          <w:p w14:paraId="718018E2">
            <w:pPr>
              <w:jc w:val="center"/>
              <w:rPr>
                <w:rFonts w:ascii="宋体" w:hAnsi="宋体" w:cs="宋体"/>
                <w:sz w:val="24"/>
                <w:highlight w:val="none"/>
              </w:rPr>
            </w:pPr>
            <w:r>
              <w:rPr>
                <w:rFonts w:hint="eastAsia" w:ascii="宋体" w:hAnsi="宋体" w:cs="宋体"/>
                <w:sz w:val="24"/>
                <w:highlight w:val="none"/>
              </w:rPr>
              <w:t>1人</w:t>
            </w:r>
          </w:p>
        </w:tc>
        <w:tc>
          <w:tcPr>
            <w:tcW w:w="8368" w:type="dxa"/>
            <w:vAlign w:val="center"/>
          </w:tcPr>
          <w:p w14:paraId="6DADEC90">
            <w:pPr>
              <w:jc w:val="left"/>
              <w:rPr>
                <w:rFonts w:ascii="宋体" w:hAnsi="宋体" w:cs="宋体"/>
                <w:sz w:val="24"/>
                <w:highlight w:val="none"/>
              </w:rPr>
            </w:pPr>
            <w:r>
              <w:rPr>
                <w:rFonts w:hint="eastAsia" w:ascii="宋体" w:hAnsi="宋体" w:cs="宋体"/>
                <w:sz w:val="24"/>
                <w:highlight w:val="none"/>
              </w:rPr>
              <w:t>按招标公告要求</w:t>
            </w:r>
          </w:p>
        </w:tc>
      </w:tr>
      <w:tr w14:paraId="7D20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4630" w:type="dxa"/>
            <w:vAlign w:val="center"/>
          </w:tcPr>
          <w:p w14:paraId="7505D8D1">
            <w:pPr>
              <w:jc w:val="left"/>
              <w:rPr>
                <w:rFonts w:ascii="宋体" w:hAnsi="宋体" w:cs="宋体"/>
                <w:sz w:val="24"/>
                <w:highlight w:val="none"/>
              </w:rPr>
            </w:pPr>
            <w:r>
              <w:rPr>
                <w:rFonts w:hint="eastAsia" w:ascii="宋体" w:hAnsi="宋体" w:cs="宋体"/>
                <w:sz w:val="24"/>
                <w:highlight w:val="none"/>
              </w:rPr>
              <w:t>质量负责人</w:t>
            </w:r>
          </w:p>
        </w:tc>
        <w:tc>
          <w:tcPr>
            <w:tcW w:w="1176" w:type="dxa"/>
            <w:vAlign w:val="center"/>
          </w:tcPr>
          <w:p w14:paraId="420DD6EE">
            <w:pPr>
              <w:jc w:val="center"/>
              <w:rPr>
                <w:rFonts w:ascii="宋体" w:hAnsi="宋体" w:cs="宋体"/>
                <w:sz w:val="24"/>
                <w:highlight w:val="none"/>
              </w:rPr>
            </w:pPr>
            <w:r>
              <w:rPr>
                <w:rFonts w:hint="eastAsia" w:ascii="宋体" w:hAnsi="宋体" w:cs="宋体"/>
                <w:sz w:val="24"/>
                <w:highlight w:val="none"/>
              </w:rPr>
              <w:t>1人</w:t>
            </w:r>
          </w:p>
        </w:tc>
        <w:tc>
          <w:tcPr>
            <w:tcW w:w="8368" w:type="dxa"/>
            <w:vAlign w:val="center"/>
          </w:tcPr>
          <w:p w14:paraId="4689BD9F">
            <w:pPr>
              <w:jc w:val="left"/>
              <w:rPr>
                <w:rFonts w:ascii="宋体" w:hAnsi="宋体" w:cs="宋体"/>
                <w:sz w:val="24"/>
                <w:highlight w:val="none"/>
              </w:rPr>
            </w:pPr>
            <w:r>
              <w:rPr>
                <w:rFonts w:hint="eastAsia" w:ascii="宋体" w:hAnsi="宋体" w:cs="宋体"/>
                <w:sz w:val="24"/>
                <w:highlight w:val="none"/>
              </w:rPr>
              <w:t>具有工程类相关中级（或以上）职称</w:t>
            </w:r>
          </w:p>
        </w:tc>
      </w:tr>
      <w:tr w14:paraId="55ED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0" w:type="dxa"/>
            <w:vAlign w:val="center"/>
          </w:tcPr>
          <w:p w14:paraId="440DA7EC">
            <w:pPr>
              <w:jc w:val="left"/>
              <w:rPr>
                <w:rFonts w:ascii="宋体" w:hAnsi="宋体" w:cs="宋体"/>
                <w:sz w:val="24"/>
                <w:highlight w:val="none"/>
              </w:rPr>
            </w:pPr>
            <w:r>
              <w:rPr>
                <w:rFonts w:hint="eastAsia" w:ascii="宋体" w:hAnsi="宋体" w:cs="宋体"/>
                <w:sz w:val="24"/>
                <w:highlight w:val="none"/>
              </w:rPr>
              <w:t>安全负责人（与专职安全员不为同一人）</w:t>
            </w:r>
          </w:p>
        </w:tc>
        <w:tc>
          <w:tcPr>
            <w:tcW w:w="1176" w:type="dxa"/>
            <w:vAlign w:val="center"/>
          </w:tcPr>
          <w:p w14:paraId="2506AE60">
            <w:pPr>
              <w:jc w:val="center"/>
              <w:rPr>
                <w:rFonts w:ascii="宋体" w:hAnsi="宋体" w:cs="宋体"/>
                <w:sz w:val="24"/>
                <w:highlight w:val="none"/>
              </w:rPr>
            </w:pPr>
            <w:r>
              <w:rPr>
                <w:rFonts w:hint="eastAsia" w:ascii="宋体" w:hAnsi="宋体" w:cs="宋体"/>
                <w:sz w:val="24"/>
                <w:highlight w:val="none"/>
              </w:rPr>
              <w:t>1人</w:t>
            </w:r>
          </w:p>
        </w:tc>
        <w:tc>
          <w:tcPr>
            <w:tcW w:w="8368" w:type="dxa"/>
            <w:vAlign w:val="center"/>
          </w:tcPr>
          <w:p w14:paraId="53EE19E8">
            <w:pPr>
              <w:jc w:val="left"/>
              <w:rPr>
                <w:rFonts w:ascii="宋体" w:hAnsi="宋体" w:cs="宋体"/>
                <w:sz w:val="24"/>
                <w:highlight w:val="none"/>
              </w:rPr>
            </w:pPr>
            <w:r>
              <w:rPr>
                <w:rFonts w:hint="eastAsia" w:ascii="宋体" w:hAnsi="宋体" w:cs="宋体"/>
                <w:sz w:val="24"/>
                <w:highlight w:val="none"/>
              </w:rPr>
              <w:t>具有工程类相关中级（或以上）职称</w:t>
            </w:r>
          </w:p>
        </w:tc>
      </w:tr>
      <w:tr w14:paraId="6373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0" w:type="dxa"/>
            <w:vAlign w:val="center"/>
          </w:tcPr>
          <w:p w14:paraId="5B76F964">
            <w:pPr>
              <w:jc w:val="left"/>
              <w:rPr>
                <w:rFonts w:ascii="宋体" w:hAnsi="宋体" w:cs="宋体"/>
                <w:sz w:val="24"/>
                <w:highlight w:val="none"/>
              </w:rPr>
            </w:pPr>
            <w:r>
              <w:rPr>
                <w:rFonts w:hint="eastAsia" w:ascii="宋体" w:hAnsi="宋体" w:cs="宋体"/>
                <w:sz w:val="24"/>
                <w:highlight w:val="none"/>
              </w:rPr>
              <w:t>造价负责人</w:t>
            </w:r>
          </w:p>
        </w:tc>
        <w:tc>
          <w:tcPr>
            <w:tcW w:w="1176" w:type="dxa"/>
            <w:vAlign w:val="center"/>
          </w:tcPr>
          <w:p w14:paraId="496458C3">
            <w:pPr>
              <w:jc w:val="center"/>
              <w:rPr>
                <w:rFonts w:ascii="宋体" w:hAnsi="宋体" w:cs="宋体"/>
                <w:sz w:val="24"/>
                <w:highlight w:val="none"/>
              </w:rPr>
            </w:pPr>
            <w:r>
              <w:rPr>
                <w:rFonts w:hint="eastAsia" w:ascii="宋体" w:hAnsi="宋体" w:cs="宋体"/>
                <w:sz w:val="24"/>
                <w:highlight w:val="none"/>
              </w:rPr>
              <w:t>1人</w:t>
            </w:r>
          </w:p>
        </w:tc>
        <w:tc>
          <w:tcPr>
            <w:tcW w:w="8368" w:type="dxa"/>
            <w:vAlign w:val="center"/>
          </w:tcPr>
          <w:p w14:paraId="02457024">
            <w:pPr>
              <w:jc w:val="left"/>
              <w:rPr>
                <w:rFonts w:ascii="宋体" w:hAnsi="宋体" w:cs="宋体"/>
                <w:sz w:val="24"/>
                <w:highlight w:val="none"/>
              </w:rPr>
            </w:pPr>
            <w:r>
              <w:rPr>
                <w:rFonts w:hint="eastAsia" w:ascii="宋体" w:hAnsi="宋体" w:cs="宋体"/>
                <w:sz w:val="24"/>
                <w:highlight w:val="none"/>
              </w:rPr>
              <w:t>具有造价类相关中级（或以上）职称</w:t>
            </w:r>
          </w:p>
        </w:tc>
      </w:tr>
    </w:tbl>
    <w:p w14:paraId="4B4BF384">
      <w:pPr>
        <w:pStyle w:val="13"/>
        <w:rPr>
          <w:highlight w:val="none"/>
        </w:rPr>
      </w:pPr>
      <w:r>
        <w:rPr>
          <w:rFonts w:hint="eastAsia" w:ascii="宋体" w:hAnsi="宋体" w:cs="宋体"/>
          <w:b/>
          <w:sz w:val="24"/>
          <w:szCs w:val="24"/>
          <w:highlight w:val="none"/>
        </w:rPr>
        <w:t>注：以上人员不得兼任</w:t>
      </w:r>
    </w:p>
    <w:p w14:paraId="2D766E3A">
      <w:pPr>
        <w:pStyle w:val="13"/>
        <w:rPr>
          <w:rFonts w:ascii="宋体" w:hAnsi="宋体" w:cs="宋体"/>
          <w:sz w:val="24"/>
          <w:szCs w:val="24"/>
          <w:highlight w:val="none"/>
        </w:rPr>
      </w:pPr>
    </w:p>
    <w:p w14:paraId="63861927">
      <w:pPr>
        <w:pStyle w:val="13"/>
        <w:rPr>
          <w:rFonts w:ascii="宋体" w:hAnsi="宋体" w:cs="宋体"/>
          <w:sz w:val="24"/>
          <w:szCs w:val="24"/>
          <w:highlight w:val="none"/>
        </w:rPr>
        <w:sectPr>
          <w:headerReference r:id="rId9" w:type="default"/>
          <w:footerReference r:id="rId10" w:type="default"/>
          <w:pgSz w:w="16838" w:h="11906" w:orient="landscape"/>
          <w:pgMar w:top="1406" w:right="1440" w:bottom="1406" w:left="1440" w:header="851" w:footer="992" w:gutter="0"/>
          <w:pgBorders>
            <w:top w:val="none" w:sz="0" w:space="0"/>
            <w:left w:val="none" w:sz="0" w:space="0"/>
            <w:bottom w:val="none" w:sz="0" w:space="0"/>
            <w:right w:val="none" w:sz="0" w:space="0"/>
          </w:pgBorders>
          <w:cols w:space="720" w:num="1"/>
          <w:docGrid w:type="lines" w:linePitch="319" w:charSpace="0"/>
        </w:sectPr>
      </w:pPr>
    </w:p>
    <w:p w14:paraId="381BE538">
      <w:pPr>
        <w:keepNext/>
        <w:keepLines/>
        <w:spacing w:before="340" w:after="330" w:line="576" w:lineRule="auto"/>
        <w:jc w:val="center"/>
        <w:outlineLvl w:val="0"/>
        <w:rPr>
          <w:rFonts w:ascii="宋体" w:hAnsi="宋体" w:cs="宋体"/>
          <w:sz w:val="20"/>
          <w:szCs w:val="24"/>
          <w:highlight w:val="none"/>
        </w:rPr>
      </w:pPr>
      <w:bookmarkStart w:id="1052" w:name="_Toc356306516"/>
      <w:bookmarkStart w:id="1053" w:name="_Toc26600"/>
      <w:bookmarkStart w:id="1054" w:name="_Toc15305"/>
      <w:bookmarkStart w:id="1055" w:name="_Toc25006"/>
      <w:bookmarkStart w:id="1056" w:name="_Toc27985"/>
      <w:bookmarkStart w:id="1057" w:name="_Toc17999"/>
      <w:bookmarkStart w:id="1058" w:name="_Toc21185"/>
      <w:bookmarkStart w:id="1059" w:name="_Toc485211107"/>
      <w:bookmarkStart w:id="1060" w:name="_Toc15092"/>
      <w:r>
        <w:rPr>
          <w:rFonts w:hint="eastAsia" w:ascii="宋体" w:hAnsi="宋体" w:cs="宋体"/>
          <w:b/>
          <w:bCs/>
          <w:kern w:val="44"/>
          <w:sz w:val="44"/>
          <w:szCs w:val="44"/>
          <w:highlight w:val="none"/>
        </w:rPr>
        <w:t>第四章 合同条款</w:t>
      </w:r>
      <w:bookmarkEnd w:id="1052"/>
      <w:bookmarkEnd w:id="1053"/>
      <w:bookmarkEnd w:id="1054"/>
      <w:bookmarkEnd w:id="1055"/>
      <w:bookmarkEnd w:id="1056"/>
      <w:bookmarkEnd w:id="1057"/>
      <w:bookmarkEnd w:id="1058"/>
      <w:bookmarkEnd w:id="1059"/>
      <w:r>
        <w:rPr>
          <w:rFonts w:hint="eastAsia" w:ascii="宋体" w:hAnsi="宋体" w:cs="宋体"/>
          <w:b/>
          <w:bCs/>
          <w:kern w:val="44"/>
          <w:sz w:val="44"/>
          <w:szCs w:val="44"/>
          <w:highlight w:val="none"/>
        </w:rPr>
        <w:t>及格式</w:t>
      </w:r>
      <w:bookmarkEnd w:id="1060"/>
    </w:p>
    <w:p w14:paraId="50CC3DC6">
      <w:pPr>
        <w:jc w:val="center"/>
        <w:rPr>
          <w:rFonts w:ascii="宋体" w:hAnsi="宋体" w:cs="宋体"/>
          <w:b/>
          <w:sz w:val="32"/>
          <w:szCs w:val="32"/>
          <w:highlight w:val="none"/>
        </w:rPr>
      </w:pPr>
      <w:r>
        <w:rPr>
          <w:rFonts w:hint="eastAsia" w:ascii="宋体" w:hAnsi="宋体" w:cs="宋体"/>
          <w:b/>
          <w:sz w:val="32"/>
          <w:szCs w:val="32"/>
          <w:highlight w:val="none"/>
        </w:rPr>
        <w:t>（另册）</w:t>
      </w:r>
    </w:p>
    <w:p w14:paraId="4EF21F44">
      <w:pPr>
        <w:spacing w:line="360" w:lineRule="auto"/>
        <w:ind w:firstLine="840" w:firstLineChars="400"/>
        <w:rPr>
          <w:rFonts w:ascii="宋体" w:hAnsi="宋体" w:cs="宋体"/>
          <w:szCs w:val="21"/>
          <w:highlight w:val="none"/>
        </w:rPr>
      </w:pPr>
    </w:p>
    <w:p w14:paraId="65F13219">
      <w:pPr>
        <w:snapToGrid w:val="0"/>
        <w:spacing w:line="440" w:lineRule="exact"/>
        <w:rPr>
          <w:rFonts w:ascii="宋体" w:hAnsi="宋体" w:cs="宋体"/>
          <w:sz w:val="28"/>
          <w:szCs w:val="28"/>
          <w:highlight w:val="none"/>
        </w:rPr>
      </w:pPr>
    </w:p>
    <w:p w14:paraId="75305932">
      <w:pPr>
        <w:snapToGrid w:val="0"/>
        <w:spacing w:line="440" w:lineRule="exact"/>
        <w:rPr>
          <w:rFonts w:ascii="宋体" w:hAnsi="宋体" w:cs="宋体"/>
          <w:sz w:val="28"/>
          <w:szCs w:val="28"/>
          <w:highlight w:val="none"/>
        </w:rPr>
      </w:pPr>
      <w:r>
        <w:rPr>
          <w:rFonts w:hint="eastAsia" w:ascii="宋体" w:hAnsi="宋体" w:cs="宋体"/>
          <w:sz w:val="28"/>
          <w:szCs w:val="28"/>
          <w:highlight w:val="none"/>
        </w:rPr>
        <w:br w:type="page"/>
      </w:r>
      <w:bookmarkStart w:id="1061" w:name="_Toc23508"/>
      <w:bookmarkStart w:id="1062" w:name="_Toc16503"/>
      <w:bookmarkStart w:id="1063" w:name="_Toc13085"/>
      <w:bookmarkStart w:id="1064" w:name="_Toc485211108"/>
      <w:bookmarkStart w:id="1065" w:name="_Toc20279"/>
      <w:bookmarkStart w:id="1066" w:name="_Toc8354"/>
      <w:bookmarkStart w:id="1067" w:name="_Toc31278"/>
    </w:p>
    <w:p w14:paraId="6FCFC5A2">
      <w:pPr>
        <w:keepNext/>
        <w:keepLines/>
        <w:spacing w:before="340" w:after="330" w:line="576" w:lineRule="auto"/>
        <w:jc w:val="center"/>
        <w:outlineLvl w:val="0"/>
        <w:rPr>
          <w:rFonts w:ascii="宋体" w:hAnsi="宋体" w:cs="宋体"/>
          <w:b/>
          <w:bCs/>
          <w:kern w:val="44"/>
          <w:sz w:val="44"/>
          <w:szCs w:val="44"/>
          <w:highlight w:val="none"/>
        </w:rPr>
      </w:pPr>
      <w:bookmarkStart w:id="1068" w:name="_Toc3978"/>
      <w:r>
        <w:rPr>
          <w:rFonts w:hint="eastAsia" w:ascii="宋体" w:hAnsi="宋体" w:cs="宋体"/>
          <w:b/>
          <w:bCs/>
          <w:kern w:val="44"/>
          <w:sz w:val="44"/>
          <w:szCs w:val="44"/>
          <w:highlight w:val="none"/>
        </w:rPr>
        <w:t>第五章 发包人要求</w:t>
      </w:r>
      <w:bookmarkEnd w:id="1061"/>
      <w:bookmarkEnd w:id="1062"/>
      <w:bookmarkEnd w:id="1063"/>
      <w:bookmarkEnd w:id="1064"/>
      <w:bookmarkEnd w:id="1065"/>
      <w:bookmarkEnd w:id="1066"/>
      <w:bookmarkEnd w:id="1067"/>
      <w:bookmarkEnd w:id="1068"/>
    </w:p>
    <w:p w14:paraId="01F2C259">
      <w:pPr>
        <w:spacing w:line="360" w:lineRule="auto"/>
        <w:jc w:val="center"/>
        <w:rPr>
          <w:rFonts w:hint="eastAsia" w:ascii="宋体" w:hAnsi="宋体" w:cs="宋体"/>
          <w:b/>
          <w:bCs/>
          <w:sz w:val="24"/>
          <w:szCs w:val="24"/>
          <w:highlight w:val="none"/>
          <w:lang w:val="en-US" w:eastAsia="zh-CN"/>
        </w:rPr>
      </w:pPr>
      <w:bookmarkStart w:id="1069" w:name="_Hlk500884682"/>
      <w:r>
        <w:rPr>
          <w:rFonts w:hint="eastAsia" w:ascii="宋体" w:hAnsi="宋体" w:cs="宋体"/>
          <w:b/>
          <w:bCs/>
          <w:sz w:val="24"/>
          <w:szCs w:val="24"/>
          <w:highlight w:val="none"/>
          <w:lang w:val="en-US" w:eastAsia="zh-CN"/>
        </w:rPr>
        <w:t>一、相关参考品牌表</w:t>
      </w:r>
    </w:p>
    <w:tbl>
      <w:tblPr>
        <w:tblW w:w="89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40"/>
        <w:gridCol w:w="2505"/>
        <w:gridCol w:w="5340"/>
      </w:tblGrid>
      <w:tr w14:paraId="3ACA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12259D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bdr w:val="none" w:color="auto" w:sz="0" w:space="0"/>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A283B4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bdr w:val="none" w:color="auto" w:sz="0" w:space="0"/>
                <w:lang w:val="en-US" w:eastAsia="zh-CN" w:bidi="ar"/>
              </w:rPr>
              <w:t>材料和工程设备名称</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096D79D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bdr w:val="none" w:color="auto" w:sz="0" w:space="0"/>
                <w:lang w:val="en-US" w:eastAsia="zh-CN" w:bidi="ar"/>
              </w:rPr>
              <w:t>品牌/厂家</w:t>
            </w:r>
          </w:p>
        </w:tc>
      </w:tr>
      <w:tr w14:paraId="4C4E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ABE710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bdr w:val="none" w:color="auto" w:sz="0" w:space="0"/>
                <w:lang w:val="en-US" w:eastAsia="zh-CN" w:bidi="ar"/>
              </w:rPr>
              <w:t>一</w:t>
            </w:r>
          </w:p>
        </w:tc>
        <w:tc>
          <w:tcPr>
            <w:tcW w:w="7845" w:type="dxa"/>
            <w:gridSpan w:val="2"/>
            <w:tcBorders>
              <w:top w:val="single" w:color="000000" w:sz="4" w:space="0"/>
              <w:left w:val="single" w:color="000000" w:sz="4" w:space="0"/>
              <w:bottom w:val="single" w:color="000000" w:sz="4" w:space="0"/>
              <w:right w:val="single" w:color="000000" w:sz="4" w:space="0"/>
            </w:tcBorders>
            <w:shd w:val="clear"/>
            <w:vAlign w:val="center"/>
          </w:tcPr>
          <w:p w14:paraId="5300ABBE">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bdr w:val="none" w:color="auto" w:sz="0" w:space="0"/>
                <w:lang w:val="en-US" w:eastAsia="zh-CN" w:bidi="ar"/>
              </w:rPr>
              <w:t>土建、装饰系统</w:t>
            </w:r>
          </w:p>
        </w:tc>
      </w:tr>
      <w:tr w14:paraId="3CD8B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075C87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DAC031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硅酸钙板</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62073FC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可耐福、泰山、拉法基</w:t>
            </w:r>
          </w:p>
        </w:tc>
      </w:tr>
      <w:tr w14:paraId="3389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A78F1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B2EC1D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地面自流坪</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39C0953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威尔、耐迪斯、秀珀</w:t>
            </w:r>
          </w:p>
        </w:tc>
      </w:tr>
      <w:tr w14:paraId="4216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5A41A8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E494F2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环氧彩砂、环氧刚玉地坪</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78F75D0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富斯乐、秀珀、迪美瑞</w:t>
            </w:r>
          </w:p>
        </w:tc>
      </w:tr>
      <w:tr w14:paraId="4BCE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E32FC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4683A2B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聚氨酯砂浆地坪</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18268C9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威尔、耐迪斯、秀珀</w:t>
            </w:r>
          </w:p>
        </w:tc>
      </w:tr>
      <w:tr w14:paraId="7FD67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25245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32512C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油漆（无机涂料）</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62C0A9E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多乐士、立邦、多邦</w:t>
            </w:r>
          </w:p>
        </w:tc>
      </w:tr>
      <w:tr w14:paraId="5DB7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007329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5FCDFD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PVC同质透心地板/抗静电地板</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78E467E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德国丽杰、阿姆斯壮、洁福</w:t>
            </w:r>
          </w:p>
        </w:tc>
      </w:tr>
      <w:tr w14:paraId="0149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13507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7</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36F02C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洁净门、窗</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438D22F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华翱、林森、易众</w:t>
            </w:r>
          </w:p>
        </w:tc>
      </w:tr>
      <w:tr w14:paraId="6613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3E986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B55C45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手工双玻镁岩棉彩钢板</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0898949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林森、莱润、华翱</w:t>
            </w:r>
          </w:p>
        </w:tc>
      </w:tr>
      <w:tr w14:paraId="4532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0FDE4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9</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2FFB347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风淋室、传递窗</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052AC02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广东中境、新华、林森</w:t>
            </w:r>
          </w:p>
        </w:tc>
      </w:tr>
      <w:tr w14:paraId="6B90D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4AC34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10</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0A1811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氙光传递窗</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221C96B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华夏富康、北京明康、新华</w:t>
            </w:r>
          </w:p>
        </w:tc>
      </w:tr>
      <w:tr w14:paraId="0FF9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254D7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23F339A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大型消毒传递舱</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7E08894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华夏富康、北京明康、新华</w:t>
            </w:r>
          </w:p>
        </w:tc>
      </w:tr>
      <w:tr w14:paraId="27E7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539665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12</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238D1B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多层动物层流传递柜</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6D3545C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华夏富康、北京明康、新华</w:t>
            </w:r>
          </w:p>
        </w:tc>
      </w:tr>
      <w:tr w14:paraId="7A89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0B34F7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13</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05C531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生物安全柜</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10326E6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博科、ESCO、新华</w:t>
            </w:r>
          </w:p>
        </w:tc>
      </w:tr>
      <w:tr w14:paraId="5C3C6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5C1BA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14</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B142CA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五金件</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6BE8F06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雅洁、坚朗、顶固</w:t>
            </w:r>
          </w:p>
        </w:tc>
      </w:tr>
      <w:tr w14:paraId="05A05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B05E2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FE9400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紧急淋浴&amp;洗眼器一体式</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3AA3D8A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上海台雄、博朗、科恩</w:t>
            </w:r>
          </w:p>
        </w:tc>
      </w:tr>
      <w:tr w14:paraId="0D1A7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54C22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16</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9A4556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真空脉动灭菌器</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516D91F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新华、樱花、欧思瑞</w:t>
            </w:r>
          </w:p>
        </w:tc>
      </w:tr>
      <w:tr w14:paraId="3175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50822C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17</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2F8EA74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铝板/微孔铝板</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2B0DFC7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建龙、百特威龙、欧立格</w:t>
            </w:r>
          </w:p>
        </w:tc>
      </w:tr>
      <w:tr w14:paraId="190E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68A89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18</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E5D145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瓷砖</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2A8CFCE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东鹏、蒙娜丽莎、德国丽杰</w:t>
            </w:r>
          </w:p>
        </w:tc>
      </w:tr>
      <w:tr w14:paraId="2E7D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DC94A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19</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1834E1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五金洁具</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30FD7DC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科勒、Toto、坚朗</w:t>
            </w:r>
          </w:p>
        </w:tc>
      </w:tr>
      <w:tr w14:paraId="6660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404D30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bdr w:val="none" w:color="auto" w:sz="0" w:space="0"/>
                <w:lang w:val="en-US" w:eastAsia="zh-CN" w:bidi="ar"/>
              </w:rPr>
              <w:t>二</w:t>
            </w:r>
          </w:p>
        </w:tc>
        <w:tc>
          <w:tcPr>
            <w:tcW w:w="7845" w:type="dxa"/>
            <w:gridSpan w:val="2"/>
            <w:tcBorders>
              <w:top w:val="single" w:color="000000" w:sz="4" w:space="0"/>
              <w:left w:val="single" w:color="000000" w:sz="4" w:space="0"/>
              <w:bottom w:val="single" w:color="000000" w:sz="4" w:space="0"/>
              <w:right w:val="single" w:color="000000" w:sz="4" w:space="0"/>
            </w:tcBorders>
            <w:shd w:val="clear"/>
            <w:vAlign w:val="center"/>
          </w:tcPr>
          <w:p w14:paraId="6C577A14">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bdr w:val="none" w:color="auto" w:sz="0" w:space="0"/>
                <w:lang w:val="en-US" w:eastAsia="zh-CN" w:bidi="ar"/>
              </w:rPr>
              <w:t>电气系统</w:t>
            </w:r>
          </w:p>
        </w:tc>
      </w:tr>
      <w:tr w14:paraId="0A983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3C1B6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445A963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配电箱及箱内元件</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271C899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施耐德、ABB、西门子</w:t>
            </w:r>
          </w:p>
        </w:tc>
      </w:tr>
      <w:tr w14:paraId="6465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0E9A4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81479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变频器</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463E829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施耐德、ABB、西门子</w:t>
            </w:r>
          </w:p>
        </w:tc>
      </w:tr>
      <w:tr w14:paraId="7521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EF75E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6C71EE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电线、电缆</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398A7EA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广州电缆、南洋、广东珠江</w:t>
            </w:r>
          </w:p>
        </w:tc>
      </w:tr>
      <w:tr w14:paraId="111D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1F4B6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C521E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开关、插座</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05E38D4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西门子、施耐德、ABB</w:t>
            </w:r>
          </w:p>
        </w:tc>
      </w:tr>
      <w:tr w14:paraId="5B4C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5C0137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1288B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洁净灯具</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228074E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亮美聚、亿朗、洁奥</w:t>
            </w:r>
          </w:p>
        </w:tc>
      </w:tr>
      <w:tr w14:paraId="379E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49A18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98FF40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UPS不间断电源</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50691F1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科士达、APC、山特</w:t>
            </w:r>
          </w:p>
        </w:tc>
      </w:tr>
      <w:tr w14:paraId="5F8D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E1209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7</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43C45F9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闭路电视监视系统</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787CFC2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考虑系统兼容性，须同现有监视系统中品牌一致（现用品牌为海康威视）</w:t>
            </w:r>
          </w:p>
        </w:tc>
      </w:tr>
      <w:tr w14:paraId="3552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60A8C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2EA7D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线管、桥架</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1CDCFFE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卡博菲、中兴、广东宏际</w:t>
            </w:r>
          </w:p>
        </w:tc>
      </w:tr>
      <w:tr w14:paraId="088E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205C69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bdr w:val="none" w:color="auto" w:sz="0" w:space="0"/>
                <w:lang w:val="en-US" w:eastAsia="zh-CN" w:bidi="ar"/>
              </w:rPr>
              <w:t>三</w:t>
            </w:r>
          </w:p>
        </w:tc>
        <w:tc>
          <w:tcPr>
            <w:tcW w:w="7845" w:type="dxa"/>
            <w:gridSpan w:val="2"/>
            <w:tcBorders>
              <w:top w:val="single" w:color="000000" w:sz="4" w:space="0"/>
              <w:left w:val="single" w:color="000000" w:sz="4" w:space="0"/>
              <w:bottom w:val="single" w:color="000000" w:sz="4" w:space="0"/>
              <w:right w:val="single" w:color="000000" w:sz="4" w:space="0"/>
            </w:tcBorders>
            <w:shd w:val="clear"/>
            <w:vAlign w:val="center"/>
          </w:tcPr>
          <w:p w14:paraId="1C7399AA">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bdr w:val="none" w:color="auto" w:sz="0" w:space="0"/>
                <w:lang w:val="en-US" w:eastAsia="zh-CN" w:bidi="ar"/>
              </w:rPr>
              <w:t>暖通、给排水系统</w:t>
            </w:r>
          </w:p>
        </w:tc>
      </w:tr>
      <w:tr w14:paraId="7846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5EB0A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712DE5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高效过滤器</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5A586B5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AAF、美埃、灵洁</w:t>
            </w:r>
          </w:p>
        </w:tc>
      </w:tr>
      <w:tr w14:paraId="7DCD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70FFB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8245C7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VRV空调、分体空调</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60E03CE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日立、大金、格力</w:t>
            </w:r>
          </w:p>
        </w:tc>
      </w:tr>
      <w:tr w14:paraId="5E6E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10C85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265429C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玻璃钢排风机</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508D84F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上虞风机、南方风机、菱丰</w:t>
            </w:r>
          </w:p>
        </w:tc>
      </w:tr>
      <w:tr w14:paraId="0A3C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98408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789157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废气处理设备</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522A0CF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华夏富康、北京明康、华创瑞风</w:t>
            </w:r>
          </w:p>
        </w:tc>
      </w:tr>
      <w:tr w14:paraId="7AE3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687D4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A2077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恒风量调节器</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42A2A0D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菲尼克斯、霍尼韦尔、妥思</w:t>
            </w:r>
          </w:p>
        </w:tc>
      </w:tr>
      <w:tr w14:paraId="61C5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7D50C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B7CC4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定风量阀</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7B529E7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菲尼克斯、霍尼韦尔、妥思</w:t>
            </w:r>
          </w:p>
        </w:tc>
      </w:tr>
      <w:tr w14:paraId="3B95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4508D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7</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FC625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变风量阀</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3F9DC62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菲尼克斯、霍尼韦尔、妥思</w:t>
            </w:r>
          </w:p>
        </w:tc>
      </w:tr>
      <w:tr w14:paraId="625C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5281F5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9F7ED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镀锌钢管</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63A75A1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珠江钢管、华岐、南粤</w:t>
            </w:r>
          </w:p>
        </w:tc>
      </w:tr>
      <w:tr w14:paraId="7555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5302CA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9</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18ED26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无缝钢管</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6479950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唐钢、金正阳、鞍钢</w:t>
            </w:r>
          </w:p>
        </w:tc>
      </w:tr>
      <w:tr w14:paraId="7B2C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7ED05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10</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8030AD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PPR冷热水管、UPVC管、PP管</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18D4AF2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雄塑、联塑、中财</w:t>
            </w:r>
          </w:p>
        </w:tc>
      </w:tr>
      <w:tr w14:paraId="7D5D7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4CFE2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B8A10F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B1级橡塑保温</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001DF56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华美、杜肯、伯乐尔</w:t>
            </w:r>
          </w:p>
        </w:tc>
      </w:tr>
      <w:tr w14:paraId="00A1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0C0395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12</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3A4315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玻璃棉保温</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0269558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华美、新皓、欧文斯科宁</w:t>
            </w:r>
          </w:p>
        </w:tc>
      </w:tr>
      <w:tr w14:paraId="0380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E8727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13</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4CCDB05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水阀、软接、过滤器</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1CDE940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中阀、盾安、冠龙</w:t>
            </w:r>
          </w:p>
        </w:tc>
      </w:tr>
      <w:tr w14:paraId="7251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4A840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14</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674A5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卫浴洁具</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7088E0F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TOTO、科勒、美标</w:t>
            </w:r>
          </w:p>
        </w:tc>
      </w:tr>
      <w:tr w14:paraId="7AD8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489046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bdr w:val="none" w:color="auto" w:sz="0" w:space="0"/>
                <w:lang w:val="en-US" w:eastAsia="zh-CN" w:bidi="ar"/>
              </w:rPr>
              <w:t>四</w:t>
            </w:r>
          </w:p>
        </w:tc>
        <w:tc>
          <w:tcPr>
            <w:tcW w:w="7845" w:type="dxa"/>
            <w:gridSpan w:val="2"/>
            <w:tcBorders>
              <w:top w:val="single" w:color="000000" w:sz="4" w:space="0"/>
              <w:left w:val="single" w:color="000000" w:sz="4" w:space="0"/>
              <w:bottom w:val="single" w:color="000000" w:sz="4" w:space="0"/>
              <w:right w:val="single" w:color="000000" w:sz="4" w:space="0"/>
            </w:tcBorders>
            <w:shd w:val="clear"/>
            <w:vAlign w:val="center"/>
          </w:tcPr>
          <w:p w14:paraId="713154B9">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bdr w:val="none" w:color="auto" w:sz="0" w:space="0"/>
                <w:lang w:val="en-US" w:eastAsia="zh-CN" w:bidi="ar"/>
              </w:rPr>
              <w:t>自控系统</w:t>
            </w:r>
          </w:p>
        </w:tc>
      </w:tr>
      <w:tr w14:paraId="1207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4E7EE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DFF09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空调自动化控制</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364CF91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西门子、霍尼韦尔、江森</w:t>
            </w:r>
          </w:p>
        </w:tc>
      </w:tr>
      <w:tr w14:paraId="6287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CFEDD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5ACAA4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上位机系统</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3418F89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西门子、霍尼韦尔、江森</w:t>
            </w:r>
          </w:p>
        </w:tc>
      </w:tr>
      <w:tr w14:paraId="166E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5FB5E4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7A463B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电动调节水阀、蒸汽阀</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7485555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西门子、霍尼韦尔、博力谋</w:t>
            </w:r>
          </w:p>
        </w:tc>
      </w:tr>
      <w:tr w14:paraId="559C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D2AFB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E457C8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温湿度、压力传感器</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211B155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西门子、霍尼韦尔、Dwyer</w:t>
            </w:r>
          </w:p>
        </w:tc>
      </w:tr>
      <w:tr w14:paraId="291D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F2CCB8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bdr w:val="none" w:color="auto" w:sz="0" w:space="0"/>
                <w:lang w:val="en-US" w:eastAsia="zh-CN" w:bidi="ar"/>
              </w:rPr>
              <w:t>五</w:t>
            </w:r>
          </w:p>
        </w:tc>
        <w:tc>
          <w:tcPr>
            <w:tcW w:w="7845" w:type="dxa"/>
            <w:gridSpan w:val="2"/>
            <w:tcBorders>
              <w:top w:val="single" w:color="000000" w:sz="4" w:space="0"/>
              <w:left w:val="single" w:color="000000" w:sz="4" w:space="0"/>
              <w:bottom w:val="single" w:color="000000" w:sz="4" w:space="0"/>
              <w:right w:val="single" w:color="000000" w:sz="4" w:space="0"/>
            </w:tcBorders>
            <w:shd w:val="clear"/>
            <w:vAlign w:val="center"/>
          </w:tcPr>
          <w:p w14:paraId="71FDBF6E">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bdr w:val="none" w:color="auto" w:sz="0" w:space="0"/>
                <w:lang w:val="en-US" w:eastAsia="zh-CN" w:bidi="ar"/>
              </w:rPr>
              <w:t>弱电系统</w:t>
            </w:r>
          </w:p>
        </w:tc>
      </w:tr>
      <w:tr w14:paraId="2419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0AA05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373448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综合布线产品</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39AA7EC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康普、罗格朗、泛达</w:t>
            </w:r>
          </w:p>
        </w:tc>
      </w:tr>
      <w:tr w14:paraId="04B17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0BE76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D51F0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摄像机</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194067D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海康威视、大华、宇视</w:t>
            </w:r>
          </w:p>
        </w:tc>
      </w:tr>
      <w:tr w14:paraId="58E9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D1E89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743462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硬盘录象机</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36C765C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海康威视、大华、宇视</w:t>
            </w:r>
          </w:p>
        </w:tc>
      </w:tr>
      <w:tr w14:paraId="347E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6F9CF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D9B11F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硬盘</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2BD10A7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希捷、海康威视、WD</w:t>
            </w:r>
          </w:p>
        </w:tc>
      </w:tr>
      <w:tr w14:paraId="75B6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F0CC0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E30E31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网络交换机</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05609A3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华为、新华三H3C、思科</w:t>
            </w:r>
          </w:p>
        </w:tc>
      </w:tr>
      <w:tr w14:paraId="491E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0A805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2CEC31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路由器及AP</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728A483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华为、新华三H3C、思科</w:t>
            </w:r>
          </w:p>
        </w:tc>
      </w:tr>
      <w:tr w14:paraId="1BFE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A43D2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7</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FE477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门禁控制器</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5DA0FD5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考虑系统兼容性，须同现有门禁系统中相关品牌及型号一致（现有门禁品牌为中控）</w:t>
            </w:r>
          </w:p>
        </w:tc>
      </w:tr>
      <w:tr w14:paraId="37DFF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B3E73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2782F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互锁控制器</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717DAE0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中控、海康威视、微耕</w:t>
            </w:r>
          </w:p>
        </w:tc>
      </w:tr>
      <w:tr w14:paraId="5002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5AD5D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9</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511EBF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电脑</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3871D61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惠普、戴尔、联想</w:t>
            </w:r>
          </w:p>
        </w:tc>
      </w:tr>
      <w:tr w14:paraId="3E35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4788B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10</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5425AD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弱电机柜</w:t>
            </w:r>
          </w:p>
        </w:tc>
        <w:tc>
          <w:tcPr>
            <w:tcW w:w="5340" w:type="dxa"/>
            <w:tcBorders>
              <w:top w:val="single" w:color="000000" w:sz="4" w:space="0"/>
              <w:left w:val="single" w:color="000000" w:sz="4" w:space="0"/>
              <w:bottom w:val="single" w:color="000000" w:sz="4" w:space="0"/>
              <w:right w:val="single" w:color="000000" w:sz="4" w:space="0"/>
            </w:tcBorders>
            <w:shd w:val="clear"/>
            <w:vAlign w:val="center"/>
          </w:tcPr>
          <w:p w14:paraId="56FECC2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图腾、威图、佳华</w:t>
            </w:r>
          </w:p>
        </w:tc>
      </w:tr>
    </w:tbl>
    <w:p w14:paraId="1E5F1AB2">
      <w:pPr>
        <w:spacing w:line="360" w:lineRule="auto"/>
        <w:jc w:val="center"/>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注：</w:t>
      </w:r>
      <w:r>
        <w:rPr>
          <w:rFonts w:hint="eastAsia" w:ascii="宋体" w:hAnsi="宋体" w:cs="宋体"/>
          <w:b/>
          <w:bCs/>
          <w:sz w:val="21"/>
          <w:szCs w:val="21"/>
          <w:highlight w:val="none"/>
        </w:rP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如投标人在“主要材料和工程设备选用表”中未填报选用品牌，招标人有权在上述品牌内任选品牌及型号，且不允许投标人的投标价格再行调整。</w:t>
      </w:r>
    </w:p>
    <w:p w14:paraId="55B3E6CE">
      <w:pPr>
        <w:spacing w:line="360" w:lineRule="auto"/>
        <w:ind w:firstLine="482" w:firstLineChars="20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二、本项目初步设计报告，详见附件：《初步设计报告第三册：建安册-初步设计说明》</w:t>
      </w:r>
    </w:p>
    <w:p w14:paraId="7C7E195B">
      <w:pPr>
        <w:spacing w:line="360" w:lineRule="auto"/>
        <w:ind w:firstLine="482" w:firstLineChars="20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三、本项目包括但不仅限于工程量计算书的工程量，详见附件：《二楼动物房工程量计算书》</w:t>
      </w:r>
    </w:p>
    <w:p w14:paraId="7BD84373">
      <w:pPr>
        <w:spacing w:line="360" w:lineRule="auto"/>
        <w:ind w:firstLine="482" w:firstLineChars="200"/>
        <w:jc w:val="both"/>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四、图纸见</w:t>
      </w:r>
      <w:r>
        <w:rPr>
          <w:rFonts w:hint="eastAsia" w:ascii="宋体" w:hAnsi="宋体" w:eastAsia="宋体" w:cs="宋体"/>
          <w:b/>
          <w:bCs/>
          <w:sz w:val="24"/>
          <w:szCs w:val="24"/>
          <w:highlight w:val="none"/>
          <w:lang w:val="en-US" w:eastAsia="zh-CN"/>
        </w:rPr>
        <w:t>，详见附件：《健康院H栋二楼-装修初设图20250502(0513改1，套图</w:t>
      </w:r>
      <w:r>
        <w:rPr>
          <w:rFonts w:hint="eastAsia" w:ascii="宋体" w:hAnsi="宋体" w:cs="宋体"/>
          <w:b/>
          <w:bCs/>
          <w:sz w:val="24"/>
          <w:szCs w:val="24"/>
          <w:highlight w:val="none"/>
          <w:lang w:val="en-US" w:eastAsia="zh-CN"/>
        </w:rPr>
        <w:t>、健康院H栋二楼-装修初设图20250502(0513改2，套图</w:t>
      </w:r>
      <w:r>
        <w:rPr>
          <w:rFonts w:hint="eastAsia" w:ascii="宋体" w:hAnsi="宋体" w:eastAsia="宋体" w:cs="宋体"/>
          <w:b/>
          <w:bCs/>
          <w:sz w:val="24"/>
          <w:szCs w:val="24"/>
          <w:highlight w:val="none"/>
          <w:lang w:val="en-US" w:eastAsia="zh-CN"/>
        </w:rPr>
        <w:t>》</w:t>
      </w:r>
    </w:p>
    <w:p w14:paraId="632C208A">
      <w:pPr>
        <w:spacing w:line="360" w:lineRule="auto"/>
        <w:ind w:firstLine="482" w:firstLineChars="200"/>
        <w:jc w:val="both"/>
        <w:rPr>
          <w:rFonts w:hint="default" w:ascii="宋体" w:hAnsi="宋体" w:eastAsia="宋体" w:cs="宋体"/>
          <w:b/>
          <w:bCs/>
          <w:sz w:val="24"/>
          <w:szCs w:val="24"/>
          <w:highlight w:val="none"/>
          <w:lang w:val="en-US" w:eastAsia="zh-CN"/>
        </w:rPr>
      </w:pPr>
    </w:p>
    <w:p w14:paraId="583F8C21">
      <w:pPr>
        <w:spacing w:line="360" w:lineRule="auto"/>
        <w:jc w:val="both"/>
        <w:rPr>
          <w:rFonts w:ascii="宋体" w:hAnsi="宋体" w:cs="宋体"/>
          <w:b/>
          <w:bCs/>
          <w:sz w:val="28"/>
          <w:szCs w:val="28"/>
          <w:highlight w:val="none"/>
        </w:rPr>
        <w:sectPr>
          <w:headerReference r:id="rId11" w:type="default"/>
          <w:footerReference r:id="rId12"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type="lines" w:linePitch="312" w:charSpace="0"/>
        </w:sectPr>
      </w:pPr>
    </w:p>
    <w:p w14:paraId="504859E3">
      <w:pPr>
        <w:spacing w:line="360" w:lineRule="auto"/>
        <w:jc w:val="center"/>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lang w:val="en-US" w:eastAsia="zh-CN"/>
        </w:rPr>
        <w:t>、动物实验中心装修、设备技术参数</w:t>
      </w:r>
    </w:p>
    <w:p w14:paraId="628E8822">
      <w:pPr>
        <w:spacing w:line="98" w:lineRule="exact"/>
        <w:rPr>
          <w:highlight w:val="none"/>
        </w:rPr>
      </w:pPr>
    </w:p>
    <w:tbl>
      <w:tblPr>
        <w:tblStyle w:val="194"/>
        <w:tblW w:w="138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1219"/>
        <w:gridCol w:w="1300"/>
        <w:gridCol w:w="608"/>
        <w:gridCol w:w="1566"/>
        <w:gridCol w:w="8457"/>
      </w:tblGrid>
      <w:tr w14:paraId="49F9F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85" w:type="dxa"/>
          </w:tcPr>
          <w:p w14:paraId="714C74F0">
            <w:pPr>
              <w:spacing w:before="211" w:line="221" w:lineRule="auto"/>
              <w:ind w:left="128"/>
              <w:rPr>
                <w:rFonts w:ascii="宋体" w:hAnsi="宋体" w:eastAsia="宋体" w:cs="宋体"/>
              </w:rPr>
            </w:pPr>
            <w:r>
              <w:rPr>
                <w:rFonts w:hint="eastAsia" w:ascii="宋体" w:hAnsi="宋体" w:eastAsia="宋体" w:cs="宋体"/>
                <w:b/>
                <w:bCs/>
                <w:spacing w:val="-5"/>
              </w:rPr>
              <w:t>序号</w:t>
            </w:r>
          </w:p>
        </w:tc>
        <w:tc>
          <w:tcPr>
            <w:tcW w:w="1219" w:type="dxa"/>
          </w:tcPr>
          <w:p w14:paraId="18C4A808">
            <w:pPr>
              <w:spacing w:before="211" w:line="221" w:lineRule="auto"/>
              <w:ind w:left="128"/>
              <w:rPr>
                <w:rFonts w:ascii="宋体" w:hAnsi="宋体" w:eastAsia="宋体" w:cs="宋体"/>
                <w:b/>
                <w:bCs/>
                <w:spacing w:val="-5"/>
              </w:rPr>
            </w:pPr>
            <w:r>
              <w:rPr>
                <w:rFonts w:hint="eastAsia" w:ascii="宋体" w:hAnsi="宋体" w:eastAsia="宋体" w:cs="宋体"/>
                <w:b/>
                <w:bCs/>
                <w:spacing w:val="-5"/>
              </w:rPr>
              <w:t>房间名称</w:t>
            </w:r>
          </w:p>
        </w:tc>
        <w:tc>
          <w:tcPr>
            <w:tcW w:w="1300" w:type="dxa"/>
          </w:tcPr>
          <w:p w14:paraId="6275891B">
            <w:pPr>
              <w:spacing w:before="211" w:line="221" w:lineRule="auto"/>
              <w:ind w:left="128"/>
              <w:rPr>
                <w:rFonts w:ascii="宋体" w:hAnsi="宋体" w:eastAsia="宋体" w:cs="宋体"/>
                <w:b/>
                <w:bCs/>
                <w:spacing w:val="-5"/>
              </w:rPr>
            </w:pPr>
            <w:r>
              <w:rPr>
                <w:rFonts w:hint="eastAsia" w:ascii="宋体" w:hAnsi="宋体" w:eastAsia="宋体" w:cs="宋体"/>
                <w:b/>
                <w:bCs/>
                <w:spacing w:val="-5"/>
              </w:rPr>
              <w:t>设备名称</w:t>
            </w:r>
          </w:p>
        </w:tc>
        <w:tc>
          <w:tcPr>
            <w:tcW w:w="608" w:type="dxa"/>
          </w:tcPr>
          <w:p w14:paraId="0C3AE033">
            <w:pPr>
              <w:spacing w:before="211" w:line="221" w:lineRule="auto"/>
              <w:ind w:left="128"/>
              <w:rPr>
                <w:rFonts w:ascii="宋体" w:hAnsi="宋体" w:eastAsia="宋体" w:cs="宋体"/>
                <w:b/>
                <w:bCs/>
                <w:spacing w:val="-5"/>
              </w:rPr>
            </w:pPr>
            <w:r>
              <w:rPr>
                <w:rFonts w:hint="eastAsia" w:ascii="宋体" w:hAnsi="宋体" w:eastAsia="宋体" w:cs="宋体"/>
                <w:b/>
                <w:bCs/>
                <w:spacing w:val="-5"/>
              </w:rPr>
              <w:t>数量</w:t>
            </w:r>
          </w:p>
        </w:tc>
        <w:tc>
          <w:tcPr>
            <w:tcW w:w="1566" w:type="dxa"/>
          </w:tcPr>
          <w:p w14:paraId="41A9367C">
            <w:pPr>
              <w:spacing w:before="211" w:line="221" w:lineRule="auto"/>
              <w:ind w:left="128"/>
              <w:rPr>
                <w:rFonts w:ascii="宋体" w:hAnsi="宋体" w:eastAsia="宋体" w:cs="宋体"/>
                <w:b/>
                <w:bCs/>
                <w:spacing w:val="-5"/>
              </w:rPr>
            </w:pPr>
            <w:r>
              <w:rPr>
                <w:rFonts w:hint="eastAsia" w:ascii="宋体" w:hAnsi="宋体" w:eastAsia="宋体" w:cs="宋体"/>
                <w:b/>
                <w:bCs/>
                <w:spacing w:val="-5"/>
              </w:rPr>
              <w:t>尺寸(长×宽×高)mm</w:t>
            </w:r>
          </w:p>
        </w:tc>
        <w:tc>
          <w:tcPr>
            <w:tcW w:w="8457" w:type="dxa"/>
          </w:tcPr>
          <w:p w14:paraId="70661BAE">
            <w:pPr>
              <w:spacing w:before="211" w:line="221" w:lineRule="auto"/>
              <w:jc w:val="center"/>
              <w:rPr>
                <w:rFonts w:ascii="宋体" w:hAnsi="宋体" w:eastAsia="宋体" w:cs="宋体"/>
                <w:b/>
                <w:bCs/>
                <w:spacing w:val="-5"/>
              </w:rPr>
            </w:pPr>
            <w:r>
              <w:rPr>
                <w:rFonts w:hint="eastAsia" w:ascii="宋体" w:hAnsi="宋体" w:eastAsia="宋体" w:cs="宋体"/>
                <w:b/>
                <w:bCs/>
                <w:spacing w:val="-5"/>
              </w:rPr>
              <w:t>技术参数要求</w:t>
            </w:r>
          </w:p>
        </w:tc>
      </w:tr>
      <w:tr w14:paraId="2718B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7B1FDB28">
            <w:pPr>
              <w:spacing w:before="231" w:line="241" w:lineRule="auto"/>
              <w:ind w:left="275"/>
              <w:rPr>
                <w:rFonts w:ascii="宋体" w:hAnsi="宋体" w:eastAsia="宋体" w:cs="宋体"/>
                <w:lang w:eastAsia="zh-CN"/>
              </w:rPr>
            </w:pPr>
            <w:r>
              <w:rPr>
                <w:rFonts w:hint="eastAsia" w:ascii="宋体" w:hAnsi="宋体" w:eastAsia="宋体" w:cs="宋体"/>
                <w:lang w:eastAsia="zh-CN"/>
              </w:rPr>
              <w:t>1</w:t>
            </w:r>
          </w:p>
        </w:tc>
        <w:tc>
          <w:tcPr>
            <w:tcW w:w="1219" w:type="dxa"/>
          </w:tcPr>
          <w:p w14:paraId="716746ED">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清消室1、2</w:t>
            </w:r>
          </w:p>
        </w:tc>
        <w:tc>
          <w:tcPr>
            <w:tcW w:w="1300" w:type="dxa"/>
          </w:tcPr>
          <w:p w14:paraId="622C9152">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氙光消毒传递窗</w:t>
            </w:r>
          </w:p>
        </w:tc>
        <w:tc>
          <w:tcPr>
            <w:tcW w:w="608" w:type="dxa"/>
          </w:tcPr>
          <w:p w14:paraId="285221A5">
            <w:pPr>
              <w:spacing w:before="49" w:line="252" w:lineRule="auto"/>
              <w:ind w:left="133" w:hanging="69"/>
              <w:jc w:val="both"/>
              <w:rPr>
                <w:rFonts w:ascii="宋体" w:hAnsi="宋体" w:eastAsia="宋体" w:cs="宋体"/>
                <w:spacing w:val="-1"/>
                <w:lang w:eastAsia="zh-CN"/>
              </w:rPr>
            </w:pPr>
          </w:p>
        </w:tc>
        <w:tc>
          <w:tcPr>
            <w:tcW w:w="1566" w:type="dxa"/>
          </w:tcPr>
          <w:p w14:paraId="2AB93E21">
            <w:pPr>
              <w:spacing w:before="49" w:line="252" w:lineRule="auto"/>
              <w:ind w:left="133" w:hanging="69"/>
              <w:rPr>
                <w:rFonts w:ascii="宋体" w:hAnsi="宋体" w:eastAsia="宋体" w:cs="宋体"/>
                <w:spacing w:val="-1"/>
                <w:lang w:eastAsia="zh-CN"/>
              </w:rPr>
            </w:pPr>
            <w:r>
              <w:rPr>
                <w:rFonts w:hint="eastAsia" w:ascii="宋体" w:hAnsi="宋体" w:eastAsia="宋体" w:cs="宋体"/>
                <w:spacing w:val="-1"/>
                <w:lang w:eastAsia="zh-CN"/>
              </w:rPr>
              <w:t>内尺寸：600*600*1200</w:t>
            </w:r>
          </w:p>
        </w:tc>
        <w:tc>
          <w:tcPr>
            <w:tcW w:w="8457" w:type="dxa"/>
          </w:tcPr>
          <w:p w14:paraId="5596863B">
            <w:pPr>
              <w:pStyle w:val="89"/>
              <w:numPr>
                <w:ilvl w:val="0"/>
                <w:numId w:val="3"/>
              </w:numPr>
              <w:ind w:firstLineChars="0"/>
              <w:rPr>
                <w:rFonts w:ascii="宋体" w:hAnsi="宋体" w:eastAsia="宋体" w:cs="宋体"/>
              </w:rPr>
            </w:pPr>
            <w:r>
              <w:rPr>
                <w:rFonts w:hint="eastAsia" w:ascii="宋体" w:hAnsi="宋体" w:eastAsia="宋体" w:cs="宋体"/>
                <w:lang w:eastAsia="zh-CN"/>
              </w:rPr>
              <w:t>功能作用：安装在洁净区与非洁净区之间，使物料传递时间≤3min，用于对被传递物品或带有活体动物的转运笼具表面进行快速消杀，避免病原微生物在各区域之间传播。</w:t>
            </w:r>
            <w:r>
              <w:rPr>
                <w:rFonts w:hint="eastAsia" w:ascii="宋体" w:hAnsi="宋体" w:eastAsia="宋体" w:cs="宋体"/>
              </w:rPr>
              <w:t>提供产品手册相关页备查。</w:t>
            </w:r>
          </w:p>
          <w:p w14:paraId="753C284E">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消毒因子：由高能脉冲氙光灯管产生的高强度脉冲强光紫外线。</w:t>
            </w:r>
          </w:p>
          <w:p w14:paraId="6414FC61">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灯管布置方式：舱内顶部不少于1支防水高能氙灯，灯管发光长度≥560mm，灯管直径≥60mm；舱内双侧面各不少于1支防水高能氙灯且不少于6支防水高能脉冲氙灯；舱内底面不少于3支防水高能脉冲氙灯，且每个面上高能脉冲氙灯有效发光长度合计≥540mm。提供传递窗内部照片或结构示意图，并标注灯管名称，明确灯管布置方式和数量，并提供灯管尺寸图纸及实物照片或结构示意图备查。</w:t>
            </w:r>
          </w:p>
          <w:p w14:paraId="1CA22339">
            <w:pPr>
              <w:pStyle w:val="89"/>
              <w:numPr>
                <w:ilvl w:val="0"/>
                <w:numId w:val="3"/>
              </w:numPr>
              <w:ind w:firstLineChars="0"/>
              <w:rPr>
                <w:rFonts w:ascii="宋体" w:hAnsi="宋体" w:eastAsia="宋体" w:cs="宋体"/>
                <w:lang w:eastAsia="zh-CN"/>
              </w:rPr>
            </w:pPr>
            <w:r>
              <w:rPr>
                <w:rFonts w:hint="eastAsia" w:ascii="宋体" w:hAnsi="宋体" w:eastAsia="宋体" w:cs="宋体"/>
                <w:color w:val="auto"/>
                <w:lang w:eastAsia="zh-CN"/>
              </w:rPr>
              <w:t>▲</w:t>
            </w:r>
            <w:r>
              <w:rPr>
                <w:rFonts w:hint="eastAsia" w:ascii="宋体" w:hAnsi="宋体" w:eastAsia="宋体" w:cs="宋体"/>
                <w:lang w:eastAsia="zh-CN"/>
              </w:rPr>
              <w:t>舱内紫外辐射照度：距设备内部灯管表面25cm处，测量的紫外辐射照度平均值≥11mw/cm²。提供传递窗或传递柜的第三方检测机构出具的带CMA认证的整机检测报告复印件（加盖投标人公章鲜章），需体现且满足上述数值要求。</w:t>
            </w:r>
          </w:p>
          <w:p w14:paraId="2AF7DDF8">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细菌杀灭效率：消毒作用3min，对铜绿假单胞菌、龟分枝杆菌脓肿亚种、白色葡萄球菌、金黄色葡萄球菌、大肠杆菌的杀灭对数值＞3，符合《消毒技术规范》（2002年版）的要求。提供传递窗或传递柜的第三方检测机构出具的带CMA认证的整机检测报告复印件（加盖投标人公章鲜章），需体现且满足上述数值要求。</w:t>
            </w:r>
          </w:p>
          <w:p w14:paraId="6C6BD9F5">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真菌杀菌效率：消毒作用3min，对白色念珠菌的杀灭对数值＞3，符合《消毒技术规范》（2002年版）的要求。提供传递窗或传递柜的第三方检测机构出具的带CMA认证的整机检测报告复印件（加盖投标人公章鲜章），需体现且满足上述数值要求。</w:t>
            </w:r>
          </w:p>
          <w:p w14:paraId="29278DCB">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▲冠状病毒杀灭效率：消毒作用3min，对冠状病毒HCoV-229E的杀灭对数值＞4。提供传递窗或传递柜的第三方检测机构出具的整机检测报告复印件（加盖投标人公章鲜章），需体现且满足上述数值要求。</w:t>
            </w:r>
          </w:p>
          <w:p w14:paraId="7D22293E">
            <w:pPr>
              <w:pStyle w:val="89"/>
              <w:numPr>
                <w:ilvl w:val="0"/>
                <w:numId w:val="3"/>
              </w:numPr>
              <w:ind w:firstLineChars="0"/>
              <w:rPr>
                <w:rFonts w:ascii="宋体" w:hAnsi="宋体" w:eastAsia="宋体" w:cs="宋体"/>
                <w:lang w:eastAsia="zh-CN"/>
              </w:rPr>
            </w:pPr>
            <w:r>
              <w:rPr>
                <w:rFonts w:hint="eastAsia" w:ascii="宋体" w:hAnsi="宋体" w:eastAsia="宋体" w:cs="宋体"/>
                <w:color w:val="auto"/>
                <w:lang w:eastAsia="zh-CN"/>
              </w:rPr>
              <w:t>▲</w:t>
            </w:r>
            <w:r>
              <w:rPr>
                <w:rFonts w:hint="eastAsia" w:ascii="宋体" w:hAnsi="宋体" w:eastAsia="宋体" w:cs="宋体"/>
                <w:lang w:eastAsia="zh-CN"/>
              </w:rPr>
              <w:t>腺病毒杀灭效率：消毒作用3min，对腺病毒Ad-5的杀灭对数值＞4。提供传递窗或传递柜的第三方检测机构出具的整机检测报告复印件（加盖投标人公章鲜章），需体现且满足上述数值要求。</w:t>
            </w:r>
          </w:p>
          <w:p w14:paraId="12D99411">
            <w:pPr>
              <w:pStyle w:val="89"/>
              <w:numPr>
                <w:ilvl w:val="0"/>
                <w:numId w:val="3"/>
              </w:numPr>
              <w:ind w:firstLineChars="0"/>
              <w:rPr>
                <w:rFonts w:ascii="宋体" w:hAnsi="宋体" w:eastAsia="宋体" w:cs="宋体"/>
                <w:lang w:eastAsia="zh-CN"/>
              </w:rPr>
            </w:pPr>
            <w:r>
              <w:rPr>
                <w:rFonts w:hint="eastAsia" w:ascii="宋体" w:hAnsi="宋体" w:eastAsia="宋体" w:cs="宋体"/>
                <w:color w:val="auto"/>
                <w:lang w:eastAsia="zh-CN"/>
              </w:rPr>
              <w:t>▲</w:t>
            </w:r>
            <w:r>
              <w:rPr>
                <w:rFonts w:hint="eastAsia" w:ascii="宋体" w:hAnsi="宋体" w:eastAsia="宋体" w:cs="宋体"/>
                <w:lang w:eastAsia="zh-CN"/>
              </w:rPr>
              <w:t>甲型流感病毒杀灭效率：消毒作用3min，对甲型流感病毒H1N1的杀灭对数值＞4。提供传递窗或传递柜的第三方检测机构出具的整机检测报告复印件（加盖投标人公章鲜章），需体现且满足上述数值要求。</w:t>
            </w:r>
          </w:p>
          <w:p w14:paraId="3EAB41C4">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芽孢杀菌效率：消毒作用3min，对枯草杆菌黑色变种芽孢的杀灭对数值＞3，符合《消毒技术规范》（2002年版）的要求。提供传递窗或传递柜的第三方检测机构出具的整机检测报告复印件（加盖投标人公章鲜章），需体现且满足上述数值要求。</w:t>
            </w:r>
          </w:p>
          <w:p w14:paraId="61A6F6F4">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臭氧残留量：设备运行3min，臭氧残留量≤0.16mg/m³，符合GB28232-2020《臭氧消毒器卫生要求》臭氧残留量≤0.16mg/m³的要求。提供传递窗或传递柜的第三方检测机构出具的带CMA认证的整机检测报告复印件（加盖投标人公章鲜章），需体现且满足上述数值要求。</w:t>
            </w:r>
          </w:p>
          <w:p w14:paraId="5A204DA6">
            <w:pPr>
              <w:pStyle w:val="89"/>
              <w:numPr>
                <w:ilvl w:val="0"/>
                <w:numId w:val="3"/>
              </w:numPr>
              <w:ind w:firstLineChars="0"/>
              <w:rPr>
                <w:rFonts w:ascii="宋体" w:hAnsi="宋体" w:eastAsia="宋体" w:cs="宋体"/>
                <w:lang w:eastAsia="zh-CN"/>
              </w:rPr>
            </w:pPr>
            <w:r>
              <w:rPr>
                <w:rFonts w:hint="eastAsia" w:ascii="宋体" w:hAnsi="宋体" w:eastAsia="宋体" w:cs="宋体"/>
                <w:color w:val="auto"/>
                <w:lang w:eastAsia="zh-CN"/>
              </w:rPr>
              <w:t>▲</w:t>
            </w:r>
            <w:r>
              <w:rPr>
                <w:rFonts w:hint="eastAsia" w:ascii="宋体" w:hAnsi="宋体" w:eastAsia="宋体" w:cs="宋体"/>
                <w:lang w:eastAsia="zh-CN"/>
              </w:rPr>
              <w:t>紫外线泄漏量：设备开机后，其周边30cm处，紫外线泄漏量≤5</w:t>
            </w:r>
            <w:r>
              <w:rPr>
                <w:rFonts w:hint="eastAsia" w:ascii="宋体" w:hAnsi="宋体" w:eastAsia="宋体" w:cs="宋体"/>
              </w:rPr>
              <w:t>μ</w:t>
            </w:r>
            <w:r>
              <w:rPr>
                <w:rFonts w:hint="eastAsia" w:ascii="宋体" w:hAnsi="宋体" w:eastAsia="宋体" w:cs="宋体"/>
                <w:lang w:eastAsia="zh-CN"/>
              </w:rPr>
              <w:t>W/cm²，符合GB28235-2020《紫外线消毒器卫生要求》紫外线泄漏量≤5</w:t>
            </w:r>
            <w:r>
              <w:rPr>
                <w:rFonts w:hint="eastAsia" w:ascii="宋体" w:hAnsi="宋体" w:eastAsia="宋体" w:cs="宋体"/>
              </w:rPr>
              <w:t>μ</w:t>
            </w:r>
            <w:r>
              <w:rPr>
                <w:rFonts w:hint="eastAsia" w:ascii="宋体" w:hAnsi="宋体" w:eastAsia="宋体" w:cs="宋体"/>
                <w:lang w:eastAsia="zh-CN"/>
              </w:rPr>
              <w:t>W/cm²的要求。提供传递窗或传递柜的第三方检测机构出具的带CMA认证的整机检测报告复印件（加盖投标人公章鲜章），需体现且满足上述数值要求。</w:t>
            </w:r>
          </w:p>
          <w:p w14:paraId="67E8C3B9">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▲制造商资质：制造商应取得“消毒产品生产企业卫生许可证”证书，证书中的“生产类别”应为“紫外线消毒器”，具有安全评价报告。提供在有效期内的证书备查。</w:t>
            </w:r>
          </w:p>
          <w:p w14:paraId="31F3E057">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舱门观察窗玻璃：舱门观察窗玻璃采用具备3C认证的不小于5mm厚防紫外钢化玻璃。</w:t>
            </w:r>
          </w:p>
          <w:p w14:paraId="05DCE52F">
            <w:pPr>
              <w:pStyle w:val="89"/>
              <w:numPr>
                <w:ilvl w:val="0"/>
                <w:numId w:val="3"/>
              </w:numPr>
              <w:ind w:firstLineChars="0"/>
              <w:rPr>
                <w:rFonts w:ascii="宋体" w:hAnsi="宋体" w:eastAsia="宋体" w:cs="宋体"/>
                <w:lang w:eastAsia="zh-CN"/>
              </w:rPr>
            </w:pPr>
            <w:r>
              <w:rPr>
                <w:rFonts w:hint="eastAsia" w:ascii="宋体" w:hAnsi="宋体" w:eastAsia="宋体" w:cs="宋体"/>
                <w:color w:val="auto"/>
                <w:lang w:eastAsia="zh-CN"/>
              </w:rPr>
              <w:t>▲</w:t>
            </w:r>
            <w:r>
              <w:rPr>
                <w:rFonts w:hint="eastAsia" w:ascii="宋体" w:hAnsi="宋体" w:eastAsia="宋体" w:cs="宋体"/>
                <w:lang w:eastAsia="zh-CN"/>
              </w:rPr>
              <w:t>脉冲氙光灯罩石英玻璃透射比：脉冲氙光灯罩石英玻璃对253.7nm波长紫外线的透射比≥84%。提供传递窗或传递柜的第三方检测机构出具的带CMA认证的整机检测报告复印件（加盖投标人公章鲜章），需体现且满足上述数值要求。</w:t>
            </w:r>
          </w:p>
          <w:p w14:paraId="3252DA43">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自净功能：传递柜采用内循环方式自净，无需外接管道，换气次数＞20次/小时，内外均安装机械压差表以随时监测高效过滤器的堵塞情况。提供设备内部照片或结构示意图，并标注循环风机、高效过滤器、机械压差表的位置。</w:t>
            </w:r>
          </w:p>
          <w:p w14:paraId="00EF0B81">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应急手动开关：传递柜应配备应急手动开关，正常状态采用DDC控制系统，故障应急状态可以手动控制传递柜启停。提供传递柜外观照片或结构示意图并标注应急手动开关位置。</w:t>
            </w:r>
          </w:p>
          <w:p w14:paraId="614F2BCC">
            <w:pPr>
              <w:pStyle w:val="89"/>
              <w:numPr>
                <w:ilvl w:val="0"/>
                <w:numId w:val="3"/>
              </w:numPr>
              <w:ind w:firstLineChars="0"/>
              <w:rPr>
                <w:rFonts w:ascii="宋体" w:hAnsi="宋体" w:eastAsia="宋体" w:cs="宋体"/>
                <w:bCs/>
                <w:lang w:eastAsia="zh-CN"/>
              </w:rPr>
            </w:pPr>
            <w:r>
              <w:rPr>
                <w:rFonts w:hint="eastAsia" w:ascii="宋体" w:hAnsi="宋体" w:eastAsia="宋体" w:cs="宋体"/>
                <w:lang w:eastAsia="zh-CN"/>
              </w:rPr>
              <w:t>内部照明系统：传递柜内部安装LED灯光源，采用智能节能控制，消毒完成时灯亮，取出物品后自动熄灭，便于观察消毒物品状态。提供传递窗内部照片或结构示意图并标注LED灯光源位置。</w:t>
            </w:r>
          </w:p>
          <w:p w14:paraId="24AE0BE6">
            <w:pPr>
              <w:pStyle w:val="89"/>
              <w:numPr>
                <w:ilvl w:val="0"/>
                <w:numId w:val="3"/>
              </w:numPr>
              <w:ind w:firstLineChars="0"/>
              <w:rPr>
                <w:rFonts w:ascii="宋体" w:hAnsi="宋体" w:eastAsia="宋体" w:cs="宋体"/>
                <w:lang w:eastAsia="zh-CN"/>
              </w:rPr>
            </w:pPr>
            <w:r>
              <w:rPr>
                <w:rFonts w:hint="eastAsia" w:ascii="宋体" w:hAnsi="宋体" w:eastAsia="宋体" w:cs="宋体"/>
                <w:bCs/>
                <w:lang w:eastAsia="zh-CN"/>
              </w:rPr>
              <w:t>设备舱体：传递柜壳体及金属结构件全部采用SUS304不锈钢；</w:t>
            </w:r>
            <w:r>
              <w:rPr>
                <w:rFonts w:hint="eastAsia" w:ascii="宋体" w:hAnsi="宋体" w:eastAsia="宋体" w:cs="宋体"/>
                <w:lang w:eastAsia="zh-CN"/>
              </w:rPr>
              <w:t>舱体内腔面全部采用SUS304不锈钢镜面抛光板，并采用≥R25大圆弧角设计，无清洗消毒死角；传递窗底面应设置高度≥50mm的SUS304不锈钢格栅置物架，以确保舱内底面高能脉冲氙灯光线可照射到物料底面。提供舱内及置物架实物照片或结构示意图备查。</w:t>
            </w:r>
          </w:p>
          <w:p w14:paraId="26EBCB11">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灯壳结构要求：舱内高能氙灯和高能脉冲氙灯的灯壳全部采用不影响物料通过的嵌入式结构，灯壳断面为梯形结构且长边向外，灯壳内壁全部采用SUS304不锈钢镜面抛光板，以增加紫外线反射及折射效率。提供灯壳图纸、灯壳实物照片或结构示意图备查。</w:t>
            </w:r>
          </w:p>
          <w:p w14:paraId="24BAB737">
            <w:pPr>
              <w:pStyle w:val="89"/>
              <w:numPr>
                <w:ilvl w:val="0"/>
                <w:numId w:val="3"/>
              </w:numPr>
              <w:ind w:firstLineChars="0"/>
              <w:rPr>
                <w:rFonts w:ascii="宋体" w:hAnsi="宋体" w:eastAsia="宋体" w:cs="宋体"/>
                <w:lang w:eastAsia="zh-CN"/>
              </w:rPr>
            </w:pPr>
            <w:r>
              <w:rPr>
                <w:rFonts w:hint="eastAsia" w:ascii="宋体" w:hAnsi="宋体" w:eastAsia="宋体" w:cs="宋体"/>
                <w:color w:val="auto"/>
                <w:lang w:eastAsia="zh-CN"/>
              </w:rPr>
              <w:t>▲</w:t>
            </w:r>
            <w:r>
              <w:rPr>
                <w:rFonts w:hint="eastAsia" w:ascii="宋体" w:hAnsi="宋体" w:eastAsia="宋体" w:cs="宋体"/>
                <w:lang w:eastAsia="zh-CN"/>
              </w:rPr>
              <w:t>壳体材质力学性能要求：壳体材质为SUS304不锈钢，其抗拉强度R</w:t>
            </w:r>
            <w:r>
              <w:rPr>
                <w:rFonts w:hint="eastAsia" w:ascii="宋体" w:hAnsi="宋体" w:eastAsia="宋体" w:cs="宋体"/>
                <w:vertAlign w:val="subscript"/>
                <w:lang w:eastAsia="zh-CN"/>
              </w:rPr>
              <w:t>m</w:t>
            </w:r>
            <w:r>
              <w:rPr>
                <w:rFonts w:hint="eastAsia" w:ascii="宋体" w:hAnsi="宋体" w:eastAsia="宋体" w:cs="宋体"/>
                <w:lang w:eastAsia="zh-CN"/>
              </w:rPr>
              <w:t>、规定塑性延伸强度 RP</w:t>
            </w:r>
            <w:r>
              <w:rPr>
                <w:rFonts w:hint="eastAsia" w:ascii="宋体" w:hAnsi="宋体" w:eastAsia="宋体" w:cs="宋体"/>
                <w:vertAlign w:val="subscript"/>
                <w:lang w:eastAsia="zh-CN"/>
              </w:rPr>
              <w:t>0.2</w:t>
            </w:r>
            <w:r>
              <w:rPr>
                <w:rFonts w:hint="eastAsia" w:ascii="宋体" w:hAnsi="宋体" w:eastAsia="宋体" w:cs="宋体"/>
                <w:lang w:eastAsia="zh-CN"/>
              </w:rPr>
              <w:t>、断后伸长率A、维氏硬度等均应符合GB/T3280-2015《不锈钢冷轧钢板和钢带》要求，即抗拉强度R</w:t>
            </w:r>
            <w:r>
              <w:rPr>
                <w:rFonts w:hint="eastAsia" w:ascii="宋体" w:hAnsi="宋体" w:eastAsia="宋体" w:cs="宋体"/>
                <w:vertAlign w:val="subscript"/>
                <w:lang w:eastAsia="zh-CN"/>
              </w:rPr>
              <w:t>m</w:t>
            </w:r>
            <w:r>
              <w:rPr>
                <w:rFonts w:hint="eastAsia" w:ascii="宋体" w:hAnsi="宋体" w:eastAsia="宋体" w:cs="宋体"/>
                <w:lang w:eastAsia="zh-CN"/>
              </w:rPr>
              <w:t>≥515MPa，规定塑性延伸强度 RP</w:t>
            </w:r>
            <w:r>
              <w:rPr>
                <w:rFonts w:hint="eastAsia" w:ascii="宋体" w:hAnsi="宋体" w:eastAsia="宋体" w:cs="宋体"/>
                <w:vertAlign w:val="subscript"/>
                <w:lang w:eastAsia="zh-CN"/>
              </w:rPr>
              <w:t>0.2</w:t>
            </w:r>
            <w:r>
              <w:rPr>
                <w:rFonts w:hint="eastAsia" w:ascii="宋体" w:hAnsi="宋体" w:eastAsia="宋体" w:cs="宋体"/>
                <w:lang w:eastAsia="zh-CN"/>
              </w:rPr>
              <w:t>≥205MPa，断后伸长率A≥40%，维氏硬度≤210HV。提供第三方检测机构出具的带CMA认证的整机检测报告复印件（加盖投标人公章鲜章），需体现且满足上述数值要求。</w:t>
            </w:r>
          </w:p>
          <w:p w14:paraId="70985BB9">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外部工艺：内外门采用嵌入式压紧密封门，壳体为一体式结构，外表面无拼接缝，便于清洁。</w:t>
            </w:r>
          </w:p>
          <w:p w14:paraId="14AF7C40">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互锁装置：采用电子互锁和机械锁。提供互锁结构实物照片或结构示意图备查。</w:t>
            </w:r>
          </w:p>
          <w:p w14:paraId="670921F2">
            <w:pPr>
              <w:pStyle w:val="89"/>
              <w:numPr>
                <w:ilvl w:val="0"/>
                <w:numId w:val="3"/>
              </w:numPr>
              <w:ind w:firstLineChars="0"/>
              <w:rPr>
                <w:rFonts w:ascii="宋体" w:hAnsi="宋体" w:eastAsia="宋体" w:cs="宋体"/>
                <w:spacing w:val="-1"/>
                <w:lang w:eastAsia="zh-CN"/>
              </w:rPr>
            </w:pPr>
            <w:r>
              <w:rPr>
                <w:rFonts w:hint="eastAsia" w:ascii="宋体" w:hAnsi="宋体" w:eastAsia="宋体" w:cs="宋体"/>
                <w:lang w:eastAsia="zh-CN"/>
              </w:rPr>
              <w:t>控制方式：采用DDC控制,≥5寸彩色触摸屏，可单独设置消毒、自净时间，并具有操作权限保护功能，提供触摸屏上相关功能操作界面实物照片或界面截图备查。</w:t>
            </w:r>
          </w:p>
          <w:p w14:paraId="49DBCA54">
            <w:pPr>
              <w:pStyle w:val="89"/>
              <w:numPr>
                <w:ilvl w:val="0"/>
                <w:numId w:val="3"/>
              </w:numPr>
              <w:ind w:firstLineChars="0"/>
              <w:rPr>
                <w:rFonts w:ascii="宋体" w:hAnsi="宋体" w:eastAsia="宋体" w:cs="宋体"/>
                <w:spacing w:val="-1"/>
                <w:lang w:eastAsia="zh-CN"/>
              </w:rPr>
            </w:pPr>
            <w:r>
              <w:rPr>
                <w:rFonts w:hint="eastAsia" w:ascii="宋体" w:hAnsi="宋体" w:eastAsia="宋体" w:cs="宋体"/>
                <w:lang w:eastAsia="zh-CN"/>
              </w:rPr>
              <w:t>制造商要求：制造商应通过ISO9001质量管理体系认证、环境管理体系认证证书、职业健康安全管理体系认证。</w:t>
            </w:r>
          </w:p>
        </w:tc>
      </w:tr>
      <w:tr w14:paraId="7F289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47E8D2FB">
            <w:pPr>
              <w:spacing w:before="231" w:line="241" w:lineRule="auto"/>
              <w:ind w:left="275"/>
              <w:rPr>
                <w:rFonts w:ascii="宋体" w:hAnsi="宋体" w:eastAsia="宋体" w:cs="宋体"/>
                <w:lang w:eastAsia="zh-CN"/>
              </w:rPr>
            </w:pPr>
            <w:r>
              <w:rPr>
                <w:rFonts w:hint="eastAsia" w:ascii="宋体" w:hAnsi="宋体" w:eastAsia="宋体" w:cs="宋体"/>
                <w:lang w:eastAsia="zh-CN"/>
              </w:rPr>
              <w:t>2</w:t>
            </w:r>
          </w:p>
        </w:tc>
        <w:tc>
          <w:tcPr>
            <w:tcW w:w="1219" w:type="dxa"/>
          </w:tcPr>
          <w:p w14:paraId="690129F5">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胚胎操作室</w:t>
            </w:r>
          </w:p>
        </w:tc>
        <w:tc>
          <w:tcPr>
            <w:tcW w:w="1300" w:type="dxa"/>
          </w:tcPr>
          <w:p w14:paraId="063CE4BE">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传递窗</w:t>
            </w:r>
          </w:p>
        </w:tc>
        <w:tc>
          <w:tcPr>
            <w:tcW w:w="608" w:type="dxa"/>
          </w:tcPr>
          <w:p w14:paraId="04A76E0E">
            <w:pPr>
              <w:spacing w:before="49" w:line="252" w:lineRule="auto"/>
              <w:ind w:left="133" w:hanging="69"/>
              <w:jc w:val="both"/>
              <w:rPr>
                <w:rFonts w:ascii="宋体" w:hAnsi="宋体" w:eastAsia="宋体" w:cs="宋体"/>
                <w:spacing w:val="-1"/>
                <w:lang w:eastAsia="zh-CN"/>
              </w:rPr>
            </w:pPr>
          </w:p>
        </w:tc>
        <w:tc>
          <w:tcPr>
            <w:tcW w:w="1566" w:type="dxa"/>
          </w:tcPr>
          <w:p w14:paraId="1A865C64">
            <w:pPr>
              <w:spacing w:before="49" w:line="252" w:lineRule="auto"/>
              <w:ind w:left="133" w:hanging="69"/>
              <w:rPr>
                <w:rFonts w:ascii="宋体" w:hAnsi="宋体" w:eastAsia="宋体" w:cs="宋体"/>
                <w:spacing w:val="-1"/>
                <w:lang w:eastAsia="zh-CN"/>
              </w:rPr>
            </w:pPr>
            <w:r>
              <w:rPr>
                <w:rFonts w:hint="eastAsia" w:ascii="宋体" w:hAnsi="宋体" w:eastAsia="宋体" w:cs="宋体"/>
                <w:spacing w:val="-1"/>
                <w:lang w:eastAsia="zh-CN"/>
              </w:rPr>
              <w:t>内尺寸：600*600*600</w:t>
            </w:r>
          </w:p>
        </w:tc>
        <w:tc>
          <w:tcPr>
            <w:tcW w:w="8457" w:type="dxa"/>
          </w:tcPr>
          <w:p w14:paraId="3C067DA4">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整体304不锈钢</w:t>
            </w:r>
          </w:p>
          <w:p w14:paraId="25475D1F">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内外门互锁功能:机械互锁</w:t>
            </w:r>
          </w:p>
          <w:p w14:paraId="10353FD9">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能对内胆进行紫外线灭菌:15W杀菌灯。</w:t>
            </w:r>
          </w:p>
          <w:p w14:paraId="4D04E6B5">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进出门均有金属按扭开关，可手动启停杀菌灯。</w:t>
            </w:r>
          </w:p>
          <w:p w14:paraId="7CDBA0E1">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门板配置单层普通玻璃，使用旋紧拉手、弹簧插销门轴固定。内嵌门结构。</w:t>
            </w:r>
          </w:p>
          <w:p w14:paraId="2E1D7D98">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杀菌开关双控接法，内外门开关均能启停杀菌灯。</w:t>
            </w:r>
          </w:p>
          <w:p w14:paraId="279F2546">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顶部进线口品字插槽，配置三插头品字尾电源线。</w:t>
            </w:r>
          </w:p>
          <w:p w14:paraId="1D000B8D">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进线口位置按图。</w:t>
            </w:r>
          </w:p>
          <w:p w14:paraId="486E9D53">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内胆传递方向:直进直出。</w:t>
            </w:r>
          </w:p>
          <w:p w14:paraId="0260E501">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电气参数：220VAC,单相，功率:15W</w:t>
            </w:r>
          </w:p>
        </w:tc>
      </w:tr>
      <w:tr w14:paraId="46962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0EED79F7">
            <w:pPr>
              <w:spacing w:before="231" w:line="241" w:lineRule="auto"/>
              <w:ind w:left="275"/>
              <w:rPr>
                <w:rFonts w:ascii="宋体" w:hAnsi="宋体" w:eastAsia="宋体" w:cs="宋体"/>
                <w:lang w:eastAsia="zh-CN"/>
              </w:rPr>
            </w:pPr>
            <w:r>
              <w:rPr>
                <w:rFonts w:hint="eastAsia" w:ascii="宋体" w:hAnsi="宋体" w:eastAsia="宋体" w:cs="宋体"/>
                <w:lang w:eastAsia="zh-CN"/>
              </w:rPr>
              <w:t>3</w:t>
            </w:r>
          </w:p>
        </w:tc>
        <w:tc>
          <w:tcPr>
            <w:tcW w:w="1219" w:type="dxa"/>
          </w:tcPr>
          <w:p w14:paraId="3C4C4AA3">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接收间1、2</w:t>
            </w:r>
          </w:p>
        </w:tc>
        <w:tc>
          <w:tcPr>
            <w:tcW w:w="1300" w:type="dxa"/>
          </w:tcPr>
          <w:p w14:paraId="12F3373B">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多层动物层流传递柜</w:t>
            </w:r>
          </w:p>
        </w:tc>
        <w:tc>
          <w:tcPr>
            <w:tcW w:w="608" w:type="dxa"/>
          </w:tcPr>
          <w:p w14:paraId="3EC1B672">
            <w:pPr>
              <w:spacing w:before="49" w:line="252" w:lineRule="auto"/>
              <w:ind w:left="133" w:hanging="69"/>
              <w:jc w:val="both"/>
              <w:rPr>
                <w:rFonts w:ascii="宋体" w:hAnsi="宋体" w:eastAsia="宋体" w:cs="宋体"/>
                <w:spacing w:val="-1"/>
                <w:lang w:eastAsia="zh-CN"/>
              </w:rPr>
            </w:pPr>
          </w:p>
        </w:tc>
        <w:tc>
          <w:tcPr>
            <w:tcW w:w="1566" w:type="dxa"/>
          </w:tcPr>
          <w:p w14:paraId="3D10B1B5">
            <w:pPr>
              <w:spacing w:before="49" w:line="252" w:lineRule="auto"/>
              <w:ind w:left="133" w:hanging="69"/>
              <w:rPr>
                <w:rFonts w:ascii="宋体" w:hAnsi="宋体" w:eastAsia="宋体" w:cs="宋体"/>
                <w:spacing w:val="-1"/>
                <w:lang w:eastAsia="zh-CN"/>
              </w:rPr>
            </w:pPr>
            <w:r>
              <w:rPr>
                <w:rFonts w:hint="eastAsia" w:ascii="宋体" w:hAnsi="宋体" w:eastAsia="宋体" w:cs="宋体"/>
                <w:spacing w:val="-1"/>
                <w:lang w:eastAsia="zh-CN"/>
              </w:rPr>
              <w:t>外形尺寸≤985×710×1840mm（长×深×高）</w:t>
            </w:r>
          </w:p>
        </w:tc>
        <w:tc>
          <w:tcPr>
            <w:tcW w:w="8457" w:type="dxa"/>
          </w:tcPr>
          <w:p w14:paraId="23C25C54">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电源：AC220V/50Hz，功率≤200W。</w:t>
            </w:r>
          </w:p>
          <w:p w14:paraId="492B4F12">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设备舱体：舱体内部应采用SUS 316L不锈钢镜面抛光板，大圆弧角设计，无清洗消毒死角，提供实物照片证明。</w:t>
            </w:r>
          </w:p>
          <w:p w14:paraId="4743A425">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密封门：密封门内面选用SUS316L不锈钢镜面板，外面选用SUS304不锈钢拉丝板；带有防紫外线玻璃观察窗，能够查看舱内物品的状况；具有电磁锁和机械锁双重锁门装置，前后双门互锁，实现前后区域严格生物隔离。</w:t>
            </w:r>
          </w:p>
          <w:p w14:paraId="4C2E796F">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▲隔断装置：设备本身带有隔断结构，方便设备将来安装密封，维修时不会造成设备前后方贯通的情况。</w:t>
            </w:r>
          </w:p>
          <w:p w14:paraId="0CF44840">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▲设备具有前后对讲功能，能够使隔离墙两侧人员无障碍沟通，提供实物照片证明。</w:t>
            </w:r>
          </w:p>
          <w:p w14:paraId="7F900B6C">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▲设备可支持OPCUA协议，可实现OPCUA协议下的设备监控，提供实物照片证明和全套协议配置证明文件。</w:t>
            </w:r>
          </w:p>
          <w:p w14:paraId="15C1A193">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具有紫外线照射消毒、消毒液雾化消毒两种消毒方式，可单独使用，也可两种消毒方式混合使用。</w:t>
            </w:r>
          </w:p>
          <w:p w14:paraId="02721E99">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▲设备具有消毒液浓度检测功能，可通过传感器检测溶液浓度，避免使用不合格的消毒液，提供实物照片证明。</w:t>
            </w:r>
          </w:p>
          <w:p w14:paraId="04A1A47C">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舱体的两侧、顶板应布置9只防水紫外线灯管，灯管需镶嵌在V型灯管罩内，无照射消毒死角，单支紫外灯管发光长度≥240mm。舱体内上下采用304不锈钢隔栅分为至少4个消毒空间，相邻隔栅间距≥360mm，格栅可拆卸，提供实物照片证明。</w:t>
            </w:r>
          </w:p>
          <w:p w14:paraId="6EEB9EFD">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▲可预设紫外灯照射时间、喷雾时间、通风时间等工艺参数，提供相应图片证明。</w:t>
            </w:r>
          </w:p>
          <w:p w14:paraId="327CD1D4">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▲紫外线灯管：距紫外灯管1m处紫外线强度：≥200μW/cm²，提供第三方检测机构出具的检测报告。</w:t>
            </w:r>
          </w:p>
          <w:p w14:paraId="5CA138BE">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▲设备具有紫外灯使用累积计时功能，紫外灯到达设定使用时间后，设备出现提示更换紫外灯报警，提供实物照片证明。</w:t>
            </w:r>
          </w:p>
          <w:p w14:paraId="6B81F187">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▲紫外消毒程序对白色葡萄球菌、大肠杆菌杀灭对数值≥3，提供第三方检测机构出具的检测报告。</w:t>
            </w:r>
          </w:p>
          <w:p w14:paraId="168C8D79">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▲喷雾消毒程序对嗜热脂肪杆菌芽孢、枯草黑色变种芽孢的杀灭对数值≥3，提供第三方检测机构出具的检测报告。</w:t>
            </w:r>
          </w:p>
          <w:p w14:paraId="148EAC95">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具有通风功能，选用国际知名品牌风机（德国EBM、西门子、瑞典奥斯博格），通风量≥200m³/h，传递动物时传递空间内维持一定换气次数。</w:t>
            </w:r>
          </w:p>
          <w:p w14:paraId="608F72C0">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▲通风管路：新风循环路线为从洁净区取风，由舱体上部进风口到下部的排风口经高效过滤器排到洁净区，从而保证不影响洁净房间内部压差。</w:t>
            </w:r>
          </w:p>
          <w:p w14:paraId="3B075CA9">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▲设备具有高效过滤器使用累积计时功能，高效过滤器到达设定使用时间后，设备出现提示更换高效过滤器报警，提供实物照片证明。</w:t>
            </w:r>
          </w:p>
          <w:p w14:paraId="4E13294D">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设备具有相应的专利证明其先进性，提供相关专利文件。</w:t>
            </w:r>
          </w:p>
          <w:p w14:paraId="49CB7639">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生产厂家通过ISO 9001质量管理体系、ISO 14001环境管理体系、ISO 45001职业健康安全管理体系认证，具有中国合格评定国家认可委员会实验室认可证书（CNAS认证），提供相应证明。</w:t>
            </w:r>
          </w:p>
          <w:p w14:paraId="07422DBD">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从事本项目的专业设计人员需同时具有高级工程师及以上职业资格、实验动物从业资格证，需提供相应的证书证明。</w:t>
            </w:r>
          </w:p>
          <w:p w14:paraId="31B3C964">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生产厂家为国家认定企业技术中心，获得过省部级以上奖项（以企业信誉和产品获奖荣誉证明为准），获得过全国百佳质量诚信标杆企业，提供相应证明。</w:t>
            </w:r>
          </w:p>
          <w:p w14:paraId="5A927F28">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生产厂家为具有环保认证和可持续发展理念的供应商，符合国家环保和可持续发展理念，并被评定为国家级绿色供应链管理企业，提供政府机构发布的官方名单证明。</w:t>
            </w:r>
          </w:p>
        </w:tc>
      </w:tr>
      <w:tr w14:paraId="6C0D0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0813A833">
            <w:pPr>
              <w:spacing w:before="231" w:line="241" w:lineRule="auto"/>
              <w:ind w:left="275"/>
              <w:rPr>
                <w:rFonts w:ascii="宋体" w:hAnsi="宋体" w:eastAsia="宋体" w:cs="宋体"/>
                <w:lang w:eastAsia="zh-CN"/>
              </w:rPr>
            </w:pPr>
            <w:r>
              <w:rPr>
                <w:rFonts w:hint="eastAsia" w:ascii="宋体" w:hAnsi="宋体" w:eastAsia="宋体" w:cs="宋体"/>
                <w:lang w:eastAsia="zh-CN"/>
              </w:rPr>
              <w:t>4</w:t>
            </w:r>
          </w:p>
        </w:tc>
        <w:tc>
          <w:tcPr>
            <w:tcW w:w="1219" w:type="dxa"/>
          </w:tcPr>
          <w:p w14:paraId="5D98F065">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男、女二更1、2</w:t>
            </w:r>
          </w:p>
        </w:tc>
        <w:tc>
          <w:tcPr>
            <w:tcW w:w="1300" w:type="dxa"/>
          </w:tcPr>
          <w:p w14:paraId="37F55252">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双人风淋室</w:t>
            </w:r>
          </w:p>
        </w:tc>
        <w:tc>
          <w:tcPr>
            <w:tcW w:w="608" w:type="dxa"/>
          </w:tcPr>
          <w:p w14:paraId="28F57129">
            <w:pPr>
              <w:spacing w:before="49" w:line="252" w:lineRule="auto"/>
              <w:ind w:left="133" w:hanging="69"/>
              <w:jc w:val="both"/>
              <w:rPr>
                <w:rFonts w:ascii="宋体" w:hAnsi="宋体" w:eastAsia="宋体" w:cs="宋体"/>
                <w:spacing w:val="-1"/>
                <w:lang w:eastAsia="zh-CN"/>
              </w:rPr>
            </w:pPr>
          </w:p>
        </w:tc>
        <w:tc>
          <w:tcPr>
            <w:tcW w:w="1566" w:type="dxa"/>
          </w:tcPr>
          <w:p w14:paraId="3436216F">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1500W*1200D*1960H</w:t>
            </w:r>
          </w:p>
        </w:tc>
        <w:tc>
          <w:tcPr>
            <w:tcW w:w="8457" w:type="dxa"/>
          </w:tcPr>
          <w:p w14:paraId="3C95308D">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箱体1.2mm环保钢板喷涂，内胆1.0mm 304不锈钢，门板304不锈钢</w:t>
            </w:r>
          </w:p>
          <w:p w14:paraId="5A632CE4">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内外门互锁功能:电子互锁。待机时双门互锁，风淋中双门上锁</w:t>
            </w:r>
          </w:p>
          <w:p w14:paraId="3858D888">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净化功能:可吹淋清除人、物表面附着的尘埃粒子。</w:t>
            </w:r>
          </w:p>
          <w:p w14:paraId="6D660C9A">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自动关门功能:松开门后，门体能自动关闭到位。</w:t>
            </w:r>
          </w:p>
          <w:p w14:paraId="004BC2B2">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照明灯自动亮灭:使用状态开启，待机状态熄灭。</w:t>
            </w:r>
          </w:p>
          <w:p w14:paraId="2C87A3F3">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自动风淋:从外门进入自动启停风淋。从内门进入不风淋。</w:t>
            </w:r>
          </w:p>
          <w:p w14:paraId="4457F687">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风淋时间可设定，吹淋时显示倒计时。</w:t>
            </w:r>
          </w:p>
          <w:p w14:paraId="67AAFEB8">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语音提醒功能:提醒客户完成进出风淋的流程步骤，中文语音。</w:t>
            </w:r>
          </w:p>
          <w:p w14:paraId="2AB0167C">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直通样式，双侧吹淋，配置风机和喷嘴。</w:t>
            </w:r>
          </w:p>
          <w:p w14:paraId="2D13993E">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门板上段配置5mm单层普通玻璃透视窗，下段双面封板发泡加固。</w:t>
            </w:r>
          </w:p>
          <w:p w14:paraId="70ACE1F6">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门配置圆管拉手、闭门器、不锈钢合页，</w:t>
            </w:r>
          </w:p>
          <w:p w14:paraId="7EAB5CD3">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电源:380VAC，三相，功率:2.4kW</w:t>
            </w:r>
          </w:p>
          <w:p w14:paraId="6BC1155A">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吹淋风速:&gt;25m/s</w:t>
            </w:r>
          </w:p>
          <w:p w14:paraId="16676EFE">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风淋设定范围:2-99秒。</w:t>
            </w:r>
          </w:p>
          <w:p w14:paraId="496C2F47">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无隔板高效过滤器:1170*570*69，效率99.99%@0.5μm。</w:t>
            </w:r>
          </w:p>
          <w:p w14:paraId="07A1CDAA">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初效简易网:1250*490*8.</w:t>
            </w:r>
          </w:p>
          <w:p w14:paraId="507CAE30">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LED照明灯:4寸。</w:t>
            </w:r>
          </w:p>
        </w:tc>
      </w:tr>
      <w:tr w14:paraId="4E843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6A9C3A29">
            <w:pPr>
              <w:spacing w:before="231" w:line="241" w:lineRule="auto"/>
              <w:ind w:left="275"/>
              <w:rPr>
                <w:rFonts w:ascii="宋体" w:hAnsi="宋体" w:eastAsia="宋体" w:cs="宋体"/>
                <w:lang w:eastAsia="zh-CN"/>
              </w:rPr>
            </w:pPr>
            <w:r>
              <w:rPr>
                <w:rFonts w:hint="eastAsia" w:ascii="宋体" w:hAnsi="宋体" w:eastAsia="宋体" w:cs="宋体"/>
                <w:lang w:eastAsia="zh-CN"/>
              </w:rPr>
              <w:t>5</w:t>
            </w:r>
          </w:p>
        </w:tc>
        <w:tc>
          <w:tcPr>
            <w:tcW w:w="1219" w:type="dxa"/>
          </w:tcPr>
          <w:p w14:paraId="661BAA22">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操作间5</w:t>
            </w:r>
          </w:p>
        </w:tc>
        <w:tc>
          <w:tcPr>
            <w:tcW w:w="1300" w:type="dxa"/>
          </w:tcPr>
          <w:p w14:paraId="6A36F024">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A2生物安全柜</w:t>
            </w:r>
          </w:p>
        </w:tc>
        <w:tc>
          <w:tcPr>
            <w:tcW w:w="608" w:type="dxa"/>
          </w:tcPr>
          <w:p w14:paraId="3E96B8E7">
            <w:pPr>
              <w:spacing w:before="49" w:line="252" w:lineRule="auto"/>
              <w:ind w:left="133" w:hanging="69"/>
              <w:jc w:val="both"/>
              <w:rPr>
                <w:rFonts w:ascii="宋体" w:hAnsi="宋体" w:eastAsia="宋体" w:cs="宋体"/>
                <w:spacing w:val="-1"/>
                <w:lang w:eastAsia="zh-CN"/>
              </w:rPr>
            </w:pPr>
          </w:p>
        </w:tc>
        <w:tc>
          <w:tcPr>
            <w:tcW w:w="1566" w:type="dxa"/>
          </w:tcPr>
          <w:p w14:paraId="00A71883">
            <w:pPr>
              <w:spacing w:before="49" w:line="252" w:lineRule="auto"/>
              <w:ind w:left="133" w:hanging="69"/>
              <w:rPr>
                <w:rFonts w:ascii="宋体" w:hAnsi="宋体" w:eastAsia="宋体" w:cs="宋体"/>
                <w:spacing w:val="-1"/>
                <w:lang w:eastAsia="zh-CN"/>
              </w:rPr>
            </w:pPr>
            <w:r>
              <w:rPr>
                <w:rFonts w:hint="eastAsia" w:ascii="宋体" w:hAnsi="宋体" w:eastAsia="宋体" w:cs="宋体"/>
                <w:color w:val="auto"/>
                <w:szCs w:val="24"/>
              </w:rPr>
              <w:t>外形尺寸≤1400×830×2200mm</w:t>
            </w:r>
          </w:p>
        </w:tc>
        <w:tc>
          <w:tcPr>
            <w:tcW w:w="8457" w:type="dxa"/>
          </w:tcPr>
          <w:p w14:paraId="4C800E0A">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 xml:space="preserve">▲生物安全柜标准：符合中国YY 0569标准, 美国NSF/ANSI 49标准和欧盟EN12469标准 </w:t>
            </w:r>
          </w:p>
          <w:p w14:paraId="573C79E5">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 xml:space="preserve">▲空气洁净度标准：ISO 14644.1 Class 3, IEST-G-CC1001, IEST-G-CC1002和其他相关标准 </w:t>
            </w:r>
          </w:p>
          <w:p w14:paraId="172FAB61">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 xml:space="preserve">▲过滤器性能标准：IEST-RP-CC034.1, IEST-RP-CC007.1, IEST-RP-CC001.3和EN 1822 </w:t>
            </w:r>
          </w:p>
          <w:p w14:paraId="27BDBDB0">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▲电气安全性标准：IEC 61010-1 / EN 61010-1 / UL 61010-1 / CAN/CSA C22.2 No. 61010-1</w:t>
            </w:r>
          </w:p>
          <w:p w14:paraId="0604B8B4">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▲符合中国NMPA YY0569标准、美国NSF/ANSI49和欧盟EN 12469标准。</w:t>
            </w:r>
          </w:p>
          <w:p w14:paraId="1DB55C77">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新型SentinelGold 微电脑程控面板ULPA级超高效过滤器保障安全性。</w:t>
            </w:r>
          </w:p>
          <w:p w14:paraId="6D9E022F">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性能稳定的DCECM免维护高效风机系统节能型设计，低耗电量和低维护成本。</w:t>
            </w:r>
          </w:p>
          <w:p w14:paraId="7D2A68CE">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触摸式按键控制功能设定及故障排查、参数设定和分级菜单进入实时监控，显示进气流和下降气流安全状态显示及声、光报警提示功能ULPA超高效过滤器寿命显示。</w:t>
            </w:r>
          </w:p>
          <w:p w14:paraId="0445BD42">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程序控制紫外灯进行定时消毒灭菌功能可选Quickstart模式进行快速启动。</w:t>
            </w:r>
          </w:p>
          <w:p w14:paraId="5B2BCC14">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倾斜式操作前窗和前部进气格栅的宽度被尽量地缩小使进入工作台面操作更轻松。</w:t>
            </w:r>
          </w:p>
          <w:p w14:paraId="059ED436">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气、液阀门可安装在工作区域内左右两侧壁，易于操作增强的侧壁引流孔设计，有效防止逆流、湍流形成选配高度可调的主机支架可使工作台处于不同操作高度通体式搁手架高于操作台面，与操作室等宽，提供舒适操作的同时也防止进气流被阻挡。</w:t>
            </w:r>
          </w:p>
          <w:p w14:paraId="6279CC4B">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改善的低噪音设计使操作者更加舒适。</w:t>
            </w:r>
          </w:p>
          <w:p w14:paraId="6EF607B0">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一体成型不锈钢浅盘式设计，无焊接或螺丝，不会形成污染物累积。</w:t>
            </w:r>
          </w:p>
          <w:p w14:paraId="6A92A268">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移动式操作台面可以提升并取出，方便清洁及消毒操作操作室侧壁与背板由整块钢板一次冲压成形，大圆弧角设计，无焊接，易清洁。</w:t>
            </w:r>
          </w:p>
          <w:p w14:paraId="3176C119">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配置可拆卸的预过滤器格栅，可选配预过滤器。</w:t>
            </w:r>
          </w:p>
          <w:p w14:paraId="60478BBF">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柜体进气口配置预过滤器。</w:t>
            </w:r>
          </w:p>
          <w:p w14:paraId="48CE8A2A">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Isocide表面抗菌涂层可有效地抑制微生物在柜体表面滋生，并应用于所有系列产品柜体表面。</w:t>
            </w:r>
          </w:p>
          <w:p w14:paraId="327B1401">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Isocide抑菌材料主要成份含有银离子，具有长期抑菌作用，且不会因为表面清洗而被消除。</w:t>
            </w:r>
          </w:p>
          <w:p w14:paraId="42DF6431">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柜体外部表面喷涂的lsocide抗菌涂层可在24小时内抑制柜体表面99.9%的细菌滋生。</w:t>
            </w:r>
          </w:p>
          <w:p w14:paraId="3DC8775D">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自带电压波动补偿功能，在190~250V宽电压波动范围内保持恒定风速具有阻力感应补偿功能，过滤器堵塞压力增加300%情况下仍提供安全风速有效的延长超高效空气过滤器的使用寿命一倍以上，降低过滤器维护成本高效节能型安全柜，节省70%用电量;低风速模式进一步减少60%用电量。</w:t>
            </w:r>
          </w:p>
          <w:p w14:paraId="333C87AE">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▲采用新型微皱褶无间隔ULPA过滤器，在增加有效过滤面积的同时延长其使用寿命。</w:t>
            </w:r>
          </w:p>
          <w:p w14:paraId="7C3F51DF">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ULPA过滤器可提供垂直层流气流至工作台面以保护样品，同时达到1级空气洁净度标准(符合IS0 14644.1标准3级，比100级洁净度高100倍)</w:t>
            </w:r>
          </w:p>
          <w:p w14:paraId="736A23FE">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▲对于MPPS具有&gt;99.999%的截留效率。</w:t>
            </w:r>
          </w:p>
          <w:p w14:paraId="47AE22DB">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外排ULPA过滤器将操作室空气中生物危害颗粒过滤后才排放到实验室环境，以达到对人员和环境的保护。</w:t>
            </w:r>
          </w:p>
        </w:tc>
      </w:tr>
      <w:tr w14:paraId="1F73A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6C8633BD">
            <w:pPr>
              <w:spacing w:before="231" w:line="241" w:lineRule="auto"/>
              <w:ind w:left="275"/>
              <w:rPr>
                <w:rFonts w:ascii="宋体" w:hAnsi="宋体" w:eastAsia="宋体" w:cs="宋体"/>
                <w:lang w:eastAsia="zh-CN"/>
              </w:rPr>
            </w:pPr>
            <w:r>
              <w:rPr>
                <w:rFonts w:hint="eastAsia" w:ascii="宋体" w:hAnsi="宋体" w:eastAsia="宋体" w:cs="宋体"/>
                <w:lang w:eastAsia="zh-CN"/>
              </w:rPr>
              <w:t>6</w:t>
            </w:r>
          </w:p>
        </w:tc>
        <w:tc>
          <w:tcPr>
            <w:tcW w:w="1219" w:type="dxa"/>
          </w:tcPr>
          <w:p w14:paraId="34D2C2E8">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清消室2</w:t>
            </w:r>
          </w:p>
        </w:tc>
        <w:tc>
          <w:tcPr>
            <w:tcW w:w="1300" w:type="dxa"/>
          </w:tcPr>
          <w:p w14:paraId="13E70AB8">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脉动真空灭菌器消毒传递舱</w:t>
            </w:r>
          </w:p>
        </w:tc>
        <w:tc>
          <w:tcPr>
            <w:tcW w:w="608" w:type="dxa"/>
          </w:tcPr>
          <w:p w14:paraId="60BF1D93">
            <w:pPr>
              <w:spacing w:before="49" w:line="252" w:lineRule="auto"/>
              <w:ind w:left="133" w:hanging="69"/>
              <w:jc w:val="both"/>
              <w:rPr>
                <w:rFonts w:ascii="宋体" w:hAnsi="宋体" w:eastAsia="宋体" w:cs="宋体"/>
                <w:spacing w:val="-1"/>
                <w:lang w:eastAsia="zh-CN"/>
              </w:rPr>
            </w:pPr>
          </w:p>
        </w:tc>
        <w:tc>
          <w:tcPr>
            <w:tcW w:w="1566" w:type="dxa"/>
          </w:tcPr>
          <w:p w14:paraId="3B3F6EBE">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≤1875×2016×2075（mm）</w:t>
            </w:r>
          </w:p>
        </w:tc>
        <w:tc>
          <w:tcPr>
            <w:tcW w:w="8457" w:type="dxa"/>
          </w:tcPr>
          <w:p w14:paraId="6896A4FC">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380V/50 Hz，≤4.5kw;</w:t>
            </w:r>
          </w:p>
          <w:p w14:paraId="4A9111D6">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▲环形加强筋结构，内腔强度和稳定性更高；内壳采用316L不锈钢材质，夹套、门板、门档条采用304不锈钢；主体设计寿命10年（20000次灭菌循环），提供相关证明;</w:t>
            </w:r>
          </w:p>
          <w:p w14:paraId="3C5B24E0">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为保证灭菌器焊接质量，所生产柜体需自主焊接，不可委托第三方焊接加工；焊接采用全自动焊接机器人进行焊接，提高焊接质量稳定性，避免沙眼、虚焊、透焊等焊接质量问题，焊接机器人臂展≥2m，重复定位精度控制在±0.1mm内，提供主体焊接照片证明、焊接机器人臂展≥2m照片证明及焊接设备的采购合同证明;</w:t>
            </w:r>
          </w:p>
          <w:p w14:paraId="7CD5D72A">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电机齿轮链条驱动门板上下移动，侧开门式开启柜门。与主体啮合齿数≥13个；双门通道型、机动门、带有安全联锁装置、双门互锁以保证灭菌器前后区域的有效隔离，提供权威第三方出具的安全联锁装置鉴定证书。</w:t>
            </w:r>
          </w:p>
          <w:p w14:paraId="53B5BF08">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高抗撕圆形硅胶条，装于主体密封槽内，与压缩气连接管路为金属固定管路，拒绝密封胶圈装在门体上的设计，提供门密封圈照片证明。</w:t>
            </w:r>
          </w:p>
          <w:p w14:paraId="2BA7299C">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设计压力≥0.3 Mpa。</w:t>
            </w:r>
          </w:p>
          <w:p w14:paraId="587D5B95">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设计温度≥144℃。</w:t>
            </w:r>
          </w:p>
          <w:p w14:paraId="59B9052E">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▲夹套耐压试验压力≥0.52 MPa。</w:t>
            </w:r>
          </w:p>
          <w:p w14:paraId="039D3EBA">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PLC:国际知名品牌，运行过程中的数据通过打印机打印,预留电脑远程监控接口；网络协议：支持工业以太网，可通过Internet远程维护，支持TCP/IP等众多网络协议。</w:t>
            </w:r>
          </w:p>
          <w:p w14:paraId="59BDA62A">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触摸屏：国际知名品牌彩色触摸屏人机操作界面，灭菌程序的压力、温度、时间等参数可根据需要自行设定，屏幕尺寸≥7寸；分辨率：分辨率为800 × 480；防护等级：前面板 IP 65；通讯协议：支持RS-422、RS-485、TCP/IP通讯。</w:t>
            </w:r>
          </w:p>
          <w:p w14:paraId="08652ED4">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控制系统配备有校正程序，可以实现不同海拔地区的压力、温度等参数的校正；具有多级控制保护、帮助功能。</w:t>
            </w:r>
          </w:p>
          <w:p w14:paraId="09AB0B53">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管理员、工艺员、操作员三级权限管理，防止人员误操作，保障设备正常运行。</w:t>
            </w:r>
          </w:p>
          <w:p w14:paraId="4546BF76">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灭菌过程的温度、压力、时间、过程阶段、预置参数等应在触摸屏上自动显示，可配监控电脑，程序运行中参数应永久保存在电脑中，配有打印机打印工作过程参数。</w:t>
            </w:r>
          </w:p>
          <w:p w14:paraId="00F2B94C">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应有121℃饲料灭菌、121℃塑料物品灭菌、134℃金属物品灭菌、134℃织物灭菌、121℃开口容器液体灭菌、121℃固体废弃物灭菌、134℃垫料灭菌、134℃塑料物品灭菌、121℃快速液体程序、BD测试、真空测试、自定义程序。整个过程自动控制、有低温、高温报警和误操作保护提示，应提供程序选择及运行界面照片。</w:t>
            </w:r>
          </w:p>
          <w:p w14:paraId="27B0F054">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设备的后端应自带密封结构，以保证设备前后区域严格的隔离密封，密封性能符合GB 19489-2008 实验室生物安全通用要求中有关规定。应提供设备密封结构的照片和密封性能测试报告。</w:t>
            </w:r>
          </w:p>
          <w:p w14:paraId="71C08067">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灭菌器主体有良好保温措施，其表层温度不得高于45℃，主体保温罩采用轧花铝板材质，提供轧花铝板保温罩照片证明。</w:t>
            </w:r>
          </w:p>
          <w:p w14:paraId="3C203101">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国际知名品牌气动阀，提供照片证明。</w:t>
            </w:r>
          </w:p>
          <w:p w14:paraId="41013200">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国际知名品牌，单级直连式水环真空泵，防护等级≥IP55，效率≥86%，真空泵安装在设备的侧面，与主体保持一定的间距，真空泵配置缓冲水箱，真空泵在缓冲水箱吸水，提供真空泵与缓冲水箱相连接的证明照片。</w:t>
            </w:r>
          </w:p>
          <w:p w14:paraId="0B4ADE02">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板式换热器，换热效率≥95%，使用寿命长。</w:t>
            </w:r>
          </w:p>
          <w:p w14:paraId="4B6F20BB">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带有节水降噪装置，设备运行噪音≤75dB（设备操作区）；</w:t>
            </w:r>
          </w:p>
          <w:p w14:paraId="1AC5539B">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带有换热器水回收系统，节约能源；</w:t>
            </w:r>
          </w:p>
          <w:p w14:paraId="51CB8995">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卫生级管路，卡箍连接，管路内外抛光处理；</w:t>
            </w:r>
          </w:p>
          <w:p w14:paraId="75B59BFF">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消毒车、搬运车整体使用304不锈钢加工成型。</w:t>
            </w:r>
          </w:p>
          <w:p w14:paraId="6B0E21A1">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灭菌器属于压力容器且设备体积较大，需出具设备安装可行性方案，投标人需先行对设备安装现场进行实地勘察，提供现场负责人签字的设备安装可行性方案。</w:t>
            </w:r>
          </w:p>
          <w:p w14:paraId="74F54EED">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设备具有第三方机构出具的灭菌效果检测报告，提供相关证明；</w:t>
            </w:r>
          </w:p>
          <w:p w14:paraId="2BA8C4D4">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▲设备有相应的专利证明其先进性，提供相关专利证明；</w:t>
            </w:r>
          </w:p>
          <w:p w14:paraId="41C158CB">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投标品牌为专业灭菌设备生产厂家，通过ISO9001、ISO13485、ASME、环境管理体系、职业健康安全管理体系认证，具有中华人民共和国特种设备生产可证（压力容器）资质，具有中国合格评定国家认可委员会实验室认可证书（CNAS认证），所有证件上的公司名称应与投标产品品牌相一致，提供相应证件证明；</w:t>
            </w:r>
          </w:p>
          <w:p w14:paraId="6A026B4D">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从事本项目的专业设计人员需同时具有高级工程师及以上职业资格、实验动物从业资格证，需提供相应的证书证明；</w:t>
            </w:r>
          </w:p>
          <w:p w14:paraId="0BDE6FAF">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产厂家为国家认定企业技术中心，获得过省部级以上奖项（以企业信誉和产品获奖荣誉证明为准），获得过全国百佳质量诚信标杆企业。提供相应证明。</w:t>
            </w:r>
          </w:p>
          <w:p w14:paraId="75659028">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有售后办事处（写明地址、固定电话），售后办事处常驻售后服务人员不得少于8名，应提供当地售后工程师名单及联系方式，售后服务人员在接到电话后，2小时响应，4小时内到位，重大紧急情况3小时内应到位，及时排除故障，保障动物房安全运行；</w:t>
            </w:r>
          </w:p>
        </w:tc>
      </w:tr>
      <w:tr w14:paraId="00511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24930F42">
            <w:pPr>
              <w:spacing w:before="231" w:line="241" w:lineRule="auto"/>
              <w:ind w:left="275"/>
              <w:rPr>
                <w:rFonts w:ascii="宋体" w:hAnsi="宋体" w:eastAsia="宋体" w:cs="宋体"/>
                <w:lang w:eastAsia="zh-CN"/>
              </w:rPr>
            </w:pPr>
            <w:r>
              <w:rPr>
                <w:rFonts w:hint="eastAsia" w:ascii="宋体" w:hAnsi="宋体" w:eastAsia="宋体" w:cs="宋体"/>
                <w:lang w:eastAsia="zh-CN"/>
              </w:rPr>
              <w:t>7</w:t>
            </w:r>
          </w:p>
        </w:tc>
        <w:tc>
          <w:tcPr>
            <w:tcW w:w="1219" w:type="dxa"/>
          </w:tcPr>
          <w:p w14:paraId="5D6460F2">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清消室1、2</w:t>
            </w:r>
          </w:p>
        </w:tc>
        <w:tc>
          <w:tcPr>
            <w:tcW w:w="1300" w:type="dxa"/>
          </w:tcPr>
          <w:p w14:paraId="4456F7BB">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大型消毒传递舱</w:t>
            </w:r>
          </w:p>
        </w:tc>
        <w:tc>
          <w:tcPr>
            <w:tcW w:w="608" w:type="dxa"/>
          </w:tcPr>
          <w:p w14:paraId="37D7E720">
            <w:pPr>
              <w:spacing w:before="49" w:line="252" w:lineRule="auto"/>
              <w:ind w:left="133" w:hanging="69"/>
              <w:jc w:val="both"/>
              <w:rPr>
                <w:rFonts w:ascii="宋体" w:hAnsi="宋体" w:eastAsia="宋体" w:cs="宋体"/>
                <w:spacing w:val="-1"/>
                <w:lang w:eastAsia="zh-CN"/>
              </w:rPr>
            </w:pPr>
          </w:p>
        </w:tc>
        <w:tc>
          <w:tcPr>
            <w:tcW w:w="1566" w:type="dxa"/>
          </w:tcPr>
          <w:p w14:paraId="093F6C7B">
            <w:pPr>
              <w:spacing w:before="49" w:line="252" w:lineRule="auto"/>
              <w:ind w:left="133" w:hanging="69"/>
              <w:jc w:val="both"/>
              <w:rPr>
                <w:rFonts w:ascii="宋体" w:hAnsi="宋体" w:eastAsia="宋体" w:cs="宋体"/>
                <w:spacing w:val="-1"/>
                <w:lang w:eastAsia="zh-CN"/>
              </w:rPr>
            </w:pPr>
          </w:p>
        </w:tc>
        <w:tc>
          <w:tcPr>
            <w:tcW w:w="8457" w:type="dxa"/>
            <w:vAlign w:val="center"/>
          </w:tcPr>
          <w:p w14:paraId="28292119">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功能要求：安装在实验动物设施受控区与非受控区之间，用于独立通风笼具（IVC）、大批量转运笼具（可带动物）、推车等大件物品的快速消毒和灭菌处理。提供产品手册相关页备查。</w:t>
            </w:r>
          </w:p>
          <w:p w14:paraId="03AD710D">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消毒因子：采用由闪蒸方式产生的汽化过氧化氢（VHP）和由高能脉冲氙光灯管产生的脉冲强光紫外线相结合的消毒灭菌方式。</w:t>
            </w:r>
          </w:p>
          <w:p w14:paraId="10E04EA2">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灯管布置方式：舱内顶部不少于2支防水高能氙灯，左右两侧面各不少于4支防水高能氙灯，单支灯管发光长度≥560mm，灯管直径≥60mm；舱内双侧面各不少于12支防水高能脉冲氙灯，灯管有效发光长度合计≥2160mm。提供传递舱内部照片或结构示意图，并标注灯管名称，明确灯管布置方式和数量，并提供灯管尺寸图纸及实物照片或结构示意图备查。</w:t>
            </w:r>
          </w:p>
          <w:p w14:paraId="25FACAB5">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▲舱内紫外辐照强度：舱内距顶部灯管20cm处，测量的紫外辐照强度值＞10mw/cm²。提供传递舱的第三方（检测机构应具有CMA或CNAS资质）检测报告，并标注清楚结果数值。</w:t>
            </w:r>
          </w:p>
          <w:p w14:paraId="2145833B">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▲芽孢杀灭效率：氙灯作用3min，发生H2O225min，降解25min，共作用53min，对枯草杆菌黑色变种芽孢的杀灭对数值＞5。提供传递舱的第三方（检测机构应具有CMA或CNAS资质）检测报告，并标注清楚结果数值。</w:t>
            </w:r>
          </w:p>
          <w:p w14:paraId="0AA74CC6">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细菌杀菌效率：氙灯作用3min，发生H2O225min，降解25min，共作用53min，对铜绿假单胞菌、白色葡萄球菌、大肠杆菌、龟分枝杆菌、金色葡萄球菌的杀灭对数值＞5。提供传递舱的第三方（检测机构应具有CMA或CNAS资质）检测报告，并标注清楚结果数值。</w:t>
            </w:r>
          </w:p>
          <w:p w14:paraId="6D2F4652">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▲真菌杀菌效率：氙灯作用3min，发生H2O225min，降解25min，共作用53min，对白色念珠菌的杀灭对数值＞5。提供传递舱的第三方（检测机构应具有CMA或CNAS资质）检测报告，并标注清楚结果数值。</w:t>
            </w:r>
          </w:p>
          <w:p w14:paraId="135AF789">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▲冠状病毒杀灭效率：氙灯作用3min，发生H2O225min，降解25min，共作用53min，对冠状病毒HCoV-229E的杀灭对数值＞6。提供传递舱的第三方（检测机构应具有CMA或CNAS资质）检测报告，并标注清楚结果数值。</w:t>
            </w:r>
          </w:p>
          <w:p w14:paraId="0BE8D235">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▲腺病毒杀灭效率：氙灯作用3min，发生H2O225min，降解25min，共作用53min，对腺病毒Ad-5的杀灭对数值＞6。提供传递舱的第三方（检测机构应具有CMA或CNAS资质）检测报告，并标注清楚结果数值。</w:t>
            </w:r>
          </w:p>
          <w:p w14:paraId="423A27E1">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▲流感病毒杀灭效率：氙灯作用3min，发生H2O225min，降解25min，共作用53min，对甲型流感病毒（H1N1）的杀灭对数值＞6。提供传递舱的第三方（检测机构应具有CMA或CNAS资质）检测报告，并标注清楚结果数值。</w:t>
            </w:r>
          </w:p>
          <w:p w14:paraId="78CE6583">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▲臭氧残留量：开机3min，排残6min,传递舱内臭氧残留量≤0.006mg/m³；提供传递舱的第三方（检测机构应具有CMA或CNAS资质）检测报告，并标注清楚结果数值。</w:t>
            </w:r>
          </w:p>
          <w:p w14:paraId="1E61E869">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紫外线泄露量：距离多效氙光过氧化氢传递舱周边左、中、右垂直距离30cm处，紫外线强度均＜1μW/cm²，符合GB28235-2020《紫外线消毒器卫生要求》紫外线泄露量的要求，提供传递舱的第三方（检测机构应具有CMA或CNAS资质）检测报告，并标注清楚结果数值。</w:t>
            </w:r>
          </w:p>
          <w:p w14:paraId="3407BEC1">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▲脉冲氙光灯罩石英玻璃透射比：脉冲氙光灯罩石英玻璃对253.7nm波长紫外线的透射比≥84%。提供石英玻璃的第三方（检测机构应具有CMA或CNAS资质）检测报告。</w:t>
            </w:r>
          </w:p>
          <w:p w14:paraId="62979523">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▲制造商资质：制造商应取得“消毒产品生产企业卫生许可证”证书，且证书中的“生产类别”应为“紫外线消毒器”，提供在有效期内的证书备查。</w:t>
            </w:r>
          </w:p>
          <w:p w14:paraId="2D6D9706">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舱门观察窗玻璃：舱门观察窗玻璃采用具备3C认证的不小于5mm厚防紫外钢化玻璃。</w:t>
            </w:r>
          </w:p>
          <w:p w14:paraId="2B2CF73E">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汽化过氧化氢要求：采用结构紧凑的内置式VHP发生器，使用浓度为30%-35%的过氧化氢溶液，储液瓶容积≥2000mL，工作时舱内VHP最高浓度＞500ppm，提供VHP发生器自研或采购证明，附储液瓶和舱内VHP峰值照片。</w:t>
            </w:r>
          </w:p>
          <w:p w14:paraId="5FA66CC9">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VHP发生器智能运行要求：内置式VHP发生器控制系统与传递舱采用DDC进行联机控制，在传递舱与VHP发生器之间可实现通讯连接，在传递舱正常使用时，VHP发生器受控于传递舱智能化操控系统，可实现无人值守。提供电气控制原理图备查。</w:t>
            </w:r>
          </w:p>
          <w:p w14:paraId="6CF4E253">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应急手动开关：传递舱应配备应急手动开关，正常状态采用DDC控制系统，故障应急状态可以手动控制传递舱启停。提供传递舱外观照片或结构示意图并标注应急手动开关位置。</w:t>
            </w:r>
          </w:p>
          <w:p w14:paraId="6C475EE9">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内部照明系统：传递舱内部安装LED灯光源，采用智能节能控制，消毒完成时灯亮，取出物品后自动熄灭，便于观察消毒物品状态。提供传递舱内部照片或结构示意图并标注LED灯光源位置。</w:t>
            </w:r>
          </w:p>
          <w:p w14:paraId="485B7DD7">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灯壳结构要求：舱内高能氙灯和高能脉冲氙灯的灯壳全部采用不影响物料通过的嵌入式结构，灯壳断面为梯形结构且长边向外，灯壳内壁全部采用316不锈钢镜面抛光板，以增加紫外线反射及折射效率。提供灯壳图纸、灯壳实物照片或结构示意图备查。</w:t>
            </w:r>
          </w:p>
          <w:p w14:paraId="2682D8DB">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密封门要求：内外门均采用充气式密封门，门开度可达110°，舱内压力100Pa，每小时泄漏率＜5%。</w:t>
            </w:r>
          </w:p>
          <w:p w14:paraId="0A499B85">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材质要求：整体316不锈钢，内部316镜面不锈钢抛光板，舱内底面采用防滑压纹316不锈钢。</w:t>
            </w:r>
          </w:p>
          <w:p w14:paraId="0CE2775A">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负荷参数要求：重量≤460Kg，功率≤6KW，电源应为AC 220V/50Hz。提供标注负荷参数的产品图纸备查。</w:t>
            </w:r>
          </w:p>
          <w:p w14:paraId="56E657B1">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互锁装置：采用电子互锁和机械锁。提供互锁结构实物照片或结构示意图备查。</w:t>
            </w:r>
          </w:p>
          <w:p w14:paraId="5108AF7B">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控制系统：采用PLC控制，不小于10寸彩色触摸屏，实时显示工作过程中的温度、消毒时间、消毒因子浓度等参数，并具有操作权限保护功能，消毒完成自动提示，提供触摸屏上相关功能操作界面实物照片或界面截图备查。</w:t>
            </w:r>
          </w:p>
          <w:p w14:paraId="01E1962C">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自动消毒程序：预设物品消毒、动物转运笼具消毒、物品灭菌、IVC灭菌等程序，可自定义设置消毒和灭菌流程。提供程序选择界面及运行界面照片或界面截图备查。</w:t>
            </w:r>
          </w:p>
          <w:p w14:paraId="1A9E0E25">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加热系统：采用PTC陶瓷半导体对舱内空气进行加热，以防止VHP凝结影响消毒灭菌效果。提供加热装置照片备查。</w:t>
            </w:r>
          </w:p>
          <w:p w14:paraId="51B374C3">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传感器要求：应具备温湿度传感器、压差传感器、过氧化氢传感器，所有传感器采用性能优良、精度较高、安全可靠、运行稳定的国际知名品牌。提供上述传感器采购证明文件。</w:t>
            </w:r>
          </w:p>
          <w:p w14:paraId="7A87062C">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记录方式：配有嵌入式打印机，对消毒过程中的参数、工艺过程数据进行记录打印，同时开放数据接口，可将消毒过程数据传输到中控电脑储存。提供打印机照片、打印结果复印件、数据接口照片备查。</w:t>
            </w:r>
          </w:p>
          <w:p w14:paraId="0D90D117">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安全保障系统：具备过氧化氢危险警示、舱外紧急停止、舱内人员逃生功能。提供上述装置照片或结构示意图并标明位置。</w:t>
            </w:r>
          </w:p>
          <w:p w14:paraId="224722E7">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安装方式：设备现场组合式装配，所有部件能够通过1.2m宽度的通道进入安装现场。提供已经实施的项目现场照片备查。</w:t>
            </w:r>
          </w:p>
          <w:p w14:paraId="6D9B7A4F">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制造商要求：制造商应通过ISO9001质量管理体系认证、环境管理体系认证证书、职业健康安全管理体系认证。</w:t>
            </w:r>
          </w:p>
        </w:tc>
      </w:tr>
      <w:tr w14:paraId="216FB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shd w:val="clear" w:color="auto" w:fill="auto"/>
          </w:tcPr>
          <w:p w14:paraId="22712555">
            <w:pPr>
              <w:spacing w:before="231" w:line="241" w:lineRule="auto"/>
              <w:ind w:left="275"/>
              <w:rPr>
                <w:rFonts w:ascii="宋体" w:hAnsi="宋体" w:eastAsia="宋体" w:cs="宋体"/>
                <w:lang w:eastAsia="zh-CN"/>
              </w:rPr>
            </w:pPr>
            <w:r>
              <w:rPr>
                <w:rFonts w:hint="eastAsia" w:ascii="宋体" w:hAnsi="宋体" w:eastAsia="宋体" w:cs="宋体"/>
                <w:lang w:eastAsia="zh-CN"/>
              </w:rPr>
              <w:t>8</w:t>
            </w:r>
          </w:p>
        </w:tc>
        <w:tc>
          <w:tcPr>
            <w:tcW w:w="1219" w:type="dxa"/>
          </w:tcPr>
          <w:p w14:paraId="400DF107">
            <w:pPr>
              <w:spacing w:before="49" w:line="252" w:lineRule="auto"/>
              <w:ind w:left="133" w:hanging="69"/>
              <w:jc w:val="both"/>
              <w:rPr>
                <w:rFonts w:ascii="宋体" w:hAnsi="宋体" w:eastAsia="宋体" w:cs="宋体"/>
                <w:spacing w:val="-1"/>
                <w:lang w:eastAsia="zh-CN"/>
              </w:rPr>
            </w:pPr>
          </w:p>
        </w:tc>
        <w:tc>
          <w:tcPr>
            <w:tcW w:w="1300" w:type="dxa"/>
          </w:tcPr>
          <w:p w14:paraId="7CF3B1E3">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一体扰流喷淋除臭设备</w:t>
            </w:r>
          </w:p>
        </w:tc>
        <w:tc>
          <w:tcPr>
            <w:tcW w:w="608" w:type="dxa"/>
          </w:tcPr>
          <w:p w14:paraId="37F25188">
            <w:pPr>
              <w:spacing w:before="49" w:line="252" w:lineRule="auto"/>
              <w:ind w:left="133" w:hanging="69"/>
              <w:jc w:val="both"/>
              <w:rPr>
                <w:rFonts w:ascii="宋体" w:hAnsi="宋体" w:eastAsia="宋体" w:cs="宋体"/>
                <w:spacing w:val="-1"/>
                <w:lang w:eastAsia="zh-CN"/>
              </w:rPr>
            </w:pPr>
          </w:p>
        </w:tc>
        <w:tc>
          <w:tcPr>
            <w:tcW w:w="1566" w:type="dxa"/>
          </w:tcPr>
          <w:p w14:paraId="06FA3F6C">
            <w:pPr>
              <w:spacing w:before="49" w:line="252" w:lineRule="auto"/>
              <w:ind w:left="133" w:hanging="69"/>
              <w:jc w:val="both"/>
              <w:rPr>
                <w:rFonts w:ascii="宋体" w:hAnsi="宋体" w:eastAsia="宋体" w:cs="宋体"/>
                <w:spacing w:val="-1"/>
                <w:lang w:eastAsia="zh-CN"/>
              </w:rPr>
            </w:pPr>
          </w:p>
        </w:tc>
        <w:tc>
          <w:tcPr>
            <w:tcW w:w="8457" w:type="dxa"/>
            <w:vAlign w:val="center"/>
          </w:tcPr>
          <w:p w14:paraId="27F5CCD8">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脱臭效果：处理后的排风口和周界恶臭污染物浓度均应满足以下规定限值，即：排风口臭气浓度≤1000，氨≤30mg/m³，硫化氢≤5mg/m³；周界臭气浓度≤20，氨≤1.5mg/m³，硫化氢≤0.06mg/m³。提供第三方检测机构出具的带CMA认证的整机检测报告复印件（加盖投标人公章鲜章），需体现且满足上述数值要求；</w:t>
            </w:r>
          </w:p>
          <w:p w14:paraId="5C5C07D1">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▲氨气净化效率：在进风口氨气浓度在5~30mg/m³情况下，氨气净化效率应≥85%，提供第三方检测机构出具的带CMA认证的整机检测报告复印件（加盖投标人公章鲜章），需体现且满足上述数值要求；</w:t>
            </w:r>
          </w:p>
          <w:p w14:paraId="7CC4394E">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★产品可靠性要求：获得中国环保产品认证，符合CQC51-449422-2018《工业废气处理净化装置环保认证规则》规则要求，有认证证书；</w:t>
            </w:r>
          </w:p>
          <w:p w14:paraId="5D75521B">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产品性能要求：产品的安全要求、压力损失、气密性、运行噪声符合CQC51-449422-2018《工业废气处理净化装置环保认证规则》规则要求，提供第三方检测机构出具的带CMA认证的整机检测报告复印件（加盖投标人公章鲜章），需体现且满足上述数值要求。</w:t>
            </w:r>
          </w:p>
          <w:p w14:paraId="37778FC1">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废水排放：设备排放的废水应符合GB18918-2002《城镇污水处理厂污染物排放标准》。即氨氮≤5mg/L、化学需氧量≤50mg/L、五日生化需氧量≤10mg/L、pH值（6-9）、悬浮物≤10mg/L、总氮≤15mg/L、阴离子表面活性剂≤0.5mg/L、粪大肠菌群数≤10³ MPN/L、总磷≤0.5mg/L；提供第三方检测机构出具的带CMA认证的整机检测报告复印件（加盖投标人公章鲜章），需体现且满足上述数值要求；</w:t>
            </w:r>
          </w:p>
          <w:p w14:paraId="79C5AB5B">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臭氧排放：设备附近环境空气中臭氧浓度满足GB3095-2012《环境空气质量标准》规定的二级限值，即臭氧≤200μg/m³。提供第三方检测机构出具的带CMA认证的整机检测报告复印件（加盖投标人公章鲜章），需体现且满足上述数值要求。</w:t>
            </w:r>
          </w:p>
          <w:p w14:paraId="2B12C946">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▲壳体材质力学性能要求：壳体材质为SUS304不锈钢，其抗拉强度Rm、规定塑性延伸强度 RP0.2、断后伸长率A、维氏硬度等均应符合GB/T3280-2015《不锈钢冷轧钢板和钢带》要求，即抗拉强度Rm≥515MPa，规定塑性延伸强度 RP0.2≥205MPa，断后伸长率A≥40%，维氏硬度≤210HV。提供第三方检测机构出具的带CMA认证的整机检测报告复印件（加盖投标人公章鲜章），需体现且满足上述数值要求。</w:t>
            </w:r>
          </w:p>
          <w:p w14:paraId="4E716342">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气液扰流段壳体及内部管路管件全部为SUS304不锈钢材质。</w:t>
            </w:r>
          </w:p>
          <w:p w14:paraId="2C1283C9">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膜式气液扰流技术采用自清洁湿式扰流膜做为基材，具有自清洁、吸水性强、无毒、耐酸碱腐蚀、寿命长、性能可靠、阻燃、抗霉菌。禁止使用玻璃纤维类、纸质类、金属类湿膜作为基材，开标现场提供不小于100mm×100mm面积的扰流膜材料小样。</w:t>
            </w:r>
          </w:p>
          <w:p w14:paraId="11BFC9FA">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★湿膜材料的主成分应为聚对苯二甲酸乙二醇酯，提供第三方检测机构出具的检测报告复印件（加盖投标人公章鲜章），需体现上述分析结果。</w:t>
            </w:r>
          </w:p>
          <w:p w14:paraId="563918E6">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超分子自清洁湿式扰流膜为波纹状交叉重叠的高分子复合材料，表面采用超分子物理气相沉积技术，构建出具有动态自修复能力的微纳结构，遇水时自动开启污渍冲刷与分解机制，实现长效自清洁特性。</w:t>
            </w:r>
          </w:p>
          <w:p w14:paraId="5194F751">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膜式气液扰流段用水量可根据实际情况智能化调节，以节约用水。</w:t>
            </w:r>
          </w:p>
          <w:p w14:paraId="38BF1F9F">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膜式气液扰流段设计有清洁监测系统，在整个气液扰流系统需清洁时自动提示，提醒设备管理人员对整个气液扰流系统进行冲洗清洁，避免气液扰流系统结垢和堵塞。</w:t>
            </w:r>
          </w:p>
          <w:p w14:paraId="10D4D74E">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设备具备水质质量自检功能，可检测水箱水质情况，根据水箱水质情况实现智能化排水及补水。</w:t>
            </w:r>
          </w:p>
          <w:p w14:paraId="235AC8FF">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▲超分子自清洁湿式扰流膜的质量吸水率＞100%，提供第三方检测机构出具的带CMA认证的整机检测报告复印件（加盖投标人公章鲜章），需体现且满足上述数值要求。</w:t>
            </w:r>
          </w:p>
          <w:p w14:paraId="4233651E">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控制系统：设备应具备与排风机组联动功能，每台设备自带一套控制，触摸屏操作，可实时显示设备运行的水位、泵口水压状态、可根据水箱水质质量实现自动排水及补水；控制系统具备与楼宇中控系统进行通讯的接口，可供中控系统读取设备状态数据；提供具备该功能的触屏界面图片，并标注清楚上述功能位置。</w:t>
            </w:r>
          </w:p>
          <w:p w14:paraId="42B09731">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制造商要求：制造商应通过ISO9001质量管理体系认证、环境管理体系认证证书、职业健康安全管理体系认证。</w:t>
            </w:r>
          </w:p>
        </w:tc>
      </w:tr>
      <w:tr w14:paraId="18CAA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22DD8C8A">
            <w:pPr>
              <w:spacing w:before="231" w:line="241" w:lineRule="auto"/>
              <w:ind w:left="275"/>
              <w:rPr>
                <w:rFonts w:ascii="宋体" w:hAnsi="宋体" w:eastAsia="宋体" w:cs="宋体"/>
                <w:lang w:eastAsia="zh-CN"/>
              </w:rPr>
            </w:pPr>
            <w:r>
              <w:rPr>
                <w:rFonts w:hint="eastAsia" w:ascii="宋体" w:hAnsi="宋体" w:eastAsia="宋体" w:cs="宋体"/>
                <w:lang w:eastAsia="zh-CN"/>
              </w:rPr>
              <w:t>9</w:t>
            </w:r>
          </w:p>
        </w:tc>
        <w:tc>
          <w:tcPr>
            <w:tcW w:w="1219" w:type="dxa"/>
          </w:tcPr>
          <w:p w14:paraId="23D99594">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两个功能区</w:t>
            </w:r>
          </w:p>
        </w:tc>
        <w:tc>
          <w:tcPr>
            <w:tcW w:w="1300" w:type="dxa"/>
          </w:tcPr>
          <w:p w14:paraId="397881DF">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50型手工玻镁夹芯彩钢板</w:t>
            </w:r>
          </w:p>
        </w:tc>
        <w:tc>
          <w:tcPr>
            <w:tcW w:w="608" w:type="dxa"/>
          </w:tcPr>
          <w:p w14:paraId="14DAEF44">
            <w:pPr>
              <w:spacing w:before="49" w:line="252" w:lineRule="auto"/>
              <w:ind w:left="133" w:hanging="69"/>
              <w:jc w:val="both"/>
              <w:rPr>
                <w:rFonts w:ascii="宋体" w:hAnsi="宋体" w:eastAsia="宋体" w:cs="宋体"/>
                <w:spacing w:val="-1"/>
                <w:lang w:eastAsia="zh-CN"/>
              </w:rPr>
            </w:pPr>
          </w:p>
        </w:tc>
        <w:tc>
          <w:tcPr>
            <w:tcW w:w="1566" w:type="dxa"/>
          </w:tcPr>
          <w:p w14:paraId="59869B93">
            <w:pPr>
              <w:spacing w:before="49" w:line="252" w:lineRule="auto"/>
              <w:ind w:left="133" w:hanging="69"/>
              <w:jc w:val="both"/>
              <w:rPr>
                <w:rFonts w:ascii="宋体" w:hAnsi="宋体" w:eastAsia="宋体" w:cs="宋体"/>
                <w:spacing w:val="-1"/>
                <w:lang w:eastAsia="zh-CN"/>
              </w:rPr>
            </w:pPr>
          </w:p>
        </w:tc>
        <w:tc>
          <w:tcPr>
            <w:tcW w:w="8457" w:type="dxa"/>
          </w:tcPr>
          <w:p w14:paraId="033DA4F1">
            <w:pPr>
              <w:numPr>
                <w:ilvl w:val="0"/>
                <w:numId w:val="1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可提供第三方抗收缩报告</w:t>
            </w:r>
          </w:p>
          <w:p w14:paraId="12D1147F">
            <w:pPr>
              <w:numPr>
                <w:ilvl w:val="0"/>
                <w:numId w:val="1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可提供氯离子检测报告小于0.008%</w:t>
            </w:r>
          </w:p>
          <w:p w14:paraId="739B12F6">
            <w:pPr>
              <w:numPr>
                <w:ilvl w:val="0"/>
                <w:numId w:val="1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玻镁成品耐火级限为60min</w:t>
            </w:r>
          </w:p>
          <w:p w14:paraId="46EA9B53">
            <w:pPr>
              <w:numPr>
                <w:ilvl w:val="0"/>
                <w:numId w:val="1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玻镁芯材燃烧性能A1级报告</w:t>
            </w:r>
          </w:p>
          <w:p w14:paraId="101D7A6E">
            <w:pPr>
              <w:numPr>
                <w:ilvl w:val="0"/>
                <w:numId w:val="11"/>
              </w:numPr>
              <w:spacing w:before="49" w:line="252" w:lineRule="auto"/>
              <w:jc w:val="both"/>
              <w:rPr>
                <w:rFonts w:ascii="宋体" w:hAnsi="宋体" w:eastAsia="宋体" w:cs="宋体"/>
                <w:lang w:eastAsia="zh-CN"/>
              </w:rPr>
            </w:pPr>
            <w:r>
              <w:rPr>
                <w:rFonts w:hint="eastAsia" w:ascii="宋体" w:hAnsi="宋体" w:eastAsia="宋体" w:cs="宋体"/>
                <w:spacing w:val="-1"/>
                <w:lang w:eastAsia="zh-CN"/>
              </w:rPr>
              <w:t>玻镁成品燃烧性能A2级报告</w:t>
            </w:r>
          </w:p>
          <w:p w14:paraId="2C742057">
            <w:pPr>
              <w:numPr>
                <w:ilvl w:val="0"/>
                <w:numId w:val="11"/>
              </w:numPr>
              <w:spacing w:before="49" w:line="252" w:lineRule="auto"/>
              <w:jc w:val="both"/>
              <w:rPr>
                <w:rFonts w:ascii="宋体" w:hAnsi="宋体" w:eastAsia="宋体" w:cs="宋体"/>
                <w:lang w:eastAsia="zh-CN"/>
              </w:rPr>
            </w:pPr>
            <w:r>
              <w:rPr>
                <w:rFonts w:hint="eastAsia" w:ascii="宋体" w:hAnsi="宋体" w:eastAsia="宋体" w:cs="宋体"/>
                <w:lang w:eastAsia="zh-CN"/>
              </w:rPr>
              <w:t>镀层重量：AZ120g/m2；力学性能：YS240(画服)；TS349(抗拉)；EL38；涂层性能：涂层厚度22/μn；光泽LUSTER36；涂层弯曲COATBENDING；铅笔硬度PENCILHARDNESS 4H；方向冲击力IMPACT 9J。</w:t>
            </w:r>
          </w:p>
          <w:p w14:paraId="215740A6">
            <w:pPr>
              <w:numPr>
                <w:ilvl w:val="0"/>
                <w:numId w:val="11"/>
              </w:numPr>
              <w:spacing w:before="49" w:line="252" w:lineRule="auto"/>
              <w:jc w:val="both"/>
              <w:rPr>
                <w:rFonts w:ascii="宋体" w:hAnsi="宋体" w:eastAsia="宋体" w:cs="宋体"/>
                <w:lang w:eastAsia="zh-CN"/>
              </w:rPr>
            </w:pPr>
            <w:r>
              <w:rPr>
                <w:rFonts w:hint="eastAsia" w:ascii="宋体" w:hAnsi="宋体" w:eastAsia="宋体" w:cs="宋体"/>
                <w:lang w:eastAsia="zh-CN"/>
              </w:rPr>
              <w:t>防酸防碱，表面膜厚160U</w:t>
            </w:r>
          </w:p>
        </w:tc>
      </w:tr>
      <w:tr w14:paraId="5DA79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6DFF1333">
            <w:pPr>
              <w:spacing w:before="231" w:line="241" w:lineRule="auto"/>
              <w:ind w:left="275"/>
              <w:rPr>
                <w:rFonts w:ascii="宋体" w:hAnsi="宋体" w:eastAsia="宋体" w:cs="宋体"/>
                <w:lang w:eastAsia="zh-CN"/>
              </w:rPr>
            </w:pPr>
            <w:r>
              <w:rPr>
                <w:rFonts w:hint="eastAsia" w:ascii="宋体" w:hAnsi="宋体" w:eastAsia="宋体" w:cs="宋体"/>
                <w:lang w:eastAsia="zh-CN"/>
              </w:rPr>
              <w:t>10</w:t>
            </w:r>
          </w:p>
        </w:tc>
        <w:tc>
          <w:tcPr>
            <w:tcW w:w="1219" w:type="dxa"/>
          </w:tcPr>
          <w:p w14:paraId="7AFF10DB">
            <w:pPr>
              <w:spacing w:before="49" w:line="252" w:lineRule="auto"/>
              <w:ind w:left="133" w:hanging="69"/>
              <w:jc w:val="both"/>
              <w:rPr>
                <w:rFonts w:ascii="宋体" w:hAnsi="宋体" w:eastAsia="宋体" w:cs="宋体"/>
                <w:spacing w:val="-1"/>
                <w:lang w:eastAsia="zh-CN"/>
              </w:rPr>
            </w:pPr>
          </w:p>
        </w:tc>
        <w:tc>
          <w:tcPr>
            <w:tcW w:w="1300" w:type="dxa"/>
          </w:tcPr>
          <w:p w14:paraId="1C824E9B">
            <w:pPr>
              <w:rPr>
                <w:rFonts w:ascii="宋体" w:hAnsi="宋体" w:eastAsia="宋体" w:cs="宋体"/>
                <w:spacing w:val="-1"/>
                <w:lang w:eastAsia="zh-CN"/>
              </w:rPr>
            </w:pPr>
            <w:r>
              <w:rPr>
                <w:rFonts w:hint="eastAsia" w:ascii="宋体" w:hAnsi="宋体" w:eastAsia="宋体" w:cs="宋体"/>
                <w:spacing w:val="-1"/>
                <w:lang w:eastAsia="zh-CN"/>
              </w:rPr>
              <w:t>油漆（净味专优5合1）</w:t>
            </w:r>
          </w:p>
        </w:tc>
        <w:tc>
          <w:tcPr>
            <w:tcW w:w="608" w:type="dxa"/>
          </w:tcPr>
          <w:p w14:paraId="31507D1F">
            <w:pPr>
              <w:spacing w:before="49" w:line="252" w:lineRule="auto"/>
              <w:ind w:left="133" w:hanging="69"/>
              <w:jc w:val="both"/>
              <w:rPr>
                <w:rFonts w:ascii="宋体" w:hAnsi="宋体" w:eastAsia="宋体" w:cs="宋体"/>
                <w:spacing w:val="-1"/>
                <w:lang w:eastAsia="zh-CN"/>
              </w:rPr>
            </w:pPr>
          </w:p>
        </w:tc>
        <w:tc>
          <w:tcPr>
            <w:tcW w:w="1566" w:type="dxa"/>
          </w:tcPr>
          <w:p w14:paraId="2A30B0F4">
            <w:pPr>
              <w:spacing w:before="49" w:line="252" w:lineRule="auto"/>
              <w:ind w:left="133" w:hanging="69"/>
              <w:jc w:val="both"/>
              <w:rPr>
                <w:rFonts w:ascii="宋体" w:hAnsi="宋体" w:eastAsia="宋体" w:cs="宋体"/>
                <w:spacing w:val="-1"/>
                <w:lang w:eastAsia="zh-CN"/>
              </w:rPr>
            </w:pPr>
          </w:p>
        </w:tc>
        <w:tc>
          <w:tcPr>
            <w:tcW w:w="8457" w:type="dxa"/>
          </w:tcPr>
          <w:p w14:paraId="02BB5D7D">
            <w:pPr>
              <w:numPr>
                <w:ilvl w:val="0"/>
                <w:numId w:val="12"/>
              </w:numPr>
              <w:rPr>
                <w:rFonts w:ascii="宋体" w:hAnsi="宋体" w:eastAsia="宋体" w:cs="宋体"/>
              </w:rPr>
            </w:pPr>
            <w:r>
              <w:rPr>
                <w:rFonts w:hint="eastAsia" w:ascii="宋体" w:hAnsi="宋体" w:eastAsia="宋体" w:cs="宋体"/>
                <w:sz w:val="20"/>
                <w:szCs w:val="20"/>
                <w:lang w:eastAsia="zh-CN" w:bidi="ar"/>
              </w:rPr>
              <w:t>甲醛含量（mg/kg）≤50，符合GB/T 23993-2009</w:t>
            </w:r>
          </w:p>
          <w:p w14:paraId="088C0AE2">
            <w:pPr>
              <w:numPr>
                <w:ilvl w:val="0"/>
                <w:numId w:val="12"/>
              </w:numPr>
              <w:rPr>
                <w:rFonts w:ascii="宋体" w:hAnsi="宋体" w:eastAsia="宋体" w:cs="宋体"/>
              </w:rPr>
            </w:pPr>
            <w:r>
              <w:rPr>
                <w:rFonts w:hint="eastAsia" w:ascii="宋体" w:hAnsi="宋体" w:eastAsia="宋体" w:cs="宋体"/>
                <w:sz w:val="20"/>
                <w:szCs w:val="20"/>
                <w:lang w:eastAsia="zh-CN" w:bidi="ar"/>
              </w:rPr>
              <w:t>VOC 含量（g/L）≤80，符合GB 18582-2020</w:t>
            </w:r>
          </w:p>
          <w:p w14:paraId="11916302">
            <w:pPr>
              <w:numPr>
                <w:ilvl w:val="0"/>
                <w:numId w:val="12"/>
              </w:numPr>
              <w:rPr>
                <w:rFonts w:ascii="宋体" w:hAnsi="宋体" w:eastAsia="宋体" w:cs="宋体"/>
              </w:rPr>
            </w:pPr>
            <w:r>
              <w:rPr>
                <w:rFonts w:hint="eastAsia" w:ascii="宋体" w:hAnsi="宋体" w:eastAsia="宋体" w:cs="宋体"/>
                <w:sz w:val="20"/>
                <w:szCs w:val="20"/>
                <w:lang w:eastAsia="zh-CN" w:bidi="ar"/>
              </w:rPr>
              <w:t>苯系物总和含量[限苯、甲苯、二甲苯（含乙苯）]（mg/kg）≤100，符合GB/T 23990-2009</w:t>
            </w:r>
          </w:p>
          <w:p w14:paraId="7D4E12BB">
            <w:pPr>
              <w:numPr>
                <w:ilvl w:val="0"/>
                <w:numId w:val="12"/>
              </w:numPr>
              <w:rPr>
                <w:rFonts w:ascii="宋体" w:hAnsi="宋体" w:eastAsia="宋体" w:cs="宋体"/>
              </w:rPr>
            </w:pPr>
            <w:r>
              <w:rPr>
                <w:rFonts w:hint="eastAsia" w:ascii="宋体" w:hAnsi="宋体" w:eastAsia="宋体" w:cs="宋体"/>
                <w:sz w:val="20"/>
                <w:szCs w:val="20"/>
                <w:lang w:eastAsia="zh-CN" w:bidi="ar"/>
              </w:rPr>
              <w:t>总铅（Pb）含量（mg/kg）≤90，符合GB/T 30647-2014</w:t>
            </w:r>
          </w:p>
          <w:p w14:paraId="6E42F4F4">
            <w:pPr>
              <w:numPr>
                <w:ilvl w:val="0"/>
                <w:numId w:val="12"/>
              </w:numPr>
              <w:rPr>
                <w:rFonts w:ascii="宋体" w:hAnsi="宋体" w:eastAsia="宋体" w:cs="宋体"/>
              </w:rPr>
            </w:pPr>
            <w:r>
              <w:rPr>
                <w:rFonts w:hint="eastAsia" w:ascii="宋体" w:hAnsi="宋体" w:eastAsia="宋体" w:cs="宋体"/>
                <w:sz w:val="20"/>
                <w:szCs w:val="20"/>
                <w:lang w:eastAsia="zh-CN" w:bidi="ar"/>
              </w:rPr>
              <w:t>镉 Cd（mg/kg）≤75，符合GB/T 23991-2009</w:t>
            </w:r>
          </w:p>
          <w:p w14:paraId="20DA8555">
            <w:pPr>
              <w:numPr>
                <w:ilvl w:val="0"/>
                <w:numId w:val="12"/>
              </w:numPr>
              <w:rPr>
                <w:rFonts w:ascii="宋体" w:hAnsi="宋体" w:eastAsia="宋体" w:cs="宋体"/>
              </w:rPr>
            </w:pPr>
            <w:r>
              <w:rPr>
                <w:rFonts w:hint="eastAsia" w:ascii="宋体" w:hAnsi="宋体" w:eastAsia="宋体" w:cs="宋体"/>
                <w:sz w:val="20"/>
                <w:szCs w:val="20"/>
                <w:lang w:eastAsia="zh-CN" w:bidi="ar"/>
              </w:rPr>
              <w:t>铬 Cr（mg/kg）≤60，符合GB/T 23991-2009</w:t>
            </w:r>
          </w:p>
          <w:p w14:paraId="73FAB2AC">
            <w:pPr>
              <w:numPr>
                <w:ilvl w:val="0"/>
                <w:numId w:val="12"/>
              </w:numPr>
              <w:rPr>
                <w:rFonts w:ascii="宋体" w:hAnsi="宋体" w:eastAsia="宋体" w:cs="宋体"/>
              </w:rPr>
            </w:pPr>
            <w:r>
              <w:rPr>
                <w:rFonts w:hint="eastAsia" w:ascii="宋体" w:hAnsi="宋体" w:eastAsia="宋体" w:cs="宋体"/>
                <w:sz w:val="20"/>
                <w:szCs w:val="20"/>
                <w:lang w:eastAsia="zh-CN" w:bidi="ar"/>
              </w:rPr>
              <w:t>汞 Hg（mg/kg）≤60，符合GB/T 23991-2009</w:t>
            </w:r>
          </w:p>
          <w:p w14:paraId="3020211F">
            <w:pPr>
              <w:numPr>
                <w:ilvl w:val="0"/>
                <w:numId w:val="12"/>
              </w:numPr>
              <w:rPr>
                <w:rFonts w:ascii="宋体" w:hAnsi="宋体" w:eastAsia="宋体" w:cs="宋体"/>
                <w:lang w:eastAsia="zh-CN"/>
              </w:rPr>
            </w:pPr>
            <w:r>
              <w:rPr>
                <w:rFonts w:hint="eastAsia" w:ascii="宋体" w:hAnsi="宋体" w:eastAsia="宋体" w:cs="宋体"/>
                <w:sz w:val="20"/>
                <w:szCs w:val="20"/>
                <w:lang w:eastAsia="zh-CN" w:bidi="ar"/>
              </w:rPr>
              <w:t>烷基酚聚氧乙烯醚总和含量{限辛基酚聚氧乙烯醚[C</w:t>
            </w:r>
            <w:r>
              <w:rPr>
                <w:rFonts w:hint="eastAsia" w:ascii="宋体" w:hAnsi="宋体" w:eastAsia="宋体" w:cs="宋体"/>
                <w:sz w:val="13"/>
                <w:szCs w:val="13"/>
                <w:lang w:eastAsia="zh-CN" w:bidi="ar"/>
              </w:rPr>
              <w:t>8</w:t>
            </w:r>
            <w:r>
              <w:rPr>
                <w:rFonts w:hint="eastAsia" w:ascii="宋体" w:hAnsi="宋体" w:eastAsia="宋体" w:cs="宋体"/>
                <w:sz w:val="20"/>
                <w:szCs w:val="20"/>
                <w:lang w:eastAsia="zh-CN" w:bidi="ar"/>
              </w:rPr>
              <w:t>H</w:t>
            </w:r>
            <w:r>
              <w:rPr>
                <w:rFonts w:hint="eastAsia" w:ascii="宋体" w:hAnsi="宋体" w:eastAsia="宋体" w:cs="宋体"/>
                <w:sz w:val="13"/>
                <w:szCs w:val="13"/>
                <w:lang w:eastAsia="zh-CN" w:bidi="ar"/>
              </w:rPr>
              <w:t>17</w:t>
            </w:r>
            <w:r>
              <w:rPr>
                <w:rFonts w:hint="eastAsia" w:ascii="宋体" w:hAnsi="宋体" w:eastAsia="宋体" w:cs="宋体"/>
                <w:sz w:val="20"/>
                <w:szCs w:val="20"/>
                <w:lang w:eastAsia="zh-CN" w:bidi="ar"/>
              </w:rPr>
              <w:t>-C</w:t>
            </w:r>
            <w:r>
              <w:rPr>
                <w:rFonts w:hint="eastAsia" w:ascii="宋体" w:hAnsi="宋体" w:eastAsia="宋体" w:cs="宋体"/>
                <w:sz w:val="13"/>
                <w:szCs w:val="13"/>
                <w:lang w:eastAsia="zh-CN" w:bidi="ar"/>
              </w:rPr>
              <w:t>6</w:t>
            </w:r>
            <w:r>
              <w:rPr>
                <w:rFonts w:hint="eastAsia" w:ascii="宋体" w:hAnsi="宋体" w:eastAsia="宋体" w:cs="宋体"/>
                <w:sz w:val="20"/>
                <w:szCs w:val="20"/>
                <w:lang w:eastAsia="zh-CN" w:bidi="ar"/>
              </w:rPr>
              <w:t>H</w:t>
            </w:r>
            <w:r>
              <w:rPr>
                <w:rFonts w:hint="eastAsia" w:ascii="宋体" w:hAnsi="宋体" w:eastAsia="宋体" w:cs="宋体"/>
                <w:sz w:val="13"/>
                <w:szCs w:val="13"/>
                <w:lang w:eastAsia="zh-CN" w:bidi="ar"/>
              </w:rPr>
              <w:t>4</w:t>
            </w:r>
            <w:r>
              <w:rPr>
                <w:rFonts w:hint="eastAsia" w:ascii="宋体" w:hAnsi="宋体" w:eastAsia="宋体" w:cs="宋体"/>
                <w:sz w:val="20"/>
                <w:szCs w:val="20"/>
                <w:lang w:eastAsia="zh-CN" w:bidi="ar"/>
              </w:rPr>
              <w:t>-(OC</w:t>
            </w:r>
            <w:r>
              <w:rPr>
                <w:rFonts w:hint="eastAsia" w:ascii="宋体" w:hAnsi="宋体" w:eastAsia="宋体" w:cs="宋体"/>
                <w:sz w:val="13"/>
                <w:szCs w:val="13"/>
                <w:lang w:eastAsia="zh-CN" w:bidi="ar"/>
              </w:rPr>
              <w:t>2</w:t>
            </w:r>
            <w:r>
              <w:rPr>
                <w:rFonts w:hint="eastAsia" w:ascii="宋体" w:hAnsi="宋体" w:eastAsia="宋体" w:cs="宋体"/>
                <w:sz w:val="20"/>
                <w:szCs w:val="20"/>
                <w:lang w:eastAsia="zh-CN" w:bidi="ar"/>
              </w:rPr>
              <w:t>H</w:t>
            </w:r>
            <w:r>
              <w:rPr>
                <w:rFonts w:hint="eastAsia" w:ascii="宋体" w:hAnsi="宋体" w:eastAsia="宋体" w:cs="宋体"/>
                <w:sz w:val="13"/>
                <w:szCs w:val="13"/>
                <w:lang w:eastAsia="zh-CN" w:bidi="ar"/>
              </w:rPr>
              <w:t>4</w:t>
            </w:r>
            <w:r>
              <w:rPr>
                <w:rFonts w:hint="eastAsia" w:ascii="宋体" w:hAnsi="宋体" w:eastAsia="宋体" w:cs="宋体"/>
                <w:sz w:val="20"/>
                <w:szCs w:val="20"/>
                <w:lang w:eastAsia="zh-CN" w:bidi="ar"/>
              </w:rPr>
              <w:t>)</w:t>
            </w:r>
            <w:r>
              <w:rPr>
                <w:rFonts w:hint="eastAsia" w:ascii="宋体" w:hAnsi="宋体" w:eastAsia="宋体" w:cs="宋体"/>
                <w:sz w:val="13"/>
                <w:szCs w:val="13"/>
                <w:lang w:eastAsia="zh-CN" w:bidi="ar"/>
              </w:rPr>
              <w:t>n</w:t>
            </w:r>
            <w:r>
              <w:rPr>
                <w:rFonts w:hint="eastAsia" w:ascii="宋体" w:hAnsi="宋体" w:eastAsia="宋体" w:cs="宋体"/>
                <w:sz w:val="20"/>
                <w:szCs w:val="20"/>
                <w:lang w:eastAsia="zh-CN" w:bidi="ar"/>
              </w:rPr>
              <w:t>OH，简称OP</w:t>
            </w:r>
            <w:r>
              <w:rPr>
                <w:rFonts w:hint="eastAsia" w:ascii="宋体" w:hAnsi="宋体" w:eastAsia="宋体" w:cs="宋体"/>
                <w:sz w:val="13"/>
                <w:szCs w:val="13"/>
                <w:lang w:eastAsia="zh-CN" w:bidi="ar"/>
              </w:rPr>
              <w:t>n</w:t>
            </w:r>
            <w:r>
              <w:rPr>
                <w:rFonts w:hint="eastAsia" w:ascii="宋体" w:hAnsi="宋体" w:eastAsia="宋体" w:cs="宋体"/>
                <w:sz w:val="20"/>
                <w:szCs w:val="20"/>
                <w:lang w:eastAsia="zh-CN" w:bidi="ar"/>
              </w:rPr>
              <w:t>EO]和壬基酚聚氧乙烯醚[C</w:t>
            </w:r>
            <w:r>
              <w:rPr>
                <w:rFonts w:hint="eastAsia" w:ascii="宋体" w:hAnsi="宋体" w:eastAsia="宋体" w:cs="宋体"/>
                <w:sz w:val="13"/>
                <w:szCs w:val="13"/>
                <w:lang w:eastAsia="zh-CN" w:bidi="ar"/>
              </w:rPr>
              <w:t>9</w:t>
            </w:r>
            <w:r>
              <w:rPr>
                <w:rFonts w:hint="eastAsia" w:ascii="宋体" w:hAnsi="宋体" w:eastAsia="宋体" w:cs="宋体"/>
                <w:sz w:val="20"/>
                <w:szCs w:val="20"/>
                <w:lang w:eastAsia="zh-CN" w:bidi="ar"/>
              </w:rPr>
              <w:t>H</w:t>
            </w:r>
            <w:r>
              <w:rPr>
                <w:rFonts w:hint="eastAsia" w:ascii="宋体" w:hAnsi="宋体" w:eastAsia="宋体" w:cs="宋体"/>
                <w:sz w:val="13"/>
                <w:szCs w:val="13"/>
                <w:lang w:eastAsia="zh-CN" w:bidi="ar"/>
              </w:rPr>
              <w:t>19</w:t>
            </w:r>
            <w:r>
              <w:rPr>
                <w:rFonts w:hint="eastAsia" w:ascii="宋体" w:hAnsi="宋体" w:eastAsia="宋体" w:cs="宋体"/>
                <w:sz w:val="20"/>
                <w:szCs w:val="20"/>
                <w:lang w:eastAsia="zh-CN" w:bidi="ar"/>
              </w:rPr>
              <w:t>-C</w:t>
            </w:r>
            <w:r>
              <w:rPr>
                <w:rFonts w:hint="eastAsia" w:ascii="宋体" w:hAnsi="宋体" w:eastAsia="宋体" w:cs="宋体"/>
                <w:sz w:val="13"/>
                <w:szCs w:val="13"/>
                <w:lang w:eastAsia="zh-CN" w:bidi="ar"/>
              </w:rPr>
              <w:t>6</w:t>
            </w:r>
            <w:r>
              <w:rPr>
                <w:rFonts w:hint="eastAsia" w:ascii="宋体" w:hAnsi="宋体" w:eastAsia="宋体" w:cs="宋体"/>
                <w:sz w:val="20"/>
                <w:szCs w:val="20"/>
                <w:lang w:eastAsia="zh-CN" w:bidi="ar"/>
              </w:rPr>
              <w:t>H</w:t>
            </w:r>
            <w:r>
              <w:rPr>
                <w:rFonts w:hint="eastAsia" w:ascii="宋体" w:hAnsi="宋体" w:eastAsia="宋体" w:cs="宋体"/>
                <w:sz w:val="13"/>
                <w:szCs w:val="13"/>
                <w:lang w:eastAsia="zh-CN" w:bidi="ar"/>
              </w:rPr>
              <w:t>4</w:t>
            </w:r>
            <w:r>
              <w:rPr>
                <w:rFonts w:hint="eastAsia" w:ascii="宋体" w:hAnsi="宋体" w:eastAsia="宋体" w:cs="宋体"/>
                <w:sz w:val="20"/>
                <w:szCs w:val="20"/>
                <w:lang w:eastAsia="zh-CN" w:bidi="ar"/>
              </w:rPr>
              <w:t>-(OC</w:t>
            </w:r>
            <w:r>
              <w:rPr>
                <w:rFonts w:hint="eastAsia" w:ascii="宋体" w:hAnsi="宋体" w:eastAsia="宋体" w:cs="宋体"/>
                <w:sz w:val="13"/>
                <w:szCs w:val="13"/>
                <w:lang w:eastAsia="zh-CN" w:bidi="ar"/>
              </w:rPr>
              <w:t>2</w:t>
            </w:r>
            <w:r>
              <w:rPr>
                <w:rFonts w:hint="eastAsia" w:ascii="宋体" w:hAnsi="宋体" w:eastAsia="宋体" w:cs="宋体"/>
                <w:sz w:val="20"/>
                <w:szCs w:val="20"/>
                <w:lang w:eastAsia="zh-CN" w:bidi="ar"/>
              </w:rPr>
              <w:t>H</w:t>
            </w:r>
            <w:r>
              <w:rPr>
                <w:rFonts w:hint="eastAsia" w:ascii="宋体" w:hAnsi="宋体" w:eastAsia="宋体" w:cs="宋体"/>
                <w:sz w:val="13"/>
                <w:szCs w:val="13"/>
                <w:lang w:eastAsia="zh-CN" w:bidi="ar"/>
              </w:rPr>
              <w:t>4</w:t>
            </w:r>
            <w:r>
              <w:rPr>
                <w:rFonts w:hint="eastAsia" w:ascii="宋体" w:hAnsi="宋体" w:eastAsia="宋体" w:cs="宋体"/>
                <w:sz w:val="20"/>
                <w:szCs w:val="20"/>
                <w:lang w:eastAsia="zh-CN" w:bidi="ar"/>
              </w:rPr>
              <w:t>)OH，简称NP</w:t>
            </w:r>
            <w:r>
              <w:rPr>
                <w:rFonts w:hint="eastAsia" w:ascii="宋体" w:hAnsi="宋体" w:eastAsia="宋体" w:cs="宋体"/>
                <w:sz w:val="13"/>
                <w:szCs w:val="13"/>
                <w:lang w:eastAsia="zh-CN" w:bidi="ar"/>
              </w:rPr>
              <w:t>n</w:t>
            </w:r>
            <w:r>
              <w:rPr>
                <w:rFonts w:hint="eastAsia" w:ascii="宋体" w:hAnsi="宋体" w:eastAsia="宋体" w:cs="宋体"/>
                <w:sz w:val="20"/>
                <w:szCs w:val="20"/>
                <w:lang w:eastAsia="zh-CN" w:bidi="ar"/>
              </w:rPr>
              <w:t>EO]，n=2~16}，mg/kg≤1000，符合GB/T 31414-2015</w:t>
            </w:r>
          </w:p>
        </w:tc>
      </w:tr>
      <w:tr w14:paraId="10F9B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5131153D">
            <w:pPr>
              <w:spacing w:before="231" w:line="241" w:lineRule="auto"/>
              <w:ind w:left="275"/>
              <w:rPr>
                <w:rFonts w:ascii="宋体" w:hAnsi="宋体" w:eastAsia="宋体" w:cs="宋体"/>
                <w:lang w:eastAsia="zh-CN"/>
              </w:rPr>
            </w:pPr>
            <w:r>
              <w:rPr>
                <w:rFonts w:hint="eastAsia" w:ascii="宋体" w:hAnsi="宋体" w:eastAsia="宋体" w:cs="宋体"/>
                <w:lang w:eastAsia="zh-CN"/>
              </w:rPr>
              <w:t>11</w:t>
            </w:r>
          </w:p>
        </w:tc>
        <w:tc>
          <w:tcPr>
            <w:tcW w:w="1219" w:type="dxa"/>
          </w:tcPr>
          <w:p w14:paraId="3A4C4CDA">
            <w:pPr>
              <w:spacing w:before="49" w:line="252" w:lineRule="auto"/>
              <w:ind w:left="133" w:hanging="69"/>
              <w:jc w:val="both"/>
              <w:rPr>
                <w:rFonts w:ascii="宋体" w:hAnsi="宋体" w:eastAsia="宋体" w:cs="宋体"/>
                <w:spacing w:val="-1"/>
                <w:lang w:eastAsia="zh-CN"/>
              </w:rPr>
            </w:pPr>
          </w:p>
        </w:tc>
        <w:tc>
          <w:tcPr>
            <w:tcW w:w="1300" w:type="dxa"/>
          </w:tcPr>
          <w:p w14:paraId="05D1A006">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环氧刚玉地坪</w:t>
            </w:r>
          </w:p>
        </w:tc>
        <w:tc>
          <w:tcPr>
            <w:tcW w:w="608" w:type="dxa"/>
          </w:tcPr>
          <w:p w14:paraId="2FCA36BF">
            <w:pPr>
              <w:spacing w:before="49" w:line="252" w:lineRule="auto"/>
              <w:ind w:left="133" w:hanging="69"/>
              <w:jc w:val="both"/>
              <w:rPr>
                <w:rFonts w:ascii="宋体" w:hAnsi="宋体" w:eastAsia="宋体" w:cs="宋体"/>
                <w:spacing w:val="-1"/>
                <w:lang w:eastAsia="zh-CN"/>
              </w:rPr>
            </w:pPr>
          </w:p>
        </w:tc>
        <w:tc>
          <w:tcPr>
            <w:tcW w:w="1566" w:type="dxa"/>
          </w:tcPr>
          <w:p w14:paraId="726855FE">
            <w:pPr>
              <w:spacing w:before="49" w:line="252" w:lineRule="auto"/>
              <w:ind w:left="133" w:hanging="69"/>
              <w:jc w:val="both"/>
              <w:rPr>
                <w:rFonts w:ascii="宋体" w:hAnsi="宋体" w:eastAsia="宋体" w:cs="宋体"/>
                <w:spacing w:val="-1"/>
                <w:lang w:eastAsia="zh-CN"/>
              </w:rPr>
            </w:pPr>
          </w:p>
        </w:tc>
        <w:tc>
          <w:tcPr>
            <w:tcW w:w="8457" w:type="dxa"/>
          </w:tcPr>
          <w:p w14:paraId="31B472D4">
            <w:pPr>
              <w:numPr>
                <w:ilvl w:val="0"/>
                <w:numId w:val="13"/>
              </w:numPr>
              <w:rPr>
                <w:rFonts w:ascii="宋体" w:hAnsi="宋体" w:eastAsia="宋体" w:cs="宋体"/>
                <w:sz w:val="20"/>
                <w:szCs w:val="20"/>
                <w:lang w:eastAsia="zh-CN" w:bidi="ar"/>
              </w:rPr>
            </w:pPr>
            <w:r>
              <w:rPr>
                <w:rFonts w:hint="eastAsia" w:ascii="宋体" w:hAnsi="宋体" w:eastAsia="宋体" w:cs="宋体"/>
                <w:sz w:val="20"/>
                <w:szCs w:val="20"/>
                <w:lang w:eastAsia="zh-CN" w:bidi="ar"/>
              </w:rPr>
              <w:t>强度：抗压强度≥20MPa（普通）、≥30MPa（加强）；</w:t>
            </w:r>
          </w:p>
          <w:p w14:paraId="08BF1BA5">
            <w:pPr>
              <w:numPr>
                <w:ilvl w:val="0"/>
                <w:numId w:val="13"/>
              </w:numPr>
              <w:rPr>
                <w:rFonts w:ascii="宋体" w:hAnsi="宋体" w:eastAsia="宋体" w:cs="宋体"/>
                <w:sz w:val="20"/>
                <w:szCs w:val="20"/>
                <w:lang w:eastAsia="zh-CN" w:bidi="ar"/>
              </w:rPr>
            </w:pPr>
            <w:r>
              <w:rPr>
                <w:rFonts w:hint="eastAsia" w:ascii="宋体" w:hAnsi="宋体" w:eastAsia="宋体" w:cs="宋体"/>
                <w:sz w:val="20"/>
                <w:szCs w:val="20"/>
                <w:lang w:eastAsia="zh-CN" w:bidi="ar"/>
              </w:rPr>
              <w:t>硬度：莫氏硬度≥6；</w:t>
            </w:r>
          </w:p>
          <w:p w14:paraId="02AF5602">
            <w:pPr>
              <w:numPr>
                <w:ilvl w:val="0"/>
                <w:numId w:val="13"/>
              </w:numPr>
              <w:rPr>
                <w:rFonts w:ascii="宋体" w:hAnsi="宋体" w:eastAsia="宋体" w:cs="宋体"/>
                <w:sz w:val="20"/>
                <w:szCs w:val="20"/>
                <w:lang w:eastAsia="zh-CN" w:bidi="ar"/>
              </w:rPr>
            </w:pPr>
            <w:r>
              <w:rPr>
                <w:rFonts w:hint="eastAsia" w:ascii="宋体" w:hAnsi="宋体" w:eastAsia="宋体" w:cs="宋体"/>
                <w:sz w:val="20"/>
                <w:szCs w:val="20"/>
                <w:lang w:eastAsia="zh-CN" w:bidi="ar"/>
              </w:rPr>
              <w:t>耐磨性：磨损量≤0.3g/cm²；</w:t>
            </w:r>
          </w:p>
          <w:p w14:paraId="4C6E9D83">
            <w:pPr>
              <w:numPr>
                <w:ilvl w:val="0"/>
                <w:numId w:val="13"/>
              </w:numPr>
              <w:rPr>
                <w:rFonts w:ascii="宋体" w:hAnsi="宋体" w:eastAsia="宋体" w:cs="宋体"/>
                <w:sz w:val="20"/>
                <w:szCs w:val="20"/>
                <w:lang w:eastAsia="zh-CN" w:bidi="ar"/>
              </w:rPr>
            </w:pPr>
            <w:r>
              <w:rPr>
                <w:rFonts w:hint="eastAsia" w:ascii="宋体" w:hAnsi="宋体" w:eastAsia="宋体" w:cs="宋体"/>
                <w:sz w:val="20"/>
                <w:szCs w:val="20"/>
                <w:lang w:eastAsia="zh-CN" w:bidi="ar"/>
              </w:rPr>
              <w:t>平整度：3m靠尺误差≤3mm；</w:t>
            </w:r>
          </w:p>
          <w:p w14:paraId="312EB253">
            <w:pPr>
              <w:numPr>
                <w:ilvl w:val="0"/>
                <w:numId w:val="13"/>
              </w:numPr>
              <w:rPr>
                <w:rFonts w:ascii="宋体" w:hAnsi="宋体" w:eastAsia="宋体" w:cs="宋体"/>
                <w:lang w:eastAsia="zh-CN"/>
              </w:rPr>
            </w:pPr>
            <w:r>
              <w:rPr>
                <w:rFonts w:hint="eastAsia" w:ascii="宋体" w:hAnsi="宋体" w:eastAsia="宋体" w:cs="宋体"/>
                <w:sz w:val="20"/>
                <w:szCs w:val="20"/>
                <w:lang w:eastAsia="zh-CN" w:bidi="ar"/>
              </w:rPr>
              <w:t>抗渗性：渗透深度≤3mm。</w:t>
            </w:r>
          </w:p>
        </w:tc>
      </w:tr>
      <w:tr w14:paraId="7F9FB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727B3B20">
            <w:pPr>
              <w:spacing w:before="231" w:line="241" w:lineRule="auto"/>
              <w:ind w:left="275"/>
              <w:rPr>
                <w:rFonts w:ascii="宋体" w:hAnsi="宋体" w:eastAsia="宋体" w:cs="宋体"/>
                <w:lang w:eastAsia="zh-CN"/>
              </w:rPr>
            </w:pPr>
            <w:r>
              <w:rPr>
                <w:rFonts w:hint="eastAsia" w:ascii="宋体" w:hAnsi="宋体" w:eastAsia="宋体" w:cs="宋体"/>
                <w:lang w:eastAsia="zh-CN"/>
              </w:rPr>
              <w:t>12</w:t>
            </w:r>
          </w:p>
        </w:tc>
        <w:tc>
          <w:tcPr>
            <w:tcW w:w="1219" w:type="dxa"/>
          </w:tcPr>
          <w:p w14:paraId="2597DBD9">
            <w:pPr>
              <w:spacing w:before="49" w:line="252" w:lineRule="auto"/>
              <w:ind w:left="133" w:hanging="69"/>
              <w:jc w:val="both"/>
              <w:rPr>
                <w:rFonts w:ascii="宋体" w:hAnsi="宋体" w:eastAsia="宋体" w:cs="宋体"/>
                <w:spacing w:val="-1"/>
                <w:lang w:eastAsia="zh-CN"/>
              </w:rPr>
            </w:pPr>
          </w:p>
        </w:tc>
        <w:tc>
          <w:tcPr>
            <w:tcW w:w="1300" w:type="dxa"/>
          </w:tcPr>
          <w:p w14:paraId="5170A759">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PVC卷材</w:t>
            </w:r>
          </w:p>
        </w:tc>
        <w:tc>
          <w:tcPr>
            <w:tcW w:w="608" w:type="dxa"/>
          </w:tcPr>
          <w:p w14:paraId="70DC25C6">
            <w:pPr>
              <w:spacing w:before="49" w:line="252" w:lineRule="auto"/>
              <w:ind w:left="133" w:hanging="69"/>
              <w:jc w:val="both"/>
              <w:rPr>
                <w:rFonts w:ascii="宋体" w:hAnsi="宋体" w:eastAsia="宋体" w:cs="宋体"/>
                <w:spacing w:val="-1"/>
                <w:lang w:eastAsia="zh-CN"/>
              </w:rPr>
            </w:pPr>
          </w:p>
        </w:tc>
        <w:tc>
          <w:tcPr>
            <w:tcW w:w="1566" w:type="dxa"/>
          </w:tcPr>
          <w:p w14:paraId="39C21AFE">
            <w:pPr>
              <w:spacing w:before="49" w:line="252" w:lineRule="auto"/>
              <w:ind w:left="133" w:hanging="69"/>
              <w:jc w:val="both"/>
              <w:rPr>
                <w:rFonts w:ascii="宋体" w:hAnsi="宋体" w:eastAsia="宋体" w:cs="宋体"/>
                <w:spacing w:val="-1"/>
                <w:lang w:eastAsia="zh-CN"/>
              </w:rPr>
            </w:pPr>
          </w:p>
        </w:tc>
        <w:tc>
          <w:tcPr>
            <w:tcW w:w="8457" w:type="dxa"/>
          </w:tcPr>
          <w:p w14:paraId="5C71D9A8">
            <w:pPr>
              <w:numPr>
                <w:ilvl w:val="0"/>
                <w:numId w:val="1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材料类型:2mm厚同质透心卷材塑胶地板;</w:t>
            </w:r>
          </w:p>
          <w:p w14:paraId="58D92952">
            <w:pPr>
              <w:numPr>
                <w:ilvl w:val="0"/>
                <w:numId w:val="1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通过第三方检测耐磨等级达T级;</w:t>
            </w:r>
          </w:p>
          <w:p w14:paraId="0690C4C7">
            <w:pPr>
              <w:numPr>
                <w:ilvl w:val="0"/>
                <w:numId w:val="1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 产品重量不超过 2790g/m’;</w:t>
            </w:r>
          </w:p>
          <w:p w14:paraId="60C2EEF3">
            <w:pPr>
              <w:numPr>
                <w:ilvl w:val="0"/>
                <w:numId w:val="1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▲通过第三方检测抗菌报告(大肠杆菌和金色葡萄球菌)，抗菌率达 99%。</w:t>
            </w:r>
          </w:p>
          <w:p w14:paraId="6D473A47">
            <w:pPr>
              <w:numPr>
                <w:ilvl w:val="0"/>
                <w:numId w:val="1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防火级别:达难燃 B1(B1-s1,to)级，烟毒性达 ZA1级;</w:t>
            </w:r>
          </w:p>
          <w:p w14:paraId="3DF43B76">
            <w:pPr>
              <w:numPr>
                <w:ilvl w:val="0"/>
                <w:numId w:val="1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通过 GB18586-2001 检测，可溶性重金属(氯乙烯单体、铅、镉)的检测结果为未检出:</w:t>
            </w:r>
          </w:p>
          <w:p w14:paraId="72B29D3C">
            <w:pPr>
              <w:numPr>
                <w:ilvl w:val="0"/>
                <w:numId w:val="1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▲甲醛和乙醛的通过第三方检测结果为 ND(未检出)，28 天后 TVOC 有机挥发物的排放量通过第三方检测结果&lt;10 微克/m';</w:t>
            </w:r>
          </w:p>
          <w:p w14:paraId="313A14AE">
            <w:pPr>
              <w:numPr>
                <w:ilvl w:val="0"/>
                <w:numId w:val="1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▲污性能:通过第三方检测鉴定，耐96 种或以上的化学试剂溶液;醋酸、盐酸、硝酸碘酊、碘酒、染发剂、等再 2小小时接触后无污染。</w:t>
            </w:r>
          </w:p>
        </w:tc>
      </w:tr>
      <w:tr w14:paraId="30658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79D79ACD">
            <w:pPr>
              <w:spacing w:before="231" w:line="241" w:lineRule="auto"/>
              <w:ind w:left="275"/>
              <w:rPr>
                <w:rFonts w:ascii="宋体" w:hAnsi="宋体" w:eastAsia="宋体" w:cs="宋体"/>
                <w:lang w:eastAsia="zh-CN"/>
              </w:rPr>
            </w:pPr>
            <w:r>
              <w:rPr>
                <w:rFonts w:hint="eastAsia" w:ascii="宋体" w:hAnsi="宋体" w:eastAsia="宋体" w:cs="宋体"/>
                <w:lang w:eastAsia="zh-CN"/>
              </w:rPr>
              <w:t>13</w:t>
            </w:r>
          </w:p>
        </w:tc>
        <w:tc>
          <w:tcPr>
            <w:tcW w:w="1219" w:type="dxa"/>
          </w:tcPr>
          <w:p w14:paraId="660290ED">
            <w:pPr>
              <w:spacing w:before="49" w:line="252" w:lineRule="auto"/>
              <w:ind w:left="133" w:hanging="69"/>
              <w:jc w:val="both"/>
              <w:rPr>
                <w:rFonts w:ascii="宋体" w:hAnsi="宋体" w:eastAsia="宋体" w:cs="宋体"/>
                <w:spacing w:val="-1"/>
                <w:lang w:eastAsia="zh-CN"/>
              </w:rPr>
            </w:pPr>
          </w:p>
        </w:tc>
        <w:tc>
          <w:tcPr>
            <w:tcW w:w="1300" w:type="dxa"/>
          </w:tcPr>
          <w:p w14:paraId="340E7ADC">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门窗</w:t>
            </w:r>
          </w:p>
        </w:tc>
        <w:tc>
          <w:tcPr>
            <w:tcW w:w="608" w:type="dxa"/>
          </w:tcPr>
          <w:p w14:paraId="5300535C">
            <w:pPr>
              <w:spacing w:before="49" w:line="252" w:lineRule="auto"/>
              <w:ind w:left="133" w:hanging="69"/>
              <w:jc w:val="both"/>
              <w:rPr>
                <w:rFonts w:ascii="宋体" w:hAnsi="宋体" w:eastAsia="宋体" w:cs="宋体"/>
                <w:spacing w:val="-1"/>
                <w:lang w:eastAsia="zh-CN"/>
              </w:rPr>
            </w:pPr>
          </w:p>
        </w:tc>
        <w:tc>
          <w:tcPr>
            <w:tcW w:w="1566" w:type="dxa"/>
          </w:tcPr>
          <w:p w14:paraId="55A18061">
            <w:pPr>
              <w:spacing w:before="49" w:line="252" w:lineRule="auto"/>
              <w:ind w:left="133" w:hanging="69"/>
              <w:jc w:val="both"/>
              <w:rPr>
                <w:rFonts w:ascii="宋体" w:hAnsi="宋体" w:eastAsia="宋体" w:cs="宋体"/>
                <w:spacing w:val="-1"/>
                <w:lang w:eastAsia="zh-CN"/>
              </w:rPr>
            </w:pPr>
          </w:p>
        </w:tc>
        <w:tc>
          <w:tcPr>
            <w:tcW w:w="8457" w:type="dxa"/>
          </w:tcPr>
          <w:p w14:paraId="107B9A38">
            <w:p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门：</w:t>
            </w:r>
          </w:p>
          <w:p w14:paraId="77AA9AFB">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材质环保无花镀锌板烤漆，1.2厚钢制门框、门扇厚1.0mm钢制门板，门板厚度50mm，配双层圆角观察窗（尺寸为210*730mm），6mm+38+6mm双层中空防火钢化安全玻璃，升降扫地条，不锈钢304#静音合页及执手锁，内填阻燃纸蜂窝。</w:t>
            </w:r>
          </w:p>
          <w:p w14:paraId="310EDBDE">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甲醛释放量，符合国家要求，提供权威机构检测报告，甲醛释放量≤1.5mg/L。</w:t>
            </w:r>
          </w:p>
          <w:p w14:paraId="6462F5B4">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门扇基材钢板厚度：镀锌钢板 1.0㎜喷塑。</w:t>
            </w:r>
          </w:p>
          <w:p w14:paraId="20973F7A">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▲气密性能：符合气密标准（GB/T 7106-2008），级别不低于8级）（提供第三方检测报告复印件加盖生产厂家公章的证明文件）。</w:t>
            </w:r>
          </w:p>
          <w:p w14:paraId="0FF82FD4">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▲抗风压性能：符合气密标准（GB/T 7106-2008），级别不低于9级）（提供第三方检测报告复印件加盖生产厂家公章的证明文件）</w:t>
            </w:r>
          </w:p>
          <w:p w14:paraId="1CF63622">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内部填充：高强阻燃纸蜂窝。</w:t>
            </w:r>
          </w:p>
          <w:p w14:paraId="3939F883">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可选视窗：双层钢化玻璃，玻璃表面与门扇齐平。</w:t>
            </w:r>
          </w:p>
          <w:p w14:paraId="41FF6832">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提供钢制洁净单开双开门的制造商针对本项目出具的售后服务承诺书。</w:t>
            </w:r>
          </w:p>
          <w:p w14:paraId="15B5AC57">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▲防火性能：符合防火门标准（GB12955-2008），防火时间&gt;1.5H （提供第三方检测报告复印件加盖生产厂家公章的证明文件）。</w:t>
            </w:r>
          </w:p>
          <w:p w14:paraId="5A47C9B6">
            <w:pPr>
              <w:pStyle w:val="40"/>
              <w:ind w:firstLine="0"/>
              <w:rPr>
                <w:rFonts w:ascii="宋体" w:hAnsi="宋体" w:eastAsia="宋体" w:cs="宋体"/>
                <w:spacing w:val="-1"/>
                <w:lang w:eastAsia="zh-CN"/>
              </w:rPr>
            </w:pPr>
            <w:r>
              <w:rPr>
                <w:rFonts w:hint="eastAsia" w:ascii="宋体" w:hAnsi="宋体" w:eastAsia="宋体" w:cs="宋体"/>
                <w:spacing w:val="-1"/>
                <w:lang w:eastAsia="zh-CN"/>
              </w:rPr>
              <w:t>窗：</w:t>
            </w:r>
          </w:p>
          <w:p w14:paraId="735FDAC1">
            <w:pPr>
              <w:numPr>
                <w:ilvl w:val="0"/>
                <w:numId w:val="16"/>
              </w:numPr>
              <w:rPr>
                <w:lang w:eastAsia="zh-CN"/>
              </w:rPr>
            </w:pPr>
            <w:r>
              <w:rPr>
                <w:lang w:eastAsia="zh-CN"/>
              </w:rPr>
              <w:t>50中空窗黑色铝框+喷涂，配双层丝印黑边直角钢化玻璃5mm，内填干燥剂，配铝槽</w:t>
            </w:r>
            <w:r>
              <w:rPr>
                <w:rFonts w:hint="eastAsia"/>
                <w:lang w:eastAsia="zh-CN"/>
              </w:rPr>
              <w:t>。</w:t>
            </w:r>
          </w:p>
          <w:p w14:paraId="30BF010D">
            <w:pPr>
              <w:numPr>
                <w:ilvl w:val="0"/>
                <w:numId w:val="16"/>
              </w:numPr>
              <w:rPr>
                <w:lang w:eastAsia="zh-CN"/>
              </w:rPr>
            </w:pPr>
            <w:r>
              <w:rPr>
                <w:lang w:eastAsia="zh-CN"/>
              </w:rPr>
              <w:t>▲气密性能：符合气密标准（GB/T 31433-2015），级别不低于正负压8级）（提供第三方检测报告复印件加盖生产厂家公章的证明文件）。</w:t>
            </w:r>
          </w:p>
          <w:p w14:paraId="0A72C875">
            <w:pPr>
              <w:numPr>
                <w:ilvl w:val="0"/>
                <w:numId w:val="16"/>
              </w:numPr>
              <w:rPr>
                <w:lang w:eastAsia="zh-CN"/>
              </w:rPr>
            </w:pPr>
            <w:r>
              <w:rPr>
                <w:lang w:eastAsia="zh-CN"/>
              </w:rPr>
              <w:t>▲水密性能：符合气密标准（GB/T 31433-2015），级别不低于6级）（提供第三方检测报告复印件加盖生产厂家公章的证明文件）</w:t>
            </w:r>
          </w:p>
          <w:p w14:paraId="6B497285">
            <w:pPr>
              <w:numPr>
                <w:ilvl w:val="0"/>
                <w:numId w:val="16"/>
              </w:numPr>
              <w:rPr>
                <w:lang w:eastAsia="zh-CN"/>
              </w:rPr>
            </w:pPr>
            <w:r>
              <w:rPr>
                <w:lang w:eastAsia="zh-CN"/>
              </w:rPr>
              <w:t>▲抗风压性能：符合气密标准（GB/T 31433-2015），级别不低于9级）（提供第三方检测报告复印件加盖生产厂家公章的证明文件）</w:t>
            </w:r>
          </w:p>
          <w:p w14:paraId="3B35A92A">
            <w:pPr>
              <w:numPr>
                <w:ilvl w:val="0"/>
                <w:numId w:val="16"/>
              </w:numPr>
              <w:rPr>
                <w:rFonts w:ascii="宋体" w:hAnsi="宋体" w:eastAsia="宋体" w:cs="宋体"/>
                <w:lang w:eastAsia="zh-CN"/>
              </w:rPr>
            </w:pPr>
            <w:r>
              <w:rPr>
                <w:rFonts w:hint="eastAsia" w:ascii="宋体" w:hAnsi="宋体" w:eastAsia="宋体" w:cs="宋体"/>
                <w:spacing w:val="-1"/>
                <w:lang w:eastAsia="zh-CN"/>
              </w:rPr>
              <w:t>（15）</w:t>
            </w:r>
            <w:r>
              <w:rPr>
                <w:lang w:eastAsia="zh-CN"/>
              </w:rPr>
              <w:t>提供50#双层中空窗的制造商针对本项目出具的售后服务承诺书。</w:t>
            </w:r>
          </w:p>
        </w:tc>
      </w:tr>
      <w:tr w14:paraId="5DAC6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13E6F58E">
            <w:pPr>
              <w:spacing w:before="231" w:line="241" w:lineRule="auto"/>
              <w:ind w:left="275"/>
              <w:rPr>
                <w:rFonts w:ascii="宋体" w:hAnsi="宋体" w:eastAsia="宋体" w:cs="宋体"/>
                <w:lang w:eastAsia="zh-CN"/>
              </w:rPr>
            </w:pPr>
            <w:r>
              <w:rPr>
                <w:rFonts w:hint="eastAsia" w:ascii="宋体" w:hAnsi="宋体" w:eastAsia="宋体" w:cs="宋体"/>
                <w:lang w:eastAsia="zh-CN"/>
              </w:rPr>
              <w:t>14</w:t>
            </w:r>
          </w:p>
        </w:tc>
        <w:tc>
          <w:tcPr>
            <w:tcW w:w="1219" w:type="dxa"/>
          </w:tcPr>
          <w:p w14:paraId="2D286429">
            <w:pPr>
              <w:spacing w:before="49" w:line="252" w:lineRule="auto"/>
              <w:ind w:left="133" w:hanging="69"/>
              <w:jc w:val="both"/>
              <w:rPr>
                <w:rFonts w:ascii="宋体" w:hAnsi="宋体" w:eastAsia="宋体" w:cs="宋体"/>
                <w:spacing w:val="-1"/>
                <w:lang w:eastAsia="zh-CN"/>
              </w:rPr>
            </w:pPr>
          </w:p>
        </w:tc>
        <w:tc>
          <w:tcPr>
            <w:tcW w:w="1300" w:type="dxa"/>
          </w:tcPr>
          <w:p w14:paraId="7DD034F9">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2"/>
                <w:sz w:val="22"/>
                <w:szCs w:val="22"/>
              </w:rPr>
              <w:t>UPS不间断电源</w:t>
            </w:r>
          </w:p>
        </w:tc>
        <w:tc>
          <w:tcPr>
            <w:tcW w:w="608" w:type="dxa"/>
          </w:tcPr>
          <w:p w14:paraId="6B3EDBA7">
            <w:pPr>
              <w:spacing w:before="49" w:line="252" w:lineRule="auto"/>
              <w:ind w:left="133" w:hanging="69"/>
              <w:jc w:val="both"/>
              <w:rPr>
                <w:rFonts w:ascii="宋体" w:hAnsi="宋体" w:eastAsia="宋体" w:cs="宋体"/>
                <w:spacing w:val="-1"/>
                <w:lang w:eastAsia="zh-CN"/>
              </w:rPr>
            </w:pPr>
          </w:p>
        </w:tc>
        <w:tc>
          <w:tcPr>
            <w:tcW w:w="1566" w:type="dxa"/>
          </w:tcPr>
          <w:p w14:paraId="5A2B0579">
            <w:pPr>
              <w:spacing w:before="49" w:line="252" w:lineRule="auto"/>
              <w:ind w:left="133" w:hanging="69"/>
              <w:jc w:val="both"/>
              <w:rPr>
                <w:rFonts w:ascii="宋体" w:hAnsi="宋体" w:eastAsia="宋体" w:cs="宋体"/>
                <w:spacing w:val="-1"/>
                <w:lang w:eastAsia="zh-CN"/>
              </w:rPr>
            </w:pPr>
          </w:p>
        </w:tc>
        <w:tc>
          <w:tcPr>
            <w:tcW w:w="8457" w:type="dxa"/>
          </w:tcPr>
          <w:p w14:paraId="0EBFC07C">
            <w:pPr>
              <w:pStyle w:val="89"/>
              <w:numPr>
                <w:ilvl w:val="0"/>
                <w:numId w:val="17"/>
              </w:numPr>
              <w:ind w:left="420" w:hanging="420" w:firstLineChars="0"/>
              <w:rPr>
                <w:rFonts w:ascii="宋体" w:hAnsi="宋体" w:eastAsia="宋体" w:cs="宋体"/>
              </w:rPr>
            </w:pPr>
            <w:r>
              <w:rPr>
                <w:rFonts w:hint="eastAsia" w:ascii="宋体" w:hAnsi="宋体" w:eastAsia="宋体" w:cs="宋体"/>
              </w:rPr>
              <w:t>UPS运行环境要求：</w:t>
            </w:r>
          </w:p>
          <w:p w14:paraId="1A9F2710">
            <w:pPr>
              <w:pStyle w:val="89"/>
              <w:numPr>
                <w:ilvl w:val="0"/>
                <w:numId w:val="18"/>
              </w:numPr>
              <w:ind w:firstLineChars="0"/>
              <w:rPr>
                <w:rFonts w:ascii="宋体" w:hAnsi="宋体" w:eastAsia="宋体" w:cs="宋体"/>
                <w:lang w:eastAsia="zh-CN"/>
              </w:rPr>
            </w:pPr>
            <w:r>
              <w:rPr>
                <w:rFonts w:hint="eastAsia" w:ascii="宋体" w:hAnsi="宋体" w:eastAsia="宋体" w:cs="宋体"/>
                <w:lang w:eastAsia="zh-CN"/>
              </w:rPr>
              <w:t>▲工作环境：0~+50℃，0~40不降额，</w:t>
            </w:r>
          </w:p>
          <w:p w14:paraId="36446F4F">
            <w:pPr>
              <w:pStyle w:val="89"/>
              <w:numPr>
                <w:ilvl w:val="0"/>
                <w:numId w:val="18"/>
              </w:numPr>
              <w:ind w:firstLineChars="0"/>
              <w:rPr>
                <w:rFonts w:ascii="宋体" w:hAnsi="宋体" w:eastAsia="宋体" w:cs="宋体"/>
                <w:lang w:eastAsia="zh-CN"/>
              </w:rPr>
            </w:pPr>
            <w:r>
              <w:rPr>
                <w:rFonts w:hint="eastAsia" w:ascii="宋体" w:hAnsi="宋体" w:eastAsia="宋体" w:cs="宋体"/>
                <w:lang w:eastAsia="zh-CN"/>
              </w:rPr>
              <w:t>工作湿度：≤95%（25℃,无凝露）</w:t>
            </w:r>
          </w:p>
          <w:p w14:paraId="3C324660">
            <w:pPr>
              <w:pStyle w:val="89"/>
              <w:numPr>
                <w:ilvl w:val="0"/>
                <w:numId w:val="18"/>
              </w:numPr>
              <w:ind w:firstLineChars="0"/>
              <w:rPr>
                <w:rFonts w:ascii="宋体" w:hAnsi="宋体" w:eastAsia="宋体" w:cs="宋体"/>
              </w:rPr>
            </w:pPr>
            <w:r>
              <w:rPr>
                <w:rFonts w:hint="eastAsia" w:ascii="宋体" w:hAnsi="宋体" w:eastAsia="宋体" w:cs="宋体"/>
              </w:rPr>
              <w:t>海拔高度：0~1000米无降额</w:t>
            </w:r>
          </w:p>
          <w:p w14:paraId="0E7CB673">
            <w:pPr>
              <w:pStyle w:val="89"/>
              <w:numPr>
                <w:ilvl w:val="0"/>
                <w:numId w:val="18"/>
              </w:numPr>
              <w:ind w:firstLineChars="0"/>
              <w:rPr>
                <w:rFonts w:ascii="宋体" w:hAnsi="宋体" w:eastAsia="宋体" w:cs="宋体"/>
              </w:rPr>
            </w:pPr>
            <w:r>
              <w:rPr>
                <w:rFonts w:hint="eastAsia" w:ascii="宋体" w:hAnsi="宋体" w:eastAsia="宋体" w:cs="宋体"/>
              </w:rPr>
              <w:t>噪音指标：≤</w:t>
            </w:r>
            <w:r>
              <w:rPr>
                <w:rFonts w:hint="eastAsia" w:ascii="宋体" w:hAnsi="宋体" w:eastAsia="宋体" w:cs="宋体"/>
                <w:color w:val="auto"/>
              </w:rPr>
              <w:t>65d</w:t>
            </w:r>
            <w:r>
              <w:rPr>
                <w:rFonts w:hint="eastAsia" w:ascii="宋体" w:hAnsi="宋体" w:eastAsia="宋体" w:cs="宋体"/>
              </w:rPr>
              <w:t>B @1米距离</w:t>
            </w:r>
          </w:p>
          <w:p w14:paraId="521153F4">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UPS设备须为在线双变换高频塔式机，全数字化DSP控制技术，单机容量≥20kVA。</w:t>
            </w:r>
          </w:p>
          <w:p w14:paraId="74C2CEFA">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★UPS的输出功率因数为1.0，UPS输出电压稳定精度≤±0.2%，须提供厂家盖章的泰尔测试报告复印件</w:t>
            </w:r>
          </w:p>
          <w:p w14:paraId="492C3746">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★UPS输出波形失真：100%线性负载&lt; 1%，非线性负载&lt; 2%，须提供厂家盖章的泰尔测试报告复印件</w:t>
            </w:r>
          </w:p>
          <w:p w14:paraId="14AAD0F5">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★UPS输出三相电压不平衡度：≤0.5%</w:t>
            </w:r>
          </w:p>
          <w:p w14:paraId="4EC7E535">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★UPS输出电压相位偏差：≤0.2°（正常和电池逆变模式）提供泰尔检测报告证明数据</w:t>
            </w:r>
          </w:p>
          <w:p w14:paraId="54061E22">
            <w:pPr>
              <w:pStyle w:val="89"/>
              <w:numPr>
                <w:ilvl w:val="0"/>
                <w:numId w:val="17"/>
              </w:numPr>
              <w:ind w:left="420" w:hanging="420" w:firstLineChars="0"/>
              <w:rPr>
                <w:rFonts w:ascii="宋体" w:hAnsi="宋体" w:eastAsia="宋体" w:cs="宋体"/>
                <w:color w:val="auto"/>
                <w:lang w:eastAsia="zh-CN"/>
              </w:rPr>
            </w:pPr>
            <w:r>
              <w:rPr>
                <w:rFonts w:hint="eastAsia" w:ascii="宋体" w:hAnsi="宋体" w:eastAsia="宋体" w:cs="宋体"/>
                <w:lang w:eastAsia="zh-CN"/>
              </w:rPr>
              <w:t>★UPS逆变双转换效率：100%负载≥95%；5</w:t>
            </w:r>
            <w:r>
              <w:rPr>
                <w:rFonts w:hint="eastAsia" w:ascii="宋体" w:hAnsi="宋体" w:eastAsia="宋体" w:cs="宋体"/>
                <w:color w:val="auto"/>
                <w:lang w:eastAsia="zh-CN"/>
              </w:rPr>
              <w:t>0%负载≥96%</w:t>
            </w:r>
          </w:p>
          <w:p w14:paraId="28D92FE8">
            <w:pPr>
              <w:pStyle w:val="89"/>
              <w:numPr>
                <w:ilvl w:val="0"/>
                <w:numId w:val="17"/>
              </w:numPr>
              <w:ind w:left="420" w:hanging="420" w:firstLineChars="0"/>
              <w:rPr>
                <w:rFonts w:ascii="宋体" w:hAnsi="宋体" w:eastAsia="宋体" w:cs="宋体"/>
              </w:rPr>
            </w:pPr>
            <w:r>
              <w:rPr>
                <w:rFonts w:hint="eastAsia" w:ascii="宋体" w:hAnsi="宋体" w:eastAsia="宋体" w:cs="宋体"/>
                <w:color w:val="auto"/>
                <w:lang w:eastAsia="zh-CN"/>
              </w:rPr>
              <w:t>★要求采用全彩色5英寸LCD触摸屏+LED指示灯双显示操作面</w:t>
            </w:r>
            <w:r>
              <w:rPr>
                <w:rFonts w:hint="eastAsia" w:ascii="宋体" w:hAnsi="宋体" w:eastAsia="宋体" w:cs="宋体"/>
                <w:lang w:eastAsia="zh-CN"/>
              </w:rPr>
              <w:t>板，中文操作界面，同时提供图形显示和数字显示，适合使用者查看状态、数据和进行操作控制。</w:t>
            </w:r>
            <w:r>
              <w:rPr>
                <w:rFonts w:hint="eastAsia" w:ascii="宋体" w:hAnsi="宋体" w:eastAsia="宋体" w:cs="宋体"/>
              </w:rPr>
              <w:t>提供厂商盖章证明文件。</w:t>
            </w:r>
          </w:p>
          <w:p w14:paraId="409FEB3E">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★UPS设备采用类模块化设计结构，模块在线维护时间小于30分钟。要求提供实物结构图片说明及厂商盖章的证明文件。</w:t>
            </w:r>
          </w:p>
          <w:p w14:paraId="6D72DC18">
            <w:pPr>
              <w:pStyle w:val="89"/>
              <w:numPr>
                <w:ilvl w:val="0"/>
                <w:numId w:val="17"/>
              </w:numPr>
              <w:ind w:left="420" w:hanging="420" w:firstLineChars="0"/>
              <w:rPr>
                <w:rFonts w:ascii="宋体" w:hAnsi="宋体" w:eastAsia="宋体" w:cs="宋体"/>
              </w:rPr>
            </w:pPr>
            <w:r>
              <w:rPr>
                <w:rFonts w:hint="eastAsia" w:ascii="宋体" w:hAnsi="宋体" w:eastAsia="宋体" w:cs="宋体"/>
                <w:lang w:eastAsia="zh-CN"/>
              </w:rPr>
              <w:t>★全电路板三防喷涂（控制板、接口板、电源板、功率板），要有PCBA喷涂三防漆工艺，提升UPS设备的防潮、防尘、防漏电、防腐蚀、防锈、防盐雾、防震、防老化、绝缘、耐电晕等性能。</w:t>
            </w:r>
            <w:r>
              <w:rPr>
                <w:rFonts w:hint="eastAsia" w:ascii="宋体" w:hAnsi="宋体" w:eastAsia="宋体" w:cs="宋体"/>
              </w:rPr>
              <w:t>需提供厂商盖章的描述、照片及证明文件。</w:t>
            </w:r>
          </w:p>
          <w:p w14:paraId="21E932D6">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▲UPS标配输入开关、输出开关、旁路输入开关和维护旁路开关方便操作。要求提供产品结构图片说明。</w:t>
            </w:r>
          </w:p>
          <w:p w14:paraId="61FE0550">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▲UPS标配防火级防尘网，且具备拆卸和清洗功能设计，防尘网符合防火标准UL94及滤尘网标准UL 900。要求提供厂商盖章的证明文件。</w:t>
            </w:r>
          </w:p>
          <w:p w14:paraId="2CA7E568">
            <w:pPr>
              <w:pStyle w:val="89"/>
              <w:numPr>
                <w:ilvl w:val="0"/>
                <w:numId w:val="17"/>
              </w:numPr>
              <w:ind w:left="420" w:hanging="420" w:firstLineChars="0"/>
              <w:rPr>
                <w:rFonts w:ascii="宋体" w:hAnsi="宋体" w:eastAsia="宋体" w:cs="宋体"/>
              </w:rPr>
            </w:pPr>
            <w:r>
              <w:rPr>
                <w:rFonts w:hint="eastAsia" w:ascii="宋体" w:hAnsi="宋体" w:eastAsia="宋体" w:cs="宋体"/>
                <w:lang w:eastAsia="zh-CN"/>
              </w:rPr>
              <w:t>★标配N+X并联冗余功能，可 支持不低于4台并机运行。并机系统具备根据负载容量大小自动冗余的性能。并机系统中需支持最少4台并机共用电池组配置。</w:t>
            </w:r>
            <w:r>
              <w:rPr>
                <w:rFonts w:hint="eastAsia" w:ascii="宋体" w:hAnsi="宋体" w:eastAsia="宋体" w:cs="宋体"/>
              </w:rPr>
              <w:t>要求提供厂商盖章的证明文件。</w:t>
            </w:r>
          </w:p>
          <w:p w14:paraId="1261BA81">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★需采用可靠的并机技术，在并机线通讯异常时需要具有系统保护措施（无单点故障），保障并机系统能正常运行。要求提供并机线通讯异常时的解决方案的厂商盖章证明文件。</w:t>
            </w:r>
          </w:p>
          <w:p w14:paraId="054A39C1">
            <w:pPr>
              <w:pStyle w:val="89"/>
              <w:numPr>
                <w:ilvl w:val="0"/>
                <w:numId w:val="17"/>
              </w:numPr>
              <w:ind w:left="420" w:hanging="420" w:firstLineChars="0"/>
              <w:rPr>
                <w:rFonts w:ascii="宋体" w:hAnsi="宋体" w:eastAsia="宋体" w:cs="宋体"/>
              </w:rPr>
            </w:pPr>
            <w:r>
              <w:rPr>
                <w:rFonts w:hint="eastAsia" w:ascii="宋体" w:hAnsi="宋体" w:eastAsia="宋体" w:cs="宋体"/>
                <w:lang w:eastAsia="zh-CN"/>
              </w:rPr>
              <w:t>★UPS具备直流电压调节功能：可对UPS电池直流电压在不低于320~605Vdc范围内可调，蓄电池单组串联数量可调范围不低于32～44节。便于未来遭遇电池故障需要维护、更换时，可灵活调节电池组数的需要。</w:t>
            </w:r>
            <w:r>
              <w:rPr>
                <w:rFonts w:hint="eastAsia" w:ascii="宋体" w:hAnsi="宋体" w:eastAsia="宋体" w:cs="宋体"/>
              </w:rPr>
              <w:t>提供厂家盖章的证明文件。</w:t>
            </w:r>
          </w:p>
          <w:p w14:paraId="430D2F37">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▲UPS主机对蓄电池组充电电流不低于20kVA: 25A，可根据现场电池容量设置匹配充电电流。需提供厂商盖章的描述及证明文件。</w:t>
            </w:r>
          </w:p>
          <w:p w14:paraId="2E20538E">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应具有定期对蓄电池组进行自动浮充、均充和休眠三段式循环充电相互转换。具备充电休息模式的智能充电功能，以实现延长电池寿命的特性。不允许蓄电池组长期处于浮充状态。要求提供详细的充电模式的描述及充电原理图的厂商盖章证明文件。</w:t>
            </w:r>
          </w:p>
          <w:p w14:paraId="1BAA0C22">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▲UPS必须兼容常见蓄电池类型，包括但不仅限于：VRLA铅酸蓄电池、AGM、胶体电池、锂电池、镍镉电池。要求提供厂商盖章的证明文件。</w:t>
            </w:r>
          </w:p>
          <w:p w14:paraId="4E12AEFD">
            <w:pPr>
              <w:pStyle w:val="89"/>
              <w:numPr>
                <w:ilvl w:val="0"/>
                <w:numId w:val="17"/>
              </w:numPr>
              <w:ind w:left="420" w:hanging="420" w:firstLineChars="0"/>
              <w:rPr>
                <w:rFonts w:ascii="宋体" w:hAnsi="宋体" w:eastAsia="宋体" w:cs="宋体"/>
              </w:rPr>
            </w:pPr>
            <w:r>
              <w:rPr>
                <w:rFonts w:hint="eastAsia" w:ascii="宋体" w:hAnsi="宋体" w:eastAsia="宋体" w:cs="宋体"/>
                <w:lang w:eastAsia="zh-CN"/>
              </w:rPr>
              <w:t>★ UPS操作显示屏具备主机运行状态红、黄、绿三色指示灯、UPS装置工作状态图、电池状态检测、负载状态检测功能；不低于1000条日志信息记录，方便对UPS和电池组进行维护。</w:t>
            </w:r>
            <w:r>
              <w:rPr>
                <w:rFonts w:hint="eastAsia" w:ascii="宋体" w:hAnsi="宋体" w:eastAsia="宋体" w:cs="宋体"/>
              </w:rPr>
              <w:t>提供UPS主机显示屏截图证明文件。</w:t>
            </w:r>
          </w:p>
          <w:p w14:paraId="1452EBEA">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▲UPS必须具备内部电容健康监测及预警功能。实时监测所有输入、输出滤波电容的温度，并在电容等关键部件失效之前提供预警信息。需提供厂商盖章的描述、照片及证明文件。</w:t>
            </w:r>
          </w:p>
          <w:p w14:paraId="0098F9DE">
            <w:pPr>
              <w:pStyle w:val="89"/>
              <w:numPr>
                <w:ilvl w:val="0"/>
                <w:numId w:val="17"/>
              </w:numPr>
              <w:ind w:left="420" w:hanging="420" w:firstLineChars="0"/>
              <w:rPr>
                <w:rFonts w:ascii="宋体" w:hAnsi="宋体" w:eastAsia="宋体" w:cs="宋体"/>
              </w:rPr>
            </w:pPr>
            <w:r>
              <w:rPr>
                <w:rFonts w:hint="eastAsia" w:ascii="宋体" w:hAnsi="宋体" w:eastAsia="宋体" w:cs="宋体"/>
                <w:lang w:eastAsia="zh-CN"/>
              </w:rPr>
              <w:t>★UPS主机具备UPS具有关键板件，器件生命周期管理及报警功能，能够对UPS内部的消耗类易损部件(包括UPS的风扇、电容器、电池等重要部件)进行保养周期设置管理，到期提醒用户进行预防性检查维护。</w:t>
            </w:r>
            <w:r>
              <w:rPr>
                <w:rFonts w:hint="eastAsia" w:ascii="宋体" w:hAnsi="宋体" w:eastAsia="宋体" w:cs="宋体"/>
              </w:rPr>
              <w:t>要求提供厂商盖章的设置界面证明文件。</w:t>
            </w:r>
          </w:p>
          <w:p w14:paraId="192D22A8">
            <w:pPr>
              <w:pStyle w:val="89"/>
              <w:numPr>
                <w:ilvl w:val="0"/>
                <w:numId w:val="17"/>
              </w:numPr>
              <w:ind w:left="420" w:hanging="420" w:firstLineChars="0"/>
              <w:rPr>
                <w:rFonts w:ascii="宋体" w:hAnsi="宋体" w:eastAsia="宋体" w:cs="宋体"/>
              </w:rPr>
            </w:pPr>
            <w:r>
              <w:rPr>
                <w:rFonts w:hint="eastAsia" w:ascii="宋体" w:hAnsi="宋体" w:eastAsia="宋体" w:cs="宋体"/>
                <w:lang w:eastAsia="zh-CN"/>
              </w:rPr>
              <w:t xml:space="preserve">▲UPS智能监控网卡SNMP支持千兆以太网通讯(1000Base-T)，及IPv6。并具备USB调试接口，以备在线调试SNMP设备，适应各类网络环境。同时具备复位按键，可在线重启智能监控网卡，无须重新插拔卡片启动。 </w:t>
            </w:r>
            <w:r>
              <w:rPr>
                <w:rFonts w:hint="eastAsia" w:ascii="宋体" w:hAnsi="宋体" w:eastAsia="宋体" w:cs="宋体"/>
              </w:rPr>
              <w:t>要求提供厂商盖章后的描述及证明文件。</w:t>
            </w:r>
          </w:p>
          <w:p w14:paraId="64FD1DEB">
            <w:pPr>
              <w:pStyle w:val="89"/>
              <w:numPr>
                <w:ilvl w:val="0"/>
                <w:numId w:val="17"/>
              </w:numPr>
              <w:ind w:left="420" w:hanging="420" w:firstLineChars="0"/>
              <w:rPr>
                <w:rFonts w:ascii="宋体" w:hAnsi="宋体" w:eastAsia="宋体" w:cs="宋体"/>
              </w:rPr>
            </w:pPr>
            <w:r>
              <w:rPr>
                <w:rFonts w:hint="eastAsia" w:ascii="宋体" w:hAnsi="宋体" w:eastAsia="宋体" w:cs="宋体"/>
                <w:lang w:eastAsia="zh-CN"/>
              </w:rPr>
              <w:t>★UPS具备支持市电断电后自动关闭服务器的保护功能 ，彻底避免了市电中断后，UPS转蓄电池组供电后，电池放光电后UPS自动关机导致的后台用电设备面临非法关机的风险。</w:t>
            </w:r>
            <w:r>
              <w:rPr>
                <w:rFonts w:hint="eastAsia" w:ascii="宋体" w:hAnsi="宋体" w:eastAsia="宋体" w:cs="宋体"/>
              </w:rPr>
              <w:t>要求提供厂商盖章后的描述及证明文件。</w:t>
            </w:r>
          </w:p>
          <w:p w14:paraId="6512B2D0">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★投标UPS产品应为原厂研发、设计、生产，禁止采用OEM/ODM贴牌产品。</w:t>
            </w:r>
          </w:p>
          <w:p w14:paraId="4BC66933">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★投标产品生产制造商应通过ISO9001质量管理体系认证、ISO14001环境管理体系认证、ISO45001职业健康安全管理体系认证，并提供有效期内的认证证书。</w:t>
            </w:r>
          </w:p>
          <w:p w14:paraId="5D2858C4">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▲投标产品生产制造商应通过ISO50001能效管理体系认证，并提供有效期内的认证证书。</w:t>
            </w:r>
          </w:p>
          <w:p w14:paraId="7E83B8F9">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▲投标产品生产制造商在《国家重点支持的高新技术领域》内，持续进行研究开发与技术成果转化，形成企业核心自主知识产权，获得高新技术企业证书，并提供相关证明文件。</w:t>
            </w:r>
          </w:p>
          <w:p w14:paraId="567F5C37">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▲产品品牌商标注册年限不低于25年，须提供商标注册证书。</w:t>
            </w:r>
          </w:p>
          <w:p w14:paraId="0F34E601">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▲投标产品生产制造商应具备较强的研发能力，制造商所属研发部门/中心应具备由中国质量认证监督管理中心出具的鉴定认证资质证书，并提供相关证明文件。</w:t>
            </w:r>
          </w:p>
          <w:p w14:paraId="42C60BB3">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▲投标产品生产制造商应具备较强的研发能力，制造商所属相关实验室应具备中国合格评定国家认可委员会（CNAS）出具的实验室认可证书，并提供相关证明文件。</w:t>
            </w:r>
          </w:p>
          <w:p w14:paraId="1F9AE57C">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★投标UPS产品应具备泰尔认证，须提供有效期内的泰尔认证证书及检测报告。</w:t>
            </w:r>
          </w:p>
          <w:p w14:paraId="2AE32100">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★投标UPS产品应具备CQC节能认证，须提供有效期内的节能认证证书及检测报告。</w:t>
            </w:r>
          </w:p>
          <w:p w14:paraId="552F6AF8">
            <w:pPr>
              <w:pStyle w:val="89"/>
              <w:numPr>
                <w:ilvl w:val="0"/>
                <w:numId w:val="17"/>
              </w:numPr>
              <w:ind w:left="420" w:hanging="420" w:firstLineChars="0"/>
              <w:rPr>
                <w:rFonts w:ascii="宋体" w:hAnsi="宋体" w:eastAsia="宋体" w:cs="宋体"/>
                <w:color w:val="auto"/>
                <w:lang w:eastAsia="zh-CN"/>
              </w:rPr>
            </w:pPr>
            <w:r>
              <w:rPr>
                <w:rFonts w:hint="eastAsia" w:ascii="宋体" w:hAnsi="宋体" w:eastAsia="宋体" w:cs="宋体"/>
                <w:lang w:eastAsia="zh-CN"/>
              </w:rPr>
              <w:t>▲投标UPS产品应满</w:t>
            </w:r>
            <w:r>
              <w:rPr>
                <w:rFonts w:hint="eastAsia" w:ascii="宋体" w:hAnsi="宋体" w:eastAsia="宋体" w:cs="宋体"/>
                <w:color w:val="auto"/>
                <w:lang w:eastAsia="zh-CN"/>
              </w:rPr>
              <w:t>足电信级抗震要求，通过8、9级烈度抗震性能检测，须提供信息产业通用设备抗震性能质量监督检验中心出具的同系列产品合格证书及检测报告。</w:t>
            </w:r>
          </w:p>
          <w:p w14:paraId="0465E8A7">
            <w:pPr>
              <w:pStyle w:val="89"/>
              <w:numPr>
                <w:ilvl w:val="0"/>
                <w:numId w:val="17"/>
              </w:numPr>
              <w:ind w:left="420" w:hanging="420" w:firstLineChars="0"/>
              <w:rPr>
                <w:rFonts w:ascii="宋体" w:hAnsi="宋体" w:eastAsia="宋体" w:cs="宋体"/>
                <w:color w:val="auto"/>
                <w:lang w:eastAsia="zh-CN"/>
              </w:rPr>
            </w:pPr>
            <w:r>
              <w:rPr>
                <w:rFonts w:hint="eastAsia" w:ascii="宋体" w:hAnsi="宋体" w:eastAsia="宋体" w:cs="宋体"/>
                <w:color w:val="auto"/>
                <w:lang w:eastAsia="zh-CN"/>
              </w:rPr>
              <w:t>投标单位须提供设备原厂商针对本次项目出具的包含3年上门质保的《UPS原厂商服务及质保承诺函》（需加盖厂商章）。</w:t>
            </w:r>
          </w:p>
          <w:p w14:paraId="76819113">
            <w:pPr>
              <w:pStyle w:val="89"/>
              <w:numPr>
                <w:ilvl w:val="0"/>
                <w:numId w:val="17"/>
              </w:numPr>
              <w:ind w:left="420" w:hanging="420" w:firstLineChars="0"/>
              <w:rPr>
                <w:rFonts w:ascii="宋体" w:hAnsi="宋体" w:eastAsia="宋体" w:cs="宋体"/>
                <w:spacing w:val="-1"/>
                <w:lang w:eastAsia="zh-CN"/>
              </w:rPr>
            </w:pPr>
            <w:r>
              <w:rPr>
                <w:rFonts w:hint="eastAsia" w:ascii="宋体" w:hAnsi="宋体" w:eastAsia="宋体" w:cs="宋体"/>
                <w:color w:val="auto"/>
                <w:lang w:eastAsia="zh-CN"/>
              </w:rPr>
              <w:t>▲投标UPS产品生产厂商应具备国家级企业</w:t>
            </w:r>
            <w:r>
              <w:rPr>
                <w:rFonts w:hint="eastAsia" w:ascii="宋体" w:hAnsi="宋体" w:eastAsia="宋体" w:cs="宋体"/>
                <w:lang w:eastAsia="zh-CN"/>
              </w:rPr>
              <w:t>技术服务认证中心，并提供由权威第三方机构出具的认证证书。</w:t>
            </w:r>
          </w:p>
          <w:p w14:paraId="6AEBBA91">
            <w:pPr>
              <w:pStyle w:val="89"/>
              <w:numPr>
                <w:ilvl w:val="0"/>
                <w:numId w:val="17"/>
              </w:numPr>
              <w:ind w:left="420" w:hanging="420" w:firstLineChars="0"/>
              <w:rPr>
                <w:rFonts w:ascii="宋体" w:hAnsi="宋体" w:eastAsia="宋体" w:cs="宋体"/>
                <w:spacing w:val="-1"/>
                <w:lang w:eastAsia="zh-CN"/>
              </w:rPr>
            </w:pPr>
            <w:r>
              <w:rPr>
                <w:rFonts w:hint="eastAsia" w:ascii="宋体" w:hAnsi="宋体" w:eastAsia="宋体" w:cs="宋体"/>
                <w:lang w:eastAsia="zh-CN"/>
              </w:rPr>
              <w:t>▲投标产品生产厂商应具备提供五星级售后服务的能力，并提供由权威第三方认证机构出具的售后服务认证证书。</w:t>
            </w:r>
          </w:p>
        </w:tc>
      </w:tr>
      <w:tr w14:paraId="243A2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0DE3B2A3">
            <w:pPr>
              <w:spacing w:before="231" w:line="241" w:lineRule="auto"/>
              <w:ind w:left="275"/>
              <w:rPr>
                <w:rFonts w:ascii="宋体" w:hAnsi="宋体" w:eastAsia="宋体" w:cs="宋体"/>
                <w:lang w:eastAsia="zh-CN"/>
              </w:rPr>
            </w:pPr>
            <w:r>
              <w:rPr>
                <w:rFonts w:hint="eastAsia" w:ascii="宋体" w:hAnsi="宋体" w:eastAsia="宋体" w:cs="宋体"/>
                <w:lang w:eastAsia="zh-CN"/>
              </w:rPr>
              <w:t>15</w:t>
            </w:r>
          </w:p>
        </w:tc>
        <w:tc>
          <w:tcPr>
            <w:tcW w:w="1219" w:type="dxa"/>
          </w:tcPr>
          <w:p w14:paraId="6906B202">
            <w:pPr>
              <w:spacing w:before="49" w:line="252" w:lineRule="auto"/>
              <w:ind w:left="133" w:hanging="69"/>
              <w:jc w:val="both"/>
              <w:rPr>
                <w:rFonts w:ascii="宋体" w:hAnsi="宋体" w:eastAsia="宋体" w:cs="宋体"/>
                <w:spacing w:val="-1"/>
                <w:lang w:eastAsia="zh-CN"/>
              </w:rPr>
            </w:pPr>
          </w:p>
        </w:tc>
        <w:tc>
          <w:tcPr>
            <w:tcW w:w="1300" w:type="dxa"/>
          </w:tcPr>
          <w:p w14:paraId="03B29AFE">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洁净灯具</w:t>
            </w:r>
          </w:p>
        </w:tc>
        <w:tc>
          <w:tcPr>
            <w:tcW w:w="608" w:type="dxa"/>
          </w:tcPr>
          <w:p w14:paraId="5C3310F9">
            <w:pPr>
              <w:spacing w:before="49" w:line="252" w:lineRule="auto"/>
              <w:ind w:left="133" w:hanging="69"/>
              <w:jc w:val="both"/>
              <w:rPr>
                <w:rFonts w:ascii="宋体" w:hAnsi="宋体" w:eastAsia="宋体" w:cs="宋体"/>
                <w:spacing w:val="-1"/>
                <w:lang w:eastAsia="zh-CN"/>
              </w:rPr>
            </w:pPr>
          </w:p>
        </w:tc>
        <w:tc>
          <w:tcPr>
            <w:tcW w:w="1566" w:type="dxa"/>
          </w:tcPr>
          <w:p w14:paraId="225AA5F2">
            <w:pPr>
              <w:spacing w:before="49" w:line="252" w:lineRule="auto"/>
              <w:ind w:left="133" w:hanging="69"/>
              <w:jc w:val="both"/>
              <w:rPr>
                <w:rFonts w:ascii="宋体" w:hAnsi="宋体" w:eastAsia="宋体" w:cs="宋体"/>
                <w:spacing w:val="-1"/>
                <w:lang w:eastAsia="zh-CN"/>
              </w:rPr>
            </w:pPr>
          </w:p>
        </w:tc>
        <w:tc>
          <w:tcPr>
            <w:tcW w:w="8457" w:type="dxa"/>
          </w:tcPr>
          <w:p w14:paraId="40D37D46">
            <w:pPr>
              <w:numPr>
                <w:ilvl w:val="0"/>
                <w:numId w:val="19"/>
              </w:numPr>
              <w:spacing w:before="49" w:line="252" w:lineRule="auto"/>
              <w:rPr>
                <w:rFonts w:ascii="宋体" w:hAnsi="宋体" w:eastAsia="宋体" w:cs="宋体"/>
                <w:spacing w:val="-1"/>
                <w:lang w:eastAsia="zh-CN"/>
              </w:rPr>
            </w:pPr>
            <w:r>
              <w:rPr>
                <w:rFonts w:hint="eastAsia" w:ascii="宋体" w:hAnsi="宋体" w:eastAsia="宋体" w:cs="宋体"/>
                <w:spacing w:val="-1"/>
                <w:lang w:eastAsia="zh-CN"/>
              </w:rPr>
              <w:t>铝合金边框，采用无缝焊接工艺，表面静电喷塑高光加厚处理，耐腐蚀抗氧化。</w:t>
            </w:r>
          </w:p>
          <w:p w14:paraId="4C3B7666">
            <w:pPr>
              <w:numPr>
                <w:ilvl w:val="0"/>
                <w:numId w:val="19"/>
              </w:numPr>
              <w:spacing w:before="49" w:line="252" w:lineRule="auto"/>
              <w:rPr>
                <w:rFonts w:ascii="宋体" w:hAnsi="宋体" w:eastAsia="宋体" w:cs="宋体"/>
                <w:spacing w:val="-1"/>
                <w:lang w:eastAsia="zh-CN"/>
              </w:rPr>
            </w:pPr>
            <w:r>
              <w:rPr>
                <w:rFonts w:hint="eastAsia" w:ascii="宋体" w:hAnsi="宋体" w:eastAsia="宋体" w:cs="宋体"/>
                <w:spacing w:val="-1"/>
                <w:lang w:eastAsia="zh-CN"/>
              </w:rPr>
              <w:t>扩散板发光面光线柔和，防眩光，采用大品牌高亮度、高显指LED灯珠。</w:t>
            </w:r>
          </w:p>
          <w:p w14:paraId="59DC6B06">
            <w:pPr>
              <w:numPr>
                <w:ilvl w:val="0"/>
                <w:numId w:val="19"/>
              </w:numPr>
              <w:spacing w:before="49" w:line="252" w:lineRule="auto"/>
              <w:rPr>
                <w:rFonts w:ascii="宋体" w:hAnsi="宋体" w:eastAsia="宋体" w:cs="宋体"/>
                <w:spacing w:val="-1"/>
                <w:lang w:eastAsia="zh-CN"/>
              </w:rPr>
            </w:pPr>
            <w:r>
              <w:rPr>
                <w:rFonts w:hint="eastAsia" w:ascii="宋体" w:hAnsi="宋体" w:eastAsia="宋体" w:cs="宋体"/>
                <w:spacing w:val="-1"/>
                <w:lang w:eastAsia="zh-CN"/>
              </w:rPr>
              <w:t>采用进口亚克力导光板，配置无频闪防水驱动/高P无频闪低谐波驱动。</w:t>
            </w:r>
          </w:p>
          <w:p w14:paraId="3B4D93D7">
            <w:pPr>
              <w:numPr>
                <w:ilvl w:val="0"/>
                <w:numId w:val="19"/>
              </w:numPr>
              <w:spacing w:before="49" w:line="252" w:lineRule="auto"/>
              <w:rPr>
                <w:rFonts w:ascii="宋体" w:hAnsi="宋体" w:eastAsia="宋体" w:cs="宋体"/>
                <w:spacing w:val="-1"/>
                <w:lang w:eastAsia="zh-CN"/>
              </w:rPr>
            </w:pPr>
            <w:r>
              <w:rPr>
                <w:rFonts w:hint="eastAsia" w:ascii="宋体" w:hAnsi="宋体" w:eastAsia="宋体" w:cs="宋体"/>
                <w:spacing w:val="-1"/>
                <w:lang w:eastAsia="zh-CN"/>
              </w:rPr>
              <w:t>安装方式：磁铁吸顶安装。</w:t>
            </w:r>
          </w:p>
        </w:tc>
      </w:tr>
      <w:tr w14:paraId="27077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02AB5F42">
            <w:pPr>
              <w:spacing w:before="231" w:line="241" w:lineRule="auto"/>
              <w:ind w:left="275"/>
              <w:rPr>
                <w:rFonts w:ascii="宋体" w:hAnsi="宋体" w:eastAsia="宋体" w:cs="宋体"/>
                <w:lang w:eastAsia="zh-CN"/>
              </w:rPr>
            </w:pPr>
            <w:r>
              <w:rPr>
                <w:rFonts w:hint="eastAsia" w:ascii="宋体" w:hAnsi="宋体" w:eastAsia="宋体" w:cs="宋体"/>
                <w:lang w:eastAsia="zh-CN"/>
              </w:rPr>
              <w:t>16</w:t>
            </w:r>
          </w:p>
        </w:tc>
        <w:tc>
          <w:tcPr>
            <w:tcW w:w="1219" w:type="dxa"/>
          </w:tcPr>
          <w:p w14:paraId="4083DC9F">
            <w:pPr>
              <w:spacing w:before="49" w:line="252" w:lineRule="auto"/>
              <w:ind w:left="133" w:hanging="69"/>
              <w:jc w:val="both"/>
              <w:rPr>
                <w:rFonts w:ascii="宋体" w:hAnsi="宋体" w:eastAsia="宋体" w:cs="宋体"/>
                <w:spacing w:val="-1"/>
                <w:lang w:eastAsia="zh-CN"/>
              </w:rPr>
            </w:pPr>
          </w:p>
        </w:tc>
        <w:tc>
          <w:tcPr>
            <w:tcW w:w="1300" w:type="dxa"/>
          </w:tcPr>
          <w:p w14:paraId="409E3C27">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空调自动化控制</w:t>
            </w:r>
          </w:p>
        </w:tc>
        <w:tc>
          <w:tcPr>
            <w:tcW w:w="608" w:type="dxa"/>
          </w:tcPr>
          <w:p w14:paraId="14C21FC0">
            <w:pPr>
              <w:spacing w:before="49" w:line="252" w:lineRule="auto"/>
              <w:ind w:left="133" w:hanging="69"/>
              <w:jc w:val="both"/>
              <w:rPr>
                <w:rFonts w:ascii="宋体" w:hAnsi="宋体" w:eastAsia="宋体" w:cs="宋体"/>
                <w:spacing w:val="-1"/>
                <w:lang w:eastAsia="zh-CN"/>
              </w:rPr>
            </w:pPr>
          </w:p>
        </w:tc>
        <w:tc>
          <w:tcPr>
            <w:tcW w:w="1566" w:type="dxa"/>
          </w:tcPr>
          <w:p w14:paraId="12FCA850">
            <w:pPr>
              <w:spacing w:before="49" w:line="252" w:lineRule="auto"/>
              <w:ind w:left="133" w:hanging="69"/>
              <w:jc w:val="both"/>
              <w:rPr>
                <w:rFonts w:ascii="宋体" w:hAnsi="宋体" w:eastAsia="宋体" w:cs="宋体"/>
                <w:spacing w:val="-1"/>
                <w:lang w:eastAsia="zh-CN"/>
              </w:rPr>
            </w:pPr>
          </w:p>
        </w:tc>
        <w:tc>
          <w:tcPr>
            <w:tcW w:w="8457" w:type="dxa"/>
          </w:tcPr>
          <w:p w14:paraId="0537C5FF">
            <w:pPr>
              <w:numPr>
                <w:ilvl w:val="0"/>
                <w:numId w:val="2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配电箱、照明箱、控制箱长边小于 1000mm 的箱体采用厚度不小于 1.5mm 的冷轧镀锌钢板</w:t>
            </w:r>
          </w:p>
          <w:p w14:paraId="675C1577">
            <w:pPr>
              <w:numPr>
                <w:ilvl w:val="0"/>
                <w:numId w:val="2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长边≥1000mm 的箱体，采用厚度不小于 2mm 的冷轧镀锌钢板折剪焊接而成。</w:t>
            </w:r>
          </w:p>
        </w:tc>
      </w:tr>
      <w:tr w14:paraId="75D1B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shd w:val="clear" w:color="auto" w:fill="auto"/>
          </w:tcPr>
          <w:p w14:paraId="19BD119A">
            <w:pPr>
              <w:spacing w:before="231" w:line="241" w:lineRule="auto"/>
              <w:ind w:left="275"/>
              <w:rPr>
                <w:rFonts w:ascii="宋体" w:hAnsi="宋体" w:eastAsia="宋体" w:cs="宋体"/>
                <w:lang w:eastAsia="zh-CN"/>
              </w:rPr>
            </w:pPr>
            <w:r>
              <w:rPr>
                <w:rFonts w:hint="eastAsia" w:ascii="宋体" w:hAnsi="宋体" w:eastAsia="宋体" w:cs="宋体"/>
                <w:lang w:eastAsia="zh-CN"/>
              </w:rPr>
              <w:t>17</w:t>
            </w:r>
          </w:p>
        </w:tc>
        <w:tc>
          <w:tcPr>
            <w:tcW w:w="1219" w:type="dxa"/>
          </w:tcPr>
          <w:p w14:paraId="70820F60">
            <w:pPr>
              <w:spacing w:before="49" w:line="252" w:lineRule="auto"/>
              <w:ind w:left="133" w:hanging="69"/>
              <w:jc w:val="both"/>
              <w:rPr>
                <w:rFonts w:ascii="宋体" w:hAnsi="宋体" w:eastAsia="宋体" w:cs="宋体"/>
                <w:spacing w:val="-1"/>
                <w:lang w:eastAsia="zh-CN"/>
              </w:rPr>
            </w:pPr>
          </w:p>
        </w:tc>
        <w:tc>
          <w:tcPr>
            <w:tcW w:w="1300" w:type="dxa"/>
          </w:tcPr>
          <w:p w14:paraId="39299B2E">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保温材料</w:t>
            </w:r>
          </w:p>
        </w:tc>
        <w:tc>
          <w:tcPr>
            <w:tcW w:w="608" w:type="dxa"/>
          </w:tcPr>
          <w:p w14:paraId="7A873F30">
            <w:pPr>
              <w:spacing w:before="49" w:line="252" w:lineRule="auto"/>
              <w:ind w:left="133" w:hanging="69"/>
              <w:jc w:val="both"/>
              <w:rPr>
                <w:rFonts w:ascii="宋体" w:hAnsi="宋体" w:eastAsia="宋体" w:cs="宋体"/>
                <w:spacing w:val="-1"/>
                <w:lang w:eastAsia="zh-CN"/>
              </w:rPr>
            </w:pPr>
          </w:p>
        </w:tc>
        <w:tc>
          <w:tcPr>
            <w:tcW w:w="1566" w:type="dxa"/>
          </w:tcPr>
          <w:p w14:paraId="57BD6CEA">
            <w:pPr>
              <w:spacing w:before="49" w:line="252" w:lineRule="auto"/>
              <w:ind w:left="133" w:hanging="69"/>
              <w:jc w:val="both"/>
              <w:rPr>
                <w:rFonts w:ascii="宋体" w:hAnsi="宋体" w:eastAsia="宋体" w:cs="宋体"/>
                <w:spacing w:val="-1"/>
                <w:lang w:eastAsia="zh-CN"/>
              </w:rPr>
            </w:pPr>
          </w:p>
        </w:tc>
        <w:tc>
          <w:tcPr>
            <w:tcW w:w="8457" w:type="dxa"/>
          </w:tcPr>
          <w:p w14:paraId="5CB31B20">
            <w:pPr>
              <w:numPr>
                <w:ilvl w:val="0"/>
                <w:numId w:val="2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橡塑保温棉B1级</w:t>
            </w:r>
          </w:p>
          <w:p w14:paraId="2EF7401D">
            <w:pPr>
              <w:numPr>
                <w:ilvl w:val="0"/>
                <w:numId w:val="2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热阻:&gt;0.819m2*k/W</w:t>
            </w:r>
          </w:p>
          <w:p w14:paraId="780ED4D7">
            <w:pPr>
              <w:numPr>
                <w:ilvl w:val="0"/>
                <w:numId w:val="2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导热系数:0.034(W/Mk)(20℃)</w:t>
            </w:r>
          </w:p>
          <w:p w14:paraId="4BBC9E7E">
            <w:pPr>
              <w:numPr>
                <w:ilvl w:val="0"/>
                <w:numId w:val="2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湿阻因子:≥10000</w:t>
            </w:r>
          </w:p>
          <w:p w14:paraId="532AF917">
            <w:pPr>
              <w:numPr>
                <w:ilvl w:val="0"/>
                <w:numId w:val="2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烟密度:≤50</w:t>
            </w:r>
          </w:p>
          <w:p w14:paraId="3B927DAB">
            <w:pPr>
              <w:numPr>
                <w:ilvl w:val="0"/>
                <w:numId w:val="2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氧指数:&gt;39</w:t>
            </w:r>
          </w:p>
          <w:p w14:paraId="138DA962">
            <w:pPr>
              <w:numPr>
                <w:ilvl w:val="0"/>
                <w:numId w:val="2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有FM认证证需求</w:t>
            </w:r>
          </w:p>
          <w:p w14:paraId="5A9EDD24">
            <w:pPr>
              <w:numPr>
                <w:ilvl w:val="0"/>
                <w:numId w:val="2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颜色:黑色</w:t>
            </w:r>
          </w:p>
        </w:tc>
      </w:tr>
      <w:tr w14:paraId="194A5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shd w:val="clear" w:color="auto" w:fill="auto"/>
          </w:tcPr>
          <w:p w14:paraId="28F94170">
            <w:pPr>
              <w:spacing w:before="231" w:line="241" w:lineRule="auto"/>
              <w:ind w:left="275"/>
              <w:rPr>
                <w:rFonts w:ascii="宋体" w:hAnsi="宋体" w:eastAsia="宋体" w:cs="宋体"/>
                <w:lang w:eastAsia="zh-CN"/>
              </w:rPr>
            </w:pPr>
            <w:r>
              <w:rPr>
                <w:rFonts w:hint="eastAsia" w:ascii="宋体" w:hAnsi="宋体" w:eastAsia="宋体" w:cs="宋体"/>
                <w:lang w:eastAsia="zh-CN"/>
              </w:rPr>
              <w:t>18</w:t>
            </w:r>
          </w:p>
        </w:tc>
        <w:tc>
          <w:tcPr>
            <w:tcW w:w="1219" w:type="dxa"/>
          </w:tcPr>
          <w:p w14:paraId="19F75588">
            <w:pPr>
              <w:spacing w:before="49" w:line="252" w:lineRule="auto"/>
              <w:ind w:left="133" w:hanging="69"/>
              <w:jc w:val="both"/>
              <w:rPr>
                <w:rFonts w:ascii="宋体" w:hAnsi="宋体" w:eastAsia="宋体" w:cs="宋体"/>
                <w:spacing w:val="-1"/>
                <w:lang w:eastAsia="zh-CN"/>
              </w:rPr>
            </w:pPr>
          </w:p>
        </w:tc>
        <w:tc>
          <w:tcPr>
            <w:tcW w:w="1300" w:type="dxa"/>
          </w:tcPr>
          <w:p w14:paraId="366ED65F">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2"/>
                <w:sz w:val="22"/>
                <w:szCs w:val="22"/>
              </w:rPr>
              <w:t>高效</w:t>
            </w:r>
            <w:r>
              <w:rPr>
                <w:rFonts w:hint="eastAsia" w:ascii="宋体" w:hAnsi="宋体" w:eastAsia="宋体" w:cs="宋体"/>
                <w:spacing w:val="-2"/>
                <w:sz w:val="22"/>
                <w:szCs w:val="22"/>
                <w:lang w:eastAsia="zh-CN"/>
              </w:rPr>
              <w:t>过滤器</w:t>
            </w:r>
          </w:p>
        </w:tc>
        <w:tc>
          <w:tcPr>
            <w:tcW w:w="608" w:type="dxa"/>
          </w:tcPr>
          <w:p w14:paraId="15A8D550">
            <w:pPr>
              <w:spacing w:before="49" w:line="252" w:lineRule="auto"/>
              <w:ind w:left="133" w:hanging="69"/>
              <w:jc w:val="both"/>
              <w:rPr>
                <w:rFonts w:ascii="宋体" w:hAnsi="宋体" w:eastAsia="宋体" w:cs="宋体"/>
                <w:spacing w:val="-1"/>
                <w:lang w:eastAsia="zh-CN"/>
              </w:rPr>
            </w:pPr>
          </w:p>
        </w:tc>
        <w:tc>
          <w:tcPr>
            <w:tcW w:w="1566" w:type="dxa"/>
          </w:tcPr>
          <w:p w14:paraId="7B9F99BE">
            <w:pPr>
              <w:spacing w:before="49" w:line="252" w:lineRule="auto"/>
              <w:ind w:left="133" w:hanging="69"/>
              <w:jc w:val="both"/>
              <w:rPr>
                <w:rFonts w:ascii="宋体" w:hAnsi="宋体" w:eastAsia="宋体" w:cs="宋体"/>
                <w:spacing w:val="-1"/>
                <w:lang w:eastAsia="zh-CN"/>
              </w:rPr>
            </w:pPr>
          </w:p>
        </w:tc>
        <w:tc>
          <w:tcPr>
            <w:tcW w:w="8457" w:type="dxa"/>
          </w:tcPr>
          <w:p w14:paraId="257C6290">
            <w:pPr>
              <w:numPr>
                <w:ilvl w:val="0"/>
                <w:numId w:val="22"/>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高效过滤器采用液槽式密封技术，密封效果更好，更持久，不易泄漏。抗老化技术，不易变形和老化。气流均匀，专利制造技术确保V型通道，高效低阻、使用寿命长。逐台激光扫描计数效率99.97%~99.999995%，并可提供逐台点扫描测试报告。</w:t>
            </w:r>
          </w:p>
          <w:p w14:paraId="68A59DD1">
            <w:pPr>
              <w:numPr>
                <w:ilvl w:val="0"/>
                <w:numId w:val="22"/>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组合式高效过滤器对细小颗粒物质具有极佳的效率，捕捉0.3um的尘埃粒子效率在99.99%以上。组合式高效过滤器设计风量可以高达4000m3/h，用于大风量环境使用。组合式高效过滤器过滤面积大，阻力低，使用寿命长。标准型镀锌板外框，也可以提供不锈钢外框。带25mm厚可选择安装法兰/无法兰,连续运行最高温度70℃。</w:t>
            </w:r>
          </w:p>
        </w:tc>
      </w:tr>
      <w:tr w14:paraId="107F5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shd w:val="clear" w:color="auto" w:fill="auto"/>
          </w:tcPr>
          <w:p w14:paraId="4BA15C64">
            <w:pPr>
              <w:spacing w:before="231" w:line="241" w:lineRule="auto"/>
              <w:ind w:left="275"/>
              <w:rPr>
                <w:rFonts w:ascii="宋体" w:hAnsi="宋体" w:eastAsia="宋体" w:cs="宋体"/>
                <w:lang w:eastAsia="zh-CN"/>
              </w:rPr>
            </w:pPr>
            <w:r>
              <w:rPr>
                <w:rFonts w:hint="eastAsia" w:ascii="宋体" w:hAnsi="宋体" w:eastAsia="宋体" w:cs="宋体"/>
                <w:lang w:eastAsia="zh-CN"/>
              </w:rPr>
              <w:t>19</w:t>
            </w:r>
          </w:p>
        </w:tc>
        <w:tc>
          <w:tcPr>
            <w:tcW w:w="1219" w:type="dxa"/>
          </w:tcPr>
          <w:p w14:paraId="06A96E28">
            <w:pPr>
              <w:spacing w:before="49" w:line="252" w:lineRule="auto"/>
              <w:ind w:left="133" w:hanging="69"/>
              <w:jc w:val="both"/>
              <w:rPr>
                <w:rFonts w:ascii="宋体" w:hAnsi="宋体" w:eastAsia="宋体" w:cs="宋体"/>
                <w:spacing w:val="-1"/>
                <w:lang w:eastAsia="zh-CN"/>
              </w:rPr>
            </w:pPr>
          </w:p>
        </w:tc>
        <w:tc>
          <w:tcPr>
            <w:tcW w:w="1300" w:type="dxa"/>
          </w:tcPr>
          <w:p w14:paraId="6E7B9274">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2"/>
                <w:sz w:val="22"/>
                <w:szCs w:val="22"/>
              </w:rPr>
              <w:t>多联空调</w:t>
            </w:r>
          </w:p>
        </w:tc>
        <w:tc>
          <w:tcPr>
            <w:tcW w:w="608" w:type="dxa"/>
          </w:tcPr>
          <w:p w14:paraId="22D1BFEF">
            <w:pPr>
              <w:spacing w:before="49" w:line="252" w:lineRule="auto"/>
              <w:ind w:left="133" w:hanging="69"/>
              <w:jc w:val="both"/>
              <w:rPr>
                <w:rFonts w:ascii="宋体" w:hAnsi="宋体" w:eastAsia="宋体" w:cs="宋体"/>
                <w:spacing w:val="-1"/>
                <w:lang w:eastAsia="zh-CN"/>
              </w:rPr>
            </w:pPr>
          </w:p>
        </w:tc>
        <w:tc>
          <w:tcPr>
            <w:tcW w:w="1566" w:type="dxa"/>
          </w:tcPr>
          <w:p w14:paraId="59CC0F65">
            <w:pPr>
              <w:spacing w:before="49" w:line="252" w:lineRule="auto"/>
              <w:ind w:left="133" w:hanging="69"/>
              <w:jc w:val="both"/>
              <w:rPr>
                <w:rFonts w:ascii="宋体" w:hAnsi="宋体" w:eastAsia="宋体" w:cs="宋体"/>
                <w:spacing w:val="-1"/>
                <w:lang w:eastAsia="zh-CN"/>
              </w:rPr>
            </w:pPr>
          </w:p>
        </w:tc>
        <w:tc>
          <w:tcPr>
            <w:tcW w:w="8457" w:type="dxa"/>
          </w:tcPr>
          <w:p w14:paraId="4F953E0D">
            <w:pPr>
              <w:numPr>
                <w:ilvl w:val="0"/>
                <w:numId w:val="23"/>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变频变容可实现无级调节精确控制温度，且可根据室内机开启情况选择性变换压缩机容积单双缸切换运行，匹配输出，节能省电。</w:t>
            </w:r>
          </w:p>
          <w:p w14:paraId="5C8D92AA">
            <w:pPr>
              <w:numPr>
                <w:ilvl w:val="0"/>
                <w:numId w:val="23"/>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开启少量内机低负荷运行时，采用单缸运转，刚好可以满足您的需求，可大幅降低能耗。</w:t>
            </w:r>
          </w:p>
          <w:p w14:paraId="587E82D5">
            <w:pPr>
              <w:numPr>
                <w:ilvl w:val="0"/>
                <w:numId w:val="23"/>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开启多个内机时，双缸运行满足大负荷需求，实现快速制冷制热。</w:t>
            </w:r>
          </w:p>
          <w:p w14:paraId="79F5F2FF">
            <w:pPr>
              <w:numPr>
                <w:ilvl w:val="0"/>
                <w:numId w:val="23"/>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依据GB/T18837-2015标准，名义制冷工况:室外侧干球温度:35℃，湿球温度:24℃;室内侧干球温度:27℃，湿球温度:19℃。</w:t>
            </w:r>
          </w:p>
        </w:tc>
      </w:tr>
      <w:tr w14:paraId="3065F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68B57BEA">
            <w:pPr>
              <w:spacing w:before="231" w:line="241" w:lineRule="auto"/>
              <w:ind w:left="275"/>
              <w:rPr>
                <w:rFonts w:ascii="宋体" w:hAnsi="宋体" w:eastAsia="宋体" w:cs="宋体"/>
                <w:lang w:eastAsia="zh-CN"/>
              </w:rPr>
            </w:pPr>
            <w:r>
              <w:rPr>
                <w:rFonts w:hint="eastAsia" w:ascii="宋体" w:hAnsi="宋体" w:eastAsia="宋体" w:cs="宋体"/>
                <w:lang w:eastAsia="zh-CN"/>
              </w:rPr>
              <w:t>20</w:t>
            </w:r>
          </w:p>
        </w:tc>
        <w:tc>
          <w:tcPr>
            <w:tcW w:w="1219" w:type="dxa"/>
          </w:tcPr>
          <w:p w14:paraId="625E74E9">
            <w:pPr>
              <w:spacing w:before="49" w:line="252" w:lineRule="auto"/>
              <w:ind w:left="133" w:hanging="69"/>
              <w:jc w:val="both"/>
              <w:rPr>
                <w:rFonts w:ascii="宋体" w:hAnsi="宋体" w:eastAsia="宋体" w:cs="宋体"/>
                <w:spacing w:val="-1"/>
                <w:lang w:eastAsia="zh-CN"/>
              </w:rPr>
            </w:pPr>
          </w:p>
        </w:tc>
        <w:tc>
          <w:tcPr>
            <w:tcW w:w="1300" w:type="dxa"/>
          </w:tcPr>
          <w:p w14:paraId="36C14AE6">
            <w:pPr>
              <w:spacing w:before="49" w:line="252" w:lineRule="auto"/>
              <w:ind w:left="133" w:hanging="69"/>
              <w:rPr>
                <w:rFonts w:ascii="宋体" w:hAnsi="宋体" w:eastAsia="宋体" w:cs="宋体"/>
                <w:spacing w:val="-1"/>
                <w:lang w:eastAsia="zh-CN"/>
              </w:rPr>
            </w:pPr>
            <w:r>
              <w:rPr>
                <w:rFonts w:hint="eastAsia" w:ascii="宋体" w:hAnsi="宋体" w:eastAsia="宋体" w:cs="宋体"/>
                <w:spacing w:val="-1"/>
                <w:lang w:eastAsia="zh-CN"/>
              </w:rPr>
              <w:t>定、变风量阀</w:t>
            </w:r>
          </w:p>
        </w:tc>
        <w:tc>
          <w:tcPr>
            <w:tcW w:w="608" w:type="dxa"/>
          </w:tcPr>
          <w:p w14:paraId="10C9B99F">
            <w:pPr>
              <w:spacing w:before="49" w:line="252" w:lineRule="auto"/>
              <w:ind w:left="133" w:hanging="69"/>
              <w:jc w:val="both"/>
              <w:rPr>
                <w:rFonts w:ascii="宋体" w:hAnsi="宋体" w:eastAsia="宋体" w:cs="宋体"/>
                <w:spacing w:val="-1"/>
                <w:lang w:eastAsia="zh-CN"/>
              </w:rPr>
            </w:pPr>
          </w:p>
        </w:tc>
        <w:tc>
          <w:tcPr>
            <w:tcW w:w="1566" w:type="dxa"/>
          </w:tcPr>
          <w:p w14:paraId="3E4ECFA8">
            <w:pPr>
              <w:spacing w:before="49" w:line="252" w:lineRule="auto"/>
              <w:ind w:left="133" w:hanging="69"/>
              <w:jc w:val="both"/>
              <w:rPr>
                <w:rFonts w:ascii="宋体" w:hAnsi="宋体" w:eastAsia="宋体" w:cs="宋体"/>
                <w:spacing w:val="-1"/>
                <w:lang w:eastAsia="zh-CN"/>
              </w:rPr>
            </w:pPr>
          </w:p>
        </w:tc>
        <w:tc>
          <w:tcPr>
            <w:tcW w:w="8457" w:type="dxa"/>
          </w:tcPr>
          <w:p w14:paraId="36F3EAE1">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TVJ 阀体为方形阀体，材质为镀锌钢材质，钢板厚度不低于1.2mm。</w:t>
            </w:r>
          </w:p>
          <w:p w14:paraId="6AF6D77E">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▲阀体钢板采用高品质热镀锌钢板，双面镀锌140g/㎡，经过125小时盐水喷雾防腐试验而无红锈产生。</w:t>
            </w:r>
          </w:p>
          <w:p w14:paraId="19CADA1D">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箱体总长度不大于400mm，安装方向不受限制，可水平或垂直安装。阀板传动装置采用齿轮传动模式齿轮材质为抗静电ABS耐温至50℃。</w:t>
            </w:r>
          </w:p>
          <w:p w14:paraId="2DC45A4C">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风量测量单元为多点平均分布毕托管测流量形式，中央平均流速型，在管材、孔径及分布等方面满足欧洲工业标准，即使在不利的风道安装条件下也能精确测量风量，风量控制精度须在±5%范围内，并提供第三方检测报告。</w:t>
            </w:r>
          </w:p>
          <w:p w14:paraId="382260BF">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控制阀要变风量控制，阀门阻力低，最小工作压差20Pa，最高达1000Pa，使得运行经济可靠；</w:t>
            </w:r>
          </w:p>
          <w:p w14:paraId="6F322545">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毕托管测压管采用铝合金材料制成，测压孔径为3mm，保证测量精度的同时具备不易堵塞等特点，提高变风量调节阀的运行稳定性。</w:t>
            </w:r>
          </w:p>
          <w:p w14:paraId="71D1F054">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阀片材质要求为高强度合金铝型材，表面采用喷砂阳极氧化处理，耐腐蚀。阀片为对开多叶型，采用封闭式咬合齿轮传动对开调节形式，具有良好的气流特性，周边光滑平整。齿轮材料为抗静电塑料（ABS）。</w:t>
            </w:r>
          </w:p>
          <w:p w14:paraId="78E04722">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轴承位置采用”O”型密封圈降低泄漏量且阀轴须有明显的标记，以指示阀片的转动位置，采用粘贴胶纸指示阀体位置的方法将不被接受。</w:t>
            </w:r>
          </w:p>
          <w:p w14:paraId="793A8A13">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方形阀体采用机械连接方式，连接处采用先进的冷铆技术以提高箱体整体强度和减少漏风率，铆接间距小于50mm，以保证箱体密封性和连接的可靠性。风阀可以根据要求完全关闭，风阀在关闭状态下具有良好的气密性，阀片关闭时的漏风量满足DIN EN 1751等级1标准。</w:t>
            </w:r>
          </w:p>
          <w:p w14:paraId="0D6F334B">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▲阀门耐压1000Pa，流量比值不小于5:1。</w:t>
            </w:r>
          </w:p>
          <w:p w14:paraId="27678B46">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风量阀的噪声必须维持在一定的限度内。所有的声学测试应在噪声回响室内测得，对设备的气流噪声和辐射噪声测试结果，应将100~200Pa时，从63Hz～4000Hz波段的噪声均列出表格。</w:t>
            </w:r>
          </w:p>
          <w:p w14:paraId="59500A35">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提供详细的阀体结构尺寸图纸或者样本，包含（但不限于）：法兰孔径、法兰尺寸、阀体压损、阀体噪声、风量范围以及安装方式说明等。</w:t>
            </w:r>
          </w:p>
          <w:p w14:paraId="53405F2F">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变风量阀生产厂家必须拥有经认证的风量标定测试台，每个定风量调节阀在出厂前都必须100%经过风量标定，以保证正常使用和风量控制的精确，并提供工厂标定报告，严禁OEM代工及标定。</w:t>
            </w:r>
          </w:p>
          <w:p w14:paraId="29968A13">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TVJ-EASY为压力无关型闭环控制风阀，Easy控制器为简易型控制器，可依据用户不同的接线方式实现不同的控制需求，既可作变风量使用，又可实现全开或者密闭关断的作用，同时也既可做定风量用，又可作双位定风量用。</w:t>
            </w:r>
          </w:p>
          <w:p w14:paraId="5E39F540">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EASY型控制器为一体式控制器，自带一组模拟量输入输出信号（本体自带1个AI点输入接口和1个AO点输出接口），可实现0-10VDC模拟量信号的风量设定和反馈输出。</w:t>
            </w:r>
          </w:p>
          <w:p w14:paraId="675B04E5">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EASY控制器本体自带运行功能指示灯，可就地巡检阀门运行状态。</w:t>
            </w:r>
          </w:p>
          <w:p w14:paraId="7B2542D9">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EASY控制器控制器风量的切换设定值可通过手动用螺丝刀调节风量范围旋钮进行设定，无需使用调节仪。</w:t>
            </w:r>
          </w:p>
        </w:tc>
      </w:tr>
      <w:tr w14:paraId="01125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552FDB9D">
            <w:pPr>
              <w:spacing w:before="231" w:line="241" w:lineRule="auto"/>
              <w:ind w:left="275"/>
              <w:rPr>
                <w:rFonts w:ascii="宋体" w:hAnsi="宋体" w:eastAsia="宋体" w:cs="宋体"/>
                <w:lang w:eastAsia="zh-CN"/>
              </w:rPr>
            </w:pPr>
            <w:r>
              <w:rPr>
                <w:rFonts w:hint="eastAsia" w:ascii="宋体" w:hAnsi="宋体" w:eastAsia="宋体" w:cs="宋体"/>
                <w:lang w:eastAsia="zh-CN"/>
              </w:rPr>
              <w:t>21</w:t>
            </w:r>
          </w:p>
        </w:tc>
        <w:tc>
          <w:tcPr>
            <w:tcW w:w="1219" w:type="dxa"/>
          </w:tcPr>
          <w:p w14:paraId="6CDA87CD">
            <w:pPr>
              <w:spacing w:before="49" w:line="252" w:lineRule="auto"/>
              <w:ind w:left="133" w:hanging="69"/>
              <w:jc w:val="both"/>
              <w:rPr>
                <w:rFonts w:ascii="宋体" w:hAnsi="宋体" w:eastAsia="宋体" w:cs="宋体"/>
                <w:spacing w:val="-1"/>
                <w:lang w:eastAsia="zh-CN"/>
              </w:rPr>
            </w:pPr>
          </w:p>
        </w:tc>
        <w:tc>
          <w:tcPr>
            <w:tcW w:w="1300" w:type="dxa"/>
          </w:tcPr>
          <w:p w14:paraId="3D400D22">
            <w:pPr>
              <w:spacing w:before="49" w:line="252" w:lineRule="auto"/>
              <w:ind w:left="133" w:hanging="69"/>
              <w:rPr>
                <w:rFonts w:ascii="宋体" w:hAnsi="宋体" w:eastAsia="宋体" w:cs="宋体"/>
                <w:spacing w:val="-1"/>
                <w:lang w:eastAsia="zh-CN"/>
              </w:rPr>
            </w:pPr>
            <w:r>
              <w:rPr>
                <w:rFonts w:hint="eastAsia" w:ascii="宋体" w:hAnsi="宋体" w:eastAsia="宋体" w:cs="宋体"/>
                <w:spacing w:val="-1"/>
                <w:lang w:eastAsia="zh-CN"/>
              </w:rPr>
              <w:t>玻璃钢排风机</w:t>
            </w:r>
          </w:p>
        </w:tc>
        <w:tc>
          <w:tcPr>
            <w:tcW w:w="608" w:type="dxa"/>
          </w:tcPr>
          <w:p w14:paraId="49B4C610">
            <w:pPr>
              <w:spacing w:before="49" w:line="252" w:lineRule="auto"/>
              <w:ind w:left="133" w:hanging="69"/>
              <w:jc w:val="both"/>
              <w:rPr>
                <w:rFonts w:ascii="宋体" w:hAnsi="宋体" w:eastAsia="宋体" w:cs="宋体"/>
                <w:spacing w:val="-1"/>
                <w:lang w:eastAsia="zh-CN"/>
              </w:rPr>
            </w:pPr>
          </w:p>
        </w:tc>
        <w:tc>
          <w:tcPr>
            <w:tcW w:w="1566" w:type="dxa"/>
          </w:tcPr>
          <w:p w14:paraId="7F82E12C">
            <w:pPr>
              <w:spacing w:before="49" w:line="252" w:lineRule="auto"/>
              <w:ind w:left="133" w:hanging="69"/>
              <w:jc w:val="both"/>
              <w:rPr>
                <w:rFonts w:ascii="宋体" w:hAnsi="宋体" w:eastAsia="宋体" w:cs="宋体"/>
                <w:spacing w:val="-1"/>
                <w:lang w:eastAsia="zh-CN"/>
              </w:rPr>
            </w:pPr>
          </w:p>
        </w:tc>
        <w:tc>
          <w:tcPr>
            <w:tcW w:w="8457" w:type="dxa"/>
          </w:tcPr>
          <w:p w14:paraId="4D056AA9">
            <w:pPr>
              <w:pStyle w:val="196"/>
              <w:numPr>
                <w:ilvl w:val="0"/>
                <w:numId w:val="25"/>
              </w:numPr>
              <w:rPr>
                <w:rFonts w:hint="default" w:ascii="宋体" w:hAnsi="宋体" w:eastAsia="宋体" w:cs="宋体"/>
              </w:rPr>
            </w:pPr>
            <w:r>
              <w:rPr>
                <w:rFonts w:ascii="宋体" w:hAnsi="宋体" w:eastAsia="宋体" w:cs="宋体"/>
                <w:sz w:val="21"/>
              </w:rPr>
              <w:t>采用FRP 外壳：玻璃钢风机应为离心式，外壳为一体成形，乙烯基树脂, 并采用胶壳保护，机壳有孔配置，叶轮清洁方便，以减少故障。</w:t>
            </w:r>
          </w:p>
          <w:p w14:paraId="6A34BA9C">
            <w:pPr>
              <w:pStyle w:val="196"/>
              <w:numPr>
                <w:ilvl w:val="0"/>
                <w:numId w:val="25"/>
              </w:numPr>
              <w:rPr>
                <w:rFonts w:hint="default" w:ascii="宋体" w:hAnsi="宋体" w:eastAsia="宋体" w:cs="宋体"/>
              </w:rPr>
            </w:pPr>
            <w:r>
              <w:rPr>
                <w:rFonts w:ascii="宋体" w:hAnsi="宋体" w:eastAsia="宋体" w:cs="宋体"/>
                <w:sz w:val="21"/>
              </w:rPr>
              <w:t>风机入口钟采用喇叭形状，增进流场顺畅，降低噪音及损失，入口钟叶轮之间隙小于5mm，减少性能损失，且为线接触，以减少结晶物附着于入口钟。</w:t>
            </w:r>
          </w:p>
          <w:p w14:paraId="11C45EB2">
            <w:pPr>
              <w:pStyle w:val="196"/>
              <w:numPr>
                <w:ilvl w:val="0"/>
                <w:numId w:val="25"/>
              </w:numPr>
              <w:rPr>
                <w:rFonts w:hint="default" w:ascii="宋体" w:hAnsi="宋体" w:eastAsia="宋体" w:cs="宋体"/>
              </w:rPr>
            </w:pPr>
            <w:r>
              <w:rPr>
                <w:rFonts w:ascii="宋体" w:hAnsi="宋体" w:eastAsia="宋体" w:cs="宋体"/>
                <w:sz w:val="21"/>
              </w:rPr>
              <w:t>风机前盖板应增加环形补强肋，增进叶轮强度，提高叶轮安全性底扳，外壳采用螺丝预注法，减少安装维修之误差。入口钟与外壳之接触面为平面减少泄漏现象。轴心与轴承加装轴心防护,增加安全性。</w:t>
            </w:r>
          </w:p>
          <w:p w14:paraId="3AD65436">
            <w:pPr>
              <w:pStyle w:val="196"/>
              <w:numPr>
                <w:ilvl w:val="0"/>
                <w:numId w:val="25"/>
              </w:numPr>
              <w:rPr>
                <w:rFonts w:hint="default" w:ascii="宋体" w:hAnsi="宋体" w:eastAsia="宋体" w:cs="宋体"/>
              </w:rPr>
            </w:pPr>
            <w:r>
              <w:rPr>
                <w:rFonts w:ascii="宋体" w:hAnsi="宋体" w:eastAsia="宋体" w:cs="宋体"/>
                <w:sz w:val="21"/>
              </w:rPr>
              <w:t>电机应为滑轨式设计易于调整及更换。</w:t>
            </w:r>
          </w:p>
          <w:p w14:paraId="64A89D50">
            <w:pPr>
              <w:pStyle w:val="196"/>
              <w:numPr>
                <w:ilvl w:val="0"/>
                <w:numId w:val="25"/>
              </w:numPr>
              <w:rPr>
                <w:rFonts w:hint="default" w:ascii="宋体" w:hAnsi="宋体" w:eastAsia="宋体" w:cs="宋体"/>
              </w:rPr>
            </w:pPr>
            <w:r>
              <w:rPr>
                <w:rFonts w:ascii="宋体" w:hAnsi="宋体" w:eastAsia="宋体" w:cs="宋体"/>
                <w:spacing w:val="-1"/>
                <w:sz w:val="21"/>
                <w:szCs w:val="21"/>
                <w:lang w:eastAsia="zh-CN"/>
              </w:rPr>
              <w:t>▲</w:t>
            </w:r>
            <w:r>
              <w:rPr>
                <w:rFonts w:ascii="宋体" w:hAnsi="宋体" w:eastAsia="宋体" w:cs="宋体"/>
                <w:sz w:val="21"/>
              </w:rPr>
              <w:t>风机轴承：采用 NSK 轴承及严格的双层密封措施， 润滑油不外渗， 酸碱气体无法对轴承腐蚀， 油座定期更换机油，且极为方便。</w:t>
            </w:r>
          </w:p>
          <w:p w14:paraId="5900D892">
            <w:pPr>
              <w:pStyle w:val="196"/>
              <w:numPr>
                <w:ilvl w:val="0"/>
                <w:numId w:val="25"/>
              </w:numPr>
              <w:rPr>
                <w:rFonts w:hint="default" w:ascii="宋体" w:hAnsi="宋体" w:eastAsia="宋体" w:cs="宋体"/>
              </w:rPr>
            </w:pPr>
            <w:r>
              <w:rPr>
                <w:rFonts w:ascii="宋体" w:hAnsi="宋体" w:eastAsia="宋体" w:cs="宋体"/>
                <w:sz w:val="21"/>
              </w:rPr>
              <w:t>风机配置及材质：</w:t>
            </w:r>
          </w:p>
          <w:p w14:paraId="345AB0CF">
            <w:pPr>
              <w:pStyle w:val="196"/>
              <w:rPr>
                <w:rFonts w:hint="default" w:ascii="宋体" w:hAnsi="宋体" w:eastAsia="宋体" w:cs="宋体"/>
              </w:rPr>
            </w:pPr>
            <w:r>
              <w:rPr>
                <w:rFonts w:ascii="宋体" w:hAnsi="宋体" w:eastAsia="宋体" w:cs="宋体"/>
                <w:sz w:val="21"/>
              </w:rPr>
              <w:t>1）风机配备：弹簧减震器，相对底座</w:t>
            </w:r>
          </w:p>
          <w:p w14:paraId="3C546748">
            <w:pPr>
              <w:pStyle w:val="196"/>
              <w:rPr>
                <w:rFonts w:hint="default" w:ascii="宋体" w:hAnsi="宋体" w:eastAsia="宋体" w:cs="宋体"/>
              </w:rPr>
            </w:pPr>
            <w:r>
              <w:rPr>
                <w:rFonts w:ascii="宋体" w:hAnsi="宋体" w:eastAsia="宋体" w:cs="宋体"/>
                <w:sz w:val="21"/>
              </w:rPr>
              <w:t>2）外壳材质：玻璃钢制作</w:t>
            </w:r>
          </w:p>
          <w:p w14:paraId="5E9627ED">
            <w:pPr>
              <w:pStyle w:val="196"/>
              <w:rPr>
                <w:rFonts w:hint="default" w:ascii="宋体" w:hAnsi="宋体" w:eastAsia="宋体" w:cs="宋体"/>
              </w:rPr>
            </w:pPr>
            <w:r>
              <w:rPr>
                <w:rFonts w:ascii="宋体" w:hAnsi="宋体" w:eastAsia="宋体" w:cs="宋体"/>
                <w:sz w:val="21"/>
              </w:rPr>
              <w:t>3）叶轮材质：玻璃钢制作</w:t>
            </w:r>
          </w:p>
          <w:p w14:paraId="1AE1AE31">
            <w:pPr>
              <w:pStyle w:val="196"/>
              <w:rPr>
                <w:rFonts w:hint="default" w:ascii="宋体" w:hAnsi="宋体" w:eastAsia="宋体" w:cs="宋体"/>
              </w:rPr>
            </w:pPr>
            <w:r>
              <w:rPr>
                <w:rFonts w:ascii="宋体" w:hAnsi="宋体" w:eastAsia="宋体" w:cs="宋体"/>
                <w:sz w:val="21"/>
              </w:rPr>
              <w:t>4）马达：马达电源：3相、4P、380V、50Hz、IP55、F级绝缘</w:t>
            </w:r>
          </w:p>
          <w:p w14:paraId="38675799">
            <w:pPr>
              <w:pStyle w:val="196"/>
              <w:rPr>
                <w:rFonts w:hint="default" w:ascii="宋体" w:hAnsi="宋体" w:eastAsia="宋体" w:cs="宋体"/>
              </w:rPr>
            </w:pPr>
            <w:r>
              <w:rPr>
                <w:rFonts w:ascii="宋体" w:hAnsi="宋体" w:eastAsia="宋体" w:cs="宋体"/>
                <w:sz w:val="21"/>
              </w:rPr>
              <w:t>5）传动组：高张力皮带及美式免敲击拆装式皮带轮。外露的皮带驱动装置应加安全保护外罩，并预留检查孔作为测量转速之用；</w:t>
            </w:r>
          </w:p>
          <w:p w14:paraId="732492B8">
            <w:pPr>
              <w:pStyle w:val="196"/>
              <w:rPr>
                <w:rFonts w:hint="default" w:ascii="宋体" w:hAnsi="宋体" w:eastAsia="宋体" w:cs="宋体"/>
              </w:rPr>
            </w:pPr>
            <w:r>
              <w:rPr>
                <w:rFonts w:ascii="宋体" w:hAnsi="宋体" w:eastAsia="宋体" w:cs="宋体"/>
                <w:sz w:val="21"/>
              </w:rPr>
              <w:t>6）</w:t>
            </w:r>
            <w:r>
              <w:rPr>
                <w:rFonts w:ascii="宋体" w:hAnsi="宋体" w:eastAsia="宋体" w:cs="宋体"/>
                <w:spacing w:val="-1"/>
                <w:sz w:val="21"/>
                <w:szCs w:val="21"/>
                <w:lang w:eastAsia="zh-CN"/>
              </w:rPr>
              <w:t>▲</w:t>
            </w:r>
            <w:r>
              <w:rPr>
                <w:rFonts w:ascii="宋体" w:hAnsi="宋体" w:eastAsia="宋体" w:cs="宋体"/>
                <w:sz w:val="21"/>
              </w:rPr>
              <w:t>轴承组：轴承，使用寿命不少于200000小时，配有标准润滑油注入口；</w:t>
            </w:r>
          </w:p>
          <w:p w14:paraId="37A80C84">
            <w:pPr>
              <w:pStyle w:val="196"/>
              <w:rPr>
                <w:rFonts w:hint="default" w:ascii="宋体" w:hAnsi="宋体" w:eastAsia="宋体" w:cs="宋体"/>
                <w:sz w:val="21"/>
              </w:rPr>
            </w:pPr>
            <w:r>
              <w:rPr>
                <w:rFonts w:ascii="宋体" w:hAnsi="宋体" w:eastAsia="宋体" w:cs="宋体"/>
                <w:sz w:val="21"/>
              </w:rPr>
              <w:t>7）</w:t>
            </w:r>
            <w:r>
              <w:rPr>
                <w:rFonts w:ascii="宋体" w:hAnsi="宋体" w:eastAsia="宋体" w:cs="宋体"/>
                <w:spacing w:val="-1"/>
                <w:sz w:val="21"/>
                <w:szCs w:val="21"/>
                <w:lang w:eastAsia="zh-CN"/>
              </w:rPr>
              <w:t>▲</w:t>
            </w:r>
            <w:r>
              <w:rPr>
                <w:rFonts w:ascii="宋体" w:hAnsi="宋体" w:eastAsia="宋体" w:cs="宋体"/>
                <w:sz w:val="21"/>
              </w:rPr>
              <w:t>风机采用双层减震底座，不用拆地脚螺栓，可方便维护风机，风机轴封处做特殊轴封处理，防止有毒有害气体的泄露；</w:t>
            </w:r>
          </w:p>
          <w:p w14:paraId="04AA8A09">
            <w:pPr>
              <w:pStyle w:val="196"/>
              <w:rPr>
                <w:rFonts w:hint="default" w:ascii="宋体" w:hAnsi="宋体" w:eastAsia="宋体" w:cs="宋体"/>
                <w:sz w:val="21"/>
              </w:rPr>
            </w:pPr>
            <w:r>
              <w:rPr>
                <w:rFonts w:ascii="宋体" w:hAnsi="宋体" w:eastAsia="宋体" w:cs="宋体"/>
                <w:sz w:val="21"/>
              </w:rPr>
              <w:t>8）技术指标：要求满足或优于如下技术参数在规定测试下所对应的流量全压偏差为±5%；应进行不小于30min 机械运转试验，转动件应无擦碰等异常现象，振动速度有效值 mm/s ≤4.6；进行动平衡品质等级 G ≤2.5级 ；测试噪声(比 A 声级) dB ≤</w:t>
            </w:r>
            <w:r>
              <w:rPr>
                <w:rFonts w:ascii="宋体" w:hAnsi="宋体" w:eastAsia="宋体" w:cs="宋体"/>
                <w:sz w:val="21"/>
                <w:lang w:eastAsia="zh-CN"/>
              </w:rPr>
              <w:t>27</w:t>
            </w:r>
            <w:r>
              <w:rPr>
                <w:rFonts w:ascii="宋体" w:hAnsi="宋体" w:eastAsia="宋体" w:cs="宋体"/>
                <w:sz w:val="21"/>
              </w:rPr>
              <w:t>。</w:t>
            </w:r>
          </w:p>
          <w:p w14:paraId="7E7B7E9C">
            <w:pPr>
              <w:pStyle w:val="196"/>
              <w:rPr>
                <w:rFonts w:hint="default" w:ascii="宋体" w:hAnsi="宋体" w:eastAsia="宋体" w:cs="宋体"/>
                <w:spacing w:val="-1"/>
                <w:sz w:val="21"/>
                <w:szCs w:val="21"/>
                <w:lang w:eastAsia="zh-CN"/>
              </w:rPr>
            </w:pPr>
            <w:r>
              <w:rPr>
                <w:rFonts w:ascii="宋体" w:hAnsi="宋体" w:eastAsia="宋体" w:cs="宋体"/>
                <w:sz w:val="21"/>
                <w:lang w:eastAsia="zh-CN"/>
              </w:rPr>
              <w:t>（7）</w:t>
            </w:r>
            <w:r>
              <w:rPr>
                <w:rFonts w:ascii="宋体" w:hAnsi="宋体" w:eastAsia="宋体" w:cs="宋体"/>
                <w:spacing w:val="-1"/>
                <w:sz w:val="21"/>
                <w:szCs w:val="21"/>
                <w:lang w:eastAsia="zh-CN"/>
              </w:rPr>
              <w:t>▲</w:t>
            </w:r>
            <w:r>
              <w:rPr>
                <w:rFonts w:ascii="宋体" w:hAnsi="宋体" w:eastAsia="宋体" w:cs="宋体"/>
                <w:bCs/>
                <w:sz w:val="21"/>
              </w:rPr>
              <w:t>需提供满足或优于此要求的第三方出具的具有CMA或CNAS的检测报告扫描件或复印件并加盖供应商公章作为证明材料。</w:t>
            </w:r>
          </w:p>
        </w:tc>
      </w:tr>
    </w:tbl>
    <w:p w14:paraId="52360168">
      <w:pPr>
        <w:spacing w:line="360" w:lineRule="auto"/>
        <w:jc w:val="both"/>
        <w:rPr>
          <w:rFonts w:ascii="宋体" w:hAnsi="宋体" w:cs="宋体"/>
          <w:b/>
          <w:bCs/>
          <w:sz w:val="28"/>
          <w:szCs w:val="28"/>
          <w:highlight w:val="none"/>
        </w:rPr>
      </w:pPr>
    </w:p>
    <w:p w14:paraId="7CC267D0">
      <w:pPr>
        <w:spacing w:line="360" w:lineRule="auto"/>
        <w:jc w:val="both"/>
        <w:rPr>
          <w:rFonts w:ascii="宋体" w:hAnsi="宋体" w:cs="宋体"/>
          <w:b/>
          <w:bCs/>
          <w:sz w:val="28"/>
          <w:szCs w:val="28"/>
          <w:highlight w:val="none"/>
        </w:rPr>
      </w:pPr>
    </w:p>
    <w:bookmarkEnd w:id="1069"/>
    <w:p w14:paraId="5ACDCA7D">
      <w:pPr>
        <w:jc w:val="left"/>
        <w:rPr>
          <w:rFonts w:ascii="宋体" w:hAnsi="宋体" w:cs="宋体"/>
          <w:b/>
          <w:bCs/>
          <w:kern w:val="44"/>
          <w:sz w:val="44"/>
          <w:szCs w:val="44"/>
          <w:highlight w:val="none"/>
        </w:rPr>
        <w:sectPr>
          <w:pgSz w:w="16838" w:h="11906" w:orient="landscape"/>
          <w:pgMar w:top="1440" w:right="1440" w:bottom="1440" w:left="1440" w:header="851" w:footer="992" w:gutter="0"/>
          <w:pgBorders>
            <w:top w:val="none" w:sz="0" w:space="0"/>
            <w:left w:val="none" w:sz="0" w:space="0"/>
            <w:bottom w:val="none" w:sz="0" w:space="0"/>
            <w:right w:val="none" w:sz="0" w:space="0"/>
          </w:pgBorders>
          <w:cols w:space="720" w:num="1"/>
          <w:docGrid w:type="lines" w:linePitch="312" w:charSpace="0"/>
        </w:sectPr>
      </w:pPr>
      <w:bookmarkStart w:id="1070" w:name="_Toc16057"/>
      <w:bookmarkStart w:id="1071" w:name="_Toc14218"/>
      <w:bookmarkStart w:id="1072" w:name="_Toc152042575"/>
      <w:bookmarkStart w:id="1073" w:name="_Toc247527826"/>
      <w:bookmarkStart w:id="1074" w:name="_Toc247514245"/>
      <w:bookmarkStart w:id="1075" w:name="_Toc28106"/>
      <w:bookmarkStart w:id="1076" w:name="_Toc485211111"/>
      <w:bookmarkStart w:id="1077" w:name="_Toc24744"/>
      <w:bookmarkStart w:id="1078" w:name="_Toc144974855"/>
      <w:bookmarkStart w:id="1079" w:name="_Toc27623"/>
      <w:bookmarkStart w:id="1080" w:name="_Toc152045786"/>
      <w:bookmarkStart w:id="1081" w:name="_Toc1869"/>
    </w:p>
    <w:p w14:paraId="5D43C783">
      <w:pPr>
        <w:keepNext/>
        <w:keepLines/>
        <w:spacing w:before="340" w:after="330" w:line="576" w:lineRule="auto"/>
        <w:jc w:val="center"/>
        <w:outlineLvl w:val="0"/>
        <w:rPr>
          <w:rFonts w:ascii="宋体" w:hAnsi="宋体" w:cs="宋体"/>
          <w:sz w:val="24"/>
          <w:szCs w:val="24"/>
          <w:highlight w:val="none"/>
        </w:rPr>
      </w:pPr>
      <w:bookmarkStart w:id="1082" w:name="_Toc23494"/>
      <w:r>
        <w:rPr>
          <w:rFonts w:hint="eastAsia" w:ascii="宋体" w:hAnsi="宋体" w:cs="宋体"/>
          <w:b/>
          <w:bCs/>
          <w:kern w:val="44"/>
          <w:sz w:val="44"/>
          <w:szCs w:val="44"/>
          <w:highlight w:val="none"/>
        </w:rPr>
        <w:t>第六章 投标文件格式</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Start w:id="1083" w:name="_Toc314129316"/>
      <w:bookmarkStart w:id="1084" w:name="_Toc314127292"/>
      <w:bookmarkStart w:id="1085" w:name="_Toc248650369"/>
      <w:bookmarkStart w:id="1086" w:name="_Toc254961554"/>
      <w:bookmarkStart w:id="1087" w:name="_Toc297120233"/>
      <w:bookmarkStart w:id="1088" w:name="_Toc314127361"/>
      <w:bookmarkStart w:id="1089" w:name="_Toc332183369"/>
      <w:bookmarkStart w:id="1090" w:name="_Toc314128460"/>
      <w:bookmarkStart w:id="1091" w:name="_Toc226209002"/>
      <w:bookmarkStart w:id="1092" w:name="_Toc314127443"/>
      <w:bookmarkStart w:id="1093" w:name="_Toc268935231"/>
      <w:bookmarkStart w:id="1094" w:name="_Toc296593028"/>
    </w:p>
    <w:p w14:paraId="5CB09F3C">
      <w:pPr>
        <w:jc w:val="center"/>
        <w:rPr>
          <w:rFonts w:ascii="宋体" w:hAnsi="宋体" w:cs="宋体"/>
          <w:sz w:val="40"/>
          <w:szCs w:val="40"/>
          <w:highlight w:val="none"/>
        </w:rPr>
      </w:pPr>
    </w:p>
    <w:p w14:paraId="2B93F70B">
      <w:pPr>
        <w:jc w:val="center"/>
        <w:rPr>
          <w:rFonts w:ascii="宋体" w:hAnsi="宋体" w:cs="宋体"/>
          <w:sz w:val="40"/>
          <w:szCs w:val="40"/>
          <w:highlight w:val="none"/>
        </w:rPr>
      </w:pPr>
    </w:p>
    <w:p w14:paraId="26BE5DBF">
      <w:pPr>
        <w:jc w:val="center"/>
        <w:rPr>
          <w:rFonts w:ascii="宋体" w:hAnsi="宋体" w:cs="宋体"/>
          <w:sz w:val="28"/>
          <w:szCs w:val="28"/>
          <w:highlight w:val="none"/>
        </w:rPr>
      </w:pPr>
      <w:r>
        <w:rPr>
          <w:rFonts w:hint="eastAsia" w:ascii="宋体" w:hAnsi="宋体" w:cs="宋体"/>
          <w:sz w:val="40"/>
          <w:szCs w:val="40"/>
          <w:highlight w:val="none"/>
        </w:rPr>
        <w:t>（项目名称）</w:t>
      </w:r>
    </w:p>
    <w:p w14:paraId="67BE789C">
      <w:pPr>
        <w:rPr>
          <w:rFonts w:ascii="宋体" w:hAnsi="宋体" w:cs="宋体"/>
          <w:sz w:val="20"/>
          <w:szCs w:val="20"/>
          <w:highlight w:val="none"/>
        </w:rPr>
      </w:pPr>
    </w:p>
    <w:p w14:paraId="5D574474">
      <w:pPr>
        <w:rPr>
          <w:rFonts w:ascii="宋体" w:hAnsi="宋体" w:cs="宋体"/>
          <w:sz w:val="20"/>
          <w:szCs w:val="20"/>
          <w:highlight w:val="none"/>
        </w:rPr>
      </w:pPr>
    </w:p>
    <w:p w14:paraId="51644BF1">
      <w:pPr>
        <w:jc w:val="center"/>
        <w:rPr>
          <w:rFonts w:ascii="宋体" w:hAnsi="宋体" w:cs="宋体"/>
          <w:sz w:val="44"/>
          <w:szCs w:val="44"/>
          <w:highlight w:val="none"/>
        </w:rPr>
      </w:pPr>
      <w:bookmarkStart w:id="1095" w:name="_Toc12681"/>
      <w:r>
        <w:rPr>
          <w:rFonts w:hint="eastAsia" w:ascii="宋体" w:hAnsi="宋体" w:cs="宋体"/>
          <w:sz w:val="44"/>
          <w:szCs w:val="44"/>
          <w:highlight w:val="none"/>
        </w:rPr>
        <w:t>投  标  文  件</w:t>
      </w:r>
      <w:bookmarkEnd w:id="1095"/>
    </w:p>
    <w:p w14:paraId="29DD63F2">
      <w:pPr>
        <w:pStyle w:val="22"/>
        <w:rPr>
          <w:rFonts w:hAnsi="宋体" w:cs="宋体"/>
          <w:sz w:val="20"/>
          <w:highlight w:val="none"/>
        </w:rPr>
      </w:pPr>
    </w:p>
    <w:p w14:paraId="12241C5A">
      <w:pPr>
        <w:pStyle w:val="22"/>
        <w:jc w:val="center"/>
        <w:rPr>
          <w:rFonts w:hAnsi="宋体" w:cs="宋体"/>
          <w:highlight w:val="none"/>
        </w:rPr>
      </w:pPr>
      <w:bookmarkStart w:id="1096" w:name="_Toc11704"/>
      <w:r>
        <w:rPr>
          <w:rFonts w:hint="eastAsia" w:hAnsi="宋体" w:cs="宋体"/>
          <w:sz w:val="44"/>
          <w:szCs w:val="44"/>
          <w:highlight w:val="none"/>
        </w:rPr>
        <w:t>工程总承包实施方案（含资格审查文件）</w:t>
      </w:r>
      <w:bookmarkEnd w:id="1096"/>
    </w:p>
    <w:p w14:paraId="05B73CFA">
      <w:pPr>
        <w:rPr>
          <w:rFonts w:ascii="宋体" w:hAnsi="宋体" w:cs="宋体"/>
          <w:sz w:val="28"/>
          <w:szCs w:val="28"/>
          <w:highlight w:val="none"/>
        </w:rPr>
      </w:pPr>
    </w:p>
    <w:p w14:paraId="437EF478">
      <w:pPr>
        <w:rPr>
          <w:rFonts w:ascii="宋体" w:hAnsi="宋体" w:cs="宋体"/>
          <w:sz w:val="28"/>
          <w:szCs w:val="28"/>
          <w:highlight w:val="none"/>
        </w:rPr>
      </w:pPr>
    </w:p>
    <w:p w14:paraId="2212ABD1">
      <w:pPr>
        <w:rPr>
          <w:rFonts w:ascii="宋体" w:hAnsi="宋体" w:cs="宋体"/>
          <w:sz w:val="28"/>
          <w:szCs w:val="28"/>
          <w:highlight w:val="none"/>
        </w:rPr>
      </w:pPr>
    </w:p>
    <w:p w14:paraId="08542E1D">
      <w:pPr>
        <w:rPr>
          <w:rFonts w:ascii="宋体" w:hAnsi="宋体" w:cs="宋体"/>
          <w:sz w:val="28"/>
          <w:szCs w:val="28"/>
          <w:highlight w:val="none"/>
        </w:rPr>
      </w:pPr>
    </w:p>
    <w:p w14:paraId="5204F44B">
      <w:pPr>
        <w:rPr>
          <w:rFonts w:ascii="宋体" w:hAnsi="宋体" w:cs="宋体"/>
          <w:sz w:val="28"/>
          <w:szCs w:val="28"/>
          <w:highlight w:val="none"/>
        </w:rPr>
      </w:pPr>
    </w:p>
    <w:p w14:paraId="6DE1EA8A">
      <w:pPr>
        <w:rPr>
          <w:rFonts w:ascii="宋体" w:hAnsi="宋体" w:cs="宋体"/>
          <w:sz w:val="28"/>
          <w:szCs w:val="28"/>
          <w:highlight w:val="none"/>
        </w:rPr>
      </w:pPr>
    </w:p>
    <w:p w14:paraId="5CAF2F63">
      <w:pPr>
        <w:rPr>
          <w:rFonts w:ascii="宋体" w:hAnsi="宋体" w:cs="宋体"/>
          <w:sz w:val="28"/>
          <w:szCs w:val="28"/>
          <w:highlight w:val="none"/>
        </w:rPr>
      </w:pPr>
    </w:p>
    <w:p w14:paraId="0B7BBA9A">
      <w:pPr>
        <w:rPr>
          <w:rFonts w:ascii="宋体" w:hAnsi="宋体" w:cs="宋体"/>
          <w:sz w:val="28"/>
          <w:szCs w:val="28"/>
          <w:highlight w:val="none"/>
        </w:rPr>
      </w:pPr>
    </w:p>
    <w:p w14:paraId="7867D265">
      <w:pPr>
        <w:jc w:val="center"/>
        <w:rPr>
          <w:rFonts w:ascii="宋体" w:hAnsi="宋体" w:cs="宋体"/>
          <w:sz w:val="28"/>
          <w:szCs w:val="28"/>
          <w:highlight w:val="none"/>
          <w:u w:val="single"/>
        </w:rPr>
      </w:pPr>
      <w:bookmarkStart w:id="1097" w:name="_Toc2426"/>
      <w:r>
        <w:rPr>
          <w:rFonts w:hint="eastAsia" w:ascii="宋体" w:hAnsi="宋体" w:cs="宋体"/>
          <w:sz w:val="28"/>
          <w:szCs w:val="28"/>
          <w:highlight w:val="none"/>
        </w:rPr>
        <w:t>投标人：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（盖单位章）</w:t>
      </w:r>
      <w:bookmarkEnd w:id="1097"/>
    </w:p>
    <w:p w14:paraId="5FED1057">
      <w:pPr>
        <w:jc w:val="center"/>
        <w:rPr>
          <w:rFonts w:ascii="宋体" w:hAnsi="宋体" w:cs="宋体"/>
          <w:sz w:val="28"/>
          <w:szCs w:val="28"/>
          <w:highlight w:val="none"/>
        </w:rPr>
      </w:pPr>
      <w:bookmarkStart w:id="1098" w:name="_Toc17717"/>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（签字或盖章）</w:t>
      </w:r>
      <w:bookmarkEnd w:id="1098"/>
    </w:p>
    <w:p w14:paraId="003109FB">
      <w:pPr>
        <w:jc w:val="center"/>
        <w:rPr>
          <w:rFonts w:ascii="宋体" w:hAnsi="宋体" w:cs="宋体"/>
          <w:sz w:val="28"/>
          <w:szCs w:val="28"/>
          <w:highlight w:val="none"/>
        </w:rPr>
      </w:pPr>
      <w:r>
        <w:rPr>
          <w:rFonts w:hint="eastAsia" w:ascii="宋体" w:hAnsi="宋体" w:cs="宋体"/>
          <w:sz w:val="28"/>
          <w:szCs w:val="28"/>
          <w:highlight w:val="none"/>
          <w:u w:val="single"/>
        </w:rPr>
        <w:t xml:space="preserve">        </w:t>
      </w:r>
      <w:bookmarkStart w:id="1099" w:name="_Toc9517"/>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bookmarkEnd w:id="1099"/>
    </w:p>
    <w:p w14:paraId="768C04FE">
      <w:pPr>
        <w:pStyle w:val="22"/>
        <w:rPr>
          <w:rFonts w:hAnsi="宋体" w:cs="宋体"/>
          <w:sz w:val="20"/>
          <w:highlight w:val="none"/>
        </w:rPr>
      </w:pPr>
    </w:p>
    <w:p w14:paraId="08CBAB0F">
      <w:pPr>
        <w:pStyle w:val="40"/>
        <w:rPr>
          <w:rFonts w:ascii="宋体" w:hAnsi="宋体" w:cs="宋体"/>
          <w:highlight w:val="none"/>
        </w:rPr>
      </w:pPr>
      <w:bookmarkStart w:id="1100" w:name="_Toc10851"/>
      <w:bookmarkStart w:id="1101" w:name="_Toc11969"/>
      <w:bookmarkStart w:id="1102" w:name="_Toc533330557"/>
      <w:bookmarkStart w:id="1103" w:name="_Toc533330246"/>
      <w:bookmarkStart w:id="1104" w:name="_Toc503539196"/>
      <w:bookmarkStart w:id="1105" w:name="_Toc479091923"/>
      <w:bookmarkStart w:id="1106" w:name="_Toc22588"/>
    </w:p>
    <w:p w14:paraId="300CD96E">
      <w:pPr>
        <w:rPr>
          <w:rFonts w:ascii="宋体" w:hAnsi="宋体" w:cs="宋体"/>
          <w:highlight w:val="none"/>
        </w:rPr>
      </w:pPr>
      <w:r>
        <w:rPr>
          <w:rFonts w:hint="eastAsia" w:ascii="宋体" w:hAnsi="宋体" w:cs="宋体"/>
          <w:highlight w:val="none"/>
        </w:rPr>
        <w:br w:type="page"/>
      </w:r>
    </w:p>
    <w:p w14:paraId="4D6AA156">
      <w:pPr>
        <w:widowControl/>
        <w:jc w:val="center"/>
        <w:rPr>
          <w:rFonts w:ascii="宋体" w:hAnsi="宋体" w:cs="宋体"/>
          <w:b/>
          <w:sz w:val="24"/>
          <w:highlight w:val="none"/>
        </w:rPr>
      </w:pPr>
      <w:r>
        <w:rPr>
          <w:rFonts w:hint="eastAsia" w:ascii="宋体" w:hAnsi="宋体" w:cs="宋体"/>
          <w:b/>
          <w:sz w:val="32"/>
          <w:szCs w:val="32"/>
          <w:highlight w:val="none"/>
        </w:rPr>
        <w:t>目  录</w:t>
      </w:r>
    </w:p>
    <w:p w14:paraId="366047F2">
      <w:pPr>
        <w:widowControl/>
        <w:rPr>
          <w:rFonts w:ascii="宋体" w:hAnsi="宋体" w:cs="宋体"/>
          <w:b/>
          <w:sz w:val="24"/>
          <w:highlight w:val="none"/>
        </w:rPr>
      </w:pPr>
    </w:p>
    <w:p w14:paraId="3F62469F">
      <w:pPr>
        <w:widowControl/>
        <w:rPr>
          <w:rFonts w:ascii="宋体" w:hAnsi="宋体" w:cs="宋体"/>
          <w:b/>
          <w:sz w:val="24"/>
          <w:highlight w:val="none"/>
        </w:rPr>
      </w:pPr>
    </w:p>
    <w:p w14:paraId="5B56DE91">
      <w:pPr>
        <w:widowControl/>
        <w:rPr>
          <w:rFonts w:ascii="宋体" w:hAnsi="宋体" w:cs="宋体"/>
          <w:b/>
          <w:sz w:val="24"/>
          <w:highlight w:val="none"/>
        </w:rPr>
      </w:pPr>
      <w:r>
        <w:rPr>
          <w:rFonts w:hint="eastAsia" w:ascii="宋体" w:hAnsi="宋体" w:cs="宋体"/>
          <w:b/>
          <w:sz w:val="24"/>
          <w:highlight w:val="none"/>
        </w:rPr>
        <w:t>注：由投标人按要求自行编制目录。</w:t>
      </w:r>
    </w:p>
    <w:p w14:paraId="53D00581">
      <w:pPr>
        <w:pStyle w:val="22"/>
        <w:rPr>
          <w:rFonts w:hAnsi="宋体" w:cs="宋体"/>
          <w:b/>
          <w:sz w:val="24"/>
          <w:highlight w:val="none"/>
        </w:rPr>
      </w:pPr>
    </w:p>
    <w:p w14:paraId="2C201DF3">
      <w:pPr>
        <w:pStyle w:val="22"/>
        <w:rPr>
          <w:rFonts w:hAnsi="宋体" w:cs="宋体"/>
          <w:b/>
          <w:sz w:val="24"/>
          <w:highlight w:val="none"/>
        </w:rPr>
      </w:pPr>
    </w:p>
    <w:p w14:paraId="45F54748">
      <w:pPr>
        <w:pStyle w:val="40"/>
        <w:rPr>
          <w:rFonts w:ascii="宋体" w:hAnsi="宋体" w:cs="宋体"/>
          <w:highlight w:val="none"/>
        </w:rPr>
      </w:pPr>
    </w:p>
    <w:p w14:paraId="0B47590E">
      <w:pPr>
        <w:spacing w:line="360" w:lineRule="auto"/>
        <w:jc w:val="left"/>
        <w:rPr>
          <w:rFonts w:ascii="宋体" w:hAnsi="宋体" w:cs="宋体"/>
          <w:highlight w:val="none"/>
        </w:rPr>
      </w:pPr>
      <w:r>
        <w:rPr>
          <w:rFonts w:hint="eastAsia" w:ascii="宋体" w:hAnsi="宋体" w:cs="宋体"/>
          <w:highlight w:val="none"/>
        </w:rPr>
        <w:br w:type="page"/>
      </w:r>
      <w:bookmarkEnd w:id="1100"/>
      <w:bookmarkEnd w:id="1101"/>
      <w:bookmarkStart w:id="1107" w:name="_Toc21967"/>
      <w:bookmarkStart w:id="1108" w:name="_Toc24609"/>
      <w:r>
        <w:rPr>
          <w:rFonts w:hint="eastAsia" w:ascii="宋体" w:hAnsi="宋体" w:cs="宋体"/>
          <w:b/>
          <w:sz w:val="28"/>
          <w:highlight w:val="none"/>
        </w:rPr>
        <w:t>格式1：</w:t>
      </w:r>
    </w:p>
    <w:p w14:paraId="2EFB4064">
      <w:pPr>
        <w:autoSpaceDE w:val="0"/>
        <w:autoSpaceDN w:val="0"/>
        <w:adjustRightInd w:val="0"/>
        <w:spacing w:line="360" w:lineRule="auto"/>
        <w:jc w:val="center"/>
        <w:rPr>
          <w:rFonts w:ascii="宋体" w:hAnsi="宋体" w:cs="宋体"/>
          <w:b/>
          <w:bCs/>
          <w:sz w:val="36"/>
          <w:szCs w:val="36"/>
          <w:highlight w:val="none"/>
          <w:lang w:val="zh-CN"/>
        </w:rPr>
      </w:pPr>
      <w:r>
        <w:rPr>
          <w:rFonts w:hint="eastAsia" w:ascii="宋体" w:hAnsi="宋体" w:cs="宋体"/>
          <w:b/>
          <w:bCs/>
          <w:sz w:val="36"/>
          <w:szCs w:val="36"/>
          <w:highlight w:val="none"/>
          <w:lang w:val="zh-CN"/>
        </w:rPr>
        <w:t>法人代表证明书、授权委托证明书</w:t>
      </w:r>
    </w:p>
    <w:p w14:paraId="5C8AA400">
      <w:pPr>
        <w:spacing w:line="360" w:lineRule="auto"/>
        <w:jc w:val="center"/>
        <w:rPr>
          <w:rFonts w:ascii="宋体" w:hAnsi="宋体" w:cs="宋体"/>
          <w:b/>
          <w:sz w:val="28"/>
          <w:szCs w:val="24"/>
          <w:highlight w:val="none"/>
        </w:rPr>
      </w:pPr>
      <w:r>
        <w:rPr>
          <w:rFonts w:hint="eastAsia" w:ascii="宋体" w:hAnsi="宋体" w:cs="宋体"/>
          <w:b/>
          <w:sz w:val="28"/>
          <w:highlight w:val="none"/>
        </w:rPr>
        <w:t>法定代表人（负责人）证明书</w:t>
      </w:r>
    </w:p>
    <w:p w14:paraId="31E7F00B">
      <w:pPr>
        <w:spacing w:line="360" w:lineRule="auto"/>
        <w:jc w:val="right"/>
        <w:rPr>
          <w:rFonts w:ascii="宋体" w:hAnsi="宋体" w:cs="宋体"/>
          <w:sz w:val="24"/>
          <w:highlight w:val="none"/>
        </w:rPr>
      </w:pPr>
      <w:r>
        <w:rPr>
          <w:rFonts w:hint="eastAsia" w:ascii="宋体" w:hAnsi="宋体" w:cs="宋体"/>
          <w:highlight w:val="none"/>
        </w:rPr>
        <w:t>（　 ）第　号</w:t>
      </w:r>
    </w:p>
    <w:tbl>
      <w:tblPr>
        <w:tblStyle w:val="4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5"/>
      </w:tblGrid>
      <w:tr w14:paraId="4FE8B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5" w:type="dxa"/>
            <w:tcBorders>
              <w:top w:val="single" w:color="auto" w:sz="4" w:space="0"/>
              <w:left w:val="single" w:color="auto" w:sz="4" w:space="0"/>
              <w:bottom w:val="single" w:color="auto" w:sz="4" w:space="0"/>
              <w:right w:val="single" w:color="auto" w:sz="4" w:space="0"/>
            </w:tcBorders>
          </w:tcPr>
          <w:p w14:paraId="72CFC70D">
            <w:pPr>
              <w:spacing w:line="360" w:lineRule="auto"/>
              <w:rPr>
                <w:rFonts w:ascii="宋体" w:hAnsi="宋体" w:cs="宋体"/>
                <w:sz w:val="24"/>
                <w:szCs w:val="24"/>
                <w:highlight w:val="none"/>
                <w:u w:val="single"/>
              </w:rPr>
            </w:pPr>
          </w:p>
          <w:p w14:paraId="6BCB5151">
            <w:pPr>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现任我单位</w:t>
            </w:r>
            <w:r>
              <w:rPr>
                <w:rFonts w:hint="eastAsia" w:ascii="宋体" w:hAnsi="宋体" w:cs="宋体"/>
                <w:sz w:val="24"/>
                <w:highlight w:val="none"/>
                <w:u w:val="single"/>
              </w:rPr>
              <w:t xml:space="preserve">         </w:t>
            </w:r>
            <w:r>
              <w:rPr>
                <w:rFonts w:hint="eastAsia" w:ascii="宋体" w:hAnsi="宋体" w:cs="宋体"/>
                <w:sz w:val="24"/>
                <w:highlight w:val="none"/>
              </w:rPr>
              <w:t>职务，为法定代表人（负责人），特此证明。</w:t>
            </w:r>
          </w:p>
          <w:p w14:paraId="1001235C">
            <w:pPr>
              <w:spacing w:line="360" w:lineRule="auto"/>
              <w:rPr>
                <w:rFonts w:ascii="宋体" w:hAnsi="宋体" w:cs="宋体"/>
                <w:sz w:val="24"/>
                <w:highlight w:val="none"/>
                <w:u w:val="single"/>
              </w:rPr>
            </w:pPr>
            <w:r>
              <w:rPr>
                <w:rFonts w:hint="eastAsia" w:ascii="宋体" w:hAnsi="宋体" w:cs="宋体"/>
                <w:sz w:val="24"/>
                <w:highlight w:val="none"/>
              </w:rPr>
              <w:t>有效期限：</w:t>
            </w:r>
          </w:p>
          <w:p w14:paraId="06C678C6">
            <w:pPr>
              <w:spacing w:line="360" w:lineRule="auto"/>
              <w:rPr>
                <w:rFonts w:ascii="宋体" w:hAnsi="宋体" w:cs="宋体"/>
                <w:sz w:val="24"/>
                <w:highlight w:val="none"/>
                <w:u w:val="single"/>
              </w:rPr>
            </w:pPr>
            <w:r>
              <w:rPr>
                <w:rFonts w:hint="eastAsia" w:ascii="宋体" w:hAnsi="宋体" w:cs="宋体"/>
                <w:sz w:val="24"/>
                <w:highlight w:val="none"/>
              </w:rPr>
              <w:t>附：法定代表人（负责人）性别：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身份证号码：</w:t>
            </w:r>
          </w:p>
          <w:p w14:paraId="070548AD">
            <w:pPr>
              <w:spacing w:line="360" w:lineRule="auto"/>
              <w:rPr>
                <w:rFonts w:ascii="宋体" w:hAnsi="宋体" w:cs="宋体"/>
                <w:sz w:val="24"/>
                <w:highlight w:val="none"/>
                <w:u w:val="single"/>
              </w:rPr>
            </w:pPr>
            <w:r>
              <w:rPr>
                <w:rFonts w:hint="eastAsia" w:ascii="宋体" w:hAnsi="宋体" w:cs="宋体"/>
                <w:sz w:val="24"/>
                <w:highlight w:val="none"/>
              </w:rPr>
              <w:t>注册号码：</w:t>
            </w:r>
            <w:r>
              <w:rPr>
                <w:rFonts w:hint="eastAsia" w:ascii="宋体" w:hAnsi="宋体" w:cs="宋体"/>
                <w:sz w:val="24"/>
                <w:highlight w:val="none"/>
                <w:u w:val="single"/>
              </w:rPr>
              <w:t xml:space="preserve">                       </w:t>
            </w:r>
            <w:r>
              <w:rPr>
                <w:rFonts w:hint="eastAsia" w:ascii="宋体" w:hAnsi="宋体" w:cs="宋体"/>
                <w:sz w:val="24"/>
                <w:highlight w:val="none"/>
              </w:rPr>
              <w:t>企业类型：</w:t>
            </w:r>
          </w:p>
          <w:p w14:paraId="155CD49A">
            <w:pPr>
              <w:spacing w:line="360" w:lineRule="auto"/>
              <w:rPr>
                <w:rFonts w:ascii="宋体" w:hAnsi="宋体" w:cs="宋体"/>
                <w:sz w:val="24"/>
                <w:highlight w:val="none"/>
                <w:u w:val="single"/>
              </w:rPr>
            </w:pPr>
            <w:r>
              <w:rPr>
                <w:rFonts w:hint="eastAsia" w:ascii="宋体" w:hAnsi="宋体" w:cs="宋体"/>
                <w:sz w:val="24"/>
                <w:highlight w:val="none"/>
              </w:rPr>
              <w:t>经营范围：</w:t>
            </w:r>
          </w:p>
          <w:p w14:paraId="07E49B5A">
            <w:pPr>
              <w:spacing w:line="360" w:lineRule="auto"/>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单位：           （盖章）</w:t>
            </w:r>
          </w:p>
          <w:p w14:paraId="485B206F">
            <w:pPr>
              <w:spacing w:line="360" w:lineRule="auto"/>
              <w:rPr>
                <w:rFonts w:ascii="宋体" w:hAnsi="宋体" w:cs="宋体"/>
                <w:sz w:val="24"/>
                <w:szCs w:val="24"/>
                <w:highlight w:val="none"/>
                <w:u w:val="single"/>
              </w:rPr>
            </w:pPr>
            <w:r>
              <w:rPr>
                <w:rFonts w:hint="eastAsia" w:ascii="宋体" w:hAnsi="宋体" w:cs="宋体"/>
                <w:sz w:val="24"/>
                <w:highlight w:val="none"/>
                <w:u w:val="single"/>
              </w:rPr>
              <w:t xml:space="preserve">                                </w:t>
            </w:r>
            <w:r>
              <w:rPr>
                <w:rFonts w:hint="eastAsia" w:ascii="宋体" w:hAnsi="宋体" w:cs="宋体"/>
                <w:sz w:val="24"/>
                <w:highlight w:val="none"/>
              </w:rPr>
              <w:t xml:space="preserve">              年  月  日</w:t>
            </w:r>
          </w:p>
        </w:tc>
      </w:tr>
    </w:tbl>
    <w:p w14:paraId="01417382">
      <w:pPr>
        <w:spacing w:line="360" w:lineRule="auto"/>
        <w:rPr>
          <w:rFonts w:ascii="宋体" w:hAnsi="宋体" w:cs="宋体"/>
          <w:sz w:val="24"/>
          <w:highlight w:val="none"/>
        </w:rPr>
      </w:pPr>
      <w:r>
        <w:rPr>
          <w:rFonts w:hint="eastAsia" w:ascii="宋体" w:hAnsi="宋体" w:cs="宋体"/>
          <w:sz w:val="24"/>
          <w:highlight w:val="none"/>
        </w:rPr>
        <w:t>注：</w:t>
      </w:r>
      <w:r>
        <w:rPr>
          <w:rFonts w:hint="eastAsia" w:ascii="宋体" w:hAnsi="宋体" w:cs="宋体"/>
          <w:szCs w:val="21"/>
          <w:highlight w:val="none"/>
        </w:rPr>
        <w:t>1、法定代表人证明书也可以采用工商行政管理局统一印制的格式。</w:t>
      </w:r>
    </w:p>
    <w:p w14:paraId="644360A8">
      <w:pPr>
        <w:ind w:firstLine="420" w:firstLineChars="200"/>
        <w:rPr>
          <w:rFonts w:ascii="宋体" w:hAnsi="宋体" w:cs="宋体"/>
          <w:szCs w:val="21"/>
          <w:highlight w:val="none"/>
        </w:rPr>
      </w:pPr>
      <w:r>
        <w:rPr>
          <w:rFonts w:hint="eastAsia" w:ascii="宋体" w:hAnsi="宋体" w:cs="宋体"/>
          <w:szCs w:val="21"/>
          <w:highlight w:val="none"/>
        </w:rPr>
        <w:t>2、联合体投标的，本授权书由主办方出具，仅填写主办方单位名称并由主办方签字或盖章即可。</w:t>
      </w:r>
    </w:p>
    <w:p w14:paraId="7A72A41C">
      <w:pPr>
        <w:spacing w:line="360" w:lineRule="auto"/>
        <w:rPr>
          <w:rFonts w:ascii="宋体" w:hAnsi="宋体" w:cs="宋体"/>
          <w:sz w:val="24"/>
          <w:szCs w:val="24"/>
          <w:highlight w:val="none"/>
        </w:rPr>
      </w:pPr>
    </w:p>
    <w:p w14:paraId="52A0D1E3">
      <w:pPr>
        <w:spacing w:line="360" w:lineRule="auto"/>
        <w:jc w:val="center"/>
        <w:rPr>
          <w:rFonts w:ascii="宋体" w:hAnsi="宋体" w:cs="宋体"/>
          <w:b/>
          <w:sz w:val="28"/>
          <w:highlight w:val="none"/>
        </w:rPr>
      </w:pPr>
      <w:r>
        <w:rPr>
          <w:rFonts w:hint="eastAsia" w:ascii="宋体" w:hAnsi="宋体" w:cs="宋体"/>
          <w:b/>
          <w:sz w:val="28"/>
          <w:highlight w:val="none"/>
        </w:rPr>
        <w:t>法定代表人授权委托书</w:t>
      </w:r>
    </w:p>
    <w:p w14:paraId="32CACFAD">
      <w:pPr>
        <w:spacing w:line="360" w:lineRule="auto"/>
        <w:jc w:val="right"/>
        <w:rPr>
          <w:rFonts w:ascii="宋体" w:hAnsi="宋体" w:cs="宋体"/>
          <w:sz w:val="24"/>
          <w:highlight w:val="none"/>
        </w:rPr>
      </w:pPr>
      <w:r>
        <w:rPr>
          <w:rFonts w:hint="eastAsia" w:ascii="宋体" w:hAnsi="宋体" w:cs="宋体"/>
          <w:highlight w:val="none"/>
        </w:rPr>
        <w:t>（　 ）第　号</w:t>
      </w:r>
    </w:p>
    <w:tbl>
      <w:tblPr>
        <w:tblStyle w:val="4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14:paraId="526B0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3" w:type="dxa"/>
            <w:tcBorders>
              <w:top w:val="single" w:color="auto" w:sz="4" w:space="0"/>
              <w:left w:val="single" w:color="auto" w:sz="4" w:space="0"/>
              <w:bottom w:val="single" w:color="auto" w:sz="4" w:space="0"/>
              <w:right w:val="single" w:color="auto" w:sz="4" w:space="0"/>
            </w:tcBorders>
          </w:tcPr>
          <w:p w14:paraId="01397DB5">
            <w:pPr>
              <w:spacing w:line="360" w:lineRule="auto"/>
              <w:ind w:firstLine="480" w:firstLineChars="200"/>
              <w:rPr>
                <w:rFonts w:ascii="宋体" w:hAnsi="宋体" w:cs="宋体"/>
                <w:sz w:val="24"/>
                <w:szCs w:val="24"/>
                <w:highlight w:val="none"/>
                <w:u w:val="single"/>
              </w:rPr>
            </w:pPr>
            <w:r>
              <w:rPr>
                <w:rFonts w:hint="eastAsia" w:ascii="宋体" w:hAnsi="宋体" w:cs="宋体"/>
                <w:sz w:val="24"/>
                <w:highlight w:val="none"/>
              </w:rPr>
              <w:t>兹授权为我方委托代理人，其权限是：</w:t>
            </w:r>
          </w:p>
          <w:p w14:paraId="3FC85AEB">
            <w:pPr>
              <w:spacing w:line="360" w:lineRule="auto"/>
              <w:rPr>
                <w:rFonts w:ascii="宋体" w:hAnsi="宋体" w:cs="宋体"/>
                <w:sz w:val="24"/>
                <w:highlight w:val="none"/>
                <w:u w:val="single"/>
              </w:rPr>
            </w:pPr>
            <w:r>
              <w:rPr>
                <w:rFonts w:hint="eastAsia" w:ascii="宋体" w:hAnsi="宋体" w:cs="宋体"/>
                <w:sz w:val="24"/>
                <w:highlight w:val="none"/>
              </w:rPr>
              <w:t>有效期限：</w:t>
            </w:r>
          </w:p>
          <w:p w14:paraId="67E894BB">
            <w:pPr>
              <w:spacing w:line="360" w:lineRule="auto"/>
              <w:rPr>
                <w:rFonts w:ascii="宋体" w:hAnsi="宋体" w:cs="宋体"/>
                <w:sz w:val="24"/>
                <w:highlight w:val="none"/>
              </w:rPr>
            </w:pPr>
            <w:r>
              <w:rPr>
                <w:rFonts w:hint="eastAsia" w:ascii="宋体" w:hAnsi="宋体" w:cs="宋体"/>
                <w:sz w:val="24"/>
                <w:highlight w:val="none"/>
              </w:rPr>
              <w:t>附：代理人性别：年龄：身份证号码：</w:t>
            </w:r>
          </w:p>
          <w:p w14:paraId="04148A8B">
            <w:pPr>
              <w:spacing w:line="360" w:lineRule="auto"/>
              <w:rPr>
                <w:rFonts w:ascii="宋体" w:hAnsi="宋体" w:cs="宋体"/>
                <w:sz w:val="24"/>
                <w:highlight w:val="none"/>
                <w:u w:val="single"/>
              </w:rPr>
            </w:pPr>
            <w:r>
              <w:rPr>
                <w:rFonts w:hint="eastAsia" w:ascii="宋体" w:hAnsi="宋体" w:cs="宋体"/>
                <w:sz w:val="24"/>
                <w:highlight w:val="none"/>
              </w:rPr>
              <w:t>注册号码：企业类型：</w:t>
            </w:r>
          </w:p>
          <w:p w14:paraId="6750BDD4">
            <w:pPr>
              <w:spacing w:line="360" w:lineRule="auto"/>
              <w:rPr>
                <w:rFonts w:ascii="宋体" w:hAnsi="宋体" w:cs="宋体"/>
                <w:sz w:val="24"/>
                <w:highlight w:val="none"/>
                <w:u w:val="single"/>
              </w:rPr>
            </w:pPr>
            <w:r>
              <w:rPr>
                <w:rFonts w:hint="eastAsia" w:ascii="宋体" w:hAnsi="宋体" w:cs="宋体"/>
                <w:sz w:val="24"/>
                <w:highlight w:val="none"/>
              </w:rPr>
              <w:t>经营范围：</w:t>
            </w:r>
          </w:p>
          <w:p w14:paraId="7C53CC66">
            <w:pPr>
              <w:spacing w:line="360" w:lineRule="auto"/>
              <w:rPr>
                <w:rFonts w:ascii="宋体" w:hAnsi="宋体" w:cs="宋体"/>
                <w:sz w:val="24"/>
                <w:highlight w:val="none"/>
              </w:rPr>
            </w:pPr>
            <w:r>
              <w:rPr>
                <w:rFonts w:hint="eastAsia" w:ascii="宋体" w:hAnsi="宋体" w:cs="宋体"/>
                <w:sz w:val="24"/>
                <w:highlight w:val="none"/>
              </w:rPr>
              <w:t>法定代表人（负责人）：（签名或盖章）</w:t>
            </w:r>
          </w:p>
          <w:p w14:paraId="35009FB7">
            <w:pPr>
              <w:spacing w:line="360" w:lineRule="auto"/>
              <w:rPr>
                <w:rFonts w:ascii="宋体" w:hAnsi="宋体" w:cs="宋体"/>
                <w:sz w:val="24"/>
                <w:highlight w:val="none"/>
              </w:rPr>
            </w:pPr>
            <w:r>
              <w:rPr>
                <w:rFonts w:hint="eastAsia" w:ascii="宋体" w:hAnsi="宋体" w:cs="宋体"/>
                <w:sz w:val="24"/>
                <w:highlight w:val="none"/>
              </w:rPr>
              <w:t>授权单位：（盖章）</w:t>
            </w:r>
          </w:p>
          <w:p w14:paraId="436A7E02">
            <w:pPr>
              <w:spacing w:line="360" w:lineRule="auto"/>
              <w:rPr>
                <w:rFonts w:ascii="宋体" w:hAnsi="宋体" w:cs="宋体"/>
                <w:sz w:val="24"/>
                <w:szCs w:val="24"/>
                <w:highlight w:val="none"/>
              </w:rPr>
            </w:pPr>
            <w:r>
              <w:rPr>
                <w:rFonts w:hint="eastAsia" w:ascii="宋体" w:hAnsi="宋体" w:cs="宋体"/>
                <w:sz w:val="24"/>
                <w:highlight w:val="none"/>
              </w:rPr>
              <w:t>年  月   日</w:t>
            </w:r>
          </w:p>
        </w:tc>
      </w:tr>
    </w:tbl>
    <w:p w14:paraId="74E18922">
      <w:pPr>
        <w:spacing w:line="360" w:lineRule="auto"/>
        <w:rPr>
          <w:rFonts w:ascii="宋体" w:hAnsi="宋体" w:cs="宋体"/>
          <w:szCs w:val="21"/>
          <w:highlight w:val="none"/>
        </w:rPr>
      </w:pPr>
      <w:r>
        <w:rPr>
          <w:rFonts w:hint="eastAsia" w:ascii="宋体" w:hAnsi="宋体" w:cs="宋体"/>
          <w:szCs w:val="21"/>
          <w:highlight w:val="none"/>
        </w:rPr>
        <w:t>注：1、法定代表人授权委托书也可以采用工商行政管理局统一印制的格式。</w:t>
      </w:r>
    </w:p>
    <w:p w14:paraId="73C99E4B">
      <w:pPr>
        <w:ind w:firstLine="420"/>
        <w:rPr>
          <w:rFonts w:ascii="宋体" w:hAnsi="宋体" w:cs="宋体"/>
          <w:szCs w:val="21"/>
          <w:highlight w:val="none"/>
        </w:rPr>
      </w:pPr>
      <w:r>
        <w:rPr>
          <w:rFonts w:hint="eastAsia" w:ascii="宋体" w:hAnsi="宋体" w:cs="宋体"/>
          <w:szCs w:val="21"/>
          <w:highlight w:val="none"/>
        </w:rPr>
        <w:t>2、联合体投标的，本授权书由主办方出具，仅填写主办方单位名称并由主办方签字或盖章即可。</w:t>
      </w:r>
    </w:p>
    <w:p w14:paraId="7EAAC982">
      <w:pPr>
        <w:pStyle w:val="40"/>
        <w:ind w:left="0" w:leftChars="0" w:firstLine="0" w:firstLineChars="0"/>
        <w:jc w:val="left"/>
        <w:rPr>
          <w:rFonts w:ascii="宋体" w:hAnsi="宋体" w:cs="宋体"/>
          <w:highlight w:val="none"/>
        </w:rPr>
      </w:pPr>
      <w:r>
        <w:rPr>
          <w:rFonts w:hint="eastAsia" w:ascii="宋体" w:hAnsi="宋体" w:cs="宋体"/>
          <w:highlight w:val="none"/>
        </w:rPr>
        <w:br w:type="page"/>
      </w:r>
      <w:r>
        <w:rPr>
          <w:rFonts w:hint="eastAsia" w:ascii="宋体" w:hAnsi="宋体" w:cs="宋体"/>
          <w:b/>
          <w:sz w:val="28"/>
          <w:highlight w:val="none"/>
        </w:rPr>
        <w:t>格式2：</w:t>
      </w:r>
    </w:p>
    <w:p w14:paraId="5397CE91">
      <w:pPr>
        <w:pStyle w:val="40"/>
        <w:ind w:left="0" w:leftChars="0" w:firstLine="0" w:firstLineChars="0"/>
        <w:jc w:val="center"/>
        <w:rPr>
          <w:rFonts w:ascii="宋体" w:hAnsi="宋体" w:cs="宋体"/>
          <w:b/>
          <w:bCs/>
          <w:sz w:val="44"/>
          <w:szCs w:val="44"/>
          <w:highlight w:val="none"/>
          <w:lang w:val="zh-CN"/>
        </w:rPr>
      </w:pPr>
      <w:r>
        <w:rPr>
          <w:rFonts w:hint="eastAsia" w:ascii="宋体" w:hAnsi="宋体" w:cs="宋体"/>
          <w:b/>
          <w:bCs/>
          <w:sz w:val="36"/>
          <w:szCs w:val="32"/>
          <w:highlight w:val="none"/>
          <w:lang w:val="zh-CN"/>
        </w:rPr>
        <w:t>投标函</w:t>
      </w:r>
    </w:p>
    <w:p w14:paraId="065B8772">
      <w:pPr>
        <w:widowControl/>
        <w:adjustRightInd w:val="0"/>
        <w:snapToGrid w:val="0"/>
        <w:spacing w:line="360" w:lineRule="auto"/>
        <w:ind w:right="102"/>
        <w:jc w:val="left"/>
        <w:rPr>
          <w:rFonts w:ascii="宋体" w:hAnsi="宋体" w:cs="宋体"/>
          <w:szCs w:val="21"/>
          <w:highlight w:val="none"/>
        </w:rPr>
      </w:pPr>
      <w:r>
        <w:rPr>
          <w:rFonts w:hint="eastAsia" w:ascii="宋体" w:hAnsi="宋体" w:cs="宋体"/>
          <w:szCs w:val="21"/>
          <w:highlight w:val="none"/>
          <w:lang w:val="zh-CN"/>
        </w:rPr>
        <w:t>致：</w:t>
      </w:r>
      <w:r>
        <w:rPr>
          <w:rFonts w:hint="eastAsia" w:ascii="宋体" w:hAnsi="宋体" w:cs="宋体"/>
          <w:szCs w:val="21"/>
          <w:highlight w:val="none"/>
          <w:u w:val="single"/>
        </w:rPr>
        <w:t xml:space="preserve">                        </w:t>
      </w:r>
      <w:r>
        <w:rPr>
          <w:rFonts w:hint="eastAsia" w:ascii="宋体" w:hAnsi="宋体" w:cs="宋体"/>
          <w:szCs w:val="21"/>
          <w:highlight w:val="none"/>
        </w:rPr>
        <w:t>（招标人名称）</w:t>
      </w:r>
    </w:p>
    <w:p w14:paraId="605D7C1F">
      <w:pPr>
        <w:pStyle w:val="22"/>
        <w:adjustRightInd w:val="0"/>
        <w:snapToGrid w:val="0"/>
        <w:spacing w:line="360" w:lineRule="auto"/>
        <w:ind w:firstLine="420"/>
        <w:rPr>
          <w:rFonts w:hAnsi="宋体" w:cs="宋体"/>
          <w:szCs w:val="21"/>
          <w:highlight w:val="none"/>
        </w:rPr>
      </w:pPr>
      <w:r>
        <w:rPr>
          <w:rFonts w:hint="eastAsia" w:hAnsi="宋体" w:cs="宋体"/>
          <w:szCs w:val="21"/>
          <w:highlight w:val="none"/>
        </w:rPr>
        <w:t>我方确认收到贵方提供的</w:t>
      </w:r>
      <w:r>
        <w:rPr>
          <w:rFonts w:hint="eastAsia" w:hAnsi="宋体" w:cs="宋体"/>
          <w:szCs w:val="21"/>
          <w:highlight w:val="none"/>
          <w:u w:val="single"/>
        </w:rPr>
        <w:t xml:space="preserve">       （项目名称）</w:t>
      </w:r>
      <w:r>
        <w:rPr>
          <w:rFonts w:hint="eastAsia" w:hAnsi="宋体" w:cs="宋体"/>
          <w:szCs w:val="21"/>
          <w:highlight w:val="none"/>
        </w:rPr>
        <w:t>招标文件的全部内容，我方：</w:t>
      </w:r>
      <w:r>
        <w:rPr>
          <w:rFonts w:hint="eastAsia" w:hAnsi="宋体" w:cs="宋体"/>
          <w:szCs w:val="21"/>
          <w:highlight w:val="none"/>
          <w:u w:val="single"/>
        </w:rPr>
        <w:t xml:space="preserve">        （投标人名称）</w:t>
      </w:r>
      <w:r>
        <w:rPr>
          <w:rFonts w:hint="eastAsia" w:hAnsi="宋体" w:cs="宋体"/>
          <w:szCs w:val="21"/>
          <w:highlight w:val="none"/>
        </w:rPr>
        <w:t>已理解招标文件的全部内容，我方作为投标人正式授权</w:t>
      </w:r>
      <w:r>
        <w:rPr>
          <w:rFonts w:hint="eastAsia" w:hAnsi="宋体" w:cs="宋体"/>
          <w:szCs w:val="21"/>
          <w:highlight w:val="none"/>
          <w:u w:val="single"/>
        </w:rPr>
        <w:t xml:space="preserve">        （授权代表全名， 职务</w:t>
      </w:r>
      <w:r>
        <w:rPr>
          <w:rFonts w:hint="eastAsia" w:hAnsi="宋体" w:cs="宋体"/>
          <w:szCs w:val="21"/>
          <w:highlight w:val="none"/>
        </w:rPr>
        <w:t>）代表我方进行有关本次投标活动的一切事宜，考虑本企业自身的实力及特点，做出如下承诺：</w:t>
      </w:r>
    </w:p>
    <w:p w14:paraId="29D04210">
      <w:pPr>
        <w:widowControl/>
        <w:adjustRightInd w:val="0"/>
        <w:snapToGrid w:val="0"/>
        <w:spacing w:line="360" w:lineRule="auto"/>
        <w:ind w:right="102" w:firstLine="420"/>
        <w:jc w:val="left"/>
        <w:rPr>
          <w:rFonts w:ascii="宋体" w:hAnsi="宋体" w:cs="宋体"/>
          <w:szCs w:val="21"/>
          <w:highlight w:val="none"/>
        </w:rPr>
      </w:pPr>
      <w:r>
        <w:rPr>
          <w:rFonts w:hint="eastAsia" w:ascii="宋体" w:hAnsi="宋体" w:cs="宋体"/>
          <w:szCs w:val="21"/>
          <w:highlight w:val="none"/>
          <w:lang w:val="zh-CN"/>
        </w:rPr>
        <w:t>1、我方已详细研究了本项目招标文件的所有内容包括修正文（如果有）和所有已提供的参考资料以及合同条款和有关附件，并完全明白，我方放弃在此方面提出含糊意见或误解的一切权力。</w:t>
      </w:r>
    </w:p>
    <w:p w14:paraId="130CF633">
      <w:pPr>
        <w:widowControl/>
        <w:adjustRightInd w:val="0"/>
        <w:snapToGrid w:val="0"/>
        <w:spacing w:line="360" w:lineRule="auto"/>
        <w:ind w:right="102" w:firstLine="420"/>
        <w:jc w:val="left"/>
        <w:rPr>
          <w:rFonts w:ascii="宋体" w:hAnsi="宋体" w:cs="宋体"/>
          <w:szCs w:val="21"/>
          <w:highlight w:val="none"/>
        </w:rPr>
      </w:pPr>
      <w:r>
        <w:rPr>
          <w:rFonts w:hint="eastAsia" w:ascii="宋体" w:hAnsi="宋体" w:cs="宋体"/>
          <w:szCs w:val="21"/>
          <w:highlight w:val="none"/>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4276630E">
      <w:pPr>
        <w:widowControl/>
        <w:adjustRightInd w:val="0"/>
        <w:snapToGrid w:val="0"/>
        <w:spacing w:line="360" w:lineRule="auto"/>
        <w:ind w:right="102" w:firstLine="420"/>
        <w:jc w:val="left"/>
        <w:rPr>
          <w:rFonts w:ascii="宋体" w:hAnsi="宋体" w:cs="宋体"/>
          <w:szCs w:val="21"/>
          <w:highlight w:val="none"/>
        </w:rPr>
      </w:pPr>
      <w:r>
        <w:rPr>
          <w:rFonts w:hint="eastAsia" w:ascii="宋体" w:hAnsi="宋体" w:cs="宋体"/>
          <w:szCs w:val="21"/>
          <w:highlight w:val="none"/>
          <w:lang w:val="zh-CN"/>
        </w:rPr>
        <w:t>3、我方同意按照贵方可能提出的要求，提供与我方投标有关的任何其它数据或信息。</w:t>
      </w:r>
    </w:p>
    <w:p w14:paraId="5204F674">
      <w:pPr>
        <w:widowControl/>
        <w:adjustRightInd w:val="0"/>
        <w:snapToGrid w:val="0"/>
        <w:spacing w:line="360" w:lineRule="auto"/>
        <w:ind w:right="102" w:firstLine="420"/>
        <w:jc w:val="left"/>
        <w:rPr>
          <w:rFonts w:ascii="宋体" w:hAnsi="宋体" w:cs="宋体"/>
          <w:szCs w:val="21"/>
          <w:highlight w:val="none"/>
        </w:rPr>
      </w:pPr>
      <w:r>
        <w:rPr>
          <w:rFonts w:hint="eastAsia" w:ascii="宋体" w:hAnsi="宋体" w:cs="宋体"/>
          <w:szCs w:val="21"/>
          <w:highlight w:val="none"/>
          <w:lang w:val="zh-CN"/>
        </w:rPr>
        <w:t>4、本投标文件的有效期</w:t>
      </w:r>
      <w:r>
        <w:rPr>
          <w:rFonts w:hint="eastAsia" w:ascii="宋体" w:hAnsi="宋体" w:cs="宋体"/>
          <w:szCs w:val="21"/>
          <w:highlight w:val="none"/>
          <w:u w:val="single"/>
        </w:rPr>
        <w:t>90</w:t>
      </w:r>
      <w:r>
        <w:rPr>
          <w:rFonts w:hint="eastAsia" w:ascii="宋体" w:hAnsi="宋体" w:cs="宋体"/>
          <w:szCs w:val="21"/>
          <w:highlight w:val="none"/>
        </w:rPr>
        <w:t>日历天（从投标截止之日计起）</w:t>
      </w:r>
      <w:r>
        <w:rPr>
          <w:rFonts w:hint="eastAsia" w:ascii="宋体" w:hAnsi="宋体" w:cs="宋体"/>
          <w:szCs w:val="21"/>
          <w:highlight w:val="none"/>
          <w:lang w:val="zh-CN"/>
        </w:rPr>
        <w:t>，如中标，有效期将自动延至设计施工总承包合同终止日为止。</w:t>
      </w:r>
    </w:p>
    <w:p w14:paraId="5E38AC9F">
      <w:pPr>
        <w:widowControl/>
        <w:adjustRightInd w:val="0"/>
        <w:snapToGrid w:val="0"/>
        <w:spacing w:line="360" w:lineRule="auto"/>
        <w:ind w:right="102" w:firstLine="420"/>
        <w:jc w:val="left"/>
        <w:rPr>
          <w:rFonts w:ascii="宋体" w:hAnsi="宋体" w:cs="宋体"/>
          <w:szCs w:val="21"/>
          <w:highlight w:val="none"/>
          <w:lang w:val="zh-CN"/>
        </w:rPr>
      </w:pPr>
      <w:r>
        <w:rPr>
          <w:rFonts w:hint="eastAsia" w:ascii="宋体" w:hAnsi="宋体" w:cs="宋体"/>
          <w:szCs w:val="21"/>
          <w:highlight w:val="none"/>
          <w:lang w:val="zh-CN"/>
        </w:rPr>
        <w:t>5、我方的</w:t>
      </w:r>
      <w:r>
        <w:rPr>
          <w:rFonts w:hint="eastAsia" w:ascii="宋体" w:hAnsi="宋体" w:cs="宋体"/>
          <w:b/>
          <w:szCs w:val="21"/>
          <w:highlight w:val="none"/>
        </w:rPr>
        <w:t>报价以《投标书》为准</w:t>
      </w:r>
      <w:r>
        <w:rPr>
          <w:rFonts w:hint="eastAsia" w:ascii="宋体" w:hAnsi="宋体" w:cs="宋体"/>
          <w:szCs w:val="21"/>
          <w:highlight w:val="none"/>
          <w:lang w:val="zh-CN"/>
        </w:rPr>
        <w:t>。我方承诺以上报价不低于我方成本价并且已包括完成本项目招标内容和服务范围所包含全部工作的费用。</w:t>
      </w:r>
    </w:p>
    <w:p w14:paraId="29B80A24">
      <w:pPr>
        <w:widowControl/>
        <w:adjustRightInd w:val="0"/>
        <w:snapToGrid w:val="0"/>
        <w:spacing w:line="360" w:lineRule="auto"/>
        <w:ind w:right="102" w:firstLine="420"/>
        <w:jc w:val="left"/>
        <w:rPr>
          <w:rFonts w:ascii="宋体" w:hAnsi="宋体" w:cs="宋体"/>
          <w:szCs w:val="21"/>
          <w:highlight w:val="none"/>
        </w:rPr>
      </w:pPr>
      <w:r>
        <w:rPr>
          <w:rFonts w:hint="eastAsia" w:ascii="宋体" w:hAnsi="宋体" w:cs="宋体"/>
          <w:szCs w:val="21"/>
          <w:highlight w:val="none"/>
          <w:lang w:val="zh-CN"/>
        </w:rPr>
        <w:t>6、我方如果中标，将按招标文件合同条款以及我方在投标文件中的承诺签订合同。</w:t>
      </w:r>
    </w:p>
    <w:p w14:paraId="6BB46BDC">
      <w:pPr>
        <w:widowControl/>
        <w:adjustRightInd w:val="0"/>
        <w:snapToGrid w:val="0"/>
        <w:spacing w:line="360" w:lineRule="auto"/>
        <w:ind w:right="102" w:firstLine="420"/>
        <w:jc w:val="left"/>
        <w:rPr>
          <w:rFonts w:ascii="宋体" w:hAnsi="宋体" w:cs="宋体"/>
          <w:szCs w:val="21"/>
          <w:highlight w:val="none"/>
        </w:rPr>
      </w:pPr>
      <w:r>
        <w:rPr>
          <w:rFonts w:hint="eastAsia" w:ascii="宋体" w:hAnsi="宋体" w:cs="宋体"/>
          <w:szCs w:val="21"/>
          <w:highlight w:val="none"/>
          <w:lang w:val="zh-CN"/>
        </w:rPr>
        <w:t>7、我方完全接受招标人对本项目功能需求和相关建设标准的要求。如果中标，我方保证本工程的投资、工期、质量、安全等控制目标按照招标文件要求完成。</w:t>
      </w:r>
    </w:p>
    <w:p w14:paraId="3766E509">
      <w:pPr>
        <w:widowControl/>
        <w:adjustRightInd w:val="0"/>
        <w:snapToGrid w:val="0"/>
        <w:spacing w:line="360" w:lineRule="auto"/>
        <w:ind w:right="102" w:firstLine="420"/>
        <w:jc w:val="left"/>
        <w:rPr>
          <w:rFonts w:ascii="宋体" w:hAnsi="宋体" w:cs="宋体"/>
          <w:szCs w:val="21"/>
          <w:highlight w:val="none"/>
        </w:rPr>
      </w:pPr>
      <w:r>
        <w:rPr>
          <w:rFonts w:hint="eastAsia" w:ascii="宋体" w:hAnsi="宋体" w:cs="宋体"/>
          <w:szCs w:val="21"/>
          <w:highlight w:val="none"/>
        </w:rPr>
        <w:t>8</w:t>
      </w:r>
      <w:r>
        <w:rPr>
          <w:rFonts w:hint="eastAsia" w:ascii="宋体" w:hAnsi="宋体" w:cs="宋体"/>
          <w:szCs w:val="21"/>
          <w:highlight w:val="none"/>
          <w:lang w:val="zh-CN"/>
        </w:rPr>
        <w:t>、我方如果中标，承诺在中标通知书发出后30个日历天内与贵方签署项目合同。</w:t>
      </w:r>
    </w:p>
    <w:p w14:paraId="3E10EB09">
      <w:pPr>
        <w:widowControl/>
        <w:adjustRightInd w:val="0"/>
        <w:snapToGrid w:val="0"/>
        <w:spacing w:line="360" w:lineRule="auto"/>
        <w:ind w:right="102" w:firstLine="420"/>
        <w:jc w:val="left"/>
        <w:rPr>
          <w:rFonts w:ascii="宋体" w:hAnsi="宋体" w:cs="宋体"/>
          <w:szCs w:val="21"/>
          <w:highlight w:val="none"/>
          <w:lang w:val="zh-CN"/>
        </w:rPr>
      </w:pPr>
      <w:r>
        <w:rPr>
          <w:rFonts w:hint="eastAsia" w:ascii="宋体" w:hAnsi="宋体" w:cs="宋体"/>
          <w:szCs w:val="21"/>
          <w:highlight w:val="none"/>
          <w:lang w:val="zh-CN"/>
        </w:rPr>
        <w:t>如我方违背上述承诺，我方愿意接受公开通报，放弃中标资格，承担由此带来的法律后果。</w:t>
      </w:r>
    </w:p>
    <w:p w14:paraId="0E671256">
      <w:pPr>
        <w:widowControl/>
        <w:wordWrap w:val="0"/>
        <w:adjustRightInd w:val="0"/>
        <w:snapToGrid w:val="0"/>
        <w:spacing w:line="360" w:lineRule="auto"/>
        <w:ind w:right="102"/>
        <w:jc w:val="right"/>
        <w:rPr>
          <w:rFonts w:ascii="宋体" w:hAnsi="宋体" w:cs="宋体"/>
          <w:szCs w:val="21"/>
          <w:highlight w:val="none"/>
          <w:lang w:val="zh-CN"/>
        </w:rPr>
      </w:pPr>
    </w:p>
    <w:p w14:paraId="77B77C2B">
      <w:pPr>
        <w:widowControl/>
        <w:wordWrap w:val="0"/>
        <w:adjustRightInd w:val="0"/>
        <w:snapToGrid w:val="0"/>
        <w:spacing w:line="360" w:lineRule="auto"/>
        <w:ind w:right="102"/>
        <w:jc w:val="right"/>
        <w:rPr>
          <w:rFonts w:ascii="宋体" w:hAnsi="宋体" w:cs="宋体"/>
          <w:szCs w:val="21"/>
          <w:highlight w:val="none"/>
        </w:rPr>
      </w:pPr>
      <w:r>
        <w:rPr>
          <w:rFonts w:hint="eastAsia" w:ascii="宋体" w:hAnsi="宋体" w:cs="宋体"/>
          <w:szCs w:val="21"/>
          <w:highlight w:val="none"/>
          <w:lang w:val="zh-CN"/>
        </w:rPr>
        <w:t>投标人（法人公章）：</w:t>
      </w:r>
      <w:r>
        <w:rPr>
          <w:rFonts w:hint="eastAsia" w:ascii="宋体" w:hAnsi="宋体" w:cs="宋体"/>
          <w:szCs w:val="21"/>
          <w:highlight w:val="none"/>
          <w:u w:val="single"/>
        </w:rPr>
        <w:t xml:space="preserve">                   </w:t>
      </w:r>
    </w:p>
    <w:p w14:paraId="17167B7C">
      <w:pPr>
        <w:widowControl/>
        <w:wordWrap w:val="0"/>
        <w:adjustRightInd w:val="0"/>
        <w:snapToGrid w:val="0"/>
        <w:spacing w:line="360" w:lineRule="auto"/>
        <w:ind w:right="102"/>
        <w:jc w:val="right"/>
        <w:rPr>
          <w:rFonts w:ascii="宋体" w:hAnsi="宋体" w:cs="宋体"/>
          <w:szCs w:val="21"/>
          <w:highlight w:val="none"/>
        </w:rPr>
      </w:pPr>
      <w:r>
        <w:rPr>
          <w:rFonts w:hint="eastAsia" w:ascii="宋体" w:hAnsi="宋体" w:cs="宋体"/>
          <w:szCs w:val="21"/>
          <w:highlight w:val="none"/>
          <w:lang w:val="zh-CN"/>
        </w:rPr>
        <w:t>法定代表人或授权代表（签字或盖章）：</w:t>
      </w:r>
      <w:r>
        <w:rPr>
          <w:rFonts w:hint="eastAsia" w:ascii="宋体" w:hAnsi="宋体" w:cs="宋体"/>
          <w:szCs w:val="21"/>
          <w:highlight w:val="none"/>
          <w:u w:val="single"/>
        </w:rPr>
        <w:t xml:space="preserve">                   </w:t>
      </w:r>
    </w:p>
    <w:p w14:paraId="0B10EBA6">
      <w:pPr>
        <w:widowControl/>
        <w:wordWrap w:val="0"/>
        <w:adjustRightInd w:val="0"/>
        <w:snapToGrid w:val="0"/>
        <w:spacing w:line="360" w:lineRule="auto"/>
        <w:ind w:right="102"/>
        <w:jc w:val="right"/>
        <w:rPr>
          <w:rFonts w:ascii="宋体" w:hAnsi="宋体" w:cs="宋体"/>
          <w:szCs w:val="21"/>
          <w:highlight w:val="none"/>
          <w:lang w:val="zh-CN"/>
        </w:rPr>
      </w:pPr>
      <w:r>
        <w:rPr>
          <w:rFonts w:hint="eastAsia" w:ascii="宋体" w:hAnsi="宋体" w:cs="宋体"/>
          <w:szCs w:val="21"/>
          <w:highlight w:val="none"/>
          <w:lang w:val="zh-CN"/>
        </w:rPr>
        <w:t>日期：_______年_______月______日</w:t>
      </w:r>
    </w:p>
    <w:p w14:paraId="2C707334">
      <w:pPr>
        <w:pStyle w:val="40"/>
        <w:rPr>
          <w:rFonts w:ascii="宋体" w:hAnsi="宋体" w:cs="宋体"/>
          <w:szCs w:val="21"/>
          <w:highlight w:val="none"/>
          <w:lang w:val="zh-CN"/>
        </w:rPr>
      </w:pPr>
    </w:p>
    <w:p w14:paraId="3575D0F5">
      <w:pPr>
        <w:wordWrap w:val="0"/>
        <w:topLinePunct/>
        <w:rPr>
          <w:rFonts w:ascii="宋体" w:hAnsi="宋体" w:cs="宋体"/>
          <w:b/>
          <w:bCs/>
          <w:szCs w:val="24"/>
          <w:highlight w:val="none"/>
        </w:rPr>
      </w:pPr>
      <w:r>
        <w:rPr>
          <w:rFonts w:hint="eastAsia" w:ascii="宋体" w:hAnsi="宋体" w:cs="宋体"/>
          <w:b/>
          <w:szCs w:val="21"/>
          <w:highlight w:val="none"/>
        </w:rPr>
        <w:t>注：联合体投标的，“投标人”一栏需书写所有联合体成员的单位全称，可由主办方签署、盖章。</w:t>
      </w:r>
    </w:p>
    <w:p w14:paraId="1AB34431">
      <w:pPr>
        <w:pStyle w:val="40"/>
        <w:rPr>
          <w:rFonts w:ascii="宋体" w:hAnsi="宋体" w:cs="宋体"/>
          <w:szCs w:val="21"/>
          <w:highlight w:val="none"/>
        </w:rPr>
      </w:pPr>
    </w:p>
    <w:p w14:paraId="3FE9E1FB">
      <w:pPr>
        <w:pStyle w:val="40"/>
        <w:rPr>
          <w:rFonts w:ascii="宋体" w:hAnsi="宋体" w:cs="宋体"/>
          <w:szCs w:val="21"/>
          <w:highlight w:val="none"/>
          <w:lang w:val="zh-CN"/>
        </w:rPr>
      </w:pPr>
    </w:p>
    <w:p w14:paraId="58823DFE">
      <w:pPr>
        <w:pStyle w:val="40"/>
        <w:rPr>
          <w:rFonts w:ascii="宋体" w:hAnsi="宋体" w:cs="宋体"/>
          <w:szCs w:val="21"/>
          <w:highlight w:val="none"/>
          <w:lang w:val="zh-CN"/>
        </w:rPr>
      </w:pPr>
    </w:p>
    <w:bookmarkEnd w:id="1107"/>
    <w:bookmarkEnd w:id="1108"/>
    <w:p w14:paraId="50A32093">
      <w:pPr>
        <w:rPr>
          <w:rFonts w:ascii="宋体" w:hAnsi="宋体" w:cs="宋体"/>
          <w:highlight w:val="none"/>
        </w:rPr>
      </w:pPr>
    </w:p>
    <w:p w14:paraId="05B9B7E5">
      <w:pPr>
        <w:widowControl/>
        <w:adjustRightInd w:val="0"/>
        <w:snapToGrid w:val="0"/>
        <w:ind w:right="102"/>
        <w:jc w:val="left"/>
        <w:rPr>
          <w:rFonts w:ascii="宋体" w:hAnsi="宋体" w:cs="宋体"/>
          <w:b/>
          <w:bCs/>
          <w:sz w:val="36"/>
          <w:szCs w:val="32"/>
          <w:highlight w:val="none"/>
          <w:lang w:val="zh-CN"/>
        </w:rPr>
      </w:pPr>
      <w:r>
        <w:rPr>
          <w:rFonts w:hint="eastAsia" w:ascii="宋体" w:hAnsi="宋体" w:cs="宋体"/>
          <w:b/>
          <w:bCs/>
          <w:sz w:val="36"/>
          <w:szCs w:val="32"/>
          <w:highlight w:val="none"/>
          <w:lang w:val="zh-CN"/>
        </w:rPr>
        <w:br w:type="page"/>
      </w:r>
      <w:r>
        <w:rPr>
          <w:rFonts w:hint="eastAsia" w:ascii="宋体" w:hAnsi="宋体" w:cs="宋体"/>
          <w:b/>
          <w:sz w:val="28"/>
          <w:highlight w:val="none"/>
        </w:rPr>
        <w:t>格式3：</w:t>
      </w:r>
    </w:p>
    <w:p w14:paraId="6D59104E">
      <w:pPr>
        <w:autoSpaceDE w:val="0"/>
        <w:autoSpaceDN w:val="0"/>
        <w:adjustRightInd w:val="0"/>
        <w:jc w:val="center"/>
        <w:rPr>
          <w:rFonts w:ascii="宋体" w:hAnsi="宋体" w:cs="宋体"/>
          <w:b/>
          <w:bCs/>
          <w:sz w:val="36"/>
          <w:szCs w:val="36"/>
          <w:highlight w:val="none"/>
          <w:lang w:val="zh-CN"/>
        </w:rPr>
      </w:pPr>
      <w:r>
        <w:rPr>
          <w:rFonts w:hint="eastAsia" w:ascii="宋体" w:hAnsi="宋体" w:cs="宋体"/>
          <w:b/>
          <w:bCs/>
          <w:sz w:val="36"/>
          <w:szCs w:val="36"/>
          <w:highlight w:val="none"/>
          <w:lang w:val="zh-CN"/>
        </w:rPr>
        <w:t>投标书</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994"/>
        <w:gridCol w:w="2225"/>
        <w:gridCol w:w="4572"/>
      </w:tblGrid>
      <w:tr w14:paraId="0BE3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14:paraId="70C0DE73">
            <w:pPr>
              <w:spacing w:line="400" w:lineRule="exact"/>
              <w:jc w:val="center"/>
              <w:rPr>
                <w:rFonts w:ascii="宋体" w:hAnsi="宋体" w:cs="宋体"/>
                <w:highlight w:val="none"/>
              </w:rPr>
            </w:pPr>
            <w:r>
              <w:rPr>
                <w:rFonts w:hint="eastAsia" w:ascii="宋体" w:hAnsi="宋体" w:cs="宋体"/>
                <w:highlight w:val="none"/>
                <w:lang w:val="zh-CN"/>
              </w:rPr>
              <w:t>项目名称</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0451B336">
            <w:pPr>
              <w:spacing w:line="400" w:lineRule="exact"/>
              <w:jc w:val="center"/>
              <w:rPr>
                <w:rFonts w:ascii="宋体" w:hAnsi="宋体" w:cs="宋体"/>
                <w:highlight w:val="none"/>
                <w:lang w:val="zh-CN"/>
              </w:rPr>
            </w:pPr>
          </w:p>
        </w:tc>
      </w:tr>
      <w:tr w14:paraId="1440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14:paraId="497290C9">
            <w:pPr>
              <w:spacing w:line="400" w:lineRule="exact"/>
              <w:jc w:val="center"/>
              <w:rPr>
                <w:rFonts w:ascii="宋体" w:hAnsi="宋体" w:cs="宋体"/>
                <w:highlight w:val="none"/>
                <w:lang w:val="zh-CN"/>
              </w:rPr>
            </w:pPr>
            <w:r>
              <w:rPr>
                <w:rFonts w:hint="eastAsia" w:ascii="宋体" w:hAnsi="宋体" w:cs="宋体"/>
                <w:highlight w:val="none"/>
                <w:lang w:val="zh-CN"/>
              </w:rPr>
              <w:t>投标总报价（元）</w:t>
            </w:r>
          </w:p>
          <w:p w14:paraId="60095A50">
            <w:pPr>
              <w:spacing w:line="400" w:lineRule="exact"/>
              <w:jc w:val="center"/>
              <w:rPr>
                <w:rFonts w:ascii="宋体" w:hAnsi="宋体" w:cs="宋体"/>
                <w:highlight w:val="none"/>
              </w:rPr>
            </w:pPr>
            <w:r>
              <w:rPr>
                <w:rFonts w:hint="eastAsia" w:ascii="宋体" w:hAnsi="宋体" w:cs="宋体"/>
                <w:highlight w:val="none"/>
              </w:rPr>
              <w:t>（一）+（二）</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00A15F67">
            <w:pPr>
              <w:spacing w:line="400" w:lineRule="exact"/>
              <w:rPr>
                <w:rFonts w:ascii="宋体" w:hAnsi="宋体" w:cs="宋体"/>
                <w:b/>
                <w:bCs/>
                <w:highlight w:val="none"/>
              </w:rPr>
            </w:pPr>
            <w:r>
              <w:rPr>
                <w:rFonts w:hint="eastAsia" w:ascii="宋体" w:hAnsi="宋体" w:cs="宋体"/>
                <w:b/>
                <w:bCs/>
                <w:highlight w:val="none"/>
              </w:rPr>
              <w:t>大写：</w:t>
            </w:r>
            <w:r>
              <w:rPr>
                <w:rFonts w:hint="eastAsia" w:ascii="宋体" w:hAnsi="宋体" w:cs="宋体"/>
                <w:sz w:val="32"/>
                <w:szCs w:val="32"/>
                <w:highlight w:val="none"/>
                <w:u w:val="single"/>
              </w:rPr>
              <w:t xml:space="preserve">                </w:t>
            </w:r>
          </w:p>
          <w:p w14:paraId="3CD004BE">
            <w:pPr>
              <w:spacing w:line="400" w:lineRule="exact"/>
              <w:rPr>
                <w:rFonts w:ascii="宋体" w:hAnsi="宋体" w:cs="宋体"/>
                <w:highlight w:val="none"/>
              </w:rPr>
            </w:pPr>
            <w:r>
              <w:rPr>
                <w:rFonts w:hint="eastAsia" w:ascii="宋体" w:hAnsi="宋体" w:cs="宋体"/>
                <w:b/>
                <w:bCs/>
                <w:highlight w:val="none"/>
              </w:rPr>
              <w:t>小写：</w:t>
            </w:r>
            <w:r>
              <w:rPr>
                <w:rFonts w:hint="eastAsia" w:ascii="宋体" w:hAnsi="宋体" w:cs="宋体"/>
                <w:sz w:val="32"/>
                <w:szCs w:val="32"/>
                <w:highlight w:val="none"/>
                <w:u w:val="single"/>
              </w:rPr>
              <w:t xml:space="preserve">                </w:t>
            </w:r>
          </w:p>
        </w:tc>
      </w:tr>
      <w:tr w14:paraId="59D8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51" w:type="dxa"/>
            <w:tcBorders>
              <w:top w:val="single" w:color="auto" w:sz="4" w:space="0"/>
              <w:left w:val="single" w:color="auto" w:sz="4" w:space="0"/>
              <w:right w:val="single" w:color="auto" w:sz="4" w:space="0"/>
            </w:tcBorders>
            <w:vAlign w:val="center"/>
          </w:tcPr>
          <w:p w14:paraId="3197CFF5">
            <w:pPr>
              <w:spacing w:line="400" w:lineRule="exact"/>
              <w:jc w:val="center"/>
              <w:rPr>
                <w:rFonts w:ascii="宋体" w:hAnsi="宋体" w:cs="宋体"/>
                <w:highlight w:val="none"/>
              </w:rPr>
            </w:pPr>
            <w:bookmarkStart w:id="1109" w:name="_Toc439246066" w:colFirst="0" w:colLast="2"/>
            <w:r>
              <w:rPr>
                <w:rFonts w:hint="eastAsia" w:ascii="宋体" w:hAnsi="宋体" w:cs="宋体"/>
                <w:highlight w:val="none"/>
              </w:rPr>
              <w:t>（一）</w:t>
            </w:r>
          </w:p>
        </w:tc>
        <w:tc>
          <w:tcPr>
            <w:tcW w:w="1994" w:type="dxa"/>
            <w:tcBorders>
              <w:top w:val="single" w:color="auto" w:sz="4" w:space="0"/>
              <w:left w:val="single" w:color="auto" w:sz="4" w:space="0"/>
              <w:right w:val="single" w:color="auto" w:sz="4" w:space="0"/>
            </w:tcBorders>
            <w:shd w:val="clear" w:color="auto" w:fill="auto"/>
            <w:vAlign w:val="center"/>
          </w:tcPr>
          <w:p w14:paraId="72A42097">
            <w:pPr>
              <w:spacing w:line="400" w:lineRule="exact"/>
              <w:jc w:val="left"/>
              <w:rPr>
                <w:rFonts w:ascii="宋体" w:hAnsi="宋体" w:cs="宋体"/>
                <w:highlight w:val="none"/>
                <w:lang w:val="zh-CN"/>
              </w:rPr>
            </w:pPr>
            <w:r>
              <w:rPr>
                <w:rFonts w:hint="eastAsia" w:ascii="宋体" w:hAnsi="宋体" w:cs="宋体"/>
                <w:highlight w:val="none"/>
                <w:lang w:val="zh-CN"/>
              </w:rPr>
              <w:t>设计费</w:t>
            </w:r>
            <w:r>
              <w:rPr>
                <w:rFonts w:hint="eastAsia" w:ascii="宋体" w:hAnsi="宋体" w:cs="宋体"/>
                <w:highlight w:val="none"/>
              </w:rPr>
              <w:t>投标</w:t>
            </w:r>
            <w:r>
              <w:rPr>
                <w:rFonts w:hint="eastAsia" w:ascii="宋体" w:hAnsi="宋体" w:cs="宋体"/>
                <w:highlight w:val="none"/>
                <w:lang w:val="zh-CN"/>
              </w:rPr>
              <w:t>报价（</w:t>
            </w:r>
            <w:r>
              <w:rPr>
                <w:rFonts w:hint="eastAsia" w:ascii="宋体" w:hAnsi="宋体" w:cs="宋体"/>
                <w:highlight w:val="none"/>
              </w:rPr>
              <w:t>元）</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1546B0A6">
            <w:pPr>
              <w:spacing w:line="400" w:lineRule="exact"/>
              <w:rPr>
                <w:rFonts w:ascii="宋体" w:hAnsi="宋体" w:cs="宋体"/>
                <w:highlight w:val="none"/>
              </w:rPr>
            </w:pPr>
            <w:r>
              <w:rPr>
                <w:rFonts w:hint="eastAsia" w:ascii="宋体" w:hAnsi="宋体" w:cs="宋体"/>
                <w:highlight w:val="none"/>
              </w:rPr>
              <w:t>小写：</w:t>
            </w:r>
            <w:r>
              <w:rPr>
                <w:rFonts w:hint="eastAsia" w:ascii="宋体" w:hAnsi="宋体" w:cs="宋体"/>
                <w:highlight w:val="none"/>
                <w:u w:val="single"/>
              </w:rPr>
              <w:t xml:space="preserve">         </w:t>
            </w:r>
            <w:r>
              <w:rPr>
                <w:rFonts w:hint="eastAsia" w:ascii="宋体" w:hAnsi="宋体" w:cs="宋体"/>
                <w:highlight w:val="none"/>
              </w:rPr>
              <w:t>元，下浮率</w:t>
            </w:r>
            <w:r>
              <w:rPr>
                <w:rFonts w:hint="eastAsia" w:ascii="宋体" w:hAnsi="宋体" w:cs="宋体"/>
                <w:highlight w:val="none"/>
                <w:u w:val="single"/>
              </w:rPr>
              <w:t xml:space="preserve">           </w:t>
            </w:r>
            <w:r>
              <w:rPr>
                <w:rFonts w:hint="eastAsia" w:ascii="宋体" w:hAnsi="宋体" w:cs="宋体"/>
                <w:highlight w:val="none"/>
              </w:rPr>
              <w:t xml:space="preserve"> %</w:t>
            </w:r>
          </w:p>
          <w:p w14:paraId="68EA0CE8">
            <w:pPr>
              <w:spacing w:line="400" w:lineRule="exact"/>
              <w:rPr>
                <w:rFonts w:ascii="宋体" w:hAnsi="宋体" w:cs="宋体"/>
                <w:highlight w:val="none"/>
                <w:lang w:val="zh-CN"/>
              </w:rPr>
            </w:pPr>
            <w:r>
              <w:rPr>
                <w:rFonts w:hint="eastAsia" w:ascii="宋体" w:hAnsi="宋体" w:cs="宋体"/>
                <w:b/>
                <w:bCs/>
                <w:highlight w:val="none"/>
                <w:lang w:val="zh-CN"/>
              </w:rPr>
              <w:t>注：下浮率=[1-（设计费投标报价/设计费最高投标限价）]*100%，</w:t>
            </w:r>
            <w:r>
              <w:rPr>
                <w:rFonts w:hint="eastAsia" w:ascii="宋体" w:hAnsi="宋体" w:cs="宋体"/>
                <w:highlight w:val="none"/>
                <w:lang w:val="zh-CN"/>
              </w:rPr>
              <w:t>设计费</w:t>
            </w:r>
            <w:r>
              <w:rPr>
                <w:rFonts w:hint="eastAsia" w:ascii="宋体" w:hAnsi="宋体" w:cs="宋体"/>
                <w:highlight w:val="none"/>
              </w:rPr>
              <w:t>投标</w:t>
            </w:r>
            <w:r>
              <w:rPr>
                <w:rFonts w:hint="eastAsia" w:ascii="宋体" w:hAnsi="宋体" w:cs="宋体"/>
                <w:highlight w:val="none"/>
                <w:lang w:val="zh-CN"/>
              </w:rPr>
              <w:t>报价</w:t>
            </w:r>
            <w:r>
              <w:rPr>
                <w:rFonts w:hint="eastAsia" w:ascii="宋体" w:hAnsi="宋体" w:cs="宋体"/>
                <w:highlight w:val="none"/>
              </w:rPr>
              <w:t>不得突破设计费最高投标限价。</w:t>
            </w:r>
          </w:p>
        </w:tc>
      </w:tr>
      <w:bookmarkEnd w:id="1109"/>
      <w:tr w14:paraId="7C6F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751" w:type="dxa"/>
            <w:tcBorders>
              <w:top w:val="single" w:color="auto" w:sz="4" w:space="0"/>
              <w:left w:val="single" w:color="auto" w:sz="4" w:space="0"/>
              <w:right w:val="single" w:color="auto" w:sz="4" w:space="0"/>
            </w:tcBorders>
            <w:vAlign w:val="center"/>
          </w:tcPr>
          <w:p w14:paraId="00F53AEC">
            <w:pPr>
              <w:spacing w:line="400" w:lineRule="exact"/>
              <w:jc w:val="center"/>
              <w:rPr>
                <w:rFonts w:ascii="宋体" w:hAnsi="宋体" w:cs="宋体"/>
                <w:highlight w:val="none"/>
                <w:lang w:val="zh-CN"/>
              </w:rPr>
            </w:pPr>
            <w:r>
              <w:rPr>
                <w:rFonts w:hint="eastAsia" w:ascii="宋体" w:hAnsi="宋体" w:cs="宋体"/>
                <w:highlight w:val="none"/>
              </w:rPr>
              <w:t>（二）</w:t>
            </w:r>
          </w:p>
        </w:tc>
        <w:tc>
          <w:tcPr>
            <w:tcW w:w="1994" w:type="dxa"/>
            <w:tcBorders>
              <w:top w:val="single" w:color="auto" w:sz="4" w:space="0"/>
              <w:left w:val="single" w:color="auto" w:sz="4" w:space="0"/>
              <w:right w:val="single" w:color="auto" w:sz="4" w:space="0"/>
            </w:tcBorders>
            <w:shd w:val="clear" w:color="auto" w:fill="auto"/>
            <w:vAlign w:val="center"/>
          </w:tcPr>
          <w:p w14:paraId="16147E72">
            <w:pPr>
              <w:spacing w:line="400" w:lineRule="exact"/>
              <w:jc w:val="left"/>
              <w:rPr>
                <w:rFonts w:ascii="宋体" w:hAnsi="宋体" w:cs="宋体"/>
                <w:highlight w:val="none"/>
                <w:lang w:val="zh-CN"/>
              </w:rPr>
            </w:pPr>
            <w:r>
              <w:rPr>
                <w:rFonts w:hint="eastAsia" w:ascii="宋体" w:hAnsi="宋体" w:cs="宋体"/>
                <w:highlight w:val="none"/>
                <w:lang w:val="zh-CN"/>
              </w:rPr>
              <w:t>建安工程费</w:t>
            </w:r>
            <w:r>
              <w:rPr>
                <w:rFonts w:hint="eastAsia" w:ascii="宋体" w:hAnsi="宋体" w:cs="宋体"/>
                <w:highlight w:val="none"/>
              </w:rPr>
              <w:t>投标</w:t>
            </w:r>
            <w:r>
              <w:rPr>
                <w:rFonts w:hint="eastAsia" w:ascii="宋体" w:hAnsi="宋体" w:cs="宋体"/>
                <w:highlight w:val="none"/>
                <w:lang w:val="zh-CN"/>
              </w:rPr>
              <w:t>报价（元）</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25A7B2D7">
            <w:pPr>
              <w:spacing w:line="400" w:lineRule="exact"/>
              <w:rPr>
                <w:rFonts w:ascii="宋体" w:hAnsi="宋体" w:cs="宋体"/>
                <w:highlight w:val="none"/>
              </w:rPr>
            </w:pPr>
            <w:r>
              <w:rPr>
                <w:rFonts w:hint="eastAsia" w:ascii="宋体" w:hAnsi="宋体" w:cs="宋体"/>
                <w:b/>
                <w:bCs/>
                <w:highlight w:val="none"/>
              </w:rPr>
              <w:t>小</w:t>
            </w:r>
            <w:r>
              <w:rPr>
                <w:rFonts w:hint="eastAsia" w:ascii="宋体" w:hAnsi="宋体" w:cs="宋体"/>
                <w:highlight w:val="none"/>
              </w:rPr>
              <w:t>写：</w:t>
            </w:r>
            <w:r>
              <w:rPr>
                <w:rFonts w:hint="eastAsia" w:ascii="宋体" w:hAnsi="宋体" w:cs="宋体"/>
                <w:highlight w:val="none"/>
                <w:u w:val="single"/>
              </w:rPr>
              <w:t xml:space="preserve">         </w:t>
            </w:r>
            <w:r>
              <w:rPr>
                <w:rFonts w:hint="eastAsia" w:ascii="宋体" w:hAnsi="宋体" w:cs="宋体"/>
                <w:highlight w:val="none"/>
              </w:rPr>
              <w:t>元，下浮率</w:t>
            </w:r>
            <w:r>
              <w:rPr>
                <w:rFonts w:hint="eastAsia" w:ascii="宋体" w:hAnsi="宋体" w:cs="宋体"/>
                <w:highlight w:val="none"/>
                <w:u w:val="single"/>
              </w:rPr>
              <w:t xml:space="preserve">        </w:t>
            </w:r>
            <w:r>
              <w:rPr>
                <w:rFonts w:hint="eastAsia" w:ascii="宋体" w:hAnsi="宋体" w:cs="宋体"/>
                <w:highlight w:val="none"/>
              </w:rPr>
              <w:t>%</w:t>
            </w:r>
          </w:p>
          <w:p w14:paraId="785A6B0F">
            <w:pPr>
              <w:spacing w:line="400" w:lineRule="exact"/>
              <w:rPr>
                <w:rFonts w:ascii="宋体" w:hAnsi="宋体" w:cs="宋体"/>
                <w:highlight w:val="none"/>
              </w:rPr>
            </w:pPr>
            <w:r>
              <w:rPr>
                <w:rFonts w:hint="eastAsia" w:ascii="宋体" w:hAnsi="宋体" w:cs="宋体"/>
                <w:b/>
                <w:bCs/>
                <w:highlight w:val="none"/>
                <w:lang w:val="zh-CN"/>
              </w:rPr>
              <w:t>注：下浮率=[1-（建安工程费投标报价/建安工程费最高投标限价）]*100</w:t>
            </w:r>
            <w:r>
              <w:rPr>
                <w:rFonts w:hint="eastAsia" w:ascii="宋体" w:hAnsi="宋体" w:cs="宋体"/>
                <w:b/>
                <w:bCs/>
                <w:highlight w:val="none"/>
              </w:rPr>
              <w:t>%，</w:t>
            </w:r>
            <w:r>
              <w:rPr>
                <w:rFonts w:hint="eastAsia" w:ascii="宋体" w:hAnsi="宋体" w:cs="宋体"/>
                <w:highlight w:val="none"/>
                <w:lang w:val="zh-CN"/>
              </w:rPr>
              <w:t>建安工程费投标报价</w:t>
            </w:r>
            <w:r>
              <w:rPr>
                <w:rFonts w:hint="eastAsia" w:ascii="宋体" w:hAnsi="宋体" w:cs="宋体"/>
                <w:highlight w:val="none"/>
              </w:rPr>
              <w:t>不得突破建安工程费最高投标限价。</w:t>
            </w:r>
          </w:p>
        </w:tc>
      </w:tr>
      <w:tr w14:paraId="589C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14:paraId="30EDD4D5">
            <w:pPr>
              <w:spacing w:line="400" w:lineRule="exact"/>
              <w:jc w:val="center"/>
              <w:rPr>
                <w:rFonts w:ascii="宋体" w:hAnsi="宋体" w:cs="宋体"/>
                <w:highlight w:val="none"/>
                <w:lang w:val="zh-CN"/>
              </w:rPr>
            </w:pPr>
            <w:r>
              <w:rPr>
                <w:rFonts w:hint="eastAsia" w:ascii="宋体" w:hAnsi="宋体" w:cs="宋体"/>
                <w:highlight w:val="none"/>
                <w:lang w:val="zh-CN"/>
              </w:rPr>
              <w:t>投标工期</w:t>
            </w:r>
          </w:p>
          <w:p w14:paraId="00C7997C">
            <w:pPr>
              <w:spacing w:line="400" w:lineRule="exact"/>
              <w:jc w:val="center"/>
              <w:rPr>
                <w:rFonts w:ascii="宋体" w:hAnsi="宋体" w:cs="宋体"/>
                <w:highlight w:val="none"/>
                <w:lang w:val="zh-CN"/>
              </w:rPr>
            </w:pPr>
            <w:r>
              <w:rPr>
                <w:rFonts w:hint="eastAsia" w:ascii="宋体" w:hAnsi="宋体" w:cs="宋体"/>
                <w:highlight w:val="none"/>
                <w:lang w:val="zh-CN"/>
              </w:rPr>
              <w:t>（含设计、</w:t>
            </w:r>
            <w:r>
              <w:rPr>
                <w:rFonts w:hint="eastAsia" w:ascii="宋体" w:hAnsi="宋体" w:cs="宋体"/>
                <w:highlight w:val="none"/>
              </w:rPr>
              <w:t>施工</w:t>
            </w:r>
            <w:r>
              <w:rPr>
                <w:rFonts w:hint="eastAsia" w:ascii="宋体" w:hAnsi="宋体" w:cs="宋体"/>
                <w:highlight w:val="none"/>
                <w:lang w:val="zh-CN"/>
              </w:rPr>
              <w:t>工期）</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6C37DA7C">
            <w:pPr>
              <w:spacing w:line="400" w:lineRule="exact"/>
              <w:rPr>
                <w:rFonts w:ascii="宋体" w:hAnsi="宋体" w:cs="宋体"/>
                <w:b/>
                <w:bCs/>
                <w:highlight w:val="none"/>
              </w:rPr>
            </w:pPr>
          </w:p>
        </w:tc>
      </w:tr>
      <w:tr w14:paraId="1542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14:paraId="6A82B448">
            <w:pPr>
              <w:spacing w:line="400" w:lineRule="exact"/>
              <w:jc w:val="center"/>
              <w:rPr>
                <w:rFonts w:ascii="宋体" w:hAnsi="宋体" w:cs="宋体"/>
                <w:highlight w:val="none"/>
              </w:rPr>
            </w:pPr>
            <w:r>
              <w:rPr>
                <w:rFonts w:hint="eastAsia" w:ascii="宋体" w:hAnsi="宋体" w:cs="宋体"/>
                <w:highlight w:val="none"/>
                <w:lang w:val="zh-CN"/>
              </w:rPr>
              <w:t>质量标准</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034D7698">
            <w:pPr>
              <w:spacing w:line="400" w:lineRule="exact"/>
              <w:rPr>
                <w:rFonts w:ascii="宋体" w:hAnsi="宋体" w:cs="宋体"/>
                <w:b/>
                <w:bCs/>
                <w:highlight w:val="none"/>
              </w:rPr>
            </w:pPr>
            <w:r>
              <w:rPr>
                <w:rFonts w:hint="eastAsia" w:ascii="宋体" w:hAnsi="宋体" w:cs="宋体"/>
                <w:highlight w:val="none"/>
              </w:rPr>
              <w:t>按招标文件要求</w:t>
            </w:r>
          </w:p>
        </w:tc>
      </w:tr>
      <w:tr w14:paraId="73C5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14:paraId="5DC68DC0">
            <w:pPr>
              <w:spacing w:line="400" w:lineRule="exact"/>
              <w:jc w:val="center"/>
              <w:rPr>
                <w:rFonts w:ascii="宋体" w:hAnsi="宋体" w:cs="宋体"/>
                <w:highlight w:val="none"/>
                <w:lang w:val="zh-CN"/>
              </w:rPr>
            </w:pPr>
            <w:r>
              <w:rPr>
                <w:rFonts w:hint="eastAsia" w:ascii="宋体" w:hAnsi="宋体" w:cs="宋体"/>
                <w:highlight w:val="none"/>
                <w:lang w:val="zh-CN"/>
              </w:rPr>
              <w:t>保修期限</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18E90CE4">
            <w:pPr>
              <w:spacing w:line="400" w:lineRule="exact"/>
              <w:jc w:val="left"/>
              <w:rPr>
                <w:rFonts w:ascii="宋体" w:hAnsi="宋体" w:cs="宋体"/>
                <w:highlight w:val="none"/>
              </w:rPr>
            </w:pPr>
            <w:r>
              <w:rPr>
                <w:rFonts w:hint="eastAsia" w:ascii="宋体" w:hAnsi="宋体" w:cs="宋体"/>
                <w:highlight w:val="none"/>
              </w:rPr>
              <w:t>按招标文件要求</w:t>
            </w:r>
          </w:p>
        </w:tc>
      </w:tr>
      <w:tr w14:paraId="19D6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45" w:type="dxa"/>
            <w:gridSpan w:val="2"/>
            <w:vMerge w:val="restart"/>
            <w:tcBorders>
              <w:top w:val="single" w:color="auto" w:sz="4" w:space="0"/>
              <w:left w:val="single" w:color="auto" w:sz="4" w:space="0"/>
              <w:right w:val="single" w:color="auto" w:sz="4" w:space="0"/>
            </w:tcBorders>
            <w:vAlign w:val="center"/>
          </w:tcPr>
          <w:p w14:paraId="081ED979">
            <w:pPr>
              <w:spacing w:line="400" w:lineRule="exact"/>
              <w:jc w:val="center"/>
              <w:rPr>
                <w:rFonts w:ascii="宋体" w:hAnsi="宋体" w:cs="宋体"/>
                <w:highlight w:val="none"/>
                <w:lang w:val="zh-CN"/>
              </w:rPr>
            </w:pPr>
            <w:r>
              <w:rPr>
                <w:rFonts w:hint="eastAsia" w:ascii="宋体" w:hAnsi="宋体" w:cs="宋体"/>
                <w:highlight w:val="none"/>
                <w:lang w:val="zh-CN"/>
              </w:rPr>
              <w:t>委派的项目负责人</w:t>
            </w:r>
          </w:p>
        </w:tc>
        <w:tc>
          <w:tcPr>
            <w:tcW w:w="2225" w:type="dxa"/>
            <w:tcBorders>
              <w:top w:val="single" w:color="auto" w:sz="4" w:space="0"/>
              <w:left w:val="single" w:color="auto" w:sz="4" w:space="0"/>
              <w:bottom w:val="single" w:color="auto" w:sz="4" w:space="0"/>
              <w:right w:val="single" w:color="auto" w:sz="4" w:space="0"/>
            </w:tcBorders>
            <w:vAlign w:val="center"/>
          </w:tcPr>
          <w:p w14:paraId="3FA28D9E">
            <w:pPr>
              <w:spacing w:line="400" w:lineRule="exact"/>
              <w:jc w:val="center"/>
              <w:rPr>
                <w:rFonts w:ascii="宋体" w:hAnsi="宋体" w:cs="宋体"/>
                <w:highlight w:val="none"/>
                <w:lang w:val="zh-CN"/>
              </w:rPr>
            </w:pPr>
            <w:r>
              <w:rPr>
                <w:rFonts w:hint="eastAsia" w:ascii="宋体" w:hAnsi="宋体" w:cs="宋体"/>
                <w:highlight w:val="none"/>
                <w:lang w:val="zh-CN"/>
              </w:rPr>
              <w:t>姓    名</w:t>
            </w:r>
          </w:p>
        </w:tc>
        <w:tc>
          <w:tcPr>
            <w:tcW w:w="4572" w:type="dxa"/>
            <w:tcBorders>
              <w:top w:val="single" w:color="auto" w:sz="4" w:space="0"/>
              <w:left w:val="single" w:color="auto" w:sz="4" w:space="0"/>
              <w:bottom w:val="single" w:color="auto" w:sz="4" w:space="0"/>
              <w:right w:val="single" w:color="auto" w:sz="4" w:space="0"/>
            </w:tcBorders>
            <w:vAlign w:val="center"/>
          </w:tcPr>
          <w:p w14:paraId="6E58AAFA">
            <w:pPr>
              <w:spacing w:line="400" w:lineRule="exact"/>
              <w:jc w:val="center"/>
              <w:rPr>
                <w:rFonts w:ascii="宋体" w:hAnsi="宋体" w:cs="宋体"/>
                <w:highlight w:val="none"/>
              </w:rPr>
            </w:pPr>
          </w:p>
        </w:tc>
      </w:tr>
      <w:tr w14:paraId="4F23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745" w:type="dxa"/>
            <w:gridSpan w:val="2"/>
            <w:vMerge w:val="continue"/>
            <w:tcBorders>
              <w:left w:val="single" w:color="auto" w:sz="4" w:space="0"/>
              <w:right w:val="single" w:color="auto" w:sz="4" w:space="0"/>
            </w:tcBorders>
            <w:vAlign w:val="center"/>
          </w:tcPr>
          <w:p w14:paraId="768B9439">
            <w:pPr>
              <w:ind w:firstLine="480"/>
              <w:rPr>
                <w:rFonts w:ascii="宋体" w:hAnsi="宋体" w:cs="宋体"/>
                <w:highlight w:val="none"/>
              </w:rPr>
            </w:pPr>
          </w:p>
        </w:tc>
        <w:tc>
          <w:tcPr>
            <w:tcW w:w="2225" w:type="dxa"/>
            <w:tcBorders>
              <w:top w:val="single" w:color="auto" w:sz="4" w:space="0"/>
              <w:left w:val="single" w:color="auto" w:sz="4" w:space="0"/>
              <w:bottom w:val="single" w:color="auto" w:sz="4" w:space="0"/>
              <w:right w:val="single" w:color="auto" w:sz="4" w:space="0"/>
            </w:tcBorders>
            <w:vAlign w:val="center"/>
          </w:tcPr>
          <w:p w14:paraId="7093D010">
            <w:pPr>
              <w:spacing w:line="400" w:lineRule="exact"/>
              <w:jc w:val="center"/>
              <w:rPr>
                <w:rFonts w:ascii="宋体" w:hAnsi="宋体" w:cs="宋体"/>
                <w:highlight w:val="none"/>
                <w:lang w:val="zh-CN"/>
              </w:rPr>
            </w:pPr>
            <w:r>
              <w:rPr>
                <w:rFonts w:hint="eastAsia" w:ascii="宋体" w:hAnsi="宋体" w:cs="宋体"/>
                <w:highlight w:val="none"/>
              </w:rPr>
              <w:t>注册证</w:t>
            </w:r>
            <w:r>
              <w:rPr>
                <w:rFonts w:hint="eastAsia" w:ascii="宋体" w:hAnsi="宋体" w:cs="宋体"/>
                <w:highlight w:val="none"/>
                <w:lang w:val="zh-CN"/>
              </w:rPr>
              <w:t>编号</w:t>
            </w:r>
          </w:p>
        </w:tc>
        <w:tc>
          <w:tcPr>
            <w:tcW w:w="4572" w:type="dxa"/>
            <w:tcBorders>
              <w:top w:val="single" w:color="auto" w:sz="4" w:space="0"/>
              <w:left w:val="single" w:color="auto" w:sz="4" w:space="0"/>
              <w:bottom w:val="single" w:color="auto" w:sz="4" w:space="0"/>
              <w:right w:val="single" w:color="auto" w:sz="4" w:space="0"/>
            </w:tcBorders>
            <w:vAlign w:val="center"/>
          </w:tcPr>
          <w:p w14:paraId="2A0D8E78">
            <w:pPr>
              <w:spacing w:line="400" w:lineRule="exact"/>
              <w:jc w:val="center"/>
              <w:rPr>
                <w:rFonts w:ascii="宋体" w:hAnsi="宋体" w:cs="宋体"/>
                <w:highlight w:val="none"/>
              </w:rPr>
            </w:pPr>
          </w:p>
        </w:tc>
      </w:tr>
      <w:tr w14:paraId="182A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45" w:type="dxa"/>
            <w:gridSpan w:val="2"/>
            <w:vMerge w:val="restart"/>
            <w:tcBorders>
              <w:left w:val="single" w:color="auto" w:sz="4" w:space="0"/>
              <w:right w:val="single" w:color="auto" w:sz="4" w:space="0"/>
            </w:tcBorders>
            <w:vAlign w:val="center"/>
          </w:tcPr>
          <w:p w14:paraId="46BD2A3C">
            <w:pPr>
              <w:spacing w:line="400" w:lineRule="exact"/>
              <w:jc w:val="center"/>
              <w:rPr>
                <w:rFonts w:ascii="宋体" w:hAnsi="宋体" w:cs="宋体"/>
                <w:highlight w:val="none"/>
                <w:lang w:val="zh-CN"/>
              </w:rPr>
            </w:pPr>
            <w:r>
              <w:rPr>
                <w:rFonts w:hint="eastAsia" w:ascii="宋体" w:hAnsi="宋体" w:cs="宋体"/>
                <w:highlight w:val="none"/>
              </w:rPr>
              <w:t>设计负责人</w:t>
            </w:r>
          </w:p>
        </w:tc>
        <w:tc>
          <w:tcPr>
            <w:tcW w:w="2225" w:type="dxa"/>
            <w:tcBorders>
              <w:top w:val="single" w:color="auto" w:sz="4" w:space="0"/>
              <w:left w:val="single" w:color="auto" w:sz="4" w:space="0"/>
              <w:bottom w:val="single" w:color="auto" w:sz="4" w:space="0"/>
              <w:right w:val="single" w:color="auto" w:sz="4" w:space="0"/>
            </w:tcBorders>
            <w:vAlign w:val="center"/>
          </w:tcPr>
          <w:p w14:paraId="6AEFA5BE">
            <w:pPr>
              <w:spacing w:line="400" w:lineRule="exact"/>
              <w:jc w:val="center"/>
              <w:rPr>
                <w:rFonts w:ascii="宋体" w:hAnsi="宋体" w:cs="宋体"/>
                <w:highlight w:val="none"/>
                <w:lang w:val="zh-CN"/>
              </w:rPr>
            </w:pPr>
            <w:r>
              <w:rPr>
                <w:rFonts w:hint="eastAsia" w:ascii="宋体" w:hAnsi="宋体" w:cs="宋体"/>
                <w:highlight w:val="none"/>
                <w:lang w:val="zh-CN"/>
              </w:rPr>
              <w:t>姓    名</w:t>
            </w:r>
          </w:p>
        </w:tc>
        <w:tc>
          <w:tcPr>
            <w:tcW w:w="4572" w:type="dxa"/>
            <w:tcBorders>
              <w:top w:val="single" w:color="auto" w:sz="4" w:space="0"/>
              <w:left w:val="single" w:color="auto" w:sz="4" w:space="0"/>
              <w:bottom w:val="single" w:color="auto" w:sz="4" w:space="0"/>
              <w:right w:val="single" w:color="auto" w:sz="4" w:space="0"/>
            </w:tcBorders>
            <w:vAlign w:val="center"/>
          </w:tcPr>
          <w:p w14:paraId="612EE801">
            <w:pPr>
              <w:spacing w:line="400" w:lineRule="exact"/>
              <w:jc w:val="center"/>
              <w:rPr>
                <w:rFonts w:ascii="宋体" w:hAnsi="宋体" w:cs="宋体"/>
                <w:highlight w:val="none"/>
              </w:rPr>
            </w:pPr>
          </w:p>
        </w:tc>
      </w:tr>
      <w:tr w14:paraId="4230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45" w:type="dxa"/>
            <w:gridSpan w:val="2"/>
            <w:vMerge w:val="continue"/>
            <w:tcBorders>
              <w:left w:val="single" w:color="auto" w:sz="4" w:space="0"/>
              <w:bottom w:val="single" w:color="auto" w:sz="4" w:space="0"/>
              <w:right w:val="single" w:color="auto" w:sz="4" w:space="0"/>
            </w:tcBorders>
            <w:vAlign w:val="center"/>
          </w:tcPr>
          <w:p w14:paraId="7EAA143D">
            <w:pPr>
              <w:ind w:firstLine="480"/>
              <w:rPr>
                <w:rFonts w:ascii="宋体" w:hAnsi="宋体" w:cs="宋体"/>
                <w:highlight w:val="none"/>
              </w:rPr>
            </w:pPr>
          </w:p>
        </w:tc>
        <w:tc>
          <w:tcPr>
            <w:tcW w:w="2225" w:type="dxa"/>
            <w:tcBorders>
              <w:top w:val="single" w:color="auto" w:sz="4" w:space="0"/>
              <w:left w:val="single" w:color="auto" w:sz="4" w:space="0"/>
              <w:bottom w:val="single" w:color="auto" w:sz="4" w:space="0"/>
              <w:right w:val="single" w:color="auto" w:sz="4" w:space="0"/>
            </w:tcBorders>
            <w:vAlign w:val="center"/>
          </w:tcPr>
          <w:p w14:paraId="7A97C88F">
            <w:pPr>
              <w:spacing w:line="400" w:lineRule="exact"/>
              <w:jc w:val="center"/>
              <w:rPr>
                <w:rFonts w:ascii="宋体" w:hAnsi="宋体" w:cs="宋体"/>
                <w:highlight w:val="none"/>
                <w:lang w:val="zh-CN"/>
              </w:rPr>
            </w:pPr>
            <w:r>
              <w:rPr>
                <w:rFonts w:hint="eastAsia" w:ascii="宋体" w:hAnsi="宋体" w:cs="宋体"/>
                <w:highlight w:val="none"/>
              </w:rPr>
              <w:t>证书</w:t>
            </w:r>
            <w:r>
              <w:rPr>
                <w:rFonts w:hint="eastAsia" w:ascii="宋体" w:hAnsi="宋体" w:cs="宋体"/>
                <w:highlight w:val="none"/>
                <w:lang w:val="zh-CN"/>
              </w:rPr>
              <w:t>编号</w:t>
            </w:r>
          </w:p>
          <w:p w14:paraId="58D9FD44">
            <w:pPr>
              <w:spacing w:line="400" w:lineRule="exact"/>
              <w:jc w:val="center"/>
              <w:rPr>
                <w:rFonts w:ascii="宋体" w:hAnsi="宋体" w:cs="宋体"/>
                <w:highlight w:val="none"/>
                <w:lang w:val="zh-CN"/>
              </w:rPr>
            </w:pPr>
            <w:r>
              <w:rPr>
                <w:rFonts w:hint="eastAsia" w:ascii="宋体" w:hAnsi="宋体" w:cs="宋体"/>
                <w:highlight w:val="none"/>
                <w:lang w:val="zh-CN"/>
              </w:rPr>
              <w:t>（注册建筑师编号）</w:t>
            </w:r>
          </w:p>
        </w:tc>
        <w:tc>
          <w:tcPr>
            <w:tcW w:w="4572" w:type="dxa"/>
            <w:tcBorders>
              <w:top w:val="single" w:color="auto" w:sz="4" w:space="0"/>
              <w:left w:val="single" w:color="auto" w:sz="4" w:space="0"/>
              <w:bottom w:val="single" w:color="auto" w:sz="4" w:space="0"/>
              <w:right w:val="single" w:color="auto" w:sz="4" w:space="0"/>
            </w:tcBorders>
            <w:vAlign w:val="center"/>
          </w:tcPr>
          <w:p w14:paraId="50BD9A1D">
            <w:pPr>
              <w:spacing w:line="400" w:lineRule="exact"/>
              <w:jc w:val="center"/>
              <w:rPr>
                <w:rFonts w:ascii="宋体" w:hAnsi="宋体" w:cs="宋体"/>
                <w:highlight w:val="none"/>
              </w:rPr>
            </w:pPr>
          </w:p>
        </w:tc>
      </w:tr>
      <w:tr w14:paraId="29F1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45" w:type="dxa"/>
            <w:gridSpan w:val="2"/>
            <w:vMerge w:val="restart"/>
            <w:tcBorders>
              <w:left w:val="single" w:color="auto" w:sz="4" w:space="0"/>
              <w:bottom w:val="single" w:color="auto" w:sz="4" w:space="0"/>
              <w:right w:val="single" w:color="auto" w:sz="4" w:space="0"/>
            </w:tcBorders>
            <w:vAlign w:val="center"/>
          </w:tcPr>
          <w:p w14:paraId="1E0B52B9">
            <w:pPr>
              <w:spacing w:line="400" w:lineRule="exact"/>
              <w:jc w:val="center"/>
              <w:rPr>
                <w:rFonts w:ascii="宋体" w:hAnsi="宋体" w:cs="宋体"/>
                <w:highlight w:val="none"/>
              </w:rPr>
            </w:pPr>
            <w:r>
              <w:rPr>
                <w:rFonts w:hint="eastAsia" w:ascii="宋体" w:hAnsi="宋体" w:cs="宋体"/>
                <w:highlight w:val="none"/>
                <w:lang w:val="zh-CN"/>
              </w:rPr>
              <w:t>技术负责人</w:t>
            </w:r>
          </w:p>
        </w:tc>
        <w:tc>
          <w:tcPr>
            <w:tcW w:w="2225" w:type="dxa"/>
            <w:tcBorders>
              <w:top w:val="single" w:color="auto" w:sz="4" w:space="0"/>
              <w:left w:val="single" w:color="auto" w:sz="4" w:space="0"/>
              <w:bottom w:val="single" w:color="auto" w:sz="4" w:space="0"/>
              <w:right w:val="single" w:color="auto" w:sz="4" w:space="0"/>
            </w:tcBorders>
            <w:vAlign w:val="center"/>
          </w:tcPr>
          <w:p w14:paraId="549D98F7">
            <w:pPr>
              <w:spacing w:line="400" w:lineRule="exact"/>
              <w:jc w:val="center"/>
              <w:rPr>
                <w:rFonts w:ascii="宋体" w:hAnsi="宋体" w:cs="宋体"/>
                <w:highlight w:val="none"/>
                <w:lang w:val="zh-CN"/>
              </w:rPr>
            </w:pPr>
            <w:r>
              <w:rPr>
                <w:rFonts w:hint="eastAsia" w:ascii="宋体" w:hAnsi="宋体" w:cs="宋体"/>
                <w:highlight w:val="none"/>
                <w:lang w:val="zh-CN"/>
              </w:rPr>
              <w:t>姓    名</w:t>
            </w:r>
          </w:p>
        </w:tc>
        <w:tc>
          <w:tcPr>
            <w:tcW w:w="4572" w:type="dxa"/>
            <w:tcBorders>
              <w:top w:val="single" w:color="auto" w:sz="4" w:space="0"/>
              <w:left w:val="single" w:color="auto" w:sz="4" w:space="0"/>
              <w:bottom w:val="single" w:color="auto" w:sz="4" w:space="0"/>
              <w:right w:val="single" w:color="auto" w:sz="4" w:space="0"/>
            </w:tcBorders>
            <w:vAlign w:val="center"/>
          </w:tcPr>
          <w:p w14:paraId="1A64B1F2">
            <w:pPr>
              <w:spacing w:line="400" w:lineRule="exact"/>
              <w:jc w:val="center"/>
              <w:rPr>
                <w:rFonts w:ascii="宋体" w:hAnsi="宋体" w:cs="宋体"/>
                <w:highlight w:val="none"/>
              </w:rPr>
            </w:pPr>
          </w:p>
        </w:tc>
      </w:tr>
      <w:tr w14:paraId="3DE2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45" w:type="dxa"/>
            <w:gridSpan w:val="2"/>
            <w:vMerge w:val="continue"/>
            <w:tcBorders>
              <w:left w:val="single" w:color="auto" w:sz="4" w:space="0"/>
              <w:bottom w:val="single" w:color="auto" w:sz="4" w:space="0"/>
              <w:right w:val="single" w:color="auto" w:sz="4" w:space="0"/>
            </w:tcBorders>
            <w:vAlign w:val="center"/>
          </w:tcPr>
          <w:p w14:paraId="61BD22BF">
            <w:pPr>
              <w:spacing w:line="400" w:lineRule="exact"/>
              <w:ind w:firstLine="420" w:firstLineChars="200"/>
              <w:jc w:val="center"/>
              <w:rPr>
                <w:rFonts w:ascii="宋体" w:hAnsi="宋体" w:cs="宋体"/>
                <w:highlight w:val="none"/>
              </w:rPr>
            </w:pPr>
          </w:p>
        </w:tc>
        <w:tc>
          <w:tcPr>
            <w:tcW w:w="2225" w:type="dxa"/>
            <w:tcBorders>
              <w:top w:val="single" w:color="auto" w:sz="4" w:space="0"/>
              <w:left w:val="single" w:color="auto" w:sz="4" w:space="0"/>
              <w:bottom w:val="single" w:color="auto" w:sz="4" w:space="0"/>
              <w:right w:val="single" w:color="auto" w:sz="4" w:space="0"/>
            </w:tcBorders>
            <w:vAlign w:val="center"/>
          </w:tcPr>
          <w:p w14:paraId="2921F4A3">
            <w:pPr>
              <w:spacing w:line="400" w:lineRule="exact"/>
              <w:jc w:val="center"/>
              <w:rPr>
                <w:rFonts w:ascii="宋体" w:hAnsi="宋体" w:cs="宋体"/>
                <w:highlight w:val="none"/>
                <w:lang w:val="zh-CN"/>
              </w:rPr>
            </w:pPr>
            <w:r>
              <w:rPr>
                <w:rFonts w:hint="eastAsia" w:ascii="宋体" w:hAnsi="宋体" w:cs="宋体"/>
                <w:highlight w:val="none"/>
                <w:lang w:val="zh-CN"/>
              </w:rPr>
              <w:t>（</w:t>
            </w:r>
            <w:r>
              <w:rPr>
                <w:rFonts w:hint="eastAsia" w:ascii="宋体" w:hAnsi="宋体" w:cs="宋体"/>
                <w:highlight w:val="none"/>
              </w:rPr>
              <w:t>职称证</w:t>
            </w:r>
            <w:r>
              <w:rPr>
                <w:rFonts w:hint="eastAsia" w:ascii="宋体" w:hAnsi="宋体" w:cs="宋体"/>
                <w:highlight w:val="none"/>
                <w:lang w:val="zh-CN"/>
              </w:rPr>
              <w:t>编号）</w:t>
            </w:r>
          </w:p>
        </w:tc>
        <w:tc>
          <w:tcPr>
            <w:tcW w:w="4572" w:type="dxa"/>
            <w:tcBorders>
              <w:top w:val="single" w:color="auto" w:sz="4" w:space="0"/>
              <w:left w:val="single" w:color="auto" w:sz="4" w:space="0"/>
              <w:bottom w:val="single" w:color="auto" w:sz="4" w:space="0"/>
              <w:right w:val="single" w:color="auto" w:sz="4" w:space="0"/>
            </w:tcBorders>
            <w:vAlign w:val="center"/>
          </w:tcPr>
          <w:p w14:paraId="2306EF0D">
            <w:pPr>
              <w:spacing w:line="400" w:lineRule="exact"/>
              <w:jc w:val="center"/>
              <w:rPr>
                <w:rFonts w:ascii="宋体" w:hAnsi="宋体" w:cs="宋体"/>
                <w:highlight w:val="none"/>
              </w:rPr>
            </w:pPr>
          </w:p>
        </w:tc>
      </w:tr>
      <w:tr w14:paraId="3F7D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45" w:type="dxa"/>
            <w:gridSpan w:val="2"/>
            <w:vMerge w:val="restart"/>
            <w:tcBorders>
              <w:top w:val="single" w:color="auto" w:sz="4" w:space="0"/>
              <w:left w:val="single" w:color="auto" w:sz="4" w:space="0"/>
              <w:right w:val="single" w:color="auto" w:sz="4" w:space="0"/>
            </w:tcBorders>
            <w:vAlign w:val="center"/>
          </w:tcPr>
          <w:p w14:paraId="34D9E4ED">
            <w:pPr>
              <w:spacing w:line="400" w:lineRule="exact"/>
              <w:jc w:val="center"/>
              <w:rPr>
                <w:rFonts w:ascii="宋体" w:hAnsi="宋体" w:cs="宋体"/>
                <w:highlight w:val="none"/>
                <w:lang w:val="zh-CN"/>
              </w:rPr>
            </w:pPr>
            <w:r>
              <w:rPr>
                <w:rFonts w:hint="eastAsia" w:ascii="宋体" w:hAnsi="宋体" w:cs="宋体"/>
                <w:highlight w:val="none"/>
                <w:lang w:val="zh-CN"/>
              </w:rPr>
              <w:t>委派的</w:t>
            </w:r>
            <w:r>
              <w:rPr>
                <w:rFonts w:hint="eastAsia" w:ascii="宋体" w:hAnsi="宋体" w:cs="宋体"/>
                <w:highlight w:val="none"/>
              </w:rPr>
              <w:t>专职</w:t>
            </w:r>
            <w:r>
              <w:rPr>
                <w:rFonts w:hint="eastAsia" w:ascii="宋体" w:hAnsi="宋体" w:cs="宋体"/>
                <w:highlight w:val="none"/>
                <w:lang w:val="zh-CN"/>
              </w:rPr>
              <w:t>安全员</w:t>
            </w:r>
          </w:p>
        </w:tc>
        <w:tc>
          <w:tcPr>
            <w:tcW w:w="2225" w:type="dxa"/>
            <w:tcBorders>
              <w:top w:val="single" w:color="auto" w:sz="4" w:space="0"/>
              <w:left w:val="single" w:color="auto" w:sz="4" w:space="0"/>
              <w:bottom w:val="single" w:color="auto" w:sz="4" w:space="0"/>
              <w:right w:val="single" w:color="auto" w:sz="4" w:space="0"/>
            </w:tcBorders>
            <w:vAlign w:val="center"/>
          </w:tcPr>
          <w:p w14:paraId="2472DB3D">
            <w:pPr>
              <w:spacing w:line="400" w:lineRule="exact"/>
              <w:jc w:val="center"/>
              <w:rPr>
                <w:rFonts w:ascii="宋体" w:hAnsi="宋体" w:cs="宋体"/>
                <w:highlight w:val="none"/>
                <w:lang w:val="zh-CN"/>
              </w:rPr>
            </w:pPr>
            <w:r>
              <w:rPr>
                <w:rFonts w:hint="eastAsia" w:ascii="宋体" w:hAnsi="宋体" w:cs="宋体"/>
                <w:highlight w:val="none"/>
                <w:lang w:val="zh-CN"/>
              </w:rPr>
              <w:t>姓    名</w:t>
            </w:r>
          </w:p>
        </w:tc>
        <w:tc>
          <w:tcPr>
            <w:tcW w:w="4572" w:type="dxa"/>
            <w:tcBorders>
              <w:top w:val="single" w:color="auto" w:sz="4" w:space="0"/>
              <w:left w:val="single" w:color="auto" w:sz="4" w:space="0"/>
              <w:bottom w:val="single" w:color="auto" w:sz="4" w:space="0"/>
              <w:right w:val="single" w:color="auto" w:sz="4" w:space="0"/>
            </w:tcBorders>
            <w:vAlign w:val="center"/>
          </w:tcPr>
          <w:p w14:paraId="1FD1EE27">
            <w:pPr>
              <w:spacing w:line="400" w:lineRule="exact"/>
              <w:jc w:val="center"/>
              <w:rPr>
                <w:rFonts w:ascii="宋体" w:hAnsi="宋体" w:cs="宋体"/>
                <w:highlight w:val="none"/>
              </w:rPr>
            </w:pPr>
          </w:p>
        </w:tc>
      </w:tr>
      <w:tr w14:paraId="6DD8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45" w:type="dxa"/>
            <w:gridSpan w:val="2"/>
            <w:vMerge w:val="continue"/>
            <w:tcBorders>
              <w:left w:val="single" w:color="auto" w:sz="4" w:space="0"/>
              <w:bottom w:val="single" w:color="auto" w:sz="4" w:space="0"/>
              <w:right w:val="single" w:color="auto" w:sz="4" w:space="0"/>
            </w:tcBorders>
            <w:vAlign w:val="center"/>
          </w:tcPr>
          <w:p w14:paraId="3CF829E6">
            <w:pPr>
              <w:ind w:firstLine="480"/>
              <w:rPr>
                <w:rFonts w:ascii="宋体" w:hAnsi="宋体" w:cs="宋体"/>
                <w:highlight w:val="none"/>
              </w:rPr>
            </w:pPr>
          </w:p>
        </w:tc>
        <w:tc>
          <w:tcPr>
            <w:tcW w:w="2225" w:type="dxa"/>
            <w:tcBorders>
              <w:top w:val="single" w:color="auto" w:sz="4" w:space="0"/>
              <w:left w:val="single" w:color="auto" w:sz="4" w:space="0"/>
              <w:bottom w:val="single" w:color="auto" w:sz="4" w:space="0"/>
              <w:right w:val="single" w:color="auto" w:sz="4" w:space="0"/>
            </w:tcBorders>
            <w:vAlign w:val="center"/>
          </w:tcPr>
          <w:p w14:paraId="67DED5F4">
            <w:pPr>
              <w:spacing w:line="400" w:lineRule="exact"/>
              <w:jc w:val="center"/>
              <w:rPr>
                <w:rFonts w:ascii="宋体" w:hAnsi="宋体" w:cs="宋体"/>
                <w:highlight w:val="none"/>
                <w:lang w:val="zh-CN"/>
              </w:rPr>
            </w:pPr>
            <w:r>
              <w:rPr>
                <w:rFonts w:hint="eastAsia" w:ascii="宋体" w:hAnsi="宋体" w:cs="宋体"/>
                <w:highlight w:val="none"/>
                <w:lang w:val="zh-CN"/>
              </w:rPr>
              <w:t>安全考核证书</w:t>
            </w:r>
          </w:p>
          <w:p w14:paraId="58B8951B">
            <w:pPr>
              <w:spacing w:line="400" w:lineRule="exact"/>
              <w:jc w:val="center"/>
              <w:rPr>
                <w:rFonts w:ascii="宋体" w:hAnsi="宋体" w:cs="宋体"/>
                <w:highlight w:val="none"/>
                <w:lang w:val="zh-CN"/>
              </w:rPr>
            </w:pPr>
            <w:r>
              <w:rPr>
                <w:rFonts w:hint="eastAsia" w:ascii="宋体" w:hAnsi="宋体" w:cs="宋体"/>
                <w:highlight w:val="none"/>
                <w:lang w:val="zh-CN"/>
              </w:rPr>
              <w:t>（C类或C3类）编号</w:t>
            </w:r>
          </w:p>
        </w:tc>
        <w:tc>
          <w:tcPr>
            <w:tcW w:w="4572" w:type="dxa"/>
            <w:tcBorders>
              <w:top w:val="single" w:color="auto" w:sz="4" w:space="0"/>
              <w:left w:val="single" w:color="auto" w:sz="4" w:space="0"/>
              <w:bottom w:val="single" w:color="auto" w:sz="4" w:space="0"/>
              <w:right w:val="single" w:color="auto" w:sz="4" w:space="0"/>
            </w:tcBorders>
            <w:vAlign w:val="center"/>
          </w:tcPr>
          <w:p w14:paraId="6B14F595">
            <w:pPr>
              <w:spacing w:line="400" w:lineRule="exact"/>
              <w:jc w:val="center"/>
              <w:rPr>
                <w:rFonts w:ascii="宋体" w:hAnsi="宋体" w:cs="宋体"/>
                <w:highlight w:val="none"/>
              </w:rPr>
            </w:pPr>
          </w:p>
        </w:tc>
      </w:tr>
      <w:tr w14:paraId="250C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14:paraId="299E4E22">
            <w:pPr>
              <w:spacing w:line="400" w:lineRule="exact"/>
              <w:jc w:val="center"/>
              <w:rPr>
                <w:rFonts w:ascii="宋体" w:hAnsi="宋体" w:cs="宋体"/>
                <w:highlight w:val="none"/>
                <w:lang w:val="zh-CN"/>
              </w:rPr>
            </w:pPr>
            <w:bookmarkStart w:id="1110" w:name="_Toc355355216" w:colFirst="0" w:colLast="0"/>
            <w:bookmarkStart w:id="1111" w:name="_Toc439246069" w:colFirst="1" w:colLast="1"/>
            <w:bookmarkStart w:id="1112" w:name="_Toc260129717" w:colFirst="0" w:colLast="0"/>
            <w:r>
              <w:rPr>
                <w:rFonts w:hint="eastAsia" w:ascii="宋体" w:hAnsi="宋体" w:cs="宋体"/>
                <w:highlight w:val="none"/>
                <w:lang w:val="zh-CN"/>
              </w:rPr>
              <w:t>投标有效期</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1FBA8043">
            <w:pPr>
              <w:spacing w:line="400" w:lineRule="exact"/>
              <w:jc w:val="left"/>
              <w:rPr>
                <w:rFonts w:ascii="宋体" w:hAnsi="宋体" w:cs="宋体"/>
                <w:highlight w:val="none"/>
              </w:rPr>
            </w:pPr>
            <w:r>
              <w:rPr>
                <w:rFonts w:hint="eastAsia" w:ascii="宋体" w:hAnsi="宋体" w:cs="宋体"/>
                <w:highlight w:val="none"/>
                <w:lang w:val="zh-CN"/>
              </w:rPr>
              <w:t>按招标文件要求</w:t>
            </w:r>
          </w:p>
        </w:tc>
      </w:tr>
      <w:bookmarkEnd w:id="1110"/>
      <w:bookmarkEnd w:id="1111"/>
      <w:bookmarkEnd w:id="1112"/>
      <w:tr w14:paraId="1657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14:paraId="57B21E6F">
            <w:pPr>
              <w:spacing w:line="400" w:lineRule="exact"/>
              <w:jc w:val="center"/>
              <w:rPr>
                <w:rFonts w:ascii="宋体" w:hAnsi="宋体" w:cs="宋体"/>
                <w:highlight w:val="none"/>
              </w:rPr>
            </w:pPr>
            <w:bookmarkStart w:id="1113" w:name="_Toc439240671"/>
            <w:bookmarkStart w:id="1114" w:name="_Toc439246070"/>
            <w:r>
              <w:rPr>
                <w:rFonts w:hint="eastAsia" w:ascii="宋体" w:hAnsi="宋体" w:cs="宋体"/>
                <w:highlight w:val="none"/>
              </w:rPr>
              <w:t>法定代表</w:t>
            </w:r>
            <w:bookmarkEnd w:id="1113"/>
            <w:bookmarkEnd w:id="1114"/>
            <w:r>
              <w:rPr>
                <w:rFonts w:hint="eastAsia" w:ascii="宋体" w:hAnsi="宋体" w:cs="宋体"/>
                <w:highlight w:val="none"/>
              </w:rPr>
              <w:t>人或其委托代理人</w:t>
            </w:r>
          </w:p>
          <w:p w14:paraId="74377460">
            <w:pPr>
              <w:spacing w:line="400" w:lineRule="exact"/>
              <w:jc w:val="center"/>
              <w:rPr>
                <w:rFonts w:ascii="宋体" w:hAnsi="宋体" w:cs="宋体"/>
                <w:highlight w:val="none"/>
                <w:lang w:val="zh-CN"/>
              </w:rPr>
            </w:pPr>
            <w:r>
              <w:rPr>
                <w:rFonts w:hint="eastAsia" w:ascii="宋体" w:hAnsi="宋体" w:cs="宋体"/>
                <w:highlight w:val="none"/>
              </w:rPr>
              <w:t>（签字或盖章）</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0F0C8295">
            <w:pPr>
              <w:spacing w:line="400" w:lineRule="exact"/>
              <w:jc w:val="center"/>
              <w:rPr>
                <w:rFonts w:ascii="宋体" w:hAnsi="宋体" w:cs="宋体"/>
                <w:highlight w:val="none"/>
              </w:rPr>
            </w:pPr>
          </w:p>
        </w:tc>
      </w:tr>
      <w:tr w14:paraId="6E42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2745" w:type="dxa"/>
            <w:gridSpan w:val="2"/>
            <w:tcBorders>
              <w:top w:val="single" w:color="auto" w:sz="4" w:space="0"/>
              <w:left w:val="single" w:color="auto" w:sz="4" w:space="0"/>
              <w:bottom w:val="single" w:color="auto" w:sz="4" w:space="0"/>
              <w:right w:val="single" w:color="auto" w:sz="4" w:space="0"/>
            </w:tcBorders>
            <w:vAlign w:val="center"/>
          </w:tcPr>
          <w:p w14:paraId="2E182295">
            <w:pPr>
              <w:spacing w:line="400" w:lineRule="exact"/>
              <w:jc w:val="center"/>
              <w:rPr>
                <w:rFonts w:ascii="宋体" w:hAnsi="宋体" w:cs="宋体"/>
                <w:highlight w:val="none"/>
                <w:lang w:val="zh-CN"/>
              </w:rPr>
            </w:pPr>
            <w:r>
              <w:rPr>
                <w:rFonts w:hint="eastAsia" w:ascii="宋体" w:hAnsi="宋体" w:cs="宋体"/>
                <w:highlight w:val="none"/>
                <w:lang w:val="zh-CN"/>
              </w:rPr>
              <w:t>投标</w:t>
            </w:r>
            <w:r>
              <w:rPr>
                <w:rFonts w:hint="eastAsia" w:ascii="宋体" w:hAnsi="宋体" w:cs="宋体"/>
                <w:highlight w:val="none"/>
              </w:rPr>
              <w:t>人</w:t>
            </w:r>
            <w:r>
              <w:rPr>
                <w:rFonts w:hint="eastAsia" w:ascii="宋体" w:hAnsi="宋体" w:cs="宋体"/>
                <w:highlight w:val="none"/>
                <w:lang w:val="zh-CN"/>
              </w:rPr>
              <w:t>（盖章）</w:t>
            </w:r>
          </w:p>
        </w:tc>
        <w:tc>
          <w:tcPr>
            <w:tcW w:w="6797" w:type="dxa"/>
            <w:gridSpan w:val="2"/>
            <w:tcBorders>
              <w:top w:val="single" w:color="auto" w:sz="4" w:space="0"/>
              <w:left w:val="single" w:color="auto" w:sz="4" w:space="0"/>
              <w:bottom w:val="single" w:color="auto" w:sz="4" w:space="0"/>
              <w:right w:val="single" w:color="auto" w:sz="4" w:space="0"/>
            </w:tcBorders>
            <w:vAlign w:val="center"/>
          </w:tcPr>
          <w:p w14:paraId="2E7B52F4">
            <w:pPr>
              <w:spacing w:line="400" w:lineRule="exact"/>
              <w:jc w:val="center"/>
              <w:rPr>
                <w:rFonts w:ascii="宋体" w:hAnsi="宋体" w:cs="宋体"/>
                <w:highlight w:val="none"/>
              </w:rPr>
            </w:pPr>
          </w:p>
        </w:tc>
      </w:tr>
    </w:tbl>
    <w:p w14:paraId="72C3F6B4">
      <w:pPr>
        <w:pStyle w:val="22"/>
        <w:ind w:firstLine="422" w:firstLineChars="200"/>
        <w:rPr>
          <w:rFonts w:hAnsi="宋体" w:cs="宋体"/>
          <w:sz w:val="21"/>
          <w:szCs w:val="21"/>
          <w:highlight w:val="none"/>
        </w:rPr>
      </w:pPr>
      <w:r>
        <w:rPr>
          <w:rFonts w:hint="eastAsia" w:hAnsi="宋体" w:cs="宋体"/>
          <w:b/>
          <w:bCs/>
          <w:sz w:val="21"/>
          <w:szCs w:val="21"/>
          <w:highlight w:val="none"/>
        </w:rPr>
        <w:t>注：</w:t>
      </w:r>
      <w:r>
        <w:rPr>
          <w:rFonts w:hint="eastAsia" w:hAnsi="宋体" w:cs="宋体"/>
          <w:sz w:val="21"/>
          <w:szCs w:val="21"/>
          <w:highlight w:val="none"/>
        </w:rPr>
        <w:t>（1）联合体投标的，“投标人”一栏需书写所有联合体成员的单位全称，可由主办方签署、盖章。</w:t>
      </w:r>
    </w:p>
    <w:p w14:paraId="662014E2">
      <w:pPr>
        <w:pStyle w:val="22"/>
        <w:ind w:firstLine="420" w:firstLineChars="200"/>
        <w:rPr>
          <w:rFonts w:hAnsi="宋体" w:cs="宋体"/>
          <w:sz w:val="21"/>
          <w:szCs w:val="21"/>
          <w:highlight w:val="none"/>
        </w:rPr>
      </w:pPr>
      <w:r>
        <w:rPr>
          <w:rFonts w:hint="eastAsia" w:hAnsi="宋体" w:cs="宋体"/>
          <w:sz w:val="21"/>
          <w:szCs w:val="21"/>
          <w:highlight w:val="none"/>
        </w:rPr>
        <w:t>（2）投标报价的大写金额和小写金额不一致的，以大写金额为准，投标报价精确到小数点后两位。</w:t>
      </w:r>
    </w:p>
    <w:p w14:paraId="3640D33E">
      <w:pPr>
        <w:ind w:firstLine="420" w:firstLineChars="200"/>
        <w:rPr>
          <w:rFonts w:ascii="宋体" w:hAnsi="宋体" w:cs="宋体"/>
          <w:sz w:val="21"/>
          <w:szCs w:val="21"/>
          <w:highlight w:val="none"/>
          <w:lang w:val="zh-CN"/>
        </w:rPr>
      </w:pPr>
      <w:r>
        <w:rPr>
          <w:rFonts w:hint="eastAsia" w:ascii="宋体" w:hAnsi="宋体" w:cs="宋体"/>
          <w:sz w:val="21"/>
          <w:szCs w:val="21"/>
          <w:highlight w:val="none"/>
          <w:lang w:val="zh-CN"/>
        </w:rPr>
        <w:t>（3）“质量标准”“投标工期”“保修期限”可以填写“按招标文件要求”或按招标文件内容填写。</w:t>
      </w:r>
    </w:p>
    <w:p w14:paraId="349A4B5F">
      <w:pPr>
        <w:rPr>
          <w:rFonts w:ascii="宋体" w:hAnsi="宋体" w:cs="宋体"/>
          <w:sz w:val="21"/>
          <w:szCs w:val="21"/>
          <w:highlight w:val="none"/>
        </w:rPr>
      </w:pPr>
    </w:p>
    <w:p w14:paraId="2DA6AB2C">
      <w:pPr>
        <w:pStyle w:val="22"/>
        <w:rPr>
          <w:rFonts w:hAnsi="宋体" w:cs="宋体"/>
          <w:highlight w:val="none"/>
        </w:rPr>
      </w:pPr>
    </w:p>
    <w:p w14:paraId="41E9C0AC">
      <w:pPr>
        <w:pStyle w:val="22"/>
        <w:rPr>
          <w:rFonts w:hAnsi="宋体" w:cs="宋体"/>
          <w:highlight w:val="none"/>
        </w:rPr>
      </w:pPr>
    </w:p>
    <w:p w14:paraId="4FE285F2">
      <w:pPr>
        <w:pStyle w:val="22"/>
        <w:rPr>
          <w:rFonts w:hAnsi="宋体" w:cs="宋体"/>
          <w:highlight w:val="none"/>
        </w:rPr>
      </w:pPr>
    </w:p>
    <w:p w14:paraId="268E19D5">
      <w:pPr>
        <w:pStyle w:val="22"/>
        <w:rPr>
          <w:rFonts w:hAnsi="宋体" w:cs="宋体"/>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type="lines" w:linePitch="312" w:charSpace="0"/>
        </w:sectPr>
      </w:pPr>
    </w:p>
    <w:p w14:paraId="4A5E2471">
      <w:pPr>
        <w:widowControl/>
        <w:adjustRightInd w:val="0"/>
        <w:snapToGrid w:val="0"/>
        <w:ind w:right="102"/>
        <w:jc w:val="left"/>
        <w:rPr>
          <w:rFonts w:ascii="宋体" w:hAnsi="宋体" w:cs="宋体"/>
          <w:b/>
          <w:bCs/>
          <w:sz w:val="36"/>
          <w:szCs w:val="32"/>
          <w:highlight w:val="none"/>
          <w:lang w:val="zh-CN"/>
        </w:rPr>
      </w:pPr>
      <w:r>
        <w:rPr>
          <w:rFonts w:hint="eastAsia" w:ascii="宋体" w:hAnsi="宋体" w:cs="宋体"/>
          <w:b/>
          <w:sz w:val="28"/>
          <w:highlight w:val="none"/>
        </w:rPr>
        <w:t>格式4：</w:t>
      </w:r>
    </w:p>
    <w:p w14:paraId="572CF75A">
      <w:pPr>
        <w:widowControl/>
        <w:adjustRightInd w:val="0"/>
        <w:snapToGrid w:val="0"/>
        <w:ind w:right="102"/>
        <w:jc w:val="center"/>
        <w:rPr>
          <w:rFonts w:ascii="宋体" w:hAnsi="宋体" w:cs="宋体"/>
          <w:b/>
          <w:bCs/>
          <w:sz w:val="28"/>
          <w:szCs w:val="28"/>
          <w:highlight w:val="none"/>
          <w:lang w:val="zh-CN"/>
        </w:rPr>
      </w:pPr>
      <w:r>
        <w:rPr>
          <w:rFonts w:hint="eastAsia" w:ascii="宋体" w:hAnsi="宋体" w:cs="宋体"/>
          <w:b/>
          <w:bCs/>
          <w:sz w:val="36"/>
          <w:szCs w:val="32"/>
          <w:highlight w:val="none"/>
          <w:lang w:val="zh-CN"/>
        </w:rPr>
        <w:t>投标承诺函</w:t>
      </w:r>
    </w:p>
    <w:p w14:paraId="3D3A42B4">
      <w:pPr>
        <w:spacing w:line="360" w:lineRule="auto"/>
        <w:jc w:val="center"/>
        <w:rPr>
          <w:rFonts w:ascii="宋体" w:hAnsi="宋体" w:cs="宋体"/>
          <w:b/>
          <w:sz w:val="24"/>
          <w:szCs w:val="24"/>
          <w:highlight w:val="none"/>
        </w:rPr>
      </w:pPr>
    </w:p>
    <w:p w14:paraId="1D229356">
      <w:pPr>
        <w:spacing w:line="360" w:lineRule="auto"/>
        <w:rPr>
          <w:rFonts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 xml:space="preserve">     （招标人名称）       </w:t>
      </w:r>
    </w:p>
    <w:p w14:paraId="56B46C43">
      <w:pPr>
        <w:spacing w:line="360" w:lineRule="auto"/>
        <w:ind w:firstLine="420" w:firstLineChars="200"/>
        <w:rPr>
          <w:rFonts w:ascii="宋体" w:hAnsi="宋体" w:cs="宋体"/>
          <w:szCs w:val="21"/>
          <w:highlight w:val="none"/>
        </w:rPr>
      </w:pPr>
      <w:r>
        <w:rPr>
          <w:rFonts w:hint="eastAsia" w:ascii="宋体" w:hAnsi="宋体" w:cs="宋体"/>
          <w:szCs w:val="21"/>
          <w:highlight w:val="none"/>
        </w:rPr>
        <w:t>我司确认收到贵司提供的</w:t>
      </w:r>
      <w:r>
        <w:rPr>
          <w:rFonts w:hint="eastAsia" w:ascii="宋体" w:hAnsi="宋体" w:cs="宋体"/>
          <w:szCs w:val="21"/>
          <w:highlight w:val="none"/>
          <w:u w:val="single"/>
        </w:rPr>
        <w:t xml:space="preserve">      （项目名称）      </w:t>
      </w:r>
      <w:r>
        <w:rPr>
          <w:rFonts w:hint="eastAsia" w:ascii="宋体" w:hAnsi="宋体" w:cs="宋体"/>
          <w:szCs w:val="21"/>
          <w:highlight w:val="none"/>
        </w:rPr>
        <w:t>招标文件的全部内容，我司：</w:t>
      </w:r>
      <w:r>
        <w:rPr>
          <w:rFonts w:hint="eastAsia" w:ascii="宋体" w:hAnsi="宋体" w:cs="宋体"/>
          <w:szCs w:val="21"/>
          <w:highlight w:val="none"/>
          <w:u w:val="single"/>
        </w:rPr>
        <w:t xml:space="preserve">       (投标人名称)      </w:t>
      </w:r>
      <w:r>
        <w:rPr>
          <w:rFonts w:hint="eastAsia" w:ascii="宋体" w:hAnsi="宋体" w:cs="宋体"/>
          <w:szCs w:val="21"/>
          <w:highlight w:val="none"/>
        </w:rPr>
        <w:t>已作为投标人正式授权</w:t>
      </w:r>
      <w:r>
        <w:rPr>
          <w:rFonts w:hint="eastAsia" w:ascii="宋体" w:hAnsi="宋体" w:cs="宋体"/>
          <w:szCs w:val="21"/>
          <w:highlight w:val="none"/>
          <w:u w:val="single"/>
        </w:rPr>
        <w:t xml:space="preserve">         (授权代表全名，职务)    </w:t>
      </w:r>
      <w:r>
        <w:rPr>
          <w:rFonts w:hint="eastAsia" w:ascii="宋体" w:hAnsi="宋体" w:cs="宋体"/>
          <w:szCs w:val="21"/>
          <w:highlight w:val="none"/>
        </w:rPr>
        <w:t>代表我司进行有关本次投标的一切事宜。</w:t>
      </w:r>
    </w:p>
    <w:p w14:paraId="6CD82A34">
      <w:pPr>
        <w:spacing w:line="360" w:lineRule="auto"/>
        <w:ind w:firstLine="420" w:firstLineChars="200"/>
        <w:rPr>
          <w:rFonts w:ascii="宋体" w:hAnsi="宋体" w:cs="宋体"/>
          <w:szCs w:val="21"/>
          <w:highlight w:val="none"/>
        </w:rPr>
      </w:pPr>
      <w:r>
        <w:rPr>
          <w:rFonts w:hint="eastAsia" w:ascii="宋体" w:hAnsi="宋体" w:cs="宋体"/>
          <w:szCs w:val="21"/>
          <w:highlight w:val="none"/>
        </w:rPr>
        <w:t>我司已完全明白和接受招标文件的所有条款要求，并重申以下几点：</w:t>
      </w:r>
    </w:p>
    <w:p w14:paraId="1DAF2457">
      <w:pPr>
        <w:spacing w:line="360" w:lineRule="auto"/>
        <w:ind w:firstLine="420" w:firstLineChars="200"/>
        <w:rPr>
          <w:rFonts w:ascii="宋体" w:hAnsi="宋体" w:cs="宋体"/>
          <w:szCs w:val="21"/>
          <w:highlight w:val="none"/>
        </w:rPr>
      </w:pPr>
      <w:r>
        <w:rPr>
          <w:rFonts w:hint="eastAsia" w:ascii="宋体" w:hAnsi="宋体" w:cs="宋体"/>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10BAC798">
      <w:pPr>
        <w:spacing w:line="360" w:lineRule="auto"/>
        <w:ind w:firstLine="420" w:firstLineChars="200"/>
        <w:rPr>
          <w:rFonts w:ascii="宋体" w:hAnsi="宋体" w:cs="宋体"/>
          <w:szCs w:val="21"/>
          <w:highlight w:val="none"/>
        </w:rPr>
      </w:pPr>
      <w:r>
        <w:rPr>
          <w:rFonts w:hint="eastAsia" w:ascii="宋体" w:hAnsi="宋体" w:cs="宋体"/>
          <w:szCs w:val="21"/>
          <w:highlight w:val="none"/>
        </w:rPr>
        <w:t>2. 我司已充分阅读了本项目招标文件并充分了解有关报价方式及变更、结算方式，我司完全响应招标文件的规定。</w:t>
      </w:r>
    </w:p>
    <w:p w14:paraId="600F86EA">
      <w:pPr>
        <w:spacing w:line="360" w:lineRule="auto"/>
        <w:ind w:firstLine="420" w:firstLineChars="200"/>
        <w:rPr>
          <w:rFonts w:ascii="宋体" w:hAnsi="宋体" w:cs="宋体"/>
          <w:szCs w:val="21"/>
          <w:highlight w:val="none"/>
        </w:rPr>
      </w:pPr>
      <w:r>
        <w:rPr>
          <w:rFonts w:hint="eastAsia" w:ascii="宋体" w:hAnsi="宋体" w:cs="宋体"/>
          <w:szCs w:val="21"/>
          <w:highlight w:val="none"/>
        </w:rPr>
        <w:t>3．本投标文件的有效期为投标截止日后</w:t>
      </w:r>
      <w:r>
        <w:rPr>
          <w:rFonts w:hint="eastAsia" w:ascii="宋体" w:hAnsi="宋体" w:cs="宋体"/>
          <w:b/>
          <w:szCs w:val="21"/>
          <w:highlight w:val="none"/>
          <w:u w:val="single"/>
        </w:rPr>
        <w:t>90日历天</w:t>
      </w:r>
      <w:r>
        <w:rPr>
          <w:rFonts w:hint="eastAsia" w:ascii="宋体" w:hAnsi="宋体" w:cs="宋体"/>
          <w:szCs w:val="21"/>
          <w:highlight w:val="none"/>
        </w:rPr>
        <w:t>内有效；</w:t>
      </w:r>
    </w:p>
    <w:p w14:paraId="6D2117D2">
      <w:pPr>
        <w:spacing w:line="360" w:lineRule="auto"/>
        <w:ind w:firstLine="420" w:firstLineChars="200"/>
        <w:rPr>
          <w:rFonts w:ascii="宋体" w:hAnsi="宋体" w:cs="宋体"/>
          <w:szCs w:val="21"/>
          <w:highlight w:val="none"/>
        </w:rPr>
      </w:pPr>
      <w:r>
        <w:rPr>
          <w:rFonts w:hint="eastAsia" w:ascii="宋体" w:hAnsi="宋体" w:cs="宋体"/>
          <w:szCs w:val="21"/>
          <w:highlight w:val="none"/>
        </w:rPr>
        <w:t>4．我司承诺投标文件中的一切资料、数据是真实的，并承担由此引起的一切责任。</w:t>
      </w:r>
    </w:p>
    <w:p w14:paraId="397E625D">
      <w:pPr>
        <w:spacing w:line="360" w:lineRule="auto"/>
        <w:ind w:firstLine="420" w:firstLineChars="200"/>
        <w:rPr>
          <w:rFonts w:ascii="宋体" w:hAnsi="宋体" w:cs="宋体"/>
          <w:szCs w:val="21"/>
          <w:highlight w:val="none"/>
        </w:rPr>
      </w:pPr>
      <w:r>
        <w:rPr>
          <w:rFonts w:hint="eastAsia" w:ascii="宋体" w:hAnsi="宋体" w:cs="宋体"/>
          <w:szCs w:val="21"/>
          <w:highlight w:val="none"/>
        </w:rPr>
        <w:t>5．我司明白并愿意若在规定的投标截止时间之后至投标有效期之内撤回投标，则投标保证金将被贵单位没收。</w:t>
      </w:r>
    </w:p>
    <w:p w14:paraId="16DABBE0">
      <w:pPr>
        <w:spacing w:line="360" w:lineRule="auto"/>
        <w:ind w:firstLine="420" w:firstLineChars="200"/>
        <w:rPr>
          <w:rFonts w:ascii="宋体" w:hAnsi="宋体" w:cs="宋体"/>
          <w:szCs w:val="21"/>
          <w:highlight w:val="none"/>
        </w:rPr>
      </w:pPr>
      <w:r>
        <w:rPr>
          <w:rFonts w:hint="eastAsia" w:ascii="宋体" w:hAnsi="宋体" w:cs="宋体"/>
          <w:szCs w:val="21"/>
          <w:highlight w:val="none"/>
        </w:rPr>
        <w:t>6．我司同意按照贵司可能提出的要求而提供与投标有关的任何其它数据或信息。</w:t>
      </w:r>
    </w:p>
    <w:p w14:paraId="2F6B1E31">
      <w:pPr>
        <w:spacing w:line="360" w:lineRule="auto"/>
        <w:ind w:firstLine="420" w:firstLineChars="200"/>
        <w:rPr>
          <w:rFonts w:ascii="宋体" w:hAnsi="宋体" w:cs="宋体"/>
          <w:szCs w:val="21"/>
          <w:highlight w:val="none"/>
        </w:rPr>
      </w:pPr>
      <w:r>
        <w:rPr>
          <w:rFonts w:hint="eastAsia" w:ascii="宋体" w:hAnsi="宋体" w:cs="宋体"/>
          <w:szCs w:val="21"/>
          <w:highlight w:val="none"/>
        </w:rPr>
        <w:t>7．我司如果中标，我司保证：</w:t>
      </w:r>
    </w:p>
    <w:p w14:paraId="25B5FB31">
      <w:pPr>
        <w:spacing w:line="360" w:lineRule="auto"/>
        <w:ind w:firstLine="420" w:firstLineChars="200"/>
        <w:rPr>
          <w:rFonts w:ascii="宋体" w:hAnsi="宋体" w:cs="宋体"/>
          <w:szCs w:val="21"/>
          <w:highlight w:val="none"/>
        </w:rPr>
      </w:pPr>
      <w:r>
        <w:rPr>
          <w:rFonts w:hint="eastAsia" w:ascii="宋体" w:hAnsi="宋体" w:cs="宋体"/>
          <w:szCs w:val="21"/>
          <w:highlight w:val="none"/>
        </w:rPr>
        <w:t>7.1保证履行招标文件以及招标文件修改书(如有)中的全部责任和义务，在中标通知书规定的时间内签订合同，并严格按照国家有关法规履行我司的全部责任，按质、按量、按期完成合同约定的全部任务。</w:t>
      </w:r>
    </w:p>
    <w:p w14:paraId="0BB7CA82">
      <w:pPr>
        <w:spacing w:line="360" w:lineRule="auto"/>
        <w:ind w:firstLine="420" w:firstLineChars="200"/>
        <w:rPr>
          <w:rFonts w:ascii="宋体" w:hAnsi="宋体" w:cs="宋体"/>
          <w:szCs w:val="21"/>
          <w:highlight w:val="none"/>
        </w:rPr>
      </w:pPr>
      <w:r>
        <w:rPr>
          <w:rFonts w:hint="eastAsia" w:ascii="宋体" w:hAnsi="宋体" w:cs="宋体"/>
          <w:szCs w:val="21"/>
          <w:highlight w:val="none"/>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7FEF45A4">
      <w:pPr>
        <w:spacing w:line="360" w:lineRule="auto"/>
        <w:ind w:firstLine="420" w:firstLineChars="200"/>
        <w:rPr>
          <w:rFonts w:ascii="宋体" w:hAnsi="宋体" w:cs="宋体"/>
          <w:szCs w:val="21"/>
          <w:highlight w:val="none"/>
        </w:rPr>
      </w:pPr>
      <w:r>
        <w:rPr>
          <w:rFonts w:hint="eastAsia" w:ascii="宋体" w:hAnsi="宋体" w:cs="宋体"/>
          <w:szCs w:val="21"/>
          <w:highlight w:val="none"/>
        </w:rPr>
        <w:t>7.3保证所完成的设计将完全符合国家相关规范要求，符合或优于招标文件、技术条件、合同条款的要求。若我司完成的设计文件未能达到招标人（或相关政府部门）的要求，我司将无条件根据要求进行修改设计文件，直至得到招标人（及相关政府部门）的认可为止。</w:t>
      </w:r>
    </w:p>
    <w:p w14:paraId="095D556E">
      <w:pPr>
        <w:spacing w:line="360" w:lineRule="auto"/>
        <w:ind w:firstLine="420" w:firstLineChars="200"/>
        <w:rPr>
          <w:rFonts w:ascii="宋体" w:hAnsi="宋体" w:cs="宋体"/>
          <w:szCs w:val="21"/>
          <w:highlight w:val="none"/>
        </w:rPr>
      </w:pPr>
      <w:r>
        <w:rPr>
          <w:rFonts w:hint="eastAsia" w:ascii="宋体" w:hAnsi="宋体" w:cs="宋体"/>
          <w:szCs w:val="21"/>
          <w:highlight w:val="none"/>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4E0DCB20">
      <w:pPr>
        <w:spacing w:line="360" w:lineRule="auto"/>
        <w:ind w:firstLine="420" w:firstLineChars="200"/>
        <w:rPr>
          <w:rFonts w:ascii="宋体" w:hAnsi="宋体" w:cs="宋体"/>
          <w:szCs w:val="21"/>
          <w:highlight w:val="none"/>
        </w:rPr>
      </w:pPr>
      <w:r>
        <w:rPr>
          <w:rFonts w:hint="eastAsia" w:ascii="宋体" w:hAnsi="宋体" w:cs="宋体"/>
          <w:szCs w:val="21"/>
          <w:highlight w:val="none"/>
        </w:rPr>
        <w:t>7.5保证投标所报的项目负责人（可兼任施工负责人）、设计负责人</w:t>
      </w:r>
      <w:r>
        <w:rPr>
          <w:rFonts w:hint="eastAsia" w:ascii="宋体" w:hAnsi="宋体" w:cs="宋体"/>
          <w:highlight w:val="none"/>
        </w:rPr>
        <w:t>、专职安全员</w:t>
      </w:r>
      <w:r>
        <w:rPr>
          <w:rFonts w:hint="eastAsia" w:ascii="宋体" w:hAnsi="宋体" w:cs="宋体"/>
          <w:szCs w:val="21"/>
          <w:highlight w:val="none"/>
        </w:rPr>
        <w:t>在本项目合同签订后7日内到职，全过程服务于本项目，在过程中非不可抗力或招标人要求不得更换。我司违反以上承诺的，同意按合同条款的规定承担违约责任。</w:t>
      </w:r>
    </w:p>
    <w:p w14:paraId="2A905C52">
      <w:pPr>
        <w:spacing w:line="360" w:lineRule="auto"/>
        <w:ind w:firstLine="420" w:firstLineChars="200"/>
        <w:rPr>
          <w:rFonts w:ascii="宋体" w:hAnsi="宋体" w:cs="宋体"/>
          <w:szCs w:val="21"/>
          <w:highlight w:val="none"/>
        </w:rPr>
      </w:pPr>
      <w:r>
        <w:rPr>
          <w:rFonts w:hint="eastAsia" w:ascii="宋体" w:hAnsi="宋体" w:cs="宋体"/>
          <w:szCs w:val="21"/>
          <w:highlight w:val="none"/>
        </w:rPr>
        <w:t>7.6保证所投入本项目的主要材料、设备质量符合或优于招标文件要求，所投入本项目的辅助设备、材料与主要材料、设备质量一致并有良好的配套性。</w:t>
      </w:r>
    </w:p>
    <w:p w14:paraId="5856721F">
      <w:pPr>
        <w:spacing w:line="360" w:lineRule="auto"/>
        <w:ind w:firstLine="420" w:firstLineChars="200"/>
        <w:rPr>
          <w:rFonts w:ascii="宋体" w:hAnsi="宋体" w:cs="宋体"/>
          <w:szCs w:val="21"/>
          <w:highlight w:val="none"/>
        </w:rPr>
      </w:pPr>
      <w:r>
        <w:rPr>
          <w:rFonts w:hint="eastAsia" w:ascii="宋体" w:hAnsi="宋体" w:cs="宋体"/>
          <w:szCs w:val="21"/>
          <w:highlight w:val="none"/>
        </w:rPr>
        <w:t>7.7保证按照招标文件的要求确保安全生产及文明施工，如有违反，我司愿意按合同约定承担违约责任，并为此负相关的法律责任。</w:t>
      </w:r>
    </w:p>
    <w:p w14:paraId="7D4572DF">
      <w:pPr>
        <w:spacing w:line="360" w:lineRule="auto"/>
        <w:ind w:firstLine="420" w:firstLineChars="200"/>
        <w:rPr>
          <w:rFonts w:ascii="宋体" w:hAnsi="宋体" w:cs="宋体"/>
          <w:szCs w:val="21"/>
          <w:highlight w:val="none"/>
        </w:rPr>
      </w:pPr>
      <w:r>
        <w:rPr>
          <w:rFonts w:hint="eastAsia" w:ascii="宋体" w:hAnsi="宋体" w:cs="宋体"/>
          <w:szCs w:val="21"/>
          <w:highlight w:val="none"/>
        </w:rPr>
        <w:t>7.8保证按国家的有关规定制订保证民工工资支付的方案及保证措施，否则，我司愿按合同条款规定承担违约责任并赔偿招标人的全部损失。</w:t>
      </w:r>
    </w:p>
    <w:p w14:paraId="41DC3BB3">
      <w:pPr>
        <w:spacing w:line="360" w:lineRule="auto"/>
        <w:ind w:firstLine="420" w:firstLineChars="200"/>
        <w:rPr>
          <w:rFonts w:ascii="宋体" w:hAnsi="宋体" w:cs="宋体"/>
          <w:szCs w:val="21"/>
          <w:highlight w:val="none"/>
        </w:rPr>
      </w:pPr>
    </w:p>
    <w:p w14:paraId="48D5B180">
      <w:pPr>
        <w:widowControl/>
        <w:spacing w:line="360" w:lineRule="auto"/>
        <w:jc w:val="left"/>
        <w:rPr>
          <w:rFonts w:ascii="宋体" w:hAnsi="宋体" w:cs="宋体"/>
          <w:szCs w:val="21"/>
          <w:highlight w:val="none"/>
        </w:rPr>
      </w:pPr>
    </w:p>
    <w:p w14:paraId="6947589E">
      <w:pPr>
        <w:spacing w:line="360" w:lineRule="auto"/>
        <w:ind w:firstLine="3360" w:firstLineChars="1600"/>
        <w:rPr>
          <w:rFonts w:ascii="宋体" w:hAnsi="宋体" w:cs="宋体"/>
          <w:szCs w:val="21"/>
          <w:highlight w:val="none"/>
        </w:rPr>
      </w:pPr>
    </w:p>
    <w:p w14:paraId="210B4862">
      <w:pPr>
        <w:spacing w:line="360" w:lineRule="auto"/>
        <w:ind w:firstLine="3360" w:firstLineChars="1600"/>
        <w:rPr>
          <w:rFonts w:ascii="宋体" w:hAnsi="宋体" w:cs="宋体"/>
          <w:szCs w:val="21"/>
          <w:highlight w:val="none"/>
        </w:rPr>
      </w:pPr>
      <w:r>
        <w:rPr>
          <w:rFonts w:hint="eastAsia" w:ascii="宋体" w:hAnsi="宋体" w:cs="宋体"/>
          <w:szCs w:val="21"/>
          <w:highlight w:val="none"/>
        </w:rPr>
        <w:t>投标人：    （盖章）</w:t>
      </w:r>
    </w:p>
    <w:p w14:paraId="2F99119F">
      <w:pPr>
        <w:spacing w:line="360" w:lineRule="auto"/>
        <w:ind w:firstLine="3360" w:firstLineChars="1600"/>
        <w:rPr>
          <w:rFonts w:ascii="宋体" w:hAnsi="宋体" w:cs="宋体"/>
          <w:sz w:val="24"/>
          <w:szCs w:val="24"/>
          <w:highlight w:val="none"/>
        </w:rPr>
      </w:pPr>
      <w:r>
        <w:rPr>
          <w:rFonts w:hint="eastAsia" w:ascii="宋体" w:hAnsi="宋体" w:cs="宋体"/>
          <w:szCs w:val="21"/>
          <w:highlight w:val="none"/>
        </w:rPr>
        <w:t>法定代表人或其授权代理人(签名或盖</w:t>
      </w:r>
      <w:r>
        <w:rPr>
          <w:rFonts w:hint="eastAsia" w:ascii="宋体" w:hAnsi="宋体" w:cs="宋体"/>
          <w:sz w:val="24"/>
          <w:highlight w:val="none"/>
        </w:rPr>
        <w:t>章)：</w:t>
      </w:r>
    </w:p>
    <w:p w14:paraId="04C7610D">
      <w:pPr>
        <w:spacing w:line="360" w:lineRule="auto"/>
        <w:ind w:firstLine="3360" w:firstLineChars="1400"/>
        <w:rPr>
          <w:rFonts w:ascii="宋体" w:hAnsi="宋体" w:cs="宋体"/>
          <w:sz w:val="24"/>
          <w:highlight w:val="none"/>
        </w:rPr>
      </w:pPr>
      <w:r>
        <w:rPr>
          <w:rFonts w:hint="eastAsia" w:ascii="宋体" w:hAnsi="宋体" w:cs="宋体"/>
          <w:sz w:val="24"/>
          <w:highlight w:val="none"/>
        </w:rPr>
        <w:t>日   期：    年    月    日</w:t>
      </w:r>
    </w:p>
    <w:p w14:paraId="42A860A5">
      <w:pPr>
        <w:pStyle w:val="22"/>
        <w:spacing w:line="360" w:lineRule="auto"/>
        <w:ind w:firstLine="241" w:firstLineChars="100"/>
        <w:rPr>
          <w:rFonts w:hAnsi="宋体" w:cs="宋体"/>
          <w:b/>
          <w:sz w:val="24"/>
          <w:szCs w:val="24"/>
          <w:highlight w:val="none"/>
        </w:rPr>
      </w:pPr>
    </w:p>
    <w:p w14:paraId="6311B7DC">
      <w:pPr>
        <w:wordWrap w:val="0"/>
        <w:topLinePunct/>
        <w:rPr>
          <w:rFonts w:ascii="宋体" w:hAnsi="宋体" w:cs="宋体"/>
          <w:b/>
          <w:bCs/>
          <w:szCs w:val="24"/>
          <w:highlight w:val="none"/>
        </w:rPr>
      </w:pPr>
      <w:r>
        <w:rPr>
          <w:rFonts w:hint="eastAsia" w:ascii="宋体" w:hAnsi="宋体" w:cs="宋体"/>
          <w:b/>
          <w:szCs w:val="21"/>
          <w:highlight w:val="none"/>
        </w:rPr>
        <w:t>注：联合体投标的，“投标人”一栏需书写所有联合体成员的单位全称，可由主办方签署、盖章。</w:t>
      </w:r>
    </w:p>
    <w:p w14:paraId="6BCE7A6C">
      <w:pPr>
        <w:rPr>
          <w:rFonts w:ascii="宋体" w:hAnsi="宋体" w:cs="宋体"/>
          <w:highlight w:val="none"/>
          <w:lang w:val="zh-CN"/>
        </w:rPr>
      </w:pPr>
    </w:p>
    <w:p w14:paraId="48A3A941">
      <w:pPr>
        <w:spacing w:line="360" w:lineRule="auto"/>
        <w:jc w:val="left"/>
        <w:rPr>
          <w:rFonts w:ascii="宋体" w:hAnsi="宋体" w:cs="宋体"/>
          <w:b/>
          <w:bCs/>
          <w:sz w:val="32"/>
          <w:szCs w:val="32"/>
          <w:highlight w:val="none"/>
          <w:lang w:val="zh-CN"/>
        </w:rPr>
      </w:pPr>
      <w:r>
        <w:rPr>
          <w:rFonts w:hint="eastAsia" w:ascii="宋体" w:hAnsi="宋体" w:cs="宋体"/>
          <w:b/>
          <w:bCs/>
          <w:sz w:val="32"/>
          <w:szCs w:val="32"/>
          <w:highlight w:val="none"/>
          <w:lang w:val="zh-CN"/>
        </w:rPr>
        <w:br w:type="page"/>
      </w:r>
      <w:r>
        <w:rPr>
          <w:rFonts w:hint="eastAsia" w:ascii="宋体" w:hAnsi="宋体" w:cs="宋体"/>
          <w:b/>
          <w:sz w:val="28"/>
          <w:highlight w:val="none"/>
        </w:rPr>
        <w:t>格式5：</w:t>
      </w:r>
    </w:p>
    <w:p w14:paraId="624B26E6">
      <w:pPr>
        <w:spacing w:line="360" w:lineRule="auto"/>
        <w:jc w:val="center"/>
        <w:rPr>
          <w:rFonts w:ascii="宋体" w:hAnsi="宋体" w:cs="宋体"/>
          <w:b/>
          <w:bCs/>
          <w:sz w:val="28"/>
          <w:szCs w:val="28"/>
          <w:highlight w:val="none"/>
          <w:lang w:val="zh-CN"/>
        </w:rPr>
      </w:pPr>
      <w:r>
        <w:rPr>
          <w:rFonts w:hint="eastAsia" w:ascii="宋体" w:hAnsi="宋体" w:cs="宋体"/>
          <w:b/>
          <w:bCs/>
          <w:sz w:val="32"/>
          <w:szCs w:val="32"/>
          <w:highlight w:val="none"/>
          <w:lang w:val="zh-CN"/>
        </w:rPr>
        <w:t>投标人基本情况表</w:t>
      </w:r>
    </w:p>
    <w:tbl>
      <w:tblPr>
        <w:tblStyle w:val="41"/>
        <w:tblW w:w="0" w:type="auto"/>
        <w:jc w:val="center"/>
        <w:tblLayout w:type="fixed"/>
        <w:tblCellMar>
          <w:top w:w="0" w:type="dxa"/>
          <w:left w:w="0" w:type="dxa"/>
          <w:bottom w:w="0" w:type="dxa"/>
          <w:right w:w="0" w:type="dxa"/>
        </w:tblCellMar>
      </w:tblPr>
      <w:tblGrid>
        <w:gridCol w:w="1885"/>
        <w:gridCol w:w="1102"/>
        <w:gridCol w:w="1214"/>
        <w:gridCol w:w="840"/>
        <w:gridCol w:w="425"/>
        <w:gridCol w:w="212"/>
        <w:gridCol w:w="1265"/>
        <w:gridCol w:w="204"/>
        <w:gridCol w:w="840"/>
        <w:gridCol w:w="1060"/>
      </w:tblGrid>
      <w:tr w14:paraId="4C1AA333">
        <w:tblPrEx>
          <w:tblCellMar>
            <w:top w:w="0" w:type="dxa"/>
            <w:left w:w="0" w:type="dxa"/>
            <w:bottom w:w="0" w:type="dxa"/>
            <w:right w:w="0" w:type="dxa"/>
          </w:tblCellMar>
        </w:tblPrEx>
        <w:trPr>
          <w:trHeight w:val="50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7804BD84">
            <w:pPr>
              <w:adjustRightInd w:val="0"/>
              <w:snapToGrid w:val="0"/>
              <w:jc w:val="center"/>
              <w:rPr>
                <w:rFonts w:ascii="宋体" w:hAnsi="宋体" w:cs="宋体"/>
                <w:szCs w:val="21"/>
                <w:highlight w:val="none"/>
              </w:rPr>
            </w:pPr>
            <w:r>
              <w:rPr>
                <w:rFonts w:hint="eastAsia" w:ascii="宋体" w:hAnsi="宋体" w:cs="宋体"/>
                <w:kern w:val="0"/>
                <w:szCs w:val="21"/>
                <w:highlight w:val="none"/>
              </w:rPr>
              <w:t>投标人名称</w:t>
            </w:r>
          </w:p>
        </w:tc>
        <w:tc>
          <w:tcPr>
            <w:tcW w:w="7162" w:type="dxa"/>
            <w:gridSpan w:val="9"/>
            <w:tcBorders>
              <w:top w:val="single" w:color="auto" w:sz="8" w:space="0"/>
              <w:left w:val="single" w:color="auto" w:sz="8" w:space="0"/>
              <w:bottom w:val="single" w:color="auto" w:sz="8" w:space="0"/>
              <w:right w:val="single" w:color="auto" w:sz="8" w:space="0"/>
            </w:tcBorders>
            <w:vAlign w:val="center"/>
          </w:tcPr>
          <w:p w14:paraId="017583DD">
            <w:pPr>
              <w:adjustRightInd w:val="0"/>
              <w:snapToGrid w:val="0"/>
              <w:jc w:val="center"/>
              <w:rPr>
                <w:rFonts w:ascii="宋体" w:hAnsi="宋体" w:cs="宋体"/>
                <w:szCs w:val="21"/>
                <w:highlight w:val="none"/>
              </w:rPr>
            </w:pPr>
          </w:p>
        </w:tc>
      </w:tr>
      <w:tr w14:paraId="5020FC10">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12EFB002">
            <w:pPr>
              <w:adjustRightInd w:val="0"/>
              <w:snapToGrid w:val="0"/>
              <w:jc w:val="center"/>
              <w:rPr>
                <w:rFonts w:ascii="宋体" w:hAnsi="宋体" w:cs="宋体"/>
                <w:szCs w:val="21"/>
                <w:highlight w:val="none"/>
              </w:rPr>
            </w:pPr>
            <w:r>
              <w:rPr>
                <w:rFonts w:hint="eastAsia" w:ascii="宋体" w:hAnsi="宋体" w:cs="宋体"/>
                <w:kern w:val="0"/>
                <w:szCs w:val="21"/>
                <w:highlight w:val="none"/>
              </w:rPr>
              <w:t>注册地址</w:t>
            </w:r>
          </w:p>
        </w:tc>
        <w:tc>
          <w:tcPr>
            <w:tcW w:w="3793" w:type="dxa"/>
            <w:gridSpan w:val="5"/>
            <w:tcBorders>
              <w:top w:val="single" w:color="auto" w:sz="8" w:space="0"/>
              <w:left w:val="single" w:color="auto" w:sz="8" w:space="0"/>
              <w:bottom w:val="single" w:color="auto" w:sz="8" w:space="0"/>
              <w:right w:val="single" w:color="auto" w:sz="8" w:space="0"/>
            </w:tcBorders>
            <w:vAlign w:val="center"/>
          </w:tcPr>
          <w:p w14:paraId="4ADBD3B6">
            <w:pPr>
              <w:adjustRightInd w:val="0"/>
              <w:snapToGrid w:val="0"/>
              <w:jc w:val="center"/>
              <w:rPr>
                <w:rFonts w:ascii="宋体" w:hAnsi="宋体" w:cs="宋体"/>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14:paraId="403375E6">
            <w:pPr>
              <w:adjustRightInd w:val="0"/>
              <w:snapToGrid w:val="0"/>
              <w:jc w:val="center"/>
              <w:rPr>
                <w:rFonts w:ascii="宋体" w:hAnsi="宋体" w:cs="宋体"/>
                <w:szCs w:val="21"/>
                <w:highlight w:val="none"/>
              </w:rPr>
            </w:pPr>
            <w:r>
              <w:rPr>
                <w:rFonts w:hint="eastAsia" w:ascii="宋体" w:hAnsi="宋体" w:cs="宋体"/>
                <w:kern w:val="0"/>
                <w:szCs w:val="21"/>
                <w:highlight w:val="none"/>
              </w:rPr>
              <w:t>邮政编码</w:t>
            </w:r>
          </w:p>
        </w:tc>
        <w:tc>
          <w:tcPr>
            <w:tcW w:w="2104" w:type="dxa"/>
            <w:gridSpan w:val="3"/>
            <w:tcBorders>
              <w:top w:val="single" w:color="auto" w:sz="8" w:space="0"/>
              <w:left w:val="single" w:color="auto" w:sz="8" w:space="0"/>
              <w:bottom w:val="single" w:color="auto" w:sz="8" w:space="0"/>
              <w:right w:val="single" w:color="auto" w:sz="8" w:space="0"/>
            </w:tcBorders>
            <w:vAlign w:val="center"/>
          </w:tcPr>
          <w:p w14:paraId="03989D46">
            <w:pPr>
              <w:adjustRightInd w:val="0"/>
              <w:snapToGrid w:val="0"/>
              <w:jc w:val="center"/>
              <w:rPr>
                <w:rFonts w:ascii="宋体" w:hAnsi="宋体" w:cs="宋体"/>
                <w:szCs w:val="21"/>
                <w:highlight w:val="none"/>
              </w:rPr>
            </w:pPr>
          </w:p>
        </w:tc>
      </w:tr>
      <w:tr w14:paraId="62732045">
        <w:tblPrEx>
          <w:tblCellMar>
            <w:top w:w="0" w:type="dxa"/>
            <w:left w:w="0" w:type="dxa"/>
            <w:bottom w:w="0" w:type="dxa"/>
            <w:right w:w="0" w:type="dxa"/>
          </w:tblCellMar>
        </w:tblPrEx>
        <w:trPr>
          <w:cantSplit/>
          <w:trHeight w:val="540" w:hRule="exact"/>
          <w:jc w:val="center"/>
        </w:trPr>
        <w:tc>
          <w:tcPr>
            <w:tcW w:w="1885" w:type="dxa"/>
            <w:vMerge w:val="restart"/>
            <w:tcBorders>
              <w:top w:val="single" w:color="auto" w:sz="8" w:space="0"/>
              <w:left w:val="single" w:color="auto" w:sz="8" w:space="0"/>
              <w:bottom w:val="single" w:color="auto" w:sz="8" w:space="0"/>
              <w:right w:val="single" w:color="auto" w:sz="8" w:space="0"/>
            </w:tcBorders>
            <w:vAlign w:val="center"/>
          </w:tcPr>
          <w:p w14:paraId="4E1D4554">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联系方式</w:t>
            </w:r>
          </w:p>
        </w:tc>
        <w:tc>
          <w:tcPr>
            <w:tcW w:w="1102" w:type="dxa"/>
            <w:tcBorders>
              <w:top w:val="single" w:color="auto" w:sz="8" w:space="0"/>
              <w:left w:val="single" w:color="auto" w:sz="8" w:space="0"/>
              <w:bottom w:val="single" w:color="auto" w:sz="8" w:space="0"/>
              <w:right w:val="single" w:color="auto" w:sz="8" w:space="0"/>
            </w:tcBorders>
            <w:vAlign w:val="center"/>
          </w:tcPr>
          <w:p w14:paraId="534DE27C">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联系人</w:t>
            </w:r>
          </w:p>
        </w:tc>
        <w:tc>
          <w:tcPr>
            <w:tcW w:w="2691" w:type="dxa"/>
            <w:gridSpan w:val="4"/>
            <w:tcBorders>
              <w:top w:val="single" w:color="auto" w:sz="8" w:space="0"/>
              <w:left w:val="single" w:color="auto" w:sz="8" w:space="0"/>
              <w:bottom w:val="single" w:color="auto" w:sz="8" w:space="0"/>
              <w:right w:val="single" w:color="auto" w:sz="8" w:space="0"/>
            </w:tcBorders>
            <w:vAlign w:val="center"/>
          </w:tcPr>
          <w:p w14:paraId="670F24F5">
            <w:pPr>
              <w:adjustRightInd w:val="0"/>
              <w:snapToGrid w:val="0"/>
              <w:jc w:val="center"/>
              <w:rPr>
                <w:rFonts w:ascii="宋体" w:hAnsi="宋体" w:cs="宋体"/>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14:paraId="08A42B84">
            <w:pPr>
              <w:adjustRightInd w:val="0"/>
              <w:snapToGrid w:val="0"/>
              <w:jc w:val="center"/>
              <w:rPr>
                <w:rFonts w:ascii="宋体" w:hAnsi="宋体" w:cs="宋体"/>
                <w:szCs w:val="21"/>
                <w:highlight w:val="none"/>
              </w:rPr>
            </w:pPr>
            <w:r>
              <w:rPr>
                <w:rFonts w:hint="eastAsia" w:ascii="宋体" w:hAnsi="宋体" w:cs="宋体"/>
                <w:kern w:val="0"/>
                <w:szCs w:val="21"/>
                <w:highlight w:val="none"/>
              </w:rPr>
              <w:t>电  话</w:t>
            </w:r>
          </w:p>
        </w:tc>
        <w:tc>
          <w:tcPr>
            <w:tcW w:w="2104" w:type="dxa"/>
            <w:gridSpan w:val="3"/>
            <w:tcBorders>
              <w:top w:val="single" w:color="auto" w:sz="8" w:space="0"/>
              <w:left w:val="single" w:color="auto" w:sz="8" w:space="0"/>
              <w:bottom w:val="single" w:color="auto" w:sz="8" w:space="0"/>
              <w:right w:val="single" w:color="auto" w:sz="8" w:space="0"/>
            </w:tcBorders>
            <w:vAlign w:val="center"/>
          </w:tcPr>
          <w:p w14:paraId="3FB07234">
            <w:pPr>
              <w:adjustRightInd w:val="0"/>
              <w:snapToGrid w:val="0"/>
              <w:jc w:val="center"/>
              <w:rPr>
                <w:rFonts w:ascii="宋体" w:hAnsi="宋体" w:cs="宋体"/>
                <w:szCs w:val="21"/>
                <w:highlight w:val="none"/>
              </w:rPr>
            </w:pPr>
          </w:p>
        </w:tc>
      </w:tr>
      <w:tr w14:paraId="4F7D9710">
        <w:tblPrEx>
          <w:tblCellMar>
            <w:top w:w="0" w:type="dxa"/>
            <w:left w:w="0" w:type="dxa"/>
            <w:bottom w:w="0" w:type="dxa"/>
            <w:right w:w="0" w:type="dxa"/>
          </w:tblCellMar>
        </w:tblPrEx>
        <w:trPr>
          <w:cantSplit/>
          <w:trHeight w:val="520" w:hRule="exact"/>
          <w:jc w:val="center"/>
        </w:trPr>
        <w:tc>
          <w:tcPr>
            <w:tcW w:w="1885" w:type="dxa"/>
            <w:vMerge w:val="continue"/>
            <w:tcBorders>
              <w:top w:val="single" w:color="auto" w:sz="8" w:space="0"/>
              <w:left w:val="single" w:color="auto" w:sz="8" w:space="0"/>
              <w:bottom w:val="single" w:color="auto" w:sz="8" w:space="0"/>
              <w:right w:val="single" w:color="auto" w:sz="8" w:space="0"/>
            </w:tcBorders>
            <w:vAlign w:val="center"/>
          </w:tcPr>
          <w:p w14:paraId="21AEFAD5">
            <w:pPr>
              <w:widowControl/>
              <w:jc w:val="left"/>
              <w:rPr>
                <w:rFonts w:ascii="宋体" w:hAnsi="宋体" w:cs="宋体"/>
                <w:kern w:val="0"/>
                <w:szCs w:val="21"/>
                <w:highlight w:val="none"/>
              </w:rPr>
            </w:pPr>
          </w:p>
        </w:tc>
        <w:tc>
          <w:tcPr>
            <w:tcW w:w="1102" w:type="dxa"/>
            <w:tcBorders>
              <w:top w:val="single" w:color="auto" w:sz="8" w:space="0"/>
              <w:left w:val="single" w:color="auto" w:sz="8" w:space="0"/>
              <w:bottom w:val="single" w:color="auto" w:sz="8" w:space="0"/>
              <w:right w:val="single" w:color="auto" w:sz="8" w:space="0"/>
            </w:tcBorders>
            <w:vAlign w:val="center"/>
          </w:tcPr>
          <w:p w14:paraId="50518225">
            <w:pPr>
              <w:adjustRightInd w:val="0"/>
              <w:snapToGrid w:val="0"/>
              <w:jc w:val="center"/>
              <w:rPr>
                <w:rFonts w:ascii="宋体" w:hAnsi="宋体" w:cs="宋体"/>
                <w:szCs w:val="21"/>
                <w:highlight w:val="none"/>
              </w:rPr>
            </w:pPr>
            <w:r>
              <w:rPr>
                <w:rFonts w:hint="eastAsia" w:ascii="宋体" w:hAnsi="宋体" w:cs="宋体"/>
                <w:kern w:val="0"/>
                <w:szCs w:val="21"/>
                <w:highlight w:val="none"/>
              </w:rPr>
              <w:t>传  真</w:t>
            </w:r>
          </w:p>
        </w:tc>
        <w:tc>
          <w:tcPr>
            <w:tcW w:w="2691" w:type="dxa"/>
            <w:gridSpan w:val="4"/>
            <w:tcBorders>
              <w:top w:val="single" w:color="auto" w:sz="8" w:space="0"/>
              <w:left w:val="single" w:color="auto" w:sz="8" w:space="0"/>
              <w:bottom w:val="single" w:color="auto" w:sz="8" w:space="0"/>
              <w:right w:val="single" w:color="auto" w:sz="8" w:space="0"/>
            </w:tcBorders>
            <w:vAlign w:val="center"/>
          </w:tcPr>
          <w:p w14:paraId="69565D28">
            <w:pPr>
              <w:adjustRightInd w:val="0"/>
              <w:snapToGrid w:val="0"/>
              <w:jc w:val="center"/>
              <w:rPr>
                <w:rFonts w:ascii="宋体" w:hAnsi="宋体" w:cs="宋体"/>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14:paraId="77DC3305">
            <w:pPr>
              <w:adjustRightInd w:val="0"/>
              <w:snapToGrid w:val="0"/>
              <w:jc w:val="center"/>
              <w:rPr>
                <w:rFonts w:ascii="宋体" w:hAnsi="宋体" w:cs="宋体"/>
                <w:szCs w:val="21"/>
                <w:highlight w:val="none"/>
              </w:rPr>
            </w:pPr>
            <w:r>
              <w:rPr>
                <w:rFonts w:hint="eastAsia" w:ascii="宋体" w:hAnsi="宋体" w:cs="宋体"/>
                <w:kern w:val="0"/>
                <w:szCs w:val="21"/>
                <w:highlight w:val="none"/>
              </w:rPr>
              <w:t>电子邮件</w:t>
            </w:r>
          </w:p>
        </w:tc>
        <w:tc>
          <w:tcPr>
            <w:tcW w:w="2104" w:type="dxa"/>
            <w:gridSpan w:val="3"/>
            <w:tcBorders>
              <w:top w:val="single" w:color="auto" w:sz="8" w:space="0"/>
              <w:left w:val="single" w:color="auto" w:sz="8" w:space="0"/>
              <w:bottom w:val="single" w:color="auto" w:sz="8" w:space="0"/>
              <w:right w:val="single" w:color="auto" w:sz="8" w:space="0"/>
            </w:tcBorders>
            <w:vAlign w:val="center"/>
          </w:tcPr>
          <w:p w14:paraId="534BBA98">
            <w:pPr>
              <w:adjustRightInd w:val="0"/>
              <w:snapToGrid w:val="0"/>
              <w:jc w:val="center"/>
              <w:rPr>
                <w:rFonts w:ascii="宋体" w:hAnsi="宋体" w:cs="宋体"/>
                <w:szCs w:val="21"/>
                <w:highlight w:val="none"/>
              </w:rPr>
            </w:pPr>
          </w:p>
        </w:tc>
      </w:tr>
      <w:tr w14:paraId="4DE5D5EF">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045C3C6A">
            <w:pPr>
              <w:adjustRightInd w:val="0"/>
              <w:snapToGrid w:val="0"/>
              <w:jc w:val="center"/>
              <w:rPr>
                <w:rFonts w:ascii="宋体" w:hAnsi="宋体" w:cs="宋体"/>
                <w:szCs w:val="21"/>
                <w:highlight w:val="none"/>
              </w:rPr>
            </w:pPr>
            <w:r>
              <w:rPr>
                <w:rFonts w:hint="eastAsia" w:ascii="宋体" w:hAnsi="宋体" w:cs="宋体"/>
                <w:kern w:val="0"/>
                <w:szCs w:val="21"/>
                <w:highlight w:val="none"/>
              </w:rPr>
              <w:t>法定代表人</w:t>
            </w:r>
          </w:p>
        </w:tc>
        <w:tc>
          <w:tcPr>
            <w:tcW w:w="1102" w:type="dxa"/>
            <w:tcBorders>
              <w:top w:val="single" w:color="auto" w:sz="8" w:space="0"/>
              <w:left w:val="single" w:color="auto" w:sz="8" w:space="0"/>
              <w:bottom w:val="single" w:color="auto" w:sz="8" w:space="0"/>
              <w:right w:val="single" w:color="auto" w:sz="8" w:space="0"/>
            </w:tcBorders>
            <w:vAlign w:val="center"/>
          </w:tcPr>
          <w:p w14:paraId="154A4966">
            <w:pPr>
              <w:adjustRightInd w:val="0"/>
              <w:snapToGrid w:val="0"/>
              <w:jc w:val="center"/>
              <w:rPr>
                <w:rFonts w:ascii="宋体" w:hAnsi="宋体" w:cs="宋体"/>
                <w:szCs w:val="21"/>
                <w:highlight w:val="none"/>
              </w:rPr>
            </w:pPr>
            <w:r>
              <w:rPr>
                <w:rFonts w:hint="eastAsia" w:ascii="宋体" w:hAnsi="宋体" w:cs="宋体"/>
                <w:kern w:val="0"/>
                <w:szCs w:val="21"/>
                <w:highlight w:val="none"/>
              </w:rPr>
              <w:t>姓名</w:t>
            </w:r>
          </w:p>
        </w:tc>
        <w:tc>
          <w:tcPr>
            <w:tcW w:w="1214" w:type="dxa"/>
            <w:tcBorders>
              <w:top w:val="single" w:color="auto" w:sz="8" w:space="0"/>
              <w:left w:val="single" w:color="auto" w:sz="8" w:space="0"/>
              <w:bottom w:val="single" w:color="auto" w:sz="8" w:space="0"/>
              <w:right w:val="single" w:color="auto" w:sz="8" w:space="0"/>
            </w:tcBorders>
            <w:vAlign w:val="center"/>
          </w:tcPr>
          <w:p w14:paraId="192266FB">
            <w:pPr>
              <w:adjustRightInd w:val="0"/>
              <w:snapToGrid w:val="0"/>
              <w:jc w:val="center"/>
              <w:rPr>
                <w:rFonts w:ascii="宋体" w:hAnsi="宋体" w:cs="宋体"/>
                <w:szCs w:val="21"/>
                <w:highlight w:val="none"/>
              </w:rPr>
            </w:pPr>
          </w:p>
        </w:tc>
        <w:tc>
          <w:tcPr>
            <w:tcW w:w="1265" w:type="dxa"/>
            <w:gridSpan w:val="2"/>
            <w:tcBorders>
              <w:top w:val="single" w:color="auto" w:sz="8" w:space="0"/>
              <w:left w:val="single" w:color="auto" w:sz="8" w:space="0"/>
              <w:bottom w:val="single" w:color="auto" w:sz="8" w:space="0"/>
              <w:right w:val="single" w:color="auto" w:sz="8" w:space="0"/>
            </w:tcBorders>
            <w:vAlign w:val="center"/>
          </w:tcPr>
          <w:p w14:paraId="49BC4A9A">
            <w:pPr>
              <w:adjustRightInd w:val="0"/>
              <w:snapToGrid w:val="0"/>
              <w:jc w:val="center"/>
              <w:rPr>
                <w:rFonts w:ascii="宋体" w:hAnsi="宋体" w:cs="宋体"/>
                <w:szCs w:val="21"/>
                <w:highlight w:val="none"/>
              </w:rPr>
            </w:pPr>
            <w:r>
              <w:rPr>
                <w:rFonts w:hint="eastAsia" w:ascii="宋体" w:hAnsi="宋体" w:cs="宋体"/>
                <w:kern w:val="0"/>
                <w:szCs w:val="21"/>
                <w:highlight w:val="none"/>
              </w:rPr>
              <w:t>技术职称</w:t>
            </w:r>
          </w:p>
        </w:tc>
        <w:tc>
          <w:tcPr>
            <w:tcW w:w="1681" w:type="dxa"/>
            <w:gridSpan w:val="3"/>
            <w:tcBorders>
              <w:top w:val="single" w:color="auto" w:sz="8" w:space="0"/>
              <w:left w:val="single" w:color="auto" w:sz="8" w:space="0"/>
              <w:bottom w:val="single" w:color="auto" w:sz="8" w:space="0"/>
              <w:right w:val="single" w:color="auto" w:sz="8" w:space="0"/>
            </w:tcBorders>
            <w:vAlign w:val="center"/>
          </w:tcPr>
          <w:p w14:paraId="213C68A0">
            <w:pPr>
              <w:adjustRightInd w:val="0"/>
              <w:snapToGrid w:val="0"/>
              <w:jc w:val="center"/>
              <w:rPr>
                <w:rFonts w:ascii="宋体" w:hAnsi="宋体" w:cs="宋体"/>
                <w:szCs w:val="21"/>
                <w:highlight w:val="none"/>
              </w:rPr>
            </w:pPr>
          </w:p>
        </w:tc>
        <w:tc>
          <w:tcPr>
            <w:tcW w:w="840" w:type="dxa"/>
            <w:tcBorders>
              <w:top w:val="single" w:color="auto" w:sz="8" w:space="0"/>
              <w:left w:val="single" w:color="auto" w:sz="8" w:space="0"/>
              <w:bottom w:val="single" w:color="auto" w:sz="8" w:space="0"/>
              <w:right w:val="single" w:color="auto" w:sz="8" w:space="0"/>
            </w:tcBorders>
            <w:vAlign w:val="center"/>
          </w:tcPr>
          <w:p w14:paraId="25C8568E">
            <w:pPr>
              <w:adjustRightInd w:val="0"/>
              <w:snapToGrid w:val="0"/>
              <w:jc w:val="center"/>
              <w:rPr>
                <w:rFonts w:ascii="宋体" w:hAnsi="宋体" w:cs="宋体"/>
                <w:szCs w:val="21"/>
                <w:highlight w:val="none"/>
              </w:rPr>
            </w:pPr>
            <w:r>
              <w:rPr>
                <w:rFonts w:hint="eastAsia" w:ascii="宋体" w:hAnsi="宋体" w:cs="宋体"/>
                <w:kern w:val="0"/>
                <w:szCs w:val="21"/>
                <w:highlight w:val="none"/>
              </w:rPr>
              <w:t>电话</w:t>
            </w:r>
          </w:p>
        </w:tc>
        <w:tc>
          <w:tcPr>
            <w:tcW w:w="1060" w:type="dxa"/>
            <w:tcBorders>
              <w:top w:val="single" w:color="auto" w:sz="8" w:space="0"/>
              <w:left w:val="single" w:color="auto" w:sz="8" w:space="0"/>
              <w:bottom w:val="single" w:color="auto" w:sz="8" w:space="0"/>
              <w:right w:val="single" w:color="auto" w:sz="8" w:space="0"/>
            </w:tcBorders>
            <w:vAlign w:val="center"/>
          </w:tcPr>
          <w:p w14:paraId="409CD9CE">
            <w:pPr>
              <w:adjustRightInd w:val="0"/>
              <w:snapToGrid w:val="0"/>
              <w:jc w:val="center"/>
              <w:rPr>
                <w:rFonts w:ascii="宋体" w:hAnsi="宋体" w:cs="宋体"/>
                <w:szCs w:val="21"/>
                <w:highlight w:val="none"/>
              </w:rPr>
            </w:pPr>
          </w:p>
        </w:tc>
      </w:tr>
      <w:tr w14:paraId="2FC016F4">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340C8C24">
            <w:pPr>
              <w:adjustRightInd w:val="0"/>
              <w:snapToGrid w:val="0"/>
              <w:jc w:val="center"/>
              <w:rPr>
                <w:rFonts w:ascii="宋体" w:hAnsi="宋体" w:cs="宋体"/>
                <w:szCs w:val="21"/>
                <w:highlight w:val="none"/>
              </w:rPr>
            </w:pPr>
            <w:r>
              <w:rPr>
                <w:rFonts w:hint="eastAsia" w:ascii="宋体" w:hAnsi="宋体" w:cs="宋体"/>
                <w:kern w:val="0"/>
                <w:szCs w:val="21"/>
                <w:highlight w:val="none"/>
              </w:rPr>
              <w:t>技术负责人</w:t>
            </w:r>
          </w:p>
        </w:tc>
        <w:tc>
          <w:tcPr>
            <w:tcW w:w="1102" w:type="dxa"/>
            <w:tcBorders>
              <w:top w:val="single" w:color="auto" w:sz="8" w:space="0"/>
              <w:left w:val="single" w:color="auto" w:sz="8" w:space="0"/>
              <w:bottom w:val="single" w:color="auto" w:sz="8" w:space="0"/>
              <w:right w:val="single" w:color="auto" w:sz="8" w:space="0"/>
            </w:tcBorders>
            <w:vAlign w:val="center"/>
          </w:tcPr>
          <w:p w14:paraId="10FF6564">
            <w:pPr>
              <w:adjustRightInd w:val="0"/>
              <w:snapToGrid w:val="0"/>
              <w:jc w:val="center"/>
              <w:rPr>
                <w:rFonts w:ascii="宋体" w:hAnsi="宋体" w:cs="宋体"/>
                <w:szCs w:val="21"/>
                <w:highlight w:val="none"/>
              </w:rPr>
            </w:pPr>
            <w:r>
              <w:rPr>
                <w:rFonts w:hint="eastAsia" w:ascii="宋体" w:hAnsi="宋体" w:cs="宋体"/>
                <w:kern w:val="0"/>
                <w:szCs w:val="21"/>
                <w:highlight w:val="none"/>
              </w:rPr>
              <w:t>姓名</w:t>
            </w:r>
          </w:p>
        </w:tc>
        <w:tc>
          <w:tcPr>
            <w:tcW w:w="1214" w:type="dxa"/>
            <w:tcBorders>
              <w:top w:val="single" w:color="auto" w:sz="8" w:space="0"/>
              <w:left w:val="single" w:color="auto" w:sz="8" w:space="0"/>
              <w:bottom w:val="single" w:color="auto" w:sz="8" w:space="0"/>
              <w:right w:val="single" w:color="auto" w:sz="8" w:space="0"/>
            </w:tcBorders>
            <w:vAlign w:val="center"/>
          </w:tcPr>
          <w:p w14:paraId="4AA299C5">
            <w:pPr>
              <w:adjustRightInd w:val="0"/>
              <w:snapToGrid w:val="0"/>
              <w:jc w:val="center"/>
              <w:rPr>
                <w:rFonts w:ascii="宋体" w:hAnsi="宋体" w:cs="宋体"/>
                <w:szCs w:val="21"/>
                <w:highlight w:val="none"/>
              </w:rPr>
            </w:pPr>
          </w:p>
        </w:tc>
        <w:tc>
          <w:tcPr>
            <w:tcW w:w="1265" w:type="dxa"/>
            <w:gridSpan w:val="2"/>
            <w:tcBorders>
              <w:top w:val="single" w:color="auto" w:sz="8" w:space="0"/>
              <w:left w:val="single" w:color="auto" w:sz="8" w:space="0"/>
              <w:bottom w:val="single" w:color="auto" w:sz="8" w:space="0"/>
              <w:right w:val="single" w:color="auto" w:sz="8" w:space="0"/>
            </w:tcBorders>
            <w:vAlign w:val="center"/>
          </w:tcPr>
          <w:p w14:paraId="706ED352">
            <w:pPr>
              <w:adjustRightInd w:val="0"/>
              <w:snapToGrid w:val="0"/>
              <w:jc w:val="center"/>
              <w:rPr>
                <w:rFonts w:ascii="宋体" w:hAnsi="宋体" w:cs="宋体"/>
                <w:szCs w:val="21"/>
                <w:highlight w:val="none"/>
              </w:rPr>
            </w:pPr>
            <w:r>
              <w:rPr>
                <w:rFonts w:hint="eastAsia" w:ascii="宋体" w:hAnsi="宋体" w:cs="宋体"/>
                <w:kern w:val="0"/>
                <w:szCs w:val="21"/>
                <w:highlight w:val="none"/>
              </w:rPr>
              <w:t>技术职称</w:t>
            </w:r>
          </w:p>
        </w:tc>
        <w:tc>
          <w:tcPr>
            <w:tcW w:w="1681" w:type="dxa"/>
            <w:gridSpan w:val="3"/>
            <w:tcBorders>
              <w:top w:val="single" w:color="auto" w:sz="8" w:space="0"/>
              <w:left w:val="single" w:color="auto" w:sz="8" w:space="0"/>
              <w:bottom w:val="single" w:color="auto" w:sz="8" w:space="0"/>
              <w:right w:val="single" w:color="auto" w:sz="8" w:space="0"/>
            </w:tcBorders>
            <w:vAlign w:val="center"/>
          </w:tcPr>
          <w:p w14:paraId="0165A464">
            <w:pPr>
              <w:adjustRightInd w:val="0"/>
              <w:snapToGrid w:val="0"/>
              <w:jc w:val="center"/>
              <w:rPr>
                <w:rFonts w:ascii="宋体" w:hAnsi="宋体" w:cs="宋体"/>
                <w:szCs w:val="21"/>
                <w:highlight w:val="none"/>
              </w:rPr>
            </w:pPr>
          </w:p>
        </w:tc>
        <w:tc>
          <w:tcPr>
            <w:tcW w:w="840" w:type="dxa"/>
            <w:tcBorders>
              <w:top w:val="single" w:color="auto" w:sz="8" w:space="0"/>
              <w:left w:val="single" w:color="auto" w:sz="8" w:space="0"/>
              <w:bottom w:val="single" w:color="auto" w:sz="8" w:space="0"/>
              <w:right w:val="single" w:color="auto" w:sz="8" w:space="0"/>
            </w:tcBorders>
            <w:vAlign w:val="center"/>
          </w:tcPr>
          <w:p w14:paraId="6228746D">
            <w:pPr>
              <w:adjustRightInd w:val="0"/>
              <w:snapToGrid w:val="0"/>
              <w:jc w:val="center"/>
              <w:rPr>
                <w:rFonts w:ascii="宋体" w:hAnsi="宋体" w:cs="宋体"/>
                <w:szCs w:val="21"/>
                <w:highlight w:val="none"/>
              </w:rPr>
            </w:pPr>
            <w:r>
              <w:rPr>
                <w:rFonts w:hint="eastAsia" w:ascii="宋体" w:hAnsi="宋体" w:cs="宋体"/>
                <w:kern w:val="0"/>
                <w:szCs w:val="21"/>
                <w:highlight w:val="none"/>
              </w:rPr>
              <w:t>电话</w:t>
            </w:r>
          </w:p>
        </w:tc>
        <w:tc>
          <w:tcPr>
            <w:tcW w:w="1060" w:type="dxa"/>
            <w:tcBorders>
              <w:top w:val="single" w:color="auto" w:sz="8" w:space="0"/>
              <w:left w:val="single" w:color="auto" w:sz="8" w:space="0"/>
              <w:bottom w:val="single" w:color="auto" w:sz="8" w:space="0"/>
              <w:right w:val="single" w:color="auto" w:sz="8" w:space="0"/>
            </w:tcBorders>
            <w:vAlign w:val="center"/>
          </w:tcPr>
          <w:p w14:paraId="72D9BFC9">
            <w:pPr>
              <w:adjustRightInd w:val="0"/>
              <w:snapToGrid w:val="0"/>
              <w:jc w:val="center"/>
              <w:rPr>
                <w:rFonts w:ascii="宋体" w:hAnsi="宋体" w:cs="宋体"/>
                <w:szCs w:val="21"/>
                <w:highlight w:val="none"/>
              </w:rPr>
            </w:pPr>
          </w:p>
        </w:tc>
      </w:tr>
      <w:tr w14:paraId="3DEE23B1">
        <w:tblPrEx>
          <w:tblCellMar>
            <w:top w:w="0" w:type="dxa"/>
            <w:left w:w="0" w:type="dxa"/>
            <w:bottom w:w="0" w:type="dxa"/>
            <w:right w:w="0" w:type="dxa"/>
          </w:tblCellMar>
        </w:tblPrEx>
        <w:trPr>
          <w:trHeight w:val="54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47041F21">
            <w:pPr>
              <w:adjustRightInd w:val="0"/>
              <w:snapToGrid w:val="0"/>
              <w:jc w:val="center"/>
              <w:rPr>
                <w:rFonts w:ascii="宋体" w:hAnsi="宋体" w:cs="宋体"/>
                <w:szCs w:val="21"/>
                <w:highlight w:val="none"/>
              </w:rPr>
            </w:pPr>
            <w:r>
              <w:rPr>
                <w:rFonts w:hint="eastAsia" w:ascii="宋体" w:hAnsi="宋体" w:cs="宋体"/>
                <w:kern w:val="0"/>
                <w:szCs w:val="21"/>
                <w:highlight w:val="none"/>
              </w:rPr>
              <w:t>成立时间</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48791F38">
            <w:pPr>
              <w:adjustRightInd w:val="0"/>
              <w:snapToGrid w:val="0"/>
              <w:jc w:val="center"/>
              <w:rPr>
                <w:rFonts w:ascii="宋体" w:hAnsi="宋体" w:cs="宋体"/>
                <w:szCs w:val="21"/>
                <w:highlight w:val="none"/>
              </w:rPr>
            </w:pPr>
          </w:p>
        </w:tc>
        <w:tc>
          <w:tcPr>
            <w:tcW w:w="4846" w:type="dxa"/>
            <w:gridSpan w:val="7"/>
            <w:tcBorders>
              <w:top w:val="single" w:color="auto" w:sz="8" w:space="0"/>
              <w:left w:val="single" w:color="auto" w:sz="8" w:space="0"/>
              <w:bottom w:val="single" w:color="auto" w:sz="8" w:space="0"/>
              <w:right w:val="single" w:color="auto" w:sz="8" w:space="0"/>
            </w:tcBorders>
            <w:vAlign w:val="center"/>
          </w:tcPr>
          <w:p w14:paraId="72A3E203">
            <w:pPr>
              <w:adjustRightInd w:val="0"/>
              <w:snapToGrid w:val="0"/>
              <w:jc w:val="center"/>
              <w:rPr>
                <w:rFonts w:ascii="宋体" w:hAnsi="宋体" w:cs="宋体"/>
                <w:szCs w:val="21"/>
                <w:highlight w:val="none"/>
              </w:rPr>
            </w:pPr>
            <w:r>
              <w:rPr>
                <w:rFonts w:hint="eastAsia" w:ascii="宋体" w:hAnsi="宋体" w:cs="宋体"/>
                <w:kern w:val="0"/>
                <w:szCs w:val="21"/>
                <w:highlight w:val="none"/>
              </w:rPr>
              <w:t>员工总人数：</w:t>
            </w:r>
          </w:p>
        </w:tc>
      </w:tr>
      <w:tr w14:paraId="77E32288">
        <w:tblPrEx>
          <w:tblCellMar>
            <w:top w:w="0" w:type="dxa"/>
            <w:left w:w="0" w:type="dxa"/>
            <w:bottom w:w="0" w:type="dxa"/>
            <w:right w:w="0" w:type="dxa"/>
          </w:tblCellMar>
        </w:tblPrEx>
        <w:trPr>
          <w:trHeight w:val="50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340A2C6B">
            <w:pPr>
              <w:adjustRightInd w:val="0"/>
              <w:snapToGrid w:val="0"/>
              <w:jc w:val="center"/>
              <w:rPr>
                <w:rFonts w:ascii="宋体" w:hAnsi="宋体" w:cs="宋体"/>
                <w:szCs w:val="21"/>
                <w:highlight w:val="none"/>
              </w:rPr>
            </w:pPr>
            <w:r>
              <w:rPr>
                <w:rFonts w:hint="eastAsia" w:ascii="宋体" w:hAnsi="宋体" w:cs="宋体"/>
                <w:kern w:val="0"/>
                <w:szCs w:val="21"/>
                <w:highlight w:val="none"/>
              </w:rPr>
              <w:t>企业资质等级</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2FB1BED4">
            <w:pPr>
              <w:adjustRightInd w:val="0"/>
              <w:snapToGrid w:val="0"/>
              <w:jc w:val="center"/>
              <w:rPr>
                <w:rFonts w:ascii="宋体" w:hAnsi="宋体" w:cs="宋体"/>
                <w:szCs w:val="21"/>
                <w:highlight w:val="none"/>
              </w:rPr>
            </w:pPr>
          </w:p>
        </w:tc>
        <w:tc>
          <w:tcPr>
            <w:tcW w:w="840" w:type="dxa"/>
            <w:vMerge w:val="restart"/>
            <w:tcBorders>
              <w:top w:val="single" w:color="auto" w:sz="8" w:space="0"/>
              <w:left w:val="single" w:color="auto" w:sz="8" w:space="0"/>
              <w:bottom w:val="single" w:color="auto" w:sz="8" w:space="0"/>
              <w:right w:val="single" w:color="auto" w:sz="8" w:space="0"/>
            </w:tcBorders>
            <w:vAlign w:val="center"/>
          </w:tcPr>
          <w:p w14:paraId="654FBC1E">
            <w:pPr>
              <w:adjustRightInd w:val="0"/>
              <w:snapToGrid w:val="0"/>
              <w:jc w:val="center"/>
              <w:rPr>
                <w:rFonts w:ascii="宋体" w:hAnsi="宋体" w:cs="宋体"/>
                <w:szCs w:val="21"/>
                <w:highlight w:val="none"/>
              </w:rPr>
            </w:pPr>
            <w:r>
              <w:rPr>
                <w:rFonts w:hint="eastAsia" w:ascii="宋体" w:hAnsi="宋体" w:cs="宋体"/>
                <w:kern w:val="0"/>
                <w:szCs w:val="21"/>
                <w:highlight w:val="none"/>
              </w:rPr>
              <w:t>其中</w:t>
            </w: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61D772C4">
            <w:pPr>
              <w:adjustRightInd w:val="0"/>
              <w:snapToGrid w:val="0"/>
              <w:jc w:val="center"/>
              <w:rPr>
                <w:rFonts w:ascii="宋体" w:hAnsi="宋体" w:cs="宋体"/>
                <w:szCs w:val="21"/>
                <w:highlight w:val="none"/>
              </w:rPr>
            </w:pPr>
            <w:r>
              <w:rPr>
                <w:rFonts w:hint="eastAsia" w:ascii="宋体" w:hAnsi="宋体" w:cs="宋体"/>
                <w:kern w:val="0"/>
                <w:szCs w:val="21"/>
                <w:highlight w:val="none"/>
              </w:rPr>
              <w:t>项目经理</w:t>
            </w:r>
          </w:p>
        </w:tc>
        <w:tc>
          <w:tcPr>
            <w:tcW w:w="1900" w:type="dxa"/>
            <w:gridSpan w:val="2"/>
            <w:tcBorders>
              <w:top w:val="single" w:color="auto" w:sz="8" w:space="0"/>
              <w:left w:val="single" w:color="auto" w:sz="8" w:space="0"/>
              <w:bottom w:val="single" w:color="auto" w:sz="8" w:space="0"/>
              <w:right w:val="single" w:color="auto" w:sz="8" w:space="0"/>
            </w:tcBorders>
            <w:vAlign w:val="center"/>
          </w:tcPr>
          <w:p w14:paraId="307A11C0">
            <w:pPr>
              <w:adjustRightInd w:val="0"/>
              <w:snapToGrid w:val="0"/>
              <w:jc w:val="center"/>
              <w:rPr>
                <w:rFonts w:ascii="宋体" w:hAnsi="宋体" w:cs="宋体"/>
                <w:szCs w:val="21"/>
                <w:highlight w:val="none"/>
              </w:rPr>
            </w:pPr>
          </w:p>
        </w:tc>
      </w:tr>
      <w:tr w14:paraId="731CCAEE">
        <w:tblPrEx>
          <w:tblCellMar>
            <w:top w:w="0" w:type="dxa"/>
            <w:left w:w="0" w:type="dxa"/>
            <w:bottom w:w="0" w:type="dxa"/>
            <w:right w:w="0" w:type="dxa"/>
          </w:tblCellMar>
        </w:tblPrEx>
        <w:trPr>
          <w:cantSplit/>
          <w:trHeight w:val="54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7F682B63">
            <w:pPr>
              <w:adjustRightInd w:val="0"/>
              <w:snapToGrid w:val="0"/>
              <w:jc w:val="center"/>
              <w:rPr>
                <w:rFonts w:ascii="宋体" w:hAnsi="宋体" w:cs="宋体"/>
                <w:szCs w:val="21"/>
                <w:highlight w:val="none"/>
              </w:rPr>
            </w:pPr>
            <w:r>
              <w:rPr>
                <w:rFonts w:hint="eastAsia" w:ascii="宋体" w:hAnsi="宋体" w:cs="宋体"/>
                <w:kern w:val="0"/>
                <w:szCs w:val="21"/>
                <w:highlight w:val="none"/>
              </w:rPr>
              <w:t>营业执照号</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07E1653B">
            <w:pPr>
              <w:adjustRightInd w:val="0"/>
              <w:snapToGrid w:val="0"/>
              <w:jc w:val="center"/>
              <w:rPr>
                <w:rFonts w:ascii="宋体" w:hAnsi="宋体" w:cs="宋体"/>
                <w:szCs w:val="21"/>
                <w:highlight w:val="none"/>
              </w:rPr>
            </w:pPr>
          </w:p>
        </w:tc>
        <w:tc>
          <w:tcPr>
            <w:tcW w:w="840" w:type="dxa"/>
            <w:vMerge w:val="continue"/>
            <w:tcBorders>
              <w:top w:val="single" w:color="auto" w:sz="8" w:space="0"/>
              <w:left w:val="single" w:color="auto" w:sz="8" w:space="0"/>
              <w:bottom w:val="single" w:color="auto" w:sz="8" w:space="0"/>
              <w:right w:val="single" w:color="auto" w:sz="8" w:space="0"/>
            </w:tcBorders>
            <w:vAlign w:val="center"/>
          </w:tcPr>
          <w:p w14:paraId="5DFDFFF7">
            <w:pPr>
              <w:widowControl/>
              <w:jc w:val="left"/>
              <w:rPr>
                <w:rFonts w:ascii="宋体" w:hAnsi="宋体" w:cs="宋体"/>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2A9CE4C5">
            <w:pPr>
              <w:adjustRightInd w:val="0"/>
              <w:snapToGrid w:val="0"/>
              <w:jc w:val="center"/>
              <w:rPr>
                <w:rFonts w:ascii="宋体" w:hAnsi="宋体" w:cs="宋体"/>
                <w:szCs w:val="21"/>
                <w:highlight w:val="none"/>
              </w:rPr>
            </w:pPr>
            <w:r>
              <w:rPr>
                <w:rFonts w:hint="eastAsia" w:ascii="宋体" w:hAnsi="宋体" w:cs="宋体"/>
                <w:kern w:val="0"/>
                <w:szCs w:val="21"/>
                <w:highlight w:val="none"/>
              </w:rPr>
              <w:t>高级职称人员</w:t>
            </w:r>
          </w:p>
        </w:tc>
        <w:tc>
          <w:tcPr>
            <w:tcW w:w="1900" w:type="dxa"/>
            <w:gridSpan w:val="2"/>
            <w:tcBorders>
              <w:top w:val="single" w:color="auto" w:sz="8" w:space="0"/>
              <w:left w:val="single" w:color="auto" w:sz="8" w:space="0"/>
              <w:bottom w:val="single" w:color="auto" w:sz="8" w:space="0"/>
              <w:right w:val="single" w:color="auto" w:sz="8" w:space="0"/>
            </w:tcBorders>
            <w:vAlign w:val="center"/>
          </w:tcPr>
          <w:p w14:paraId="0FCA88DC">
            <w:pPr>
              <w:adjustRightInd w:val="0"/>
              <w:snapToGrid w:val="0"/>
              <w:jc w:val="center"/>
              <w:rPr>
                <w:rFonts w:ascii="宋体" w:hAnsi="宋体" w:cs="宋体"/>
                <w:szCs w:val="21"/>
                <w:highlight w:val="none"/>
              </w:rPr>
            </w:pPr>
          </w:p>
        </w:tc>
      </w:tr>
      <w:tr w14:paraId="22C4587B">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151119FB">
            <w:pPr>
              <w:adjustRightInd w:val="0"/>
              <w:snapToGrid w:val="0"/>
              <w:jc w:val="center"/>
              <w:rPr>
                <w:rFonts w:ascii="宋体" w:hAnsi="宋体" w:cs="宋体"/>
                <w:szCs w:val="21"/>
                <w:highlight w:val="none"/>
              </w:rPr>
            </w:pPr>
            <w:r>
              <w:rPr>
                <w:rFonts w:hint="eastAsia" w:ascii="宋体" w:hAnsi="宋体" w:cs="宋体"/>
                <w:kern w:val="0"/>
                <w:szCs w:val="21"/>
                <w:highlight w:val="none"/>
              </w:rPr>
              <w:t>注册资金</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3AE53D93">
            <w:pPr>
              <w:adjustRightInd w:val="0"/>
              <w:snapToGrid w:val="0"/>
              <w:jc w:val="center"/>
              <w:rPr>
                <w:rFonts w:ascii="宋体" w:hAnsi="宋体" w:cs="宋体"/>
                <w:szCs w:val="21"/>
                <w:highlight w:val="none"/>
              </w:rPr>
            </w:pPr>
          </w:p>
        </w:tc>
        <w:tc>
          <w:tcPr>
            <w:tcW w:w="840" w:type="dxa"/>
            <w:vMerge w:val="continue"/>
            <w:tcBorders>
              <w:top w:val="single" w:color="auto" w:sz="8" w:space="0"/>
              <w:left w:val="single" w:color="auto" w:sz="8" w:space="0"/>
              <w:bottom w:val="single" w:color="auto" w:sz="8" w:space="0"/>
              <w:right w:val="single" w:color="auto" w:sz="8" w:space="0"/>
            </w:tcBorders>
            <w:vAlign w:val="center"/>
          </w:tcPr>
          <w:p w14:paraId="274D9D6D">
            <w:pPr>
              <w:widowControl/>
              <w:jc w:val="left"/>
              <w:rPr>
                <w:rFonts w:ascii="宋体" w:hAnsi="宋体" w:cs="宋体"/>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38E4C437">
            <w:pPr>
              <w:adjustRightInd w:val="0"/>
              <w:snapToGrid w:val="0"/>
              <w:jc w:val="center"/>
              <w:rPr>
                <w:rFonts w:ascii="宋体" w:hAnsi="宋体" w:cs="宋体"/>
                <w:szCs w:val="21"/>
                <w:highlight w:val="none"/>
              </w:rPr>
            </w:pPr>
            <w:r>
              <w:rPr>
                <w:rFonts w:hint="eastAsia" w:ascii="宋体" w:hAnsi="宋体" w:cs="宋体"/>
                <w:kern w:val="0"/>
                <w:szCs w:val="21"/>
                <w:highlight w:val="none"/>
              </w:rPr>
              <w:t>中级职称人员</w:t>
            </w:r>
          </w:p>
        </w:tc>
        <w:tc>
          <w:tcPr>
            <w:tcW w:w="1900" w:type="dxa"/>
            <w:gridSpan w:val="2"/>
            <w:tcBorders>
              <w:top w:val="single" w:color="auto" w:sz="8" w:space="0"/>
              <w:left w:val="single" w:color="auto" w:sz="8" w:space="0"/>
              <w:bottom w:val="single" w:color="auto" w:sz="8" w:space="0"/>
              <w:right w:val="single" w:color="auto" w:sz="8" w:space="0"/>
            </w:tcBorders>
            <w:vAlign w:val="center"/>
          </w:tcPr>
          <w:p w14:paraId="60F04DEE">
            <w:pPr>
              <w:adjustRightInd w:val="0"/>
              <w:snapToGrid w:val="0"/>
              <w:jc w:val="center"/>
              <w:rPr>
                <w:rFonts w:ascii="宋体" w:hAnsi="宋体" w:cs="宋体"/>
                <w:szCs w:val="21"/>
                <w:highlight w:val="none"/>
              </w:rPr>
            </w:pPr>
          </w:p>
        </w:tc>
      </w:tr>
      <w:tr w14:paraId="3DE0E6DE">
        <w:tblPrEx>
          <w:tblCellMar>
            <w:top w:w="0" w:type="dxa"/>
            <w:left w:w="0" w:type="dxa"/>
            <w:bottom w:w="0" w:type="dxa"/>
            <w:right w:w="0" w:type="dxa"/>
          </w:tblCellMar>
        </w:tblPrEx>
        <w:trPr>
          <w:cantSplit/>
          <w:trHeight w:val="782"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6FA4D25C">
            <w:pPr>
              <w:adjustRightInd w:val="0"/>
              <w:snapToGrid w:val="0"/>
              <w:jc w:val="center"/>
              <w:rPr>
                <w:rFonts w:ascii="宋体" w:hAnsi="宋体" w:cs="宋体"/>
                <w:szCs w:val="21"/>
                <w:highlight w:val="none"/>
              </w:rPr>
            </w:pPr>
            <w:r>
              <w:rPr>
                <w:rFonts w:hint="eastAsia" w:ascii="宋体" w:hAnsi="宋体" w:cs="宋体"/>
                <w:kern w:val="0"/>
                <w:szCs w:val="21"/>
                <w:highlight w:val="none"/>
              </w:rPr>
              <w:t>基本账户开户银行</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509E7899">
            <w:pPr>
              <w:adjustRightInd w:val="0"/>
              <w:snapToGrid w:val="0"/>
              <w:jc w:val="center"/>
              <w:rPr>
                <w:rFonts w:ascii="宋体" w:hAnsi="宋体" w:cs="宋体"/>
                <w:szCs w:val="21"/>
                <w:highlight w:val="none"/>
              </w:rPr>
            </w:pPr>
          </w:p>
        </w:tc>
        <w:tc>
          <w:tcPr>
            <w:tcW w:w="840" w:type="dxa"/>
            <w:vMerge w:val="continue"/>
            <w:tcBorders>
              <w:top w:val="single" w:color="auto" w:sz="8" w:space="0"/>
              <w:left w:val="single" w:color="auto" w:sz="8" w:space="0"/>
              <w:bottom w:val="single" w:color="auto" w:sz="8" w:space="0"/>
              <w:right w:val="single" w:color="auto" w:sz="8" w:space="0"/>
            </w:tcBorders>
            <w:vAlign w:val="center"/>
          </w:tcPr>
          <w:p w14:paraId="4C2BDD82">
            <w:pPr>
              <w:widowControl/>
              <w:jc w:val="left"/>
              <w:rPr>
                <w:rFonts w:ascii="宋体" w:hAnsi="宋体" w:cs="宋体"/>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39EA2287">
            <w:pPr>
              <w:adjustRightInd w:val="0"/>
              <w:snapToGrid w:val="0"/>
              <w:jc w:val="center"/>
              <w:rPr>
                <w:rFonts w:ascii="宋体" w:hAnsi="宋体" w:cs="宋体"/>
                <w:szCs w:val="21"/>
                <w:highlight w:val="none"/>
              </w:rPr>
            </w:pPr>
            <w:r>
              <w:rPr>
                <w:rFonts w:hint="eastAsia" w:ascii="宋体" w:hAnsi="宋体" w:cs="宋体"/>
                <w:kern w:val="0"/>
                <w:szCs w:val="21"/>
                <w:highlight w:val="none"/>
              </w:rPr>
              <w:t>初级职称人员</w:t>
            </w:r>
          </w:p>
        </w:tc>
        <w:tc>
          <w:tcPr>
            <w:tcW w:w="1900" w:type="dxa"/>
            <w:gridSpan w:val="2"/>
            <w:tcBorders>
              <w:top w:val="single" w:color="auto" w:sz="8" w:space="0"/>
              <w:left w:val="single" w:color="auto" w:sz="8" w:space="0"/>
              <w:bottom w:val="single" w:color="auto" w:sz="8" w:space="0"/>
              <w:right w:val="single" w:color="auto" w:sz="8" w:space="0"/>
            </w:tcBorders>
            <w:vAlign w:val="center"/>
          </w:tcPr>
          <w:p w14:paraId="22796242">
            <w:pPr>
              <w:adjustRightInd w:val="0"/>
              <w:snapToGrid w:val="0"/>
              <w:jc w:val="center"/>
              <w:rPr>
                <w:rFonts w:ascii="宋体" w:hAnsi="宋体" w:cs="宋体"/>
                <w:szCs w:val="21"/>
                <w:highlight w:val="none"/>
              </w:rPr>
            </w:pPr>
          </w:p>
        </w:tc>
      </w:tr>
      <w:tr w14:paraId="051D15FD">
        <w:tblPrEx>
          <w:tblCellMar>
            <w:top w:w="0" w:type="dxa"/>
            <w:left w:w="0" w:type="dxa"/>
            <w:bottom w:w="0" w:type="dxa"/>
            <w:right w:w="0" w:type="dxa"/>
          </w:tblCellMar>
        </w:tblPrEx>
        <w:trPr>
          <w:cantSplit/>
          <w:trHeight w:val="71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3EC54C62">
            <w:pPr>
              <w:adjustRightInd w:val="0"/>
              <w:snapToGrid w:val="0"/>
              <w:jc w:val="center"/>
              <w:rPr>
                <w:rFonts w:ascii="宋体" w:hAnsi="宋体" w:cs="宋体"/>
                <w:szCs w:val="21"/>
                <w:highlight w:val="none"/>
              </w:rPr>
            </w:pPr>
            <w:r>
              <w:rPr>
                <w:rFonts w:hint="eastAsia" w:ascii="宋体" w:hAnsi="宋体" w:cs="宋体"/>
                <w:kern w:val="0"/>
                <w:szCs w:val="21"/>
                <w:highlight w:val="none"/>
              </w:rPr>
              <w:t>基本账户账号</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7C7F34E7">
            <w:pPr>
              <w:adjustRightInd w:val="0"/>
              <w:snapToGrid w:val="0"/>
              <w:jc w:val="center"/>
              <w:rPr>
                <w:rFonts w:ascii="宋体" w:hAnsi="宋体" w:cs="宋体"/>
                <w:szCs w:val="21"/>
                <w:highlight w:val="none"/>
              </w:rPr>
            </w:pPr>
          </w:p>
        </w:tc>
        <w:tc>
          <w:tcPr>
            <w:tcW w:w="840" w:type="dxa"/>
            <w:vMerge w:val="continue"/>
            <w:tcBorders>
              <w:top w:val="single" w:color="auto" w:sz="8" w:space="0"/>
              <w:left w:val="single" w:color="auto" w:sz="8" w:space="0"/>
              <w:bottom w:val="single" w:color="auto" w:sz="8" w:space="0"/>
              <w:right w:val="single" w:color="auto" w:sz="8" w:space="0"/>
            </w:tcBorders>
            <w:vAlign w:val="center"/>
          </w:tcPr>
          <w:p w14:paraId="5A6B0DBB">
            <w:pPr>
              <w:widowControl/>
              <w:jc w:val="left"/>
              <w:rPr>
                <w:rFonts w:ascii="宋体" w:hAnsi="宋体" w:cs="宋体"/>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63DD7039">
            <w:pPr>
              <w:adjustRightInd w:val="0"/>
              <w:snapToGrid w:val="0"/>
              <w:jc w:val="center"/>
              <w:rPr>
                <w:rFonts w:ascii="宋体" w:hAnsi="宋体" w:cs="宋体"/>
                <w:szCs w:val="21"/>
                <w:highlight w:val="none"/>
              </w:rPr>
            </w:pPr>
            <w:r>
              <w:rPr>
                <w:rFonts w:hint="eastAsia" w:ascii="宋体" w:hAnsi="宋体" w:cs="宋体"/>
                <w:kern w:val="0"/>
                <w:szCs w:val="21"/>
                <w:highlight w:val="none"/>
              </w:rPr>
              <w:t>技工</w:t>
            </w:r>
          </w:p>
        </w:tc>
        <w:tc>
          <w:tcPr>
            <w:tcW w:w="1900" w:type="dxa"/>
            <w:gridSpan w:val="2"/>
            <w:tcBorders>
              <w:top w:val="single" w:color="auto" w:sz="8" w:space="0"/>
              <w:left w:val="single" w:color="auto" w:sz="8" w:space="0"/>
              <w:bottom w:val="single" w:color="auto" w:sz="8" w:space="0"/>
              <w:right w:val="single" w:color="auto" w:sz="8" w:space="0"/>
            </w:tcBorders>
            <w:vAlign w:val="center"/>
          </w:tcPr>
          <w:p w14:paraId="34FC1E7A">
            <w:pPr>
              <w:adjustRightInd w:val="0"/>
              <w:snapToGrid w:val="0"/>
              <w:jc w:val="center"/>
              <w:rPr>
                <w:rFonts w:ascii="宋体" w:hAnsi="宋体" w:cs="宋体"/>
                <w:szCs w:val="21"/>
                <w:highlight w:val="none"/>
              </w:rPr>
            </w:pPr>
          </w:p>
        </w:tc>
      </w:tr>
      <w:tr w14:paraId="00E1080A">
        <w:tblPrEx>
          <w:tblCellMar>
            <w:top w:w="0" w:type="dxa"/>
            <w:left w:w="0" w:type="dxa"/>
            <w:bottom w:w="0" w:type="dxa"/>
            <w:right w:w="0" w:type="dxa"/>
          </w:tblCellMar>
        </w:tblPrEx>
        <w:trPr>
          <w:trHeight w:val="1676"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6F37AA27">
            <w:pPr>
              <w:adjustRightInd w:val="0"/>
              <w:snapToGrid w:val="0"/>
              <w:jc w:val="center"/>
              <w:rPr>
                <w:rFonts w:ascii="宋体" w:hAnsi="宋体" w:cs="宋体"/>
                <w:szCs w:val="21"/>
                <w:highlight w:val="none"/>
              </w:rPr>
            </w:pPr>
            <w:r>
              <w:rPr>
                <w:rFonts w:hint="eastAsia" w:ascii="宋体" w:hAnsi="宋体" w:cs="宋体"/>
                <w:kern w:val="0"/>
                <w:szCs w:val="21"/>
                <w:highlight w:val="none"/>
              </w:rPr>
              <w:t>经营范围</w:t>
            </w:r>
          </w:p>
        </w:tc>
        <w:tc>
          <w:tcPr>
            <w:tcW w:w="7162" w:type="dxa"/>
            <w:gridSpan w:val="9"/>
            <w:tcBorders>
              <w:top w:val="single" w:color="auto" w:sz="8" w:space="0"/>
              <w:left w:val="single" w:color="auto" w:sz="8" w:space="0"/>
              <w:bottom w:val="single" w:color="auto" w:sz="8" w:space="0"/>
              <w:right w:val="single" w:color="auto" w:sz="8" w:space="0"/>
            </w:tcBorders>
            <w:vAlign w:val="center"/>
          </w:tcPr>
          <w:p w14:paraId="4B39F031">
            <w:pPr>
              <w:adjustRightInd w:val="0"/>
              <w:snapToGrid w:val="0"/>
              <w:jc w:val="center"/>
              <w:rPr>
                <w:rFonts w:ascii="宋体" w:hAnsi="宋体" w:cs="宋体"/>
                <w:szCs w:val="21"/>
                <w:highlight w:val="none"/>
              </w:rPr>
            </w:pPr>
          </w:p>
        </w:tc>
      </w:tr>
      <w:tr w14:paraId="2715F175">
        <w:tblPrEx>
          <w:tblCellMar>
            <w:top w:w="0" w:type="dxa"/>
            <w:left w:w="0" w:type="dxa"/>
            <w:bottom w:w="0" w:type="dxa"/>
            <w:right w:w="0" w:type="dxa"/>
          </w:tblCellMar>
        </w:tblPrEx>
        <w:trPr>
          <w:trHeight w:val="1421"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6AA2B1EA">
            <w:pPr>
              <w:adjustRightInd w:val="0"/>
              <w:snapToGrid w:val="0"/>
              <w:jc w:val="center"/>
              <w:rPr>
                <w:rFonts w:ascii="宋体" w:hAnsi="宋体" w:cs="宋体"/>
                <w:szCs w:val="21"/>
                <w:highlight w:val="none"/>
              </w:rPr>
            </w:pPr>
            <w:r>
              <w:rPr>
                <w:rFonts w:hint="eastAsia" w:ascii="宋体" w:hAnsi="宋体" w:cs="宋体"/>
                <w:kern w:val="0"/>
                <w:szCs w:val="21"/>
                <w:highlight w:val="none"/>
              </w:rPr>
              <w:t>企业简介</w:t>
            </w:r>
          </w:p>
        </w:tc>
        <w:tc>
          <w:tcPr>
            <w:tcW w:w="7162" w:type="dxa"/>
            <w:gridSpan w:val="9"/>
            <w:tcBorders>
              <w:top w:val="single" w:color="auto" w:sz="8" w:space="0"/>
              <w:left w:val="single" w:color="auto" w:sz="8" w:space="0"/>
              <w:bottom w:val="single" w:color="auto" w:sz="8" w:space="0"/>
              <w:right w:val="single" w:color="auto" w:sz="8" w:space="0"/>
            </w:tcBorders>
            <w:vAlign w:val="center"/>
          </w:tcPr>
          <w:p w14:paraId="341463CA">
            <w:pPr>
              <w:adjustRightInd w:val="0"/>
              <w:snapToGrid w:val="0"/>
              <w:jc w:val="center"/>
              <w:rPr>
                <w:rFonts w:ascii="宋体" w:hAnsi="宋体" w:cs="宋体"/>
                <w:szCs w:val="21"/>
                <w:highlight w:val="none"/>
              </w:rPr>
            </w:pPr>
            <w:r>
              <w:rPr>
                <w:rFonts w:hint="eastAsia" w:ascii="宋体" w:hAnsi="宋体" w:cs="宋体"/>
                <w:szCs w:val="21"/>
                <w:highlight w:val="none"/>
              </w:rPr>
              <w:t>（本项内容可另附页）</w:t>
            </w:r>
          </w:p>
        </w:tc>
      </w:tr>
      <w:tr w14:paraId="6B237671">
        <w:tblPrEx>
          <w:tblCellMar>
            <w:top w:w="0" w:type="dxa"/>
            <w:left w:w="0" w:type="dxa"/>
            <w:bottom w:w="0" w:type="dxa"/>
            <w:right w:w="0" w:type="dxa"/>
          </w:tblCellMar>
        </w:tblPrEx>
        <w:trPr>
          <w:trHeight w:val="1084"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4B887F53">
            <w:pPr>
              <w:adjustRightInd w:val="0"/>
              <w:snapToGrid w:val="0"/>
              <w:jc w:val="center"/>
              <w:rPr>
                <w:rFonts w:ascii="宋体" w:hAnsi="宋体" w:cs="宋体"/>
                <w:szCs w:val="21"/>
                <w:highlight w:val="none"/>
              </w:rPr>
            </w:pPr>
            <w:r>
              <w:rPr>
                <w:rFonts w:hint="eastAsia" w:ascii="宋体" w:hAnsi="宋体" w:cs="宋体"/>
                <w:kern w:val="0"/>
                <w:szCs w:val="21"/>
                <w:highlight w:val="none"/>
              </w:rPr>
              <w:t>备注</w:t>
            </w:r>
          </w:p>
        </w:tc>
        <w:tc>
          <w:tcPr>
            <w:tcW w:w="7162" w:type="dxa"/>
            <w:gridSpan w:val="9"/>
            <w:tcBorders>
              <w:top w:val="single" w:color="auto" w:sz="8" w:space="0"/>
              <w:left w:val="single" w:color="auto" w:sz="8" w:space="0"/>
              <w:bottom w:val="single" w:color="auto" w:sz="8" w:space="0"/>
              <w:right w:val="single" w:color="auto" w:sz="8" w:space="0"/>
            </w:tcBorders>
            <w:vAlign w:val="center"/>
          </w:tcPr>
          <w:p w14:paraId="7C97E965">
            <w:pPr>
              <w:adjustRightInd w:val="0"/>
              <w:snapToGrid w:val="0"/>
              <w:jc w:val="center"/>
              <w:rPr>
                <w:rFonts w:ascii="宋体" w:hAnsi="宋体" w:cs="宋体"/>
                <w:szCs w:val="21"/>
                <w:highlight w:val="none"/>
              </w:rPr>
            </w:pPr>
          </w:p>
        </w:tc>
      </w:tr>
    </w:tbl>
    <w:p w14:paraId="5BAA376B">
      <w:pPr>
        <w:autoSpaceDE w:val="0"/>
        <w:autoSpaceDN w:val="0"/>
        <w:adjustRightInd w:val="0"/>
        <w:spacing w:line="360" w:lineRule="auto"/>
        <w:ind w:firstLine="420" w:firstLineChars="200"/>
        <w:rPr>
          <w:rFonts w:ascii="宋体" w:hAnsi="宋体" w:cs="宋体"/>
          <w:b/>
          <w:bCs/>
          <w:sz w:val="28"/>
          <w:szCs w:val="28"/>
          <w:highlight w:val="none"/>
          <w:lang w:val="zh-CN"/>
        </w:rPr>
      </w:pPr>
      <w:r>
        <w:rPr>
          <w:rFonts w:hint="eastAsia" w:ascii="宋体" w:hAnsi="宋体" w:cs="宋体"/>
          <w:szCs w:val="21"/>
          <w:highlight w:val="none"/>
          <w:u w:val="single"/>
        </w:rPr>
        <w:t>注：联合体投标的，由联合体各方均需提交本表。</w:t>
      </w:r>
      <w:r>
        <w:rPr>
          <w:rFonts w:hint="eastAsia" w:ascii="宋体" w:hAnsi="宋体" w:cs="宋体"/>
          <w:b/>
          <w:bCs/>
          <w:sz w:val="28"/>
          <w:szCs w:val="28"/>
          <w:highlight w:val="none"/>
          <w:lang w:val="zh-CN"/>
        </w:rPr>
        <w:br w:type="page"/>
      </w:r>
      <w:r>
        <w:rPr>
          <w:rFonts w:hint="eastAsia" w:ascii="宋体" w:hAnsi="宋体" w:cs="宋体"/>
          <w:b/>
          <w:sz w:val="28"/>
          <w:highlight w:val="none"/>
        </w:rPr>
        <w:t>格式6：</w:t>
      </w:r>
    </w:p>
    <w:p w14:paraId="568923D9">
      <w:pPr>
        <w:autoSpaceDE w:val="0"/>
        <w:autoSpaceDN w:val="0"/>
        <w:adjustRightInd w:val="0"/>
        <w:spacing w:line="360" w:lineRule="auto"/>
        <w:ind w:firstLine="562" w:firstLineChars="200"/>
        <w:jc w:val="center"/>
        <w:rPr>
          <w:rFonts w:ascii="宋体" w:hAnsi="宋体" w:cs="宋体"/>
          <w:b/>
          <w:bCs/>
          <w:sz w:val="28"/>
          <w:szCs w:val="28"/>
          <w:highlight w:val="none"/>
          <w:lang w:val="zh-CN"/>
        </w:rPr>
      </w:pPr>
      <w:r>
        <w:rPr>
          <w:rFonts w:hint="eastAsia" w:ascii="宋体" w:hAnsi="宋体" w:cs="宋体"/>
          <w:b/>
          <w:bCs/>
          <w:sz w:val="28"/>
          <w:szCs w:val="28"/>
          <w:highlight w:val="none"/>
          <w:lang w:val="zh-CN"/>
        </w:rPr>
        <w:t>项目管理团队人员信息表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293"/>
        <w:gridCol w:w="545"/>
        <w:gridCol w:w="755"/>
        <w:gridCol w:w="722"/>
        <w:gridCol w:w="722"/>
        <w:gridCol w:w="721"/>
        <w:gridCol w:w="1734"/>
        <w:gridCol w:w="1156"/>
        <w:gridCol w:w="1536"/>
      </w:tblGrid>
      <w:tr w14:paraId="2C5E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50" w:type="dxa"/>
            <w:tcBorders>
              <w:top w:val="single" w:color="auto" w:sz="4" w:space="0"/>
              <w:left w:val="single" w:color="auto" w:sz="4" w:space="0"/>
              <w:bottom w:val="single" w:color="auto" w:sz="4" w:space="0"/>
              <w:right w:val="single" w:color="auto" w:sz="4" w:space="0"/>
            </w:tcBorders>
            <w:vAlign w:val="center"/>
          </w:tcPr>
          <w:p w14:paraId="6E64F961">
            <w:pPr>
              <w:pStyle w:val="126"/>
              <w:jc w:val="both"/>
              <w:rPr>
                <w:rFonts w:cs="宋体"/>
                <w:highlight w:val="none"/>
              </w:rPr>
            </w:pPr>
            <w:r>
              <w:rPr>
                <w:rFonts w:hint="eastAsia" w:cs="宋体"/>
                <w:highlight w:val="none"/>
              </w:rPr>
              <w:t>序号</w:t>
            </w:r>
          </w:p>
        </w:tc>
        <w:tc>
          <w:tcPr>
            <w:tcW w:w="1293" w:type="dxa"/>
            <w:tcBorders>
              <w:top w:val="single" w:color="auto" w:sz="4" w:space="0"/>
              <w:left w:val="single" w:color="auto" w:sz="4" w:space="0"/>
              <w:bottom w:val="single" w:color="auto" w:sz="4" w:space="0"/>
              <w:right w:val="single" w:color="auto" w:sz="4" w:space="0"/>
            </w:tcBorders>
            <w:vAlign w:val="center"/>
          </w:tcPr>
          <w:p w14:paraId="6F92C8C2">
            <w:pPr>
              <w:pStyle w:val="126"/>
              <w:jc w:val="center"/>
              <w:rPr>
                <w:rFonts w:cs="宋体"/>
                <w:highlight w:val="none"/>
              </w:rPr>
            </w:pPr>
            <w:r>
              <w:rPr>
                <w:rFonts w:hint="eastAsia" w:cs="宋体"/>
                <w:highlight w:val="none"/>
              </w:rPr>
              <w:t>姓名</w:t>
            </w:r>
          </w:p>
        </w:tc>
        <w:tc>
          <w:tcPr>
            <w:tcW w:w="545" w:type="dxa"/>
            <w:tcBorders>
              <w:top w:val="single" w:color="auto" w:sz="4" w:space="0"/>
              <w:left w:val="single" w:color="auto" w:sz="4" w:space="0"/>
              <w:bottom w:val="single" w:color="auto" w:sz="4" w:space="0"/>
              <w:right w:val="single" w:color="auto" w:sz="4" w:space="0"/>
            </w:tcBorders>
            <w:vAlign w:val="center"/>
          </w:tcPr>
          <w:p w14:paraId="1D41DF4F">
            <w:pPr>
              <w:pStyle w:val="126"/>
              <w:jc w:val="both"/>
              <w:rPr>
                <w:rFonts w:cs="宋体"/>
                <w:highlight w:val="none"/>
              </w:rPr>
            </w:pPr>
            <w:r>
              <w:rPr>
                <w:rFonts w:hint="eastAsia" w:cs="宋体"/>
                <w:highlight w:val="none"/>
              </w:rPr>
              <w:t>性别</w:t>
            </w:r>
          </w:p>
        </w:tc>
        <w:tc>
          <w:tcPr>
            <w:tcW w:w="755" w:type="dxa"/>
            <w:tcBorders>
              <w:top w:val="single" w:color="auto" w:sz="4" w:space="0"/>
              <w:left w:val="single" w:color="auto" w:sz="4" w:space="0"/>
              <w:bottom w:val="single" w:color="auto" w:sz="4" w:space="0"/>
              <w:right w:val="single" w:color="auto" w:sz="4" w:space="0"/>
            </w:tcBorders>
            <w:vAlign w:val="center"/>
          </w:tcPr>
          <w:p w14:paraId="5ABEB136">
            <w:pPr>
              <w:pStyle w:val="126"/>
              <w:jc w:val="both"/>
              <w:rPr>
                <w:rFonts w:cs="宋体"/>
                <w:highlight w:val="none"/>
              </w:rPr>
            </w:pPr>
            <w:r>
              <w:rPr>
                <w:rFonts w:hint="eastAsia" w:cs="宋体"/>
                <w:highlight w:val="none"/>
              </w:rPr>
              <w:t>年龄</w:t>
            </w:r>
          </w:p>
        </w:tc>
        <w:tc>
          <w:tcPr>
            <w:tcW w:w="722" w:type="dxa"/>
            <w:tcBorders>
              <w:top w:val="single" w:color="auto" w:sz="4" w:space="0"/>
              <w:left w:val="single" w:color="auto" w:sz="4" w:space="0"/>
              <w:bottom w:val="single" w:color="auto" w:sz="4" w:space="0"/>
              <w:right w:val="single" w:color="auto" w:sz="4" w:space="0"/>
            </w:tcBorders>
            <w:vAlign w:val="center"/>
          </w:tcPr>
          <w:p w14:paraId="5BEEDFA0">
            <w:pPr>
              <w:pStyle w:val="126"/>
              <w:jc w:val="center"/>
              <w:rPr>
                <w:rFonts w:cs="宋体"/>
                <w:highlight w:val="none"/>
              </w:rPr>
            </w:pPr>
            <w:r>
              <w:rPr>
                <w:rFonts w:hint="eastAsia" w:cs="宋体"/>
                <w:highlight w:val="none"/>
              </w:rPr>
              <w:t>岗位</w:t>
            </w:r>
          </w:p>
        </w:tc>
        <w:tc>
          <w:tcPr>
            <w:tcW w:w="722" w:type="dxa"/>
            <w:tcBorders>
              <w:top w:val="single" w:color="auto" w:sz="4" w:space="0"/>
              <w:left w:val="single" w:color="auto" w:sz="4" w:space="0"/>
              <w:bottom w:val="single" w:color="auto" w:sz="4" w:space="0"/>
              <w:right w:val="single" w:color="auto" w:sz="4" w:space="0"/>
            </w:tcBorders>
            <w:vAlign w:val="center"/>
          </w:tcPr>
          <w:p w14:paraId="054C9DCB">
            <w:pPr>
              <w:pStyle w:val="126"/>
              <w:jc w:val="center"/>
              <w:rPr>
                <w:rFonts w:cs="宋体"/>
                <w:highlight w:val="none"/>
              </w:rPr>
            </w:pPr>
            <w:r>
              <w:rPr>
                <w:rFonts w:hint="eastAsia" w:cs="宋体"/>
                <w:highlight w:val="none"/>
              </w:rPr>
              <w:t>职称</w:t>
            </w:r>
          </w:p>
        </w:tc>
        <w:tc>
          <w:tcPr>
            <w:tcW w:w="721" w:type="dxa"/>
            <w:tcBorders>
              <w:top w:val="single" w:color="auto" w:sz="4" w:space="0"/>
              <w:left w:val="single" w:color="auto" w:sz="4" w:space="0"/>
              <w:bottom w:val="single" w:color="auto" w:sz="4" w:space="0"/>
              <w:right w:val="single" w:color="auto" w:sz="4" w:space="0"/>
            </w:tcBorders>
            <w:vAlign w:val="center"/>
          </w:tcPr>
          <w:p w14:paraId="39FB1D24">
            <w:pPr>
              <w:pStyle w:val="126"/>
              <w:jc w:val="center"/>
              <w:rPr>
                <w:rFonts w:cs="宋体"/>
                <w:highlight w:val="none"/>
              </w:rPr>
            </w:pPr>
            <w:r>
              <w:rPr>
                <w:rFonts w:hint="eastAsia" w:cs="宋体"/>
                <w:highlight w:val="none"/>
              </w:rPr>
              <w:t>专业</w:t>
            </w:r>
          </w:p>
        </w:tc>
        <w:tc>
          <w:tcPr>
            <w:tcW w:w="1734" w:type="dxa"/>
            <w:tcBorders>
              <w:top w:val="single" w:color="auto" w:sz="4" w:space="0"/>
              <w:left w:val="single" w:color="auto" w:sz="4" w:space="0"/>
              <w:bottom w:val="single" w:color="auto" w:sz="4" w:space="0"/>
              <w:right w:val="single" w:color="auto" w:sz="4" w:space="0"/>
            </w:tcBorders>
            <w:vAlign w:val="center"/>
          </w:tcPr>
          <w:p w14:paraId="2600F507">
            <w:pPr>
              <w:pStyle w:val="126"/>
              <w:jc w:val="both"/>
              <w:rPr>
                <w:rFonts w:cs="宋体"/>
                <w:highlight w:val="none"/>
              </w:rPr>
            </w:pPr>
            <w:r>
              <w:rPr>
                <w:rFonts w:hint="eastAsia" w:cs="宋体"/>
                <w:highlight w:val="none"/>
              </w:rPr>
              <w:t>职称证书或资格证书或者注册执业资格证编号</w:t>
            </w:r>
          </w:p>
        </w:tc>
        <w:tc>
          <w:tcPr>
            <w:tcW w:w="1156" w:type="dxa"/>
            <w:tcBorders>
              <w:top w:val="single" w:color="auto" w:sz="4" w:space="0"/>
              <w:left w:val="single" w:color="auto" w:sz="4" w:space="0"/>
              <w:bottom w:val="single" w:color="auto" w:sz="4" w:space="0"/>
              <w:right w:val="single" w:color="auto" w:sz="4" w:space="0"/>
            </w:tcBorders>
            <w:vAlign w:val="center"/>
          </w:tcPr>
          <w:p w14:paraId="3E31A3C6">
            <w:pPr>
              <w:pStyle w:val="126"/>
              <w:jc w:val="both"/>
              <w:rPr>
                <w:rFonts w:cs="宋体"/>
                <w:highlight w:val="none"/>
              </w:rPr>
            </w:pPr>
            <w:r>
              <w:rPr>
                <w:rFonts w:hint="eastAsia" w:cs="宋体"/>
                <w:highlight w:val="none"/>
              </w:rPr>
              <w:t>从事工程工作年限</w:t>
            </w:r>
          </w:p>
        </w:tc>
        <w:tc>
          <w:tcPr>
            <w:tcW w:w="1536" w:type="dxa"/>
            <w:tcBorders>
              <w:top w:val="single" w:color="auto" w:sz="4" w:space="0"/>
              <w:left w:val="single" w:color="auto" w:sz="4" w:space="0"/>
              <w:bottom w:val="single" w:color="auto" w:sz="4" w:space="0"/>
              <w:right w:val="single" w:color="auto" w:sz="4" w:space="0"/>
            </w:tcBorders>
            <w:vAlign w:val="center"/>
          </w:tcPr>
          <w:p w14:paraId="15CB35C6">
            <w:pPr>
              <w:pStyle w:val="126"/>
              <w:jc w:val="both"/>
              <w:rPr>
                <w:rFonts w:cs="宋体"/>
                <w:highlight w:val="none"/>
              </w:rPr>
            </w:pPr>
            <w:r>
              <w:rPr>
                <w:rFonts w:hint="eastAsia" w:cs="宋体"/>
                <w:highlight w:val="none"/>
              </w:rPr>
              <w:t>备注</w:t>
            </w:r>
          </w:p>
        </w:tc>
      </w:tr>
      <w:tr w14:paraId="79C4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17F44CFD">
            <w:pPr>
              <w:pStyle w:val="54"/>
              <w:ind w:firstLine="496"/>
              <w:rPr>
                <w:rFonts w:ascii="宋体" w:hAnsi="宋体" w:cs="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B277FAF">
            <w:pPr>
              <w:pStyle w:val="54"/>
              <w:ind w:firstLine="496"/>
              <w:rPr>
                <w:rFonts w:ascii="宋体" w:hAnsi="宋体" w:cs="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09084B79">
            <w:pPr>
              <w:pStyle w:val="54"/>
              <w:ind w:firstLine="496"/>
              <w:rPr>
                <w:rFonts w:ascii="宋体" w:hAnsi="宋体" w:cs="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3D017EE6">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25682A6F">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656F452F">
            <w:pPr>
              <w:pStyle w:val="54"/>
              <w:ind w:firstLine="496"/>
              <w:rPr>
                <w:rFonts w:ascii="宋体" w:hAnsi="宋体" w:cs="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3F58E2B9">
            <w:pPr>
              <w:pStyle w:val="54"/>
              <w:ind w:firstLine="496"/>
              <w:rPr>
                <w:rFonts w:ascii="宋体" w:hAnsi="宋体" w:cs="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2E1EE241">
            <w:pPr>
              <w:pStyle w:val="54"/>
              <w:ind w:firstLine="496"/>
              <w:rPr>
                <w:rFonts w:ascii="宋体" w:hAnsi="宋体" w:cs="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2E6858BC">
            <w:pPr>
              <w:pStyle w:val="54"/>
              <w:ind w:firstLine="496"/>
              <w:rPr>
                <w:rFonts w:ascii="宋体" w:hAnsi="宋体" w:cs="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25E77676">
            <w:pPr>
              <w:pStyle w:val="54"/>
              <w:ind w:firstLine="496"/>
              <w:rPr>
                <w:rFonts w:ascii="宋体" w:hAnsi="宋体" w:cs="宋体"/>
                <w:snapToGrid w:val="0"/>
                <w:highlight w:val="none"/>
              </w:rPr>
            </w:pPr>
          </w:p>
        </w:tc>
      </w:tr>
      <w:tr w14:paraId="0021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0AF22CC3">
            <w:pPr>
              <w:pStyle w:val="54"/>
              <w:ind w:firstLine="496"/>
              <w:rPr>
                <w:rFonts w:ascii="宋体" w:hAnsi="宋体" w:cs="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1E91666C">
            <w:pPr>
              <w:pStyle w:val="54"/>
              <w:ind w:firstLine="496"/>
              <w:rPr>
                <w:rFonts w:ascii="宋体" w:hAnsi="宋体" w:cs="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3D68CFE0">
            <w:pPr>
              <w:pStyle w:val="54"/>
              <w:ind w:firstLine="496"/>
              <w:rPr>
                <w:rFonts w:ascii="宋体" w:hAnsi="宋体" w:cs="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6BF7C5A2">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5BEDAD0B">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7942212C">
            <w:pPr>
              <w:pStyle w:val="54"/>
              <w:ind w:firstLine="496"/>
              <w:rPr>
                <w:rFonts w:ascii="宋体" w:hAnsi="宋体" w:cs="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4D1D3451">
            <w:pPr>
              <w:pStyle w:val="54"/>
              <w:ind w:firstLine="496"/>
              <w:rPr>
                <w:rFonts w:ascii="宋体" w:hAnsi="宋体" w:cs="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61C6D843">
            <w:pPr>
              <w:pStyle w:val="54"/>
              <w:ind w:firstLine="496"/>
              <w:rPr>
                <w:rFonts w:ascii="宋体" w:hAnsi="宋体" w:cs="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3072933B">
            <w:pPr>
              <w:pStyle w:val="54"/>
              <w:ind w:firstLine="496"/>
              <w:rPr>
                <w:rFonts w:ascii="宋体" w:hAnsi="宋体" w:cs="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3DBBF057">
            <w:pPr>
              <w:pStyle w:val="54"/>
              <w:ind w:firstLine="496"/>
              <w:rPr>
                <w:rFonts w:ascii="宋体" w:hAnsi="宋体" w:cs="宋体"/>
                <w:snapToGrid w:val="0"/>
                <w:highlight w:val="none"/>
              </w:rPr>
            </w:pPr>
          </w:p>
        </w:tc>
      </w:tr>
      <w:tr w14:paraId="5D32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33D81917">
            <w:pPr>
              <w:pStyle w:val="54"/>
              <w:ind w:firstLine="496"/>
              <w:rPr>
                <w:rFonts w:ascii="宋体" w:hAnsi="宋体" w:cs="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868BB38">
            <w:pPr>
              <w:pStyle w:val="54"/>
              <w:ind w:firstLine="496"/>
              <w:rPr>
                <w:rFonts w:ascii="宋体" w:hAnsi="宋体" w:cs="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1EAE877F">
            <w:pPr>
              <w:pStyle w:val="54"/>
              <w:ind w:firstLine="496"/>
              <w:rPr>
                <w:rFonts w:ascii="宋体" w:hAnsi="宋体" w:cs="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5170C741">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1CC9B480">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17367FDB">
            <w:pPr>
              <w:pStyle w:val="54"/>
              <w:ind w:firstLine="496"/>
              <w:rPr>
                <w:rFonts w:ascii="宋体" w:hAnsi="宋体" w:cs="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00642BB4">
            <w:pPr>
              <w:pStyle w:val="54"/>
              <w:ind w:firstLine="496"/>
              <w:rPr>
                <w:rFonts w:ascii="宋体" w:hAnsi="宋体" w:cs="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0461C8D0">
            <w:pPr>
              <w:pStyle w:val="54"/>
              <w:ind w:firstLine="496"/>
              <w:rPr>
                <w:rFonts w:ascii="宋体" w:hAnsi="宋体" w:cs="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070FF400">
            <w:pPr>
              <w:pStyle w:val="54"/>
              <w:ind w:firstLine="496"/>
              <w:rPr>
                <w:rFonts w:ascii="宋体" w:hAnsi="宋体" w:cs="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454A21CC">
            <w:pPr>
              <w:pStyle w:val="54"/>
              <w:ind w:firstLine="496"/>
              <w:rPr>
                <w:rFonts w:ascii="宋体" w:hAnsi="宋体" w:cs="宋体"/>
                <w:snapToGrid w:val="0"/>
                <w:highlight w:val="none"/>
              </w:rPr>
            </w:pPr>
          </w:p>
        </w:tc>
      </w:tr>
      <w:tr w14:paraId="1D5F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10FE40F0">
            <w:pPr>
              <w:pStyle w:val="54"/>
              <w:ind w:firstLine="496"/>
              <w:rPr>
                <w:rFonts w:ascii="宋体" w:hAnsi="宋体" w:cs="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DD67823">
            <w:pPr>
              <w:pStyle w:val="54"/>
              <w:ind w:firstLine="496"/>
              <w:rPr>
                <w:rFonts w:ascii="宋体" w:hAnsi="宋体" w:cs="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5EBE68E2">
            <w:pPr>
              <w:pStyle w:val="54"/>
              <w:ind w:firstLine="496"/>
              <w:rPr>
                <w:rFonts w:ascii="宋体" w:hAnsi="宋体" w:cs="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60F1BB4B">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07FD8C28">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228310EE">
            <w:pPr>
              <w:pStyle w:val="54"/>
              <w:ind w:firstLine="496"/>
              <w:rPr>
                <w:rFonts w:ascii="宋体" w:hAnsi="宋体" w:cs="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161773EF">
            <w:pPr>
              <w:pStyle w:val="54"/>
              <w:ind w:firstLine="496"/>
              <w:rPr>
                <w:rFonts w:ascii="宋体" w:hAnsi="宋体" w:cs="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2ECE0F9E">
            <w:pPr>
              <w:pStyle w:val="54"/>
              <w:ind w:firstLine="496"/>
              <w:rPr>
                <w:rFonts w:ascii="宋体" w:hAnsi="宋体" w:cs="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56A683E4">
            <w:pPr>
              <w:pStyle w:val="54"/>
              <w:ind w:firstLine="496"/>
              <w:rPr>
                <w:rFonts w:ascii="宋体" w:hAnsi="宋体" w:cs="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363175D6">
            <w:pPr>
              <w:pStyle w:val="54"/>
              <w:ind w:firstLine="496"/>
              <w:rPr>
                <w:rFonts w:ascii="宋体" w:hAnsi="宋体" w:cs="宋体"/>
                <w:snapToGrid w:val="0"/>
                <w:highlight w:val="none"/>
              </w:rPr>
            </w:pPr>
          </w:p>
        </w:tc>
      </w:tr>
      <w:tr w14:paraId="5AEB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36584DAF">
            <w:pPr>
              <w:pStyle w:val="54"/>
              <w:ind w:firstLine="496"/>
              <w:rPr>
                <w:rFonts w:ascii="宋体" w:hAnsi="宋体" w:cs="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BC5F85A">
            <w:pPr>
              <w:pStyle w:val="54"/>
              <w:ind w:firstLine="496"/>
              <w:rPr>
                <w:rFonts w:ascii="宋体" w:hAnsi="宋体" w:cs="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22E3C63A">
            <w:pPr>
              <w:pStyle w:val="54"/>
              <w:ind w:firstLine="496"/>
              <w:rPr>
                <w:rFonts w:ascii="宋体" w:hAnsi="宋体" w:cs="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510E290D">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4AF8E6AD">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2F0E0F3C">
            <w:pPr>
              <w:pStyle w:val="54"/>
              <w:ind w:firstLine="496"/>
              <w:rPr>
                <w:rFonts w:ascii="宋体" w:hAnsi="宋体" w:cs="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51508BD9">
            <w:pPr>
              <w:pStyle w:val="54"/>
              <w:ind w:firstLine="496"/>
              <w:rPr>
                <w:rFonts w:ascii="宋体" w:hAnsi="宋体" w:cs="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18493F3C">
            <w:pPr>
              <w:pStyle w:val="54"/>
              <w:ind w:firstLine="496"/>
              <w:rPr>
                <w:rFonts w:ascii="宋体" w:hAnsi="宋体" w:cs="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24641829">
            <w:pPr>
              <w:pStyle w:val="54"/>
              <w:ind w:firstLine="496"/>
              <w:rPr>
                <w:rFonts w:ascii="宋体" w:hAnsi="宋体" w:cs="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09444D2A">
            <w:pPr>
              <w:pStyle w:val="54"/>
              <w:ind w:firstLine="496"/>
              <w:rPr>
                <w:rFonts w:ascii="宋体" w:hAnsi="宋体" w:cs="宋体"/>
                <w:snapToGrid w:val="0"/>
                <w:highlight w:val="none"/>
              </w:rPr>
            </w:pPr>
          </w:p>
        </w:tc>
      </w:tr>
      <w:tr w14:paraId="2174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6BF3A8E1">
            <w:pPr>
              <w:pStyle w:val="54"/>
              <w:ind w:firstLine="496"/>
              <w:rPr>
                <w:rFonts w:ascii="宋体" w:hAnsi="宋体" w:cs="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6183E5E">
            <w:pPr>
              <w:pStyle w:val="54"/>
              <w:ind w:firstLine="496"/>
              <w:rPr>
                <w:rFonts w:ascii="宋体" w:hAnsi="宋体" w:cs="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798F5B30">
            <w:pPr>
              <w:pStyle w:val="54"/>
              <w:ind w:firstLine="496"/>
              <w:rPr>
                <w:rFonts w:ascii="宋体" w:hAnsi="宋体" w:cs="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2317F9A8">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09AD5C3F">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66E41A0D">
            <w:pPr>
              <w:pStyle w:val="54"/>
              <w:ind w:firstLine="496"/>
              <w:rPr>
                <w:rFonts w:ascii="宋体" w:hAnsi="宋体" w:cs="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0E0BCAC6">
            <w:pPr>
              <w:pStyle w:val="54"/>
              <w:ind w:firstLine="496"/>
              <w:rPr>
                <w:rFonts w:ascii="宋体" w:hAnsi="宋体" w:cs="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761063AC">
            <w:pPr>
              <w:pStyle w:val="54"/>
              <w:ind w:firstLine="496"/>
              <w:rPr>
                <w:rFonts w:ascii="宋体" w:hAnsi="宋体" w:cs="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2B947E1C">
            <w:pPr>
              <w:pStyle w:val="54"/>
              <w:ind w:firstLine="496"/>
              <w:rPr>
                <w:rFonts w:ascii="宋体" w:hAnsi="宋体" w:cs="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224DC326">
            <w:pPr>
              <w:pStyle w:val="54"/>
              <w:ind w:firstLine="496"/>
              <w:rPr>
                <w:rFonts w:ascii="宋体" w:hAnsi="宋体" w:cs="宋体"/>
                <w:snapToGrid w:val="0"/>
                <w:highlight w:val="none"/>
              </w:rPr>
            </w:pPr>
          </w:p>
        </w:tc>
      </w:tr>
      <w:tr w14:paraId="1668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5E6196E8">
            <w:pPr>
              <w:pStyle w:val="54"/>
              <w:ind w:firstLine="496"/>
              <w:rPr>
                <w:rFonts w:ascii="宋体" w:hAnsi="宋体" w:cs="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0C5C5BEF">
            <w:pPr>
              <w:pStyle w:val="54"/>
              <w:ind w:firstLine="496"/>
              <w:rPr>
                <w:rFonts w:ascii="宋体" w:hAnsi="宋体" w:cs="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23493EA9">
            <w:pPr>
              <w:pStyle w:val="54"/>
              <w:ind w:firstLine="496"/>
              <w:rPr>
                <w:rFonts w:ascii="宋体" w:hAnsi="宋体" w:cs="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53C9DF47">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173008B4">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6F13B89F">
            <w:pPr>
              <w:pStyle w:val="54"/>
              <w:ind w:firstLine="496"/>
              <w:rPr>
                <w:rFonts w:ascii="宋体" w:hAnsi="宋体" w:cs="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3898303E">
            <w:pPr>
              <w:pStyle w:val="54"/>
              <w:ind w:firstLine="496"/>
              <w:rPr>
                <w:rFonts w:ascii="宋体" w:hAnsi="宋体" w:cs="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1CD3D833">
            <w:pPr>
              <w:pStyle w:val="54"/>
              <w:ind w:firstLine="496"/>
              <w:rPr>
                <w:rFonts w:ascii="宋体" w:hAnsi="宋体" w:cs="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3C491ADC">
            <w:pPr>
              <w:pStyle w:val="54"/>
              <w:ind w:firstLine="496"/>
              <w:rPr>
                <w:rFonts w:ascii="宋体" w:hAnsi="宋体" w:cs="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24C12779">
            <w:pPr>
              <w:pStyle w:val="54"/>
              <w:ind w:firstLine="496"/>
              <w:rPr>
                <w:rFonts w:ascii="宋体" w:hAnsi="宋体" w:cs="宋体"/>
                <w:snapToGrid w:val="0"/>
                <w:highlight w:val="none"/>
              </w:rPr>
            </w:pPr>
          </w:p>
        </w:tc>
      </w:tr>
      <w:tr w14:paraId="5A40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4EF7A722">
            <w:pPr>
              <w:pStyle w:val="54"/>
              <w:ind w:firstLine="496"/>
              <w:rPr>
                <w:rFonts w:ascii="宋体" w:hAnsi="宋体" w:cs="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ECE1225">
            <w:pPr>
              <w:pStyle w:val="54"/>
              <w:ind w:firstLine="496"/>
              <w:rPr>
                <w:rFonts w:ascii="宋体" w:hAnsi="宋体" w:cs="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60EE1A1E">
            <w:pPr>
              <w:pStyle w:val="54"/>
              <w:ind w:firstLine="496"/>
              <w:rPr>
                <w:rFonts w:ascii="宋体" w:hAnsi="宋体" w:cs="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36C6A1A7">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2C7432D5">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2161ACE3">
            <w:pPr>
              <w:pStyle w:val="54"/>
              <w:ind w:firstLine="496"/>
              <w:rPr>
                <w:rFonts w:ascii="宋体" w:hAnsi="宋体" w:cs="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5F143AB1">
            <w:pPr>
              <w:pStyle w:val="54"/>
              <w:ind w:firstLine="496"/>
              <w:rPr>
                <w:rFonts w:ascii="宋体" w:hAnsi="宋体" w:cs="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4E018B87">
            <w:pPr>
              <w:pStyle w:val="54"/>
              <w:ind w:firstLine="496"/>
              <w:rPr>
                <w:rFonts w:ascii="宋体" w:hAnsi="宋体" w:cs="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69D82F47">
            <w:pPr>
              <w:pStyle w:val="54"/>
              <w:ind w:firstLine="496"/>
              <w:rPr>
                <w:rFonts w:ascii="宋体" w:hAnsi="宋体" w:cs="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63330F99">
            <w:pPr>
              <w:pStyle w:val="54"/>
              <w:ind w:firstLine="496"/>
              <w:rPr>
                <w:rFonts w:ascii="宋体" w:hAnsi="宋体" w:cs="宋体"/>
                <w:snapToGrid w:val="0"/>
                <w:highlight w:val="none"/>
              </w:rPr>
            </w:pPr>
          </w:p>
        </w:tc>
      </w:tr>
      <w:tr w14:paraId="46CD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3B7D826C">
            <w:pPr>
              <w:pStyle w:val="54"/>
              <w:ind w:firstLine="496"/>
              <w:rPr>
                <w:rFonts w:ascii="宋体" w:hAnsi="宋体" w:cs="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02E8D621">
            <w:pPr>
              <w:pStyle w:val="54"/>
              <w:ind w:firstLine="496"/>
              <w:rPr>
                <w:rFonts w:ascii="宋体" w:hAnsi="宋体" w:cs="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60F8E49E">
            <w:pPr>
              <w:pStyle w:val="54"/>
              <w:ind w:firstLine="496"/>
              <w:rPr>
                <w:rFonts w:ascii="宋体" w:hAnsi="宋体" w:cs="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3308B1D7">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79020309">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68FAAE91">
            <w:pPr>
              <w:pStyle w:val="54"/>
              <w:ind w:firstLine="496"/>
              <w:rPr>
                <w:rFonts w:ascii="宋体" w:hAnsi="宋体" w:cs="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314B8850">
            <w:pPr>
              <w:pStyle w:val="54"/>
              <w:ind w:firstLine="496"/>
              <w:rPr>
                <w:rFonts w:ascii="宋体" w:hAnsi="宋体" w:cs="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636FF94E">
            <w:pPr>
              <w:pStyle w:val="54"/>
              <w:ind w:firstLine="496"/>
              <w:rPr>
                <w:rFonts w:ascii="宋体" w:hAnsi="宋体" w:cs="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405AAA93">
            <w:pPr>
              <w:pStyle w:val="54"/>
              <w:ind w:firstLine="496"/>
              <w:rPr>
                <w:rFonts w:ascii="宋体" w:hAnsi="宋体" w:cs="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37075A6B">
            <w:pPr>
              <w:pStyle w:val="54"/>
              <w:ind w:firstLine="496"/>
              <w:rPr>
                <w:rFonts w:ascii="宋体" w:hAnsi="宋体" w:cs="宋体"/>
                <w:snapToGrid w:val="0"/>
                <w:highlight w:val="none"/>
              </w:rPr>
            </w:pPr>
          </w:p>
        </w:tc>
      </w:tr>
      <w:tr w14:paraId="339B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552C5038">
            <w:pPr>
              <w:pStyle w:val="54"/>
              <w:ind w:firstLine="496"/>
              <w:rPr>
                <w:rFonts w:ascii="宋体" w:hAnsi="宋体" w:cs="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38CD9C16">
            <w:pPr>
              <w:pStyle w:val="54"/>
              <w:ind w:firstLine="496"/>
              <w:rPr>
                <w:rFonts w:ascii="宋体" w:hAnsi="宋体" w:cs="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6BA95208">
            <w:pPr>
              <w:pStyle w:val="54"/>
              <w:ind w:firstLine="496"/>
              <w:rPr>
                <w:rFonts w:ascii="宋体" w:hAnsi="宋体" w:cs="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277E7847">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2CB98FEA">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71A6CC9B">
            <w:pPr>
              <w:pStyle w:val="54"/>
              <w:ind w:firstLine="496"/>
              <w:rPr>
                <w:rFonts w:ascii="宋体" w:hAnsi="宋体" w:cs="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1A7C7319">
            <w:pPr>
              <w:pStyle w:val="54"/>
              <w:ind w:firstLine="496"/>
              <w:rPr>
                <w:rFonts w:ascii="宋体" w:hAnsi="宋体" w:cs="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627702DB">
            <w:pPr>
              <w:pStyle w:val="54"/>
              <w:ind w:firstLine="496"/>
              <w:rPr>
                <w:rFonts w:ascii="宋体" w:hAnsi="宋体" w:cs="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68A8A87B">
            <w:pPr>
              <w:pStyle w:val="54"/>
              <w:ind w:firstLine="496"/>
              <w:rPr>
                <w:rFonts w:ascii="宋体" w:hAnsi="宋体" w:cs="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3F2957AC">
            <w:pPr>
              <w:pStyle w:val="54"/>
              <w:ind w:firstLine="496"/>
              <w:rPr>
                <w:rFonts w:ascii="宋体" w:hAnsi="宋体" w:cs="宋体"/>
                <w:snapToGrid w:val="0"/>
                <w:highlight w:val="none"/>
              </w:rPr>
            </w:pPr>
          </w:p>
        </w:tc>
      </w:tr>
      <w:tr w14:paraId="4A18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550" w:type="dxa"/>
            <w:tcBorders>
              <w:top w:val="single" w:color="auto" w:sz="4" w:space="0"/>
              <w:left w:val="single" w:color="auto" w:sz="4" w:space="0"/>
              <w:bottom w:val="single" w:color="auto" w:sz="4" w:space="0"/>
              <w:right w:val="single" w:color="auto" w:sz="4" w:space="0"/>
            </w:tcBorders>
            <w:vAlign w:val="center"/>
          </w:tcPr>
          <w:p w14:paraId="3CEA79E6">
            <w:pPr>
              <w:pStyle w:val="54"/>
              <w:ind w:firstLine="496"/>
              <w:rPr>
                <w:rFonts w:ascii="宋体" w:hAnsi="宋体" w:cs="宋体"/>
                <w:snapToGrid w:val="0"/>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44D2D48">
            <w:pPr>
              <w:pStyle w:val="54"/>
              <w:ind w:firstLine="496"/>
              <w:rPr>
                <w:rFonts w:ascii="宋体" w:hAnsi="宋体" w:cs="宋体"/>
                <w:snapToGrid w:val="0"/>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4E289955">
            <w:pPr>
              <w:pStyle w:val="54"/>
              <w:ind w:firstLine="496"/>
              <w:rPr>
                <w:rFonts w:ascii="宋体" w:hAnsi="宋体" w:cs="宋体"/>
                <w:snapToGrid w:val="0"/>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4C689842">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tcPr>
          <w:p w14:paraId="721348B6">
            <w:pPr>
              <w:pStyle w:val="54"/>
              <w:ind w:firstLine="496"/>
              <w:rPr>
                <w:rFonts w:ascii="宋体" w:hAnsi="宋体" w:cs="宋体"/>
                <w:snapToGrid w:val="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03F84A27">
            <w:pPr>
              <w:pStyle w:val="54"/>
              <w:ind w:firstLine="496"/>
              <w:rPr>
                <w:rFonts w:ascii="宋体" w:hAnsi="宋体" w:cs="宋体"/>
                <w:snapToGrid w:val="0"/>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66A9040B">
            <w:pPr>
              <w:pStyle w:val="54"/>
              <w:ind w:firstLine="496"/>
              <w:rPr>
                <w:rFonts w:ascii="宋体" w:hAnsi="宋体" w:cs="宋体"/>
                <w:snapToGrid w:val="0"/>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1960FECB">
            <w:pPr>
              <w:pStyle w:val="54"/>
              <w:ind w:firstLine="496"/>
              <w:rPr>
                <w:rFonts w:ascii="宋体" w:hAnsi="宋体" w:cs="宋体"/>
                <w:snapToGrid w:val="0"/>
                <w:highlight w:val="none"/>
              </w:rPr>
            </w:pPr>
          </w:p>
        </w:tc>
        <w:tc>
          <w:tcPr>
            <w:tcW w:w="1156" w:type="dxa"/>
            <w:tcBorders>
              <w:top w:val="single" w:color="auto" w:sz="4" w:space="0"/>
              <w:left w:val="single" w:color="auto" w:sz="4" w:space="0"/>
              <w:bottom w:val="single" w:color="auto" w:sz="4" w:space="0"/>
              <w:right w:val="single" w:color="auto" w:sz="4" w:space="0"/>
            </w:tcBorders>
          </w:tcPr>
          <w:p w14:paraId="7C852D90">
            <w:pPr>
              <w:pStyle w:val="54"/>
              <w:ind w:firstLine="496"/>
              <w:rPr>
                <w:rFonts w:ascii="宋体" w:hAnsi="宋体" w:cs="宋体"/>
                <w:snapToGrid w:val="0"/>
                <w:highlight w:val="none"/>
              </w:rPr>
            </w:pPr>
          </w:p>
        </w:tc>
        <w:tc>
          <w:tcPr>
            <w:tcW w:w="1536" w:type="dxa"/>
            <w:tcBorders>
              <w:top w:val="single" w:color="auto" w:sz="4" w:space="0"/>
              <w:left w:val="single" w:color="auto" w:sz="4" w:space="0"/>
              <w:bottom w:val="single" w:color="auto" w:sz="4" w:space="0"/>
              <w:right w:val="single" w:color="auto" w:sz="4" w:space="0"/>
            </w:tcBorders>
          </w:tcPr>
          <w:p w14:paraId="2E02215F">
            <w:pPr>
              <w:pStyle w:val="54"/>
              <w:ind w:firstLine="496"/>
              <w:rPr>
                <w:rFonts w:ascii="宋体" w:hAnsi="宋体" w:cs="宋体"/>
                <w:snapToGrid w:val="0"/>
                <w:highlight w:val="none"/>
              </w:rPr>
            </w:pPr>
          </w:p>
        </w:tc>
      </w:tr>
    </w:tbl>
    <w:p w14:paraId="07BC24A7">
      <w:pPr>
        <w:autoSpaceDE w:val="0"/>
        <w:autoSpaceDN w:val="0"/>
        <w:adjustRightInd w:val="0"/>
        <w:ind w:firstLine="420" w:firstLineChars="200"/>
        <w:rPr>
          <w:rFonts w:ascii="宋体" w:hAnsi="宋体" w:cs="宋体"/>
          <w:szCs w:val="21"/>
          <w:highlight w:val="none"/>
        </w:rPr>
      </w:pPr>
    </w:p>
    <w:p w14:paraId="021E7ACA">
      <w:pPr>
        <w:autoSpaceDE w:val="0"/>
        <w:autoSpaceDN w:val="0"/>
        <w:adjustRightInd w:val="0"/>
        <w:ind w:firstLine="420" w:firstLineChars="200"/>
        <w:rPr>
          <w:rFonts w:ascii="宋体" w:hAnsi="宋体" w:cs="宋体"/>
          <w:szCs w:val="21"/>
          <w:highlight w:val="none"/>
        </w:rPr>
      </w:pPr>
      <w:r>
        <w:rPr>
          <w:rFonts w:hint="eastAsia" w:ascii="宋体" w:hAnsi="宋体" w:cs="宋体"/>
          <w:szCs w:val="21"/>
          <w:highlight w:val="none"/>
        </w:rPr>
        <w:t>注：</w:t>
      </w:r>
    </w:p>
    <w:p w14:paraId="3C661F8C">
      <w:pPr>
        <w:autoSpaceDE w:val="0"/>
        <w:autoSpaceDN w:val="0"/>
        <w:adjustRightInd w:val="0"/>
        <w:ind w:firstLine="420" w:firstLineChars="200"/>
        <w:rPr>
          <w:rFonts w:ascii="宋体" w:hAnsi="宋体" w:cs="宋体"/>
          <w:szCs w:val="21"/>
          <w:highlight w:val="none"/>
        </w:rPr>
      </w:pPr>
      <w:r>
        <w:rPr>
          <w:rFonts w:hint="eastAsia" w:ascii="宋体" w:hAnsi="宋体" w:cs="宋体"/>
          <w:szCs w:val="21"/>
          <w:highlight w:val="none"/>
        </w:rPr>
        <w:t>1、按招标公告人员要求提供证明材料扫描件（包括但不限于项目负责人、技术负责人、设计负责人、专职安全员）。</w:t>
      </w:r>
    </w:p>
    <w:p w14:paraId="0E63979D">
      <w:pPr>
        <w:autoSpaceDE w:val="0"/>
        <w:autoSpaceDN w:val="0"/>
        <w:adjustRightInd w:val="0"/>
        <w:ind w:firstLine="420" w:firstLineChars="200"/>
        <w:rPr>
          <w:rFonts w:ascii="宋体" w:hAnsi="宋体" w:cs="宋体"/>
          <w:szCs w:val="21"/>
          <w:highlight w:val="none"/>
        </w:rPr>
      </w:pPr>
      <w:r>
        <w:rPr>
          <w:rFonts w:hint="eastAsia" w:ascii="宋体" w:hAnsi="宋体" w:cs="宋体"/>
          <w:szCs w:val="21"/>
          <w:highlight w:val="none"/>
        </w:rPr>
        <w:t>2、提供项目管理团队人员招标公告发布之日前三个月的社保缴纳证明文件。因改制或重组的企业或事业单位人员社保由上级主管部门缴纳的，除提供上级主管部门缴纳社保证明扫描件外，需由上级主管部门出具证明说明。</w:t>
      </w:r>
    </w:p>
    <w:p w14:paraId="3BE913B5">
      <w:pPr>
        <w:pStyle w:val="54"/>
        <w:spacing w:line="360" w:lineRule="exact"/>
        <w:ind w:firstLine="5859" w:firstLineChars="2790"/>
        <w:rPr>
          <w:rFonts w:ascii="宋体" w:hAnsi="宋体" w:cs="宋体"/>
          <w:spacing w:val="0"/>
          <w:sz w:val="21"/>
          <w:highlight w:val="none"/>
        </w:rPr>
      </w:pPr>
    </w:p>
    <w:p w14:paraId="036981D7">
      <w:pPr>
        <w:rPr>
          <w:rFonts w:ascii="宋体" w:hAnsi="宋体" w:cs="宋体"/>
          <w:b/>
          <w:bCs/>
          <w:sz w:val="28"/>
          <w:szCs w:val="32"/>
          <w:highlight w:val="none"/>
        </w:rPr>
      </w:pPr>
      <w:r>
        <w:rPr>
          <w:rFonts w:hint="eastAsia" w:ascii="宋体" w:hAnsi="宋体" w:cs="宋体"/>
          <w:b/>
          <w:highlight w:val="none"/>
        </w:rPr>
        <w:br w:type="page"/>
      </w:r>
      <w:bookmarkStart w:id="1115" w:name="_Toc25829"/>
      <w:bookmarkStart w:id="1116" w:name="_Toc4361"/>
      <w:r>
        <w:rPr>
          <w:rFonts w:hint="eastAsia" w:ascii="宋体" w:hAnsi="宋体" w:cs="宋体"/>
          <w:b/>
          <w:bCs/>
          <w:sz w:val="28"/>
          <w:szCs w:val="32"/>
          <w:highlight w:val="none"/>
        </w:rPr>
        <w:t>格式7：</w:t>
      </w:r>
    </w:p>
    <w:p w14:paraId="20586548">
      <w:pPr>
        <w:jc w:val="center"/>
        <w:rPr>
          <w:rFonts w:ascii="宋体" w:hAnsi="宋体" w:cs="宋体"/>
          <w:b/>
          <w:bCs/>
          <w:sz w:val="28"/>
          <w:szCs w:val="32"/>
          <w:highlight w:val="none"/>
        </w:rPr>
      </w:pPr>
      <w:r>
        <w:rPr>
          <w:rFonts w:hint="eastAsia" w:ascii="宋体" w:hAnsi="宋体" w:cs="宋体"/>
          <w:b/>
          <w:bCs/>
          <w:sz w:val="28"/>
          <w:szCs w:val="32"/>
          <w:highlight w:val="none"/>
        </w:rPr>
        <w:t>工程总承包实施方案</w:t>
      </w:r>
      <w:bookmarkEnd w:id="1115"/>
      <w:bookmarkEnd w:id="1116"/>
    </w:p>
    <w:p w14:paraId="1AA874A7">
      <w:pPr>
        <w:spacing w:line="360" w:lineRule="auto"/>
        <w:ind w:firstLine="480"/>
        <w:rPr>
          <w:rFonts w:ascii="宋体" w:hAnsi="宋体" w:cs="宋体"/>
          <w:highlight w:val="none"/>
        </w:rPr>
      </w:pPr>
    </w:p>
    <w:p w14:paraId="08AD7B76">
      <w:pPr>
        <w:spacing w:line="360" w:lineRule="auto"/>
        <w:ind w:firstLine="480"/>
        <w:rPr>
          <w:rFonts w:ascii="宋体" w:hAnsi="宋体" w:cs="宋体"/>
          <w:highlight w:val="none"/>
        </w:rPr>
      </w:pPr>
      <w:r>
        <w:rPr>
          <w:rFonts w:hint="eastAsia" w:ascii="宋体" w:hAnsi="宋体" w:cs="宋体"/>
          <w:highlight w:val="none"/>
        </w:rPr>
        <w:t>由投标人有针对性地描述，各部分文字直接简练，不得出现大量宣传性及无实质性意义或直接引用范本照搬照套的文字。</w:t>
      </w:r>
    </w:p>
    <w:p w14:paraId="23425179">
      <w:pPr>
        <w:spacing w:line="360" w:lineRule="auto"/>
        <w:ind w:firstLine="480"/>
        <w:rPr>
          <w:rFonts w:ascii="宋体" w:hAnsi="宋体" w:cs="宋体"/>
          <w:highlight w:val="none"/>
        </w:rPr>
      </w:pPr>
      <w:r>
        <w:rPr>
          <w:rFonts w:hint="eastAsia" w:ascii="宋体" w:hAnsi="宋体" w:cs="宋体"/>
          <w:highlight w:val="none"/>
        </w:rPr>
        <w:t>工程总承包实施方案根据《工程总承包实施方案投标文件详细审查评分表》第二部分工程总承包实施方案编制，格式自理。</w:t>
      </w:r>
    </w:p>
    <w:p w14:paraId="1E6F5F9E">
      <w:pPr>
        <w:autoSpaceDE w:val="0"/>
        <w:autoSpaceDN w:val="0"/>
        <w:adjustRightInd w:val="0"/>
        <w:spacing w:line="360" w:lineRule="auto"/>
        <w:jc w:val="left"/>
        <w:rPr>
          <w:rFonts w:ascii="宋体" w:hAnsi="宋体" w:cs="宋体"/>
          <w:b/>
          <w:bCs/>
          <w:highlight w:val="none"/>
        </w:rPr>
      </w:pPr>
    </w:p>
    <w:p w14:paraId="5FD76C96">
      <w:pPr>
        <w:autoSpaceDE w:val="0"/>
        <w:autoSpaceDN w:val="0"/>
        <w:adjustRightInd w:val="0"/>
        <w:spacing w:line="360" w:lineRule="auto"/>
        <w:jc w:val="left"/>
        <w:rPr>
          <w:rFonts w:ascii="宋体" w:hAnsi="宋体" w:cs="宋体"/>
          <w:b/>
          <w:bCs/>
          <w:highlight w:val="none"/>
        </w:rPr>
      </w:pPr>
    </w:p>
    <w:p w14:paraId="3C774768">
      <w:pPr>
        <w:autoSpaceDE w:val="0"/>
        <w:autoSpaceDN w:val="0"/>
        <w:adjustRightInd w:val="0"/>
        <w:spacing w:line="360" w:lineRule="auto"/>
        <w:jc w:val="left"/>
        <w:rPr>
          <w:rFonts w:ascii="宋体" w:hAnsi="宋体" w:cs="宋体"/>
          <w:b/>
          <w:bCs/>
          <w:highlight w:val="none"/>
        </w:rPr>
        <w:sectPr>
          <w:headerReference r:id="rId13" w:type="default"/>
          <w:footerReference r:id="rId14" w:type="default"/>
          <w:pgSz w:w="11905" w:h="16838"/>
          <w:pgMar w:top="1247" w:right="1247" w:bottom="1247" w:left="1247" w:header="567" w:footer="850" w:gutter="0"/>
          <w:pgBorders>
            <w:top w:val="none" w:sz="0" w:space="0"/>
            <w:left w:val="none" w:sz="0" w:space="0"/>
            <w:bottom w:val="none" w:sz="0" w:space="0"/>
            <w:right w:val="none" w:sz="0" w:space="0"/>
          </w:pgBorders>
          <w:cols w:space="720" w:num="1"/>
          <w:docGrid w:type="lines" w:linePitch="312" w:charSpace="0"/>
        </w:sectPr>
      </w:pPr>
    </w:p>
    <w:p w14:paraId="40ACE09E">
      <w:pPr>
        <w:autoSpaceDE w:val="0"/>
        <w:autoSpaceDN w:val="0"/>
        <w:adjustRightInd w:val="0"/>
        <w:spacing w:line="360" w:lineRule="auto"/>
        <w:jc w:val="left"/>
        <w:rPr>
          <w:rFonts w:ascii="宋体" w:hAnsi="宋体" w:cs="宋体"/>
          <w:b/>
          <w:bCs/>
          <w:sz w:val="28"/>
          <w:szCs w:val="28"/>
          <w:highlight w:val="none"/>
          <w:lang w:val="zh-CN"/>
        </w:rPr>
      </w:pPr>
      <w:r>
        <w:rPr>
          <w:rFonts w:hint="eastAsia" w:ascii="宋体" w:hAnsi="宋体" w:cs="宋体"/>
          <w:b/>
          <w:sz w:val="28"/>
          <w:highlight w:val="none"/>
        </w:rPr>
        <w:t>格式8：</w:t>
      </w:r>
    </w:p>
    <w:p w14:paraId="33DFBBB1">
      <w:pPr>
        <w:autoSpaceDE w:val="0"/>
        <w:autoSpaceDN w:val="0"/>
        <w:adjustRightInd w:val="0"/>
        <w:spacing w:line="360" w:lineRule="auto"/>
        <w:jc w:val="center"/>
        <w:rPr>
          <w:rFonts w:ascii="宋体" w:hAnsi="宋体" w:cs="宋体"/>
          <w:b/>
          <w:bCs/>
          <w:sz w:val="28"/>
          <w:szCs w:val="28"/>
          <w:highlight w:val="none"/>
          <w:lang w:val="zh-CN"/>
        </w:rPr>
      </w:pPr>
      <w:r>
        <w:rPr>
          <w:rFonts w:hint="eastAsia" w:ascii="宋体" w:hAnsi="宋体" w:cs="宋体"/>
          <w:b/>
          <w:bCs/>
          <w:sz w:val="28"/>
          <w:szCs w:val="28"/>
          <w:highlight w:val="none"/>
          <w:lang w:val="zh-CN"/>
        </w:rPr>
        <w:t>参与编制投标文件人员名单</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1"/>
        <w:gridCol w:w="1311"/>
        <w:gridCol w:w="2320"/>
        <w:gridCol w:w="2449"/>
        <w:gridCol w:w="1468"/>
      </w:tblGrid>
      <w:tr w14:paraId="1FE6F9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281" w:type="dxa"/>
            <w:tcBorders>
              <w:top w:val="single" w:color="auto" w:sz="4" w:space="0"/>
              <w:left w:val="single" w:color="auto" w:sz="4" w:space="0"/>
              <w:bottom w:val="single" w:color="auto" w:sz="6" w:space="0"/>
              <w:right w:val="single" w:color="auto" w:sz="6" w:space="0"/>
            </w:tcBorders>
            <w:vAlign w:val="center"/>
          </w:tcPr>
          <w:p w14:paraId="7746C9F0">
            <w:pPr>
              <w:tabs>
                <w:tab w:val="left" w:pos="0"/>
                <w:tab w:val="left" w:pos="720"/>
              </w:tabs>
              <w:adjustRightInd w:val="0"/>
              <w:snapToGrid w:val="0"/>
              <w:jc w:val="center"/>
              <w:rPr>
                <w:rFonts w:ascii="宋体" w:hAnsi="宋体" w:cs="宋体"/>
                <w:sz w:val="24"/>
                <w:szCs w:val="24"/>
                <w:highlight w:val="none"/>
              </w:rPr>
            </w:pPr>
            <w:r>
              <w:rPr>
                <w:rFonts w:hint="eastAsia" w:ascii="宋体" w:hAnsi="宋体" w:cs="宋体"/>
                <w:sz w:val="24"/>
                <w:highlight w:val="none"/>
              </w:rPr>
              <w:t>姓名</w:t>
            </w:r>
          </w:p>
        </w:tc>
        <w:tc>
          <w:tcPr>
            <w:tcW w:w="1311" w:type="dxa"/>
            <w:tcBorders>
              <w:top w:val="single" w:color="auto" w:sz="4" w:space="0"/>
              <w:left w:val="single" w:color="auto" w:sz="6" w:space="0"/>
              <w:bottom w:val="single" w:color="auto" w:sz="6" w:space="0"/>
              <w:right w:val="single" w:color="auto" w:sz="6" w:space="0"/>
            </w:tcBorders>
            <w:vAlign w:val="center"/>
          </w:tcPr>
          <w:p w14:paraId="7787AA99">
            <w:pPr>
              <w:tabs>
                <w:tab w:val="left" w:pos="0"/>
                <w:tab w:val="left" w:pos="720"/>
              </w:tabs>
              <w:adjustRightInd w:val="0"/>
              <w:snapToGrid w:val="0"/>
              <w:jc w:val="center"/>
              <w:rPr>
                <w:rFonts w:ascii="宋体" w:hAnsi="宋体" w:cs="宋体"/>
                <w:sz w:val="24"/>
                <w:szCs w:val="24"/>
                <w:highlight w:val="none"/>
              </w:rPr>
            </w:pPr>
            <w:r>
              <w:rPr>
                <w:rFonts w:hint="eastAsia" w:ascii="宋体" w:hAnsi="宋体" w:cs="宋体"/>
                <w:sz w:val="24"/>
                <w:highlight w:val="none"/>
              </w:rPr>
              <w:t>职务</w:t>
            </w:r>
          </w:p>
        </w:tc>
        <w:tc>
          <w:tcPr>
            <w:tcW w:w="2320" w:type="dxa"/>
            <w:tcBorders>
              <w:top w:val="single" w:color="auto" w:sz="4" w:space="0"/>
              <w:left w:val="single" w:color="auto" w:sz="6" w:space="0"/>
              <w:bottom w:val="single" w:color="auto" w:sz="6" w:space="0"/>
              <w:right w:val="single" w:color="auto" w:sz="6" w:space="0"/>
            </w:tcBorders>
            <w:vAlign w:val="center"/>
          </w:tcPr>
          <w:p w14:paraId="70DB8EEB">
            <w:pPr>
              <w:tabs>
                <w:tab w:val="left" w:pos="0"/>
                <w:tab w:val="left" w:pos="720"/>
              </w:tabs>
              <w:adjustRightInd w:val="0"/>
              <w:snapToGrid w:val="0"/>
              <w:jc w:val="center"/>
              <w:rPr>
                <w:rFonts w:ascii="宋体" w:hAnsi="宋体" w:cs="宋体"/>
                <w:sz w:val="24"/>
                <w:szCs w:val="24"/>
                <w:highlight w:val="none"/>
              </w:rPr>
            </w:pPr>
            <w:r>
              <w:rPr>
                <w:rFonts w:hint="eastAsia" w:ascii="宋体" w:hAnsi="宋体" w:cs="宋体"/>
                <w:sz w:val="24"/>
                <w:highlight w:val="none"/>
              </w:rPr>
              <w:t>所承担工作</w:t>
            </w:r>
          </w:p>
        </w:tc>
        <w:tc>
          <w:tcPr>
            <w:tcW w:w="2449" w:type="dxa"/>
            <w:tcBorders>
              <w:top w:val="single" w:color="auto" w:sz="4" w:space="0"/>
              <w:left w:val="single" w:color="auto" w:sz="6" w:space="0"/>
              <w:bottom w:val="single" w:color="auto" w:sz="6" w:space="0"/>
              <w:right w:val="single" w:color="auto" w:sz="6" w:space="0"/>
            </w:tcBorders>
            <w:vAlign w:val="center"/>
          </w:tcPr>
          <w:p w14:paraId="103CB38A">
            <w:pPr>
              <w:tabs>
                <w:tab w:val="left" w:pos="0"/>
                <w:tab w:val="left" w:pos="720"/>
              </w:tabs>
              <w:adjustRightInd w:val="0"/>
              <w:snapToGrid w:val="0"/>
              <w:jc w:val="center"/>
              <w:rPr>
                <w:rFonts w:ascii="宋体" w:hAnsi="宋体" w:cs="宋体"/>
                <w:sz w:val="24"/>
                <w:szCs w:val="24"/>
                <w:highlight w:val="none"/>
              </w:rPr>
            </w:pPr>
            <w:r>
              <w:rPr>
                <w:rFonts w:hint="eastAsia" w:ascii="宋体" w:hAnsi="宋体" w:cs="宋体"/>
                <w:sz w:val="24"/>
                <w:highlight w:val="none"/>
              </w:rPr>
              <w:t>身份证号码</w:t>
            </w:r>
          </w:p>
        </w:tc>
        <w:tc>
          <w:tcPr>
            <w:tcW w:w="1468" w:type="dxa"/>
            <w:tcBorders>
              <w:top w:val="single" w:color="auto" w:sz="4" w:space="0"/>
              <w:left w:val="single" w:color="auto" w:sz="6" w:space="0"/>
              <w:bottom w:val="single" w:color="auto" w:sz="6" w:space="0"/>
              <w:right w:val="single" w:color="auto" w:sz="4" w:space="0"/>
            </w:tcBorders>
            <w:vAlign w:val="center"/>
          </w:tcPr>
          <w:p w14:paraId="53563CAC">
            <w:pPr>
              <w:tabs>
                <w:tab w:val="left" w:pos="0"/>
                <w:tab w:val="left" w:pos="720"/>
              </w:tabs>
              <w:adjustRightInd w:val="0"/>
              <w:snapToGrid w:val="0"/>
              <w:rPr>
                <w:rFonts w:ascii="宋体" w:hAnsi="宋体" w:cs="宋体"/>
                <w:sz w:val="24"/>
                <w:szCs w:val="24"/>
                <w:highlight w:val="none"/>
              </w:rPr>
            </w:pPr>
            <w:r>
              <w:rPr>
                <w:rFonts w:hint="eastAsia" w:ascii="宋体" w:hAnsi="宋体" w:cs="宋体"/>
                <w:sz w:val="24"/>
                <w:highlight w:val="none"/>
              </w:rPr>
              <w:t>本人签名栏</w:t>
            </w:r>
          </w:p>
        </w:tc>
      </w:tr>
      <w:tr w14:paraId="04BF01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1FC526A2">
            <w:pPr>
              <w:tabs>
                <w:tab w:val="left" w:pos="0"/>
                <w:tab w:val="left" w:pos="720"/>
              </w:tabs>
              <w:adjustRightInd w:val="0"/>
              <w:snapToGrid w:val="0"/>
              <w:jc w:val="center"/>
              <w:rPr>
                <w:rFonts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4BF89339">
            <w:pPr>
              <w:tabs>
                <w:tab w:val="left" w:pos="0"/>
                <w:tab w:val="left" w:pos="720"/>
              </w:tabs>
              <w:adjustRightInd w:val="0"/>
              <w:snapToGrid w:val="0"/>
              <w:jc w:val="center"/>
              <w:rPr>
                <w:rFonts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784F3730">
            <w:pPr>
              <w:tabs>
                <w:tab w:val="left" w:pos="0"/>
                <w:tab w:val="left" w:pos="720"/>
              </w:tabs>
              <w:adjustRightInd w:val="0"/>
              <w:snapToGrid w:val="0"/>
              <w:jc w:val="center"/>
              <w:rPr>
                <w:rFonts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153895C0">
            <w:pPr>
              <w:tabs>
                <w:tab w:val="left" w:pos="0"/>
                <w:tab w:val="left" w:pos="720"/>
              </w:tabs>
              <w:adjustRightInd w:val="0"/>
              <w:snapToGrid w:val="0"/>
              <w:jc w:val="center"/>
              <w:rPr>
                <w:rFonts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5BE8BABD">
            <w:pPr>
              <w:tabs>
                <w:tab w:val="left" w:pos="0"/>
                <w:tab w:val="left" w:pos="720"/>
              </w:tabs>
              <w:adjustRightInd w:val="0"/>
              <w:snapToGrid w:val="0"/>
              <w:jc w:val="center"/>
              <w:rPr>
                <w:rFonts w:ascii="宋体" w:hAnsi="宋体" w:cs="宋体"/>
                <w:sz w:val="24"/>
                <w:szCs w:val="24"/>
                <w:highlight w:val="none"/>
              </w:rPr>
            </w:pPr>
          </w:p>
        </w:tc>
      </w:tr>
      <w:tr w14:paraId="14B243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37A2E79A">
            <w:pPr>
              <w:tabs>
                <w:tab w:val="left" w:pos="0"/>
                <w:tab w:val="left" w:pos="720"/>
              </w:tabs>
              <w:adjustRightInd w:val="0"/>
              <w:snapToGrid w:val="0"/>
              <w:jc w:val="center"/>
              <w:rPr>
                <w:rFonts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1E5131D1">
            <w:pPr>
              <w:tabs>
                <w:tab w:val="left" w:pos="0"/>
                <w:tab w:val="left" w:pos="720"/>
              </w:tabs>
              <w:adjustRightInd w:val="0"/>
              <w:snapToGrid w:val="0"/>
              <w:jc w:val="center"/>
              <w:rPr>
                <w:rFonts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4CEED4C7">
            <w:pPr>
              <w:tabs>
                <w:tab w:val="left" w:pos="0"/>
                <w:tab w:val="left" w:pos="720"/>
              </w:tabs>
              <w:adjustRightInd w:val="0"/>
              <w:snapToGrid w:val="0"/>
              <w:jc w:val="center"/>
              <w:rPr>
                <w:rFonts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2458D59E">
            <w:pPr>
              <w:tabs>
                <w:tab w:val="left" w:pos="0"/>
                <w:tab w:val="left" w:pos="720"/>
              </w:tabs>
              <w:adjustRightInd w:val="0"/>
              <w:snapToGrid w:val="0"/>
              <w:jc w:val="center"/>
              <w:rPr>
                <w:rFonts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58FF4643">
            <w:pPr>
              <w:tabs>
                <w:tab w:val="left" w:pos="0"/>
                <w:tab w:val="left" w:pos="720"/>
              </w:tabs>
              <w:adjustRightInd w:val="0"/>
              <w:snapToGrid w:val="0"/>
              <w:jc w:val="center"/>
              <w:rPr>
                <w:rFonts w:ascii="宋体" w:hAnsi="宋体" w:cs="宋体"/>
                <w:sz w:val="24"/>
                <w:szCs w:val="24"/>
                <w:highlight w:val="none"/>
              </w:rPr>
            </w:pPr>
          </w:p>
        </w:tc>
      </w:tr>
      <w:tr w14:paraId="627431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714CB75E">
            <w:pPr>
              <w:tabs>
                <w:tab w:val="left" w:pos="0"/>
                <w:tab w:val="left" w:pos="720"/>
              </w:tabs>
              <w:adjustRightInd w:val="0"/>
              <w:snapToGrid w:val="0"/>
              <w:jc w:val="center"/>
              <w:rPr>
                <w:rFonts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27E4F38C">
            <w:pPr>
              <w:tabs>
                <w:tab w:val="left" w:pos="0"/>
                <w:tab w:val="left" w:pos="720"/>
              </w:tabs>
              <w:adjustRightInd w:val="0"/>
              <w:snapToGrid w:val="0"/>
              <w:jc w:val="center"/>
              <w:rPr>
                <w:rFonts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36E83399">
            <w:pPr>
              <w:tabs>
                <w:tab w:val="left" w:pos="0"/>
                <w:tab w:val="left" w:pos="720"/>
              </w:tabs>
              <w:adjustRightInd w:val="0"/>
              <w:snapToGrid w:val="0"/>
              <w:jc w:val="center"/>
              <w:rPr>
                <w:rFonts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06B199E2">
            <w:pPr>
              <w:tabs>
                <w:tab w:val="left" w:pos="0"/>
                <w:tab w:val="left" w:pos="720"/>
              </w:tabs>
              <w:adjustRightInd w:val="0"/>
              <w:snapToGrid w:val="0"/>
              <w:jc w:val="center"/>
              <w:rPr>
                <w:rFonts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2E3E795E">
            <w:pPr>
              <w:tabs>
                <w:tab w:val="left" w:pos="0"/>
                <w:tab w:val="left" w:pos="720"/>
              </w:tabs>
              <w:adjustRightInd w:val="0"/>
              <w:snapToGrid w:val="0"/>
              <w:jc w:val="center"/>
              <w:rPr>
                <w:rFonts w:ascii="宋体" w:hAnsi="宋体" w:cs="宋体"/>
                <w:sz w:val="24"/>
                <w:szCs w:val="24"/>
                <w:highlight w:val="none"/>
              </w:rPr>
            </w:pPr>
          </w:p>
        </w:tc>
      </w:tr>
      <w:tr w14:paraId="1093F6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6404472D">
            <w:pPr>
              <w:tabs>
                <w:tab w:val="left" w:pos="0"/>
                <w:tab w:val="left" w:pos="720"/>
              </w:tabs>
              <w:adjustRightInd w:val="0"/>
              <w:snapToGrid w:val="0"/>
              <w:jc w:val="center"/>
              <w:rPr>
                <w:rFonts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6EF7BDC9">
            <w:pPr>
              <w:tabs>
                <w:tab w:val="left" w:pos="0"/>
                <w:tab w:val="left" w:pos="720"/>
              </w:tabs>
              <w:adjustRightInd w:val="0"/>
              <w:snapToGrid w:val="0"/>
              <w:jc w:val="center"/>
              <w:rPr>
                <w:rFonts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35464BED">
            <w:pPr>
              <w:tabs>
                <w:tab w:val="left" w:pos="0"/>
                <w:tab w:val="left" w:pos="720"/>
              </w:tabs>
              <w:adjustRightInd w:val="0"/>
              <w:snapToGrid w:val="0"/>
              <w:jc w:val="center"/>
              <w:rPr>
                <w:rFonts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406858E2">
            <w:pPr>
              <w:tabs>
                <w:tab w:val="left" w:pos="0"/>
                <w:tab w:val="left" w:pos="720"/>
              </w:tabs>
              <w:adjustRightInd w:val="0"/>
              <w:snapToGrid w:val="0"/>
              <w:jc w:val="center"/>
              <w:rPr>
                <w:rFonts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15945E2D">
            <w:pPr>
              <w:tabs>
                <w:tab w:val="left" w:pos="0"/>
                <w:tab w:val="left" w:pos="720"/>
              </w:tabs>
              <w:adjustRightInd w:val="0"/>
              <w:snapToGrid w:val="0"/>
              <w:jc w:val="center"/>
              <w:rPr>
                <w:rFonts w:ascii="宋体" w:hAnsi="宋体" w:cs="宋体"/>
                <w:sz w:val="24"/>
                <w:szCs w:val="24"/>
                <w:highlight w:val="none"/>
              </w:rPr>
            </w:pPr>
          </w:p>
        </w:tc>
      </w:tr>
      <w:tr w14:paraId="6D1053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60ABCD31">
            <w:pPr>
              <w:tabs>
                <w:tab w:val="left" w:pos="0"/>
                <w:tab w:val="left" w:pos="720"/>
              </w:tabs>
              <w:adjustRightInd w:val="0"/>
              <w:snapToGrid w:val="0"/>
              <w:jc w:val="center"/>
              <w:rPr>
                <w:rFonts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1A35054A">
            <w:pPr>
              <w:tabs>
                <w:tab w:val="left" w:pos="0"/>
                <w:tab w:val="left" w:pos="720"/>
              </w:tabs>
              <w:adjustRightInd w:val="0"/>
              <w:snapToGrid w:val="0"/>
              <w:jc w:val="center"/>
              <w:rPr>
                <w:rFonts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178A857C">
            <w:pPr>
              <w:tabs>
                <w:tab w:val="left" w:pos="0"/>
                <w:tab w:val="left" w:pos="720"/>
              </w:tabs>
              <w:adjustRightInd w:val="0"/>
              <w:snapToGrid w:val="0"/>
              <w:jc w:val="center"/>
              <w:rPr>
                <w:rFonts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2B26F136">
            <w:pPr>
              <w:tabs>
                <w:tab w:val="left" w:pos="0"/>
                <w:tab w:val="left" w:pos="720"/>
              </w:tabs>
              <w:adjustRightInd w:val="0"/>
              <w:snapToGrid w:val="0"/>
              <w:jc w:val="center"/>
              <w:rPr>
                <w:rFonts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00BD5200">
            <w:pPr>
              <w:tabs>
                <w:tab w:val="left" w:pos="0"/>
                <w:tab w:val="left" w:pos="720"/>
              </w:tabs>
              <w:adjustRightInd w:val="0"/>
              <w:snapToGrid w:val="0"/>
              <w:jc w:val="center"/>
              <w:rPr>
                <w:rFonts w:ascii="宋体" w:hAnsi="宋体" w:cs="宋体"/>
                <w:sz w:val="24"/>
                <w:szCs w:val="24"/>
                <w:highlight w:val="none"/>
              </w:rPr>
            </w:pPr>
          </w:p>
        </w:tc>
      </w:tr>
      <w:tr w14:paraId="53F68D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36F68EC7">
            <w:pPr>
              <w:tabs>
                <w:tab w:val="left" w:pos="0"/>
                <w:tab w:val="left" w:pos="720"/>
              </w:tabs>
              <w:adjustRightInd w:val="0"/>
              <w:snapToGrid w:val="0"/>
              <w:jc w:val="center"/>
              <w:rPr>
                <w:rFonts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66BDE59A">
            <w:pPr>
              <w:tabs>
                <w:tab w:val="left" w:pos="0"/>
                <w:tab w:val="left" w:pos="720"/>
              </w:tabs>
              <w:adjustRightInd w:val="0"/>
              <w:snapToGrid w:val="0"/>
              <w:jc w:val="center"/>
              <w:rPr>
                <w:rFonts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15B8AA2A">
            <w:pPr>
              <w:tabs>
                <w:tab w:val="left" w:pos="0"/>
                <w:tab w:val="left" w:pos="720"/>
              </w:tabs>
              <w:adjustRightInd w:val="0"/>
              <w:snapToGrid w:val="0"/>
              <w:jc w:val="center"/>
              <w:rPr>
                <w:rFonts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6CD19CDA">
            <w:pPr>
              <w:tabs>
                <w:tab w:val="left" w:pos="0"/>
                <w:tab w:val="left" w:pos="720"/>
              </w:tabs>
              <w:adjustRightInd w:val="0"/>
              <w:snapToGrid w:val="0"/>
              <w:jc w:val="center"/>
              <w:rPr>
                <w:rFonts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08B6ECBF">
            <w:pPr>
              <w:tabs>
                <w:tab w:val="left" w:pos="0"/>
                <w:tab w:val="left" w:pos="720"/>
              </w:tabs>
              <w:adjustRightInd w:val="0"/>
              <w:snapToGrid w:val="0"/>
              <w:jc w:val="center"/>
              <w:rPr>
                <w:rFonts w:ascii="宋体" w:hAnsi="宋体" w:cs="宋体"/>
                <w:sz w:val="24"/>
                <w:szCs w:val="24"/>
                <w:highlight w:val="none"/>
              </w:rPr>
            </w:pPr>
          </w:p>
        </w:tc>
      </w:tr>
      <w:tr w14:paraId="50F1F1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4C099758">
            <w:pPr>
              <w:tabs>
                <w:tab w:val="left" w:pos="0"/>
                <w:tab w:val="left" w:pos="720"/>
              </w:tabs>
              <w:adjustRightInd w:val="0"/>
              <w:snapToGrid w:val="0"/>
              <w:jc w:val="center"/>
              <w:rPr>
                <w:rFonts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53791C23">
            <w:pPr>
              <w:tabs>
                <w:tab w:val="left" w:pos="0"/>
                <w:tab w:val="left" w:pos="720"/>
              </w:tabs>
              <w:adjustRightInd w:val="0"/>
              <w:snapToGrid w:val="0"/>
              <w:jc w:val="center"/>
              <w:rPr>
                <w:rFonts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4ADDD0CB">
            <w:pPr>
              <w:tabs>
                <w:tab w:val="left" w:pos="0"/>
                <w:tab w:val="left" w:pos="720"/>
              </w:tabs>
              <w:adjustRightInd w:val="0"/>
              <w:snapToGrid w:val="0"/>
              <w:jc w:val="center"/>
              <w:rPr>
                <w:rFonts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29194557">
            <w:pPr>
              <w:tabs>
                <w:tab w:val="left" w:pos="0"/>
                <w:tab w:val="left" w:pos="720"/>
              </w:tabs>
              <w:adjustRightInd w:val="0"/>
              <w:snapToGrid w:val="0"/>
              <w:jc w:val="center"/>
              <w:rPr>
                <w:rFonts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29259F72">
            <w:pPr>
              <w:tabs>
                <w:tab w:val="left" w:pos="0"/>
                <w:tab w:val="left" w:pos="720"/>
              </w:tabs>
              <w:adjustRightInd w:val="0"/>
              <w:snapToGrid w:val="0"/>
              <w:jc w:val="center"/>
              <w:rPr>
                <w:rFonts w:ascii="宋体" w:hAnsi="宋体" w:cs="宋体"/>
                <w:sz w:val="24"/>
                <w:szCs w:val="24"/>
                <w:highlight w:val="none"/>
              </w:rPr>
            </w:pPr>
          </w:p>
        </w:tc>
      </w:tr>
      <w:tr w14:paraId="147D78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007A4AA7">
            <w:pPr>
              <w:tabs>
                <w:tab w:val="left" w:pos="0"/>
                <w:tab w:val="left" w:pos="720"/>
              </w:tabs>
              <w:adjustRightInd w:val="0"/>
              <w:snapToGrid w:val="0"/>
              <w:jc w:val="center"/>
              <w:rPr>
                <w:rFonts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02F64006">
            <w:pPr>
              <w:tabs>
                <w:tab w:val="left" w:pos="0"/>
                <w:tab w:val="left" w:pos="720"/>
              </w:tabs>
              <w:adjustRightInd w:val="0"/>
              <w:snapToGrid w:val="0"/>
              <w:jc w:val="center"/>
              <w:rPr>
                <w:rFonts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25865E95">
            <w:pPr>
              <w:tabs>
                <w:tab w:val="left" w:pos="0"/>
                <w:tab w:val="left" w:pos="720"/>
              </w:tabs>
              <w:adjustRightInd w:val="0"/>
              <w:snapToGrid w:val="0"/>
              <w:jc w:val="center"/>
              <w:rPr>
                <w:rFonts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327E27FC">
            <w:pPr>
              <w:tabs>
                <w:tab w:val="left" w:pos="0"/>
                <w:tab w:val="left" w:pos="720"/>
              </w:tabs>
              <w:adjustRightInd w:val="0"/>
              <w:snapToGrid w:val="0"/>
              <w:jc w:val="center"/>
              <w:rPr>
                <w:rFonts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6B94A7FA">
            <w:pPr>
              <w:tabs>
                <w:tab w:val="left" w:pos="0"/>
                <w:tab w:val="left" w:pos="720"/>
              </w:tabs>
              <w:adjustRightInd w:val="0"/>
              <w:snapToGrid w:val="0"/>
              <w:jc w:val="center"/>
              <w:rPr>
                <w:rFonts w:ascii="宋体" w:hAnsi="宋体" w:cs="宋体"/>
                <w:sz w:val="24"/>
                <w:szCs w:val="24"/>
                <w:highlight w:val="none"/>
              </w:rPr>
            </w:pPr>
          </w:p>
        </w:tc>
      </w:tr>
      <w:tr w14:paraId="39DD86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4B37C74D">
            <w:pPr>
              <w:tabs>
                <w:tab w:val="left" w:pos="0"/>
                <w:tab w:val="left" w:pos="720"/>
              </w:tabs>
              <w:adjustRightInd w:val="0"/>
              <w:snapToGrid w:val="0"/>
              <w:jc w:val="center"/>
              <w:rPr>
                <w:rFonts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3E77F531">
            <w:pPr>
              <w:tabs>
                <w:tab w:val="left" w:pos="0"/>
                <w:tab w:val="left" w:pos="720"/>
              </w:tabs>
              <w:adjustRightInd w:val="0"/>
              <w:snapToGrid w:val="0"/>
              <w:jc w:val="center"/>
              <w:rPr>
                <w:rFonts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091FA5F1">
            <w:pPr>
              <w:tabs>
                <w:tab w:val="left" w:pos="0"/>
                <w:tab w:val="left" w:pos="720"/>
              </w:tabs>
              <w:adjustRightInd w:val="0"/>
              <w:snapToGrid w:val="0"/>
              <w:jc w:val="center"/>
              <w:rPr>
                <w:rFonts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7B006D63">
            <w:pPr>
              <w:tabs>
                <w:tab w:val="left" w:pos="0"/>
                <w:tab w:val="left" w:pos="720"/>
              </w:tabs>
              <w:adjustRightInd w:val="0"/>
              <w:snapToGrid w:val="0"/>
              <w:jc w:val="center"/>
              <w:rPr>
                <w:rFonts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7B06A1F0">
            <w:pPr>
              <w:tabs>
                <w:tab w:val="left" w:pos="0"/>
                <w:tab w:val="left" w:pos="720"/>
              </w:tabs>
              <w:adjustRightInd w:val="0"/>
              <w:snapToGrid w:val="0"/>
              <w:jc w:val="center"/>
              <w:rPr>
                <w:rFonts w:ascii="宋体" w:hAnsi="宋体" w:cs="宋体"/>
                <w:sz w:val="24"/>
                <w:szCs w:val="24"/>
                <w:highlight w:val="none"/>
              </w:rPr>
            </w:pPr>
          </w:p>
        </w:tc>
      </w:tr>
      <w:tr w14:paraId="3AD53E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36F76848">
            <w:pPr>
              <w:tabs>
                <w:tab w:val="left" w:pos="0"/>
                <w:tab w:val="left" w:pos="720"/>
              </w:tabs>
              <w:adjustRightInd w:val="0"/>
              <w:snapToGrid w:val="0"/>
              <w:jc w:val="center"/>
              <w:rPr>
                <w:rFonts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5AE0CFF6">
            <w:pPr>
              <w:tabs>
                <w:tab w:val="left" w:pos="0"/>
                <w:tab w:val="left" w:pos="720"/>
              </w:tabs>
              <w:adjustRightInd w:val="0"/>
              <w:snapToGrid w:val="0"/>
              <w:jc w:val="center"/>
              <w:rPr>
                <w:rFonts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25257763">
            <w:pPr>
              <w:tabs>
                <w:tab w:val="left" w:pos="0"/>
                <w:tab w:val="left" w:pos="720"/>
              </w:tabs>
              <w:adjustRightInd w:val="0"/>
              <w:snapToGrid w:val="0"/>
              <w:jc w:val="center"/>
              <w:rPr>
                <w:rFonts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5FFD39FF">
            <w:pPr>
              <w:tabs>
                <w:tab w:val="left" w:pos="0"/>
                <w:tab w:val="left" w:pos="720"/>
              </w:tabs>
              <w:adjustRightInd w:val="0"/>
              <w:snapToGrid w:val="0"/>
              <w:jc w:val="center"/>
              <w:rPr>
                <w:rFonts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3D77F492">
            <w:pPr>
              <w:tabs>
                <w:tab w:val="left" w:pos="0"/>
                <w:tab w:val="left" w:pos="720"/>
              </w:tabs>
              <w:adjustRightInd w:val="0"/>
              <w:snapToGrid w:val="0"/>
              <w:jc w:val="center"/>
              <w:rPr>
                <w:rFonts w:ascii="宋体" w:hAnsi="宋体" w:cs="宋体"/>
                <w:sz w:val="24"/>
                <w:szCs w:val="24"/>
                <w:highlight w:val="none"/>
              </w:rPr>
            </w:pPr>
          </w:p>
        </w:tc>
      </w:tr>
      <w:tr w14:paraId="3F889D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40352D75">
            <w:pPr>
              <w:tabs>
                <w:tab w:val="left" w:pos="0"/>
                <w:tab w:val="left" w:pos="720"/>
              </w:tabs>
              <w:adjustRightInd w:val="0"/>
              <w:snapToGrid w:val="0"/>
              <w:jc w:val="center"/>
              <w:rPr>
                <w:rFonts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72078254">
            <w:pPr>
              <w:tabs>
                <w:tab w:val="left" w:pos="0"/>
                <w:tab w:val="left" w:pos="720"/>
              </w:tabs>
              <w:adjustRightInd w:val="0"/>
              <w:snapToGrid w:val="0"/>
              <w:jc w:val="center"/>
              <w:rPr>
                <w:rFonts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0F119993">
            <w:pPr>
              <w:tabs>
                <w:tab w:val="left" w:pos="0"/>
                <w:tab w:val="left" w:pos="720"/>
              </w:tabs>
              <w:adjustRightInd w:val="0"/>
              <w:snapToGrid w:val="0"/>
              <w:jc w:val="center"/>
              <w:rPr>
                <w:rFonts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4C7A8F88">
            <w:pPr>
              <w:tabs>
                <w:tab w:val="left" w:pos="0"/>
                <w:tab w:val="left" w:pos="720"/>
              </w:tabs>
              <w:adjustRightInd w:val="0"/>
              <w:snapToGrid w:val="0"/>
              <w:jc w:val="center"/>
              <w:rPr>
                <w:rFonts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4F3F8A7A">
            <w:pPr>
              <w:tabs>
                <w:tab w:val="left" w:pos="0"/>
                <w:tab w:val="left" w:pos="720"/>
              </w:tabs>
              <w:adjustRightInd w:val="0"/>
              <w:snapToGrid w:val="0"/>
              <w:jc w:val="center"/>
              <w:rPr>
                <w:rFonts w:ascii="宋体" w:hAnsi="宋体" w:cs="宋体"/>
                <w:sz w:val="24"/>
                <w:szCs w:val="24"/>
                <w:highlight w:val="none"/>
              </w:rPr>
            </w:pPr>
          </w:p>
        </w:tc>
      </w:tr>
      <w:tr w14:paraId="548321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2B780EBF">
            <w:pPr>
              <w:tabs>
                <w:tab w:val="left" w:pos="0"/>
                <w:tab w:val="left" w:pos="720"/>
              </w:tabs>
              <w:adjustRightInd w:val="0"/>
              <w:snapToGrid w:val="0"/>
              <w:jc w:val="center"/>
              <w:rPr>
                <w:rFonts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2417F609">
            <w:pPr>
              <w:tabs>
                <w:tab w:val="left" w:pos="0"/>
                <w:tab w:val="left" w:pos="720"/>
              </w:tabs>
              <w:adjustRightInd w:val="0"/>
              <w:snapToGrid w:val="0"/>
              <w:jc w:val="center"/>
              <w:rPr>
                <w:rFonts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5B1B261D">
            <w:pPr>
              <w:tabs>
                <w:tab w:val="left" w:pos="0"/>
                <w:tab w:val="left" w:pos="720"/>
              </w:tabs>
              <w:adjustRightInd w:val="0"/>
              <w:snapToGrid w:val="0"/>
              <w:jc w:val="center"/>
              <w:rPr>
                <w:rFonts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7B26A86A">
            <w:pPr>
              <w:tabs>
                <w:tab w:val="left" w:pos="0"/>
                <w:tab w:val="left" w:pos="720"/>
              </w:tabs>
              <w:adjustRightInd w:val="0"/>
              <w:snapToGrid w:val="0"/>
              <w:jc w:val="center"/>
              <w:rPr>
                <w:rFonts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455B71DC">
            <w:pPr>
              <w:tabs>
                <w:tab w:val="left" w:pos="0"/>
                <w:tab w:val="left" w:pos="720"/>
              </w:tabs>
              <w:adjustRightInd w:val="0"/>
              <w:snapToGrid w:val="0"/>
              <w:jc w:val="center"/>
              <w:rPr>
                <w:rFonts w:ascii="宋体" w:hAnsi="宋体" w:cs="宋体"/>
                <w:sz w:val="24"/>
                <w:szCs w:val="24"/>
                <w:highlight w:val="none"/>
              </w:rPr>
            </w:pPr>
          </w:p>
        </w:tc>
      </w:tr>
      <w:tr w14:paraId="3D9E68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3B8DE1D0">
            <w:pPr>
              <w:tabs>
                <w:tab w:val="left" w:pos="0"/>
                <w:tab w:val="left" w:pos="720"/>
              </w:tabs>
              <w:adjustRightInd w:val="0"/>
              <w:snapToGrid w:val="0"/>
              <w:jc w:val="center"/>
              <w:rPr>
                <w:rFonts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7E3FBDF5">
            <w:pPr>
              <w:tabs>
                <w:tab w:val="left" w:pos="0"/>
                <w:tab w:val="left" w:pos="720"/>
              </w:tabs>
              <w:adjustRightInd w:val="0"/>
              <w:snapToGrid w:val="0"/>
              <w:jc w:val="center"/>
              <w:rPr>
                <w:rFonts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7D8B4A57">
            <w:pPr>
              <w:tabs>
                <w:tab w:val="left" w:pos="0"/>
                <w:tab w:val="left" w:pos="720"/>
              </w:tabs>
              <w:adjustRightInd w:val="0"/>
              <w:snapToGrid w:val="0"/>
              <w:jc w:val="center"/>
              <w:rPr>
                <w:rFonts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0D84251B">
            <w:pPr>
              <w:tabs>
                <w:tab w:val="left" w:pos="0"/>
                <w:tab w:val="left" w:pos="720"/>
              </w:tabs>
              <w:adjustRightInd w:val="0"/>
              <w:snapToGrid w:val="0"/>
              <w:jc w:val="center"/>
              <w:rPr>
                <w:rFonts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16693FA4">
            <w:pPr>
              <w:tabs>
                <w:tab w:val="left" w:pos="0"/>
                <w:tab w:val="left" w:pos="720"/>
              </w:tabs>
              <w:adjustRightInd w:val="0"/>
              <w:snapToGrid w:val="0"/>
              <w:jc w:val="center"/>
              <w:rPr>
                <w:rFonts w:ascii="宋体" w:hAnsi="宋体" w:cs="宋体"/>
                <w:sz w:val="24"/>
                <w:szCs w:val="24"/>
                <w:highlight w:val="none"/>
              </w:rPr>
            </w:pPr>
          </w:p>
        </w:tc>
      </w:tr>
      <w:tr w14:paraId="1CDCB9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000BB8D2">
            <w:pPr>
              <w:tabs>
                <w:tab w:val="left" w:pos="0"/>
                <w:tab w:val="left" w:pos="720"/>
              </w:tabs>
              <w:adjustRightInd w:val="0"/>
              <w:snapToGrid w:val="0"/>
              <w:jc w:val="center"/>
              <w:rPr>
                <w:rFonts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030ECB5D">
            <w:pPr>
              <w:tabs>
                <w:tab w:val="left" w:pos="0"/>
                <w:tab w:val="left" w:pos="720"/>
              </w:tabs>
              <w:adjustRightInd w:val="0"/>
              <w:snapToGrid w:val="0"/>
              <w:jc w:val="center"/>
              <w:rPr>
                <w:rFonts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196EA688">
            <w:pPr>
              <w:tabs>
                <w:tab w:val="left" w:pos="0"/>
                <w:tab w:val="left" w:pos="720"/>
              </w:tabs>
              <w:adjustRightInd w:val="0"/>
              <w:snapToGrid w:val="0"/>
              <w:jc w:val="center"/>
              <w:rPr>
                <w:rFonts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6CC6324B">
            <w:pPr>
              <w:tabs>
                <w:tab w:val="left" w:pos="0"/>
                <w:tab w:val="left" w:pos="720"/>
              </w:tabs>
              <w:adjustRightInd w:val="0"/>
              <w:snapToGrid w:val="0"/>
              <w:jc w:val="center"/>
              <w:rPr>
                <w:rFonts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0E4EAE2E">
            <w:pPr>
              <w:tabs>
                <w:tab w:val="left" w:pos="0"/>
                <w:tab w:val="left" w:pos="720"/>
              </w:tabs>
              <w:adjustRightInd w:val="0"/>
              <w:snapToGrid w:val="0"/>
              <w:jc w:val="center"/>
              <w:rPr>
                <w:rFonts w:ascii="宋体" w:hAnsi="宋体" w:cs="宋体"/>
                <w:sz w:val="24"/>
                <w:szCs w:val="24"/>
                <w:highlight w:val="none"/>
              </w:rPr>
            </w:pPr>
          </w:p>
        </w:tc>
      </w:tr>
      <w:tr w14:paraId="507FC1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70E800EA">
            <w:pPr>
              <w:tabs>
                <w:tab w:val="left" w:pos="0"/>
                <w:tab w:val="left" w:pos="720"/>
              </w:tabs>
              <w:adjustRightInd w:val="0"/>
              <w:snapToGrid w:val="0"/>
              <w:jc w:val="center"/>
              <w:rPr>
                <w:rFonts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60F7BF22">
            <w:pPr>
              <w:tabs>
                <w:tab w:val="left" w:pos="0"/>
                <w:tab w:val="left" w:pos="720"/>
              </w:tabs>
              <w:adjustRightInd w:val="0"/>
              <w:snapToGrid w:val="0"/>
              <w:jc w:val="center"/>
              <w:rPr>
                <w:rFonts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0D85D133">
            <w:pPr>
              <w:tabs>
                <w:tab w:val="left" w:pos="0"/>
                <w:tab w:val="left" w:pos="720"/>
              </w:tabs>
              <w:adjustRightInd w:val="0"/>
              <w:snapToGrid w:val="0"/>
              <w:jc w:val="center"/>
              <w:rPr>
                <w:rFonts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2D79A354">
            <w:pPr>
              <w:tabs>
                <w:tab w:val="left" w:pos="0"/>
                <w:tab w:val="left" w:pos="720"/>
              </w:tabs>
              <w:adjustRightInd w:val="0"/>
              <w:snapToGrid w:val="0"/>
              <w:jc w:val="center"/>
              <w:rPr>
                <w:rFonts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387024C4">
            <w:pPr>
              <w:tabs>
                <w:tab w:val="left" w:pos="0"/>
                <w:tab w:val="left" w:pos="720"/>
              </w:tabs>
              <w:adjustRightInd w:val="0"/>
              <w:snapToGrid w:val="0"/>
              <w:jc w:val="center"/>
              <w:rPr>
                <w:rFonts w:ascii="宋体" w:hAnsi="宋体" w:cs="宋体"/>
                <w:sz w:val="24"/>
                <w:szCs w:val="24"/>
                <w:highlight w:val="none"/>
              </w:rPr>
            </w:pPr>
          </w:p>
        </w:tc>
      </w:tr>
      <w:tr w14:paraId="37DCAE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281" w:type="dxa"/>
            <w:tcBorders>
              <w:top w:val="single" w:color="auto" w:sz="6" w:space="0"/>
              <w:left w:val="single" w:color="auto" w:sz="4" w:space="0"/>
              <w:bottom w:val="single" w:color="auto" w:sz="6" w:space="0"/>
              <w:right w:val="single" w:color="auto" w:sz="6" w:space="0"/>
            </w:tcBorders>
            <w:vAlign w:val="center"/>
          </w:tcPr>
          <w:p w14:paraId="023831A5">
            <w:pPr>
              <w:tabs>
                <w:tab w:val="left" w:pos="0"/>
                <w:tab w:val="left" w:pos="720"/>
              </w:tabs>
              <w:adjustRightInd w:val="0"/>
              <w:snapToGrid w:val="0"/>
              <w:jc w:val="center"/>
              <w:rPr>
                <w:rFonts w:ascii="宋体" w:hAnsi="宋体" w:cs="宋体"/>
                <w:sz w:val="24"/>
                <w:szCs w:val="24"/>
                <w:highlight w:val="none"/>
              </w:rPr>
            </w:pPr>
          </w:p>
        </w:tc>
        <w:tc>
          <w:tcPr>
            <w:tcW w:w="1311" w:type="dxa"/>
            <w:tcBorders>
              <w:top w:val="single" w:color="auto" w:sz="6" w:space="0"/>
              <w:left w:val="single" w:color="auto" w:sz="6" w:space="0"/>
              <w:bottom w:val="single" w:color="auto" w:sz="6" w:space="0"/>
              <w:right w:val="single" w:color="auto" w:sz="6" w:space="0"/>
            </w:tcBorders>
            <w:vAlign w:val="center"/>
          </w:tcPr>
          <w:p w14:paraId="0CE5780F">
            <w:pPr>
              <w:tabs>
                <w:tab w:val="left" w:pos="0"/>
                <w:tab w:val="left" w:pos="720"/>
              </w:tabs>
              <w:adjustRightInd w:val="0"/>
              <w:snapToGrid w:val="0"/>
              <w:jc w:val="center"/>
              <w:rPr>
                <w:rFonts w:ascii="宋体" w:hAnsi="宋体" w:cs="宋体"/>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573B3B1C">
            <w:pPr>
              <w:tabs>
                <w:tab w:val="left" w:pos="0"/>
                <w:tab w:val="left" w:pos="720"/>
              </w:tabs>
              <w:adjustRightInd w:val="0"/>
              <w:snapToGrid w:val="0"/>
              <w:jc w:val="center"/>
              <w:rPr>
                <w:rFonts w:ascii="宋体" w:hAnsi="宋体" w:cs="宋体"/>
                <w:sz w:val="24"/>
                <w:szCs w:val="24"/>
                <w:highlight w:val="none"/>
              </w:rPr>
            </w:pPr>
          </w:p>
        </w:tc>
        <w:tc>
          <w:tcPr>
            <w:tcW w:w="2449" w:type="dxa"/>
            <w:tcBorders>
              <w:top w:val="single" w:color="auto" w:sz="6" w:space="0"/>
              <w:left w:val="single" w:color="auto" w:sz="6" w:space="0"/>
              <w:bottom w:val="single" w:color="auto" w:sz="6" w:space="0"/>
              <w:right w:val="single" w:color="auto" w:sz="6" w:space="0"/>
            </w:tcBorders>
            <w:vAlign w:val="center"/>
          </w:tcPr>
          <w:p w14:paraId="0EAAE89E">
            <w:pPr>
              <w:tabs>
                <w:tab w:val="left" w:pos="0"/>
                <w:tab w:val="left" w:pos="720"/>
              </w:tabs>
              <w:adjustRightInd w:val="0"/>
              <w:snapToGrid w:val="0"/>
              <w:jc w:val="center"/>
              <w:rPr>
                <w:rFonts w:ascii="宋体" w:hAnsi="宋体" w:cs="宋体"/>
                <w:sz w:val="24"/>
                <w:szCs w:val="24"/>
                <w:highlight w:val="none"/>
              </w:rPr>
            </w:pPr>
          </w:p>
        </w:tc>
        <w:tc>
          <w:tcPr>
            <w:tcW w:w="1468" w:type="dxa"/>
            <w:tcBorders>
              <w:top w:val="single" w:color="auto" w:sz="6" w:space="0"/>
              <w:left w:val="single" w:color="auto" w:sz="6" w:space="0"/>
              <w:bottom w:val="single" w:color="auto" w:sz="6" w:space="0"/>
              <w:right w:val="single" w:color="auto" w:sz="4" w:space="0"/>
            </w:tcBorders>
            <w:vAlign w:val="center"/>
          </w:tcPr>
          <w:p w14:paraId="31573027">
            <w:pPr>
              <w:tabs>
                <w:tab w:val="left" w:pos="0"/>
                <w:tab w:val="left" w:pos="720"/>
              </w:tabs>
              <w:adjustRightInd w:val="0"/>
              <w:snapToGrid w:val="0"/>
              <w:jc w:val="center"/>
              <w:rPr>
                <w:rFonts w:ascii="宋体" w:hAnsi="宋体" w:cs="宋体"/>
                <w:sz w:val="24"/>
                <w:szCs w:val="24"/>
                <w:highlight w:val="none"/>
              </w:rPr>
            </w:pPr>
          </w:p>
        </w:tc>
      </w:tr>
      <w:tr w14:paraId="35C26A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1281" w:type="dxa"/>
            <w:tcBorders>
              <w:top w:val="single" w:color="auto" w:sz="6" w:space="0"/>
              <w:left w:val="single" w:color="auto" w:sz="4" w:space="0"/>
              <w:bottom w:val="single" w:color="auto" w:sz="4" w:space="0"/>
              <w:right w:val="single" w:color="auto" w:sz="6" w:space="0"/>
            </w:tcBorders>
            <w:vAlign w:val="center"/>
          </w:tcPr>
          <w:p w14:paraId="2A0A1F94">
            <w:pPr>
              <w:tabs>
                <w:tab w:val="left" w:pos="0"/>
                <w:tab w:val="left" w:pos="720"/>
              </w:tabs>
              <w:adjustRightInd w:val="0"/>
              <w:snapToGrid w:val="0"/>
              <w:jc w:val="center"/>
              <w:rPr>
                <w:rFonts w:ascii="宋体" w:hAnsi="宋体" w:cs="宋体"/>
                <w:sz w:val="24"/>
                <w:szCs w:val="24"/>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14:paraId="69B2B2B1">
            <w:pPr>
              <w:tabs>
                <w:tab w:val="left" w:pos="0"/>
                <w:tab w:val="left" w:pos="720"/>
              </w:tabs>
              <w:adjustRightInd w:val="0"/>
              <w:snapToGrid w:val="0"/>
              <w:jc w:val="center"/>
              <w:rPr>
                <w:rFonts w:ascii="宋体" w:hAnsi="宋体" w:cs="宋体"/>
                <w:sz w:val="24"/>
                <w:szCs w:val="24"/>
                <w:highlight w:val="none"/>
              </w:rPr>
            </w:pPr>
          </w:p>
        </w:tc>
        <w:tc>
          <w:tcPr>
            <w:tcW w:w="2320" w:type="dxa"/>
            <w:tcBorders>
              <w:top w:val="single" w:color="auto" w:sz="6" w:space="0"/>
              <w:left w:val="single" w:color="auto" w:sz="6" w:space="0"/>
              <w:bottom w:val="single" w:color="auto" w:sz="4" w:space="0"/>
              <w:right w:val="single" w:color="auto" w:sz="6" w:space="0"/>
            </w:tcBorders>
            <w:vAlign w:val="center"/>
          </w:tcPr>
          <w:p w14:paraId="42DDFF9C">
            <w:pPr>
              <w:tabs>
                <w:tab w:val="left" w:pos="0"/>
                <w:tab w:val="left" w:pos="720"/>
              </w:tabs>
              <w:adjustRightInd w:val="0"/>
              <w:snapToGrid w:val="0"/>
              <w:jc w:val="center"/>
              <w:rPr>
                <w:rFonts w:ascii="宋体" w:hAnsi="宋体" w:cs="宋体"/>
                <w:sz w:val="24"/>
                <w:szCs w:val="24"/>
                <w:highlight w:val="none"/>
              </w:rPr>
            </w:pPr>
          </w:p>
        </w:tc>
        <w:tc>
          <w:tcPr>
            <w:tcW w:w="2449" w:type="dxa"/>
            <w:tcBorders>
              <w:top w:val="single" w:color="auto" w:sz="6" w:space="0"/>
              <w:left w:val="single" w:color="auto" w:sz="6" w:space="0"/>
              <w:bottom w:val="single" w:color="auto" w:sz="4" w:space="0"/>
              <w:right w:val="single" w:color="auto" w:sz="6" w:space="0"/>
            </w:tcBorders>
            <w:vAlign w:val="center"/>
          </w:tcPr>
          <w:p w14:paraId="6E960896">
            <w:pPr>
              <w:tabs>
                <w:tab w:val="left" w:pos="0"/>
                <w:tab w:val="left" w:pos="720"/>
              </w:tabs>
              <w:adjustRightInd w:val="0"/>
              <w:snapToGrid w:val="0"/>
              <w:jc w:val="center"/>
              <w:rPr>
                <w:rFonts w:ascii="宋体" w:hAnsi="宋体" w:cs="宋体"/>
                <w:sz w:val="24"/>
                <w:szCs w:val="24"/>
                <w:highlight w:val="none"/>
              </w:rPr>
            </w:pPr>
          </w:p>
        </w:tc>
        <w:tc>
          <w:tcPr>
            <w:tcW w:w="1468" w:type="dxa"/>
            <w:tcBorders>
              <w:top w:val="single" w:color="auto" w:sz="6" w:space="0"/>
              <w:left w:val="single" w:color="auto" w:sz="6" w:space="0"/>
              <w:bottom w:val="single" w:color="auto" w:sz="4" w:space="0"/>
              <w:right w:val="single" w:color="auto" w:sz="4" w:space="0"/>
            </w:tcBorders>
            <w:vAlign w:val="center"/>
          </w:tcPr>
          <w:p w14:paraId="24EF4B8A">
            <w:pPr>
              <w:tabs>
                <w:tab w:val="left" w:pos="0"/>
                <w:tab w:val="left" w:pos="720"/>
              </w:tabs>
              <w:adjustRightInd w:val="0"/>
              <w:snapToGrid w:val="0"/>
              <w:jc w:val="center"/>
              <w:rPr>
                <w:rFonts w:ascii="宋体" w:hAnsi="宋体" w:cs="宋体"/>
                <w:sz w:val="24"/>
                <w:szCs w:val="24"/>
                <w:highlight w:val="none"/>
              </w:rPr>
            </w:pPr>
          </w:p>
        </w:tc>
      </w:tr>
    </w:tbl>
    <w:p w14:paraId="50435B13">
      <w:pPr>
        <w:pStyle w:val="39"/>
        <w:spacing w:after="0" w:line="360" w:lineRule="auto"/>
        <w:ind w:left="-2" w:leftChars="-1" w:firstLine="180"/>
        <w:rPr>
          <w:rFonts w:ascii="宋体" w:hAnsi="宋体" w:cs="宋体"/>
          <w:bCs/>
          <w:iCs/>
          <w:kern w:val="0"/>
          <w:sz w:val="18"/>
          <w:szCs w:val="18"/>
          <w:highlight w:val="none"/>
          <w:lang w:val="en-US"/>
        </w:rPr>
      </w:pPr>
      <w:r>
        <w:rPr>
          <w:rFonts w:hint="eastAsia" w:ascii="宋体" w:hAnsi="宋体" w:cs="宋体"/>
          <w:sz w:val="18"/>
          <w:szCs w:val="18"/>
          <w:highlight w:val="none"/>
        </w:rPr>
        <w:t>注：</w:t>
      </w:r>
      <w:r>
        <w:rPr>
          <w:rFonts w:hint="eastAsia" w:ascii="宋体" w:hAnsi="宋体" w:cs="宋体"/>
          <w:bCs/>
          <w:iCs/>
          <w:sz w:val="18"/>
          <w:szCs w:val="18"/>
          <w:highlight w:val="none"/>
        </w:rPr>
        <w:t>参与编制标书所有人员名单应包括如编制工程总承包实施方案、负责清样校对、负责加密打包、负责上传、负责密封、负责打印及复印等所有人员在内的人员名单。</w:t>
      </w:r>
    </w:p>
    <w:p w14:paraId="0E398593">
      <w:pPr>
        <w:rPr>
          <w:rFonts w:ascii="宋体" w:hAnsi="宋体" w:cs="宋体"/>
          <w:b/>
          <w:highlight w:val="none"/>
          <w:lang w:val="zh-CN"/>
        </w:rPr>
      </w:pPr>
      <w:bookmarkStart w:id="1117" w:name="_Toc361508757"/>
      <w:bookmarkStart w:id="1118" w:name="_Toc13469"/>
      <w:bookmarkStart w:id="1119" w:name="_Toc384308381"/>
      <w:bookmarkStart w:id="1120" w:name="_Toc369531702"/>
      <w:bookmarkStart w:id="1121" w:name="_Toc352691666"/>
    </w:p>
    <w:p w14:paraId="4AED57E1">
      <w:pPr>
        <w:autoSpaceDE w:val="0"/>
        <w:autoSpaceDN w:val="0"/>
        <w:adjustRightInd w:val="0"/>
        <w:spacing w:line="360" w:lineRule="auto"/>
        <w:jc w:val="left"/>
        <w:rPr>
          <w:rFonts w:ascii="宋体" w:hAnsi="宋体" w:cs="宋体"/>
          <w:highlight w:val="none"/>
        </w:rPr>
      </w:pPr>
      <w:r>
        <w:rPr>
          <w:rFonts w:hint="eastAsia" w:ascii="宋体" w:hAnsi="宋体" w:cs="宋体"/>
          <w:b/>
          <w:highlight w:val="none"/>
          <w:lang w:val="zh-CN"/>
        </w:rPr>
        <w:br w:type="page"/>
      </w:r>
      <w:bookmarkEnd w:id="1117"/>
      <w:bookmarkEnd w:id="1118"/>
      <w:bookmarkEnd w:id="1119"/>
      <w:bookmarkEnd w:id="1120"/>
      <w:bookmarkEnd w:id="1121"/>
      <w:bookmarkStart w:id="1122" w:name="_Toc7577"/>
      <w:bookmarkStart w:id="1123" w:name="_Toc80125016"/>
      <w:bookmarkStart w:id="1124" w:name="_Toc23820"/>
      <w:bookmarkStart w:id="1125" w:name="_Toc8616"/>
      <w:bookmarkStart w:id="1126" w:name="_Toc1404"/>
      <w:bookmarkStart w:id="1127" w:name="_Toc23334"/>
      <w:bookmarkStart w:id="1128" w:name="_Toc111648960"/>
      <w:r>
        <w:rPr>
          <w:rFonts w:hint="eastAsia" w:ascii="宋体" w:hAnsi="宋体" w:cs="宋体"/>
          <w:b/>
          <w:sz w:val="28"/>
          <w:highlight w:val="none"/>
        </w:rPr>
        <w:t>格式9：危险性较大的分部分项工程安全管理措施</w:t>
      </w:r>
      <w:bookmarkEnd w:id="1122"/>
      <w:bookmarkEnd w:id="1123"/>
      <w:bookmarkEnd w:id="1124"/>
      <w:bookmarkEnd w:id="1125"/>
      <w:bookmarkEnd w:id="1126"/>
      <w:bookmarkEnd w:id="1127"/>
      <w:bookmarkEnd w:id="1128"/>
    </w:p>
    <w:p w14:paraId="5F521E4C">
      <w:pPr>
        <w:jc w:val="center"/>
        <w:rPr>
          <w:rFonts w:ascii="宋体" w:hAnsi="宋体" w:cs="宋体"/>
          <w:b/>
          <w:bCs/>
          <w:sz w:val="30"/>
          <w:szCs w:val="30"/>
          <w:highlight w:val="none"/>
          <w:lang w:val="zh-CN"/>
        </w:rPr>
      </w:pPr>
      <w:r>
        <w:rPr>
          <w:rFonts w:hint="eastAsia" w:ascii="宋体" w:hAnsi="宋体" w:cs="宋体"/>
          <w:b/>
          <w:bCs/>
          <w:sz w:val="30"/>
          <w:szCs w:val="30"/>
          <w:highlight w:val="none"/>
          <w:lang w:val="zh-CN"/>
        </w:rPr>
        <w:t>危险性较大的分部分项工程清单及超过一定规模的</w:t>
      </w:r>
    </w:p>
    <w:p w14:paraId="2097F125">
      <w:pPr>
        <w:jc w:val="center"/>
        <w:rPr>
          <w:rFonts w:ascii="宋体" w:hAnsi="宋体" w:cs="宋体"/>
          <w:b/>
          <w:bCs/>
          <w:sz w:val="30"/>
          <w:szCs w:val="30"/>
          <w:highlight w:val="none"/>
          <w:lang w:val="zh-CN"/>
        </w:rPr>
      </w:pPr>
      <w:r>
        <w:rPr>
          <w:rFonts w:hint="eastAsia" w:ascii="宋体" w:hAnsi="宋体" w:cs="宋体"/>
          <w:b/>
          <w:bCs/>
          <w:sz w:val="30"/>
          <w:szCs w:val="30"/>
          <w:highlight w:val="none"/>
          <w:lang w:val="zh-CN"/>
        </w:rPr>
        <w:t>危险性较大的分部分项工程清单</w:t>
      </w:r>
    </w:p>
    <w:p w14:paraId="31D5E3AD">
      <w:pPr>
        <w:numPr>
          <w:ilvl w:val="0"/>
          <w:numId w:val="26"/>
        </w:numPr>
        <w:spacing w:line="432" w:lineRule="auto"/>
        <w:rPr>
          <w:rFonts w:ascii="宋体" w:hAnsi="宋体" w:cs="宋体"/>
          <w:highlight w:val="none"/>
        </w:rPr>
      </w:pPr>
      <w:r>
        <w:rPr>
          <w:rFonts w:hint="eastAsia" w:ascii="宋体" w:hAnsi="宋体" w:cs="宋体"/>
          <w:highlight w:val="none"/>
        </w:rPr>
        <w:t>根据中华人民共和国住房和城乡建设部令第37号《危险性较大的分部分项工程安全管理规定》（以下简称“37号文”），投标人在投标时须补充完善危大工程清单并明确相应的安全管理措施。</w:t>
      </w:r>
    </w:p>
    <w:p w14:paraId="0CFA0298">
      <w:pPr>
        <w:numPr>
          <w:ilvl w:val="0"/>
          <w:numId w:val="26"/>
        </w:numPr>
        <w:spacing w:line="432" w:lineRule="auto"/>
        <w:rPr>
          <w:rFonts w:ascii="宋体" w:hAnsi="宋体" w:cs="宋体"/>
          <w:highlight w:val="none"/>
        </w:rPr>
      </w:pPr>
      <w:r>
        <w:rPr>
          <w:rFonts w:hint="eastAsia" w:ascii="宋体" w:hAnsi="宋体" w:cs="宋体"/>
          <w:highlight w:val="none"/>
        </w:rPr>
        <w:t>招标人根据设计文件的要求及37号文、粤建规范〔2019〕2号文的规定列出“危险性较大的分部分项工程清单及超过一定规模的危险性较大的分部分项工程清单”中与本招标项目相关的清单项，具体详见第5点“打√”标识。</w:t>
      </w:r>
    </w:p>
    <w:p w14:paraId="7E9C0359">
      <w:pPr>
        <w:numPr>
          <w:ilvl w:val="0"/>
          <w:numId w:val="27"/>
        </w:numPr>
        <w:spacing w:line="432" w:lineRule="auto"/>
        <w:ind w:left="340" w:firstLine="0"/>
        <w:rPr>
          <w:rFonts w:ascii="宋体" w:hAnsi="宋体" w:cs="宋体"/>
          <w:highlight w:val="none"/>
        </w:rPr>
      </w:pPr>
      <w:r>
        <w:rPr>
          <w:rFonts w:hint="eastAsia" w:ascii="宋体" w:hAnsi="宋体" w:cs="宋体"/>
          <w:highlight w:val="none"/>
        </w:rPr>
        <w:t>投标单位同意建设单位在清单中标识的该项请在对应项打“√”标识，并于投标文件中提供相应的安全管理措施。</w:t>
      </w:r>
    </w:p>
    <w:p w14:paraId="1254C6E3">
      <w:pPr>
        <w:numPr>
          <w:ilvl w:val="0"/>
          <w:numId w:val="27"/>
        </w:numPr>
        <w:spacing w:line="432" w:lineRule="auto"/>
        <w:ind w:left="340" w:firstLine="0"/>
        <w:rPr>
          <w:rFonts w:ascii="宋体" w:hAnsi="宋体" w:cs="宋体"/>
          <w:highlight w:val="none"/>
        </w:rPr>
      </w:pPr>
      <w:r>
        <w:rPr>
          <w:rFonts w:hint="eastAsia" w:ascii="宋体" w:hAnsi="宋体" w:cs="宋体"/>
          <w:highlight w:val="none"/>
        </w:rPr>
        <w:t>投标单位对清单中认为需要补充的该项请在对应项打“√”标识，并于投标文件中提供相应的安全管理措施。</w:t>
      </w:r>
    </w:p>
    <w:p w14:paraId="2FDB1145">
      <w:pPr>
        <w:numPr>
          <w:ilvl w:val="0"/>
          <w:numId w:val="27"/>
        </w:numPr>
        <w:spacing w:line="432" w:lineRule="auto"/>
        <w:ind w:left="340" w:firstLine="0"/>
        <w:rPr>
          <w:rFonts w:ascii="宋体" w:hAnsi="宋体" w:cs="宋体"/>
          <w:highlight w:val="none"/>
        </w:rPr>
      </w:pPr>
      <w:r>
        <w:rPr>
          <w:rFonts w:hint="eastAsia" w:ascii="宋体" w:hAnsi="宋体" w:cs="宋体"/>
          <w:highlight w:val="none"/>
        </w:rPr>
        <w:t>投标单位不同意建设单位在清单中标识的该项请在对应项打“×”标识，并在备注栏填上相关说明。</w:t>
      </w:r>
    </w:p>
    <w:p w14:paraId="7BB9744F">
      <w:pPr>
        <w:numPr>
          <w:ilvl w:val="0"/>
          <w:numId w:val="26"/>
        </w:numPr>
        <w:spacing w:line="432" w:lineRule="auto"/>
        <w:rPr>
          <w:rFonts w:ascii="宋体" w:hAnsi="宋体" w:cs="宋体"/>
          <w:b/>
          <w:bCs/>
          <w:highlight w:val="none"/>
        </w:rPr>
      </w:pPr>
      <w:r>
        <w:rPr>
          <w:rFonts w:hint="eastAsia" w:ascii="宋体" w:hAnsi="宋体" w:cs="宋体"/>
          <w:b/>
          <w:bCs/>
          <w:highlight w:val="none"/>
        </w:rPr>
        <w:t>投标单位应当在投标时根据招标人提供的下述第5点清单，在投标施工组织中编制专项施工方案。</w:t>
      </w:r>
    </w:p>
    <w:p w14:paraId="17FFF576">
      <w:pPr>
        <w:numPr>
          <w:ilvl w:val="0"/>
          <w:numId w:val="26"/>
        </w:numPr>
        <w:spacing w:line="432" w:lineRule="auto"/>
        <w:rPr>
          <w:rFonts w:ascii="宋体" w:hAnsi="宋体" w:cs="宋体"/>
          <w:highlight w:val="none"/>
        </w:rPr>
      </w:pPr>
      <w:r>
        <w:rPr>
          <w:rFonts w:hint="eastAsia" w:ascii="宋体" w:hAnsi="宋体" w:cs="宋体"/>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439748FE">
      <w:pPr>
        <w:rPr>
          <w:rFonts w:ascii="宋体" w:hAnsi="宋体" w:cs="宋体"/>
          <w:b/>
          <w:bCs/>
          <w:highlight w:val="none"/>
        </w:rPr>
      </w:pPr>
    </w:p>
    <w:p w14:paraId="0E09B2A2">
      <w:pPr>
        <w:numPr>
          <w:ilvl w:val="0"/>
          <w:numId w:val="26"/>
        </w:numPr>
        <w:rPr>
          <w:rFonts w:ascii="宋体" w:hAnsi="宋体" w:cs="宋体"/>
          <w:b/>
          <w:bCs/>
          <w:highlight w:val="none"/>
        </w:rPr>
      </w:pPr>
      <w:r>
        <w:rPr>
          <w:rFonts w:hint="eastAsia" w:ascii="宋体" w:hAnsi="宋体" w:cs="宋体"/>
          <w:b/>
          <w:bCs/>
          <w:highlight w:val="none"/>
        </w:rPr>
        <w:t>危险性较大的分部分项工程清单及超过一定规模的危险性较大的分部分项工程清单：</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1"/>
        <w:gridCol w:w="1291"/>
        <w:gridCol w:w="1542"/>
        <w:gridCol w:w="1499"/>
      </w:tblGrid>
      <w:tr w14:paraId="511E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291" w:type="dxa"/>
            <w:tcBorders>
              <w:top w:val="single" w:color="auto" w:sz="4" w:space="0"/>
              <w:left w:val="single" w:color="auto" w:sz="4" w:space="0"/>
              <w:bottom w:val="single" w:color="auto" w:sz="4" w:space="0"/>
              <w:right w:val="single" w:color="auto" w:sz="4" w:space="0"/>
            </w:tcBorders>
            <w:vAlign w:val="center"/>
          </w:tcPr>
          <w:p w14:paraId="59FD5C5F">
            <w:pPr>
              <w:jc w:val="center"/>
              <w:rPr>
                <w:rFonts w:ascii="宋体" w:hAnsi="宋体" w:cs="宋体"/>
                <w:b/>
                <w:bCs/>
                <w:highlight w:val="none"/>
              </w:rPr>
            </w:pPr>
            <w:r>
              <w:rPr>
                <w:rFonts w:hint="eastAsia" w:ascii="宋体" w:hAnsi="宋体" w:cs="宋体"/>
                <w:b/>
                <w:bCs/>
                <w:highlight w:val="none"/>
              </w:rPr>
              <w:t>一、危险性较大的分部分项工程清单</w:t>
            </w:r>
          </w:p>
        </w:tc>
        <w:tc>
          <w:tcPr>
            <w:tcW w:w="1291" w:type="dxa"/>
            <w:tcBorders>
              <w:top w:val="single" w:color="auto" w:sz="4" w:space="0"/>
              <w:left w:val="single" w:color="auto" w:sz="4" w:space="0"/>
              <w:bottom w:val="single" w:color="auto" w:sz="4" w:space="0"/>
              <w:right w:val="single" w:color="auto" w:sz="4" w:space="0"/>
            </w:tcBorders>
            <w:vAlign w:val="center"/>
          </w:tcPr>
          <w:p w14:paraId="6794D7A8">
            <w:pPr>
              <w:jc w:val="center"/>
              <w:rPr>
                <w:rFonts w:ascii="宋体" w:hAnsi="宋体" w:cs="宋体"/>
                <w:b/>
                <w:bCs/>
                <w:highlight w:val="none"/>
              </w:rPr>
            </w:pPr>
            <w:r>
              <w:rPr>
                <w:rFonts w:hint="eastAsia" w:ascii="宋体" w:hAnsi="宋体" w:cs="宋体"/>
                <w:b/>
                <w:bCs/>
                <w:highlight w:val="none"/>
              </w:rPr>
              <w:t>建设单位</w:t>
            </w:r>
          </w:p>
        </w:tc>
        <w:tc>
          <w:tcPr>
            <w:tcW w:w="1542" w:type="dxa"/>
            <w:tcBorders>
              <w:top w:val="single" w:color="auto" w:sz="4" w:space="0"/>
              <w:left w:val="single" w:color="auto" w:sz="4" w:space="0"/>
              <w:bottom w:val="single" w:color="auto" w:sz="4" w:space="0"/>
              <w:right w:val="single" w:color="auto" w:sz="4" w:space="0"/>
            </w:tcBorders>
            <w:vAlign w:val="center"/>
          </w:tcPr>
          <w:p w14:paraId="5489B62C">
            <w:pPr>
              <w:jc w:val="center"/>
              <w:rPr>
                <w:rFonts w:ascii="宋体" w:hAnsi="宋体" w:cs="宋体"/>
                <w:b/>
                <w:bCs/>
                <w:highlight w:val="none"/>
              </w:rPr>
            </w:pPr>
            <w:r>
              <w:rPr>
                <w:rFonts w:hint="eastAsia" w:ascii="宋体" w:hAnsi="宋体" w:cs="宋体"/>
                <w:b/>
                <w:bCs/>
                <w:highlight w:val="none"/>
              </w:rPr>
              <w:t>投标单位</w:t>
            </w:r>
          </w:p>
        </w:tc>
        <w:tc>
          <w:tcPr>
            <w:tcW w:w="1499" w:type="dxa"/>
            <w:tcBorders>
              <w:top w:val="single" w:color="auto" w:sz="4" w:space="0"/>
              <w:left w:val="single" w:color="auto" w:sz="4" w:space="0"/>
              <w:bottom w:val="single" w:color="auto" w:sz="4" w:space="0"/>
              <w:right w:val="single" w:color="auto" w:sz="4" w:space="0"/>
            </w:tcBorders>
            <w:vAlign w:val="center"/>
          </w:tcPr>
          <w:p w14:paraId="7268C463">
            <w:pPr>
              <w:jc w:val="center"/>
              <w:rPr>
                <w:rFonts w:ascii="宋体" w:hAnsi="宋体" w:cs="宋体"/>
                <w:b/>
                <w:bCs/>
                <w:highlight w:val="none"/>
              </w:rPr>
            </w:pPr>
            <w:r>
              <w:rPr>
                <w:rFonts w:hint="eastAsia" w:ascii="宋体" w:hAnsi="宋体" w:cs="宋体"/>
                <w:b/>
                <w:bCs/>
                <w:highlight w:val="none"/>
              </w:rPr>
              <w:t>备注</w:t>
            </w:r>
          </w:p>
        </w:tc>
      </w:tr>
      <w:tr w14:paraId="2E5B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291" w:type="dxa"/>
            <w:tcBorders>
              <w:top w:val="single" w:color="auto" w:sz="4" w:space="0"/>
              <w:left w:val="single" w:color="auto" w:sz="4" w:space="0"/>
              <w:bottom w:val="single" w:color="auto" w:sz="4" w:space="0"/>
              <w:right w:val="single" w:color="auto" w:sz="4" w:space="0"/>
            </w:tcBorders>
            <w:vAlign w:val="center"/>
          </w:tcPr>
          <w:p w14:paraId="2B2ECCBC">
            <w:pPr>
              <w:jc w:val="center"/>
              <w:rPr>
                <w:rFonts w:ascii="宋体" w:hAnsi="宋体" w:cs="宋体"/>
                <w:highlight w:val="none"/>
              </w:rPr>
            </w:pPr>
            <w:r>
              <w:rPr>
                <w:rFonts w:hint="eastAsia" w:ascii="宋体" w:hAnsi="宋体" w:cs="宋体"/>
                <w:b/>
                <w:bCs/>
                <w:highlight w:val="none"/>
              </w:rPr>
              <w:t>一、基坑支护</w:t>
            </w:r>
          </w:p>
        </w:tc>
        <w:tc>
          <w:tcPr>
            <w:tcW w:w="1291" w:type="dxa"/>
            <w:tcBorders>
              <w:top w:val="single" w:color="auto" w:sz="4" w:space="0"/>
              <w:left w:val="single" w:color="auto" w:sz="4" w:space="0"/>
              <w:bottom w:val="single" w:color="auto" w:sz="4" w:space="0"/>
              <w:right w:val="single" w:color="auto" w:sz="4" w:space="0"/>
            </w:tcBorders>
            <w:vAlign w:val="center"/>
          </w:tcPr>
          <w:p w14:paraId="2014B536">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0EBE6970">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06DB3917">
            <w:pPr>
              <w:jc w:val="center"/>
              <w:rPr>
                <w:rFonts w:ascii="宋体" w:hAnsi="宋体" w:cs="宋体"/>
                <w:highlight w:val="none"/>
              </w:rPr>
            </w:pPr>
          </w:p>
        </w:tc>
      </w:tr>
      <w:tr w14:paraId="0784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5291" w:type="dxa"/>
            <w:tcBorders>
              <w:top w:val="single" w:color="auto" w:sz="4" w:space="0"/>
              <w:left w:val="single" w:color="auto" w:sz="4" w:space="0"/>
              <w:bottom w:val="single" w:color="auto" w:sz="4" w:space="0"/>
              <w:right w:val="single" w:color="auto" w:sz="4" w:space="0"/>
            </w:tcBorders>
            <w:vAlign w:val="center"/>
          </w:tcPr>
          <w:p w14:paraId="1DEAE4F0">
            <w:pPr>
              <w:rPr>
                <w:rFonts w:ascii="宋体" w:hAnsi="宋体" w:cs="宋体"/>
                <w:highlight w:val="none"/>
              </w:rPr>
            </w:pPr>
            <w:r>
              <w:rPr>
                <w:rFonts w:hint="eastAsia" w:ascii="宋体" w:hAnsi="宋体" w:cs="宋体"/>
                <w:highlight w:val="none"/>
              </w:rPr>
              <w:t>（一）开挖深度超过3m（含3m）的基坑（槽）的土方开挖、支护、降水工程。</w:t>
            </w:r>
          </w:p>
        </w:tc>
        <w:tc>
          <w:tcPr>
            <w:tcW w:w="1291" w:type="dxa"/>
            <w:tcBorders>
              <w:top w:val="single" w:color="auto" w:sz="4" w:space="0"/>
              <w:left w:val="single" w:color="auto" w:sz="4" w:space="0"/>
              <w:bottom w:val="single" w:color="auto" w:sz="4" w:space="0"/>
              <w:right w:val="single" w:color="auto" w:sz="4" w:space="0"/>
            </w:tcBorders>
            <w:vAlign w:val="center"/>
          </w:tcPr>
          <w:p w14:paraId="19AB4C09">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73B8AEDC">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164B1300">
            <w:pPr>
              <w:jc w:val="center"/>
              <w:rPr>
                <w:rFonts w:ascii="宋体" w:hAnsi="宋体" w:cs="宋体"/>
                <w:highlight w:val="none"/>
              </w:rPr>
            </w:pPr>
          </w:p>
        </w:tc>
      </w:tr>
      <w:tr w14:paraId="69E4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5291" w:type="dxa"/>
            <w:tcBorders>
              <w:top w:val="single" w:color="auto" w:sz="4" w:space="0"/>
              <w:left w:val="single" w:color="auto" w:sz="4" w:space="0"/>
              <w:bottom w:val="single" w:color="auto" w:sz="4" w:space="0"/>
              <w:right w:val="single" w:color="auto" w:sz="4" w:space="0"/>
            </w:tcBorders>
            <w:vAlign w:val="center"/>
          </w:tcPr>
          <w:p w14:paraId="7723CD46">
            <w:pPr>
              <w:rPr>
                <w:rFonts w:ascii="宋体" w:hAnsi="宋体" w:cs="宋体"/>
                <w:highlight w:val="none"/>
              </w:rPr>
            </w:pPr>
            <w:r>
              <w:rPr>
                <w:rFonts w:hint="eastAsia" w:ascii="宋体" w:hAnsi="宋体" w:cs="宋体"/>
                <w:highlight w:val="none"/>
              </w:rPr>
              <w:t>（二）开挖深度虽未超过3m，但地质条件、周围环境和地下管线复杂，或影响毗邻建、构筑物安全的基坑（槽）的土方开挖、支护、降水工程。</w:t>
            </w:r>
          </w:p>
        </w:tc>
        <w:tc>
          <w:tcPr>
            <w:tcW w:w="1291" w:type="dxa"/>
            <w:tcBorders>
              <w:top w:val="single" w:color="auto" w:sz="4" w:space="0"/>
              <w:left w:val="single" w:color="auto" w:sz="4" w:space="0"/>
              <w:bottom w:val="single" w:color="auto" w:sz="4" w:space="0"/>
              <w:right w:val="single" w:color="auto" w:sz="4" w:space="0"/>
            </w:tcBorders>
            <w:vAlign w:val="center"/>
          </w:tcPr>
          <w:p w14:paraId="77EF60C9">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1F7F6113">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39F32A36">
            <w:pPr>
              <w:jc w:val="center"/>
              <w:rPr>
                <w:rFonts w:ascii="宋体" w:hAnsi="宋体" w:cs="宋体"/>
                <w:highlight w:val="none"/>
              </w:rPr>
            </w:pPr>
          </w:p>
        </w:tc>
      </w:tr>
      <w:tr w14:paraId="4862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291" w:type="dxa"/>
            <w:tcBorders>
              <w:top w:val="single" w:color="auto" w:sz="4" w:space="0"/>
              <w:left w:val="single" w:color="auto" w:sz="4" w:space="0"/>
              <w:bottom w:val="single" w:color="auto" w:sz="4" w:space="0"/>
              <w:right w:val="single" w:color="auto" w:sz="4" w:space="0"/>
            </w:tcBorders>
            <w:vAlign w:val="center"/>
          </w:tcPr>
          <w:p w14:paraId="7634ADF5">
            <w:pPr>
              <w:jc w:val="center"/>
              <w:rPr>
                <w:rFonts w:ascii="宋体" w:hAnsi="宋体" w:cs="宋体"/>
                <w:highlight w:val="none"/>
              </w:rPr>
            </w:pPr>
            <w:r>
              <w:rPr>
                <w:rFonts w:hint="eastAsia" w:ascii="宋体" w:hAnsi="宋体" w:cs="宋体"/>
                <w:b/>
                <w:bCs/>
                <w:highlight w:val="none"/>
              </w:rPr>
              <w:t>二、模板工程及支撑体系</w:t>
            </w:r>
          </w:p>
        </w:tc>
        <w:tc>
          <w:tcPr>
            <w:tcW w:w="1291" w:type="dxa"/>
            <w:tcBorders>
              <w:top w:val="single" w:color="auto" w:sz="4" w:space="0"/>
              <w:left w:val="single" w:color="auto" w:sz="4" w:space="0"/>
              <w:bottom w:val="single" w:color="auto" w:sz="4" w:space="0"/>
              <w:right w:val="single" w:color="auto" w:sz="4" w:space="0"/>
            </w:tcBorders>
            <w:vAlign w:val="center"/>
          </w:tcPr>
          <w:p w14:paraId="2072CFF4">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718B49D0">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103D5471">
            <w:pPr>
              <w:jc w:val="center"/>
              <w:rPr>
                <w:rFonts w:ascii="宋体" w:hAnsi="宋体" w:cs="宋体"/>
                <w:highlight w:val="none"/>
              </w:rPr>
            </w:pPr>
          </w:p>
        </w:tc>
      </w:tr>
      <w:tr w14:paraId="04E9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5291" w:type="dxa"/>
            <w:tcBorders>
              <w:top w:val="single" w:color="auto" w:sz="4" w:space="0"/>
              <w:left w:val="single" w:color="auto" w:sz="4" w:space="0"/>
              <w:bottom w:val="single" w:color="auto" w:sz="4" w:space="0"/>
              <w:right w:val="single" w:color="auto" w:sz="4" w:space="0"/>
            </w:tcBorders>
            <w:vAlign w:val="center"/>
          </w:tcPr>
          <w:p w14:paraId="7D30AB28">
            <w:pPr>
              <w:rPr>
                <w:rFonts w:ascii="宋体" w:hAnsi="宋体" w:cs="宋体"/>
                <w:highlight w:val="none"/>
              </w:rPr>
            </w:pPr>
            <w:r>
              <w:rPr>
                <w:rFonts w:hint="eastAsia" w:ascii="宋体" w:hAnsi="宋体" w:cs="宋体"/>
                <w:highlight w:val="none"/>
              </w:rPr>
              <w:t>（一）各类工具式模板工程：包括滑模、爬模、飞模、隧道模等工程。</w:t>
            </w:r>
          </w:p>
        </w:tc>
        <w:tc>
          <w:tcPr>
            <w:tcW w:w="1291" w:type="dxa"/>
            <w:tcBorders>
              <w:top w:val="single" w:color="auto" w:sz="4" w:space="0"/>
              <w:left w:val="single" w:color="auto" w:sz="4" w:space="0"/>
              <w:bottom w:val="single" w:color="auto" w:sz="4" w:space="0"/>
              <w:right w:val="single" w:color="auto" w:sz="4" w:space="0"/>
            </w:tcBorders>
            <w:vAlign w:val="center"/>
          </w:tcPr>
          <w:p w14:paraId="3C71BBF3">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7DC59D34">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25162676">
            <w:pPr>
              <w:jc w:val="center"/>
              <w:rPr>
                <w:rFonts w:ascii="宋体" w:hAnsi="宋体" w:cs="宋体"/>
                <w:highlight w:val="none"/>
              </w:rPr>
            </w:pPr>
          </w:p>
        </w:tc>
      </w:tr>
      <w:tr w14:paraId="1888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5291" w:type="dxa"/>
            <w:tcBorders>
              <w:top w:val="single" w:color="auto" w:sz="4" w:space="0"/>
              <w:left w:val="single" w:color="auto" w:sz="4" w:space="0"/>
              <w:bottom w:val="single" w:color="auto" w:sz="4" w:space="0"/>
              <w:right w:val="single" w:color="auto" w:sz="4" w:space="0"/>
            </w:tcBorders>
            <w:vAlign w:val="center"/>
          </w:tcPr>
          <w:p w14:paraId="5AC76D3C">
            <w:pPr>
              <w:rPr>
                <w:rFonts w:ascii="宋体" w:hAnsi="宋体" w:cs="宋体"/>
                <w:highlight w:val="none"/>
              </w:rPr>
            </w:pPr>
            <w:r>
              <w:rPr>
                <w:rFonts w:hint="eastAsia" w:ascii="宋体" w:hAnsi="宋体" w:cs="宋体"/>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91" w:type="dxa"/>
            <w:tcBorders>
              <w:top w:val="single" w:color="auto" w:sz="4" w:space="0"/>
              <w:left w:val="single" w:color="auto" w:sz="4" w:space="0"/>
              <w:bottom w:val="single" w:color="auto" w:sz="4" w:space="0"/>
              <w:right w:val="single" w:color="auto" w:sz="4" w:space="0"/>
            </w:tcBorders>
            <w:vAlign w:val="center"/>
          </w:tcPr>
          <w:p w14:paraId="0C27B552">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152CDE93">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1D2ED864">
            <w:pPr>
              <w:jc w:val="center"/>
              <w:rPr>
                <w:rFonts w:ascii="宋体" w:hAnsi="宋体" w:cs="宋体"/>
                <w:highlight w:val="none"/>
              </w:rPr>
            </w:pPr>
          </w:p>
        </w:tc>
      </w:tr>
      <w:tr w14:paraId="0F6A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291" w:type="dxa"/>
            <w:tcBorders>
              <w:top w:val="single" w:color="auto" w:sz="4" w:space="0"/>
              <w:left w:val="single" w:color="auto" w:sz="4" w:space="0"/>
              <w:bottom w:val="single" w:color="auto" w:sz="4" w:space="0"/>
              <w:right w:val="single" w:color="auto" w:sz="4" w:space="0"/>
            </w:tcBorders>
            <w:vAlign w:val="center"/>
          </w:tcPr>
          <w:p w14:paraId="15BC5BE8">
            <w:pPr>
              <w:rPr>
                <w:rFonts w:ascii="宋体" w:hAnsi="宋体" w:cs="宋体"/>
                <w:highlight w:val="none"/>
              </w:rPr>
            </w:pPr>
            <w:r>
              <w:rPr>
                <w:rFonts w:hint="eastAsia" w:ascii="宋体" w:hAnsi="宋体" w:cs="宋体"/>
                <w:highlight w:val="none"/>
              </w:rPr>
              <w:t>（三）承重支撑体系：用于钢结构安装等满堂支撑体系。</w:t>
            </w:r>
          </w:p>
        </w:tc>
        <w:tc>
          <w:tcPr>
            <w:tcW w:w="1291" w:type="dxa"/>
            <w:tcBorders>
              <w:top w:val="single" w:color="auto" w:sz="4" w:space="0"/>
              <w:left w:val="single" w:color="auto" w:sz="4" w:space="0"/>
              <w:bottom w:val="single" w:color="auto" w:sz="4" w:space="0"/>
              <w:right w:val="single" w:color="auto" w:sz="4" w:space="0"/>
            </w:tcBorders>
            <w:vAlign w:val="center"/>
          </w:tcPr>
          <w:p w14:paraId="26444075">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6E9625DE">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66043A74">
            <w:pPr>
              <w:jc w:val="center"/>
              <w:rPr>
                <w:rFonts w:ascii="宋体" w:hAnsi="宋体" w:cs="宋体"/>
                <w:highlight w:val="none"/>
              </w:rPr>
            </w:pPr>
          </w:p>
        </w:tc>
      </w:tr>
      <w:tr w14:paraId="5DDF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291" w:type="dxa"/>
            <w:tcBorders>
              <w:top w:val="single" w:color="auto" w:sz="4" w:space="0"/>
              <w:left w:val="single" w:color="auto" w:sz="4" w:space="0"/>
              <w:bottom w:val="single" w:color="auto" w:sz="4" w:space="0"/>
              <w:right w:val="single" w:color="auto" w:sz="4" w:space="0"/>
            </w:tcBorders>
            <w:vAlign w:val="center"/>
          </w:tcPr>
          <w:p w14:paraId="3F786C19">
            <w:pPr>
              <w:jc w:val="center"/>
              <w:rPr>
                <w:rFonts w:ascii="宋体" w:hAnsi="宋体" w:cs="宋体"/>
                <w:highlight w:val="none"/>
              </w:rPr>
            </w:pPr>
            <w:r>
              <w:rPr>
                <w:rFonts w:hint="eastAsia" w:ascii="宋体" w:hAnsi="宋体" w:cs="宋体"/>
                <w:b/>
                <w:bCs/>
                <w:highlight w:val="none"/>
              </w:rPr>
              <w:t>三、起重吊装及起重机械安装拆卸工程</w:t>
            </w:r>
          </w:p>
        </w:tc>
        <w:tc>
          <w:tcPr>
            <w:tcW w:w="1291" w:type="dxa"/>
            <w:tcBorders>
              <w:top w:val="single" w:color="auto" w:sz="4" w:space="0"/>
              <w:left w:val="single" w:color="auto" w:sz="4" w:space="0"/>
              <w:bottom w:val="single" w:color="auto" w:sz="4" w:space="0"/>
              <w:right w:val="single" w:color="auto" w:sz="4" w:space="0"/>
            </w:tcBorders>
            <w:vAlign w:val="center"/>
          </w:tcPr>
          <w:p w14:paraId="020F167B">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2D2A2ACC">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39A46C8D">
            <w:pPr>
              <w:jc w:val="center"/>
              <w:rPr>
                <w:rFonts w:ascii="宋体" w:hAnsi="宋体" w:cs="宋体"/>
                <w:highlight w:val="none"/>
              </w:rPr>
            </w:pPr>
          </w:p>
        </w:tc>
      </w:tr>
      <w:tr w14:paraId="3490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291" w:type="dxa"/>
            <w:tcBorders>
              <w:top w:val="single" w:color="auto" w:sz="4" w:space="0"/>
              <w:left w:val="single" w:color="auto" w:sz="4" w:space="0"/>
              <w:bottom w:val="single" w:color="auto" w:sz="4" w:space="0"/>
              <w:right w:val="single" w:color="auto" w:sz="4" w:space="0"/>
            </w:tcBorders>
            <w:vAlign w:val="center"/>
          </w:tcPr>
          <w:p w14:paraId="6F19E277">
            <w:pPr>
              <w:rPr>
                <w:rFonts w:ascii="宋体" w:hAnsi="宋体" w:cs="宋体"/>
                <w:highlight w:val="none"/>
              </w:rPr>
            </w:pPr>
            <w:r>
              <w:rPr>
                <w:rFonts w:hint="eastAsia" w:ascii="宋体" w:hAnsi="宋体" w:cs="宋体"/>
                <w:highlight w:val="none"/>
              </w:rPr>
              <w:t>（一）采用非常规起重设备、方法，且单件起吊重量在10kN及以上的起重吊装工程。</w:t>
            </w:r>
          </w:p>
        </w:tc>
        <w:tc>
          <w:tcPr>
            <w:tcW w:w="1291" w:type="dxa"/>
            <w:tcBorders>
              <w:top w:val="single" w:color="auto" w:sz="4" w:space="0"/>
              <w:left w:val="single" w:color="auto" w:sz="4" w:space="0"/>
              <w:bottom w:val="single" w:color="auto" w:sz="4" w:space="0"/>
              <w:right w:val="single" w:color="auto" w:sz="4" w:space="0"/>
            </w:tcBorders>
            <w:vAlign w:val="center"/>
          </w:tcPr>
          <w:p w14:paraId="27156F03">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19DE5E17">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18B6AA71">
            <w:pPr>
              <w:jc w:val="center"/>
              <w:rPr>
                <w:rFonts w:ascii="宋体" w:hAnsi="宋体" w:cs="宋体"/>
                <w:highlight w:val="none"/>
              </w:rPr>
            </w:pPr>
          </w:p>
        </w:tc>
      </w:tr>
      <w:tr w14:paraId="29F3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91" w:type="dxa"/>
            <w:tcBorders>
              <w:top w:val="single" w:color="auto" w:sz="4" w:space="0"/>
              <w:left w:val="single" w:color="auto" w:sz="4" w:space="0"/>
              <w:bottom w:val="single" w:color="auto" w:sz="4" w:space="0"/>
              <w:right w:val="single" w:color="auto" w:sz="4" w:space="0"/>
            </w:tcBorders>
            <w:vAlign w:val="center"/>
          </w:tcPr>
          <w:p w14:paraId="5E9E244A">
            <w:pPr>
              <w:rPr>
                <w:rFonts w:ascii="宋体" w:hAnsi="宋体" w:cs="宋体"/>
                <w:highlight w:val="none"/>
              </w:rPr>
            </w:pPr>
            <w:r>
              <w:rPr>
                <w:rFonts w:hint="eastAsia" w:ascii="宋体" w:hAnsi="宋体" w:cs="宋体"/>
                <w:highlight w:val="none"/>
              </w:rPr>
              <w:t>（二）采用起重机械进行安装的工程。</w:t>
            </w:r>
          </w:p>
        </w:tc>
        <w:tc>
          <w:tcPr>
            <w:tcW w:w="1291" w:type="dxa"/>
            <w:tcBorders>
              <w:top w:val="single" w:color="auto" w:sz="4" w:space="0"/>
              <w:left w:val="single" w:color="auto" w:sz="4" w:space="0"/>
              <w:bottom w:val="single" w:color="auto" w:sz="4" w:space="0"/>
              <w:right w:val="single" w:color="auto" w:sz="4" w:space="0"/>
            </w:tcBorders>
            <w:vAlign w:val="center"/>
          </w:tcPr>
          <w:p w14:paraId="231F63FE">
            <w:pPr>
              <w:jc w:val="center"/>
              <w:rPr>
                <w:rFonts w:ascii="宋体" w:hAnsi="宋体" w:cs="宋体"/>
                <w:highlight w:val="none"/>
              </w:rPr>
            </w:pPr>
            <w:r>
              <w:rPr>
                <w:rFonts w:hint="eastAsia" w:ascii="宋体" w:hAnsi="宋体" w:cs="宋体"/>
                <w:highlight w:val="none"/>
              </w:rPr>
              <w:t>(  √   )</w:t>
            </w:r>
          </w:p>
        </w:tc>
        <w:tc>
          <w:tcPr>
            <w:tcW w:w="1542" w:type="dxa"/>
            <w:tcBorders>
              <w:top w:val="single" w:color="auto" w:sz="4" w:space="0"/>
              <w:left w:val="single" w:color="auto" w:sz="4" w:space="0"/>
              <w:bottom w:val="single" w:color="auto" w:sz="4" w:space="0"/>
              <w:right w:val="single" w:color="auto" w:sz="4" w:space="0"/>
            </w:tcBorders>
            <w:vAlign w:val="center"/>
          </w:tcPr>
          <w:p w14:paraId="7CCE9911">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34D757F8">
            <w:pPr>
              <w:jc w:val="center"/>
              <w:rPr>
                <w:rFonts w:ascii="宋体" w:hAnsi="宋体" w:cs="宋体"/>
                <w:highlight w:val="none"/>
              </w:rPr>
            </w:pPr>
          </w:p>
        </w:tc>
      </w:tr>
      <w:tr w14:paraId="447C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291" w:type="dxa"/>
            <w:tcBorders>
              <w:top w:val="single" w:color="auto" w:sz="4" w:space="0"/>
              <w:left w:val="single" w:color="auto" w:sz="4" w:space="0"/>
              <w:bottom w:val="single" w:color="auto" w:sz="4" w:space="0"/>
              <w:right w:val="single" w:color="auto" w:sz="4" w:space="0"/>
            </w:tcBorders>
            <w:vAlign w:val="center"/>
          </w:tcPr>
          <w:p w14:paraId="0F7C9833">
            <w:pPr>
              <w:rPr>
                <w:rFonts w:ascii="宋体" w:hAnsi="宋体" w:cs="宋体"/>
                <w:highlight w:val="none"/>
              </w:rPr>
            </w:pPr>
            <w:r>
              <w:rPr>
                <w:rFonts w:hint="eastAsia" w:ascii="宋体" w:hAnsi="宋体" w:cs="宋体"/>
                <w:highlight w:val="none"/>
              </w:rPr>
              <w:t>（三）起重机械安装和拆卸工程。</w:t>
            </w:r>
          </w:p>
        </w:tc>
        <w:tc>
          <w:tcPr>
            <w:tcW w:w="1291" w:type="dxa"/>
            <w:tcBorders>
              <w:top w:val="single" w:color="auto" w:sz="4" w:space="0"/>
              <w:left w:val="single" w:color="auto" w:sz="4" w:space="0"/>
              <w:bottom w:val="single" w:color="auto" w:sz="4" w:space="0"/>
              <w:right w:val="single" w:color="auto" w:sz="4" w:space="0"/>
            </w:tcBorders>
            <w:vAlign w:val="center"/>
          </w:tcPr>
          <w:p w14:paraId="32785C2D">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332D888B">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0A712072">
            <w:pPr>
              <w:jc w:val="center"/>
              <w:rPr>
                <w:rFonts w:ascii="宋体" w:hAnsi="宋体" w:cs="宋体"/>
                <w:highlight w:val="none"/>
              </w:rPr>
            </w:pPr>
          </w:p>
        </w:tc>
      </w:tr>
      <w:tr w14:paraId="0C51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91" w:type="dxa"/>
            <w:tcBorders>
              <w:top w:val="single" w:color="auto" w:sz="4" w:space="0"/>
              <w:left w:val="single" w:color="auto" w:sz="4" w:space="0"/>
              <w:bottom w:val="single" w:color="auto" w:sz="4" w:space="0"/>
              <w:right w:val="single" w:color="auto" w:sz="4" w:space="0"/>
            </w:tcBorders>
            <w:vAlign w:val="center"/>
          </w:tcPr>
          <w:p w14:paraId="10921F1F">
            <w:pPr>
              <w:jc w:val="center"/>
              <w:rPr>
                <w:rFonts w:ascii="宋体" w:hAnsi="宋体" w:cs="宋体"/>
                <w:highlight w:val="none"/>
              </w:rPr>
            </w:pPr>
            <w:r>
              <w:rPr>
                <w:rFonts w:hint="eastAsia" w:ascii="宋体" w:hAnsi="宋体" w:cs="宋体"/>
                <w:b/>
                <w:bCs/>
                <w:highlight w:val="none"/>
              </w:rPr>
              <w:t>四、脚手架工程</w:t>
            </w:r>
          </w:p>
        </w:tc>
        <w:tc>
          <w:tcPr>
            <w:tcW w:w="1291" w:type="dxa"/>
            <w:tcBorders>
              <w:top w:val="single" w:color="auto" w:sz="4" w:space="0"/>
              <w:left w:val="single" w:color="auto" w:sz="4" w:space="0"/>
              <w:bottom w:val="single" w:color="auto" w:sz="4" w:space="0"/>
              <w:right w:val="single" w:color="auto" w:sz="4" w:space="0"/>
            </w:tcBorders>
            <w:vAlign w:val="center"/>
          </w:tcPr>
          <w:p w14:paraId="20C1482C">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7CE2AF00">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461A787D">
            <w:pPr>
              <w:jc w:val="center"/>
              <w:rPr>
                <w:rFonts w:ascii="宋体" w:hAnsi="宋体" w:cs="宋体"/>
                <w:highlight w:val="none"/>
              </w:rPr>
            </w:pPr>
          </w:p>
        </w:tc>
      </w:tr>
      <w:tr w14:paraId="104B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291" w:type="dxa"/>
            <w:tcBorders>
              <w:top w:val="single" w:color="auto" w:sz="4" w:space="0"/>
              <w:left w:val="single" w:color="auto" w:sz="4" w:space="0"/>
              <w:bottom w:val="single" w:color="auto" w:sz="4" w:space="0"/>
              <w:right w:val="single" w:color="auto" w:sz="4" w:space="0"/>
            </w:tcBorders>
            <w:vAlign w:val="center"/>
          </w:tcPr>
          <w:p w14:paraId="46E8B300">
            <w:pPr>
              <w:rPr>
                <w:rFonts w:ascii="宋体" w:hAnsi="宋体" w:cs="宋体"/>
                <w:highlight w:val="none"/>
              </w:rPr>
            </w:pPr>
            <w:r>
              <w:rPr>
                <w:rFonts w:hint="eastAsia" w:ascii="宋体" w:hAnsi="宋体" w:cs="宋体"/>
                <w:highlight w:val="none"/>
              </w:rPr>
              <w:t>（一）搭设高度24m及以上的落地式钢管脚手架工程（包括采光井、电梯井脚手架）。</w:t>
            </w:r>
          </w:p>
        </w:tc>
        <w:tc>
          <w:tcPr>
            <w:tcW w:w="1291" w:type="dxa"/>
            <w:tcBorders>
              <w:top w:val="single" w:color="auto" w:sz="4" w:space="0"/>
              <w:left w:val="single" w:color="auto" w:sz="4" w:space="0"/>
              <w:bottom w:val="single" w:color="auto" w:sz="4" w:space="0"/>
              <w:right w:val="single" w:color="auto" w:sz="4" w:space="0"/>
            </w:tcBorders>
            <w:vAlign w:val="center"/>
          </w:tcPr>
          <w:p w14:paraId="542888C3">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61E5C646">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14276210">
            <w:pPr>
              <w:jc w:val="center"/>
              <w:rPr>
                <w:rFonts w:ascii="宋体" w:hAnsi="宋体" w:cs="宋体"/>
                <w:highlight w:val="none"/>
              </w:rPr>
            </w:pPr>
          </w:p>
        </w:tc>
      </w:tr>
      <w:tr w14:paraId="04A9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291" w:type="dxa"/>
            <w:tcBorders>
              <w:top w:val="single" w:color="auto" w:sz="4" w:space="0"/>
              <w:left w:val="single" w:color="auto" w:sz="4" w:space="0"/>
              <w:bottom w:val="single" w:color="auto" w:sz="4" w:space="0"/>
              <w:right w:val="single" w:color="auto" w:sz="4" w:space="0"/>
            </w:tcBorders>
            <w:vAlign w:val="center"/>
          </w:tcPr>
          <w:p w14:paraId="43A58D75">
            <w:pPr>
              <w:rPr>
                <w:rFonts w:ascii="宋体" w:hAnsi="宋体" w:cs="宋体"/>
                <w:highlight w:val="none"/>
              </w:rPr>
            </w:pPr>
            <w:r>
              <w:rPr>
                <w:rFonts w:hint="eastAsia" w:ascii="宋体" w:hAnsi="宋体" w:cs="宋体"/>
                <w:highlight w:val="none"/>
              </w:rPr>
              <w:t>（二）附着式升降脚手架工程。</w:t>
            </w:r>
          </w:p>
        </w:tc>
        <w:tc>
          <w:tcPr>
            <w:tcW w:w="1291" w:type="dxa"/>
            <w:tcBorders>
              <w:top w:val="single" w:color="auto" w:sz="4" w:space="0"/>
              <w:left w:val="single" w:color="auto" w:sz="4" w:space="0"/>
              <w:bottom w:val="single" w:color="auto" w:sz="4" w:space="0"/>
              <w:right w:val="single" w:color="auto" w:sz="4" w:space="0"/>
            </w:tcBorders>
            <w:vAlign w:val="center"/>
          </w:tcPr>
          <w:p w14:paraId="182E2D68">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641E45C9">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7F99DA9B">
            <w:pPr>
              <w:jc w:val="center"/>
              <w:rPr>
                <w:rFonts w:ascii="宋体" w:hAnsi="宋体" w:cs="宋体"/>
                <w:highlight w:val="none"/>
              </w:rPr>
            </w:pPr>
          </w:p>
        </w:tc>
      </w:tr>
      <w:tr w14:paraId="5F9B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91" w:type="dxa"/>
            <w:tcBorders>
              <w:top w:val="single" w:color="auto" w:sz="4" w:space="0"/>
              <w:left w:val="single" w:color="auto" w:sz="4" w:space="0"/>
              <w:bottom w:val="single" w:color="auto" w:sz="4" w:space="0"/>
              <w:right w:val="single" w:color="auto" w:sz="4" w:space="0"/>
            </w:tcBorders>
            <w:vAlign w:val="center"/>
          </w:tcPr>
          <w:p w14:paraId="312B3A98">
            <w:pPr>
              <w:rPr>
                <w:rFonts w:ascii="宋体" w:hAnsi="宋体" w:cs="宋体"/>
                <w:highlight w:val="none"/>
              </w:rPr>
            </w:pPr>
            <w:r>
              <w:rPr>
                <w:rFonts w:hint="eastAsia" w:ascii="宋体" w:hAnsi="宋体" w:cs="宋体"/>
                <w:highlight w:val="none"/>
              </w:rPr>
              <w:t>（三）悬挑式脚手架工程。</w:t>
            </w:r>
          </w:p>
        </w:tc>
        <w:tc>
          <w:tcPr>
            <w:tcW w:w="1291" w:type="dxa"/>
            <w:tcBorders>
              <w:top w:val="single" w:color="auto" w:sz="4" w:space="0"/>
              <w:left w:val="single" w:color="auto" w:sz="4" w:space="0"/>
              <w:bottom w:val="single" w:color="auto" w:sz="4" w:space="0"/>
              <w:right w:val="single" w:color="auto" w:sz="4" w:space="0"/>
            </w:tcBorders>
            <w:vAlign w:val="center"/>
          </w:tcPr>
          <w:p w14:paraId="2ECBC454">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001CDE47">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065C63BB">
            <w:pPr>
              <w:jc w:val="center"/>
              <w:rPr>
                <w:rFonts w:ascii="宋体" w:hAnsi="宋体" w:cs="宋体"/>
                <w:highlight w:val="none"/>
              </w:rPr>
            </w:pPr>
          </w:p>
        </w:tc>
      </w:tr>
      <w:tr w14:paraId="6BD0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91" w:type="dxa"/>
            <w:tcBorders>
              <w:top w:val="single" w:color="auto" w:sz="4" w:space="0"/>
              <w:left w:val="single" w:color="auto" w:sz="4" w:space="0"/>
              <w:bottom w:val="single" w:color="auto" w:sz="4" w:space="0"/>
              <w:right w:val="single" w:color="auto" w:sz="4" w:space="0"/>
            </w:tcBorders>
            <w:vAlign w:val="center"/>
          </w:tcPr>
          <w:p w14:paraId="7419379E">
            <w:pPr>
              <w:rPr>
                <w:rFonts w:ascii="宋体" w:hAnsi="宋体" w:cs="宋体"/>
                <w:highlight w:val="none"/>
              </w:rPr>
            </w:pPr>
            <w:r>
              <w:rPr>
                <w:rFonts w:hint="eastAsia" w:ascii="宋体" w:hAnsi="宋体" w:cs="宋体"/>
                <w:highlight w:val="none"/>
              </w:rPr>
              <w:t>（四）高处作业吊篮。</w:t>
            </w:r>
          </w:p>
        </w:tc>
        <w:tc>
          <w:tcPr>
            <w:tcW w:w="1291" w:type="dxa"/>
            <w:tcBorders>
              <w:top w:val="single" w:color="auto" w:sz="4" w:space="0"/>
              <w:left w:val="single" w:color="auto" w:sz="4" w:space="0"/>
              <w:bottom w:val="single" w:color="auto" w:sz="4" w:space="0"/>
              <w:right w:val="single" w:color="auto" w:sz="4" w:space="0"/>
            </w:tcBorders>
            <w:vAlign w:val="center"/>
          </w:tcPr>
          <w:p w14:paraId="66AB7206">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44A86127">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2A06695F">
            <w:pPr>
              <w:jc w:val="center"/>
              <w:rPr>
                <w:rFonts w:ascii="宋体" w:hAnsi="宋体" w:cs="宋体"/>
                <w:highlight w:val="none"/>
              </w:rPr>
            </w:pPr>
          </w:p>
        </w:tc>
      </w:tr>
      <w:tr w14:paraId="5FBB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291" w:type="dxa"/>
            <w:tcBorders>
              <w:top w:val="single" w:color="auto" w:sz="4" w:space="0"/>
              <w:left w:val="single" w:color="auto" w:sz="4" w:space="0"/>
              <w:bottom w:val="single" w:color="auto" w:sz="4" w:space="0"/>
              <w:right w:val="single" w:color="auto" w:sz="4" w:space="0"/>
            </w:tcBorders>
            <w:vAlign w:val="center"/>
          </w:tcPr>
          <w:p w14:paraId="5390D74E">
            <w:pPr>
              <w:rPr>
                <w:rFonts w:ascii="宋体" w:hAnsi="宋体" w:cs="宋体"/>
                <w:highlight w:val="none"/>
              </w:rPr>
            </w:pPr>
            <w:r>
              <w:rPr>
                <w:rFonts w:hint="eastAsia" w:ascii="宋体" w:hAnsi="宋体" w:cs="宋体"/>
                <w:highlight w:val="none"/>
              </w:rPr>
              <w:t>（五）卸料平台、操作平台工程。</w:t>
            </w:r>
          </w:p>
        </w:tc>
        <w:tc>
          <w:tcPr>
            <w:tcW w:w="1291" w:type="dxa"/>
            <w:tcBorders>
              <w:top w:val="single" w:color="auto" w:sz="4" w:space="0"/>
              <w:left w:val="single" w:color="auto" w:sz="4" w:space="0"/>
              <w:bottom w:val="single" w:color="auto" w:sz="4" w:space="0"/>
              <w:right w:val="single" w:color="auto" w:sz="4" w:space="0"/>
            </w:tcBorders>
            <w:vAlign w:val="center"/>
          </w:tcPr>
          <w:p w14:paraId="7884A295">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0A59E8D0">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271183E2">
            <w:pPr>
              <w:jc w:val="center"/>
              <w:rPr>
                <w:rFonts w:ascii="宋体" w:hAnsi="宋体" w:cs="宋体"/>
                <w:highlight w:val="none"/>
              </w:rPr>
            </w:pPr>
          </w:p>
        </w:tc>
      </w:tr>
      <w:tr w14:paraId="46B4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91" w:type="dxa"/>
            <w:tcBorders>
              <w:top w:val="single" w:color="auto" w:sz="4" w:space="0"/>
              <w:left w:val="single" w:color="auto" w:sz="4" w:space="0"/>
              <w:bottom w:val="single" w:color="auto" w:sz="4" w:space="0"/>
              <w:right w:val="single" w:color="auto" w:sz="4" w:space="0"/>
            </w:tcBorders>
            <w:vAlign w:val="center"/>
          </w:tcPr>
          <w:p w14:paraId="5BE43890">
            <w:pPr>
              <w:rPr>
                <w:rFonts w:ascii="宋体" w:hAnsi="宋体" w:cs="宋体"/>
                <w:highlight w:val="none"/>
              </w:rPr>
            </w:pPr>
            <w:r>
              <w:rPr>
                <w:rFonts w:hint="eastAsia" w:ascii="宋体" w:hAnsi="宋体" w:cs="宋体"/>
                <w:highlight w:val="none"/>
              </w:rPr>
              <w:t>（六）异型脚手架工程。</w:t>
            </w:r>
          </w:p>
        </w:tc>
        <w:tc>
          <w:tcPr>
            <w:tcW w:w="1291" w:type="dxa"/>
            <w:tcBorders>
              <w:top w:val="single" w:color="auto" w:sz="4" w:space="0"/>
              <w:left w:val="single" w:color="auto" w:sz="4" w:space="0"/>
              <w:bottom w:val="single" w:color="auto" w:sz="4" w:space="0"/>
              <w:right w:val="single" w:color="auto" w:sz="4" w:space="0"/>
            </w:tcBorders>
            <w:vAlign w:val="center"/>
          </w:tcPr>
          <w:p w14:paraId="7460D5C8">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3ED0872D">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76628206">
            <w:pPr>
              <w:jc w:val="center"/>
              <w:rPr>
                <w:rFonts w:ascii="宋体" w:hAnsi="宋体" w:cs="宋体"/>
                <w:highlight w:val="none"/>
              </w:rPr>
            </w:pPr>
          </w:p>
        </w:tc>
      </w:tr>
      <w:tr w14:paraId="348A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291" w:type="dxa"/>
            <w:tcBorders>
              <w:top w:val="single" w:color="auto" w:sz="4" w:space="0"/>
              <w:left w:val="single" w:color="auto" w:sz="4" w:space="0"/>
              <w:bottom w:val="single" w:color="auto" w:sz="4" w:space="0"/>
              <w:right w:val="single" w:color="auto" w:sz="4" w:space="0"/>
            </w:tcBorders>
            <w:vAlign w:val="center"/>
          </w:tcPr>
          <w:p w14:paraId="22710BBA">
            <w:pPr>
              <w:jc w:val="center"/>
              <w:rPr>
                <w:rFonts w:ascii="宋体" w:hAnsi="宋体" w:cs="宋体"/>
                <w:highlight w:val="none"/>
              </w:rPr>
            </w:pPr>
            <w:r>
              <w:rPr>
                <w:rFonts w:hint="eastAsia" w:ascii="宋体" w:hAnsi="宋体" w:cs="宋体"/>
                <w:b/>
                <w:bCs/>
                <w:highlight w:val="none"/>
              </w:rPr>
              <w:t>五、拆除工程</w:t>
            </w:r>
          </w:p>
        </w:tc>
        <w:tc>
          <w:tcPr>
            <w:tcW w:w="1291" w:type="dxa"/>
            <w:tcBorders>
              <w:top w:val="single" w:color="auto" w:sz="4" w:space="0"/>
              <w:left w:val="single" w:color="auto" w:sz="4" w:space="0"/>
              <w:bottom w:val="single" w:color="auto" w:sz="4" w:space="0"/>
              <w:right w:val="single" w:color="auto" w:sz="4" w:space="0"/>
            </w:tcBorders>
            <w:vAlign w:val="center"/>
          </w:tcPr>
          <w:p w14:paraId="42C960FE">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2113B5F3">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41983064">
            <w:pPr>
              <w:jc w:val="center"/>
              <w:rPr>
                <w:rFonts w:ascii="宋体" w:hAnsi="宋体" w:cs="宋体"/>
                <w:highlight w:val="none"/>
              </w:rPr>
            </w:pPr>
          </w:p>
        </w:tc>
      </w:tr>
      <w:tr w14:paraId="16AE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5291" w:type="dxa"/>
            <w:tcBorders>
              <w:top w:val="single" w:color="auto" w:sz="4" w:space="0"/>
              <w:left w:val="single" w:color="auto" w:sz="4" w:space="0"/>
              <w:bottom w:val="single" w:color="auto" w:sz="4" w:space="0"/>
              <w:right w:val="single" w:color="auto" w:sz="4" w:space="0"/>
            </w:tcBorders>
            <w:vAlign w:val="center"/>
          </w:tcPr>
          <w:p w14:paraId="3698C765">
            <w:pPr>
              <w:rPr>
                <w:rFonts w:ascii="宋体" w:hAnsi="宋体" w:cs="宋体"/>
                <w:highlight w:val="none"/>
              </w:rPr>
            </w:pPr>
            <w:r>
              <w:rPr>
                <w:rFonts w:hint="eastAsia" w:ascii="宋体" w:hAnsi="宋体" w:cs="宋体"/>
                <w:highlight w:val="none"/>
              </w:rPr>
              <w:t>可能影响行人、交通、电力设施、通讯设施或其它建、构筑物安全的拆除工程。</w:t>
            </w:r>
          </w:p>
        </w:tc>
        <w:tc>
          <w:tcPr>
            <w:tcW w:w="1291" w:type="dxa"/>
            <w:tcBorders>
              <w:top w:val="single" w:color="auto" w:sz="4" w:space="0"/>
              <w:left w:val="single" w:color="auto" w:sz="4" w:space="0"/>
              <w:bottom w:val="single" w:color="auto" w:sz="4" w:space="0"/>
              <w:right w:val="single" w:color="auto" w:sz="4" w:space="0"/>
            </w:tcBorders>
            <w:vAlign w:val="center"/>
          </w:tcPr>
          <w:p w14:paraId="64DDDA5D">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1ABE3B59">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1EC6DEAB">
            <w:pPr>
              <w:jc w:val="center"/>
              <w:rPr>
                <w:rFonts w:ascii="宋体" w:hAnsi="宋体" w:cs="宋体"/>
                <w:highlight w:val="none"/>
              </w:rPr>
            </w:pPr>
          </w:p>
        </w:tc>
      </w:tr>
      <w:tr w14:paraId="168C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91" w:type="dxa"/>
            <w:tcBorders>
              <w:top w:val="single" w:color="auto" w:sz="4" w:space="0"/>
              <w:left w:val="single" w:color="auto" w:sz="4" w:space="0"/>
              <w:bottom w:val="single" w:color="auto" w:sz="4" w:space="0"/>
              <w:right w:val="single" w:color="auto" w:sz="4" w:space="0"/>
            </w:tcBorders>
            <w:vAlign w:val="center"/>
          </w:tcPr>
          <w:p w14:paraId="0F764E82">
            <w:pPr>
              <w:jc w:val="center"/>
              <w:rPr>
                <w:rFonts w:ascii="宋体" w:hAnsi="宋体" w:cs="宋体"/>
                <w:highlight w:val="none"/>
              </w:rPr>
            </w:pPr>
            <w:r>
              <w:rPr>
                <w:rFonts w:hint="eastAsia" w:ascii="宋体" w:hAnsi="宋体" w:cs="宋体"/>
                <w:b/>
                <w:bCs/>
                <w:highlight w:val="none"/>
              </w:rPr>
              <w:t>六、暗挖工程</w:t>
            </w:r>
          </w:p>
        </w:tc>
        <w:tc>
          <w:tcPr>
            <w:tcW w:w="1291" w:type="dxa"/>
            <w:tcBorders>
              <w:top w:val="single" w:color="auto" w:sz="4" w:space="0"/>
              <w:left w:val="single" w:color="auto" w:sz="4" w:space="0"/>
              <w:bottom w:val="single" w:color="auto" w:sz="4" w:space="0"/>
              <w:right w:val="single" w:color="auto" w:sz="4" w:space="0"/>
            </w:tcBorders>
            <w:vAlign w:val="center"/>
          </w:tcPr>
          <w:p w14:paraId="3DA4BCD1">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2187D35F">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032BCED2">
            <w:pPr>
              <w:jc w:val="center"/>
              <w:rPr>
                <w:rFonts w:ascii="宋体" w:hAnsi="宋体" w:cs="宋体"/>
                <w:highlight w:val="none"/>
              </w:rPr>
            </w:pPr>
          </w:p>
        </w:tc>
      </w:tr>
      <w:tr w14:paraId="5623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291" w:type="dxa"/>
            <w:tcBorders>
              <w:top w:val="single" w:color="auto" w:sz="4" w:space="0"/>
              <w:left w:val="single" w:color="auto" w:sz="4" w:space="0"/>
              <w:bottom w:val="single" w:color="auto" w:sz="4" w:space="0"/>
              <w:right w:val="single" w:color="auto" w:sz="4" w:space="0"/>
            </w:tcBorders>
            <w:vAlign w:val="center"/>
          </w:tcPr>
          <w:p w14:paraId="5631631D">
            <w:pPr>
              <w:rPr>
                <w:rFonts w:ascii="宋体" w:hAnsi="宋体" w:cs="宋体"/>
                <w:highlight w:val="none"/>
              </w:rPr>
            </w:pPr>
            <w:r>
              <w:rPr>
                <w:rFonts w:hint="eastAsia" w:ascii="宋体" w:hAnsi="宋体" w:cs="宋体"/>
                <w:highlight w:val="none"/>
              </w:rPr>
              <w:t>采用矿山法、盾构法、顶管法施工的隧道、洞室工程。</w:t>
            </w:r>
          </w:p>
        </w:tc>
        <w:tc>
          <w:tcPr>
            <w:tcW w:w="1291" w:type="dxa"/>
            <w:tcBorders>
              <w:top w:val="single" w:color="auto" w:sz="4" w:space="0"/>
              <w:left w:val="single" w:color="auto" w:sz="4" w:space="0"/>
              <w:bottom w:val="single" w:color="auto" w:sz="4" w:space="0"/>
              <w:right w:val="single" w:color="auto" w:sz="4" w:space="0"/>
            </w:tcBorders>
            <w:vAlign w:val="center"/>
          </w:tcPr>
          <w:p w14:paraId="4538E275">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1D85C793">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5ECD5109">
            <w:pPr>
              <w:jc w:val="center"/>
              <w:rPr>
                <w:rFonts w:ascii="宋体" w:hAnsi="宋体" w:cs="宋体"/>
                <w:highlight w:val="none"/>
              </w:rPr>
            </w:pPr>
          </w:p>
        </w:tc>
      </w:tr>
      <w:tr w14:paraId="3D01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291" w:type="dxa"/>
            <w:tcBorders>
              <w:top w:val="single" w:color="auto" w:sz="4" w:space="0"/>
              <w:left w:val="single" w:color="auto" w:sz="4" w:space="0"/>
              <w:bottom w:val="single" w:color="auto" w:sz="4" w:space="0"/>
              <w:right w:val="single" w:color="auto" w:sz="4" w:space="0"/>
            </w:tcBorders>
            <w:vAlign w:val="center"/>
          </w:tcPr>
          <w:p w14:paraId="47C83118">
            <w:pPr>
              <w:jc w:val="center"/>
              <w:rPr>
                <w:rFonts w:ascii="宋体" w:hAnsi="宋体" w:cs="宋体"/>
                <w:highlight w:val="none"/>
              </w:rPr>
            </w:pPr>
            <w:r>
              <w:rPr>
                <w:rFonts w:hint="eastAsia" w:ascii="宋体" w:hAnsi="宋体" w:cs="宋体"/>
                <w:b/>
                <w:bCs/>
                <w:highlight w:val="none"/>
              </w:rPr>
              <w:t>七、其它</w:t>
            </w:r>
          </w:p>
        </w:tc>
        <w:tc>
          <w:tcPr>
            <w:tcW w:w="1291" w:type="dxa"/>
            <w:tcBorders>
              <w:top w:val="single" w:color="auto" w:sz="4" w:space="0"/>
              <w:left w:val="single" w:color="auto" w:sz="4" w:space="0"/>
              <w:bottom w:val="single" w:color="auto" w:sz="4" w:space="0"/>
              <w:right w:val="single" w:color="auto" w:sz="4" w:space="0"/>
            </w:tcBorders>
            <w:vAlign w:val="center"/>
          </w:tcPr>
          <w:p w14:paraId="555B213E">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6BC4587B">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6D6C7F31">
            <w:pPr>
              <w:jc w:val="center"/>
              <w:rPr>
                <w:rFonts w:ascii="宋体" w:hAnsi="宋体" w:cs="宋体"/>
                <w:highlight w:val="none"/>
              </w:rPr>
            </w:pPr>
          </w:p>
        </w:tc>
      </w:tr>
      <w:tr w14:paraId="7B93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91" w:type="dxa"/>
            <w:tcBorders>
              <w:top w:val="single" w:color="auto" w:sz="4" w:space="0"/>
              <w:left w:val="single" w:color="auto" w:sz="4" w:space="0"/>
              <w:bottom w:val="single" w:color="auto" w:sz="4" w:space="0"/>
              <w:right w:val="single" w:color="auto" w:sz="4" w:space="0"/>
            </w:tcBorders>
            <w:vAlign w:val="center"/>
          </w:tcPr>
          <w:p w14:paraId="24A369D7">
            <w:pPr>
              <w:rPr>
                <w:rFonts w:ascii="宋体" w:hAnsi="宋体" w:cs="宋体"/>
                <w:highlight w:val="none"/>
              </w:rPr>
            </w:pPr>
            <w:r>
              <w:rPr>
                <w:rFonts w:hint="eastAsia" w:ascii="宋体" w:hAnsi="宋体" w:cs="宋体"/>
                <w:highlight w:val="none"/>
              </w:rPr>
              <w:t>（一）建筑幕墙安装工程。</w:t>
            </w:r>
          </w:p>
        </w:tc>
        <w:tc>
          <w:tcPr>
            <w:tcW w:w="1291" w:type="dxa"/>
            <w:tcBorders>
              <w:top w:val="single" w:color="auto" w:sz="4" w:space="0"/>
              <w:left w:val="single" w:color="auto" w:sz="4" w:space="0"/>
              <w:bottom w:val="single" w:color="auto" w:sz="4" w:space="0"/>
              <w:right w:val="single" w:color="auto" w:sz="4" w:space="0"/>
            </w:tcBorders>
            <w:vAlign w:val="center"/>
          </w:tcPr>
          <w:p w14:paraId="2313D319">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18BF2E03">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3F58EEFF">
            <w:pPr>
              <w:jc w:val="center"/>
              <w:rPr>
                <w:rFonts w:ascii="宋体" w:hAnsi="宋体" w:cs="宋体"/>
                <w:highlight w:val="none"/>
              </w:rPr>
            </w:pPr>
          </w:p>
        </w:tc>
      </w:tr>
      <w:tr w14:paraId="6428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291" w:type="dxa"/>
            <w:tcBorders>
              <w:top w:val="single" w:color="auto" w:sz="4" w:space="0"/>
              <w:left w:val="single" w:color="auto" w:sz="4" w:space="0"/>
              <w:bottom w:val="single" w:color="auto" w:sz="4" w:space="0"/>
              <w:right w:val="single" w:color="auto" w:sz="4" w:space="0"/>
            </w:tcBorders>
            <w:vAlign w:val="center"/>
          </w:tcPr>
          <w:p w14:paraId="0CD7D0B0">
            <w:pPr>
              <w:rPr>
                <w:rFonts w:ascii="宋体" w:hAnsi="宋体" w:cs="宋体"/>
                <w:highlight w:val="none"/>
              </w:rPr>
            </w:pPr>
            <w:r>
              <w:rPr>
                <w:rFonts w:hint="eastAsia" w:ascii="宋体" w:hAnsi="宋体" w:cs="宋体"/>
                <w:highlight w:val="none"/>
              </w:rPr>
              <w:t>（二）钢结构、网架和索膜结构安装工程。</w:t>
            </w:r>
          </w:p>
        </w:tc>
        <w:tc>
          <w:tcPr>
            <w:tcW w:w="1291" w:type="dxa"/>
            <w:tcBorders>
              <w:top w:val="single" w:color="auto" w:sz="4" w:space="0"/>
              <w:left w:val="single" w:color="auto" w:sz="4" w:space="0"/>
              <w:bottom w:val="single" w:color="auto" w:sz="4" w:space="0"/>
              <w:right w:val="single" w:color="auto" w:sz="4" w:space="0"/>
            </w:tcBorders>
            <w:vAlign w:val="center"/>
          </w:tcPr>
          <w:p w14:paraId="2295EF62">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693182CC">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7A9D1330">
            <w:pPr>
              <w:jc w:val="center"/>
              <w:rPr>
                <w:rFonts w:ascii="宋体" w:hAnsi="宋体" w:cs="宋体"/>
                <w:highlight w:val="none"/>
              </w:rPr>
            </w:pPr>
          </w:p>
        </w:tc>
      </w:tr>
      <w:tr w14:paraId="2F18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91" w:type="dxa"/>
            <w:tcBorders>
              <w:top w:val="single" w:color="auto" w:sz="4" w:space="0"/>
              <w:left w:val="single" w:color="auto" w:sz="4" w:space="0"/>
              <w:bottom w:val="single" w:color="auto" w:sz="4" w:space="0"/>
              <w:right w:val="single" w:color="auto" w:sz="4" w:space="0"/>
            </w:tcBorders>
            <w:vAlign w:val="center"/>
          </w:tcPr>
          <w:p w14:paraId="7BC542CC">
            <w:pPr>
              <w:rPr>
                <w:rFonts w:ascii="宋体" w:hAnsi="宋体" w:cs="宋体"/>
                <w:highlight w:val="none"/>
              </w:rPr>
            </w:pPr>
            <w:r>
              <w:rPr>
                <w:rFonts w:hint="eastAsia" w:ascii="宋体" w:hAnsi="宋体" w:cs="宋体"/>
                <w:highlight w:val="none"/>
              </w:rPr>
              <w:t>（三）人工挖孔桩工程。</w:t>
            </w:r>
          </w:p>
        </w:tc>
        <w:tc>
          <w:tcPr>
            <w:tcW w:w="1291" w:type="dxa"/>
            <w:tcBorders>
              <w:top w:val="single" w:color="auto" w:sz="4" w:space="0"/>
              <w:left w:val="single" w:color="auto" w:sz="4" w:space="0"/>
              <w:bottom w:val="single" w:color="auto" w:sz="4" w:space="0"/>
              <w:right w:val="single" w:color="auto" w:sz="4" w:space="0"/>
            </w:tcBorders>
            <w:vAlign w:val="center"/>
          </w:tcPr>
          <w:p w14:paraId="4E0DDE47">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6A809C95">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5ABCED10">
            <w:pPr>
              <w:jc w:val="center"/>
              <w:rPr>
                <w:rFonts w:ascii="宋体" w:hAnsi="宋体" w:cs="宋体"/>
                <w:highlight w:val="none"/>
              </w:rPr>
            </w:pPr>
          </w:p>
        </w:tc>
      </w:tr>
      <w:tr w14:paraId="598A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91" w:type="dxa"/>
            <w:tcBorders>
              <w:top w:val="single" w:color="auto" w:sz="4" w:space="0"/>
              <w:left w:val="single" w:color="auto" w:sz="4" w:space="0"/>
              <w:bottom w:val="single" w:color="auto" w:sz="4" w:space="0"/>
              <w:right w:val="single" w:color="auto" w:sz="4" w:space="0"/>
            </w:tcBorders>
            <w:vAlign w:val="center"/>
          </w:tcPr>
          <w:p w14:paraId="55BE29A3">
            <w:pPr>
              <w:rPr>
                <w:rFonts w:ascii="宋体" w:hAnsi="宋体" w:cs="宋体"/>
                <w:highlight w:val="none"/>
              </w:rPr>
            </w:pPr>
            <w:r>
              <w:rPr>
                <w:rFonts w:hint="eastAsia" w:ascii="宋体" w:hAnsi="宋体" w:cs="宋体"/>
                <w:highlight w:val="none"/>
              </w:rPr>
              <w:t>（四）水下作业工程。</w:t>
            </w:r>
          </w:p>
        </w:tc>
        <w:tc>
          <w:tcPr>
            <w:tcW w:w="1291" w:type="dxa"/>
            <w:tcBorders>
              <w:top w:val="single" w:color="auto" w:sz="4" w:space="0"/>
              <w:left w:val="single" w:color="auto" w:sz="4" w:space="0"/>
              <w:bottom w:val="single" w:color="auto" w:sz="4" w:space="0"/>
              <w:right w:val="single" w:color="auto" w:sz="4" w:space="0"/>
            </w:tcBorders>
            <w:vAlign w:val="center"/>
          </w:tcPr>
          <w:p w14:paraId="521FA8BD">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0CE0EDF6">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270C3097">
            <w:pPr>
              <w:jc w:val="center"/>
              <w:rPr>
                <w:rFonts w:ascii="宋体" w:hAnsi="宋体" w:cs="宋体"/>
                <w:highlight w:val="none"/>
              </w:rPr>
            </w:pPr>
          </w:p>
        </w:tc>
      </w:tr>
      <w:tr w14:paraId="2A29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291" w:type="dxa"/>
            <w:tcBorders>
              <w:top w:val="single" w:color="auto" w:sz="4" w:space="0"/>
              <w:left w:val="single" w:color="auto" w:sz="4" w:space="0"/>
              <w:bottom w:val="single" w:color="auto" w:sz="4" w:space="0"/>
              <w:right w:val="single" w:color="auto" w:sz="4" w:space="0"/>
            </w:tcBorders>
            <w:vAlign w:val="center"/>
          </w:tcPr>
          <w:p w14:paraId="646DA3BB">
            <w:pPr>
              <w:rPr>
                <w:rFonts w:ascii="宋体" w:hAnsi="宋体" w:cs="宋体"/>
                <w:highlight w:val="none"/>
              </w:rPr>
            </w:pPr>
            <w:r>
              <w:rPr>
                <w:rFonts w:hint="eastAsia" w:ascii="宋体" w:hAnsi="宋体" w:cs="宋体"/>
                <w:highlight w:val="none"/>
              </w:rPr>
              <w:t>（五）装配式建筑混凝土预制构件安装工程。</w:t>
            </w:r>
          </w:p>
        </w:tc>
        <w:tc>
          <w:tcPr>
            <w:tcW w:w="1291" w:type="dxa"/>
            <w:tcBorders>
              <w:top w:val="single" w:color="auto" w:sz="4" w:space="0"/>
              <w:left w:val="single" w:color="auto" w:sz="4" w:space="0"/>
              <w:bottom w:val="single" w:color="auto" w:sz="4" w:space="0"/>
              <w:right w:val="single" w:color="auto" w:sz="4" w:space="0"/>
            </w:tcBorders>
            <w:vAlign w:val="center"/>
          </w:tcPr>
          <w:p w14:paraId="132AFB2E">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5B03DF95">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65F9FE28">
            <w:pPr>
              <w:jc w:val="center"/>
              <w:rPr>
                <w:rFonts w:ascii="宋体" w:hAnsi="宋体" w:cs="宋体"/>
                <w:highlight w:val="none"/>
              </w:rPr>
            </w:pPr>
          </w:p>
        </w:tc>
      </w:tr>
      <w:tr w14:paraId="5C90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5291" w:type="dxa"/>
            <w:tcBorders>
              <w:top w:val="single" w:color="auto" w:sz="4" w:space="0"/>
              <w:left w:val="single" w:color="auto" w:sz="4" w:space="0"/>
              <w:bottom w:val="single" w:color="auto" w:sz="4" w:space="0"/>
              <w:right w:val="single" w:color="auto" w:sz="4" w:space="0"/>
            </w:tcBorders>
            <w:vAlign w:val="center"/>
          </w:tcPr>
          <w:p w14:paraId="179DE54D">
            <w:pPr>
              <w:rPr>
                <w:rFonts w:ascii="宋体" w:hAnsi="宋体" w:cs="宋体"/>
                <w:highlight w:val="none"/>
              </w:rPr>
            </w:pPr>
            <w:r>
              <w:rPr>
                <w:rFonts w:hint="eastAsia" w:ascii="宋体" w:hAnsi="宋体" w:cs="宋体"/>
                <w:highlight w:val="none"/>
              </w:rPr>
              <w:t>（六）采用新技术、新工艺、新材料、新设备可能影响工程施工安全，尚无国家、行业及地方技术标准的分部分项工程。</w:t>
            </w:r>
          </w:p>
        </w:tc>
        <w:tc>
          <w:tcPr>
            <w:tcW w:w="1291" w:type="dxa"/>
            <w:tcBorders>
              <w:top w:val="single" w:color="auto" w:sz="4" w:space="0"/>
              <w:left w:val="single" w:color="auto" w:sz="4" w:space="0"/>
              <w:bottom w:val="single" w:color="auto" w:sz="4" w:space="0"/>
              <w:right w:val="single" w:color="auto" w:sz="4" w:space="0"/>
            </w:tcBorders>
            <w:vAlign w:val="center"/>
          </w:tcPr>
          <w:p w14:paraId="41037D9A">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0B127F13">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2F54FB27">
            <w:pPr>
              <w:jc w:val="center"/>
              <w:rPr>
                <w:rFonts w:ascii="宋体" w:hAnsi="宋体" w:cs="宋体"/>
                <w:highlight w:val="none"/>
              </w:rPr>
            </w:pPr>
          </w:p>
        </w:tc>
      </w:tr>
      <w:tr w14:paraId="4E2F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291" w:type="dxa"/>
            <w:tcBorders>
              <w:top w:val="single" w:color="auto" w:sz="4" w:space="0"/>
              <w:left w:val="single" w:color="auto" w:sz="4" w:space="0"/>
              <w:bottom w:val="single" w:color="auto" w:sz="4" w:space="0"/>
              <w:right w:val="single" w:color="auto" w:sz="4" w:space="0"/>
            </w:tcBorders>
            <w:vAlign w:val="center"/>
          </w:tcPr>
          <w:p w14:paraId="2FFE7D68">
            <w:pPr>
              <w:rPr>
                <w:rFonts w:ascii="宋体" w:hAnsi="宋体" w:cs="宋体"/>
                <w:b/>
                <w:bCs/>
                <w:highlight w:val="none"/>
              </w:rPr>
            </w:pPr>
            <w:r>
              <w:rPr>
                <w:rFonts w:hint="eastAsia" w:ascii="宋体" w:hAnsi="宋体" w:cs="宋体"/>
                <w:b/>
                <w:bCs/>
                <w:highlight w:val="none"/>
              </w:rPr>
              <w:t>二、超过一定规模的危险性较大的分部分项工程清单</w:t>
            </w:r>
          </w:p>
        </w:tc>
        <w:tc>
          <w:tcPr>
            <w:tcW w:w="1291" w:type="dxa"/>
            <w:tcBorders>
              <w:top w:val="single" w:color="auto" w:sz="4" w:space="0"/>
              <w:left w:val="single" w:color="auto" w:sz="4" w:space="0"/>
              <w:bottom w:val="single" w:color="auto" w:sz="4" w:space="0"/>
              <w:right w:val="single" w:color="auto" w:sz="4" w:space="0"/>
            </w:tcBorders>
            <w:vAlign w:val="center"/>
          </w:tcPr>
          <w:p w14:paraId="4C8D960E">
            <w:pPr>
              <w:jc w:val="center"/>
              <w:rPr>
                <w:rFonts w:ascii="宋体" w:hAnsi="宋体" w:cs="宋体"/>
                <w:b/>
                <w:bCs/>
                <w:highlight w:val="none"/>
              </w:rPr>
            </w:pPr>
            <w:r>
              <w:rPr>
                <w:rFonts w:hint="eastAsia" w:ascii="宋体" w:hAnsi="宋体" w:cs="宋体"/>
                <w:b/>
                <w:bCs/>
                <w:highlight w:val="none"/>
              </w:rPr>
              <w:t>建设单位</w:t>
            </w:r>
          </w:p>
        </w:tc>
        <w:tc>
          <w:tcPr>
            <w:tcW w:w="1542" w:type="dxa"/>
            <w:tcBorders>
              <w:top w:val="single" w:color="auto" w:sz="4" w:space="0"/>
              <w:left w:val="single" w:color="auto" w:sz="4" w:space="0"/>
              <w:bottom w:val="single" w:color="auto" w:sz="4" w:space="0"/>
              <w:right w:val="single" w:color="auto" w:sz="4" w:space="0"/>
            </w:tcBorders>
            <w:vAlign w:val="center"/>
          </w:tcPr>
          <w:p w14:paraId="1E1353A2">
            <w:pPr>
              <w:jc w:val="center"/>
              <w:rPr>
                <w:rFonts w:ascii="宋体" w:hAnsi="宋体" w:cs="宋体"/>
                <w:b/>
                <w:bCs/>
                <w:highlight w:val="none"/>
              </w:rPr>
            </w:pPr>
            <w:r>
              <w:rPr>
                <w:rFonts w:hint="eastAsia" w:ascii="宋体" w:hAnsi="宋体" w:cs="宋体"/>
                <w:b/>
                <w:bCs/>
                <w:highlight w:val="none"/>
              </w:rPr>
              <w:t>投标单位</w:t>
            </w:r>
          </w:p>
        </w:tc>
        <w:tc>
          <w:tcPr>
            <w:tcW w:w="1499" w:type="dxa"/>
            <w:tcBorders>
              <w:top w:val="single" w:color="auto" w:sz="4" w:space="0"/>
              <w:left w:val="single" w:color="auto" w:sz="4" w:space="0"/>
              <w:bottom w:val="single" w:color="auto" w:sz="4" w:space="0"/>
              <w:right w:val="single" w:color="auto" w:sz="4" w:space="0"/>
            </w:tcBorders>
            <w:vAlign w:val="center"/>
          </w:tcPr>
          <w:p w14:paraId="5177B7B7">
            <w:pPr>
              <w:jc w:val="center"/>
              <w:rPr>
                <w:rFonts w:ascii="宋体" w:hAnsi="宋体" w:cs="宋体"/>
                <w:b/>
                <w:bCs/>
                <w:highlight w:val="none"/>
              </w:rPr>
            </w:pPr>
            <w:r>
              <w:rPr>
                <w:rFonts w:hint="eastAsia" w:ascii="宋体" w:hAnsi="宋体" w:cs="宋体"/>
                <w:b/>
                <w:bCs/>
                <w:highlight w:val="none"/>
              </w:rPr>
              <w:t>备注</w:t>
            </w:r>
          </w:p>
        </w:tc>
      </w:tr>
      <w:tr w14:paraId="5485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291" w:type="dxa"/>
            <w:tcBorders>
              <w:top w:val="single" w:color="auto" w:sz="4" w:space="0"/>
              <w:left w:val="single" w:color="auto" w:sz="4" w:space="0"/>
              <w:bottom w:val="single" w:color="auto" w:sz="4" w:space="0"/>
              <w:right w:val="single" w:color="auto" w:sz="4" w:space="0"/>
            </w:tcBorders>
            <w:vAlign w:val="center"/>
          </w:tcPr>
          <w:p w14:paraId="408E4029">
            <w:pPr>
              <w:jc w:val="center"/>
              <w:rPr>
                <w:rFonts w:ascii="宋体" w:hAnsi="宋体" w:cs="宋体"/>
                <w:highlight w:val="none"/>
              </w:rPr>
            </w:pPr>
            <w:r>
              <w:rPr>
                <w:rFonts w:hint="eastAsia" w:ascii="宋体" w:hAnsi="宋体" w:cs="宋体"/>
                <w:b/>
                <w:bCs/>
                <w:highlight w:val="none"/>
              </w:rPr>
              <w:t>一、深基坑工程</w:t>
            </w:r>
          </w:p>
        </w:tc>
        <w:tc>
          <w:tcPr>
            <w:tcW w:w="1291" w:type="dxa"/>
            <w:tcBorders>
              <w:top w:val="single" w:color="auto" w:sz="4" w:space="0"/>
              <w:left w:val="single" w:color="auto" w:sz="4" w:space="0"/>
              <w:bottom w:val="single" w:color="auto" w:sz="4" w:space="0"/>
              <w:right w:val="single" w:color="auto" w:sz="4" w:space="0"/>
            </w:tcBorders>
            <w:vAlign w:val="center"/>
          </w:tcPr>
          <w:p w14:paraId="7A3B6D43">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5A6B3717">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74BBC781">
            <w:pPr>
              <w:jc w:val="center"/>
              <w:rPr>
                <w:rFonts w:ascii="宋体" w:hAnsi="宋体" w:cs="宋体"/>
                <w:highlight w:val="none"/>
              </w:rPr>
            </w:pPr>
          </w:p>
        </w:tc>
      </w:tr>
      <w:tr w14:paraId="5F57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291" w:type="dxa"/>
            <w:tcBorders>
              <w:top w:val="single" w:color="auto" w:sz="4" w:space="0"/>
              <w:left w:val="single" w:color="auto" w:sz="4" w:space="0"/>
              <w:bottom w:val="single" w:color="auto" w:sz="4" w:space="0"/>
              <w:right w:val="single" w:color="auto" w:sz="4" w:space="0"/>
            </w:tcBorders>
            <w:vAlign w:val="center"/>
          </w:tcPr>
          <w:p w14:paraId="68E23B6D">
            <w:pPr>
              <w:rPr>
                <w:rFonts w:ascii="宋体" w:hAnsi="宋体" w:cs="宋体"/>
                <w:highlight w:val="none"/>
              </w:rPr>
            </w:pPr>
            <w:r>
              <w:rPr>
                <w:rFonts w:hint="eastAsia" w:ascii="宋体" w:hAnsi="宋体" w:cs="宋体"/>
                <w:highlight w:val="none"/>
              </w:rPr>
              <w:t>开挖深度超过5m（含5m）的基坑（槽）的土方开挖、支护、降水工程。</w:t>
            </w:r>
          </w:p>
        </w:tc>
        <w:tc>
          <w:tcPr>
            <w:tcW w:w="1291" w:type="dxa"/>
            <w:tcBorders>
              <w:top w:val="single" w:color="auto" w:sz="4" w:space="0"/>
              <w:left w:val="single" w:color="auto" w:sz="4" w:space="0"/>
              <w:bottom w:val="single" w:color="auto" w:sz="4" w:space="0"/>
              <w:right w:val="single" w:color="auto" w:sz="4" w:space="0"/>
            </w:tcBorders>
            <w:vAlign w:val="center"/>
          </w:tcPr>
          <w:p w14:paraId="418B6333">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3F8989C5">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5AC67738">
            <w:pPr>
              <w:jc w:val="center"/>
              <w:rPr>
                <w:rFonts w:ascii="宋体" w:hAnsi="宋体" w:cs="宋体"/>
                <w:highlight w:val="none"/>
              </w:rPr>
            </w:pPr>
          </w:p>
        </w:tc>
      </w:tr>
      <w:tr w14:paraId="07FD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291" w:type="dxa"/>
            <w:tcBorders>
              <w:top w:val="single" w:color="auto" w:sz="4" w:space="0"/>
              <w:left w:val="single" w:color="auto" w:sz="4" w:space="0"/>
              <w:bottom w:val="single" w:color="auto" w:sz="4" w:space="0"/>
              <w:right w:val="single" w:color="auto" w:sz="4" w:space="0"/>
            </w:tcBorders>
            <w:vAlign w:val="center"/>
          </w:tcPr>
          <w:p w14:paraId="19BBC5B6">
            <w:pPr>
              <w:jc w:val="center"/>
              <w:rPr>
                <w:rFonts w:ascii="宋体" w:hAnsi="宋体" w:cs="宋体"/>
                <w:highlight w:val="none"/>
              </w:rPr>
            </w:pPr>
            <w:r>
              <w:rPr>
                <w:rFonts w:hint="eastAsia" w:ascii="宋体" w:hAnsi="宋体" w:cs="宋体"/>
                <w:b/>
                <w:bCs/>
                <w:highlight w:val="none"/>
              </w:rPr>
              <w:t>二、模板工程及支撑体系</w:t>
            </w:r>
          </w:p>
        </w:tc>
        <w:tc>
          <w:tcPr>
            <w:tcW w:w="1291" w:type="dxa"/>
            <w:tcBorders>
              <w:top w:val="single" w:color="auto" w:sz="4" w:space="0"/>
              <w:left w:val="single" w:color="auto" w:sz="4" w:space="0"/>
              <w:bottom w:val="single" w:color="auto" w:sz="4" w:space="0"/>
              <w:right w:val="single" w:color="auto" w:sz="4" w:space="0"/>
            </w:tcBorders>
            <w:vAlign w:val="center"/>
          </w:tcPr>
          <w:p w14:paraId="45B598D7">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5CFED523">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3FC08710">
            <w:pPr>
              <w:jc w:val="center"/>
              <w:rPr>
                <w:rFonts w:ascii="宋体" w:hAnsi="宋体" w:cs="宋体"/>
                <w:highlight w:val="none"/>
              </w:rPr>
            </w:pPr>
          </w:p>
        </w:tc>
      </w:tr>
      <w:tr w14:paraId="2310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291" w:type="dxa"/>
            <w:tcBorders>
              <w:top w:val="single" w:color="auto" w:sz="4" w:space="0"/>
              <w:left w:val="single" w:color="auto" w:sz="4" w:space="0"/>
              <w:bottom w:val="single" w:color="auto" w:sz="4" w:space="0"/>
              <w:right w:val="single" w:color="auto" w:sz="4" w:space="0"/>
            </w:tcBorders>
            <w:vAlign w:val="center"/>
          </w:tcPr>
          <w:p w14:paraId="0D5F1BEB">
            <w:pPr>
              <w:rPr>
                <w:rFonts w:ascii="宋体" w:hAnsi="宋体" w:cs="宋体"/>
                <w:highlight w:val="none"/>
              </w:rPr>
            </w:pPr>
            <w:r>
              <w:rPr>
                <w:rFonts w:hint="eastAsia" w:ascii="宋体" w:hAnsi="宋体" w:cs="宋体"/>
                <w:highlight w:val="none"/>
              </w:rPr>
              <w:t>（一）各类工具式模板工程：包括滑模、爬模、飞模、隧道模等工程。</w:t>
            </w:r>
          </w:p>
        </w:tc>
        <w:tc>
          <w:tcPr>
            <w:tcW w:w="1291" w:type="dxa"/>
            <w:tcBorders>
              <w:top w:val="single" w:color="auto" w:sz="4" w:space="0"/>
              <w:left w:val="single" w:color="auto" w:sz="4" w:space="0"/>
              <w:bottom w:val="single" w:color="auto" w:sz="4" w:space="0"/>
              <w:right w:val="single" w:color="auto" w:sz="4" w:space="0"/>
            </w:tcBorders>
            <w:vAlign w:val="center"/>
          </w:tcPr>
          <w:p w14:paraId="13FCDCE1">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5C726CB8">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4684AFB2">
            <w:pPr>
              <w:jc w:val="center"/>
              <w:rPr>
                <w:rFonts w:ascii="宋体" w:hAnsi="宋体" w:cs="宋体"/>
                <w:highlight w:val="none"/>
              </w:rPr>
            </w:pPr>
          </w:p>
        </w:tc>
      </w:tr>
      <w:tr w14:paraId="7D77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5291" w:type="dxa"/>
            <w:tcBorders>
              <w:top w:val="single" w:color="auto" w:sz="4" w:space="0"/>
              <w:left w:val="single" w:color="auto" w:sz="4" w:space="0"/>
              <w:bottom w:val="single" w:color="auto" w:sz="4" w:space="0"/>
              <w:right w:val="single" w:color="auto" w:sz="4" w:space="0"/>
            </w:tcBorders>
            <w:vAlign w:val="center"/>
          </w:tcPr>
          <w:p w14:paraId="5AC783BB">
            <w:pPr>
              <w:rPr>
                <w:rFonts w:ascii="宋体" w:hAnsi="宋体" w:cs="宋体"/>
                <w:highlight w:val="none"/>
              </w:rPr>
            </w:pPr>
            <w:r>
              <w:rPr>
                <w:rFonts w:hint="eastAsia" w:ascii="宋体" w:hAnsi="宋体" w:cs="宋体"/>
                <w:highlight w:val="none"/>
              </w:rPr>
              <w:t>（二）混凝土模板支撑工程：搭设高度8m及以上，或搭设跨度18m及以上，或施工总荷载（设计值）15kN/m2及以上，或集中线荷载（设计值）20kN/m及以上。</w:t>
            </w:r>
          </w:p>
        </w:tc>
        <w:tc>
          <w:tcPr>
            <w:tcW w:w="1291" w:type="dxa"/>
            <w:tcBorders>
              <w:top w:val="single" w:color="auto" w:sz="4" w:space="0"/>
              <w:left w:val="single" w:color="auto" w:sz="4" w:space="0"/>
              <w:bottom w:val="single" w:color="auto" w:sz="4" w:space="0"/>
              <w:right w:val="single" w:color="auto" w:sz="4" w:space="0"/>
            </w:tcBorders>
            <w:vAlign w:val="center"/>
          </w:tcPr>
          <w:p w14:paraId="29886958">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0427ADBB">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395D1063">
            <w:pPr>
              <w:jc w:val="center"/>
              <w:rPr>
                <w:rFonts w:ascii="宋体" w:hAnsi="宋体" w:cs="宋体"/>
                <w:highlight w:val="none"/>
              </w:rPr>
            </w:pPr>
          </w:p>
        </w:tc>
      </w:tr>
      <w:tr w14:paraId="0EDF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5291" w:type="dxa"/>
            <w:tcBorders>
              <w:top w:val="single" w:color="auto" w:sz="4" w:space="0"/>
              <w:left w:val="single" w:color="auto" w:sz="4" w:space="0"/>
              <w:bottom w:val="single" w:color="auto" w:sz="4" w:space="0"/>
              <w:right w:val="single" w:color="auto" w:sz="4" w:space="0"/>
            </w:tcBorders>
            <w:vAlign w:val="center"/>
          </w:tcPr>
          <w:p w14:paraId="1479307E">
            <w:pPr>
              <w:rPr>
                <w:rFonts w:ascii="宋体" w:hAnsi="宋体" w:cs="宋体"/>
                <w:highlight w:val="none"/>
              </w:rPr>
            </w:pPr>
            <w:r>
              <w:rPr>
                <w:rFonts w:hint="eastAsia" w:ascii="宋体" w:hAnsi="宋体" w:cs="宋体"/>
                <w:highlight w:val="none"/>
              </w:rPr>
              <w:t>（三）承重支撑体系：用于钢结构安装等满堂支撑体系，承受单点集中荷载7kN及以上。</w:t>
            </w:r>
          </w:p>
        </w:tc>
        <w:tc>
          <w:tcPr>
            <w:tcW w:w="1291" w:type="dxa"/>
            <w:tcBorders>
              <w:top w:val="single" w:color="auto" w:sz="4" w:space="0"/>
              <w:left w:val="single" w:color="auto" w:sz="4" w:space="0"/>
              <w:bottom w:val="single" w:color="auto" w:sz="4" w:space="0"/>
              <w:right w:val="single" w:color="auto" w:sz="4" w:space="0"/>
            </w:tcBorders>
            <w:vAlign w:val="center"/>
          </w:tcPr>
          <w:p w14:paraId="21603F87">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3323496B">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44583727">
            <w:pPr>
              <w:jc w:val="center"/>
              <w:rPr>
                <w:rFonts w:ascii="宋体" w:hAnsi="宋体" w:cs="宋体"/>
                <w:highlight w:val="none"/>
              </w:rPr>
            </w:pPr>
          </w:p>
        </w:tc>
      </w:tr>
      <w:tr w14:paraId="08DB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291" w:type="dxa"/>
            <w:tcBorders>
              <w:top w:val="single" w:color="auto" w:sz="4" w:space="0"/>
              <w:left w:val="single" w:color="auto" w:sz="4" w:space="0"/>
              <w:bottom w:val="single" w:color="auto" w:sz="4" w:space="0"/>
              <w:right w:val="single" w:color="auto" w:sz="4" w:space="0"/>
            </w:tcBorders>
            <w:vAlign w:val="center"/>
          </w:tcPr>
          <w:p w14:paraId="1C70A86D">
            <w:pPr>
              <w:jc w:val="center"/>
              <w:rPr>
                <w:rFonts w:ascii="宋体" w:hAnsi="宋体" w:cs="宋体"/>
                <w:highlight w:val="none"/>
              </w:rPr>
            </w:pPr>
            <w:r>
              <w:rPr>
                <w:rFonts w:hint="eastAsia" w:ascii="宋体" w:hAnsi="宋体" w:cs="宋体"/>
                <w:highlight w:val="none"/>
              </w:rPr>
              <w:t>三</w:t>
            </w:r>
            <w:r>
              <w:rPr>
                <w:rFonts w:hint="eastAsia" w:ascii="宋体" w:hAnsi="宋体" w:cs="宋体"/>
                <w:b/>
                <w:bCs/>
                <w:highlight w:val="none"/>
              </w:rPr>
              <w:t>、起重吊装及起重机械安装拆卸工程</w:t>
            </w:r>
          </w:p>
        </w:tc>
        <w:tc>
          <w:tcPr>
            <w:tcW w:w="1291" w:type="dxa"/>
            <w:tcBorders>
              <w:top w:val="single" w:color="auto" w:sz="4" w:space="0"/>
              <w:left w:val="single" w:color="auto" w:sz="4" w:space="0"/>
              <w:bottom w:val="single" w:color="auto" w:sz="4" w:space="0"/>
              <w:right w:val="single" w:color="auto" w:sz="4" w:space="0"/>
            </w:tcBorders>
            <w:vAlign w:val="center"/>
          </w:tcPr>
          <w:p w14:paraId="320D90DB">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7803C203">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1363CCED">
            <w:pPr>
              <w:jc w:val="center"/>
              <w:rPr>
                <w:rFonts w:ascii="宋体" w:hAnsi="宋体" w:cs="宋体"/>
                <w:highlight w:val="none"/>
              </w:rPr>
            </w:pPr>
          </w:p>
        </w:tc>
      </w:tr>
      <w:tr w14:paraId="786E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291" w:type="dxa"/>
            <w:tcBorders>
              <w:top w:val="single" w:color="auto" w:sz="4" w:space="0"/>
              <w:left w:val="single" w:color="auto" w:sz="4" w:space="0"/>
              <w:bottom w:val="single" w:color="auto" w:sz="4" w:space="0"/>
              <w:right w:val="single" w:color="auto" w:sz="4" w:space="0"/>
            </w:tcBorders>
            <w:vAlign w:val="center"/>
          </w:tcPr>
          <w:p w14:paraId="0FF3D63D">
            <w:pPr>
              <w:rPr>
                <w:rFonts w:ascii="宋体" w:hAnsi="宋体" w:cs="宋体"/>
                <w:highlight w:val="none"/>
              </w:rPr>
            </w:pPr>
            <w:r>
              <w:rPr>
                <w:rFonts w:hint="eastAsia" w:ascii="宋体" w:hAnsi="宋体" w:cs="宋体"/>
                <w:highlight w:val="none"/>
              </w:rPr>
              <w:t>（一）采用非常规起重设备、方法，且单件起吊重量在100kN及以上的起重吊装工程。</w:t>
            </w:r>
          </w:p>
        </w:tc>
        <w:tc>
          <w:tcPr>
            <w:tcW w:w="1291" w:type="dxa"/>
            <w:tcBorders>
              <w:top w:val="single" w:color="auto" w:sz="4" w:space="0"/>
              <w:left w:val="single" w:color="auto" w:sz="4" w:space="0"/>
              <w:bottom w:val="single" w:color="auto" w:sz="4" w:space="0"/>
              <w:right w:val="single" w:color="auto" w:sz="4" w:space="0"/>
            </w:tcBorders>
            <w:vAlign w:val="center"/>
          </w:tcPr>
          <w:p w14:paraId="2C9C81F4">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14EEA276">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4E4B4191">
            <w:pPr>
              <w:jc w:val="center"/>
              <w:rPr>
                <w:rFonts w:ascii="宋体" w:hAnsi="宋体" w:cs="宋体"/>
                <w:highlight w:val="none"/>
              </w:rPr>
            </w:pPr>
          </w:p>
        </w:tc>
      </w:tr>
      <w:tr w14:paraId="1AC6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5291" w:type="dxa"/>
            <w:tcBorders>
              <w:top w:val="single" w:color="auto" w:sz="4" w:space="0"/>
              <w:left w:val="single" w:color="auto" w:sz="4" w:space="0"/>
              <w:bottom w:val="single" w:color="auto" w:sz="4" w:space="0"/>
              <w:right w:val="single" w:color="auto" w:sz="4" w:space="0"/>
            </w:tcBorders>
            <w:vAlign w:val="center"/>
          </w:tcPr>
          <w:p w14:paraId="6E5A39AB">
            <w:pPr>
              <w:rPr>
                <w:rFonts w:ascii="宋体" w:hAnsi="宋体" w:cs="宋体"/>
                <w:highlight w:val="none"/>
              </w:rPr>
            </w:pPr>
            <w:r>
              <w:rPr>
                <w:rFonts w:hint="eastAsia" w:ascii="宋体" w:hAnsi="宋体" w:cs="宋体"/>
                <w:highlight w:val="none"/>
              </w:rPr>
              <w:t>（二）起重量300kN及以上，或搭设总高度200m及以上，或搭设基础标高在200m及以上的起重机械安装和拆卸工程。</w:t>
            </w:r>
          </w:p>
        </w:tc>
        <w:tc>
          <w:tcPr>
            <w:tcW w:w="1291" w:type="dxa"/>
            <w:tcBorders>
              <w:top w:val="single" w:color="auto" w:sz="4" w:space="0"/>
              <w:left w:val="single" w:color="auto" w:sz="4" w:space="0"/>
              <w:bottom w:val="single" w:color="auto" w:sz="4" w:space="0"/>
              <w:right w:val="single" w:color="auto" w:sz="4" w:space="0"/>
            </w:tcBorders>
            <w:vAlign w:val="center"/>
          </w:tcPr>
          <w:p w14:paraId="411262F2">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0B264452">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421D4BF2">
            <w:pPr>
              <w:jc w:val="center"/>
              <w:rPr>
                <w:rFonts w:ascii="宋体" w:hAnsi="宋体" w:cs="宋体"/>
                <w:highlight w:val="none"/>
              </w:rPr>
            </w:pPr>
          </w:p>
        </w:tc>
      </w:tr>
      <w:tr w14:paraId="2A8A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91" w:type="dxa"/>
            <w:tcBorders>
              <w:top w:val="single" w:color="auto" w:sz="4" w:space="0"/>
              <w:left w:val="single" w:color="auto" w:sz="4" w:space="0"/>
              <w:bottom w:val="single" w:color="auto" w:sz="4" w:space="0"/>
              <w:right w:val="single" w:color="auto" w:sz="4" w:space="0"/>
            </w:tcBorders>
            <w:vAlign w:val="center"/>
          </w:tcPr>
          <w:p w14:paraId="7D7FECD3">
            <w:pPr>
              <w:jc w:val="center"/>
              <w:rPr>
                <w:rFonts w:ascii="宋体" w:hAnsi="宋体" w:cs="宋体"/>
                <w:highlight w:val="none"/>
              </w:rPr>
            </w:pPr>
            <w:r>
              <w:rPr>
                <w:rFonts w:hint="eastAsia" w:ascii="宋体" w:hAnsi="宋体" w:cs="宋体"/>
                <w:b/>
                <w:bCs/>
                <w:highlight w:val="none"/>
              </w:rPr>
              <w:t>四、脚手架工程</w:t>
            </w:r>
          </w:p>
        </w:tc>
        <w:tc>
          <w:tcPr>
            <w:tcW w:w="1291" w:type="dxa"/>
            <w:tcBorders>
              <w:top w:val="single" w:color="auto" w:sz="4" w:space="0"/>
              <w:left w:val="single" w:color="auto" w:sz="4" w:space="0"/>
              <w:bottom w:val="single" w:color="auto" w:sz="4" w:space="0"/>
              <w:right w:val="single" w:color="auto" w:sz="4" w:space="0"/>
            </w:tcBorders>
            <w:vAlign w:val="center"/>
          </w:tcPr>
          <w:p w14:paraId="5B0DC985">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1C767031">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1C25839B">
            <w:pPr>
              <w:jc w:val="center"/>
              <w:rPr>
                <w:rFonts w:ascii="宋体" w:hAnsi="宋体" w:cs="宋体"/>
                <w:highlight w:val="none"/>
              </w:rPr>
            </w:pPr>
          </w:p>
        </w:tc>
      </w:tr>
      <w:tr w14:paraId="44C1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1" w:type="dxa"/>
            <w:tcBorders>
              <w:top w:val="single" w:color="auto" w:sz="4" w:space="0"/>
              <w:left w:val="single" w:color="auto" w:sz="4" w:space="0"/>
              <w:bottom w:val="single" w:color="auto" w:sz="4" w:space="0"/>
              <w:right w:val="single" w:color="auto" w:sz="4" w:space="0"/>
            </w:tcBorders>
            <w:vAlign w:val="center"/>
          </w:tcPr>
          <w:p w14:paraId="7399E6C7">
            <w:pPr>
              <w:rPr>
                <w:rFonts w:ascii="宋体" w:hAnsi="宋体" w:cs="宋体"/>
                <w:highlight w:val="none"/>
              </w:rPr>
            </w:pPr>
            <w:r>
              <w:rPr>
                <w:rFonts w:hint="eastAsia" w:ascii="宋体" w:hAnsi="宋体" w:cs="宋体"/>
                <w:highlight w:val="none"/>
              </w:rPr>
              <w:t>（一）搭设高度50m及以上的落地式钢管脚手架工程。</w:t>
            </w:r>
          </w:p>
        </w:tc>
        <w:tc>
          <w:tcPr>
            <w:tcW w:w="1291" w:type="dxa"/>
            <w:tcBorders>
              <w:top w:val="single" w:color="auto" w:sz="4" w:space="0"/>
              <w:left w:val="single" w:color="auto" w:sz="4" w:space="0"/>
              <w:bottom w:val="single" w:color="auto" w:sz="4" w:space="0"/>
              <w:right w:val="single" w:color="auto" w:sz="4" w:space="0"/>
            </w:tcBorders>
            <w:vAlign w:val="center"/>
          </w:tcPr>
          <w:p w14:paraId="15B29CA3">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685402A9">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18FA6F72">
            <w:pPr>
              <w:jc w:val="center"/>
              <w:rPr>
                <w:rFonts w:ascii="宋体" w:hAnsi="宋体" w:cs="宋体"/>
                <w:highlight w:val="none"/>
              </w:rPr>
            </w:pPr>
          </w:p>
        </w:tc>
      </w:tr>
      <w:tr w14:paraId="022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1" w:type="dxa"/>
            <w:tcBorders>
              <w:top w:val="single" w:color="auto" w:sz="4" w:space="0"/>
              <w:left w:val="single" w:color="auto" w:sz="4" w:space="0"/>
              <w:bottom w:val="single" w:color="auto" w:sz="4" w:space="0"/>
              <w:right w:val="single" w:color="auto" w:sz="4" w:space="0"/>
            </w:tcBorders>
            <w:vAlign w:val="center"/>
          </w:tcPr>
          <w:p w14:paraId="1E2E5FD8">
            <w:pPr>
              <w:rPr>
                <w:rFonts w:ascii="宋体" w:hAnsi="宋体" w:cs="宋体"/>
                <w:highlight w:val="none"/>
              </w:rPr>
            </w:pPr>
            <w:r>
              <w:rPr>
                <w:rFonts w:hint="eastAsia" w:ascii="宋体" w:hAnsi="宋体" w:cs="宋体"/>
                <w:highlight w:val="none"/>
              </w:rPr>
              <w:t>（二）提升高度在150m及以上的附着式升降脚手架工程或附着式升降操作平台工程。</w:t>
            </w:r>
          </w:p>
        </w:tc>
        <w:tc>
          <w:tcPr>
            <w:tcW w:w="1291" w:type="dxa"/>
            <w:tcBorders>
              <w:top w:val="single" w:color="auto" w:sz="4" w:space="0"/>
              <w:left w:val="single" w:color="auto" w:sz="4" w:space="0"/>
              <w:bottom w:val="single" w:color="auto" w:sz="4" w:space="0"/>
              <w:right w:val="single" w:color="auto" w:sz="4" w:space="0"/>
            </w:tcBorders>
            <w:vAlign w:val="center"/>
          </w:tcPr>
          <w:p w14:paraId="16384384">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59D39F90">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02F7473D">
            <w:pPr>
              <w:jc w:val="center"/>
              <w:rPr>
                <w:rFonts w:ascii="宋体" w:hAnsi="宋体" w:cs="宋体"/>
                <w:highlight w:val="none"/>
              </w:rPr>
            </w:pPr>
          </w:p>
        </w:tc>
      </w:tr>
      <w:tr w14:paraId="185E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1" w:type="dxa"/>
            <w:tcBorders>
              <w:top w:val="single" w:color="auto" w:sz="4" w:space="0"/>
              <w:left w:val="single" w:color="auto" w:sz="4" w:space="0"/>
              <w:bottom w:val="single" w:color="auto" w:sz="4" w:space="0"/>
              <w:right w:val="single" w:color="auto" w:sz="4" w:space="0"/>
            </w:tcBorders>
            <w:vAlign w:val="center"/>
          </w:tcPr>
          <w:p w14:paraId="1751EDA7">
            <w:pPr>
              <w:rPr>
                <w:rFonts w:ascii="宋体" w:hAnsi="宋体" w:cs="宋体"/>
                <w:highlight w:val="none"/>
              </w:rPr>
            </w:pPr>
            <w:r>
              <w:rPr>
                <w:rFonts w:hint="eastAsia" w:ascii="宋体" w:hAnsi="宋体" w:cs="宋体"/>
                <w:highlight w:val="none"/>
              </w:rPr>
              <w:t>（三）分段架体搭设高度20m及以上的悬挑式脚手架工程。</w:t>
            </w:r>
          </w:p>
        </w:tc>
        <w:tc>
          <w:tcPr>
            <w:tcW w:w="1291" w:type="dxa"/>
            <w:tcBorders>
              <w:top w:val="single" w:color="auto" w:sz="4" w:space="0"/>
              <w:left w:val="single" w:color="auto" w:sz="4" w:space="0"/>
              <w:bottom w:val="single" w:color="auto" w:sz="4" w:space="0"/>
              <w:right w:val="single" w:color="auto" w:sz="4" w:space="0"/>
            </w:tcBorders>
            <w:vAlign w:val="center"/>
          </w:tcPr>
          <w:p w14:paraId="0A1BD407">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7C3B6543">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114AB4B4">
            <w:pPr>
              <w:jc w:val="center"/>
              <w:rPr>
                <w:rFonts w:ascii="宋体" w:hAnsi="宋体" w:cs="宋体"/>
                <w:highlight w:val="none"/>
              </w:rPr>
            </w:pPr>
          </w:p>
        </w:tc>
      </w:tr>
      <w:tr w14:paraId="0869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291" w:type="dxa"/>
            <w:tcBorders>
              <w:top w:val="single" w:color="auto" w:sz="4" w:space="0"/>
              <w:left w:val="single" w:color="auto" w:sz="4" w:space="0"/>
              <w:bottom w:val="single" w:color="auto" w:sz="4" w:space="0"/>
              <w:right w:val="single" w:color="auto" w:sz="4" w:space="0"/>
            </w:tcBorders>
            <w:vAlign w:val="center"/>
          </w:tcPr>
          <w:p w14:paraId="29302443">
            <w:pPr>
              <w:jc w:val="center"/>
              <w:rPr>
                <w:rFonts w:ascii="宋体" w:hAnsi="宋体" w:cs="宋体"/>
                <w:highlight w:val="none"/>
              </w:rPr>
            </w:pPr>
            <w:r>
              <w:rPr>
                <w:rFonts w:hint="eastAsia" w:ascii="宋体" w:hAnsi="宋体" w:cs="宋体"/>
                <w:b/>
                <w:bCs/>
                <w:highlight w:val="none"/>
              </w:rPr>
              <w:t>五、拆除工程</w:t>
            </w:r>
          </w:p>
        </w:tc>
        <w:tc>
          <w:tcPr>
            <w:tcW w:w="1291" w:type="dxa"/>
            <w:tcBorders>
              <w:top w:val="single" w:color="auto" w:sz="4" w:space="0"/>
              <w:left w:val="single" w:color="auto" w:sz="4" w:space="0"/>
              <w:bottom w:val="single" w:color="auto" w:sz="4" w:space="0"/>
              <w:right w:val="single" w:color="auto" w:sz="4" w:space="0"/>
            </w:tcBorders>
            <w:vAlign w:val="center"/>
          </w:tcPr>
          <w:p w14:paraId="4A412318">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3BD054DA">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4454C0DF">
            <w:pPr>
              <w:jc w:val="center"/>
              <w:rPr>
                <w:rFonts w:ascii="宋体" w:hAnsi="宋体" w:cs="宋体"/>
                <w:highlight w:val="none"/>
              </w:rPr>
            </w:pPr>
          </w:p>
        </w:tc>
      </w:tr>
      <w:tr w14:paraId="4C5E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5291" w:type="dxa"/>
            <w:tcBorders>
              <w:top w:val="single" w:color="auto" w:sz="4" w:space="0"/>
              <w:left w:val="single" w:color="auto" w:sz="4" w:space="0"/>
              <w:bottom w:val="single" w:color="auto" w:sz="4" w:space="0"/>
              <w:right w:val="single" w:color="auto" w:sz="4" w:space="0"/>
            </w:tcBorders>
            <w:vAlign w:val="center"/>
          </w:tcPr>
          <w:p w14:paraId="1BAF5D05">
            <w:pPr>
              <w:rPr>
                <w:rFonts w:ascii="宋体" w:hAnsi="宋体" w:cs="宋体"/>
                <w:highlight w:val="none"/>
              </w:rPr>
            </w:pPr>
            <w:r>
              <w:rPr>
                <w:rFonts w:hint="eastAsia" w:ascii="宋体" w:hAnsi="宋体" w:cs="宋体"/>
                <w:highlight w:val="none"/>
              </w:rPr>
              <w:t>（一）码头、桥梁、高架、烟囱、水塔或拆除中容易引起有毒有害气（液）体或粉尘扩散、易燃易爆事故发生的特殊建、构筑物的拆除工程。</w:t>
            </w:r>
          </w:p>
        </w:tc>
        <w:tc>
          <w:tcPr>
            <w:tcW w:w="1291" w:type="dxa"/>
            <w:tcBorders>
              <w:top w:val="single" w:color="auto" w:sz="4" w:space="0"/>
              <w:left w:val="single" w:color="auto" w:sz="4" w:space="0"/>
              <w:bottom w:val="single" w:color="auto" w:sz="4" w:space="0"/>
              <w:right w:val="single" w:color="auto" w:sz="4" w:space="0"/>
            </w:tcBorders>
            <w:vAlign w:val="center"/>
          </w:tcPr>
          <w:p w14:paraId="5DE5DB3D">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2741830A">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578F87E3">
            <w:pPr>
              <w:jc w:val="center"/>
              <w:rPr>
                <w:rFonts w:ascii="宋体" w:hAnsi="宋体" w:cs="宋体"/>
                <w:highlight w:val="none"/>
              </w:rPr>
            </w:pPr>
          </w:p>
        </w:tc>
      </w:tr>
      <w:tr w14:paraId="6E49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291" w:type="dxa"/>
            <w:tcBorders>
              <w:top w:val="single" w:color="auto" w:sz="4" w:space="0"/>
              <w:left w:val="single" w:color="auto" w:sz="4" w:space="0"/>
              <w:bottom w:val="single" w:color="auto" w:sz="4" w:space="0"/>
              <w:right w:val="single" w:color="auto" w:sz="4" w:space="0"/>
            </w:tcBorders>
            <w:vAlign w:val="center"/>
          </w:tcPr>
          <w:p w14:paraId="3FA2E4A1">
            <w:pPr>
              <w:rPr>
                <w:rFonts w:ascii="宋体" w:hAnsi="宋体" w:cs="宋体"/>
                <w:highlight w:val="none"/>
              </w:rPr>
            </w:pPr>
            <w:r>
              <w:rPr>
                <w:rFonts w:hint="eastAsia" w:ascii="宋体" w:hAnsi="宋体" w:cs="宋体"/>
                <w:highlight w:val="none"/>
              </w:rPr>
              <w:t>（二）文物保护建筑、优秀历史建筑或历史文化风貌区影响范围内的拆除工程。</w:t>
            </w:r>
          </w:p>
        </w:tc>
        <w:tc>
          <w:tcPr>
            <w:tcW w:w="1291" w:type="dxa"/>
            <w:tcBorders>
              <w:top w:val="single" w:color="auto" w:sz="4" w:space="0"/>
              <w:left w:val="single" w:color="auto" w:sz="4" w:space="0"/>
              <w:bottom w:val="single" w:color="auto" w:sz="4" w:space="0"/>
              <w:right w:val="single" w:color="auto" w:sz="4" w:space="0"/>
            </w:tcBorders>
            <w:vAlign w:val="center"/>
          </w:tcPr>
          <w:p w14:paraId="699D66FC">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04EBC18C">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4945A166">
            <w:pPr>
              <w:jc w:val="center"/>
              <w:rPr>
                <w:rFonts w:ascii="宋体" w:hAnsi="宋体" w:cs="宋体"/>
                <w:highlight w:val="none"/>
              </w:rPr>
            </w:pPr>
          </w:p>
        </w:tc>
      </w:tr>
      <w:tr w14:paraId="5E02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291" w:type="dxa"/>
            <w:tcBorders>
              <w:top w:val="single" w:color="auto" w:sz="4" w:space="0"/>
              <w:left w:val="single" w:color="auto" w:sz="4" w:space="0"/>
              <w:bottom w:val="single" w:color="auto" w:sz="4" w:space="0"/>
              <w:right w:val="single" w:color="auto" w:sz="4" w:space="0"/>
            </w:tcBorders>
            <w:vAlign w:val="center"/>
          </w:tcPr>
          <w:p w14:paraId="5C68987B">
            <w:pPr>
              <w:jc w:val="center"/>
              <w:rPr>
                <w:rFonts w:ascii="宋体" w:hAnsi="宋体" w:cs="宋体"/>
                <w:highlight w:val="none"/>
              </w:rPr>
            </w:pPr>
            <w:r>
              <w:rPr>
                <w:rFonts w:hint="eastAsia" w:ascii="宋体" w:hAnsi="宋体" w:cs="宋体"/>
                <w:b/>
                <w:bCs/>
                <w:highlight w:val="none"/>
              </w:rPr>
              <w:t>六、暗挖工程</w:t>
            </w:r>
          </w:p>
        </w:tc>
        <w:tc>
          <w:tcPr>
            <w:tcW w:w="1291" w:type="dxa"/>
            <w:tcBorders>
              <w:top w:val="single" w:color="auto" w:sz="4" w:space="0"/>
              <w:left w:val="single" w:color="auto" w:sz="4" w:space="0"/>
              <w:bottom w:val="single" w:color="auto" w:sz="4" w:space="0"/>
              <w:right w:val="single" w:color="auto" w:sz="4" w:space="0"/>
            </w:tcBorders>
            <w:vAlign w:val="center"/>
          </w:tcPr>
          <w:p w14:paraId="70CF47C0">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06425FBF">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264138CB">
            <w:pPr>
              <w:jc w:val="center"/>
              <w:rPr>
                <w:rFonts w:ascii="宋体" w:hAnsi="宋体" w:cs="宋体"/>
                <w:highlight w:val="none"/>
              </w:rPr>
            </w:pPr>
          </w:p>
        </w:tc>
      </w:tr>
      <w:tr w14:paraId="7E30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1" w:type="dxa"/>
            <w:tcBorders>
              <w:top w:val="single" w:color="auto" w:sz="4" w:space="0"/>
              <w:left w:val="single" w:color="auto" w:sz="4" w:space="0"/>
              <w:bottom w:val="single" w:color="auto" w:sz="4" w:space="0"/>
              <w:right w:val="single" w:color="auto" w:sz="4" w:space="0"/>
            </w:tcBorders>
            <w:vAlign w:val="center"/>
          </w:tcPr>
          <w:p w14:paraId="0C6A0E57">
            <w:pPr>
              <w:rPr>
                <w:rFonts w:ascii="宋体" w:hAnsi="宋体" w:cs="宋体"/>
                <w:highlight w:val="none"/>
              </w:rPr>
            </w:pPr>
            <w:r>
              <w:rPr>
                <w:rFonts w:hint="eastAsia" w:ascii="宋体" w:hAnsi="宋体" w:cs="宋体"/>
                <w:highlight w:val="none"/>
              </w:rPr>
              <w:t>采用矿山法、盾构法、顶管法施工的隧道、洞室工程。</w:t>
            </w:r>
          </w:p>
        </w:tc>
        <w:tc>
          <w:tcPr>
            <w:tcW w:w="1291" w:type="dxa"/>
            <w:tcBorders>
              <w:top w:val="single" w:color="auto" w:sz="4" w:space="0"/>
              <w:left w:val="single" w:color="auto" w:sz="4" w:space="0"/>
              <w:bottom w:val="single" w:color="auto" w:sz="4" w:space="0"/>
              <w:right w:val="single" w:color="auto" w:sz="4" w:space="0"/>
            </w:tcBorders>
            <w:vAlign w:val="center"/>
          </w:tcPr>
          <w:p w14:paraId="1A92FF92">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40C76FE9">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3AFE474C">
            <w:pPr>
              <w:jc w:val="center"/>
              <w:rPr>
                <w:rFonts w:ascii="宋体" w:hAnsi="宋体" w:cs="宋体"/>
                <w:highlight w:val="none"/>
              </w:rPr>
            </w:pPr>
          </w:p>
        </w:tc>
      </w:tr>
      <w:tr w14:paraId="6BF8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291" w:type="dxa"/>
            <w:tcBorders>
              <w:top w:val="single" w:color="auto" w:sz="4" w:space="0"/>
              <w:left w:val="single" w:color="auto" w:sz="4" w:space="0"/>
              <w:bottom w:val="single" w:color="auto" w:sz="4" w:space="0"/>
              <w:right w:val="single" w:color="auto" w:sz="4" w:space="0"/>
            </w:tcBorders>
            <w:vAlign w:val="center"/>
          </w:tcPr>
          <w:p w14:paraId="66A5CD09">
            <w:pPr>
              <w:jc w:val="center"/>
              <w:rPr>
                <w:rFonts w:ascii="宋体" w:hAnsi="宋体" w:cs="宋体"/>
                <w:highlight w:val="none"/>
              </w:rPr>
            </w:pPr>
            <w:r>
              <w:rPr>
                <w:rFonts w:hint="eastAsia" w:ascii="宋体" w:hAnsi="宋体" w:cs="宋体"/>
                <w:b/>
                <w:bCs/>
                <w:highlight w:val="none"/>
              </w:rPr>
              <w:t>七、其它</w:t>
            </w:r>
          </w:p>
        </w:tc>
        <w:tc>
          <w:tcPr>
            <w:tcW w:w="1291" w:type="dxa"/>
            <w:tcBorders>
              <w:top w:val="single" w:color="auto" w:sz="4" w:space="0"/>
              <w:left w:val="single" w:color="auto" w:sz="4" w:space="0"/>
              <w:bottom w:val="single" w:color="auto" w:sz="4" w:space="0"/>
              <w:right w:val="single" w:color="auto" w:sz="4" w:space="0"/>
            </w:tcBorders>
            <w:vAlign w:val="center"/>
          </w:tcPr>
          <w:p w14:paraId="43C5989D">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60DA9DE6">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1B6A9754">
            <w:pPr>
              <w:jc w:val="center"/>
              <w:rPr>
                <w:rFonts w:ascii="宋体" w:hAnsi="宋体" w:cs="宋体"/>
                <w:highlight w:val="none"/>
              </w:rPr>
            </w:pPr>
          </w:p>
        </w:tc>
      </w:tr>
      <w:tr w14:paraId="0F60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1" w:type="dxa"/>
            <w:tcBorders>
              <w:top w:val="single" w:color="auto" w:sz="4" w:space="0"/>
              <w:left w:val="single" w:color="auto" w:sz="4" w:space="0"/>
              <w:bottom w:val="single" w:color="auto" w:sz="4" w:space="0"/>
              <w:right w:val="single" w:color="auto" w:sz="4" w:space="0"/>
            </w:tcBorders>
            <w:vAlign w:val="center"/>
          </w:tcPr>
          <w:p w14:paraId="00F5AF64">
            <w:pPr>
              <w:rPr>
                <w:rFonts w:ascii="宋体" w:hAnsi="宋体" w:cs="宋体"/>
                <w:highlight w:val="none"/>
              </w:rPr>
            </w:pPr>
            <w:r>
              <w:rPr>
                <w:rFonts w:hint="eastAsia" w:ascii="宋体" w:hAnsi="宋体" w:cs="宋体"/>
                <w:highlight w:val="none"/>
              </w:rPr>
              <w:t>（一）施工高度50m及以上的建筑幕墙安装工程。</w:t>
            </w:r>
          </w:p>
        </w:tc>
        <w:tc>
          <w:tcPr>
            <w:tcW w:w="1291" w:type="dxa"/>
            <w:tcBorders>
              <w:top w:val="single" w:color="auto" w:sz="4" w:space="0"/>
              <w:left w:val="single" w:color="auto" w:sz="4" w:space="0"/>
              <w:bottom w:val="single" w:color="auto" w:sz="4" w:space="0"/>
              <w:right w:val="single" w:color="auto" w:sz="4" w:space="0"/>
            </w:tcBorders>
            <w:vAlign w:val="center"/>
          </w:tcPr>
          <w:p w14:paraId="012FD0C3">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68705F40">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595041D2">
            <w:pPr>
              <w:jc w:val="center"/>
              <w:rPr>
                <w:rFonts w:ascii="宋体" w:hAnsi="宋体" w:cs="宋体"/>
                <w:highlight w:val="none"/>
              </w:rPr>
            </w:pPr>
          </w:p>
        </w:tc>
      </w:tr>
      <w:tr w14:paraId="5650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5291" w:type="dxa"/>
            <w:tcBorders>
              <w:top w:val="single" w:color="auto" w:sz="4" w:space="0"/>
              <w:left w:val="single" w:color="auto" w:sz="4" w:space="0"/>
              <w:bottom w:val="single" w:color="auto" w:sz="4" w:space="0"/>
              <w:right w:val="single" w:color="auto" w:sz="4" w:space="0"/>
            </w:tcBorders>
            <w:vAlign w:val="center"/>
          </w:tcPr>
          <w:p w14:paraId="738AE2AF">
            <w:pPr>
              <w:rPr>
                <w:rFonts w:ascii="宋体" w:hAnsi="宋体" w:cs="宋体"/>
                <w:highlight w:val="none"/>
              </w:rPr>
            </w:pPr>
            <w:r>
              <w:rPr>
                <w:rFonts w:hint="eastAsia" w:ascii="宋体" w:hAnsi="宋体" w:cs="宋体"/>
                <w:highlight w:val="none"/>
              </w:rPr>
              <w:t>（二）跨度36m及以上的钢结构安装工程，或跨度60m及以上的网架和索膜结构安装工程。</w:t>
            </w:r>
          </w:p>
        </w:tc>
        <w:tc>
          <w:tcPr>
            <w:tcW w:w="1291" w:type="dxa"/>
            <w:tcBorders>
              <w:top w:val="single" w:color="auto" w:sz="4" w:space="0"/>
              <w:left w:val="single" w:color="auto" w:sz="4" w:space="0"/>
              <w:bottom w:val="single" w:color="auto" w:sz="4" w:space="0"/>
              <w:right w:val="single" w:color="auto" w:sz="4" w:space="0"/>
            </w:tcBorders>
            <w:vAlign w:val="center"/>
          </w:tcPr>
          <w:p w14:paraId="1132DC3E">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7AB95F28">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2000EF28">
            <w:pPr>
              <w:jc w:val="center"/>
              <w:rPr>
                <w:rFonts w:ascii="宋体" w:hAnsi="宋体" w:cs="宋体"/>
                <w:highlight w:val="none"/>
              </w:rPr>
            </w:pPr>
          </w:p>
        </w:tc>
      </w:tr>
      <w:tr w14:paraId="60DB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291" w:type="dxa"/>
            <w:tcBorders>
              <w:top w:val="single" w:color="auto" w:sz="4" w:space="0"/>
              <w:left w:val="single" w:color="auto" w:sz="4" w:space="0"/>
              <w:bottom w:val="single" w:color="auto" w:sz="4" w:space="0"/>
              <w:right w:val="single" w:color="auto" w:sz="4" w:space="0"/>
            </w:tcBorders>
            <w:vAlign w:val="center"/>
          </w:tcPr>
          <w:p w14:paraId="7BB0AC03">
            <w:pPr>
              <w:rPr>
                <w:rFonts w:ascii="宋体" w:hAnsi="宋体" w:cs="宋体"/>
                <w:highlight w:val="none"/>
              </w:rPr>
            </w:pPr>
            <w:r>
              <w:rPr>
                <w:rFonts w:hint="eastAsia" w:ascii="宋体" w:hAnsi="宋体" w:cs="宋体"/>
                <w:highlight w:val="none"/>
              </w:rPr>
              <w:t>（三）开挖深度16m及以上的人工挖孔桩工程。</w:t>
            </w:r>
          </w:p>
        </w:tc>
        <w:tc>
          <w:tcPr>
            <w:tcW w:w="1291" w:type="dxa"/>
            <w:tcBorders>
              <w:top w:val="single" w:color="auto" w:sz="4" w:space="0"/>
              <w:left w:val="single" w:color="auto" w:sz="4" w:space="0"/>
              <w:bottom w:val="single" w:color="auto" w:sz="4" w:space="0"/>
              <w:right w:val="single" w:color="auto" w:sz="4" w:space="0"/>
            </w:tcBorders>
            <w:vAlign w:val="center"/>
          </w:tcPr>
          <w:p w14:paraId="57495BD6">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3CEA72AD">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7A1603EC">
            <w:pPr>
              <w:jc w:val="center"/>
              <w:rPr>
                <w:rFonts w:ascii="宋体" w:hAnsi="宋体" w:cs="宋体"/>
                <w:highlight w:val="none"/>
              </w:rPr>
            </w:pPr>
          </w:p>
        </w:tc>
      </w:tr>
      <w:tr w14:paraId="0ABA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291" w:type="dxa"/>
            <w:tcBorders>
              <w:top w:val="single" w:color="auto" w:sz="4" w:space="0"/>
              <w:left w:val="single" w:color="auto" w:sz="4" w:space="0"/>
              <w:bottom w:val="single" w:color="auto" w:sz="4" w:space="0"/>
              <w:right w:val="single" w:color="auto" w:sz="4" w:space="0"/>
            </w:tcBorders>
            <w:vAlign w:val="center"/>
          </w:tcPr>
          <w:p w14:paraId="36046259">
            <w:pPr>
              <w:jc w:val="center"/>
              <w:rPr>
                <w:rFonts w:ascii="宋体" w:hAnsi="宋体" w:cs="宋体"/>
                <w:highlight w:val="none"/>
              </w:rPr>
            </w:pPr>
            <w:r>
              <w:rPr>
                <w:rFonts w:hint="eastAsia" w:ascii="宋体" w:hAnsi="宋体" w:cs="宋体"/>
                <w:b/>
                <w:bCs/>
                <w:highlight w:val="none"/>
              </w:rPr>
              <w:t>（四）水下作业工程</w:t>
            </w:r>
          </w:p>
        </w:tc>
        <w:tc>
          <w:tcPr>
            <w:tcW w:w="1291" w:type="dxa"/>
            <w:tcBorders>
              <w:top w:val="single" w:color="auto" w:sz="4" w:space="0"/>
              <w:left w:val="single" w:color="auto" w:sz="4" w:space="0"/>
              <w:bottom w:val="single" w:color="auto" w:sz="4" w:space="0"/>
              <w:right w:val="single" w:color="auto" w:sz="4" w:space="0"/>
            </w:tcBorders>
            <w:vAlign w:val="center"/>
          </w:tcPr>
          <w:p w14:paraId="3E1080B1">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0340138A">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01DAB42B">
            <w:pPr>
              <w:jc w:val="center"/>
              <w:rPr>
                <w:rFonts w:ascii="宋体" w:hAnsi="宋体" w:cs="宋体"/>
                <w:highlight w:val="none"/>
              </w:rPr>
            </w:pPr>
          </w:p>
        </w:tc>
      </w:tr>
      <w:tr w14:paraId="5F24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1" w:type="dxa"/>
            <w:tcBorders>
              <w:top w:val="single" w:color="auto" w:sz="4" w:space="0"/>
              <w:left w:val="single" w:color="auto" w:sz="4" w:space="0"/>
              <w:bottom w:val="single" w:color="auto" w:sz="4" w:space="0"/>
              <w:right w:val="single" w:color="auto" w:sz="4" w:space="0"/>
            </w:tcBorders>
            <w:vAlign w:val="center"/>
          </w:tcPr>
          <w:p w14:paraId="0F5489BC">
            <w:pPr>
              <w:rPr>
                <w:rFonts w:ascii="宋体" w:hAnsi="宋体" w:cs="宋体"/>
                <w:highlight w:val="none"/>
              </w:rPr>
            </w:pPr>
            <w:r>
              <w:rPr>
                <w:rFonts w:hint="eastAsia" w:ascii="宋体" w:hAnsi="宋体" w:cs="宋体"/>
                <w:highlight w:val="none"/>
              </w:rPr>
              <w:t>（五）重量1000kN及以上的大型结构整体顶升、平移、转体等施工工艺。</w:t>
            </w:r>
          </w:p>
        </w:tc>
        <w:tc>
          <w:tcPr>
            <w:tcW w:w="1291" w:type="dxa"/>
            <w:tcBorders>
              <w:top w:val="single" w:color="auto" w:sz="4" w:space="0"/>
              <w:left w:val="single" w:color="auto" w:sz="4" w:space="0"/>
              <w:bottom w:val="single" w:color="auto" w:sz="4" w:space="0"/>
              <w:right w:val="single" w:color="auto" w:sz="4" w:space="0"/>
            </w:tcBorders>
            <w:vAlign w:val="center"/>
          </w:tcPr>
          <w:p w14:paraId="7906E65C">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76AAD20A">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0BF2B7AE">
            <w:pPr>
              <w:jc w:val="center"/>
              <w:rPr>
                <w:rFonts w:ascii="宋体" w:hAnsi="宋体" w:cs="宋体"/>
                <w:highlight w:val="none"/>
              </w:rPr>
            </w:pPr>
          </w:p>
        </w:tc>
      </w:tr>
      <w:tr w14:paraId="4C3A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1" w:type="dxa"/>
            <w:tcBorders>
              <w:top w:val="single" w:color="auto" w:sz="4" w:space="0"/>
              <w:left w:val="single" w:color="auto" w:sz="4" w:space="0"/>
              <w:bottom w:val="single" w:color="auto" w:sz="4" w:space="0"/>
              <w:right w:val="single" w:color="auto" w:sz="4" w:space="0"/>
            </w:tcBorders>
            <w:vAlign w:val="center"/>
          </w:tcPr>
          <w:p w14:paraId="60166908">
            <w:pPr>
              <w:rPr>
                <w:rFonts w:ascii="宋体" w:hAnsi="宋体" w:cs="宋体"/>
                <w:highlight w:val="none"/>
              </w:rPr>
            </w:pPr>
            <w:r>
              <w:rPr>
                <w:rFonts w:hint="eastAsia" w:ascii="宋体" w:hAnsi="宋体" w:cs="宋体"/>
                <w:highlight w:val="none"/>
              </w:rPr>
              <w:t>（六）采用新技术、新工艺、新材料、新设备可能影响工程施工安全，尚无国家、行业及地方技术标准的分部分项工程。</w:t>
            </w:r>
          </w:p>
        </w:tc>
        <w:tc>
          <w:tcPr>
            <w:tcW w:w="1291" w:type="dxa"/>
            <w:tcBorders>
              <w:top w:val="single" w:color="auto" w:sz="4" w:space="0"/>
              <w:left w:val="single" w:color="auto" w:sz="4" w:space="0"/>
              <w:bottom w:val="single" w:color="auto" w:sz="4" w:space="0"/>
              <w:right w:val="single" w:color="auto" w:sz="4" w:space="0"/>
            </w:tcBorders>
            <w:vAlign w:val="center"/>
          </w:tcPr>
          <w:p w14:paraId="75D4541C">
            <w:pPr>
              <w:jc w:val="center"/>
              <w:rPr>
                <w:rFonts w:ascii="宋体" w:hAnsi="宋体" w:cs="宋体"/>
                <w:highlight w:val="none"/>
              </w:rPr>
            </w:pPr>
            <w:r>
              <w:rPr>
                <w:rFonts w:hint="eastAsia" w:ascii="宋体" w:hAnsi="宋体" w:cs="宋体"/>
                <w:highlight w:val="none"/>
              </w:rPr>
              <w:t>(      )</w:t>
            </w:r>
          </w:p>
        </w:tc>
        <w:tc>
          <w:tcPr>
            <w:tcW w:w="1542" w:type="dxa"/>
            <w:tcBorders>
              <w:top w:val="single" w:color="auto" w:sz="4" w:space="0"/>
              <w:left w:val="single" w:color="auto" w:sz="4" w:space="0"/>
              <w:bottom w:val="single" w:color="auto" w:sz="4" w:space="0"/>
              <w:right w:val="single" w:color="auto" w:sz="4" w:space="0"/>
            </w:tcBorders>
            <w:vAlign w:val="center"/>
          </w:tcPr>
          <w:p w14:paraId="01742D72">
            <w:pPr>
              <w:jc w:val="center"/>
              <w:rPr>
                <w:rFonts w:ascii="宋体" w:hAnsi="宋体" w:cs="宋体"/>
                <w:highlight w:val="none"/>
              </w:rPr>
            </w:pPr>
            <w:r>
              <w:rPr>
                <w:rFonts w:hint="eastAsia" w:ascii="宋体" w:hAnsi="宋体" w:cs="宋体"/>
                <w:highlight w:val="none"/>
              </w:rPr>
              <w:t>(      )</w:t>
            </w:r>
          </w:p>
        </w:tc>
        <w:tc>
          <w:tcPr>
            <w:tcW w:w="1499" w:type="dxa"/>
            <w:tcBorders>
              <w:top w:val="single" w:color="auto" w:sz="4" w:space="0"/>
              <w:left w:val="single" w:color="auto" w:sz="4" w:space="0"/>
              <w:bottom w:val="single" w:color="auto" w:sz="4" w:space="0"/>
              <w:right w:val="single" w:color="auto" w:sz="4" w:space="0"/>
            </w:tcBorders>
            <w:vAlign w:val="center"/>
          </w:tcPr>
          <w:p w14:paraId="03518BD6">
            <w:pPr>
              <w:jc w:val="center"/>
              <w:rPr>
                <w:rFonts w:ascii="宋体" w:hAnsi="宋体" w:cs="宋体"/>
                <w:highlight w:val="none"/>
              </w:rPr>
            </w:pPr>
          </w:p>
        </w:tc>
      </w:tr>
    </w:tbl>
    <w:p w14:paraId="4D56097E">
      <w:pPr>
        <w:ind w:firstLine="480"/>
        <w:rPr>
          <w:rFonts w:ascii="宋体" w:hAnsi="宋体" w:cs="宋体"/>
          <w:highlight w:val="none"/>
          <w:u w:val="single"/>
        </w:rPr>
      </w:pPr>
      <w:r>
        <w:rPr>
          <w:rFonts w:hint="eastAsia" w:ascii="宋体" w:hAnsi="宋体" w:cs="宋体"/>
          <w:highlight w:val="none"/>
        </w:rPr>
        <w:t>投标人名称（盖章）：</w:t>
      </w:r>
      <w:r>
        <w:rPr>
          <w:rFonts w:hint="eastAsia" w:ascii="宋体" w:hAnsi="宋体" w:cs="宋体"/>
          <w:highlight w:val="none"/>
          <w:u w:val="single"/>
        </w:rPr>
        <w:t xml:space="preserve">               </w:t>
      </w:r>
    </w:p>
    <w:p w14:paraId="6464E5DA">
      <w:pPr>
        <w:ind w:firstLine="480"/>
        <w:rPr>
          <w:rFonts w:ascii="宋体" w:hAnsi="宋体" w:cs="宋体"/>
          <w:highlight w:val="none"/>
        </w:rPr>
      </w:pPr>
      <w:r>
        <w:rPr>
          <w:rFonts w:hint="eastAsia" w:ascii="宋体" w:hAnsi="宋体" w:cs="宋体"/>
          <w:highlight w:val="none"/>
        </w:rPr>
        <w:t>法定代表人或被授权人（签字或盖章）：</w:t>
      </w:r>
      <w:r>
        <w:rPr>
          <w:rFonts w:hint="eastAsia" w:ascii="宋体" w:hAnsi="宋体" w:cs="宋体"/>
          <w:highlight w:val="none"/>
          <w:u w:val="single"/>
        </w:rPr>
        <w:t xml:space="preserve">               </w:t>
      </w:r>
    </w:p>
    <w:p w14:paraId="232A4007">
      <w:pPr>
        <w:ind w:firstLine="480"/>
        <w:rPr>
          <w:rFonts w:ascii="宋体" w:hAnsi="宋体" w:cs="宋体"/>
          <w:highlight w:val="none"/>
        </w:rPr>
      </w:pPr>
      <w:r>
        <w:rPr>
          <w:rFonts w:hint="eastAsia" w:ascii="宋体" w:hAnsi="宋体" w:cs="宋体"/>
          <w:highlight w:val="none"/>
        </w:rPr>
        <w:t>日     期：   年    月    日</w:t>
      </w:r>
    </w:p>
    <w:p w14:paraId="59A8AA75">
      <w:pPr>
        <w:autoSpaceDE w:val="0"/>
        <w:autoSpaceDN w:val="0"/>
        <w:adjustRightInd w:val="0"/>
        <w:spacing w:line="360" w:lineRule="auto"/>
        <w:jc w:val="left"/>
        <w:rPr>
          <w:rFonts w:ascii="宋体" w:hAnsi="宋体" w:cs="宋体"/>
          <w:b/>
          <w:sz w:val="28"/>
          <w:highlight w:val="none"/>
        </w:rPr>
      </w:pPr>
    </w:p>
    <w:p w14:paraId="7B5FA546">
      <w:pPr>
        <w:autoSpaceDE w:val="0"/>
        <w:autoSpaceDN w:val="0"/>
        <w:adjustRightInd w:val="0"/>
        <w:spacing w:line="360" w:lineRule="auto"/>
        <w:jc w:val="left"/>
        <w:rPr>
          <w:rFonts w:ascii="宋体" w:hAnsi="宋体" w:cs="宋体"/>
          <w:b/>
          <w:sz w:val="28"/>
          <w:highlight w:val="none"/>
        </w:rPr>
      </w:pPr>
    </w:p>
    <w:p w14:paraId="46FB802E">
      <w:pPr>
        <w:autoSpaceDE w:val="0"/>
        <w:autoSpaceDN w:val="0"/>
        <w:adjustRightInd w:val="0"/>
        <w:spacing w:line="360" w:lineRule="auto"/>
        <w:jc w:val="left"/>
        <w:rPr>
          <w:rFonts w:ascii="宋体" w:hAnsi="宋体" w:cs="宋体"/>
          <w:b/>
          <w:sz w:val="28"/>
          <w:highlight w:val="none"/>
        </w:rPr>
      </w:pPr>
    </w:p>
    <w:p w14:paraId="61708F05">
      <w:pPr>
        <w:rPr>
          <w:rFonts w:hint="eastAsia" w:ascii="宋体" w:hAnsi="宋体" w:cs="宋体"/>
          <w:b/>
          <w:sz w:val="28"/>
          <w:highlight w:val="none"/>
        </w:rPr>
        <w:sectPr>
          <w:pgSz w:w="11905" w:h="16838"/>
          <w:pgMar w:top="1247" w:right="1247" w:bottom="1247" w:left="1247" w:header="567" w:footer="850" w:gutter="0"/>
          <w:pgBorders>
            <w:top w:val="none" w:sz="0" w:space="0"/>
            <w:left w:val="none" w:sz="0" w:space="0"/>
            <w:bottom w:val="none" w:sz="0" w:space="0"/>
            <w:right w:val="none" w:sz="0" w:space="0"/>
          </w:pgBorders>
          <w:cols w:space="720" w:num="1"/>
          <w:docGrid w:type="lines" w:linePitch="312" w:charSpace="0"/>
        </w:sectPr>
      </w:pPr>
    </w:p>
    <w:p w14:paraId="7F9D0A58">
      <w:pPr>
        <w:autoSpaceDE w:val="0"/>
        <w:autoSpaceDN w:val="0"/>
        <w:adjustRightInd w:val="0"/>
        <w:spacing w:line="360" w:lineRule="auto"/>
        <w:jc w:val="left"/>
        <w:rPr>
          <w:sz w:val="31"/>
          <w:szCs w:val="31"/>
          <w:highlight w:val="none"/>
        </w:rPr>
      </w:pPr>
      <w:r>
        <w:rPr>
          <w:rFonts w:hint="eastAsia" w:ascii="宋体" w:hAnsi="宋体" w:eastAsia="宋体" w:cs="宋体"/>
          <w:b/>
          <w:sz w:val="28"/>
          <w:highlight w:val="none"/>
          <w:lang w:val="en-US" w:eastAsia="zh-CN"/>
        </w:rPr>
        <w:t>格式10</w:t>
      </w:r>
      <w:r>
        <w:rPr>
          <w:rFonts w:hint="eastAsia" w:ascii="宋体" w:hAnsi="宋体" w:eastAsia="宋体" w:cs="宋体"/>
          <w:b/>
          <w:sz w:val="28"/>
          <w:highlight w:val="none"/>
        </w:rPr>
        <w:t>:</w:t>
      </w:r>
      <w:r>
        <w:rPr>
          <w:rFonts w:hint="eastAsia" w:ascii="宋体" w:hAnsi="宋体" w:eastAsia="宋体" w:cs="宋体"/>
          <w:b/>
          <w:sz w:val="28"/>
          <w:highlight w:val="none"/>
          <w:lang w:val="en-US" w:eastAsia="zh-CN"/>
        </w:rPr>
        <w:t xml:space="preserve">                    </w:t>
      </w:r>
      <w:r>
        <w:rPr>
          <w:b/>
          <w:bCs/>
          <w:spacing w:val="-4"/>
          <w:sz w:val="31"/>
          <w:szCs w:val="31"/>
          <w:highlight w:val="none"/>
        </w:rPr>
        <w:t>动物实验中心</w:t>
      </w:r>
      <w:r>
        <w:rPr>
          <w:rFonts w:hint="eastAsia" w:ascii="宋体" w:hAnsi="宋体" w:eastAsia="宋体" w:cs="宋体"/>
          <w:b/>
          <w:bCs/>
          <w:spacing w:val="-4"/>
          <w:sz w:val="31"/>
          <w:szCs w:val="31"/>
          <w:highlight w:val="none"/>
          <w:lang w:val="en-US" w:eastAsia="zh-CN"/>
        </w:rPr>
        <w:t>装修、设备</w:t>
      </w:r>
      <w:r>
        <w:rPr>
          <w:b/>
          <w:bCs/>
          <w:spacing w:val="-4"/>
          <w:sz w:val="31"/>
          <w:szCs w:val="31"/>
          <w:highlight w:val="none"/>
        </w:rPr>
        <w:t>技术参数偏离情况表</w:t>
      </w:r>
    </w:p>
    <w:p w14:paraId="6944B305">
      <w:pPr>
        <w:spacing w:line="98" w:lineRule="exact"/>
        <w:rPr>
          <w:highlight w:val="none"/>
        </w:rPr>
      </w:pPr>
    </w:p>
    <w:tbl>
      <w:tblPr>
        <w:tblStyle w:val="194"/>
        <w:tblW w:w="148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1219"/>
        <w:gridCol w:w="1300"/>
        <w:gridCol w:w="608"/>
        <w:gridCol w:w="1566"/>
        <w:gridCol w:w="7769"/>
        <w:gridCol w:w="886"/>
        <w:gridCol w:w="863"/>
      </w:tblGrid>
      <w:tr w14:paraId="49E6A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85" w:type="dxa"/>
          </w:tcPr>
          <w:p w14:paraId="57AA3416">
            <w:pPr>
              <w:spacing w:before="211" w:line="221" w:lineRule="auto"/>
              <w:ind w:left="128"/>
              <w:rPr>
                <w:rFonts w:ascii="宋体" w:hAnsi="宋体" w:eastAsia="宋体" w:cs="宋体"/>
              </w:rPr>
            </w:pPr>
            <w:r>
              <w:rPr>
                <w:rFonts w:hint="eastAsia" w:ascii="宋体" w:hAnsi="宋体" w:eastAsia="宋体" w:cs="宋体"/>
                <w:b/>
                <w:bCs/>
                <w:spacing w:val="-5"/>
              </w:rPr>
              <w:t>序号</w:t>
            </w:r>
          </w:p>
        </w:tc>
        <w:tc>
          <w:tcPr>
            <w:tcW w:w="1219" w:type="dxa"/>
          </w:tcPr>
          <w:p w14:paraId="6921F2E5">
            <w:pPr>
              <w:spacing w:before="211" w:line="221" w:lineRule="auto"/>
              <w:ind w:left="128"/>
              <w:rPr>
                <w:rFonts w:ascii="宋体" w:hAnsi="宋体" w:eastAsia="宋体" w:cs="宋体"/>
                <w:b/>
                <w:bCs/>
                <w:spacing w:val="-5"/>
              </w:rPr>
            </w:pPr>
            <w:r>
              <w:rPr>
                <w:rFonts w:hint="eastAsia" w:ascii="宋体" w:hAnsi="宋体" w:eastAsia="宋体" w:cs="宋体"/>
                <w:b/>
                <w:bCs/>
                <w:spacing w:val="-5"/>
              </w:rPr>
              <w:t>房间名称</w:t>
            </w:r>
          </w:p>
        </w:tc>
        <w:tc>
          <w:tcPr>
            <w:tcW w:w="1300" w:type="dxa"/>
          </w:tcPr>
          <w:p w14:paraId="07A3071F">
            <w:pPr>
              <w:spacing w:before="211" w:line="221" w:lineRule="auto"/>
              <w:ind w:left="128"/>
              <w:rPr>
                <w:rFonts w:ascii="宋体" w:hAnsi="宋体" w:eastAsia="宋体" w:cs="宋体"/>
                <w:b/>
                <w:bCs/>
                <w:spacing w:val="-5"/>
              </w:rPr>
            </w:pPr>
            <w:r>
              <w:rPr>
                <w:rFonts w:hint="eastAsia" w:ascii="宋体" w:hAnsi="宋体" w:eastAsia="宋体" w:cs="宋体"/>
                <w:b/>
                <w:bCs/>
                <w:spacing w:val="-5"/>
              </w:rPr>
              <w:t>设备名称</w:t>
            </w:r>
          </w:p>
        </w:tc>
        <w:tc>
          <w:tcPr>
            <w:tcW w:w="608" w:type="dxa"/>
          </w:tcPr>
          <w:p w14:paraId="3E6C7064">
            <w:pPr>
              <w:spacing w:before="211" w:line="221" w:lineRule="auto"/>
              <w:ind w:left="128"/>
              <w:rPr>
                <w:rFonts w:ascii="宋体" w:hAnsi="宋体" w:eastAsia="宋体" w:cs="宋体"/>
                <w:b/>
                <w:bCs/>
                <w:spacing w:val="-5"/>
              </w:rPr>
            </w:pPr>
            <w:r>
              <w:rPr>
                <w:rFonts w:hint="eastAsia" w:ascii="宋体" w:hAnsi="宋体" w:eastAsia="宋体" w:cs="宋体"/>
                <w:b/>
                <w:bCs/>
                <w:spacing w:val="-5"/>
              </w:rPr>
              <w:t>数量</w:t>
            </w:r>
          </w:p>
        </w:tc>
        <w:tc>
          <w:tcPr>
            <w:tcW w:w="1566" w:type="dxa"/>
          </w:tcPr>
          <w:p w14:paraId="648A8A4A">
            <w:pPr>
              <w:spacing w:before="211" w:line="221" w:lineRule="auto"/>
              <w:ind w:left="128"/>
              <w:rPr>
                <w:rFonts w:ascii="宋体" w:hAnsi="宋体" w:eastAsia="宋体" w:cs="宋体"/>
                <w:b/>
                <w:bCs/>
                <w:spacing w:val="-5"/>
              </w:rPr>
            </w:pPr>
            <w:r>
              <w:rPr>
                <w:rFonts w:hint="eastAsia" w:ascii="宋体" w:hAnsi="宋体" w:eastAsia="宋体" w:cs="宋体"/>
                <w:b/>
                <w:bCs/>
                <w:spacing w:val="-5"/>
              </w:rPr>
              <w:t>尺寸(长×宽×高)mm</w:t>
            </w:r>
          </w:p>
        </w:tc>
        <w:tc>
          <w:tcPr>
            <w:tcW w:w="7769" w:type="dxa"/>
          </w:tcPr>
          <w:p w14:paraId="460EAE89">
            <w:pPr>
              <w:spacing w:before="211" w:line="221" w:lineRule="auto"/>
              <w:jc w:val="center"/>
              <w:rPr>
                <w:rFonts w:ascii="宋体" w:hAnsi="宋体" w:eastAsia="宋体" w:cs="宋体"/>
                <w:b/>
                <w:bCs/>
                <w:spacing w:val="-5"/>
              </w:rPr>
            </w:pPr>
            <w:r>
              <w:rPr>
                <w:rFonts w:hint="eastAsia" w:ascii="宋体" w:hAnsi="宋体" w:eastAsia="宋体" w:cs="宋体"/>
                <w:b/>
                <w:bCs/>
                <w:spacing w:val="-5"/>
              </w:rPr>
              <w:t>技术参数要求</w:t>
            </w:r>
          </w:p>
        </w:tc>
        <w:tc>
          <w:tcPr>
            <w:tcW w:w="886" w:type="dxa"/>
            <w:vAlign w:val="center"/>
          </w:tcPr>
          <w:p w14:paraId="00CADB61">
            <w:pPr>
              <w:spacing w:before="211" w:line="221" w:lineRule="auto"/>
              <w:jc w:val="center"/>
              <w:rPr>
                <w:rFonts w:ascii="宋体" w:hAnsi="宋体" w:eastAsia="宋体" w:cs="宋体"/>
                <w:b/>
                <w:bCs/>
                <w:spacing w:val="-5"/>
              </w:rPr>
            </w:pPr>
            <w:r>
              <w:rPr>
                <w:rFonts w:hint="eastAsia" w:ascii="宋体" w:hAnsi="宋体" w:eastAsia="宋体" w:cs="宋体"/>
                <w:b/>
                <w:bCs/>
                <w:spacing w:val="-5"/>
              </w:rPr>
              <w:t>偏离情况</w:t>
            </w:r>
          </w:p>
        </w:tc>
        <w:tc>
          <w:tcPr>
            <w:tcW w:w="863" w:type="dxa"/>
            <w:vAlign w:val="center"/>
          </w:tcPr>
          <w:p w14:paraId="2121E0A5">
            <w:pPr>
              <w:spacing w:before="211" w:line="221" w:lineRule="auto"/>
              <w:ind w:left="-199" w:leftChars="-95" w:firstLine="201" w:firstLineChars="100"/>
              <w:jc w:val="center"/>
              <w:rPr>
                <w:rFonts w:ascii="宋体" w:hAnsi="宋体" w:eastAsia="宋体" w:cs="宋体"/>
                <w:b/>
                <w:bCs/>
                <w:spacing w:val="-5"/>
              </w:rPr>
            </w:pPr>
            <w:r>
              <w:rPr>
                <w:rFonts w:hint="eastAsia" w:ascii="宋体" w:hAnsi="宋体" w:eastAsia="宋体" w:cs="宋体"/>
                <w:b/>
                <w:bCs/>
                <w:spacing w:val="-5"/>
              </w:rPr>
              <w:t>投标品牌</w:t>
            </w:r>
          </w:p>
        </w:tc>
      </w:tr>
      <w:tr w14:paraId="06E07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21DFCA4B">
            <w:pPr>
              <w:spacing w:before="231" w:line="241" w:lineRule="auto"/>
              <w:ind w:left="275"/>
              <w:rPr>
                <w:rFonts w:ascii="宋体" w:hAnsi="宋体" w:eastAsia="宋体" w:cs="宋体"/>
                <w:lang w:eastAsia="zh-CN"/>
              </w:rPr>
            </w:pPr>
            <w:r>
              <w:rPr>
                <w:rFonts w:hint="eastAsia" w:ascii="宋体" w:hAnsi="宋体" w:eastAsia="宋体" w:cs="宋体"/>
                <w:lang w:eastAsia="zh-CN"/>
              </w:rPr>
              <w:t>1</w:t>
            </w:r>
          </w:p>
        </w:tc>
        <w:tc>
          <w:tcPr>
            <w:tcW w:w="1219" w:type="dxa"/>
          </w:tcPr>
          <w:p w14:paraId="459825B6">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清消室1、2</w:t>
            </w:r>
          </w:p>
        </w:tc>
        <w:tc>
          <w:tcPr>
            <w:tcW w:w="1300" w:type="dxa"/>
          </w:tcPr>
          <w:p w14:paraId="7012D79F">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氙光消毒传递窗</w:t>
            </w:r>
          </w:p>
        </w:tc>
        <w:tc>
          <w:tcPr>
            <w:tcW w:w="608" w:type="dxa"/>
          </w:tcPr>
          <w:p w14:paraId="63E8ADBE">
            <w:pPr>
              <w:spacing w:before="49" w:line="252" w:lineRule="auto"/>
              <w:ind w:left="133" w:hanging="69"/>
              <w:jc w:val="both"/>
              <w:rPr>
                <w:rFonts w:ascii="宋体" w:hAnsi="宋体" w:eastAsia="宋体" w:cs="宋体"/>
                <w:spacing w:val="-1"/>
                <w:lang w:eastAsia="zh-CN"/>
              </w:rPr>
            </w:pPr>
          </w:p>
        </w:tc>
        <w:tc>
          <w:tcPr>
            <w:tcW w:w="1566" w:type="dxa"/>
          </w:tcPr>
          <w:p w14:paraId="122DC1FE">
            <w:pPr>
              <w:spacing w:before="49" w:line="252" w:lineRule="auto"/>
              <w:ind w:left="133" w:hanging="69"/>
              <w:rPr>
                <w:rFonts w:ascii="宋体" w:hAnsi="宋体" w:eastAsia="宋体" w:cs="宋体"/>
                <w:spacing w:val="-1"/>
                <w:lang w:eastAsia="zh-CN"/>
              </w:rPr>
            </w:pPr>
            <w:r>
              <w:rPr>
                <w:rFonts w:hint="eastAsia" w:ascii="宋体" w:hAnsi="宋体" w:eastAsia="宋体" w:cs="宋体"/>
                <w:spacing w:val="-1"/>
                <w:lang w:eastAsia="zh-CN"/>
              </w:rPr>
              <w:t>内尺寸：600*600*1200</w:t>
            </w:r>
          </w:p>
        </w:tc>
        <w:tc>
          <w:tcPr>
            <w:tcW w:w="7769" w:type="dxa"/>
          </w:tcPr>
          <w:p w14:paraId="164FA789">
            <w:pPr>
              <w:pStyle w:val="89"/>
              <w:numPr>
                <w:ilvl w:val="0"/>
                <w:numId w:val="3"/>
              </w:numPr>
              <w:ind w:firstLineChars="0"/>
              <w:rPr>
                <w:rFonts w:ascii="宋体" w:hAnsi="宋体" w:eastAsia="宋体" w:cs="宋体"/>
              </w:rPr>
            </w:pPr>
            <w:r>
              <w:rPr>
                <w:rFonts w:hint="eastAsia" w:ascii="宋体" w:hAnsi="宋体" w:eastAsia="宋体" w:cs="宋体"/>
                <w:lang w:eastAsia="zh-CN"/>
              </w:rPr>
              <w:t>功能作用：安装在洁净区与非洁净区之间，使物料传递时间≤3min，用于对被传递物品或带有活体动物的转运笼具表面进行快速消杀，避免病原微生物在各区域之间传播。</w:t>
            </w:r>
            <w:r>
              <w:rPr>
                <w:rFonts w:hint="eastAsia" w:ascii="宋体" w:hAnsi="宋体" w:eastAsia="宋体" w:cs="宋体"/>
              </w:rPr>
              <w:t>提供产品手册相关页备查。</w:t>
            </w:r>
          </w:p>
          <w:p w14:paraId="587C86A2">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消毒因子：由高能脉冲氙光灯管产生的高强度脉冲强光紫外线。</w:t>
            </w:r>
          </w:p>
          <w:p w14:paraId="105F5D59">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灯管布置方式：舱内顶部不少于1支防水高能氙灯，灯管发光长度≥560mm，灯管直径≥60mm；舱内双侧面各不少于1支防水高能氙灯且不少于6支防水高能脉冲氙灯；舱内底面不少于3支防水高能脉冲氙灯，且每个面上高能脉冲氙灯有效发光长度合计≥540mm。提供传递窗内部照片或结构示意图，并标注灯管名称，明确灯管布置方式和数量，并提供灯管尺寸图纸及实物照片或结构示意图备查。</w:t>
            </w:r>
          </w:p>
          <w:p w14:paraId="63C52DFF">
            <w:pPr>
              <w:pStyle w:val="89"/>
              <w:numPr>
                <w:ilvl w:val="0"/>
                <w:numId w:val="3"/>
              </w:numPr>
              <w:ind w:firstLineChars="0"/>
              <w:rPr>
                <w:rFonts w:ascii="宋体" w:hAnsi="宋体" w:eastAsia="宋体" w:cs="宋体"/>
                <w:lang w:eastAsia="zh-CN"/>
              </w:rPr>
            </w:pPr>
            <w:r>
              <w:rPr>
                <w:rFonts w:hint="eastAsia" w:ascii="宋体" w:hAnsi="宋体" w:eastAsia="宋体" w:cs="宋体"/>
                <w:color w:val="auto"/>
                <w:lang w:eastAsia="zh-CN"/>
              </w:rPr>
              <w:t>▲</w:t>
            </w:r>
            <w:r>
              <w:rPr>
                <w:rFonts w:hint="eastAsia" w:ascii="宋体" w:hAnsi="宋体" w:eastAsia="宋体" w:cs="宋体"/>
                <w:lang w:eastAsia="zh-CN"/>
              </w:rPr>
              <w:t>舱内紫外辐射照度：距设备内部灯管表面25cm处，测量的紫外辐射照度平均值≥11mw/cm²。提供传递窗或传递柜的第三方检测机构出具的带CMA认证的整机检测报告复印件（加盖投标人公章鲜章），需体现且满足上述数值要求。</w:t>
            </w:r>
          </w:p>
          <w:p w14:paraId="2CA29BDC">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细菌杀灭效率：消毒作用3min，对铜绿假单胞菌、龟分枝杆菌脓肿亚种、白色葡萄球菌、金黄色葡萄球菌、大肠杆菌的杀灭对数值＞3，符合《消毒技术规范》（2002年版）的要求。提供传递窗或传递柜的第三方检测机构出具的带CMA认证的整机检测报告复印件（加盖投标人公章鲜章），需体现且满足上述数值要求。</w:t>
            </w:r>
          </w:p>
          <w:p w14:paraId="14FCCC17">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真菌杀菌效率：消毒作用3min，对白色念珠菌的杀灭对数值＞3，符合《消毒技术规范》（2002年版）的要求。提供传递窗或传递柜的第三方检测机构出具的带CMA认证的整机检测报告复印件（加盖投标人公章鲜章），需体现且满足上述数值要求。</w:t>
            </w:r>
          </w:p>
          <w:p w14:paraId="26A3866D">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▲冠状病毒杀灭效率：消毒作用3min，对冠状病毒HCoV-229E的杀灭对数值＞4。提供传递窗或传递柜的第三方检测机构出具的整机检测报告复印件（加盖投标人公章鲜章），需体现且满足上述数值要求。</w:t>
            </w:r>
          </w:p>
          <w:p w14:paraId="1574856E">
            <w:pPr>
              <w:pStyle w:val="89"/>
              <w:numPr>
                <w:ilvl w:val="0"/>
                <w:numId w:val="3"/>
              </w:numPr>
              <w:ind w:firstLineChars="0"/>
              <w:rPr>
                <w:rFonts w:ascii="宋体" w:hAnsi="宋体" w:eastAsia="宋体" w:cs="宋体"/>
                <w:lang w:eastAsia="zh-CN"/>
              </w:rPr>
            </w:pPr>
            <w:r>
              <w:rPr>
                <w:rFonts w:hint="eastAsia" w:ascii="宋体" w:hAnsi="宋体" w:eastAsia="宋体" w:cs="宋体"/>
                <w:color w:val="auto"/>
                <w:lang w:eastAsia="zh-CN"/>
              </w:rPr>
              <w:t>▲</w:t>
            </w:r>
            <w:r>
              <w:rPr>
                <w:rFonts w:hint="eastAsia" w:ascii="宋体" w:hAnsi="宋体" w:eastAsia="宋体" w:cs="宋体"/>
                <w:lang w:eastAsia="zh-CN"/>
              </w:rPr>
              <w:t>腺病毒杀灭效率：消毒作用3min，对腺病毒Ad-5的杀灭对数值＞4。提供传递窗或传递柜的第三方检测机构出具的整机检测报告复印件（加盖投标人公章鲜章），需体现且满足上述数值要求。</w:t>
            </w:r>
          </w:p>
          <w:p w14:paraId="62DDD4D9">
            <w:pPr>
              <w:pStyle w:val="89"/>
              <w:numPr>
                <w:ilvl w:val="0"/>
                <w:numId w:val="3"/>
              </w:numPr>
              <w:ind w:firstLineChars="0"/>
              <w:rPr>
                <w:rFonts w:ascii="宋体" w:hAnsi="宋体" w:eastAsia="宋体" w:cs="宋体"/>
                <w:lang w:eastAsia="zh-CN"/>
              </w:rPr>
            </w:pPr>
            <w:r>
              <w:rPr>
                <w:rFonts w:hint="eastAsia" w:ascii="宋体" w:hAnsi="宋体" w:eastAsia="宋体" w:cs="宋体"/>
                <w:color w:val="auto"/>
                <w:lang w:eastAsia="zh-CN"/>
              </w:rPr>
              <w:t>▲</w:t>
            </w:r>
            <w:r>
              <w:rPr>
                <w:rFonts w:hint="eastAsia" w:ascii="宋体" w:hAnsi="宋体" w:eastAsia="宋体" w:cs="宋体"/>
                <w:lang w:eastAsia="zh-CN"/>
              </w:rPr>
              <w:t>甲型流感病毒杀灭效率：消毒作用3min，对甲型流感病毒H1N1的杀灭对数值＞4。提供传递窗或传递柜的第三方检测机构出具的整机检测报告复印件（加盖投标人公章鲜章），需体现且满足上述数值要求。</w:t>
            </w:r>
          </w:p>
          <w:p w14:paraId="47FE6E8F">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芽孢杀菌效率：消毒作用3min，对枯草杆菌黑色变种芽孢的杀灭对数值＞3，符合《消毒技术规范》（2002年版）的要求。提供传递窗或传递柜的第三方检测机构出具的整机检测报告复印件（加盖投标人公章鲜章），需体现且满足上述数值要求。</w:t>
            </w:r>
          </w:p>
          <w:p w14:paraId="43BE03D8">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臭氧残留量：设备运行3min，臭氧残留量≤0.16mg/m³，符合GB28232-2020《臭氧消毒器卫生要求》臭氧残留量≤0.16mg/m³的要求。提供传递窗或传递柜的第三方检测机构出具的带CMA认证的整机检测报告复印件（加盖投标人公章鲜章），需体现且满足上述数值要求。</w:t>
            </w:r>
          </w:p>
          <w:p w14:paraId="2F35144A">
            <w:pPr>
              <w:pStyle w:val="89"/>
              <w:numPr>
                <w:ilvl w:val="0"/>
                <w:numId w:val="3"/>
              </w:numPr>
              <w:ind w:firstLineChars="0"/>
              <w:rPr>
                <w:rFonts w:ascii="宋体" w:hAnsi="宋体" w:eastAsia="宋体" w:cs="宋体"/>
                <w:lang w:eastAsia="zh-CN"/>
              </w:rPr>
            </w:pPr>
            <w:r>
              <w:rPr>
                <w:rFonts w:hint="eastAsia" w:ascii="宋体" w:hAnsi="宋体" w:eastAsia="宋体" w:cs="宋体"/>
                <w:color w:val="auto"/>
                <w:lang w:eastAsia="zh-CN"/>
              </w:rPr>
              <w:t>▲</w:t>
            </w:r>
            <w:r>
              <w:rPr>
                <w:rFonts w:hint="eastAsia" w:ascii="宋体" w:hAnsi="宋体" w:eastAsia="宋体" w:cs="宋体"/>
                <w:lang w:eastAsia="zh-CN"/>
              </w:rPr>
              <w:t>紫外线泄漏量：设备开机后，其周边30cm处，紫外线泄漏量≤5</w:t>
            </w:r>
            <w:r>
              <w:rPr>
                <w:rFonts w:hint="eastAsia" w:ascii="宋体" w:hAnsi="宋体" w:eastAsia="宋体" w:cs="宋体"/>
              </w:rPr>
              <w:t>μ</w:t>
            </w:r>
            <w:r>
              <w:rPr>
                <w:rFonts w:hint="eastAsia" w:ascii="宋体" w:hAnsi="宋体" w:eastAsia="宋体" w:cs="宋体"/>
                <w:lang w:eastAsia="zh-CN"/>
              </w:rPr>
              <w:t>W/cm²，符合GB28235-2020《紫外线消毒器卫生要求》紫外线泄漏量≤5</w:t>
            </w:r>
            <w:r>
              <w:rPr>
                <w:rFonts w:hint="eastAsia" w:ascii="宋体" w:hAnsi="宋体" w:eastAsia="宋体" w:cs="宋体"/>
              </w:rPr>
              <w:t>μ</w:t>
            </w:r>
            <w:r>
              <w:rPr>
                <w:rFonts w:hint="eastAsia" w:ascii="宋体" w:hAnsi="宋体" w:eastAsia="宋体" w:cs="宋体"/>
                <w:lang w:eastAsia="zh-CN"/>
              </w:rPr>
              <w:t>W/cm²的要求。提供传递窗或传递柜的第三方检测机构出具的带CMA认证的整机检测报告复印件（加盖投标人公章鲜章），需体现且满足上述数值要求。</w:t>
            </w:r>
          </w:p>
          <w:p w14:paraId="6C8FD984">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▲制造商资质：制造商应取得“消毒产品生产企业卫生许可证”证书，证书中的“生产类别”应为“紫外线消毒器”，具有安全评价报告。提供在有效期内的证书备查。</w:t>
            </w:r>
          </w:p>
          <w:p w14:paraId="6E80DADD">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舱门观察窗玻璃：舱门观察窗玻璃采用具备3C认证的不小于5mm厚防紫外钢化玻璃。</w:t>
            </w:r>
          </w:p>
          <w:p w14:paraId="0B9891E8">
            <w:pPr>
              <w:pStyle w:val="89"/>
              <w:numPr>
                <w:ilvl w:val="0"/>
                <w:numId w:val="3"/>
              </w:numPr>
              <w:ind w:firstLineChars="0"/>
              <w:rPr>
                <w:rFonts w:ascii="宋体" w:hAnsi="宋体" w:eastAsia="宋体" w:cs="宋体"/>
                <w:lang w:eastAsia="zh-CN"/>
              </w:rPr>
            </w:pPr>
            <w:r>
              <w:rPr>
                <w:rFonts w:hint="eastAsia" w:ascii="宋体" w:hAnsi="宋体" w:eastAsia="宋体" w:cs="宋体"/>
                <w:color w:val="auto"/>
                <w:lang w:eastAsia="zh-CN"/>
              </w:rPr>
              <w:t>▲</w:t>
            </w:r>
            <w:r>
              <w:rPr>
                <w:rFonts w:hint="eastAsia" w:ascii="宋体" w:hAnsi="宋体" w:eastAsia="宋体" w:cs="宋体"/>
                <w:lang w:eastAsia="zh-CN"/>
              </w:rPr>
              <w:t>脉冲氙光灯罩石英玻璃透射比：脉冲氙光灯罩石英玻璃对253.7nm波长紫外线的透射比≥84%。提供传递窗或传递柜的第三方检测机构出具的带CMA认证的整机检测报告复印件（加盖投标人公章鲜章），需体现且满足上述数值要求。</w:t>
            </w:r>
          </w:p>
          <w:p w14:paraId="20EDD84A">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自净功能：传递柜采用内循环方式自净，无需外接管道，换气次数＞20次/小时，内外均安装机械压差表以随时监测高效过滤器的堵塞情况。提供设备内部照片或结构示意图，并标注循环风机、高效过滤器、机械压差表的位置。</w:t>
            </w:r>
          </w:p>
          <w:p w14:paraId="2B11A927">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应急手动开关：传递柜应配备应急手动开关，正常状态采用DDC控制系统，故障应急状态可以手动控制传递柜启停。提供传递柜外观照片或结构示意图并标注应急手动开关位置。</w:t>
            </w:r>
          </w:p>
          <w:p w14:paraId="47ECA9CB">
            <w:pPr>
              <w:pStyle w:val="89"/>
              <w:numPr>
                <w:ilvl w:val="0"/>
                <w:numId w:val="3"/>
              </w:numPr>
              <w:ind w:firstLineChars="0"/>
              <w:rPr>
                <w:rFonts w:ascii="宋体" w:hAnsi="宋体" w:eastAsia="宋体" w:cs="宋体"/>
                <w:bCs/>
                <w:lang w:eastAsia="zh-CN"/>
              </w:rPr>
            </w:pPr>
            <w:r>
              <w:rPr>
                <w:rFonts w:hint="eastAsia" w:ascii="宋体" w:hAnsi="宋体" w:eastAsia="宋体" w:cs="宋体"/>
                <w:lang w:eastAsia="zh-CN"/>
              </w:rPr>
              <w:t>内部照明系统：传递柜内部安装LED灯光源，采用智能节能控制，消毒完成时灯亮，取出物品后自动熄灭，便于观察消毒物品状态。提供传递窗内部照片或结构示意图并标注LED灯光源位置。</w:t>
            </w:r>
          </w:p>
          <w:p w14:paraId="09E351B0">
            <w:pPr>
              <w:pStyle w:val="89"/>
              <w:numPr>
                <w:ilvl w:val="0"/>
                <w:numId w:val="3"/>
              </w:numPr>
              <w:ind w:firstLineChars="0"/>
              <w:rPr>
                <w:rFonts w:ascii="宋体" w:hAnsi="宋体" w:eastAsia="宋体" w:cs="宋体"/>
                <w:lang w:eastAsia="zh-CN"/>
              </w:rPr>
            </w:pPr>
            <w:r>
              <w:rPr>
                <w:rFonts w:hint="eastAsia" w:ascii="宋体" w:hAnsi="宋体" w:eastAsia="宋体" w:cs="宋体"/>
                <w:bCs/>
                <w:lang w:eastAsia="zh-CN"/>
              </w:rPr>
              <w:t>设备舱体：传递柜壳体及金属结构件全部采用SUS304不锈钢；</w:t>
            </w:r>
            <w:r>
              <w:rPr>
                <w:rFonts w:hint="eastAsia" w:ascii="宋体" w:hAnsi="宋体" w:eastAsia="宋体" w:cs="宋体"/>
                <w:lang w:eastAsia="zh-CN"/>
              </w:rPr>
              <w:t>舱体内腔面全部采用SUS304不锈钢镜面抛光板，并采用≥R25大圆弧角设计，无清洗消毒死角；传递窗底面应设置高度≥50mm的SUS304不锈钢格栅置物架，以确保舱内底面高能脉冲氙灯光线可照射到物料底面。提供舱内及置物架实物照片或结构示意图备查。</w:t>
            </w:r>
          </w:p>
          <w:p w14:paraId="53415026">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灯壳结构要求：舱内高能氙灯和高能脉冲氙灯的灯壳全部采用不影响物料通过的嵌入式结构，灯壳断面为梯形结构且长边向外，灯壳内壁全部采用SUS304不锈钢镜面抛光板，以增加紫外线反射及折射效率。提供灯壳图纸、灯壳实物照片或结构示意图备查。</w:t>
            </w:r>
          </w:p>
          <w:p w14:paraId="5543E45F">
            <w:pPr>
              <w:pStyle w:val="89"/>
              <w:numPr>
                <w:ilvl w:val="0"/>
                <w:numId w:val="3"/>
              </w:numPr>
              <w:ind w:firstLineChars="0"/>
              <w:rPr>
                <w:rFonts w:ascii="宋体" w:hAnsi="宋体" w:eastAsia="宋体" w:cs="宋体"/>
                <w:lang w:eastAsia="zh-CN"/>
              </w:rPr>
            </w:pPr>
            <w:r>
              <w:rPr>
                <w:rFonts w:hint="eastAsia" w:ascii="宋体" w:hAnsi="宋体" w:eastAsia="宋体" w:cs="宋体"/>
                <w:color w:val="auto"/>
                <w:lang w:eastAsia="zh-CN"/>
              </w:rPr>
              <w:t>▲</w:t>
            </w:r>
            <w:r>
              <w:rPr>
                <w:rFonts w:hint="eastAsia" w:ascii="宋体" w:hAnsi="宋体" w:eastAsia="宋体" w:cs="宋体"/>
                <w:lang w:eastAsia="zh-CN"/>
              </w:rPr>
              <w:t>壳体材质力学性能要求：壳体材质为SUS304不锈钢，其抗拉强度R</w:t>
            </w:r>
            <w:r>
              <w:rPr>
                <w:rFonts w:hint="eastAsia" w:ascii="宋体" w:hAnsi="宋体" w:eastAsia="宋体" w:cs="宋体"/>
                <w:vertAlign w:val="subscript"/>
                <w:lang w:eastAsia="zh-CN"/>
              </w:rPr>
              <w:t>m</w:t>
            </w:r>
            <w:r>
              <w:rPr>
                <w:rFonts w:hint="eastAsia" w:ascii="宋体" w:hAnsi="宋体" w:eastAsia="宋体" w:cs="宋体"/>
                <w:lang w:eastAsia="zh-CN"/>
              </w:rPr>
              <w:t>、规定塑性延伸强度 RP</w:t>
            </w:r>
            <w:r>
              <w:rPr>
                <w:rFonts w:hint="eastAsia" w:ascii="宋体" w:hAnsi="宋体" w:eastAsia="宋体" w:cs="宋体"/>
                <w:vertAlign w:val="subscript"/>
                <w:lang w:eastAsia="zh-CN"/>
              </w:rPr>
              <w:t>0.2</w:t>
            </w:r>
            <w:r>
              <w:rPr>
                <w:rFonts w:hint="eastAsia" w:ascii="宋体" w:hAnsi="宋体" w:eastAsia="宋体" w:cs="宋体"/>
                <w:lang w:eastAsia="zh-CN"/>
              </w:rPr>
              <w:t>、断后伸长率A、维氏硬度等均应符合GB/T3280-2015《不锈钢冷轧钢板和钢带》要求，即抗拉强度R</w:t>
            </w:r>
            <w:r>
              <w:rPr>
                <w:rFonts w:hint="eastAsia" w:ascii="宋体" w:hAnsi="宋体" w:eastAsia="宋体" w:cs="宋体"/>
                <w:vertAlign w:val="subscript"/>
                <w:lang w:eastAsia="zh-CN"/>
              </w:rPr>
              <w:t>m</w:t>
            </w:r>
            <w:r>
              <w:rPr>
                <w:rFonts w:hint="eastAsia" w:ascii="宋体" w:hAnsi="宋体" w:eastAsia="宋体" w:cs="宋体"/>
                <w:lang w:eastAsia="zh-CN"/>
              </w:rPr>
              <w:t>≥515MPa，规定塑性延伸强度 RP</w:t>
            </w:r>
            <w:r>
              <w:rPr>
                <w:rFonts w:hint="eastAsia" w:ascii="宋体" w:hAnsi="宋体" w:eastAsia="宋体" w:cs="宋体"/>
                <w:vertAlign w:val="subscript"/>
                <w:lang w:eastAsia="zh-CN"/>
              </w:rPr>
              <w:t>0.2</w:t>
            </w:r>
            <w:r>
              <w:rPr>
                <w:rFonts w:hint="eastAsia" w:ascii="宋体" w:hAnsi="宋体" w:eastAsia="宋体" w:cs="宋体"/>
                <w:lang w:eastAsia="zh-CN"/>
              </w:rPr>
              <w:t>≥205MPa，断后伸长率A≥40%，维氏硬度≤210HV。提供第三方检测机构出具的带CMA认证的整机检测报告复印件（加盖投标人公章鲜章），需体现且满足上述数值要求。</w:t>
            </w:r>
          </w:p>
          <w:p w14:paraId="754706C8">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外部工艺：内外门采用嵌入式压紧密封门，壳体为一体式结构，外表面无拼接缝，便于清洁。</w:t>
            </w:r>
          </w:p>
          <w:p w14:paraId="3ABB1D8C">
            <w:pPr>
              <w:pStyle w:val="89"/>
              <w:numPr>
                <w:ilvl w:val="0"/>
                <w:numId w:val="3"/>
              </w:numPr>
              <w:ind w:firstLineChars="0"/>
              <w:rPr>
                <w:rFonts w:ascii="宋体" w:hAnsi="宋体" w:eastAsia="宋体" w:cs="宋体"/>
                <w:lang w:eastAsia="zh-CN"/>
              </w:rPr>
            </w:pPr>
            <w:r>
              <w:rPr>
                <w:rFonts w:hint="eastAsia" w:ascii="宋体" w:hAnsi="宋体" w:eastAsia="宋体" w:cs="宋体"/>
                <w:lang w:eastAsia="zh-CN"/>
              </w:rPr>
              <w:t>互锁装置：采用电子互锁和机械锁。提供互锁结构实物照片或结构示意图备查。</w:t>
            </w:r>
          </w:p>
          <w:p w14:paraId="50B61FDA">
            <w:pPr>
              <w:pStyle w:val="89"/>
              <w:numPr>
                <w:ilvl w:val="0"/>
                <w:numId w:val="3"/>
              </w:numPr>
              <w:ind w:firstLineChars="0"/>
              <w:rPr>
                <w:rFonts w:ascii="宋体" w:hAnsi="宋体" w:eastAsia="宋体" w:cs="宋体"/>
                <w:spacing w:val="-1"/>
                <w:lang w:eastAsia="zh-CN"/>
              </w:rPr>
            </w:pPr>
            <w:r>
              <w:rPr>
                <w:rFonts w:hint="eastAsia" w:ascii="宋体" w:hAnsi="宋体" w:eastAsia="宋体" w:cs="宋体"/>
                <w:lang w:eastAsia="zh-CN"/>
              </w:rPr>
              <w:t>控制方式：采用DDC控制,≥5寸彩色触摸屏，可单独设置消毒、自净时间，并具有操作权限保护功能，提供触摸屏上相关功能操作界面实物照片或界面截图备查。</w:t>
            </w:r>
          </w:p>
          <w:p w14:paraId="4D5891DA">
            <w:pPr>
              <w:pStyle w:val="89"/>
              <w:numPr>
                <w:ilvl w:val="0"/>
                <w:numId w:val="3"/>
              </w:numPr>
              <w:ind w:firstLineChars="0"/>
              <w:rPr>
                <w:rFonts w:ascii="宋体" w:hAnsi="宋体" w:eastAsia="宋体" w:cs="宋体"/>
                <w:spacing w:val="-1"/>
                <w:lang w:eastAsia="zh-CN"/>
              </w:rPr>
            </w:pPr>
            <w:r>
              <w:rPr>
                <w:rFonts w:hint="eastAsia" w:ascii="宋体" w:hAnsi="宋体" w:eastAsia="宋体" w:cs="宋体"/>
                <w:lang w:eastAsia="zh-CN"/>
              </w:rPr>
              <w:t>制造商要求：制造商应通过ISO9001质量管理体系认证、环境管理体系认证证书、职业健康安全管理体系认证。</w:t>
            </w:r>
          </w:p>
        </w:tc>
        <w:tc>
          <w:tcPr>
            <w:tcW w:w="886" w:type="dxa"/>
          </w:tcPr>
          <w:p w14:paraId="03374311">
            <w:pPr>
              <w:pStyle w:val="195"/>
              <w:rPr>
                <w:rFonts w:ascii="宋体" w:hAnsi="宋体" w:eastAsia="宋体" w:cs="宋体"/>
                <w:lang w:eastAsia="zh-CN"/>
              </w:rPr>
            </w:pPr>
          </w:p>
        </w:tc>
        <w:tc>
          <w:tcPr>
            <w:tcW w:w="863" w:type="dxa"/>
          </w:tcPr>
          <w:p w14:paraId="0F6E6A73">
            <w:pPr>
              <w:pStyle w:val="195"/>
              <w:rPr>
                <w:rFonts w:ascii="宋体" w:hAnsi="宋体" w:eastAsia="宋体" w:cs="宋体"/>
                <w:lang w:eastAsia="zh-CN"/>
              </w:rPr>
            </w:pPr>
          </w:p>
        </w:tc>
      </w:tr>
      <w:tr w14:paraId="32C69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6F33E44C">
            <w:pPr>
              <w:spacing w:before="231" w:line="241" w:lineRule="auto"/>
              <w:ind w:left="275"/>
              <w:rPr>
                <w:rFonts w:ascii="宋体" w:hAnsi="宋体" w:eastAsia="宋体" w:cs="宋体"/>
                <w:lang w:eastAsia="zh-CN"/>
              </w:rPr>
            </w:pPr>
            <w:r>
              <w:rPr>
                <w:rFonts w:hint="eastAsia" w:ascii="宋体" w:hAnsi="宋体" w:eastAsia="宋体" w:cs="宋体"/>
                <w:lang w:eastAsia="zh-CN"/>
              </w:rPr>
              <w:t>2</w:t>
            </w:r>
          </w:p>
        </w:tc>
        <w:tc>
          <w:tcPr>
            <w:tcW w:w="1219" w:type="dxa"/>
          </w:tcPr>
          <w:p w14:paraId="75115D8E">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胚胎操作室</w:t>
            </w:r>
          </w:p>
        </w:tc>
        <w:tc>
          <w:tcPr>
            <w:tcW w:w="1300" w:type="dxa"/>
          </w:tcPr>
          <w:p w14:paraId="4D63B78B">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传递窗</w:t>
            </w:r>
          </w:p>
        </w:tc>
        <w:tc>
          <w:tcPr>
            <w:tcW w:w="608" w:type="dxa"/>
          </w:tcPr>
          <w:p w14:paraId="39FB52AB">
            <w:pPr>
              <w:spacing w:before="49" w:line="252" w:lineRule="auto"/>
              <w:ind w:left="133" w:hanging="69"/>
              <w:jc w:val="both"/>
              <w:rPr>
                <w:rFonts w:ascii="宋体" w:hAnsi="宋体" w:eastAsia="宋体" w:cs="宋体"/>
                <w:spacing w:val="-1"/>
                <w:lang w:eastAsia="zh-CN"/>
              </w:rPr>
            </w:pPr>
          </w:p>
        </w:tc>
        <w:tc>
          <w:tcPr>
            <w:tcW w:w="1566" w:type="dxa"/>
          </w:tcPr>
          <w:p w14:paraId="15EED1D0">
            <w:pPr>
              <w:spacing w:before="49" w:line="252" w:lineRule="auto"/>
              <w:ind w:left="133" w:hanging="69"/>
              <w:rPr>
                <w:rFonts w:ascii="宋体" w:hAnsi="宋体" w:eastAsia="宋体" w:cs="宋体"/>
                <w:spacing w:val="-1"/>
                <w:lang w:eastAsia="zh-CN"/>
              </w:rPr>
            </w:pPr>
            <w:r>
              <w:rPr>
                <w:rFonts w:hint="eastAsia" w:ascii="宋体" w:hAnsi="宋体" w:eastAsia="宋体" w:cs="宋体"/>
                <w:spacing w:val="-1"/>
                <w:lang w:eastAsia="zh-CN"/>
              </w:rPr>
              <w:t>内尺寸：600*600*600</w:t>
            </w:r>
          </w:p>
        </w:tc>
        <w:tc>
          <w:tcPr>
            <w:tcW w:w="7769" w:type="dxa"/>
          </w:tcPr>
          <w:p w14:paraId="75B98AC5">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整体304不锈钢</w:t>
            </w:r>
          </w:p>
          <w:p w14:paraId="1F7F0491">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内外门互锁功能:机械互锁</w:t>
            </w:r>
          </w:p>
          <w:p w14:paraId="727AAC7D">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能对内胆进行紫外线灭菌:15W杀菌灯。</w:t>
            </w:r>
          </w:p>
          <w:p w14:paraId="27209A3D">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进出门均有金属按扭开关，可手动启停杀菌灯。</w:t>
            </w:r>
          </w:p>
          <w:p w14:paraId="51603E3E">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门板配置单层普通玻璃，使用旋紧拉手、弹簧插销门轴固定。内嵌门结构。</w:t>
            </w:r>
          </w:p>
          <w:p w14:paraId="401833B4">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杀菌开关双控接法，内外门开关均能启停杀菌灯。</w:t>
            </w:r>
          </w:p>
          <w:p w14:paraId="3C08DEFF">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顶部进线口品字插槽，配置三插头品字尾电源线。</w:t>
            </w:r>
          </w:p>
          <w:p w14:paraId="63D46D87">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进线口位置按图。</w:t>
            </w:r>
          </w:p>
          <w:p w14:paraId="5BDAAAE3">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内胆传递方向:直进直出。</w:t>
            </w:r>
          </w:p>
          <w:p w14:paraId="152F1EE7">
            <w:pPr>
              <w:numPr>
                <w:ilvl w:val="0"/>
                <w:numId w:val="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电气参数：220VAC,单相，功率:15W</w:t>
            </w:r>
          </w:p>
        </w:tc>
        <w:tc>
          <w:tcPr>
            <w:tcW w:w="886" w:type="dxa"/>
          </w:tcPr>
          <w:p w14:paraId="154DD087">
            <w:pPr>
              <w:pStyle w:val="195"/>
              <w:rPr>
                <w:rFonts w:ascii="宋体" w:hAnsi="宋体" w:eastAsia="宋体" w:cs="宋体"/>
                <w:lang w:eastAsia="zh-CN"/>
              </w:rPr>
            </w:pPr>
          </w:p>
        </w:tc>
        <w:tc>
          <w:tcPr>
            <w:tcW w:w="863" w:type="dxa"/>
          </w:tcPr>
          <w:p w14:paraId="5554D1DD">
            <w:pPr>
              <w:pStyle w:val="195"/>
              <w:rPr>
                <w:rFonts w:ascii="宋体" w:hAnsi="宋体" w:eastAsia="宋体" w:cs="宋体"/>
                <w:lang w:eastAsia="zh-CN"/>
              </w:rPr>
            </w:pPr>
          </w:p>
        </w:tc>
      </w:tr>
      <w:tr w14:paraId="076FF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60D53E0F">
            <w:pPr>
              <w:spacing w:before="231" w:line="241" w:lineRule="auto"/>
              <w:ind w:left="275"/>
              <w:rPr>
                <w:rFonts w:ascii="宋体" w:hAnsi="宋体" w:eastAsia="宋体" w:cs="宋体"/>
                <w:lang w:eastAsia="zh-CN"/>
              </w:rPr>
            </w:pPr>
            <w:r>
              <w:rPr>
                <w:rFonts w:hint="eastAsia" w:ascii="宋体" w:hAnsi="宋体" w:eastAsia="宋体" w:cs="宋体"/>
                <w:lang w:eastAsia="zh-CN"/>
              </w:rPr>
              <w:t>3</w:t>
            </w:r>
          </w:p>
        </w:tc>
        <w:tc>
          <w:tcPr>
            <w:tcW w:w="1219" w:type="dxa"/>
          </w:tcPr>
          <w:p w14:paraId="331E18A5">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接收间1、2</w:t>
            </w:r>
          </w:p>
        </w:tc>
        <w:tc>
          <w:tcPr>
            <w:tcW w:w="1300" w:type="dxa"/>
          </w:tcPr>
          <w:p w14:paraId="37B1F395">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多层动物层流传递柜</w:t>
            </w:r>
          </w:p>
        </w:tc>
        <w:tc>
          <w:tcPr>
            <w:tcW w:w="608" w:type="dxa"/>
          </w:tcPr>
          <w:p w14:paraId="4228D43A">
            <w:pPr>
              <w:spacing w:before="49" w:line="252" w:lineRule="auto"/>
              <w:ind w:left="133" w:hanging="69"/>
              <w:jc w:val="both"/>
              <w:rPr>
                <w:rFonts w:ascii="宋体" w:hAnsi="宋体" w:eastAsia="宋体" w:cs="宋体"/>
                <w:spacing w:val="-1"/>
                <w:lang w:eastAsia="zh-CN"/>
              </w:rPr>
            </w:pPr>
          </w:p>
        </w:tc>
        <w:tc>
          <w:tcPr>
            <w:tcW w:w="1566" w:type="dxa"/>
          </w:tcPr>
          <w:p w14:paraId="669E2FFF">
            <w:pPr>
              <w:spacing w:before="49" w:line="252" w:lineRule="auto"/>
              <w:ind w:left="133" w:hanging="69"/>
              <w:rPr>
                <w:rFonts w:ascii="宋体" w:hAnsi="宋体" w:eastAsia="宋体" w:cs="宋体"/>
                <w:spacing w:val="-1"/>
                <w:lang w:eastAsia="zh-CN"/>
              </w:rPr>
            </w:pPr>
            <w:r>
              <w:rPr>
                <w:rFonts w:hint="eastAsia" w:ascii="宋体" w:hAnsi="宋体" w:eastAsia="宋体" w:cs="宋体"/>
                <w:spacing w:val="-1"/>
                <w:lang w:eastAsia="zh-CN"/>
              </w:rPr>
              <w:t>外形尺寸≤985×710×1840mm（长×深×高）</w:t>
            </w:r>
          </w:p>
        </w:tc>
        <w:tc>
          <w:tcPr>
            <w:tcW w:w="7769" w:type="dxa"/>
          </w:tcPr>
          <w:p w14:paraId="7700A259">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电源：AC220V/50Hz，功率≤200W。</w:t>
            </w:r>
          </w:p>
          <w:p w14:paraId="2CD7E23A">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设备舱体：舱体内部应采用SUS 316L不锈钢镜面抛光板，大圆弧角设计，无清洗消毒死角，提供实物照片证明。</w:t>
            </w:r>
          </w:p>
          <w:p w14:paraId="26A52CDC">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密封门：密封门内面选用SUS316L不锈钢镜面板，外面选用SUS304不锈钢拉丝板；带有防紫外线玻璃观察窗，能够查看舱内物品的状况；具有电磁锁和机械锁双重锁门装置，前后双门互锁，实现前后区域严格生物隔离。</w:t>
            </w:r>
          </w:p>
          <w:p w14:paraId="69B734D4">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▲隔断装置：设备本身带有隔断结构，方便设备将来安装密封，维修时不会造成设备前后方贯通的情况。</w:t>
            </w:r>
          </w:p>
          <w:p w14:paraId="7CEDFC6C">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▲设备具有前后对讲功能，能够使隔离墙两侧人员无障碍沟通，提供实物照片证明。</w:t>
            </w:r>
          </w:p>
          <w:p w14:paraId="4CDAD312">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▲设备可支持OPCUA协议，可实现OPCUA协议下的设备监控，提供实物照片证明和全套协议配置证明文件。</w:t>
            </w:r>
          </w:p>
          <w:p w14:paraId="28121780">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具有紫外线照射消毒、消毒液雾化消毒两种消毒方式，可单独使用，也可两种消毒方式混合使用。</w:t>
            </w:r>
          </w:p>
          <w:p w14:paraId="13C4F9FD">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▲设备具有消毒液浓度检测功能，可通过传感器检测溶液浓度，避免使用不合格的消毒液，提供实物照片证明。</w:t>
            </w:r>
          </w:p>
          <w:p w14:paraId="6D092D6A">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舱体的两侧、顶板应布置9只防水紫外线灯管，灯管需镶嵌在V型灯管罩内，无照射消毒死角，单支紫外灯管发光长度≥240mm。舱体内上下采用304不锈钢隔栅分为至少4个消毒空间，相邻隔栅间距≥360mm，格栅可拆卸，提供实物照片证明。</w:t>
            </w:r>
          </w:p>
          <w:p w14:paraId="646F170E">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▲可预设紫外灯照射时间、喷雾时间、通风时间等工艺参数，提供相应图片证明。</w:t>
            </w:r>
          </w:p>
          <w:p w14:paraId="16847D2B">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▲紫外线灯管：距紫外灯管1m处紫外线强度：≥200μW/cm²，提供第三方检测机构出具的检测报告。</w:t>
            </w:r>
          </w:p>
          <w:p w14:paraId="05626B33">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▲设备具有紫外灯使用累积计时功能，紫外灯到达设定使用时间后，设备出现提示更换紫外灯报警，提供实物照片证明。</w:t>
            </w:r>
          </w:p>
          <w:p w14:paraId="6C2BA97C">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▲紫外消毒程序对白色葡萄球菌、大肠杆菌杀灭对数值≥3，提供第三方检测机构出具的检测报告。</w:t>
            </w:r>
          </w:p>
          <w:p w14:paraId="5E839A99">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▲喷雾消毒程序对嗜热脂肪杆菌芽孢、枯草黑色变种芽孢的杀灭对数值≥3，提供第三方检测机构出具的检测报告。</w:t>
            </w:r>
          </w:p>
          <w:p w14:paraId="5A81CFBA">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具有通风功能，选用国际知名品牌风机（德国EBM、西门子、瑞典奥斯博格），通风量≥200m³/h，传递动物时传递空间内维持一定换气次数。</w:t>
            </w:r>
          </w:p>
          <w:p w14:paraId="59BFAAEB">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▲通风管路：新风循环路线为从洁净区取风，由舱体上部进风口到下部的排风口经高效过滤器排到洁净区，从而保证不影响洁净房间内部压差。</w:t>
            </w:r>
          </w:p>
          <w:p w14:paraId="43C704E5">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▲设备具有高效过滤器使用累积计时功能，高效过滤器到达设定使用时间后，设备出现提示更换高效过滤器报警，提供实物照片证明。</w:t>
            </w:r>
          </w:p>
          <w:p w14:paraId="48EB54FD">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设备具有相应的专利证明其先进性，提供相关专利文件。</w:t>
            </w:r>
          </w:p>
          <w:p w14:paraId="2A066947">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生产厂家通过ISO 9001质量管理体系、ISO 14001环境管理体系、ISO 45001职业健康安全管理体系认证，具有中国合格评定国家认可委员会实验室认可证书（CNAS认证），提供相应证明。</w:t>
            </w:r>
          </w:p>
          <w:p w14:paraId="297E19CA">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从事本项目的专业设计人员需同时具有高级工程师及以上职业资格、实验动物从业资格证，需提供相应的证书证明。</w:t>
            </w:r>
          </w:p>
          <w:p w14:paraId="30515282">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生产厂家为国家认定企业技术中心，获得过省部级以上奖项（以企业信誉和产品获奖荣誉证明为准），获得过全国百佳质量诚信标杆企业，提供相应证明。</w:t>
            </w:r>
          </w:p>
          <w:p w14:paraId="3BA59830">
            <w:pPr>
              <w:numPr>
                <w:ilvl w:val="0"/>
                <w:numId w:val="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生产厂家为具有环保认证和可持续发展理念的供应商，符合国家环保和可持续发展理念，并被评定为国家级绿色供应链管理企业，提供政府机构发布的官方名单证明。</w:t>
            </w:r>
          </w:p>
        </w:tc>
        <w:tc>
          <w:tcPr>
            <w:tcW w:w="886" w:type="dxa"/>
          </w:tcPr>
          <w:p w14:paraId="67B8B9D1">
            <w:pPr>
              <w:pStyle w:val="195"/>
              <w:rPr>
                <w:rFonts w:ascii="宋体" w:hAnsi="宋体" w:eastAsia="宋体" w:cs="宋体"/>
                <w:lang w:eastAsia="zh-CN"/>
              </w:rPr>
            </w:pPr>
          </w:p>
        </w:tc>
        <w:tc>
          <w:tcPr>
            <w:tcW w:w="863" w:type="dxa"/>
          </w:tcPr>
          <w:p w14:paraId="1A0AD649">
            <w:pPr>
              <w:pStyle w:val="195"/>
              <w:rPr>
                <w:rFonts w:ascii="宋体" w:hAnsi="宋体" w:eastAsia="宋体" w:cs="宋体"/>
                <w:lang w:eastAsia="zh-CN"/>
              </w:rPr>
            </w:pPr>
          </w:p>
        </w:tc>
      </w:tr>
      <w:tr w14:paraId="643A4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0BA22244">
            <w:pPr>
              <w:spacing w:before="231" w:line="241" w:lineRule="auto"/>
              <w:ind w:left="275"/>
              <w:rPr>
                <w:rFonts w:ascii="宋体" w:hAnsi="宋体" w:eastAsia="宋体" w:cs="宋体"/>
                <w:lang w:eastAsia="zh-CN"/>
              </w:rPr>
            </w:pPr>
            <w:r>
              <w:rPr>
                <w:rFonts w:hint="eastAsia" w:ascii="宋体" w:hAnsi="宋体" w:eastAsia="宋体" w:cs="宋体"/>
                <w:lang w:eastAsia="zh-CN"/>
              </w:rPr>
              <w:t>4</w:t>
            </w:r>
          </w:p>
        </w:tc>
        <w:tc>
          <w:tcPr>
            <w:tcW w:w="1219" w:type="dxa"/>
          </w:tcPr>
          <w:p w14:paraId="63C1442C">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男、女二更1、2</w:t>
            </w:r>
          </w:p>
        </w:tc>
        <w:tc>
          <w:tcPr>
            <w:tcW w:w="1300" w:type="dxa"/>
          </w:tcPr>
          <w:p w14:paraId="48658596">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双人风淋室</w:t>
            </w:r>
          </w:p>
        </w:tc>
        <w:tc>
          <w:tcPr>
            <w:tcW w:w="608" w:type="dxa"/>
          </w:tcPr>
          <w:p w14:paraId="7C36E7DD">
            <w:pPr>
              <w:spacing w:before="49" w:line="252" w:lineRule="auto"/>
              <w:ind w:left="133" w:hanging="69"/>
              <w:jc w:val="both"/>
              <w:rPr>
                <w:rFonts w:ascii="宋体" w:hAnsi="宋体" w:eastAsia="宋体" w:cs="宋体"/>
                <w:spacing w:val="-1"/>
                <w:lang w:eastAsia="zh-CN"/>
              </w:rPr>
            </w:pPr>
          </w:p>
        </w:tc>
        <w:tc>
          <w:tcPr>
            <w:tcW w:w="1566" w:type="dxa"/>
          </w:tcPr>
          <w:p w14:paraId="5DDA3CB2">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1500W*1200D*1960H</w:t>
            </w:r>
          </w:p>
        </w:tc>
        <w:tc>
          <w:tcPr>
            <w:tcW w:w="7769" w:type="dxa"/>
          </w:tcPr>
          <w:p w14:paraId="0F5864AE">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箱体1.2mm环保钢板喷涂，内胆1.0mm 304不锈钢，门板304不锈钢</w:t>
            </w:r>
          </w:p>
          <w:p w14:paraId="0F2693CB">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内外门互锁功能:电子互锁。待机时双门互锁，风淋中双门上锁</w:t>
            </w:r>
          </w:p>
          <w:p w14:paraId="04F03F51">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净化功能:可吹淋清除人、物表面附着的尘埃粒子。</w:t>
            </w:r>
          </w:p>
          <w:p w14:paraId="4F34EDD6">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自动关门功能:松开门后，门体能自动关闭到位。</w:t>
            </w:r>
          </w:p>
          <w:p w14:paraId="7DF7AADC">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照明灯自动亮灭:使用状态开启，待机状态熄灭。</w:t>
            </w:r>
          </w:p>
          <w:p w14:paraId="3BCA44BF">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自动风淋:从外门进入自动启停风淋。从内门进入不风淋。</w:t>
            </w:r>
          </w:p>
          <w:p w14:paraId="56841548">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风淋时间可设定，吹淋时显示倒计时。</w:t>
            </w:r>
          </w:p>
          <w:p w14:paraId="1CBEAE83">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语音提醒功能:提醒客户完成进出风淋的流程步骤，中文语音。</w:t>
            </w:r>
          </w:p>
          <w:p w14:paraId="653F6193">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直通样式，双侧吹淋，配置风机和喷嘴。</w:t>
            </w:r>
          </w:p>
          <w:p w14:paraId="51D17410">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门板上段配置5mm单层普通玻璃透视窗，下段双面封板发泡加固。</w:t>
            </w:r>
          </w:p>
          <w:p w14:paraId="59223B62">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门配置圆管拉手、闭门器、不锈钢合页，</w:t>
            </w:r>
          </w:p>
          <w:p w14:paraId="497F7754">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电源:380VAC，三相，功率:2.4kW</w:t>
            </w:r>
          </w:p>
          <w:p w14:paraId="4F0AFAA5">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吹淋风速:&gt;25m/s</w:t>
            </w:r>
          </w:p>
          <w:p w14:paraId="7874E5E6">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风淋设定范围:2-99秒。</w:t>
            </w:r>
          </w:p>
          <w:p w14:paraId="6B9FC77A">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无隔板高效过滤器:1170*570*69，效率99.99%@0.5μm。</w:t>
            </w:r>
          </w:p>
          <w:p w14:paraId="5F0FE865">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初效简易网:1250*490*8.</w:t>
            </w:r>
          </w:p>
          <w:p w14:paraId="2F485013">
            <w:pPr>
              <w:numPr>
                <w:ilvl w:val="0"/>
                <w:numId w:val="6"/>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LED照明灯:4寸。</w:t>
            </w:r>
          </w:p>
        </w:tc>
        <w:tc>
          <w:tcPr>
            <w:tcW w:w="886" w:type="dxa"/>
          </w:tcPr>
          <w:p w14:paraId="417E5611">
            <w:pPr>
              <w:pStyle w:val="195"/>
              <w:rPr>
                <w:rFonts w:ascii="宋体" w:hAnsi="宋体" w:eastAsia="宋体" w:cs="宋体"/>
              </w:rPr>
            </w:pPr>
          </w:p>
        </w:tc>
        <w:tc>
          <w:tcPr>
            <w:tcW w:w="863" w:type="dxa"/>
          </w:tcPr>
          <w:p w14:paraId="5B211E16">
            <w:pPr>
              <w:pStyle w:val="195"/>
              <w:rPr>
                <w:rFonts w:ascii="宋体" w:hAnsi="宋体" w:eastAsia="宋体" w:cs="宋体"/>
              </w:rPr>
            </w:pPr>
          </w:p>
        </w:tc>
      </w:tr>
      <w:tr w14:paraId="411B5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64DC00D9">
            <w:pPr>
              <w:spacing w:before="231" w:line="241" w:lineRule="auto"/>
              <w:ind w:left="275"/>
              <w:rPr>
                <w:rFonts w:ascii="宋体" w:hAnsi="宋体" w:eastAsia="宋体" w:cs="宋体"/>
                <w:lang w:eastAsia="zh-CN"/>
              </w:rPr>
            </w:pPr>
            <w:r>
              <w:rPr>
                <w:rFonts w:hint="eastAsia" w:ascii="宋体" w:hAnsi="宋体" w:eastAsia="宋体" w:cs="宋体"/>
                <w:lang w:eastAsia="zh-CN"/>
              </w:rPr>
              <w:t>5</w:t>
            </w:r>
          </w:p>
        </w:tc>
        <w:tc>
          <w:tcPr>
            <w:tcW w:w="1219" w:type="dxa"/>
          </w:tcPr>
          <w:p w14:paraId="40D3AD72">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操作间5</w:t>
            </w:r>
          </w:p>
        </w:tc>
        <w:tc>
          <w:tcPr>
            <w:tcW w:w="1300" w:type="dxa"/>
          </w:tcPr>
          <w:p w14:paraId="206C3796">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A2生物安全柜</w:t>
            </w:r>
          </w:p>
        </w:tc>
        <w:tc>
          <w:tcPr>
            <w:tcW w:w="608" w:type="dxa"/>
          </w:tcPr>
          <w:p w14:paraId="0CF18C21">
            <w:pPr>
              <w:spacing w:before="49" w:line="252" w:lineRule="auto"/>
              <w:ind w:left="133" w:hanging="69"/>
              <w:jc w:val="both"/>
              <w:rPr>
                <w:rFonts w:ascii="宋体" w:hAnsi="宋体" w:eastAsia="宋体" w:cs="宋体"/>
                <w:spacing w:val="-1"/>
                <w:lang w:eastAsia="zh-CN"/>
              </w:rPr>
            </w:pPr>
          </w:p>
        </w:tc>
        <w:tc>
          <w:tcPr>
            <w:tcW w:w="1566" w:type="dxa"/>
          </w:tcPr>
          <w:p w14:paraId="1611B606">
            <w:pPr>
              <w:spacing w:before="49" w:line="252" w:lineRule="auto"/>
              <w:ind w:left="133" w:hanging="69"/>
              <w:rPr>
                <w:rFonts w:ascii="宋体" w:hAnsi="宋体" w:eastAsia="宋体" w:cs="宋体"/>
                <w:spacing w:val="-1"/>
                <w:lang w:eastAsia="zh-CN"/>
              </w:rPr>
            </w:pPr>
            <w:r>
              <w:rPr>
                <w:rFonts w:hint="eastAsia" w:ascii="宋体" w:hAnsi="宋体" w:eastAsia="宋体" w:cs="宋体"/>
                <w:color w:val="auto"/>
                <w:szCs w:val="24"/>
              </w:rPr>
              <w:t>外形尺寸≤1400×830×2200mm</w:t>
            </w:r>
          </w:p>
        </w:tc>
        <w:tc>
          <w:tcPr>
            <w:tcW w:w="7769" w:type="dxa"/>
          </w:tcPr>
          <w:p w14:paraId="4E7D85D7">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 xml:space="preserve">▲生物安全柜标准：符合中国YY 0569标准, 美国NSF/ANSI 49标准和欧盟EN12469标准 </w:t>
            </w:r>
          </w:p>
          <w:p w14:paraId="605AD836">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 xml:space="preserve">▲空气洁净度标准：ISO 14644.1 Class 3, IEST-G-CC1001, IEST-G-CC1002和其他相关标准 </w:t>
            </w:r>
          </w:p>
          <w:p w14:paraId="59FCB562">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 xml:space="preserve">▲过滤器性能标准：IEST-RP-CC034.1, IEST-RP-CC007.1, IEST-RP-CC001.3和EN 1822 </w:t>
            </w:r>
          </w:p>
          <w:p w14:paraId="1567A1CB">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▲电气安全性标准：IEC 61010-1 / EN 61010-1 / UL 61010-1 / CAN/CSA C22.2 No. 61010-1</w:t>
            </w:r>
          </w:p>
          <w:p w14:paraId="57558017">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▲符合中国NMPA YY0569标准、美国NSF/ANSI49和欧盟EN 12469标准。</w:t>
            </w:r>
          </w:p>
          <w:p w14:paraId="6ECDA87A">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新型SentinelGold 微电脑程控面板ULPA级超高效过滤器保障安全性。</w:t>
            </w:r>
          </w:p>
          <w:p w14:paraId="14ECBF54">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性能稳定的DCECM免维护高效风机系统节能型设计，低耗电量和低维护成本。</w:t>
            </w:r>
          </w:p>
          <w:p w14:paraId="532AD170">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触摸式按键控制功能设定及故障排查、参数设定和分级菜单进入实时监控，显示进气流和下降气流安全状态显示及声、光报警提示功能ULPA超高效过滤器寿命显示。</w:t>
            </w:r>
          </w:p>
          <w:p w14:paraId="55235BA2">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程序控制紫外灯进行定时消毒灭菌功能可选Quickstart模式进行快速启动。</w:t>
            </w:r>
          </w:p>
          <w:p w14:paraId="7268F2D7">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倾斜式操作前窗和前部进气格栅的宽度被尽量地缩小使进入工作台面操作更轻松。</w:t>
            </w:r>
          </w:p>
          <w:p w14:paraId="0E9E3A35">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气、液阀门可安装在工作区域内左右两侧壁，易于操作增强的侧壁引流孔设计，有效防止逆流、湍流形成选配高度可调的主机支架可使工作台处于不同操作高度通体式搁手架高于操作台面，与操作室等宽，提供舒适操作的同时也防止进气流被阻挡。</w:t>
            </w:r>
          </w:p>
          <w:p w14:paraId="26017A65">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改善的低噪音设计使操作者更加舒适。</w:t>
            </w:r>
          </w:p>
          <w:p w14:paraId="3E771C90">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一体成型不锈钢浅盘式设计，无焊接或螺丝，不会形成污染物累积。</w:t>
            </w:r>
          </w:p>
          <w:p w14:paraId="5A3BB2BF">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移动式操作台面可以提升并取出，方便清洁及消毒操作操作室侧壁与背板由整块钢板一次冲压成形，大圆弧角设计，无焊接，易清洁。</w:t>
            </w:r>
          </w:p>
          <w:p w14:paraId="01A22B8A">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配置可拆卸的预过滤器格栅，可选配预过滤器。</w:t>
            </w:r>
          </w:p>
          <w:p w14:paraId="5A3F41DE">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柜体进气口配置预过滤器。</w:t>
            </w:r>
          </w:p>
          <w:p w14:paraId="70740A90">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Isocide表面抗菌涂层可有效地抑制微生物在柜体表面滋生，并应用于所有系列产品柜体表面。</w:t>
            </w:r>
          </w:p>
          <w:p w14:paraId="730D0546">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Isocide抑菌材料主要成份含有银离子，具有长期抑菌作用，且不会因为表面清洗而被消除。</w:t>
            </w:r>
          </w:p>
          <w:p w14:paraId="7766028C">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柜体外部表面喷涂的lsocide抗菌涂层可在24小时内抑制柜体表面99.9%的细菌滋生。</w:t>
            </w:r>
          </w:p>
          <w:p w14:paraId="219FEAB7">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自带电压波动补偿功能，在190~250V宽电压波动范围内保持恒定风速具有阻力感应补偿功能，过滤器堵塞压力增加300%情况下仍提供安全风速有效的延长超高效空气过滤器的使用寿命一倍以上，降低过滤器维护成本高效节能型安全柜，节省70%用电量;低风速模式进一步减少60%用电量。</w:t>
            </w:r>
          </w:p>
          <w:p w14:paraId="6E461EC0">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▲采用新型微皱褶无间隔ULPA过滤器，在增加有效过滤面积的同时延长其使用寿命。</w:t>
            </w:r>
          </w:p>
          <w:p w14:paraId="233457BE">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ULPA过滤器可提供垂直层流气流至工作台面以保护样品，同时达到1级空气洁净度标准(符合IS0 14644.1标准3级，比100级洁净度高100倍)</w:t>
            </w:r>
          </w:p>
          <w:p w14:paraId="6CD86C40">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▲对于MPPS具有&gt;99.999%的截留效率。</w:t>
            </w:r>
          </w:p>
          <w:p w14:paraId="255E79BE">
            <w:pPr>
              <w:numPr>
                <w:ilvl w:val="0"/>
                <w:numId w:val="7"/>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外排ULPA过滤器将操作室空气中生物危害颗粒过滤后才排放到实验室环境，以达到对人员和环境的保护。</w:t>
            </w:r>
          </w:p>
        </w:tc>
        <w:tc>
          <w:tcPr>
            <w:tcW w:w="886" w:type="dxa"/>
          </w:tcPr>
          <w:p w14:paraId="23A9B419">
            <w:pPr>
              <w:pStyle w:val="195"/>
              <w:rPr>
                <w:rFonts w:ascii="宋体" w:hAnsi="宋体" w:eastAsia="宋体" w:cs="宋体"/>
                <w:lang w:eastAsia="zh-CN"/>
              </w:rPr>
            </w:pPr>
          </w:p>
        </w:tc>
        <w:tc>
          <w:tcPr>
            <w:tcW w:w="863" w:type="dxa"/>
          </w:tcPr>
          <w:p w14:paraId="3D36F09F">
            <w:pPr>
              <w:pStyle w:val="195"/>
              <w:rPr>
                <w:rFonts w:ascii="宋体" w:hAnsi="宋体" w:eastAsia="宋体" w:cs="宋体"/>
                <w:lang w:eastAsia="zh-CN"/>
              </w:rPr>
            </w:pPr>
          </w:p>
        </w:tc>
      </w:tr>
      <w:tr w14:paraId="6EE22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4216ECD6">
            <w:pPr>
              <w:spacing w:before="231" w:line="241" w:lineRule="auto"/>
              <w:ind w:left="275"/>
              <w:rPr>
                <w:rFonts w:ascii="宋体" w:hAnsi="宋体" w:eastAsia="宋体" w:cs="宋体"/>
                <w:lang w:eastAsia="zh-CN"/>
              </w:rPr>
            </w:pPr>
            <w:r>
              <w:rPr>
                <w:rFonts w:hint="eastAsia" w:ascii="宋体" w:hAnsi="宋体" w:eastAsia="宋体" w:cs="宋体"/>
                <w:lang w:eastAsia="zh-CN"/>
              </w:rPr>
              <w:t>6</w:t>
            </w:r>
          </w:p>
        </w:tc>
        <w:tc>
          <w:tcPr>
            <w:tcW w:w="1219" w:type="dxa"/>
          </w:tcPr>
          <w:p w14:paraId="79276E65">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清消室2</w:t>
            </w:r>
          </w:p>
        </w:tc>
        <w:tc>
          <w:tcPr>
            <w:tcW w:w="1300" w:type="dxa"/>
          </w:tcPr>
          <w:p w14:paraId="3AE317CB">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脉动真空灭菌器消毒传递舱</w:t>
            </w:r>
          </w:p>
        </w:tc>
        <w:tc>
          <w:tcPr>
            <w:tcW w:w="608" w:type="dxa"/>
          </w:tcPr>
          <w:p w14:paraId="6F4AF893">
            <w:pPr>
              <w:spacing w:before="49" w:line="252" w:lineRule="auto"/>
              <w:ind w:left="133" w:hanging="69"/>
              <w:jc w:val="both"/>
              <w:rPr>
                <w:rFonts w:ascii="宋体" w:hAnsi="宋体" w:eastAsia="宋体" w:cs="宋体"/>
                <w:spacing w:val="-1"/>
                <w:lang w:eastAsia="zh-CN"/>
              </w:rPr>
            </w:pPr>
          </w:p>
        </w:tc>
        <w:tc>
          <w:tcPr>
            <w:tcW w:w="1566" w:type="dxa"/>
          </w:tcPr>
          <w:p w14:paraId="510C40A3">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≤1875×2016×2075（mm）</w:t>
            </w:r>
          </w:p>
        </w:tc>
        <w:tc>
          <w:tcPr>
            <w:tcW w:w="7769" w:type="dxa"/>
          </w:tcPr>
          <w:p w14:paraId="20174B00">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380V/50 Hz，≤4.5kw;</w:t>
            </w:r>
          </w:p>
          <w:p w14:paraId="6D88DB44">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▲环形加强筋结构，内腔强度和稳定性更高；内壳采用316L不锈钢材质，夹套、门板、门档条采用304不锈钢；主体设计寿命10年（20000次灭菌循环），提供相关证明;</w:t>
            </w:r>
          </w:p>
          <w:p w14:paraId="34054D9D">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为保证灭菌器焊接质量，所生产柜体需自主焊接，不可委托第三方焊接加工；焊接采用全自动焊接机器人进行焊接，提高焊接质量稳定性，避免沙眼、虚焊、透焊等焊接质量问题，焊接机器人臂展≥2m，重复定位精度控制在±0.1mm内，提供主体焊接照片证明、焊接机器人臂展≥2m照片证明及焊接设备的采购合同证明;</w:t>
            </w:r>
          </w:p>
          <w:p w14:paraId="0CDB9A13">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电机齿轮链条驱动门板上下移动，侧开门式开启柜门。与主体啮合齿数≥13个；双门通道型、机动门、带有安全联锁装置、双门互锁以保证灭菌器前后区域的有效隔离，提供权威第三方出具的安全联锁装置鉴定证书。</w:t>
            </w:r>
          </w:p>
          <w:p w14:paraId="5FCB7667">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高抗撕圆形硅胶条，装于主体密封槽内，与压缩气连接管路为金属固定管路，拒绝密封胶圈装在门体上的设计，提供门密封圈照片证明。</w:t>
            </w:r>
          </w:p>
          <w:p w14:paraId="4F27E296">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设计压力≥0.3 Mpa。</w:t>
            </w:r>
          </w:p>
          <w:p w14:paraId="4129B981">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设计温度≥144℃。</w:t>
            </w:r>
          </w:p>
          <w:p w14:paraId="43DF632A">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▲夹套耐压试验压力≥0.52 MPa。</w:t>
            </w:r>
          </w:p>
          <w:p w14:paraId="1632B458">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PLC:国际知名品牌，运行过程中的数据通过打印机打印,预留电脑远程监控接口；网络协议：支持工业以太网，可通过Internet远程维护，支持TCP/IP等众多网络协议。</w:t>
            </w:r>
          </w:p>
          <w:p w14:paraId="0B82F378">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触摸屏：国际知名品牌彩色触摸屏人机操作界面，灭菌程序的压力、温度、时间等参数可根据需要自行设定，屏幕尺寸≥7寸；分辨率：分辨率为800 × 480；防护等级：前面板 IP 65；通讯协议：支持RS-422、RS-485、TCP/IP通讯。</w:t>
            </w:r>
          </w:p>
          <w:p w14:paraId="73B9FFA6">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控制系统配备有校正程序，可以实现不同海拔地区的压力、温度等参数的校正；具有多级控制保护、帮助功能。</w:t>
            </w:r>
          </w:p>
          <w:p w14:paraId="4552264E">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管理员、工艺员、操作员三级权限管理，防止人员误操作，保障设备正常运行。</w:t>
            </w:r>
          </w:p>
          <w:p w14:paraId="6D80A8A6">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灭菌过程的温度、压力、时间、过程阶段、预置参数等应在触摸屏上自动显示，可配监控电脑，程序运行中参数应永久保存在电脑中，配有打印机打印工作过程参数。</w:t>
            </w:r>
          </w:p>
          <w:p w14:paraId="0F716786">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应有121℃饲料灭菌、121℃塑料物品灭菌、134℃金属物品灭菌、134℃织物灭菌、121℃开口容器液体灭菌、121℃固体废弃物灭菌、134℃垫料灭菌、134℃塑料物品灭菌、121℃快速液体程序、BD测试、真空测试、自定义程序。整个过程自动控制、有低温、高温报警和误操作保护提示，应提供程序选择及运行界面照片。</w:t>
            </w:r>
          </w:p>
          <w:p w14:paraId="53D374A9">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设备的后端应自带密封结构，以保证设备前后区域严格的隔离密封，密封性能符合GB 19489-2008 实验室生物安全通用要求中有关规定。应提供设备密封结构的照片和密封性能测试报告。</w:t>
            </w:r>
          </w:p>
          <w:p w14:paraId="2A626440">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灭菌器主体有良好保温措施，其表层温度不得高于45℃，主体保温罩采用轧花铝板材质，提供轧花铝板保温罩照片证明。</w:t>
            </w:r>
          </w:p>
          <w:p w14:paraId="785D75E7">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国际知名品牌气动阀，提供照片证明。</w:t>
            </w:r>
          </w:p>
          <w:p w14:paraId="76FAA8D3">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国际知名品牌，单级直连式水环真空泵，防护等级≥IP55，效率≥86%，真空泵安装在设备的侧面，与主体保持一定的间距，真空泵配置缓冲水箱，真空泵在缓冲水箱吸水，提供真空泵与缓冲水箱相连接的证明照片。</w:t>
            </w:r>
          </w:p>
          <w:p w14:paraId="62FD6623">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板式换热器，换热效率≥95%，使用寿命长。</w:t>
            </w:r>
          </w:p>
          <w:p w14:paraId="7D7ADCCD">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带有节水降噪装置，设备运行噪音≤75dB（设备操作区）；</w:t>
            </w:r>
          </w:p>
          <w:p w14:paraId="288E0199">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带有换热器水回收系统，节约能源；</w:t>
            </w:r>
          </w:p>
          <w:p w14:paraId="150CEC68">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卫生级管路，卡箍连接，管路内外抛光处理；</w:t>
            </w:r>
          </w:p>
          <w:p w14:paraId="56C18739">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消毒车、搬运车整体使用304不锈钢加工成型。</w:t>
            </w:r>
          </w:p>
          <w:p w14:paraId="07C1F5F4">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灭菌器属于压力容器且设备体积较大，需出具设备安装可行性方案，投标人需先行对设备安装现场进行实地勘察，提供现场负责人签字的设备安装可行性方案。</w:t>
            </w:r>
          </w:p>
          <w:p w14:paraId="21E597EB">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设备具有第三方机构出具的灭菌效果检测报告，提供相关证明；</w:t>
            </w:r>
          </w:p>
          <w:p w14:paraId="39DB1490">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▲设备有相应的专利证明其先进性，提供相关专利证明；</w:t>
            </w:r>
          </w:p>
          <w:p w14:paraId="51191652">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投标品牌为专业灭菌设备生产厂家，通过ISO9001、ISO13485、ASME、环境管理体系、职业健康安全管理体系认证，具有中华人民共和国特种设备生产可证（压力容器）资质，具有中国合格评定国家认可委员会实验室认可证书（CNAS认证），所有证件上的公司名称应与投标产品品牌相一致，提供相应证件证明；</w:t>
            </w:r>
          </w:p>
          <w:p w14:paraId="22FF01B6">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从事本项目的专业设计人员需同时具有高级工程师及以上职业资格、实验动物从业资格证，需提供相应的证书证明；</w:t>
            </w:r>
          </w:p>
          <w:p w14:paraId="5766D845">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产厂家为国家认定企业技术中心，获得过省部级以上奖项（以企业信誉和产品获奖荣誉证明为准），获得过全国百佳质量诚信标杆企业。提供相应证明。</w:t>
            </w:r>
          </w:p>
          <w:p w14:paraId="5EE0F96B">
            <w:pPr>
              <w:numPr>
                <w:ilvl w:val="0"/>
                <w:numId w:val="8"/>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有售后办事处（写明地址、固定电话），售后办事处常驻售后服务人员不得少于8名，应提供当地售后工程师名单及联系方式，售后服务人员在接到电话后，2小时响应，4小时内到位，重大紧急情况3小时内应到位，及时排除故障，保障动物房安全运行；</w:t>
            </w:r>
          </w:p>
        </w:tc>
        <w:tc>
          <w:tcPr>
            <w:tcW w:w="886" w:type="dxa"/>
          </w:tcPr>
          <w:p w14:paraId="6F30CD6C">
            <w:pPr>
              <w:pStyle w:val="195"/>
              <w:rPr>
                <w:rFonts w:ascii="宋体" w:hAnsi="宋体" w:eastAsia="宋体" w:cs="宋体"/>
                <w:lang w:eastAsia="zh-CN"/>
              </w:rPr>
            </w:pPr>
          </w:p>
        </w:tc>
        <w:tc>
          <w:tcPr>
            <w:tcW w:w="863" w:type="dxa"/>
          </w:tcPr>
          <w:p w14:paraId="3600ED49">
            <w:pPr>
              <w:pStyle w:val="195"/>
              <w:rPr>
                <w:rFonts w:ascii="宋体" w:hAnsi="宋体" w:eastAsia="宋体" w:cs="宋体"/>
                <w:lang w:eastAsia="zh-CN"/>
              </w:rPr>
            </w:pPr>
          </w:p>
        </w:tc>
      </w:tr>
      <w:tr w14:paraId="55EDD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15FF9FF1">
            <w:pPr>
              <w:spacing w:before="231" w:line="241" w:lineRule="auto"/>
              <w:ind w:left="275"/>
              <w:rPr>
                <w:rFonts w:ascii="宋体" w:hAnsi="宋体" w:eastAsia="宋体" w:cs="宋体"/>
                <w:lang w:eastAsia="zh-CN"/>
              </w:rPr>
            </w:pPr>
            <w:r>
              <w:rPr>
                <w:rFonts w:hint="eastAsia" w:ascii="宋体" w:hAnsi="宋体" w:eastAsia="宋体" w:cs="宋体"/>
                <w:lang w:eastAsia="zh-CN"/>
              </w:rPr>
              <w:t>7</w:t>
            </w:r>
          </w:p>
        </w:tc>
        <w:tc>
          <w:tcPr>
            <w:tcW w:w="1219" w:type="dxa"/>
          </w:tcPr>
          <w:p w14:paraId="1610EA90">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清消室1、2</w:t>
            </w:r>
          </w:p>
        </w:tc>
        <w:tc>
          <w:tcPr>
            <w:tcW w:w="1300" w:type="dxa"/>
          </w:tcPr>
          <w:p w14:paraId="0220DCFA">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大型消毒传递舱</w:t>
            </w:r>
          </w:p>
        </w:tc>
        <w:tc>
          <w:tcPr>
            <w:tcW w:w="608" w:type="dxa"/>
          </w:tcPr>
          <w:p w14:paraId="3034D657">
            <w:pPr>
              <w:spacing w:before="49" w:line="252" w:lineRule="auto"/>
              <w:ind w:left="133" w:hanging="69"/>
              <w:jc w:val="both"/>
              <w:rPr>
                <w:rFonts w:ascii="宋体" w:hAnsi="宋体" w:eastAsia="宋体" w:cs="宋体"/>
                <w:spacing w:val="-1"/>
                <w:lang w:eastAsia="zh-CN"/>
              </w:rPr>
            </w:pPr>
          </w:p>
        </w:tc>
        <w:tc>
          <w:tcPr>
            <w:tcW w:w="1566" w:type="dxa"/>
          </w:tcPr>
          <w:p w14:paraId="5016D321">
            <w:pPr>
              <w:spacing w:before="49" w:line="252" w:lineRule="auto"/>
              <w:ind w:left="133" w:hanging="69"/>
              <w:jc w:val="both"/>
              <w:rPr>
                <w:rFonts w:ascii="宋体" w:hAnsi="宋体" w:eastAsia="宋体" w:cs="宋体"/>
                <w:spacing w:val="-1"/>
                <w:lang w:eastAsia="zh-CN"/>
              </w:rPr>
            </w:pPr>
          </w:p>
        </w:tc>
        <w:tc>
          <w:tcPr>
            <w:tcW w:w="7769" w:type="dxa"/>
            <w:vAlign w:val="center"/>
          </w:tcPr>
          <w:p w14:paraId="091C9113">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功能要求：安装在实验动物设施受控区与非受控区之间，用于独立通风笼具（IVC）、大批量转运笼具（可带动物）、推车等大件物品的快速消毒和灭菌处理。提供产品手册相关页备查。</w:t>
            </w:r>
          </w:p>
          <w:p w14:paraId="1D59976D">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消毒因子：采用由闪蒸方式产生的汽化过氧化氢（VHP）和由高能脉冲氙光灯管产生的脉冲强光紫外线相结合的消毒灭菌方式。</w:t>
            </w:r>
          </w:p>
          <w:p w14:paraId="071D6CE5">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灯管布置方式：舱内顶部不少于2支防水高能氙灯，左右两侧面各不少于4支防水高能氙灯，单支灯管发光长度≥560mm，灯管直径≥60mm；舱内双侧面各不少于12支防水高能脉冲氙灯，灯管有效发光长度合计≥2160mm。提供传递舱内部照片或结构示意图，并标注灯管名称，明确灯管布置方式和数量，并提供灯管尺寸图纸及实物照片或结构示意图备查。</w:t>
            </w:r>
          </w:p>
          <w:p w14:paraId="7CB348A5">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▲舱内紫外辐照强度：舱内距顶部灯管20cm处，测量的紫外辐照强度值＞10mw/cm²。提供传递舱的第三方（检测机构应具有CMA或CNAS资质）检测报告，并标注清楚结果数值。</w:t>
            </w:r>
          </w:p>
          <w:p w14:paraId="6245ADBC">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▲芽孢杀灭效率：氙灯作用3min，发生H2O225min，降解25min，共作用53min，对枯草杆菌黑色变种芽孢的杀灭对数值＞5。提供传递舱的第三方（检测机构应具有CMA或CNAS资质）检测报告，并标注清楚结果数值。</w:t>
            </w:r>
          </w:p>
          <w:p w14:paraId="0764F4A3">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细菌杀菌效率：氙灯作用3min，发生H2O225min，降解25min，共作用53min，对铜绿假单胞菌、白色葡萄球菌、大肠杆菌、龟分枝杆菌、金色葡萄球菌的杀灭对数值＞5。提供传递舱的第三方（检测机构应具有CMA或CNAS资质）检测报告，并标注清楚结果数值。</w:t>
            </w:r>
          </w:p>
          <w:p w14:paraId="6496D2D8">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▲真菌杀菌效率：氙灯作用3min，发生H2O225min，降解25min，共作用53min，对白色念珠菌的杀灭对数值＞5。提供传递舱的第三方（检测机构应具有CMA或CNAS资质）检测报告，并标注清楚结果数值。</w:t>
            </w:r>
          </w:p>
          <w:p w14:paraId="4B469C15">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▲冠状病毒杀灭效率：氙灯作用3min，发生H2O225min，降解25min，共作用53min，对冠状病毒HCoV-229E的杀灭对数值＞6。提供传递舱的第三方（检测机构应具有CMA或CNAS资质）检测报告，并标注清楚结果数值。</w:t>
            </w:r>
          </w:p>
          <w:p w14:paraId="0065F0DD">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▲腺病毒杀灭效率：氙灯作用3min，发生H2O225min，降解25min，共作用53min，对腺病毒Ad-5的杀灭对数值＞6。提供传递舱的第三方（检测机构应具有CMA或CNAS资质）检测报告，并标注清楚结果数值。</w:t>
            </w:r>
          </w:p>
          <w:p w14:paraId="2D0B9F3E">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▲流感病毒杀灭效率：氙灯作用3min，发生H2O225min，降解25min，共作用53min，对甲型流感病毒（H1N1）的杀灭对数值＞6。提供传递舱的第三方（检测机构应具有CMA或CNAS资质）检测报告，并标注清楚结果数值。</w:t>
            </w:r>
          </w:p>
          <w:p w14:paraId="524512CA">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▲臭氧残留量：开机3min，排残6min,传递舱内臭氧残留量≤0.006mg/m³；提供传递舱的第三方（检测机构应具有CMA或CNAS资质）检测报告，并标注清楚结果数值。</w:t>
            </w:r>
          </w:p>
          <w:p w14:paraId="4B9B9355">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紫外线泄露量：距离多效氙光过氧化氢传递舱周边左、中、右垂直距离30cm处，紫外线强度均＜1μW/cm²，符合GB28235-2020《紫外线消毒器卫生要求》紫外线泄露量的要求，提供传递舱的第三方（检测机构应具有CMA或CNAS资质）检测报告，并标注清楚结果数值。</w:t>
            </w:r>
          </w:p>
          <w:p w14:paraId="01E7AE79">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▲脉冲氙光灯罩石英玻璃透射比：脉冲氙光灯罩石英玻璃对253.7nm波长紫外线的透射比≥84%。提供石英玻璃的第三方（检测机构应具有CMA或CNAS资质）检测报告。</w:t>
            </w:r>
          </w:p>
          <w:p w14:paraId="0CD641A9">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▲制造商资质：制造商应取得“消毒产品生产企业卫生许可证”证书，且证书中的“生产类别”应为“紫外线消毒器”，提供在有效期内的证书备查。</w:t>
            </w:r>
          </w:p>
          <w:p w14:paraId="11F698BC">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舱门观察窗玻璃：舱门观察窗玻璃采用具备3C认证的不小于5mm厚防紫外钢化玻璃。</w:t>
            </w:r>
          </w:p>
          <w:p w14:paraId="3B171600">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汽化过氧化氢要求：采用结构紧凑的内置式VHP发生器，使用浓度为30%-35%的过氧化氢溶液，储液瓶容积≥2000mL，工作时舱内VHP最高浓度＞500ppm，提供VHP发生器自研或采购证明，附储液瓶和舱内VHP峰值照片。</w:t>
            </w:r>
          </w:p>
          <w:p w14:paraId="3D7F1740">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VHP发生器智能运行要求：内置式VHP发生器控制系统与传递舱采用DDC进行联机控制，在传递舱与VHP发生器之间可实现通讯连接，在传递舱正常使用时，VHP发生器受控于传递舱智能化操控系统，可实现无人值守。提供电气控制原理图备查。</w:t>
            </w:r>
          </w:p>
          <w:p w14:paraId="6A5B7097">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应急手动开关：传递舱应配备应急手动开关，正常状态采用DDC控制系统，故障应急状态可以手动控制传递舱启停。提供传递舱外观照片或结构示意图并标注应急手动开关位置。</w:t>
            </w:r>
          </w:p>
          <w:p w14:paraId="2D9271C6">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内部照明系统：传递舱内部安装LED灯光源，采用智能节能控制，消毒完成时灯亮，取出物品后自动熄灭，便于观察消毒物品状态。提供传递舱内部照片或结构示意图并标注LED灯光源位置。</w:t>
            </w:r>
          </w:p>
          <w:p w14:paraId="71131443">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灯壳结构要求：舱内高能氙灯和高能脉冲氙灯的灯壳全部采用不影响物料通过的嵌入式结构，灯壳断面为梯形结构且长边向外，灯壳内壁全部采用316不锈钢镜面抛光板，以增加紫外线反射及折射效率。提供灯壳图纸、灯壳实物照片或结构示意图备查。</w:t>
            </w:r>
          </w:p>
          <w:p w14:paraId="23849DED">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密封门要求：内外门均采用充气式密封门，门开度可达110°，舱内压力100Pa，每小时泄漏率＜5%。</w:t>
            </w:r>
          </w:p>
          <w:p w14:paraId="6F388436">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材质要求：整体316不锈钢，内部316镜面不锈钢抛光板，舱内底面采用防滑压纹316不锈钢。</w:t>
            </w:r>
          </w:p>
          <w:p w14:paraId="1C65F3E3">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负荷参数要求：重量≤460Kg，功率≤6KW，电源应为AC 220V/50Hz。提供标注负荷参数的产品图纸备查。</w:t>
            </w:r>
          </w:p>
          <w:p w14:paraId="56CE4881">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互锁装置：采用电子互锁和机械锁。提供互锁结构实物照片或结构示意图备查。</w:t>
            </w:r>
          </w:p>
          <w:p w14:paraId="3F017393">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控制系统：采用PLC控制，不小于10寸彩色触摸屏，实时显示工作过程中的温度、消毒时间、消毒因子浓度等参数，并具有操作权限保护功能，消毒完成自动提示，提供触摸屏上相关功能操作界面实物照片或界面截图备查。</w:t>
            </w:r>
          </w:p>
          <w:p w14:paraId="011CA69D">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自动消毒程序：预设物品消毒、动物转运笼具消毒、物品灭菌、IVC灭菌等程序，可自定义设置消毒和灭菌流程。提供程序选择界面及运行界面照片或界面截图备查。</w:t>
            </w:r>
          </w:p>
          <w:p w14:paraId="2A664E18">
            <w:pPr>
              <w:numPr>
                <w:ilvl w:val="0"/>
                <w:numId w:val="9"/>
              </w:numPr>
              <w:spacing w:before="49" w:line="252" w:lineRule="auto"/>
              <w:jc w:val="both"/>
              <w:rPr>
                <w:rFonts w:ascii="宋体" w:hAnsi="宋体" w:eastAsia="宋体" w:cs="宋体"/>
                <w:spacing w:val="-1"/>
                <w:lang w:eastAsia="zh-CN"/>
              </w:rPr>
            </w:pPr>
            <w:bookmarkStart w:id="1129" w:name="_Hlk114782907"/>
            <w:r>
              <w:rPr>
                <w:rFonts w:hint="eastAsia" w:ascii="宋体" w:hAnsi="宋体" w:eastAsia="宋体" w:cs="宋体"/>
                <w:spacing w:val="-1"/>
                <w:lang w:eastAsia="zh-CN"/>
              </w:rPr>
              <w:t>加热系统：采用PTC陶瓷半导体对舱内空气进行加热，以防止VHP凝结影响消毒灭菌效果。提供加热装置照片备查。</w:t>
            </w:r>
          </w:p>
          <w:bookmarkEnd w:id="1129"/>
          <w:p w14:paraId="12794122">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传感器要求：应具备温湿度传感器、压差传感器、过氧化氢传感器，所有传感器采用性能优良、精度较高、安全可靠、运行稳定的国际知名品牌。提供上述传感器采购证明文件。</w:t>
            </w:r>
          </w:p>
          <w:p w14:paraId="63968435">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记录方式：配有嵌入式打印机，对消毒过程中的参数、工艺过程数据进行记录打印，同时开放数据接口，可将消毒过程数据传输到中控电脑储存。提供打印机照片、打印结果复印件、数据接口照片备查。</w:t>
            </w:r>
          </w:p>
          <w:p w14:paraId="2662C5F0">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安全保障系统：具备过氧化氢危险警示、舱外紧急停止、舱内人员逃生功能。提供上述装置照片或结构示意图并标明位置。</w:t>
            </w:r>
          </w:p>
          <w:p w14:paraId="781EF3CE">
            <w:pPr>
              <w:numPr>
                <w:ilvl w:val="0"/>
                <w:numId w:val="9"/>
              </w:numPr>
              <w:spacing w:before="49" w:line="252" w:lineRule="auto"/>
              <w:jc w:val="both"/>
              <w:rPr>
                <w:rFonts w:ascii="宋体" w:hAnsi="宋体" w:eastAsia="宋体" w:cs="宋体"/>
                <w:spacing w:val="-1"/>
                <w:lang w:eastAsia="zh-CN"/>
              </w:rPr>
            </w:pPr>
            <w:bookmarkStart w:id="1130" w:name="_Hlk114782929"/>
            <w:r>
              <w:rPr>
                <w:rFonts w:hint="eastAsia" w:ascii="宋体" w:hAnsi="宋体" w:eastAsia="宋体" w:cs="宋体"/>
                <w:spacing w:val="-1"/>
                <w:lang w:eastAsia="zh-CN"/>
              </w:rPr>
              <w:t>安装方式：设备现场组合式装配，所有部件能够通过1.2m宽度的通道进入安装现场。</w:t>
            </w:r>
            <w:bookmarkEnd w:id="1130"/>
            <w:r>
              <w:rPr>
                <w:rFonts w:hint="eastAsia" w:ascii="宋体" w:hAnsi="宋体" w:eastAsia="宋体" w:cs="宋体"/>
                <w:spacing w:val="-1"/>
                <w:lang w:eastAsia="zh-CN"/>
              </w:rPr>
              <w:t>提供已经实施的项目现场照片备查。</w:t>
            </w:r>
          </w:p>
          <w:p w14:paraId="18EBA7BC">
            <w:pPr>
              <w:numPr>
                <w:ilvl w:val="0"/>
                <w:numId w:val="9"/>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制造商要求：制造商应通过ISO9001质量管理体系认证、环境管理体系认证证书、职业健康安全管理体系认证。</w:t>
            </w:r>
          </w:p>
        </w:tc>
        <w:tc>
          <w:tcPr>
            <w:tcW w:w="886" w:type="dxa"/>
          </w:tcPr>
          <w:p w14:paraId="7B8AD279">
            <w:pPr>
              <w:pStyle w:val="195"/>
              <w:rPr>
                <w:rFonts w:ascii="宋体" w:hAnsi="宋体" w:eastAsia="宋体" w:cs="宋体"/>
                <w:lang w:eastAsia="zh-CN"/>
              </w:rPr>
            </w:pPr>
          </w:p>
        </w:tc>
        <w:tc>
          <w:tcPr>
            <w:tcW w:w="863" w:type="dxa"/>
          </w:tcPr>
          <w:p w14:paraId="2C31774D">
            <w:pPr>
              <w:pStyle w:val="195"/>
              <w:rPr>
                <w:rFonts w:ascii="宋体" w:hAnsi="宋体" w:eastAsia="宋体" w:cs="宋体"/>
                <w:lang w:eastAsia="zh-CN"/>
              </w:rPr>
            </w:pPr>
          </w:p>
        </w:tc>
      </w:tr>
      <w:tr w14:paraId="12F8A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shd w:val="clear" w:color="auto" w:fill="auto"/>
          </w:tcPr>
          <w:p w14:paraId="25BAC521">
            <w:pPr>
              <w:spacing w:before="231" w:line="241" w:lineRule="auto"/>
              <w:ind w:left="275"/>
              <w:rPr>
                <w:rFonts w:ascii="宋体" w:hAnsi="宋体" w:eastAsia="宋体" w:cs="宋体"/>
                <w:lang w:eastAsia="zh-CN"/>
              </w:rPr>
            </w:pPr>
            <w:r>
              <w:rPr>
                <w:rFonts w:hint="eastAsia" w:ascii="宋体" w:hAnsi="宋体" w:eastAsia="宋体" w:cs="宋体"/>
                <w:lang w:eastAsia="zh-CN"/>
              </w:rPr>
              <w:t>8</w:t>
            </w:r>
          </w:p>
        </w:tc>
        <w:tc>
          <w:tcPr>
            <w:tcW w:w="1219" w:type="dxa"/>
          </w:tcPr>
          <w:p w14:paraId="1E3B69C9">
            <w:pPr>
              <w:spacing w:before="49" w:line="252" w:lineRule="auto"/>
              <w:ind w:left="133" w:hanging="69"/>
              <w:jc w:val="both"/>
              <w:rPr>
                <w:rFonts w:ascii="宋体" w:hAnsi="宋体" w:eastAsia="宋体" w:cs="宋体"/>
                <w:spacing w:val="-1"/>
                <w:lang w:eastAsia="zh-CN"/>
              </w:rPr>
            </w:pPr>
          </w:p>
        </w:tc>
        <w:tc>
          <w:tcPr>
            <w:tcW w:w="1300" w:type="dxa"/>
          </w:tcPr>
          <w:p w14:paraId="615B15E4">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一体扰流喷淋除臭设备</w:t>
            </w:r>
          </w:p>
        </w:tc>
        <w:tc>
          <w:tcPr>
            <w:tcW w:w="608" w:type="dxa"/>
          </w:tcPr>
          <w:p w14:paraId="1B3CE7FF">
            <w:pPr>
              <w:spacing w:before="49" w:line="252" w:lineRule="auto"/>
              <w:ind w:left="133" w:hanging="69"/>
              <w:jc w:val="both"/>
              <w:rPr>
                <w:rFonts w:ascii="宋体" w:hAnsi="宋体" w:eastAsia="宋体" w:cs="宋体"/>
                <w:spacing w:val="-1"/>
                <w:lang w:eastAsia="zh-CN"/>
              </w:rPr>
            </w:pPr>
          </w:p>
        </w:tc>
        <w:tc>
          <w:tcPr>
            <w:tcW w:w="1566" w:type="dxa"/>
          </w:tcPr>
          <w:p w14:paraId="507DCBEE">
            <w:pPr>
              <w:spacing w:before="49" w:line="252" w:lineRule="auto"/>
              <w:ind w:left="133" w:hanging="69"/>
              <w:jc w:val="both"/>
              <w:rPr>
                <w:rFonts w:ascii="宋体" w:hAnsi="宋体" w:eastAsia="宋体" w:cs="宋体"/>
                <w:spacing w:val="-1"/>
                <w:lang w:eastAsia="zh-CN"/>
              </w:rPr>
            </w:pPr>
          </w:p>
        </w:tc>
        <w:tc>
          <w:tcPr>
            <w:tcW w:w="7769" w:type="dxa"/>
            <w:vAlign w:val="center"/>
          </w:tcPr>
          <w:p w14:paraId="7A17D786">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▲脱臭效果：</w:t>
            </w:r>
            <w:bookmarkStart w:id="1131" w:name="_Hlk111472879"/>
            <w:r>
              <w:rPr>
                <w:rFonts w:hint="eastAsia" w:ascii="宋体" w:hAnsi="宋体" w:eastAsia="宋体" w:cs="宋体"/>
                <w:spacing w:val="-1"/>
                <w:lang w:eastAsia="zh-CN"/>
              </w:rPr>
              <w:t>处理后的排风口和周界恶臭污染物浓度均应满足以下规定限值，即：排风口臭气浓度≤1000，氨≤30mg/m³，硫化氢≤5mg/m³；周界臭气浓度≤20，氨≤1.5mg/m³，硫化氢≤0.06mg/m³。</w:t>
            </w:r>
            <w:bookmarkEnd w:id="1131"/>
            <w:r>
              <w:rPr>
                <w:rFonts w:hint="eastAsia" w:ascii="宋体" w:hAnsi="宋体" w:eastAsia="宋体" w:cs="宋体"/>
                <w:spacing w:val="-1"/>
                <w:lang w:eastAsia="zh-CN"/>
              </w:rPr>
              <w:t>提供第三方检测机构出具的带CMA认证的整机检测报告复印件（加盖投标人公章鲜章），需体现且满足上述数值要求；</w:t>
            </w:r>
          </w:p>
          <w:p w14:paraId="169E76AC">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▲氨气净化效率：在进风口氨气浓度在5~30mg/m³情况下，氨气净化效率应≥85%，提供第三方检测机构出具的带CMA认证的整机检测报告复印件（加盖投标人公章鲜章），需体现且满足上述数值要求；</w:t>
            </w:r>
          </w:p>
          <w:p w14:paraId="1D2049CC">
            <w:pPr>
              <w:numPr>
                <w:ilvl w:val="0"/>
                <w:numId w:val="10"/>
              </w:numPr>
              <w:spacing w:before="49" w:line="252" w:lineRule="auto"/>
              <w:jc w:val="both"/>
              <w:rPr>
                <w:rFonts w:ascii="宋体" w:hAnsi="宋体" w:eastAsia="宋体" w:cs="宋体"/>
                <w:spacing w:val="-1"/>
                <w:lang w:eastAsia="zh-CN"/>
              </w:rPr>
            </w:pPr>
            <w:bookmarkStart w:id="1132" w:name="OLE_LINK3"/>
            <w:r>
              <w:rPr>
                <w:rFonts w:hint="eastAsia" w:ascii="宋体" w:hAnsi="宋体" w:eastAsia="宋体" w:cs="宋体"/>
                <w:spacing w:val="-1"/>
                <w:lang w:eastAsia="zh-CN"/>
              </w:rPr>
              <w:t>★产品可靠性要求：获得中国环保产品认证，符合CQC51-449422-2018《工业废气处理净化装置环保认证规则》规则要求，有认证证书</w:t>
            </w:r>
            <w:bookmarkEnd w:id="1132"/>
            <w:r>
              <w:rPr>
                <w:rFonts w:hint="eastAsia" w:ascii="宋体" w:hAnsi="宋体" w:eastAsia="宋体" w:cs="宋体"/>
                <w:spacing w:val="-1"/>
                <w:lang w:eastAsia="zh-CN"/>
              </w:rPr>
              <w:t>；</w:t>
            </w:r>
          </w:p>
          <w:p w14:paraId="6153818E">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产品性能要求：产品的安全要求、压力损失、气密性、运行噪声符合CQC51-449422-2018《工业废气处理净化装置环保认证规则》规则要求，提供第三方检测机构出具的带CMA认证的整机检测报告复印件（加盖投标人公章鲜章），需体现且满足上述数值要求。</w:t>
            </w:r>
          </w:p>
          <w:p w14:paraId="1F6EC6C8">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废水排放：设备排放的废水应符合GB18918-2002《城镇污水处理厂污染物排放标准》。即氨氮≤5mg/L、化学需氧量≤50mg/L、五日生化需氧量≤10mg/L、pH值（6-9）、悬浮物≤10mg/L、总氮≤15mg/L、阴离子表面活性剂≤0.5mg/L、粪大肠菌群数≤10³ MPN/L、总磷≤0.5mg/L；提供第三方检测机构出具的带CMA认证的整机检测报告复印件（加盖投标人公章鲜章），需体现且满足上述数值要求；</w:t>
            </w:r>
          </w:p>
          <w:p w14:paraId="778F602C">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臭氧排放：设备附近环境空气中臭氧浓度满足GB3095-2012《环境空气质量标准》规定的二级限值，即臭氧≤200μg/m³。提供第三方检测机构出具的带CMA认证的整机检测报告复印件（加盖投标人公章鲜章），需体现且满足上述数值要求。</w:t>
            </w:r>
          </w:p>
          <w:p w14:paraId="35793A5C">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▲壳体材质力学性能要求：壳体材质为SUS304不锈钢，其抗拉强度Rm、规定塑性延伸强度 RP0.2、断后伸长率A、维氏硬度等均应符合GB/T3280-2015《不锈钢冷轧钢板和钢带》要求，即抗拉强度Rm≥515MPa，规定塑性延伸强度 RP0.2≥205MPa，断后伸长率A≥40%，维氏硬度≤210HV。提供第三方检测机构出具的带CMA认证的整机检测报告复印件（加盖投标人公章鲜章），需体现且满足上述数值要求。</w:t>
            </w:r>
          </w:p>
          <w:p w14:paraId="3BBFF771">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气液扰流段壳体及内部管路管件全部为SUS304不锈钢材质。</w:t>
            </w:r>
          </w:p>
          <w:p w14:paraId="5CA9B801">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膜式气液扰流技术采用自清洁湿式扰流膜做为基材，具有自清洁、吸水性强、无毒、耐酸碱腐蚀、寿命长、性能可靠、阻燃、抗霉菌。禁止使用玻璃纤维类、纸质类、金属类湿膜作为基材，开标现场提供不小于100mm×100mm面积的扰流膜材料小样。</w:t>
            </w:r>
          </w:p>
          <w:p w14:paraId="28F8B756">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★湿膜材料的主成分应为聚对苯二甲酸乙二醇酯，提供第三方检测机构出具的检测报告复印件（加盖投标人公章鲜章），需体现上述分析结果。</w:t>
            </w:r>
          </w:p>
          <w:p w14:paraId="6B9BEDA2">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超分子自清洁湿式扰流膜为波纹状交叉重叠的高分子复合材料，表面采用超分子物理气相沉积技术，构建出具有动态自修复能力的微纳结构，遇水时自动开启污渍冲刷与分解机制，实现长效自清洁特性。</w:t>
            </w:r>
          </w:p>
          <w:p w14:paraId="2E1FD5A3">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膜式气液扰流段用水量可根据实际情况智能化调节，以节约用水。</w:t>
            </w:r>
          </w:p>
          <w:p w14:paraId="12ADCD67">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膜式气液扰流段设计有清洁监测系统，在整个气液扰流系统需清洁时自动提示，提醒设备管理人员对整个气液扰流系统进行冲洗清洁，避免气液扰流系统结垢和堵塞。</w:t>
            </w:r>
          </w:p>
          <w:p w14:paraId="17950F04">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设备具备水质质量自检功能，可检测水箱水质情况，根据水箱水质情况实现智能化排水及补水。</w:t>
            </w:r>
          </w:p>
          <w:p w14:paraId="4CDF98B8">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▲超分子自清洁湿式扰流膜的质量吸水率＞100%，提供第三方检测机构出具的带CMA认证的整机检测报告复印件（加盖投标人公章鲜章），需体现且满足上述数值要求。</w:t>
            </w:r>
            <w:bookmarkStart w:id="1133" w:name="_Hlk111474799"/>
          </w:p>
          <w:p w14:paraId="51C39A28">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控制系统：设备应具备与排风机组联动功能，每台设备自带一套控制，触摸屏操作，可实时显示设备运行的水位、泵口水压状态、可根据水箱水质质量实现自动排水及补水；控制系统具备与楼宇中控系统进行通讯的接口，可供中控系统读取设备状态数据；提供具备该功能的触屏界面图片，并标注清楚上述功能位置。</w:t>
            </w:r>
          </w:p>
          <w:bookmarkEnd w:id="1133"/>
          <w:p w14:paraId="789FD240">
            <w:pPr>
              <w:numPr>
                <w:ilvl w:val="0"/>
                <w:numId w:val="1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制造商要求：制造商应通过ISO9001质量管理体系认证、环境管理体系认证证书、职业健康安全管理体系认证。</w:t>
            </w:r>
          </w:p>
        </w:tc>
        <w:tc>
          <w:tcPr>
            <w:tcW w:w="886" w:type="dxa"/>
          </w:tcPr>
          <w:p w14:paraId="60063619">
            <w:pPr>
              <w:pStyle w:val="195"/>
              <w:rPr>
                <w:rFonts w:ascii="宋体" w:hAnsi="宋体" w:eastAsia="宋体" w:cs="宋体"/>
                <w:lang w:eastAsia="zh-CN"/>
              </w:rPr>
            </w:pPr>
          </w:p>
        </w:tc>
        <w:tc>
          <w:tcPr>
            <w:tcW w:w="863" w:type="dxa"/>
          </w:tcPr>
          <w:p w14:paraId="709DA6EB">
            <w:pPr>
              <w:pStyle w:val="195"/>
              <w:rPr>
                <w:rFonts w:ascii="宋体" w:hAnsi="宋体" w:eastAsia="宋体" w:cs="宋体"/>
                <w:lang w:eastAsia="zh-CN"/>
              </w:rPr>
            </w:pPr>
          </w:p>
        </w:tc>
      </w:tr>
      <w:tr w14:paraId="13262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20449F8F">
            <w:pPr>
              <w:spacing w:before="231" w:line="241" w:lineRule="auto"/>
              <w:ind w:left="275"/>
              <w:rPr>
                <w:rFonts w:ascii="宋体" w:hAnsi="宋体" w:eastAsia="宋体" w:cs="宋体"/>
                <w:lang w:eastAsia="zh-CN"/>
              </w:rPr>
            </w:pPr>
            <w:r>
              <w:rPr>
                <w:rFonts w:hint="eastAsia" w:ascii="宋体" w:hAnsi="宋体" w:eastAsia="宋体" w:cs="宋体"/>
                <w:lang w:eastAsia="zh-CN"/>
              </w:rPr>
              <w:t>9</w:t>
            </w:r>
          </w:p>
        </w:tc>
        <w:tc>
          <w:tcPr>
            <w:tcW w:w="1219" w:type="dxa"/>
          </w:tcPr>
          <w:p w14:paraId="5767E339">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两个功能区</w:t>
            </w:r>
          </w:p>
        </w:tc>
        <w:tc>
          <w:tcPr>
            <w:tcW w:w="1300" w:type="dxa"/>
          </w:tcPr>
          <w:p w14:paraId="246DF3CC">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50型手工玻镁夹芯彩钢板</w:t>
            </w:r>
          </w:p>
        </w:tc>
        <w:tc>
          <w:tcPr>
            <w:tcW w:w="608" w:type="dxa"/>
          </w:tcPr>
          <w:p w14:paraId="508945F0">
            <w:pPr>
              <w:spacing w:before="49" w:line="252" w:lineRule="auto"/>
              <w:ind w:left="133" w:hanging="69"/>
              <w:jc w:val="both"/>
              <w:rPr>
                <w:rFonts w:ascii="宋体" w:hAnsi="宋体" w:eastAsia="宋体" w:cs="宋体"/>
                <w:spacing w:val="-1"/>
                <w:lang w:eastAsia="zh-CN"/>
              </w:rPr>
            </w:pPr>
          </w:p>
        </w:tc>
        <w:tc>
          <w:tcPr>
            <w:tcW w:w="1566" w:type="dxa"/>
          </w:tcPr>
          <w:p w14:paraId="2ECF3144">
            <w:pPr>
              <w:spacing w:before="49" w:line="252" w:lineRule="auto"/>
              <w:ind w:left="133" w:hanging="69"/>
              <w:jc w:val="both"/>
              <w:rPr>
                <w:rFonts w:ascii="宋体" w:hAnsi="宋体" w:eastAsia="宋体" w:cs="宋体"/>
                <w:spacing w:val="-1"/>
                <w:lang w:eastAsia="zh-CN"/>
              </w:rPr>
            </w:pPr>
          </w:p>
        </w:tc>
        <w:tc>
          <w:tcPr>
            <w:tcW w:w="7769" w:type="dxa"/>
          </w:tcPr>
          <w:p w14:paraId="2D351718">
            <w:pPr>
              <w:numPr>
                <w:ilvl w:val="0"/>
                <w:numId w:val="1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可提供第三方抗收缩报告</w:t>
            </w:r>
          </w:p>
          <w:p w14:paraId="68693FD9">
            <w:pPr>
              <w:numPr>
                <w:ilvl w:val="0"/>
                <w:numId w:val="1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可提供氯离子检测报告小于0.008%</w:t>
            </w:r>
          </w:p>
          <w:p w14:paraId="327176CD">
            <w:pPr>
              <w:numPr>
                <w:ilvl w:val="0"/>
                <w:numId w:val="1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玻镁成品耐火级限为60min</w:t>
            </w:r>
          </w:p>
          <w:p w14:paraId="6493A80B">
            <w:pPr>
              <w:numPr>
                <w:ilvl w:val="0"/>
                <w:numId w:val="1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玻镁芯材燃烧性能A1级报告</w:t>
            </w:r>
          </w:p>
          <w:p w14:paraId="0BC98C29">
            <w:pPr>
              <w:numPr>
                <w:ilvl w:val="0"/>
                <w:numId w:val="11"/>
              </w:numPr>
              <w:spacing w:before="49" w:line="252" w:lineRule="auto"/>
              <w:jc w:val="both"/>
              <w:rPr>
                <w:rFonts w:ascii="宋体" w:hAnsi="宋体" w:eastAsia="宋体" w:cs="宋体"/>
                <w:lang w:eastAsia="zh-CN"/>
              </w:rPr>
            </w:pPr>
            <w:r>
              <w:rPr>
                <w:rFonts w:hint="eastAsia" w:ascii="宋体" w:hAnsi="宋体" w:eastAsia="宋体" w:cs="宋体"/>
                <w:spacing w:val="-1"/>
                <w:lang w:eastAsia="zh-CN"/>
              </w:rPr>
              <w:t>玻镁成品燃烧性能A2级报告</w:t>
            </w:r>
          </w:p>
          <w:p w14:paraId="6E93576C">
            <w:pPr>
              <w:numPr>
                <w:ilvl w:val="0"/>
                <w:numId w:val="11"/>
              </w:numPr>
              <w:spacing w:before="49" w:line="252" w:lineRule="auto"/>
              <w:jc w:val="both"/>
              <w:rPr>
                <w:rFonts w:ascii="宋体" w:hAnsi="宋体" w:eastAsia="宋体" w:cs="宋体"/>
                <w:lang w:eastAsia="zh-CN"/>
              </w:rPr>
            </w:pPr>
            <w:r>
              <w:rPr>
                <w:rFonts w:hint="eastAsia" w:ascii="宋体" w:hAnsi="宋体" w:eastAsia="宋体" w:cs="宋体"/>
                <w:lang w:eastAsia="zh-CN"/>
              </w:rPr>
              <w:t>镀层重量：AZ120g/m2；力学性能：YS240(画服)；TS349(抗拉)；EL38；涂层性能：涂层厚度22/μn；光泽LUSTER36；涂层弯曲COATBENDING；铅笔硬度PENCILHARDNESS 4H；方向冲击力IMPACT 9J。</w:t>
            </w:r>
          </w:p>
          <w:p w14:paraId="17724B39">
            <w:pPr>
              <w:numPr>
                <w:ilvl w:val="0"/>
                <w:numId w:val="11"/>
              </w:numPr>
              <w:spacing w:before="49" w:line="252" w:lineRule="auto"/>
              <w:jc w:val="both"/>
              <w:rPr>
                <w:rFonts w:ascii="宋体" w:hAnsi="宋体" w:eastAsia="宋体" w:cs="宋体"/>
                <w:lang w:eastAsia="zh-CN"/>
              </w:rPr>
            </w:pPr>
            <w:r>
              <w:rPr>
                <w:rFonts w:hint="eastAsia" w:ascii="宋体" w:hAnsi="宋体" w:eastAsia="宋体" w:cs="宋体"/>
                <w:lang w:eastAsia="zh-CN"/>
              </w:rPr>
              <w:t>防酸防碱，表面膜厚160U</w:t>
            </w:r>
          </w:p>
        </w:tc>
        <w:tc>
          <w:tcPr>
            <w:tcW w:w="886" w:type="dxa"/>
          </w:tcPr>
          <w:p w14:paraId="488328D6">
            <w:pPr>
              <w:pStyle w:val="195"/>
              <w:rPr>
                <w:rFonts w:ascii="宋体" w:hAnsi="宋体" w:eastAsia="宋体" w:cs="宋体"/>
                <w:lang w:eastAsia="zh-CN"/>
              </w:rPr>
            </w:pPr>
          </w:p>
        </w:tc>
        <w:tc>
          <w:tcPr>
            <w:tcW w:w="863" w:type="dxa"/>
          </w:tcPr>
          <w:p w14:paraId="6B299E9D">
            <w:pPr>
              <w:pStyle w:val="195"/>
              <w:rPr>
                <w:rFonts w:ascii="宋体" w:hAnsi="宋体" w:eastAsia="宋体" w:cs="宋体"/>
                <w:lang w:eastAsia="zh-CN"/>
              </w:rPr>
            </w:pPr>
          </w:p>
        </w:tc>
      </w:tr>
      <w:tr w14:paraId="5D8BA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256ADD88">
            <w:pPr>
              <w:spacing w:before="231" w:line="241" w:lineRule="auto"/>
              <w:ind w:left="275"/>
              <w:rPr>
                <w:rFonts w:ascii="宋体" w:hAnsi="宋体" w:eastAsia="宋体" w:cs="宋体"/>
                <w:lang w:eastAsia="zh-CN"/>
              </w:rPr>
            </w:pPr>
            <w:r>
              <w:rPr>
                <w:rFonts w:hint="eastAsia" w:ascii="宋体" w:hAnsi="宋体" w:eastAsia="宋体" w:cs="宋体"/>
                <w:lang w:eastAsia="zh-CN"/>
              </w:rPr>
              <w:t>10</w:t>
            </w:r>
          </w:p>
        </w:tc>
        <w:tc>
          <w:tcPr>
            <w:tcW w:w="1219" w:type="dxa"/>
          </w:tcPr>
          <w:p w14:paraId="3A3CCD6C">
            <w:pPr>
              <w:spacing w:before="49" w:line="252" w:lineRule="auto"/>
              <w:ind w:left="133" w:hanging="69"/>
              <w:jc w:val="both"/>
              <w:rPr>
                <w:rFonts w:ascii="宋体" w:hAnsi="宋体" w:eastAsia="宋体" w:cs="宋体"/>
                <w:spacing w:val="-1"/>
                <w:lang w:eastAsia="zh-CN"/>
              </w:rPr>
            </w:pPr>
          </w:p>
        </w:tc>
        <w:tc>
          <w:tcPr>
            <w:tcW w:w="1300" w:type="dxa"/>
          </w:tcPr>
          <w:p w14:paraId="1C53192B">
            <w:pPr>
              <w:rPr>
                <w:rFonts w:ascii="宋体" w:hAnsi="宋体" w:eastAsia="宋体" w:cs="宋体"/>
                <w:spacing w:val="-1"/>
                <w:lang w:eastAsia="zh-CN"/>
              </w:rPr>
            </w:pPr>
            <w:r>
              <w:rPr>
                <w:rFonts w:hint="eastAsia" w:ascii="宋体" w:hAnsi="宋体" w:eastAsia="宋体" w:cs="宋体"/>
                <w:spacing w:val="-1"/>
                <w:lang w:eastAsia="zh-CN"/>
              </w:rPr>
              <w:t>油漆（净味专优5合1）</w:t>
            </w:r>
          </w:p>
        </w:tc>
        <w:tc>
          <w:tcPr>
            <w:tcW w:w="608" w:type="dxa"/>
          </w:tcPr>
          <w:p w14:paraId="4DA2516F">
            <w:pPr>
              <w:spacing w:before="49" w:line="252" w:lineRule="auto"/>
              <w:ind w:left="133" w:hanging="69"/>
              <w:jc w:val="both"/>
              <w:rPr>
                <w:rFonts w:ascii="宋体" w:hAnsi="宋体" w:eastAsia="宋体" w:cs="宋体"/>
                <w:spacing w:val="-1"/>
                <w:lang w:eastAsia="zh-CN"/>
              </w:rPr>
            </w:pPr>
          </w:p>
        </w:tc>
        <w:tc>
          <w:tcPr>
            <w:tcW w:w="1566" w:type="dxa"/>
          </w:tcPr>
          <w:p w14:paraId="13C09C44">
            <w:pPr>
              <w:spacing w:before="49" w:line="252" w:lineRule="auto"/>
              <w:ind w:left="133" w:hanging="69"/>
              <w:jc w:val="both"/>
              <w:rPr>
                <w:rFonts w:ascii="宋体" w:hAnsi="宋体" w:eastAsia="宋体" w:cs="宋体"/>
                <w:spacing w:val="-1"/>
                <w:lang w:eastAsia="zh-CN"/>
              </w:rPr>
            </w:pPr>
          </w:p>
        </w:tc>
        <w:tc>
          <w:tcPr>
            <w:tcW w:w="7769" w:type="dxa"/>
          </w:tcPr>
          <w:p w14:paraId="369E11CB">
            <w:pPr>
              <w:numPr>
                <w:ilvl w:val="0"/>
                <w:numId w:val="12"/>
              </w:numPr>
              <w:rPr>
                <w:rFonts w:ascii="宋体" w:hAnsi="宋体" w:eastAsia="宋体" w:cs="宋体"/>
              </w:rPr>
            </w:pPr>
            <w:r>
              <w:rPr>
                <w:rFonts w:hint="eastAsia" w:ascii="宋体" w:hAnsi="宋体" w:eastAsia="宋体" w:cs="宋体"/>
                <w:sz w:val="20"/>
                <w:szCs w:val="20"/>
                <w:lang w:eastAsia="zh-CN" w:bidi="ar"/>
              </w:rPr>
              <w:t>甲醛含量（mg/kg）≤50，符合GB/T 23993-2009</w:t>
            </w:r>
          </w:p>
          <w:p w14:paraId="24AFBB2E">
            <w:pPr>
              <w:numPr>
                <w:ilvl w:val="0"/>
                <w:numId w:val="12"/>
              </w:numPr>
              <w:rPr>
                <w:rFonts w:ascii="宋体" w:hAnsi="宋体" w:eastAsia="宋体" w:cs="宋体"/>
              </w:rPr>
            </w:pPr>
            <w:r>
              <w:rPr>
                <w:rFonts w:hint="eastAsia" w:ascii="宋体" w:hAnsi="宋体" w:eastAsia="宋体" w:cs="宋体"/>
                <w:sz w:val="20"/>
                <w:szCs w:val="20"/>
                <w:lang w:eastAsia="zh-CN" w:bidi="ar"/>
              </w:rPr>
              <w:t>VOC 含量（g/L）≤80，符合GB 18582-2020</w:t>
            </w:r>
          </w:p>
          <w:p w14:paraId="467DB976">
            <w:pPr>
              <w:numPr>
                <w:ilvl w:val="0"/>
                <w:numId w:val="12"/>
              </w:numPr>
              <w:rPr>
                <w:rFonts w:ascii="宋体" w:hAnsi="宋体" w:eastAsia="宋体" w:cs="宋体"/>
              </w:rPr>
            </w:pPr>
            <w:r>
              <w:rPr>
                <w:rFonts w:hint="eastAsia" w:ascii="宋体" w:hAnsi="宋体" w:eastAsia="宋体" w:cs="宋体"/>
                <w:sz w:val="20"/>
                <w:szCs w:val="20"/>
                <w:lang w:eastAsia="zh-CN" w:bidi="ar"/>
              </w:rPr>
              <w:t>苯系物总和含量[限苯、甲苯、二甲苯（含乙苯）]（mg/kg）≤100，符合GB/T 23990-2009</w:t>
            </w:r>
          </w:p>
          <w:p w14:paraId="23D06F7C">
            <w:pPr>
              <w:numPr>
                <w:ilvl w:val="0"/>
                <w:numId w:val="12"/>
              </w:numPr>
              <w:rPr>
                <w:rFonts w:ascii="宋体" w:hAnsi="宋体" w:eastAsia="宋体" w:cs="宋体"/>
              </w:rPr>
            </w:pPr>
            <w:r>
              <w:rPr>
                <w:rFonts w:hint="eastAsia" w:ascii="宋体" w:hAnsi="宋体" w:eastAsia="宋体" w:cs="宋体"/>
                <w:sz w:val="20"/>
                <w:szCs w:val="20"/>
                <w:lang w:eastAsia="zh-CN" w:bidi="ar"/>
              </w:rPr>
              <w:t>总铅（Pb）含量（mg/kg）≤90，符合GB/T 30647-2014</w:t>
            </w:r>
          </w:p>
          <w:p w14:paraId="13CFB76D">
            <w:pPr>
              <w:numPr>
                <w:ilvl w:val="0"/>
                <w:numId w:val="12"/>
              </w:numPr>
              <w:rPr>
                <w:rFonts w:ascii="宋体" w:hAnsi="宋体" w:eastAsia="宋体" w:cs="宋体"/>
              </w:rPr>
            </w:pPr>
            <w:r>
              <w:rPr>
                <w:rFonts w:hint="eastAsia" w:ascii="宋体" w:hAnsi="宋体" w:eastAsia="宋体" w:cs="宋体"/>
                <w:sz w:val="20"/>
                <w:szCs w:val="20"/>
                <w:lang w:eastAsia="zh-CN" w:bidi="ar"/>
              </w:rPr>
              <w:t>镉 Cd（mg/kg）≤75，符合GB/T 23991-2009</w:t>
            </w:r>
          </w:p>
          <w:p w14:paraId="76AFF9F6">
            <w:pPr>
              <w:numPr>
                <w:ilvl w:val="0"/>
                <w:numId w:val="12"/>
              </w:numPr>
              <w:rPr>
                <w:rFonts w:ascii="宋体" w:hAnsi="宋体" w:eastAsia="宋体" w:cs="宋体"/>
              </w:rPr>
            </w:pPr>
            <w:r>
              <w:rPr>
                <w:rFonts w:hint="eastAsia" w:ascii="宋体" w:hAnsi="宋体" w:eastAsia="宋体" w:cs="宋体"/>
                <w:sz w:val="20"/>
                <w:szCs w:val="20"/>
                <w:lang w:eastAsia="zh-CN" w:bidi="ar"/>
              </w:rPr>
              <w:t>铬 Cr（mg/kg）≤60，符合GB/T 23991-2009</w:t>
            </w:r>
          </w:p>
          <w:p w14:paraId="7687D54D">
            <w:pPr>
              <w:numPr>
                <w:ilvl w:val="0"/>
                <w:numId w:val="12"/>
              </w:numPr>
              <w:rPr>
                <w:rFonts w:ascii="宋体" w:hAnsi="宋体" w:eastAsia="宋体" w:cs="宋体"/>
              </w:rPr>
            </w:pPr>
            <w:r>
              <w:rPr>
                <w:rFonts w:hint="eastAsia" w:ascii="宋体" w:hAnsi="宋体" w:eastAsia="宋体" w:cs="宋体"/>
                <w:sz w:val="20"/>
                <w:szCs w:val="20"/>
                <w:lang w:eastAsia="zh-CN" w:bidi="ar"/>
              </w:rPr>
              <w:t>汞 Hg（mg/kg）≤60，符合GB/T 23991-2009</w:t>
            </w:r>
          </w:p>
          <w:p w14:paraId="2ECC7F02">
            <w:pPr>
              <w:numPr>
                <w:ilvl w:val="0"/>
                <w:numId w:val="12"/>
              </w:numPr>
              <w:rPr>
                <w:rFonts w:ascii="宋体" w:hAnsi="宋体" w:eastAsia="宋体" w:cs="宋体"/>
                <w:lang w:eastAsia="zh-CN"/>
              </w:rPr>
            </w:pPr>
            <w:r>
              <w:rPr>
                <w:rFonts w:hint="eastAsia" w:ascii="宋体" w:hAnsi="宋体" w:eastAsia="宋体" w:cs="宋体"/>
                <w:sz w:val="20"/>
                <w:szCs w:val="20"/>
                <w:lang w:eastAsia="zh-CN" w:bidi="ar"/>
              </w:rPr>
              <w:t>烷基酚聚氧乙烯醚总和含量{限辛基酚聚氧乙烯醚[C</w:t>
            </w:r>
            <w:r>
              <w:rPr>
                <w:rFonts w:hint="eastAsia" w:ascii="宋体" w:hAnsi="宋体" w:eastAsia="宋体" w:cs="宋体"/>
                <w:sz w:val="13"/>
                <w:szCs w:val="13"/>
                <w:lang w:eastAsia="zh-CN" w:bidi="ar"/>
              </w:rPr>
              <w:t>8</w:t>
            </w:r>
            <w:r>
              <w:rPr>
                <w:rFonts w:hint="eastAsia" w:ascii="宋体" w:hAnsi="宋体" w:eastAsia="宋体" w:cs="宋体"/>
                <w:sz w:val="20"/>
                <w:szCs w:val="20"/>
                <w:lang w:eastAsia="zh-CN" w:bidi="ar"/>
              </w:rPr>
              <w:t>H</w:t>
            </w:r>
            <w:r>
              <w:rPr>
                <w:rFonts w:hint="eastAsia" w:ascii="宋体" w:hAnsi="宋体" w:eastAsia="宋体" w:cs="宋体"/>
                <w:sz w:val="13"/>
                <w:szCs w:val="13"/>
                <w:lang w:eastAsia="zh-CN" w:bidi="ar"/>
              </w:rPr>
              <w:t>17</w:t>
            </w:r>
            <w:r>
              <w:rPr>
                <w:rFonts w:hint="eastAsia" w:ascii="宋体" w:hAnsi="宋体" w:eastAsia="宋体" w:cs="宋体"/>
                <w:sz w:val="20"/>
                <w:szCs w:val="20"/>
                <w:lang w:eastAsia="zh-CN" w:bidi="ar"/>
              </w:rPr>
              <w:t>-C</w:t>
            </w:r>
            <w:r>
              <w:rPr>
                <w:rFonts w:hint="eastAsia" w:ascii="宋体" w:hAnsi="宋体" w:eastAsia="宋体" w:cs="宋体"/>
                <w:sz w:val="13"/>
                <w:szCs w:val="13"/>
                <w:lang w:eastAsia="zh-CN" w:bidi="ar"/>
              </w:rPr>
              <w:t>6</w:t>
            </w:r>
            <w:r>
              <w:rPr>
                <w:rFonts w:hint="eastAsia" w:ascii="宋体" w:hAnsi="宋体" w:eastAsia="宋体" w:cs="宋体"/>
                <w:sz w:val="20"/>
                <w:szCs w:val="20"/>
                <w:lang w:eastAsia="zh-CN" w:bidi="ar"/>
              </w:rPr>
              <w:t>H</w:t>
            </w:r>
            <w:r>
              <w:rPr>
                <w:rFonts w:hint="eastAsia" w:ascii="宋体" w:hAnsi="宋体" w:eastAsia="宋体" w:cs="宋体"/>
                <w:sz w:val="13"/>
                <w:szCs w:val="13"/>
                <w:lang w:eastAsia="zh-CN" w:bidi="ar"/>
              </w:rPr>
              <w:t>4</w:t>
            </w:r>
            <w:r>
              <w:rPr>
                <w:rFonts w:hint="eastAsia" w:ascii="宋体" w:hAnsi="宋体" w:eastAsia="宋体" w:cs="宋体"/>
                <w:sz w:val="20"/>
                <w:szCs w:val="20"/>
                <w:lang w:eastAsia="zh-CN" w:bidi="ar"/>
              </w:rPr>
              <w:t>-(OC</w:t>
            </w:r>
            <w:r>
              <w:rPr>
                <w:rFonts w:hint="eastAsia" w:ascii="宋体" w:hAnsi="宋体" w:eastAsia="宋体" w:cs="宋体"/>
                <w:sz w:val="13"/>
                <w:szCs w:val="13"/>
                <w:lang w:eastAsia="zh-CN" w:bidi="ar"/>
              </w:rPr>
              <w:t>2</w:t>
            </w:r>
            <w:r>
              <w:rPr>
                <w:rFonts w:hint="eastAsia" w:ascii="宋体" w:hAnsi="宋体" w:eastAsia="宋体" w:cs="宋体"/>
                <w:sz w:val="20"/>
                <w:szCs w:val="20"/>
                <w:lang w:eastAsia="zh-CN" w:bidi="ar"/>
              </w:rPr>
              <w:t>H</w:t>
            </w:r>
            <w:r>
              <w:rPr>
                <w:rFonts w:hint="eastAsia" w:ascii="宋体" w:hAnsi="宋体" w:eastAsia="宋体" w:cs="宋体"/>
                <w:sz w:val="13"/>
                <w:szCs w:val="13"/>
                <w:lang w:eastAsia="zh-CN" w:bidi="ar"/>
              </w:rPr>
              <w:t>4</w:t>
            </w:r>
            <w:r>
              <w:rPr>
                <w:rFonts w:hint="eastAsia" w:ascii="宋体" w:hAnsi="宋体" w:eastAsia="宋体" w:cs="宋体"/>
                <w:sz w:val="20"/>
                <w:szCs w:val="20"/>
                <w:lang w:eastAsia="zh-CN" w:bidi="ar"/>
              </w:rPr>
              <w:t>)</w:t>
            </w:r>
            <w:r>
              <w:rPr>
                <w:rFonts w:hint="eastAsia" w:ascii="宋体" w:hAnsi="宋体" w:eastAsia="宋体" w:cs="宋体"/>
                <w:sz w:val="13"/>
                <w:szCs w:val="13"/>
                <w:lang w:eastAsia="zh-CN" w:bidi="ar"/>
              </w:rPr>
              <w:t>n</w:t>
            </w:r>
            <w:r>
              <w:rPr>
                <w:rFonts w:hint="eastAsia" w:ascii="宋体" w:hAnsi="宋体" w:eastAsia="宋体" w:cs="宋体"/>
                <w:sz w:val="20"/>
                <w:szCs w:val="20"/>
                <w:lang w:eastAsia="zh-CN" w:bidi="ar"/>
              </w:rPr>
              <w:t>OH，简称OP</w:t>
            </w:r>
            <w:r>
              <w:rPr>
                <w:rFonts w:hint="eastAsia" w:ascii="宋体" w:hAnsi="宋体" w:eastAsia="宋体" w:cs="宋体"/>
                <w:sz w:val="13"/>
                <w:szCs w:val="13"/>
                <w:lang w:eastAsia="zh-CN" w:bidi="ar"/>
              </w:rPr>
              <w:t>n</w:t>
            </w:r>
            <w:r>
              <w:rPr>
                <w:rFonts w:hint="eastAsia" w:ascii="宋体" w:hAnsi="宋体" w:eastAsia="宋体" w:cs="宋体"/>
                <w:sz w:val="20"/>
                <w:szCs w:val="20"/>
                <w:lang w:eastAsia="zh-CN" w:bidi="ar"/>
              </w:rPr>
              <w:t>EO]和壬基酚聚氧乙烯醚[C</w:t>
            </w:r>
            <w:r>
              <w:rPr>
                <w:rFonts w:hint="eastAsia" w:ascii="宋体" w:hAnsi="宋体" w:eastAsia="宋体" w:cs="宋体"/>
                <w:sz w:val="13"/>
                <w:szCs w:val="13"/>
                <w:lang w:eastAsia="zh-CN" w:bidi="ar"/>
              </w:rPr>
              <w:t>9</w:t>
            </w:r>
            <w:r>
              <w:rPr>
                <w:rFonts w:hint="eastAsia" w:ascii="宋体" w:hAnsi="宋体" w:eastAsia="宋体" w:cs="宋体"/>
                <w:sz w:val="20"/>
                <w:szCs w:val="20"/>
                <w:lang w:eastAsia="zh-CN" w:bidi="ar"/>
              </w:rPr>
              <w:t>H</w:t>
            </w:r>
            <w:r>
              <w:rPr>
                <w:rFonts w:hint="eastAsia" w:ascii="宋体" w:hAnsi="宋体" w:eastAsia="宋体" w:cs="宋体"/>
                <w:sz w:val="13"/>
                <w:szCs w:val="13"/>
                <w:lang w:eastAsia="zh-CN" w:bidi="ar"/>
              </w:rPr>
              <w:t>19</w:t>
            </w:r>
            <w:r>
              <w:rPr>
                <w:rFonts w:hint="eastAsia" w:ascii="宋体" w:hAnsi="宋体" w:eastAsia="宋体" w:cs="宋体"/>
                <w:sz w:val="20"/>
                <w:szCs w:val="20"/>
                <w:lang w:eastAsia="zh-CN" w:bidi="ar"/>
              </w:rPr>
              <w:t>-C</w:t>
            </w:r>
            <w:r>
              <w:rPr>
                <w:rFonts w:hint="eastAsia" w:ascii="宋体" w:hAnsi="宋体" w:eastAsia="宋体" w:cs="宋体"/>
                <w:sz w:val="13"/>
                <w:szCs w:val="13"/>
                <w:lang w:eastAsia="zh-CN" w:bidi="ar"/>
              </w:rPr>
              <w:t>6</w:t>
            </w:r>
            <w:r>
              <w:rPr>
                <w:rFonts w:hint="eastAsia" w:ascii="宋体" w:hAnsi="宋体" w:eastAsia="宋体" w:cs="宋体"/>
                <w:sz w:val="20"/>
                <w:szCs w:val="20"/>
                <w:lang w:eastAsia="zh-CN" w:bidi="ar"/>
              </w:rPr>
              <w:t>H</w:t>
            </w:r>
            <w:r>
              <w:rPr>
                <w:rFonts w:hint="eastAsia" w:ascii="宋体" w:hAnsi="宋体" w:eastAsia="宋体" w:cs="宋体"/>
                <w:sz w:val="13"/>
                <w:szCs w:val="13"/>
                <w:lang w:eastAsia="zh-CN" w:bidi="ar"/>
              </w:rPr>
              <w:t>4</w:t>
            </w:r>
            <w:r>
              <w:rPr>
                <w:rFonts w:hint="eastAsia" w:ascii="宋体" w:hAnsi="宋体" w:eastAsia="宋体" w:cs="宋体"/>
                <w:sz w:val="20"/>
                <w:szCs w:val="20"/>
                <w:lang w:eastAsia="zh-CN" w:bidi="ar"/>
              </w:rPr>
              <w:t>-(OC</w:t>
            </w:r>
            <w:r>
              <w:rPr>
                <w:rFonts w:hint="eastAsia" w:ascii="宋体" w:hAnsi="宋体" w:eastAsia="宋体" w:cs="宋体"/>
                <w:sz w:val="13"/>
                <w:szCs w:val="13"/>
                <w:lang w:eastAsia="zh-CN" w:bidi="ar"/>
              </w:rPr>
              <w:t>2</w:t>
            </w:r>
            <w:r>
              <w:rPr>
                <w:rFonts w:hint="eastAsia" w:ascii="宋体" w:hAnsi="宋体" w:eastAsia="宋体" w:cs="宋体"/>
                <w:sz w:val="20"/>
                <w:szCs w:val="20"/>
                <w:lang w:eastAsia="zh-CN" w:bidi="ar"/>
              </w:rPr>
              <w:t>H</w:t>
            </w:r>
            <w:r>
              <w:rPr>
                <w:rFonts w:hint="eastAsia" w:ascii="宋体" w:hAnsi="宋体" w:eastAsia="宋体" w:cs="宋体"/>
                <w:sz w:val="13"/>
                <w:szCs w:val="13"/>
                <w:lang w:eastAsia="zh-CN" w:bidi="ar"/>
              </w:rPr>
              <w:t>4</w:t>
            </w:r>
            <w:r>
              <w:rPr>
                <w:rFonts w:hint="eastAsia" w:ascii="宋体" w:hAnsi="宋体" w:eastAsia="宋体" w:cs="宋体"/>
                <w:sz w:val="20"/>
                <w:szCs w:val="20"/>
                <w:lang w:eastAsia="zh-CN" w:bidi="ar"/>
              </w:rPr>
              <w:t>)OH，简称NP</w:t>
            </w:r>
            <w:r>
              <w:rPr>
                <w:rFonts w:hint="eastAsia" w:ascii="宋体" w:hAnsi="宋体" w:eastAsia="宋体" w:cs="宋体"/>
                <w:sz w:val="13"/>
                <w:szCs w:val="13"/>
                <w:lang w:eastAsia="zh-CN" w:bidi="ar"/>
              </w:rPr>
              <w:t>n</w:t>
            </w:r>
            <w:r>
              <w:rPr>
                <w:rFonts w:hint="eastAsia" w:ascii="宋体" w:hAnsi="宋体" w:eastAsia="宋体" w:cs="宋体"/>
                <w:sz w:val="20"/>
                <w:szCs w:val="20"/>
                <w:lang w:eastAsia="zh-CN" w:bidi="ar"/>
              </w:rPr>
              <w:t>EO]，n=2~16}，mg/kg≤1000，符合GB/T 31414-2015</w:t>
            </w:r>
          </w:p>
        </w:tc>
        <w:tc>
          <w:tcPr>
            <w:tcW w:w="886" w:type="dxa"/>
          </w:tcPr>
          <w:p w14:paraId="43AC5E37">
            <w:pPr>
              <w:pStyle w:val="195"/>
              <w:rPr>
                <w:rFonts w:ascii="宋体" w:hAnsi="宋体" w:eastAsia="宋体" w:cs="宋体"/>
              </w:rPr>
            </w:pPr>
          </w:p>
        </w:tc>
        <w:tc>
          <w:tcPr>
            <w:tcW w:w="863" w:type="dxa"/>
          </w:tcPr>
          <w:p w14:paraId="2AFF87B4">
            <w:pPr>
              <w:pStyle w:val="195"/>
              <w:rPr>
                <w:rFonts w:ascii="宋体" w:hAnsi="宋体" w:eastAsia="宋体" w:cs="宋体"/>
              </w:rPr>
            </w:pPr>
          </w:p>
        </w:tc>
      </w:tr>
      <w:tr w14:paraId="729F8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51A570AE">
            <w:pPr>
              <w:spacing w:before="231" w:line="241" w:lineRule="auto"/>
              <w:ind w:left="275"/>
              <w:rPr>
                <w:rFonts w:ascii="宋体" w:hAnsi="宋体" w:eastAsia="宋体" w:cs="宋体"/>
                <w:lang w:eastAsia="zh-CN"/>
              </w:rPr>
            </w:pPr>
            <w:r>
              <w:rPr>
                <w:rFonts w:hint="eastAsia" w:ascii="宋体" w:hAnsi="宋体" w:eastAsia="宋体" w:cs="宋体"/>
                <w:lang w:eastAsia="zh-CN"/>
              </w:rPr>
              <w:t>11</w:t>
            </w:r>
          </w:p>
        </w:tc>
        <w:tc>
          <w:tcPr>
            <w:tcW w:w="1219" w:type="dxa"/>
          </w:tcPr>
          <w:p w14:paraId="7D6EB817">
            <w:pPr>
              <w:spacing w:before="49" w:line="252" w:lineRule="auto"/>
              <w:ind w:left="133" w:hanging="69"/>
              <w:jc w:val="both"/>
              <w:rPr>
                <w:rFonts w:ascii="宋体" w:hAnsi="宋体" w:eastAsia="宋体" w:cs="宋体"/>
                <w:spacing w:val="-1"/>
                <w:lang w:eastAsia="zh-CN"/>
              </w:rPr>
            </w:pPr>
          </w:p>
        </w:tc>
        <w:tc>
          <w:tcPr>
            <w:tcW w:w="1300" w:type="dxa"/>
          </w:tcPr>
          <w:p w14:paraId="08ACF3A3">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环氧刚玉地坪</w:t>
            </w:r>
          </w:p>
        </w:tc>
        <w:tc>
          <w:tcPr>
            <w:tcW w:w="608" w:type="dxa"/>
          </w:tcPr>
          <w:p w14:paraId="77DC4B48">
            <w:pPr>
              <w:spacing w:before="49" w:line="252" w:lineRule="auto"/>
              <w:ind w:left="133" w:hanging="69"/>
              <w:jc w:val="both"/>
              <w:rPr>
                <w:rFonts w:ascii="宋体" w:hAnsi="宋体" w:eastAsia="宋体" w:cs="宋体"/>
                <w:spacing w:val="-1"/>
                <w:lang w:eastAsia="zh-CN"/>
              </w:rPr>
            </w:pPr>
          </w:p>
        </w:tc>
        <w:tc>
          <w:tcPr>
            <w:tcW w:w="1566" w:type="dxa"/>
          </w:tcPr>
          <w:p w14:paraId="75F3820F">
            <w:pPr>
              <w:spacing w:before="49" w:line="252" w:lineRule="auto"/>
              <w:ind w:left="133" w:hanging="69"/>
              <w:jc w:val="both"/>
              <w:rPr>
                <w:rFonts w:ascii="宋体" w:hAnsi="宋体" w:eastAsia="宋体" w:cs="宋体"/>
                <w:spacing w:val="-1"/>
                <w:lang w:eastAsia="zh-CN"/>
              </w:rPr>
            </w:pPr>
          </w:p>
        </w:tc>
        <w:tc>
          <w:tcPr>
            <w:tcW w:w="7769" w:type="dxa"/>
          </w:tcPr>
          <w:p w14:paraId="3B281539">
            <w:pPr>
              <w:numPr>
                <w:ilvl w:val="0"/>
                <w:numId w:val="13"/>
              </w:numPr>
              <w:rPr>
                <w:rFonts w:ascii="宋体" w:hAnsi="宋体" w:eastAsia="宋体" w:cs="宋体"/>
                <w:sz w:val="20"/>
                <w:szCs w:val="20"/>
                <w:lang w:eastAsia="zh-CN" w:bidi="ar"/>
              </w:rPr>
            </w:pPr>
            <w:r>
              <w:rPr>
                <w:rFonts w:hint="eastAsia" w:ascii="宋体" w:hAnsi="宋体" w:eastAsia="宋体" w:cs="宋体"/>
                <w:sz w:val="20"/>
                <w:szCs w:val="20"/>
                <w:lang w:eastAsia="zh-CN" w:bidi="ar"/>
              </w:rPr>
              <w:t>强度：抗压强度≥20MPa（普通）、≥30MPa（加强）；</w:t>
            </w:r>
          </w:p>
          <w:p w14:paraId="4E474B73">
            <w:pPr>
              <w:numPr>
                <w:ilvl w:val="0"/>
                <w:numId w:val="13"/>
              </w:numPr>
              <w:rPr>
                <w:rFonts w:ascii="宋体" w:hAnsi="宋体" w:eastAsia="宋体" w:cs="宋体"/>
                <w:sz w:val="20"/>
                <w:szCs w:val="20"/>
                <w:lang w:eastAsia="zh-CN" w:bidi="ar"/>
              </w:rPr>
            </w:pPr>
            <w:r>
              <w:rPr>
                <w:rFonts w:hint="eastAsia" w:ascii="宋体" w:hAnsi="宋体" w:eastAsia="宋体" w:cs="宋体"/>
                <w:sz w:val="20"/>
                <w:szCs w:val="20"/>
                <w:lang w:eastAsia="zh-CN" w:bidi="ar"/>
              </w:rPr>
              <w:t>硬度：莫氏硬度≥6；</w:t>
            </w:r>
          </w:p>
          <w:p w14:paraId="1343ED66">
            <w:pPr>
              <w:numPr>
                <w:ilvl w:val="0"/>
                <w:numId w:val="13"/>
              </w:numPr>
              <w:rPr>
                <w:rFonts w:ascii="宋体" w:hAnsi="宋体" w:eastAsia="宋体" w:cs="宋体"/>
                <w:sz w:val="20"/>
                <w:szCs w:val="20"/>
                <w:lang w:eastAsia="zh-CN" w:bidi="ar"/>
              </w:rPr>
            </w:pPr>
            <w:r>
              <w:rPr>
                <w:rFonts w:hint="eastAsia" w:ascii="宋体" w:hAnsi="宋体" w:eastAsia="宋体" w:cs="宋体"/>
                <w:sz w:val="20"/>
                <w:szCs w:val="20"/>
                <w:lang w:eastAsia="zh-CN" w:bidi="ar"/>
              </w:rPr>
              <w:t>耐磨性：磨损量≤0.3g/cm²；</w:t>
            </w:r>
          </w:p>
          <w:p w14:paraId="10358D7C">
            <w:pPr>
              <w:numPr>
                <w:ilvl w:val="0"/>
                <w:numId w:val="13"/>
              </w:numPr>
              <w:rPr>
                <w:rFonts w:ascii="宋体" w:hAnsi="宋体" w:eastAsia="宋体" w:cs="宋体"/>
                <w:sz w:val="20"/>
                <w:szCs w:val="20"/>
                <w:lang w:eastAsia="zh-CN" w:bidi="ar"/>
              </w:rPr>
            </w:pPr>
            <w:r>
              <w:rPr>
                <w:rFonts w:hint="eastAsia" w:ascii="宋体" w:hAnsi="宋体" w:eastAsia="宋体" w:cs="宋体"/>
                <w:sz w:val="20"/>
                <w:szCs w:val="20"/>
                <w:lang w:eastAsia="zh-CN" w:bidi="ar"/>
              </w:rPr>
              <w:t>平整度：3m靠尺误差≤3mm；</w:t>
            </w:r>
          </w:p>
          <w:p w14:paraId="4ADB7FFB">
            <w:pPr>
              <w:numPr>
                <w:ilvl w:val="0"/>
                <w:numId w:val="13"/>
              </w:numPr>
              <w:rPr>
                <w:rFonts w:ascii="宋体" w:hAnsi="宋体" w:eastAsia="宋体" w:cs="宋体"/>
                <w:lang w:eastAsia="zh-CN"/>
              </w:rPr>
            </w:pPr>
            <w:r>
              <w:rPr>
                <w:rFonts w:hint="eastAsia" w:ascii="宋体" w:hAnsi="宋体" w:eastAsia="宋体" w:cs="宋体"/>
                <w:sz w:val="20"/>
                <w:szCs w:val="20"/>
                <w:lang w:eastAsia="zh-CN" w:bidi="ar"/>
              </w:rPr>
              <w:t>抗渗性：渗透深度≤3mm。</w:t>
            </w:r>
          </w:p>
        </w:tc>
        <w:tc>
          <w:tcPr>
            <w:tcW w:w="886" w:type="dxa"/>
          </w:tcPr>
          <w:p w14:paraId="26753C7D">
            <w:pPr>
              <w:pStyle w:val="195"/>
              <w:rPr>
                <w:rFonts w:ascii="宋体" w:hAnsi="宋体" w:eastAsia="宋体" w:cs="宋体"/>
                <w:lang w:eastAsia="zh-CN"/>
              </w:rPr>
            </w:pPr>
          </w:p>
        </w:tc>
        <w:tc>
          <w:tcPr>
            <w:tcW w:w="863" w:type="dxa"/>
          </w:tcPr>
          <w:p w14:paraId="12504B5A">
            <w:pPr>
              <w:pStyle w:val="195"/>
              <w:rPr>
                <w:rFonts w:ascii="宋体" w:hAnsi="宋体" w:eastAsia="宋体" w:cs="宋体"/>
                <w:lang w:eastAsia="zh-CN"/>
              </w:rPr>
            </w:pPr>
          </w:p>
        </w:tc>
      </w:tr>
      <w:tr w14:paraId="2B4C5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01F8175C">
            <w:pPr>
              <w:spacing w:before="231" w:line="241" w:lineRule="auto"/>
              <w:ind w:left="275"/>
              <w:rPr>
                <w:rFonts w:ascii="宋体" w:hAnsi="宋体" w:eastAsia="宋体" w:cs="宋体"/>
                <w:lang w:eastAsia="zh-CN"/>
              </w:rPr>
            </w:pPr>
            <w:r>
              <w:rPr>
                <w:rFonts w:hint="eastAsia" w:ascii="宋体" w:hAnsi="宋体" w:eastAsia="宋体" w:cs="宋体"/>
                <w:lang w:eastAsia="zh-CN"/>
              </w:rPr>
              <w:t>12</w:t>
            </w:r>
          </w:p>
        </w:tc>
        <w:tc>
          <w:tcPr>
            <w:tcW w:w="1219" w:type="dxa"/>
          </w:tcPr>
          <w:p w14:paraId="1110B458">
            <w:pPr>
              <w:spacing w:before="49" w:line="252" w:lineRule="auto"/>
              <w:ind w:left="133" w:hanging="69"/>
              <w:jc w:val="both"/>
              <w:rPr>
                <w:rFonts w:ascii="宋体" w:hAnsi="宋体" w:eastAsia="宋体" w:cs="宋体"/>
                <w:spacing w:val="-1"/>
                <w:lang w:eastAsia="zh-CN"/>
              </w:rPr>
            </w:pPr>
          </w:p>
        </w:tc>
        <w:tc>
          <w:tcPr>
            <w:tcW w:w="1300" w:type="dxa"/>
          </w:tcPr>
          <w:p w14:paraId="60540DB0">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PVC卷材</w:t>
            </w:r>
          </w:p>
        </w:tc>
        <w:tc>
          <w:tcPr>
            <w:tcW w:w="608" w:type="dxa"/>
          </w:tcPr>
          <w:p w14:paraId="26A9C225">
            <w:pPr>
              <w:spacing w:before="49" w:line="252" w:lineRule="auto"/>
              <w:ind w:left="133" w:hanging="69"/>
              <w:jc w:val="both"/>
              <w:rPr>
                <w:rFonts w:ascii="宋体" w:hAnsi="宋体" w:eastAsia="宋体" w:cs="宋体"/>
                <w:spacing w:val="-1"/>
                <w:lang w:eastAsia="zh-CN"/>
              </w:rPr>
            </w:pPr>
          </w:p>
        </w:tc>
        <w:tc>
          <w:tcPr>
            <w:tcW w:w="1566" w:type="dxa"/>
          </w:tcPr>
          <w:p w14:paraId="41806AEA">
            <w:pPr>
              <w:spacing w:before="49" w:line="252" w:lineRule="auto"/>
              <w:ind w:left="133" w:hanging="69"/>
              <w:jc w:val="both"/>
              <w:rPr>
                <w:rFonts w:ascii="宋体" w:hAnsi="宋体" w:eastAsia="宋体" w:cs="宋体"/>
                <w:spacing w:val="-1"/>
                <w:lang w:eastAsia="zh-CN"/>
              </w:rPr>
            </w:pPr>
          </w:p>
        </w:tc>
        <w:tc>
          <w:tcPr>
            <w:tcW w:w="7769" w:type="dxa"/>
          </w:tcPr>
          <w:p w14:paraId="7765BFD4">
            <w:pPr>
              <w:numPr>
                <w:ilvl w:val="0"/>
                <w:numId w:val="1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材料类型:2mm厚同质透心卷材塑胶地板;</w:t>
            </w:r>
          </w:p>
          <w:p w14:paraId="4CBACDDF">
            <w:pPr>
              <w:numPr>
                <w:ilvl w:val="0"/>
                <w:numId w:val="1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通过第三方检测耐磨等级达T级;</w:t>
            </w:r>
          </w:p>
          <w:p w14:paraId="54135E22">
            <w:pPr>
              <w:numPr>
                <w:ilvl w:val="0"/>
                <w:numId w:val="1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 产品重量不超过 2790g/m’;</w:t>
            </w:r>
          </w:p>
          <w:p w14:paraId="23F02330">
            <w:pPr>
              <w:numPr>
                <w:ilvl w:val="0"/>
                <w:numId w:val="1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▲通过第三方检测抗菌报告(大肠杆菌和金色葡萄球菌)，抗菌率达 99%。</w:t>
            </w:r>
          </w:p>
          <w:p w14:paraId="4A61136B">
            <w:pPr>
              <w:numPr>
                <w:ilvl w:val="0"/>
                <w:numId w:val="1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防火级别:达难燃 B1(B1-s1,to)级，烟毒性达 ZA1级;</w:t>
            </w:r>
          </w:p>
          <w:p w14:paraId="25006985">
            <w:pPr>
              <w:numPr>
                <w:ilvl w:val="0"/>
                <w:numId w:val="1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通过 GB18586-2001 检测，可溶性重金属(氯乙烯单体、铅、镉)的检测结果为未检出:</w:t>
            </w:r>
          </w:p>
          <w:p w14:paraId="493BC2E5">
            <w:pPr>
              <w:numPr>
                <w:ilvl w:val="0"/>
                <w:numId w:val="1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▲甲醛和乙醛的通过第三方检测结果为 ND(未检出)，28 天后 TVOC 有机挥发物的排放量通过第三方检测结果&lt;10 微克/m';</w:t>
            </w:r>
          </w:p>
          <w:p w14:paraId="32819384">
            <w:pPr>
              <w:numPr>
                <w:ilvl w:val="0"/>
                <w:numId w:val="1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▲污性能:通过第三方检测鉴定，耐96 种或以上的化学试剂溶液;醋酸、盐酸、硝酸碘酊、碘酒、染发剂、等再 2小小时接触后无污染。</w:t>
            </w:r>
          </w:p>
        </w:tc>
        <w:tc>
          <w:tcPr>
            <w:tcW w:w="886" w:type="dxa"/>
          </w:tcPr>
          <w:p w14:paraId="7EEAB906">
            <w:pPr>
              <w:pStyle w:val="195"/>
              <w:rPr>
                <w:rFonts w:ascii="宋体" w:hAnsi="宋体" w:eastAsia="宋体" w:cs="宋体"/>
                <w:lang w:eastAsia="zh-CN"/>
              </w:rPr>
            </w:pPr>
          </w:p>
        </w:tc>
        <w:tc>
          <w:tcPr>
            <w:tcW w:w="863" w:type="dxa"/>
          </w:tcPr>
          <w:p w14:paraId="6DCE9F17">
            <w:pPr>
              <w:pStyle w:val="195"/>
              <w:rPr>
                <w:rFonts w:ascii="宋体" w:hAnsi="宋体" w:eastAsia="宋体" w:cs="宋体"/>
                <w:lang w:eastAsia="zh-CN"/>
              </w:rPr>
            </w:pPr>
          </w:p>
        </w:tc>
      </w:tr>
      <w:tr w14:paraId="1CEEF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4B0BDA13">
            <w:pPr>
              <w:spacing w:before="231" w:line="241" w:lineRule="auto"/>
              <w:ind w:left="275"/>
              <w:rPr>
                <w:rFonts w:ascii="宋体" w:hAnsi="宋体" w:eastAsia="宋体" w:cs="宋体"/>
                <w:lang w:eastAsia="zh-CN"/>
              </w:rPr>
            </w:pPr>
            <w:r>
              <w:rPr>
                <w:rFonts w:hint="eastAsia" w:ascii="宋体" w:hAnsi="宋体" w:eastAsia="宋体" w:cs="宋体"/>
                <w:lang w:eastAsia="zh-CN"/>
              </w:rPr>
              <w:t>13</w:t>
            </w:r>
          </w:p>
        </w:tc>
        <w:tc>
          <w:tcPr>
            <w:tcW w:w="1219" w:type="dxa"/>
          </w:tcPr>
          <w:p w14:paraId="37648DBA">
            <w:pPr>
              <w:spacing w:before="49" w:line="252" w:lineRule="auto"/>
              <w:ind w:left="133" w:hanging="69"/>
              <w:jc w:val="both"/>
              <w:rPr>
                <w:rFonts w:ascii="宋体" w:hAnsi="宋体" w:eastAsia="宋体" w:cs="宋体"/>
                <w:spacing w:val="-1"/>
                <w:lang w:eastAsia="zh-CN"/>
              </w:rPr>
            </w:pPr>
          </w:p>
        </w:tc>
        <w:tc>
          <w:tcPr>
            <w:tcW w:w="1300" w:type="dxa"/>
          </w:tcPr>
          <w:p w14:paraId="5AFEBE55">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门窗</w:t>
            </w:r>
          </w:p>
        </w:tc>
        <w:tc>
          <w:tcPr>
            <w:tcW w:w="608" w:type="dxa"/>
          </w:tcPr>
          <w:p w14:paraId="7217FA83">
            <w:pPr>
              <w:spacing w:before="49" w:line="252" w:lineRule="auto"/>
              <w:ind w:left="133" w:hanging="69"/>
              <w:jc w:val="both"/>
              <w:rPr>
                <w:rFonts w:ascii="宋体" w:hAnsi="宋体" w:eastAsia="宋体" w:cs="宋体"/>
                <w:spacing w:val="-1"/>
                <w:lang w:eastAsia="zh-CN"/>
              </w:rPr>
            </w:pPr>
          </w:p>
        </w:tc>
        <w:tc>
          <w:tcPr>
            <w:tcW w:w="1566" w:type="dxa"/>
          </w:tcPr>
          <w:p w14:paraId="78F996C5">
            <w:pPr>
              <w:spacing w:before="49" w:line="252" w:lineRule="auto"/>
              <w:ind w:left="133" w:hanging="69"/>
              <w:jc w:val="both"/>
              <w:rPr>
                <w:rFonts w:ascii="宋体" w:hAnsi="宋体" w:eastAsia="宋体" w:cs="宋体"/>
                <w:spacing w:val="-1"/>
                <w:lang w:eastAsia="zh-CN"/>
              </w:rPr>
            </w:pPr>
          </w:p>
        </w:tc>
        <w:tc>
          <w:tcPr>
            <w:tcW w:w="7769" w:type="dxa"/>
          </w:tcPr>
          <w:p w14:paraId="2FF41D7B">
            <w:p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门：</w:t>
            </w:r>
          </w:p>
          <w:p w14:paraId="3E87A8F8">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材质环保无花镀锌板烤漆，1.2厚钢制门框、门扇厚1.0mm钢制门板，门板厚度50mm，配双层圆角观察窗（尺寸为210*730mm），6mm+38+6mm双层中空防火钢化安全玻璃，升降扫地条，不锈钢304#静音合页及执手锁，内填阻燃纸蜂窝。</w:t>
            </w:r>
          </w:p>
          <w:p w14:paraId="3B74954E">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甲醛释放量，符合国家要求，提供权威机构检测报告，甲醛释放量≤1.5mg/L。</w:t>
            </w:r>
          </w:p>
          <w:p w14:paraId="23B54DE0">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门扇基材钢板厚度：镀锌钢板 1.0㎜喷塑。</w:t>
            </w:r>
          </w:p>
          <w:p w14:paraId="3129B793">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▲气密性能：符合气密标准（GB/T 7106-2008），级别不低于8级）（提供第三方检测报告复印件加盖生产厂家公章的证明文件）。</w:t>
            </w:r>
          </w:p>
          <w:p w14:paraId="30F39318">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▲抗风压性能：符合气密标准（GB/T 7106-2008），级别不低于9级）（提供第三方检测报告复印件加盖生产厂家公章的证明文件）</w:t>
            </w:r>
          </w:p>
          <w:p w14:paraId="11749A02">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内部填充：高强阻燃纸蜂窝。</w:t>
            </w:r>
          </w:p>
          <w:p w14:paraId="74EA362A">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可选视窗：双层钢化玻璃，玻璃表面与门扇齐平。</w:t>
            </w:r>
          </w:p>
          <w:p w14:paraId="09BFCF85">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提供钢制洁净单开双开门的制造商针对本项目出具的售后服务承诺书。</w:t>
            </w:r>
          </w:p>
          <w:p w14:paraId="510409BF">
            <w:pPr>
              <w:numPr>
                <w:ilvl w:val="0"/>
                <w:numId w:val="15"/>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▲防火性能：符合防火门标准（GB12955-2008），防火时间&gt;1.5H （提供第三方检测报告复印件加盖生产厂家公章的证明文件）。</w:t>
            </w:r>
          </w:p>
          <w:p w14:paraId="64AAD7D3">
            <w:pPr>
              <w:pStyle w:val="40"/>
              <w:ind w:firstLine="0"/>
              <w:rPr>
                <w:rFonts w:ascii="宋体" w:hAnsi="宋体" w:eastAsia="宋体" w:cs="宋体"/>
                <w:spacing w:val="-1"/>
                <w:lang w:eastAsia="zh-CN"/>
              </w:rPr>
            </w:pPr>
            <w:r>
              <w:rPr>
                <w:rFonts w:hint="eastAsia" w:ascii="宋体" w:hAnsi="宋体" w:eastAsia="宋体" w:cs="宋体"/>
                <w:spacing w:val="-1"/>
                <w:lang w:eastAsia="zh-CN"/>
              </w:rPr>
              <w:t>窗：</w:t>
            </w:r>
          </w:p>
          <w:p w14:paraId="679D970E">
            <w:pPr>
              <w:numPr>
                <w:ilvl w:val="0"/>
                <w:numId w:val="16"/>
              </w:numPr>
              <w:rPr>
                <w:lang w:eastAsia="zh-CN"/>
              </w:rPr>
            </w:pPr>
            <w:r>
              <w:rPr>
                <w:lang w:eastAsia="zh-CN"/>
              </w:rPr>
              <w:t>50中空窗黑色铝框+喷涂，配双层丝印黑边直角钢化玻璃5mm，内填干燥剂，配铝槽</w:t>
            </w:r>
            <w:r>
              <w:rPr>
                <w:rFonts w:hint="eastAsia"/>
                <w:lang w:eastAsia="zh-CN"/>
              </w:rPr>
              <w:t>。</w:t>
            </w:r>
          </w:p>
          <w:p w14:paraId="168821F5">
            <w:pPr>
              <w:numPr>
                <w:ilvl w:val="0"/>
                <w:numId w:val="16"/>
              </w:numPr>
              <w:rPr>
                <w:lang w:eastAsia="zh-CN"/>
              </w:rPr>
            </w:pPr>
            <w:r>
              <w:rPr>
                <w:lang w:eastAsia="zh-CN"/>
              </w:rPr>
              <w:t>▲气密性能：符合气密标准（GB/T 31433-2015），级别不低于正负压8级）（提供第三方检测报告复印件加盖生产厂家公章的证明文件）。</w:t>
            </w:r>
          </w:p>
          <w:p w14:paraId="28425FE6">
            <w:pPr>
              <w:numPr>
                <w:ilvl w:val="0"/>
                <w:numId w:val="16"/>
              </w:numPr>
              <w:rPr>
                <w:lang w:eastAsia="zh-CN"/>
              </w:rPr>
            </w:pPr>
            <w:r>
              <w:rPr>
                <w:lang w:eastAsia="zh-CN"/>
              </w:rPr>
              <w:t>▲水密性能：符合气密标准（GB/T 31433-2015），级别不低于6级）（提供第三方检测报告复印件加盖生产厂家公章的证明文件）</w:t>
            </w:r>
          </w:p>
          <w:p w14:paraId="2384C4DB">
            <w:pPr>
              <w:numPr>
                <w:ilvl w:val="0"/>
                <w:numId w:val="16"/>
              </w:numPr>
              <w:rPr>
                <w:lang w:eastAsia="zh-CN"/>
              </w:rPr>
            </w:pPr>
            <w:r>
              <w:rPr>
                <w:lang w:eastAsia="zh-CN"/>
              </w:rPr>
              <w:t>▲抗风压性能：符合气密标准（GB/T 31433-2015），级别不低于9级）（提供第三方检测报告复印件加盖生产厂家公章的证明文件）</w:t>
            </w:r>
          </w:p>
          <w:p w14:paraId="42C211F5">
            <w:pPr>
              <w:numPr>
                <w:ilvl w:val="0"/>
                <w:numId w:val="16"/>
              </w:numPr>
              <w:rPr>
                <w:rFonts w:ascii="宋体" w:hAnsi="宋体" w:eastAsia="宋体" w:cs="宋体"/>
                <w:lang w:eastAsia="zh-CN"/>
              </w:rPr>
            </w:pPr>
            <w:r>
              <w:rPr>
                <w:rFonts w:hint="eastAsia" w:ascii="宋体" w:hAnsi="宋体" w:eastAsia="宋体" w:cs="宋体"/>
                <w:spacing w:val="-1"/>
                <w:lang w:eastAsia="zh-CN"/>
              </w:rPr>
              <w:t>（15）</w:t>
            </w:r>
            <w:r>
              <w:rPr>
                <w:lang w:eastAsia="zh-CN"/>
              </w:rPr>
              <w:t>提供50#双层中空窗的制造商针对本项目出具的售后服务承诺书。</w:t>
            </w:r>
          </w:p>
        </w:tc>
        <w:tc>
          <w:tcPr>
            <w:tcW w:w="886" w:type="dxa"/>
          </w:tcPr>
          <w:p w14:paraId="0B43578A">
            <w:pPr>
              <w:pStyle w:val="195"/>
              <w:rPr>
                <w:rFonts w:ascii="宋体" w:hAnsi="宋体" w:eastAsia="宋体" w:cs="宋体"/>
                <w:lang w:eastAsia="zh-CN"/>
              </w:rPr>
            </w:pPr>
          </w:p>
        </w:tc>
        <w:tc>
          <w:tcPr>
            <w:tcW w:w="863" w:type="dxa"/>
          </w:tcPr>
          <w:p w14:paraId="3AEE76C3">
            <w:pPr>
              <w:pStyle w:val="195"/>
              <w:rPr>
                <w:rFonts w:ascii="宋体" w:hAnsi="宋体" w:eastAsia="宋体" w:cs="宋体"/>
                <w:lang w:eastAsia="zh-CN"/>
              </w:rPr>
            </w:pPr>
          </w:p>
        </w:tc>
      </w:tr>
      <w:tr w14:paraId="44240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0745A3D4">
            <w:pPr>
              <w:spacing w:before="231" w:line="241" w:lineRule="auto"/>
              <w:ind w:left="275"/>
              <w:rPr>
                <w:rFonts w:ascii="宋体" w:hAnsi="宋体" w:eastAsia="宋体" w:cs="宋体"/>
                <w:lang w:eastAsia="zh-CN"/>
              </w:rPr>
            </w:pPr>
            <w:r>
              <w:rPr>
                <w:rFonts w:hint="eastAsia" w:ascii="宋体" w:hAnsi="宋体" w:eastAsia="宋体" w:cs="宋体"/>
                <w:lang w:eastAsia="zh-CN"/>
              </w:rPr>
              <w:t>14</w:t>
            </w:r>
          </w:p>
        </w:tc>
        <w:tc>
          <w:tcPr>
            <w:tcW w:w="1219" w:type="dxa"/>
          </w:tcPr>
          <w:p w14:paraId="7BACD6D9">
            <w:pPr>
              <w:spacing w:before="49" w:line="252" w:lineRule="auto"/>
              <w:ind w:left="133" w:hanging="69"/>
              <w:jc w:val="both"/>
              <w:rPr>
                <w:rFonts w:ascii="宋体" w:hAnsi="宋体" w:eastAsia="宋体" w:cs="宋体"/>
                <w:spacing w:val="-1"/>
                <w:lang w:eastAsia="zh-CN"/>
              </w:rPr>
            </w:pPr>
          </w:p>
        </w:tc>
        <w:tc>
          <w:tcPr>
            <w:tcW w:w="1300" w:type="dxa"/>
          </w:tcPr>
          <w:p w14:paraId="048B70D8">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2"/>
                <w:sz w:val="22"/>
                <w:szCs w:val="22"/>
              </w:rPr>
              <w:t>UPS不间断电源</w:t>
            </w:r>
          </w:p>
        </w:tc>
        <w:tc>
          <w:tcPr>
            <w:tcW w:w="608" w:type="dxa"/>
          </w:tcPr>
          <w:p w14:paraId="7FE2C92D">
            <w:pPr>
              <w:spacing w:before="49" w:line="252" w:lineRule="auto"/>
              <w:ind w:left="133" w:hanging="69"/>
              <w:jc w:val="both"/>
              <w:rPr>
                <w:rFonts w:ascii="宋体" w:hAnsi="宋体" w:eastAsia="宋体" w:cs="宋体"/>
                <w:spacing w:val="-1"/>
                <w:lang w:eastAsia="zh-CN"/>
              </w:rPr>
            </w:pPr>
          </w:p>
        </w:tc>
        <w:tc>
          <w:tcPr>
            <w:tcW w:w="1566" w:type="dxa"/>
          </w:tcPr>
          <w:p w14:paraId="593C782F">
            <w:pPr>
              <w:spacing w:before="49" w:line="252" w:lineRule="auto"/>
              <w:ind w:left="133" w:hanging="69"/>
              <w:jc w:val="both"/>
              <w:rPr>
                <w:rFonts w:ascii="宋体" w:hAnsi="宋体" w:eastAsia="宋体" w:cs="宋体"/>
                <w:spacing w:val="-1"/>
                <w:lang w:eastAsia="zh-CN"/>
              </w:rPr>
            </w:pPr>
          </w:p>
        </w:tc>
        <w:tc>
          <w:tcPr>
            <w:tcW w:w="7769" w:type="dxa"/>
          </w:tcPr>
          <w:p w14:paraId="4A16A31A">
            <w:pPr>
              <w:pStyle w:val="89"/>
              <w:numPr>
                <w:ilvl w:val="0"/>
                <w:numId w:val="17"/>
              </w:numPr>
              <w:ind w:left="420" w:hanging="420" w:firstLineChars="0"/>
              <w:rPr>
                <w:rFonts w:ascii="宋体" w:hAnsi="宋体" w:eastAsia="宋体" w:cs="宋体"/>
              </w:rPr>
            </w:pPr>
            <w:r>
              <w:rPr>
                <w:rFonts w:hint="eastAsia" w:ascii="宋体" w:hAnsi="宋体" w:eastAsia="宋体" w:cs="宋体"/>
              </w:rPr>
              <w:t>UPS运行环境要求：</w:t>
            </w:r>
          </w:p>
          <w:p w14:paraId="47E70BC8">
            <w:pPr>
              <w:pStyle w:val="89"/>
              <w:numPr>
                <w:ilvl w:val="0"/>
                <w:numId w:val="18"/>
              </w:numPr>
              <w:ind w:firstLineChars="0"/>
              <w:rPr>
                <w:rFonts w:ascii="宋体" w:hAnsi="宋体" w:eastAsia="宋体" w:cs="宋体"/>
                <w:lang w:eastAsia="zh-CN"/>
              </w:rPr>
            </w:pPr>
            <w:r>
              <w:rPr>
                <w:rFonts w:hint="eastAsia" w:ascii="宋体" w:hAnsi="宋体" w:eastAsia="宋体" w:cs="宋体"/>
                <w:lang w:eastAsia="zh-CN"/>
              </w:rPr>
              <w:t>▲工作环境：0~+50℃，0~40不降额，</w:t>
            </w:r>
          </w:p>
          <w:p w14:paraId="14767C74">
            <w:pPr>
              <w:pStyle w:val="89"/>
              <w:numPr>
                <w:ilvl w:val="0"/>
                <w:numId w:val="18"/>
              </w:numPr>
              <w:ind w:firstLineChars="0"/>
              <w:rPr>
                <w:rFonts w:ascii="宋体" w:hAnsi="宋体" w:eastAsia="宋体" w:cs="宋体"/>
                <w:lang w:eastAsia="zh-CN"/>
              </w:rPr>
            </w:pPr>
            <w:r>
              <w:rPr>
                <w:rFonts w:hint="eastAsia" w:ascii="宋体" w:hAnsi="宋体" w:eastAsia="宋体" w:cs="宋体"/>
                <w:lang w:eastAsia="zh-CN"/>
              </w:rPr>
              <w:t>工作湿度：≤95%（25℃,无凝露）</w:t>
            </w:r>
          </w:p>
          <w:p w14:paraId="4E909FFB">
            <w:pPr>
              <w:pStyle w:val="89"/>
              <w:numPr>
                <w:ilvl w:val="0"/>
                <w:numId w:val="18"/>
              </w:numPr>
              <w:ind w:firstLineChars="0"/>
              <w:rPr>
                <w:rFonts w:ascii="宋体" w:hAnsi="宋体" w:eastAsia="宋体" w:cs="宋体"/>
              </w:rPr>
            </w:pPr>
            <w:r>
              <w:rPr>
                <w:rFonts w:hint="eastAsia" w:ascii="宋体" w:hAnsi="宋体" w:eastAsia="宋体" w:cs="宋体"/>
              </w:rPr>
              <w:t>海拔高度：0~1000米无降额</w:t>
            </w:r>
          </w:p>
          <w:p w14:paraId="5A68040E">
            <w:pPr>
              <w:pStyle w:val="89"/>
              <w:numPr>
                <w:ilvl w:val="0"/>
                <w:numId w:val="18"/>
              </w:numPr>
              <w:ind w:firstLineChars="0"/>
              <w:rPr>
                <w:rFonts w:ascii="宋体" w:hAnsi="宋体" w:eastAsia="宋体" w:cs="宋体"/>
              </w:rPr>
            </w:pPr>
            <w:r>
              <w:rPr>
                <w:rFonts w:hint="eastAsia" w:ascii="宋体" w:hAnsi="宋体" w:eastAsia="宋体" w:cs="宋体"/>
              </w:rPr>
              <w:t>噪音指标：≤</w:t>
            </w:r>
            <w:r>
              <w:rPr>
                <w:rFonts w:hint="eastAsia" w:ascii="宋体" w:hAnsi="宋体" w:eastAsia="宋体" w:cs="宋体"/>
                <w:color w:val="auto"/>
              </w:rPr>
              <w:t>65d</w:t>
            </w:r>
            <w:r>
              <w:rPr>
                <w:rFonts w:hint="eastAsia" w:ascii="宋体" w:hAnsi="宋体" w:eastAsia="宋体" w:cs="宋体"/>
              </w:rPr>
              <w:t>B @1米距离</w:t>
            </w:r>
          </w:p>
          <w:p w14:paraId="7E40B314">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UPS设备须为在线双变换高频塔式机，全数字化DSP控制技术，单机容量≥20kVA。</w:t>
            </w:r>
          </w:p>
          <w:p w14:paraId="57787033">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★UPS的输出功率因数为1.0，UPS输出电压稳定精度≤±0.2%，须提供厂家盖章的泰尔测试报告复印件</w:t>
            </w:r>
          </w:p>
          <w:p w14:paraId="71693A64">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★UPS输出波形失真：100%线性负载&lt; 1%，非线性负载&lt; 2%，须提供厂家盖章的泰尔测试报告复印件</w:t>
            </w:r>
          </w:p>
          <w:p w14:paraId="35EC5D5D">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★UPS输出三相电压不平衡度：≤0.5%</w:t>
            </w:r>
          </w:p>
          <w:p w14:paraId="38B96CB2">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★UPS输出电压相位偏差：≤0.2°（正常和电池逆变模式）提供泰尔检测报告证明数据</w:t>
            </w:r>
          </w:p>
          <w:p w14:paraId="5A6DF879">
            <w:pPr>
              <w:pStyle w:val="89"/>
              <w:numPr>
                <w:ilvl w:val="0"/>
                <w:numId w:val="17"/>
              </w:numPr>
              <w:ind w:left="420" w:hanging="420" w:firstLineChars="0"/>
              <w:rPr>
                <w:rFonts w:ascii="宋体" w:hAnsi="宋体" w:eastAsia="宋体" w:cs="宋体"/>
                <w:color w:val="auto"/>
                <w:lang w:eastAsia="zh-CN"/>
              </w:rPr>
            </w:pPr>
            <w:r>
              <w:rPr>
                <w:rFonts w:hint="eastAsia" w:ascii="宋体" w:hAnsi="宋体" w:eastAsia="宋体" w:cs="宋体"/>
                <w:lang w:eastAsia="zh-CN"/>
              </w:rPr>
              <w:t>★UPS逆变双转换效率：100%负载≥95%；5</w:t>
            </w:r>
            <w:r>
              <w:rPr>
                <w:rFonts w:hint="eastAsia" w:ascii="宋体" w:hAnsi="宋体" w:eastAsia="宋体" w:cs="宋体"/>
                <w:color w:val="auto"/>
                <w:lang w:eastAsia="zh-CN"/>
              </w:rPr>
              <w:t>0%负载≥96%</w:t>
            </w:r>
          </w:p>
          <w:p w14:paraId="0A2CFEEC">
            <w:pPr>
              <w:pStyle w:val="89"/>
              <w:numPr>
                <w:ilvl w:val="0"/>
                <w:numId w:val="17"/>
              </w:numPr>
              <w:ind w:left="420" w:hanging="420" w:firstLineChars="0"/>
              <w:rPr>
                <w:rFonts w:ascii="宋体" w:hAnsi="宋体" w:eastAsia="宋体" w:cs="宋体"/>
              </w:rPr>
            </w:pPr>
            <w:r>
              <w:rPr>
                <w:rFonts w:hint="eastAsia" w:ascii="宋体" w:hAnsi="宋体" w:eastAsia="宋体" w:cs="宋体"/>
                <w:color w:val="auto"/>
                <w:lang w:eastAsia="zh-CN"/>
              </w:rPr>
              <w:t>★要求采用全彩色5英寸LCD触摸屏+LED指示灯双显示操作面</w:t>
            </w:r>
            <w:r>
              <w:rPr>
                <w:rFonts w:hint="eastAsia" w:ascii="宋体" w:hAnsi="宋体" w:eastAsia="宋体" w:cs="宋体"/>
                <w:lang w:eastAsia="zh-CN"/>
              </w:rPr>
              <w:t>板，中文操作界面，同时提供图形显示和数字显示，适合使用者查看状态、数据和进行操作控制。</w:t>
            </w:r>
            <w:r>
              <w:rPr>
                <w:rFonts w:hint="eastAsia" w:ascii="宋体" w:hAnsi="宋体" w:eastAsia="宋体" w:cs="宋体"/>
              </w:rPr>
              <w:t>提供厂商盖章证明文件。</w:t>
            </w:r>
          </w:p>
          <w:p w14:paraId="6246216E">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★UPS设备采用类模块化设计结构，模块在线维护时间小于30分钟。要求提供实物结构图片说明及厂商盖章的证明文件。</w:t>
            </w:r>
          </w:p>
          <w:p w14:paraId="18C23C8F">
            <w:pPr>
              <w:pStyle w:val="89"/>
              <w:numPr>
                <w:ilvl w:val="0"/>
                <w:numId w:val="17"/>
              </w:numPr>
              <w:ind w:left="420" w:hanging="420" w:firstLineChars="0"/>
              <w:rPr>
                <w:rFonts w:ascii="宋体" w:hAnsi="宋体" w:eastAsia="宋体" w:cs="宋体"/>
              </w:rPr>
            </w:pPr>
            <w:r>
              <w:rPr>
                <w:rFonts w:hint="eastAsia" w:ascii="宋体" w:hAnsi="宋体" w:eastAsia="宋体" w:cs="宋体"/>
                <w:lang w:eastAsia="zh-CN"/>
              </w:rPr>
              <w:t>★全电路板三防喷涂（控制板、接口板、电源板、功率板），要有PCBA喷涂三防漆工艺，提升UPS设备的防潮、防尘、防漏电、防腐蚀、防锈、防盐雾、防震、防老化、绝缘、耐电晕等性能。</w:t>
            </w:r>
            <w:r>
              <w:rPr>
                <w:rFonts w:hint="eastAsia" w:ascii="宋体" w:hAnsi="宋体" w:eastAsia="宋体" w:cs="宋体"/>
              </w:rPr>
              <w:t>需提供厂商盖章的描述、照片及证明文件。</w:t>
            </w:r>
          </w:p>
          <w:p w14:paraId="6EC6C993">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▲UPS标配输入开关、输出开关、旁路输入开关和维护旁路开关方便操作。要求提供产品结构图片说明。</w:t>
            </w:r>
          </w:p>
          <w:p w14:paraId="7F4A42C2">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▲UPS标配防火级防尘网，且具备拆卸和清洗功能设计，防尘网符合防火标准UL94及滤尘网标准UL 900。要求提供厂商盖章的证明文件。</w:t>
            </w:r>
          </w:p>
          <w:p w14:paraId="1E525ADC">
            <w:pPr>
              <w:pStyle w:val="89"/>
              <w:numPr>
                <w:ilvl w:val="0"/>
                <w:numId w:val="17"/>
              </w:numPr>
              <w:ind w:left="420" w:hanging="420" w:firstLineChars="0"/>
              <w:rPr>
                <w:rFonts w:ascii="宋体" w:hAnsi="宋体" w:eastAsia="宋体" w:cs="宋体"/>
              </w:rPr>
            </w:pPr>
            <w:r>
              <w:rPr>
                <w:rFonts w:hint="eastAsia" w:ascii="宋体" w:hAnsi="宋体" w:eastAsia="宋体" w:cs="宋体"/>
                <w:lang w:eastAsia="zh-CN"/>
              </w:rPr>
              <w:t>★标配N+X并联冗余功能，可 支持不低于4台并机运行。并机系统具备根据负载容量大小自动冗余的性能。并机系统中需支持最少4台并机共用电池组配置。</w:t>
            </w:r>
            <w:r>
              <w:rPr>
                <w:rFonts w:hint="eastAsia" w:ascii="宋体" w:hAnsi="宋体" w:eastAsia="宋体" w:cs="宋体"/>
              </w:rPr>
              <w:t>要求提供厂商盖章的证明文件。</w:t>
            </w:r>
          </w:p>
          <w:p w14:paraId="49B35AF3">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★需采用可靠的并机技术，在并机线通讯异常时需要具有系统保护措施（无单点故障），保障并机系统能正常运行。要求提供并机线通讯异常时的解决方案的厂商盖章证明文件。</w:t>
            </w:r>
          </w:p>
          <w:p w14:paraId="0BD0D4F5">
            <w:pPr>
              <w:pStyle w:val="89"/>
              <w:numPr>
                <w:ilvl w:val="0"/>
                <w:numId w:val="17"/>
              </w:numPr>
              <w:ind w:left="420" w:hanging="420" w:firstLineChars="0"/>
              <w:rPr>
                <w:rFonts w:ascii="宋体" w:hAnsi="宋体" w:eastAsia="宋体" w:cs="宋体"/>
              </w:rPr>
            </w:pPr>
            <w:r>
              <w:rPr>
                <w:rFonts w:hint="eastAsia" w:ascii="宋体" w:hAnsi="宋体" w:eastAsia="宋体" w:cs="宋体"/>
                <w:lang w:eastAsia="zh-CN"/>
              </w:rPr>
              <w:t>★UPS具备直流电压调节功能：可对UPS电池直流电压在不低于320~605Vdc范围内可调，蓄电池单组串联数量可调范围不低于32～44节。便于未来遭遇电池故障需要维护、更换时，可灵活调节电池组数的需要。</w:t>
            </w:r>
            <w:r>
              <w:rPr>
                <w:rFonts w:hint="eastAsia" w:ascii="宋体" w:hAnsi="宋体" w:eastAsia="宋体" w:cs="宋体"/>
              </w:rPr>
              <w:t>提供厂家盖章的证明文件。</w:t>
            </w:r>
          </w:p>
          <w:p w14:paraId="3C98A1BE">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▲UPS主机对蓄电池组充电电流不低于20kVA: 25A，可根据现场电池容量设置匹配充电电流。需提供厂商盖章的描述及证明文件。</w:t>
            </w:r>
          </w:p>
          <w:p w14:paraId="44C5202C">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应具有定期对蓄电池组进行自动浮充、均充和休眠三段式循环充电相互转换。具备充电休息模式的智能充电功能，以实现延长电池寿命的特性。不允许蓄电池组长期处于浮充状态。要求提供详细的充电模式的描述及充电原理图的厂商盖章证明文件。</w:t>
            </w:r>
          </w:p>
          <w:p w14:paraId="2711839F">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▲UPS必须</w:t>
            </w:r>
            <w:bookmarkStart w:id="1134" w:name="_Hlk92793248"/>
            <w:r>
              <w:rPr>
                <w:rFonts w:hint="eastAsia" w:ascii="宋体" w:hAnsi="宋体" w:eastAsia="宋体" w:cs="宋体"/>
                <w:lang w:eastAsia="zh-CN"/>
              </w:rPr>
              <w:t>兼容常见蓄电池类型，包括但不仅限于：VRLA铅酸蓄电池、AGM、胶体电池、锂电池、镍镉电池。</w:t>
            </w:r>
            <w:bookmarkEnd w:id="1134"/>
            <w:r>
              <w:rPr>
                <w:rFonts w:hint="eastAsia" w:ascii="宋体" w:hAnsi="宋体" w:eastAsia="宋体" w:cs="宋体"/>
                <w:lang w:eastAsia="zh-CN"/>
              </w:rPr>
              <w:t>要求提供厂商盖章的证明文件。</w:t>
            </w:r>
          </w:p>
          <w:p w14:paraId="070AF67B">
            <w:pPr>
              <w:pStyle w:val="89"/>
              <w:numPr>
                <w:ilvl w:val="0"/>
                <w:numId w:val="17"/>
              </w:numPr>
              <w:ind w:left="420" w:hanging="420" w:firstLineChars="0"/>
              <w:rPr>
                <w:rFonts w:ascii="宋体" w:hAnsi="宋体" w:eastAsia="宋体" w:cs="宋体"/>
              </w:rPr>
            </w:pPr>
            <w:r>
              <w:rPr>
                <w:rFonts w:hint="eastAsia" w:ascii="宋体" w:hAnsi="宋体" w:eastAsia="宋体" w:cs="宋体"/>
                <w:lang w:eastAsia="zh-CN"/>
              </w:rPr>
              <w:t>★ UPS</w:t>
            </w:r>
            <w:bookmarkStart w:id="1135" w:name="_Hlk92792252"/>
            <w:r>
              <w:rPr>
                <w:rFonts w:hint="eastAsia" w:ascii="宋体" w:hAnsi="宋体" w:eastAsia="宋体" w:cs="宋体"/>
                <w:lang w:eastAsia="zh-CN"/>
              </w:rPr>
              <w:t>操作显示屏具备主机运行状态红、黄、绿三色指示灯、UPS装置工作状态图、电池状态检测、负载状态检测功能；不低于1000条日志信息记录，方便对UPS和电池组进行维护。</w:t>
            </w:r>
            <w:bookmarkEnd w:id="1135"/>
            <w:r>
              <w:rPr>
                <w:rFonts w:hint="eastAsia" w:ascii="宋体" w:hAnsi="宋体" w:eastAsia="宋体" w:cs="宋体"/>
              </w:rPr>
              <w:t>提供UPS</w:t>
            </w:r>
            <w:bookmarkStart w:id="1136" w:name="_Hlk92792264"/>
            <w:r>
              <w:rPr>
                <w:rFonts w:hint="eastAsia" w:ascii="宋体" w:hAnsi="宋体" w:eastAsia="宋体" w:cs="宋体"/>
              </w:rPr>
              <w:t>主机显示屏截图</w:t>
            </w:r>
            <w:bookmarkEnd w:id="1136"/>
            <w:r>
              <w:rPr>
                <w:rFonts w:hint="eastAsia" w:ascii="宋体" w:hAnsi="宋体" w:eastAsia="宋体" w:cs="宋体"/>
              </w:rPr>
              <w:t>证明文件。</w:t>
            </w:r>
          </w:p>
          <w:p w14:paraId="3C9BD660">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▲UPS必须</w:t>
            </w:r>
            <w:bookmarkStart w:id="1137" w:name="_Hlk92792406"/>
            <w:r>
              <w:rPr>
                <w:rFonts w:hint="eastAsia" w:ascii="宋体" w:hAnsi="宋体" w:eastAsia="宋体" w:cs="宋体"/>
                <w:lang w:eastAsia="zh-CN"/>
              </w:rPr>
              <w:t>具备内部电容健康监测及预警功能。实时监测所有输入、输出滤波电容的温度，并在电容等关键部件失效之前提供预警信息。</w:t>
            </w:r>
            <w:bookmarkEnd w:id="1137"/>
            <w:r>
              <w:rPr>
                <w:rFonts w:hint="eastAsia" w:ascii="宋体" w:hAnsi="宋体" w:eastAsia="宋体" w:cs="宋体"/>
                <w:lang w:eastAsia="zh-CN"/>
              </w:rPr>
              <w:t>需提供厂商盖章的描述、照片及证明文件。</w:t>
            </w:r>
          </w:p>
          <w:p w14:paraId="5E7697BC">
            <w:pPr>
              <w:pStyle w:val="89"/>
              <w:numPr>
                <w:ilvl w:val="0"/>
                <w:numId w:val="17"/>
              </w:numPr>
              <w:ind w:left="420" w:hanging="420" w:firstLineChars="0"/>
              <w:rPr>
                <w:rFonts w:ascii="宋体" w:hAnsi="宋体" w:eastAsia="宋体" w:cs="宋体"/>
              </w:rPr>
            </w:pPr>
            <w:r>
              <w:rPr>
                <w:rFonts w:hint="eastAsia" w:ascii="宋体" w:hAnsi="宋体" w:eastAsia="宋体" w:cs="宋体"/>
                <w:lang w:eastAsia="zh-CN"/>
              </w:rPr>
              <w:t>★UPS主机具备UPS具有关键板件，器件生命周期管理及报警功能，能够对UPS内部的消耗类易损部件(包括UPS的风扇、电容器、电池等重要部件)进行保养周期设置管理，到期提醒用户进行预防性检查维护。</w:t>
            </w:r>
            <w:r>
              <w:rPr>
                <w:rFonts w:hint="eastAsia" w:ascii="宋体" w:hAnsi="宋体" w:eastAsia="宋体" w:cs="宋体"/>
              </w:rPr>
              <w:t>要求提供厂商盖章的设置界面证明文件。</w:t>
            </w:r>
          </w:p>
          <w:p w14:paraId="7093E2FB">
            <w:pPr>
              <w:pStyle w:val="89"/>
              <w:numPr>
                <w:ilvl w:val="0"/>
                <w:numId w:val="17"/>
              </w:numPr>
              <w:ind w:left="420" w:hanging="420" w:firstLineChars="0"/>
              <w:rPr>
                <w:rFonts w:ascii="宋体" w:hAnsi="宋体" w:eastAsia="宋体" w:cs="宋体"/>
              </w:rPr>
            </w:pPr>
            <w:r>
              <w:rPr>
                <w:rFonts w:hint="eastAsia" w:ascii="宋体" w:hAnsi="宋体" w:eastAsia="宋体" w:cs="宋体"/>
                <w:lang w:eastAsia="zh-CN"/>
              </w:rPr>
              <w:t>▲UPS智能监控网卡SNMP</w:t>
            </w:r>
            <w:bookmarkStart w:id="1138" w:name="_Hlk92793347"/>
            <w:r>
              <w:rPr>
                <w:rFonts w:hint="eastAsia" w:ascii="宋体" w:hAnsi="宋体" w:eastAsia="宋体" w:cs="宋体"/>
                <w:lang w:eastAsia="zh-CN"/>
              </w:rPr>
              <w:t>支持千兆以太网通讯(1000Base-T)，及IPv6。并具备USB调试接口，以备在线调试SNMP设备，适应各类网络环境。同时具备复位按键，可在线重启智能监控网卡，无须重新插拔卡片启动。</w:t>
            </w:r>
            <w:bookmarkEnd w:id="1138"/>
            <w:r>
              <w:rPr>
                <w:rFonts w:hint="eastAsia" w:ascii="宋体" w:hAnsi="宋体" w:eastAsia="宋体" w:cs="宋体"/>
                <w:lang w:eastAsia="zh-CN"/>
              </w:rPr>
              <w:t xml:space="preserve"> </w:t>
            </w:r>
            <w:r>
              <w:rPr>
                <w:rFonts w:hint="eastAsia" w:ascii="宋体" w:hAnsi="宋体" w:eastAsia="宋体" w:cs="宋体"/>
              </w:rPr>
              <w:t>要求提供厂商盖章后的描述及证明文件。</w:t>
            </w:r>
          </w:p>
          <w:p w14:paraId="4112D54C">
            <w:pPr>
              <w:pStyle w:val="89"/>
              <w:numPr>
                <w:ilvl w:val="0"/>
                <w:numId w:val="17"/>
              </w:numPr>
              <w:ind w:left="420" w:hanging="420" w:firstLineChars="0"/>
              <w:rPr>
                <w:rFonts w:ascii="宋体" w:hAnsi="宋体" w:eastAsia="宋体" w:cs="宋体"/>
              </w:rPr>
            </w:pPr>
            <w:r>
              <w:rPr>
                <w:rFonts w:hint="eastAsia" w:ascii="宋体" w:hAnsi="宋体" w:eastAsia="宋体" w:cs="宋体"/>
                <w:lang w:eastAsia="zh-CN"/>
              </w:rPr>
              <w:t>★UPS具备支持市电断电后自动关闭服务器的保护功能 ，彻底避免了市电中断后，UPS转蓄电池组供电后，电池放光电后UPS自动关机导致的后台用电设备面临非法关机的风险。</w:t>
            </w:r>
            <w:r>
              <w:rPr>
                <w:rFonts w:hint="eastAsia" w:ascii="宋体" w:hAnsi="宋体" w:eastAsia="宋体" w:cs="宋体"/>
              </w:rPr>
              <w:t>要求提供厂商盖章后的描述及证明文件。</w:t>
            </w:r>
          </w:p>
          <w:p w14:paraId="0861D650">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★投标UPS产品应为原厂研发、设计、生产，禁止采用OEM/ODM贴牌产品。</w:t>
            </w:r>
          </w:p>
          <w:p w14:paraId="75E75033">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★投标产品生产制造商应通过ISO9001质量管理体系认证、ISO14001环境管理体系认证、ISO45001职业健康安全管理体系认证，并提供有效期内的认证证书。</w:t>
            </w:r>
          </w:p>
          <w:p w14:paraId="129ADD62">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▲投标产品生产制造商应通过ISO50001能效管理体系认证，并提供有效期内的认证证书。</w:t>
            </w:r>
          </w:p>
          <w:p w14:paraId="3F079E4C">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▲投标产品生产制造商在《国家重点支持的高新技术领域》内，持续进行研究开发与技术成果转化，形成企业核心自主知识产权，获得高新技术企业证书，并提供相关证明文件。</w:t>
            </w:r>
          </w:p>
          <w:p w14:paraId="46C89DB1">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▲产品品牌商标注册年限不低于25年，须提供商标注册证书。</w:t>
            </w:r>
          </w:p>
          <w:p w14:paraId="4054CFB6">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▲投标产品生产制造商应具备较强的研发能力，制造商所属研发部门/中心应具备由中国质量认证监督管理中心出具的鉴定认证资质证书，并提供相关证明文件。</w:t>
            </w:r>
          </w:p>
          <w:p w14:paraId="7D49F95E">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▲投标产品生产制造商应具备较强的研发能力，制造商所属相关实验室应具备中国合格评定国家认可委员会（CNAS）出具的实验室认可证书，并提供相关证明文件。</w:t>
            </w:r>
          </w:p>
          <w:p w14:paraId="614A8B03">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★投标UPS产品应具备泰尔认证，须提供有效期内的泰尔认证证书及检测报告。</w:t>
            </w:r>
          </w:p>
          <w:p w14:paraId="56791146">
            <w:pPr>
              <w:pStyle w:val="89"/>
              <w:numPr>
                <w:ilvl w:val="0"/>
                <w:numId w:val="17"/>
              </w:numPr>
              <w:ind w:left="420" w:hanging="420" w:firstLineChars="0"/>
              <w:rPr>
                <w:rFonts w:ascii="宋体" w:hAnsi="宋体" w:eastAsia="宋体" w:cs="宋体"/>
                <w:lang w:eastAsia="zh-CN"/>
              </w:rPr>
            </w:pPr>
            <w:r>
              <w:rPr>
                <w:rFonts w:hint="eastAsia" w:ascii="宋体" w:hAnsi="宋体" w:eastAsia="宋体" w:cs="宋体"/>
                <w:lang w:eastAsia="zh-CN"/>
              </w:rPr>
              <w:t>★投标UPS产品应具备CQC节能认证，须提供有效期内的节能认证证书及检测报告。</w:t>
            </w:r>
          </w:p>
          <w:p w14:paraId="2E6A03F6">
            <w:pPr>
              <w:pStyle w:val="89"/>
              <w:numPr>
                <w:ilvl w:val="0"/>
                <w:numId w:val="17"/>
              </w:numPr>
              <w:ind w:left="420" w:hanging="420" w:firstLineChars="0"/>
              <w:rPr>
                <w:rFonts w:ascii="宋体" w:hAnsi="宋体" w:eastAsia="宋体" w:cs="宋体"/>
                <w:color w:val="auto"/>
                <w:lang w:eastAsia="zh-CN"/>
              </w:rPr>
            </w:pPr>
            <w:r>
              <w:rPr>
                <w:rFonts w:hint="eastAsia" w:ascii="宋体" w:hAnsi="宋体" w:eastAsia="宋体" w:cs="宋体"/>
                <w:lang w:eastAsia="zh-CN"/>
              </w:rPr>
              <w:t>▲投标UPS产品应满</w:t>
            </w:r>
            <w:r>
              <w:rPr>
                <w:rFonts w:hint="eastAsia" w:ascii="宋体" w:hAnsi="宋体" w:eastAsia="宋体" w:cs="宋体"/>
                <w:color w:val="auto"/>
                <w:lang w:eastAsia="zh-CN"/>
              </w:rPr>
              <w:t>足电信级抗震要求，通过8、9级烈度抗震性能检测，须提供信息产业通用设备抗震性能质量监督检验中心出具的同系列产品合格证书及检测报告。</w:t>
            </w:r>
          </w:p>
          <w:p w14:paraId="6CAF347B">
            <w:pPr>
              <w:pStyle w:val="89"/>
              <w:numPr>
                <w:ilvl w:val="0"/>
                <w:numId w:val="17"/>
              </w:numPr>
              <w:ind w:left="420" w:hanging="420" w:firstLineChars="0"/>
              <w:rPr>
                <w:rFonts w:ascii="宋体" w:hAnsi="宋体" w:eastAsia="宋体" w:cs="宋体"/>
                <w:color w:val="auto"/>
                <w:lang w:eastAsia="zh-CN"/>
              </w:rPr>
            </w:pPr>
            <w:r>
              <w:rPr>
                <w:rFonts w:hint="eastAsia" w:ascii="宋体" w:hAnsi="宋体" w:eastAsia="宋体" w:cs="宋体"/>
                <w:color w:val="auto"/>
                <w:lang w:eastAsia="zh-CN"/>
              </w:rPr>
              <w:t>投标单位须提供设备原厂商针对本次项目出具的包含3年上门质保的《UPS原厂商服务及质保承诺函》（需加盖厂商章）。</w:t>
            </w:r>
          </w:p>
          <w:p w14:paraId="7E5EDE0C">
            <w:pPr>
              <w:pStyle w:val="89"/>
              <w:numPr>
                <w:ilvl w:val="0"/>
                <w:numId w:val="17"/>
              </w:numPr>
              <w:ind w:left="420" w:hanging="420" w:firstLineChars="0"/>
              <w:rPr>
                <w:rFonts w:ascii="宋体" w:hAnsi="宋体" w:eastAsia="宋体" w:cs="宋体"/>
                <w:spacing w:val="-1"/>
                <w:lang w:eastAsia="zh-CN"/>
              </w:rPr>
            </w:pPr>
            <w:r>
              <w:rPr>
                <w:rFonts w:hint="eastAsia" w:ascii="宋体" w:hAnsi="宋体" w:eastAsia="宋体" w:cs="宋体"/>
                <w:color w:val="auto"/>
                <w:lang w:eastAsia="zh-CN"/>
              </w:rPr>
              <w:t>▲投标UPS产品生产厂商应具备国家级企业</w:t>
            </w:r>
            <w:r>
              <w:rPr>
                <w:rFonts w:hint="eastAsia" w:ascii="宋体" w:hAnsi="宋体" w:eastAsia="宋体" w:cs="宋体"/>
                <w:lang w:eastAsia="zh-CN"/>
              </w:rPr>
              <w:t>技术服务认证中心，并提供由权威第三方机构出具的认证证书。</w:t>
            </w:r>
          </w:p>
          <w:p w14:paraId="594564A4">
            <w:pPr>
              <w:pStyle w:val="89"/>
              <w:numPr>
                <w:ilvl w:val="0"/>
                <w:numId w:val="17"/>
              </w:numPr>
              <w:ind w:left="420" w:hanging="420" w:firstLineChars="0"/>
              <w:rPr>
                <w:rFonts w:ascii="宋体" w:hAnsi="宋体" w:eastAsia="宋体" w:cs="宋体"/>
                <w:spacing w:val="-1"/>
                <w:lang w:eastAsia="zh-CN"/>
              </w:rPr>
            </w:pPr>
            <w:r>
              <w:rPr>
                <w:rFonts w:hint="eastAsia" w:ascii="宋体" w:hAnsi="宋体" w:eastAsia="宋体" w:cs="宋体"/>
                <w:lang w:eastAsia="zh-CN"/>
              </w:rPr>
              <w:t>▲投标产品生产厂商应具备提供五星级售后服务的能力，并提供由权威第三方认证机构出具的售后服务认证证书。</w:t>
            </w:r>
          </w:p>
        </w:tc>
        <w:tc>
          <w:tcPr>
            <w:tcW w:w="886" w:type="dxa"/>
          </w:tcPr>
          <w:p w14:paraId="58FF94A4">
            <w:pPr>
              <w:pStyle w:val="195"/>
              <w:rPr>
                <w:rFonts w:ascii="宋体" w:hAnsi="宋体" w:eastAsia="宋体" w:cs="宋体"/>
                <w:lang w:eastAsia="zh-CN"/>
              </w:rPr>
            </w:pPr>
          </w:p>
        </w:tc>
        <w:tc>
          <w:tcPr>
            <w:tcW w:w="863" w:type="dxa"/>
          </w:tcPr>
          <w:p w14:paraId="783AE5C8">
            <w:pPr>
              <w:pStyle w:val="195"/>
              <w:rPr>
                <w:rFonts w:ascii="宋体" w:hAnsi="宋体" w:eastAsia="宋体" w:cs="宋体"/>
                <w:lang w:eastAsia="zh-CN"/>
              </w:rPr>
            </w:pPr>
          </w:p>
        </w:tc>
      </w:tr>
      <w:tr w14:paraId="32335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43BABE9C">
            <w:pPr>
              <w:spacing w:before="231" w:line="241" w:lineRule="auto"/>
              <w:ind w:left="275"/>
              <w:rPr>
                <w:rFonts w:ascii="宋体" w:hAnsi="宋体" w:eastAsia="宋体" w:cs="宋体"/>
                <w:lang w:eastAsia="zh-CN"/>
              </w:rPr>
            </w:pPr>
            <w:r>
              <w:rPr>
                <w:rFonts w:hint="eastAsia" w:ascii="宋体" w:hAnsi="宋体" w:eastAsia="宋体" w:cs="宋体"/>
                <w:lang w:eastAsia="zh-CN"/>
              </w:rPr>
              <w:t>15</w:t>
            </w:r>
          </w:p>
        </w:tc>
        <w:tc>
          <w:tcPr>
            <w:tcW w:w="1219" w:type="dxa"/>
          </w:tcPr>
          <w:p w14:paraId="71ED0524">
            <w:pPr>
              <w:spacing w:before="49" w:line="252" w:lineRule="auto"/>
              <w:ind w:left="133" w:hanging="69"/>
              <w:jc w:val="both"/>
              <w:rPr>
                <w:rFonts w:ascii="宋体" w:hAnsi="宋体" w:eastAsia="宋体" w:cs="宋体"/>
                <w:spacing w:val="-1"/>
                <w:lang w:eastAsia="zh-CN"/>
              </w:rPr>
            </w:pPr>
          </w:p>
        </w:tc>
        <w:tc>
          <w:tcPr>
            <w:tcW w:w="1300" w:type="dxa"/>
          </w:tcPr>
          <w:p w14:paraId="72A42CF9">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洁净灯具</w:t>
            </w:r>
          </w:p>
        </w:tc>
        <w:tc>
          <w:tcPr>
            <w:tcW w:w="608" w:type="dxa"/>
          </w:tcPr>
          <w:p w14:paraId="51CDEC57">
            <w:pPr>
              <w:spacing w:before="49" w:line="252" w:lineRule="auto"/>
              <w:ind w:left="133" w:hanging="69"/>
              <w:jc w:val="both"/>
              <w:rPr>
                <w:rFonts w:ascii="宋体" w:hAnsi="宋体" w:eastAsia="宋体" w:cs="宋体"/>
                <w:spacing w:val="-1"/>
                <w:lang w:eastAsia="zh-CN"/>
              </w:rPr>
            </w:pPr>
          </w:p>
        </w:tc>
        <w:tc>
          <w:tcPr>
            <w:tcW w:w="1566" w:type="dxa"/>
          </w:tcPr>
          <w:p w14:paraId="0BF8AB1B">
            <w:pPr>
              <w:spacing w:before="49" w:line="252" w:lineRule="auto"/>
              <w:ind w:left="133" w:hanging="69"/>
              <w:jc w:val="both"/>
              <w:rPr>
                <w:rFonts w:ascii="宋体" w:hAnsi="宋体" w:eastAsia="宋体" w:cs="宋体"/>
                <w:spacing w:val="-1"/>
                <w:lang w:eastAsia="zh-CN"/>
              </w:rPr>
            </w:pPr>
          </w:p>
        </w:tc>
        <w:tc>
          <w:tcPr>
            <w:tcW w:w="7769" w:type="dxa"/>
          </w:tcPr>
          <w:p w14:paraId="027954A3">
            <w:pPr>
              <w:numPr>
                <w:ilvl w:val="0"/>
                <w:numId w:val="19"/>
              </w:numPr>
              <w:spacing w:before="49" w:line="252" w:lineRule="auto"/>
              <w:rPr>
                <w:rFonts w:ascii="宋体" w:hAnsi="宋体" w:eastAsia="宋体" w:cs="宋体"/>
                <w:spacing w:val="-1"/>
                <w:lang w:eastAsia="zh-CN"/>
              </w:rPr>
            </w:pPr>
            <w:r>
              <w:rPr>
                <w:rFonts w:hint="eastAsia" w:ascii="宋体" w:hAnsi="宋体" w:eastAsia="宋体" w:cs="宋体"/>
                <w:spacing w:val="-1"/>
                <w:lang w:eastAsia="zh-CN"/>
              </w:rPr>
              <w:t>铝合金边框，采用无缝焊接工艺，表面静电喷塑高光加厚处理，耐腐蚀抗氧化。</w:t>
            </w:r>
          </w:p>
          <w:p w14:paraId="7C535B52">
            <w:pPr>
              <w:numPr>
                <w:ilvl w:val="0"/>
                <w:numId w:val="19"/>
              </w:numPr>
              <w:spacing w:before="49" w:line="252" w:lineRule="auto"/>
              <w:rPr>
                <w:rFonts w:ascii="宋体" w:hAnsi="宋体" w:eastAsia="宋体" w:cs="宋体"/>
                <w:spacing w:val="-1"/>
                <w:lang w:eastAsia="zh-CN"/>
              </w:rPr>
            </w:pPr>
            <w:r>
              <w:rPr>
                <w:rFonts w:hint="eastAsia" w:ascii="宋体" w:hAnsi="宋体" w:eastAsia="宋体" w:cs="宋体"/>
                <w:spacing w:val="-1"/>
                <w:lang w:eastAsia="zh-CN"/>
              </w:rPr>
              <w:t>扩散板发光面光线柔和，防眩光，采用大品牌高亮度、高显指LED灯珠。</w:t>
            </w:r>
          </w:p>
          <w:p w14:paraId="35A21E0B">
            <w:pPr>
              <w:numPr>
                <w:ilvl w:val="0"/>
                <w:numId w:val="19"/>
              </w:numPr>
              <w:spacing w:before="49" w:line="252" w:lineRule="auto"/>
              <w:rPr>
                <w:rFonts w:ascii="宋体" w:hAnsi="宋体" w:eastAsia="宋体" w:cs="宋体"/>
                <w:spacing w:val="-1"/>
                <w:lang w:eastAsia="zh-CN"/>
              </w:rPr>
            </w:pPr>
            <w:r>
              <w:rPr>
                <w:rFonts w:hint="eastAsia" w:ascii="宋体" w:hAnsi="宋体" w:eastAsia="宋体" w:cs="宋体"/>
                <w:spacing w:val="-1"/>
                <w:lang w:eastAsia="zh-CN"/>
              </w:rPr>
              <w:t>采用进口亚克力导光板，配置无频闪防水驱动/高P无频闪低谐波驱动。</w:t>
            </w:r>
          </w:p>
          <w:p w14:paraId="39F295E6">
            <w:pPr>
              <w:numPr>
                <w:ilvl w:val="0"/>
                <w:numId w:val="19"/>
              </w:numPr>
              <w:spacing w:before="49" w:line="252" w:lineRule="auto"/>
              <w:rPr>
                <w:rFonts w:ascii="宋体" w:hAnsi="宋体" w:eastAsia="宋体" w:cs="宋体"/>
                <w:spacing w:val="-1"/>
                <w:lang w:eastAsia="zh-CN"/>
              </w:rPr>
            </w:pPr>
            <w:r>
              <w:rPr>
                <w:rFonts w:hint="eastAsia" w:ascii="宋体" w:hAnsi="宋体" w:eastAsia="宋体" w:cs="宋体"/>
                <w:spacing w:val="-1"/>
                <w:lang w:eastAsia="zh-CN"/>
              </w:rPr>
              <w:t>安装方式：磁铁吸顶安装。</w:t>
            </w:r>
          </w:p>
        </w:tc>
        <w:tc>
          <w:tcPr>
            <w:tcW w:w="886" w:type="dxa"/>
          </w:tcPr>
          <w:p w14:paraId="141E4380">
            <w:pPr>
              <w:pStyle w:val="195"/>
              <w:rPr>
                <w:rFonts w:ascii="宋体" w:hAnsi="宋体" w:eastAsia="宋体" w:cs="宋体"/>
                <w:lang w:eastAsia="zh-CN"/>
              </w:rPr>
            </w:pPr>
          </w:p>
        </w:tc>
        <w:tc>
          <w:tcPr>
            <w:tcW w:w="863" w:type="dxa"/>
          </w:tcPr>
          <w:p w14:paraId="0A8373BD">
            <w:pPr>
              <w:pStyle w:val="195"/>
              <w:rPr>
                <w:rFonts w:ascii="宋体" w:hAnsi="宋体" w:eastAsia="宋体" w:cs="宋体"/>
                <w:lang w:eastAsia="zh-CN"/>
              </w:rPr>
            </w:pPr>
          </w:p>
        </w:tc>
      </w:tr>
      <w:tr w14:paraId="353A9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4391F26C">
            <w:pPr>
              <w:spacing w:before="231" w:line="241" w:lineRule="auto"/>
              <w:ind w:left="275"/>
              <w:rPr>
                <w:rFonts w:ascii="宋体" w:hAnsi="宋体" w:eastAsia="宋体" w:cs="宋体"/>
                <w:lang w:eastAsia="zh-CN"/>
              </w:rPr>
            </w:pPr>
            <w:r>
              <w:rPr>
                <w:rFonts w:hint="eastAsia" w:ascii="宋体" w:hAnsi="宋体" w:eastAsia="宋体" w:cs="宋体"/>
                <w:lang w:eastAsia="zh-CN"/>
              </w:rPr>
              <w:t>16</w:t>
            </w:r>
          </w:p>
        </w:tc>
        <w:tc>
          <w:tcPr>
            <w:tcW w:w="1219" w:type="dxa"/>
          </w:tcPr>
          <w:p w14:paraId="2FDED548">
            <w:pPr>
              <w:spacing w:before="49" w:line="252" w:lineRule="auto"/>
              <w:ind w:left="133" w:hanging="69"/>
              <w:jc w:val="both"/>
              <w:rPr>
                <w:rFonts w:ascii="宋体" w:hAnsi="宋体" w:eastAsia="宋体" w:cs="宋体"/>
                <w:spacing w:val="-1"/>
                <w:lang w:eastAsia="zh-CN"/>
              </w:rPr>
            </w:pPr>
          </w:p>
        </w:tc>
        <w:tc>
          <w:tcPr>
            <w:tcW w:w="1300" w:type="dxa"/>
          </w:tcPr>
          <w:p w14:paraId="728B3DB3">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空调自动化控制</w:t>
            </w:r>
          </w:p>
        </w:tc>
        <w:tc>
          <w:tcPr>
            <w:tcW w:w="608" w:type="dxa"/>
          </w:tcPr>
          <w:p w14:paraId="5D88E6D3">
            <w:pPr>
              <w:spacing w:before="49" w:line="252" w:lineRule="auto"/>
              <w:ind w:left="133" w:hanging="69"/>
              <w:jc w:val="both"/>
              <w:rPr>
                <w:rFonts w:ascii="宋体" w:hAnsi="宋体" w:eastAsia="宋体" w:cs="宋体"/>
                <w:spacing w:val="-1"/>
                <w:lang w:eastAsia="zh-CN"/>
              </w:rPr>
            </w:pPr>
          </w:p>
        </w:tc>
        <w:tc>
          <w:tcPr>
            <w:tcW w:w="1566" w:type="dxa"/>
          </w:tcPr>
          <w:p w14:paraId="35768924">
            <w:pPr>
              <w:spacing w:before="49" w:line="252" w:lineRule="auto"/>
              <w:ind w:left="133" w:hanging="69"/>
              <w:jc w:val="both"/>
              <w:rPr>
                <w:rFonts w:ascii="宋体" w:hAnsi="宋体" w:eastAsia="宋体" w:cs="宋体"/>
                <w:spacing w:val="-1"/>
                <w:lang w:eastAsia="zh-CN"/>
              </w:rPr>
            </w:pPr>
          </w:p>
        </w:tc>
        <w:tc>
          <w:tcPr>
            <w:tcW w:w="7769" w:type="dxa"/>
          </w:tcPr>
          <w:p w14:paraId="27630CF2">
            <w:pPr>
              <w:numPr>
                <w:ilvl w:val="0"/>
                <w:numId w:val="2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配电箱、照明箱、控制箱长边小于 1000mm 的箱体采用厚度不小于 1.5mm 的冷轧镀锌钢板</w:t>
            </w:r>
          </w:p>
          <w:p w14:paraId="511183A4">
            <w:pPr>
              <w:numPr>
                <w:ilvl w:val="0"/>
                <w:numId w:val="20"/>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长边≥1000mm 的箱体，采用厚度不小于 2mm 的冷轧镀锌钢板折剪焊接而成。</w:t>
            </w:r>
          </w:p>
        </w:tc>
        <w:tc>
          <w:tcPr>
            <w:tcW w:w="886" w:type="dxa"/>
          </w:tcPr>
          <w:p w14:paraId="20E2009B">
            <w:pPr>
              <w:pStyle w:val="195"/>
              <w:rPr>
                <w:rFonts w:ascii="宋体" w:hAnsi="宋体" w:eastAsia="宋体" w:cs="宋体"/>
                <w:lang w:eastAsia="zh-CN"/>
              </w:rPr>
            </w:pPr>
          </w:p>
        </w:tc>
        <w:tc>
          <w:tcPr>
            <w:tcW w:w="863" w:type="dxa"/>
          </w:tcPr>
          <w:p w14:paraId="0133050A">
            <w:pPr>
              <w:pStyle w:val="195"/>
              <w:rPr>
                <w:rFonts w:ascii="宋体" w:hAnsi="宋体" w:eastAsia="宋体" w:cs="宋体"/>
                <w:lang w:eastAsia="zh-CN"/>
              </w:rPr>
            </w:pPr>
          </w:p>
        </w:tc>
      </w:tr>
      <w:tr w14:paraId="28C5F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shd w:val="clear" w:color="auto" w:fill="auto"/>
          </w:tcPr>
          <w:p w14:paraId="1E02576E">
            <w:pPr>
              <w:spacing w:before="231" w:line="241" w:lineRule="auto"/>
              <w:ind w:left="275"/>
              <w:rPr>
                <w:rFonts w:ascii="宋体" w:hAnsi="宋体" w:eastAsia="宋体" w:cs="宋体"/>
                <w:lang w:eastAsia="zh-CN"/>
              </w:rPr>
            </w:pPr>
            <w:r>
              <w:rPr>
                <w:rFonts w:hint="eastAsia" w:ascii="宋体" w:hAnsi="宋体" w:eastAsia="宋体" w:cs="宋体"/>
                <w:lang w:eastAsia="zh-CN"/>
              </w:rPr>
              <w:t>17</w:t>
            </w:r>
          </w:p>
        </w:tc>
        <w:tc>
          <w:tcPr>
            <w:tcW w:w="1219" w:type="dxa"/>
          </w:tcPr>
          <w:p w14:paraId="7D29582B">
            <w:pPr>
              <w:spacing w:before="49" w:line="252" w:lineRule="auto"/>
              <w:ind w:left="133" w:hanging="69"/>
              <w:jc w:val="both"/>
              <w:rPr>
                <w:rFonts w:ascii="宋体" w:hAnsi="宋体" w:eastAsia="宋体" w:cs="宋体"/>
                <w:spacing w:val="-1"/>
                <w:lang w:eastAsia="zh-CN"/>
              </w:rPr>
            </w:pPr>
          </w:p>
        </w:tc>
        <w:tc>
          <w:tcPr>
            <w:tcW w:w="1300" w:type="dxa"/>
          </w:tcPr>
          <w:p w14:paraId="05F14AFD">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1"/>
                <w:lang w:eastAsia="zh-CN"/>
              </w:rPr>
              <w:t>保温材料</w:t>
            </w:r>
          </w:p>
        </w:tc>
        <w:tc>
          <w:tcPr>
            <w:tcW w:w="608" w:type="dxa"/>
          </w:tcPr>
          <w:p w14:paraId="28EC771C">
            <w:pPr>
              <w:spacing w:before="49" w:line="252" w:lineRule="auto"/>
              <w:ind w:left="133" w:hanging="69"/>
              <w:jc w:val="both"/>
              <w:rPr>
                <w:rFonts w:ascii="宋体" w:hAnsi="宋体" w:eastAsia="宋体" w:cs="宋体"/>
                <w:spacing w:val="-1"/>
                <w:lang w:eastAsia="zh-CN"/>
              </w:rPr>
            </w:pPr>
          </w:p>
        </w:tc>
        <w:tc>
          <w:tcPr>
            <w:tcW w:w="1566" w:type="dxa"/>
          </w:tcPr>
          <w:p w14:paraId="4EA7AC14">
            <w:pPr>
              <w:spacing w:before="49" w:line="252" w:lineRule="auto"/>
              <w:ind w:left="133" w:hanging="69"/>
              <w:jc w:val="both"/>
              <w:rPr>
                <w:rFonts w:ascii="宋体" w:hAnsi="宋体" w:eastAsia="宋体" w:cs="宋体"/>
                <w:spacing w:val="-1"/>
                <w:lang w:eastAsia="zh-CN"/>
              </w:rPr>
            </w:pPr>
          </w:p>
        </w:tc>
        <w:tc>
          <w:tcPr>
            <w:tcW w:w="7769" w:type="dxa"/>
          </w:tcPr>
          <w:p w14:paraId="4354D50A">
            <w:pPr>
              <w:numPr>
                <w:ilvl w:val="0"/>
                <w:numId w:val="2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橡塑保温棉B1级</w:t>
            </w:r>
          </w:p>
          <w:p w14:paraId="5DEC4375">
            <w:pPr>
              <w:numPr>
                <w:ilvl w:val="0"/>
                <w:numId w:val="2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热阻:&gt;0.819m2*k/W</w:t>
            </w:r>
          </w:p>
          <w:p w14:paraId="3864A4DB">
            <w:pPr>
              <w:numPr>
                <w:ilvl w:val="0"/>
                <w:numId w:val="2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导热系数:0.034(W/Mk)(20℃)</w:t>
            </w:r>
          </w:p>
          <w:p w14:paraId="783E9DA1">
            <w:pPr>
              <w:numPr>
                <w:ilvl w:val="0"/>
                <w:numId w:val="2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湿阻因子:≥10000</w:t>
            </w:r>
          </w:p>
          <w:p w14:paraId="52C20A0A">
            <w:pPr>
              <w:numPr>
                <w:ilvl w:val="0"/>
                <w:numId w:val="2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烟密度:≤50</w:t>
            </w:r>
          </w:p>
          <w:p w14:paraId="7C7FEC07">
            <w:pPr>
              <w:numPr>
                <w:ilvl w:val="0"/>
                <w:numId w:val="2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氧指数:&gt;39</w:t>
            </w:r>
          </w:p>
          <w:p w14:paraId="1F00A0FA">
            <w:pPr>
              <w:numPr>
                <w:ilvl w:val="0"/>
                <w:numId w:val="2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有FM认证证需求</w:t>
            </w:r>
          </w:p>
          <w:p w14:paraId="0B0B6015">
            <w:pPr>
              <w:numPr>
                <w:ilvl w:val="0"/>
                <w:numId w:val="21"/>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颜色:黑色</w:t>
            </w:r>
          </w:p>
        </w:tc>
        <w:tc>
          <w:tcPr>
            <w:tcW w:w="886" w:type="dxa"/>
          </w:tcPr>
          <w:p w14:paraId="533268FE">
            <w:pPr>
              <w:pStyle w:val="195"/>
              <w:rPr>
                <w:rFonts w:ascii="宋体" w:hAnsi="宋体" w:eastAsia="宋体" w:cs="宋体"/>
              </w:rPr>
            </w:pPr>
          </w:p>
        </w:tc>
        <w:tc>
          <w:tcPr>
            <w:tcW w:w="863" w:type="dxa"/>
          </w:tcPr>
          <w:p w14:paraId="2D930EDD">
            <w:pPr>
              <w:pStyle w:val="195"/>
              <w:rPr>
                <w:rFonts w:ascii="宋体" w:hAnsi="宋体" w:eastAsia="宋体" w:cs="宋体"/>
              </w:rPr>
            </w:pPr>
          </w:p>
        </w:tc>
      </w:tr>
      <w:tr w14:paraId="3D6C4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shd w:val="clear" w:color="auto" w:fill="auto"/>
          </w:tcPr>
          <w:p w14:paraId="36E9453C">
            <w:pPr>
              <w:spacing w:before="231" w:line="241" w:lineRule="auto"/>
              <w:ind w:left="275"/>
              <w:rPr>
                <w:rFonts w:ascii="宋体" w:hAnsi="宋体" w:eastAsia="宋体" w:cs="宋体"/>
                <w:lang w:eastAsia="zh-CN"/>
              </w:rPr>
            </w:pPr>
            <w:r>
              <w:rPr>
                <w:rFonts w:hint="eastAsia" w:ascii="宋体" w:hAnsi="宋体" w:eastAsia="宋体" w:cs="宋体"/>
                <w:lang w:eastAsia="zh-CN"/>
              </w:rPr>
              <w:t>18</w:t>
            </w:r>
          </w:p>
        </w:tc>
        <w:tc>
          <w:tcPr>
            <w:tcW w:w="1219" w:type="dxa"/>
          </w:tcPr>
          <w:p w14:paraId="68992533">
            <w:pPr>
              <w:spacing w:before="49" w:line="252" w:lineRule="auto"/>
              <w:ind w:left="133" w:hanging="69"/>
              <w:jc w:val="both"/>
              <w:rPr>
                <w:rFonts w:ascii="宋体" w:hAnsi="宋体" w:eastAsia="宋体" w:cs="宋体"/>
                <w:spacing w:val="-1"/>
                <w:lang w:eastAsia="zh-CN"/>
              </w:rPr>
            </w:pPr>
          </w:p>
        </w:tc>
        <w:tc>
          <w:tcPr>
            <w:tcW w:w="1300" w:type="dxa"/>
          </w:tcPr>
          <w:p w14:paraId="432087B4">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2"/>
                <w:sz w:val="22"/>
                <w:szCs w:val="22"/>
              </w:rPr>
              <w:t>高效</w:t>
            </w:r>
            <w:r>
              <w:rPr>
                <w:rFonts w:hint="eastAsia" w:ascii="宋体" w:hAnsi="宋体" w:eastAsia="宋体" w:cs="宋体"/>
                <w:spacing w:val="-2"/>
                <w:sz w:val="22"/>
                <w:szCs w:val="22"/>
                <w:lang w:eastAsia="zh-CN"/>
              </w:rPr>
              <w:t>过滤器</w:t>
            </w:r>
          </w:p>
        </w:tc>
        <w:tc>
          <w:tcPr>
            <w:tcW w:w="608" w:type="dxa"/>
          </w:tcPr>
          <w:p w14:paraId="504CF4F8">
            <w:pPr>
              <w:spacing w:before="49" w:line="252" w:lineRule="auto"/>
              <w:ind w:left="133" w:hanging="69"/>
              <w:jc w:val="both"/>
              <w:rPr>
                <w:rFonts w:ascii="宋体" w:hAnsi="宋体" w:eastAsia="宋体" w:cs="宋体"/>
                <w:spacing w:val="-1"/>
                <w:lang w:eastAsia="zh-CN"/>
              </w:rPr>
            </w:pPr>
          </w:p>
        </w:tc>
        <w:tc>
          <w:tcPr>
            <w:tcW w:w="1566" w:type="dxa"/>
          </w:tcPr>
          <w:p w14:paraId="6D62DC43">
            <w:pPr>
              <w:spacing w:before="49" w:line="252" w:lineRule="auto"/>
              <w:ind w:left="133" w:hanging="69"/>
              <w:jc w:val="both"/>
              <w:rPr>
                <w:rFonts w:ascii="宋体" w:hAnsi="宋体" w:eastAsia="宋体" w:cs="宋体"/>
                <w:spacing w:val="-1"/>
                <w:lang w:eastAsia="zh-CN"/>
              </w:rPr>
            </w:pPr>
          </w:p>
        </w:tc>
        <w:tc>
          <w:tcPr>
            <w:tcW w:w="7769" w:type="dxa"/>
          </w:tcPr>
          <w:p w14:paraId="4AA441CE">
            <w:pPr>
              <w:numPr>
                <w:ilvl w:val="0"/>
                <w:numId w:val="22"/>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高效过滤器采用液槽式密封技术，密封效果更好，更持久，不易泄漏。抗老化技术，不易变形和老化。气流均匀，专利制造技术确保V型通道，高效低阻、使用寿命长。逐台激光扫描计数效率99.97%~99.999995%，并可提供逐台点扫描测试报告。</w:t>
            </w:r>
          </w:p>
          <w:p w14:paraId="4A0E7FC8">
            <w:pPr>
              <w:numPr>
                <w:ilvl w:val="0"/>
                <w:numId w:val="22"/>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组合式高效过滤器对细小颗粒物质具有极佳的效率，捕捉0.3um的尘埃粒子效率在99.99%以上。组合式高效过滤器设计风量可以高达4000m3/h，用于大风量环境使用。组合式高效过滤器过滤面积大，阻力低，使用寿命长。标准型镀锌板外框，也可以提供不锈钢外框。带25mm厚可选择安装法兰/无法兰,连续运行最高温度70℃。</w:t>
            </w:r>
          </w:p>
        </w:tc>
        <w:tc>
          <w:tcPr>
            <w:tcW w:w="886" w:type="dxa"/>
          </w:tcPr>
          <w:p w14:paraId="342C604B">
            <w:pPr>
              <w:pStyle w:val="195"/>
              <w:rPr>
                <w:rFonts w:ascii="宋体" w:hAnsi="宋体" w:eastAsia="宋体" w:cs="宋体"/>
                <w:lang w:eastAsia="zh-CN"/>
              </w:rPr>
            </w:pPr>
          </w:p>
        </w:tc>
        <w:tc>
          <w:tcPr>
            <w:tcW w:w="863" w:type="dxa"/>
          </w:tcPr>
          <w:p w14:paraId="220771B1">
            <w:pPr>
              <w:pStyle w:val="195"/>
              <w:rPr>
                <w:rFonts w:ascii="宋体" w:hAnsi="宋体" w:eastAsia="宋体" w:cs="宋体"/>
                <w:lang w:eastAsia="zh-CN"/>
              </w:rPr>
            </w:pPr>
          </w:p>
        </w:tc>
      </w:tr>
      <w:tr w14:paraId="6BDE2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shd w:val="clear" w:color="auto" w:fill="auto"/>
          </w:tcPr>
          <w:p w14:paraId="4DF45EA4">
            <w:pPr>
              <w:spacing w:before="231" w:line="241" w:lineRule="auto"/>
              <w:ind w:left="275"/>
              <w:rPr>
                <w:rFonts w:ascii="宋体" w:hAnsi="宋体" w:eastAsia="宋体" w:cs="宋体"/>
                <w:lang w:eastAsia="zh-CN"/>
              </w:rPr>
            </w:pPr>
            <w:r>
              <w:rPr>
                <w:rFonts w:hint="eastAsia" w:ascii="宋体" w:hAnsi="宋体" w:eastAsia="宋体" w:cs="宋体"/>
                <w:lang w:eastAsia="zh-CN"/>
              </w:rPr>
              <w:t>19</w:t>
            </w:r>
          </w:p>
        </w:tc>
        <w:tc>
          <w:tcPr>
            <w:tcW w:w="1219" w:type="dxa"/>
          </w:tcPr>
          <w:p w14:paraId="58A07C4B">
            <w:pPr>
              <w:spacing w:before="49" w:line="252" w:lineRule="auto"/>
              <w:ind w:left="133" w:hanging="69"/>
              <w:jc w:val="both"/>
              <w:rPr>
                <w:rFonts w:ascii="宋体" w:hAnsi="宋体" w:eastAsia="宋体" w:cs="宋体"/>
                <w:spacing w:val="-1"/>
                <w:lang w:eastAsia="zh-CN"/>
              </w:rPr>
            </w:pPr>
          </w:p>
        </w:tc>
        <w:tc>
          <w:tcPr>
            <w:tcW w:w="1300" w:type="dxa"/>
          </w:tcPr>
          <w:p w14:paraId="13D1C35D">
            <w:pPr>
              <w:spacing w:before="49" w:line="252" w:lineRule="auto"/>
              <w:ind w:left="133" w:hanging="69"/>
              <w:jc w:val="both"/>
              <w:rPr>
                <w:rFonts w:ascii="宋体" w:hAnsi="宋体" w:eastAsia="宋体" w:cs="宋体"/>
                <w:spacing w:val="-1"/>
                <w:lang w:eastAsia="zh-CN"/>
              </w:rPr>
            </w:pPr>
            <w:r>
              <w:rPr>
                <w:rFonts w:hint="eastAsia" w:ascii="宋体" w:hAnsi="宋体" w:eastAsia="宋体" w:cs="宋体"/>
                <w:spacing w:val="-2"/>
                <w:sz w:val="22"/>
                <w:szCs w:val="22"/>
              </w:rPr>
              <w:t>多联空调</w:t>
            </w:r>
          </w:p>
        </w:tc>
        <w:tc>
          <w:tcPr>
            <w:tcW w:w="608" w:type="dxa"/>
          </w:tcPr>
          <w:p w14:paraId="2C3C8277">
            <w:pPr>
              <w:spacing w:before="49" w:line="252" w:lineRule="auto"/>
              <w:ind w:left="133" w:hanging="69"/>
              <w:jc w:val="both"/>
              <w:rPr>
                <w:rFonts w:ascii="宋体" w:hAnsi="宋体" w:eastAsia="宋体" w:cs="宋体"/>
                <w:spacing w:val="-1"/>
                <w:lang w:eastAsia="zh-CN"/>
              </w:rPr>
            </w:pPr>
          </w:p>
        </w:tc>
        <w:tc>
          <w:tcPr>
            <w:tcW w:w="1566" w:type="dxa"/>
          </w:tcPr>
          <w:p w14:paraId="047D96EB">
            <w:pPr>
              <w:spacing w:before="49" w:line="252" w:lineRule="auto"/>
              <w:ind w:left="133" w:hanging="69"/>
              <w:jc w:val="both"/>
              <w:rPr>
                <w:rFonts w:ascii="宋体" w:hAnsi="宋体" w:eastAsia="宋体" w:cs="宋体"/>
                <w:spacing w:val="-1"/>
                <w:lang w:eastAsia="zh-CN"/>
              </w:rPr>
            </w:pPr>
          </w:p>
        </w:tc>
        <w:tc>
          <w:tcPr>
            <w:tcW w:w="7769" w:type="dxa"/>
          </w:tcPr>
          <w:p w14:paraId="0353B6ED">
            <w:pPr>
              <w:numPr>
                <w:ilvl w:val="0"/>
                <w:numId w:val="23"/>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变频变容可实现无级调节精确控制温度，且可根据室内机开启情况选择性变换压缩机容积单双缸切换运行，匹配输出，节能省电。</w:t>
            </w:r>
          </w:p>
          <w:p w14:paraId="41D2F572">
            <w:pPr>
              <w:numPr>
                <w:ilvl w:val="0"/>
                <w:numId w:val="23"/>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开启少量内机低负荷运行时，采用单缸运转，刚好可以满足您的需求，可大幅降低能耗。</w:t>
            </w:r>
          </w:p>
          <w:p w14:paraId="6738F607">
            <w:pPr>
              <w:numPr>
                <w:ilvl w:val="0"/>
                <w:numId w:val="23"/>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开启多个内机时，双缸运行满足大负荷需求，实现快速制冷制热。</w:t>
            </w:r>
          </w:p>
          <w:p w14:paraId="615ED3BB">
            <w:pPr>
              <w:numPr>
                <w:ilvl w:val="0"/>
                <w:numId w:val="23"/>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依据GB/T18837-2015标准，名义制冷工况:室外侧干球温度:35℃，湿球温度:24℃;室内侧干球温度:27℃，湿球温度:19℃。</w:t>
            </w:r>
          </w:p>
        </w:tc>
        <w:tc>
          <w:tcPr>
            <w:tcW w:w="886" w:type="dxa"/>
          </w:tcPr>
          <w:p w14:paraId="73D81993">
            <w:pPr>
              <w:pStyle w:val="195"/>
              <w:rPr>
                <w:rFonts w:ascii="宋体" w:hAnsi="宋体" w:eastAsia="宋体" w:cs="宋体"/>
                <w:lang w:eastAsia="zh-CN"/>
              </w:rPr>
            </w:pPr>
          </w:p>
        </w:tc>
        <w:tc>
          <w:tcPr>
            <w:tcW w:w="863" w:type="dxa"/>
          </w:tcPr>
          <w:p w14:paraId="15153C19">
            <w:pPr>
              <w:pStyle w:val="195"/>
              <w:rPr>
                <w:rFonts w:ascii="宋体" w:hAnsi="宋体" w:eastAsia="宋体" w:cs="宋体"/>
                <w:lang w:eastAsia="zh-CN"/>
              </w:rPr>
            </w:pPr>
          </w:p>
        </w:tc>
      </w:tr>
      <w:tr w14:paraId="79C5B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540EA6B0">
            <w:pPr>
              <w:spacing w:before="231" w:line="241" w:lineRule="auto"/>
              <w:ind w:left="275"/>
              <w:rPr>
                <w:rFonts w:ascii="宋体" w:hAnsi="宋体" w:eastAsia="宋体" w:cs="宋体"/>
                <w:lang w:eastAsia="zh-CN"/>
              </w:rPr>
            </w:pPr>
            <w:r>
              <w:rPr>
                <w:rFonts w:hint="eastAsia" w:ascii="宋体" w:hAnsi="宋体" w:eastAsia="宋体" w:cs="宋体"/>
                <w:lang w:eastAsia="zh-CN"/>
              </w:rPr>
              <w:t>20</w:t>
            </w:r>
          </w:p>
        </w:tc>
        <w:tc>
          <w:tcPr>
            <w:tcW w:w="1219" w:type="dxa"/>
          </w:tcPr>
          <w:p w14:paraId="019938D9">
            <w:pPr>
              <w:spacing w:before="49" w:line="252" w:lineRule="auto"/>
              <w:ind w:left="133" w:hanging="69"/>
              <w:jc w:val="both"/>
              <w:rPr>
                <w:rFonts w:ascii="宋体" w:hAnsi="宋体" w:eastAsia="宋体" w:cs="宋体"/>
                <w:spacing w:val="-1"/>
                <w:lang w:eastAsia="zh-CN"/>
              </w:rPr>
            </w:pPr>
          </w:p>
        </w:tc>
        <w:tc>
          <w:tcPr>
            <w:tcW w:w="1300" w:type="dxa"/>
          </w:tcPr>
          <w:p w14:paraId="230AA9A6">
            <w:pPr>
              <w:spacing w:before="49" w:line="252" w:lineRule="auto"/>
              <w:ind w:left="133" w:hanging="69"/>
              <w:rPr>
                <w:rFonts w:ascii="宋体" w:hAnsi="宋体" w:eastAsia="宋体" w:cs="宋体"/>
                <w:spacing w:val="-1"/>
                <w:lang w:eastAsia="zh-CN"/>
              </w:rPr>
            </w:pPr>
            <w:r>
              <w:rPr>
                <w:rFonts w:hint="eastAsia" w:ascii="宋体" w:hAnsi="宋体" w:eastAsia="宋体" w:cs="宋体"/>
                <w:spacing w:val="-1"/>
                <w:lang w:eastAsia="zh-CN"/>
              </w:rPr>
              <w:t>定、变风量阀</w:t>
            </w:r>
          </w:p>
        </w:tc>
        <w:tc>
          <w:tcPr>
            <w:tcW w:w="608" w:type="dxa"/>
          </w:tcPr>
          <w:p w14:paraId="4818DF84">
            <w:pPr>
              <w:spacing w:before="49" w:line="252" w:lineRule="auto"/>
              <w:ind w:left="133" w:hanging="69"/>
              <w:jc w:val="both"/>
              <w:rPr>
                <w:rFonts w:ascii="宋体" w:hAnsi="宋体" w:eastAsia="宋体" w:cs="宋体"/>
                <w:spacing w:val="-1"/>
                <w:lang w:eastAsia="zh-CN"/>
              </w:rPr>
            </w:pPr>
          </w:p>
        </w:tc>
        <w:tc>
          <w:tcPr>
            <w:tcW w:w="1566" w:type="dxa"/>
          </w:tcPr>
          <w:p w14:paraId="20F6C55B">
            <w:pPr>
              <w:spacing w:before="49" w:line="252" w:lineRule="auto"/>
              <w:ind w:left="133" w:hanging="69"/>
              <w:jc w:val="both"/>
              <w:rPr>
                <w:rFonts w:ascii="宋体" w:hAnsi="宋体" w:eastAsia="宋体" w:cs="宋体"/>
                <w:spacing w:val="-1"/>
                <w:lang w:eastAsia="zh-CN"/>
              </w:rPr>
            </w:pPr>
          </w:p>
        </w:tc>
        <w:tc>
          <w:tcPr>
            <w:tcW w:w="7769" w:type="dxa"/>
          </w:tcPr>
          <w:p w14:paraId="0993F165">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TVJ 阀体为方形阀体，材质为镀锌钢材质，钢板厚度不低于1.2mm。</w:t>
            </w:r>
          </w:p>
          <w:p w14:paraId="6CC38072">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▲阀体钢板采用高品质热镀锌钢板，双面镀锌140g/㎡，经过125小时盐水喷雾防腐试验而无红锈产生。</w:t>
            </w:r>
          </w:p>
          <w:p w14:paraId="198581F5">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箱体总长度不大于400mm，安装方向不受限制，可水平或垂直安装。阀板传动装置采用齿轮传动模式齿轮材质为抗静电ABS耐温至50℃。</w:t>
            </w:r>
          </w:p>
          <w:p w14:paraId="13BD0F4A">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风量测量单元为多点平均分布毕托管测流量形式，中央平均流速型，在管材、孔径及分布等方面满足欧洲工业标准，即使在不利的风道安装条件下也能精确测量风量，风量控制精度须在±5%范围内，并提供第三方检测报告。</w:t>
            </w:r>
          </w:p>
          <w:p w14:paraId="693A3CFF">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控制阀要变风量控制，阀门阻力低，最小工作压差20Pa，最高达1000Pa，使得运行经济可靠；</w:t>
            </w:r>
          </w:p>
          <w:p w14:paraId="442D6BB3">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毕托管测压管采用铝合金材料制成，测压孔径为3mm，保证测量精度的同时具备不易堵塞等特点，提高变风量调节阀的运行稳定性。</w:t>
            </w:r>
          </w:p>
          <w:p w14:paraId="195ABB56">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阀片材质要求为高强度合金铝型材，表面采用喷砂阳极氧化处理，耐腐蚀。阀片为对开多叶型，采用封闭式咬合齿轮传动对开调节形式，具有良好的气流特性，周边光滑平整。齿轮材料为抗静电塑料（ABS）。</w:t>
            </w:r>
          </w:p>
          <w:p w14:paraId="60511695">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轴承位置采用”O”型密封圈降低泄漏量且阀轴须有明显的标记，以指示阀片的转动位置，采用粘贴胶纸指示阀体位置的方法将不被接受。</w:t>
            </w:r>
          </w:p>
          <w:p w14:paraId="15FD7067">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方形阀体采用机械连接方式，连接处采用先进的冷铆技术以提高箱体整体强度和减少漏风率，铆接间距小于50mm，以保证箱体密封性和连接的可靠性。风阀可以根据要求完全关闭，风阀在关闭状态下具有良好的气密性，阀片关闭时的漏风量满足DIN EN 1751等级1标准。</w:t>
            </w:r>
          </w:p>
          <w:p w14:paraId="1D7BFA1B">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▲阀门耐压1000Pa，流量比值不小于5:1。</w:t>
            </w:r>
          </w:p>
          <w:p w14:paraId="2FCBBDF4">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风量阀的噪声必须维持在一定的限度内。所有的声学测试应在噪声回响室内测得，对设备的气流噪声和辐射噪声测试结果，应将100~200Pa时，从63Hz～4000Hz波段的噪声均列出表格。</w:t>
            </w:r>
          </w:p>
          <w:p w14:paraId="3ACCEB1C">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提供详细的阀体结构尺寸图纸或者样本，包含（但不限于）：法兰孔径、法兰尺寸、阀体压损、阀体噪声、风量范围以及安装方式说明等。</w:t>
            </w:r>
          </w:p>
          <w:p w14:paraId="3F793C75">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变风量阀生产厂家必须拥有经认证的风量标定测试台，每个定风量调节阀在出厂前都必须100%经过风量标定，以保证正常使用和风量控制的精确，并提供工厂标定报告，严禁OEM代工及标定。</w:t>
            </w:r>
          </w:p>
          <w:p w14:paraId="3CCCCC96">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TVJ-EASY为压力无关型闭环控制风阀，Easy控制器为简易型控制器，可依据用户不同的接线方式实现不同的控制需求，既可作变风量使用，又可实现全开或者密闭关断的作用，同时也既可做定风量用，又可作双位定风量用。</w:t>
            </w:r>
          </w:p>
          <w:p w14:paraId="3FDD3640">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EASY型控制器为一体式控制器，自带一组模拟量输入输出信号（本体自带1个AI点输入接口和1个AO点输出接口），可实现0-10VDC模拟量信号的风量设定和反馈输出。</w:t>
            </w:r>
          </w:p>
          <w:p w14:paraId="1901F1FE">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EASY控制器本体自带运行功能指示灯，可就地巡检阀门运行状态。</w:t>
            </w:r>
          </w:p>
          <w:p w14:paraId="4CB0F1A0">
            <w:pPr>
              <w:numPr>
                <w:ilvl w:val="0"/>
                <w:numId w:val="24"/>
              </w:numPr>
              <w:spacing w:before="49" w:line="252" w:lineRule="auto"/>
              <w:jc w:val="both"/>
              <w:rPr>
                <w:rFonts w:ascii="宋体" w:hAnsi="宋体" w:eastAsia="宋体" w:cs="宋体"/>
                <w:spacing w:val="-1"/>
                <w:lang w:eastAsia="zh-CN"/>
              </w:rPr>
            </w:pPr>
            <w:r>
              <w:rPr>
                <w:rFonts w:hint="eastAsia" w:ascii="宋体" w:hAnsi="宋体" w:eastAsia="宋体" w:cs="宋体"/>
                <w:spacing w:val="-1"/>
                <w:lang w:eastAsia="zh-CN"/>
              </w:rPr>
              <w:t>EASY控制器控制器风量的切换设定值可通过手动用螺丝刀调节风量范围旋钮进行设定，无需使用调节仪。</w:t>
            </w:r>
          </w:p>
        </w:tc>
        <w:tc>
          <w:tcPr>
            <w:tcW w:w="886" w:type="dxa"/>
          </w:tcPr>
          <w:p w14:paraId="5653D446">
            <w:pPr>
              <w:pStyle w:val="195"/>
              <w:rPr>
                <w:rFonts w:ascii="宋体" w:hAnsi="宋体" w:eastAsia="宋体" w:cs="宋体"/>
                <w:lang w:eastAsia="zh-CN"/>
              </w:rPr>
            </w:pPr>
          </w:p>
        </w:tc>
        <w:tc>
          <w:tcPr>
            <w:tcW w:w="863" w:type="dxa"/>
          </w:tcPr>
          <w:p w14:paraId="74250790">
            <w:pPr>
              <w:pStyle w:val="195"/>
              <w:rPr>
                <w:rFonts w:ascii="宋体" w:hAnsi="宋体" w:eastAsia="宋体" w:cs="宋体"/>
                <w:lang w:eastAsia="zh-CN"/>
              </w:rPr>
            </w:pPr>
          </w:p>
        </w:tc>
      </w:tr>
      <w:tr w14:paraId="41733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85" w:type="dxa"/>
          </w:tcPr>
          <w:p w14:paraId="5FCFE2E0">
            <w:pPr>
              <w:spacing w:before="231" w:line="241" w:lineRule="auto"/>
              <w:ind w:left="275"/>
              <w:rPr>
                <w:rFonts w:ascii="宋体" w:hAnsi="宋体" w:eastAsia="宋体" w:cs="宋体"/>
                <w:lang w:eastAsia="zh-CN"/>
              </w:rPr>
            </w:pPr>
            <w:r>
              <w:rPr>
                <w:rFonts w:hint="eastAsia" w:ascii="宋体" w:hAnsi="宋体" w:eastAsia="宋体" w:cs="宋体"/>
                <w:lang w:eastAsia="zh-CN"/>
              </w:rPr>
              <w:t>21</w:t>
            </w:r>
          </w:p>
        </w:tc>
        <w:tc>
          <w:tcPr>
            <w:tcW w:w="1219" w:type="dxa"/>
          </w:tcPr>
          <w:p w14:paraId="459FB47A">
            <w:pPr>
              <w:spacing w:before="49" w:line="252" w:lineRule="auto"/>
              <w:ind w:left="133" w:hanging="69"/>
              <w:jc w:val="both"/>
              <w:rPr>
                <w:rFonts w:ascii="宋体" w:hAnsi="宋体" w:eastAsia="宋体" w:cs="宋体"/>
                <w:spacing w:val="-1"/>
                <w:lang w:eastAsia="zh-CN"/>
              </w:rPr>
            </w:pPr>
          </w:p>
        </w:tc>
        <w:tc>
          <w:tcPr>
            <w:tcW w:w="1300" w:type="dxa"/>
          </w:tcPr>
          <w:p w14:paraId="6ACCBF98">
            <w:pPr>
              <w:spacing w:before="49" w:line="252" w:lineRule="auto"/>
              <w:ind w:left="133" w:hanging="69"/>
              <w:rPr>
                <w:rFonts w:ascii="宋体" w:hAnsi="宋体" w:eastAsia="宋体" w:cs="宋体"/>
                <w:spacing w:val="-1"/>
                <w:lang w:eastAsia="zh-CN"/>
              </w:rPr>
            </w:pPr>
            <w:r>
              <w:rPr>
                <w:rFonts w:hint="eastAsia" w:ascii="宋体" w:hAnsi="宋体" w:eastAsia="宋体" w:cs="宋体"/>
                <w:spacing w:val="-1"/>
                <w:lang w:eastAsia="zh-CN"/>
              </w:rPr>
              <w:t>玻璃钢排风机</w:t>
            </w:r>
          </w:p>
        </w:tc>
        <w:tc>
          <w:tcPr>
            <w:tcW w:w="608" w:type="dxa"/>
          </w:tcPr>
          <w:p w14:paraId="76688F43">
            <w:pPr>
              <w:spacing w:before="49" w:line="252" w:lineRule="auto"/>
              <w:ind w:left="133" w:hanging="69"/>
              <w:jc w:val="both"/>
              <w:rPr>
                <w:rFonts w:ascii="宋体" w:hAnsi="宋体" w:eastAsia="宋体" w:cs="宋体"/>
                <w:spacing w:val="-1"/>
                <w:lang w:eastAsia="zh-CN"/>
              </w:rPr>
            </w:pPr>
          </w:p>
        </w:tc>
        <w:tc>
          <w:tcPr>
            <w:tcW w:w="1566" w:type="dxa"/>
          </w:tcPr>
          <w:p w14:paraId="2324B198">
            <w:pPr>
              <w:spacing w:before="49" w:line="252" w:lineRule="auto"/>
              <w:ind w:left="133" w:hanging="69"/>
              <w:jc w:val="both"/>
              <w:rPr>
                <w:rFonts w:ascii="宋体" w:hAnsi="宋体" w:eastAsia="宋体" w:cs="宋体"/>
                <w:spacing w:val="-1"/>
                <w:lang w:eastAsia="zh-CN"/>
              </w:rPr>
            </w:pPr>
          </w:p>
        </w:tc>
        <w:tc>
          <w:tcPr>
            <w:tcW w:w="7769" w:type="dxa"/>
          </w:tcPr>
          <w:p w14:paraId="0C55004C">
            <w:pPr>
              <w:pStyle w:val="196"/>
              <w:numPr>
                <w:ilvl w:val="0"/>
                <w:numId w:val="25"/>
              </w:numPr>
              <w:rPr>
                <w:rFonts w:hint="default" w:ascii="宋体" w:hAnsi="宋体" w:eastAsia="宋体" w:cs="宋体"/>
              </w:rPr>
            </w:pPr>
            <w:r>
              <w:rPr>
                <w:rFonts w:ascii="宋体" w:hAnsi="宋体" w:eastAsia="宋体" w:cs="宋体"/>
                <w:sz w:val="21"/>
              </w:rPr>
              <w:t>采用FRP 外壳：玻璃钢风机应为离心式，外壳为一体成形，乙烯基树脂, 并采用胶壳保护，机壳有孔配置，叶轮清洁方便，以减少故障。</w:t>
            </w:r>
          </w:p>
          <w:p w14:paraId="5A827057">
            <w:pPr>
              <w:pStyle w:val="196"/>
              <w:numPr>
                <w:ilvl w:val="0"/>
                <w:numId w:val="25"/>
              </w:numPr>
              <w:rPr>
                <w:rFonts w:hint="default" w:ascii="宋体" w:hAnsi="宋体" w:eastAsia="宋体" w:cs="宋体"/>
              </w:rPr>
            </w:pPr>
            <w:r>
              <w:rPr>
                <w:rFonts w:ascii="宋体" w:hAnsi="宋体" w:eastAsia="宋体" w:cs="宋体"/>
                <w:sz w:val="21"/>
              </w:rPr>
              <w:t>风机入口钟采用喇叭形状，增进流场顺畅，降低噪音及损失，入口钟叶轮之间隙小于5mm，减少性能损失，且为线接触，以减少结晶物附着于入口钟。</w:t>
            </w:r>
          </w:p>
          <w:p w14:paraId="361C02C6">
            <w:pPr>
              <w:pStyle w:val="196"/>
              <w:numPr>
                <w:ilvl w:val="0"/>
                <w:numId w:val="25"/>
              </w:numPr>
              <w:rPr>
                <w:rFonts w:hint="default" w:ascii="宋体" w:hAnsi="宋体" w:eastAsia="宋体" w:cs="宋体"/>
              </w:rPr>
            </w:pPr>
            <w:r>
              <w:rPr>
                <w:rFonts w:ascii="宋体" w:hAnsi="宋体" w:eastAsia="宋体" w:cs="宋体"/>
                <w:sz w:val="21"/>
              </w:rPr>
              <w:t>风机前盖板应增加环形补强肋，增进叶轮强度，提高叶轮安全性底扳，外壳采用螺丝预注法，减少安装维修之误差。入口钟与外壳之接触面为平面减少泄漏现象。轴心与轴承加装轴心防护,增加安全性。</w:t>
            </w:r>
          </w:p>
          <w:p w14:paraId="26685225">
            <w:pPr>
              <w:pStyle w:val="196"/>
              <w:numPr>
                <w:ilvl w:val="0"/>
                <w:numId w:val="25"/>
              </w:numPr>
              <w:rPr>
                <w:rFonts w:hint="default" w:ascii="宋体" w:hAnsi="宋体" w:eastAsia="宋体" w:cs="宋体"/>
              </w:rPr>
            </w:pPr>
            <w:r>
              <w:rPr>
                <w:rFonts w:ascii="宋体" w:hAnsi="宋体" w:eastAsia="宋体" w:cs="宋体"/>
                <w:sz w:val="21"/>
              </w:rPr>
              <w:t>电机应为滑轨式设计易于调整及更换。</w:t>
            </w:r>
          </w:p>
          <w:p w14:paraId="55757625">
            <w:pPr>
              <w:pStyle w:val="196"/>
              <w:numPr>
                <w:ilvl w:val="0"/>
                <w:numId w:val="25"/>
              </w:numPr>
              <w:rPr>
                <w:rFonts w:hint="default" w:ascii="宋体" w:hAnsi="宋体" w:eastAsia="宋体" w:cs="宋体"/>
              </w:rPr>
            </w:pPr>
            <w:r>
              <w:rPr>
                <w:rFonts w:ascii="宋体" w:hAnsi="宋体" w:eastAsia="宋体" w:cs="宋体"/>
                <w:spacing w:val="-1"/>
                <w:sz w:val="21"/>
                <w:szCs w:val="21"/>
                <w:lang w:eastAsia="zh-CN"/>
              </w:rPr>
              <w:t>▲</w:t>
            </w:r>
            <w:r>
              <w:rPr>
                <w:rFonts w:ascii="宋体" w:hAnsi="宋体" w:eastAsia="宋体" w:cs="宋体"/>
                <w:sz w:val="21"/>
              </w:rPr>
              <w:t>风机轴承：采用 NSK 轴承及严格的双层密封措施， 润滑油不外渗， 酸碱气体无法对轴承腐蚀， 油座定期更换机油，且极为方便。</w:t>
            </w:r>
          </w:p>
          <w:p w14:paraId="045E1BD4">
            <w:pPr>
              <w:pStyle w:val="196"/>
              <w:numPr>
                <w:ilvl w:val="0"/>
                <w:numId w:val="25"/>
              </w:numPr>
              <w:rPr>
                <w:rFonts w:hint="default" w:ascii="宋体" w:hAnsi="宋体" w:eastAsia="宋体" w:cs="宋体"/>
              </w:rPr>
            </w:pPr>
            <w:r>
              <w:rPr>
                <w:rFonts w:ascii="宋体" w:hAnsi="宋体" w:eastAsia="宋体" w:cs="宋体"/>
                <w:sz w:val="21"/>
              </w:rPr>
              <w:t>风机配置及材质：</w:t>
            </w:r>
          </w:p>
          <w:p w14:paraId="4C30F8DC">
            <w:pPr>
              <w:pStyle w:val="196"/>
              <w:rPr>
                <w:rFonts w:hint="default" w:ascii="宋体" w:hAnsi="宋体" w:eastAsia="宋体" w:cs="宋体"/>
              </w:rPr>
            </w:pPr>
            <w:r>
              <w:rPr>
                <w:rFonts w:ascii="宋体" w:hAnsi="宋体" w:eastAsia="宋体" w:cs="宋体"/>
                <w:sz w:val="21"/>
              </w:rPr>
              <w:t>1）风机配备：弹簧减震器，相对底座</w:t>
            </w:r>
          </w:p>
          <w:p w14:paraId="09C314F0">
            <w:pPr>
              <w:pStyle w:val="196"/>
              <w:rPr>
                <w:rFonts w:hint="default" w:ascii="宋体" w:hAnsi="宋体" w:eastAsia="宋体" w:cs="宋体"/>
              </w:rPr>
            </w:pPr>
            <w:r>
              <w:rPr>
                <w:rFonts w:ascii="宋体" w:hAnsi="宋体" w:eastAsia="宋体" w:cs="宋体"/>
                <w:sz w:val="21"/>
              </w:rPr>
              <w:t>2）外壳材质：玻璃钢制作</w:t>
            </w:r>
          </w:p>
          <w:p w14:paraId="3A04DC42">
            <w:pPr>
              <w:pStyle w:val="196"/>
              <w:rPr>
                <w:rFonts w:hint="default" w:ascii="宋体" w:hAnsi="宋体" w:eastAsia="宋体" w:cs="宋体"/>
              </w:rPr>
            </w:pPr>
            <w:r>
              <w:rPr>
                <w:rFonts w:ascii="宋体" w:hAnsi="宋体" w:eastAsia="宋体" w:cs="宋体"/>
                <w:sz w:val="21"/>
              </w:rPr>
              <w:t>3）叶轮材质：玻璃钢制作</w:t>
            </w:r>
          </w:p>
          <w:p w14:paraId="320191EB">
            <w:pPr>
              <w:pStyle w:val="196"/>
              <w:rPr>
                <w:rFonts w:hint="default" w:ascii="宋体" w:hAnsi="宋体" w:eastAsia="宋体" w:cs="宋体"/>
              </w:rPr>
            </w:pPr>
            <w:r>
              <w:rPr>
                <w:rFonts w:ascii="宋体" w:hAnsi="宋体" w:eastAsia="宋体" w:cs="宋体"/>
                <w:sz w:val="21"/>
              </w:rPr>
              <w:t>4）马达：马达电源：3相、4P、380V、50Hz、IP55、F级绝缘</w:t>
            </w:r>
          </w:p>
          <w:p w14:paraId="39746084">
            <w:pPr>
              <w:pStyle w:val="196"/>
              <w:rPr>
                <w:rFonts w:hint="default" w:ascii="宋体" w:hAnsi="宋体" w:eastAsia="宋体" w:cs="宋体"/>
              </w:rPr>
            </w:pPr>
            <w:r>
              <w:rPr>
                <w:rFonts w:ascii="宋体" w:hAnsi="宋体" w:eastAsia="宋体" w:cs="宋体"/>
                <w:sz w:val="21"/>
              </w:rPr>
              <w:t>5）传动组：高张力皮带及美式免敲击拆装式皮带轮。外露的皮带驱动装置应加安全保护外罩，并预留检查孔作为测量转速之用；</w:t>
            </w:r>
          </w:p>
          <w:p w14:paraId="2EE6FC40">
            <w:pPr>
              <w:pStyle w:val="196"/>
              <w:rPr>
                <w:rFonts w:hint="default" w:ascii="宋体" w:hAnsi="宋体" w:eastAsia="宋体" w:cs="宋体"/>
              </w:rPr>
            </w:pPr>
            <w:r>
              <w:rPr>
                <w:rFonts w:ascii="宋体" w:hAnsi="宋体" w:eastAsia="宋体" w:cs="宋体"/>
                <w:sz w:val="21"/>
              </w:rPr>
              <w:t>6）</w:t>
            </w:r>
            <w:r>
              <w:rPr>
                <w:rFonts w:ascii="宋体" w:hAnsi="宋体" w:eastAsia="宋体" w:cs="宋体"/>
                <w:spacing w:val="-1"/>
                <w:sz w:val="21"/>
                <w:szCs w:val="21"/>
                <w:lang w:eastAsia="zh-CN"/>
              </w:rPr>
              <w:t>▲</w:t>
            </w:r>
            <w:r>
              <w:rPr>
                <w:rFonts w:ascii="宋体" w:hAnsi="宋体" w:eastAsia="宋体" w:cs="宋体"/>
                <w:sz w:val="21"/>
              </w:rPr>
              <w:t>轴承组：轴承，使用寿命不少于200000小时，配有标准润滑油注入口；</w:t>
            </w:r>
          </w:p>
          <w:p w14:paraId="15039EE3">
            <w:pPr>
              <w:pStyle w:val="196"/>
              <w:rPr>
                <w:rFonts w:hint="default" w:ascii="宋体" w:hAnsi="宋体" w:eastAsia="宋体" w:cs="宋体"/>
                <w:sz w:val="21"/>
              </w:rPr>
            </w:pPr>
            <w:r>
              <w:rPr>
                <w:rFonts w:ascii="宋体" w:hAnsi="宋体" w:eastAsia="宋体" w:cs="宋体"/>
                <w:sz w:val="21"/>
              </w:rPr>
              <w:t>7）</w:t>
            </w:r>
            <w:r>
              <w:rPr>
                <w:rFonts w:ascii="宋体" w:hAnsi="宋体" w:eastAsia="宋体" w:cs="宋体"/>
                <w:spacing w:val="-1"/>
                <w:sz w:val="21"/>
                <w:szCs w:val="21"/>
                <w:lang w:eastAsia="zh-CN"/>
              </w:rPr>
              <w:t>▲</w:t>
            </w:r>
            <w:r>
              <w:rPr>
                <w:rFonts w:ascii="宋体" w:hAnsi="宋体" w:eastAsia="宋体" w:cs="宋体"/>
                <w:sz w:val="21"/>
              </w:rPr>
              <w:t>风机采用双层减震底座，不用拆地脚螺栓，可方便维护风机，风机轴封处做特殊轴封处理，防止有毒有害气体的泄露；</w:t>
            </w:r>
          </w:p>
          <w:p w14:paraId="25472F43">
            <w:pPr>
              <w:pStyle w:val="196"/>
              <w:rPr>
                <w:rFonts w:hint="default" w:ascii="宋体" w:hAnsi="宋体" w:eastAsia="宋体" w:cs="宋体"/>
                <w:sz w:val="21"/>
              </w:rPr>
            </w:pPr>
            <w:r>
              <w:rPr>
                <w:rFonts w:ascii="宋体" w:hAnsi="宋体" w:eastAsia="宋体" w:cs="宋体"/>
                <w:sz w:val="21"/>
              </w:rPr>
              <w:t>8）技术指标：要求满足或优于如下技术参数在规定测试下所对应的流量全压偏差为±5%；应进行不小于30min 机械运转试验，转动件应无擦碰等异常现象，振动速度有效值 mm/s ≤4.6；进行动平衡品质等级 G ≤2.5级 ；测试噪声(比 A 声级) dB ≤</w:t>
            </w:r>
            <w:r>
              <w:rPr>
                <w:rFonts w:ascii="宋体" w:hAnsi="宋体" w:eastAsia="宋体" w:cs="宋体"/>
                <w:sz w:val="21"/>
                <w:lang w:eastAsia="zh-CN"/>
              </w:rPr>
              <w:t>27</w:t>
            </w:r>
            <w:r>
              <w:rPr>
                <w:rFonts w:ascii="宋体" w:hAnsi="宋体" w:eastAsia="宋体" w:cs="宋体"/>
                <w:sz w:val="21"/>
              </w:rPr>
              <w:t>。</w:t>
            </w:r>
          </w:p>
          <w:p w14:paraId="55BC769E">
            <w:pPr>
              <w:pStyle w:val="196"/>
              <w:rPr>
                <w:rFonts w:hint="default" w:ascii="宋体" w:hAnsi="宋体" w:eastAsia="宋体" w:cs="宋体"/>
                <w:spacing w:val="-1"/>
                <w:sz w:val="21"/>
                <w:szCs w:val="21"/>
                <w:lang w:eastAsia="zh-CN"/>
              </w:rPr>
            </w:pPr>
            <w:r>
              <w:rPr>
                <w:rFonts w:ascii="宋体" w:hAnsi="宋体" w:eastAsia="宋体" w:cs="宋体"/>
                <w:sz w:val="21"/>
                <w:lang w:eastAsia="zh-CN"/>
              </w:rPr>
              <w:t>（7）</w:t>
            </w:r>
            <w:r>
              <w:rPr>
                <w:rFonts w:ascii="宋体" w:hAnsi="宋体" w:eastAsia="宋体" w:cs="宋体"/>
                <w:spacing w:val="-1"/>
                <w:sz w:val="21"/>
                <w:szCs w:val="21"/>
                <w:lang w:eastAsia="zh-CN"/>
              </w:rPr>
              <w:t>▲</w:t>
            </w:r>
            <w:r>
              <w:rPr>
                <w:rFonts w:ascii="宋体" w:hAnsi="宋体" w:eastAsia="宋体" w:cs="宋体"/>
                <w:bCs/>
                <w:sz w:val="21"/>
              </w:rPr>
              <w:t>需提供满足或优于此要求的第三方出具的具有CMA或CNAS的检测报告扫描件或复印件并加盖供应商公章作为证明材料。</w:t>
            </w:r>
          </w:p>
        </w:tc>
        <w:tc>
          <w:tcPr>
            <w:tcW w:w="886" w:type="dxa"/>
          </w:tcPr>
          <w:p w14:paraId="41AF3FC0">
            <w:pPr>
              <w:pStyle w:val="195"/>
              <w:rPr>
                <w:rFonts w:ascii="宋体" w:hAnsi="宋体" w:eastAsia="宋体" w:cs="宋体"/>
                <w:lang w:eastAsia="zh-CN"/>
              </w:rPr>
            </w:pPr>
          </w:p>
        </w:tc>
        <w:tc>
          <w:tcPr>
            <w:tcW w:w="863" w:type="dxa"/>
          </w:tcPr>
          <w:p w14:paraId="732ADD6D">
            <w:pPr>
              <w:pStyle w:val="195"/>
              <w:rPr>
                <w:rFonts w:ascii="宋体" w:hAnsi="宋体" w:eastAsia="宋体" w:cs="宋体"/>
                <w:lang w:eastAsia="zh-CN"/>
              </w:rPr>
            </w:pPr>
          </w:p>
        </w:tc>
      </w:tr>
    </w:tbl>
    <w:p w14:paraId="2CE42762">
      <w:pPr>
        <w:pStyle w:val="13"/>
        <w:rPr>
          <w:rFonts w:ascii="宋体" w:hAnsi="宋体" w:cs="宋体"/>
          <w:b/>
          <w:sz w:val="28"/>
          <w:highlight w:val="none"/>
        </w:rPr>
      </w:pPr>
    </w:p>
    <w:p w14:paraId="6BC2E744">
      <w:pPr>
        <w:rPr>
          <w:rFonts w:ascii="宋体" w:hAnsi="宋体" w:cs="宋体"/>
          <w:b/>
          <w:sz w:val="28"/>
          <w:highlight w:val="none"/>
        </w:rPr>
        <w:sectPr>
          <w:pgSz w:w="16838" w:h="11905" w:orient="landscape"/>
          <w:pgMar w:top="1247" w:right="1247" w:bottom="1247" w:left="1247" w:header="567" w:footer="850" w:gutter="0"/>
          <w:pgBorders>
            <w:top w:val="none" w:sz="0" w:space="0"/>
            <w:left w:val="none" w:sz="0" w:space="0"/>
            <w:bottom w:val="none" w:sz="0" w:space="0"/>
            <w:right w:val="none" w:sz="0" w:space="0"/>
          </w:pgBorders>
          <w:cols w:space="720" w:num="1"/>
          <w:docGrid w:type="lines" w:linePitch="312" w:charSpace="0"/>
        </w:sectPr>
      </w:pPr>
    </w:p>
    <w:p w14:paraId="69868A64">
      <w:pPr>
        <w:pStyle w:val="13"/>
        <w:rPr>
          <w:highlight w:val="none"/>
        </w:rPr>
      </w:pPr>
    </w:p>
    <w:p w14:paraId="1E4E203B">
      <w:pPr>
        <w:autoSpaceDE w:val="0"/>
        <w:autoSpaceDN w:val="0"/>
        <w:adjustRightInd w:val="0"/>
        <w:spacing w:line="360" w:lineRule="auto"/>
        <w:jc w:val="left"/>
        <w:rPr>
          <w:rFonts w:ascii="宋体" w:hAnsi="宋体" w:cs="宋体"/>
          <w:b/>
          <w:sz w:val="28"/>
          <w:highlight w:val="none"/>
        </w:rPr>
      </w:pPr>
      <w:r>
        <w:rPr>
          <w:rFonts w:hint="eastAsia" w:ascii="宋体" w:hAnsi="宋体" w:cs="宋体"/>
          <w:b/>
          <w:sz w:val="28"/>
          <w:highlight w:val="none"/>
        </w:rPr>
        <w:t>格式</w:t>
      </w:r>
      <w:r>
        <w:rPr>
          <w:rFonts w:hint="eastAsia" w:ascii="宋体" w:hAnsi="宋体" w:cs="宋体"/>
          <w:b/>
          <w:sz w:val="28"/>
          <w:highlight w:val="none"/>
          <w:lang w:val="en-US" w:eastAsia="zh-CN"/>
        </w:rPr>
        <w:t>11</w:t>
      </w:r>
      <w:r>
        <w:rPr>
          <w:rFonts w:hint="eastAsia" w:ascii="宋体" w:hAnsi="宋体" w:cs="宋体"/>
          <w:b/>
          <w:sz w:val="28"/>
          <w:highlight w:val="none"/>
        </w:rPr>
        <w:t>：</w:t>
      </w:r>
    </w:p>
    <w:p w14:paraId="0A912A82">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投标人认为应该提供的其他资料</w:t>
      </w:r>
    </w:p>
    <w:p w14:paraId="5E75768D">
      <w:pPr>
        <w:spacing w:line="400" w:lineRule="exact"/>
        <w:jc w:val="center"/>
        <w:rPr>
          <w:rFonts w:ascii="宋体" w:hAnsi="宋体" w:cs="宋体"/>
          <w:b/>
          <w:bCs/>
          <w:sz w:val="28"/>
          <w:highlight w:val="none"/>
        </w:rPr>
      </w:pPr>
    </w:p>
    <w:p w14:paraId="33854A3D">
      <w:pPr>
        <w:spacing w:line="400" w:lineRule="exact"/>
        <w:jc w:val="center"/>
        <w:rPr>
          <w:rFonts w:ascii="宋体" w:hAnsi="宋体" w:cs="宋体"/>
          <w:b/>
          <w:bCs/>
          <w:sz w:val="28"/>
          <w:highlight w:val="none"/>
        </w:rPr>
      </w:pPr>
      <w:r>
        <w:rPr>
          <w:rFonts w:hint="eastAsia" w:ascii="宋体" w:hAnsi="宋体" w:cs="宋体"/>
          <w:b/>
          <w:bCs/>
          <w:sz w:val="28"/>
          <w:highlight w:val="none"/>
        </w:rPr>
        <w:t>（格式自拟）</w:t>
      </w:r>
      <w:bookmarkEnd w:id="1102"/>
      <w:bookmarkEnd w:id="1103"/>
      <w:bookmarkEnd w:id="1104"/>
      <w:bookmarkEnd w:id="1105"/>
      <w:bookmarkEnd w:id="1106"/>
    </w:p>
    <w:bookmarkEnd w:id="974"/>
    <w:bookmarkEnd w:id="1083"/>
    <w:bookmarkEnd w:id="1084"/>
    <w:bookmarkEnd w:id="1085"/>
    <w:bookmarkEnd w:id="1086"/>
    <w:bookmarkEnd w:id="1087"/>
    <w:bookmarkEnd w:id="1088"/>
    <w:bookmarkEnd w:id="1089"/>
    <w:bookmarkEnd w:id="1090"/>
    <w:bookmarkEnd w:id="1091"/>
    <w:bookmarkEnd w:id="1092"/>
    <w:bookmarkEnd w:id="1093"/>
    <w:bookmarkEnd w:id="1094"/>
    <w:p w14:paraId="09D5A16F">
      <w:pPr>
        <w:pStyle w:val="22"/>
        <w:rPr>
          <w:rFonts w:hAnsi="宋体" w:cs="宋体"/>
          <w:highlight w:val="none"/>
        </w:rPr>
      </w:pPr>
    </w:p>
    <w:sectPr>
      <w:pgSz w:w="11905" w:h="16838"/>
      <w:pgMar w:top="1247" w:right="1247" w:bottom="1247" w:left="1247" w:header="567" w:footer="85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5D21A">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5D05F">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B5F6">
    <w:pPr>
      <w:pStyle w:val="27"/>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55905" cy="169545"/>
              <wp:effectExtent l="0" t="0" r="0" b="0"/>
              <wp:wrapNone/>
              <wp:docPr id="2"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255905" cy="169545"/>
                      </a:xfrm>
                      <a:prstGeom prst="rect">
                        <a:avLst/>
                      </a:prstGeom>
                      <a:noFill/>
                      <a:ln>
                        <a:noFill/>
                      </a:ln>
                      <a:effectLst/>
                    </wps:spPr>
                    <wps:txbx>
                      <w:txbxContent>
                        <w:p w14:paraId="3C4C8BE3">
                          <w:pPr>
                            <w:pStyle w:val="27"/>
                          </w:pPr>
                          <w:r>
                            <w:rPr>
                              <w:rFonts w:hint="eastAsia"/>
                            </w:rPr>
                            <w:fldChar w:fldCharType="begin"/>
                          </w:r>
                          <w:r>
                            <w:rPr>
                              <w:rFonts w:hint="eastAsia"/>
                            </w:rPr>
                            <w:instrText xml:space="preserve"> PAGE  \* MERGEFORMAT </w:instrText>
                          </w:r>
                          <w:r>
                            <w:rPr>
                              <w:rFonts w:hint="eastAsia"/>
                            </w:rPr>
                            <w:fldChar w:fldCharType="separate"/>
                          </w:r>
                          <w:r>
                            <w:rPr>
                              <w:lang w:val="en-US"/>
                            </w:rPr>
                            <w:t>30</w:t>
                          </w:r>
                          <w:r>
                            <w:rPr>
                              <w:rFonts w:hint="eastAsia"/>
                            </w:rPr>
                            <w:fldChar w:fldCharType="end"/>
                          </w:r>
                        </w:p>
                      </w:txbxContent>
                    </wps:txbx>
                    <wps:bodyPr rot="0" vert="horz" wrap="square" lIns="0" tIns="0" rIns="0" bIns="0" anchor="t" anchorCtr="0" upright="1">
                      <a:noAutofit/>
                    </wps:bodyPr>
                  </wps:wsp>
                </a:graphicData>
              </a:graphic>
            </wp:anchor>
          </w:drawing>
        </mc:Choice>
        <mc:Fallback>
          <w:pict>
            <v:shape id="文本框 1027" o:spid="_x0000_s1026" o:spt="202" type="#_x0000_t202" style="position:absolute;left:0pt;margin-top:0pt;height:13.35pt;width:20.15pt;mso-position-horizontal:center;mso-position-horizontal-relative:margin;z-index:251662336;mso-width-relative:page;mso-height-relative:page;" filled="f" stroked="f" coordsize="21600,21600" o:gfxdata="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N3MfjUAAAAAwEAAA8AAAAAAAAA&#10;AQAgAAAAIgAAAGRycy9kb3ducmV2LnhtbFBLAQIUABQAAAAIAIdO4kDFgvLnFQIAABUEAAAOAAAA&#10;AAAAAAEAIAAAACMBAABkcnMvZTJvRG9jLnhtbFBLBQYAAAAABgAGAFkBAACqBQAAAAA=&#10;">
              <v:fill on="f" focussize="0,0"/>
              <v:stroke on="f"/>
              <v:imagedata o:title=""/>
              <o:lock v:ext="edit" aspectratio="f"/>
              <v:textbox inset="0mm,0mm,0mm,0mm">
                <w:txbxContent>
                  <w:p w14:paraId="3C4C8BE3">
                    <w:pPr>
                      <w:pStyle w:val="27"/>
                    </w:pPr>
                    <w:r>
                      <w:rPr>
                        <w:rFonts w:hint="eastAsia"/>
                      </w:rPr>
                      <w:fldChar w:fldCharType="begin"/>
                    </w:r>
                    <w:r>
                      <w:rPr>
                        <w:rFonts w:hint="eastAsia"/>
                      </w:rPr>
                      <w:instrText xml:space="preserve"> PAGE  \* MERGEFORMAT </w:instrText>
                    </w:r>
                    <w:r>
                      <w:rPr>
                        <w:rFonts w:hint="eastAsia"/>
                      </w:rPr>
                      <w:fldChar w:fldCharType="separate"/>
                    </w:r>
                    <w:r>
                      <w:rPr>
                        <w:lang w:val="en-US"/>
                      </w:rPr>
                      <w:t>30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65B5">
    <w:pPr>
      <w:pStyle w:val="28"/>
      <w:pBdr>
        <w:bottom w:val="none" w:color="auto" w:sz="0" w:space="0"/>
      </w:pBdr>
      <w:ind w:firstLine="360"/>
      <w:jc w:val="both"/>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7"/>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13A351C0">
                          <w:pPr>
                            <w:pStyle w:val="27"/>
                            <w:ind w:firstLine="360"/>
                          </w:pPr>
                          <w:r>
                            <w:fldChar w:fldCharType="begin"/>
                          </w:r>
                          <w:r>
                            <w:instrText xml:space="preserve"> PAGE  \* MERGEFORMAT </w:instrText>
                          </w:r>
                          <w:r>
                            <w:fldChar w:fldCharType="separate"/>
                          </w:r>
                          <w:r>
                            <w:t>41</w:t>
                          </w:r>
                          <w:r>
                            <w:fldChar w:fldCharType="end"/>
                          </w:r>
                        </w:p>
                      </w:txbxContent>
                    </wps:txbx>
                    <wps:bodyPr wrap="none" lIns="0" tIns="0" rIns="0" bIns="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YulhTQAAAAAwEAAA8AAAAAAAAAAQAgAAAAIgAAAGRycy9kb3ducmV2LnhtbFBLAQIUABQA&#10;AAAIAIdO4kBjia2FvwEAAJYDAAAOAAAAAAAAAAEAIAAAAB8BAABkcnMvZTJvRG9jLnhtbFBLBQYA&#10;AAAABgAGAFkBAABQBQAAAAA=&#10;">
              <v:fill on="f" focussize="0,0"/>
              <v:stroke on="f"/>
              <v:imagedata o:title=""/>
              <o:lock v:ext="edit" aspectratio="f"/>
              <v:textbox inset="0mm,0mm,0mm,0mm" style="mso-fit-shape-to-text:t;">
                <w:txbxContent>
                  <w:p w14:paraId="13A351C0">
                    <w:pPr>
                      <w:pStyle w:val="27"/>
                      <w:ind w:firstLine="36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E4A12">
    <w:pPr>
      <w:spacing w:line="360" w:lineRule="auto"/>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1312" behindDoc="0" locked="0" layoutInCell="1" allowOverlap="1">
              <wp:simplePos x="0" y="0"/>
              <wp:positionH relativeFrom="margin">
                <wp:posOffset>2679700</wp:posOffset>
              </wp:positionH>
              <wp:positionV relativeFrom="paragraph">
                <wp:posOffset>76835</wp:posOffset>
              </wp:positionV>
              <wp:extent cx="533400" cy="163195"/>
              <wp:effectExtent l="0" t="0" r="0" b="0"/>
              <wp:wrapNone/>
              <wp:docPr id="6" name="文本框 11"/>
              <wp:cNvGraphicFramePr/>
              <a:graphic xmlns:a="http://schemas.openxmlformats.org/drawingml/2006/main">
                <a:graphicData uri="http://schemas.microsoft.com/office/word/2010/wordprocessingShape">
                  <wps:wsp>
                    <wps:cNvSpPr txBox="1"/>
                    <wps:spPr>
                      <a:xfrm>
                        <a:off x="0" y="0"/>
                        <a:ext cx="533400" cy="163195"/>
                      </a:xfrm>
                      <a:prstGeom prst="rect">
                        <a:avLst/>
                      </a:prstGeom>
                      <a:noFill/>
                      <a:ln>
                        <a:noFill/>
                      </a:ln>
                    </wps:spPr>
                    <wps:txbx>
                      <w:txbxContent>
                        <w:p w14:paraId="5F934DEE">
                          <w:pPr>
                            <w:spacing w:line="360" w:lineRule="auto"/>
                            <w:ind w:firstLine="629"/>
                            <w:jc w:val="both"/>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48</w:t>
                          </w:r>
                          <w:r>
                            <w:rPr>
                              <w:rFonts w:eastAsia="仿宋_GB2312"/>
                              <w:color w:val="000000"/>
                              <w:szCs w:val="21"/>
                            </w:rPr>
                            <w:fldChar w:fldCharType="end"/>
                          </w:r>
                        </w:p>
                      </w:txbxContent>
                    </wps:txbx>
                    <wps:bodyPr wrap="none" lIns="0" tIns="0" rIns="0" bIns="0" upright="1"/>
                  </wps:wsp>
                </a:graphicData>
              </a:graphic>
            </wp:anchor>
          </w:drawing>
        </mc:Choice>
        <mc:Fallback>
          <w:pict>
            <v:shape id="文本框 11" o:spid="_x0000_s1026" o:spt="202" type="#_x0000_t202" style="position:absolute;left:0pt;margin-left:211pt;margin-top:6.05pt;height:12.85pt;width:42pt;mso-position-horizontal-relative:margin;mso-wrap-style:none;z-index:251661312;mso-width-relative:page;mso-height-relative:page;" filled="f" stroked="f" coordsize="21600,21600" o:gfxdata="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5/Fzl1gAAAAkBAAAPAAAAAAAAAAEAIAAAACIAAABkcnMvZG93bnJldi54&#10;bWxQSwECFAAUAAAACACHTuJAN0g5LsMBAAB+AwAADgAAAAAAAAABACAAAAAlAQAAZHJzL2Uyb0Rv&#10;Yy54bWxQSwUGAAAAAAYABgBZAQAAWgUAAAAA&#10;">
              <v:fill on="f" focussize="0,0"/>
              <v:stroke on="f"/>
              <v:imagedata o:title=""/>
              <o:lock v:ext="edit" aspectratio="f"/>
              <v:textbox inset="0mm,0mm,0mm,0mm">
                <w:txbxContent>
                  <w:p w14:paraId="5F934DEE">
                    <w:pPr>
                      <w:spacing w:line="360" w:lineRule="auto"/>
                      <w:ind w:firstLine="629"/>
                      <w:jc w:val="both"/>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48</w:t>
                    </w:r>
                    <w:r>
                      <w:rPr>
                        <w:rFonts w:eastAsia="仿宋_GB2312"/>
                        <w:color w:val="000000"/>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32839">
    <w:pPr>
      <w:pStyle w:val="27"/>
      <w:jc w:val="center"/>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690BC1A7">
                          <w:pPr>
                            <w:pStyle w:val="27"/>
                          </w:pPr>
                          <w:r>
                            <w:rPr>
                              <w:rFonts w:hint="eastAsia"/>
                            </w:rPr>
                            <w:fldChar w:fldCharType="begin"/>
                          </w:r>
                          <w:r>
                            <w:rPr>
                              <w:rFonts w:hint="eastAsia"/>
                            </w:rPr>
                            <w:instrText xml:space="preserve"> PAGE  \* MERGEFORMAT </w:instrText>
                          </w:r>
                          <w:r>
                            <w:rPr>
                              <w:rFonts w:hint="eastAsia"/>
                            </w:rPr>
                            <w:fldChar w:fldCharType="separate"/>
                          </w:r>
                          <w:r>
                            <w:rPr>
                              <w:lang w:val="en-US"/>
                            </w:rPr>
                            <w:t>60</w:t>
                          </w:r>
                          <w:r>
                            <w:rPr>
                              <w:rFonts w:hint="eastAsia"/>
                            </w:rPr>
                            <w:fldChar w:fldCharType="end"/>
                          </w:r>
                        </w:p>
                      </w:txbxContent>
                    </wps:txbx>
                    <wps:bodyPr wrap="none" lIns="0" tIns="0" rIns="0" bIns="0">
                      <a:spAutoFit/>
                    </wps:bodyPr>
                  </wps:wsp>
                </a:graphicData>
              </a:graphic>
            </wp:anchor>
          </w:drawing>
        </mc:Choice>
        <mc:Fallback>
          <w:pict>
            <v:shape id="文本框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ZXek0zgEAAJwDAAAOAAAAAAAAAAEAIAAAAB8BAABkcnMv&#10;ZTJvRG9jLnhtbFBLBQYAAAAABgAGAFkBAABfBQAAAAA=&#10;">
              <v:fill on="f" focussize="0,0"/>
              <v:stroke on="f"/>
              <v:imagedata o:title=""/>
              <o:lock v:ext="edit" aspectratio="f"/>
              <v:textbox inset="0mm,0mm,0mm,0mm" style="mso-fit-shape-to-text:t;">
                <w:txbxContent>
                  <w:p w14:paraId="690BC1A7">
                    <w:pPr>
                      <w:pStyle w:val="27"/>
                    </w:pPr>
                    <w:r>
                      <w:rPr>
                        <w:rFonts w:hint="eastAsia"/>
                      </w:rPr>
                      <w:fldChar w:fldCharType="begin"/>
                    </w:r>
                    <w:r>
                      <w:rPr>
                        <w:rFonts w:hint="eastAsia"/>
                      </w:rPr>
                      <w:instrText xml:space="preserve"> PAGE  \* MERGEFORMAT </w:instrText>
                    </w:r>
                    <w:r>
                      <w:rPr>
                        <w:rFonts w:hint="eastAsia"/>
                      </w:rPr>
                      <w:fldChar w:fldCharType="separate"/>
                    </w:r>
                    <w:r>
                      <w:rPr>
                        <w:lang w:val="en-US"/>
                      </w:rPr>
                      <w:t>60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EB17E">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13B5E">
    <w:pPr>
      <w:pStyle w:val="2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059FC">
    <w:pPr>
      <w:pStyle w:val="2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4E392">
    <w:pPr>
      <w:pStyle w:val="28"/>
      <w:pBdr>
        <w:bottom w:val="none" w:color="auto" w:sz="0" w:space="0"/>
      </w:pBdr>
      <w:ind w:firstLine="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05ED3">
    <w:pPr>
      <w:ind w:firstLine="420" w:firstLineChars="200"/>
      <w:jc w:val="right"/>
      <w:rPr>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3B5F6">
    <w:pPr>
      <w:pStyle w:val="17"/>
      <w:tabs>
        <w:tab w:val="left" w:pos="3240"/>
      </w:tabs>
      <w:kinsoku w:val="0"/>
      <w:overflowPunct w:val="0"/>
      <w:spacing w:line="14" w:lineRule="auto"/>
      <w:rPr>
        <w:sz w:val="20"/>
      </w:rPr>
    </w:pPr>
    <w:r>
      <w:rPr>
        <w:rFonts w:hint="eastAsia"/>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9DE31"/>
    <w:multiLevelType w:val="singleLevel"/>
    <w:tmpl w:val="88D9DE31"/>
    <w:lvl w:ilvl="0" w:tentative="0">
      <w:start w:val="1"/>
      <w:numFmt w:val="decimal"/>
      <w:lvlText w:val="(%1)"/>
      <w:lvlJc w:val="left"/>
      <w:pPr>
        <w:ind w:left="425" w:hanging="425"/>
      </w:pPr>
      <w:rPr>
        <w:rFonts w:hint="default"/>
      </w:rPr>
    </w:lvl>
  </w:abstractNum>
  <w:abstractNum w:abstractNumId="1">
    <w:nsid w:val="898AADBF"/>
    <w:multiLevelType w:val="singleLevel"/>
    <w:tmpl w:val="898AADBF"/>
    <w:lvl w:ilvl="0" w:tentative="0">
      <w:start w:val="1"/>
      <w:numFmt w:val="decimal"/>
      <w:lvlText w:val="(%1)"/>
      <w:lvlJc w:val="left"/>
      <w:pPr>
        <w:ind w:left="425" w:hanging="425"/>
      </w:pPr>
      <w:rPr>
        <w:rFonts w:hint="default" w:ascii="宋体" w:hAnsi="宋体" w:eastAsia="宋体" w:cs="宋体"/>
      </w:rPr>
    </w:lvl>
  </w:abstractNum>
  <w:abstractNum w:abstractNumId="2">
    <w:nsid w:val="8D27E44B"/>
    <w:multiLevelType w:val="singleLevel"/>
    <w:tmpl w:val="8D27E44B"/>
    <w:lvl w:ilvl="0" w:tentative="0">
      <w:start w:val="1"/>
      <w:numFmt w:val="decimal"/>
      <w:lvlText w:val="(%1)"/>
      <w:lvlJc w:val="left"/>
      <w:pPr>
        <w:ind w:left="425" w:hanging="425"/>
      </w:pPr>
      <w:rPr>
        <w:rFonts w:hint="default" w:ascii="宋体" w:hAnsi="宋体" w:eastAsia="宋体" w:cs="宋体"/>
      </w:rPr>
    </w:lvl>
  </w:abstractNum>
  <w:abstractNum w:abstractNumId="3">
    <w:nsid w:val="939F75F9"/>
    <w:multiLevelType w:val="singleLevel"/>
    <w:tmpl w:val="939F75F9"/>
    <w:lvl w:ilvl="0" w:tentative="0">
      <w:start w:val="1"/>
      <w:numFmt w:val="decimal"/>
      <w:lvlText w:val="(%1)"/>
      <w:lvlJc w:val="left"/>
      <w:pPr>
        <w:ind w:left="425" w:hanging="425"/>
      </w:pPr>
      <w:rPr>
        <w:rFonts w:hint="default"/>
      </w:rPr>
    </w:lvl>
  </w:abstractNum>
  <w:abstractNum w:abstractNumId="4">
    <w:nsid w:val="96CA06C7"/>
    <w:multiLevelType w:val="singleLevel"/>
    <w:tmpl w:val="96CA06C7"/>
    <w:lvl w:ilvl="0" w:tentative="0">
      <w:start w:val="1"/>
      <w:numFmt w:val="decimal"/>
      <w:lvlText w:val="(%1)"/>
      <w:lvlJc w:val="left"/>
      <w:pPr>
        <w:tabs>
          <w:tab w:val="left" w:pos="0"/>
        </w:tabs>
        <w:ind w:left="425" w:hanging="425"/>
      </w:pPr>
      <w:rPr>
        <w:rFonts w:hint="default"/>
      </w:rPr>
    </w:lvl>
  </w:abstractNum>
  <w:abstractNum w:abstractNumId="5">
    <w:nsid w:val="99AE08B6"/>
    <w:multiLevelType w:val="singleLevel"/>
    <w:tmpl w:val="99AE08B6"/>
    <w:lvl w:ilvl="0" w:tentative="0">
      <w:start w:val="1"/>
      <w:numFmt w:val="decimal"/>
      <w:lvlText w:val="(%1)"/>
      <w:lvlJc w:val="left"/>
      <w:pPr>
        <w:ind w:left="425" w:hanging="425"/>
      </w:pPr>
      <w:rPr>
        <w:rFonts w:hint="default"/>
      </w:rPr>
    </w:lvl>
  </w:abstractNum>
  <w:abstractNum w:abstractNumId="6">
    <w:nsid w:val="A3215829"/>
    <w:multiLevelType w:val="singleLevel"/>
    <w:tmpl w:val="A3215829"/>
    <w:lvl w:ilvl="0" w:tentative="0">
      <w:start w:val="1"/>
      <w:numFmt w:val="decimal"/>
      <w:lvlText w:val="(%1)"/>
      <w:lvlJc w:val="left"/>
      <w:pPr>
        <w:ind w:left="425" w:hanging="425"/>
      </w:pPr>
      <w:rPr>
        <w:rFonts w:hint="default" w:ascii="宋体" w:hAnsi="宋体" w:eastAsia="宋体" w:cs="宋体"/>
      </w:rPr>
    </w:lvl>
  </w:abstractNum>
  <w:abstractNum w:abstractNumId="7">
    <w:nsid w:val="B553A63E"/>
    <w:multiLevelType w:val="singleLevel"/>
    <w:tmpl w:val="B553A63E"/>
    <w:lvl w:ilvl="0" w:tentative="0">
      <w:start w:val="1"/>
      <w:numFmt w:val="decimal"/>
      <w:lvlText w:val="(%1)"/>
      <w:lvlJc w:val="left"/>
      <w:pPr>
        <w:ind w:left="425" w:hanging="425"/>
      </w:pPr>
      <w:rPr>
        <w:rFonts w:hint="default"/>
      </w:rPr>
    </w:lvl>
  </w:abstractNum>
  <w:abstractNum w:abstractNumId="8">
    <w:nsid w:val="B99225DF"/>
    <w:multiLevelType w:val="singleLevel"/>
    <w:tmpl w:val="B99225DF"/>
    <w:lvl w:ilvl="0" w:tentative="0">
      <w:start w:val="1"/>
      <w:numFmt w:val="decimal"/>
      <w:lvlText w:val="(%1)"/>
      <w:lvlJc w:val="left"/>
      <w:pPr>
        <w:ind w:left="425" w:hanging="425"/>
      </w:pPr>
      <w:rPr>
        <w:rFonts w:hint="default"/>
      </w:rPr>
    </w:lvl>
  </w:abstractNum>
  <w:abstractNum w:abstractNumId="9">
    <w:nsid w:val="BBFEFAFE"/>
    <w:multiLevelType w:val="singleLevel"/>
    <w:tmpl w:val="BBFEFAFE"/>
    <w:lvl w:ilvl="0" w:tentative="0">
      <w:start w:val="1"/>
      <w:numFmt w:val="decimal"/>
      <w:suff w:val="nothing"/>
      <w:lvlText w:val="%1、"/>
      <w:lvlJc w:val="left"/>
    </w:lvl>
  </w:abstractNum>
  <w:abstractNum w:abstractNumId="10">
    <w:nsid w:val="BD5EDF6B"/>
    <w:multiLevelType w:val="singleLevel"/>
    <w:tmpl w:val="BD5EDF6B"/>
    <w:lvl w:ilvl="0" w:tentative="0">
      <w:start w:val="1"/>
      <w:numFmt w:val="decimal"/>
      <w:lvlText w:val="(%1)"/>
      <w:lvlJc w:val="left"/>
      <w:pPr>
        <w:ind w:left="425" w:hanging="425"/>
      </w:pPr>
      <w:rPr>
        <w:rFonts w:hint="default"/>
      </w:rPr>
    </w:lvl>
  </w:abstractNum>
  <w:abstractNum w:abstractNumId="11">
    <w:nsid w:val="BF01D990"/>
    <w:multiLevelType w:val="singleLevel"/>
    <w:tmpl w:val="BF01D990"/>
    <w:lvl w:ilvl="0" w:tentative="0">
      <w:start w:val="1"/>
      <w:numFmt w:val="decimal"/>
      <w:lvlText w:val="(%1)"/>
      <w:lvlJc w:val="left"/>
      <w:pPr>
        <w:ind w:left="425" w:hanging="425"/>
      </w:pPr>
      <w:rPr>
        <w:rFonts w:hint="default"/>
      </w:rPr>
    </w:lvl>
  </w:abstractNum>
  <w:abstractNum w:abstractNumId="12">
    <w:nsid w:val="CB6C1CF2"/>
    <w:multiLevelType w:val="singleLevel"/>
    <w:tmpl w:val="CB6C1CF2"/>
    <w:lvl w:ilvl="0" w:tentative="0">
      <w:start w:val="1"/>
      <w:numFmt w:val="decimal"/>
      <w:lvlText w:val="(%1)"/>
      <w:lvlJc w:val="left"/>
      <w:pPr>
        <w:ind w:left="425" w:hanging="425"/>
      </w:pPr>
      <w:rPr>
        <w:rFonts w:hint="default"/>
      </w:rPr>
    </w:lvl>
  </w:abstractNum>
  <w:abstractNum w:abstractNumId="13">
    <w:nsid w:val="CC9DD781"/>
    <w:multiLevelType w:val="singleLevel"/>
    <w:tmpl w:val="CC9DD781"/>
    <w:lvl w:ilvl="0" w:tentative="0">
      <w:start w:val="1"/>
      <w:numFmt w:val="decimal"/>
      <w:lvlText w:val="(%1)"/>
      <w:lvlJc w:val="left"/>
      <w:pPr>
        <w:ind w:left="425" w:hanging="425"/>
      </w:pPr>
      <w:rPr>
        <w:rFonts w:hint="default"/>
      </w:rPr>
    </w:lvl>
  </w:abstractNum>
  <w:abstractNum w:abstractNumId="14">
    <w:nsid w:val="D02EA4DB"/>
    <w:multiLevelType w:val="singleLevel"/>
    <w:tmpl w:val="D02EA4DB"/>
    <w:lvl w:ilvl="0" w:tentative="0">
      <w:start w:val="1"/>
      <w:numFmt w:val="decimal"/>
      <w:lvlText w:val="(%1)"/>
      <w:lvlJc w:val="left"/>
      <w:pPr>
        <w:ind w:left="425" w:hanging="425"/>
      </w:pPr>
      <w:rPr>
        <w:rFonts w:hint="default" w:ascii="宋体" w:hAnsi="宋体" w:eastAsia="宋体" w:cs="宋体"/>
      </w:rPr>
    </w:lvl>
  </w:abstractNum>
  <w:abstractNum w:abstractNumId="15">
    <w:nsid w:val="D7205BB7"/>
    <w:multiLevelType w:val="singleLevel"/>
    <w:tmpl w:val="D7205BB7"/>
    <w:lvl w:ilvl="0" w:tentative="0">
      <w:start w:val="1"/>
      <w:numFmt w:val="decimal"/>
      <w:lvlText w:val="(%1)"/>
      <w:lvlJc w:val="left"/>
      <w:pPr>
        <w:ind w:left="425" w:hanging="425"/>
      </w:pPr>
      <w:rPr>
        <w:rFonts w:hint="default" w:ascii="宋体" w:hAnsi="宋体" w:eastAsia="宋体" w:cs="宋体"/>
      </w:rPr>
    </w:lvl>
  </w:abstractNum>
  <w:abstractNum w:abstractNumId="16">
    <w:nsid w:val="E781B84B"/>
    <w:multiLevelType w:val="singleLevel"/>
    <w:tmpl w:val="E781B84B"/>
    <w:lvl w:ilvl="0" w:tentative="0">
      <w:start w:val="1"/>
      <w:numFmt w:val="decimal"/>
      <w:suff w:val="nothing"/>
      <w:lvlText w:val="%1、"/>
      <w:lvlJc w:val="left"/>
      <w:pPr>
        <w:tabs>
          <w:tab w:val="left" w:pos="0"/>
        </w:tabs>
        <w:ind w:left="0" w:firstLine="397"/>
      </w:pPr>
      <w:rPr>
        <w:rFonts w:hint="default"/>
      </w:rPr>
    </w:lvl>
  </w:abstractNum>
  <w:abstractNum w:abstractNumId="17">
    <w:nsid w:val="EAF3F2A7"/>
    <w:multiLevelType w:val="singleLevel"/>
    <w:tmpl w:val="EAF3F2A7"/>
    <w:lvl w:ilvl="0" w:tentative="0">
      <w:start w:val="1"/>
      <w:numFmt w:val="decimal"/>
      <w:lvlText w:val="(%1)"/>
      <w:lvlJc w:val="left"/>
      <w:pPr>
        <w:ind w:left="425" w:hanging="425"/>
      </w:pPr>
      <w:rPr>
        <w:rFonts w:hint="default"/>
      </w:rPr>
    </w:lvl>
  </w:abstractNum>
  <w:abstractNum w:abstractNumId="18">
    <w:nsid w:val="F68316EC"/>
    <w:multiLevelType w:val="singleLevel"/>
    <w:tmpl w:val="F68316EC"/>
    <w:lvl w:ilvl="0" w:tentative="0">
      <w:start w:val="1"/>
      <w:numFmt w:val="decimal"/>
      <w:lvlText w:val="(%1)"/>
      <w:lvlJc w:val="left"/>
      <w:pPr>
        <w:ind w:left="425" w:hanging="425"/>
      </w:pPr>
      <w:rPr>
        <w:rFonts w:hint="default"/>
      </w:rPr>
    </w:lvl>
  </w:abstractNum>
  <w:abstractNum w:abstractNumId="19">
    <w:nsid w:val="4BF17665"/>
    <w:multiLevelType w:val="singleLevel"/>
    <w:tmpl w:val="4BF17665"/>
    <w:lvl w:ilvl="0" w:tentative="0">
      <w:start w:val="1"/>
      <w:numFmt w:val="decimal"/>
      <w:lvlText w:val="(%1)"/>
      <w:lvlJc w:val="left"/>
      <w:pPr>
        <w:ind w:left="425" w:hanging="425"/>
      </w:pPr>
      <w:rPr>
        <w:rFonts w:hint="default"/>
      </w:rPr>
    </w:lvl>
  </w:abstractNum>
  <w:abstractNum w:abstractNumId="20">
    <w:nsid w:val="51BA0054"/>
    <w:multiLevelType w:val="multilevel"/>
    <w:tmpl w:val="51BA0054"/>
    <w:lvl w:ilvl="0" w:tentative="0">
      <w:start w:val="1"/>
      <w:numFmt w:val="decimal"/>
      <w:pStyle w:val="78"/>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1">
    <w:nsid w:val="537A25D5"/>
    <w:multiLevelType w:val="singleLevel"/>
    <w:tmpl w:val="537A25D5"/>
    <w:lvl w:ilvl="0" w:tentative="0">
      <w:start w:val="1"/>
      <w:numFmt w:val="decimal"/>
      <w:lvlText w:val="(%1)"/>
      <w:lvlJc w:val="left"/>
      <w:pPr>
        <w:ind w:left="425" w:hanging="425"/>
      </w:pPr>
      <w:rPr>
        <w:rFonts w:hint="default" w:ascii="宋体" w:hAnsi="宋体" w:eastAsia="宋体" w:cs="宋体"/>
      </w:rPr>
    </w:lvl>
  </w:abstractNum>
  <w:abstractNum w:abstractNumId="22">
    <w:nsid w:val="559151F5"/>
    <w:multiLevelType w:val="singleLevel"/>
    <w:tmpl w:val="559151F5"/>
    <w:lvl w:ilvl="0" w:tentative="0">
      <w:start w:val="1"/>
      <w:numFmt w:val="decimal"/>
      <w:lvlText w:val="(%1)"/>
      <w:lvlJc w:val="left"/>
      <w:pPr>
        <w:ind w:left="425" w:hanging="425"/>
      </w:pPr>
      <w:rPr>
        <w:rFonts w:hint="default" w:ascii="宋体" w:hAnsi="宋体" w:eastAsia="宋体" w:cs="宋体"/>
      </w:rPr>
    </w:lvl>
  </w:abstractNum>
  <w:abstractNum w:abstractNumId="23">
    <w:nsid w:val="5E5CEA1F"/>
    <w:multiLevelType w:val="singleLevel"/>
    <w:tmpl w:val="5E5CEA1F"/>
    <w:lvl w:ilvl="0" w:tentative="0">
      <w:start w:val="1"/>
      <w:numFmt w:val="decimal"/>
      <w:lvlText w:val="(%1)"/>
      <w:lvlJc w:val="left"/>
      <w:pPr>
        <w:ind w:left="425" w:hanging="425"/>
      </w:pPr>
      <w:rPr>
        <w:rFonts w:hint="default"/>
      </w:rPr>
    </w:lvl>
  </w:abstractNum>
  <w:abstractNum w:abstractNumId="24">
    <w:nsid w:val="5EA1100C"/>
    <w:multiLevelType w:val="multilevel"/>
    <w:tmpl w:val="5EA1100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6E6CE9A2"/>
    <w:multiLevelType w:val="singleLevel"/>
    <w:tmpl w:val="6E6CE9A2"/>
    <w:lvl w:ilvl="0" w:tentative="0">
      <w:start w:val="1"/>
      <w:numFmt w:val="decimal"/>
      <w:lvlText w:val="(%1)"/>
      <w:lvlJc w:val="left"/>
      <w:pPr>
        <w:ind w:left="425" w:hanging="425"/>
      </w:pPr>
      <w:rPr>
        <w:rFonts w:hint="default"/>
      </w:rPr>
    </w:lvl>
  </w:abstractNum>
  <w:abstractNum w:abstractNumId="26">
    <w:nsid w:val="77231740"/>
    <w:multiLevelType w:val="singleLevel"/>
    <w:tmpl w:val="77231740"/>
    <w:lvl w:ilvl="0" w:tentative="0">
      <w:start w:val="1"/>
      <w:numFmt w:val="decimal"/>
      <w:lvlText w:val="(%1)"/>
      <w:lvlJc w:val="left"/>
      <w:pPr>
        <w:ind w:left="425" w:hanging="425"/>
      </w:pPr>
      <w:rPr>
        <w:rFonts w:hint="default"/>
      </w:rPr>
    </w:lvl>
  </w:abstractNum>
  <w:num w:numId="1">
    <w:abstractNumId w:val="20"/>
  </w:num>
  <w:num w:numId="2">
    <w:abstractNumId w:val="9"/>
  </w:num>
  <w:num w:numId="3">
    <w:abstractNumId w:val="15"/>
  </w:num>
  <w:num w:numId="4">
    <w:abstractNumId w:val="11"/>
  </w:num>
  <w:num w:numId="5">
    <w:abstractNumId w:val="7"/>
  </w:num>
  <w:num w:numId="6">
    <w:abstractNumId w:val="18"/>
  </w:num>
  <w:num w:numId="7">
    <w:abstractNumId w:val="10"/>
  </w:num>
  <w:num w:numId="8">
    <w:abstractNumId w:val="25"/>
  </w:num>
  <w:num w:numId="9">
    <w:abstractNumId w:val="0"/>
  </w:num>
  <w:num w:numId="10">
    <w:abstractNumId w:val="2"/>
  </w:num>
  <w:num w:numId="11">
    <w:abstractNumId w:val="21"/>
  </w:num>
  <w:num w:numId="12">
    <w:abstractNumId w:val="22"/>
  </w:num>
  <w:num w:numId="13">
    <w:abstractNumId w:val="6"/>
  </w:num>
  <w:num w:numId="14">
    <w:abstractNumId w:val="17"/>
  </w:num>
  <w:num w:numId="15">
    <w:abstractNumId w:val="3"/>
  </w:num>
  <w:num w:numId="16">
    <w:abstractNumId w:val="1"/>
  </w:num>
  <w:num w:numId="17">
    <w:abstractNumId w:val="14"/>
  </w:num>
  <w:num w:numId="18">
    <w:abstractNumId w:val="24"/>
  </w:num>
  <w:num w:numId="19">
    <w:abstractNumId w:val="26"/>
  </w:num>
  <w:num w:numId="20">
    <w:abstractNumId w:val="5"/>
  </w:num>
  <w:num w:numId="21">
    <w:abstractNumId w:val="23"/>
  </w:num>
  <w:num w:numId="22">
    <w:abstractNumId w:val="12"/>
  </w:num>
  <w:num w:numId="23">
    <w:abstractNumId w:val="8"/>
  </w:num>
  <w:num w:numId="24">
    <w:abstractNumId w:val="13"/>
  </w:num>
  <w:num w:numId="25">
    <w:abstractNumId w:val="19"/>
  </w:num>
  <w:num w:numId="26">
    <w:abstractNumId w:val="1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 w:name="KSO_WPS_MARK_KEY" w:val="31f30362-be62-4cf5-93d5-4b4a42e80207"/>
  </w:docVars>
  <w:rsids>
    <w:rsidRoot w:val="001B48A2"/>
    <w:rsid w:val="00000009"/>
    <w:rsid w:val="00002287"/>
    <w:rsid w:val="0000245D"/>
    <w:rsid w:val="0000567C"/>
    <w:rsid w:val="00007E0D"/>
    <w:rsid w:val="0001071D"/>
    <w:rsid w:val="00012EE0"/>
    <w:rsid w:val="0001343B"/>
    <w:rsid w:val="000152E4"/>
    <w:rsid w:val="000160D7"/>
    <w:rsid w:val="0002220C"/>
    <w:rsid w:val="000271AB"/>
    <w:rsid w:val="00031BF7"/>
    <w:rsid w:val="00031CC2"/>
    <w:rsid w:val="00033C05"/>
    <w:rsid w:val="00034B3D"/>
    <w:rsid w:val="00043F1A"/>
    <w:rsid w:val="00044B19"/>
    <w:rsid w:val="00050329"/>
    <w:rsid w:val="00053B19"/>
    <w:rsid w:val="000653BD"/>
    <w:rsid w:val="00067DE0"/>
    <w:rsid w:val="000709D7"/>
    <w:rsid w:val="00070EF1"/>
    <w:rsid w:val="00071602"/>
    <w:rsid w:val="000761A2"/>
    <w:rsid w:val="00081CEC"/>
    <w:rsid w:val="000865BA"/>
    <w:rsid w:val="00087B78"/>
    <w:rsid w:val="000901C3"/>
    <w:rsid w:val="00091EB6"/>
    <w:rsid w:val="00095640"/>
    <w:rsid w:val="00095BCD"/>
    <w:rsid w:val="0009614A"/>
    <w:rsid w:val="000A01DB"/>
    <w:rsid w:val="000B038F"/>
    <w:rsid w:val="000B0E92"/>
    <w:rsid w:val="000B1D48"/>
    <w:rsid w:val="000C01B4"/>
    <w:rsid w:val="000C090E"/>
    <w:rsid w:val="000C1A44"/>
    <w:rsid w:val="000C1A73"/>
    <w:rsid w:val="000C21F2"/>
    <w:rsid w:val="000C2675"/>
    <w:rsid w:val="000C5303"/>
    <w:rsid w:val="000C6C92"/>
    <w:rsid w:val="000C6E10"/>
    <w:rsid w:val="000D3E3C"/>
    <w:rsid w:val="000D4D93"/>
    <w:rsid w:val="000D7D67"/>
    <w:rsid w:val="000E17ED"/>
    <w:rsid w:val="000E3D9D"/>
    <w:rsid w:val="000F1147"/>
    <w:rsid w:val="000F2B5E"/>
    <w:rsid w:val="000F334A"/>
    <w:rsid w:val="000F6B6D"/>
    <w:rsid w:val="0010670D"/>
    <w:rsid w:val="0011250E"/>
    <w:rsid w:val="00112C71"/>
    <w:rsid w:val="00113540"/>
    <w:rsid w:val="00117EBF"/>
    <w:rsid w:val="00120FCF"/>
    <w:rsid w:val="00122386"/>
    <w:rsid w:val="0012412C"/>
    <w:rsid w:val="00124C81"/>
    <w:rsid w:val="00125190"/>
    <w:rsid w:val="00126A03"/>
    <w:rsid w:val="00126FC3"/>
    <w:rsid w:val="001272CB"/>
    <w:rsid w:val="00127CF1"/>
    <w:rsid w:val="001302DE"/>
    <w:rsid w:val="001327B6"/>
    <w:rsid w:val="001335AA"/>
    <w:rsid w:val="00135ECF"/>
    <w:rsid w:val="00142D6A"/>
    <w:rsid w:val="00145859"/>
    <w:rsid w:val="00147840"/>
    <w:rsid w:val="00151BDF"/>
    <w:rsid w:val="00152235"/>
    <w:rsid w:val="001570FF"/>
    <w:rsid w:val="00160939"/>
    <w:rsid w:val="00162D56"/>
    <w:rsid w:val="0016688C"/>
    <w:rsid w:val="001672EF"/>
    <w:rsid w:val="00167447"/>
    <w:rsid w:val="00170A9B"/>
    <w:rsid w:val="00171079"/>
    <w:rsid w:val="00172B3B"/>
    <w:rsid w:val="00174D79"/>
    <w:rsid w:val="0018323F"/>
    <w:rsid w:val="001837F8"/>
    <w:rsid w:val="00186EC5"/>
    <w:rsid w:val="001925C5"/>
    <w:rsid w:val="00193318"/>
    <w:rsid w:val="0019566B"/>
    <w:rsid w:val="001A06CF"/>
    <w:rsid w:val="001A33B7"/>
    <w:rsid w:val="001A68EE"/>
    <w:rsid w:val="001A7BC0"/>
    <w:rsid w:val="001B223C"/>
    <w:rsid w:val="001B48A2"/>
    <w:rsid w:val="001B744A"/>
    <w:rsid w:val="001C18F9"/>
    <w:rsid w:val="001C4507"/>
    <w:rsid w:val="001C5CEC"/>
    <w:rsid w:val="001D0CAF"/>
    <w:rsid w:val="001D1E13"/>
    <w:rsid w:val="001D36F3"/>
    <w:rsid w:val="001D513D"/>
    <w:rsid w:val="001D7A92"/>
    <w:rsid w:val="001E60A6"/>
    <w:rsid w:val="001E6A58"/>
    <w:rsid w:val="001E6B00"/>
    <w:rsid w:val="001E7E7C"/>
    <w:rsid w:val="001F0135"/>
    <w:rsid w:val="001F0555"/>
    <w:rsid w:val="001F0A52"/>
    <w:rsid w:val="001F18D2"/>
    <w:rsid w:val="001F76FD"/>
    <w:rsid w:val="002010D8"/>
    <w:rsid w:val="00202707"/>
    <w:rsid w:val="00202BB5"/>
    <w:rsid w:val="00203BFA"/>
    <w:rsid w:val="0020547C"/>
    <w:rsid w:val="00205C4C"/>
    <w:rsid w:val="00210A07"/>
    <w:rsid w:val="002131CE"/>
    <w:rsid w:val="00213D50"/>
    <w:rsid w:val="0021419C"/>
    <w:rsid w:val="002157BC"/>
    <w:rsid w:val="00215C92"/>
    <w:rsid w:val="00215E8C"/>
    <w:rsid w:val="00224562"/>
    <w:rsid w:val="00230055"/>
    <w:rsid w:val="00230BB6"/>
    <w:rsid w:val="00232D38"/>
    <w:rsid w:val="00232D77"/>
    <w:rsid w:val="0023453F"/>
    <w:rsid w:val="00235A6E"/>
    <w:rsid w:val="002363A3"/>
    <w:rsid w:val="00242A68"/>
    <w:rsid w:val="0024409C"/>
    <w:rsid w:val="00244F45"/>
    <w:rsid w:val="00245376"/>
    <w:rsid w:val="00250010"/>
    <w:rsid w:val="00250723"/>
    <w:rsid w:val="0025714C"/>
    <w:rsid w:val="00270B2F"/>
    <w:rsid w:val="00275C9E"/>
    <w:rsid w:val="00280BE6"/>
    <w:rsid w:val="00287092"/>
    <w:rsid w:val="00293878"/>
    <w:rsid w:val="00294BF5"/>
    <w:rsid w:val="002969C2"/>
    <w:rsid w:val="002A2D33"/>
    <w:rsid w:val="002B18CA"/>
    <w:rsid w:val="002B1AB8"/>
    <w:rsid w:val="002B2A46"/>
    <w:rsid w:val="002B3188"/>
    <w:rsid w:val="002B58E0"/>
    <w:rsid w:val="002B5F2A"/>
    <w:rsid w:val="002C154A"/>
    <w:rsid w:val="002C3FC0"/>
    <w:rsid w:val="002C5A31"/>
    <w:rsid w:val="002D3B34"/>
    <w:rsid w:val="002D3ED3"/>
    <w:rsid w:val="002D60F7"/>
    <w:rsid w:val="002E156A"/>
    <w:rsid w:val="002E2C3D"/>
    <w:rsid w:val="002E3D3E"/>
    <w:rsid w:val="002F04B8"/>
    <w:rsid w:val="002F43B6"/>
    <w:rsid w:val="002F6883"/>
    <w:rsid w:val="003055D4"/>
    <w:rsid w:val="003109D1"/>
    <w:rsid w:val="00312325"/>
    <w:rsid w:val="00316251"/>
    <w:rsid w:val="003224BA"/>
    <w:rsid w:val="0032499F"/>
    <w:rsid w:val="00325736"/>
    <w:rsid w:val="00334C8B"/>
    <w:rsid w:val="00335F1C"/>
    <w:rsid w:val="003360A9"/>
    <w:rsid w:val="003421A3"/>
    <w:rsid w:val="003421E5"/>
    <w:rsid w:val="00343BC1"/>
    <w:rsid w:val="00346EE2"/>
    <w:rsid w:val="00347AAE"/>
    <w:rsid w:val="0035011E"/>
    <w:rsid w:val="0035182F"/>
    <w:rsid w:val="0035200B"/>
    <w:rsid w:val="00353A44"/>
    <w:rsid w:val="0035480B"/>
    <w:rsid w:val="00362791"/>
    <w:rsid w:val="00364984"/>
    <w:rsid w:val="00371B1B"/>
    <w:rsid w:val="003817DA"/>
    <w:rsid w:val="0038283D"/>
    <w:rsid w:val="00382CB9"/>
    <w:rsid w:val="00382F91"/>
    <w:rsid w:val="0038515D"/>
    <w:rsid w:val="00385412"/>
    <w:rsid w:val="0039052D"/>
    <w:rsid w:val="003A21FD"/>
    <w:rsid w:val="003A24B9"/>
    <w:rsid w:val="003A672E"/>
    <w:rsid w:val="003B006B"/>
    <w:rsid w:val="003B1BB1"/>
    <w:rsid w:val="003B3780"/>
    <w:rsid w:val="003B442A"/>
    <w:rsid w:val="003C0330"/>
    <w:rsid w:val="003C098D"/>
    <w:rsid w:val="003C0EA5"/>
    <w:rsid w:val="003C1203"/>
    <w:rsid w:val="003C2B8B"/>
    <w:rsid w:val="003C408D"/>
    <w:rsid w:val="003C49D6"/>
    <w:rsid w:val="003C65FD"/>
    <w:rsid w:val="003C66D2"/>
    <w:rsid w:val="003D1D5F"/>
    <w:rsid w:val="003D6007"/>
    <w:rsid w:val="003D6388"/>
    <w:rsid w:val="003D7A6D"/>
    <w:rsid w:val="003E0F6C"/>
    <w:rsid w:val="003E12D4"/>
    <w:rsid w:val="003E7047"/>
    <w:rsid w:val="003E713C"/>
    <w:rsid w:val="003E72FC"/>
    <w:rsid w:val="003F0248"/>
    <w:rsid w:val="003F0C63"/>
    <w:rsid w:val="003F2853"/>
    <w:rsid w:val="003F3859"/>
    <w:rsid w:val="003F3D75"/>
    <w:rsid w:val="004010A1"/>
    <w:rsid w:val="00404540"/>
    <w:rsid w:val="00404692"/>
    <w:rsid w:val="004105C6"/>
    <w:rsid w:val="00410BBF"/>
    <w:rsid w:val="004114FB"/>
    <w:rsid w:val="00420F78"/>
    <w:rsid w:val="00421E45"/>
    <w:rsid w:val="0042283F"/>
    <w:rsid w:val="004231E1"/>
    <w:rsid w:val="00426460"/>
    <w:rsid w:val="004268C5"/>
    <w:rsid w:val="00426BCD"/>
    <w:rsid w:val="00426C7A"/>
    <w:rsid w:val="0043276A"/>
    <w:rsid w:val="00432902"/>
    <w:rsid w:val="0043439E"/>
    <w:rsid w:val="00435406"/>
    <w:rsid w:val="00436D89"/>
    <w:rsid w:val="00436EEF"/>
    <w:rsid w:val="00437909"/>
    <w:rsid w:val="00441793"/>
    <w:rsid w:val="00445559"/>
    <w:rsid w:val="00447DF8"/>
    <w:rsid w:val="004526B3"/>
    <w:rsid w:val="00454C9A"/>
    <w:rsid w:val="00454E6D"/>
    <w:rsid w:val="00455952"/>
    <w:rsid w:val="00456E82"/>
    <w:rsid w:val="00456F3A"/>
    <w:rsid w:val="00467A98"/>
    <w:rsid w:val="0047408E"/>
    <w:rsid w:val="00474671"/>
    <w:rsid w:val="00475682"/>
    <w:rsid w:val="00477482"/>
    <w:rsid w:val="00481C9B"/>
    <w:rsid w:val="00484996"/>
    <w:rsid w:val="004854B7"/>
    <w:rsid w:val="004940C1"/>
    <w:rsid w:val="004A46E0"/>
    <w:rsid w:val="004A559D"/>
    <w:rsid w:val="004B0E00"/>
    <w:rsid w:val="004B2A96"/>
    <w:rsid w:val="004B4537"/>
    <w:rsid w:val="004B4B4B"/>
    <w:rsid w:val="004B7070"/>
    <w:rsid w:val="004B7FC9"/>
    <w:rsid w:val="004C3C13"/>
    <w:rsid w:val="004C5DFA"/>
    <w:rsid w:val="004C77BD"/>
    <w:rsid w:val="004C7BF0"/>
    <w:rsid w:val="004D4112"/>
    <w:rsid w:val="004D6875"/>
    <w:rsid w:val="004E604F"/>
    <w:rsid w:val="004F03D9"/>
    <w:rsid w:val="004F1361"/>
    <w:rsid w:val="004F16F8"/>
    <w:rsid w:val="004F2597"/>
    <w:rsid w:val="004F3D88"/>
    <w:rsid w:val="004F5A87"/>
    <w:rsid w:val="00500EC2"/>
    <w:rsid w:val="00501124"/>
    <w:rsid w:val="00501E77"/>
    <w:rsid w:val="00503092"/>
    <w:rsid w:val="00503939"/>
    <w:rsid w:val="00503983"/>
    <w:rsid w:val="00507AA7"/>
    <w:rsid w:val="005114CE"/>
    <w:rsid w:val="00512CDC"/>
    <w:rsid w:val="005135C5"/>
    <w:rsid w:val="005144DE"/>
    <w:rsid w:val="00516736"/>
    <w:rsid w:val="00516979"/>
    <w:rsid w:val="00516CD4"/>
    <w:rsid w:val="005259E6"/>
    <w:rsid w:val="005302AF"/>
    <w:rsid w:val="00532D3F"/>
    <w:rsid w:val="0053444B"/>
    <w:rsid w:val="00534F15"/>
    <w:rsid w:val="00537E42"/>
    <w:rsid w:val="005432AC"/>
    <w:rsid w:val="00543C31"/>
    <w:rsid w:val="0054569C"/>
    <w:rsid w:val="0054603D"/>
    <w:rsid w:val="00546FD5"/>
    <w:rsid w:val="00551DEA"/>
    <w:rsid w:val="00552709"/>
    <w:rsid w:val="00553840"/>
    <w:rsid w:val="00563CBD"/>
    <w:rsid w:val="005660FD"/>
    <w:rsid w:val="00567334"/>
    <w:rsid w:val="00567E7E"/>
    <w:rsid w:val="00570C20"/>
    <w:rsid w:val="00572719"/>
    <w:rsid w:val="00576387"/>
    <w:rsid w:val="0057784C"/>
    <w:rsid w:val="005866C3"/>
    <w:rsid w:val="00587CE5"/>
    <w:rsid w:val="00591225"/>
    <w:rsid w:val="0059355E"/>
    <w:rsid w:val="00594380"/>
    <w:rsid w:val="00595BB4"/>
    <w:rsid w:val="0059620B"/>
    <w:rsid w:val="005A1719"/>
    <w:rsid w:val="005A3E0A"/>
    <w:rsid w:val="005A697C"/>
    <w:rsid w:val="005B4E64"/>
    <w:rsid w:val="005B5AF8"/>
    <w:rsid w:val="005C0B96"/>
    <w:rsid w:val="005C1313"/>
    <w:rsid w:val="005C18E9"/>
    <w:rsid w:val="005C483D"/>
    <w:rsid w:val="005C51D9"/>
    <w:rsid w:val="005D4AE2"/>
    <w:rsid w:val="005D6DC2"/>
    <w:rsid w:val="005E1BA6"/>
    <w:rsid w:val="005E1CB9"/>
    <w:rsid w:val="005E1E06"/>
    <w:rsid w:val="005E28AE"/>
    <w:rsid w:val="005E2D2A"/>
    <w:rsid w:val="005E32EC"/>
    <w:rsid w:val="005E3716"/>
    <w:rsid w:val="005E3DD1"/>
    <w:rsid w:val="005E44D8"/>
    <w:rsid w:val="005E6BF5"/>
    <w:rsid w:val="005E769F"/>
    <w:rsid w:val="005F3684"/>
    <w:rsid w:val="005F3A6F"/>
    <w:rsid w:val="005F6937"/>
    <w:rsid w:val="005F7A66"/>
    <w:rsid w:val="00600990"/>
    <w:rsid w:val="00605EEE"/>
    <w:rsid w:val="00612C7A"/>
    <w:rsid w:val="00613676"/>
    <w:rsid w:val="0061641A"/>
    <w:rsid w:val="0062239E"/>
    <w:rsid w:val="006265A7"/>
    <w:rsid w:val="0062687B"/>
    <w:rsid w:val="006329F3"/>
    <w:rsid w:val="006332E2"/>
    <w:rsid w:val="00634436"/>
    <w:rsid w:val="00634A38"/>
    <w:rsid w:val="00642AE5"/>
    <w:rsid w:val="00644444"/>
    <w:rsid w:val="00646BE2"/>
    <w:rsid w:val="00646EF8"/>
    <w:rsid w:val="00654144"/>
    <w:rsid w:val="00655E83"/>
    <w:rsid w:val="00660FDC"/>
    <w:rsid w:val="006718CE"/>
    <w:rsid w:val="006730C6"/>
    <w:rsid w:val="00673143"/>
    <w:rsid w:val="0067459D"/>
    <w:rsid w:val="006771B6"/>
    <w:rsid w:val="00677770"/>
    <w:rsid w:val="00682F83"/>
    <w:rsid w:val="006867D4"/>
    <w:rsid w:val="00691A5B"/>
    <w:rsid w:val="0069467D"/>
    <w:rsid w:val="006954FB"/>
    <w:rsid w:val="0069573A"/>
    <w:rsid w:val="00696404"/>
    <w:rsid w:val="006A4206"/>
    <w:rsid w:val="006A5114"/>
    <w:rsid w:val="006A71A2"/>
    <w:rsid w:val="006B22B5"/>
    <w:rsid w:val="006B246A"/>
    <w:rsid w:val="006C02C8"/>
    <w:rsid w:val="006C302C"/>
    <w:rsid w:val="006C381F"/>
    <w:rsid w:val="006C49EA"/>
    <w:rsid w:val="006C704B"/>
    <w:rsid w:val="006C74A8"/>
    <w:rsid w:val="006D6FB9"/>
    <w:rsid w:val="006D7D84"/>
    <w:rsid w:val="006E0E60"/>
    <w:rsid w:val="006E0F02"/>
    <w:rsid w:val="006E1E0B"/>
    <w:rsid w:val="006E23BB"/>
    <w:rsid w:val="006E602B"/>
    <w:rsid w:val="006E7D18"/>
    <w:rsid w:val="006F0093"/>
    <w:rsid w:val="006F3455"/>
    <w:rsid w:val="006F3713"/>
    <w:rsid w:val="006F6535"/>
    <w:rsid w:val="006F7025"/>
    <w:rsid w:val="00701D5F"/>
    <w:rsid w:val="007034C8"/>
    <w:rsid w:val="00703AA8"/>
    <w:rsid w:val="0070637C"/>
    <w:rsid w:val="007114B9"/>
    <w:rsid w:val="00712869"/>
    <w:rsid w:val="00713206"/>
    <w:rsid w:val="007148EA"/>
    <w:rsid w:val="00727C4D"/>
    <w:rsid w:val="007322C5"/>
    <w:rsid w:val="00737A40"/>
    <w:rsid w:val="00740F04"/>
    <w:rsid w:val="00741545"/>
    <w:rsid w:val="0074318C"/>
    <w:rsid w:val="00744D9A"/>
    <w:rsid w:val="007506B8"/>
    <w:rsid w:val="00750BBF"/>
    <w:rsid w:val="00752FF1"/>
    <w:rsid w:val="00753A5E"/>
    <w:rsid w:val="007559AB"/>
    <w:rsid w:val="00755BF9"/>
    <w:rsid w:val="00756C90"/>
    <w:rsid w:val="007646F2"/>
    <w:rsid w:val="00765EE9"/>
    <w:rsid w:val="00766C90"/>
    <w:rsid w:val="00766E65"/>
    <w:rsid w:val="007744D0"/>
    <w:rsid w:val="00775CB5"/>
    <w:rsid w:val="00781FF5"/>
    <w:rsid w:val="00793F23"/>
    <w:rsid w:val="00795061"/>
    <w:rsid w:val="00797C40"/>
    <w:rsid w:val="007A3D55"/>
    <w:rsid w:val="007A65F4"/>
    <w:rsid w:val="007B01C4"/>
    <w:rsid w:val="007B0A6C"/>
    <w:rsid w:val="007B2C77"/>
    <w:rsid w:val="007C3973"/>
    <w:rsid w:val="007C481F"/>
    <w:rsid w:val="007C5B61"/>
    <w:rsid w:val="007D07EF"/>
    <w:rsid w:val="007D09E8"/>
    <w:rsid w:val="007D1FDC"/>
    <w:rsid w:val="007D4C68"/>
    <w:rsid w:val="007D757F"/>
    <w:rsid w:val="007E15C3"/>
    <w:rsid w:val="007E2BE3"/>
    <w:rsid w:val="007E4BD4"/>
    <w:rsid w:val="007F10DF"/>
    <w:rsid w:val="008000BA"/>
    <w:rsid w:val="00801AA4"/>
    <w:rsid w:val="00803A79"/>
    <w:rsid w:val="00805C38"/>
    <w:rsid w:val="00806158"/>
    <w:rsid w:val="00807595"/>
    <w:rsid w:val="00807ABB"/>
    <w:rsid w:val="00807DF4"/>
    <w:rsid w:val="00814F03"/>
    <w:rsid w:val="00822091"/>
    <w:rsid w:val="008220E4"/>
    <w:rsid w:val="00826F28"/>
    <w:rsid w:val="00827157"/>
    <w:rsid w:val="00827EF1"/>
    <w:rsid w:val="00832255"/>
    <w:rsid w:val="008341C0"/>
    <w:rsid w:val="00835A0E"/>
    <w:rsid w:val="00837178"/>
    <w:rsid w:val="00840729"/>
    <w:rsid w:val="00841543"/>
    <w:rsid w:val="00843D56"/>
    <w:rsid w:val="0084410E"/>
    <w:rsid w:val="008441CD"/>
    <w:rsid w:val="008441D3"/>
    <w:rsid w:val="008457F6"/>
    <w:rsid w:val="00845B55"/>
    <w:rsid w:val="0084788F"/>
    <w:rsid w:val="00854EB7"/>
    <w:rsid w:val="0085717B"/>
    <w:rsid w:val="00857AD5"/>
    <w:rsid w:val="00857C26"/>
    <w:rsid w:val="00860E87"/>
    <w:rsid w:val="00862AF8"/>
    <w:rsid w:val="008634CB"/>
    <w:rsid w:val="008647EE"/>
    <w:rsid w:val="00876025"/>
    <w:rsid w:val="00890F86"/>
    <w:rsid w:val="00892064"/>
    <w:rsid w:val="008943A9"/>
    <w:rsid w:val="00895262"/>
    <w:rsid w:val="008953F8"/>
    <w:rsid w:val="00896702"/>
    <w:rsid w:val="008967C0"/>
    <w:rsid w:val="008A3579"/>
    <w:rsid w:val="008B084C"/>
    <w:rsid w:val="008B0A43"/>
    <w:rsid w:val="008B4A57"/>
    <w:rsid w:val="008B5E4F"/>
    <w:rsid w:val="008C4DD1"/>
    <w:rsid w:val="008D5908"/>
    <w:rsid w:val="008D6904"/>
    <w:rsid w:val="008E193B"/>
    <w:rsid w:val="008E49AE"/>
    <w:rsid w:val="008F3D60"/>
    <w:rsid w:val="008F5559"/>
    <w:rsid w:val="008F7BEB"/>
    <w:rsid w:val="00900964"/>
    <w:rsid w:val="00901115"/>
    <w:rsid w:val="009011E3"/>
    <w:rsid w:val="00901DBE"/>
    <w:rsid w:val="0090298F"/>
    <w:rsid w:val="00903032"/>
    <w:rsid w:val="009049BD"/>
    <w:rsid w:val="00904C89"/>
    <w:rsid w:val="009070B6"/>
    <w:rsid w:val="00910BE8"/>
    <w:rsid w:val="00914B2B"/>
    <w:rsid w:val="00914BC6"/>
    <w:rsid w:val="009171D3"/>
    <w:rsid w:val="00923EC8"/>
    <w:rsid w:val="00930E86"/>
    <w:rsid w:val="00932EF3"/>
    <w:rsid w:val="00933DAA"/>
    <w:rsid w:val="00934032"/>
    <w:rsid w:val="00941B44"/>
    <w:rsid w:val="009421BB"/>
    <w:rsid w:val="009424EF"/>
    <w:rsid w:val="0094456C"/>
    <w:rsid w:val="00946A37"/>
    <w:rsid w:val="00950AE3"/>
    <w:rsid w:val="00950F80"/>
    <w:rsid w:val="00954DD9"/>
    <w:rsid w:val="00960D2C"/>
    <w:rsid w:val="00961CDF"/>
    <w:rsid w:val="00963092"/>
    <w:rsid w:val="00967127"/>
    <w:rsid w:val="0097271A"/>
    <w:rsid w:val="0097380D"/>
    <w:rsid w:val="00973DF2"/>
    <w:rsid w:val="009740A9"/>
    <w:rsid w:val="00975A17"/>
    <w:rsid w:val="0097618F"/>
    <w:rsid w:val="00977217"/>
    <w:rsid w:val="00977D6D"/>
    <w:rsid w:val="00981612"/>
    <w:rsid w:val="009816CA"/>
    <w:rsid w:val="0098186D"/>
    <w:rsid w:val="00983C6E"/>
    <w:rsid w:val="00984427"/>
    <w:rsid w:val="009871B6"/>
    <w:rsid w:val="009923AC"/>
    <w:rsid w:val="00995696"/>
    <w:rsid w:val="00996AF8"/>
    <w:rsid w:val="009A166A"/>
    <w:rsid w:val="009A1992"/>
    <w:rsid w:val="009A6A67"/>
    <w:rsid w:val="009A6CEF"/>
    <w:rsid w:val="009A7A71"/>
    <w:rsid w:val="009B0C2E"/>
    <w:rsid w:val="009B4817"/>
    <w:rsid w:val="009B5E4F"/>
    <w:rsid w:val="009C0142"/>
    <w:rsid w:val="009C786D"/>
    <w:rsid w:val="009D1FF6"/>
    <w:rsid w:val="009D2686"/>
    <w:rsid w:val="009D2B27"/>
    <w:rsid w:val="009D5D1F"/>
    <w:rsid w:val="009E07C8"/>
    <w:rsid w:val="009E150A"/>
    <w:rsid w:val="009E1E00"/>
    <w:rsid w:val="009E34DC"/>
    <w:rsid w:val="009E34F2"/>
    <w:rsid w:val="009E5C97"/>
    <w:rsid w:val="009E7D65"/>
    <w:rsid w:val="009F3A29"/>
    <w:rsid w:val="009F57E8"/>
    <w:rsid w:val="009F7D89"/>
    <w:rsid w:val="00A00032"/>
    <w:rsid w:val="00A047DB"/>
    <w:rsid w:val="00A0580A"/>
    <w:rsid w:val="00A06545"/>
    <w:rsid w:val="00A07844"/>
    <w:rsid w:val="00A10D95"/>
    <w:rsid w:val="00A12B35"/>
    <w:rsid w:val="00A14AFB"/>
    <w:rsid w:val="00A1504A"/>
    <w:rsid w:val="00A169D0"/>
    <w:rsid w:val="00A20153"/>
    <w:rsid w:val="00A21583"/>
    <w:rsid w:val="00A236D3"/>
    <w:rsid w:val="00A30019"/>
    <w:rsid w:val="00A305A9"/>
    <w:rsid w:val="00A30A73"/>
    <w:rsid w:val="00A30EFF"/>
    <w:rsid w:val="00A314E8"/>
    <w:rsid w:val="00A37BC3"/>
    <w:rsid w:val="00A51C7D"/>
    <w:rsid w:val="00A55A5E"/>
    <w:rsid w:val="00A56F7C"/>
    <w:rsid w:val="00A5779C"/>
    <w:rsid w:val="00A601CA"/>
    <w:rsid w:val="00A606D4"/>
    <w:rsid w:val="00A60E85"/>
    <w:rsid w:val="00A60F52"/>
    <w:rsid w:val="00A66E23"/>
    <w:rsid w:val="00A700CC"/>
    <w:rsid w:val="00A7049F"/>
    <w:rsid w:val="00A73516"/>
    <w:rsid w:val="00A73A2B"/>
    <w:rsid w:val="00A767C3"/>
    <w:rsid w:val="00A8127F"/>
    <w:rsid w:val="00A813A0"/>
    <w:rsid w:val="00A8176A"/>
    <w:rsid w:val="00A81A17"/>
    <w:rsid w:val="00A91DBB"/>
    <w:rsid w:val="00A942EA"/>
    <w:rsid w:val="00A96587"/>
    <w:rsid w:val="00AA021A"/>
    <w:rsid w:val="00AA46A1"/>
    <w:rsid w:val="00AA4748"/>
    <w:rsid w:val="00AA5D58"/>
    <w:rsid w:val="00AA61B8"/>
    <w:rsid w:val="00AA79D4"/>
    <w:rsid w:val="00AB2071"/>
    <w:rsid w:val="00AB51E0"/>
    <w:rsid w:val="00AC0CAB"/>
    <w:rsid w:val="00AC1287"/>
    <w:rsid w:val="00AC4BA0"/>
    <w:rsid w:val="00AC63CC"/>
    <w:rsid w:val="00AC681C"/>
    <w:rsid w:val="00AD0588"/>
    <w:rsid w:val="00AD115F"/>
    <w:rsid w:val="00AD4A77"/>
    <w:rsid w:val="00AE09FB"/>
    <w:rsid w:val="00AE467F"/>
    <w:rsid w:val="00AE6B4D"/>
    <w:rsid w:val="00AF10FC"/>
    <w:rsid w:val="00AF5157"/>
    <w:rsid w:val="00AF5F45"/>
    <w:rsid w:val="00B02D65"/>
    <w:rsid w:val="00B03A99"/>
    <w:rsid w:val="00B04508"/>
    <w:rsid w:val="00B07C38"/>
    <w:rsid w:val="00B13E9C"/>
    <w:rsid w:val="00B14E42"/>
    <w:rsid w:val="00B2097C"/>
    <w:rsid w:val="00B22701"/>
    <w:rsid w:val="00B2562E"/>
    <w:rsid w:val="00B2709E"/>
    <w:rsid w:val="00B30530"/>
    <w:rsid w:val="00B36A31"/>
    <w:rsid w:val="00B37ABD"/>
    <w:rsid w:val="00B405B2"/>
    <w:rsid w:val="00B43BF3"/>
    <w:rsid w:val="00B46083"/>
    <w:rsid w:val="00B529BA"/>
    <w:rsid w:val="00B5387A"/>
    <w:rsid w:val="00B676E9"/>
    <w:rsid w:val="00B70C1A"/>
    <w:rsid w:val="00B71AA4"/>
    <w:rsid w:val="00B7201F"/>
    <w:rsid w:val="00B744E1"/>
    <w:rsid w:val="00B77DB2"/>
    <w:rsid w:val="00B819E3"/>
    <w:rsid w:val="00B832DA"/>
    <w:rsid w:val="00B87AB6"/>
    <w:rsid w:val="00B90E81"/>
    <w:rsid w:val="00B913B5"/>
    <w:rsid w:val="00B93E1E"/>
    <w:rsid w:val="00B95DD2"/>
    <w:rsid w:val="00B968B7"/>
    <w:rsid w:val="00BA520E"/>
    <w:rsid w:val="00BA7AE2"/>
    <w:rsid w:val="00BB23D6"/>
    <w:rsid w:val="00BB2DB8"/>
    <w:rsid w:val="00BB35C9"/>
    <w:rsid w:val="00BB5DDB"/>
    <w:rsid w:val="00BB6330"/>
    <w:rsid w:val="00BB775D"/>
    <w:rsid w:val="00BB7D1C"/>
    <w:rsid w:val="00BC18E6"/>
    <w:rsid w:val="00BC2967"/>
    <w:rsid w:val="00BC704E"/>
    <w:rsid w:val="00BD08C4"/>
    <w:rsid w:val="00BD11C2"/>
    <w:rsid w:val="00BD2296"/>
    <w:rsid w:val="00BD23FD"/>
    <w:rsid w:val="00BD2D0C"/>
    <w:rsid w:val="00BD4DAF"/>
    <w:rsid w:val="00BD6019"/>
    <w:rsid w:val="00BD62DE"/>
    <w:rsid w:val="00BD6B8D"/>
    <w:rsid w:val="00BE3273"/>
    <w:rsid w:val="00BE3376"/>
    <w:rsid w:val="00BE3634"/>
    <w:rsid w:val="00BE6D63"/>
    <w:rsid w:val="00BE7140"/>
    <w:rsid w:val="00BF0C1D"/>
    <w:rsid w:val="00BF1E7A"/>
    <w:rsid w:val="00C015C6"/>
    <w:rsid w:val="00C01E27"/>
    <w:rsid w:val="00C020DE"/>
    <w:rsid w:val="00C02FFE"/>
    <w:rsid w:val="00C04840"/>
    <w:rsid w:val="00C06875"/>
    <w:rsid w:val="00C06C34"/>
    <w:rsid w:val="00C10C59"/>
    <w:rsid w:val="00C11433"/>
    <w:rsid w:val="00C11719"/>
    <w:rsid w:val="00C12269"/>
    <w:rsid w:val="00C13D2D"/>
    <w:rsid w:val="00C14951"/>
    <w:rsid w:val="00C159EA"/>
    <w:rsid w:val="00C2468C"/>
    <w:rsid w:val="00C27D68"/>
    <w:rsid w:val="00C3079B"/>
    <w:rsid w:val="00C325A6"/>
    <w:rsid w:val="00C33596"/>
    <w:rsid w:val="00C43566"/>
    <w:rsid w:val="00C51A05"/>
    <w:rsid w:val="00C544E9"/>
    <w:rsid w:val="00C56598"/>
    <w:rsid w:val="00C57314"/>
    <w:rsid w:val="00C610EE"/>
    <w:rsid w:val="00C624C4"/>
    <w:rsid w:val="00C65720"/>
    <w:rsid w:val="00C65B82"/>
    <w:rsid w:val="00C66B76"/>
    <w:rsid w:val="00C66B9A"/>
    <w:rsid w:val="00C7037E"/>
    <w:rsid w:val="00C71863"/>
    <w:rsid w:val="00C72639"/>
    <w:rsid w:val="00C74860"/>
    <w:rsid w:val="00C765F8"/>
    <w:rsid w:val="00C8576F"/>
    <w:rsid w:val="00C87A87"/>
    <w:rsid w:val="00C90191"/>
    <w:rsid w:val="00C944C9"/>
    <w:rsid w:val="00CA05DB"/>
    <w:rsid w:val="00CA0C56"/>
    <w:rsid w:val="00CA1892"/>
    <w:rsid w:val="00CA28EB"/>
    <w:rsid w:val="00CA3AC9"/>
    <w:rsid w:val="00CA6769"/>
    <w:rsid w:val="00CA74DE"/>
    <w:rsid w:val="00CB4B62"/>
    <w:rsid w:val="00CB6A30"/>
    <w:rsid w:val="00CC1DF1"/>
    <w:rsid w:val="00CC2AC0"/>
    <w:rsid w:val="00CC34FA"/>
    <w:rsid w:val="00CC54E5"/>
    <w:rsid w:val="00CC6397"/>
    <w:rsid w:val="00CC7F0E"/>
    <w:rsid w:val="00CD1294"/>
    <w:rsid w:val="00CD3803"/>
    <w:rsid w:val="00CD44F1"/>
    <w:rsid w:val="00CD4636"/>
    <w:rsid w:val="00CD4C46"/>
    <w:rsid w:val="00CD76B4"/>
    <w:rsid w:val="00CE02FE"/>
    <w:rsid w:val="00CE44E7"/>
    <w:rsid w:val="00CE46CA"/>
    <w:rsid w:val="00CE6961"/>
    <w:rsid w:val="00CE79AC"/>
    <w:rsid w:val="00CF0C75"/>
    <w:rsid w:val="00CF26F6"/>
    <w:rsid w:val="00CF5F88"/>
    <w:rsid w:val="00CF67D3"/>
    <w:rsid w:val="00D061F9"/>
    <w:rsid w:val="00D06760"/>
    <w:rsid w:val="00D11D2B"/>
    <w:rsid w:val="00D14365"/>
    <w:rsid w:val="00D16F65"/>
    <w:rsid w:val="00D214A8"/>
    <w:rsid w:val="00D21C81"/>
    <w:rsid w:val="00D22AC3"/>
    <w:rsid w:val="00D22DDF"/>
    <w:rsid w:val="00D23806"/>
    <w:rsid w:val="00D34132"/>
    <w:rsid w:val="00D353FC"/>
    <w:rsid w:val="00D3695B"/>
    <w:rsid w:val="00D3768C"/>
    <w:rsid w:val="00D40969"/>
    <w:rsid w:val="00D41F33"/>
    <w:rsid w:val="00D5100F"/>
    <w:rsid w:val="00D51C6C"/>
    <w:rsid w:val="00D5224C"/>
    <w:rsid w:val="00D55575"/>
    <w:rsid w:val="00D6287A"/>
    <w:rsid w:val="00D65BAE"/>
    <w:rsid w:val="00D67675"/>
    <w:rsid w:val="00D72AB5"/>
    <w:rsid w:val="00D74F4A"/>
    <w:rsid w:val="00D80858"/>
    <w:rsid w:val="00D87878"/>
    <w:rsid w:val="00D92C3F"/>
    <w:rsid w:val="00D94BE0"/>
    <w:rsid w:val="00D950C7"/>
    <w:rsid w:val="00D96E3A"/>
    <w:rsid w:val="00D97D3D"/>
    <w:rsid w:val="00DA0E3D"/>
    <w:rsid w:val="00DA1607"/>
    <w:rsid w:val="00DA4794"/>
    <w:rsid w:val="00DA4EE7"/>
    <w:rsid w:val="00DA6204"/>
    <w:rsid w:val="00DB0674"/>
    <w:rsid w:val="00DB079F"/>
    <w:rsid w:val="00DB123F"/>
    <w:rsid w:val="00DB47B6"/>
    <w:rsid w:val="00DB68C2"/>
    <w:rsid w:val="00DC19C8"/>
    <w:rsid w:val="00DD1AB0"/>
    <w:rsid w:val="00DD4624"/>
    <w:rsid w:val="00DD573D"/>
    <w:rsid w:val="00DD6F81"/>
    <w:rsid w:val="00DE2A1C"/>
    <w:rsid w:val="00DE6FF3"/>
    <w:rsid w:val="00DE7991"/>
    <w:rsid w:val="00DF031B"/>
    <w:rsid w:val="00DF16E0"/>
    <w:rsid w:val="00DF1BC8"/>
    <w:rsid w:val="00DF210A"/>
    <w:rsid w:val="00DF4034"/>
    <w:rsid w:val="00DF6BEF"/>
    <w:rsid w:val="00E02AE1"/>
    <w:rsid w:val="00E06C39"/>
    <w:rsid w:val="00E102BF"/>
    <w:rsid w:val="00E11DBA"/>
    <w:rsid w:val="00E17150"/>
    <w:rsid w:val="00E17B6F"/>
    <w:rsid w:val="00E17CE1"/>
    <w:rsid w:val="00E21B8E"/>
    <w:rsid w:val="00E23DD4"/>
    <w:rsid w:val="00E24809"/>
    <w:rsid w:val="00E30D92"/>
    <w:rsid w:val="00E31A26"/>
    <w:rsid w:val="00E324A2"/>
    <w:rsid w:val="00E3320E"/>
    <w:rsid w:val="00E419D1"/>
    <w:rsid w:val="00E42084"/>
    <w:rsid w:val="00E509A5"/>
    <w:rsid w:val="00E52FBB"/>
    <w:rsid w:val="00E542D0"/>
    <w:rsid w:val="00E54925"/>
    <w:rsid w:val="00E56073"/>
    <w:rsid w:val="00E57796"/>
    <w:rsid w:val="00E60028"/>
    <w:rsid w:val="00E625E1"/>
    <w:rsid w:val="00E6263F"/>
    <w:rsid w:val="00E7096D"/>
    <w:rsid w:val="00E75C3B"/>
    <w:rsid w:val="00E80B46"/>
    <w:rsid w:val="00E86FB2"/>
    <w:rsid w:val="00E876BF"/>
    <w:rsid w:val="00E87D08"/>
    <w:rsid w:val="00E97EE0"/>
    <w:rsid w:val="00EA1DEB"/>
    <w:rsid w:val="00EA1EC0"/>
    <w:rsid w:val="00EA373F"/>
    <w:rsid w:val="00EA4F5C"/>
    <w:rsid w:val="00EA69C3"/>
    <w:rsid w:val="00EB2260"/>
    <w:rsid w:val="00EB3E05"/>
    <w:rsid w:val="00EB602E"/>
    <w:rsid w:val="00EC17EC"/>
    <w:rsid w:val="00EC467A"/>
    <w:rsid w:val="00EC778F"/>
    <w:rsid w:val="00ED4594"/>
    <w:rsid w:val="00ED4F29"/>
    <w:rsid w:val="00ED6DDF"/>
    <w:rsid w:val="00EE0BF1"/>
    <w:rsid w:val="00EE5343"/>
    <w:rsid w:val="00EE633B"/>
    <w:rsid w:val="00EE7858"/>
    <w:rsid w:val="00EF08FA"/>
    <w:rsid w:val="00EF0BC1"/>
    <w:rsid w:val="00EF0C3C"/>
    <w:rsid w:val="00EF613F"/>
    <w:rsid w:val="00EF68A5"/>
    <w:rsid w:val="00EF6A79"/>
    <w:rsid w:val="00F0145D"/>
    <w:rsid w:val="00F01EAF"/>
    <w:rsid w:val="00F02F3D"/>
    <w:rsid w:val="00F03554"/>
    <w:rsid w:val="00F05D58"/>
    <w:rsid w:val="00F06924"/>
    <w:rsid w:val="00F07977"/>
    <w:rsid w:val="00F1076B"/>
    <w:rsid w:val="00F10D71"/>
    <w:rsid w:val="00F12955"/>
    <w:rsid w:val="00F133F8"/>
    <w:rsid w:val="00F13986"/>
    <w:rsid w:val="00F14DDD"/>
    <w:rsid w:val="00F160BC"/>
    <w:rsid w:val="00F162F0"/>
    <w:rsid w:val="00F17C23"/>
    <w:rsid w:val="00F24C8F"/>
    <w:rsid w:val="00F31E41"/>
    <w:rsid w:val="00F4167D"/>
    <w:rsid w:val="00F42EB5"/>
    <w:rsid w:val="00F444A9"/>
    <w:rsid w:val="00F47660"/>
    <w:rsid w:val="00F53BB7"/>
    <w:rsid w:val="00F54DFA"/>
    <w:rsid w:val="00F5553A"/>
    <w:rsid w:val="00F62629"/>
    <w:rsid w:val="00F62BA8"/>
    <w:rsid w:val="00F64375"/>
    <w:rsid w:val="00F673F7"/>
    <w:rsid w:val="00F67D01"/>
    <w:rsid w:val="00F72AA6"/>
    <w:rsid w:val="00F7523F"/>
    <w:rsid w:val="00F76FD5"/>
    <w:rsid w:val="00F809EF"/>
    <w:rsid w:val="00F8155B"/>
    <w:rsid w:val="00F847D3"/>
    <w:rsid w:val="00F907CF"/>
    <w:rsid w:val="00F96374"/>
    <w:rsid w:val="00F96604"/>
    <w:rsid w:val="00FA1DF2"/>
    <w:rsid w:val="00FA25D3"/>
    <w:rsid w:val="00FA4573"/>
    <w:rsid w:val="00FA4B0D"/>
    <w:rsid w:val="00FB4AAD"/>
    <w:rsid w:val="00FB55E2"/>
    <w:rsid w:val="00FB5DF1"/>
    <w:rsid w:val="00FC080A"/>
    <w:rsid w:val="00FC5451"/>
    <w:rsid w:val="00FD23E2"/>
    <w:rsid w:val="00FD40D7"/>
    <w:rsid w:val="00FD759A"/>
    <w:rsid w:val="00FD7C74"/>
    <w:rsid w:val="00FE540E"/>
    <w:rsid w:val="00FF0B71"/>
    <w:rsid w:val="00FF5F60"/>
    <w:rsid w:val="00FF763A"/>
    <w:rsid w:val="01087DAD"/>
    <w:rsid w:val="01292FD4"/>
    <w:rsid w:val="01343C25"/>
    <w:rsid w:val="01640825"/>
    <w:rsid w:val="0186237A"/>
    <w:rsid w:val="019E3125"/>
    <w:rsid w:val="01A63B13"/>
    <w:rsid w:val="01A7043C"/>
    <w:rsid w:val="01B97F5E"/>
    <w:rsid w:val="01D717C3"/>
    <w:rsid w:val="01EB68FC"/>
    <w:rsid w:val="01FF24FE"/>
    <w:rsid w:val="02005B8D"/>
    <w:rsid w:val="022D7D97"/>
    <w:rsid w:val="02917663"/>
    <w:rsid w:val="02B0607B"/>
    <w:rsid w:val="02B207C8"/>
    <w:rsid w:val="02B2285A"/>
    <w:rsid w:val="02EA2F7D"/>
    <w:rsid w:val="02EB3C7A"/>
    <w:rsid w:val="02F05C02"/>
    <w:rsid w:val="03195159"/>
    <w:rsid w:val="0322321A"/>
    <w:rsid w:val="03455F4E"/>
    <w:rsid w:val="03537F1A"/>
    <w:rsid w:val="03540DED"/>
    <w:rsid w:val="03764359"/>
    <w:rsid w:val="03802AE2"/>
    <w:rsid w:val="03C36E72"/>
    <w:rsid w:val="03FE3C6E"/>
    <w:rsid w:val="041A0672"/>
    <w:rsid w:val="041C4A67"/>
    <w:rsid w:val="041E71C0"/>
    <w:rsid w:val="04225DE0"/>
    <w:rsid w:val="04336329"/>
    <w:rsid w:val="04625C1B"/>
    <w:rsid w:val="04912ACD"/>
    <w:rsid w:val="049D685B"/>
    <w:rsid w:val="04B130BE"/>
    <w:rsid w:val="04DE234C"/>
    <w:rsid w:val="05097B24"/>
    <w:rsid w:val="05113E7D"/>
    <w:rsid w:val="052A0A40"/>
    <w:rsid w:val="053F120F"/>
    <w:rsid w:val="054A05B9"/>
    <w:rsid w:val="056965FD"/>
    <w:rsid w:val="05972365"/>
    <w:rsid w:val="05A52CD4"/>
    <w:rsid w:val="05D8183A"/>
    <w:rsid w:val="061E7767"/>
    <w:rsid w:val="062956B3"/>
    <w:rsid w:val="066147E9"/>
    <w:rsid w:val="0663125C"/>
    <w:rsid w:val="06824DC3"/>
    <w:rsid w:val="0690784C"/>
    <w:rsid w:val="06956BE5"/>
    <w:rsid w:val="06B55198"/>
    <w:rsid w:val="07027CB2"/>
    <w:rsid w:val="07480ED6"/>
    <w:rsid w:val="074958E1"/>
    <w:rsid w:val="07550E85"/>
    <w:rsid w:val="0766313B"/>
    <w:rsid w:val="07664431"/>
    <w:rsid w:val="07817D64"/>
    <w:rsid w:val="07944264"/>
    <w:rsid w:val="07944DAE"/>
    <w:rsid w:val="079E3E7E"/>
    <w:rsid w:val="07A759FD"/>
    <w:rsid w:val="07B64A08"/>
    <w:rsid w:val="07B76CEE"/>
    <w:rsid w:val="07C27951"/>
    <w:rsid w:val="07C64E1E"/>
    <w:rsid w:val="07CF5DE6"/>
    <w:rsid w:val="07E92D8B"/>
    <w:rsid w:val="07F1042B"/>
    <w:rsid w:val="07F96E69"/>
    <w:rsid w:val="08187180"/>
    <w:rsid w:val="0827305D"/>
    <w:rsid w:val="0835488D"/>
    <w:rsid w:val="08621489"/>
    <w:rsid w:val="08670714"/>
    <w:rsid w:val="087924EA"/>
    <w:rsid w:val="087D4053"/>
    <w:rsid w:val="08A27337"/>
    <w:rsid w:val="08A6136E"/>
    <w:rsid w:val="08B92A5B"/>
    <w:rsid w:val="08EE5E65"/>
    <w:rsid w:val="08EF2ECA"/>
    <w:rsid w:val="090E048F"/>
    <w:rsid w:val="090F5BDA"/>
    <w:rsid w:val="091268D2"/>
    <w:rsid w:val="096D44C2"/>
    <w:rsid w:val="09721B71"/>
    <w:rsid w:val="098A290C"/>
    <w:rsid w:val="09AF2373"/>
    <w:rsid w:val="09DD68F3"/>
    <w:rsid w:val="09E62544"/>
    <w:rsid w:val="0A140428"/>
    <w:rsid w:val="0A2C5771"/>
    <w:rsid w:val="0A530E08"/>
    <w:rsid w:val="0A6E4C9D"/>
    <w:rsid w:val="0A8E0442"/>
    <w:rsid w:val="0AA37216"/>
    <w:rsid w:val="0AA963FE"/>
    <w:rsid w:val="0AC1149F"/>
    <w:rsid w:val="0AE70586"/>
    <w:rsid w:val="0B173D3B"/>
    <w:rsid w:val="0B1D5864"/>
    <w:rsid w:val="0B272584"/>
    <w:rsid w:val="0B4722C3"/>
    <w:rsid w:val="0B5F56D3"/>
    <w:rsid w:val="0B8D2240"/>
    <w:rsid w:val="0B905E70"/>
    <w:rsid w:val="0BAD2BDD"/>
    <w:rsid w:val="0BB43C70"/>
    <w:rsid w:val="0BC90BBB"/>
    <w:rsid w:val="0BD57B01"/>
    <w:rsid w:val="0BE01BB0"/>
    <w:rsid w:val="0BE55FD0"/>
    <w:rsid w:val="0C0559D6"/>
    <w:rsid w:val="0C0664D3"/>
    <w:rsid w:val="0C105208"/>
    <w:rsid w:val="0C261DAF"/>
    <w:rsid w:val="0C4112ED"/>
    <w:rsid w:val="0C453A30"/>
    <w:rsid w:val="0C4E6EF7"/>
    <w:rsid w:val="0C57383A"/>
    <w:rsid w:val="0C5D255A"/>
    <w:rsid w:val="0C607C35"/>
    <w:rsid w:val="0C6D188D"/>
    <w:rsid w:val="0CA46698"/>
    <w:rsid w:val="0CA9555B"/>
    <w:rsid w:val="0CCE57BF"/>
    <w:rsid w:val="0CD143AE"/>
    <w:rsid w:val="0CD22716"/>
    <w:rsid w:val="0CF462EF"/>
    <w:rsid w:val="0CF602B9"/>
    <w:rsid w:val="0CF63E15"/>
    <w:rsid w:val="0CFD1647"/>
    <w:rsid w:val="0D0B58C7"/>
    <w:rsid w:val="0D0D3006"/>
    <w:rsid w:val="0D1E739B"/>
    <w:rsid w:val="0D243AB2"/>
    <w:rsid w:val="0D290962"/>
    <w:rsid w:val="0D2D07BF"/>
    <w:rsid w:val="0D476B0C"/>
    <w:rsid w:val="0D4F25F4"/>
    <w:rsid w:val="0D5704B7"/>
    <w:rsid w:val="0D58687D"/>
    <w:rsid w:val="0D621AE8"/>
    <w:rsid w:val="0D621DD1"/>
    <w:rsid w:val="0D7505C0"/>
    <w:rsid w:val="0D912413"/>
    <w:rsid w:val="0D9740F2"/>
    <w:rsid w:val="0DA16E1E"/>
    <w:rsid w:val="0DBE038E"/>
    <w:rsid w:val="0DC5681D"/>
    <w:rsid w:val="0DC83A03"/>
    <w:rsid w:val="0DCD5DB3"/>
    <w:rsid w:val="0DEC4366"/>
    <w:rsid w:val="0DFC7AA3"/>
    <w:rsid w:val="0E0E4AD3"/>
    <w:rsid w:val="0E1B2FC6"/>
    <w:rsid w:val="0E3C7F4D"/>
    <w:rsid w:val="0E517E8F"/>
    <w:rsid w:val="0E59465B"/>
    <w:rsid w:val="0E5A03D3"/>
    <w:rsid w:val="0E5C4FC1"/>
    <w:rsid w:val="0E6B5798"/>
    <w:rsid w:val="0E7904FF"/>
    <w:rsid w:val="0E850AF5"/>
    <w:rsid w:val="0E896BF7"/>
    <w:rsid w:val="0EA1187A"/>
    <w:rsid w:val="0ED10695"/>
    <w:rsid w:val="0EE01D03"/>
    <w:rsid w:val="0EE24651"/>
    <w:rsid w:val="0EE26A8E"/>
    <w:rsid w:val="0EEF226F"/>
    <w:rsid w:val="0EF826A4"/>
    <w:rsid w:val="0F0A1DF9"/>
    <w:rsid w:val="0F1707C4"/>
    <w:rsid w:val="0F203DE2"/>
    <w:rsid w:val="0F44466F"/>
    <w:rsid w:val="0F7756E1"/>
    <w:rsid w:val="0FEA0D7A"/>
    <w:rsid w:val="1003030C"/>
    <w:rsid w:val="101A0436"/>
    <w:rsid w:val="102A2274"/>
    <w:rsid w:val="1038082F"/>
    <w:rsid w:val="1045467D"/>
    <w:rsid w:val="105D642C"/>
    <w:rsid w:val="1066305F"/>
    <w:rsid w:val="107A6B0B"/>
    <w:rsid w:val="10CA62ED"/>
    <w:rsid w:val="10ED552F"/>
    <w:rsid w:val="10FC30DB"/>
    <w:rsid w:val="110454A7"/>
    <w:rsid w:val="11130523"/>
    <w:rsid w:val="113E3FDC"/>
    <w:rsid w:val="11871BFC"/>
    <w:rsid w:val="11935711"/>
    <w:rsid w:val="11A007F3"/>
    <w:rsid w:val="11C31BA2"/>
    <w:rsid w:val="11D04992"/>
    <w:rsid w:val="11E23E4F"/>
    <w:rsid w:val="11FF19BD"/>
    <w:rsid w:val="1202325C"/>
    <w:rsid w:val="12353631"/>
    <w:rsid w:val="126630A3"/>
    <w:rsid w:val="127C5E7D"/>
    <w:rsid w:val="128879FC"/>
    <w:rsid w:val="12B02CB8"/>
    <w:rsid w:val="12BA70F9"/>
    <w:rsid w:val="12CD7478"/>
    <w:rsid w:val="12D87739"/>
    <w:rsid w:val="13046B16"/>
    <w:rsid w:val="132A4F18"/>
    <w:rsid w:val="133B640A"/>
    <w:rsid w:val="136441CE"/>
    <w:rsid w:val="136A57AA"/>
    <w:rsid w:val="139A0200"/>
    <w:rsid w:val="13B10A95"/>
    <w:rsid w:val="13B76C3E"/>
    <w:rsid w:val="13C379B5"/>
    <w:rsid w:val="13C702B9"/>
    <w:rsid w:val="14025795"/>
    <w:rsid w:val="14027543"/>
    <w:rsid w:val="141C6D58"/>
    <w:rsid w:val="142625F3"/>
    <w:rsid w:val="143E4A1F"/>
    <w:rsid w:val="14435128"/>
    <w:rsid w:val="146B2DAA"/>
    <w:rsid w:val="149A59CD"/>
    <w:rsid w:val="14A10B0A"/>
    <w:rsid w:val="15017ABC"/>
    <w:rsid w:val="151C6A50"/>
    <w:rsid w:val="151C6F61"/>
    <w:rsid w:val="15347BD0"/>
    <w:rsid w:val="154047C7"/>
    <w:rsid w:val="154A0D34"/>
    <w:rsid w:val="154C1139"/>
    <w:rsid w:val="154F67B8"/>
    <w:rsid w:val="15696A13"/>
    <w:rsid w:val="15702D18"/>
    <w:rsid w:val="159F2CD8"/>
    <w:rsid w:val="15A309EF"/>
    <w:rsid w:val="15A8197E"/>
    <w:rsid w:val="15C74CD5"/>
    <w:rsid w:val="15FB38DC"/>
    <w:rsid w:val="1604578A"/>
    <w:rsid w:val="161A0B74"/>
    <w:rsid w:val="16203D34"/>
    <w:rsid w:val="16591EC8"/>
    <w:rsid w:val="165D7FAC"/>
    <w:rsid w:val="167A6206"/>
    <w:rsid w:val="16D747F2"/>
    <w:rsid w:val="170938E2"/>
    <w:rsid w:val="17144CFE"/>
    <w:rsid w:val="171543A8"/>
    <w:rsid w:val="17155B91"/>
    <w:rsid w:val="17162935"/>
    <w:rsid w:val="17226FF9"/>
    <w:rsid w:val="17325312"/>
    <w:rsid w:val="173E6699"/>
    <w:rsid w:val="1776002C"/>
    <w:rsid w:val="17A6020E"/>
    <w:rsid w:val="17D3608C"/>
    <w:rsid w:val="17FD074D"/>
    <w:rsid w:val="1819257A"/>
    <w:rsid w:val="18232599"/>
    <w:rsid w:val="184D3E16"/>
    <w:rsid w:val="18567E5D"/>
    <w:rsid w:val="185B476E"/>
    <w:rsid w:val="187F17BB"/>
    <w:rsid w:val="18876269"/>
    <w:rsid w:val="18C43019"/>
    <w:rsid w:val="18CF2287"/>
    <w:rsid w:val="18EB67F8"/>
    <w:rsid w:val="18EE756E"/>
    <w:rsid w:val="18F37ABA"/>
    <w:rsid w:val="18F64569"/>
    <w:rsid w:val="19027536"/>
    <w:rsid w:val="192C2F68"/>
    <w:rsid w:val="19415C4B"/>
    <w:rsid w:val="195645B9"/>
    <w:rsid w:val="19600F94"/>
    <w:rsid w:val="199155F1"/>
    <w:rsid w:val="19A551AF"/>
    <w:rsid w:val="19AC574E"/>
    <w:rsid w:val="19BA5E10"/>
    <w:rsid w:val="19E35F21"/>
    <w:rsid w:val="19EA1C26"/>
    <w:rsid w:val="19EB665F"/>
    <w:rsid w:val="19F23D5E"/>
    <w:rsid w:val="19FE1BA0"/>
    <w:rsid w:val="1A05347F"/>
    <w:rsid w:val="1A1C1BC8"/>
    <w:rsid w:val="1A522093"/>
    <w:rsid w:val="1A623270"/>
    <w:rsid w:val="1A6E774D"/>
    <w:rsid w:val="1A862C7C"/>
    <w:rsid w:val="1AD07C1C"/>
    <w:rsid w:val="1ADF238C"/>
    <w:rsid w:val="1AFE6CB6"/>
    <w:rsid w:val="1B0B3181"/>
    <w:rsid w:val="1B122762"/>
    <w:rsid w:val="1B141259"/>
    <w:rsid w:val="1B174443"/>
    <w:rsid w:val="1B216C7F"/>
    <w:rsid w:val="1B3D4A71"/>
    <w:rsid w:val="1B430262"/>
    <w:rsid w:val="1B681504"/>
    <w:rsid w:val="1C16688D"/>
    <w:rsid w:val="1C1E3C86"/>
    <w:rsid w:val="1C1E4159"/>
    <w:rsid w:val="1C281688"/>
    <w:rsid w:val="1C2838BF"/>
    <w:rsid w:val="1C451422"/>
    <w:rsid w:val="1C4557BA"/>
    <w:rsid w:val="1C5F536E"/>
    <w:rsid w:val="1C766D20"/>
    <w:rsid w:val="1C7B66ED"/>
    <w:rsid w:val="1CBF4223"/>
    <w:rsid w:val="1CCB2BC8"/>
    <w:rsid w:val="1CD87093"/>
    <w:rsid w:val="1CD9325D"/>
    <w:rsid w:val="1CDE3050"/>
    <w:rsid w:val="1CE41EDC"/>
    <w:rsid w:val="1CE4737F"/>
    <w:rsid w:val="1CEC5B6E"/>
    <w:rsid w:val="1D0C5A51"/>
    <w:rsid w:val="1D143AE3"/>
    <w:rsid w:val="1D1E3601"/>
    <w:rsid w:val="1D4330A6"/>
    <w:rsid w:val="1D5A49F2"/>
    <w:rsid w:val="1D707A2B"/>
    <w:rsid w:val="1D925F02"/>
    <w:rsid w:val="1DA168F7"/>
    <w:rsid w:val="1DA43487"/>
    <w:rsid w:val="1DBA49EB"/>
    <w:rsid w:val="1DBD01B4"/>
    <w:rsid w:val="1DC35F95"/>
    <w:rsid w:val="1DC56FBB"/>
    <w:rsid w:val="1DC74FF5"/>
    <w:rsid w:val="1DD22107"/>
    <w:rsid w:val="1DD968F2"/>
    <w:rsid w:val="1DDB7295"/>
    <w:rsid w:val="1DE01033"/>
    <w:rsid w:val="1DFD108C"/>
    <w:rsid w:val="1E200CF1"/>
    <w:rsid w:val="1E244D16"/>
    <w:rsid w:val="1E565A49"/>
    <w:rsid w:val="1E6B4C46"/>
    <w:rsid w:val="1E6E4CAD"/>
    <w:rsid w:val="1E7720EA"/>
    <w:rsid w:val="1E895EDE"/>
    <w:rsid w:val="1E8A6AB3"/>
    <w:rsid w:val="1E917E41"/>
    <w:rsid w:val="1E933BB9"/>
    <w:rsid w:val="1EC90276"/>
    <w:rsid w:val="1EE30421"/>
    <w:rsid w:val="1EE95587"/>
    <w:rsid w:val="1EEA3A97"/>
    <w:rsid w:val="1EF42755"/>
    <w:rsid w:val="1F095C2A"/>
    <w:rsid w:val="1F0E55F1"/>
    <w:rsid w:val="1F2064E9"/>
    <w:rsid w:val="1F256FEF"/>
    <w:rsid w:val="1F2B5A50"/>
    <w:rsid w:val="1F574BE7"/>
    <w:rsid w:val="1F635DCE"/>
    <w:rsid w:val="1F792D40"/>
    <w:rsid w:val="1F794953"/>
    <w:rsid w:val="1FB262C1"/>
    <w:rsid w:val="1FC57E4C"/>
    <w:rsid w:val="20105C80"/>
    <w:rsid w:val="2020085A"/>
    <w:rsid w:val="20362A4E"/>
    <w:rsid w:val="20541126"/>
    <w:rsid w:val="20667C75"/>
    <w:rsid w:val="20745325"/>
    <w:rsid w:val="2093568E"/>
    <w:rsid w:val="20A0258E"/>
    <w:rsid w:val="20A11A45"/>
    <w:rsid w:val="20AC40FB"/>
    <w:rsid w:val="20B10327"/>
    <w:rsid w:val="20B172A3"/>
    <w:rsid w:val="20D05BD7"/>
    <w:rsid w:val="20D212C7"/>
    <w:rsid w:val="20D47F9B"/>
    <w:rsid w:val="20DD55C0"/>
    <w:rsid w:val="20FE6225"/>
    <w:rsid w:val="2100367E"/>
    <w:rsid w:val="210963B5"/>
    <w:rsid w:val="21253A7D"/>
    <w:rsid w:val="212C5413"/>
    <w:rsid w:val="21407217"/>
    <w:rsid w:val="216D3BF2"/>
    <w:rsid w:val="21B005DE"/>
    <w:rsid w:val="21BD61A2"/>
    <w:rsid w:val="21D32BCC"/>
    <w:rsid w:val="21E07475"/>
    <w:rsid w:val="21F229A5"/>
    <w:rsid w:val="21FF6007"/>
    <w:rsid w:val="22064280"/>
    <w:rsid w:val="222F1E4B"/>
    <w:rsid w:val="22310E63"/>
    <w:rsid w:val="226E2973"/>
    <w:rsid w:val="22803DF9"/>
    <w:rsid w:val="22A5210D"/>
    <w:rsid w:val="22A85759"/>
    <w:rsid w:val="22AD1936"/>
    <w:rsid w:val="22B4516B"/>
    <w:rsid w:val="22C8229D"/>
    <w:rsid w:val="22CA1839"/>
    <w:rsid w:val="22DD73CB"/>
    <w:rsid w:val="22DF0BC8"/>
    <w:rsid w:val="23052BAC"/>
    <w:rsid w:val="230D4F28"/>
    <w:rsid w:val="230E1A60"/>
    <w:rsid w:val="230F7587"/>
    <w:rsid w:val="23287C2F"/>
    <w:rsid w:val="23414FDB"/>
    <w:rsid w:val="2393584C"/>
    <w:rsid w:val="23AA1BF9"/>
    <w:rsid w:val="23B9280A"/>
    <w:rsid w:val="23CB3027"/>
    <w:rsid w:val="23DC1B5F"/>
    <w:rsid w:val="23DD2CC9"/>
    <w:rsid w:val="23EF232B"/>
    <w:rsid w:val="23F750B7"/>
    <w:rsid w:val="24353767"/>
    <w:rsid w:val="246D4B14"/>
    <w:rsid w:val="24773635"/>
    <w:rsid w:val="24863454"/>
    <w:rsid w:val="248863FE"/>
    <w:rsid w:val="248F097F"/>
    <w:rsid w:val="24A55FFB"/>
    <w:rsid w:val="24B863C1"/>
    <w:rsid w:val="24C55F02"/>
    <w:rsid w:val="24E52C95"/>
    <w:rsid w:val="25207225"/>
    <w:rsid w:val="254000DA"/>
    <w:rsid w:val="25453733"/>
    <w:rsid w:val="2566419C"/>
    <w:rsid w:val="256B02A1"/>
    <w:rsid w:val="25883C85"/>
    <w:rsid w:val="259506A1"/>
    <w:rsid w:val="25A76319"/>
    <w:rsid w:val="25B06611"/>
    <w:rsid w:val="25C17799"/>
    <w:rsid w:val="25F72C80"/>
    <w:rsid w:val="2613754D"/>
    <w:rsid w:val="263104FD"/>
    <w:rsid w:val="265F095F"/>
    <w:rsid w:val="267267AA"/>
    <w:rsid w:val="2675705C"/>
    <w:rsid w:val="26773DC1"/>
    <w:rsid w:val="26815B10"/>
    <w:rsid w:val="26A1499A"/>
    <w:rsid w:val="26A43DE2"/>
    <w:rsid w:val="26AA6063"/>
    <w:rsid w:val="26AE41AD"/>
    <w:rsid w:val="26F33949"/>
    <w:rsid w:val="26FE0374"/>
    <w:rsid w:val="27003CC4"/>
    <w:rsid w:val="27064377"/>
    <w:rsid w:val="270C4C5A"/>
    <w:rsid w:val="27274843"/>
    <w:rsid w:val="27383119"/>
    <w:rsid w:val="273852FE"/>
    <w:rsid w:val="275A34C6"/>
    <w:rsid w:val="27792C23"/>
    <w:rsid w:val="278702C4"/>
    <w:rsid w:val="278E13C2"/>
    <w:rsid w:val="27EB70BC"/>
    <w:rsid w:val="27F31DF1"/>
    <w:rsid w:val="280B23EB"/>
    <w:rsid w:val="281832D7"/>
    <w:rsid w:val="28186EDD"/>
    <w:rsid w:val="281C077C"/>
    <w:rsid w:val="282876DC"/>
    <w:rsid w:val="28602F11"/>
    <w:rsid w:val="28652973"/>
    <w:rsid w:val="286D68F1"/>
    <w:rsid w:val="2873044C"/>
    <w:rsid w:val="287C7AB2"/>
    <w:rsid w:val="2891460D"/>
    <w:rsid w:val="289941C1"/>
    <w:rsid w:val="28C64B8B"/>
    <w:rsid w:val="28D218CE"/>
    <w:rsid w:val="28E63F9D"/>
    <w:rsid w:val="28FC0E9C"/>
    <w:rsid w:val="29361950"/>
    <w:rsid w:val="296C0DFE"/>
    <w:rsid w:val="29883BEF"/>
    <w:rsid w:val="298F4F7D"/>
    <w:rsid w:val="29947EDF"/>
    <w:rsid w:val="299C7B29"/>
    <w:rsid w:val="299F5316"/>
    <w:rsid w:val="29B0155A"/>
    <w:rsid w:val="29EB48A9"/>
    <w:rsid w:val="29F83EB1"/>
    <w:rsid w:val="2A4E7AC9"/>
    <w:rsid w:val="2A4F3ED8"/>
    <w:rsid w:val="2A705E19"/>
    <w:rsid w:val="2A753218"/>
    <w:rsid w:val="2A7775B4"/>
    <w:rsid w:val="2AAD6003"/>
    <w:rsid w:val="2AC330A0"/>
    <w:rsid w:val="2AE74CB2"/>
    <w:rsid w:val="2AEF15E9"/>
    <w:rsid w:val="2B3836F1"/>
    <w:rsid w:val="2B391645"/>
    <w:rsid w:val="2B3B7027"/>
    <w:rsid w:val="2B473575"/>
    <w:rsid w:val="2B585F6F"/>
    <w:rsid w:val="2B6D7540"/>
    <w:rsid w:val="2BA54F2C"/>
    <w:rsid w:val="2BCA6741"/>
    <w:rsid w:val="2BD65C9A"/>
    <w:rsid w:val="2BDF6FA8"/>
    <w:rsid w:val="2BE0256A"/>
    <w:rsid w:val="2BE45480"/>
    <w:rsid w:val="2BEF61A7"/>
    <w:rsid w:val="2BF1120B"/>
    <w:rsid w:val="2C1B0E3F"/>
    <w:rsid w:val="2C1B5B20"/>
    <w:rsid w:val="2C2422F5"/>
    <w:rsid w:val="2C291D7E"/>
    <w:rsid w:val="2C387563"/>
    <w:rsid w:val="2C6D53A8"/>
    <w:rsid w:val="2C884E64"/>
    <w:rsid w:val="2C8E59C0"/>
    <w:rsid w:val="2C8F5AC1"/>
    <w:rsid w:val="2C9D4F24"/>
    <w:rsid w:val="2C9E6A42"/>
    <w:rsid w:val="2CA927FA"/>
    <w:rsid w:val="2CD62E42"/>
    <w:rsid w:val="2CE675AA"/>
    <w:rsid w:val="2D221D56"/>
    <w:rsid w:val="2D236108"/>
    <w:rsid w:val="2D262BA0"/>
    <w:rsid w:val="2D2B239A"/>
    <w:rsid w:val="2D2F0F51"/>
    <w:rsid w:val="2D437140"/>
    <w:rsid w:val="2D500BA5"/>
    <w:rsid w:val="2D517119"/>
    <w:rsid w:val="2D7828F8"/>
    <w:rsid w:val="2D92328E"/>
    <w:rsid w:val="2D9644D0"/>
    <w:rsid w:val="2D993877"/>
    <w:rsid w:val="2DC002F6"/>
    <w:rsid w:val="2DCB7786"/>
    <w:rsid w:val="2DE04210"/>
    <w:rsid w:val="2DE868B2"/>
    <w:rsid w:val="2E06778F"/>
    <w:rsid w:val="2E203B68"/>
    <w:rsid w:val="2E2D511C"/>
    <w:rsid w:val="2E6811EE"/>
    <w:rsid w:val="2E717ED8"/>
    <w:rsid w:val="2E7877C2"/>
    <w:rsid w:val="2E7D3F3E"/>
    <w:rsid w:val="2E9D1806"/>
    <w:rsid w:val="2EB62660"/>
    <w:rsid w:val="2EB74F35"/>
    <w:rsid w:val="2EB864D6"/>
    <w:rsid w:val="2EBA6F40"/>
    <w:rsid w:val="2EBD433B"/>
    <w:rsid w:val="2ED434D0"/>
    <w:rsid w:val="2EDD4D22"/>
    <w:rsid w:val="2EF44200"/>
    <w:rsid w:val="2EF54FC2"/>
    <w:rsid w:val="2F016F0F"/>
    <w:rsid w:val="2F266384"/>
    <w:rsid w:val="2F6926FE"/>
    <w:rsid w:val="2F6B2D48"/>
    <w:rsid w:val="2F716073"/>
    <w:rsid w:val="2F9959A7"/>
    <w:rsid w:val="2FA04DC7"/>
    <w:rsid w:val="2FD14541"/>
    <w:rsid w:val="2FD65AF1"/>
    <w:rsid w:val="2FD67E12"/>
    <w:rsid w:val="2FDB53C0"/>
    <w:rsid w:val="2FE30E08"/>
    <w:rsid w:val="2FF05C23"/>
    <w:rsid w:val="304545E8"/>
    <w:rsid w:val="30457480"/>
    <w:rsid w:val="30775F8F"/>
    <w:rsid w:val="30885B13"/>
    <w:rsid w:val="309112ED"/>
    <w:rsid w:val="30A15F16"/>
    <w:rsid w:val="30B3693B"/>
    <w:rsid w:val="30ED53AB"/>
    <w:rsid w:val="31182507"/>
    <w:rsid w:val="312E1520"/>
    <w:rsid w:val="31476416"/>
    <w:rsid w:val="31674F0F"/>
    <w:rsid w:val="31753D15"/>
    <w:rsid w:val="317E4CED"/>
    <w:rsid w:val="31C7551E"/>
    <w:rsid w:val="31E62D12"/>
    <w:rsid w:val="32087A69"/>
    <w:rsid w:val="320D7387"/>
    <w:rsid w:val="321E75CB"/>
    <w:rsid w:val="32201B46"/>
    <w:rsid w:val="322B2444"/>
    <w:rsid w:val="32556C13"/>
    <w:rsid w:val="326939F2"/>
    <w:rsid w:val="3274583A"/>
    <w:rsid w:val="32A551AE"/>
    <w:rsid w:val="32C728C5"/>
    <w:rsid w:val="32C91500"/>
    <w:rsid w:val="32EA6E10"/>
    <w:rsid w:val="32F72511"/>
    <w:rsid w:val="3302378B"/>
    <w:rsid w:val="33365A64"/>
    <w:rsid w:val="338D73BE"/>
    <w:rsid w:val="33A63DFF"/>
    <w:rsid w:val="33AD3090"/>
    <w:rsid w:val="33D628DE"/>
    <w:rsid w:val="33D6343E"/>
    <w:rsid w:val="33E61BE2"/>
    <w:rsid w:val="33E9447A"/>
    <w:rsid w:val="3408055E"/>
    <w:rsid w:val="341624CA"/>
    <w:rsid w:val="34270BD4"/>
    <w:rsid w:val="346440B1"/>
    <w:rsid w:val="346E05B1"/>
    <w:rsid w:val="34727975"/>
    <w:rsid w:val="3473762B"/>
    <w:rsid w:val="348964CB"/>
    <w:rsid w:val="348B393B"/>
    <w:rsid w:val="348E2A01"/>
    <w:rsid w:val="34942DA3"/>
    <w:rsid w:val="34B072B5"/>
    <w:rsid w:val="34F003AC"/>
    <w:rsid w:val="34FF7013"/>
    <w:rsid w:val="352670DE"/>
    <w:rsid w:val="353F1C96"/>
    <w:rsid w:val="356D7BD8"/>
    <w:rsid w:val="35835CD3"/>
    <w:rsid w:val="35867B7C"/>
    <w:rsid w:val="3593220B"/>
    <w:rsid w:val="35A52308"/>
    <w:rsid w:val="35A70A2B"/>
    <w:rsid w:val="35C3631F"/>
    <w:rsid w:val="35DF3671"/>
    <w:rsid w:val="361909F0"/>
    <w:rsid w:val="36251143"/>
    <w:rsid w:val="363555D0"/>
    <w:rsid w:val="365748E2"/>
    <w:rsid w:val="365967F3"/>
    <w:rsid w:val="367C17A3"/>
    <w:rsid w:val="36A929A6"/>
    <w:rsid w:val="36D358EB"/>
    <w:rsid w:val="36D6243D"/>
    <w:rsid w:val="36D7109D"/>
    <w:rsid w:val="36DF57F4"/>
    <w:rsid w:val="36F701C8"/>
    <w:rsid w:val="37180E22"/>
    <w:rsid w:val="371D38DB"/>
    <w:rsid w:val="37312657"/>
    <w:rsid w:val="3734232A"/>
    <w:rsid w:val="374936D5"/>
    <w:rsid w:val="375D5852"/>
    <w:rsid w:val="376E6BF4"/>
    <w:rsid w:val="37737C8C"/>
    <w:rsid w:val="377D1894"/>
    <w:rsid w:val="378A6CF2"/>
    <w:rsid w:val="379F4F25"/>
    <w:rsid w:val="37AF1F8D"/>
    <w:rsid w:val="37F63D50"/>
    <w:rsid w:val="37FA13AE"/>
    <w:rsid w:val="37FB5255"/>
    <w:rsid w:val="38087DC6"/>
    <w:rsid w:val="3810197F"/>
    <w:rsid w:val="38187D58"/>
    <w:rsid w:val="382B0567"/>
    <w:rsid w:val="383A69FC"/>
    <w:rsid w:val="38465849"/>
    <w:rsid w:val="38526CB0"/>
    <w:rsid w:val="3874658A"/>
    <w:rsid w:val="38B247E4"/>
    <w:rsid w:val="38B25237"/>
    <w:rsid w:val="38C83769"/>
    <w:rsid w:val="38CF552F"/>
    <w:rsid w:val="38D371C3"/>
    <w:rsid w:val="38D472DC"/>
    <w:rsid w:val="38D86941"/>
    <w:rsid w:val="38E13941"/>
    <w:rsid w:val="38E272C7"/>
    <w:rsid w:val="38EC73BC"/>
    <w:rsid w:val="390D30A4"/>
    <w:rsid w:val="39155A7E"/>
    <w:rsid w:val="391D25A6"/>
    <w:rsid w:val="39212047"/>
    <w:rsid w:val="392456E2"/>
    <w:rsid w:val="39281DDC"/>
    <w:rsid w:val="39327FD3"/>
    <w:rsid w:val="395C22D5"/>
    <w:rsid w:val="39653E2D"/>
    <w:rsid w:val="39846181"/>
    <w:rsid w:val="3A05572B"/>
    <w:rsid w:val="3A100FCE"/>
    <w:rsid w:val="3A1C58FE"/>
    <w:rsid w:val="3A1F5F19"/>
    <w:rsid w:val="3A3A4CB5"/>
    <w:rsid w:val="3A461688"/>
    <w:rsid w:val="3A932E83"/>
    <w:rsid w:val="3AB67611"/>
    <w:rsid w:val="3ABD5E67"/>
    <w:rsid w:val="3ABF3D28"/>
    <w:rsid w:val="3AF16FAB"/>
    <w:rsid w:val="3AF84E44"/>
    <w:rsid w:val="3AF8522A"/>
    <w:rsid w:val="3B011F4A"/>
    <w:rsid w:val="3B077069"/>
    <w:rsid w:val="3B286FE0"/>
    <w:rsid w:val="3B2F3F7B"/>
    <w:rsid w:val="3B444219"/>
    <w:rsid w:val="3B547DD5"/>
    <w:rsid w:val="3B670BF4"/>
    <w:rsid w:val="3B762441"/>
    <w:rsid w:val="3B9F54F4"/>
    <w:rsid w:val="3BB15227"/>
    <w:rsid w:val="3BD24954"/>
    <w:rsid w:val="3BD925DF"/>
    <w:rsid w:val="3C0B0DDB"/>
    <w:rsid w:val="3C1312DE"/>
    <w:rsid w:val="3C1C4D96"/>
    <w:rsid w:val="3C2128DA"/>
    <w:rsid w:val="3C485B8B"/>
    <w:rsid w:val="3C5970EE"/>
    <w:rsid w:val="3C5E0F0B"/>
    <w:rsid w:val="3CA513FD"/>
    <w:rsid w:val="3CB420F3"/>
    <w:rsid w:val="3CBA221B"/>
    <w:rsid w:val="3CBD665B"/>
    <w:rsid w:val="3CC130FB"/>
    <w:rsid w:val="3CC2593E"/>
    <w:rsid w:val="3CCF1E09"/>
    <w:rsid w:val="3CEB13EF"/>
    <w:rsid w:val="3CF93D3D"/>
    <w:rsid w:val="3D0A1093"/>
    <w:rsid w:val="3D580050"/>
    <w:rsid w:val="3D65276D"/>
    <w:rsid w:val="3D6737CF"/>
    <w:rsid w:val="3D8175A7"/>
    <w:rsid w:val="3D994F78"/>
    <w:rsid w:val="3DAC3EF8"/>
    <w:rsid w:val="3DC80E9B"/>
    <w:rsid w:val="3DCA3DBC"/>
    <w:rsid w:val="3DCD43C2"/>
    <w:rsid w:val="3DDA3DFD"/>
    <w:rsid w:val="3DEE62BF"/>
    <w:rsid w:val="3DF43F30"/>
    <w:rsid w:val="3E0C4997"/>
    <w:rsid w:val="3E2437C2"/>
    <w:rsid w:val="3E392D72"/>
    <w:rsid w:val="3E4740D5"/>
    <w:rsid w:val="3E652BD4"/>
    <w:rsid w:val="3E6D5E4E"/>
    <w:rsid w:val="3EA8357F"/>
    <w:rsid w:val="3EB33799"/>
    <w:rsid w:val="3EB5355F"/>
    <w:rsid w:val="3EC8588E"/>
    <w:rsid w:val="3EE45DBE"/>
    <w:rsid w:val="3EED6576"/>
    <w:rsid w:val="3EF26958"/>
    <w:rsid w:val="3F0F0BE2"/>
    <w:rsid w:val="3F2B21F5"/>
    <w:rsid w:val="3F415034"/>
    <w:rsid w:val="3F986DE5"/>
    <w:rsid w:val="3FA101EA"/>
    <w:rsid w:val="3FEC2CD2"/>
    <w:rsid w:val="40192BB8"/>
    <w:rsid w:val="4025697C"/>
    <w:rsid w:val="40501202"/>
    <w:rsid w:val="405763D1"/>
    <w:rsid w:val="405B3577"/>
    <w:rsid w:val="406F2F19"/>
    <w:rsid w:val="40A9471F"/>
    <w:rsid w:val="40A9551D"/>
    <w:rsid w:val="40C63523"/>
    <w:rsid w:val="40E57E4D"/>
    <w:rsid w:val="40FB0A9B"/>
    <w:rsid w:val="41210759"/>
    <w:rsid w:val="41270465"/>
    <w:rsid w:val="414E75EC"/>
    <w:rsid w:val="41614FF9"/>
    <w:rsid w:val="4176317A"/>
    <w:rsid w:val="41905D8D"/>
    <w:rsid w:val="41AE7700"/>
    <w:rsid w:val="41B45A71"/>
    <w:rsid w:val="41D45489"/>
    <w:rsid w:val="41D63A32"/>
    <w:rsid w:val="41E77E2B"/>
    <w:rsid w:val="41F93C0D"/>
    <w:rsid w:val="421D4098"/>
    <w:rsid w:val="423D3025"/>
    <w:rsid w:val="4246491B"/>
    <w:rsid w:val="42520303"/>
    <w:rsid w:val="42664606"/>
    <w:rsid w:val="426D07F2"/>
    <w:rsid w:val="42703746"/>
    <w:rsid w:val="427174BE"/>
    <w:rsid w:val="427C5B2B"/>
    <w:rsid w:val="42A41642"/>
    <w:rsid w:val="42CB6BCE"/>
    <w:rsid w:val="42CF4332"/>
    <w:rsid w:val="42D02437"/>
    <w:rsid w:val="42DD73AB"/>
    <w:rsid w:val="42E36CC4"/>
    <w:rsid w:val="42EF5ED6"/>
    <w:rsid w:val="42F405CF"/>
    <w:rsid w:val="42FF1DAA"/>
    <w:rsid w:val="42FF1F20"/>
    <w:rsid w:val="435D4AE9"/>
    <w:rsid w:val="437B23A2"/>
    <w:rsid w:val="43A966D6"/>
    <w:rsid w:val="43C502C4"/>
    <w:rsid w:val="43CF26EE"/>
    <w:rsid w:val="43E65EE1"/>
    <w:rsid w:val="43FD725B"/>
    <w:rsid w:val="44093E86"/>
    <w:rsid w:val="44403172"/>
    <w:rsid w:val="447656D0"/>
    <w:rsid w:val="447B1936"/>
    <w:rsid w:val="44872FC9"/>
    <w:rsid w:val="448E1A21"/>
    <w:rsid w:val="44A7099B"/>
    <w:rsid w:val="44B94A2D"/>
    <w:rsid w:val="44BC195A"/>
    <w:rsid w:val="44C02178"/>
    <w:rsid w:val="44C76D8F"/>
    <w:rsid w:val="44DE756D"/>
    <w:rsid w:val="44E96EC7"/>
    <w:rsid w:val="44F7014F"/>
    <w:rsid w:val="452C6392"/>
    <w:rsid w:val="452F5B59"/>
    <w:rsid w:val="455C7EFE"/>
    <w:rsid w:val="45622D3C"/>
    <w:rsid w:val="45912351"/>
    <w:rsid w:val="459378A7"/>
    <w:rsid w:val="45A858ED"/>
    <w:rsid w:val="45B51699"/>
    <w:rsid w:val="45C02C36"/>
    <w:rsid w:val="45E57910"/>
    <w:rsid w:val="45F12DF0"/>
    <w:rsid w:val="45FB34D6"/>
    <w:rsid w:val="46696B15"/>
    <w:rsid w:val="466B74B2"/>
    <w:rsid w:val="46E24836"/>
    <w:rsid w:val="46F04F57"/>
    <w:rsid w:val="470353BB"/>
    <w:rsid w:val="472B387E"/>
    <w:rsid w:val="473531B0"/>
    <w:rsid w:val="473A2575"/>
    <w:rsid w:val="4743775F"/>
    <w:rsid w:val="4751162D"/>
    <w:rsid w:val="478E3243"/>
    <w:rsid w:val="47954F1F"/>
    <w:rsid w:val="47A3011A"/>
    <w:rsid w:val="47A91DF7"/>
    <w:rsid w:val="47B24801"/>
    <w:rsid w:val="47C560AC"/>
    <w:rsid w:val="47EE4D3A"/>
    <w:rsid w:val="47F0346A"/>
    <w:rsid w:val="47FE3FA9"/>
    <w:rsid w:val="4840749F"/>
    <w:rsid w:val="48580F04"/>
    <w:rsid w:val="485C38F6"/>
    <w:rsid w:val="486D5CE0"/>
    <w:rsid w:val="489D3EF9"/>
    <w:rsid w:val="48AE11D0"/>
    <w:rsid w:val="48BD13F5"/>
    <w:rsid w:val="48CA3D85"/>
    <w:rsid w:val="48D15F31"/>
    <w:rsid w:val="48E352F1"/>
    <w:rsid w:val="48FB510C"/>
    <w:rsid w:val="48FD385A"/>
    <w:rsid w:val="4915310D"/>
    <w:rsid w:val="492952B0"/>
    <w:rsid w:val="492D2391"/>
    <w:rsid w:val="49415E3C"/>
    <w:rsid w:val="495652F9"/>
    <w:rsid w:val="49783238"/>
    <w:rsid w:val="499624A2"/>
    <w:rsid w:val="499C1303"/>
    <w:rsid w:val="499D7B9B"/>
    <w:rsid w:val="499E0A6D"/>
    <w:rsid w:val="49B572D9"/>
    <w:rsid w:val="49B74E34"/>
    <w:rsid w:val="49CC38BE"/>
    <w:rsid w:val="49DE7B2F"/>
    <w:rsid w:val="4A0A4480"/>
    <w:rsid w:val="4A136062"/>
    <w:rsid w:val="4A200F72"/>
    <w:rsid w:val="4A434D46"/>
    <w:rsid w:val="4A6F0787"/>
    <w:rsid w:val="4A91694F"/>
    <w:rsid w:val="4A96366D"/>
    <w:rsid w:val="4A985F30"/>
    <w:rsid w:val="4A9D3A50"/>
    <w:rsid w:val="4AA4282E"/>
    <w:rsid w:val="4AA85A47"/>
    <w:rsid w:val="4AC66E81"/>
    <w:rsid w:val="4AE9319A"/>
    <w:rsid w:val="4B011504"/>
    <w:rsid w:val="4B10309B"/>
    <w:rsid w:val="4B410375"/>
    <w:rsid w:val="4B49547C"/>
    <w:rsid w:val="4B5E109A"/>
    <w:rsid w:val="4B647BC0"/>
    <w:rsid w:val="4B856D85"/>
    <w:rsid w:val="4B8B22B0"/>
    <w:rsid w:val="4BA75256"/>
    <w:rsid w:val="4C202766"/>
    <w:rsid w:val="4C5C4D3B"/>
    <w:rsid w:val="4C737DFB"/>
    <w:rsid w:val="4C8B6C09"/>
    <w:rsid w:val="4C910E89"/>
    <w:rsid w:val="4CB93F3C"/>
    <w:rsid w:val="4D1A1780"/>
    <w:rsid w:val="4D1D6C58"/>
    <w:rsid w:val="4D454910"/>
    <w:rsid w:val="4D4611E4"/>
    <w:rsid w:val="4D477799"/>
    <w:rsid w:val="4D695962"/>
    <w:rsid w:val="4D75519B"/>
    <w:rsid w:val="4D853055"/>
    <w:rsid w:val="4DA22C22"/>
    <w:rsid w:val="4DC300D0"/>
    <w:rsid w:val="4DE668D8"/>
    <w:rsid w:val="4DED46E4"/>
    <w:rsid w:val="4DFA75E6"/>
    <w:rsid w:val="4DFD36D0"/>
    <w:rsid w:val="4E1632E3"/>
    <w:rsid w:val="4E185E82"/>
    <w:rsid w:val="4E272252"/>
    <w:rsid w:val="4E353158"/>
    <w:rsid w:val="4E51270D"/>
    <w:rsid w:val="4E910898"/>
    <w:rsid w:val="4E9566BC"/>
    <w:rsid w:val="4EA33567"/>
    <w:rsid w:val="4EAC741A"/>
    <w:rsid w:val="4EBA104D"/>
    <w:rsid w:val="4EDA4CF5"/>
    <w:rsid w:val="4EDB63EB"/>
    <w:rsid w:val="4EFD1168"/>
    <w:rsid w:val="4F063537"/>
    <w:rsid w:val="4F0911AA"/>
    <w:rsid w:val="4F1C60E4"/>
    <w:rsid w:val="4F2149DF"/>
    <w:rsid w:val="4F240DCF"/>
    <w:rsid w:val="4F2945FB"/>
    <w:rsid w:val="4F2C6C47"/>
    <w:rsid w:val="4F337FD5"/>
    <w:rsid w:val="4FAB1E17"/>
    <w:rsid w:val="4FB07878"/>
    <w:rsid w:val="4FD96283"/>
    <w:rsid w:val="4FE867F4"/>
    <w:rsid w:val="4FF90003"/>
    <w:rsid w:val="504B134F"/>
    <w:rsid w:val="50812FC2"/>
    <w:rsid w:val="508807F5"/>
    <w:rsid w:val="50882241"/>
    <w:rsid w:val="50977978"/>
    <w:rsid w:val="50CC2809"/>
    <w:rsid w:val="50E53B54"/>
    <w:rsid w:val="51001985"/>
    <w:rsid w:val="51435470"/>
    <w:rsid w:val="514D3885"/>
    <w:rsid w:val="515B7CB7"/>
    <w:rsid w:val="51730B5D"/>
    <w:rsid w:val="51A00E60"/>
    <w:rsid w:val="51A0666A"/>
    <w:rsid w:val="51A90A23"/>
    <w:rsid w:val="51B05FB9"/>
    <w:rsid w:val="51F04317"/>
    <w:rsid w:val="52346A85"/>
    <w:rsid w:val="524E6C44"/>
    <w:rsid w:val="527269C3"/>
    <w:rsid w:val="52A21428"/>
    <w:rsid w:val="52A35472"/>
    <w:rsid w:val="52BB3BA9"/>
    <w:rsid w:val="52DE6C30"/>
    <w:rsid w:val="52E13068"/>
    <w:rsid w:val="52ED5362"/>
    <w:rsid w:val="52F77906"/>
    <w:rsid w:val="5339717B"/>
    <w:rsid w:val="533D7905"/>
    <w:rsid w:val="534435B8"/>
    <w:rsid w:val="534A02FA"/>
    <w:rsid w:val="53576FCE"/>
    <w:rsid w:val="538166E2"/>
    <w:rsid w:val="538625DD"/>
    <w:rsid w:val="53AC65A8"/>
    <w:rsid w:val="53B10211"/>
    <w:rsid w:val="53BD1699"/>
    <w:rsid w:val="53D77AC9"/>
    <w:rsid w:val="53DE6642"/>
    <w:rsid w:val="54181DF5"/>
    <w:rsid w:val="54215965"/>
    <w:rsid w:val="54277EAB"/>
    <w:rsid w:val="544C01DA"/>
    <w:rsid w:val="546056D6"/>
    <w:rsid w:val="546147CF"/>
    <w:rsid w:val="54705AAB"/>
    <w:rsid w:val="547A72DF"/>
    <w:rsid w:val="548328B3"/>
    <w:rsid w:val="549C1469"/>
    <w:rsid w:val="54A72E72"/>
    <w:rsid w:val="54AA12E8"/>
    <w:rsid w:val="54BF40B9"/>
    <w:rsid w:val="54DF75D5"/>
    <w:rsid w:val="55182C12"/>
    <w:rsid w:val="55202DAA"/>
    <w:rsid w:val="556A2277"/>
    <w:rsid w:val="55DE23F5"/>
    <w:rsid w:val="56004989"/>
    <w:rsid w:val="56020701"/>
    <w:rsid w:val="56073F6A"/>
    <w:rsid w:val="561E18E1"/>
    <w:rsid w:val="562C126D"/>
    <w:rsid w:val="562D3B44"/>
    <w:rsid w:val="562F16E6"/>
    <w:rsid w:val="56462CE4"/>
    <w:rsid w:val="564907F2"/>
    <w:rsid w:val="56496330"/>
    <w:rsid w:val="564D3EA7"/>
    <w:rsid w:val="565371AF"/>
    <w:rsid w:val="56691ADD"/>
    <w:rsid w:val="567F61F6"/>
    <w:rsid w:val="567F7FA4"/>
    <w:rsid w:val="56F30DBC"/>
    <w:rsid w:val="570606C5"/>
    <w:rsid w:val="57063DED"/>
    <w:rsid w:val="573837FF"/>
    <w:rsid w:val="57770C7B"/>
    <w:rsid w:val="57A06543"/>
    <w:rsid w:val="581A12AA"/>
    <w:rsid w:val="581A4428"/>
    <w:rsid w:val="581E07F5"/>
    <w:rsid w:val="58296419"/>
    <w:rsid w:val="584832A1"/>
    <w:rsid w:val="58584F50"/>
    <w:rsid w:val="58613E05"/>
    <w:rsid w:val="58682148"/>
    <w:rsid w:val="589046EA"/>
    <w:rsid w:val="58AD2046"/>
    <w:rsid w:val="58AE4AF2"/>
    <w:rsid w:val="58BD4DB3"/>
    <w:rsid w:val="58C77100"/>
    <w:rsid w:val="58CD149A"/>
    <w:rsid w:val="58CD3D84"/>
    <w:rsid w:val="58DC7930"/>
    <w:rsid w:val="58EA18EA"/>
    <w:rsid w:val="58F114E4"/>
    <w:rsid w:val="58F4557B"/>
    <w:rsid w:val="58F60610"/>
    <w:rsid w:val="59073DA3"/>
    <w:rsid w:val="591C626B"/>
    <w:rsid w:val="5924116C"/>
    <w:rsid w:val="59376914"/>
    <w:rsid w:val="593A0BE0"/>
    <w:rsid w:val="595E7C9D"/>
    <w:rsid w:val="59701AD0"/>
    <w:rsid w:val="59A63B08"/>
    <w:rsid w:val="59AE5DE7"/>
    <w:rsid w:val="59AF294E"/>
    <w:rsid w:val="59B4017C"/>
    <w:rsid w:val="59C4141F"/>
    <w:rsid w:val="59C503C4"/>
    <w:rsid w:val="59CB1C88"/>
    <w:rsid w:val="59E0732E"/>
    <w:rsid w:val="59E23CEE"/>
    <w:rsid w:val="59F36CDF"/>
    <w:rsid w:val="5A1E14E4"/>
    <w:rsid w:val="5A3F3FCC"/>
    <w:rsid w:val="5A493F87"/>
    <w:rsid w:val="5A5203DA"/>
    <w:rsid w:val="5A532C1D"/>
    <w:rsid w:val="5A8C165E"/>
    <w:rsid w:val="5AAF333B"/>
    <w:rsid w:val="5B0715A5"/>
    <w:rsid w:val="5B1A1E3F"/>
    <w:rsid w:val="5B1E422F"/>
    <w:rsid w:val="5B3E3FDC"/>
    <w:rsid w:val="5B4312C5"/>
    <w:rsid w:val="5B445318"/>
    <w:rsid w:val="5B4D13DE"/>
    <w:rsid w:val="5B532024"/>
    <w:rsid w:val="5B5D3470"/>
    <w:rsid w:val="5B6471FF"/>
    <w:rsid w:val="5B68120A"/>
    <w:rsid w:val="5BA65FD3"/>
    <w:rsid w:val="5BA84BC0"/>
    <w:rsid w:val="5BEB5850"/>
    <w:rsid w:val="5BEE2FD6"/>
    <w:rsid w:val="5BF94C98"/>
    <w:rsid w:val="5BFE54E1"/>
    <w:rsid w:val="5C0E6052"/>
    <w:rsid w:val="5C321E83"/>
    <w:rsid w:val="5C3A2094"/>
    <w:rsid w:val="5C5E22BD"/>
    <w:rsid w:val="5C732C41"/>
    <w:rsid w:val="5C7560D1"/>
    <w:rsid w:val="5CBF32C6"/>
    <w:rsid w:val="5CD739C2"/>
    <w:rsid w:val="5CDC274D"/>
    <w:rsid w:val="5CF214D0"/>
    <w:rsid w:val="5D296EBB"/>
    <w:rsid w:val="5D34471C"/>
    <w:rsid w:val="5D45063D"/>
    <w:rsid w:val="5D6677C8"/>
    <w:rsid w:val="5D675821"/>
    <w:rsid w:val="5D883BE2"/>
    <w:rsid w:val="5D984447"/>
    <w:rsid w:val="5D9C768D"/>
    <w:rsid w:val="5D9E1657"/>
    <w:rsid w:val="5DA57F46"/>
    <w:rsid w:val="5DC96364"/>
    <w:rsid w:val="5DD76534"/>
    <w:rsid w:val="5DDD3DBA"/>
    <w:rsid w:val="5DEA03F9"/>
    <w:rsid w:val="5E062D59"/>
    <w:rsid w:val="5E156E3A"/>
    <w:rsid w:val="5E166F7C"/>
    <w:rsid w:val="5E2E4276"/>
    <w:rsid w:val="5E4E6BDA"/>
    <w:rsid w:val="5E5119FF"/>
    <w:rsid w:val="5E8961D2"/>
    <w:rsid w:val="5E925392"/>
    <w:rsid w:val="5EB10F16"/>
    <w:rsid w:val="5EBC057F"/>
    <w:rsid w:val="5F061A63"/>
    <w:rsid w:val="5F1514A5"/>
    <w:rsid w:val="5F1E1BAD"/>
    <w:rsid w:val="5F750196"/>
    <w:rsid w:val="5F7A755A"/>
    <w:rsid w:val="5F7D3EEE"/>
    <w:rsid w:val="5F7F1BB1"/>
    <w:rsid w:val="5F814D8D"/>
    <w:rsid w:val="5F817A6B"/>
    <w:rsid w:val="5F8A5394"/>
    <w:rsid w:val="5F900F21"/>
    <w:rsid w:val="5F944AC0"/>
    <w:rsid w:val="5FA17A76"/>
    <w:rsid w:val="5FDC1FC3"/>
    <w:rsid w:val="5FEB66AA"/>
    <w:rsid w:val="5FFE0159"/>
    <w:rsid w:val="602C4AE6"/>
    <w:rsid w:val="603D5158"/>
    <w:rsid w:val="60772E6B"/>
    <w:rsid w:val="60830691"/>
    <w:rsid w:val="608B5A24"/>
    <w:rsid w:val="60940C57"/>
    <w:rsid w:val="60BE5F5D"/>
    <w:rsid w:val="60C1631F"/>
    <w:rsid w:val="60C77377"/>
    <w:rsid w:val="60C9619F"/>
    <w:rsid w:val="60D9640F"/>
    <w:rsid w:val="60E8080D"/>
    <w:rsid w:val="61073070"/>
    <w:rsid w:val="61167757"/>
    <w:rsid w:val="6119533E"/>
    <w:rsid w:val="611C1520"/>
    <w:rsid w:val="615D5386"/>
    <w:rsid w:val="617701F5"/>
    <w:rsid w:val="618337CB"/>
    <w:rsid w:val="6196137D"/>
    <w:rsid w:val="61AB735D"/>
    <w:rsid w:val="61C06FD4"/>
    <w:rsid w:val="61EF768E"/>
    <w:rsid w:val="61FE765F"/>
    <w:rsid w:val="621256DB"/>
    <w:rsid w:val="621D64BA"/>
    <w:rsid w:val="621E4B15"/>
    <w:rsid w:val="622163B3"/>
    <w:rsid w:val="6263077A"/>
    <w:rsid w:val="62AA0BE3"/>
    <w:rsid w:val="62AD6577"/>
    <w:rsid w:val="62E96722"/>
    <w:rsid w:val="62FB0709"/>
    <w:rsid w:val="62FD44A5"/>
    <w:rsid w:val="63253E1E"/>
    <w:rsid w:val="633079AB"/>
    <w:rsid w:val="63473EC0"/>
    <w:rsid w:val="635D5D56"/>
    <w:rsid w:val="637846F9"/>
    <w:rsid w:val="637F2D8D"/>
    <w:rsid w:val="63BF2D59"/>
    <w:rsid w:val="63C66D9A"/>
    <w:rsid w:val="63CB1C7B"/>
    <w:rsid w:val="640A1577"/>
    <w:rsid w:val="640D03E9"/>
    <w:rsid w:val="64264155"/>
    <w:rsid w:val="643A0656"/>
    <w:rsid w:val="647114F6"/>
    <w:rsid w:val="647121CF"/>
    <w:rsid w:val="6481163E"/>
    <w:rsid w:val="64AA08B6"/>
    <w:rsid w:val="64D153CC"/>
    <w:rsid w:val="64D72340"/>
    <w:rsid w:val="64F03AB4"/>
    <w:rsid w:val="650E4F3B"/>
    <w:rsid w:val="65183920"/>
    <w:rsid w:val="6574796B"/>
    <w:rsid w:val="65924F54"/>
    <w:rsid w:val="65AB2B63"/>
    <w:rsid w:val="65BB4F0D"/>
    <w:rsid w:val="65BC6B1F"/>
    <w:rsid w:val="65C965F9"/>
    <w:rsid w:val="65E263E6"/>
    <w:rsid w:val="65E95488"/>
    <w:rsid w:val="65F038C4"/>
    <w:rsid w:val="65FB1CBD"/>
    <w:rsid w:val="66187FDB"/>
    <w:rsid w:val="66216982"/>
    <w:rsid w:val="6625515E"/>
    <w:rsid w:val="662C07B9"/>
    <w:rsid w:val="66402D0B"/>
    <w:rsid w:val="664D7777"/>
    <w:rsid w:val="66630D48"/>
    <w:rsid w:val="66A0228C"/>
    <w:rsid w:val="66C43615"/>
    <w:rsid w:val="66D6110E"/>
    <w:rsid w:val="66DB2FD4"/>
    <w:rsid w:val="66DD1446"/>
    <w:rsid w:val="6703252B"/>
    <w:rsid w:val="670F2C7E"/>
    <w:rsid w:val="67241800"/>
    <w:rsid w:val="674770E8"/>
    <w:rsid w:val="67642FCA"/>
    <w:rsid w:val="67753429"/>
    <w:rsid w:val="678B7369"/>
    <w:rsid w:val="67900263"/>
    <w:rsid w:val="67C402E5"/>
    <w:rsid w:val="67D30150"/>
    <w:rsid w:val="67D66EC2"/>
    <w:rsid w:val="67DF08A2"/>
    <w:rsid w:val="67EC3B3F"/>
    <w:rsid w:val="67ED710E"/>
    <w:rsid w:val="67F307F2"/>
    <w:rsid w:val="67F81964"/>
    <w:rsid w:val="67F85E08"/>
    <w:rsid w:val="680E031F"/>
    <w:rsid w:val="68112A26"/>
    <w:rsid w:val="683A01CF"/>
    <w:rsid w:val="68793329"/>
    <w:rsid w:val="68833169"/>
    <w:rsid w:val="68886FC7"/>
    <w:rsid w:val="6888718C"/>
    <w:rsid w:val="68CF6B8B"/>
    <w:rsid w:val="693C4922"/>
    <w:rsid w:val="69524E67"/>
    <w:rsid w:val="697C6BEA"/>
    <w:rsid w:val="697D77A1"/>
    <w:rsid w:val="69863E30"/>
    <w:rsid w:val="69CA30A0"/>
    <w:rsid w:val="69CA3FFF"/>
    <w:rsid w:val="69D02B99"/>
    <w:rsid w:val="69D07F14"/>
    <w:rsid w:val="69D451CC"/>
    <w:rsid w:val="6A1C5DDE"/>
    <w:rsid w:val="6A220F1A"/>
    <w:rsid w:val="6A3718D3"/>
    <w:rsid w:val="6A4E61B3"/>
    <w:rsid w:val="6A4F0C56"/>
    <w:rsid w:val="6A637ECD"/>
    <w:rsid w:val="6A692012"/>
    <w:rsid w:val="6A723C50"/>
    <w:rsid w:val="6A913698"/>
    <w:rsid w:val="6A9C6F1F"/>
    <w:rsid w:val="6A9F658B"/>
    <w:rsid w:val="6ABE009D"/>
    <w:rsid w:val="6AC344AB"/>
    <w:rsid w:val="6B0923F3"/>
    <w:rsid w:val="6B2244F1"/>
    <w:rsid w:val="6B477D67"/>
    <w:rsid w:val="6B4B5944"/>
    <w:rsid w:val="6B760662"/>
    <w:rsid w:val="6B895757"/>
    <w:rsid w:val="6B8D21E8"/>
    <w:rsid w:val="6B961BC0"/>
    <w:rsid w:val="6B9E135C"/>
    <w:rsid w:val="6BD149A6"/>
    <w:rsid w:val="6BE04BE9"/>
    <w:rsid w:val="6BE41455"/>
    <w:rsid w:val="6BE43881"/>
    <w:rsid w:val="6BEC5C84"/>
    <w:rsid w:val="6BF23185"/>
    <w:rsid w:val="6BF71836"/>
    <w:rsid w:val="6C0528A2"/>
    <w:rsid w:val="6C1D7BEB"/>
    <w:rsid w:val="6C285298"/>
    <w:rsid w:val="6C4258A4"/>
    <w:rsid w:val="6C427557"/>
    <w:rsid w:val="6C647AF2"/>
    <w:rsid w:val="6C6C11AB"/>
    <w:rsid w:val="6CAE3E7F"/>
    <w:rsid w:val="6CBC75BE"/>
    <w:rsid w:val="6CD927A8"/>
    <w:rsid w:val="6D0B038C"/>
    <w:rsid w:val="6D1C071F"/>
    <w:rsid w:val="6D2B07C1"/>
    <w:rsid w:val="6D2F407A"/>
    <w:rsid w:val="6D334FE4"/>
    <w:rsid w:val="6D3726C0"/>
    <w:rsid w:val="6D5A7663"/>
    <w:rsid w:val="6D623ADC"/>
    <w:rsid w:val="6D9C5CC0"/>
    <w:rsid w:val="6DA6495C"/>
    <w:rsid w:val="6DBD557A"/>
    <w:rsid w:val="6DC23115"/>
    <w:rsid w:val="6DCC28D6"/>
    <w:rsid w:val="6DE210EC"/>
    <w:rsid w:val="6DE868E7"/>
    <w:rsid w:val="6E0E0133"/>
    <w:rsid w:val="6E3A5F5B"/>
    <w:rsid w:val="6E3B7411"/>
    <w:rsid w:val="6E41156A"/>
    <w:rsid w:val="6E46167B"/>
    <w:rsid w:val="6E535B46"/>
    <w:rsid w:val="6E683AFB"/>
    <w:rsid w:val="6E6E472E"/>
    <w:rsid w:val="6E7148A2"/>
    <w:rsid w:val="6E9271DA"/>
    <w:rsid w:val="6EAE5472"/>
    <w:rsid w:val="6EC670A0"/>
    <w:rsid w:val="6EFA2466"/>
    <w:rsid w:val="6EFA6CE5"/>
    <w:rsid w:val="6EFC4430"/>
    <w:rsid w:val="6F166029"/>
    <w:rsid w:val="6F2505DF"/>
    <w:rsid w:val="6F400D84"/>
    <w:rsid w:val="6F69510A"/>
    <w:rsid w:val="6F6A26DF"/>
    <w:rsid w:val="6F6D5C87"/>
    <w:rsid w:val="6F8B7727"/>
    <w:rsid w:val="6F94371D"/>
    <w:rsid w:val="6F9A15B6"/>
    <w:rsid w:val="6FB2689C"/>
    <w:rsid w:val="6FBF777B"/>
    <w:rsid w:val="6FC17588"/>
    <w:rsid w:val="6FCB60CC"/>
    <w:rsid w:val="6FD45B72"/>
    <w:rsid w:val="6FFB46E7"/>
    <w:rsid w:val="700510C2"/>
    <w:rsid w:val="700904CD"/>
    <w:rsid w:val="702F3DF3"/>
    <w:rsid w:val="703C4332"/>
    <w:rsid w:val="706171E9"/>
    <w:rsid w:val="706758D9"/>
    <w:rsid w:val="708425C0"/>
    <w:rsid w:val="708B0474"/>
    <w:rsid w:val="70B11D25"/>
    <w:rsid w:val="70B50413"/>
    <w:rsid w:val="70BD6CF4"/>
    <w:rsid w:val="70C055EA"/>
    <w:rsid w:val="70C45198"/>
    <w:rsid w:val="70EB650A"/>
    <w:rsid w:val="711517D9"/>
    <w:rsid w:val="71151EFF"/>
    <w:rsid w:val="712B3AB0"/>
    <w:rsid w:val="71306613"/>
    <w:rsid w:val="71402523"/>
    <w:rsid w:val="714205EC"/>
    <w:rsid w:val="71554798"/>
    <w:rsid w:val="71932BEA"/>
    <w:rsid w:val="71A8012B"/>
    <w:rsid w:val="71CB1E97"/>
    <w:rsid w:val="71EB453D"/>
    <w:rsid w:val="720A29C0"/>
    <w:rsid w:val="72183203"/>
    <w:rsid w:val="721A14AF"/>
    <w:rsid w:val="722753F6"/>
    <w:rsid w:val="72A9042B"/>
    <w:rsid w:val="72AE5A41"/>
    <w:rsid w:val="72B94B6C"/>
    <w:rsid w:val="72BA43E6"/>
    <w:rsid w:val="72BC07FA"/>
    <w:rsid w:val="72C139C6"/>
    <w:rsid w:val="72E96A79"/>
    <w:rsid w:val="72EE0B29"/>
    <w:rsid w:val="731079BC"/>
    <w:rsid w:val="731D4975"/>
    <w:rsid w:val="73441F01"/>
    <w:rsid w:val="736E3571"/>
    <w:rsid w:val="73814F04"/>
    <w:rsid w:val="73871097"/>
    <w:rsid w:val="738D7258"/>
    <w:rsid w:val="73916D55"/>
    <w:rsid w:val="739F35DC"/>
    <w:rsid w:val="73B72463"/>
    <w:rsid w:val="73B91755"/>
    <w:rsid w:val="73DB2866"/>
    <w:rsid w:val="73F86818"/>
    <w:rsid w:val="742A559B"/>
    <w:rsid w:val="744B128D"/>
    <w:rsid w:val="74566390"/>
    <w:rsid w:val="74934A16"/>
    <w:rsid w:val="74A60CA3"/>
    <w:rsid w:val="74AA2238"/>
    <w:rsid w:val="74BD763D"/>
    <w:rsid w:val="74C07CAE"/>
    <w:rsid w:val="74CC0400"/>
    <w:rsid w:val="74CD3FDC"/>
    <w:rsid w:val="751032B2"/>
    <w:rsid w:val="75134281"/>
    <w:rsid w:val="75167E37"/>
    <w:rsid w:val="75265D63"/>
    <w:rsid w:val="75330480"/>
    <w:rsid w:val="753B6EFF"/>
    <w:rsid w:val="7540643C"/>
    <w:rsid w:val="755A02A7"/>
    <w:rsid w:val="756F6773"/>
    <w:rsid w:val="75706FDE"/>
    <w:rsid w:val="757321C6"/>
    <w:rsid w:val="75790588"/>
    <w:rsid w:val="75930F1E"/>
    <w:rsid w:val="759806E4"/>
    <w:rsid w:val="75A70BAD"/>
    <w:rsid w:val="75BA46FD"/>
    <w:rsid w:val="75CD7146"/>
    <w:rsid w:val="75D2326D"/>
    <w:rsid w:val="75DC28C5"/>
    <w:rsid w:val="75DE03EB"/>
    <w:rsid w:val="75FF4505"/>
    <w:rsid w:val="7607731C"/>
    <w:rsid w:val="761756AB"/>
    <w:rsid w:val="76193801"/>
    <w:rsid w:val="761958C7"/>
    <w:rsid w:val="762D3121"/>
    <w:rsid w:val="764D5571"/>
    <w:rsid w:val="76535130"/>
    <w:rsid w:val="765B430A"/>
    <w:rsid w:val="766269B3"/>
    <w:rsid w:val="7689396D"/>
    <w:rsid w:val="76CD56AB"/>
    <w:rsid w:val="77110920"/>
    <w:rsid w:val="771B2A1F"/>
    <w:rsid w:val="77233923"/>
    <w:rsid w:val="772D1E44"/>
    <w:rsid w:val="7731480C"/>
    <w:rsid w:val="774631EA"/>
    <w:rsid w:val="77505319"/>
    <w:rsid w:val="77546904"/>
    <w:rsid w:val="775A259B"/>
    <w:rsid w:val="775C313C"/>
    <w:rsid w:val="77657850"/>
    <w:rsid w:val="77660698"/>
    <w:rsid w:val="776D0814"/>
    <w:rsid w:val="77725A31"/>
    <w:rsid w:val="77D00208"/>
    <w:rsid w:val="77F14987"/>
    <w:rsid w:val="78000AED"/>
    <w:rsid w:val="7813511C"/>
    <w:rsid w:val="78175DA9"/>
    <w:rsid w:val="78300C65"/>
    <w:rsid w:val="7867455D"/>
    <w:rsid w:val="78713799"/>
    <w:rsid w:val="788039DC"/>
    <w:rsid w:val="788B3DAD"/>
    <w:rsid w:val="78926BE6"/>
    <w:rsid w:val="78987D16"/>
    <w:rsid w:val="789E60B6"/>
    <w:rsid w:val="78C0027C"/>
    <w:rsid w:val="78D855C6"/>
    <w:rsid w:val="78F247C0"/>
    <w:rsid w:val="79030169"/>
    <w:rsid w:val="793458ED"/>
    <w:rsid w:val="7937265D"/>
    <w:rsid w:val="79377EAD"/>
    <w:rsid w:val="79441862"/>
    <w:rsid w:val="794C079D"/>
    <w:rsid w:val="798D309A"/>
    <w:rsid w:val="799534B7"/>
    <w:rsid w:val="7999473D"/>
    <w:rsid w:val="79B25E17"/>
    <w:rsid w:val="79B40743"/>
    <w:rsid w:val="79C43D9C"/>
    <w:rsid w:val="79D10D9C"/>
    <w:rsid w:val="79DB1543"/>
    <w:rsid w:val="79F67195"/>
    <w:rsid w:val="79FF5FC5"/>
    <w:rsid w:val="7A0128FA"/>
    <w:rsid w:val="7A205D81"/>
    <w:rsid w:val="7A374E5C"/>
    <w:rsid w:val="7A543372"/>
    <w:rsid w:val="7A663A44"/>
    <w:rsid w:val="7A664E53"/>
    <w:rsid w:val="7A6F6183"/>
    <w:rsid w:val="7A886645"/>
    <w:rsid w:val="7A9A311E"/>
    <w:rsid w:val="7ABC4A73"/>
    <w:rsid w:val="7ABC6F34"/>
    <w:rsid w:val="7AD93877"/>
    <w:rsid w:val="7AD96085"/>
    <w:rsid w:val="7AF70EB5"/>
    <w:rsid w:val="7B0501C8"/>
    <w:rsid w:val="7B052E58"/>
    <w:rsid w:val="7B195DAB"/>
    <w:rsid w:val="7B1A27DF"/>
    <w:rsid w:val="7B23621C"/>
    <w:rsid w:val="7B364826"/>
    <w:rsid w:val="7B4758C4"/>
    <w:rsid w:val="7B4C4049"/>
    <w:rsid w:val="7B7B40EA"/>
    <w:rsid w:val="7BA467F4"/>
    <w:rsid w:val="7BDC3C70"/>
    <w:rsid w:val="7C06069C"/>
    <w:rsid w:val="7C134B67"/>
    <w:rsid w:val="7C413482"/>
    <w:rsid w:val="7C5475DF"/>
    <w:rsid w:val="7C560CEC"/>
    <w:rsid w:val="7C763E36"/>
    <w:rsid w:val="7C815F74"/>
    <w:rsid w:val="7C831CEC"/>
    <w:rsid w:val="7CC66323"/>
    <w:rsid w:val="7CD36C81"/>
    <w:rsid w:val="7CD720A5"/>
    <w:rsid w:val="7CEC2C56"/>
    <w:rsid w:val="7CEC5AE4"/>
    <w:rsid w:val="7CF804A7"/>
    <w:rsid w:val="7CFA0863"/>
    <w:rsid w:val="7D0746CC"/>
    <w:rsid w:val="7D197F5B"/>
    <w:rsid w:val="7D4B238B"/>
    <w:rsid w:val="7D5D0249"/>
    <w:rsid w:val="7D6557C5"/>
    <w:rsid w:val="7D6E26F6"/>
    <w:rsid w:val="7D715FE9"/>
    <w:rsid w:val="7DBF67DA"/>
    <w:rsid w:val="7DE30BBC"/>
    <w:rsid w:val="7DE44A0D"/>
    <w:rsid w:val="7E05600D"/>
    <w:rsid w:val="7E0E1A8A"/>
    <w:rsid w:val="7E152481"/>
    <w:rsid w:val="7E3506EF"/>
    <w:rsid w:val="7E5D00E7"/>
    <w:rsid w:val="7E6E7AAC"/>
    <w:rsid w:val="7EB02B41"/>
    <w:rsid w:val="7ECC5F8A"/>
    <w:rsid w:val="7ECF7DAB"/>
    <w:rsid w:val="7EDC291C"/>
    <w:rsid w:val="7EF615D7"/>
    <w:rsid w:val="7F106C65"/>
    <w:rsid w:val="7F231565"/>
    <w:rsid w:val="7F291020"/>
    <w:rsid w:val="7F2B2A32"/>
    <w:rsid w:val="7F5B0CFF"/>
    <w:rsid w:val="7F757601"/>
    <w:rsid w:val="7F783C9C"/>
    <w:rsid w:val="7F850220"/>
    <w:rsid w:val="7F8915DC"/>
    <w:rsid w:val="7F8C0EB8"/>
    <w:rsid w:val="7F906B71"/>
    <w:rsid w:val="7FA76AC5"/>
    <w:rsid w:val="7FAD73F4"/>
    <w:rsid w:val="7FB9414D"/>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19"/>
    <w:qFormat/>
    <w:uiPriority w:val="0"/>
    <w:pPr>
      <w:keepNext/>
      <w:keepLines/>
      <w:spacing w:before="340" w:after="330" w:line="576" w:lineRule="auto"/>
      <w:outlineLvl w:val="0"/>
    </w:pPr>
    <w:rPr>
      <w:b/>
      <w:bCs/>
      <w:kern w:val="44"/>
      <w:sz w:val="44"/>
      <w:szCs w:val="44"/>
      <w:lang w:val="zh-CN"/>
    </w:rPr>
  </w:style>
  <w:style w:type="paragraph" w:styleId="3">
    <w:name w:val="heading 2"/>
    <w:basedOn w:val="1"/>
    <w:next w:val="1"/>
    <w:link w:val="70"/>
    <w:qFormat/>
    <w:uiPriority w:val="0"/>
    <w:pPr>
      <w:keepNext/>
      <w:keepLines/>
      <w:spacing w:before="260" w:after="260" w:line="415" w:lineRule="auto"/>
      <w:outlineLvl w:val="1"/>
    </w:pPr>
    <w:rPr>
      <w:rFonts w:ascii="Arial" w:hAnsi="Arial" w:eastAsia="黑体"/>
      <w:b/>
      <w:bCs/>
      <w:sz w:val="32"/>
      <w:szCs w:val="32"/>
      <w:lang w:val="zh-CN"/>
    </w:rPr>
  </w:style>
  <w:style w:type="paragraph" w:styleId="4">
    <w:name w:val="heading 3"/>
    <w:basedOn w:val="1"/>
    <w:next w:val="1"/>
    <w:link w:val="114"/>
    <w:qFormat/>
    <w:uiPriority w:val="0"/>
    <w:pPr>
      <w:keepNext/>
      <w:keepLines/>
      <w:spacing w:before="260" w:after="260" w:line="415" w:lineRule="auto"/>
      <w:ind w:firstLine="137" w:firstLineChars="49"/>
      <w:outlineLvl w:val="2"/>
    </w:pPr>
    <w:rPr>
      <w:rFonts w:ascii="黑体" w:hAnsi="黑体" w:eastAsia="黑体"/>
      <w:bCs/>
      <w:sz w:val="28"/>
      <w:szCs w:val="28"/>
      <w:lang w:val="zh-CN"/>
    </w:rPr>
  </w:style>
  <w:style w:type="paragraph" w:styleId="5">
    <w:name w:val="heading 4"/>
    <w:basedOn w:val="1"/>
    <w:next w:val="1"/>
    <w:link w:val="189"/>
    <w:qFormat/>
    <w:uiPriority w:val="0"/>
    <w:pPr>
      <w:keepNext/>
      <w:keepLines/>
      <w:spacing w:before="280" w:after="290" w:line="374" w:lineRule="auto"/>
      <w:outlineLvl w:val="3"/>
    </w:pPr>
    <w:rPr>
      <w:rFonts w:ascii="Arial" w:hAnsi="Arial" w:eastAsia="黑体"/>
      <w:b/>
      <w:bCs/>
      <w:sz w:val="28"/>
      <w:szCs w:val="28"/>
      <w:lang w:val="zh-CN"/>
    </w:rPr>
  </w:style>
  <w:style w:type="paragraph" w:styleId="6">
    <w:name w:val="heading 5"/>
    <w:basedOn w:val="1"/>
    <w:next w:val="7"/>
    <w:link w:val="74"/>
    <w:qFormat/>
    <w:uiPriority w:val="0"/>
    <w:pPr>
      <w:spacing w:beforeLines="50" w:afterLines="50" w:line="240" w:lineRule="exact"/>
      <w:ind w:left="284" w:hanging="284"/>
      <w:jc w:val="center"/>
      <w:outlineLvl w:val="4"/>
    </w:pPr>
    <w:rPr>
      <w:color w:val="000000"/>
      <w:sz w:val="24"/>
      <w:szCs w:val="24"/>
      <w:lang w:val="zh-CN"/>
    </w:rPr>
  </w:style>
  <w:style w:type="paragraph" w:styleId="8">
    <w:name w:val="heading 6"/>
    <w:basedOn w:val="1"/>
    <w:next w:val="1"/>
    <w:link w:val="12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lang w:val="zh-CN"/>
    </w:rPr>
  </w:style>
  <w:style w:type="paragraph" w:styleId="9">
    <w:name w:val="heading 7"/>
    <w:basedOn w:val="1"/>
    <w:next w:val="1"/>
    <w:link w:val="133"/>
    <w:qFormat/>
    <w:uiPriority w:val="0"/>
    <w:pPr>
      <w:keepNext/>
      <w:keepLines/>
      <w:widowControl/>
      <w:tabs>
        <w:tab w:val="left" w:pos="2520"/>
      </w:tabs>
      <w:spacing w:before="240" w:after="64" w:line="319" w:lineRule="auto"/>
      <w:ind w:left="1296" w:hanging="1296"/>
      <w:jc w:val="left"/>
      <w:outlineLvl w:val="6"/>
    </w:pPr>
    <w:rPr>
      <w:b/>
      <w:bCs/>
      <w:kern w:val="0"/>
      <w:sz w:val="24"/>
      <w:szCs w:val="24"/>
      <w:lang w:val="zh-CN"/>
    </w:rPr>
  </w:style>
  <w:style w:type="paragraph" w:styleId="10">
    <w:name w:val="heading 8"/>
    <w:basedOn w:val="1"/>
    <w:next w:val="1"/>
    <w:link w:val="6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lang w:val="zh-CN"/>
    </w:rPr>
  </w:style>
  <w:style w:type="paragraph" w:styleId="11">
    <w:name w:val="heading 9"/>
    <w:basedOn w:val="1"/>
    <w:next w:val="1"/>
    <w:link w:val="96"/>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lang w:val="zh-CN"/>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7">
    <w:name w:val="Normal Indent1"/>
    <w:basedOn w:val="1"/>
    <w:qFormat/>
    <w:uiPriority w:val="0"/>
    <w:pPr>
      <w:ind w:firstLine="420" w:firstLineChars="200"/>
    </w:pPr>
    <w:rPr>
      <w:szCs w:val="24"/>
    </w:rPr>
  </w:style>
  <w:style w:type="paragraph" w:styleId="12">
    <w:name w:val="toc 7"/>
    <w:basedOn w:val="1"/>
    <w:next w:val="1"/>
    <w:qFormat/>
    <w:uiPriority w:val="39"/>
    <w:pPr>
      <w:ind w:left="1260"/>
      <w:jc w:val="left"/>
    </w:pPr>
    <w:rPr>
      <w:sz w:val="18"/>
      <w:szCs w:val="18"/>
    </w:rPr>
  </w:style>
  <w:style w:type="paragraph" w:styleId="13">
    <w:name w:val="Normal Indent"/>
    <w:basedOn w:val="1"/>
    <w:next w:val="1"/>
    <w:qFormat/>
    <w:uiPriority w:val="0"/>
    <w:pPr>
      <w:ind w:firstLine="420"/>
    </w:pPr>
    <w:rPr>
      <w:szCs w:val="20"/>
    </w:rPr>
  </w:style>
  <w:style w:type="paragraph" w:styleId="14">
    <w:name w:val="Document Map"/>
    <w:basedOn w:val="1"/>
    <w:link w:val="62"/>
    <w:qFormat/>
    <w:uiPriority w:val="0"/>
    <w:rPr>
      <w:rFonts w:ascii="宋体"/>
      <w:sz w:val="18"/>
      <w:szCs w:val="18"/>
      <w:lang w:val="zh-CN"/>
    </w:rPr>
  </w:style>
  <w:style w:type="paragraph" w:styleId="15">
    <w:name w:val="annotation text"/>
    <w:basedOn w:val="1"/>
    <w:link w:val="107"/>
    <w:qFormat/>
    <w:uiPriority w:val="99"/>
    <w:pPr>
      <w:jc w:val="left"/>
    </w:pPr>
    <w:rPr>
      <w:szCs w:val="24"/>
      <w:lang w:val="zh-CN"/>
    </w:rPr>
  </w:style>
  <w:style w:type="paragraph" w:styleId="16">
    <w:name w:val="Body Text 3"/>
    <w:basedOn w:val="1"/>
    <w:link w:val="171"/>
    <w:qFormat/>
    <w:uiPriority w:val="0"/>
    <w:rPr>
      <w:rFonts w:ascii="宋体" w:hAnsi="Calibri"/>
      <w:sz w:val="24"/>
      <w:szCs w:val="20"/>
    </w:rPr>
  </w:style>
  <w:style w:type="paragraph" w:styleId="17">
    <w:name w:val="Body Text"/>
    <w:basedOn w:val="1"/>
    <w:link w:val="128"/>
    <w:unhideWhenUsed/>
    <w:qFormat/>
    <w:uiPriority w:val="99"/>
    <w:pPr>
      <w:spacing w:after="120"/>
    </w:pPr>
    <w:rPr>
      <w:lang w:val="zh-CN"/>
    </w:rPr>
  </w:style>
  <w:style w:type="paragraph" w:styleId="18">
    <w:name w:val="Body Text Indent"/>
    <w:basedOn w:val="1"/>
    <w:next w:val="19"/>
    <w:link w:val="112"/>
    <w:qFormat/>
    <w:uiPriority w:val="0"/>
    <w:pPr>
      <w:ind w:left="420" w:leftChars="200"/>
    </w:pPr>
    <w:rPr>
      <w:kern w:val="0"/>
      <w:sz w:val="20"/>
      <w:szCs w:val="24"/>
    </w:rPr>
  </w:style>
  <w:style w:type="paragraph" w:styleId="19">
    <w:name w:val="envelope return"/>
    <w:basedOn w:val="1"/>
    <w:qFormat/>
    <w:uiPriority w:val="99"/>
    <w:pPr>
      <w:snapToGrid w:val="0"/>
    </w:pPr>
    <w:rPr>
      <w:rFonts w:ascii="Arial" w:hAnsi="Arial" w:cs="Arial"/>
    </w:rPr>
  </w:style>
  <w:style w:type="paragraph" w:styleId="20">
    <w:name w:val="toc 5"/>
    <w:basedOn w:val="1"/>
    <w:next w:val="1"/>
    <w:qFormat/>
    <w:uiPriority w:val="39"/>
    <w:pPr>
      <w:ind w:left="840"/>
      <w:jc w:val="left"/>
    </w:pPr>
    <w:rPr>
      <w:sz w:val="18"/>
      <w:szCs w:val="18"/>
    </w:rPr>
  </w:style>
  <w:style w:type="paragraph" w:styleId="21">
    <w:name w:val="toc 3"/>
    <w:basedOn w:val="1"/>
    <w:next w:val="1"/>
    <w:qFormat/>
    <w:uiPriority w:val="39"/>
    <w:pPr>
      <w:ind w:left="420"/>
      <w:jc w:val="left"/>
    </w:pPr>
    <w:rPr>
      <w:iCs/>
      <w:sz w:val="20"/>
      <w:szCs w:val="20"/>
    </w:rPr>
  </w:style>
  <w:style w:type="paragraph" w:styleId="22">
    <w:name w:val="Plain Text"/>
    <w:basedOn w:val="1"/>
    <w:next w:val="1"/>
    <w:link w:val="71"/>
    <w:qFormat/>
    <w:uiPriority w:val="0"/>
    <w:rPr>
      <w:rFonts w:ascii="宋体" w:hAnsi="Courier New"/>
      <w:szCs w:val="20"/>
      <w:lang w:val="zh-CN"/>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142"/>
    <w:qFormat/>
    <w:uiPriority w:val="0"/>
    <w:pPr>
      <w:ind w:left="100" w:leftChars="2500"/>
    </w:pPr>
    <w:rPr>
      <w:rFonts w:ascii="Calibri" w:hAnsi="Calibri"/>
      <w:kern w:val="0"/>
      <w:sz w:val="20"/>
      <w:szCs w:val="24"/>
      <w:lang w:val="zh-CN"/>
    </w:rPr>
  </w:style>
  <w:style w:type="paragraph" w:styleId="25">
    <w:name w:val="endnote text"/>
    <w:basedOn w:val="1"/>
    <w:link w:val="122"/>
    <w:qFormat/>
    <w:uiPriority w:val="0"/>
    <w:pPr>
      <w:snapToGrid w:val="0"/>
      <w:jc w:val="left"/>
    </w:pPr>
    <w:rPr>
      <w:szCs w:val="20"/>
      <w:lang w:val="zh-CN"/>
    </w:rPr>
  </w:style>
  <w:style w:type="paragraph" w:styleId="26">
    <w:name w:val="Balloon Text"/>
    <w:basedOn w:val="1"/>
    <w:link w:val="121"/>
    <w:qFormat/>
    <w:uiPriority w:val="0"/>
    <w:rPr>
      <w:sz w:val="18"/>
      <w:szCs w:val="18"/>
      <w:lang w:val="zh-CN"/>
    </w:rPr>
  </w:style>
  <w:style w:type="paragraph" w:styleId="27">
    <w:name w:val="footer"/>
    <w:basedOn w:val="1"/>
    <w:link w:val="164"/>
    <w:qFormat/>
    <w:uiPriority w:val="99"/>
    <w:pPr>
      <w:tabs>
        <w:tab w:val="center" w:pos="4153"/>
        <w:tab w:val="right" w:pos="8306"/>
      </w:tabs>
      <w:snapToGrid w:val="0"/>
      <w:jc w:val="left"/>
    </w:pPr>
    <w:rPr>
      <w:sz w:val="18"/>
      <w:szCs w:val="18"/>
      <w:lang w:val="zh-CN"/>
    </w:rPr>
  </w:style>
  <w:style w:type="paragraph" w:styleId="28">
    <w:name w:val="header"/>
    <w:basedOn w:val="1"/>
    <w:link w:val="57"/>
    <w:qFormat/>
    <w:uiPriority w:val="0"/>
    <w:pPr>
      <w:pBdr>
        <w:bottom w:val="single" w:color="auto" w:sz="6" w:space="1"/>
      </w:pBdr>
      <w:tabs>
        <w:tab w:val="center" w:pos="4153"/>
        <w:tab w:val="right" w:pos="8306"/>
      </w:tabs>
      <w:snapToGrid w:val="0"/>
      <w:jc w:val="center"/>
    </w:pPr>
    <w:rPr>
      <w:sz w:val="18"/>
      <w:szCs w:val="18"/>
      <w:lang w:val="zh-CN"/>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footnote text"/>
    <w:basedOn w:val="1"/>
    <w:link w:val="77"/>
    <w:qFormat/>
    <w:uiPriority w:val="0"/>
    <w:pPr>
      <w:snapToGrid w:val="0"/>
      <w:jc w:val="left"/>
    </w:pPr>
    <w:rPr>
      <w:sz w:val="18"/>
      <w:szCs w:val="20"/>
      <w:lang w:val="zh-CN"/>
    </w:rPr>
  </w:style>
  <w:style w:type="paragraph" w:styleId="32">
    <w:name w:val="toc 6"/>
    <w:basedOn w:val="1"/>
    <w:next w:val="1"/>
    <w:qFormat/>
    <w:uiPriority w:val="39"/>
    <w:pPr>
      <w:ind w:left="1050"/>
      <w:jc w:val="left"/>
    </w:pPr>
    <w:rPr>
      <w:sz w:val="18"/>
      <w:szCs w:val="18"/>
    </w:rPr>
  </w:style>
  <w:style w:type="paragraph" w:styleId="33">
    <w:name w:val="toc 2"/>
    <w:basedOn w:val="1"/>
    <w:next w:val="1"/>
    <w:qFormat/>
    <w:uiPriority w:val="39"/>
    <w:pPr>
      <w:ind w:left="210"/>
      <w:jc w:val="left"/>
    </w:pPr>
    <w:rPr>
      <w:smallCaps/>
      <w:sz w:val="20"/>
      <w:szCs w:val="20"/>
    </w:rPr>
  </w:style>
  <w:style w:type="paragraph" w:styleId="34">
    <w:name w:val="toc 9"/>
    <w:basedOn w:val="1"/>
    <w:next w:val="1"/>
    <w:qFormat/>
    <w:uiPriority w:val="39"/>
    <w:pPr>
      <w:ind w:left="1680"/>
      <w:jc w:val="left"/>
    </w:pPr>
    <w:rPr>
      <w:sz w:val="18"/>
      <w:szCs w:val="18"/>
    </w:rPr>
  </w:style>
  <w:style w:type="paragraph" w:styleId="35">
    <w:name w:val="Body Text 2"/>
    <w:basedOn w:val="1"/>
    <w:link w:val="185"/>
    <w:unhideWhenUsed/>
    <w:qFormat/>
    <w:uiPriority w:val="99"/>
    <w:rPr>
      <w:rFonts w:ascii="宋体"/>
      <w:sz w:val="24"/>
      <w:szCs w:val="24"/>
      <w:u w:val="single"/>
      <w:lang w:val="zh-CN"/>
    </w:r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7">
    <w:name w:val="Title"/>
    <w:basedOn w:val="1"/>
    <w:link w:val="157"/>
    <w:qFormat/>
    <w:uiPriority w:val="0"/>
    <w:pPr>
      <w:adjustRightInd w:val="0"/>
      <w:spacing w:before="240" w:after="60" w:line="420" w:lineRule="atLeast"/>
      <w:jc w:val="center"/>
      <w:textAlignment w:val="baseline"/>
      <w:outlineLvl w:val="0"/>
    </w:pPr>
    <w:rPr>
      <w:rFonts w:ascii="Arial" w:hAnsi="Arial"/>
      <w:b/>
      <w:kern w:val="0"/>
      <w:sz w:val="32"/>
      <w:szCs w:val="20"/>
      <w:lang w:val="zh-CN"/>
    </w:rPr>
  </w:style>
  <w:style w:type="paragraph" w:styleId="38">
    <w:name w:val="annotation subject"/>
    <w:basedOn w:val="15"/>
    <w:next w:val="15"/>
    <w:link w:val="191"/>
    <w:qFormat/>
    <w:uiPriority w:val="0"/>
    <w:rPr>
      <w:b/>
      <w:bCs/>
    </w:rPr>
  </w:style>
  <w:style w:type="paragraph" w:styleId="39">
    <w:name w:val="Body Text First Indent"/>
    <w:basedOn w:val="17"/>
    <w:link w:val="170"/>
    <w:unhideWhenUsed/>
    <w:qFormat/>
    <w:uiPriority w:val="99"/>
    <w:pPr>
      <w:ind w:firstLine="420" w:firstLineChars="100"/>
    </w:pPr>
    <w:rPr>
      <w:szCs w:val="24"/>
    </w:rPr>
  </w:style>
  <w:style w:type="paragraph" w:styleId="40">
    <w:name w:val="Body Text First Indent 2"/>
    <w:basedOn w:val="1"/>
    <w:next w:val="1"/>
    <w:qFormat/>
    <w:uiPriority w:val="0"/>
    <w:pPr>
      <w:ind w:firstLine="420" w:firstLineChars="200"/>
    </w:pPr>
    <w:rPr>
      <w:kern w:val="2"/>
      <w:sz w:val="21"/>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endnote reference"/>
    <w:qFormat/>
    <w:uiPriority w:val="0"/>
    <w:rPr>
      <w:vertAlign w:val="superscript"/>
    </w:rPr>
  </w:style>
  <w:style w:type="character" w:styleId="46">
    <w:name w:val="page number"/>
    <w:qFormat/>
    <w:uiPriority w:val="0"/>
  </w:style>
  <w:style w:type="character" w:styleId="47">
    <w:name w:val="Emphasis"/>
    <w:qFormat/>
    <w:uiPriority w:val="0"/>
    <w:rPr>
      <w:color w:val="CC0000"/>
    </w:rPr>
  </w:style>
  <w:style w:type="character" w:styleId="48">
    <w:name w:val="Hyperlink"/>
    <w:qFormat/>
    <w:uiPriority w:val="99"/>
    <w:rPr>
      <w:color w:val="000000"/>
      <w:u w:val="none"/>
    </w:rPr>
  </w:style>
  <w:style w:type="character" w:styleId="49">
    <w:name w:val="annotation reference"/>
    <w:qFormat/>
    <w:uiPriority w:val="99"/>
    <w:rPr>
      <w:sz w:val="21"/>
      <w:szCs w:val="21"/>
    </w:rPr>
  </w:style>
  <w:style w:type="character" w:styleId="50">
    <w:name w:val="HTML Cite"/>
    <w:unhideWhenUsed/>
    <w:qFormat/>
    <w:uiPriority w:val="99"/>
    <w:rPr>
      <w:sz w:val="24"/>
      <w:szCs w:val="24"/>
    </w:rPr>
  </w:style>
  <w:style w:type="character" w:styleId="51">
    <w:name w:val="footnote reference"/>
    <w:qFormat/>
    <w:uiPriority w:val="0"/>
    <w:rPr>
      <w:vertAlign w:val="superscript"/>
    </w:rPr>
  </w:style>
  <w:style w:type="paragraph" w:customStyle="1" w:styleId="52">
    <w:name w:val="BodyText"/>
    <w:basedOn w:val="1"/>
    <w:next w:val="1"/>
    <w:qFormat/>
    <w:uiPriority w:val="0"/>
    <w:pPr>
      <w:spacing w:after="120"/>
      <w:textAlignment w:val="baseline"/>
    </w:pPr>
    <w:rPr>
      <w:rFonts w:ascii="Calibri" w:hAnsi="Calibri"/>
    </w:rPr>
  </w:style>
  <w:style w:type="paragraph" w:customStyle="1" w:styleId="5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54">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55">
    <w:name w:val="修订4"/>
    <w:hidden/>
    <w:unhideWhenUsed/>
    <w:qFormat/>
    <w:uiPriority w:val="99"/>
    <w:rPr>
      <w:rFonts w:ascii="Times New Roman" w:hAnsi="Times New Roman" w:eastAsia="宋体" w:cs="Times New Roman"/>
      <w:kern w:val="2"/>
      <w:sz w:val="21"/>
      <w:szCs w:val="22"/>
      <w:lang w:val="en-US" w:eastAsia="zh-CN" w:bidi="ar-SA"/>
    </w:rPr>
  </w:style>
  <w:style w:type="character" w:customStyle="1" w:styleId="56">
    <w:name w:val="font161"/>
    <w:qFormat/>
    <w:uiPriority w:val="0"/>
    <w:rPr>
      <w:b/>
      <w:bCs/>
      <w:sz w:val="32"/>
      <w:szCs w:val="32"/>
    </w:rPr>
  </w:style>
  <w:style w:type="character" w:customStyle="1" w:styleId="57">
    <w:name w:val="页眉 Char"/>
    <w:link w:val="28"/>
    <w:qFormat/>
    <w:uiPriority w:val="0"/>
    <w:rPr>
      <w:rFonts w:eastAsia="宋体"/>
      <w:kern w:val="2"/>
      <w:sz w:val="18"/>
      <w:szCs w:val="18"/>
    </w:rPr>
  </w:style>
  <w:style w:type="paragraph" w:styleId="5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封二"/>
    <w:basedOn w:val="54"/>
    <w:next w:val="54"/>
    <w:qFormat/>
    <w:uiPriority w:val="0"/>
    <w:pPr>
      <w:ind w:firstLine="0" w:firstLineChars="0"/>
      <w:jc w:val="center"/>
    </w:pPr>
    <w:rPr>
      <w:rFonts w:eastAsia="黑体"/>
      <w:b/>
      <w:sz w:val="36"/>
      <w:szCs w:val="36"/>
    </w:rPr>
  </w:style>
  <w:style w:type="paragraph" w:customStyle="1" w:styleId="60">
    <w:name w:val="无间隔1"/>
    <w:qFormat/>
    <w:uiPriority w:val="0"/>
    <w:pPr>
      <w:widowControl w:val="0"/>
      <w:jc w:val="both"/>
    </w:pPr>
    <w:rPr>
      <w:rFonts w:ascii="Times New Roman" w:hAnsi="Times New Roman" w:eastAsia="宋体" w:cs="Times New Roman"/>
      <w:szCs w:val="24"/>
      <w:lang w:val="en-US" w:eastAsia="zh-CN" w:bidi="ar-SA"/>
    </w:rPr>
  </w:style>
  <w:style w:type="paragraph" w:customStyle="1" w:styleId="6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62">
    <w:name w:val="文档结构图 Char"/>
    <w:link w:val="14"/>
    <w:qFormat/>
    <w:uiPriority w:val="0"/>
    <w:rPr>
      <w:rFonts w:ascii="宋体"/>
      <w:kern w:val="2"/>
      <w:sz w:val="18"/>
      <w:szCs w:val="18"/>
    </w:rPr>
  </w:style>
  <w:style w:type="table" w:customStyle="1" w:styleId="63">
    <w:name w:val="Table"/>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4">
    <w:name w:val="已访问的超链接1"/>
    <w:qFormat/>
    <w:uiPriority w:val="0"/>
    <w:rPr>
      <w:color w:val="000000"/>
      <w:u w:val="none"/>
    </w:rPr>
  </w:style>
  <w:style w:type="paragraph" w:customStyle="1" w:styleId="65">
    <w:name w:val="Normal1"/>
    <w:qFormat/>
    <w:uiPriority w:val="0"/>
    <w:pPr>
      <w:jc w:val="both"/>
    </w:pPr>
    <w:rPr>
      <w:rFonts w:ascii="Calibri" w:hAnsi="Calibri" w:eastAsia="宋体" w:cs="Calibri"/>
      <w:kern w:val="2"/>
      <w:sz w:val="21"/>
      <w:szCs w:val="21"/>
      <w:lang w:val="en-US" w:eastAsia="zh-CN" w:bidi="ar-SA"/>
    </w:rPr>
  </w:style>
  <w:style w:type="paragraph" w:customStyle="1" w:styleId="66">
    <w:name w:val="修订3"/>
    <w:unhideWhenUsed/>
    <w:qFormat/>
    <w:uiPriority w:val="99"/>
    <w:rPr>
      <w:rFonts w:ascii="Times New Roman" w:hAnsi="Times New Roman" w:eastAsia="宋体" w:cs="Times New Roman"/>
      <w:kern w:val="2"/>
      <w:sz w:val="21"/>
      <w:szCs w:val="22"/>
      <w:lang w:val="en-US" w:eastAsia="zh-CN" w:bidi="ar-SA"/>
    </w:rPr>
  </w:style>
  <w:style w:type="paragraph" w:customStyle="1" w:styleId="67">
    <w:name w:val="Body text|3"/>
    <w:basedOn w:val="1"/>
    <w:qFormat/>
    <w:uiPriority w:val="0"/>
    <w:rPr>
      <w:rFonts w:ascii="宋体" w:hAnsi="宋体" w:cs="宋体"/>
      <w:sz w:val="20"/>
      <w:szCs w:val="20"/>
      <w:lang w:val="zh-TW" w:eastAsia="zh-TW" w:bidi="zh-TW"/>
    </w:rPr>
  </w:style>
  <w:style w:type="character" w:customStyle="1" w:styleId="68">
    <w:name w:val="标题 8 Char"/>
    <w:link w:val="10"/>
    <w:qFormat/>
    <w:uiPriority w:val="0"/>
    <w:rPr>
      <w:rFonts w:ascii="Arial" w:hAnsi="Arial" w:eastAsia="黑体"/>
      <w:sz w:val="24"/>
      <w:szCs w:val="24"/>
    </w:rPr>
  </w:style>
  <w:style w:type="paragraph" w:customStyle="1" w:styleId="69">
    <w:name w:val="Char Char Char Char1"/>
    <w:basedOn w:val="1"/>
    <w:qFormat/>
    <w:uiPriority w:val="0"/>
    <w:pPr>
      <w:ind w:left="567" w:hanging="279"/>
    </w:pPr>
    <w:rPr>
      <w:sz w:val="24"/>
      <w:szCs w:val="24"/>
    </w:rPr>
  </w:style>
  <w:style w:type="character" w:customStyle="1" w:styleId="70">
    <w:name w:val="标题 2 Char"/>
    <w:link w:val="3"/>
    <w:qFormat/>
    <w:uiPriority w:val="0"/>
    <w:rPr>
      <w:rFonts w:ascii="Arial" w:hAnsi="Arial" w:eastAsia="黑体"/>
      <w:b/>
      <w:bCs/>
      <w:kern w:val="2"/>
      <w:sz w:val="32"/>
      <w:szCs w:val="32"/>
    </w:rPr>
  </w:style>
  <w:style w:type="character" w:customStyle="1" w:styleId="71">
    <w:name w:val="纯文本 Char"/>
    <w:link w:val="22"/>
    <w:qFormat/>
    <w:uiPriority w:val="0"/>
    <w:rPr>
      <w:rFonts w:ascii="宋体" w:hAnsi="Courier New" w:eastAsia="宋体"/>
      <w:kern w:val="2"/>
      <w:sz w:val="21"/>
    </w:rPr>
  </w:style>
  <w:style w:type="paragraph" w:customStyle="1" w:styleId="72">
    <w:name w:val="1"/>
    <w:basedOn w:val="1"/>
    <w:qFormat/>
    <w:uiPriority w:val="0"/>
    <w:rPr>
      <w:szCs w:val="24"/>
    </w:rPr>
  </w:style>
  <w:style w:type="paragraph" w:customStyle="1" w:styleId="73">
    <w:name w:val="Char1"/>
    <w:basedOn w:val="1"/>
    <w:qFormat/>
    <w:uiPriority w:val="0"/>
    <w:pPr>
      <w:tabs>
        <w:tab w:val="left" w:pos="360"/>
      </w:tabs>
    </w:pPr>
    <w:rPr>
      <w:sz w:val="24"/>
      <w:szCs w:val="24"/>
    </w:rPr>
  </w:style>
  <w:style w:type="character" w:customStyle="1" w:styleId="74">
    <w:name w:val="标题 5 Char"/>
    <w:link w:val="6"/>
    <w:qFormat/>
    <w:uiPriority w:val="0"/>
    <w:rPr>
      <w:rFonts w:ascii="Times New Roman" w:hAnsi="Times New Roman" w:eastAsia="宋体"/>
      <w:color w:val="000000"/>
      <w:kern w:val="2"/>
      <w:sz w:val="24"/>
      <w:szCs w:val="24"/>
    </w:rPr>
  </w:style>
  <w:style w:type="paragraph" w:customStyle="1" w:styleId="75">
    <w:name w:val="Table Paragraph"/>
    <w:basedOn w:val="1"/>
    <w:unhideWhenUsed/>
    <w:qFormat/>
    <w:uiPriority w:val="1"/>
    <w:rPr>
      <w:rFonts w:hint="eastAsia"/>
      <w:sz w:val="24"/>
      <w:szCs w:val="24"/>
    </w:rPr>
  </w:style>
  <w:style w:type="character" w:customStyle="1" w:styleId="76">
    <w:name w:val="文档结构图 字符1"/>
    <w:semiHidden/>
    <w:qFormat/>
    <w:uiPriority w:val="99"/>
    <w:rPr>
      <w:rFonts w:ascii="宋体" w:eastAsia="宋体"/>
      <w:kern w:val="2"/>
      <w:sz w:val="18"/>
      <w:szCs w:val="18"/>
    </w:rPr>
  </w:style>
  <w:style w:type="character" w:customStyle="1" w:styleId="77">
    <w:name w:val="脚注文本 Char"/>
    <w:link w:val="31"/>
    <w:qFormat/>
    <w:uiPriority w:val="0"/>
    <w:rPr>
      <w:rFonts w:ascii="Times New Roman" w:hAnsi="Times New Roman" w:eastAsia="宋体"/>
      <w:kern w:val="2"/>
      <w:sz w:val="18"/>
    </w:rPr>
  </w:style>
  <w:style w:type="paragraph" w:customStyle="1" w:styleId="78">
    <w:name w:val="Char"/>
    <w:basedOn w:val="1"/>
    <w:qFormat/>
    <w:uiPriority w:val="0"/>
    <w:pPr>
      <w:numPr>
        <w:ilvl w:val="0"/>
        <w:numId w:val="1"/>
      </w:numPr>
    </w:pPr>
    <w:rPr>
      <w:sz w:val="24"/>
      <w:szCs w:val="24"/>
    </w:rPr>
  </w:style>
  <w:style w:type="character" w:customStyle="1" w:styleId="79">
    <w:name w:val="正文文本首行缩进 字符2"/>
    <w:semiHidden/>
    <w:qFormat/>
    <w:uiPriority w:val="99"/>
  </w:style>
  <w:style w:type="paragraph" w:customStyle="1" w:styleId="80">
    <w:name w:val="_Style 3"/>
    <w:basedOn w:val="1"/>
    <w:qFormat/>
    <w:uiPriority w:val="0"/>
    <w:pPr>
      <w:ind w:firstLine="420" w:firstLineChars="200"/>
    </w:pPr>
  </w:style>
  <w:style w:type="paragraph" w:customStyle="1" w:styleId="81">
    <w:name w:val="正文首行缩进1"/>
    <w:basedOn w:val="1"/>
    <w:link w:val="190"/>
    <w:qFormat/>
    <w:uiPriority w:val="0"/>
    <w:pPr>
      <w:spacing w:line="312" w:lineRule="auto"/>
      <w:ind w:firstLine="420"/>
    </w:pPr>
    <w:rPr>
      <w:szCs w:val="24"/>
    </w:rPr>
  </w:style>
  <w:style w:type="paragraph" w:customStyle="1" w:styleId="82">
    <w:name w:val="正文文本缩进 31"/>
    <w:basedOn w:val="1"/>
    <w:qFormat/>
    <w:uiPriority w:val="0"/>
    <w:pPr>
      <w:spacing w:after="120"/>
      <w:ind w:left="420" w:leftChars="200"/>
    </w:pPr>
    <w:rPr>
      <w:sz w:val="16"/>
      <w:szCs w:val="16"/>
    </w:rPr>
  </w:style>
  <w:style w:type="paragraph" w:customStyle="1" w:styleId="83">
    <w:name w:val="纯文本1"/>
    <w:basedOn w:val="1"/>
    <w:link w:val="193"/>
    <w:qFormat/>
    <w:uiPriority w:val="0"/>
    <w:rPr>
      <w:rFonts w:ascii="宋体" w:hAnsi="Courier New"/>
      <w:szCs w:val="20"/>
      <w:lang w:val="zh-CN"/>
    </w:rPr>
  </w:style>
  <w:style w:type="paragraph" w:customStyle="1" w:styleId="84">
    <w:name w:val="列出段落2"/>
    <w:basedOn w:val="1"/>
    <w:qFormat/>
    <w:uiPriority w:val="0"/>
    <w:pPr>
      <w:ind w:firstLine="420" w:firstLineChars="200"/>
    </w:pPr>
    <w:rPr>
      <w:szCs w:val="21"/>
    </w:rPr>
  </w:style>
  <w:style w:type="paragraph" w:customStyle="1" w:styleId="85">
    <w:name w:val="默认段落字体 Para Char"/>
    <w:basedOn w:val="1"/>
    <w:qFormat/>
    <w:uiPriority w:val="0"/>
    <w:rPr>
      <w:b/>
      <w:sz w:val="24"/>
      <w:szCs w:val="24"/>
    </w:rPr>
  </w:style>
  <w:style w:type="paragraph" w:customStyle="1" w:styleId="86">
    <w:name w:val="正文(仿)首缩"/>
    <w:basedOn w:val="1"/>
    <w:qFormat/>
    <w:uiPriority w:val="0"/>
    <w:pPr>
      <w:tabs>
        <w:tab w:val="left" w:pos="1108"/>
      </w:tabs>
      <w:ind w:left="554"/>
    </w:pPr>
    <w:rPr>
      <w:szCs w:val="28"/>
    </w:rPr>
  </w:style>
  <w:style w:type="character" w:customStyle="1" w:styleId="87">
    <w:name w:val="正题 Char"/>
    <w:link w:val="88"/>
    <w:qFormat/>
    <w:uiPriority w:val="0"/>
    <w:rPr>
      <w:rFonts w:eastAsia="黑体"/>
      <w:b/>
      <w:sz w:val="36"/>
      <w:szCs w:val="36"/>
    </w:rPr>
  </w:style>
  <w:style w:type="paragraph" w:customStyle="1" w:styleId="88">
    <w:name w:val="正题"/>
    <w:basedOn w:val="54"/>
    <w:next w:val="54"/>
    <w:link w:val="87"/>
    <w:qFormat/>
    <w:uiPriority w:val="0"/>
    <w:pPr>
      <w:ind w:firstLine="0" w:firstLineChars="0"/>
      <w:jc w:val="center"/>
    </w:pPr>
    <w:rPr>
      <w:rFonts w:eastAsia="黑体"/>
      <w:b/>
      <w:sz w:val="36"/>
      <w:szCs w:val="36"/>
    </w:rPr>
  </w:style>
  <w:style w:type="paragraph" w:styleId="89">
    <w:name w:val="List Paragraph"/>
    <w:basedOn w:val="1"/>
    <w:qFormat/>
    <w:uiPriority w:val="0"/>
    <w:pPr>
      <w:ind w:firstLine="420" w:firstLineChars="200"/>
    </w:pPr>
    <w:rPr>
      <w:rFonts w:ascii="Calibri" w:hAnsi="Calibri"/>
    </w:rPr>
  </w:style>
  <w:style w:type="paragraph" w:customStyle="1" w:styleId="90">
    <w:name w:val="封四"/>
    <w:basedOn w:val="54"/>
    <w:next w:val="54"/>
    <w:qFormat/>
    <w:uiPriority w:val="0"/>
    <w:pPr>
      <w:jc w:val="left"/>
    </w:pPr>
    <w:rPr>
      <w:rFonts w:eastAsia="等线"/>
      <w:sz w:val="30"/>
      <w:szCs w:val="30"/>
    </w:rPr>
  </w:style>
  <w:style w:type="character" w:customStyle="1" w:styleId="91">
    <w:name w:val="fontstyle01"/>
    <w:qFormat/>
    <w:uiPriority w:val="0"/>
    <w:rPr>
      <w:rFonts w:ascii="宋体" w:hAnsi="宋体" w:eastAsia="宋体" w:cs="宋体"/>
      <w:color w:val="000000"/>
      <w:sz w:val="24"/>
      <w:szCs w:val="24"/>
    </w:rPr>
  </w:style>
  <w:style w:type="paragraph" w:customStyle="1" w:styleId="92">
    <w:name w:val="样式1"/>
    <w:basedOn w:val="1"/>
    <w:next w:val="5"/>
    <w:qFormat/>
    <w:uiPriority w:val="0"/>
    <w:pPr>
      <w:spacing w:line="360" w:lineRule="auto"/>
      <w:ind w:firstLine="420" w:firstLineChars="200"/>
    </w:pPr>
    <w:rPr>
      <w:rFonts w:ascii="宋体" w:hAnsi="宋体"/>
      <w:szCs w:val="21"/>
    </w:rPr>
  </w:style>
  <w:style w:type="paragraph" w:customStyle="1" w:styleId="93">
    <w:name w:val="小副标题"/>
    <w:qFormat/>
    <w:uiPriority w:val="0"/>
    <w:rPr>
      <w:rFonts w:ascii="Adobe 黑体 Std R" w:hAnsi="Adobe 黑体 Std R" w:eastAsia="Adobe 黑体 Std R" w:cs="Adobe 黑体 Std R"/>
      <w:color w:val="000000"/>
      <w:sz w:val="26"/>
      <w:szCs w:val="26"/>
      <w:lang w:val="en-US" w:eastAsia="zh-CN" w:bidi="ar-SA"/>
    </w:rPr>
  </w:style>
  <w:style w:type="paragraph" w:customStyle="1" w:styleId="94">
    <w:name w:val="修订2"/>
    <w:qFormat/>
    <w:uiPriority w:val="0"/>
    <w:rPr>
      <w:rFonts w:ascii="Times New Roman" w:hAnsi="Times New Roman" w:eastAsia="宋体" w:cs="Times New Roman"/>
      <w:kern w:val="2"/>
      <w:sz w:val="21"/>
      <w:szCs w:val="24"/>
      <w:lang w:val="en-US" w:eastAsia="zh-CN" w:bidi="ar-SA"/>
    </w:rPr>
  </w:style>
  <w:style w:type="character" w:customStyle="1" w:styleId="95">
    <w:name w:val="Char Char11"/>
    <w:qFormat/>
    <w:uiPriority w:val="0"/>
    <w:rPr>
      <w:rFonts w:ascii="Times New Roman" w:hAnsi="Times New Roman" w:eastAsia="宋体" w:cs="Times New Roman"/>
      <w:szCs w:val="24"/>
    </w:rPr>
  </w:style>
  <w:style w:type="character" w:customStyle="1" w:styleId="96">
    <w:name w:val="标题 9 Char"/>
    <w:link w:val="11"/>
    <w:qFormat/>
    <w:uiPriority w:val="0"/>
    <w:rPr>
      <w:rFonts w:ascii="Arial" w:hAnsi="Arial" w:eastAsia="黑体"/>
      <w:sz w:val="21"/>
      <w:szCs w:val="21"/>
    </w:rPr>
  </w:style>
  <w:style w:type="paragraph" w:customStyle="1" w:styleId="97">
    <w:name w:val="Heading2"/>
    <w:basedOn w:val="1"/>
    <w:next w:val="1"/>
    <w:qFormat/>
    <w:uiPriority w:val="0"/>
    <w:pPr>
      <w:keepNext/>
      <w:keepLines/>
      <w:spacing w:before="260" w:after="260" w:line="412" w:lineRule="auto"/>
    </w:pPr>
    <w:rPr>
      <w:rFonts w:ascii="Arial" w:hAnsi="Arial" w:eastAsia="黑体"/>
      <w:kern w:val="0"/>
      <w:sz w:val="32"/>
      <w:szCs w:val="32"/>
    </w:rPr>
  </w:style>
  <w:style w:type="character" w:customStyle="1" w:styleId="98">
    <w:name w:val="批注文字 字符1"/>
    <w:semiHidden/>
    <w:qFormat/>
    <w:uiPriority w:val="99"/>
    <w:rPr>
      <w:kern w:val="2"/>
      <w:sz w:val="21"/>
      <w:szCs w:val="22"/>
    </w:rPr>
  </w:style>
  <w:style w:type="paragraph" w:customStyle="1" w:styleId="99">
    <w:name w:val="Char2"/>
    <w:basedOn w:val="1"/>
    <w:qFormat/>
    <w:uiPriority w:val="0"/>
    <w:pPr>
      <w:ind w:left="567" w:hanging="279"/>
    </w:pPr>
    <w:rPr>
      <w:sz w:val="24"/>
      <w:szCs w:val="24"/>
    </w:rPr>
  </w:style>
  <w:style w:type="character" w:customStyle="1" w:styleId="100">
    <w:name w:val="hover36"/>
    <w:qFormat/>
    <w:uiPriority w:val="0"/>
  </w:style>
  <w:style w:type="character" w:customStyle="1" w:styleId="101">
    <w:name w:val="页眉 字符1"/>
    <w:semiHidden/>
    <w:qFormat/>
    <w:uiPriority w:val="99"/>
    <w:rPr>
      <w:kern w:val="2"/>
      <w:sz w:val="18"/>
      <w:szCs w:val="18"/>
    </w:rPr>
  </w:style>
  <w:style w:type="character" w:customStyle="1" w:styleId="102">
    <w:name w:val="纯文本 字符1"/>
    <w:qFormat/>
    <w:uiPriority w:val="0"/>
    <w:rPr>
      <w:rFonts w:ascii="等线" w:hAnsi="Courier New" w:eastAsia="等线" w:cs="Courier New"/>
    </w:rPr>
  </w:style>
  <w:style w:type="paragraph" w:customStyle="1" w:styleId="103">
    <w:name w:val="封一"/>
    <w:basedOn w:val="54"/>
    <w:next w:val="54"/>
    <w:qFormat/>
    <w:uiPriority w:val="0"/>
    <w:pPr>
      <w:ind w:firstLine="0" w:firstLineChars="0"/>
      <w:jc w:val="center"/>
    </w:pPr>
    <w:rPr>
      <w:rFonts w:eastAsia="黑体"/>
      <w:b/>
      <w:sz w:val="84"/>
      <w:szCs w:val="84"/>
    </w:rPr>
  </w:style>
  <w:style w:type="paragraph" w:customStyle="1" w:styleId="104">
    <w:name w:val="a1"/>
    <w:basedOn w:val="1"/>
    <w:qFormat/>
    <w:uiPriority w:val="0"/>
    <w:pPr>
      <w:widowControl/>
      <w:tabs>
        <w:tab w:val="left" w:pos="936"/>
        <w:tab w:val="right" w:pos="7416"/>
      </w:tabs>
      <w:overflowPunct w:val="0"/>
      <w:autoSpaceDE w:val="0"/>
      <w:autoSpaceDN w:val="0"/>
      <w:adjustRightInd w:val="0"/>
      <w:textAlignment w:val="baseline"/>
    </w:pPr>
    <w:rPr>
      <w:kern w:val="0"/>
      <w:sz w:val="20"/>
      <w:szCs w:val="20"/>
      <w:lang w:eastAsia="en-US"/>
    </w:rPr>
  </w:style>
  <w:style w:type="paragraph" w:customStyle="1" w:styleId="105">
    <w:name w:val="Char Char Char1 Char Char Char Char Char Char Char Char Char Char Char Char Char"/>
    <w:basedOn w:val="106"/>
    <w:qFormat/>
    <w:uiPriority w:val="0"/>
    <w:rPr>
      <w:rFonts w:ascii="Tahoma" w:hAnsi="Tahoma"/>
      <w:sz w:val="24"/>
    </w:rPr>
  </w:style>
  <w:style w:type="paragraph" w:customStyle="1" w:styleId="106">
    <w:name w:val="文档结构图1"/>
    <w:basedOn w:val="1"/>
    <w:link w:val="149"/>
    <w:qFormat/>
    <w:uiPriority w:val="0"/>
    <w:pPr>
      <w:shd w:val="clear" w:color="auto" w:fill="000080"/>
    </w:pPr>
    <w:rPr>
      <w:szCs w:val="24"/>
      <w:lang w:val="zh-CN"/>
    </w:rPr>
  </w:style>
  <w:style w:type="character" w:customStyle="1" w:styleId="107">
    <w:name w:val="批注文字 Char"/>
    <w:link w:val="15"/>
    <w:qFormat/>
    <w:uiPriority w:val="0"/>
    <w:rPr>
      <w:rFonts w:eastAsia="宋体"/>
      <w:kern w:val="2"/>
      <w:sz w:val="21"/>
      <w:szCs w:val="24"/>
    </w:rPr>
  </w:style>
  <w:style w:type="paragraph" w:customStyle="1" w:styleId="108">
    <w:name w:val="Char Char Char Char Char Char1 Char"/>
    <w:basedOn w:val="1"/>
    <w:qFormat/>
    <w:uiPriority w:val="0"/>
    <w:pPr>
      <w:widowControl/>
      <w:spacing w:after="160" w:line="240" w:lineRule="exact"/>
      <w:jc w:val="left"/>
    </w:pPr>
    <w:rPr>
      <w:rFonts w:eastAsia="仿宋_GB2312"/>
      <w:sz w:val="32"/>
      <w:szCs w:val="24"/>
    </w:rPr>
  </w:style>
  <w:style w:type="paragraph" w:customStyle="1" w:styleId="109">
    <w:name w:val="Char Char Char1 Char"/>
    <w:basedOn w:val="106"/>
    <w:qFormat/>
    <w:uiPriority w:val="0"/>
    <w:rPr>
      <w:rFonts w:ascii="Tahoma" w:hAnsi="Tahoma"/>
      <w:sz w:val="24"/>
    </w:rPr>
  </w:style>
  <w:style w:type="paragraph" w:customStyle="1" w:styleId="110">
    <w:name w:val="公文抬头"/>
    <w:basedOn w:val="7"/>
    <w:qFormat/>
    <w:uiPriority w:val="0"/>
    <w:pPr>
      <w:ind w:firstLine="0" w:firstLineChars="0"/>
    </w:pPr>
    <w:rPr>
      <w:rFonts w:ascii="仿宋_GB2312" w:eastAsia="仿宋_GB2312"/>
      <w:sz w:val="30"/>
    </w:rPr>
  </w:style>
  <w:style w:type="character" w:customStyle="1" w:styleId="111">
    <w:name w:val="批注框文本 字符1"/>
    <w:semiHidden/>
    <w:qFormat/>
    <w:uiPriority w:val="99"/>
    <w:rPr>
      <w:kern w:val="2"/>
      <w:sz w:val="18"/>
      <w:szCs w:val="18"/>
    </w:rPr>
  </w:style>
  <w:style w:type="character" w:customStyle="1" w:styleId="112">
    <w:name w:val="正文文本缩进 Char"/>
    <w:link w:val="18"/>
    <w:qFormat/>
    <w:uiPriority w:val="0"/>
    <w:rPr>
      <w:szCs w:val="24"/>
    </w:rPr>
  </w:style>
  <w:style w:type="paragraph" w:customStyle="1" w:styleId="113">
    <w:name w:val="_Style 2"/>
    <w:basedOn w:val="1"/>
    <w:qFormat/>
    <w:uiPriority w:val="0"/>
  </w:style>
  <w:style w:type="character" w:customStyle="1" w:styleId="114">
    <w:name w:val="标题 3 Char"/>
    <w:link w:val="4"/>
    <w:qFormat/>
    <w:uiPriority w:val="0"/>
    <w:rPr>
      <w:rFonts w:ascii="黑体" w:hAnsi="黑体" w:eastAsia="黑体"/>
      <w:bCs/>
      <w:kern w:val="2"/>
      <w:sz w:val="28"/>
      <w:szCs w:val="28"/>
    </w:rPr>
  </w:style>
  <w:style w:type="paragraph" w:customStyle="1" w:styleId="115">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116">
    <w:name w:val="样式2"/>
    <w:basedOn w:val="4"/>
    <w:qFormat/>
    <w:uiPriority w:val="0"/>
    <w:rPr>
      <w:i/>
    </w:rPr>
  </w:style>
  <w:style w:type="character" w:customStyle="1" w:styleId="117">
    <w:name w:val="msoins"/>
    <w:qFormat/>
    <w:uiPriority w:val="0"/>
  </w:style>
  <w:style w:type="paragraph" w:customStyle="1" w:styleId="118">
    <w:name w:val="表格文字"/>
    <w:basedOn w:val="1"/>
    <w:qFormat/>
    <w:uiPriority w:val="0"/>
    <w:pPr>
      <w:adjustRightInd w:val="0"/>
      <w:spacing w:line="420" w:lineRule="atLeast"/>
      <w:jc w:val="left"/>
      <w:textAlignment w:val="baseline"/>
    </w:pPr>
    <w:rPr>
      <w:kern w:val="0"/>
      <w:szCs w:val="20"/>
    </w:rPr>
  </w:style>
  <w:style w:type="character" w:customStyle="1" w:styleId="119">
    <w:name w:val="标题 1 Char"/>
    <w:link w:val="2"/>
    <w:qFormat/>
    <w:uiPriority w:val="0"/>
    <w:rPr>
      <w:rFonts w:ascii="Times New Roman" w:hAnsi="Times New Roman" w:eastAsia="宋体"/>
      <w:b/>
      <w:bCs/>
      <w:kern w:val="44"/>
      <w:sz w:val="44"/>
      <w:szCs w:val="44"/>
    </w:rPr>
  </w:style>
  <w:style w:type="character" w:customStyle="1" w:styleId="120">
    <w:name w:val="font31"/>
    <w:qFormat/>
    <w:uiPriority w:val="0"/>
    <w:rPr>
      <w:rFonts w:hint="eastAsia" w:ascii="宋体" w:hAnsi="宋体" w:eastAsia="宋体" w:cs="宋体"/>
      <w:b/>
      <w:bCs/>
      <w:color w:val="000000"/>
      <w:sz w:val="21"/>
      <w:szCs w:val="21"/>
      <w:u w:val="none"/>
    </w:rPr>
  </w:style>
  <w:style w:type="character" w:customStyle="1" w:styleId="121">
    <w:name w:val="批注框文本 Char"/>
    <w:link w:val="26"/>
    <w:qFormat/>
    <w:uiPriority w:val="0"/>
    <w:rPr>
      <w:rFonts w:eastAsia="宋体"/>
      <w:kern w:val="2"/>
      <w:sz w:val="18"/>
      <w:szCs w:val="18"/>
    </w:rPr>
  </w:style>
  <w:style w:type="character" w:customStyle="1" w:styleId="122">
    <w:name w:val="尾注文本 Char"/>
    <w:link w:val="25"/>
    <w:qFormat/>
    <w:uiPriority w:val="0"/>
    <w:rPr>
      <w:rFonts w:ascii="Times New Roman" w:hAnsi="Times New Roman" w:eastAsia="宋体"/>
      <w:kern w:val="2"/>
      <w:sz w:val="21"/>
    </w:rPr>
  </w:style>
  <w:style w:type="character" w:customStyle="1" w:styleId="123">
    <w:name w:val="批注主题 Char Char"/>
    <w:link w:val="124"/>
    <w:qFormat/>
    <w:uiPriority w:val="0"/>
    <w:rPr>
      <w:rFonts w:eastAsia="宋体"/>
      <w:b/>
      <w:bCs/>
      <w:kern w:val="2"/>
      <w:sz w:val="21"/>
      <w:szCs w:val="24"/>
    </w:rPr>
  </w:style>
  <w:style w:type="paragraph" w:customStyle="1" w:styleId="124">
    <w:name w:val="批注主题1"/>
    <w:basedOn w:val="15"/>
    <w:next w:val="15"/>
    <w:link w:val="123"/>
    <w:qFormat/>
    <w:uiPriority w:val="0"/>
    <w:pPr>
      <w:jc w:val="both"/>
    </w:pPr>
    <w:rPr>
      <w:b/>
      <w:bCs/>
    </w:rPr>
  </w:style>
  <w:style w:type="paragraph" w:customStyle="1" w:styleId="125">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126">
    <w:name w:val="文二"/>
    <w:basedOn w:val="1"/>
    <w:qFormat/>
    <w:uiPriority w:val="0"/>
    <w:pPr>
      <w:jc w:val="left"/>
    </w:pPr>
    <w:rPr>
      <w:rFonts w:ascii="宋体" w:hAnsi="宋体"/>
      <w:szCs w:val="21"/>
    </w:rPr>
  </w:style>
  <w:style w:type="character" w:customStyle="1" w:styleId="127">
    <w:name w:val="标题 6 Char"/>
    <w:link w:val="8"/>
    <w:qFormat/>
    <w:uiPriority w:val="0"/>
    <w:rPr>
      <w:rFonts w:ascii="Arial" w:hAnsi="Arial" w:eastAsia="黑体"/>
      <w:b/>
      <w:bCs/>
      <w:sz w:val="24"/>
      <w:szCs w:val="24"/>
    </w:rPr>
  </w:style>
  <w:style w:type="character" w:customStyle="1" w:styleId="128">
    <w:name w:val="正文文本 Char"/>
    <w:link w:val="17"/>
    <w:semiHidden/>
    <w:qFormat/>
    <w:uiPriority w:val="99"/>
    <w:rPr>
      <w:kern w:val="2"/>
      <w:sz w:val="21"/>
      <w:szCs w:val="22"/>
    </w:rPr>
  </w:style>
  <w:style w:type="character" w:customStyle="1" w:styleId="129">
    <w:name w:val="times"/>
    <w:qFormat/>
    <w:uiPriority w:val="0"/>
    <w:rPr>
      <w:color w:val="CDCDCD"/>
      <w:bdr w:val="single" w:color="CDCDCD" w:sz="6" w:space="0"/>
      <w:shd w:val="clear" w:color="auto" w:fill="EFEFEF"/>
    </w:rPr>
  </w:style>
  <w:style w:type="paragraph" w:customStyle="1" w:styleId="130">
    <w:name w:val="p0"/>
    <w:basedOn w:val="1"/>
    <w:qFormat/>
    <w:uiPriority w:val="0"/>
    <w:pPr>
      <w:widowControl/>
    </w:pPr>
    <w:rPr>
      <w:kern w:val="0"/>
      <w:szCs w:val="21"/>
    </w:rPr>
  </w:style>
  <w:style w:type="character" w:customStyle="1" w:styleId="131">
    <w:name w:val="Char Char12"/>
    <w:qFormat/>
    <w:uiPriority w:val="0"/>
    <w:rPr>
      <w:rFonts w:ascii="Arial" w:hAnsi="Arial" w:eastAsia="黑体" w:cs="Times New Roman"/>
      <w:b/>
      <w:bCs/>
      <w:sz w:val="32"/>
      <w:szCs w:val="32"/>
    </w:rPr>
  </w:style>
  <w:style w:type="paragraph" w:customStyle="1" w:styleId="132">
    <w:name w:val="正文文本 21"/>
    <w:basedOn w:val="1"/>
    <w:qFormat/>
    <w:uiPriority w:val="0"/>
    <w:rPr>
      <w:rFonts w:ascii="宋体" w:hAnsi="宋体"/>
      <w:szCs w:val="24"/>
      <w:u w:val="single"/>
    </w:rPr>
  </w:style>
  <w:style w:type="character" w:customStyle="1" w:styleId="133">
    <w:name w:val="标题 7 Char"/>
    <w:link w:val="9"/>
    <w:qFormat/>
    <w:uiPriority w:val="0"/>
    <w:rPr>
      <w:rFonts w:ascii="Times New Roman" w:hAnsi="Times New Roman" w:eastAsia="宋体"/>
      <w:b/>
      <w:bCs/>
      <w:sz w:val="24"/>
      <w:szCs w:val="24"/>
    </w:rPr>
  </w:style>
  <w:style w:type="paragraph" w:customStyle="1" w:styleId="134">
    <w:name w:val="List Paragraph1"/>
    <w:basedOn w:val="1"/>
    <w:qFormat/>
    <w:uiPriority w:val="0"/>
    <w:pPr>
      <w:ind w:firstLine="420" w:firstLineChars="200"/>
    </w:pPr>
    <w:rPr>
      <w:szCs w:val="24"/>
    </w:rPr>
  </w:style>
  <w:style w:type="paragraph" w:customStyle="1" w:styleId="135">
    <w:name w:val="正文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6">
    <w:name w:val="日期1"/>
    <w:basedOn w:val="1"/>
    <w:next w:val="1"/>
    <w:qFormat/>
    <w:uiPriority w:val="0"/>
    <w:rPr>
      <w:sz w:val="24"/>
      <w:szCs w:val="20"/>
    </w:rPr>
  </w:style>
  <w:style w:type="character" w:customStyle="1" w:styleId="137">
    <w:name w:val="font51"/>
    <w:qFormat/>
    <w:uiPriority w:val="0"/>
    <w:rPr>
      <w:rFonts w:hint="eastAsia" w:ascii="宋体" w:hAnsi="宋体" w:eastAsia="宋体" w:cs="宋体"/>
      <w:color w:val="000000"/>
      <w:sz w:val="21"/>
      <w:szCs w:val="21"/>
      <w:u w:val="none"/>
      <w:vertAlign w:val="superscript"/>
    </w:rPr>
  </w:style>
  <w:style w:type="character" w:customStyle="1" w:styleId="138">
    <w:name w:val="正文文本首行缩进 字符"/>
    <w:link w:val="139"/>
    <w:qFormat/>
    <w:uiPriority w:val="99"/>
    <w:rPr>
      <w:rFonts w:eastAsia="宋体"/>
      <w:kern w:val="2"/>
      <w:sz w:val="21"/>
      <w:szCs w:val="24"/>
    </w:rPr>
  </w:style>
  <w:style w:type="paragraph" w:customStyle="1" w:styleId="139">
    <w:name w:val="_Style 87"/>
    <w:basedOn w:val="1"/>
    <w:next w:val="39"/>
    <w:link w:val="138"/>
    <w:unhideWhenUsed/>
    <w:qFormat/>
    <w:uiPriority w:val="99"/>
    <w:pPr>
      <w:ind w:firstLine="420" w:firstLineChars="100"/>
    </w:pPr>
    <w:rPr>
      <w:szCs w:val="24"/>
      <w:lang w:val="zh-CN"/>
    </w:rPr>
  </w:style>
  <w:style w:type="paragraph" w:customStyle="1" w:styleId="140">
    <w:name w:val="TOC 标题1"/>
    <w:basedOn w:val="2"/>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14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42">
    <w:name w:val="日期 Char"/>
    <w:link w:val="24"/>
    <w:qFormat/>
    <w:uiPriority w:val="0"/>
    <w:rPr>
      <w:rFonts w:ascii="Calibri" w:hAnsi="Calibri" w:eastAsia="宋体"/>
      <w:szCs w:val="24"/>
    </w:rPr>
  </w:style>
  <w:style w:type="paragraph" w:customStyle="1" w:styleId="143">
    <w:name w:val="列出段落1"/>
    <w:basedOn w:val="1"/>
    <w:qFormat/>
    <w:uiPriority w:val="0"/>
    <w:pPr>
      <w:ind w:firstLine="420" w:firstLineChars="200"/>
    </w:pPr>
    <w:rPr>
      <w:szCs w:val="21"/>
    </w:rPr>
  </w:style>
  <w:style w:type="paragraph" w:customStyle="1" w:styleId="144">
    <w:name w:val="修订1"/>
    <w:qFormat/>
    <w:uiPriority w:val="0"/>
    <w:rPr>
      <w:rFonts w:ascii="Times New Roman" w:hAnsi="Times New Roman" w:eastAsia="宋体" w:cs="Times New Roman"/>
      <w:kern w:val="2"/>
      <w:sz w:val="21"/>
      <w:szCs w:val="24"/>
      <w:lang w:val="en-US" w:eastAsia="zh-CN" w:bidi="ar-SA"/>
    </w:rPr>
  </w:style>
  <w:style w:type="character" w:customStyle="1" w:styleId="145">
    <w:name w:val="NormalCharacter"/>
    <w:qFormat/>
    <w:uiPriority w:val="0"/>
  </w:style>
  <w:style w:type="paragraph" w:customStyle="1" w:styleId="146">
    <w:name w:val="样式 标题 3 + (中文) 黑体 小四 非加粗 段前: 7.8 磅 段后: 0 磅 行距: 固定值 20 磅"/>
    <w:basedOn w:val="4"/>
    <w:qFormat/>
    <w:uiPriority w:val="0"/>
    <w:pPr>
      <w:spacing w:before="0" w:after="0" w:line="400" w:lineRule="exact"/>
    </w:pPr>
    <w:rPr>
      <w:rFonts w:cs="宋体"/>
      <w:bCs w:val="0"/>
      <w:sz w:val="24"/>
      <w:szCs w:val="20"/>
    </w:rPr>
  </w:style>
  <w:style w:type="paragraph" w:customStyle="1" w:styleId="147">
    <w:name w:val="发文落款"/>
    <w:basedOn w:val="61"/>
    <w:qFormat/>
    <w:uiPriority w:val="0"/>
    <w:pPr>
      <w:ind w:left="4094" w:right="607" w:firstLine="0"/>
      <w:jc w:val="center"/>
    </w:pPr>
  </w:style>
  <w:style w:type="paragraph" w:customStyle="1" w:styleId="148">
    <w:name w:val="正文 New New"/>
    <w:qFormat/>
    <w:uiPriority w:val="0"/>
    <w:pPr>
      <w:widowControl w:val="0"/>
      <w:jc w:val="both"/>
    </w:pPr>
    <w:rPr>
      <w:rFonts w:ascii="Calibri" w:hAnsi="Calibri" w:eastAsia="宋体" w:cs="Calibri"/>
      <w:kern w:val="2"/>
      <w:sz w:val="30"/>
      <w:szCs w:val="24"/>
      <w:lang w:val="en-US" w:eastAsia="zh-CN" w:bidi="ar-SA"/>
    </w:rPr>
  </w:style>
  <w:style w:type="character" w:customStyle="1" w:styleId="149">
    <w:name w:val="文档结构图 Char Char"/>
    <w:link w:val="106"/>
    <w:qFormat/>
    <w:uiPriority w:val="0"/>
    <w:rPr>
      <w:rFonts w:eastAsia="宋体"/>
      <w:kern w:val="2"/>
      <w:sz w:val="21"/>
      <w:szCs w:val="24"/>
      <w:shd w:val="clear" w:color="auto" w:fill="000080"/>
    </w:rPr>
  </w:style>
  <w:style w:type="character" w:customStyle="1" w:styleId="150">
    <w:name w:val="标题 3 Char1"/>
    <w:qFormat/>
    <w:uiPriority w:val="0"/>
    <w:rPr>
      <w:rFonts w:ascii="黑体" w:hAnsi="宋体" w:eastAsia="黑体"/>
      <w:bCs/>
      <w:kern w:val="2"/>
      <w:sz w:val="28"/>
      <w:szCs w:val="28"/>
      <w:lang w:val="en-US" w:eastAsia="zh-CN"/>
    </w:rPr>
  </w:style>
  <w:style w:type="character" w:customStyle="1" w:styleId="151">
    <w:name w:val="font01"/>
    <w:qFormat/>
    <w:uiPriority w:val="0"/>
    <w:rPr>
      <w:rFonts w:hint="eastAsia" w:ascii="宋体" w:hAnsi="宋体" w:eastAsia="宋体" w:cs="宋体"/>
      <w:b/>
      <w:bCs/>
      <w:color w:val="000000"/>
      <w:sz w:val="24"/>
      <w:szCs w:val="24"/>
      <w:u w:val="none"/>
    </w:rPr>
  </w:style>
  <w:style w:type="paragraph" w:customStyle="1" w:styleId="152">
    <w:name w:val="正文文本缩进1"/>
    <w:basedOn w:val="1"/>
    <w:qFormat/>
    <w:uiPriority w:val="0"/>
    <w:pPr>
      <w:spacing w:after="120"/>
      <w:ind w:left="420" w:leftChars="200"/>
    </w:pPr>
    <w:rPr>
      <w:szCs w:val="24"/>
    </w:rPr>
  </w:style>
  <w:style w:type="paragraph" w:customStyle="1" w:styleId="153">
    <w:name w:val="章节三"/>
    <w:basedOn w:val="54"/>
    <w:next w:val="54"/>
    <w:qFormat/>
    <w:uiPriority w:val="0"/>
    <w:pPr>
      <w:spacing w:beforeLines="50" w:afterLines="50"/>
      <w:jc w:val="left"/>
      <w:outlineLvl w:val="2"/>
    </w:pPr>
    <w:rPr>
      <w:rFonts w:ascii="黑体" w:hAnsi="宋体" w:eastAsia="黑体"/>
      <w:b/>
      <w:snapToGrid w:val="0"/>
    </w:rPr>
  </w:style>
  <w:style w:type="paragraph" w:customStyle="1" w:styleId="154">
    <w:name w:val="索引 11"/>
    <w:basedOn w:val="1"/>
    <w:next w:val="1"/>
    <w:qFormat/>
    <w:uiPriority w:val="0"/>
    <w:pPr>
      <w:spacing w:line="220" w:lineRule="exact"/>
      <w:jc w:val="center"/>
    </w:pPr>
    <w:rPr>
      <w:rFonts w:ascii="仿宋_GB2312" w:eastAsia="仿宋_GB2312"/>
      <w:szCs w:val="21"/>
    </w:rPr>
  </w:style>
  <w:style w:type="character" w:customStyle="1" w:styleId="155">
    <w:name w:val="正文文本 字符"/>
    <w:qFormat/>
    <w:uiPriority w:val="0"/>
    <w:rPr>
      <w:rFonts w:eastAsia="宋体"/>
      <w:kern w:val="2"/>
      <w:sz w:val="21"/>
      <w:szCs w:val="24"/>
      <w:lang w:val="en-US" w:eastAsia="zh-CN"/>
    </w:rPr>
  </w:style>
  <w:style w:type="paragraph" w:customStyle="1" w:styleId="156">
    <w:name w:val="公文标题"/>
    <w:basedOn w:val="4"/>
    <w:qFormat/>
    <w:uiPriority w:val="0"/>
    <w:pPr>
      <w:spacing w:line="240" w:lineRule="auto"/>
      <w:ind w:left="1469" w:right="1542" w:firstLine="0" w:firstLineChars="0"/>
      <w:jc w:val="center"/>
    </w:pPr>
    <w:rPr>
      <w:rFonts w:ascii="Times New Roman" w:hAnsi="Times New Roman" w:eastAsia="宋体"/>
      <w:b/>
      <w:bCs w:val="0"/>
      <w:sz w:val="44"/>
      <w:szCs w:val="24"/>
    </w:rPr>
  </w:style>
  <w:style w:type="character" w:customStyle="1" w:styleId="157">
    <w:name w:val="标题 Char"/>
    <w:link w:val="37"/>
    <w:qFormat/>
    <w:uiPriority w:val="0"/>
    <w:rPr>
      <w:rFonts w:ascii="Arial" w:hAnsi="Arial" w:eastAsia="宋体"/>
      <w:b/>
      <w:sz w:val="32"/>
    </w:rPr>
  </w:style>
  <w:style w:type="character" w:customStyle="1" w:styleId="158">
    <w:name w:val="title22"/>
    <w:qFormat/>
    <w:uiPriority w:val="0"/>
  </w:style>
  <w:style w:type="paragraph" w:customStyle="1" w:styleId="159">
    <w:name w:val="段落正文"/>
    <w:basedOn w:val="1"/>
    <w:qFormat/>
    <w:uiPriority w:val="0"/>
    <w:pPr>
      <w:spacing w:line="300" w:lineRule="auto"/>
      <w:ind w:firstLine="482" w:firstLineChars="200"/>
    </w:pPr>
    <w:rPr>
      <w:sz w:val="24"/>
      <w:szCs w:val="24"/>
    </w:rPr>
  </w:style>
  <w:style w:type="character" w:customStyle="1" w:styleId="160">
    <w:name w:val="hover37"/>
    <w:qFormat/>
    <w:uiPriority w:val="0"/>
  </w:style>
  <w:style w:type="paragraph" w:customStyle="1" w:styleId="161">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163">
    <w:name w:val="页脚 字符1"/>
    <w:semiHidden/>
    <w:qFormat/>
    <w:uiPriority w:val="99"/>
    <w:rPr>
      <w:kern w:val="2"/>
      <w:sz w:val="18"/>
      <w:szCs w:val="18"/>
    </w:rPr>
  </w:style>
  <w:style w:type="character" w:customStyle="1" w:styleId="164">
    <w:name w:val="页脚 Char"/>
    <w:link w:val="27"/>
    <w:qFormat/>
    <w:uiPriority w:val="99"/>
    <w:rPr>
      <w:rFonts w:eastAsia="宋体"/>
      <w:kern w:val="2"/>
      <w:sz w:val="18"/>
      <w:szCs w:val="18"/>
    </w:rPr>
  </w:style>
  <w:style w:type="paragraph" w:customStyle="1" w:styleId="165">
    <w:name w:val="表头"/>
    <w:basedOn w:val="1"/>
    <w:qFormat/>
    <w:uiPriority w:val="0"/>
    <w:pPr>
      <w:spacing w:line="360" w:lineRule="auto"/>
      <w:jc w:val="center"/>
    </w:pPr>
    <w:rPr>
      <w:rFonts w:ascii="黑体" w:eastAsia="黑体"/>
      <w:kern w:val="0"/>
      <w:sz w:val="24"/>
      <w:szCs w:val="20"/>
    </w:rPr>
  </w:style>
  <w:style w:type="paragraph" w:customStyle="1" w:styleId="166">
    <w:name w:val="_Style 166"/>
    <w:unhideWhenUsed/>
    <w:qFormat/>
    <w:uiPriority w:val="99"/>
    <w:rPr>
      <w:rFonts w:ascii="Times New Roman" w:hAnsi="Times New Roman" w:eastAsia="宋体" w:cs="Times New Roman"/>
      <w:kern w:val="2"/>
      <w:sz w:val="21"/>
      <w:szCs w:val="22"/>
      <w:lang w:val="en-US" w:eastAsia="zh-CN" w:bidi="ar-SA"/>
    </w:rPr>
  </w:style>
  <w:style w:type="character" w:customStyle="1" w:styleId="167">
    <w:name w:val="username"/>
    <w:qFormat/>
    <w:uiPriority w:val="0"/>
  </w:style>
  <w:style w:type="character" w:customStyle="1" w:styleId="168">
    <w:name w:val="Char Char13"/>
    <w:qFormat/>
    <w:uiPriority w:val="0"/>
    <w:rPr>
      <w:rFonts w:ascii="Times New Roman" w:hAnsi="Times New Roman" w:eastAsia="宋体" w:cs="Times New Roman"/>
      <w:b/>
      <w:bCs/>
      <w:kern w:val="44"/>
      <w:sz w:val="44"/>
      <w:szCs w:val="44"/>
    </w:rPr>
  </w:style>
  <w:style w:type="character" w:customStyle="1" w:styleId="169">
    <w:name w:val="批注引用1"/>
    <w:qFormat/>
    <w:uiPriority w:val="0"/>
    <w:rPr>
      <w:sz w:val="21"/>
      <w:szCs w:val="21"/>
    </w:rPr>
  </w:style>
  <w:style w:type="character" w:customStyle="1" w:styleId="170">
    <w:name w:val="正文首行缩进 Char1"/>
    <w:link w:val="39"/>
    <w:qFormat/>
    <w:uiPriority w:val="99"/>
  </w:style>
  <w:style w:type="character" w:customStyle="1" w:styleId="171">
    <w:name w:val="正文文本 3 Char"/>
    <w:link w:val="16"/>
    <w:qFormat/>
    <w:uiPriority w:val="0"/>
    <w:rPr>
      <w:rFonts w:ascii="宋体" w:hAnsi="Calibri"/>
      <w:kern w:val="2"/>
      <w:sz w:val="24"/>
    </w:rPr>
  </w:style>
  <w:style w:type="paragraph" w:customStyle="1" w:styleId="172">
    <w:name w:val="样式 宋体 行距: 1.5 倍行距"/>
    <w:basedOn w:val="1"/>
    <w:qFormat/>
    <w:uiPriority w:val="0"/>
    <w:pPr>
      <w:jc w:val="center"/>
    </w:pPr>
    <w:rPr>
      <w:b/>
    </w:rPr>
  </w:style>
  <w:style w:type="paragraph" w:customStyle="1" w:styleId="173">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74">
    <w:name w:val="font21"/>
    <w:qFormat/>
    <w:uiPriority w:val="0"/>
    <w:rPr>
      <w:rFonts w:hint="eastAsia" w:ascii="宋体" w:hAnsi="宋体" w:eastAsia="宋体" w:cs="宋体"/>
      <w:b/>
      <w:bCs/>
      <w:color w:val="000000"/>
      <w:sz w:val="24"/>
      <w:szCs w:val="24"/>
      <w:u w:val="single"/>
    </w:rPr>
  </w:style>
  <w:style w:type="paragraph" w:customStyle="1" w:styleId="175">
    <w:name w:val="Compact"/>
    <w:basedOn w:val="17"/>
    <w:qFormat/>
    <w:uiPriority w:val="0"/>
    <w:pPr>
      <w:spacing w:before="36" w:after="36"/>
    </w:pPr>
  </w:style>
  <w:style w:type="character" w:customStyle="1" w:styleId="176">
    <w:name w:val="15"/>
    <w:qFormat/>
    <w:uiPriority w:val="0"/>
    <w:rPr>
      <w:rFonts w:hint="default" w:ascii="Times New Roman" w:hAnsi="Times New Roman" w:cs="Times New Roman"/>
      <w:sz w:val="21"/>
      <w:szCs w:val="21"/>
    </w:rPr>
  </w:style>
  <w:style w:type="paragraph" w:customStyle="1" w:styleId="177">
    <w:name w:val="文字"/>
    <w:basedOn w:val="1"/>
    <w:qFormat/>
    <w:uiPriority w:val="0"/>
    <w:pPr>
      <w:spacing w:line="360" w:lineRule="auto"/>
      <w:ind w:firstLine="200" w:firstLineChars="200"/>
    </w:pPr>
    <w:rPr>
      <w:sz w:val="24"/>
      <w:szCs w:val="24"/>
    </w:rPr>
  </w:style>
  <w:style w:type="character" w:customStyle="1" w:styleId="178">
    <w:name w:val="批注主题 字符1"/>
    <w:semiHidden/>
    <w:qFormat/>
    <w:uiPriority w:val="99"/>
    <w:rPr>
      <w:b/>
      <w:bCs/>
      <w:kern w:val="2"/>
      <w:sz w:val="21"/>
      <w:szCs w:val="22"/>
    </w:rPr>
  </w:style>
  <w:style w:type="character" w:customStyle="1" w:styleId="179">
    <w:name w:val="font41"/>
    <w:qFormat/>
    <w:uiPriority w:val="0"/>
    <w:rPr>
      <w:rFonts w:hint="eastAsia" w:ascii="宋体" w:hAnsi="宋体" w:eastAsia="宋体" w:cs="宋体"/>
      <w:color w:val="000000"/>
      <w:sz w:val="21"/>
      <w:szCs w:val="21"/>
      <w:u w:val="none"/>
      <w:vertAlign w:val="superscript"/>
    </w:rPr>
  </w:style>
  <w:style w:type="paragraph" w:customStyle="1" w:styleId="180">
    <w:name w:val="_Style 102"/>
    <w:qFormat/>
    <w:uiPriority w:val="0"/>
    <w:rPr>
      <w:rFonts w:ascii="Times New Roman" w:hAnsi="Times New Roman" w:eastAsia="宋体" w:cs="Times New Roman"/>
      <w:kern w:val="2"/>
      <w:sz w:val="21"/>
      <w:szCs w:val="24"/>
      <w:lang w:val="en-US" w:eastAsia="zh-CN" w:bidi="ar-SA"/>
    </w:rPr>
  </w:style>
  <w:style w:type="paragraph" w:customStyle="1" w:styleId="181">
    <w:name w:val="正文文本缩进 21"/>
    <w:basedOn w:val="1"/>
    <w:qFormat/>
    <w:uiPriority w:val="0"/>
    <w:pPr>
      <w:spacing w:line="400" w:lineRule="exact"/>
      <w:ind w:left="425"/>
    </w:pPr>
    <w:rPr>
      <w:color w:val="000000"/>
      <w:sz w:val="24"/>
      <w:szCs w:val="20"/>
    </w:rPr>
  </w:style>
  <w:style w:type="paragraph" w:customStyle="1" w:styleId="182">
    <w:name w:val="正文文本 31"/>
    <w:basedOn w:val="1"/>
    <w:qFormat/>
    <w:uiPriority w:val="0"/>
    <w:rPr>
      <w:rFonts w:ascii="宋体"/>
      <w:sz w:val="24"/>
      <w:szCs w:val="20"/>
    </w:rPr>
  </w:style>
  <w:style w:type="paragraph" w:customStyle="1" w:styleId="183">
    <w:name w:val="_Style 53"/>
    <w:basedOn w:val="1"/>
    <w:next w:val="89"/>
    <w:qFormat/>
    <w:uiPriority w:val="34"/>
    <w:pPr>
      <w:ind w:firstLine="420" w:firstLineChars="200"/>
    </w:pPr>
  </w:style>
  <w:style w:type="paragraph" w:customStyle="1" w:styleId="184">
    <w:name w:val="表格"/>
    <w:basedOn w:val="1"/>
    <w:qFormat/>
    <w:uiPriority w:val="0"/>
    <w:pPr>
      <w:jc w:val="center"/>
      <w:textAlignment w:val="center"/>
    </w:pPr>
    <w:rPr>
      <w:rFonts w:ascii="华文细黑" w:hAnsi="华文细黑"/>
      <w:kern w:val="0"/>
      <w:szCs w:val="20"/>
    </w:rPr>
  </w:style>
  <w:style w:type="character" w:customStyle="1" w:styleId="185">
    <w:name w:val="正文文本 2 Char"/>
    <w:link w:val="35"/>
    <w:qFormat/>
    <w:uiPriority w:val="99"/>
    <w:rPr>
      <w:rFonts w:ascii="宋体" w:hAnsi="Times New Roman" w:eastAsia="宋体"/>
      <w:kern w:val="2"/>
      <w:sz w:val="24"/>
      <w:szCs w:val="24"/>
      <w:u w:val="single"/>
    </w:rPr>
  </w:style>
  <w:style w:type="paragraph" w:customStyle="1" w:styleId="186">
    <w:name w:val="Char Char Char Char"/>
    <w:basedOn w:val="1"/>
    <w:qFormat/>
    <w:uiPriority w:val="0"/>
    <w:pPr>
      <w:spacing w:afterLines="50" w:line="520" w:lineRule="exact"/>
      <w:jc w:val="center"/>
    </w:pPr>
    <w:rPr>
      <w:szCs w:val="24"/>
    </w:rPr>
  </w:style>
  <w:style w:type="character" w:customStyle="1" w:styleId="187">
    <w:name w:val="times1"/>
    <w:qFormat/>
    <w:uiPriority w:val="0"/>
    <w:rPr>
      <w:color w:val="3399FF"/>
      <w:bdr w:val="single" w:color="D1EDF8" w:sz="6" w:space="0"/>
      <w:shd w:val="clear" w:color="auto" w:fill="EAF9FF"/>
    </w:rPr>
  </w:style>
  <w:style w:type="character" w:customStyle="1" w:styleId="188">
    <w:name w:val="页码1"/>
    <w:qFormat/>
    <w:uiPriority w:val="0"/>
  </w:style>
  <w:style w:type="character" w:customStyle="1" w:styleId="189">
    <w:name w:val="标题 4 Char"/>
    <w:link w:val="5"/>
    <w:qFormat/>
    <w:uiPriority w:val="0"/>
    <w:rPr>
      <w:rFonts w:ascii="Arial" w:hAnsi="Arial" w:eastAsia="黑体"/>
      <w:b/>
      <w:bCs/>
      <w:kern w:val="2"/>
      <w:sz w:val="28"/>
      <w:szCs w:val="28"/>
    </w:rPr>
  </w:style>
  <w:style w:type="character" w:customStyle="1" w:styleId="190">
    <w:name w:val="正文首行缩进 Char"/>
    <w:link w:val="81"/>
    <w:qFormat/>
    <w:uiPriority w:val="0"/>
  </w:style>
  <w:style w:type="character" w:customStyle="1" w:styleId="191">
    <w:name w:val="批注主题 Char"/>
    <w:link w:val="38"/>
    <w:qFormat/>
    <w:uiPriority w:val="0"/>
    <w:rPr>
      <w:rFonts w:eastAsia="宋体"/>
      <w:b/>
      <w:bCs/>
      <w:kern w:val="2"/>
      <w:sz w:val="21"/>
      <w:szCs w:val="24"/>
    </w:rPr>
  </w:style>
  <w:style w:type="paragraph" w:customStyle="1" w:styleId="192">
    <w:name w:val="样式 四号 行距: 1.5 倍行距"/>
    <w:basedOn w:val="1"/>
    <w:qFormat/>
    <w:uiPriority w:val="0"/>
    <w:pPr>
      <w:spacing w:line="360" w:lineRule="auto"/>
      <w:ind w:firstLine="560" w:firstLineChars="200"/>
    </w:pPr>
    <w:rPr>
      <w:rFonts w:cs="宋体"/>
      <w:sz w:val="24"/>
      <w:szCs w:val="20"/>
    </w:rPr>
  </w:style>
  <w:style w:type="character" w:customStyle="1" w:styleId="193">
    <w:name w:val="纯文本 Char1"/>
    <w:link w:val="83"/>
    <w:qFormat/>
    <w:uiPriority w:val="0"/>
    <w:rPr>
      <w:rFonts w:ascii="宋体" w:hAnsi="Courier New" w:eastAsia="宋体"/>
      <w:kern w:val="2"/>
      <w:sz w:val="21"/>
    </w:rPr>
  </w:style>
  <w:style w:type="table" w:customStyle="1" w:styleId="194">
    <w:name w:val="Table Normal"/>
    <w:semiHidden/>
    <w:unhideWhenUsed/>
    <w:qFormat/>
    <w:uiPriority w:val="0"/>
    <w:tblPr>
      <w:tblCellMar>
        <w:top w:w="0" w:type="dxa"/>
        <w:left w:w="0" w:type="dxa"/>
        <w:bottom w:w="0" w:type="dxa"/>
        <w:right w:w="0" w:type="dxa"/>
      </w:tblCellMar>
    </w:tblPr>
  </w:style>
  <w:style w:type="paragraph" w:customStyle="1" w:styleId="195">
    <w:name w:val="Table Text"/>
    <w:basedOn w:val="1"/>
    <w:semiHidden/>
    <w:qFormat/>
    <w:uiPriority w:val="0"/>
    <w:rPr>
      <w:rFonts w:ascii="Arial" w:hAnsi="Arial" w:eastAsia="Arial" w:cs="Arial"/>
      <w:sz w:val="21"/>
      <w:szCs w:val="21"/>
      <w:lang w:val="en-US" w:eastAsia="en-US" w:bidi="ar-SA"/>
    </w:rPr>
  </w:style>
  <w:style w:type="paragraph" w:customStyle="1" w:styleId="19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27805</Words>
  <Characters>29046</Characters>
  <Lines>294</Lines>
  <Paragraphs>82</Paragraphs>
  <TotalTime>42</TotalTime>
  <ScaleCrop>false</ScaleCrop>
  <LinksUpToDate>false</LinksUpToDate>
  <CharactersWithSpaces>29807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2025-07-19T17:35:00Z</dcterms:created>
  <dc:creator>Administrator</dc:creator>
  <cp:lastModifiedBy>王滨</cp:lastModifiedBy>
  <dcterms:modified xsi:type="dcterms:W3CDTF">2025-10-16T09:22:39Z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eyJoZGlkIjoiMjY0MGI4ZDkwYWNkYThiYTYwMjgzMDZmYTZiMDQ5MDIiLCJ1c2VySWQiOiI0NTUxNTQxNTQifQ==</vt:lpwstr>
  </property>
  <property fmtid="{D5CDD505-2E9C-101B-9397-08002B2CF9AE}" pid="3" name="KSOProductBuildVer">
    <vt:lpwstr>2052-12.1.0.23125</vt:lpwstr>
  </property>
  <property fmtid="{D5CDD505-2E9C-101B-9397-08002B2CF9AE}" pid="4" name="ICV">
    <vt:lpwstr>14C6766A04534E48AD7EF97973FC7637_13</vt:lpwstr>
  </property>
</Properties>
</file>