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240" w:line="380" w:lineRule="atLeast"/>
        <w:rPr>
          <w:rFonts w:hint="eastAsia" w:ascii="宋体" w:hAnsi="宋体"/>
          <w:b w:val="0"/>
          <w:bCs w:val="0"/>
          <w:highlight w:val="none"/>
        </w:rPr>
      </w:pPr>
      <w:bookmarkStart w:id="0" w:name="_Toc443"/>
      <w:bookmarkStart w:id="1" w:name="_Toc509407133"/>
      <w:bookmarkStart w:id="2" w:name="_Toc4744"/>
      <w:bookmarkStart w:id="3" w:name="_Toc6744"/>
      <w:bookmarkStart w:id="4" w:name="_Toc27023"/>
      <w:bookmarkStart w:id="5" w:name="_Toc13479"/>
      <w:bookmarkStart w:id="6" w:name="_Toc13315"/>
      <w:bookmarkStart w:id="7" w:name="_Toc7403"/>
      <w:bookmarkStart w:id="8" w:name="_Toc24627"/>
      <w:bookmarkStart w:id="9" w:name="_Toc30815"/>
      <w:bookmarkStart w:id="10" w:name="_Toc10596"/>
      <w:bookmarkStart w:id="11" w:name="_Toc29011"/>
      <w:bookmarkStart w:id="12" w:name="_Toc716"/>
      <w:bookmarkStart w:id="13" w:name="_Toc503235805"/>
      <w:bookmarkStart w:id="14" w:name="_Toc26570"/>
      <w:bookmarkStart w:id="15" w:name="_Toc21759"/>
      <w:bookmarkStart w:id="16" w:name="_Toc10423"/>
      <w:bookmarkStart w:id="17" w:name="_Toc26580"/>
      <w:bookmarkStart w:id="18" w:name="_Toc17240"/>
      <w:bookmarkStart w:id="19" w:name="_Toc18482"/>
      <w:bookmarkStart w:id="20" w:name="_Toc234832942"/>
      <w:bookmarkStart w:id="91" w:name="_GoBack"/>
      <w:r>
        <w:rPr>
          <w:rStyle w:val="17"/>
          <w:rFonts w:ascii="宋体" w:hAnsi="宋体"/>
          <w:b/>
          <w:bCs/>
          <w:highlight w:val="none"/>
        </w:rPr>
        <w:t>第三章  评标</w:t>
      </w:r>
      <w:r>
        <w:rPr>
          <w:rStyle w:val="17"/>
          <w:rFonts w:hint="eastAsia" w:ascii="宋体" w:hAnsi="宋体"/>
          <w:b/>
          <w:bCs/>
          <w:highlight w:val="none"/>
        </w:rPr>
        <w:t>（定标）</w:t>
      </w:r>
      <w:r>
        <w:rPr>
          <w:rStyle w:val="17"/>
          <w:rFonts w:ascii="宋体" w:hAnsi="宋体"/>
          <w:b/>
          <w:bCs/>
          <w:highlight w:val="none"/>
        </w:rPr>
        <w:t>办法</w:t>
      </w:r>
      <w:bookmarkEnd w:id="91"/>
      <w:r>
        <w:rPr>
          <w:rStyle w:val="17"/>
          <w:rFonts w:ascii="宋体" w:hAnsi="宋体"/>
          <w:b/>
          <w:bCs/>
          <w:highlight w:val="none"/>
        </w:rPr>
        <w:t>（综合评估法）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jc w:val="center"/>
        <w:rPr>
          <w:szCs w:val="24"/>
          <w:highlight w:val="none"/>
        </w:rPr>
      </w:pPr>
      <w:bookmarkStart w:id="21" w:name="_Toc509407134"/>
      <w:bookmarkStart w:id="22" w:name="_Toc108"/>
      <w:bookmarkStart w:id="23" w:name="_Toc26929"/>
      <w:bookmarkStart w:id="24" w:name="_Toc7130"/>
      <w:bookmarkStart w:id="25" w:name="_Toc24838"/>
      <w:bookmarkStart w:id="26" w:name="_Toc17700"/>
      <w:bookmarkStart w:id="27" w:name="_Toc2913"/>
      <w:bookmarkStart w:id="28" w:name="_Toc4381"/>
      <w:bookmarkStart w:id="29" w:name="_Toc18352"/>
      <w:bookmarkStart w:id="30" w:name="_Toc23153"/>
      <w:bookmarkStart w:id="31" w:name="_Toc503235806"/>
      <w:bookmarkStart w:id="32" w:name="_Toc19859"/>
      <w:r>
        <w:rPr>
          <w:rStyle w:val="17"/>
          <w:sz w:val="24"/>
          <w:szCs w:val="24"/>
          <w:highlight w:val="none"/>
        </w:rPr>
        <w:t>评标办法前附表</w:t>
      </w:r>
      <w:bookmarkEnd w:id="21"/>
      <w:bookmarkEnd w:id="22"/>
      <w:bookmarkEnd w:id="23"/>
      <w:bookmarkEnd w:id="24"/>
      <w:bookmarkEnd w:id="25"/>
      <w:bookmarkEnd w:id="26"/>
      <w:bookmarkEnd w:id="27"/>
      <w:bookmarkEnd w:id="28"/>
      <w:bookmarkEnd w:id="29"/>
      <w:bookmarkEnd w:id="30"/>
      <w:bookmarkEnd w:id="31"/>
      <w:bookmarkEnd w:id="32"/>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b/>
                <w:highlight w:val="none"/>
              </w:rPr>
            </w:pPr>
            <w:r>
              <w:rPr>
                <w:rFonts w:hint="eastAsia" w:ascii="宋体" w:hAnsi="宋体" w:cs="宋体"/>
                <w:b/>
                <w:highlight w:val="none"/>
              </w:rPr>
              <w:t>条款号</w:t>
            </w:r>
          </w:p>
        </w:tc>
        <w:tc>
          <w:tcPr>
            <w:tcW w:w="66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b/>
                <w:spacing w:val="4"/>
                <w:highlight w:val="none"/>
              </w:rPr>
            </w:pPr>
            <w:r>
              <w:rPr>
                <w:rFonts w:hint="eastAsia" w:ascii="宋体" w:hAnsi="宋体" w:cs="宋体"/>
                <w:b/>
                <w:spacing w:val="4"/>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1</w:t>
            </w:r>
          </w:p>
        </w:tc>
        <w:tc>
          <w:tcPr>
            <w:tcW w:w="1280"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评标方法</w:t>
            </w:r>
          </w:p>
        </w:tc>
        <w:tc>
          <w:tcPr>
            <w:tcW w:w="6622" w:type="dxa"/>
            <w:tcBorders>
              <w:top w:val="single" w:color="auto" w:sz="4" w:space="0"/>
              <w:left w:val="single" w:color="auto" w:sz="4" w:space="0"/>
              <w:right w:val="single" w:color="auto" w:sz="4" w:space="0"/>
            </w:tcBorders>
            <w:vAlign w:val="center"/>
          </w:tcPr>
          <w:p>
            <w:pPr>
              <w:adjustRightInd w:val="0"/>
              <w:snapToGrid w:val="0"/>
              <w:spacing w:line="360" w:lineRule="auto"/>
              <w:ind w:firstLine="287" w:firstLineChars="137"/>
              <w:rPr>
                <w:rFonts w:hint="eastAsia" w:ascii="宋体" w:hAnsi="宋体" w:cs="宋体"/>
                <w:highlight w:val="none"/>
              </w:rPr>
            </w:pPr>
            <w:r>
              <w:rPr>
                <w:rFonts w:hint="eastAsia" w:ascii="宋体" w:hAnsi="宋体" w:cs="宋体"/>
                <w:highlight w:val="none"/>
              </w:rPr>
              <w:t>综合评分相等时，评标委员会依次按照以下优先顺序推荐中标候选人：</w:t>
            </w:r>
          </w:p>
          <w:p>
            <w:pPr>
              <w:adjustRightInd w:val="0"/>
              <w:snapToGrid w:val="0"/>
              <w:spacing w:line="360" w:lineRule="auto"/>
              <w:ind w:firstLine="287" w:firstLineChars="137"/>
              <w:rPr>
                <w:rFonts w:hint="eastAsia" w:ascii="宋体" w:hAnsi="宋体" w:cs="宋体"/>
                <w:highlight w:val="none"/>
              </w:rPr>
            </w:pPr>
            <w:r>
              <w:rPr>
                <w:rFonts w:hint="eastAsia" w:ascii="宋体" w:hAnsi="宋体" w:cs="宋体"/>
                <w:highlight w:val="none"/>
              </w:rPr>
              <w:t>（1）评标价低的投标人优先；</w:t>
            </w:r>
          </w:p>
          <w:p>
            <w:pPr>
              <w:adjustRightInd w:val="0"/>
              <w:snapToGrid w:val="0"/>
              <w:spacing w:line="360" w:lineRule="auto"/>
              <w:ind w:firstLine="287" w:firstLineChars="137"/>
              <w:rPr>
                <w:rFonts w:hint="eastAsia" w:ascii="宋体" w:hAnsi="宋体" w:cs="宋体"/>
                <w:highlight w:val="none"/>
              </w:rPr>
            </w:pPr>
            <w:r>
              <w:rPr>
                <w:rFonts w:hint="eastAsia" w:ascii="宋体" w:hAnsi="宋体" w:cs="宋体"/>
                <w:highlight w:val="none"/>
              </w:rPr>
              <w:t>（2）按招标文件规定被认定为广东省信用等级较高的投标人优先</w:t>
            </w:r>
            <w:r>
              <w:rPr>
                <w:rFonts w:hint="eastAsia" w:ascii="宋体" w:hAnsi="宋体" w:cs="宋体"/>
                <w:highlight w:val="none"/>
                <w:lang w:val="zh-CN"/>
              </w:rPr>
              <w:t>（采用如下的优先顺序：承诺使用的AA级投标人、不承诺使用的AA级投标人、承诺使用的A级投标人、不承诺使用的A级投标人、B级投标人、未参评且被确定为B级投标人）</w:t>
            </w:r>
            <w:r>
              <w:rPr>
                <w:rFonts w:hint="eastAsia" w:ascii="宋体" w:hAnsi="宋体" w:cs="宋体"/>
                <w:highlight w:val="none"/>
              </w:rPr>
              <w:t>；</w:t>
            </w:r>
          </w:p>
          <w:p>
            <w:pPr>
              <w:adjustRightInd w:val="0"/>
              <w:snapToGrid w:val="0"/>
              <w:spacing w:line="360" w:lineRule="auto"/>
              <w:ind w:firstLine="287" w:firstLineChars="137"/>
              <w:rPr>
                <w:rFonts w:hint="eastAsia" w:ascii="宋体" w:hAnsi="宋体" w:cs="宋体"/>
                <w:highlight w:val="none"/>
              </w:rPr>
            </w:pPr>
            <w:r>
              <w:rPr>
                <w:rFonts w:hint="eastAsia" w:ascii="宋体" w:hAnsi="宋体" w:cs="宋体"/>
                <w:highlight w:val="none"/>
              </w:rPr>
              <w:t>（3）商务和技术得分较高的投标人优先；</w:t>
            </w:r>
          </w:p>
          <w:p>
            <w:pPr>
              <w:adjustRightInd w:val="0"/>
              <w:snapToGrid w:val="0"/>
              <w:spacing w:line="360" w:lineRule="auto"/>
              <w:ind w:firstLine="287" w:firstLineChars="137"/>
              <w:rPr>
                <w:rFonts w:hint="eastAsia" w:ascii="宋体" w:hAnsi="宋体" w:cs="宋体"/>
                <w:b/>
                <w:highlight w:val="none"/>
              </w:rPr>
            </w:pPr>
            <w:r>
              <w:rPr>
                <w:rFonts w:hint="eastAsia" w:ascii="宋体" w:hAnsi="宋体" w:cs="宋体"/>
                <w:highlight w:val="none"/>
              </w:rPr>
              <w:t>（4）由评标委员会投票确定。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2.1.1</w:t>
            </w:r>
          </w:p>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2.1.3</w:t>
            </w:r>
          </w:p>
        </w:tc>
        <w:tc>
          <w:tcPr>
            <w:tcW w:w="1280"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形式评审与响应性评审标准</w:t>
            </w:r>
          </w:p>
        </w:tc>
        <w:tc>
          <w:tcPr>
            <w:tcW w:w="6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highlight w:val="none"/>
              </w:rPr>
            </w:pPr>
            <w:r>
              <w:rPr>
                <w:rFonts w:hint="eastAsia"/>
                <w:highlight w:val="none"/>
              </w:rPr>
              <w:t>第一个信封（商务及技术文件）评审标准：</w:t>
            </w:r>
          </w:p>
          <w:p>
            <w:pPr>
              <w:adjustRightInd w:val="0"/>
              <w:snapToGrid w:val="0"/>
              <w:spacing w:line="360" w:lineRule="auto"/>
              <w:ind w:firstLine="420" w:firstLineChars="200"/>
              <w:rPr>
                <w:highlight w:val="none"/>
              </w:rPr>
            </w:pPr>
            <w:r>
              <w:rPr>
                <w:rFonts w:hint="eastAsia"/>
                <w:highlight w:val="none"/>
              </w:rPr>
              <w:t>（1）投标文件按照招标文件规定的格式、内容填写，字迹清晰可辨：</w:t>
            </w:r>
          </w:p>
          <w:p>
            <w:pPr>
              <w:adjustRightInd w:val="0"/>
              <w:snapToGrid w:val="0"/>
              <w:spacing w:line="360" w:lineRule="auto"/>
              <w:ind w:firstLine="420" w:firstLineChars="200"/>
              <w:rPr>
                <w:highlight w:val="none"/>
              </w:rPr>
            </w:pPr>
            <w:r>
              <w:rPr>
                <w:rFonts w:hint="eastAsia"/>
                <w:highlight w:val="none"/>
              </w:rPr>
              <w:t>a.投标函按招标文件规定填报了项目名称、标段号（如有）、补遗书编号（如有）、监理服务期限、工程质量要求及安全目标；</w:t>
            </w:r>
          </w:p>
          <w:p>
            <w:pPr>
              <w:adjustRightInd w:val="0"/>
              <w:snapToGrid w:val="0"/>
              <w:spacing w:line="360" w:lineRule="auto"/>
              <w:ind w:firstLine="420" w:firstLineChars="200"/>
              <w:rPr>
                <w:highlight w:val="none"/>
              </w:rPr>
            </w:pPr>
            <w:r>
              <w:rPr>
                <w:rFonts w:hint="eastAsia"/>
                <w:highlight w:val="none"/>
              </w:rPr>
              <w:t>b.投标文件组成齐全完整，内容均按规定填写。</w:t>
            </w:r>
          </w:p>
          <w:p>
            <w:pPr>
              <w:adjustRightInd w:val="0"/>
              <w:snapToGrid w:val="0"/>
              <w:spacing w:line="360" w:lineRule="auto"/>
              <w:ind w:firstLine="420" w:firstLineChars="200"/>
              <w:rPr>
                <w:highlight w:val="none"/>
              </w:rPr>
            </w:pPr>
            <w:r>
              <w:rPr>
                <w:rFonts w:hint="eastAsia"/>
                <w:highlight w:val="none"/>
              </w:rPr>
              <w:t>c.投标人声明按招标文件规定的内容和格式签署。</w:t>
            </w:r>
          </w:p>
          <w:p>
            <w:pPr>
              <w:adjustRightInd w:val="0"/>
              <w:snapToGrid w:val="0"/>
              <w:spacing w:line="360" w:lineRule="auto"/>
              <w:ind w:firstLine="420" w:firstLineChars="200"/>
              <w:rPr>
                <w:highlight w:val="none"/>
              </w:rPr>
            </w:pPr>
            <w:r>
              <w:rPr>
                <w:rFonts w:hint="eastAsia"/>
                <w:highlight w:val="none"/>
              </w:rPr>
              <w:t>（2）投标文件上法定代表人或其委托代理人的签字、投标人的单位章盖章齐全，符合招标文件规定。</w:t>
            </w:r>
          </w:p>
          <w:p>
            <w:pPr>
              <w:adjustRightInd w:val="0"/>
              <w:snapToGrid w:val="0"/>
              <w:spacing w:line="360" w:lineRule="auto"/>
              <w:ind w:firstLine="420" w:firstLineChars="200"/>
              <w:rPr>
                <w:highlight w:val="none"/>
              </w:rPr>
            </w:pPr>
            <w:r>
              <w:rPr>
                <w:rFonts w:hint="eastAsia"/>
                <w:highlight w:val="none"/>
              </w:rPr>
              <w:t>（3）投标人按照招标文件的规定提供了投标保证金：</w:t>
            </w:r>
          </w:p>
          <w:p>
            <w:pPr>
              <w:adjustRightInd w:val="0"/>
              <w:snapToGrid w:val="0"/>
              <w:spacing w:line="360" w:lineRule="auto"/>
              <w:ind w:firstLine="420" w:firstLineChars="200"/>
              <w:rPr>
                <w:highlight w:val="none"/>
              </w:rPr>
            </w:pPr>
            <w:r>
              <w:rPr>
                <w:rFonts w:hint="eastAsia"/>
                <w:highlight w:val="none"/>
              </w:rPr>
              <w:t>a.投标保证金金额符合招标文件规定的金额，且投标保证金有效期不少于投标有效期；</w:t>
            </w:r>
          </w:p>
          <w:p>
            <w:pPr>
              <w:adjustRightInd w:val="0"/>
              <w:snapToGrid w:val="0"/>
              <w:spacing w:line="360" w:lineRule="auto"/>
              <w:ind w:firstLine="420" w:firstLineChars="200"/>
              <w:rPr>
                <w:highlight w:val="none"/>
              </w:rPr>
            </w:pPr>
            <w:r>
              <w:rPr>
                <w:rFonts w:hint="eastAsia"/>
                <w:highlight w:val="none"/>
              </w:rPr>
              <w:t>b.若投标保证金采用现金或支票形式提交，投标人应在招标文件规定的投标保证金递交截止时间之前，将投标保证金由投标人的基本账户转入招标人指定账户；</w:t>
            </w:r>
          </w:p>
          <w:p>
            <w:pPr>
              <w:adjustRightInd w:val="0"/>
              <w:snapToGrid w:val="0"/>
              <w:spacing w:line="360" w:lineRule="auto"/>
              <w:ind w:firstLine="420" w:firstLineChars="200"/>
              <w:rPr>
                <w:highlight w:val="none"/>
              </w:rPr>
            </w:pPr>
            <w:r>
              <w:rPr>
                <w:rFonts w:hint="eastAsia"/>
                <w:highlight w:val="none"/>
              </w:rPr>
              <w:t>c.若投标保证金采用银行保函形式提交，银行保函的格式、开具保函的银行均满足招标文件要求。</w:t>
            </w:r>
          </w:p>
          <w:p>
            <w:pPr>
              <w:adjustRightInd w:val="0"/>
              <w:snapToGrid w:val="0"/>
              <w:spacing w:line="360" w:lineRule="auto"/>
              <w:ind w:firstLine="420" w:firstLineChars="200"/>
              <w:rPr>
                <w:highlight w:val="none"/>
              </w:rPr>
            </w:pPr>
            <w:r>
              <w:rPr>
                <w:rFonts w:hint="eastAsia"/>
                <w:highlight w:val="none"/>
              </w:rPr>
              <w:t>d.若投标保证金采用其他形式提交，应满足须知前附表3.4.1项的规定。</w:t>
            </w:r>
          </w:p>
          <w:p>
            <w:pPr>
              <w:adjustRightInd w:val="0"/>
              <w:snapToGrid w:val="0"/>
              <w:spacing w:line="360" w:lineRule="auto"/>
              <w:ind w:firstLine="420" w:firstLineChars="200"/>
              <w:rPr>
                <w:highlight w:val="none"/>
              </w:rPr>
            </w:pPr>
            <w:r>
              <w:rPr>
                <w:rFonts w:hint="eastAsia"/>
                <w:highlight w:val="none"/>
              </w:rPr>
              <w:t>（4）投标人法定代表人授权委托代理人签署投标文件的，须提交授权委托书，且授权人和被授权人均在授权委托书上签名，未使用印章、签名章或其他电子制版签名代替。</w:t>
            </w:r>
          </w:p>
          <w:p>
            <w:pPr>
              <w:adjustRightInd w:val="0"/>
              <w:snapToGrid w:val="0"/>
              <w:spacing w:line="360" w:lineRule="auto"/>
              <w:ind w:firstLine="420" w:firstLineChars="200"/>
              <w:rPr>
                <w:highlight w:val="none"/>
              </w:rPr>
            </w:pPr>
            <w:r>
              <w:rPr>
                <w:rFonts w:hint="eastAsia"/>
                <w:highlight w:val="none"/>
              </w:rPr>
              <w:t>（5）投标人法定代表人亲自签署投标文件的，提供了法定代表人身份证明，且法定代表人在法定代表人身份证明上签名，未使用印章、签名章或其他电子制版签名代替。</w:t>
            </w:r>
          </w:p>
          <w:p>
            <w:pPr>
              <w:adjustRightInd w:val="0"/>
              <w:snapToGrid w:val="0"/>
              <w:spacing w:line="360" w:lineRule="auto"/>
              <w:ind w:firstLine="420" w:firstLineChars="200"/>
              <w:rPr>
                <w:highlight w:val="none"/>
              </w:rPr>
            </w:pPr>
            <w:r>
              <w:rPr>
                <w:rFonts w:hint="eastAsia"/>
                <w:highlight w:val="none"/>
              </w:rPr>
              <w:t>（6）投标人未以联合体形式投标。</w:t>
            </w:r>
          </w:p>
          <w:p>
            <w:pPr>
              <w:adjustRightInd w:val="0"/>
              <w:snapToGrid w:val="0"/>
              <w:spacing w:line="360" w:lineRule="auto"/>
              <w:ind w:firstLine="420" w:firstLineChars="200"/>
              <w:rPr>
                <w:highlight w:val="none"/>
              </w:rPr>
            </w:pPr>
            <w:r>
              <w:rPr>
                <w:rFonts w:hint="eastAsia"/>
                <w:highlight w:val="none"/>
              </w:rPr>
              <w:t>（7）同一投标人未提交两个以上不同的投标文件，但招标文件要求提交备选投标的除外。</w:t>
            </w:r>
          </w:p>
          <w:p>
            <w:pPr>
              <w:adjustRightInd w:val="0"/>
              <w:snapToGrid w:val="0"/>
              <w:spacing w:line="360" w:lineRule="auto"/>
              <w:ind w:firstLine="420" w:firstLineChars="200"/>
              <w:rPr>
                <w:highlight w:val="none"/>
              </w:rPr>
            </w:pPr>
            <w:r>
              <w:rPr>
                <w:rFonts w:hint="eastAsia"/>
                <w:highlight w:val="none"/>
              </w:rPr>
              <w:t>（8）投标文件中未出现有关投标报价的内容。</w:t>
            </w:r>
          </w:p>
          <w:p>
            <w:pPr>
              <w:adjustRightInd w:val="0"/>
              <w:snapToGrid w:val="0"/>
              <w:spacing w:line="360" w:lineRule="auto"/>
              <w:ind w:firstLine="420" w:firstLineChars="200"/>
              <w:rPr>
                <w:highlight w:val="none"/>
              </w:rPr>
            </w:pPr>
            <w:r>
              <w:rPr>
                <w:rFonts w:hint="eastAsia"/>
                <w:highlight w:val="none"/>
              </w:rPr>
              <w:t>（9）投标文件载明的招标项目完成期限未超过招标文件规定的时限。</w:t>
            </w:r>
          </w:p>
          <w:p>
            <w:pPr>
              <w:adjustRightInd w:val="0"/>
              <w:snapToGrid w:val="0"/>
              <w:spacing w:line="360" w:lineRule="auto"/>
              <w:ind w:firstLine="420" w:firstLineChars="200"/>
              <w:rPr>
                <w:highlight w:val="none"/>
              </w:rPr>
            </w:pPr>
            <w:r>
              <w:rPr>
                <w:rFonts w:hint="eastAsia"/>
                <w:highlight w:val="none"/>
              </w:rPr>
              <w:t>（10）商务技术条款响应表不存在重大负偏离。</w:t>
            </w:r>
          </w:p>
          <w:p>
            <w:pPr>
              <w:adjustRightInd w:val="0"/>
              <w:snapToGrid w:val="0"/>
              <w:spacing w:line="360" w:lineRule="auto"/>
              <w:ind w:firstLine="420" w:firstLineChars="200"/>
              <w:rPr>
                <w:highlight w:val="none"/>
              </w:rPr>
            </w:pPr>
            <w:r>
              <w:rPr>
                <w:rFonts w:hint="eastAsia"/>
                <w:highlight w:val="none"/>
              </w:rPr>
              <w:t>（11）权利义务符合招标文件规定：</w:t>
            </w:r>
          </w:p>
          <w:p>
            <w:pPr>
              <w:adjustRightInd w:val="0"/>
              <w:snapToGrid w:val="0"/>
              <w:spacing w:line="360" w:lineRule="auto"/>
              <w:ind w:firstLine="420" w:firstLineChars="200"/>
              <w:rPr>
                <w:highlight w:val="none"/>
              </w:rPr>
            </w:pPr>
            <w:r>
              <w:rPr>
                <w:rFonts w:hint="eastAsia"/>
                <w:highlight w:val="none"/>
              </w:rPr>
              <w:t>a.投标人应接受招标文件规定的风险划分原则，未提出新的风险划分办法；</w:t>
            </w:r>
          </w:p>
          <w:p>
            <w:pPr>
              <w:adjustRightInd w:val="0"/>
              <w:snapToGrid w:val="0"/>
              <w:spacing w:line="360" w:lineRule="auto"/>
              <w:ind w:firstLine="420" w:firstLineChars="200"/>
              <w:rPr>
                <w:highlight w:val="none"/>
              </w:rPr>
            </w:pPr>
            <w:r>
              <w:rPr>
                <w:rFonts w:hint="eastAsia"/>
                <w:highlight w:val="none"/>
              </w:rPr>
              <w:t>b.投标人未增加委托人的责任范围，或减少投标人义务；</w:t>
            </w:r>
          </w:p>
          <w:p>
            <w:pPr>
              <w:adjustRightInd w:val="0"/>
              <w:snapToGrid w:val="0"/>
              <w:spacing w:line="360" w:lineRule="auto"/>
              <w:ind w:firstLine="420" w:firstLineChars="200"/>
              <w:rPr>
                <w:highlight w:val="none"/>
              </w:rPr>
            </w:pPr>
            <w:r>
              <w:rPr>
                <w:rFonts w:hint="eastAsia"/>
                <w:highlight w:val="none"/>
              </w:rPr>
              <w:t>c.投标人未提出不同的支付办法；</w:t>
            </w:r>
          </w:p>
          <w:p>
            <w:pPr>
              <w:adjustRightInd w:val="0"/>
              <w:snapToGrid w:val="0"/>
              <w:spacing w:line="360" w:lineRule="auto"/>
              <w:ind w:firstLine="420" w:firstLineChars="200"/>
              <w:rPr>
                <w:highlight w:val="none"/>
              </w:rPr>
            </w:pPr>
            <w:r>
              <w:rPr>
                <w:rFonts w:hint="eastAsia"/>
                <w:highlight w:val="none"/>
              </w:rPr>
              <w:t>d.投标人对合同纠纷、事故处理办法未提出异议；</w:t>
            </w:r>
          </w:p>
          <w:p>
            <w:pPr>
              <w:adjustRightInd w:val="0"/>
              <w:snapToGrid w:val="0"/>
              <w:spacing w:line="360" w:lineRule="auto"/>
              <w:ind w:firstLine="420" w:firstLineChars="200"/>
              <w:rPr>
                <w:highlight w:val="none"/>
              </w:rPr>
            </w:pPr>
            <w:r>
              <w:rPr>
                <w:rFonts w:hint="eastAsia"/>
                <w:highlight w:val="none"/>
              </w:rPr>
              <w:t>e.投标人在投标活动中无欺诈行为；</w:t>
            </w:r>
          </w:p>
          <w:p>
            <w:pPr>
              <w:adjustRightInd w:val="0"/>
              <w:snapToGrid w:val="0"/>
              <w:spacing w:line="360" w:lineRule="auto"/>
              <w:ind w:firstLine="420" w:firstLineChars="200"/>
              <w:rPr>
                <w:highlight w:val="none"/>
              </w:rPr>
            </w:pPr>
            <w:r>
              <w:rPr>
                <w:rFonts w:hint="eastAsia"/>
                <w:highlight w:val="none"/>
              </w:rPr>
              <w:t>f.投标人未对合同条款有重要保留。</w:t>
            </w:r>
          </w:p>
          <w:p>
            <w:pPr>
              <w:adjustRightInd w:val="0"/>
              <w:snapToGrid w:val="0"/>
              <w:spacing w:line="360" w:lineRule="auto"/>
              <w:ind w:firstLine="420" w:firstLineChars="200"/>
              <w:rPr>
                <w:highlight w:val="none"/>
              </w:rPr>
            </w:pPr>
            <w:r>
              <w:rPr>
                <w:rFonts w:hint="eastAsia"/>
                <w:highlight w:val="none"/>
              </w:rPr>
              <w:t>（12）</w:t>
            </w:r>
            <w:r>
              <w:rPr>
                <w:highlight w:val="none"/>
              </w:rPr>
              <w:t>投标人与其他投标</w:t>
            </w:r>
            <w:r>
              <w:rPr>
                <w:rFonts w:hint="eastAsia"/>
                <w:highlight w:val="none"/>
              </w:rPr>
              <w:t>人</w:t>
            </w:r>
            <w:r>
              <w:rPr>
                <w:highlight w:val="none"/>
              </w:rPr>
              <w:t>加密打包投标文件电脑机器特征码不</w:t>
            </w:r>
            <w:r>
              <w:rPr>
                <w:rFonts w:hint="eastAsia"/>
                <w:highlight w:val="none"/>
              </w:rPr>
              <w:t>一</w:t>
            </w:r>
            <w:r>
              <w:rPr>
                <w:highlight w:val="none"/>
              </w:rPr>
              <w:t>致(以电</w:t>
            </w:r>
            <w:r>
              <w:rPr>
                <w:rFonts w:hint="eastAsia"/>
                <w:highlight w:val="none"/>
              </w:rPr>
              <w:t>子</w:t>
            </w:r>
            <w:r>
              <w:rPr>
                <w:highlight w:val="none"/>
              </w:rPr>
              <w:t>招标投标交易平台评标系统的检索信息为准)。</w:t>
            </w:r>
          </w:p>
          <w:p>
            <w:pPr>
              <w:adjustRightInd w:val="0"/>
              <w:snapToGrid w:val="0"/>
              <w:spacing w:line="360" w:lineRule="auto"/>
              <w:ind w:firstLine="420" w:firstLineChars="200"/>
              <w:rPr>
                <w:highlight w:val="none"/>
              </w:rPr>
            </w:pPr>
            <w:r>
              <w:rPr>
                <w:rFonts w:hint="eastAsia"/>
                <w:highlight w:val="none"/>
              </w:rPr>
              <w:t>第二个信封（报价文件）评审标准：</w:t>
            </w:r>
          </w:p>
          <w:p>
            <w:pPr>
              <w:adjustRightInd w:val="0"/>
              <w:snapToGrid w:val="0"/>
              <w:spacing w:line="360" w:lineRule="auto"/>
              <w:ind w:firstLine="420" w:firstLineChars="200"/>
              <w:rPr>
                <w:highlight w:val="none"/>
              </w:rPr>
            </w:pPr>
            <w:r>
              <w:rPr>
                <w:rFonts w:hint="eastAsia"/>
                <w:highlight w:val="none"/>
              </w:rPr>
              <w:t>（1）报价文件按照招标文件规定的格式、内容填写，字迹清晰可辨，内容齐全完整：</w:t>
            </w:r>
          </w:p>
          <w:p>
            <w:pPr>
              <w:adjustRightInd w:val="0"/>
              <w:snapToGrid w:val="0"/>
              <w:spacing w:line="360" w:lineRule="auto"/>
              <w:ind w:firstLine="420" w:firstLineChars="200"/>
              <w:rPr>
                <w:highlight w:val="none"/>
              </w:rPr>
            </w:pPr>
            <w:r>
              <w:rPr>
                <w:rFonts w:hint="eastAsia"/>
                <w:highlight w:val="none"/>
              </w:rPr>
              <w:t>a.投标函按招标文件规定填报了项目名称、标段号（如有）、补遗书编号（如有）、投标价（包括大写金额和小写金额）；</w:t>
            </w:r>
          </w:p>
          <w:p>
            <w:pPr>
              <w:adjustRightInd w:val="0"/>
              <w:snapToGrid w:val="0"/>
              <w:spacing w:line="360" w:lineRule="auto"/>
              <w:ind w:firstLine="420" w:firstLineChars="200"/>
              <w:rPr>
                <w:highlight w:val="none"/>
              </w:rPr>
            </w:pPr>
            <w:r>
              <w:rPr>
                <w:rFonts w:hint="eastAsia"/>
                <w:highlight w:val="none"/>
              </w:rPr>
              <w:t>b.已标价报价清单说明文字与招标文件规定一致，未进行实质性修改和删减；</w:t>
            </w:r>
          </w:p>
          <w:p>
            <w:pPr>
              <w:adjustRightInd w:val="0"/>
              <w:snapToGrid w:val="0"/>
              <w:spacing w:line="360" w:lineRule="auto"/>
              <w:ind w:firstLine="420" w:firstLineChars="200"/>
              <w:rPr>
                <w:highlight w:val="none"/>
              </w:rPr>
            </w:pPr>
            <w:r>
              <w:rPr>
                <w:rFonts w:hint="eastAsia"/>
                <w:highlight w:val="none"/>
              </w:rPr>
              <w:t>c.报价文件组成齐全完整，内容均按规定填写。</w:t>
            </w:r>
          </w:p>
          <w:p>
            <w:pPr>
              <w:adjustRightInd w:val="0"/>
              <w:snapToGrid w:val="0"/>
              <w:spacing w:line="360" w:lineRule="auto"/>
              <w:ind w:firstLine="420" w:firstLineChars="200"/>
              <w:rPr>
                <w:highlight w:val="none"/>
              </w:rPr>
            </w:pPr>
            <w:r>
              <w:rPr>
                <w:rFonts w:hint="eastAsia"/>
                <w:highlight w:val="none"/>
              </w:rPr>
              <w:t>（2）报价文件上法定代表人或其委托代理人的签字、投标人的单位章盖章齐全，符合招标文件规定。</w:t>
            </w:r>
          </w:p>
          <w:p>
            <w:pPr>
              <w:adjustRightInd w:val="0"/>
              <w:snapToGrid w:val="0"/>
              <w:spacing w:line="360" w:lineRule="auto"/>
              <w:ind w:firstLine="420" w:firstLineChars="200"/>
              <w:rPr>
                <w:highlight w:val="none"/>
              </w:rPr>
            </w:pPr>
            <w:r>
              <w:rPr>
                <w:rFonts w:hint="eastAsia"/>
                <w:highlight w:val="none"/>
              </w:rPr>
              <w:t>（3）投标报价未超过招标文件设定的最高投标限价。</w:t>
            </w:r>
          </w:p>
          <w:p>
            <w:pPr>
              <w:adjustRightInd w:val="0"/>
              <w:snapToGrid w:val="0"/>
              <w:spacing w:line="360" w:lineRule="auto"/>
              <w:ind w:firstLine="420" w:firstLineChars="200"/>
              <w:rPr>
                <w:highlight w:val="none"/>
              </w:rPr>
            </w:pPr>
            <w:r>
              <w:rPr>
                <w:rFonts w:hint="eastAsia"/>
                <w:highlight w:val="none"/>
              </w:rPr>
              <w:t>（4）投标报价的大写金额能够确定具体数值。</w:t>
            </w:r>
          </w:p>
          <w:p>
            <w:pPr>
              <w:adjustRightInd w:val="0"/>
              <w:snapToGrid w:val="0"/>
              <w:spacing w:line="360" w:lineRule="auto"/>
              <w:ind w:firstLine="420" w:firstLineChars="200"/>
              <w:rPr>
                <w:highlight w:val="none"/>
              </w:rPr>
            </w:pPr>
            <w:r>
              <w:rPr>
                <w:rFonts w:hint="eastAsia"/>
                <w:highlight w:val="none"/>
              </w:rPr>
              <w:t>（5）同一投标人未提交两个以上不同的投标报价，但招标文件要求提交备选投标的除外。</w:t>
            </w:r>
          </w:p>
          <w:p>
            <w:pPr>
              <w:pStyle w:val="14"/>
              <w:spacing w:line="360" w:lineRule="auto"/>
              <w:ind w:left="0" w:leftChars="0"/>
              <w:rPr>
                <w:rFonts w:hint="eastAsia"/>
                <w:highlight w:val="none"/>
              </w:rPr>
            </w:pPr>
            <w:r>
              <w:rPr>
                <w:rFonts w:hint="eastAsia"/>
                <w:color w:val="auto"/>
                <w:highlight w:val="none"/>
              </w:rPr>
              <w:t>（6）投标人与其他投标人加密打包投标文件电脑机器特征码不一致(以电子招标投标交易平台评标系统的检索信息为准)。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 w:hRule="atLeast"/>
        </w:trPr>
        <w:tc>
          <w:tcPr>
            <w:tcW w:w="989"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2.1.2</w:t>
            </w:r>
          </w:p>
        </w:tc>
        <w:tc>
          <w:tcPr>
            <w:tcW w:w="1280"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资格评审标准</w:t>
            </w:r>
          </w:p>
        </w:tc>
        <w:tc>
          <w:tcPr>
            <w:tcW w:w="6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1）投标人具备有效的营业执照、监理资质证书和基本账户开户许可证（如企业所在地已取消企业银行账户许可而无法提供开户许可证的，则需附上开户银行盖章的“基本存款账户信息”或“人民银行账户管理系统查询的基本账户信息截图”）。</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（2）投标人的资质等级符合招标文件规定。</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（3）投标人的类似工程施工监理项目业绩符合招标文件规定。</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（4）投标人的信誉符合招标文件规定。</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（5）投标人的总监理工程师资格情况符合招标文件规定，并按规定在投标文件中签字确认。</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（6）投标人的其他主要监理人员资格情况符合招标文件规定。</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（7）投标人不存在第二章“投标人须知”第1.4.3项或第1.4.4项规定的任何一种情形。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 w:hRule="atLeast"/>
        </w:trPr>
        <w:tc>
          <w:tcPr>
            <w:tcW w:w="989"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highlight w:val="none"/>
              </w:rPr>
            </w:pPr>
          </w:p>
        </w:tc>
        <w:tc>
          <w:tcPr>
            <w:tcW w:w="1280"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highlight w:val="none"/>
              </w:rPr>
            </w:pPr>
          </w:p>
        </w:tc>
        <w:tc>
          <w:tcPr>
            <w:tcW w:w="6622" w:type="dxa"/>
            <w:tcBorders>
              <w:top w:val="single" w:color="auto" w:sz="4" w:space="0"/>
              <w:left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cs="宋体"/>
                <w:highlight w:val="none"/>
              </w:rPr>
            </w:pPr>
          </w:p>
        </w:tc>
      </w:tr>
    </w:tbl>
    <w:p>
      <w:pPr>
        <w:spacing w:line="360" w:lineRule="auto"/>
        <w:rPr>
          <w:rFonts w:hint="eastAsia" w:ascii="宋体" w:hAnsi="宋体"/>
          <w:highlight w:val="none"/>
        </w:rPr>
      </w:pPr>
    </w:p>
    <w:p>
      <w:pPr>
        <w:spacing w:line="360" w:lineRule="auto"/>
        <w:ind w:right="210" w:rightChars="100"/>
        <w:jc w:val="right"/>
        <w:rPr>
          <w:rFonts w:hint="eastAsia" w:ascii="宋体" w:hAnsi="宋体"/>
          <w:b/>
          <w:bCs/>
          <w:highlight w:val="none"/>
        </w:rPr>
      </w:pPr>
      <w:r>
        <w:rPr>
          <w:rFonts w:ascii="宋体" w:hAnsi="宋体"/>
          <w:b/>
          <w:bCs/>
          <w:spacing w:val="4"/>
          <w:highlight w:val="none"/>
        </w:rPr>
        <w:br w:type="page"/>
      </w:r>
      <w:r>
        <w:rPr>
          <w:rFonts w:ascii="宋体" w:hAnsi="宋体"/>
          <w:spacing w:val="4"/>
          <w:highlight w:val="none"/>
        </w:rPr>
        <w:t>续上表</w:t>
      </w: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vAlign w:val="center"/>
          </w:tcPr>
          <w:p>
            <w:pPr>
              <w:adjustRightInd w:val="0"/>
              <w:snapToGrid w:val="0"/>
              <w:spacing w:line="360" w:lineRule="auto"/>
              <w:jc w:val="center"/>
              <w:rPr>
                <w:rFonts w:hint="eastAsia" w:ascii="宋体" w:hAnsi="宋体" w:cs="宋体"/>
                <w:b/>
                <w:highlight w:val="none"/>
              </w:rPr>
            </w:pPr>
            <w:r>
              <w:rPr>
                <w:rFonts w:hint="eastAsia" w:ascii="宋体" w:hAnsi="宋体" w:cs="宋体"/>
                <w:b/>
                <w:highlight w:val="none"/>
              </w:rPr>
              <w:t>条款号</w:t>
            </w:r>
          </w:p>
        </w:tc>
        <w:tc>
          <w:tcPr>
            <w:tcW w:w="1280" w:type="dxa"/>
            <w:tcBorders>
              <w:top w:val="single" w:color="auto" w:sz="4" w:space="0"/>
              <w:right w:val="single" w:color="auto" w:sz="4" w:space="0"/>
            </w:tcBorders>
            <w:vAlign w:val="center"/>
          </w:tcPr>
          <w:p>
            <w:pPr>
              <w:adjustRightInd w:val="0"/>
              <w:snapToGrid w:val="0"/>
              <w:spacing w:line="360" w:lineRule="auto"/>
              <w:jc w:val="center"/>
              <w:rPr>
                <w:rFonts w:hint="eastAsia" w:ascii="宋体" w:hAnsi="宋体" w:cs="宋体"/>
                <w:b/>
                <w:highlight w:val="none"/>
              </w:rPr>
            </w:pPr>
            <w:r>
              <w:rPr>
                <w:rFonts w:hint="eastAsia" w:ascii="宋体" w:hAnsi="宋体" w:cs="宋体"/>
                <w:b/>
                <w:highlight w:val="none"/>
              </w:rPr>
              <w:t>条款内容</w:t>
            </w:r>
          </w:p>
        </w:tc>
        <w:tc>
          <w:tcPr>
            <w:tcW w:w="662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s="宋体"/>
                <w:b/>
                <w:highlight w:val="none"/>
              </w:rPr>
            </w:pPr>
            <w:r>
              <w:rPr>
                <w:rFonts w:hint="eastAsia" w:ascii="宋体" w:hAnsi="宋体" w:cs="宋体"/>
                <w:b/>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2.2.1</w:t>
            </w:r>
          </w:p>
        </w:tc>
        <w:tc>
          <w:tcPr>
            <w:tcW w:w="1280" w:type="dxa"/>
            <w:tcBorders>
              <w:top w:val="single" w:color="auto" w:sz="4" w:space="0"/>
              <w:right w:val="single" w:color="auto" w:sz="4" w:space="0"/>
            </w:tcBorders>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分值构成</w:t>
            </w:r>
          </w:p>
          <w:p>
            <w:pPr>
              <w:adjustRightInd w:val="0"/>
              <w:snapToGrid w:val="0"/>
              <w:spacing w:line="360" w:lineRule="auto"/>
              <w:ind w:left="-105" w:leftChars="-50" w:right="-105" w:rightChars="-50"/>
              <w:jc w:val="center"/>
              <w:rPr>
                <w:rFonts w:hint="eastAsia" w:ascii="宋体" w:hAnsi="宋体" w:cs="宋体"/>
                <w:highlight w:val="none"/>
              </w:rPr>
            </w:pPr>
            <w:r>
              <w:rPr>
                <w:rFonts w:hint="eastAsia" w:ascii="宋体" w:hAnsi="宋体" w:cs="宋体"/>
                <w:highlight w:val="none"/>
              </w:rPr>
              <w:t>（总分100分）</w:t>
            </w:r>
          </w:p>
        </w:tc>
        <w:tc>
          <w:tcPr>
            <w:tcW w:w="6622" w:type="dxa"/>
            <w:tcBorders>
              <w:top w:val="single" w:color="auto" w:sz="4" w:space="0"/>
              <w:left w:val="single" w:color="auto" w:sz="4" w:space="0"/>
              <w:right w:val="single" w:color="auto" w:sz="4" w:space="0"/>
            </w:tcBorders>
            <w:vAlign w:val="center"/>
          </w:tcPr>
          <w:p>
            <w:pPr>
              <w:adjustRightInd w:val="0"/>
              <w:snapToGrid w:val="0"/>
              <w:spacing w:line="360" w:lineRule="auto"/>
              <w:rPr>
                <w:rFonts w:hint="eastAsia" w:ascii="宋体" w:hAnsi="宋体" w:cs="宋体"/>
                <w:highlight w:val="none"/>
              </w:rPr>
            </w:pPr>
            <w:r>
              <w:rPr>
                <w:rFonts w:hint="eastAsia" w:ascii="宋体" w:hAnsi="宋体" w:cs="宋体"/>
                <w:highlight w:val="none"/>
              </w:rPr>
              <w:t>第一个信封（商务及技术文件）评分分值构成：</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监理大纲：</w:t>
            </w:r>
            <w:r>
              <w:rPr>
                <w:rFonts w:hint="eastAsia" w:ascii="宋体" w:hAnsi="宋体" w:cs="宋体"/>
                <w:highlight w:val="none"/>
                <w:u w:val="single"/>
              </w:rPr>
              <w:t>40</w:t>
            </w:r>
            <w:r>
              <w:rPr>
                <w:rFonts w:hint="eastAsia" w:ascii="宋体" w:hAnsi="宋体" w:cs="宋体"/>
                <w:highlight w:val="none"/>
              </w:rPr>
              <w:t>分</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主要人员：</w:t>
            </w:r>
            <w:r>
              <w:rPr>
                <w:rFonts w:hint="eastAsia" w:ascii="宋体" w:hAnsi="宋体" w:cs="宋体"/>
                <w:highlight w:val="none"/>
                <w:u w:val="single"/>
              </w:rPr>
              <w:t>23</w:t>
            </w:r>
            <w:r>
              <w:rPr>
                <w:rFonts w:hint="eastAsia" w:ascii="宋体" w:hAnsi="宋体" w:cs="宋体"/>
                <w:highlight w:val="none"/>
              </w:rPr>
              <w:t>分</w:t>
            </w:r>
          </w:p>
          <w:p>
            <w:pPr>
              <w:adjustRightInd w:val="0"/>
              <w:snapToGrid w:val="0"/>
              <w:spacing w:line="360" w:lineRule="auto"/>
              <w:ind w:firstLine="630" w:firstLineChars="300"/>
              <w:rPr>
                <w:rFonts w:hint="eastAsia" w:ascii="宋体" w:hAnsi="宋体" w:cs="宋体"/>
                <w:highlight w:val="none"/>
              </w:rPr>
            </w:pPr>
            <w:r>
              <w:rPr>
                <w:rFonts w:hint="eastAsia" w:ascii="宋体" w:hAnsi="宋体" w:cs="宋体"/>
                <w:highlight w:val="none"/>
              </w:rPr>
              <w:t>总监理工程师：</w:t>
            </w:r>
            <w:r>
              <w:rPr>
                <w:rFonts w:hint="eastAsia" w:ascii="宋体" w:hAnsi="宋体" w:cs="宋体"/>
                <w:highlight w:val="none"/>
                <w:u w:val="single"/>
              </w:rPr>
              <w:t>20</w:t>
            </w:r>
            <w:r>
              <w:rPr>
                <w:rFonts w:hint="eastAsia" w:ascii="宋体" w:hAnsi="宋体" w:cs="宋体"/>
                <w:highlight w:val="none"/>
              </w:rPr>
              <w:t>分</w:t>
            </w:r>
          </w:p>
          <w:p>
            <w:pPr>
              <w:adjustRightInd w:val="0"/>
              <w:snapToGrid w:val="0"/>
              <w:spacing w:line="360" w:lineRule="auto"/>
              <w:ind w:firstLine="630" w:firstLineChars="300"/>
              <w:rPr>
                <w:rFonts w:hint="eastAsia" w:ascii="宋体" w:hAnsi="宋体" w:cs="宋体"/>
                <w:highlight w:val="none"/>
              </w:rPr>
            </w:pPr>
            <w:r>
              <w:rPr>
                <w:rFonts w:hint="eastAsia" w:ascii="宋体" w:hAnsi="宋体" w:cs="宋体"/>
                <w:highlight w:val="none"/>
              </w:rPr>
              <w:t>其他主要监理人员：</w:t>
            </w:r>
            <w:r>
              <w:rPr>
                <w:rFonts w:hint="eastAsia" w:ascii="宋体" w:hAnsi="宋体" w:cs="宋体"/>
                <w:highlight w:val="none"/>
                <w:u w:val="single"/>
              </w:rPr>
              <w:t>3</w:t>
            </w:r>
            <w:r>
              <w:rPr>
                <w:rFonts w:hint="eastAsia" w:ascii="宋体" w:hAnsi="宋体" w:cs="宋体"/>
                <w:highlight w:val="none"/>
              </w:rPr>
              <w:t>分</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其他因素：</w:t>
            </w:r>
            <w:r>
              <w:rPr>
                <w:rFonts w:hint="eastAsia" w:ascii="宋体" w:hAnsi="宋体" w:cs="宋体"/>
                <w:highlight w:val="none"/>
                <w:u w:val="single"/>
              </w:rPr>
              <w:t>22</w:t>
            </w:r>
            <w:r>
              <w:rPr>
                <w:rFonts w:hint="eastAsia" w:ascii="宋体" w:hAnsi="宋体" w:cs="宋体"/>
                <w:highlight w:val="none"/>
              </w:rPr>
              <w:t>分：</w:t>
            </w:r>
          </w:p>
          <w:p>
            <w:pPr>
              <w:adjustRightInd w:val="0"/>
              <w:snapToGrid w:val="0"/>
              <w:spacing w:line="360" w:lineRule="auto"/>
              <w:ind w:firstLine="630" w:firstLineChars="300"/>
              <w:rPr>
                <w:rFonts w:hint="eastAsia" w:ascii="宋体" w:hAnsi="宋体" w:cs="宋体"/>
                <w:highlight w:val="none"/>
              </w:rPr>
            </w:pPr>
            <w:r>
              <w:rPr>
                <w:rFonts w:hint="eastAsia" w:ascii="宋体" w:hAnsi="宋体" w:cs="宋体"/>
                <w:highlight w:val="none"/>
              </w:rPr>
              <w:t>业绩：</w:t>
            </w:r>
            <w:r>
              <w:rPr>
                <w:rFonts w:hint="eastAsia" w:ascii="宋体" w:hAnsi="宋体" w:cs="宋体"/>
                <w:highlight w:val="none"/>
                <w:u w:val="single"/>
              </w:rPr>
              <w:t>15</w:t>
            </w:r>
            <w:r>
              <w:rPr>
                <w:rFonts w:hint="eastAsia" w:ascii="宋体" w:hAnsi="宋体" w:cs="宋体"/>
                <w:highlight w:val="none"/>
              </w:rPr>
              <w:t>分</w:t>
            </w:r>
          </w:p>
          <w:p>
            <w:pPr>
              <w:adjustRightInd w:val="0"/>
              <w:snapToGrid w:val="0"/>
              <w:spacing w:line="360" w:lineRule="auto"/>
              <w:ind w:firstLine="630" w:firstLineChars="300"/>
              <w:rPr>
                <w:rFonts w:hint="eastAsia" w:ascii="宋体" w:hAnsi="宋体" w:cs="宋体"/>
                <w:highlight w:val="none"/>
              </w:rPr>
            </w:pPr>
            <w:r>
              <w:rPr>
                <w:rFonts w:hint="eastAsia" w:ascii="宋体" w:hAnsi="宋体" w:cs="宋体"/>
                <w:highlight w:val="none"/>
              </w:rPr>
              <w:t xml:space="preserve">履约信誉： </w:t>
            </w:r>
            <w:r>
              <w:rPr>
                <w:rFonts w:hint="eastAsia" w:ascii="宋体" w:hAnsi="宋体" w:cs="宋体"/>
                <w:highlight w:val="none"/>
                <w:u w:val="single"/>
              </w:rPr>
              <w:t>5</w:t>
            </w:r>
            <w:r>
              <w:rPr>
                <w:rFonts w:hint="eastAsia" w:ascii="宋体" w:hAnsi="宋体" w:cs="宋体"/>
                <w:highlight w:val="none"/>
              </w:rPr>
              <w:t>分</w:t>
            </w:r>
          </w:p>
          <w:p>
            <w:pPr>
              <w:pStyle w:val="8"/>
              <w:adjustRightInd w:val="0"/>
              <w:snapToGrid w:val="0"/>
              <w:spacing w:line="360" w:lineRule="auto"/>
              <w:ind w:firstLine="630" w:firstLineChars="300"/>
              <w:rPr>
                <w:rFonts w:hint="eastAsia" w:hAnsi="宋体" w:cs="宋体"/>
                <w:szCs w:val="21"/>
                <w:highlight w:val="none"/>
              </w:rPr>
            </w:pPr>
            <w:r>
              <w:rPr>
                <w:rFonts w:hint="eastAsia" w:hAnsi="宋体" w:cs="宋体"/>
                <w:szCs w:val="21"/>
                <w:highlight w:val="none"/>
              </w:rPr>
              <w:t>企业综合能力：</w:t>
            </w:r>
            <w:r>
              <w:rPr>
                <w:rFonts w:hint="eastAsia" w:hAnsi="宋体" w:cs="宋体"/>
                <w:szCs w:val="21"/>
                <w:highlight w:val="none"/>
                <w:u w:val="single"/>
              </w:rPr>
              <w:t>2</w:t>
            </w:r>
            <w:r>
              <w:rPr>
                <w:rFonts w:hint="eastAsia" w:hAnsi="宋体" w:cs="宋体"/>
                <w:szCs w:val="21"/>
                <w:highlight w:val="none"/>
              </w:rPr>
              <w:t>分</w:t>
            </w:r>
          </w:p>
          <w:p>
            <w:pPr>
              <w:adjustRightInd w:val="0"/>
              <w:snapToGrid w:val="0"/>
              <w:spacing w:line="360" w:lineRule="auto"/>
              <w:rPr>
                <w:rFonts w:hint="eastAsia" w:ascii="宋体" w:hAnsi="宋体" w:cs="宋体"/>
                <w:highlight w:val="none"/>
              </w:rPr>
            </w:pPr>
            <w:r>
              <w:rPr>
                <w:rFonts w:hint="eastAsia" w:ascii="宋体" w:hAnsi="宋体" w:cs="宋体"/>
                <w:highlight w:val="none"/>
              </w:rPr>
              <w:t>第二个信封（报价文件）评分分值构成：</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评标价：</w:t>
            </w:r>
            <w:r>
              <w:rPr>
                <w:rFonts w:hint="eastAsia" w:ascii="宋体" w:hAnsi="宋体" w:cs="宋体"/>
                <w:highlight w:val="none"/>
                <w:u w:val="single"/>
              </w:rPr>
              <w:t>15</w:t>
            </w:r>
            <w:r>
              <w:rPr>
                <w:rFonts w:hint="eastAsia" w:ascii="宋体" w:hAnsi="宋体" w:cs="宋体"/>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2.2.2</w:t>
            </w:r>
          </w:p>
        </w:tc>
        <w:tc>
          <w:tcPr>
            <w:tcW w:w="1280" w:type="dxa"/>
            <w:tcBorders>
              <w:top w:val="single" w:color="auto" w:sz="4" w:space="0"/>
              <w:right w:val="single" w:color="auto" w:sz="4" w:space="0"/>
            </w:tcBorders>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评标基准价计算方法</w:t>
            </w:r>
          </w:p>
        </w:tc>
        <w:tc>
          <w:tcPr>
            <w:tcW w:w="6622" w:type="dxa"/>
            <w:tcBorders>
              <w:top w:val="single" w:color="auto" w:sz="4" w:space="0"/>
              <w:left w:val="single" w:color="auto" w:sz="4" w:space="0"/>
              <w:right w:val="single" w:color="auto" w:sz="4" w:space="0"/>
            </w:tcBorders>
          </w:tcPr>
          <w:p>
            <w:pPr>
              <w:pStyle w:val="18"/>
              <w:spacing w:line="360" w:lineRule="auto"/>
              <w:jc w:val="left"/>
              <w:rPr>
                <w:rFonts w:hint="eastAsia"/>
                <w:b/>
                <w:bCs/>
                <w:highlight w:val="none"/>
              </w:rPr>
            </w:pPr>
            <w:r>
              <w:rPr>
                <w:rFonts w:hint="eastAsia"/>
                <w:b/>
                <w:bCs/>
                <w:highlight w:val="none"/>
              </w:rPr>
              <w:t>评标基准价的计算：</w:t>
            </w:r>
          </w:p>
          <w:p>
            <w:pPr>
              <w:pStyle w:val="18"/>
              <w:spacing w:line="360" w:lineRule="auto"/>
              <w:ind w:left="528"/>
              <w:rPr>
                <w:rFonts w:hint="eastAsia"/>
                <w:highlight w:val="none"/>
              </w:rPr>
            </w:pPr>
            <w:r>
              <w:rPr>
                <w:rFonts w:hint="eastAsia"/>
                <w:highlight w:val="none"/>
              </w:rPr>
              <w:t>在开标现场，招标人将当场计算并宣布评标基准价。</w:t>
            </w:r>
          </w:p>
          <w:p>
            <w:pPr>
              <w:pStyle w:val="18"/>
              <w:spacing w:line="360" w:lineRule="auto"/>
              <w:jc w:val="left"/>
              <w:rPr>
                <w:rFonts w:hint="eastAsia"/>
                <w:highlight w:val="none"/>
              </w:rPr>
            </w:pPr>
            <w:r>
              <w:rPr>
                <w:rFonts w:hint="eastAsia"/>
                <w:highlight w:val="none"/>
              </w:rPr>
              <w:t>（1）评标价的确定：</w:t>
            </w:r>
          </w:p>
          <w:p>
            <w:pPr>
              <w:pStyle w:val="18"/>
              <w:spacing w:line="360" w:lineRule="auto"/>
              <w:ind w:left="528"/>
              <w:jc w:val="left"/>
              <w:rPr>
                <w:rFonts w:hint="eastAsia"/>
                <w:highlight w:val="none"/>
              </w:rPr>
            </w:pPr>
            <w:r>
              <w:rPr>
                <w:rFonts w:hint="eastAsia"/>
                <w:highlight w:val="none"/>
              </w:rPr>
              <w:t>评标价=投标函文字报价</w:t>
            </w:r>
          </w:p>
          <w:p>
            <w:pPr>
              <w:pStyle w:val="18"/>
              <w:spacing w:line="360" w:lineRule="auto"/>
              <w:jc w:val="left"/>
              <w:rPr>
                <w:rFonts w:hint="eastAsia"/>
                <w:highlight w:val="none"/>
              </w:rPr>
            </w:pPr>
            <w:r>
              <w:rPr>
                <w:rFonts w:hint="eastAsia"/>
                <w:highlight w:val="none"/>
              </w:rPr>
              <w:t>（2）参与评标基准价计算的评标价范围：</w:t>
            </w:r>
          </w:p>
          <w:p>
            <w:pPr>
              <w:pStyle w:val="18"/>
              <w:spacing w:line="360" w:lineRule="auto"/>
              <w:ind w:firstLine="420" w:firstLineChars="200"/>
              <w:jc w:val="left"/>
              <w:rPr>
                <w:rFonts w:hint="eastAsia"/>
                <w:highlight w:val="none"/>
              </w:rPr>
            </w:pPr>
            <w:r>
              <w:rPr>
                <w:rFonts w:hint="eastAsia"/>
                <w:highlight w:val="none"/>
              </w:rPr>
              <w:t>最高投标限价的85%≤参与评标基准价计算的评标价≤最高投标限价的100%，小于最高投标限价85%的评标价不参与评标基准价的计算，但仍参与评标价的得分计算。</w:t>
            </w:r>
          </w:p>
          <w:p>
            <w:pPr>
              <w:pStyle w:val="18"/>
              <w:spacing w:line="360" w:lineRule="auto"/>
              <w:jc w:val="left"/>
              <w:rPr>
                <w:rFonts w:hint="eastAsia"/>
                <w:highlight w:val="none"/>
              </w:rPr>
            </w:pPr>
            <w:r>
              <w:rPr>
                <w:rFonts w:hint="eastAsia"/>
                <w:highlight w:val="none"/>
              </w:rPr>
              <w:t>（3）</w:t>
            </w:r>
            <w:r>
              <w:rPr>
                <w:highlight w:val="none"/>
              </w:rPr>
              <w:t>评标基准价的确定：</w:t>
            </w:r>
          </w:p>
          <w:p>
            <w:pPr>
              <w:pStyle w:val="18"/>
              <w:spacing w:line="360" w:lineRule="auto"/>
              <w:ind w:firstLine="422" w:firstLineChars="200"/>
              <w:jc w:val="left"/>
              <w:rPr>
                <w:rFonts w:hint="eastAsia"/>
                <w:highlight w:val="none"/>
              </w:rPr>
            </w:pPr>
            <w:r>
              <w:rPr>
                <w:rFonts w:hint="eastAsia"/>
                <w:b/>
                <w:bCs/>
                <w:highlight w:val="none"/>
              </w:rPr>
              <w:t>参与评标基准价计算的有效评标价的算术平均值：</w:t>
            </w:r>
            <w:r>
              <w:rPr>
                <w:rFonts w:hint="eastAsia"/>
                <w:highlight w:val="none"/>
              </w:rPr>
              <w:t>除按第二章 “投标人须知”第 5.2.4项规定开标现场被宣布为不进入评标基准价计算的投标报价之外，在上述确定的参与评标基准价计算的评标价中去掉一个最高值和一个最低值后的算术平均值即为参与评标基准价计算的有效评标价的算术平均值(如果参与评标价平均值计算的有效投标人少于或等于5家时，则计算上述平均值时不去掉最高值和最低值)；</w:t>
            </w:r>
          </w:p>
          <w:p>
            <w:pPr>
              <w:pStyle w:val="18"/>
              <w:spacing w:line="360" w:lineRule="auto"/>
              <w:ind w:firstLine="422" w:firstLineChars="200"/>
              <w:jc w:val="left"/>
              <w:rPr>
                <w:rFonts w:hint="eastAsia"/>
                <w:b/>
                <w:bCs/>
                <w:highlight w:val="none"/>
              </w:rPr>
            </w:pPr>
            <w:r>
              <w:rPr>
                <w:rFonts w:hint="eastAsia"/>
                <w:b/>
                <w:bCs/>
                <w:highlight w:val="none"/>
              </w:rPr>
              <w:t>将参与评标基准价计算的有效评标价的算术平均值直接作为评标基准价。</w:t>
            </w:r>
          </w:p>
          <w:p>
            <w:pPr>
              <w:pStyle w:val="18"/>
              <w:spacing w:line="360" w:lineRule="auto"/>
              <w:ind w:firstLine="420" w:firstLineChars="200"/>
              <w:jc w:val="left"/>
              <w:rPr>
                <w:rFonts w:hint="eastAsia"/>
                <w:highlight w:val="none"/>
              </w:rPr>
            </w:pPr>
            <w:r>
              <w:rPr>
                <w:rFonts w:hint="eastAsia"/>
                <w:highlight w:val="none"/>
              </w:rPr>
              <w:t>若投标人的评标价均小于最高投标限价的85%时，则以最高投标限价的85%为评标基准价，同时对评标价小于最高投标限价的85％的启动澄清程序，要求投标人作出书面说明并提供相关证明材料。投标人不能合理说明或者不能提供相关证明资料的，评标委员会认定该投标人以低于成本报价竞标，否决其投标。</w:t>
            </w:r>
          </w:p>
          <w:p>
            <w:pPr>
              <w:pStyle w:val="18"/>
              <w:spacing w:line="360" w:lineRule="auto"/>
              <w:ind w:firstLine="420" w:firstLineChars="200"/>
              <w:jc w:val="left"/>
              <w:rPr>
                <w:rFonts w:hint="eastAsia"/>
                <w:highlight w:val="none"/>
              </w:rPr>
            </w:pPr>
            <w:r>
              <w:rPr>
                <w:rFonts w:hint="eastAsia"/>
                <w:highlight w:val="none"/>
              </w:rPr>
              <w:t>即使某投标文件第二个信封未通过形式评审与响应性评审,如其报价处于参与评标基准价计算的评标价的有效范围内，其评标价仍应参与有效评标价平均值的计算。</w:t>
            </w:r>
          </w:p>
          <w:p>
            <w:pPr>
              <w:pStyle w:val="18"/>
              <w:spacing w:line="360" w:lineRule="auto"/>
              <w:ind w:firstLine="420" w:firstLineChars="200"/>
              <w:jc w:val="left"/>
              <w:rPr>
                <w:rFonts w:hint="eastAsia"/>
                <w:highlight w:val="none"/>
              </w:rPr>
            </w:pPr>
            <w:r>
              <w:rPr>
                <w:highlight w:val="none"/>
              </w:rPr>
              <w:t>在评标过程中，评标委员会应对招标人计算的评标基准价进行复核，存在计算错误的应予以修正并在评标报告中作出说明。除此之外</w:t>
            </w:r>
            <w:r>
              <w:rPr>
                <w:rFonts w:hint="eastAsia"/>
                <w:highlight w:val="none"/>
              </w:rPr>
              <w:t>，</w:t>
            </w:r>
            <w:r>
              <w:rPr>
                <w:highlight w:val="none"/>
              </w:rPr>
              <w:t>评标基准价在整个评标期间保持不变，不随任何因素发生变化。</w:t>
            </w:r>
          </w:p>
          <w:p>
            <w:pPr>
              <w:pStyle w:val="18"/>
              <w:spacing w:line="360" w:lineRule="auto"/>
              <w:ind w:left="528"/>
              <w:jc w:val="left"/>
              <w:rPr>
                <w:rFonts w:hint="eastAsia"/>
                <w:highlight w:val="none"/>
              </w:rPr>
            </w:pPr>
            <w:r>
              <w:rPr>
                <w:highlight w:val="none"/>
              </w:rPr>
              <w:t>备注：评标基准价四舍五入至个位整数。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9" w:type="dxa"/>
            <w:tcBorders>
              <w:top w:val="single" w:color="auto" w:sz="4" w:space="0"/>
              <w:right w:val="single" w:color="auto" w:sz="4" w:space="0"/>
            </w:tcBorders>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2.2.3</w:t>
            </w:r>
          </w:p>
        </w:tc>
        <w:tc>
          <w:tcPr>
            <w:tcW w:w="1280" w:type="dxa"/>
            <w:tcBorders>
              <w:top w:val="single" w:color="auto" w:sz="4" w:space="0"/>
              <w:right w:val="single" w:color="auto" w:sz="4" w:space="0"/>
            </w:tcBorders>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评标价的偏差率计算公式</w:t>
            </w:r>
          </w:p>
        </w:tc>
        <w:tc>
          <w:tcPr>
            <w:tcW w:w="6622" w:type="dxa"/>
            <w:tcBorders>
              <w:top w:val="single" w:color="auto" w:sz="4" w:space="0"/>
              <w:left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cs="宋体"/>
                <w:b/>
                <w:highlight w:val="none"/>
              </w:rPr>
            </w:pPr>
            <w:r>
              <w:rPr>
                <w:rFonts w:hint="eastAsia" w:ascii="宋体" w:hAnsi="宋体" w:cs="宋体"/>
                <w:highlight w:val="none"/>
              </w:rPr>
              <w:t>偏差率=100% ×（投标人评标价－评标基准价）/评标基准价</w:t>
            </w:r>
          </w:p>
        </w:tc>
      </w:tr>
    </w:tbl>
    <w:p>
      <w:pPr>
        <w:spacing w:line="360" w:lineRule="auto"/>
        <w:ind w:right="210" w:rightChars="100"/>
        <w:jc w:val="right"/>
        <w:rPr>
          <w:rFonts w:hint="eastAsia" w:ascii="宋体" w:hAnsi="宋体"/>
          <w:highlight w:val="none"/>
        </w:rPr>
      </w:pPr>
      <w:r>
        <w:rPr>
          <w:rFonts w:ascii="宋体" w:hAnsi="宋体"/>
          <w:sz w:val="27"/>
          <w:szCs w:val="27"/>
          <w:highlight w:val="none"/>
        </w:rPr>
        <w:br w:type="page"/>
      </w:r>
      <w:r>
        <w:rPr>
          <w:rFonts w:ascii="宋体" w:hAnsi="宋体"/>
          <w:spacing w:val="4"/>
          <w:highlight w:val="none"/>
        </w:rPr>
        <w:t>续上表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73"/>
        <w:gridCol w:w="919"/>
        <w:gridCol w:w="1204"/>
        <w:gridCol w:w="851"/>
        <w:gridCol w:w="3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70" w:type="dxa"/>
            <w:gridSpan w:val="5"/>
            <w:tcBorders>
              <w:top w:val="single" w:color="auto" w:sz="4" w:space="0"/>
            </w:tcBorders>
          </w:tcPr>
          <w:p>
            <w:pPr>
              <w:spacing w:line="360" w:lineRule="auto"/>
              <w:jc w:val="center"/>
              <w:rPr>
                <w:rFonts w:hint="eastAsia" w:ascii="宋体" w:hAnsi="宋体" w:cs="宋体"/>
                <w:b/>
                <w:highlight w:val="none"/>
              </w:rPr>
            </w:pPr>
            <w:r>
              <w:rPr>
                <w:rFonts w:hint="eastAsia" w:ascii="宋体" w:hAnsi="宋体" w:cs="宋体"/>
                <w:b/>
                <w:highlight w:val="none"/>
              </w:rPr>
              <w:t>评分因素与权重分值</w:t>
            </w:r>
          </w:p>
        </w:tc>
        <w:tc>
          <w:tcPr>
            <w:tcW w:w="3821" w:type="dxa"/>
            <w:vMerge w:val="restart"/>
            <w:tcBorders>
              <w:top w:val="single" w:color="auto" w:sz="4" w:space="0"/>
            </w:tcBorders>
            <w:vAlign w:val="center"/>
          </w:tcPr>
          <w:p>
            <w:pPr>
              <w:spacing w:line="360" w:lineRule="auto"/>
              <w:jc w:val="center"/>
              <w:rPr>
                <w:rFonts w:hint="eastAsia" w:ascii="宋体" w:hAnsi="宋体" w:cs="宋体"/>
                <w:b/>
                <w:highlight w:val="none"/>
              </w:rPr>
            </w:pPr>
            <w:r>
              <w:rPr>
                <w:rFonts w:hint="eastAsia" w:ascii="宋体" w:hAnsi="宋体" w:cs="宋体"/>
                <w:b/>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23" w:type="dxa"/>
            <w:vAlign w:val="center"/>
          </w:tcPr>
          <w:p>
            <w:pPr>
              <w:spacing w:line="360" w:lineRule="auto"/>
              <w:jc w:val="center"/>
              <w:rPr>
                <w:rFonts w:hint="eastAsia" w:ascii="宋体" w:hAnsi="宋体" w:cs="宋体"/>
                <w:b/>
                <w:highlight w:val="none"/>
              </w:rPr>
            </w:pPr>
            <w:r>
              <w:rPr>
                <w:rFonts w:hint="eastAsia" w:ascii="宋体" w:hAnsi="宋体" w:cs="宋体"/>
                <w:b/>
                <w:highlight w:val="none"/>
              </w:rPr>
              <w:t>条款号</w:t>
            </w:r>
          </w:p>
        </w:tc>
        <w:tc>
          <w:tcPr>
            <w:tcW w:w="1173" w:type="dxa"/>
            <w:vAlign w:val="center"/>
          </w:tcPr>
          <w:p>
            <w:pPr>
              <w:spacing w:line="360" w:lineRule="auto"/>
              <w:jc w:val="center"/>
              <w:rPr>
                <w:rFonts w:hint="eastAsia" w:ascii="宋体" w:hAnsi="宋体" w:cs="宋体"/>
                <w:b/>
                <w:highlight w:val="none"/>
              </w:rPr>
            </w:pPr>
            <w:r>
              <w:rPr>
                <w:rFonts w:hint="eastAsia" w:ascii="宋体" w:hAnsi="宋体" w:cs="宋体"/>
                <w:b/>
                <w:highlight w:val="none"/>
              </w:rPr>
              <w:t>评分因素</w:t>
            </w:r>
          </w:p>
        </w:tc>
        <w:tc>
          <w:tcPr>
            <w:tcW w:w="919" w:type="dxa"/>
            <w:vAlign w:val="center"/>
          </w:tcPr>
          <w:p>
            <w:pPr>
              <w:spacing w:line="360" w:lineRule="auto"/>
              <w:ind w:left="-105" w:leftChars="-50" w:right="-105" w:rightChars="-50"/>
              <w:jc w:val="center"/>
              <w:rPr>
                <w:rFonts w:hint="eastAsia" w:ascii="宋体" w:hAnsi="宋体" w:cs="宋体"/>
                <w:b/>
                <w:highlight w:val="none"/>
              </w:rPr>
            </w:pPr>
            <w:r>
              <w:rPr>
                <w:rFonts w:hint="eastAsia" w:ascii="宋体" w:hAnsi="宋体" w:cs="宋体"/>
                <w:b/>
                <w:highlight w:val="none"/>
              </w:rPr>
              <w:t>评分因素权重分值</w:t>
            </w:r>
          </w:p>
        </w:tc>
        <w:tc>
          <w:tcPr>
            <w:tcW w:w="1204" w:type="dxa"/>
            <w:vAlign w:val="center"/>
          </w:tcPr>
          <w:p>
            <w:pPr>
              <w:spacing w:line="360" w:lineRule="auto"/>
              <w:jc w:val="center"/>
              <w:rPr>
                <w:rFonts w:hint="eastAsia" w:ascii="宋体" w:hAnsi="宋体" w:cs="宋体"/>
                <w:b/>
                <w:highlight w:val="none"/>
              </w:rPr>
            </w:pPr>
            <w:r>
              <w:rPr>
                <w:rFonts w:hint="eastAsia" w:ascii="宋体" w:hAnsi="宋体" w:cs="宋体"/>
                <w:b/>
                <w:highlight w:val="none"/>
              </w:rPr>
              <w:t>各评分因素细分项</w:t>
            </w:r>
          </w:p>
        </w:tc>
        <w:tc>
          <w:tcPr>
            <w:tcW w:w="851" w:type="dxa"/>
            <w:vAlign w:val="center"/>
          </w:tcPr>
          <w:p>
            <w:pPr>
              <w:spacing w:line="360" w:lineRule="auto"/>
              <w:jc w:val="center"/>
              <w:rPr>
                <w:rFonts w:hint="eastAsia" w:ascii="宋体" w:hAnsi="宋体" w:cs="宋体"/>
                <w:b/>
                <w:highlight w:val="none"/>
              </w:rPr>
            </w:pPr>
            <w:r>
              <w:rPr>
                <w:rFonts w:hint="eastAsia" w:ascii="宋体" w:hAnsi="宋体" w:cs="宋体"/>
                <w:b/>
                <w:highlight w:val="none"/>
              </w:rPr>
              <w:t>分值</w:t>
            </w:r>
          </w:p>
        </w:tc>
        <w:tc>
          <w:tcPr>
            <w:tcW w:w="3821" w:type="dxa"/>
            <w:vMerge w:val="continue"/>
          </w:tcPr>
          <w:p>
            <w:pPr>
              <w:spacing w:line="360" w:lineRule="auto"/>
              <w:jc w:val="center"/>
              <w:rPr>
                <w:rFonts w:hint="eastAsia"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3" w:type="dxa"/>
            <w:vMerge w:val="restart"/>
            <w:vAlign w:val="center"/>
          </w:tcPr>
          <w:p>
            <w:pPr>
              <w:spacing w:line="360" w:lineRule="auto"/>
              <w:jc w:val="center"/>
              <w:rPr>
                <w:rFonts w:hint="eastAsia" w:ascii="宋体" w:hAnsi="宋体" w:cs="宋体"/>
                <w:highlight w:val="none"/>
              </w:rPr>
            </w:pPr>
            <w:r>
              <w:rPr>
                <w:rFonts w:hint="eastAsia" w:ascii="宋体" w:hAnsi="宋体" w:cs="宋体"/>
                <w:highlight w:val="none"/>
              </w:rPr>
              <w:t>2.2.4</w:t>
            </w:r>
          </w:p>
          <w:p>
            <w:pPr>
              <w:spacing w:line="360" w:lineRule="auto"/>
              <w:jc w:val="center"/>
              <w:rPr>
                <w:rFonts w:hint="eastAsia" w:ascii="宋体" w:hAnsi="宋体" w:cs="宋体"/>
                <w:highlight w:val="none"/>
              </w:rPr>
            </w:pPr>
            <w:r>
              <w:rPr>
                <w:rFonts w:hint="eastAsia" w:ascii="宋体" w:hAnsi="宋体" w:cs="宋体"/>
                <w:highlight w:val="none"/>
              </w:rPr>
              <w:t>(1)</w:t>
            </w:r>
          </w:p>
        </w:tc>
        <w:tc>
          <w:tcPr>
            <w:tcW w:w="1173" w:type="dxa"/>
            <w:vMerge w:val="restart"/>
            <w:vAlign w:val="center"/>
          </w:tcPr>
          <w:p>
            <w:pPr>
              <w:spacing w:line="360" w:lineRule="auto"/>
              <w:jc w:val="center"/>
              <w:rPr>
                <w:rFonts w:hint="eastAsia" w:ascii="宋体" w:hAnsi="宋体" w:cs="宋体"/>
                <w:highlight w:val="none"/>
              </w:rPr>
            </w:pPr>
            <w:r>
              <w:rPr>
                <w:rFonts w:hint="eastAsia" w:ascii="宋体" w:hAnsi="宋体" w:cs="宋体"/>
                <w:highlight w:val="none"/>
              </w:rPr>
              <w:t>监理大纲</w:t>
            </w:r>
          </w:p>
        </w:tc>
        <w:tc>
          <w:tcPr>
            <w:tcW w:w="919" w:type="dxa"/>
            <w:vMerge w:val="restart"/>
            <w:vAlign w:val="center"/>
          </w:tcPr>
          <w:p>
            <w:pPr>
              <w:spacing w:line="360" w:lineRule="auto"/>
              <w:jc w:val="center"/>
              <w:rPr>
                <w:rFonts w:hint="eastAsia" w:ascii="宋体" w:hAnsi="宋体" w:cs="宋体"/>
                <w:highlight w:val="none"/>
                <w:u w:val="single"/>
              </w:rPr>
            </w:pPr>
            <w:r>
              <w:rPr>
                <w:rFonts w:hint="eastAsia" w:ascii="宋体" w:hAnsi="宋体" w:cs="宋体"/>
                <w:highlight w:val="none"/>
                <w:u w:val="single"/>
              </w:rPr>
              <w:t>40</w:t>
            </w:r>
            <w:r>
              <w:rPr>
                <w:rFonts w:hint="eastAsia" w:ascii="宋体" w:hAnsi="宋体" w:cs="宋体"/>
                <w:highlight w:val="none"/>
              </w:rPr>
              <w:t>分</w:t>
            </w:r>
          </w:p>
        </w:tc>
        <w:tc>
          <w:tcPr>
            <w:tcW w:w="1204" w:type="dxa"/>
            <w:vAlign w:val="center"/>
          </w:tcPr>
          <w:p>
            <w:pPr>
              <w:pStyle w:val="19"/>
              <w:spacing w:line="360" w:lineRule="auto"/>
              <w:rPr>
                <w:rFonts w:hint="eastAsia" w:ascii="宋体" w:hAnsi="宋体" w:eastAsia="宋体" w:cs="宋体"/>
                <w:highlight w:val="none"/>
              </w:rPr>
            </w:pPr>
            <w:r>
              <w:rPr>
                <w:rFonts w:hint="eastAsia" w:ascii="宋体" w:hAnsi="宋体" w:eastAsia="宋体" w:cs="宋体"/>
                <w:highlight w:val="none"/>
              </w:rPr>
              <w:t>主要监理岗位的配置和职责</w:t>
            </w:r>
          </w:p>
        </w:tc>
        <w:tc>
          <w:tcPr>
            <w:tcW w:w="851" w:type="dxa"/>
            <w:vAlign w:val="center"/>
          </w:tcPr>
          <w:p>
            <w:pPr>
              <w:spacing w:line="360" w:lineRule="auto"/>
              <w:jc w:val="center"/>
              <w:rPr>
                <w:rFonts w:hint="eastAsia" w:ascii="宋体" w:hAnsi="宋体" w:cs="宋体"/>
                <w:highlight w:val="none"/>
              </w:rPr>
            </w:pPr>
            <w:r>
              <w:rPr>
                <w:rFonts w:hint="eastAsia" w:ascii="宋体" w:hAnsi="宋体" w:cs="宋体"/>
                <w:highlight w:val="none"/>
              </w:rPr>
              <w:t>5分</w:t>
            </w:r>
          </w:p>
        </w:tc>
        <w:tc>
          <w:tcPr>
            <w:tcW w:w="3821" w:type="dxa"/>
            <w:vAlign w:val="center"/>
          </w:tcPr>
          <w:p>
            <w:pPr>
              <w:spacing w:line="360" w:lineRule="auto"/>
              <w:rPr>
                <w:rFonts w:hint="eastAsia" w:ascii="宋体" w:hAnsi="宋体" w:cs="宋体"/>
                <w:highlight w:val="none"/>
              </w:rPr>
            </w:pPr>
            <w:r>
              <w:rPr>
                <w:rFonts w:hint="eastAsia" w:ascii="宋体" w:hAnsi="宋体" w:cs="宋体"/>
                <w:highlight w:val="none"/>
              </w:rPr>
              <w:t>总监理工程师、监理工程师及其它监理人员配备完整，设置合理，人员岗位、职责明确，项目部有从业资格证书的专业人员齐全。优[4.50-5.00]分，良[3.75-4.50)分，一般[3.00-3.75)分，差[1.00-3.00)分。缺少该项不得分。</w:t>
            </w:r>
            <w:r>
              <w:rPr>
                <w:rFonts w:hint="eastAsia" w:ascii="宋体" w:hAnsi="宋体" w:cs="宋体"/>
                <w:b/>
                <w:highlight w:val="none"/>
              </w:rPr>
              <w:t>评分低于权重分值60%的，评标委员会成员应当在评标报告中作出说明。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Merge w:val="continue"/>
            <w:vAlign w:val="center"/>
          </w:tcPr>
          <w:p>
            <w:pPr>
              <w:spacing w:line="360" w:lineRule="auto"/>
              <w:jc w:val="center"/>
              <w:rPr>
                <w:rFonts w:hint="eastAsia" w:ascii="宋体" w:hAnsi="宋体" w:cs="宋体"/>
                <w:highlight w:val="none"/>
              </w:rPr>
            </w:pPr>
          </w:p>
        </w:tc>
        <w:tc>
          <w:tcPr>
            <w:tcW w:w="1173" w:type="dxa"/>
            <w:vMerge w:val="continue"/>
            <w:vAlign w:val="center"/>
          </w:tcPr>
          <w:p>
            <w:pPr>
              <w:spacing w:line="360" w:lineRule="auto"/>
              <w:jc w:val="center"/>
              <w:rPr>
                <w:rFonts w:hint="eastAsia" w:ascii="宋体" w:hAnsi="宋体" w:cs="宋体"/>
                <w:highlight w:val="none"/>
              </w:rPr>
            </w:pPr>
          </w:p>
        </w:tc>
        <w:tc>
          <w:tcPr>
            <w:tcW w:w="919" w:type="dxa"/>
            <w:vMerge w:val="continue"/>
            <w:vAlign w:val="center"/>
          </w:tcPr>
          <w:p>
            <w:pPr>
              <w:spacing w:line="360" w:lineRule="auto"/>
              <w:jc w:val="right"/>
              <w:rPr>
                <w:rFonts w:hint="eastAsia" w:ascii="宋体" w:hAnsi="宋体" w:cs="宋体"/>
                <w:highlight w:val="none"/>
                <w:u w:val="single"/>
              </w:rPr>
            </w:pPr>
          </w:p>
        </w:tc>
        <w:tc>
          <w:tcPr>
            <w:tcW w:w="1204" w:type="dxa"/>
            <w:vAlign w:val="center"/>
          </w:tcPr>
          <w:p>
            <w:pPr>
              <w:spacing w:line="360" w:lineRule="auto"/>
              <w:jc w:val="center"/>
              <w:rPr>
                <w:rFonts w:hint="eastAsia" w:ascii="宋体" w:hAnsi="宋体" w:cs="宋体"/>
                <w:highlight w:val="none"/>
              </w:rPr>
            </w:pPr>
            <w:r>
              <w:rPr>
                <w:rFonts w:hint="eastAsia" w:ascii="宋体" w:hAnsi="宋体" w:cs="宋体"/>
                <w:highlight w:val="none"/>
              </w:rPr>
              <w:t>本工程监理工作重难点分析与对策</w:t>
            </w:r>
          </w:p>
        </w:tc>
        <w:tc>
          <w:tcPr>
            <w:tcW w:w="851" w:type="dxa"/>
            <w:vAlign w:val="center"/>
          </w:tcPr>
          <w:p>
            <w:pPr>
              <w:spacing w:line="360" w:lineRule="auto"/>
              <w:jc w:val="center"/>
              <w:rPr>
                <w:rFonts w:hint="eastAsia" w:ascii="宋体" w:hAnsi="宋体" w:cs="宋体"/>
                <w:highlight w:val="none"/>
              </w:rPr>
            </w:pPr>
            <w:r>
              <w:rPr>
                <w:rFonts w:hint="eastAsia" w:ascii="宋体" w:hAnsi="宋体" w:cs="宋体"/>
                <w:highlight w:val="none"/>
              </w:rPr>
              <w:t>6分</w:t>
            </w:r>
          </w:p>
        </w:tc>
        <w:tc>
          <w:tcPr>
            <w:tcW w:w="3821" w:type="dxa"/>
            <w:vAlign w:val="center"/>
          </w:tcPr>
          <w:p>
            <w:pPr>
              <w:pStyle w:val="20"/>
              <w:spacing w:line="360" w:lineRule="auto"/>
              <w:rPr>
                <w:rFonts w:hint="eastAsia" w:hAnsi="宋体" w:eastAsia="宋体" w:cs="宋体"/>
                <w:sz w:val="21"/>
                <w:szCs w:val="21"/>
                <w:highlight w:val="none"/>
              </w:rPr>
            </w:pPr>
            <w:r>
              <w:rPr>
                <w:rFonts w:hint="eastAsia" w:hAnsi="宋体" w:eastAsia="宋体" w:cs="宋体"/>
                <w:sz w:val="21"/>
                <w:szCs w:val="21"/>
                <w:highlight w:val="none"/>
              </w:rPr>
              <w:t>对监理内容理解全面，对项目的重点、难点认识充分，措施得当，方案切实可行，安排周密。优[5.40-6.00]分，良[4.50-5.40)分，一般[3.60-4.50)分，差[1.00-3.60)分。缺少该项不得分。</w:t>
            </w:r>
            <w:r>
              <w:rPr>
                <w:rFonts w:hint="eastAsia" w:hAnsi="宋体" w:eastAsia="宋体" w:cs="宋体"/>
                <w:b/>
                <w:bCs/>
                <w:sz w:val="21"/>
                <w:szCs w:val="21"/>
                <w:highlight w:val="none"/>
              </w:rPr>
              <w:t>评分低于权重分值60%的，评标委员会成员应当在评标报告中作出说明。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vAlign w:val="center"/>
          </w:tcPr>
          <w:p>
            <w:pPr>
              <w:spacing w:line="360" w:lineRule="auto"/>
              <w:jc w:val="center"/>
              <w:rPr>
                <w:rFonts w:hint="eastAsia" w:ascii="宋体" w:hAnsi="宋体" w:cs="宋体"/>
                <w:highlight w:val="none"/>
              </w:rPr>
            </w:pPr>
          </w:p>
        </w:tc>
        <w:tc>
          <w:tcPr>
            <w:tcW w:w="1173" w:type="dxa"/>
            <w:vMerge w:val="continue"/>
            <w:vAlign w:val="center"/>
          </w:tcPr>
          <w:p>
            <w:pPr>
              <w:spacing w:line="360" w:lineRule="auto"/>
              <w:jc w:val="center"/>
              <w:rPr>
                <w:rFonts w:hint="eastAsia" w:ascii="宋体" w:hAnsi="宋体" w:cs="宋体"/>
                <w:highlight w:val="none"/>
              </w:rPr>
            </w:pPr>
          </w:p>
        </w:tc>
        <w:tc>
          <w:tcPr>
            <w:tcW w:w="919" w:type="dxa"/>
            <w:vMerge w:val="continue"/>
            <w:vAlign w:val="center"/>
          </w:tcPr>
          <w:p>
            <w:pPr>
              <w:spacing w:line="360" w:lineRule="auto"/>
              <w:jc w:val="right"/>
              <w:rPr>
                <w:rFonts w:hint="eastAsia" w:ascii="宋体" w:hAnsi="宋体" w:cs="宋体"/>
                <w:highlight w:val="none"/>
                <w:u w:val="single"/>
              </w:rPr>
            </w:pPr>
          </w:p>
        </w:tc>
        <w:tc>
          <w:tcPr>
            <w:tcW w:w="1204" w:type="dxa"/>
            <w:vAlign w:val="center"/>
          </w:tcPr>
          <w:p>
            <w:pPr>
              <w:spacing w:line="360" w:lineRule="auto"/>
              <w:jc w:val="center"/>
              <w:rPr>
                <w:rFonts w:hint="eastAsia" w:ascii="宋体" w:hAnsi="宋体" w:cs="宋体"/>
                <w:highlight w:val="none"/>
              </w:rPr>
            </w:pPr>
            <w:r>
              <w:rPr>
                <w:rFonts w:hint="eastAsia" w:ascii="宋体" w:hAnsi="宋体" w:cs="宋体"/>
                <w:highlight w:val="none"/>
              </w:rPr>
              <w:t>质量、进度、造价控制措施</w:t>
            </w:r>
          </w:p>
        </w:tc>
        <w:tc>
          <w:tcPr>
            <w:tcW w:w="851" w:type="dxa"/>
            <w:vAlign w:val="center"/>
          </w:tcPr>
          <w:p>
            <w:pPr>
              <w:spacing w:line="360" w:lineRule="auto"/>
              <w:jc w:val="center"/>
              <w:rPr>
                <w:rFonts w:hint="eastAsia" w:ascii="宋体" w:hAnsi="宋体" w:cs="宋体"/>
                <w:highlight w:val="none"/>
              </w:rPr>
            </w:pPr>
            <w:r>
              <w:rPr>
                <w:rFonts w:hint="eastAsia" w:ascii="宋体" w:hAnsi="宋体" w:cs="宋体"/>
                <w:highlight w:val="none"/>
              </w:rPr>
              <w:t xml:space="preserve"> 6分</w:t>
            </w:r>
          </w:p>
        </w:tc>
        <w:tc>
          <w:tcPr>
            <w:tcW w:w="3821" w:type="dxa"/>
            <w:vAlign w:val="center"/>
          </w:tcPr>
          <w:p>
            <w:pPr>
              <w:topLinePunct/>
              <w:autoSpaceDE w:val="0"/>
              <w:autoSpaceDN w:val="0"/>
              <w:adjustRightInd w:val="0"/>
              <w:snapToGrid w:val="0"/>
              <w:spacing w:line="360" w:lineRule="auto"/>
              <w:rPr>
                <w:rFonts w:hint="eastAsia" w:ascii="宋体" w:hAnsi="宋体" w:cs="宋体"/>
                <w:highlight w:val="none"/>
              </w:rPr>
            </w:pPr>
            <w:r>
              <w:rPr>
                <w:rFonts w:hint="eastAsia" w:ascii="宋体" w:hAnsi="宋体" w:cs="宋体"/>
                <w:highlight w:val="none"/>
              </w:rPr>
              <w:t>有全面质量的控制措施，措施得当，有效，具有针对性；进度控制方案明确、科学、合理、可行；造价控制措施明确、科学、合理、可行。优[5.40-6.00]分，良[4.50-5.40)分，</w:t>
            </w:r>
            <w:r>
              <w:rPr>
                <w:rFonts w:hint="eastAsia" w:hAnsi="宋体" w:cs="宋体"/>
                <w:highlight w:val="none"/>
              </w:rPr>
              <w:t>一般[</w:t>
            </w:r>
            <w:r>
              <w:rPr>
                <w:rFonts w:hint="eastAsia" w:ascii="宋体" w:hAnsi="宋体" w:cs="宋体"/>
                <w:highlight w:val="none"/>
              </w:rPr>
              <w:t>3.60-4.50)分，差[</w:t>
            </w:r>
            <w:r>
              <w:rPr>
                <w:rFonts w:hint="eastAsia" w:hAnsi="宋体" w:cs="宋体"/>
                <w:highlight w:val="none"/>
              </w:rPr>
              <w:t>1.00</w:t>
            </w:r>
            <w:r>
              <w:rPr>
                <w:rFonts w:hint="eastAsia" w:ascii="宋体" w:hAnsi="宋体" w:cs="宋体"/>
                <w:highlight w:val="none"/>
              </w:rPr>
              <w:t>-3.60)分。缺少该项不得分。</w:t>
            </w:r>
            <w:r>
              <w:rPr>
                <w:rFonts w:hint="eastAsia" w:hAnsi="宋体" w:cs="宋体"/>
                <w:b/>
                <w:bCs/>
                <w:highlight w:val="none"/>
              </w:rPr>
              <w:t>评分低于权重分值60%的，评标委员会成员应当在评标报告中作出说明。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vAlign w:val="center"/>
          </w:tcPr>
          <w:p>
            <w:pPr>
              <w:pStyle w:val="5"/>
              <w:spacing w:line="360" w:lineRule="auto"/>
              <w:rPr>
                <w:highlight w:val="none"/>
              </w:rPr>
            </w:pPr>
          </w:p>
        </w:tc>
        <w:tc>
          <w:tcPr>
            <w:tcW w:w="1173" w:type="dxa"/>
            <w:vMerge w:val="continue"/>
            <w:vAlign w:val="center"/>
          </w:tcPr>
          <w:p>
            <w:pPr>
              <w:spacing w:line="360" w:lineRule="auto"/>
              <w:jc w:val="center"/>
              <w:rPr>
                <w:rFonts w:hint="eastAsia" w:ascii="宋体" w:hAnsi="宋体" w:cs="宋体"/>
                <w:highlight w:val="none"/>
              </w:rPr>
            </w:pPr>
          </w:p>
        </w:tc>
        <w:tc>
          <w:tcPr>
            <w:tcW w:w="919" w:type="dxa"/>
            <w:vMerge w:val="continue"/>
            <w:vAlign w:val="center"/>
          </w:tcPr>
          <w:p>
            <w:pPr>
              <w:spacing w:line="360" w:lineRule="auto"/>
              <w:jc w:val="right"/>
              <w:rPr>
                <w:rFonts w:hint="eastAsia" w:ascii="宋体" w:hAnsi="宋体" w:cs="宋体"/>
                <w:highlight w:val="none"/>
                <w:u w:val="single"/>
              </w:rPr>
            </w:pPr>
          </w:p>
        </w:tc>
        <w:tc>
          <w:tcPr>
            <w:tcW w:w="1204" w:type="dxa"/>
            <w:vAlign w:val="center"/>
          </w:tcPr>
          <w:p>
            <w:pPr>
              <w:spacing w:line="360" w:lineRule="auto"/>
              <w:jc w:val="center"/>
              <w:rPr>
                <w:rFonts w:hint="eastAsia" w:ascii="宋体" w:hAnsi="宋体" w:cs="宋体"/>
                <w:highlight w:val="none"/>
              </w:rPr>
            </w:pPr>
            <w:r>
              <w:rPr>
                <w:rFonts w:hint="eastAsia" w:ascii="宋体" w:hAnsi="宋体" w:cs="宋体"/>
                <w:highlight w:val="none"/>
              </w:rPr>
              <w:t>合同、信息管理、组织协调措施</w:t>
            </w:r>
          </w:p>
        </w:tc>
        <w:tc>
          <w:tcPr>
            <w:tcW w:w="851" w:type="dxa"/>
            <w:vAlign w:val="center"/>
          </w:tcPr>
          <w:p>
            <w:pPr>
              <w:spacing w:line="360" w:lineRule="auto"/>
              <w:jc w:val="center"/>
              <w:rPr>
                <w:rFonts w:hint="eastAsia" w:ascii="宋体" w:hAnsi="宋体" w:cs="宋体"/>
                <w:highlight w:val="none"/>
              </w:rPr>
            </w:pPr>
            <w:r>
              <w:rPr>
                <w:rFonts w:hint="eastAsia" w:ascii="宋体" w:hAnsi="宋体" w:cs="宋体"/>
                <w:highlight w:val="none"/>
              </w:rPr>
              <w:t>6分</w:t>
            </w:r>
          </w:p>
        </w:tc>
        <w:tc>
          <w:tcPr>
            <w:tcW w:w="3821" w:type="dxa"/>
            <w:vAlign w:val="center"/>
          </w:tcPr>
          <w:p>
            <w:pPr>
              <w:topLinePunct/>
              <w:autoSpaceDE w:val="0"/>
              <w:autoSpaceDN w:val="0"/>
              <w:adjustRightInd w:val="0"/>
              <w:snapToGrid w:val="0"/>
              <w:spacing w:line="360" w:lineRule="auto"/>
              <w:rPr>
                <w:rFonts w:hint="eastAsia" w:ascii="宋体" w:hAnsi="宋体" w:cs="宋体"/>
                <w:highlight w:val="none"/>
              </w:rPr>
            </w:pPr>
            <w:r>
              <w:rPr>
                <w:rFonts w:hint="eastAsia" w:ascii="宋体" w:hAnsi="宋体" w:cs="宋体"/>
                <w:highlight w:val="none"/>
              </w:rPr>
              <w:t>合同管理方法合理有效、措施有针对性；信息管理方法科学、信息传递及反馈路径简洁；组织协调的方法科学、措施有力。优[5.40-6.00]分，良[4.50-5.40)分，一般[3.60-4.50)分，差[</w:t>
            </w:r>
            <w:r>
              <w:rPr>
                <w:rFonts w:hint="eastAsia" w:hAnsi="宋体" w:cs="宋体"/>
                <w:highlight w:val="none"/>
              </w:rPr>
              <w:t>1.00</w:t>
            </w:r>
            <w:r>
              <w:rPr>
                <w:rFonts w:hint="eastAsia" w:ascii="宋体" w:hAnsi="宋体" w:cs="宋体"/>
                <w:highlight w:val="none"/>
              </w:rPr>
              <w:t>-3.60)分。缺少该项不得分。</w:t>
            </w:r>
            <w:r>
              <w:rPr>
                <w:rFonts w:hint="eastAsia" w:hAnsi="宋体" w:cs="宋体"/>
                <w:b/>
                <w:bCs/>
                <w:highlight w:val="none"/>
              </w:rPr>
              <w:t>评分低于权重分值60%的，评标委员会成员应当在评标报告中作出说明。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vAlign w:val="center"/>
          </w:tcPr>
          <w:p>
            <w:pPr>
              <w:spacing w:line="360" w:lineRule="auto"/>
              <w:jc w:val="center"/>
              <w:rPr>
                <w:rFonts w:hint="eastAsia" w:ascii="宋体" w:hAnsi="宋体" w:cs="宋体"/>
                <w:highlight w:val="none"/>
              </w:rPr>
            </w:pPr>
          </w:p>
        </w:tc>
        <w:tc>
          <w:tcPr>
            <w:tcW w:w="1173" w:type="dxa"/>
            <w:vMerge w:val="continue"/>
            <w:vAlign w:val="center"/>
          </w:tcPr>
          <w:p>
            <w:pPr>
              <w:spacing w:line="360" w:lineRule="auto"/>
              <w:jc w:val="center"/>
              <w:rPr>
                <w:rFonts w:hint="eastAsia" w:ascii="宋体" w:hAnsi="宋体" w:cs="宋体"/>
                <w:highlight w:val="none"/>
              </w:rPr>
            </w:pPr>
          </w:p>
        </w:tc>
        <w:tc>
          <w:tcPr>
            <w:tcW w:w="919" w:type="dxa"/>
            <w:vMerge w:val="continue"/>
            <w:vAlign w:val="center"/>
          </w:tcPr>
          <w:p>
            <w:pPr>
              <w:spacing w:line="360" w:lineRule="auto"/>
              <w:jc w:val="right"/>
              <w:rPr>
                <w:rFonts w:hint="eastAsia" w:ascii="宋体" w:hAnsi="宋体" w:cs="宋体"/>
                <w:highlight w:val="none"/>
                <w:u w:val="single"/>
              </w:rPr>
            </w:pPr>
          </w:p>
        </w:tc>
        <w:tc>
          <w:tcPr>
            <w:tcW w:w="1204" w:type="dxa"/>
            <w:vAlign w:val="center"/>
          </w:tcPr>
          <w:p>
            <w:pPr>
              <w:spacing w:line="360" w:lineRule="auto"/>
              <w:jc w:val="center"/>
              <w:rPr>
                <w:rFonts w:hint="eastAsia" w:ascii="宋体" w:hAnsi="宋体" w:cs="宋体"/>
                <w:highlight w:val="none"/>
              </w:rPr>
            </w:pPr>
            <w:r>
              <w:rPr>
                <w:rFonts w:hint="eastAsia" w:ascii="宋体" w:hAnsi="宋体" w:cs="宋体"/>
                <w:highlight w:val="none"/>
              </w:rPr>
              <w:t>安全文明、施工环境控制措施</w:t>
            </w:r>
          </w:p>
        </w:tc>
        <w:tc>
          <w:tcPr>
            <w:tcW w:w="851" w:type="dxa"/>
            <w:vAlign w:val="center"/>
          </w:tcPr>
          <w:p>
            <w:pPr>
              <w:spacing w:line="360" w:lineRule="auto"/>
              <w:jc w:val="center"/>
              <w:rPr>
                <w:rFonts w:hint="eastAsia" w:ascii="宋体" w:hAnsi="宋体" w:cs="宋体"/>
                <w:highlight w:val="none"/>
              </w:rPr>
            </w:pPr>
            <w:r>
              <w:rPr>
                <w:rFonts w:hint="eastAsia" w:ascii="宋体" w:hAnsi="宋体" w:cs="宋体"/>
                <w:highlight w:val="none"/>
              </w:rPr>
              <w:t>6分</w:t>
            </w:r>
          </w:p>
        </w:tc>
        <w:tc>
          <w:tcPr>
            <w:tcW w:w="3821" w:type="dxa"/>
            <w:vAlign w:val="center"/>
          </w:tcPr>
          <w:p>
            <w:pPr>
              <w:topLinePunct/>
              <w:autoSpaceDE w:val="0"/>
              <w:autoSpaceDN w:val="0"/>
              <w:adjustRightInd w:val="0"/>
              <w:snapToGrid w:val="0"/>
              <w:spacing w:line="360" w:lineRule="auto"/>
              <w:rPr>
                <w:rFonts w:hint="eastAsia" w:ascii="宋体" w:hAnsi="宋体" w:cs="宋体"/>
                <w:highlight w:val="none"/>
              </w:rPr>
            </w:pPr>
            <w:r>
              <w:rPr>
                <w:rFonts w:hint="eastAsia" w:ascii="宋体" w:hAnsi="宋体" w:cs="宋体"/>
                <w:highlight w:val="none"/>
              </w:rPr>
              <w:t>控制措施明确、科学、合理、可行、有针对性。优[5.40-6.00]分，良[4.50-5.40)分，</w:t>
            </w:r>
            <w:r>
              <w:rPr>
                <w:rFonts w:hint="eastAsia" w:hAnsi="宋体" w:cs="宋体"/>
                <w:highlight w:val="none"/>
              </w:rPr>
              <w:t>一般[</w:t>
            </w:r>
            <w:r>
              <w:rPr>
                <w:rFonts w:hint="eastAsia" w:ascii="宋体" w:hAnsi="宋体" w:cs="宋体"/>
                <w:highlight w:val="none"/>
              </w:rPr>
              <w:t>3.60-4.50)分，差[</w:t>
            </w:r>
            <w:r>
              <w:rPr>
                <w:rFonts w:hint="eastAsia" w:hAnsi="宋体" w:cs="宋体"/>
                <w:highlight w:val="none"/>
              </w:rPr>
              <w:t>1.00</w:t>
            </w:r>
            <w:r>
              <w:rPr>
                <w:rFonts w:hint="eastAsia" w:ascii="宋体" w:hAnsi="宋体" w:cs="宋体"/>
                <w:highlight w:val="none"/>
              </w:rPr>
              <w:t>-3.60)分。缺少该项不得分。</w:t>
            </w:r>
            <w:r>
              <w:rPr>
                <w:rFonts w:hint="eastAsia" w:hAnsi="宋体" w:cs="宋体"/>
                <w:b/>
                <w:bCs/>
                <w:highlight w:val="none"/>
              </w:rPr>
              <w:t>评分低于权重分值60%的，评标委员会成员应当在评标报告中作出说明。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vAlign w:val="center"/>
          </w:tcPr>
          <w:p>
            <w:pPr>
              <w:spacing w:line="360" w:lineRule="auto"/>
              <w:jc w:val="center"/>
              <w:rPr>
                <w:rFonts w:hint="eastAsia" w:ascii="宋体" w:hAnsi="宋体" w:cs="宋体"/>
                <w:highlight w:val="none"/>
              </w:rPr>
            </w:pPr>
          </w:p>
        </w:tc>
        <w:tc>
          <w:tcPr>
            <w:tcW w:w="1173" w:type="dxa"/>
            <w:vMerge w:val="continue"/>
            <w:vAlign w:val="center"/>
          </w:tcPr>
          <w:p>
            <w:pPr>
              <w:spacing w:line="360" w:lineRule="auto"/>
              <w:jc w:val="center"/>
              <w:rPr>
                <w:rFonts w:hint="eastAsia" w:ascii="宋体" w:hAnsi="宋体" w:cs="宋体"/>
                <w:highlight w:val="none"/>
              </w:rPr>
            </w:pPr>
          </w:p>
        </w:tc>
        <w:tc>
          <w:tcPr>
            <w:tcW w:w="919" w:type="dxa"/>
            <w:vMerge w:val="continue"/>
            <w:vAlign w:val="center"/>
          </w:tcPr>
          <w:p>
            <w:pPr>
              <w:spacing w:line="360" w:lineRule="auto"/>
              <w:jc w:val="right"/>
              <w:rPr>
                <w:rFonts w:hint="eastAsia" w:ascii="宋体" w:hAnsi="宋体" w:cs="宋体"/>
                <w:highlight w:val="none"/>
                <w:u w:val="single"/>
              </w:rPr>
            </w:pPr>
          </w:p>
        </w:tc>
        <w:tc>
          <w:tcPr>
            <w:tcW w:w="1204" w:type="dxa"/>
            <w:vAlign w:val="center"/>
          </w:tcPr>
          <w:p>
            <w:pPr>
              <w:spacing w:line="360" w:lineRule="auto"/>
              <w:jc w:val="center"/>
              <w:rPr>
                <w:rFonts w:hint="eastAsia" w:ascii="宋体" w:hAnsi="宋体" w:cs="宋体"/>
                <w:highlight w:val="none"/>
              </w:rPr>
            </w:pPr>
            <w:r>
              <w:rPr>
                <w:rFonts w:hint="eastAsia" w:ascii="宋体" w:hAnsi="宋体" w:cs="宋体"/>
                <w:highlight w:val="none"/>
              </w:rPr>
              <w:t>疏浚土处理监督管理</w:t>
            </w:r>
          </w:p>
        </w:tc>
        <w:tc>
          <w:tcPr>
            <w:tcW w:w="851" w:type="dxa"/>
            <w:vAlign w:val="center"/>
          </w:tcPr>
          <w:p>
            <w:pPr>
              <w:spacing w:line="360" w:lineRule="auto"/>
              <w:jc w:val="center"/>
              <w:rPr>
                <w:rFonts w:hint="eastAsia" w:ascii="宋体" w:hAnsi="宋体" w:cs="宋体"/>
                <w:highlight w:val="none"/>
              </w:rPr>
            </w:pPr>
            <w:r>
              <w:rPr>
                <w:rFonts w:hint="eastAsia" w:ascii="宋体" w:hAnsi="宋体" w:cs="宋体"/>
                <w:highlight w:val="none"/>
              </w:rPr>
              <w:t>6分</w:t>
            </w:r>
          </w:p>
        </w:tc>
        <w:tc>
          <w:tcPr>
            <w:tcW w:w="3821" w:type="dxa"/>
            <w:vAlign w:val="center"/>
          </w:tcPr>
          <w:p>
            <w:pPr>
              <w:snapToGrid w:val="0"/>
              <w:spacing w:line="360" w:lineRule="auto"/>
              <w:jc w:val="left"/>
              <w:rPr>
                <w:rFonts w:hint="eastAsia" w:ascii="宋体" w:hAnsi="宋体" w:cs="宋体"/>
                <w:highlight w:val="none"/>
              </w:rPr>
            </w:pPr>
            <w:r>
              <w:rPr>
                <w:rFonts w:hint="eastAsia" w:ascii="宋体" w:hAnsi="宋体" w:cs="宋体"/>
                <w:highlight w:val="none"/>
              </w:rPr>
              <w:t>疏浚土处理管理措施的合理性、有效性，船舶运输轨迹、艘次、抛泥记录等监督措施是否合理可行，施工全过程跟船旁站监理人员安排是否合理。优[5.40-6.00]分，良[4.50-5.40)分，</w:t>
            </w:r>
            <w:r>
              <w:rPr>
                <w:rFonts w:hint="eastAsia" w:hAnsi="宋体" w:cs="宋体"/>
                <w:highlight w:val="none"/>
              </w:rPr>
              <w:t>一般[</w:t>
            </w:r>
            <w:r>
              <w:rPr>
                <w:rFonts w:hint="eastAsia" w:ascii="宋体" w:hAnsi="宋体" w:cs="宋体"/>
                <w:highlight w:val="none"/>
              </w:rPr>
              <w:t>3.60-4.50)分，差[</w:t>
            </w:r>
            <w:r>
              <w:rPr>
                <w:rFonts w:hint="eastAsia" w:hAnsi="宋体" w:cs="宋体"/>
                <w:highlight w:val="none"/>
              </w:rPr>
              <w:t>1.00</w:t>
            </w:r>
            <w:r>
              <w:rPr>
                <w:rFonts w:hint="eastAsia" w:ascii="宋体" w:hAnsi="宋体" w:cs="宋体"/>
                <w:highlight w:val="none"/>
              </w:rPr>
              <w:t>-3.60)分。缺少该项不得分。</w:t>
            </w:r>
            <w:r>
              <w:rPr>
                <w:rFonts w:hint="eastAsia" w:hAnsi="宋体" w:cs="宋体"/>
                <w:b/>
                <w:bCs/>
                <w:highlight w:val="none"/>
              </w:rPr>
              <w:t>评分低于权重分值60%的，评标委员会成员应当在评标报告中作出说明。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vAlign w:val="center"/>
          </w:tcPr>
          <w:p>
            <w:pPr>
              <w:spacing w:line="360" w:lineRule="auto"/>
              <w:jc w:val="center"/>
              <w:rPr>
                <w:rFonts w:hint="eastAsia" w:ascii="宋体" w:hAnsi="宋体" w:cs="宋体"/>
                <w:highlight w:val="none"/>
              </w:rPr>
            </w:pPr>
          </w:p>
        </w:tc>
        <w:tc>
          <w:tcPr>
            <w:tcW w:w="1173" w:type="dxa"/>
            <w:vMerge w:val="continue"/>
            <w:vAlign w:val="center"/>
          </w:tcPr>
          <w:p>
            <w:pPr>
              <w:spacing w:line="360" w:lineRule="auto"/>
              <w:jc w:val="center"/>
              <w:rPr>
                <w:rFonts w:hint="eastAsia" w:ascii="宋体" w:hAnsi="宋体" w:cs="宋体"/>
                <w:highlight w:val="none"/>
              </w:rPr>
            </w:pPr>
          </w:p>
        </w:tc>
        <w:tc>
          <w:tcPr>
            <w:tcW w:w="919" w:type="dxa"/>
            <w:vMerge w:val="continue"/>
            <w:vAlign w:val="center"/>
          </w:tcPr>
          <w:p>
            <w:pPr>
              <w:spacing w:line="360" w:lineRule="auto"/>
              <w:jc w:val="right"/>
              <w:rPr>
                <w:rFonts w:hint="eastAsia" w:ascii="宋体" w:hAnsi="宋体" w:cs="宋体"/>
                <w:highlight w:val="none"/>
                <w:u w:val="single"/>
              </w:rPr>
            </w:pPr>
          </w:p>
        </w:tc>
        <w:tc>
          <w:tcPr>
            <w:tcW w:w="1204" w:type="dxa"/>
            <w:vAlign w:val="center"/>
          </w:tcPr>
          <w:p>
            <w:pPr>
              <w:spacing w:line="360" w:lineRule="auto"/>
              <w:jc w:val="center"/>
              <w:rPr>
                <w:rFonts w:hint="eastAsia" w:ascii="宋体" w:hAnsi="宋体" w:cs="宋体"/>
                <w:highlight w:val="none"/>
              </w:rPr>
            </w:pPr>
            <w:r>
              <w:rPr>
                <w:rFonts w:hint="eastAsia" w:ascii="宋体" w:hAnsi="宋体" w:cs="宋体"/>
                <w:highlight w:val="none"/>
              </w:rPr>
              <w:t>对本工程的建议</w:t>
            </w:r>
          </w:p>
        </w:tc>
        <w:tc>
          <w:tcPr>
            <w:tcW w:w="851" w:type="dxa"/>
            <w:vAlign w:val="center"/>
          </w:tcPr>
          <w:p>
            <w:pPr>
              <w:spacing w:line="360" w:lineRule="auto"/>
              <w:jc w:val="center"/>
              <w:rPr>
                <w:rFonts w:hint="eastAsia" w:ascii="宋体" w:hAnsi="宋体" w:cs="宋体"/>
                <w:highlight w:val="none"/>
                <w:u w:val="single"/>
              </w:rPr>
            </w:pPr>
            <w:r>
              <w:rPr>
                <w:rFonts w:hint="eastAsia" w:ascii="宋体" w:hAnsi="宋体" w:cs="宋体"/>
                <w:highlight w:val="none"/>
              </w:rPr>
              <w:t>5分</w:t>
            </w:r>
          </w:p>
        </w:tc>
        <w:tc>
          <w:tcPr>
            <w:tcW w:w="3821" w:type="dxa"/>
            <w:vAlign w:val="center"/>
          </w:tcPr>
          <w:p>
            <w:pPr>
              <w:pStyle w:val="20"/>
              <w:spacing w:line="360" w:lineRule="auto"/>
              <w:rPr>
                <w:rFonts w:hint="eastAsia" w:hAnsi="宋体" w:eastAsia="宋体" w:cs="宋体"/>
                <w:sz w:val="21"/>
                <w:szCs w:val="21"/>
                <w:highlight w:val="none"/>
              </w:rPr>
            </w:pPr>
            <w:r>
              <w:rPr>
                <w:rFonts w:hint="eastAsia" w:hAnsi="宋体" w:eastAsia="宋体" w:cs="宋体"/>
                <w:kern w:val="2"/>
                <w:sz w:val="21"/>
                <w:szCs w:val="21"/>
                <w:highlight w:val="none"/>
              </w:rPr>
              <w:t>具有科学、合理、可行及具体措施的合理化建议。优[4.50-5.00]分，良[3.75-4.50)分，一般[3.00-3.75)分，差[</w:t>
            </w:r>
            <w:r>
              <w:rPr>
                <w:rFonts w:hint="eastAsia" w:hAnsi="宋体" w:eastAsia="宋体" w:cs="宋体"/>
                <w:sz w:val="21"/>
                <w:szCs w:val="21"/>
                <w:highlight w:val="none"/>
              </w:rPr>
              <w:t>1.00</w:t>
            </w:r>
            <w:r>
              <w:rPr>
                <w:rFonts w:hint="eastAsia" w:hAnsi="宋体" w:eastAsia="宋体" w:cs="宋体"/>
                <w:kern w:val="2"/>
                <w:sz w:val="21"/>
                <w:szCs w:val="21"/>
                <w:highlight w:val="none"/>
              </w:rPr>
              <w:t>-3.00)分。缺少该项不得分。</w:t>
            </w:r>
            <w:r>
              <w:rPr>
                <w:rFonts w:hint="eastAsia" w:hAnsi="宋体" w:eastAsia="宋体" w:cs="宋体"/>
                <w:b/>
                <w:bCs/>
                <w:sz w:val="21"/>
                <w:szCs w:val="21"/>
                <w:highlight w:val="none"/>
              </w:rPr>
              <w:t>评分低于权重分值60%的，评标委员会成员应当在评标报告中作出说明。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923" w:type="dxa"/>
            <w:vMerge w:val="restart"/>
            <w:vAlign w:val="center"/>
          </w:tcPr>
          <w:p>
            <w:pPr>
              <w:spacing w:line="360" w:lineRule="auto"/>
              <w:ind w:left="-92" w:leftChars="-44" w:right="-88" w:rightChars="-42"/>
              <w:jc w:val="center"/>
              <w:rPr>
                <w:rFonts w:hint="eastAsia" w:ascii="宋体" w:hAnsi="宋体" w:cs="宋体"/>
                <w:highlight w:val="none"/>
              </w:rPr>
            </w:pPr>
            <w:r>
              <w:rPr>
                <w:rFonts w:hint="eastAsia" w:ascii="宋体" w:hAnsi="宋体" w:cs="宋体"/>
                <w:highlight w:val="none"/>
              </w:rPr>
              <w:t>2.2.4</w:t>
            </w:r>
          </w:p>
          <w:p>
            <w:pPr>
              <w:spacing w:line="360" w:lineRule="auto"/>
              <w:ind w:left="-92" w:leftChars="-44" w:right="-88" w:rightChars="-42"/>
              <w:jc w:val="center"/>
              <w:rPr>
                <w:rFonts w:hint="eastAsia" w:ascii="宋体" w:hAnsi="宋体" w:cs="宋体"/>
                <w:highlight w:val="none"/>
              </w:rPr>
            </w:pPr>
            <w:r>
              <w:rPr>
                <w:rFonts w:hint="eastAsia" w:ascii="宋体" w:hAnsi="宋体" w:cs="宋体"/>
                <w:highlight w:val="none"/>
              </w:rPr>
              <w:t>(2)</w:t>
            </w:r>
          </w:p>
        </w:tc>
        <w:tc>
          <w:tcPr>
            <w:tcW w:w="1173" w:type="dxa"/>
            <w:vMerge w:val="restart"/>
            <w:vAlign w:val="center"/>
          </w:tcPr>
          <w:p>
            <w:pPr>
              <w:spacing w:line="360" w:lineRule="auto"/>
              <w:jc w:val="center"/>
              <w:rPr>
                <w:rFonts w:hint="eastAsia" w:ascii="宋体" w:hAnsi="宋体" w:cs="宋体"/>
                <w:highlight w:val="none"/>
              </w:rPr>
            </w:pPr>
            <w:r>
              <w:rPr>
                <w:rFonts w:hint="eastAsia" w:ascii="宋体" w:hAnsi="宋体" w:cs="宋体"/>
                <w:highlight w:val="none"/>
              </w:rPr>
              <w:t>主要人员</w:t>
            </w:r>
          </w:p>
        </w:tc>
        <w:tc>
          <w:tcPr>
            <w:tcW w:w="919" w:type="dxa"/>
            <w:vMerge w:val="restart"/>
            <w:vAlign w:val="center"/>
          </w:tcPr>
          <w:p>
            <w:pPr>
              <w:spacing w:line="360" w:lineRule="auto"/>
              <w:jc w:val="center"/>
              <w:rPr>
                <w:rFonts w:hint="eastAsia" w:ascii="宋体" w:hAnsi="宋体" w:cs="宋体"/>
                <w:highlight w:val="none"/>
              </w:rPr>
            </w:pPr>
            <w:r>
              <w:rPr>
                <w:rFonts w:hint="eastAsia" w:ascii="宋体" w:hAnsi="宋体" w:cs="宋体"/>
                <w:highlight w:val="none"/>
                <w:u w:val="single"/>
              </w:rPr>
              <w:t>23</w:t>
            </w:r>
            <w:r>
              <w:rPr>
                <w:rFonts w:hint="eastAsia" w:ascii="宋体" w:hAnsi="宋体" w:cs="宋体"/>
                <w:highlight w:val="none"/>
              </w:rPr>
              <w:t>分</w:t>
            </w:r>
          </w:p>
        </w:tc>
        <w:tc>
          <w:tcPr>
            <w:tcW w:w="1204" w:type="dxa"/>
            <w:vAlign w:val="center"/>
          </w:tcPr>
          <w:p>
            <w:pPr>
              <w:spacing w:line="360" w:lineRule="auto"/>
              <w:jc w:val="center"/>
              <w:rPr>
                <w:rFonts w:hint="eastAsia" w:ascii="宋体" w:hAnsi="宋体" w:cs="宋体"/>
                <w:highlight w:val="none"/>
              </w:rPr>
            </w:pPr>
            <w:r>
              <w:rPr>
                <w:rFonts w:hint="eastAsia" w:ascii="宋体" w:hAnsi="宋体" w:cs="宋体"/>
                <w:highlight w:val="none"/>
              </w:rPr>
              <w:t>总监理工程师</w:t>
            </w:r>
          </w:p>
          <w:p>
            <w:pPr>
              <w:spacing w:line="360" w:lineRule="auto"/>
              <w:jc w:val="center"/>
              <w:rPr>
                <w:rFonts w:hint="eastAsia" w:ascii="宋体" w:hAnsi="宋体" w:cs="宋体"/>
                <w:highlight w:val="none"/>
              </w:rPr>
            </w:pPr>
          </w:p>
        </w:tc>
        <w:tc>
          <w:tcPr>
            <w:tcW w:w="851" w:type="dxa"/>
            <w:vAlign w:val="center"/>
          </w:tcPr>
          <w:p>
            <w:pPr>
              <w:spacing w:line="360" w:lineRule="auto"/>
              <w:jc w:val="center"/>
              <w:rPr>
                <w:rFonts w:hint="eastAsia" w:ascii="宋体" w:hAnsi="宋体" w:cs="宋体"/>
                <w:highlight w:val="none"/>
                <w:u w:val="single"/>
              </w:rPr>
            </w:pPr>
            <w:r>
              <w:rPr>
                <w:rFonts w:hint="eastAsia" w:ascii="宋体" w:hAnsi="宋体" w:cs="宋体"/>
                <w:highlight w:val="none"/>
                <w:u w:val="single"/>
              </w:rPr>
              <w:t>20</w:t>
            </w:r>
            <w:r>
              <w:rPr>
                <w:rFonts w:hint="eastAsia" w:ascii="宋体" w:hAnsi="宋体" w:cs="宋体"/>
                <w:highlight w:val="none"/>
              </w:rPr>
              <w:t>分</w:t>
            </w:r>
          </w:p>
          <w:p>
            <w:pPr>
              <w:spacing w:line="360" w:lineRule="auto"/>
              <w:jc w:val="center"/>
              <w:rPr>
                <w:rFonts w:hint="eastAsia" w:ascii="宋体" w:hAnsi="宋体" w:cs="宋体"/>
                <w:highlight w:val="none"/>
                <w:u w:val="single"/>
              </w:rPr>
            </w:pPr>
          </w:p>
        </w:tc>
        <w:tc>
          <w:tcPr>
            <w:tcW w:w="3821" w:type="dxa"/>
            <w:vAlign w:val="center"/>
          </w:tcPr>
          <w:p>
            <w:pPr>
              <w:pStyle w:val="21"/>
              <w:spacing w:line="360" w:lineRule="auto"/>
              <w:jc w:val="left"/>
              <w:rPr>
                <w:rFonts w:hint="eastAsia"/>
                <w:color w:val="000000"/>
                <w:spacing w:val="7"/>
                <w:sz w:val="21"/>
                <w:szCs w:val="21"/>
                <w:highlight w:val="none"/>
                <w:lang w:eastAsia="zh-CN"/>
              </w:rPr>
            </w:pPr>
            <w:r>
              <w:rPr>
                <w:rFonts w:hint="eastAsia"/>
                <w:color w:val="000000"/>
                <w:spacing w:val="7"/>
                <w:sz w:val="21"/>
                <w:szCs w:val="21"/>
                <w:highlight w:val="none"/>
                <w:lang w:eastAsia="zh-CN"/>
              </w:rPr>
              <w:t>1.</w:t>
            </w:r>
            <w:r>
              <w:rPr>
                <w:rFonts w:hint="eastAsia"/>
                <w:color w:val="000000"/>
                <w:spacing w:val="7"/>
                <w:sz w:val="21"/>
                <w:szCs w:val="21"/>
                <w:highlight w:val="none"/>
                <w:u w:val="single"/>
                <w:lang w:eastAsia="zh-CN"/>
              </w:rPr>
              <w:t>近五年</w:t>
            </w:r>
            <w:r>
              <w:rPr>
                <w:rFonts w:hint="eastAsia"/>
                <w:sz w:val="21"/>
                <w:szCs w:val="21"/>
                <w:highlight w:val="none"/>
                <w:lang w:eastAsia="zh-CN"/>
              </w:rPr>
              <w:t>担任</w:t>
            </w:r>
            <w:r>
              <w:rPr>
                <w:rFonts w:hint="eastAsia"/>
                <w:color w:val="000000"/>
                <w:spacing w:val="7"/>
                <w:sz w:val="21"/>
                <w:szCs w:val="21"/>
                <w:highlight w:val="none"/>
                <w:lang w:eastAsia="zh-CN"/>
              </w:rPr>
              <w:t>总监理工程师完成过类似工程</w:t>
            </w:r>
            <w:r>
              <w:rPr>
                <w:rFonts w:hint="eastAsia"/>
                <w:sz w:val="21"/>
                <w:szCs w:val="21"/>
                <w:highlight w:val="none"/>
                <w:lang w:eastAsia="zh-CN"/>
              </w:rPr>
              <w:t>施工监理项目，每具有一项业绩</w:t>
            </w:r>
            <w:r>
              <w:rPr>
                <w:rFonts w:hint="eastAsia"/>
                <w:color w:val="000000"/>
                <w:spacing w:val="7"/>
                <w:sz w:val="21"/>
                <w:szCs w:val="21"/>
                <w:highlight w:val="none"/>
                <w:lang w:eastAsia="zh-CN"/>
              </w:rPr>
              <w:t>得5分，最多得15分。</w:t>
            </w:r>
          </w:p>
          <w:p>
            <w:pPr>
              <w:pStyle w:val="21"/>
              <w:spacing w:line="360" w:lineRule="auto"/>
              <w:jc w:val="left"/>
              <w:rPr>
                <w:rFonts w:hint="eastAsia"/>
                <w:color w:val="000000"/>
                <w:spacing w:val="7"/>
                <w:sz w:val="21"/>
                <w:szCs w:val="21"/>
                <w:highlight w:val="none"/>
                <w:lang w:eastAsia="zh-CN"/>
              </w:rPr>
            </w:pPr>
            <w:r>
              <w:rPr>
                <w:rFonts w:hint="eastAsia"/>
                <w:color w:val="000000"/>
                <w:spacing w:val="7"/>
                <w:sz w:val="21"/>
                <w:szCs w:val="21"/>
                <w:highlight w:val="none"/>
                <w:lang w:eastAsia="zh-CN"/>
              </w:rPr>
              <w:t>2.具有水运工程系列高级或以上工程师职称，得5分。</w:t>
            </w:r>
          </w:p>
          <w:p>
            <w:pPr>
              <w:pStyle w:val="21"/>
              <w:spacing w:line="360" w:lineRule="auto"/>
              <w:jc w:val="left"/>
              <w:rPr>
                <w:rFonts w:hint="eastAsia"/>
                <w:color w:val="000000"/>
                <w:spacing w:val="7"/>
                <w:sz w:val="21"/>
                <w:szCs w:val="21"/>
                <w:highlight w:val="none"/>
                <w:lang w:eastAsia="zh-CN"/>
              </w:rPr>
            </w:pPr>
            <w:r>
              <w:rPr>
                <w:rFonts w:hint="eastAsia"/>
                <w:color w:val="000000"/>
                <w:spacing w:val="7"/>
                <w:sz w:val="21"/>
                <w:szCs w:val="21"/>
                <w:highlight w:val="none"/>
                <w:lang w:eastAsia="zh-CN"/>
              </w:rPr>
              <w:t>注：1、投标人应根据招标文件第二章“投标人须知”前附表第3.5.4项的要求提供相关证明材料。</w:t>
            </w:r>
          </w:p>
          <w:p>
            <w:pPr>
              <w:pStyle w:val="21"/>
              <w:spacing w:line="360" w:lineRule="auto"/>
              <w:ind w:firstLine="448" w:firstLineChars="200"/>
              <w:jc w:val="left"/>
              <w:rPr>
                <w:rFonts w:hint="eastAsia"/>
                <w:color w:val="000000"/>
                <w:spacing w:val="7"/>
                <w:sz w:val="21"/>
                <w:szCs w:val="21"/>
                <w:highlight w:val="none"/>
                <w:lang w:eastAsia="zh-CN"/>
              </w:rPr>
            </w:pPr>
            <w:r>
              <w:rPr>
                <w:rFonts w:hint="eastAsia"/>
                <w:color w:val="000000"/>
                <w:spacing w:val="7"/>
                <w:sz w:val="21"/>
                <w:szCs w:val="21"/>
                <w:highlight w:val="none"/>
                <w:lang w:eastAsia="zh-CN"/>
              </w:rPr>
              <w:t>2.“近五年”“完成过”“类似工程”的解释与资格审查条件（业绩最低要求）注中的解释相同。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923" w:type="dxa"/>
            <w:vMerge w:val="continue"/>
            <w:vAlign w:val="center"/>
          </w:tcPr>
          <w:p>
            <w:pPr>
              <w:spacing w:line="360" w:lineRule="auto"/>
              <w:ind w:left="-92" w:leftChars="-44" w:right="-88" w:rightChars="-42"/>
              <w:jc w:val="center"/>
              <w:rPr>
                <w:rFonts w:hint="eastAsia" w:ascii="宋体" w:hAnsi="宋体" w:cs="宋体"/>
                <w:highlight w:val="none"/>
              </w:rPr>
            </w:pPr>
          </w:p>
        </w:tc>
        <w:tc>
          <w:tcPr>
            <w:tcW w:w="1173" w:type="dxa"/>
            <w:vMerge w:val="continue"/>
            <w:vAlign w:val="center"/>
          </w:tcPr>
          <w:p>
            <w:pPr>
              <w:spacing w:line="360" w:lineRule="auto"/>
              <w:jc w:val="center"/>
              <w:rPr>
                <w:rFonts w:hint="eastAsia" w:ascii="宋体" w:hAnsi="宋体" w:cs="宋体"/>
                <w:highlight w:val="none"/>
              </w:rPr>
            </w:pPr>
          </w:p>
        </w:tc>
        <w:tc>
          <w:tcPr>
            <w:tcW w:w="919" w:type="dxa"/>
            <w:vMerge w:val="continue"/>
            <w:vAlign w:val="center"/>
          </w:tcPr>
          <w:p>
            <w:pPr>
              <w:spacing w:line="360" w:lineRule="auto"/>
              <w:jc w:val="center"/>
              <w:rPr>
                <w:rFonts w:hint="eastAsia" w:ascii="宋体" w:hAnsi="宋体" w:cs="宋体"/>
                <w:highlight w:val="none"/>
                <w:u w:val="single"/>
              </w:rPr>
            </w:pPr>
          </w:p>
        </w:tc>
        <w:tc>
          <w:tcPr>
            <w:tcW w:w="1204" w:type="dxa"/>
            <w:vAlign w:val="center"/>
          </w:tcPr>
          <w:p>
            <w:pPr>
              <w:spacing w:line="360" w:lineRule="auto"/>
              <w:jc w:val="center"/>
              <w:rPr>
                <w:rFonts w:hint="eastAsia" w:ascii="宋体" w:hAnsi="宋体" w:cs="宋体"/>
                <w:highlight w:val="none"/>
              </w:rPr>
            </w:pPr>
            <w:r>
              <w:rPr>
                <w:rFonts w:hint="eastAsia" w:ascii="宋体" w:hAnsi="宋体" w:cs="宋体"/>
                <w:highlight w:val="none"/>
              </w:rPr>
              <w:t>其他主要监理人员</w:t>
            </w:r>
          </w:p>
        </w:tc>
        <w:tc>
          <w:tcPr>
            <w:tcW w:w="851" w:type="dxa"/>
            <w:vAlign w:val="center"/>
          </w:tcPr>
          <w:p>
            <w:pPr>
              <w:spacing w:line="360" w:lineRule="auto"/>
              <w:jc w:val="center"/>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u w:val="single"/>
              </w:rPr>
              <w:t>3分</w:t>
            </w:r>
          </w:p>
        </w:tc>
        <w:tc>
          <w:tcPr>
            <w:tcW w:w="3821" w:type="dxa"/>
            <w:vAlign w:val="center"/>
          </w:tcPr>
          <w:p>
            <w:pPr>
              <w:pStyle w:val="21"/>
              <w:numPr>
                <w:ilvl w:val="0"/>
                <w:numId w:val="1"/>
              </w:numPr>
              <w:spacing w:line="360" w:lineRule="auto"/>
              <w:jc w:val="left"/>
              <w:rPr>
                <w:rFonts w:hint="eastAsia" w:asciiTheme="minorEastAsia" w:hAnsiTheme="minorEastAsia" w:eastAsiaTheme="minorEastAsia" w:cstheme="minorEastAsia"/>
                <w:color w:val="000000"/>
                <w:spacing w:val="7"/>
                <w:sz w:val="21"/>
                <w:szCs w:val="21"/>
                <w:highlight w:val="none"/>
                <w:lang w:eastAsia="zh-CN"/>
              </w:rPr>
            </w:pPr>
            <w:r>
              <w:rPr>
                <w:rFonts w:hint="eastAsia" w:asciiTheme="minorEastAsia" w:hAnsiTheme="minorEastAsia" w:eastAsiaTheme="minorEastAsia" w:cstheme="minorEastAsia"/>
                <w:sz w:val="21"/>
                <w:szCs w:val="21"/>
                <w:highlight w:val="none"/>
                <w:u w:val="single"/>
                <w:lang w:eastAsia="zh-CN"/>
              </w:rPr>
              <w:t>港口与航道工程</w:t>
            </w:r>
            <w:r>
              <w:rPr>
                <w:rFonts w:hint="eastAsia" w:asciiTheme="minorEastAsia" w:hAnsiTheme="minorEastAsia" w:eastAsiaTheme="minorEastAsia" w:cstheme="minorEastAsia"/>
                <w:sz w:val="21"/>
                <w:szCs w:val="21"/>
                <w:highlight w:val="none"/>
                <w:lang w:eastAsia="zh-CN"/>
              </w:rPr>
              <w:t>专业监理工程师</w:t>
            </w:r>
            <w:r>
              <w:rPr>
                <w:rFonts w:hint="eastAsia" w:asciiTheme="minorEastAsia" w:hAnsiTheme="minorEastAsia" w:eastAsiaTheme="minorEastAsia" w:cstheme="minorEastAsia"/>
                <w:color w:val="000000"/>
                <w:spacing w:val="7"/>
                <w:sz w:val="21"/>
                <w:szCs w:val="21"/>
                <w:highlight w:val="none"/>
                <w:lang w:eastAsia="zh-CN"/>
              </w:rPr>
              <w:t>具有工程类专业高级或以上职称，得1分，最高得1分。</w:t>
            </w:r>
          </w:p>
          <w:p>
            <w:pPr>
              <w:pStyle w:val="21"/>
              <w:numPr>
                <w:ilvl w:val="0"/>
                <w:numId w:val="1"/>
              </w:numPr>
              <w:spacing w:line="360" w:lineRule="auto"/>
              <w:jc w:val="left"/>
              <w:rPr>
                <w:rFonts w:hint="eastAsia" w:asciiTheme="minorEastAsia" w:hAnsiTheme="minorEastAsia" w:eastAsiaTheme="minorEastAsia" w:cstheme="minorEastAsia"/>
                <w:color w:val="000000"/>
                <w:spacing w:val="7"/>
                <w:sz w:val="21"/>
                <w:szCs w:val="21"/>
                <w:highlight w:val="none"/>
                <w:lang w:eastAsia="zh-CN"/>
              </w:rPr>
            </w:pPr>
            <w:r>
              <w:rPr>
                <w:rFonts w:hint="eastAsia" w:asciiTheme="minorEastAsia" w:hAnsiTheme="minorEastAsia" w:eastAsiaTheme="minorEastAsia" w:cstheme="minorEastAsia"/>
                <w:sz w:val="21"/>
                <w:szCs w:val="21"/>
                <w:highlight w:val="none"/>
                <w:u w:val="single"/>
                <w:lang w:eastAsia="zh-CN"/>
              </w:rPr>
              <w:t>安全</w:t>
            </w:r>
            <w:r>
              <w:rPr>
                <w:rFonts w:hint="eastAsia" w:asciiTheme="minorEastAsia" w:hAnsiTheme="minorEastAsia" w:eastAsiaTheme="minorEastAsia" w:cstheme="minorEastAsia"/>
                <w:sz w:val="21"/>
                <w:szCs w:val="21"/>
                <w:highlight w:val="none"/>
                <w:lang w:eastAsia="zh-CN"/>
              </w:rPr>
              <w:t>专业监理工程师</w:t>
            </w:r>
            <w:r>
              <w:rPr>
                <w:rFonts w:hint="eastAsia" w:asciiTheme="minorEastAsia" w:hAnsiTheme="minorEastAsia" w:eastAsiaTheme="minorEastAsia" w:cstheme="minorEastAsia"/>
                <w:color w:val="000000"/>
                <w:spacing w:val="7"/>
                <w:sz w:val="21"/>
                <w:szCs w:val="21"/>
                <w:highlight w:val="none"/>
                <w:lang w:eastAsia="zh-CN"/>
              </w:rPr>
              <w:t>具有工程类专业中级或以上职称，得0.5分，最高得0.5分。</w:t>
            </w:r>
          </w:p>
          <w:p>
            <w:pPr>
              <w:pStyle w:val="21"/>
              <w:numPr>
                <w:ilvl w:val="0"/>
                <w:numId w:val="1"/>
              </w:numPr>
              <w:spacing w:line="360" w:lineRule="auto"/>
              <w:jc w:val="left"/>
              <w:rPr>
                <w:rFonts w:hint="eastAsia" w:asciiTheme="minorEastAsia" w:hAnsiTheme="minorEastAsia" w:eastAsiaTheme="minorEastAsia" w:cstheme="minorEastAsia"/>
                <w:color w:val="000000"/>
                <w:spacing w:val="7"/>
                <w:sz w:val="21"/>
                <w:szCs w:val="21"/>
                <w:highlight w:val="none"/>
                <w:lang w:eastAsia="zh-CN"/>
              </w:rPr>
            </w:pPr>
            <w:r>
              <w:rPr>
                <w:rFonts w:hint="eastAsia" w:asciiTheme="minorEastAsia" w:hAnsiTheme="minorEastAsia" w:eastAsiaTheme="minorEastAsia" w:cstheme="minorEastAsia"/>
                <w:sz w:val="21"/>
                <w:szCs w:val="21"/>
                <w:highlight w:val="none"/>
                <w:u w:val="single"/>
                <w:lang w:eastAsia="zh-CN"/>
              </w:rPr>
              <w:t>环保</w:t>
            </w:r>
            <w:r>
              <w:rPr>
                <w:rFonts w:hint="eastAsia" w:asciiTheme="minorEastAsia" w:hAnsiTheme="minorEastAsia" w:eastAsiaTheme="minorEastAsia" w:cstheme="minorEastAsia"/>
                <w:sz w:val="21"/>
                <w:szCs w:val="21"/>
                <w:highlight w:val="none"/>
                <w:lang w:eastAsia="zh-CN"/>
              </w:rPr>
              <w:t>专业监理工程师</w:t>
            </w:r>
            <w:r>
              <w:rPr>
                <w:rFonts w:hint="eastAsia" w:asciiTheme="minorEastAsia" w:hAnsiTheme="minorEastAsia" w:eastAsiaTheme="minorEastAsia" w:cstheme="minorEastAsia"/>
                <w:color w:val="000000"/>
                <w:spacing w:val="7"/>
                <w:sz w:val="21"/>
                <w:szCs w:val="21"/>
                <w:highlight w:val="none"/>
                <w:lang w:eastAsia="zh-CN"/>
              </w:rPr>
              <w:t>具有工程类专业中级或以上职称，得0.5分，最高得0.5分。</w:t>
            </w:r>
          </w:p>
          <w:p>
            <w:pPr>
              <w:pStyle w:val="21"/>
              <w:spacing w:line="360" w:lineRule="auto"/>
              <w:jc w:val="left"/>
              <w:rPr>
                <w:rFonts w:hint="eastAsia" w:asciiTheme="minorEastAsia" w:hAnsiTheme="minorEastAsia" w:eastAsiaTheme="minorEastAsia" w:cstheme="minorEastAsia"/>
                <w:color w:val="000000"/>
                <w:spacing w:val="7"/>
                <w:sz w:val="21"/>
                <w:szCs w:val="21"/>
                <w:highlight w:val="none"/>
                <w:lang w:eastAsia="zh-CN"/>
              </w:rPr>
            </w:pPr>
            <w:r>
              <w:rPr>
                <w:rFonts w:hint="eastAsia" w:asciiTheme="minorEastAsia" w:hAnsiTheme="minorEastAsia" w:eastAsiaTheme="minorEastAsia" w:cstheme="minorEastAsia"/>
                <w:color w:val="000000"/>
                <w:spacing w:val="7"/>
                <w:sz w:val="21"/>
                <w:szCs w:val="21"/>
                <w:highlight w:val="none"/>
                <w:lang w:eastAsia="zh-CN"/>
              </w:rPr>
              <w:t>4.</w:t>
            </w:r>
            <w:r>
              <w:rPr>
                <w:rFonts w:hint="eastAsia" w:asciiTheme="minorEastAsia" w:hAnsiTheme="minorEastAsia" w:eastAsiaTheme="minorEastAsia" w:cstheme="minorEastAsia"/>
                <w:color w:val="000000"/>
                <w:spacing w:val="7"/>
                <w:sz w:val="21"/>
                <w:szCs w:val="21"/>
                <w:highlight w:val="none"/>
                <w:u w:val="single"/>
                <w:lang w:eastAsia="zh-CN"/>
              </w:rPr>
              <w:t>测量</w:t>
            </w:r>
            <w:r>
              <w:rPr>
                <w:rFonts w:hint="eastAsia" w:asciiTheme="minorEastAsia" w:hAnsiTheme="minorEastAsia" w:eastAsiaTheme="minorEastAsia" w:cstheme="minorEastAsia"/>
                <w:color w:val="000000"/>
                <w:spacing w:val="7"/>
                <w:sz w:val="21"/>
                <w:szCs w:val="21"/>
                <w:highlight w:val="none"/>
                <w:lang w:eastAsia="zh-CN"/>
              </w:rPr>
              <w:t>工程师具有注册测绘师注册证书的，得0.5分，最高得0.5分。</w:t>
            </w:r>
          </w:p>
          <w:p>
            <w:pPr>
              <w:pStyle w:val="21"/>
              <w:spacing w:line="360" w:lineRule="auto"/>
              <w:jc w:val="left"/>
              <w:rPr>
                <w:rFonts w:hint="eastAsia" w:asciiTheme="minorEastAsia" w:hAnsiTheme="minorEastAsia" w:eastAsiaTheme="minorEastAsia" w:cstheme="minorEastAsia"/>
                <w:color w:val="000000"/>
                <w:spacing w:val="7"/>
                <w:sz w:val="21"/>
                <w:szCs w:val="21"/>
                <w:highlight w:val="none"/>
                <w:lang w:eastAsia="zh-CN"/>
              </w:rPr>
            </w:pPr>
            <w:r>
              <w:rPr>
                <w:rFonts w:hint="eastAsia" w:asciiTheme="minorEastAsia" w:hAnsiTheme="minorEastAsia" w:eastAsiaTheme="minorEastAsia" w:cstheme="minorEastAsia"/>
                <w:color w:val="000000"/>
                <w:spacing w:val="7"/>
                <w:sz w:val="21"/>
                <w:szCs w:val="21"/>
                <w:highlight w:val="none"/>
                <w:lang w:eastAsia="zh-CN"/>
              </w:rPr>
              <w:t>5.</w:t>
            </w:r>
            <w:r>
              <w:rPr>
                <w:rFonts w:hint="eastAsia" w:asciiTheme="minorEastAsia" w:hAnsiTheme="minorEastAsia" w:eastAsiaTheme="minorEastAsia" w:cstheme="minorEastAsia"/>
                <w:color w:val="000000"/>
                <w:spacing w:val="7"/>
                <w:sz w:val="21"/>
                <w:szCs w:val="21"/>
                <w:highlight w:val="none"/>
                <w:u w:val="single"/>
                <w:lang w:eastAsia="zh-CN"/>
              </w:rPr>
              <w:t>档案及竣工资料</w:t>
            </w:r>
            <w:r>
              <w:rPr>
                <w:rFonts w:hint="eastAsia" w:asciiTheme="minorEastAsia" w:hAnsiTheme="minorEastAsia" w:eastAsiaTheme="minorEastAsia" w:cstheme="minorEastAsia"/>
                <w:color w:val="000000"/>
                <w:spacing w:val="7"/>
                <w:sz w:val="21"/>
                <w:szCs w:val="21"/>
                <w:highlight w:val="none"/>
                <w:lang w:eastAsia="zh-CN"/>
              </w:rPr>
              <w:t>负责人同时具有档案管理相关专业中级（或以上）职称和市级（或以上）档案管理部门颁发的档案专业人员岗位职务培训证书的，得0.5分，最高得0.5分。</w:t>
            </w:r>
          </w:p>
          <w:p>
            <w:pPr>
              <w:pStyle w:val="21"/>
              <w:spacing w:line="360" w:lineRule="auto"/>
              <w:jc w:val="left"/>
              <w:rPr>
                <w:rFonts w:hint="eastAsia" w:asciiTheme="minorEastAsia" w:hAnsiTheme="minorEastAsia" w:eastAsiaTheme="minorEastAsia" w:cstheme="minorEastAsia"/>
                <w:color w:val="000000"/>
                <w:spacing w:val="7"/>
                <w:sz w:val="21"/>
                <w:szCs w:val="21"/>
                <w:highlight w:val="none"/>
                <w:lang w:eastAsia="zh-CN"/>
              </w:rPr>
            </w:pPr>
            <w:r>
              <w:rPr>
                <w:rFonts w:hint="eastAsia" w:asciiTheme="minorEastAsia" w:hAnsiTheme="minorEastAsia" w:eastAsiaTheme="minorEastAsia" w:cstheme="minorEastAsia"/>
                <w:color w:val="000000"/>
                <w:spacing w:val="7"/>
                <w:sz w:val="21"/>
                <w:szCs w:val="21"/>
                <w:highlight w:val="none"/>
                <w:lang w:eastAsia="zh-CN"/>
              </w:rPr>
              <w:t>注：1、投标人应根据招标文件第二章“投标人须知”前附表第3.5.5项的要求提供相关证明材料。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pPr>
              <w:spacing w:line="360" w:lineRule="auto"/>
              <w:jc w:val="center"/>
              <w:rPr>
                <w:rFonts w:hint="eastAsia" w:ascii="宋体" w:hAnsi="宋体" w:cs="宋体"/>
                <w:highlight w:val="none"/>
              </w:rPr>
            </w:pPr>
            <w:r>
              <w:rPr>
                <w:rFonts w:hint="eastAsia" w:ascii="宋体" w:hAnsi="宋体" w:cs="宋体"/>
                <w:highlight w:val="none"/>
              </w:rPr>
              <w:t>2.2.4</w:t>
            </w:r>
          </w:p>
          <w:p>
            <w:pPr>
              <w:spacing w:line="360" w:lineRule="auto"/>
              <w:jc w:val="center"/>
              <w:rPr>
                <w:rFonts w:hint="eastAsia" w:ascii="宋体" w:hAnsi="宋体" w:cs="宋体"/>
                <w:highlight w:val="none"/>
              </w:rPr>
            </w:pPr>
            <w:r>
              <w:rPr>
                <w:rFonts w:hint="eastAsia" w:ascii="宋体" w:hAnsi="宋体" w:cs="宋体"/>
                <w:highlight w:val="none"/>
              </w:rPr>
              <w:t>(3)</w:t>
            </w:r>
          </w:p>
        </w:tc>
        <w:tc>
          <w:tcPr>
            <w:tcW w:w="1173" w:type="dxa"/>
            <w:vAlign w:val="center"/>
          </w:tcPr>
          <w:p>
            <w:pPr>
              <w:spacing w:line="360" w:lineRule="auto"/>
              <w:jc w:val="center"/>
              <w:rPr>
                <w:rFonts w:hint="eastAsia" w:ascii="宋体" w:hAnsi="宋体" w:cs="宋体"/>
                <w:highlight w:val="none"/>
              </w:rPr>
            </w:pPr>
            <w:r>
              <w:rPr>
                <w:rFonts w:hint="eastAsia" w:ascii="宋体" w:hAnsi="宋体" w:cs="宋体"/>
                <w:highlight w:val="none"/>
              </w:rPr>
              <w:t>评标价</w:t>
            </w:r>
          </w:p>
        </w:tc>
        <w:tc>
          <w:tcPr>
            <w:tcW w:w="919" w:type="dxa"/>
            <w:vAlign w:val="center"/>
          </w:tcPr>
          <w:p>
            <w:pPr>
              <w:spacing w:line="360" w:lineRule="auto"/>
              <w:jc w:val="center"/>
              <w:rPr>
                <w:rFonts w:hint="eastAsia" w:ascii="宋体" w:hAnsi="宋体" w:cs="宋体"/>
                <w:highlight w:val="none"/>
              </w:rPr>
            </w:pPr>
            <w:r>
              <w:rPr>
                <w:rFonts w:hint="eastAsia" w:ascii="宋体" w:hAnsi="宋体" w:cs="宋体"/>
                <w:highlight w:val="none"/>
                <w:u w:val="single"/>
              </w:rPr>
              <w:t>15</w:t>
            </w:r>
            <w:r>
              <w:rPr>
                <w:rFonts w:hint="eastAsia" w:ascii="宋体" w:hAnsi="宋体" w:cs="宋体"/>
                <w:highlight w:val="none"/>
              </w:rPr>
              <w:t>分</w:t>
            </w:r>
          </w:p>
        </w:tc>
        <w:tc>
          <w:tcPr>
            <w:tcW w:w="5876" w:type="dxa"/>
            <w:gridSpan w:val="3"/>
          </w:tcPr>
          <w:p>
            <w:pPr>
              <w:spacing w:line="360" w:lineRule="auto"/>
              <w:rPr>
                <w:rFonts w:hint="eastAsia" w:ascii="宋体" w:hAnsi="宋体" w:cs="宋体"/>
                <w:highlight w:val="none"/>
              </w:rPr>
            </w:pPr>
            <w:r>
              <w:rPr>
                <w:rFonts w:hint="eastAsia" w:ascii="宋体" w:hAnsi="宋体" w:cs="宋体"/>
                <w:highlight w:val="none"/>
              </w:rPr>
              <w:t>评标价得分计算公式：</w:t>
            </w:r>
          </w:p>
          <w:p>
            <w:pPr>
              <w:numPr>
                <w:ilvl w:val="0"/>
                <w:numId w:val="2"/>
              </w:numPr>
              <w:spacing w:line="360" w:lineRule="auto"/>
              <w:rPr>
                <w:rFonts w:hint="eastAsia" w:ascii="宋体" w:hAnsi="宋体" w:cs="宋体"/>
                <w:highlight w:val="none"/>
              </w:rPr>
            </w:pPr>
            <w:r>
              <w:rPr>
                <w:rFonts w:hint="eastAsia" w:ascii="宋体" w:hAnsi="宋体" w:cs="宋体"/>
                <w:highlight w:val="none"/>
              </w:rPr>
              <w:t>如果投标人的评标价&gt;评标基准价，</w:t>
            </w:r>
          </w:p>
          <w:p>
            <w:pPr>
              <w:spacing w:line="360" w:lineRule="auto"/>
              <w:rPr>
                <w:rFonts w:hint="eastAsia" w:ascii="宋体" w:hAnsi="宋体" w:cs="宋体"/>
                <w:highlight w:val="none"/>
              </w:rPr>
            </w:pPr>
            <w:r>
              <w:rPr>
                <w:rFonts w:hint="eastAsia" w:ascii="宋体" w:hAnsi="宋体" w:cs="宋体"/>
                <w:highlight w:val="none"/>
              </w:rPr>
              <w:t>则评标价得分＝F－偏差率×100×D1；D1取1；</w:t>
            </w:r>
          </w:p>
          <w:p>
            <w:pPr>
              <w:numPr>
                <w:ilvl w:val="0"/>
                <w:numId w:val="2"/>
              </w:numPr>
              <w:spacing w:line="360" w:lineRule="auto"/>
              <w:rPr>
                <w:rFonts w:hint="eastAsia" w:ascii="宋体" w:hAnsi="宋体" w:cs="宋体"/>
                <w:highlight w:val="none"/>
              </w:rPr>
            </w:pPr>
            <w:r>
              <w:rPr>
                <w:rFonts w:hint="eastAsia" w:ascii="宋体" w:hAnsi="宋体" w:cs="宋体"/>
                <w:highlight w:val="none"/>
              </w:rPr>
              <w:t>如果投标人的评标价≤评标基准价，</w:t>
            </w:r>
          </w:p>
          <w:p>
            <w:pPr>
              <w:spacing w:line="360" w:lineRule="auto"/>
              <w:rPr>
                <w:highlight w:val="none"/>
              </w:rPr>
            </w:pPr>
            <w:r>
              <w:rPr>
                <w:rFonts w:hint="eastAsia" w:ascii="宋体" w:hAnsi="宋体" w:cs="宋体"/>
                <w:highlight w:val="none"/>
              </w:rPr>
              <w:t>则评标价得分＝F＋偏差率×100×D2；D2取0.5。</w:t>
            </w:r>
          </w:p>
          <w:p>
            <w:pPr>
              <w:spacing w:line="360" w:lineRule="auto"/>
              <w:rPr>
                <w:rFonts w:hint="eastAsia" w:ascii="宋体" w:hAnsi="宋体" w:cs="宋体"/>
                <w:highlight w:val="none"/>
              </w:rPr>
            </w:pPr>
            <w:r>
              <w:rPr>
                <w:rFonts w:hint="eastAsia" w:ascii="宋体" w:hAnsi="宋体" w:cs="宋体"/>
                <w:highlight w:val="none"/>
              </w:rPr>
              <w:t>其中：F为评标价分值。</w:t>
            </w:r>
          </w:p>
          <w:p>
            <w:pPr>
              <w:spacing w:line="360" w:lineRule="auto"/>
              <w:rPr>
                <w:rFonts w:hint="eastAsia" w:ascii="宋体" w:hAnsi="宋体" w:cs="宋体"/>
                <w:highlight w:val="none"/>
              </w:rPr>
            </w:pPr>
            <w:r>
              <w:rPr>
                <w:rFonts w:hint="eastAsia" w:ascii="宋体" w:hAnsi="宋体" w:cs="宋体"/>
                <w:highlight w:val="none"/>
              </w:rPr>
              <w:t>注：评标价得分计算保留小数点后两位，小数点后第三位“四舍五入”。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Merge w:val="restart"/>
            <w:vAlign w:val="center"/>
          </w:tcPr>
          <w:p>
            <w:pPr>
              <w:spacing w:line="360" w:lineRule="auto"/>
              <w:jc w:val="center"/>
              <w:rPr>
                <w:rFonts w:hint="eastAsia" w:ascii="宋体" w:hAnsi="宋体" w:cs="宋体"/>
                <w:highlight w:val="none"/>
              </w:rPr>
            </w:pPr>
            <w:r>
              <w:rPr>
                <w:rFonts w:hint="eastAsia" w:ascii="宋体" w:hAnsi="宋体" w:cs="宋体"/>
                <w:highlight w:val="none"/>
              </w:rPr>
              <w:t>2.2.4</w:t>
            </w:r>
          </w:p>
          <w:p>
            <w:pPr>
              <w:spacing w:line="360" w:lineRule="auto"/>
              <w:jc w:val="center"/>
              <w:rPr>
                <w:rFonts w:hint="eastAsia" w:ascii="宋体" w:hAnsi="宋体" w:cs="宋体"/>
                <w:highlight w:val="none"/>
              </w:rPr>
            </w:pPr>
            <w:r>
              <w:rPr>
                <w:rFonts w:hint="eastAsia" w:ascii="宋体" w:hAnsi="宋体" w:cs="宋体"/>
                <w:highlight w:val="none"/>
              </w:rPr>
              <w:t>(4)</w:t>
            </w:r>
          </w:p>
        </w:tc>
        <w:tc>
          <w:tcPr>
            <w:tcW w:w="1173" w:type="dxa"/>
            <w:vMerge w:val="restart"/>
            <w:vAlign w:val="center"/>
          </w:tcPr>
          <w:p>
            <w:pPr>
              <w:spacing w:line="360" w:lineRule="auto"/>
              <w:jc w:val="center"/>
              <w:rPr>
                <w:rFonts w:hint="eastAsia" w:ascii="宋体" w:hAnsi="宋体" w:cs="宋体"/>
                <w:highlight w:val="none"/>
              </w:rPr>
            </w:pPr>
            <w:r>
              <w:rPr>
                <w:rFonts w:hint="eastAsia" w:ascii="宋体" w:hAnsi="宋体" w:cs="宋体"/>
                <w:highlight w:val="none"/>
              </w:rPr>
              <w:t>其他因素</w:t>
            </w:r>
          </w:p>
        </w:tc>
        <w:tc>
          <w:tcPr>
            <w:tcW w:w="919" w:type="dxa"/>
            <w:vMerge w:val="restart"/>
            <w:vAlign w:val="center"/>
          </w:tcPr>
          <w:p>
            <w:pPr>
              <w:spacing w:line="360" w:lineRule="auto"/>
              <w:jc w:val="center"/>
              <w:rPr>
                <w:rFonts w:hint="eastAsia" w:ascii="宋体" w:hAnsi="宋体" w:cs="宋体"/>
                <w:highlight w:val="none"/>
              </w:rPr>
            </w:pPr>
            <w:r>
              <w:rPr>
                <w:rFonts w:hint="eastAsia" w:ascii="宋体" w:hAnsi="宋体" w:cs="宋体"/>
                <w:highlight w:val="none"/>
                <w:u w:val="single"/>
              </w:rPr>
              <w:t>22</w:t>
            </w:r>
            <w:r>
              <w:rPr>
                <w:rFonts w:hint="eastAsia" w:ascii="宋体" w:hAnsi="宋体" w:cs="宋体"/>
                <w:highlight w:val="none"/>
              </w:rPr>
              <w:t>分</w:t>
            </w:r>
          </w:p>
        </w:tc>
        <w:tc>
          <w:tcPr>
            <w:tcW w:w="1204" w:type="dxa"/>
            <w:vAlign w:val="center"/>
          </w:tcPr>
          <w:p>
            <w:pPr>
              <w:spacing w:line="360" w:lineRule="auto"/>
              <w:jc w:val="center"/>
              <w:rPr>
                <w:rFonts w:hint="eastAsia" w:ascii="宋体" w:hAnsi="宋体" w:cs="宋体"/>
                <w:highlight w:val="none"/>
              </w:rPr>
            </w:pPr>
            <w:r>
              <w:rPr>
                <w:rFonts w:hint="eastAsia" w:ascii="宋体" w:hAnsi="宋体" w:cs="宋体"/>
                <w:highlight w:val="none"/>
              </w:rPr>
              <w:t>业绩</w:t>
            </w:r>
          </w:p>
        </w:tc>
        <w:tc>
          <w:tcPr>
            <w:tcW w:w="851" w:type="dxa"/>
            <w:vAlign w:val="center"/>
          </w:tcPr>
          <w:p>
            <w:pPr>
              <w:spacing w:line="360" w:lineRule="auto"/>
              <w:jc w:val="center"/>
              <w:rPr>
                <w:rFonts w:hint="eastAsia" w:ascii="宋体" w:hAnsi="宋体" w:cs="宋体"/>
                <w:highlight w:val="none"/>
              </w:rPr>
            </w:pPr>
            <w:r>
              <w:rPr>
                <w:rFonts w:hint="eastAsia" w:ascii="宋体" w:hAnsi="宋体" w:cs="宋体"/>
                <w:highlight w:val="none"/>
                <w:u w:val="single"/>
              </w:rPr>
              <w:t>15</w:t>
            </w:r>
            <w:r>
              <w:rPr>
                <w:rFonts w:hint="eastAsia" w:ascii="宋体" w:hAnsi="宋体" w:cs="宋体"/>
                <w:highlight w:val="none"/>
              </w:rPr>
              <w:t>分</w:t>
            </w:r>
          </w:p>
        </w:tc>
        <w:tc>
          <w:tcPr>
            <w:tcW w:w="3821" w:type="dxa"/>
          </w:tcPr>
          <w:p>
            <w:pPr>
              <w:spacing w:line="360" w:lineRule="auto"/>
              <w:rPr>
                <w:rFonts w:hint="eastAsia" w:ascii="宋体" w:hAnsi="宋体" w:cs="宋体"/>
                <w:highlight w:val="none"/>
              </w:rPr>
            </w:pPr>
            <w:r>
              <w:rPr>
                <w:rFonts w:hint="eastAsia" w:ascii="宋体" w:hAnsi="宋体" w:cs="宋体"/>
                <w:highlight w:val="none"/>
                <w:u w:val="single"/>
              </w:rPr>
              <w:t>投标人近五年</w:t>
            </w:r>
            <w:r>
              <w:rPr>
                <w:rFonts w:hint="eastAsia" w:ascii="宋体" w:hAnsi="宋体" w:cs="宋体"/>
                <w:highlight w:val="none"/>
              </w:rPr>
              <w:t>完成过类似工程施工监理项目，每具有一项业绩得5分，最多得15分。</w:t>
            </w:r>
          </w:p>
          <w:p>
            <w:pPr>
              <w:spacing w:line="360" w:lineRule="auto"/>
              <w:rPr>
                <w:rFonts w:hint="eastAsia" w:ascii="宋体" w:hAnsi="宋体" w:cs="宋体"/>
                <w:highlight w:val="none"/>
              </w:rPr>
            </w:pPr>
            <w:r>
              <w:rPr>
                <w:rFonts w:hint="eastAsia" w:ascii="宋体" w:hAnsi="宋体" w:cs="宋体"/>
                <w:highlight w:val="none"/>
              </w:rPr>
              <w:t xml:space="preserve">注：1. </w:t>
            </w:r>
            <w:r>
              <w:rPr>
                <w:rFonts w:hint="eastAsia"/>
                <w:color w:val="000000"/>
                <w:spacing w:val="7"/>
                <w:highlight w:val="none"/>
              </w:rPr>
              <w:t>投标人</w:t>
            </w:r>
            <w:r>
              <w:rPr>
                <w:rFonts w:hint="eastAsia" w:ascii="宋体" w:hAnsi="宋体" w:cs="宋体"/>
                <w:highlight w:val="none"/>
              </w:rPr>
              <w:t>应根据招标文件第二章“投标人须知”前附表第3.5.2项的要求提供相关证明材料</w:t>
            </w:r>
            <w:r>
              <w:rPr>
                <w:rFonts w:hint="eastAsia"/>
                <w:color w:val="000000"/>
                <w:spacing w:val="7"/>
                <w:highlight w:val="none"/>
              </w:rPr>
              <w:t>。</w:t>
            </w:r>
          </w:p>
          <w:p>
            <w:pPr>
              <w:spacing w:line="360" w:lineRule="auto"/>
              <w:rPr>
                <w:rFonts w:hint="eastAsia" w:ascii="宋体" w:hAnsi="宋体" w:cs="宋体"/>
                <w:highlight w:val="none"/>
              </w:rPr>
            </w:pPr>
            <w:r>
              <w:rPr>
                <w:rFonts w:hint="eastAsia" w:ascii="宋体" w:hAnsi="宋体" w:cs="宋体"/>
                <w:highlight w:val="none"/>
              </w:rPr>
              <w:t>2. 投标人业绩认定标准与资格审查条件（业绩最低要求）的标准相同。</w:t>
            </w:r>
            <w:r>
              <w:rPr>
                <w:rFonts w:hint="eastAsia"/>
                <w:color w:val="000000"/>
                <w:spacing w:val="7"/>
                <w:highlight w:val="none"/>
              </w:rPr>
              <w:t>“近五年”“完成过”“类似工程”的解释与资格审查条件（业绩最低要求）注中的解释相同。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Merge w:val="continue"/>
            <w:vAlign w:val="center"/>
          </w:tcPr>
          <w:p>
            <w:pPr>
              <w:spacing w:line="360" w:lineRule="auto"/>
              <w:jc w:val="center"/>
              <w:rPr>
                <w:rFonts w:hint="eastAsia" w:ascii="宋体" w:hAnsi="宋体" w:cs="宋体"/>
                <w:highlight w:val="none"/>
              </w:rPr>
            </w:pPr>
          </w:p>
        </w:tc>
        <w:tc>
          <w:tcPr>
            <w:tcW w:w="1173" w:type="dxa"/>
            <w:vMerge w:val="continue"/>
            <w:vAlign w:val="center"/>
          </w:tcPr>
          <w:p>
            <w:pPr>
              <w:spacing w:line="360" w:lineRule="auto"/>
              <w:jc w:val="center"/>
              <w:rPr>
                <w:rFonts w:hint="eastAsia" w:ascii="宋体" w:hAnsi="宋体" w:cs="宋体"/>
                <w:highlight w:val="none"/>
              </w:rPr>
            </w:pPr>
          </w:p>
        </w:tc>
        <w:tc>
          <w:tcPr>
            <w:tcW w:w="919" w:type="dxa"/>
            <w:vMerge w:val="continue"/>
            <w:vAlign w:val="center"/>
          </w:tcPr>
          <w:p>
            <w:pPr>
              <w:spacing w:line="360" w:lineRule="auto"/>
              <w:jc w:val="center"/>
              <w:rPr>
                <w:rFonts w:hint="eastAsia" w:ascii="宋体" w:hAnsi="宋体" w:cs="宋体"/>
                <w:highlight w:val="none"/>
                <w:u w:val="single"/>
              </w:rPr>
            </w:pPr>
          </w:p>
        </w:tc>
        <w:tc>
          <w:tcPr>
            <w:tcW w:w="1204" w:type="dxa"/>
            <w:vAlign w:val="center"/>
          </w:tcPr>
          <w:p>
            <w:pPr>
              <w:spacing w:line="360" w:lineRule="auto"/>
              <w:jc w:val="center"/>
              <w:rPr>
                <w:rFonts w:hint="eastAsia" w:ascii="宋体" w:hAnsi="宋体" w:cs="宋体"/>
                <w:highlight w:val="none"/>
              </w:rPr>
            </w:pPr>
            <w:r>
              <w:rPr>
                <w:rFonts w:hint="eastAsia" w:ascii="宋体" w:hAnsi="宋体" w:cs="宋体"/>
                <w:highlight w:val="none"/>
              </w:rPr>
              <w:t>履约信誉</w:t>
            </w:r>
          </w:p>
        </w:tc>
        <w:tc>
          <w:tcPr>
            <w:tcW w:w="851" w:type="dxa"/>
            <w:vAlign w:val="center"/>
          </w:tcPr>
          <w:p>
            <w:pPr>
              <w:spacing w:line="360" w:lineRule="auto"/>
              <w:jc w:val="center"/>
              <w:rPr>
                <w:rFonts w:hint="eastAsia" w:ascii="宋体" w:hAnsi="宋体" w:cs="宋体"/>
                <w:highlight w:val="none"/>
              </w:rPr>
            </w:pPr>
            <w:r>
              <w:rPr>
                <w:rFonts w:hint="eastAsia" w:ascii="宋体" w:hAnsi="宋体" w:cs="宋体"/>
                <w:highlight w:val="none"/>
                <w:u w:val="single"/>
              </w:rPr>
              <w:t>5</w:t>
            </w:r>
            <w:r>
              <w:rPr>
                <w:rFonts w:hint="eastAsia" w:ascii="宋体" w:hAnsi="宋体" w:cs="宋体"/>
                <w:highlight w:val="none"/>
              </w:rPr>
              <w:t>分</w:t>
            </w:r>
          </w:p>
        </w:tc>
        <w:tc>
          <w:tcPr>
            <w:tcW w:w="3821" w:type="dxa"/>
          </w:tcPr>
          <w:p>
            <w:pPr>
              <w:spacing w:line="360" w:lineRule="auto"/>
              <w:rPr>
                <w:rFonts w:ascii="宋体" w:hAnsi="Courier New"/>
                <w:szCs w:val="20"/>
                <w:highlight w:val="none"/>
              </w:rPr>
            </w:pPr>
            <w:r>
              <w:rPr>
                <w:rFonts w:hint="eastAsia" w:ascii="宋体" w:hAnsi="Courier New"/>
                <w:szCs w:val="20"/>
                <w:highlight w:val="none"/>
              </w:rPr>
              <w:t>1. 信用等级分值（5分）</w:t>
            </w:r>
          </w:p>
          <w:p>
            <w:pPr>
              <w:spacing w:line="360" w:lineRule="auto"/>
              <w:rPr>
                <w:rFonts w:ascii="宋体" w:hAnsi="Courier New"/>
                <w:szCs w:val="20"/>
                <w:highlight w:val="none"/>
              </w:rPr>
            </w:pPr>
            <w:r>
              <w:rPr>
                <w:rFonts w:hint="eastAsia" w:ascii="宋体" w:hAnsi="Courier New"/>
                <w:szCs w:val="20"/>
                <w:highlight w:val="none"/>
              </w:rPr>
              <w:t>AA、A、B、C级单位的信用等级得分分别为5.00、4.75、4.45、3.65分。</w:t>
            </w:r>
          </w:p>
          <w:p>
            <w:pPr>
              <w:spacing w:line="360" w:lineRule="auto"/>
              <w:rPr>
                <w:rFonts w:ascii="宋体" w:hAnsi="Courier New"/>
                <w:szCs w:val="20"/>
                <w:highlight w:val="none"/>
              </w:rPr>
            </w:pPr>
            <w:r>
              <w:rPr>
                <w:rFonts w:hint="eastAsia" w:ascii="宋体" w:hAnsi="Courier New"/>
                <w:szCs w:val="20"/>
                <w:highlight w:val="none"/>
              </w:rPr>
              <w:t>注：信用等级的确定原则遵循投标人须知前附表10.2款的规定。</w:t>
            </w:r>
          </w:p>
          <w:p>
            <w:pPr>
              <w:spacing w:line="360" w:lineRule="auto"/>
              <w:rPr>
                <w:rFonts w:ascii="宋体" w:hAnsi="Courier New"/>
                <w:szCs w:val="20"/>
                <w:highlight w:val="none"/>
              </w:rPr>
            </w:pPr>
            <w:r>
              <w:rPr>
                <w:rFonts w:hint="eastAsia" w:ascii="宋体" w:hAnsi="Courier New"/>
                <w:szCs w:val="20"/>
                <w:highlight w:val="none"/>
              </w:rPr>
              <w:t>2. 履约情况（扣分项）</w:t>
            </w:r>
          </w:p>
          <w:p>
            <w:pPr>
              <w:pStyle w:val="8"/>
              <w:adjustRightInd w:val="0"/>
              <w:snapToGrid w:val="0"/>
              <w:spacing w:line="360" w:lineRule="auto"/>
              <w:ind w:left="105" w:leftChars="50" w:right="105" w:rightChars="50" w:firstLine="8" w:firstLineChars="4"/>
              <w:rPr>
                <w:highlight w:val="none"/>
              </w:rPr>
            </w:pPr>
            <w:r>
              <w:rPr>
                <w:rFonts w:hint="eastAsia"/>
                <w:highlight w:val="none"/>
              </w:rPr>
              <w:t>投标文件递交截止日前1年内，投标人因水运工程（含附属设施）质量、安全、履约或招标投标问题等原因被：</w:t>
            </w:r>
          </w:p>
          <w:p>
            <w:pPr>
              <w:pStyle w:val="8"/>
              <w:adjustRightInd w:val="0"/>
              <w:snapToGrid w:val="0"/>
              <w:spacing w:line="360" w:lineRule="auto"/>
              <w:ind w:firstLine="8" w:firstLineChars="4"/>
              <w:rPr>
                <w:highlight w:val="none"/>
              </w:rPr>
            </w:pPr>
            <w:r>
              <w:rPr>
                <w:rFonts w:hint="eastAsia"/>
                <w:highlight w:val="none"/>
              </w:rPr>
              <w:t>（1）交通运输部行政处罚的，扣5分/次。</w:t>
            </w:r>
          </w:p>
          <w:p>
            <w:pPr>
              <w:pStyle w:val="8"/>
              <w:adjustRightInd w:val="0"/>
              <w:snapToGrid w:val="0"/>
              <w:spacing w:line="360" w:lineRule="auto"/>
              <w:ind w:firstLine="8" w:firstLineChars="4"/>
              <w:rPr>
                <w:highlight w:val="none"/>
              </w:rPr>
            </w:pPr>
            <w:r>
              <w:rPr>
                <w:rFonts w:hint="eastAsia"/>
                <w:highlight w:val="none"/>
              </w:rPr>
              <w:t>（2）广东省交通运输厅行政处罚的，扣3分/次。</w:t>
            </w:r>
          </w:p>
          <w:p>
            <w:pPr>
              <w:pStyle w:val="8"/>
              <w:adjustRightInd w:val="0"/>
              <w:snapToGrid w:val="0"/>
              <w:spacing w:line="360" w:lineRule="auto"/>
              <w:ind w:firstLine="8" w:firstLineChars="4"/>
              <w:rPr>
                <w:highlight w:val="none"/>
              </w:rPr>
            </w:pPr>
            <w:r>
              <w:rPr>
                <w:rFonts w:hint="eastAsia"/>
                <w:highlight w:val="none"/>
              </w:rPr>
              <w:t>（3）项目所在地地级以上市交通运输局行政处罚的，扣1.5分/次。</w:t>
            </w:r>
          </w:p>
          <w:p>
            <w:pPr>
              <w:pStyle w:val="8"/>
              <w:adjustRightInd w:val="0"/>
              <w:snapToGrid w:val="0"/>
              <w:spacing w:line="360" w:lineRule="auto"/>
              <w:ind w:firstLine="8" w:firstLineChars="4"/>
              <w:rPr>
                <w:highlight w:val="none"/>
              </w:rPr>
            </w:pPr>
            <w:r>
              <w:rPr>
                <w:rFonts w:hint="eastAsia"/>
                <w:highlight w:val="none"/>
              </w:rPr>
              <w:t>（4）广东省交通运输厅正式约谈的，扣0.1分/次。</w:t>
            </w:r>
          </w:p>
          <w:p>
            <w:pPr>
              <w:pStyle w:val="8"/>
              <w:adjustRightInd w:val="0"/>
              <w:snapToGrid w:val="0"/>
              <w:spacing w:line="360" w:lineRule="auto"/>
              <w:ind w:left="105" w:leftChars="50" w:right="105" w:rightChars="50" w:firstLine="8" w:firstLineChars="4"/>
              <w:rPr>
                <w:highlight w:val="none"/>
              </w:rPr>
            </w:pPr>
            <w:r>
              <w:rPr>
                <w:rFonts w:hint="eastAsia"/>
                <w:highlight w:val="none"/>
              </w:rPr>
              <w:t>注：①同一事项同时被多个部门行政处罚或正式约谈只按最高的扣分计算1次。最多可扣至“履约信誉”项总分为0分（即因履约情况扣分导致本项最终得分为0分）。</w:t>
            </w:r>
          </w:p>
          <w:p>
            <w:pPr>
              <w:pStyle w:val="9"/>
              <w:spacing w:line="360" w:lineRule="auto"/>
              <w:rPr>
                <w:rFonts w:hAnsi="Courier New" w:eastAsia="宋体" w:cs="Times New Roman"/>
                <w:kern w:val="2"/>
                <w:sz w:val="21"/>
                <w:szCs w:val="20"/>
                <w:highlight w:val="none"/>
              </w:rPr>
            </w:pPr>
            <w:r>
              <w:rPr>
                <w:rFonts w:hint="eastAsia" w:hAnsi="Courier New" w:eastAsia="宋体" w:cs="Times New Roman"/>
                <w:color w:val="auto"/>
                <w:kern w:val="2"/>
                <w:sz w:val="21"/>
                <w:szCs w:val="20"/>
                <w:highlight w:val="none"/>
              </w:rPr>
              <w:t>②“履约信誉”项的最终得分 = 信用等级分值 - 履约情况对应扣分值（若扣分值超过信用等级分值，则最终得分按0分计）。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23" w:type="dxa"/>
            <w:vMerge w:val="continue"/>
            <w:vAlign w:val="center"/>
          </w:tcPr>
          <w:p>
            <w:pPr>
              <w:spacing w:line="360" w:lineRule="auto"/>
              <w:jc w:val="center"/>
              <w:rPr>
                <w:rFonts w:hint="eastAsia" w:ascii="宋体" w:hAnsi="宋体" w:cs="宋体"/>
                <w:highlight w:val="none"/>
              </w:rPr>
            </w:pPr>
          </w:p>
        </w:tc>
        <w:tc>
          <w:tcPr>
            <w:tcW w:w="1173" w:type="dxa"/>
            <w:vMerge w:val="continue"/>
            <w:vAlign w:val="center"/>
          </w:tcPr>
          <w:p>
            <w:pPr>
              <w:spacing w:line="360" w:lineRule="auto"/>
              <w:jc w:val="center"/>
              <w:rPr>
                <w:rFonts w:hint="eastAsia" w:ascii="宋体" w:hAnsi="宋体" w:cs="宋体"/>
                <w:highlight w:val="none"/>
              </w:rPr>
            </w:pPr>
          </w:p>
        </w:tc>
        <w:tc>
          <w:tcPr>
            <w:tcW w:w="919" w:type="dxa"/>
            <w:vMerge w:val="continue"/>
            <w:vAlign w:val="center"/>
          </w:tcPr>
          <w:p>
            <w:pPr>
              <w:spacing w:line="360" w:lineRule="auto"/>
              <w:jc w:val="center"/>
              <w:rPr>
                <w:rFonts w:hint="eastAsia" w:ascii="宋体" w:hAnsi="宋体" w:cs="宋体"/>
                <w:highlight w:val="none"/>
                <w:u w:val="single"/>
              </w:rPr>
            </w:pPr>
          </w:p>
        </w:tc>
        <w:tc>
          <w:tcPr>
            <w:tcW w:w="1204" w:type="dxa"/>
            <w:vAlign w:val="center"/>
          </w:tcPr>
          <w:p>
            <w:pPr>
              <w:spacing w:line="360" w:lineRule="auto"/>
              <w:jc w:val="center"/>
              <w:rPr>
                <w:rFonts w:hint="eastAsia" w:ascii="宋体" w:hAnsi="宋体" w:cs="宋体"/>
                <w:highlight w:val="none"/>
              </w:rPr>
            </w:pPr>
            <w:r>
              <w:rPr>
                <w:rFonts w:hint="eastAsia" w:ascii="宋体" w:hAnsi="宋体" w:cs="宋体"/>
                <w:highlight w:val="none"/>
                <w:u w:val="single"/>
              </w:rPr>
              <w:t>企业综合能力</w:t>
            </w:r>
          </w:p>
        </w:tc>
        <w:tc>
          <w:tcPr>
            <w:tcW w:w="851" w:type="dxa"/>
            <w:vAlign w:val="center"/>
          </w:tcPr>
          <w:p>
            <w:pPr>
              <w:spacing w:line="360" w:lineRule="auto"/>
              <w:jc w:val="center"/>
              <w:rPr>
                <w:rFonts w:hint="eastAsia" w:ascii="宋体" w:hAnsi="宋体" w:cs="宋体"/>
                <w:highlight w:val="none"/>
                <w:u w:val="single"/>
              </w:rPr>
            </w:pPr>
            <w:r>
              <w:rPr>
                <w:rFonts w:hint="eastAsia" w:ascii="宋体" w:hAnsi="宋体" w:cs="宋体"/>
                <w:highlight w:val="none"/>
                <w:u w:val="single"/>
              </w:rPr>
              <w:t>2</w:t>
            </w:r>
            <w:r>
              <w:rPr>
                <w:rFonts w:hint="eastAsia" w:ascii="宋体" w:hAnsi="宋体" w:cs="宋体"/>
                <w:highlight w:val="none"/>
              </w:rPr>
              <w:t>分</w:t>
            </w:r>
          </w:p>
        </w:tc>
        <w:tc>
          <w:tcPr>
            <w:tcW w:w="3821" w:type="dxa"/>
          </w:tcPr>
          <w:p>
            <w:pPr>
              <w:pStyle w:val="8"/>
              <w:spacing w:line="360" w:lineRule="auto"/>
              <w:rPr>
                <w:rFonts w:hint="eastAsia" w:hAnsi="宋体" w:cs="宋体"/>
                <w:szCs w:val="21"/>
                <w:highlight w:val="none"/>
              </w:rPr>
            </w:pPr>
            <w:r>
              <w:rPr>
                <w:rFonts w:hint="eastAsia" w:hAnsi="宋体" w:cs="宋体"/>
                <w:szCs w:val="21"/>
                <w:highlight w:val="none"/>
              </w:rPr>
              <w:t>投标人自2020年至今获得由税务部门颁发的A级纳税人称号的，每获得1次得0.5分，最高得2分。</w:t>
            </w:r>
          </w:p>
          <w:p>
            <w:pPr>
              <w:spacing w:line="360" w:lineRule="auto"/>
              <w:jc w:val="left"/>
              <w:rPr>
                <w:rFonts w:hint="eastAsia" w:ascii="宋体" w:hAnsi="宋体" w:cs="宋体"/>
                <w:highlight w:val="none"/>
              </w:rPr>
            </w:pPr>
            <w:r>
              <w:rPr>
                <w:rFonts w:hint="eastAsia" w:ascii="宋体" w:hAnsi="宋体" w:cs="宋体"/>
                <w:highlight w:val="none"/>
              </w:rPr>
              <w:t>注：</w:t>
            </w:r>
            <w:r>
              <w:rPr>
                <w:rFonts w:hint="eastAsia"/>
                <w:highlight w:val="none"/>
              </w:rPr>
              <w:t>“纳税信用等级”以国家税务总局网站“纳税信用A级纳税人名单公布栏”查询结果为准，须提交国家税务总局网站“纳税信用A级纳税人名单公布栏(http://hd.chinatax.gov.cn/nszx/InitCredit.html)”查询结果(查询结果不包括子公司)的网页截图和税务机关颁发的证书扫描件并加盖投标人企业电子印章，不符合条件或无提供查询结果网页截图或无提供证书扫描件或无加盖投标人企业电子印章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23" w:type="dxa"/>
            <w:vAlign w:val="center"/>
          </w:tcPr>
          <w:p>
            <w:pPr>
              <w:spacing w:line="360" w:lineRule="auto"/>
              <w:jc w:val="center"/>
              <w:rPr>
                <w:rFonts w:hint="eastAsia" w:ascii="宋体" w:hAnsi="宋体" w:cs="宋体"/>
                <w:highlight w:val="none"/>
              </w:rPr>
            </w:pPr>
          </w:p>
        </w:tc>
        <w:tc>
          <w:tcPr>
            <w:tcW w:w="1173" w:type="dxa"/>
            <w:vAlign w:val="center"/>
          </w:tcPr>
          <w:p>
            <w:pPr>
              <w:spacing w:line="360" w:lineRule="auto"/>
              <w:jc w:val="center"/>
              <w:rPr>
                <w:rFonts w:hint="eastAsia" w:ascii="宋体" w:hAnsi="宋体" w:cs="宋体"/>
                <w:highlight w:val="none"/>
              </w:rPr>
            </w:pPr>
          </w:p>
        </w:tc>
        <w:tc>
          <w:tcPr>
            <w:tcW w:w="919" w:type="dxa"/>
            <w:vAlign w:val="center"/>
          </w:tcPr>
          <w:p>
            <w:pPr>
              <w:spacing w:line="360" w:lineRule="auto"/>
              <w:jc w:val="center"/>
              <w:rPr>
                <w:rFonts w:hint="eastAsia" w:ascii="宋体" w:hAnsi="宋体" w:cs="宋体"/>
                <w:highlight w:val="none"/>
                <w:u w:val="single"/>
              </w:rPr>
            </w:pPr>
          </w:p>
        </w:tc>
        <w:tc>
          <w:tcPr>
            <w:tcW w:w="1204" w:type="dxa"/>
            <w:vAlign w:val="center"/>
          </w:tcPr>
          <w:p>
            <w:pPr>
              <w:spacing w:line="360" w:lineRule="auto"/>
              <w:jc w:val="center"/>
              <w:rPr>
                <w:rFonts w:hint="eastAsia" w:ascii="宋体" w:hAnsi="宋体" w:cs="宋体"/>
                <w:highlight w:val="none"/>
                <w:u w:val="single"/>
              </w:rPr>
            </w:pPr>
          </w:p>
        </w:tc>
        <w:tc>
          <w:tcPr>
            <w:tcW w:w="851" w:type="dxa"/>
            <w:vAlign w:val="center"/>
          </w:tcPr>
          <w:p>
            <w:pPr>
              <w:spacing w:line="360" w:lineRule="auto"/>
              <w:jc w:val="center"/>
              <w:rPr>
                <w:rFonts w:hint="eastAsia" w:ascii="宋体" w:hAnsi="宋体" w:cs="宋体"/>
                <w:highlight w:val="none"/>
                <w:u w:val="single"/>
              </w:rPr>
            </w:pPr>
          </w:p>
        </w:tc>
        <w:tc>
          <w:tcPr>
            <w:tcW w:w="3821" w:type="dxa"/>
          </w:tcPr>
          <w:p>
            <w:pPr>
              <w:spacing w:line="360" w:lineRule="auto"/>
              <w:jc w:val="left"/>
              <w:rPr>
                <w:rFonts w:hint="eastAsia" w:ascii="宋体" w:hAnsi="宋体" w:cs="宋体"/>
                <w:highlight w:val="none"/>
              </w:rPr>
            </w:pPr>
          </w:p>
        </w:tc>
      </w:tr>
    </w:tbl>
    <w:p>
      <w:pPr>
        <w:spacing w:line="360" w:lineRule="auto"/>
        <w:rPr>
          <w:rFonts w:hint="eastAsia" w:ascii="宋体" w:hAnsi="宋体"/>
          <w:vanish/>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2"/>
          </w:tcPr>
          <w:p>
            <w:pPr>
              <w:widowControl/>
              <w:spacing w:line="360" w:lineRule="auto"/>
              <w:jc w:val="left"/>
              <w:rPr>
                <w:rFonts w:hint="eastAsia" w:ascii="宋体" w:hAnsi="宋体" w:cs="宋体"/>
                <w:b/>
                <w:bCs/>
                <w:highlight w:val="none"/>
              </w:rPr>
            </w:pPr>
            <w:r>
              <w:rPr>
                <w:rFonts w:hint="eastAsia" w:ascii="宋体" w:hAnsi="宋体" w:cs="宋体"/>
                <w:b/>
                <w:bCs/>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33" w:type="dxa"/>
            <w:vAlign w:val="center"/>
          </w:tcPr>
          <w:p>
            <w:pPr>
              <w:widowControl/>
              <w:spacing w:line="360" w:lineRule="auto"/>
              <w:jc w:val="center"/>
              <w:rPr>
                <w:rFonts w:hint="eastAsia" w:ascii="宋体" w:hAnsi="宋体" w:cs="宋体"/>
                <w:highlight w:val="none"/>
              </w:rPr>
            </w:pPr>
            <w:r>
              <w:rPr>
                <w:rFonts w:hint="eastAsia" w:ascii="宋体" w:hAnsi="宋体" w:cs="宋体"/>
                <w:highlight w:val="none"/>
              </w:rPr>
              <w:t>条款号</w:t>
            </w:r>
          </w:p>
        </w:tc>
        <w:tc>
          <w:tcPr>
            <w:tcW w:w="7658" w:type="dxa"/>
            <w:vAlign w:val="center"/>
          </w:tcPr>
          <w:p>
            <w:pPr>
              <w:widowControl/>
              <w:spacing w:line="360" w:lineRule="auto"/>
              <w:jc w:val="center"/>
              <w:rPr>
                <w:rFonts w:hint="eastAsia" w:ascii="宋体" w:hAnsi="宋体" w:cs="宋体"/>
                <w:highlight w:val="none"/>
              </w:rPr>
            </w:pPr>
            <w:r>
              <w:rPr>
                <w:rFonts w:hint="eastAsia" w:ascii="宋体" w:hAnsi="宋体" w:cs="宋体"/>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center"/>
          </w:tcPr>
          <w:p>
            <w:pPr>
              <w:spacing w:line="360" w:lineRule="auto"/>
              <w:jc w:val="center"/>
              <w:rPr>
                <w:rFonts w:hint="eastAsia" w:ascii="宋体" w:hAnsi="宋体" w:cs="宋体"/>
                <w:highlight w:val="none"/>
              </w:rPr>
            </w:pPr>
            <w:r>
              <w:rPr>
                <w:rFonts w:hint="eastAsia" w:ascii="宋体" w:hAnsi="宋体" w:cs="宋体"/>
                <w:highlight w:val="none"/>
              </w:rPr>
              <w:t>3.2.2</w:t>
            </w:r>
          </w:p>
        </w:tc>
        <w:tc>
          <w:tcPr>
            <w:tcW w:w="7658" w:type="dxa"/>
            <w:vAlign w:val="center"/>
          </w:tcPr>
          <w:p>
            <w:pPr>
              <w:spacing w:line="360" w:lineRule="auto"/>
              <w:rPr>
                <w:rFonts w:hint="eastAsia" w:ascii="宋体" w:hAnsi="宋体" w:cs="宋体"/>
                <w:highlight w:val="none"/>
              </w:rPr>
            </w:pPr>
            <w:r>
              <w:rPr>
                <w:rFonts w:hint="eastAsia" w:ascii="宋体" w:hAnsi="宋体" w:cs="宋体"/>
                <w:highlight w:val="none"/>
              </w:rPr>
              <w:t>将评标办法原文第3.2.2项修改如下：</w:t>
            </w:r>
          </w:p>
          <w:p>
            <w:pPr>
              <w:spacing w:line="360" w:lineRule="auto"/>
              <w:rPr>
                <w:rFonts w:hint="eastAsia" w:ascii="宋体" w:hAnsi="宋体" w:cs="宋体"/>
                <w:highlight w:val="none"/>
              </w:rPr>
            </w:pPr>
            <w:r>
              <w:rPr>
                <w:rFonts w:hint="eastAsia" w:ascii="宋体" w:hAnsi="宋体" w:cs="宋体"/>
                <w:highlight w:val="none"/>
              </w:rPr>
              <w:t>投标人的商务和技术得分分值计算保留小数点后两位，小数点后第三位“四舍五入”。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center"/>
          </w:tcPr>
          <w:p>
            <w:pPr>
              <w:spacing w:line="360" w:lineRule="auto"/>
              <w:jc w:val="center"/>
              <w:rPr>
                <w:rFonts w:hint="eastAsia" w:ascii="宋体" w:hAnsi="宋体" w:cs="宋体"/>
                <w:highlight w:val="none"/>
              </w:rPr>
            </w:pPr>
            <w:r>
              <w:rPr>
                <w:rFonts w:hint="eastAsia" w:ascii="宋体" w:hAnsi="宋体" w:cs="宋体"/>
                <w:highlight w:val="none"/>
              </w:rPr>
              <w:t>3.2.3</w:t>
            </w:r>
          </w:p>
        </w:tc>
        <w:tc>
          <w:tcPr>
            <w:tcW w:w="7658" w:type="dxa"/>
            <w:vAlign w:val="center"/>
          </w:tcPr>
          <w:p>
            <w:pPr>
              <w:autoSpaceDE w:val="0"/>
              <w:autoSpaceDN w:val="0"/>
              <w:adjustRightInd w:val="0"/>
              <w:spacing w:line="360" w:lineRule="auto"/>
              <w:ind w:firstLine="420"/>
              <w:rPr>
                <w:rFonts w:hint="eastAsia" w:ascii="宋体" w:hAnsi="宋体" w:cs="宋体"/>
                <w:highlight w:val="none"/>
              </w:rPr>
            </w:pPr>
            <w:r>
              <w:rPr>
                <w:rFonts w:hint="eastAsia" w:ascii="宋体" w:hAnsi="宋体" w:cs="宋体"/>
                <w:highlight w:val="none"/>
              </w:rPr>
              <w:t>将评标办法范本原文第3.2.3项细化如下：</w:t>
            </w:r>
          </w:p>
          <w:p>
            <w:pPr>
              <w:autoSpaceDE w:val="0"/>
              <w:autoSpaceDN w:val="0"/>
              <w:adjustRightInd w:val="0"/>
              <w:spacing w:line="360" w:lineRule="auto"/>
              <w:ind w:firstLine="420"/>
              <w:rPr>
                <w:rFonts w:hint="eastAsia" w:ascii="宋体" w:hAnsi="宋体" w:cs="宋体"/>
                <w:highlight w:val="none"/>
              </w:rPr>
            </w:pPr>
            <w:r>
              <w:rPr>
                <w:rFonts w:hint="eastAsia" w:ascii="宋体" w:hAnsi="宋体" w:cs="宋体"/>
                <w:highlight w:val="none"/>
              </w:rPr>
              <w:t>投标人的商务和技术得分=A+B+D。</w:t>
            </w:r>
          </w:p>
          <w:p>
            <w:pPr>
              <w:autoSpaceDE w:val="0"/>
              <w:autoSpaceDN w:val="0"/>
              <w:adjustRightInd w:val="0"/>
              <w:spacing w:line="360" w:lineRule="auto"/>
              <w:ind w:firstLine="420"/>
              <w:rPr>
                <w:rFonts w:hint="eastAsia" w:ascii="宋体" w:hAnsi="宋体" w:cs="宋体"/>
                <w:highlight w:val="none"/>
              </w:rPr>
            </w:pPr>
            <w:r>
              <w:rPr>
                <w:rFonts w:hint="eastAsia" w:ascii="宋体" w:hAnsi="宋体" w:cs="宋体"/>
                <w:b/>
                <w:bCs/>
                <w:highlight w:val="none"/>
              </w:rPr>
              <w:t>投标文件评分因素</w:t>
            </w:r>
            <w:r>
              <w:rPr>
                <w:rFonts w:hint="eastAsia" w:ascii="宋体" w:hAnsi="宋体" w:cs="宋体"/>
                <w:b/>
                <w:bCs/>
                <w:highlight w:val="none"/>
                <w:u w:val="single"/>
              </w:rPr>
              <w:t>（监理大纲）</w:t>
            </w:r>
            <w:r>
              <w:rPr>
                <w:rFonts w:hint="eastAsia" w:ascii="宋体" w:hAnsi="宋体" w:cs="宋体"/>
                <w:b/>
                <w:bCs/>
                <w:highlight w:val="none"/>
              </w:rPr>
              <w:t>细分项得分均不应低于其权重分的60%，评分低于权重分值60%的，评标委员会成员应当在评标报告中作出说明。</w:t>
            </w:r>
          </w:p>
          <w:p>
            <w:pPr>
              <w:autoSpaceDE w:val="0"/>
              <w:autoSpaceDN w:val="0"/>
              <w:adjustRightInd w:val="0"/>
              <w:spacing w:line="360" w:lineRule="auto"/>
              <w:ind w:firstLine="420"/>
              <w:rPr>
                <w:rFonts w:hint="eastAsia" w:ascii="宋体" w:hAnsi="宋体" w:cs="宋体"/>
                <w:highlight w:val="none"/>
              </w:rPr>
            </w:pPr>
            <w:r>
              <w:rPr>
                <w:rFonts w:hint="eastAsia" w:ascii="宋体" w:hAnsi="宋体" w:cs="宋体"/>
                <w:highlight w:val="none"/>
              </w:rPr>
              <w:t>计算投标人技术得分时:各评分因素细分项中取消一个最高、一个最低分后计算算术平均值的和为投标人的最终技术得分，平均值计算保留小数点后两位，小数点后第三位“ 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center"/>
          </w:tcPr>
          <w:p>
            <w:pPr>
              <w:widowControl/>
              <w:spacing w:before="240" w:after="240" w:line="360" w:lineRule="auto"/>
              <w:jc w:val="center"/>
              <w:rPr>
                <w:rFonts w:hint="eastAsia" w:ascii="宋体" w:hAnsi="宋体" w:cs="宋体"/>
                <w:highlight w:val="none"/>
              </w:rPr>
            </w:pPr>
            <w:r>
              <w:rPr>
                <w:rFonts w:hint="eastAsia" w:ascii="宋体" w:hAnsi="宋体" w:cs="宋体"/>
                <w:highlight w:val="none"/>
              </w:rPr>
              <w:t>3.9</w:t>
            </w:r>
          </w:p>
        </w:tc>
        <w:tc>
          <w:tcPr>
            <w:tcW w:w="7658" w:type="dxa"/>
          </w:tcPr>
          <w:p>
            <w:pPr>
              <w:spacing w:line="360" w:lineRule="auto"/>
              <w:ind w:firstLine="378" w:firstLineChars="180"/>
              <w:rPr>
                <w:rFonts w:hint="eastAsia" w:ascii="宋体" w:hAnsi="宋体" w:cs="宋体"/>
                <w:highlight w:val="none"/>
              </w:rPr>
            </w:pPr>
            <w:r>
              <w:rPr>
                <w:rFonts w:hint="eastAsia" w:ascii="宋体" w:hAnsi="宋体" w:cs="宋体"/>
                <w:highlight w:val="none"/>
              </w:rPr>
              <w:t>增加3.9.3、3.9.4、3.9.5、3.9.</w:t>
            </w:r>
            <w:r>
              <w:rPr>
                <w:rFonts w:ascii="宋体" w:hAnsi="宋体" w:cs="宋体"/>
                <w:highlight w:val="none"/>
              </w:rPr>
              <w:t>6</w:t>
            </w:r>
            <w:r>
              <w:rPr>
                <w:rFonts w:hint="eastAsia" w:ascii="宋体" w:hAnsi="宋体" w:cs="宋体"/>
                <w:highlight w:val="none"/>
              </w:rPr>
              <w:t>项：</w:t>
            </w:r>
          </w:p>
          <w:p>
            <w:pPr>
              <w:spacing w:line="360" w:lineRule="auto"/>
              <w:ind w:firstLine="378" w:firstLineChars="180"/>
              <w:rPr>
                <w:rFonts w:hint="eastAsia" w:ascii="宋体" w:hAnsi="宋体" w:cs="宋体"/>
                <w:highlight w:val="none"/>
              </w:rPr>
            </w:pPr>
            <w:r>
              <w:rPr>
                <w:rFonts w:hint="eastAsia" w:ascii="宋体" w:hAnsi="宋体" w:cs="宋体"/>
                <w:highlight w:val="none"/>
              </w:rPr>
              <w:t>3.9.3通过第一个信封商务和技术文件评审的投标人少于3个的，评标委员会</w:t>
            </w:r>
            <w:r>
              <w:rPr>
                <w:rFonts w:hint="eastAsia" w:ascii="宋体" w:hAnsi="宋体" w:cs="宋体"/>
                <w:highlight w:val="none"/>
                <w:lang w:val="en-US" w:eastAsia="zh-CN"/>
              </w:rPr>
              <w:t>应</w:t>
            </w:r>
            <w:r>
              <w:rPr>
                <w:rFonts w:hint="eastAsia" w:ascii="宋体" w:hAnsi="宋体" w:cs="宋体"/>
                <w:highlight w:val="none"/>
              </w:rPr>
              <w:t>否决全部投标。</w:t>
            </w:r>
          </w:p>
          <w:p>
            <w:pPr>
              <w:spacing w:line="360" w:lineRule="auto"/>
              <w:ind w:firstLine="378" w:firstLineChars="180"/>
              <w:rPr>
                <w:rFonts w:hint="eastAsia" w:ascii="宋体" w:hAnsi="宋体" w:cs="宋体"/>
                <w:highlight w:val="none"/>
              </w:rPr>
            </w:pPr>
            <w:r>
              <w:rPr>
                <w:rFonts w:hint="eastAsia" w:ascii="宋体" w:hAnsi="宋体" w:cs="宋体"/>
                <w:highlight w:val="none"/>
              </w:rPr>
              <w:t>3.9.4通过第一个信封商务和技术文件评审的投标人在3个及以上的，招标人应当按照招标文件规定的程序进行第二个信封报价文件开标；在对报价文件进行评审后，有效投标不足3个的，评标委员会</w:t>
            </w:r>
            <w:r>
              <w:rPr>
                <w:rFonts w:hint="eastAsia" w:ascii="宋体" w:hAnsi="宋体" w:cs="宋体"/>
                <w:highlight w:val="none"/>
                <w:lang w:val="en-US" w:eastAsia="zh-CN"/>
              </w:rPr>
              <w:t>应</w:t>
            </w:r>
            <w:r>
              <w:rPr>
                <w:rFonts w:hint="eastAsia" w:ascii="宋体" w:hAnsi="宋体" w:cs="宋体"/>
                <w:highlight w:val="none"/>
              </w:rPr>
              <w:t>否决全部投标。</w:t>
            </w:r>
          </w:p>
          <w:p>
            <w:pPr>
              <w:spacing w:line="360" w:lineRule="auto"/>
              <w:ind w:firstLine="378" w:firstLineChars="180"/>
              <w:rPr>
                <w:rFonts w:hint="eastAsia" w:ascii="宋体" w:hAnsi="宋体" w:cs="宋体"/>
                <w:highlight w:val="none"/>
              </w:rPr>
            </w:pPr>
            <w:r>
              <w:rPr>
                <w:rFonts w:hint="eastAsia" w:ascii="宋体" w:hAnsi="宋体" w:cs="宋体"/>
                <w:highlight w:val="none"/>
              </w:rPr>
              <w:t>3.9.5如果发生无法确定推荐中标候选人的其它意外情况，评标委员会可建议招标人重新招标。</w:t>
            </w:r>
          </w:p>
          <w:p>
            <w:pPr>
              <w:spacing w:line="360" w:lineRule="auto"/>
              <w:ind w:right="124" w:rightChars="59" w:firstLine="440" w:firstLineChars="200"/>
              <w:rPr>
                <w:rFonts w:hint="eastAsia" w:ascii="宋体" w:hAnsi="宋体"/>
                <w:sz w:val="22"/>
                <w:szCs w:val="22"/>
                <w:highlight w:val="none"/>
              </w:rPr>
            </w:pPr>
            <w:r>
              <w:rPr>
                <w:rFonts w:hint="eastAsia" w:ascii="宋体" w:hAnsi="宋体"/>
                <w:sz w:val="22"/>
                <w:szCs w:val="22"/>
                <w:highlight w:val="none"/>
              </w:rPr>
              <w:t>3.9.6本招标文件规定的否决投标条款包含在以下条款：</w:t>
            </w:r>
          </w:p>
          <w:p>
            <w:pPr>
              <w:spacing w:line="360" w:lineRule="auto"/>
              <w:ind w:right="124" w:rightChars="59" w:firstLine="440" w:firstLineChars="200"/>
              <w:rPr>
                <w:rFonts w:hint="eastAsia" w:ascii="宋体" w:hAnsi="宋体"/>
                <w:sz w:val="22"/>
                <w:szCs w:val="22"/>
                <w:highlight w:val="none"/>
              </w:rPr>
            </w:pPr>
            <w:r>
              <w:rPr>
                <w:rFonts w:hint="eastAsia" w:ascii="宋体" w:hAnsi="宋体"/>
                <w:sz w:val="22"/>
                <w:szCs w:val="22"/>
                <w:highlight w:val="none"/>
              </w:rPr>
              <w:t>（1）招标公告第3点 投标人资格要求；</w:t>
            </w:r>
          </w:p>
          <w:p>
            <w:pPr>
              <w:spacing w:line="360" w:lineRule="auto"/>
              <w:ind w:right="124" w:rightChars="59" w:firstLine="440" w:firstLineChars="200"/>
              <w:rPr>
                <w:rFonts w:hint="eastAsia" w:ascii="宋体" w:hAnsi="宋体"/>
                <w:sz w:val="22"/>
                <w:szCs w:val="22"/>
                <w:highlight w:val="none"/>
              </w:rPr>
            </w:pPr>
            <w:r>
              <w:rPr>
                <w:rFonts w:hint="eastAsia" w:ascii="宋体" w:hAnsi="宋体"/>
                <w:sz w:val="22"/>
                <w:szCs w:val="22"/>
                <w:highlight w:val="none"/>
              </w:rPr>
              <w:t>（2）</w:t>
            </w:r>
            <w:r>
              <w:rPr>
                <w:rFonts w:hint="eastAsia" w:ascii="宋体" w:hAnsi="宋体" w:cs="宋体"/>
                <w:highlight w:val="none"/>
                <w:u w:val="single"/>
              </w:rPr>
              <w:t>投标人须知1.4.3 项、1.4.4 项、1.12.2 项、3.4.2 项、3.5.8 项、3.6.1 项</w:t>
            </w:r>
            <w:r>
              <w:rPr>
                <w:rFonts w:hint="eastAsia" w:ascii="宋体" w:hAnsi="宋体"/>
                <w:sz w:val="22"/>
                <w:szCs w:val="22"/>
                <w:highlight w:val="none"/>
                <w:u w:val="single"/>
              </w:rPr>
              <w:t>；</w:t>
            </w:r>
          </w:p>
          <w:p>
            <w:pPr>
              <w:spacing w:line="360" w:lineRule="auto"/>
              <w:ind w:firstLine="396" w:firstLineChars="180"/>
              <w:rPr>
                <w:rFonts w:hint="eastAsia" w:ascii="宋体" w:hAnsi="宋体" w:cs="宋体"/>
                <w:highlight w:val="none"/>
              </w:rPr>
            </w:pPr>
            <w:r>
              <w:rPr>
                <w:rFonts w:hint="eastAsia" w:ascii="宋体" w:hAnsi="宋体"/>
                <w:sz w:val="22"/>
                <w:szCs w:val="22"/>
                <w:highlight w:val="none"/>
              </w:rPr>
              <w:t>（3）本评标办法的否决条款（</w:t>
            </w:r>
            <w:r>
              <w:rPr>
                <w:rFonts w:hint="eastAsia" w:ascii="宋体" w:hAnsi="宋体" w:cs="宋体"/>
                <w:highlight w:val="none"/>
                <w:u w:val="single"/>
              </w:rPr>
              <w:t>评标办法2.2.2项、3.1.1项、3.4.1项、3.4.2项、3.4.3项、3.5.3项、3.6.1项、3.7.1项、3.9.3项、3.9.4项）</w:t>
            </w:r>
            <w:r>
              <w:rPr>
                <w:rFonts w:hint="eastAsia" w:ascii="宋体" w:hAnsi="宋体"/>
                <w:sz w:val="22"/>
                <w:szCs w:val="22"/>
                <w:highlight w:val="none"/>
              </w:rPr>
              <w:t>）。</w:t>
            </w:r>
          </w:p>
        </w:tc>
      </w:tr>
    </w:tbl>
    <w:p>
      <w:pPr>
        <w:pStyle w:val="4"/>
        <w:spacing w:after="0"/>
        <w:rPr>
          <w:rFonts w:hint="eastAsia" w:eastAsia="宋体" w:cs="宋体"/>
          <w:highlight w:val="none"/>
        </w:rPr>
      </w:pPr>
      <w:r>
        <w:rPr>
          <w:sz w:val="27"/>
          <w:szCs w:val="27"/>
          <w:highlight w:val="none"/>
        </w:rPr>
        <w:br w:type="page"/>
      </w:r>
      <w:r>
        <w:rPr>
          <w:rStyle w:val="17"/>
          <w:rFonts w:ascii="Times New Roman" w:hAnsi="Times New Roman"/>
          <w:bCs/>
          <w:i w:val="0"/>
          <w:iCs w:val="0"/>
          <w:sz w:val="24"/>
          <w:szCs w:val="24"/>
          <w:highlight w:val="none"/>
        </w:rPr>
        <w:t>定标办法前附表</w:t>
      </w:r>
    </w:p>
    <w:p>
      <w:pPr>
        <w:rPr>
          <w:sz w:val="24"/>
          <w:szCs w:val="24"/>
          <w:highlight w:val="none"/>
        </w:rPr>
      </w:pPr>
    </w:p>
    <w:p>
      <w:pPr>
        <w:rPr>
          <w:sz w:val="24"/>
          <w:szCs w:val="24"/>
          <w:highlight w:val="none"/>
        </w:rPr>
      </w:pPr>
      <w:r>
        <w:rPr>
          <w:rFonts w:hint="eastAsia"/>
          <w:sz w:val="24"/>
          <w:szCs w:val="24"/>
          <w:highlight w:val="none"/>
        </w:rPr>
        <w:t>附表1：</w:t>
      </w:r>
    </w:p>
    <w:p>
      <w:pPr>
        <w:jc w:val="center"/>
        <w:rPr>
          <w:b/>
          <w:sz w:val="32"/>
          <w:szCs w:val="32"/>
          <w:highlight w:val="none"/>
          <w:lang w:val="zh-TW"/>
        </w:rPr>
      </w:pPr>
      <w:r>
        <w:rPr>
          <w:rFonts w:hint="eastAsia"/>
          <w:b/>
          <w:sz w:val="32"/>
          <w:szCs w:val="32"/>
          <w:highlight w:val="none"/>
          <w:lang w:val="zh-TW"/>
        </w:rPr>
        <w:t>定标因素表（定标阶段用表）</w:t>
      </w:r>
    </w:p>
    <w:tbl>
      <w:tblPr>
        <w:tblStyle w:val="15"/>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122"/>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highlight w:val="none"/>
              </w:rPr>
            </w:pPr>
            <w:r>
              <w:rPr>
                <w:rFonts w:hint="eastAsia" w:ascii="宋体" w:hAnsi="宋体" w:cs="宋体"/>
                <w:b/>
                <w:bCs/>
                <w:highlight w:val="none"/>
              </w:rPr>
              <w:t>序号</w:t>
            </w:r>
          </w:p>
        </w:tc>
        <w:tc>
          <w:tcPr>
            <w:tcW w:w="64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highlight w:val="none"/>
              </w:rPr>
            </w:pPr>
            <w:r>
              <w:rPr>
                <w:rFonts w:hint="eastAsia" w:ascii="宋体" w:hAnsi="宋体" w:cs="宋体"/>
                <w:b/>
                <w:bCs/>
                <w:highlight w:val="none"/>
              </w:rPr>
              <w:t>评价项目</w:t>
            </w:r>
          </w:p>
        </w:tc>
        <w:tc>
          <w:tcPr>
            <w:tcW w:w="385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highlight w:val="none"/>
              </w:rPr>
            </w:pPr>
            <w:r>
              <w:rPr>
                <w:rFonts w:hint="eastAsia" w:ascii="宋体" w:hAnsi="宋体" w:cs="宋体"/>
                <w:b/>
                <w:bCs/>
                <w:highlight w:val="none"/>
              </w:rPr>
              <w:t>定标评价的内容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501" w:type="pct"/>
            <w:vMerge w:val="restart"/>
            <w:tcBorders>
              <w:top w:val="single" w:color="auto" w:sz="4" w:space="0"/>
              <w:left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1</w:t>
            </w:r>
          </w:p>
        </w:tc>
        <w:tc>
          <w:tcPr>
            <w:tcW w:w="644" w:type="pct"/>
            <w:vMerge w:val="restart"/>
            <w:tcBorders>
              <w:top w:val="single" w:color="auto" w:sz="4" w:space="0"/>
              <w:left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方案因素</w:t>
            </w:r>
          </w:p>
        </w:tc>
        <w:tc>
          <w:tcPr>
            <w:tcW w:w="3853"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kern w:val="0"/>
                <w:highlight w:val="none"/>
                <w:lang w:bidi="ar"/>
              </w:rPr>
            </w:pPr>
            <w:r>
              <w:rPr>
                <w:rFonts w:hint="eastAsia" w:ascii="宋体" w:hAnsi="宋体"/>
                <w:kern w:val="0"/>
                <w:highlight w:val="none"/>
                <w:lang w:bidi="ar"/>
              </w:rPr>
              <w:t>对各阶段监理方案、对本项目重点及难点分析及解决措施等监理大纲内容的合理性、可行性进行评审。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501" w:type="pct"/>
            <w:tcBorders>
              <w:left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2</w:t>
            </w:r>
          </w:p>
        </w:tc>
        <w:tc>
          <w:tcPr>
            <w:tcW w:w="644" w:type="pct"/>
            <w:tcBorders>
              <w:left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团队因素</w:t>
            </w:r>
          </w:p>
        </w:tc>
        <w:tc>
          <w:tcPr>
            <w:tcW w:w="3853"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kern w:val="0"/>
                <w:highlight w:val="none"/>
                <w:lang w:bidi="ar"/>
              </w:rPr>
              <w:t>合格中标候选人</w:t>
            </w:r>
            <w:r>
              <w:rPr>
                <w:rFonts w:hint="eastAsia" w:ascii="宋体" w:hAnsi="宋体" w:cs="宋体"/>
                <w:highlight w:val="none"/>
              </w:rPr>
              <w:t>在满足第一章招标公告附录5资格审查条件（其他主要监理人员最低要求）的基础上对拟投入本项目的监理人员中（总监理工程师除外）具有职称人员的职称级别情况，专业资格情况以及数量情况进行综合评价。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928" w:type="dxa"/>
            <w:tcBorders>
              <w:left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szCs w:val="21"/>
                <w:highlight w:val="none"/>
              </w:rPr>
              <w:t>3</w:t>
            </w:r>
          </w:p>
        </w:tc>
        <w:tc>
          <w:tcPr>
            <w:tcW w:w="1193" w:type="dxa"/>
            <w:tcBorders>
              <w:left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szCs w:val="21"/>
                <w:highlight w:val="none"/>
              </w:rPr>
              <w:t>价格因素</w:t>
            </w:r>
          </w:p>
        </w:tc>
        <w:tc>
          <w:tcPr>
            <w:tcW w:w="714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kern w:val="0"/>
                <w:highlight w:val="none"/>
                <w:lang w:bidi="ar"/>
              </w:rPr>
            </w:pPr>
            <w:r>
              <w:rPr>
                <w:rFonts w:hint="eastAsia" w:ascii="宋体" w:hAnsi="宋体" w:cs="宋体"/>
                <w:kern w:val="0"/>
                <w:szCs w:val="21"/>
                <w:highlight w:val="none"/>
              </w:rPr>
              <w:t>定标委员会对合格中标候选人投标报价进行分析，遵循“兼顾择优与竞价”的原则，对各合格的中标候选人的投标报价进行横向对比。</w:t>
            </w:r>
          </w:p>
        </w:tc>
      </w:tr>
    </w:tbl>
    <w:p>
      <w:pPr>
        <w:rPr>
          <w:sz w:val="28"/>
          <w:szCs w:val="28"/>
          <w:highlight w:val="none"/>
        </w:rPr>
      </w:pPr>
      <w:r>
        <w:rPr>
          <w:rFonts w:ascii="宋体" w:hAnsi="宋体"/>
          <w:sz w:val="27"/>
          <w:szCs w:val="27"/>
          <w:highlight w:val="none"/>
        </w:rPr>
        <w:br w:type="page"/>
      </w:r>
      <w:r>
        <w:rPr>
          <w:rFonts w:hint="eastAsia"/>
          <w:sz w:val="24"/>
          <w:szCs w:val="24"/>
          <w:highlight w:val="none"/>
        </w:rPr>
        <w:t>附表2：</w:t>
      </w:r>
    </w:p>
    <w:tbl>
      <w:tblPr>
        <w:tblStyle w:val="15"/>
        <w:tblW w:w="5000" w:type="pct"/>
        <w:tblInd w:w="0" w:type="dxa"/>
        <w:tblLayout w:type="autofit"/>
        <w:tblCellMar>
          <w:top w:w="0" w:type="dxa"/>
          <w:left w:w="108" w:type="dxa"/>
          <w:bottom w:w="0" w:type="dxa"/>
          <w:right w:w="108" w:type="dxa"/>
        </w:tblCellMar>
      </w:tblPr>
      <w:tblGrid>
        <w:gridCol w:w="3114"/>
        <w:gridCol w:w="1597"/>
        <w:gridCol w:w="3811"/>
      </w:tblGrid>
      <w:tr>
        <w:tblPrEx>
          <w:tblCellMar>
            <w:top w:w="0" w:type="dxa"/>
            <w:left w:w="108" w:type="dxa"/>
            <w:bottom w:w="0" w:type="dxa"/>
            <w:right w:w="108" w:type="dxa"/>
          </w:tblCellMar>
        </w:tblPrEx>
        <w:trPr>
          <w:trHeight w:val="780" w:hRule="atLeast"/>
        </w:trPr>
        <w:tc>
          <w:tcPr>
            <w:tcW w:w="5000" w:type="pct"/>
            <w:gridSpan w:val="3"/>
            <w:tcBorders>
              <w:top w:val="nil"/>
              <w:left w:val="nil"/>
              <w:bottom w:val="nil"/>
              <w:right w:val="nil"/>
            </w:tcBorders>
            <w:noWrap/>
            <w:vAlign w:val="center"/>
          </w:tcPr>
          <w:p>
            <w:pPr>
              <w:widowControl/>
              <w:jc w:val="center"/>
              <w:rPr>
                <w:rFonts w:hint="eastAsia" w:ascii="方正小标宋简体" w:hAnsi="方正小标宋简体" w:eastAsia="方正小标宋简体" w:cs="方正小标宋简体"/>
                <w:b/>
                <w:bCs/>
                <w:color w:val="000000"/>
                <w:sz w:val="48"/>
                <w:szCs w:val="48"/>
                <w:highlight w:val="none"/>
              </w:rPr>
            </w:pPr>
            <w:r>
              <w:rPr>
                <w:rFonts w:hint="eastAsia"/>
                <w:b/>
                <w:sz w:val="32"/>
                <w:szCs w:val="32"/>
                <w:highlight w:val="none"/>
                <w:lang w:val="zh-TW" w:bidi="ar"/>
              </w:rPr>
              <w:t xml:space="preserve"> 定标票数评审表（每个定标委员一张）</w:t>
            </w:r>
          </w:p>
        </w:tc>
      </w:tr>
      <w:tr>
        <w:tblPrEx>
          <w:tblCellMar>
            <w:top w:w="0" w:type="dxa"/>
            <w:left w:w="108" w:type="dxa"/>
            <w:bottom w:w="0" w:type="dxa"/>
            <w:right w:w="108" w:type="dxa"/>
          </w:tblCellMar>
        </w:tblPrEx>
        <w:trPr>
          <w:trHeight w:val="740" w:hRule="atLeast"/>
        </w:trPr>
        <w:tc>
          <w:tcPr>
            <w:tcW w:w="182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highlight w:val="none"/>
              </w:rPr>
            </w:pPr>
            <w:r>
              <w:rPr>
                <w:rFonts w:hint="eastAsia" w:ascii="宋体" w:hAnsi="宋体" w:cs="宋体"/>
                <w:color w:val="000000"/>
                <w:kern w:val="0"/>
                <w:highlight w:val="none"/>
                <w:lang w:bidi="ar"/>
              </w:rPr>
              <w:t>合格中标候选人名称</w:t>
            </w:r>
          </w:p>
        </w:tc>
        <w:tc>
          <w:tcPr>
            <w:tcW w:w="93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highlight w:val="none"/>
              </w:rPr>
            </w:pPr>
            <w:r>
              <w:rPr>
                <w:rFonts w:hint="eastAsia" w:ascii="宋体" w:hAnsi="宋体" w:cs="宋体"/>
                <w:color w:val="000000"/>
                <w:kern w:val="0"/>
                <w:highlight w:val="none"/>
                <w:lang w:bidi="ar"/>
              </w:rPr>
              <w:t>投票票数</w:t>
            </w:r>
          </w:p>
        </w:tc>
        <w:tc>
          <w:tcPr>
            <w:tcW w:w="22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highlight w:val="none"/>
              </w:rPr>
            </w:pPr>
            <w:r>
              <w:rPr>
                <w:rFonts w:hint="eastAsia" w:ascii="宋体" w:hAnsi="宋体" w:cs="宋体"/>
                <w:color w:val="000000"/>
                <w:kern w:val="0"/>
                <w:highlight w:val="none"/>
                <w:lang w:bidi="ar"/>
              </w:rPr>
              <w:t>投票理由</w:t>
            </w:r>
          </w:p>
        </w:tc>
      </w:tr>
      <w:tr>
        <w:tblPrEx>
          <w:tblCellMar>
            <w:top w:w="0" w:type="dxa"/>
            <w:left w:w="108" w:type="dxa"/>
            <w:bottom w:w="0" w:type="dxa"/>
            <w:right w:w="108" w:type="dxa"/>
          </w:tblCellMar>
        </w:tblPrEx>
        <w:trPr>
          <w:trHeight w:val="1200" w:hRule="atLeast"/>
        </w:trPr>
        <w:tc>
          <w:tcPr>
            <w:tcW w:w="182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highlight w:val="none"/>
              </w:rPr>
            </w:pPr>
          </w:p>
        </w:tc>
        <w:tc>
          <w:tcPr>
            <w:tcW w:w="9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highlight w:val="none"/>
              </w:rPr>
            </w:pPr>
          </w:p>
        </w:tc>
        <w:tc>
          <w:tcPr>
            <w:tcW w:w="22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highlight w:val="none"/>
              </w:rPr>
            </w:pPr>
          </w:p>
        </w:tc>
      </w:tr>
      <w:tr>
        <w:tblPrEx>
          <w:tblCellMar>
            <w:top w:w="0" w:type="dxa"/>
            <w:left w:w="108" w:type="dxa"/>
            <w:bottom w:w="0" w:type="dxa"/>
            <w:right w:w="108" w:type="dxa"/>
          </w:tblCellMar>
        </w:tblPrEx>
        <w:trPr>
          <w:trHeight w:val="1200" w:hRule="atLeast"/>
        </w:trPr>
        <w:tc>
          <w:tcPr>
            <w:tcW w:w="182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highlight w:val="none"/>
              </w:rPr>
            </w:pPr>
          </w:p>
        </w:tc>
        <w:tc>
          <w:tcPr>
            <w:tcW w:w="937"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highlight w:val="none"/>
              </w:rPr>
            </w:pPr>
          </w:p>
        </w:tc>
        <w:tc>
          <w:tcPr>
            <w:tcW w:w="2234"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highlight w:val="none"/>
              </w:rPr>
            </w:pPr>
          </w:p>
        </w:tc>
      </w:tr>
      <w:tr>
        <w:tblPrEx>
          <w:tblCellMar>
            <w:top w:w="0" w:type="dxa"/>
            <w:left w:w="108" w:type="dxa"/>
            <w:bottom w:w="0" w:type="dxa"/>
            <w:right w:w="108" w:type="dxa"/>
          </w:tblCellMar>
        </w:tblPrEx>
        <w:trPr>
          <w:trHeight w:val="1200" w:hRule="atLeast"/>
        </w:trPr>
        <w:tc>
          <w:tcPr>
            <w:tcW w:w="182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highlight w:val="none"/>
              </w:rPr>
            </w:pPr>
          </w:p>
        </w:tc>
        <w:tc>
          <w:tcPr>
            <w:tcW w:w="937"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highlight w:val="none"/>
              </w:rPr>
            </w:pPr>
          </w:p>
        </w:tc>
        <w:tc>
          <w:tcPr>
            <w:tcW w:w="2234"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highlight w:val="none"/>
              </w:rPr>
            </w:pPr>
          </w:p>
        </w:tc>
      </w:tr>
    </w:tbl>
    <w:p>
      <w:pPr>
        <w:spacing w:line="360" w:lineRule="auto"/>
        <w:rPr>
          <w:rFonts w:hint="eastAsia" w:ascii="宋体" w:hAnsi="宋体"/>
          <w:highlight w:val="none"/>
        </w:rPr>
      </w:pPr>
      <w:r>
        <w:rPr>
          <w:rFonts w:hint="eastAsia" w:ascii="宋体" w:hAnsi="宋体"/>
          <w:highlight w:val="none"/>
        </w:rPr>
        <w:t>正式投票规则：</w:t>
      </w:r>
    </w:p>
    <w:p>
      <w:pPr>
        <w:spacing w:line="360" w:lineRule="auto"/>
        <w:ind w:firstLine="420" w:firstLineChars="200"/>
        <w:rPr>
          <w:rFonts w:hint="eastAsia" w:ascii="宋体" w:hAnsi="宋体"/>
          <w:highlight w:val="none"/>
        </w:rPr>
      </w:pPr>
      <w:r>
        <w:rPr>
          <w:rFonts w:hint="eastAsia" w:ascii="宋体" w:hAnsi="宋体"/>
          <w:highlight w:val="none"/>
        </w:rPr>
        <w:t>（1）以上表格用于正式投票，投票时须注明合格中标候选人、投票票数及投票理由。</w:t>
      </w:r>
    </w:p>
    <w:p>
      <w:pPr>
        <w:spacing w:line="360" w:lineRule="auto"/>
        <w:ind w:firstLine="420" w:firstLineChars="200"/>
        <w:rPr>
          <w:rFonts w:hint="eastAsia" w:ascii="宋体" w:hAnsi="宋体"/>
          <w:highlight w:val="none"/>
        </w:rPr>
      </w:pPr>
      <w:r>
        <w:rPr>
          <w:rFonts w:hint="eastAsia" w:ascii="宋体" w:hAnsi="宋体"/>
          <w:highlight w:val="none"/>
        </w:rPr>
        <w:t>（2）由定标委员会成员进行投票，各定标委员会成员以</w:t>
      </w:r>
      <w:r>
        <w:rPr>
          <w:rFonts w:hint="eastAsia" w:ascii="宋体" w:hAnsi="宋体" w:cs="宋体"/>
          <w:kern w:val="0"/>
          <w:szCs w:val="21"/>
          <w:highlight w:val="none"/>
        </w:rPr>
        <w:t>“兼顾择优与竞价”</w:t>
      </w:r>
      <w:r>
        <w:rPr>
          <w:rFonts w:hint="eastAsia" w:ascii="宋体" w:hAnsi="宋体"/>
          <w:highlight w:val="none"/>
        </w:rPr>
        <w:t>的原则对所有进入定标程序的合格中标候选人进行逐个投票，最优的 3 票，其次 2 票，依此类推。</w:t>
      </w:r>
    </w:p>
    <w:p>
      <w:pPr>
        <w:spacing w:line="360" w:lineRule="auto"/>
        <w:ind w:firstLine="420" w:firstLineChars="200"/>
        <w:rPr>
          <w:rFonts w:hint="eastAsia" w:ascii="宋体" w:hAnsi="宋体"/>
          <w:highlight w:val="none"/>
        </w:rPr>
      </w:pPr>
      <w:r>
        <w:rPr>
          <w:rFonts w:hint="eastAsia" w:ascii="宋体" w:hAnsi="宋体"/>
          <w:highlight w:val="none"/>
        </w:rPr>
        <w:t>（3）</w:t>
      </w:r>
      <w:r>
        <w:rPr>
          <w:rFonts w:hint="eastAsia" w:ascii="宋体" w:hAnsi="宋体" w:cs="Arial"/>
          <w:highlight w:val="none"/>
        </w:rPr>
        <w:t>投票结束后，</w:t>
      </w:r>
      <w:r>
        <w:rPr>
          <w:rFonts w:hint="eastAsia" w:ascii="宋体" w:hAnsi="宋体"/>
          <w:highlight w:val="none"/>
        </w:rPr>
        <w:t>点票人员</w:t>
      </w:r>
      <w:r>
        <w:rPr>
          <w:rFonts w:hint="eastAsia" w:ascii="宋体" w:hAnsi="宋体" w:cs="Arial"/>
          <w:highlight w:val="none"/>
        </w:rPr>
        <w:t>对投票人数、票数和每票应选中标候选人总数加以核对和统计，作废的选票不得统计，并向</w:t>
      </w:r>
      <w:r>
        <w:rPr>
          <w:rFonts w:hint="eastAsia" w:ascii="宋体" w:hAnsi="宋体"/>
          <w:highlight w:val="none"/>
        </w:rPr>
        <w:t>定标委员会</w:t>
      </w:r>
      <w:r>
        <w:rPr>
          <w:rFonts w:hint="eastAsia" w:ascii="宋体" w:hAnsi="宋体" w:cs="Arial"/>
          <w:highlight w:val="none"/>
        </w:rPr>
        <w:t>报告。</w:t>
      </w:r>
    </w:p>
    <w:p>
      <w:pPr>
        <w:spacing w:line="360" w:lineRule="auto"/>
        <w:ind w:firstLine="480"/>
        <w:rPr>
          <w:rFonts w:hint="eastAsia" w:ascii="宋体" w:hAnsi="宋体"/>
          <w:highlight w:val="none"/>
        </w:rPr>
      </w:pPr>
      <w:r>
        <w:rPr>
          <w:rFonts w:hint="eastAsia" w:ascii="宋体" w:hAnsi="宋体"/>
          <w:highlight w:val="none"/>
        </w:rPr>
        <w:t>（4）定标委员会成员应当独立投票，自投票开始至最终排名统计结果公布期间，任何人不得非法干预、影响投票过程，不得透露、协商、改变投票结果，不得使用通信联络工具。</w:t>
      </w:r>
    </w:p>
    <w:p>
      <w:pPr>
        <w:spacing w:line="360" w:lineRule="auto"/>
        <w:rPr>
          <w:rFonts w:hint="eastAsia" w:ascii="宋体" w:hAnsi="宋体"/>
          <w:highlight w:val="none"/>
        </w:rPr>
      </w:pPr>
    </w:p>
    <w:p>
      <w:pPr>
        <w:spacing w:line="360" w:lineRule="auto"/>
        <w:rPr>
          <w:rFonts w:hint="eastAsia" w:ascii="宋体" w:hAnsi="宋体"/>
          <w:highlight w:val="none"/>
        </w:rPr>
      </w:pPr>
      <w:r>
        <w:rPr>
          <w:rFonts w:hint="eastAsia" w:ascii="宋体" w:hAnsi="宋体"/>
          <w:highlight w:val="none"/>
        </w:rPr>
        <w:t>定标委员会成员签名：                                 日期：     年    月    日</w:t>
      </w:r>
    </w:p>
    <w:p>
      <w:pPr>
        <w:spacing w:line="360" w:lineRule="auto"/>
        <w:rPr>
          <w:rFonts w:hint="eastAsia" w:ascii="宋体" w:hAnsi="宋体"/>
          <w:highlight w:val="none"/>
        </w:rPr>
      </w:pPr>
      <w:r>
        <w:rPr>
          <w:rFonts w:hint="eastAsia" w:ascii="宋体" w:hAnsi="宋体"/>
          <w:highlight w:val="none"/>
        </w:rPr>
        <w:br w:type="page"/>
      </w:r>
      <w:r>
        <w:rPr>
          <w:rFonts w:hint="eastAsia"/>
          <w:sz w:val="24"/>
          <w:szCs w:val="24"/>
          <w:highlight w:val="none"/>
        </w:rPr>
        <w:t>附表3：</w:t>
      </w:r>
    </w:p>
    <w:tbl>
      <w:tblPr>
        <w:tblStyle w:val="15"/>
        <w:tblW w:w="5000" w:type="pct"/>
        <w:tblInd w:w="0" w:type="dxa"/>
        <w:tblLayout w:type="autofit"/>
        <w:tblCellMar>
          <w:top w:w="0" w:type="dxa"/>
          <w:left w:w="108" w:type="dxa"/>
          <w:bottom w:w="0" w:type="dxa"/>
          <w:right w:w="108" w:type="dxa"/>
        </w:tblCellMar>
      </w:tblPr>
      <w:tblGrid>
        <w:gridCol w:w="2617"/>
        <w:gridCol w:w="653"/>
        <w:gridCol w:w="653"/>
        <w:gridCol w:w="653"/>
        <w:gridCol w:w="653"/>
        <w:gridCol w:w="661"/>
        <w:gridCol w:w="1640"/>
        <w:gridCol w:w="992"/>
      </w:tblGrid>
      <w:tr>
        <w:tblPrEx>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pPr>
              <w:widowControl/>
              <w:jc w:val="center"/>
              <w:rPr>
                <w:rFonts w:hint="eastAsia" w:ascii="方正小标宋简体" w:hAnsi="方正小标宋简体" w:eastAsia="方正小标宋简体" w:cs="方正小标宋简体"/>
                <w:b/>
                <w:bCs/>
                <w:color w:val="000000"/>
                <w:sz w:val="48"/>
                <w:szCs w:val="48"/>
                <w:highlight w:val="none"/>
              </w:rPr>
            </w:pPr>
            <w:r>
              <w:rPr>
                <w:rFonts w:hint="eastAsia"/>
                <w:b/>
                <w:sz w:val="32"/>
                <w:szCs w:val="32"/>
                <w:highlight w:val="none"/>
                <w:lang w:val="zh-TW" w:bidi="ar"/>
              </w:rPr>
              <w:t>定标票数汇总表</w:t>
            </w:r>
          </w:p>
        </w:tc>
      </w:tr>
      <w:tr>
        <w:tblPrEx>
          <w:tblCellMar>
            <w:top w:w="0" w:type="dxa"/>
            <w:left w:w="108" w:type="dxa"/>
            <w:bottom w:w="0" w:type="dxa"/>
            <w:right w:w="108" w:type="dxa"/>
          </w:tblCellMar>
        </w:tblPrEx>
        <w:trPr>
          <w:trHeight w:val="740" w:hRule="atLeast"/>
        </w:trPr>
        <w:tc>
          <w:tcPr>
            <w:tcW w:w="153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highlight w:val="none"/>
                <w:lang w:bidi="ar"/>
              </w:rPr>
            </w:pPr>
            <w:r>
              <w:rPr>
                <w:rFonts w:hint="eastAsia" w:ascii="宋体" w:hAnsi="宋体" w:cs="宋体"/>
                <w:color w:val="000000"/>
                <w:kern w:val="0"/>
                <w:highlight w:val="none"/>
                <w:lang w:bidi="ar"/>
              </w:rPr>
              <w:t>合格中标候选人名称</w:t>
            </w:r>
          </w:p>
        </w:tc>
        <w:tc>
          <w:tcPr>
            <w:tcW w:w="1920" w:type="pct"/>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highlight w:val="none"/>
                <w:lang w:bidi="ar"/>
              </w:rPr>
            </w:pPr>
            <w:r>
              <w:rPr>
                <w:rFonts w:hint="eastAsia" w:ascii="宋体" w:hAnsi="宋体" w:cs="宋体"/>
                <w:color w:val="000000"/>
                <w:kern w:val="0"/>
                <w:highlight w:val="none"/>
                <w:lang w:bidi="ar"/>
              </w:rPr>
              <w:t>定标委员姓名及票数</w:t>
            </w:r>
          </w:p>
        </w:tc>
        <w:tc>
          <w:tcPr>
            <w:tcW w:w="96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highlight w:val="none"/>
                <w:lang w:bidi="ar"/>
              </w:rPr>
            </w:pPr>
            <w:r>
              <w:rPr>
                <w:rFonts w:hint="eastAsia" w:ascii="宋体" w:hAnsi="宋体" w:cs="宋体"/>
                <w:color w:val="000000"/>
                <w:kern w:val="0"/>
                <w:highlight w:val="none"/>
                <w:lang w:bidi="ar"/>
              </w:rPr>
              <w:t>累计票数</w:t>
            </w:r>
          </w:p>
        </w:tc>
        <w:tc>
          <w:tcPr>
            <w:tcW w:w="58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highlight w:val="none"/>
                <w:lang w:bidi="ar"/>
              </w:rPr>
            </w:pPr>
            <w:r>
              <w:rPr>
                <w:rFonts w:hint="eastAsia" w:ascii="宋体" w:hAnsi="宋体" w:cs="宋体"/>
                <w:color w:val="000000"/>
                <w:kern w:val="0"/>
                <w:highlight w:val="none"/>
                <w:lang w:bidi="ar"/>
              </w:rPr>
              <w:t>排序</w:t>
            </w:r>
          </w:p>
        </w:tc>
      </w:tr>
      <w:tr>
        <w:tblPrEx>
          <w:tblCellMar>
            <w:top w:w="0" w:type="dxa"/>
            <w:left w:w="108" w:type="dxa"/>
            <w:bottom w:w="0" w:type="dxa"/>
            <w:right w:w="108" w:type="dxa"/>
          </w:tblCellMar>
        </w:tblPrEx>
        <w:trPr>
          <w:trHeight w:val="740" w:hRule="atLeast"/>
        </w:trPr>
        <w:tc>
          <w:tcPr>
            <w:tcW w:w="153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8"/>
                <w:szCs w:val="28"/>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8"/>
                <w:szCs w:val="28"/>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8"/>
                <w:szCs w:val="28"/>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8"/>
                <w:szCs w:val="28"/>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8"/>
                <w:szCs w:val="28"/>
                <w:highlight w:val="none"/>
              </w:rPr>
            </w:pPr>
          </w:p>
        </w:tc>
        <w:tc>
          <w:tcPr>
            <w:tcW w:w="38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8"/>
                <w:szCs w:val="28"/>
                <w:highlight w:val="none"/>
              </w:rPr>
            </w:pPr>
          </w:p>
        </w:tc>
        <w:tc>
          <w:tcPr>
            <w:tcW w:w="9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8"/>
                <w:szCs w:val="28"/>
                <w:highlight w:val="none"/>
              </w:rPr>
            </w:pPr>
          </w:p>
        </w:tc>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8"/>
                <w:szCs w:val="28"/>
                <w:highlight w:val="none"/>
              </w:rPr>
            </w:pPr>
          </w:p>
        </w:tc>
      </w:tr>
      <w:tr>
        <w:tblPrEx>
          <w:tblCellMar>
            <w:top w:w="0" w:type="dxa"/>
            <w:left w:w="108" w:type="dxa"/>
            <w:bottom w:w="0" w:type="dxa"/>
            <w:right w:w="108" w:type="dxa"/>
          </w:tblCellMar>
        </w:tblPrEx>
        <w:trPr>
          <w:trHeight w:val="1200" w:hRule="atLeast"/>
        </w:trPr>
        <w:tc>
          <w:tcPr>
            <w:tcW w:w="15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8"/>
                <w:szCs w:val="28"/>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szCs w:val="24"/>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szCs w:val="24"/>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szCs w:val="24"/>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szCs w:val="24"/>
                <w:highlight w:val="none"/>
              </w:rPr>
            </w:pPr>
          </w:p>
        </w:tc>
        <w:tc>
          <w:tcPr>
            <w:tcW w:w="38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szCs w:val="24"/>
                <w:highlight w:val="none"/>
              </w:rPr>
            </w:pPr>
          </w:p>
        </w:tc>
        <w:tc>
          <w:tcPr>
            <w:tcW w:w="96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szCs w:val="24"/>
                <w:highlight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szCs w:val="24"/>
                <w:highlight w:val="none"/>
              </w:rPr>
            </w:pPr>
          </w:p>
        </w:tc>
      </w:tr>
      <w:tr>
        <w:tblPrEx>
          <w:tblCellMar>
            <w:top w:w="0" w:type="dxa"/>
            <w:left w:w="108" w:type="dxa"/>
            <w:bottom w:w="0" w:type="dxa"/>
            <w:right w:w="108" w:type="dxa"/>
          </w:tblCellMar>
        </w:tblPrEx>
        <w:trPr>
          <w:trHeight w:val="1200" w:hRule="atLeast"/>
        </w:trPr>
        <w:tc>
          <w:tcPr>
            <w:tcW w:w="15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8"/>
                <w:szCs w:val="28"/>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24"/>
                <w:szCs w:val="24"/>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24"/>
                <w:szCs w:val="24"/>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24"/>
                <w:szCs w:val="24"/>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24"/>
                <w:szCs w:val="24"/>
                <w:highlight w:val="none"/>
              </w:rPr>
            </w:pPr>
          </w:p>
        </w:tc>
        <w:tc>
          <w:tcPr>
            <w:tcW w:w="385"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24"/>
                <w:szCs w:val="24"/>
                <w:highlight w:val="none"/>
              </w:rPr>
            </w:pPr>
          </w:p>
        </w:tc>
        <w:tc>
          <w:tcPr>
            <w:tcW w:w="96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24"/>
                <w:szCs w:val="24"/>
                <w:highlight w:val="none"/>
              </w:rPr>
            </w:pPr>
          </w:p>
        </w:tc>
        <w:tc>
          <w:tcPr>
            <w:tcW w:w="580"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24"/>
                <w:szCs w:val="24"/>
                <w:highlight w:val="none"/>
              </w:rPr>
            </w:pPr>
          </w:p>
        </w:tc>
      </w:tr>
      <w:tr>
        <w:tblPrEx>
          <w:tblCellMar>
            <w:top w:w="0" w:type="dxa"/>
            <w:left w:w="108" w:type="dxa"/>
            <w:bottom w:w="0" w:type="dxa"/>
            <w:right w:w="108" w:type="dxa"/>
          </w:tblCellMar>
        </w:tblPrEx>
        <w:trPr>
          <w:trHeight w:val="1200" w:hRule="atLeast"/>
        </w:trPr>
        <w:tc>
          <w:tcPr>
            <w:tcW w:w="15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8"/>
                <w:szCs w:val="28"/>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24"/>
                <w:szCs w:val="24"/>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24"/>
                <w:szCs w:val="24"/>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24"/>
                <w:szCs w:val="24"/>
                <w:highlight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24"/>
                <w:szCs w:val="24"/>
                <w:highlight w:val="none"/>
              </w:rPr>
            </w:pPr>
          </w:p>
        </w:tc>
        <w:tc>
          <w:tcPr>
            <w:tcW w:w="385"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24"/>
                <w:szCs w:val="24"/>
                <w:highlight w:val="none"/>
              </w:rPr>
            </w:pPr>
          </w:p>
        </w:tc>
        <w:tc>
          <w:tcPr>
            <w:tcW w:w="96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24"/>
                <w:szCs w:val="24"/>
                <w:highlight w:val="none"/>
              </w:rPr>
            </w:pPr>
          </w:p>
        </w:tc>
        <w:tc>
          <w:tcPr>
            <w:tcW w:w="580"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24"/>
                <w:szCs w:val="24"/>
                <w:highlight w:val="none"/>
              </w:rPr>
            </w:pPr>
          </w:p>
        </w:tc>
      </w:tr>
    </w:tbl>
    <w:p>
      <w:pPr>
        <w:spacing w:line="360" w:lineRule="auto"/>
        <w:rPr>
          <w:rFonts w:hint="eastAsia" w:ascii="宋体" w:hAnsi="宋体"/>
          <w:highlight w:val="none"/>
        </w:rPr>
      </w:pPr>
    </w:p>
    <w:p>
      <w:pPr>
        <w:jc w:val="left"/>
        <w:rPr>
          <w:rFonts w:hint="eastAsia" w:ascii="宋体" w:hAnsi="宋体"/>
          <w:highlight w:val="none"/>
        </w:rPr>
      </w:pPr>
      <w:r>
        <w:rPr>
          <w:rFonts w:hint="eastAsia" w:ascii="宋体" w:hAnsi="宋体"/>
          <w:highlight w:val="none"/>
        </w:rPr>
        <w:t>定标委员会全体成员签名：</w:t>
      </w:r>
    </w:p>
    <w:p>
      <w:pPr>
        <w:jc w:val="left"/>
        <w:rPr>
          <w:rFonts w:hint="eastAsia" w:ascii="宋体" w:hAnsi="宋体"/>
          <w:highlight w:val="none"/>
        </w:rPr>
      </w:pPr>
    </w:p>
    <w:p>
      <w:pPr>
        <w:jc w:val="left"/>
        <w:rPr>
          <w:rFonts w:hint="eastAsia" w:ascii="宋体" w:hAnsi="宋体"/>
          <w:highlight w:val="none"/>
        </w:rPr>
      </w:pPr>
    </w:p>
    <w:p>
      <w:pPr>
        <w:jc w:val="left"/>
        <w:rPr>
          <w:rFonts w:hint="eastAsia" w:ascii="宋体" w:hAnsi="宋体"/>
          <w:highlight w:val="none"/>
        </w:rPr>
      </w:pPr>
    </w:p>
    <w:p>
      <w:pPr>
        <w:jc w:val="right"/>
        <w:rPr>
          <w:rFonts w:hint="eastAsia" w:ascii="宋体" w:hAnsi="宋体"/>
          <w:highlight w:val="none"/>
        </w:rPr>
      </w:pPr>
      <w:r>
        <w:rPr>
          <w:rFonts w:hint="eastAsia" w:ascii="宋体" w:hAnsi="宋体"/>
          <w:highlight w:val="none"/>
        </w:rPr>
        <w:t>日    期：       年    月    日</w:t>
      </w:r>
    </w:p>
    <w:p>
      <w:pPr>
        <w:jc w:val="left"/>
        <w:rPr>
          <w:sz w:val="28"/>
          <w:szCs w:val="28"/>
          <w:highlight w:val="none"/>
        </w:rPr>
      </w:pPr>
      <w:r>
        <w:rPr>
          <w:rFonts w:hint="eastAsia" w:ascii="宋体" w:hAnsi="宋体" w:cs="宋体"/>
          <w:highlight w:val="none"/>
        </w:rPr>
        <w:br w:type="page"/>
      </w:r>
      <w:r>
        <w:rPr>
          <w:rFonts w:hint="eastAsia"/>
          <w:sz w:val="24"/>
          <w:szCs w:val="24"/>
          <w:highlight w:val="none"/>
        </w:rPr>
        <w:t>附表4：</w:t>
      </w:r>
    </w:p>
    <w:p>
      <w:pPr>
        <w:jc w:val="center"/>
        <w:rPr>
          <w:rFonts w:hint="eastAsia" w:ascii="宋体" w:hAnsi="宋体" w:cs="宋体"/>
          <w:b/>
          <w:sz w:val="36"/>
          <w:szCs w:val="36"/>
          <w:highlight w:val="none"/>
        </w:rPr>
      </w:pPr>
      <w:r>
        <w:rPr>
          <w:rFonts w:hint="eastAsia" w:ascii="宋体" w:hAnsi="宋体" w:cs="宋体"/>
          <w:b/>
          <w:sz w:val="36"/>
          <w:szCs w:val="36"/>
          <w:highlight w:val="none"/>
        </w:rPr>
        <w:t>附加票定标选票表</w:t>
      </w:r>
    </w:p>
    <w:p>
      <w:pPr>
        <w:jc w:val="center"/>
        <w:rPr>
          <w:rFonts w:hint="eastAsia" w:ascii="宋体" w:hAnsi="宋体" w:cs="宋体"/>
          <w:b/>
          <w:sz w:val="36"/>
          <w:szCs w:val="36"/>
          <w:highlight w:val="none"/>
        </w:rPr>
      </w:pPr>
      <w:r>
        <w:rPr>
          <w:rFonts w:hint="eastAsia" w:ascii="宋体" w:hAnsi="宋体" w:cs="宋体"/>
          <w:b/>
          <w:sz w:val="36"/>
          <w:szCs w:val="36"/>
          <w:highlight w:val="none"/>
        </w:rPr>
        <w:t>（定标阶段-票数相同时定标委员会个人用表）</w:t>
      </w:r>
    </w:p>
    <w:tbl>
      <w:tblPr>
        <w:tblStyle w:val="15"/>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955"/>
        <w:gridCol w:w="1956"/>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r>
              <w:rPr>
                <w:rFonts w:hint="eastAsia" w:ascii="宋体" w:hAnsi="宋体"/>
                <w:highlight w:val="none"/>
              </w:rPr>
              <w:t>合格中标候选人名称</w:t>
            </w:r>
          </w:p>
        </w:tc>
        <w:tc>
          <w:tcPr>
            <w:tcW w:w="195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cs="宋体"/>
                <w:kern w:val="0"/>
                <w:highlight w:val="none"/>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cs="宋体"/>
                <w:kern w:val="0"/>
                <w:highlight w:val="none"/>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cs="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highlight w:val="none"/>
              </w:rPr>
            </w:pPr>
            <w:r>
              <w:rPr>
                <w:rFonts w:hint="eastAsia" w:ascii="宋体" w:hAnsi="宋体"/>
                <w:highlight w:val="none"/>
              </w:rPr>
              <w:t>票决意见</w:t>
            </w:r>
          </w:p>
        </w:tc>
        <w:tc>
          <w:tcPr>
            <w:tcW w:w="195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cs="宋体"/>
                <w:kern w:val="0"/>
                <w:szCs w:val="24"/>
                <w:highlight w:val="none"/>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cs="宋体"/>
                <w:kern w:val="0"/>
                <w:highlight w:val="none"/>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cs="宋体"/>
                <w:kern w:val="0"/>
                <w:highlight w:val="none"/>
              </w:rPr>
            </w:pPr>
          </w:p>
        </w:tc>
      </w:tr>
    </w:tbl>
    <w:p>
      <w:pPr>
        <w:rPr>
          <w:rFonts w:hint="eastAsia" w:ascii="宋体" w:hAnsi="宋体" w:cs="宋体"/>
          <w:highlight w:val="none"/>
        </w:rPr>
      </w:pPr>
    </w:p>
    <w:p>
      <w:pPr>
        <w:spacing w:line="400" w:lineRule="exact"/>
        <w:rPr>
          <w:rFonts w:hint="eastAsia" w:ascii="宋体" w:hAnsi="宋体" w:cs="宋体"/>
          <w:highlight w:val="none"/>
        </w:rPr>
      </w:pPr>
      <w:r>
        <w:rPr>
          <w:rFonts w:hint="eastAsia" w:ascii="宋体" w:hAnsi="宋体" w:cs="宋体"/>
          <w:highlight w:val="none"/>
        </w:rPr>
        <w:t>定标委员会成员签名：</w:t>
      </w: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360" w:lineRule="auto"/>
        <w:ind w:right="-2"/>
        <w:jc w:val="right"/>
        <w:rPr>
          <w:rFonts w:hint="eastAsia" w:ascii="宋体" w:hAnsi="宋体" w:cs="宋体"/>
          <w:highlight w:val="none"/>
        </w:rPr>
      </w:pPr>
      <w:r>
        <w:rPr>
          <w:rFonts w:hint="eastAsia" w:ascii="宋体" w:hAnsi="宋体" w:cs="宋体"/>
          <w:highlight w:val="none"/>
        </w:rPr>
        <w:t>日期：     年   月   日</w:t>
      </w:r>
    </w:p>
    <w:p>
      <w:pPr>
        <w:rPr>
          <w:rFonts w:eastAsia="Times New Roman"/>
          <w:szCs w:val="20"/>
          <w:highlight w:val="none"/>
        </w:rPr>
      </w:pPr>
    </w:p>
    <w:p>
      <w:pPr>
        <w:spacing w:line="360" w:lineRule="auto"/>
        <w:rPr>
          <w:rFonts w:hint="eastAsia" w:ascii="宋体" w:hAnsi="宋体" w:cs="宋体"/>
          <w:bCs/>
          <w:highlight w:val="none"/>
        </w:rPr>
      </w:pPr>
      <w:r>
        <w:rPr>
          <w:rFonts w:hint="eastAsia" w:ascii="宋体" w:hAnsi="宋体" w:cs="宋体"/>
          <w:bCs/>
          <w:highlight w:val="none"/>
        </w:rPr>
        <w:t>注：1、本表用于投票出现票数相同的情况。</w:t>
      </w:r>
    </w:p>
    <w:p>
      <w:pPr>
        <w:spacing w:line="360" w:lineRule="auto"/>
        <w:ind w:firstLine="420" w:firstLineChars="200"/>
        <w:rPr>
          <w:rFonts w:hint="eastAsia" w:ascii="宋体" w:hAnsi="宋体" w:cs="宋体"/>
          <w:bCs/>
          <w:highlight w:val="none"/>
        </w:rPr>
      </w:pPr>
      <w:r>
        <w:rPr>
          <w:rFonts w:hint="eastAsia" w:ascii="宋体" w:hAnsi="宋体" w:cs="宋体"/>
          <w:bCs/>
          <w:highlight w:val="none"/>
        </w:rPr>
        <w:t>2、由定标委员会成员进行附加投票，票决意见分别为“投票”或“不投票”，各定标委员会成员只有1票表决权（即只能对其中一名合格中标候选人“投票”），票决意见为“投票”的，用“○”表示；票决意见为“不投票”，用“×”表示。</w:t>
      </w:r>
    </w:p>
    <w:p>
      <w:pPr>
        <w:jc w:val="left"/>
        <w:rPr>
          <w:sz w:val="28"/>
          <w:szCs w:val="28"/>
          <w:highlight w:val="none"/>
        </w:rPr>
      </w:pPr>
      <w:r>
        <w:rPr>
          <w:rFonts w:hint="eastAsia" w:ascii="宋体" w:hAnsi="宋体" w:cs="宋体"/>
          <w:bCs/>
          <w:highlight w:val="none"/>
        </w:rPr>
        <w:br w:type="page"/>
      </w:r>
      <w:r>
        <w:rPr>
          <w:rFonts w:hint="eastAsia"/>
          <w:sz w:val="24"/>
          <w:szCs w:val="24"/>
          <w:highlight w:val="none"/>
        </w:rPr>
        <w:t>附表5：</w:t>
      </w:r>
    </w:p>
    <w:p>
      <w:pPr>
        <w:adjustRightInd w:val="0"/>
        <w:snapToGrid w:val="0"/>
        <w:spacing w:line="276" w:lineRule="auto"/>
        <w:ind w:firstLine="723" w:firstLineChars="200"/>
        <w:jc w:val="center"/>
        <w:rPr>
          <w:rFonts w:hint="eastAsia" w:ascii="宋体" w:hAnsi="宋体" w:cs="宋体"/>
          <w:b/>
          <w:sz w:val="36"/>
          <w:szCs w:val="36"/>
          <w:highlight w:val="none"/>
        </w:rPr>
      </w:pPr>
      <w:r>
        <w:rPr>
          <w:rFonts w:hint="eastAsia" w:ascii="宋体" w:hAnsi="宋体" w:cs="宋体"/>
          <w:b/>
          <w:sz w:val="36"/>
          <w:szCs w:val="36"/>
          <w:highlight w:val="none"/>
        </w:rPr>
        <w:t>附加票定标选票表汇总表</w:t>
      </w:r>
    </w:p>
    <w:p>
      <w:pPr>
        <w:adjustRightInd w:val="0"/>
        <w:snapToGrid w:val="0"/>
        <w:spacing w:line="276" w:lineRule="auto"/>
        <w:ind w:firstLine="723" w:firstLineChars="200"/>
        <w:jc w:val="center"/>
        <w:rPr>
          <w:rFonts w:hint="eastAsia" w:ascii="宋体" w:hAnsi="宋体" w:cs="宋体"/>
          <w:b/>
          <w:bCs/>
          <w:kern w:val="0"/>
          <w:sz w:val="36"/>
          <w:szCs w:val="36"/>
          <w:highlight w:val="none"/>
        </w:rPr>
      </w:pPr>
      <w:r>
        <w:rPr>
          <w:rFonts w:hint="eastAsia" w:ascii="宋体" w:hAnsi="宋体" w:cs="宋体"/>
          <w:b/>
          <w:sz w:val="36"/>
          <w:szCs w:val="36"/>
          <w:highlight w:val="none"/>
        </w:rPr>
        <w:t>（定标阶段-票数相同时定标委员会汇总用表）</w:t>
      </w:r>
    </w:p>
    <w:p>
      <w:pPr>
        <w:jc w:val="left"/>
        <w:rPr>
          <w:rFonts w:hint="eastAsia" w:ascii="宋体" w:hAnsi="宋体"/>
          <w:highlight w:val="none"/>
        </w:rPr>
      </w:pPr>
    </w:p>
    <w:tbl>
      <w:tblPr>
        <w:tblStyle w:val="15"/>
        <w:tblW w:w="4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5075"/>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序号</w:t>
            </w:r>
          </w:p>
        </w:tc>
        <w:tc>
          <w:tcPr>
            <w:tcW w:w="310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highlight w:val="none"/>
              </w:rPr>
              <w:t>合格中标候选人</w:t>
            </w:r>
            <w:r>
              <w:rPr>
                <w:rFonts w:hint="eastAsia" w:ascii="宋体" w:hAnsi="宋体" w:cs="宋体"/>
                <w:highlight w:val="none"/>
              </w:rPr>
              <w:t>名称</w:t>
            </w:r>
          </w:p>
        </w:tc>
        <w:tc>
          <w:tcPr>
            <w:tcW w:w="10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得票数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2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highlight w:val="none"/>
              </w:rPr>
            </w:pPr>
            <w:r>
              <w:rPr>
                <w:rFonts w:hint="eastAsia" w:ascii="宋体" w:hAnsi="宋体" w:cs="宋体"/>
                <w:sz w:val="24"/>
                <w:highlight w:val="none"/>
              </w:rPr>
              <w:t>1</w:t>
            </w:r>
          </w:p>
        </w:tc>
        <w:tc>
          <w:tcPr>
            <w:tcW w:w="310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highlight w:val="none"/>
              </w:rPr>
            </w:pPr>
          </w:p>
        </w:tc>
        <w:tc>
          <w:tcPr>
            <w:tcW w:w="10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2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highlight w:val="none"/>
              </w:rPr>
            </w:pPr>
            <w:r>
              <w:rPr>
                <w:rFonts w:hint="eastAsia" w:ascii="宋体" w:hAnsi="宋体" w:cs="宋体"/>
                <w:sz w:val="24"/>
                <w:highlight w:val="none"/>
              </w:rPr>
              <w:t>2</w:t>
            </w:r>
          </w:p>
        </w:tc>
        <w:tc>
          <w:tcPr>
            <w:tcW w:w="310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highlight w:val="none"/>
              </w:rPr>
            </w:pPr>
          </w:p>
        </w:tc>
        <w:tc>
          <w:tcPr>
            <w:tcW w:w="10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2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highlight w:val="none"/>
              </w:rPr>
            </w:pPr>
            <w:r>
              <w:rPr>
                <w:rFonts w:hint="eastAsia" w:ascii="宋体" w:hAnsi="宋体" w:cs="宋体"/>
                <w:sz w:val="24"/>
                <w:highlight w:val="none"/>
              </w:rPr>
              <w:t>3</w:t>
            </w:r>
          </w:p>
        </w:tc>
        <w:tc>
          <w:tcPr>
            <w:tcW w:w="310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highlight w:val="none"/>
              </w:rPr>
            </w:pPr>
          </w:p>
        </w:tc>
        <w:tc>
          <w:tcPr>
            <w:tcW w:w="10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highlight w:val="none"/>
              </w:rPr>
            </w:pPr>
          </w:p>
        </w:tc>
      </w:tr>
    </w:tbl>
    <w:p>
      <w:pPr>
        <w:spacing w:line="400" w:lineRule="exact"/>
        <w:rPr>
          <w:rFonts w:hint="eastAsia" w:ascii="宋体" w:hAnsi="宋体" w:cs="宋体"/>
          <w:sz w:val="24"/>
          <w:szCs w:val="24"/>
          <w:highlight w:val="none"/>
        </w:rPr>
      </w:pPr>
      <w:r>
        <w:rPr>
          <w:rFonts w:hint="eastAsia" w:ascii="宋体" w:hAnsi="宋体"/>
          <w:highlight w:val="none"/>
        </w:rPr>
        <w:t>定标委员会全体成员签名：</w:t>
      </w:r>
    </w:p>
    <w:p>
      <w:pPr>
        <w:spacing w:line="400" w:lineRule="exact"/>
        <w:rPr>
          <w:rFonts w:hint="eastAsia" w:ascii="宋体" w:hAnsi="宋体" w:cs="宋体"/>
          <w:sz w:val="24"/>
          <w:szCs w:val="24"/>
          <w:highlight w:val="none"/>
        </w:rPr>
      </w:pPr>
    </w:p>
    <w:p>
      <w:pPr>
        <w:spacing w:line="400" w:lineRule="exact"/>
        <w:rPr>
          <w:rFonts w:hint="eastAsia" w:ascii="宋体" w:hAnsi="宋体" w:cs="宋体"/>
          <w:sz w:val="24"/>
          <w:szCs w:val="24"/>
          <w:highlight w:val="none"/>
        </w:rPr>
      </w:pPr>
    </w:p>
    <w:p>
      <w:pPr>
        <w:spacing w:line="360" w:lineRule="auto"/>
        <w:jc w:val="right"/>
        <w:rPr>
          <w:rFonts w:hint="eastAsia" w:ascii="宋体" w:hAnsi="宋体" w:cs="宋体"/>
          <w:highlight w:val="none"/>
        </w:rPr>
      </w:pPr>
      <w:r>
        <w:rPr>
          <w:rFonts w:hint="eastAsia" w:ascii="宋体" w:hAnsi="宋体" w:cs="宋体"/>
          <w:highlight w:val="none"/>
        </w:rPr>
        <w:t>日期：     年   月   日</w:t>
      </w:r>
    </w:p>
    <w:p>
      <w:pPr>
        <w:jc w:val="left"/>
        <w:rPr>
          <w:sz w:val="28"/>
          <w:szCs w:val="28"/>
          <w:highlight w:val="none"/>
        </w:rPr>
      </w:pPr>
      <w:r>
        <w:rPr>
          <w:rFonts w:hint="eastAsia" w:ascii="宋体" w:hAnsi="宋体" w:cs="宋体"/>
          <w:highlight w:val="none"/>
        </w:rPr>
        <w:br w:type="page"/>
      </w:r>
      <w:r>
        <w:rPr>
          <w:rFonts w:hint="eastAsia"/>
          <w:sz w:val="24"/>
          <w:szCs w:val="24"/>
          <w:highlight w:val="none"/>
        </w:rPr>
        <w:t>附表6：</w:t>
      </w:r>
    </w:p>
    <w:p>
      <w:pPr>
        <w:jc w:val="center"/>
        <w:rPr>
          <w:rFonts w:hint="eastAsia" w:ascii="宋体" w:hAnsi="宋体"/>
          <w:b/>
          <w:sz w:val="36"/>
          <w:szCs w:val="36"/>
          <w:highlight w:val="none"/>
        </w:rPr>
      </w:pPr>
      <w:r>
        <w:rPr>
          <w:rFonts w:hint="eastAsia" w:ascii="宋体" w:hAnsi="宋体"/>
          <w:b/>
          <w:sz w:val="36"/>
          <w:szCs w:val="36"/>
          <w:highlight w:val="none"/>
        </w:rPr>
        <w:t>定标情况汇总表（定标阶段）</w:t>
      </w:r>
    </w:p>
    <w:p>
      <w:pPr>
        <w:jc w:val="left"/>
        <w:rPr>
          <w:rFonts w:hint="eastAsia" w:ascii="宋体" w:hAnsi="宋体"/>
          <w:highlight w:val="none"/>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350"/>
        <w:gridCol w:w="929"/>
        <w:gridCol w:w="177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序号</w:t>
            </w:r>
          </w:p>
        </w:tc>
        <w:tc>
          <w:tcPr>
            <w:tcW w:w="1965" w:type="pct"/>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4"/>
                <w:highlight w:val="none"/>
              </w:rPr>
            </w:pPr>
            <w:r>
              <w:rPr>
                <w:rFonts w:hint="eastAsia" w:ascii="宋体" w:hAnsi="宋体"/>
                <w:highlight w:val="none"/>
              </w:rPr>
              <w:t>合格中标候选人</w:t>
            </w:r>
            <w:r>
              <w:rPr>
                <w:rFonts w:hint="eastAsia" w:ascii="宋体" w:hAnsi="宋体" w:cs="宋体"/>
                <w:szCs w:val="24"/>
                <w:highlight w:val="none"/>
              </w:rPr>
              <w:t>名称</w:t>
            </w:r>
          </w:p>
        </w:tc>
        <w:tc>
          <w:tcPr>
            <w:tcW w:w="545" w:type="pct"/>
            <w:tcBorders>
              <w:top w:val="single" w:color="auto" w:sz="4" w:space="0"/>
              <w:left w:val="nil"/>
              <w:bottom w:val="single" w:color="auto" w:sz="4" w:space="0"/>
              <w:right w:val="single" w:color="auto" w:sz="4" w:space="0"/>
            </w:tcBorders>
            <w:vAlign w:val="center"/>
          </w:tcPr>
          <w:p>
            <w:pPr>
              <w:jc w:val="center"/>
              <w:rPr>
                <w:rFonts w:hint="eastAsia" w:ascii="宋体" w:hAnsi="宋体" w:cs="宋体"/>
                <w:szCs w:val="24"/>
                <w:highlight w:val="none"/>
              </w:rPr>
            </w:pPr>
            <w:r>
              <w:rPr>
                <w:rFonts w:hint="eastAsia" w:ascii="宋体" w:hAnsi="宋体" w:cs="宋体"/>
                <w:szCs w:val="24"/>
                <w:highlight w:val="none"/>
              </w:rPr>
              <w:t>第一轮得票数</w:t>
            </w:r>
          </w:p>
        </w:tc>
        <w:tc>
          <w:tcPr>
            <w:tcW w:w="1040" w:type="pct"/>
            <w:tcBorders>
              <w:top w:val="single" w:color="auto" w:sz="4" w:space="0"/>
              <w:left w:val="nil"/>
              <w:bottom w:val="single" w:color="auto" w:sz="4" w:space="0"/>
              <w:right w:val="single" w:color="auto" w:sz="4" w:space="0"/>
            </w:tcBorders>
          </w:tcPr>
          <w:p>
            <w:pPr>
              <w:jc w:val="center"/>
              <w:rPr>
                <w:rFonts w:hint="eastAsia" w:ascii="宋体" w:hAnsi="宋体" w:cs="宋体"/>
                <w:szCs w:val="24"/>
                <w:highlight w:val="none"/>
              </w:rPr>
            </w:pPr>
            <w:r>
              <w:rPr>
                <w:rFonts w:hint="eastAsia" w:ascii="宋体" w:hAnsi="宋体" w:cs="宋体"/>
                <w:szCs w:val="24"/>
                <w:highlight w:val="none"/>
              </w:rPr>
              <w:t>附加投票</w:t>
            </w:r>
          </w:p>
          <w:p>
            <w:pPr>
              <w:jc w:val="center"/>
              <w:rPr>
                <w:rFonts w:hint="eastAsia" w:ascii="宋体" w:hAnsi="宋体" w:cs="宋体"/>
                <w:szCs w:val="24"/>
                <w:highlight w:val="none"/>
              </w:rPr>
            </w:pPr>
            <w:r>
              <w:rPr>
                <w:rFonts w:hint="eastAsia" w:ascii="宋体" w:hAnsi="宋体" w:cs="宋体"/>
                <w:szCs w:val="24"/>
                <w:highlight w:val="none"/>
              </w:rPr>
              <w:t>（如有）</w:t>
            </w:r>
          </w:p>
        </w:tc>
        <w:tc>
          <w:tcPr>
            <w:tcW w:w="104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4"/>
                <w:highlight w:val="none"/>
              </w:rPr>
            </w:pPr>
            <w:r>
              <w:rPr>
                <w:rFonts w:hint="eastAsia" w:ascii="宋体" w:hAnsi="宋体" w:cs="宋体"/>
                <w:szCs w:val="24"/>
                <w:highlight w:val="none"/>
              </w:rPr>
              <w:t>是否被推荐为中标人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1</w:t>
            </w:r>
          </w:p>
        </w:tc>
        <w:tc>
          <w:tcPr>
            <w:tcW w:w="1965" w:type="pct"/>
            <w:tcBorders>
              <w:top w:val="single" w:color="auto" w:sz="4" w:space="0"/>
              <w:left w:val="nil"/>
              <w:bottom w:val="single" w:color="auto" w:sz="4" w:space="0"/>
              <w:right w:val="single" w:color="auto" w:sz="4" w:space="0"/>
            </w:tcBorders>
            <w:vAlign w:val="center"/>
          </w:tcPr>
          <w:p>
            <w:pPr>
              <w:jc w:val="center"/>
              <w:rPr>
                <w:rFonts w:hint="eastAsia" w:ascii="宋体" w:hAnsi="宋体" w:cs="宋体"/>
                <w:sz w:val="24"/>
                <w:szCs w:val="24"/>
                <w:highlight w:val="none"/>
              </w:rPr>
            </w:pPr>
          </w:p>
        </w:tc>
        <w:tc>
          <w:tcPr>
            <w:tcW w:w="545" w:type="pct"/>
            <w:tcBorders>
              <w:top w:val="single" w:color="auto" w:sz="4" w:space="0"/>
              <w:left w:val="nil"/>
              <w:bottom w:val="single" w:color="auto" w:sz="4" w:space="0"/>
              <w:right w:val="single" w:color="auto" w:sz="4" w:space="0"/>
            </w:tcBorders>
            <w:vAlign w:val="center"/>
          </w:tcPr>
          <w:p>
            <w:pPr>
              <w:jc w:val="center"/>
              <w:rPr>
                <w:rFonts w:hint="eastAsia" w:ascii="宋体" w:hAnsi="宋体" w:cs="宋体"/>
                <w:sz w:val="24"/>
                <w:szCs w:val="24"/>
                <w:highlight w:val="none"/>
              </w:rPr>
            </w:pPr>
          </w:p>
        </w:tc>
        <w:tc>
          <w:tcPr>
            <w:tcW w:w="1040" w:type="pct"/>
            <w:tcBorders>
              <w:top w:val="single" w:color="auto" w:sz="4" w:space="0"/>
              <w:left w:val="nil"/>
              <w:bottom w:val="single" w:color="auto" w:sz="4" w:space="0"/>
              <w:right w:val="single" w:color="auto" w:sz="4" w:space="0"/>
            </w:tcBorders>
          </w:tcPr>
          <w:p>
            <w:pPr>
              <w:jc w:val="center"/>
              <w:rPr>
                <w:rFonts w:hint="eastAsia" w:ascii="宋体" w:hAnsi="宋体" w:cs="宋体"/>
                <w:sz w:val="24"/>
                <w:szCs w:val="24"/>
                <w:highlight w:val="none"/>
              </w:rPr>
            </w:pPr>
          </w:p>
        </w:tc>
        <w:tc>
          <w:tcPr>
            <w:tcW w:w="104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2</w:t>
            </w:r>
          </w:p>
        </w:tc>
        <w:tc>
          <w:tcPr>
            <w:tcW w:w="1965" w:type="pct"/>
            <w:tcBorders>
              <w:top w:val="single" w:color="auto" w:sz="4" w:space="0"/>
              <w:left w:val="nil"/>
              <w:bottom w:val="single" w:color="auto" w:sz="4" w:space="0"/>
              <w:right w:val="single" w:color="auto" w:sz="4" w:space="0"/>
            </w:tcBorders>
            <w:vAlign w:val="center"/>
          </w:tcPr>
          <w:p>
            <w:pPr>
              <w:jc w:val="center"/>
              <w:rPr>
                <w:rFonts w:hint="eastAsia" w:ascii="宋体" w:hAnsi="宋体" w:cs="宋体"/>
                <w:sz w:val="24"/>
                <w:szCs w:val="24"/>
                <w:highlight w:val="none"/>
              </w:rPr>
            </w:pPr>
          </w:p>
        </w:tc>
        <w:tc>
          <w:tcPr>
            <w:tcW w:w="545" w:type="pct"/>
            <w:tcBorders>
              <w:top w:val="single" w:color="auto" w:sz="4" w:space="0"/>
              <w:left w:val="nil"/>
              <w:bottom w:val="single" w:color="auto" w:sz="4" w:space="0"/>
              <w:right w:val="single" w:color="auto" w:sz="4" w:space="0"/>
            </w:tcBorders>
            <w:vAlign w:val="center"/>
          </w:tcPr>
          <w:p>
            <w:pPr>
              <w:jc w:val="center"/>
              <w:rPr>
                <w:rFonts w:hint="eastAsia" w:ascii="宋体" w:hAnsi="宋体" w:cs="宋体"/>
                <w:sz w:val="24"/>
                <w:szCs w:val="24"/>
                <w:highlight w:val="none"/>
              </w:rPr>
            </w:pPr>
          </w:p>
        </w:tc>
        <w:tc>
          <w:tcPr>
            <w:tcW w:w="1040" w:type="pct"/>
            <w:tcBorders>
              <w:top w:val="single" w:color="auto" w:sz="4" w:space="0"/>
              <w:left w:val="nil"/>
              <w:bottom w:val="single" w:color="auto" w:sz="4" w:space="0"/>
              <w:right w:val="single" w:color="auto" w:sz="4" w:space="0"/>
            </w:tcBorders>
          </w:tcPr>
          <w:p>
            <w:pPr>
              <w:jc w:val="center"/>
              <w:rPr>
                <w:rFonts w:hint="eastAsia" w:ascii="宋体" w:hAnsi="宋体" w:cs="宋体"/>
                <w:sz w:val="24"/>
                <w:szCs w:val="24"/>
                <w:highlight w:val="none"/>
              </w:rPr>
            </w:pPr>
          </w:p>
        </w:tc>
        <w:tc>
          <w:tcPr>
            <w:tcW w:w="104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3</w:t>
            </w:r>
          </w:p>
        </w:tc>
        <w:tc>
          <w:tcPr>
            <w:tcW w:w="1965" w:type="pct"/>
            <w:tcBorders>
              <w:top w:val="single" w:color="auto" w:sz="4" w:space="0"/>
              <w:left w:val="nil"/>
              <w:bottom w:val="single" w:color="auto" w:sz="4" w:space="0"/>
              <w:right w:val="single" w:color="auto" w:sz="4" w:space="0"/>
            </w:tcBorders>
            <w:vAlign w:val="center"/>
          </w:tcPr>
          <w:p>
            <w:pPr>
              <w:jc w:val="center"/>
              <w:rPr>
                <w:rFonts w:hint="eastAsia" w:ascii="宋体" w:hAnsi="宋体" w:cs="宋体"/>
                <w:sz w:val="24"/>
                <w:szCs w:val="24"/>
                <w:highlight w:val="none"/>
              </w:rPr>
            </w:pPr>
          </w:p>
        </w:tc>
        <w:tc>
          <w:tcPr>
            <w:tcW w:w="545" w:type="pct"/>
            <w:tcBorders>
              <w:top w:val="single" w:color="auto" w:sz="4" w:space="0"/>
              <w:left w:val="nil"/>
              <w:bottom w:val="single" w:color="auto" w:sz="4" w:space="0"/>
              <w:right w:val="single" w:color="auto" w:sz="4" w:space="0"/>
            </w:tcBorders>
            <w:vAlign w:val="center"/>
          </w:tcPr>
          <w:p>
            <w:pPr>
              <w:jc w:val="center"/>
              <w:rPr>
                <w:rFonts w:hint="eastAsia" w:ascii="宋体" w:hAnsi="宋体" w:cs="宋体"/>
                <w:sz w:val="24"/>
                <w:szCs w:val="24"/>
                <w:highlight w:val="none"/>
              </w:rPr>
            </w:pPr>
          </w:p>
        </w:tc>
        <w:tc>
          <w:tcPr>
            <w:tcW w:w="1040" w:type="pct"/>
            <w:tcBorders>
              <w:top w:val="single" w:color="auto" w:sz="4" w:space="0"/>
              <w:left w:val="nil"/>
              <w:bottom w:val="single" w:color="auto" w:sz="4" w:space="0"/>
              <w:right w:val="single" w:color="auto" w:sz="4" w:space="0"/>
            </w:tcBorders>
          </w:tcPr>
          <w:p>
            <w:pPr>
              <w:jc w:val="center"/>
              <w:rPr>
                <w:rFonts w:hint="eastAsia" w:ascii="宋体" w:hAnsi="宋体" w:cs="宋体"/>
                <w:sz w:val="24"/>
                <w:szCs w:val="24"/>
                <w:highlight w:val="none"/>
              </w:rPr>
            </w:pPr>
          </w:p>
        </w:tc>
        <w:tc>
          <w:tcPr>
            <w:tcW w:w="104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highlight w:val="none"/>
              </w:rPr>
            </w:pPr>
          </w:p>
        </w:tc>
      </w:tr>
    </w:tbl>
    <w:p>
      <w:pPr>
        <w:rPr>
          <w:rFonts w:hint="eastAsia" w:ascii="宋体" w:hAnsi="宋体" w:cs="宋体"/>
          <w:highlight w:val="none"/>
        </w:rPr>
      </w:pPr>
    </w:p>
    <w:p>
      <w:pPr>
        <w:spacing w:line="400" w:lineRule="exact"/>
        <w:rPr>
          <w:rFonts w:hint="eastAsia" w:ascii="宋体" w:hAnsi="宋体" w:cs="宋体"/>
          <w:sz w:val="24"/>
          <w:szCs w:val="24"/>
          <w:highlight w:val="none"/>
        </w:rPr>
      </w:pPr>
      <w:r>
        <w:rPr>
          <w:rFonts w:hint="eastAsia" w:ascii="宋体" w:hAnsi="宋体"/>
          <w:highlight w:val="none"/>
        </w:rPr>
        <w:t>定标委员会全体成员签名：</w:t>
      </w:r>
    </w:p>
    <w:p>
      <w:pPr>
        <w:spacing w:line="400" w:lineRule="exact"/>
        <w:rPr>
          <w:rFonts w:hint="eastAsia" w:ascii="宋体" w:hAnsi="宋体" w:cs="宋体"/>
          <w:sz w:val="24"/>
          <w:szCs w:val="24"/>
          <w:highlight w:val="none"/>
        </w:rPr>
      </w:pPr>
    </w:p>
    <w:p>
      <w:pPr>
        <w:spacing w:line="400" w:lineRule="exact"/>
        <w:rPr>
          <w:rFonts w:hint="eastAsia" w:ascii="宋体" w:hAnsi="宋体" w:cs="宋体"/>
          <w:sz w:val="24"/>
          <w:szCs w:val="24"/>
          <w:highlight w:val="none"/>
        </w:rPr>
      </w:pPr>
    </w:p>
    <w:p>
      <w:pPr>
        <w:spacing w:line="360" w:lineRule="auto"/>
        <w:ind w:right="-2"/>
        <w:jc w:val="right"/>
        <w:rPr>
          <w:rFonts w:hint="eastAsia" w:ascii="宋体" w:hAnsi="宋体" w:cs="宋体"/>
          <w:sz w:val="24"/>
          <w:szCs w:val="24"/>
          <w:highlight w:val="none"/>
        </w:rPr>
      </w:pPr>
      <w:r>
        <w:rPr>
          <w:rFonts w:hint="eastAsia" w:ascii="宋体" w:hAnsi="宋体" w:cs="宋体"/>
          <w:highlight w:val="none"/>
        </w:rPr>
        <w:t>日期：     年   月   日</w:t>
      </w:r>
    </w:p>
    <w:p>
      <w:pPr>
        <w:rPr>
          <w:rFonts w:hint="eastAsia" w:ascii="宋体" w:hAnsi="宋体" w:cs="宋体"/>
          <w:sz w:val="22"/>
          <w:highlight w:val="none"/>
        </w:rPr>
      </w:pPr>
    </w:p>
    <w:p>
      <w:pPr>
        <w:widowControl/>
        <w:spacing w:before="240" w:after="240"/>
        <w:jc w:val="left"/>
        <w:rPr>
          <w:rFonts w:hint="eastAsia" w:ascii="宋体" w:hAnsi="宋体"/>
          <w:sz w:val="27"/>
          <w:szCs w:val="27"/>
          <w:highlight w:val="none"/>
        </w:rPr>
      </w:pPr>
      <w:r>
        <w:rPr>
          <w:rFonts w:hint="eastAsia" w:ascii="宋体" w:hAnsi="宋体" w:cs="宋体"/>
          <w:highlight w:val="none"/>
        </w:rPr>
        <w:t>注：定标委员会成员须根据每轮的投票结果，得票数最多的合格的中标候选人为中标人。</w:t>
      </w:r>
    </w:p>
    <w:p>
      <w:pPr>
        <w:widowControl/>
        <w:spacing w:before="240" w:after="240"/>
        <w:jc w:val="left"/>
        <w:rPr>
          <w:rFonts w:hint="eastAsia" w:ascii="宋体" w:hAnsi="宋体"/>
          <w:sz w:val="27"/>
          <w:szCs w:val="27"/>
          <w:highlight w:val="none"/>
        </w:rPr>
      </w:pPr>
      <w:r>
        <w:rPr>
          <w:rFonts w:ascii="宋体" w:hAnsi="宋体"/>
          <w:sz w:val="27"/>
          <w:szCs w:val="27"/>
          <w:highlight w:val="none"/>
        </w:rPr>
        <w:br w:type="page"/>
      </w:r>
    </w:p>
    <w:p>
      <w:pPr>
        <w:spacing w:line="360" w:lineRule="auto"/>
        <w:jc w:val="left"/>
        <w:rPr>
          <w:b/>
          <w:highlight w:val="none"/>
        </w:rPr>
      </w:pPr>
      <w:bookmarkStart w:id="33" w:name="_Toc12019"/>
      <w:bookmarkStart w:id="34" w:name="_Toc25077"/>
      <w:bookmarkStart w:id="35" w:name="_Toc24553"/>
      <w:bookmarkStart w:id="36" w:name="_Toc13273"/>
      <w:bookmarkStart w:id="37" w:name="_Toc290"/>
      <w:bookmarkStart w:id="38" w:name="_Toc503517985"/>
      <w:bookmarkStart w:id="39" w:name="_Toc16581"/>
      <w:bookmarkStart w:id="40" w:name="_Toc14395"/>
      <w:bookmarkStart w:id="41" w:name="_Toc25893"/>
      <w:bookmarkStart w:id="42" w:name="_Toc24498"/>
      <w:bookmarkStart w:id="43" w:name="_Toc1144"/>
      <w:r>
        <w:rPr>
          <w:b/>
          <w:highlight w:val="none"/>
        </w:rPr>
        <w:t>1. 评标</w:t>
      </w:r>
      <w:r>
        <w:rPr>
          <w:rFonts w:hint="eastAsia"/>
          <w:b/>
          <w:highlight w:val="none"/>
        </w:rPr>
        <w:t>（定标）</w:t>
      </w:r>
      <w:r>
        <w:rPr>
          <w:b/>
          <w:highlight w:val="none"/>
        </w:rPr>
        <w:t>方法</w:t>
      </w:r>
      <w:bookmarkEnd w:id="33"/>
      <w:bookmarkEnd w:id="34"/>
      <w:bookmarkEnd w:id="35"/>
      <w:bookmarkEnd w:id="36"/>
      <w:bookmarkEnd w:id="37"/>
      <w:bookmarkEnd w:id="38"/>
      <w:bookmarkEnd w:id="39"/>
      <w:bookmarkEnd w:id="40"/>
      <w:bookmarkEnd w:id="41"/>
      <w:bookmarkEnd w:id="42"/>
      <w:bookmarkEnd w:id="43"/>
    </w:p>
    <w:p>
      <w:pPr>
        <w:spacing w:line="360" w:lineRule="auto"/>
        <w:ind w:firstLine="480" w:firstLineChars="200"/>
        <w:rPr>
          <w:rFonts w:hint="eastAsia" w:ascii="宋体" w:hAnsi="宋体"/>
          <w:sz w:val="24"/>
          <w:highlight w:val="none"/>
        </w:rPr>
      </w:pPr>
      <w:r>
        <w:rPr>
          <w:rFonts w:ascii="宋体" w:hAnsi="宋体"/>
          <w:sz w:val="24"/>
          <w:highlight w:val="none"/>
        </w:rPr>
        <w:t>本次招标采用评定分离，评标采用双信封的综合评估法，采取电子评标，定标采用票决定标法确定</w:t>
      </w:r>
      <w:r>
        <w:rPr>
          <w:rFonts w:hint="eastAsia" w:ascii="宋体" w:hAnsi="宋体"/>
          <w:sz w:val="24"/>
          <w:highlight w:val="none"/>
        </w:rPr>
        <w:t>中标候选人排序</w:t>
      </w:r>
      <w:r>
        <w:rPr>
          <w:rFonts w:ascii="宋体" w:hAnsi="宋体"/>
          <w:sz w:val="24"/>
          <w:highlight w:val="none"/>
        </w:rPr>
        <w:t>。评标委员会按招标文件规定的评标标准和方法对投标文件进行评审比较，并按《投标人须知前附表》规定的方法推荐合格中标候选人进入定标环节【按投标人统一社会信用代码后4位（除校验码外）大小排位，如统一社会信用代码后4位出现字母情况的，字母以“0”进行代替大小排位；如出现后4位（除校验码外）大小一致的，则随机排位】。</w:t>
      </w:r>
    </w:p>
    <w:p>
      <w:pPr>
        <w:spacing w:line="360" w:lineRule="auto"/>
        <w:rPr>
          <w:rFonts w:hint="eastAsia" w:ascii="宋体" w:hAnsi="宋体"/>
          <w:sz w:val="24"/>
          <w:highlight w:val="none"/>
        </w:rPr>
      </w:pPr>
      <w:r>
        <w:rPr>
          <w:rFonts w:ascii="宋体" w:hAnsi="宋体"/>
          <w:sz w:val="24"/>
          <w:highlight w:val="none"/>
        </w:rPr>
        <w:t>1.1</w:t>
      </w:r>
      <w:r>
        <w:rPr>
          <w:rFonts w:hint="eastAsia" w:ascii="宋体" w:hAnsi="宋体"/>
          <w:sz w:val="24"/>
          <w:highlight w:val="none"/>
        </w:rPr>
        <w:t>评标方法</w:t>
      </w:r>
    </w:p>
    <w:p>
      <w:pPr>
        <w:spacing w:line="360" w:lineRule="auto"/>
        <w:ind w:firstLine="480" w:firstLineChars="200"/>
        <w:rPr>
          <w:rFonts w:hint="eastAsia" w:ascii="宋体" w:hAnsi="宋体"/>
          <w:sz w:val="24"/>
          <w:highlight w:val="none"/>
        </w:rPr>
      </w:pPr>
      <w:r>
        <w:rPr>
          <w:rFonts w:hint="eastAsia" w:ascii="宋体" w:hAnsi="宋体"/>
          <w:sz w:val="24"/>
          <w:highlight w:val="none"/>
        </w:rPr>
        <w:t>本次评标采用双信封的综合评估法。评标委员会对满足招标文件实质性要求的投标文件，按照本章第</w:t>
      </w:r>
      <w:r>
        <w:rPr>
          <w:rFonts w:ascii="宋体" w:hAnsi="宋体"/>
          <w:sz w:val="24"/>
          <w:highlight w:val="none"/>
        </w:rPr>
        <w:t>2.2款</w:t>
      </w:r>
      <w:r>
        <w:rPr>
          <w:rFonts w:hint="eastAsia" w:ascii="宋体" w:hAnsi="宋体"/>
          <w:sz w:val="24"/>
          <w:highlight w:val="none"/>
        </w:rPr>
        <w:t>规定的评分标准进行打分，并按得分由高到低顺序推荐中标候选人，但投标报价低于其成本的除外。综合评分相等时，评标委员会应按照评标办法前附表规定的优先次序推荐中标候选人。</w:t>
      </w:r>
    </w:p>
    <w:p>
      <w:pPr>
        <w:spacing w:line="360" w:lineRule="auto"/>
        <w:rPr>
          <w:rFonts w:hint="eastAsia" w:ascii="宋体" w:hAnsi="宋体"/>
          <w:sz w:val="24"/>
          <w:highlight w:val="none"/>
        </w:rPr>
      </w:pPr>
      <w:r>
        <w:rPr>
          <w:rFonts w:ascii="宋体" w:hAnsi="宋体"/>
          <w:sz w:val="24"/>
          <w:highlight w:val="none"/>
        </w:rPr>
        <w:t>1.2</w:t>
      </w:r>
      <w:r>
        <w:rPr>
          <w:rFonts w:hint="eastAsia" w:ascii="宋体" w:hAnsi="宋体"/>
          <w:sz w:val="24"/>
          <w:highlight w:val="none"/>
        </w:rPr>
        <w:t>评标组织</w:t>
      </w:r>
    </w:p>
    <w:p>
      <w:pPr>
        <w:spacing w:line="360" w:lineRule="auto"/>
        <w:ind w:firstLine="480" w:firstLineChars="200"/>
        <w:rPr>
          <w:rFonts w:hint="eastAsia" w:ascii="宋体" w:hAnsi="宋体"/>
          <w:sz w:val="24"/>
          <w:highlight w:val="none"/>
        </w:rPr>
      </w:pPr>
      <w:r>
        <w:rPr>
          <w:rFonts w:ascii="宋体" w:hAnsi="宋体"/>
          <w:sz w:val="24"/>
          <w:highlight w:val="none"/>
        </w:rPr>
        <w:t>1.2.1</w:t>
      </w:r>
      <w:r>
        <w:rPr>
          <w:rFonts w:hint="eastAsia" w:ascii="宋体" w:hAnsi="宋体"/>
          <w:sz w:val="24"/>
          <w:highlight w:val="none"/>
        </w:rPr>
        <w:t>协助工作组</w:t>
      </w:r>
    </w:p>
    <w:p>
      <w:pPr>
        <w:spacing w:line="360" w:lineRule="auto"/>
        <w:ind w:firstLine="480" w:firstLineChars="200"/>
        <w:rPr>
          <w:rFonts w:hint="eastAsia" w:ascii="宋体" w:hAnsi="宋体"/>
          <w:sz w:val="24"/>
          <w:highlight w:val="none"/>
        </w:rPr>
      </w:pPr>
      <w:r>
        <w:rPr>
          <w:rFonts w:hint="eastAsia" w:ascii="宋体" w:hAnsi="宋体"/>
          <w:sz w:val="24"/>
          <w:highlight w:val="none"/>
        </w:rPr>
        <w:t>招标人可在评标工作开始前成立协助工作组，选派熟悉招标工作、政治素质高的人员组成，协助评标委员会工作。协助工作组人员的具体数量由招标人视评标工作量确定。</w:t>
      </w:r>
    </w:p>
    <w:p>
      <w:pPr>
        <w:spacing w:line="360" w:lineRule="auto"/>
        <w:ind w:firstLine="480" w:firstLineChars="200"/>
        <w:rPr>
          <w:rFonts w:hint="eastAsia" w:ascii="宋体" w:hAnsi="宋体"/>
          <w:sz w:val="24"/>
          <w:highlight w:val="none"/>
        </w:rPr>
      </w:pPr>
      <w:r>
        <w:rPr>
          <w:rFonts w:hint="eastAsia" w:ascii="宋体" w:hAnsi="宋体"/>
          <w:sz w:val="24"/>
          <w:highlight w:val="none"/>
        </w:rPr>
        <w:t>招标人可以协助评标委员会开展下列工作并提供相关信息：</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1）根据招</w:t>
      </w:r>
      <w:r>
        <w:rPr>
          <w:rFonts w:hint="eastAsia" w:ascii="宋体" w:hAnsi="宋体"/>
          <w:sz w:val="24"/>
          <w:highlight w:val="none"/>
        </w:rPr>
        <w:t>标文件，编制评标使用的相应表格；</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对投标报价进行算术性校核；</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3）以</w:t>
      </w:r>
      <w:r>
        <w:rPr>
          <w:rFonts w:hint="eastAsia" w:ascii="宋体" w:hAnsi="宋体"/>
          <w:sz w:val="24"/>
          <w:highlight w:val="none"/>
        </w:rPr>
        <w:t>评标标准和方法为依据，列出投标文件相对于招标文件的所有偏差，并进行归类汇总；</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4）查</w:t>
      </w:r>
      <w:r>
        <w:rPr>
          <w:rFonts w:hint="eastAsia" w:ascii="宋体" w:hAnsi="宋体"/>
          <w:sz w:val="24"/>
          <w:highlight w:val="none"/>
        </w:rPr>
        <w:t>询水运建设市场信用信息管理系统，对投标人的资质、业绩、主要人员资历和目前在岗情况、企业信用等级进行核实（如有）。</w:t>
      </w:r>
    </w:p>
    <w:p>
      <w:pPr>
        <w:spacing w:line="360" w:lineRule="auto"/>
        <w:ind w:firstLine="480" w:firstLineChars="200"/>
        <w:rPr>
          <w:rFonts w:hint="eastAsia" w:ascii="宋体" w:hAnsi="宋体"/>
          <w:sz w:val="24"/>
          <w:highlight w:val="none"/>
        </w:rPr>
      </w:pPr>
      <w:r>
        <w:rPr>
          <w:rFonts w:hint="eastAsia" w:ascii="宋体" w:hAnsi="宋体"/>
          <w:sz w:val="24"/>
          <w:highlight w:val="none"/>
        </w:rPr>
        <w:t>招标人不得对投标文件作出任何评价，不得故意遗漏或者片面摘录，不得在评标委员会对所有偏差定性之前透露存有偏差的投标人名称。</w:t>
      </w:r>
    </w:p>
    <w:p>
      <w:pPr>
        <w:spacing w:line="360" w:lineRule="auto"/>
        <w:ind w:firstLine="480" w:firstLineChars="200"/>
        <w:rPr>
          <w:rFonts w:hint="eastAsia" w:ascii="宋体" w:hAnsi="宋体"/>
          <w:sz w:val="24"/>
          <w:highlight w:val="none"/>
        </w:rPr>
      </w:pPr>
      <w:r>
        <w:rPr>
          <w:rFonts w:ascii="宋体" w:hAnsi="宋体"/>
          <w:sz w:val="24"/>
          <w:highlight w:val="none"/>
        </w:rPr>
        <w:t>1.2.2</w:t>
      </w:r>
      <w:r>
        <w:rPr>
          <w:rFonts w:hint="eastAsia" w:ascii="宋体" w:hAnsi="宋体"/>
          <w:sz w:val="24"/>
          <w:highlight w:val="none"/>
        </w:rPr>
        <w:t>评标委员会</w:t>
      </w:r>
    </w:p>
    <w:p>
      <w:pPr>
        <w:spacing w:line="360" w:lineRule="auto"/>
        <w:ind w:firstLine="480" w:firstLineChars="200"/>
        <w:rPr>
          <w:rFonts w:hint="eastAsia" w:ascii="宋体" w:hAnsi="宋体"/>
          <w:sz w:val="24"/>
          <w:highlight w:val="none"/>
        </w:rPr>
      </w:pPr>
      <w:r>
        <w:rPr>
          <w:rFonts w:hint="eastAsia" w:ascii="宋体" w:hAnsi="宋体"/>
          <w:sz w:val="24"/>
          <w:highlight w:val="none"/>
        </w:rPr>
        <w:t>评标委员会由招标人按国家、广东省等的有关规定依法组建。评标委员人数参见本招标文件“投标人须知前附表第</w:t>
      </w:r>
      <w:r>
        <w:rPr>
          <w:rFonts w:ascii="宋体" w:hAnsi="宋体"/>
          <w:sz w:val="24"/>
          <w:highlight w:val="none"/>
        </w:rPr>
        <w:t>6.1.1款。</w:t>
      </w:r>
      <w:r>
        <w:rPr>
          <w:rFonts w:hint="eastAsia" w:ascii="宋体" w:hAnsi="宋体"/>
          <w:sz w:val="24"/>
          <w:highlight w:val="none"/>
        </w:rPr>
        <w:t>评标委员会的主要工作内容包括：</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评标委员会开始评标工作之前，首先听取招标人、协助工作组关于工程情况和辅助工作的说明，并认真研读招标文件，获取评标所需的重要信息和数据；</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对协助工作组提供的评标工作用表和评标内容进行核查。</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3）按照以下1.3款程序</w:t>
      </w:r>
      <w:r>
        <w:rPr>
          <w:rFonts w:hint="eastAsia" w:ascii="宋体" w:hAnsi="宋体"/>
          <w:sz w:val="24"/>
          <w:highlight w:val="none"/>
        </w:rPr>
        <w:t>进行各项评审工作。</w:t>
      </w:r>
    </w:p>
    <w:p>
      <w:pPr>
        <w:spacing w:line="360" w:lineRule="auto"/>
        <w:rPr>
          <w:rFonts w:hint="eastAsia" w:ascii="宋体" w:hAnsi="宋体"/>
          <w:sz w:val="24"/>
          <w:highlight w:val="none"/>
        </w:rPr>
      </w:pPr>
      <w:r>
        <w:rPr>
          <w:rFonts w:ascii="宋体" w:hAnsi="宋体"/>
          <w:sz w:val="24"/>
          <w:highlight w:val="none"/>
        </w:rPr>
        <w:t>1.3</w:t>
      </w:r>
      <w:r>
        <w:rPr>
          <w:rFonts w:hint="eastAsia" w:ascii="宋体" w:hAnsi="宋体"/>
          <w:sz w:val="24"/>
          <w:highlight w:val="none"/>
        </w:rPr>
        <w:t>评审工作程序</w:t>
      </w:r>
    </w:p>
    <w:p>
      <w:pPr>
        <w:spacing w:line="360" w:lineRule="auto"/>
        <w:ind w:firstLine="480" w:firstLineChars="200"/>
        <w:rPr>
          <w:rFonts w:hint="eastAsia" w:ascii="宋体" w:hAnsi="宋体"/>
          <w:sz w:val="24"/>
          <w:highlight w:val="none"/>
        </w:rPr>
      </w:pPr>
      <w:r>
        <w:rPr>
          <w:rFonts w:hint="eastAsia" w:ascii="宋体" w:hAnsi="宋体"/>
          <w:sz w:val="24"/>
          <w:highlight w:val="none"/>
        </w:rPr>
        <w:t>（一）第一信封（商务及技术文件）：</w:t>
      </w:r>
    </w:p>
    <w:p>
      <w:pPr>
        <w:spacing w:line="360" w:lineRule="auto"/>
        <w:ind w:firstLine="480" w:firstLineChars="200"/>
        <w:rPr>
          <w:rFonts w:hint="eastAsia" w:ascii="宋体" w:hAnsi="宋体"/>
          <w:sz w:val="24"/>
          <w:highlight w:val="none"/>
        </w:rPr>
      </w:pPr>
      <w:r>
        <w:rPr>
          <w:rFonts w:ascii="宋体" w:hAnsi="宋体"/>
          <w:sz w:val="24"/>
          <w:highlight w:val="none"/>
        </w:rPr>
        <w:t>l、初步</w:t>
      </w:r>
      <w:r>
        <w:rPr>
          <w:rFonts w:hint="eastAsia" w:ascii="宋体" w:hAnsi="宋体"/>
          <w:sz w:val="24"/>
          <w:highlight w:val="none"/>
        </w:rPr>
        <w:t>评审：包括形式评审与响应性评审、资格评审；</w:t>
      </w:r>
    </w:p>
    <w:p>
      <w:pPr>
        <w:spacing w:line="360" w:lineRule="auto"/>
        <w:ind w:firstLine="480" w:firstLineChars="200"/>
        <w:rPr>
          <w:rFonts w:hint="eastAsia" w:ascii="宋体" w:hAnsi="宋体"/>
          <w:sz w:val="24"/>
          <w:highlight w:val="none"/>
        </w:rPr>
      </w:pPr>
      <w:r>
        <w:rPr>
          <w:rFonts w:ascii="宋体" w:hAnsi="宋体"/>
          <w:sz w:val="24"/>
          <w:highlight w:val="none"/>
        </w:rPr>
        <w:t>2、</w:t>
      </w:r>
      <w:r>
        <w:rPr>
          <w:rFonts w:hint="eastAsia" w:ascii="宋体" w:hAnsi="宋体"/>
          <w:sz w:val="24"/>
          <w:highlight w:val="none"/>
        </w:rPr>
        <w:t>详细评审（评审打分）：评标委员会首先对通过初步评审的投标文件第一个信封（商务及技术文件）进行详细评审，对投标人的监理实施方案、主要人员、其他因素等分别评审打分。</w:t>
      </w:r>
    </w:p>
    <w:p>
      <w:pPr>
        <w:spacing w:line="360" w:lineRule="auto"/>
        <w:ind w:firstLine="480" w:firstLineChars="200"/>
        <w:rPr>
          <w:rFonts w:hint="eastAsia" w:ascii="宋体" w:hAnsi="宋体"/>
          <w:sz w:val="24"/>
          <w:highlight w:val="none"/>
        </w:rPr>
      </w:pPr>
      <w:r>
        <w:rPr>
          <w:rFonts w:hint="eastAsia" w:ascii="宋体" w:hAnsi="宋体"/>
          <w:sz w:val="24"/>
          <w:highlight w:val="none"/>
        </w:rPr>
        <w:t>（二）第二信封（报价文件）：</w:t>
      </w:r>
    </w:p>
    <w:p>
      <w:pPr>
        <w:spacing w:line="360" w:lineRule="auto"/>
        <w:ind w:firstLine="480" w:firstLineChars="200"/>
        <w:rPr>
          <w:rFonts w:hint="eastAsia" w:ascii="宋体" w:hAnsi="宋体"/>
          <w:sz w:val="24"/>
          <w:highlight w:val="none"/>
        </w:rPr>
      </w:pPr>
      <w:r>
        <w:rPr>
          <w:rFonts w:ascii="宋体" w:hAnsi="宋体"/>
          <w:sz w:val="24"/>
          <w:highlight w:val="none"/>
        </w:rPr>
        <w:t xml:space="preserve"> 1、初步</w:t>
      </w:r>
      <w:r>
        <w:rPr>
          <w:rFonts w:hint="eastAsia" w:ascii="宋体" w:hAnsi="宋体"/>
          <w:sz w:val="24"/>
          <w:highlight w:val="none"/>
        </w:rPr>
        <w:t>评审：</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1）只有投</w:t>
      </w:r>
      <w:r>
        <w:rPr>
          <w:rFonts w:hint="eastAsia" w:ascii="宋体" w:hAnsi="宋体"/>
          <w:sz w:val="24"/>
          <w:highlight w:val="none"/>
        </w:rPr>
        <w:t>标文件第一个信封通过详细评审的投标人才能继续参加第二信封报价文件的形式评审与响应性评审；</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报价算术性修正；</w:t>
      </w:r>
    </w:p>
    <w:p>
      <w:pPr>
        <w:spacing w:line="360" w:lineRule="auto"/>
        <w:ind w:firstLine="480" w:firstLineChars="200"/>
        <w:rPr>
          <w:rFonts w:hint="eastAsia" w:ascii="宋体" w:hAnsi="宋体"/>
          <w:sz w:val="24"/>
          <w:highlight w:val="none"/>
        </w:rPr>
      </w:pPr>
      <w:r>
        <w:rPr>
          <w:rFonts w:ascii="宋体" w:hAnsi="宋体"/>
          <w:sz w:val="24"/>
          <w:highlight w:val="none"/>
        </w:rPr>
        <w:t>2、</w:t>
      </w:r>
      <w:r>
        <w:rPr>
          <w:rFonts w:hint="eastAsia" w:ascii="宋体" w:hAnsi="宋体"/>
          <w:sz w:val="24"/>
          <w:highlight w:val="none"/>
        </w:rPr>
        <w:t>详细评审：计算评标基准价、评标价得分及综合得分；</w:t>
      </w:r>
    </w:p>
    <w:p>
      <w:pPr>
        <w:spacing w:line="360" w:lineRule="auto"/>
        <w:ind w:firstLine="480" w:firstLineChars="200"/>
        <w:rPr>
          <w:rFonts w:hint="eastAsia" w:ascii="宋体" w:hAnsi="宋体"/>
          <w:sz w:val="24"/>
          <w:highlight w:val="none"/>
        </w:rPr>
      </w:pPr>
      <w:r>
        <w:rPr>
          <w:rFonts w:hint="eastAsia" w:ascii="宋体" w:hAnsi="宋体"/>
          <w:sz w:val="24"/>
          <w:highlight w:val="none"/>
        </w:rPr>
        <w:t>（三）投标文件相关信息的核查。</w:t>
      </w:r>
    </w:p>
    <w:p>
      <w:pPr>
        <w:spacing w:line="360" w:lineRule="auto"/>
        <w:ind w:firstLine="480" w:firstLineChars="200"/>
        <w:rPr>
          <w:rFonts w:hint="eastAsia" w:ascii="宋体" w:hAnsi="宋体"/>
          <w:sz w:val="24"/>
          <w:highlight w:val="none"/>
        </w:rPr>
      </w:pPr>
      <w:r>
        <w:rPr>
          <w:rFonts w:hint="eastAsia" w:ascii="宋体" w:hAnsi="宋体"/>
          <w:sz w:val="24"/>
          <w:highlight w:val="none"/>
        </w:rPr>
        <w:t>（四）</w:t>
      </w:r>
      <w:r>
        <w:rPr>
          <w:rFonts w:ascii="宋体" w:hAnsi="宋体"/>
          <w:sz w:val="24"/>
          <w:highlight w:val="none"/>
        </w:rPr>
        <w:t>投</w:t>
      </w:r>
      <w:r>
        <w:rPr>
          <w:rFonts w:hint="eastAsia" w:ascii="宋体" w:hAnsi="宋体"/>
          <w:sz w:val="24"/>
          <w:highlight w:val="none"/>
        </w:rPr>
        <w:t>标文件的澄清和说明</w:t>
      </w:r>
      <w:r>
        <w:rPr>
          <w:rFonts w:ascii="宋体" w:hAnsi="宋体"/>
          <w:sz w:val="24"/>
          <w:highlight w:val="none"/>
        </w:rPr>
        <w:t>(如有)</w:t>
      </w:r>
    </w:p>
    <w:p>
      <w:pPr>
        <w:spacing w:line="360" w:lineRule="auto"/>
        <w:ind w:firstLine="480" w:firstLineChars="200"/>
        <w:rPr>
          <w:rFonts w:hint="eastAsia" w:ascii="宋体" w:hAnsi="宋体"/>
          <w:sz w:val="24"/>
          <w:highlight w:val="none"/>
        </w:rPr>
      </w:pPr>
      <w:r>
        <w:rPr>
          <w:rFonts w:hint="eastAsia" w:ascii="宋体" w:hAnsi="宋体"/>
          <w:sz w:val="24"/>
          <w:highlight w:val="none"/>
        </w:rPr>
        <w:t>（五）按评标办法规定推荐中标候选人，编写评标报告。</w:t>
      </w:r>
    </w:p>
    <w:p>
      <w:pPr>
        <w:spacing w:line="360" w:lineRule="auto"/>
        <w:jc w:val="left"/>
        <w:rPr>
          <w:b/>
          <w:highlight w:val="none"/>
        </w:rPr>
      </w:pPr>
      <w:bookmarkStart w:id="44" w:name="_Toc21486"/>
      <w:bookmarkStart w:id="45" w:name="_Toc503235808"/>
      <w:bookmarkStart w:id="46" w:name="_Toc17723"/>
      <w:bookmarkStart w:id="47" w:name="_Toc26162"/>
      <w:bookmarkStart w:id="48" w:name="_Toc7357"/>
      <w:bookmarkStart w:id="49" w:name="_Toc503517986"/>
      <w:bookmarkStart w:id="50" w:name="_Toc5403"/>
      <w:bookmarkStart w:id="51" w:name="_Toc14547"/>
      <w:bookmarkStart w:id="52" w:name="_Toc24312"/>
      <w:bookmarkStart w:id="53" w:name="_Toc24502"/>
      <w:bookmarkStart w:id="54" w:name="_Toc1922"/>
      <w:bookmarkStart w:id="55" w:name="_Toc31519"/>
      <w:r>
        <w:rPr>
          <w:b/>
          <w:highlight w:val="none"/>
        </w:rPr>
        <w:t>2. 评审标准</w:t>
      </w:r>
      <w:bookmarkEnd w:id="44"/>
      <w:bookmarkEnd w:id="45"/>
      <w:bookmarkEnd w:id="46"/>
      <w:bookmarkEnd w:id="47"/>
      <w:bookmarkEnd w:id="48"/>
      <w:bookmarkEnd w:id="49"/>
      <w:bookmarkEnd w:id="50"/>
      <w:bookmarkEnd w:id="51"/>
      <w:bookmarkEnd w:id="52"/>
      <w:bookmarkEnd w:id="53"/>
      <w:bookmarkEnd w:id="54"/>
      <w:bookmarkEnd w:id="55"/>
    </w:p>
    <w:p>
      <w:pPr>
        <w:spacing w:line="360" w:lineRule="auto"/>
        <w:rPr>
          <w:rFonts w:hint="eastAsia" w:ascii="宋体" w:hAnsi="宋体"/>
          <w:sz w:val="24"/>
          <w:highlight w:val="none"/>
        </w:rPr>
      </w:pPr>
      <w:bookmarkStart w:id="56" w:name="_Toc503517987"/>
      <w:bookmarkStart w:id="57" w:name="_Toc503235809"/>
      <w:r>
        <w:rPr>
          <w:rFonts w:ascii="宋体" w:hAnsi="宋体"/>
          <w:sz w:val="24"/>
          <w:highlight w:val="none"/>
        </w:rPr>
        <w:t>2.1 初步评审标准</w:t>
      </w:r>
      <w:bookmarkEnd w:id="56"/>
      <w:bookmarkEnd w:id="57"/>
    </w:p>
    <w:p>
      <w:pPr>
        <w:spacing w:line="360" w:lineRule="auto"/>
        <w:ind w:firstLine="480" w:firstLineChars="200"/>
        <w:rPr>
          <w:rFonts w:hint="eastAsia" w:ascii="宋体" w:hAnsi="宋体"/>
          <w:sz w:val="24"/>
          <w:highlight w:val="none"/>
        </w:rPr>
      </w:pPr>
      <w:r>
        <w:rPr>
          <w:rFonts w:ascii="宋体" w:hAnsi="宋体"/>
          <w:sz w:val="24"/>
          <w:highlight w:val="none"/>
        </w:rPr>
        <w:t>2.1.1 形式评审标准：见评标办法前附表。</w:t>
      </w:r>
    </w:p>
    <w:p>
      <w:pPr>
        <w:spacing w:line="360" w:lineRule="auto"/>
        <w:ind w:firstLine="480" w:firstLineChars="200"/>
        <w:rPr>
          <w:rFonts w:hint="eastAsia" w:ascii="宋体" w:hAnsi="宋体"/>
          <w:sz w:val="24"/>
          <w:highlight w:val="none"/>
        </w:rPr>
      </w:pPr>
      <w:r>
        <w:rPr>
          <w:rFonts w:ascii="宋体" w:hAnsi="宋体"/>
          <w:sz w:val="24"/>
          <w:highlight w:val="none"/>
        </w:rPr>
        <w:t>2.1.2 资格评审标准：见评标办法前附表。</w:t>
      </w:r>
    </w:p>
    <w:p>
      <w:pPr>
        <w:spacing w:line="360" w:lineRule="auto"/>
        <w:ind w:firstLine="480" w:firstLineChars="200"/>
        <w:rPr>
          <w:rFonts w:hint="eastAsia" w:ascii="宋体" w:hAnsi="宋体"/>
          <w:sz w:val="24"/>
          <w:highlight w:val="none"/>
        </w:rPr>
      </w:pPr>
      <w:r>
        <w:rPr>
          <w:rFonts w:ascii="宋体" w:hAnsi="宋体"/>
          <w:sz w:val="24"/>
          <w:highlight w:val="none"/>
        </w:rPr>
        <w:t>2.1.3 响应性评审标准：见评标办法前附表。</w:t>
      </w:r>
    </w:p>
    <w:p>
      <w:pPr>
        <w:spacing w:line="360" w:lineRule="auto"/>
        <w:rPr>
          <w:rFonts w:hint="eastAsia" w:ascii="宋体" w:hAnsi="宋体"/>
          <w:sz w:val="24"/>
          <w:highlight w:val="none"/>
        </w:rPr>
      </w:pPr>
      <w:bookmarkStart w:id="58" w:name="_Toc503235810"/>
      <w:bookmarkStart w:id="59" w:name="_Toc503517988"/>
      <w:r>
        <w:rPr>
          <w:rFonts w:ascii="宋体" w:hAnsi="宋体"/>
          <w:sz w:val="24"/>
          <w:highlight w:val="none"/>
        </w:rPr>
        <w:t>2.2 分值构成与评分标准</w:t>
      </w:r>
      <w:bookmarkEnd w:id="58"/>
      <w:bookmarkEnd w:id="59"/>
    </w:p>
    <w:p>
      <w:pPr>
        <w:tabs>
          <w:tab w:val="left" w:pos="360"/>
        </w:tabs>
        <w:spacing w:line="360" w:lineRule="auto"/>
        <w:ind w:firstLine="480" w:firstLineChars="200"/>
        <w:rPr>
          <w:rFonts w:hint="eastAsia" w:ascii="宋体" w:hAnsi="宋体"/>
          <w:sz w:val="24"/>
          <w:highlight w:val="none"/>
        </w:rPr>
      </w:pPr>
      <w:r>
        <w:rPr>
          <w:rFonts w:ascii="宋体" w:hAnsi="宋体"/>
          <w:sz w:val="24"/>
          <w:highlight w:val="none"/>
        </w:rPr>
        <w:t>2.2.1 分值构成</w:t>
      </w:r>
    </w:p>
    <w:p>
      <w:pPr>
        <w:spacing w:line="360" w:lineRule="auto"/>
        <w:ind w:firstLine="480" w:firstLineChars="200"/>
        <w:rPr>
          <w:rFonts w:hint="eastAsia" w:ascii="宋体" w:hAnsi="宋体"/>
          <w:sz w:val="24"/>
          <w:highlight w:val="none"/>
        </w:rPr>
      </w:pPr>
      <w:r>
        <w:rPr>
          <w:rFonts w:ascii="宋体" w:hAnsi="宋体"/>
          <w:sz w:val="24"/>
          <w:highlight w:val="none"/>
        </w:rPr>
        <w:t>（1）</w:t>
      </w:r>
      <w:r>
        <w:rPr>
          <w:rFonts w:hint="eastAsia" w:ascii="宋体" w:hAnsi="宋体"/>
          <w:sz w:val="24"/>
          <w:highlight w:val="none"/>
        </w:rPr>
        <w:t>监理大纲</w:t>
      </w:r>
      <w:r>
        <w:rPr>
          <w:rFonts w:ascii="宋体" w:hAnsi="宋体"/>
          <w:sz w:val="24"/>
          <w:highlight w:val="none"/>
        </w:rPr>
        <w:t>：见评标办法前附表；</w:t>
      </w:r>
    </w:p>
    <w:p>
      <w:pPr>
        <w:spacing w:line="360" w:lineRule="auto"/>
        <w:ind w:firstLine="480" w:firstLineChars="200"/>
        <w:rPr>
          <w:rFonts w:hint="eastAsia" w:ascii="宋体" w:hAnsi="宋体"/>
          <w:sz w:val="24"/>
          <w:highlight w:val="none"/>
        </w:rPr>
      </w:pPr>
      <w:r>
        <w:rPr>
          <w:rFonts w:ascii="宋体" w:hAnsi="宋体"/>
          <w:sz w:val="24"/>
          <w:highlight w:val="none"/>
        </w:rPr>
        <w:t>（2）</w:t>
      </w:r>
      <w:r>
        <w:rPr>
          <w:rFonts w:hint="eastAsia" w:ascii="宋体" w:hAnsi="宋体"/>
          <w:sz w:val="24"/>
          <w:highlight w:val="none"/>
        </w:rPr>
        <w:t>主要人员</w:t>
      </w:r>
      <w:r>
        <w:rPr>
          <w:rFonts w:ascii="宋体" w:hAnsi="宋体"/>
          <w:sz w:val="24"/>
          <w:highlight w:val="none"/>
        </w:rPr>
        <w:t>：见评标办法前附表；</w:t>
      </w:r>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评标价</w:t>
      </w:r>
      <w:r>
        <w:rPr>
          <w:rFonts w:ascii="宋体" w:hAnsi="宋体"/>
          <w:sz w:val="24"/>
          <w:highlight w:val="none"/>
        </w:rPr>
        <w:t>：见评标办法前附表；</w:t>
      </w:r>
    </w:p>
    <w:p>
      <w:pPr>
        <w:spacing w:line="360" w:lineRule="auto"/>
        <w:ind w:firstLine="480" w:firstLineChars="200"/>
        <w:rPr>
          <w:rFonts w:hint="eastAsia" w:ascii="宋体" w:hAnsi="宋体"/>
          <w:sz w:val="24"/>
          <w:highlight w:val="none"/>
        </w:rPr>
      </w:pPr>
      <w:r>
        <w:rPr>
          <w:rFonts w:ascii="宋体" w:hAnsi="宋体"/>
          <w:sz w:val="24"/>
          <w:highlight w:val="none"/>
        </w:rPr>
        <w:t>（4）其他评分因素：见评标办法前附表。</w:t>
      </w:r>
    </w:p>
    <w:p>
      <w:pPr>
        <w:spacing w:line="360" w:lineRule="auto"/>
        <w:ind w:firstLine="480" w:firstLineChars="200"/>
        <w:rPr>
          <w:rFonts w:hint="eastAsia" w:ascii="宋体" w:hAnsi="宋体"/>
          <w:sz w:val="24"/>
          <w:highlight w:val="none"/>
        </w:rPr>
      </w:pPr>
      <w:r>
        <w:rPr>
          <w:rFonts w:ascii="宋体" w:hAnsi="宋体"/>
          <w:sz w:val="24"/>
          <w:highlight w:val="none"/>
        </w:rPr>
        <w:t>2.2.2 评标基准价计算</w:t>
      </w:r>
    </w:p>
    <w:p>
      <w:pPr>
        <w:spacing w:line="360" w:lineRule="auto"/>
        <w:ind w:firstLine="480" w:firstLineChars="200"/>
        <w:rPr>
          <w:rFonts w:hint="eastAsia" w:ascii="宋体" w:hAnsi="宋体"/>
          <w:sz w:val="24"/>
          <w:highlight w:val="none"/>
        </w:rPr>
      </w:pPr>
      <w:r>
        <w:rPr>
          <w:rFonts w:ascii="宋体" w:hAnsi="宋体"/>
          <w:sz w:val="24"/>
          <w:highlight w:val="none"/>
        </w:rPr>
        <w:t>评标基准价计算方法：见评标办法前附表。</w:t>
      </w:r>
    </w:p>
    <w:p>
      <w:pPr>
        <w:spacing w:line="360" w:lineRule="auto"/>
        <w:ind w:firstLine="480" w:firstLineChars="200"/>
        <w:rPr>
          <w:rFonts w:hint="eastAsia" w:ascii="宋体" w:hAnsi="宋体"/>
          <w:sz w:val="24"/>
          <w:highlight w:val="none"/>
        </w:rPr>
      </w:pPr>
      <w:r>
        <w:rPr>
          <w:rFonts w:ascii="宋体" w:hAnsi="宋体"/>
          <w:sz w:val="24"/>
          <w:highlight w:val="none"/>
        </w:rPr>
        <w:t xml:space="preserve">2.2.3 </w:t>
      </w:r>
      <w:r>
        <w:rPr>
          <w:rFonts w:hint="eastAsia" w:ascii="宋体" w:hAnsi="宋体"/>
          <w:sz w:val="24"/>
          <w:highlight w:val="none"/>
        </w:rPr>
        <w:t>评标价</w:t>
      </w:r>
      <w:r>
        <w:rPr>
          <w:rFonts w:ascii="宋体" w:hAnsi="宋体"/>
          <w:sz w:val="24"/>
          <w:highlight w:val="none"/>
        </w:rPr>
        <w:t>的偏差率计算</w:t>
      </w:r>
    </w:p>
    <w:p>
      <w:pPr>
        <w:spacing w:line="360" w:lineRule="auto"/>
        <w:ind w:firstLine="480" w:firstLineChars="200"/>
        <w:rPr>
          <w:rFonts w:hint="eastAsia" w:ascii="宋体" w:hAnsi="宋体"/>
          <w:sz w:val="24"/>
          <w:highlight w:val="none"/>
        </w:rPr>
      </w:pPr>
      <w:r>
        <w:rPr>
          <w:rFonts w:hint="eastAsia" w:ascii="宋体" w:hAnsi="宋体"/>
          <w:sz w:val="24"/>
          <w:highlight w:val="none"/>
        </w:rPr>
        <w:t>评标价</w:t>
      </w:r>
      <w:r>
        <w:rPr>
          <w:rFonts w:ascii="宋体" w:hAnsi="宋体"/>
          <w:sz w:val="24"/>
          <w:highlight w:val="none"/>
        </w:rPr>
        <w:t>的偏差率计算公式：见评标办法前附表。</w:t>
      </w:r>
    </w:p>
    <w:p>
      <w:pPr>
        <w:spacing w:line="360" w:lineRule="auto"/>
        <w:ind w:firstLine="480" w:firstLineChars="200"/>
        <w:rPr>
          <w:rFonts w:hint="eastAsia" w:ascii="宋体" w:hAnsi="宋体"/>
          <w:sz w:val="24"/>
          <w:highlight w:val="none"/>
        </w:rPr>
      </w:pPr>
      <w:r>
        <w:rPr>
          <w:rFonts w:ascii="宋体" w:hAnsi="宋体"/>
          <w:sz w:val="24"/>
          <w:highlight w:val="none"/>
        </w:rPr>
        <w:t>2.2.4 评分标准</w:t>
      </w:r>
    </w:p>
    <w:p>
      <w:pPr>
        <w:spacing w:line="360" w:lineRule="auto"/>
        <w:ind w:firstLine="480" w:firstLineChars="200"/>
        <w:rPr>
          <w:rFonts w:hint="eastAsia" w:ascii="宋体" w:hAnsi="宋体"/>
          <w:sz w:val="24"/>
          <w:highlight w:val="none"/>
        </w:rPr>
      </w:pPr>
      <w:r>
        <w:rPr>
          <w:rFonts w:ascii="宋体" w:hAnsi="宋体"/>
          <w:sz w:val="24"/>
          <w:highlight w:val="none"/>
        </w:rPr>
        <w:t>（1）</w:t>
      </w:r>
      <w:r>
        <w:rPr>
          <w:rFonts w:hint="eastAsia" w:ascii="宋体" w:hAnsi="宋体"/>
          <w:sz w:val="24"/>
          <w:highlight w:val="none"/>
        </w:rPr>
        <w:t>监理大纲</w:t>
      </w:r>
      <w:r>
        <w:rPr>
          <w:rFonts w:ascii="宋体" w:hAnsi="宋体"/>
          <w:sz w:val="24"/>
          <w:highlight w:val="none"/>
        </w:rPr>
        <w:t>评分标准：见评标办法前附表；</w:t>
      </w:r>
    </w:p>
    <w:p>
      <w:pPr>
        <w:spacing w:line="360" w:lineRule="auto"/>
        <w:ind w:firstLine="480" w:firstLineChars="200"/>
        <w:rPr>
          <w:rFonts w:hint="eastAsia" w:ascii="宋体" w:hAnsi="宋体"/>
          <w:sz w:val="24"/>
          <w:highlight w:val="none"/>
        </w:rPr>
      </w:pPr>
      <w:r>
        <w:rPr>
          <w:rFonts w:ascii="宋体" w:hAnsi="宋体"/>
          <w:sz w:val="24"/>
          <w:highlight w:val="none"/>
        </w:rPr>
        <w:t>（2）</w:t>
      </w:r>
      <w:r>
        <w:rPr>
          <w:rFonts w:hint="eastAsia" w:ascii="宋体" w:hAnsi="宋体"/>
          <w:sz w:val="24"/>
          <w:highlight w:val="none"/>
        </w:rPr>
        <w:t>主要人员</w:t>
      </w:r>
      <w:r>
        <w:rPr>
          <w:rFonts w:ascii="宋体" w:hAnsi="宋体"/>
          <w:sz w:val="24"/>
          <w:highlight w:val="none"/>
        </w:rPr>
        <w:t>评分标准：见评标办法前附表；</w:t>
      </w:r>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评标价</w:t>
      </w:r>
      <w:r>
        <w:rPr>
          <w:rFonts w:ascii="宋体" w:hAnsi="宋体"/>
          <w:sz w:val="24"/>
          <w:highlight w:val="none"/>
        </w:rPr>
        <w:t>评分标准：见评标办法前附表；</w:t>
      </w:r>
    </w:p>
    <w:p>
      <w:pPr>
        <w:spacing w:line="360" w:lineRule="auto"/>
        <w:ind w:firstLine="480" w:firstLineChars="200"/>
        <w:rPr>
          <w:rFonts w:hint="eastAsia" w:ascii="宋体" w:hAnsi="宋体"/>
          <w:sz w:val="24"/>
          <w:highlight w:val="none"/>
        </w:rPr>
      </w:pPr>
      <w:r>
        <w:rPr>
          <w:rFonts w:ascii="宋体" w:hAnsi="宋体"/>
          <w:sz w:val="24"/>
          <w:highlight w:val="none"/>
        </w:rPr>
        <w:t>（4）其他因素评分标准：见评标办法前附表。</w:t>
      </w:r>
    </w:p>
    <w:p>
      <w:pPr>
        <w:spacing w:line="360" w:lineRule="auto"/>
        <w:jc w:val="left"/>
        <w:rPr>
          <w:b/>
          <w:highlight w:val="none"/>
        </w:rPr>
      </w:pPr>
      <w:bookmarkStart w:id="60" w:name="_Toc19352"/>
      <w:bookmarkStart w:id="61" w:name="_Toc29570"/>
      <w:bookmarkStart w:id="62" w:name="_Toc503517989"/>
      <w:bookmarkStart w:id="63" w:name="_Toc18193"/>
      <w:bookmarkStart w:id="64" w:name="_Toc30638"/>
      <w:bookmarkStart w:id="65" w:name="_Toc28138"/>
      <w:bookmarkStart w:id="66" w:name="_Toc9781"/>
      <w:bookmarkStart w:id="67" w:name="_Toc17002"/>
      <w:bookmarkStart w:id="68" w:name="_Toc7123"/>
      <w:bookmarkStart w:id="69" w:name="_Toc503235811"/>
      <w:bookmarkStart w:id="70" w:name="_Toc8045"/>
      <w:bookmarkStart w:id="71" w:name="_Toc2871"/>
      <w:r>
        <w:rPr>
          <w:b/>
          <w:highlight w:val="none"/>
        </w:rPr>
        <w:t>3. 评标程序</w:t>
      </w:r>
      <w:bookmarkEnd w:id="60"/>
      <w:bookmarkEnd w:id="61"/>
      <w:bookmarkEnd w:id="62"/>
      <w:bookmarkEnd w:id="63"/>
      <w:bookmarkEnd w:id="64"/>
      <w:bookmarkEnd w:id="65"/>
      <w:bookmarkEnd w:id="66"/>
      <w:bookmarkEnd w:id="67"/>
      <w:bookmarkEnd w:id="68"/>
      <w:bookmarkEnd w:id="69"/>
      <w:bookmarkEnd w:id="70"/>
      <w:bookmarkEnd w:id="71"/>
    </w:p>
    <w:p>
      <w:pPr>
        <w:spacing w:line="360" w:lineRule="auto"/>
        <w:rPr>
          <w:rFonts w:hint="eastAsia" w:ascii="宋体" w:hAnsi="宋体"/>
          <w:sz w:val="24"/>
          <w:highlight w:val="none"/>
        </w:rPr>
      </w:pPr>
      <w:bookmarkStart w:id="72" w:name="_Toc503517990"/>
      <w:bookmarkStart w:id="73" w:name="_Toc503235812"/>
      <w:r>
        <w:rPr>
          <w:rFonts w:ascii="宋体" w:hAnsi="宋体"/>
          <w:sz w:val="24"/>
          <w:highlight w:val="none"/>
        </w:rPr>
        <w:t>3.1</w:t>
      </w:r>
      <w:r>
        <w:rPr>
          <w:rFonts w:hint="eastAsia" w:ascii="宋体" w:hAnsi="宋体"/>
          <w:sz w:val="24"/>
          <w:highlight w:val="none"/>
        </w:rPr>
        <w:t xml:space="preserve"> 第一个信封</w:t>
      </w:r>
      <w:r>
        <w:rPr>
          <w:rFonts w:ascii="宋体" w:hAnsi="宋体"/>
          <w:sz w:val="24"/>
          <w:highlight w:val="none"/>
        </w:rPr>
        <w:t>初步评审</w:t>
      </w:r>
      <w:bookmarkEnd w:id="72"/>
      <w:bookmarkEnd w:id="73"/>
    </w:p>
    <w:p>
      <w:pPr>
        <w:spacing w:line="360" w:lineRule="auto"/>
        <w:ind w:firstLine="480" w:firstLineChars="200"/>
        <w:rPr>
          <w:rFonts w:hint="eastAsia" w:ascii="宋体" w:hAnsi="宋体"/>
          <w:sz w:val="24"/>
          <w:highlight w:val="none"/>
        </w:rPr>
      </w:pPr>
      <w:r>
        <w:rPr>
          <w:rFonts w:ascii="宋体" w:hAnsi="宋体"/>
          <w:sz w:val="24"/>
          <w:highlight w:val="none"/>
        </w:rPr>
        <w:t>3.1.1 评标委员会可以要求投标人提交第二章“投标人须知”第3.5.1项至第3.5.</w:t>
      </w:r>
      <w:r>
        <w:rPr>
          <w:rFonts w:hint="eastAsia" w:ascii="宋体" w:hAnsi="宋体"/>
          <w:sz w:val="24"/>
          <w:highlight w:val="none"/>
        </w:rPr>
        <w:t>5</w:t>
      </w:r>
      <w:r>
        <w:rPr>
          <w:rFonts w:ascii="宋体" w:hAnsi="宋体"/>
          <w:sz w:val="24"/>
          <w:highlight w:val="none"/>
        </w:rPr>
        <w:t>项规定的有关证明和证件的原件，以便核验。评标委员会依据本章第2.1款规定的标准对投标文件</w:t>
      </w:r>
      <w:r>
        <w:rPr>
          <w:rFonts w:hint="eastAsia" w:ascii="宋体" w:hAnsi="宋体"/>
          <w:sz w:val="24"/>
          <w:highlight w:val="none"/>
        </w:rPr>
        <w:t>第一个信封（商务及技术文件）</w:t>
      </w:r>
      <w:r>
        <w:rPr>
          <w:rFonts w:ascii="宋体" w:hAnsi="宋体"/>
          <w:sz w:val="24"/>
          <w:highlight w:val="none"/>
        </w:rPr>
        <w:t>进行初步评审。有一项不符合评审标准的，</w:t>
      </w:r>
      <w:r>
        <w:rPr>
          <w:rFonts w:hint="eastAsia" w:ascii="宋体" w:hAnsi="宋体"/>
          <w:sz w:val="24"/>
          <w:highlight w:val="none"/>
        </w:rPr>
        <w:t>评标委员会应否决其投标</w:t>
      </w:r>
      <w:r>
        <w:rPr>
          <w:rFonts w:ascii="宋体" w:hAnsi="宋体"/>
          <w:sz w:val="24"/>
          <w:highlight w:val="none"/>
        </w:rPr>
        <w:t>。</w:t>
      </w:r>
    </w:p>
    <w:p>
      <w:pPr>
        <w:spacing w:line="360" w:lineRule="auto"/>
        <w:rPr>
          <w:rFonts w:hint="eastAsia" w:ascii="宋体" w:hAnsi="宋体"/>
          <w:sz w:val="24"/>
          <w:highlight w:val="none"/>
        </w:rPr>
      </w:pPr>
      <w:bookmarkStart w:id="74" w:name="_Toc503235813"/>
      <w:bookmarkStart w:id="75" w:name="_Toc503517991"/>
      <w:r>
        <w:rPr>
          <w:rFonts w:ascii="宋体" w:hAnsi="宋体"/>
          <w:sz w:val="24"/>
          <w:highlight w:val="none"/>
        </w:rPr>
        <w:t>3.</w:t>
      </w:r>
      <w:r>
        <w:rPr>
          <w:rFonts w:hint="eastAsia" w:ascii="宋体" w:hAnsi="宋体"/>
          <w:sz w:val="24"/>
          <w:highlight w:val="none"/>
        </w:rPr>
        <w:t>2 第一个信封</w:t>
      </w:r>
      <w:r>
        <w:rPr>
          <w:rFonts w:ascii="宋体" w:hAnsi="宋体"/>
          <w:sz w:val="24"/>
          <w:highlight w:val="none"/>
        </w:rPr>
        <w:t>详细评审</w:t>
      </w:r>
      <w:bookmarkEnd w:id="74"/>
      <w:bookmarkEnd w:id="75"/>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2</w:t>
      </w:r>
      <w:r>
        <w:rPr>
          <w:rFonts w:ascii="宋体" w:hAnsi="宋体"/>
          <w:sz w:val="24"/>
          <w:highlight w:val="none"/>
        </w:rPr>
        <w:t>.1 评标委员会按本章第2.2款规定的量化因素和分值进行打分，并计算出</w:t>
      </w:r>
      <w:r>
        <w:rPr>
          <w:rFonts w:hint="eastAsia" w:ascii="宋体" w:hAnsi="宋体"/>
          <w:sz w:val="24"/>
          <w:highlight w:val="none"/>
        </w:rPr>
        <w:t>各投标人的商务和技术</w:t>
      </w:r>
      <w:r>
        <w:rPr>
          <w:rFonts w:ascii="宋体" w:hAnsi="宋体"/>
          <w:sz w:val="24"/>
          <w:highlight w:val="none"/>
        </w:rPr>
        <w:t>得分。</w:t>
      </w:r>
    </w:p>
    <w:p>
      <w:pPr>
        <w:spacing w:line="360" w:lineRule="auto"/>
        <w:ind w:firstLine="480" w:firstLineChars="200"/>
        <w:rPr>
          <w:rFonts w:hint="eastAsia" w:ascii="宋体" w:hAnsi="宋体"/>
          <w:sz w:val="24"/>
          <w:highlight w:val="none"/>
        </w:rPr>
      </w:pPr>
      <w:r>
        <w:rPr>
          <w:rFonts w:ascii="宋体" w:hAnsi="宋体"/>
          <w:sz w:val="24"/>
          <w:highlight w:val="none"/>
        </w:rPr>
        <w:t>（1）按本章第2.2.4项（1）目规定的评审因素和分值对</w:t>
      </w:r>
      <w:r>
        <w:rPr>
          <w:rFonts w:hint="eastAsia" w:ascii="宋体" w:hAnsi="宋体"/>
          <w:sz w:val="24"/>
          <w:highlight w:val="none"/>
        </w:rPr>
        <w:t>监理大纲</w:t>
      </w:r>
      <w:r>
        <w:rPr>
          <w:rFonts w:ascii="宋体" w:hAnsi="宋体"/>
          <w:sz w:val="24"/>
          <w:highlight w:val="none"/>
        </w:rPr>
        <w:t>部分计算出得分A；</w:t>
      </w:r>
    </w:p>
    <w:p>
      <w:pPr>
        <w:spacing w:line="360" w:lineRule="auto"/>
        <w:ind w:firstLine="480" w:firstLineChars="200"/>
        <w:rPr>
          <w:rFonts w:hint="eastAsia" w:ascii="宋体" w:hAnsi="宋体"/>
          <w:sz w:val="24"/>
          <w:highlight w:val="none"/>
        </w:rPr>
      </w:pPr>
      <w:r>
        <w:rPr>
          <w:rFonts w:ascii="宋体" w:hAnsi="宋体"/>
          <w:sz w:val="24"/>
          <w:highlight w:val="none"/>
        </w:rPr>
        <w:t>（2）按本章第2.2.4项（2）目规定的评审因素和分值对</w:t>
      </w:r>
      <w:r>
        <w:rPr>
          <w:rFonts w:hint="eastAsia" w:ascii="宋体" w:hAnsi="宋体"/>
          <w:sz w:val="24"/>
          <w:highlight w:val="none"/>
        </w:rPr>
        <w:t>主要人员部分</w:t>
      </w:r>
      <w:r>
        <w:rPr>
          <w:rFonts w:ascii="宋体" w:hAnsi="宋体"/>
          <w:sz w:val="24"/>
          <w:highlight w:val="none"/>
        </w:rPr>
        <w:t>计算出得分B；</w:t>
      </w:r>
    </w:p>
    <w:p>
      <w:pPr>
        <w:spacing w:line="360" w:lineRule="auto"/>
        <w:ind w:firstLine="480" w:firstLineChars="200"/>
        <w:rPr>
          <w:rFonts w:hint="eastAsia" w:ascii="宋体" w:hAnsi="宋体"/>
          <w:sz w:val="24"/>
          <w:highlight w:val="none"/>
        </w:rPr>
      </w:pPr>
      <w:r>
        <w:rPr>
          <w:rFonts w:ascii="宋体" w:hAnsi="宋体"/>
          <w:sz w:val="24"/>
          <w:highlight w:val="none"/>
        </w:rPr>
        <w:t>（3）按本章第2.2.4项（4）目规定的评审因素和分值对其他部分计算出得分D。</w:t>
      </w:r>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2</w:t>
      </w:r>
      <w:r>
        <w:rPr>
          <w:rFonts w:ascii="宋体" w:hAnsi="宋体"/>
          <w:sz w:val="24"/>
          <w:highlight w:val="none"/>
        </w:rPr>
        <w:t xml:space="preserve">.2 </w:t>
      </w:r>
      <w:r>
        <w:rPr>
          <w:rFonts w:hint="eastAsia" w:ascii="宋体" w:hAnsi="宋体"/>
          <w:sz w:val="24"/>
          <w:highlight w:val="none"/>
        </w:rPr>
        <w:t>投标人的商务和技术得分</w:t>
      </w:r>
      <w:r>
        <w:rPr>
          <w:rFonts w:ascii="宋体" w:hAnsi="宋体"/>
          <w:sz w:val="24"/>
          <w:highlight w:val="none"/>
        </w:rPr>
        <w:t>分值计算保留小数点后两位，小数点后第三位“四舍五入”。</w:t>
      </w:r>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2</w:t>
      </w:r>
      <w:r>
        <w:rPr>
          <w:rFonts w:ascii="宋体" w:hAnsi="宋体"/>
          <w:sz w:val="24"/>
          <w:highlight w:val="none"/>
        </w:rPr>
        <w:t>.3 投标人</w:t>
      </w:r>
      <w:r>
        <w:rPr>
          <w:rFonts w:hint="eastAsia" w:ascii="宋体" w:hAnsi="宋体"/>
          <w:sz w:val="24"/>
          <w:highlight w:val="none"/>
        </w:rPr>
        <w:t>的商务和技术</w:t>
      </w:r>
      <w:r>
        <w:rPr>
          <w:rFonts w:ascii="宋体" w:hAnsi="宋体"/>
          <w:sz w:val="24"/>
          <w:highlight w:val="none"/>
        </w:rPr>
        <w:t>得分=A+B+D。</w:t>
      </w:r>
      <w:r>
        <w:rPr>
          <w:rFonts w:hint="eastAsia" w:ascii="宋体" w:hAnsi="宋体"/>
          <w:sz w:val="24"/>
          <w:highlight w:val="none"/>
        </w:rPr>
        <w:t xml:space="preserve"> </w:t>
      </w:r>
    </w:p>
    <w:p>
      <w:pPr>
        <w:spacing w:line="360" w:lineRule="auto"/>
        <w:rPr>
          <w:rFonts w:hint="eastAsia" w:ascii="宋体" w:hAnsi="宋体"/>
          <w:sz w:val="24"/>
          <w:highlight w:val="none"/>
        </w:rPr>
      </w:pPr>
      <w:bookmarkStart w:id="76" w:name="_Toc503235814"/>
      <w:bookmarkStart w:id="77" w:name="_Toc503517992"/>
      <w:r>
        <w:rPr>
          <w:rFonts w:ascii="宋体" w:hAnsi="宋体"/>
          <w:sz w:val="24"/>
          <w:highlight w:val="none"/>
        </w:rPr>
        <w:t>3.</w:t>
      </w:r>
      <w:r>
        <w:rPr>
          <w:rFonts w:hint="eastAsia" w:ascii="宋体" w:hAnsi="宋体"/>
          <w:sz w:val="24"/>
          <w:highlight w:val="none"/>
        </w:rPr>
        <w:t>3 第二个信封开标</w:t>
      </w:r>
      <w:bookmarkEnd w:id="76"/>
      <w:bookmarkEnd w:id="77"/>
    </w:p>
    <w:p>
      <w:pPr>
        <w:spacing w:line="360" w:lineRule="auto"/>
        <w:ind w:firstLine="480" w:firstLineChars="200"/>
        <w:rPr>
          <w:rFonts w:hint="eastAsia" w:ascii="宋体" w:hAnsi="宋体"/>
          <w:sz w:val="24"/>
          <w:highlight w:val="none"/>
        </w:rPr>
      </w:pPr>
      <w:r>
        <w:rPr>
          <w:rFonts w:ascii="宋体" w:hAnsi="宋体"/>
          <w:sz w:val="24"/>
          <w:highlight w:val="none"/>
        </w:rPr>
        <w:t>第一</w:t>
      </w:r>
      <w:r>
        <w:rPr>
          <w:rFonts w:hint="eastAsia" w:ascii="宋体" w:hAnsi="宋体"/>
          <w:sz w:val="24"/>
          <w:highlight w:val="none"/>
        </w:rPr>
        <w:t>个</w:t>
      </w:r>
      <w:r>
        <w:rPr>
          <w:rFonts w:ascii="宋体" w:hAnsi="宋体"/>
          <w:sz w:val="24"/>
          <w:highlight w:val="none"/>
        </w:rPr>
        <w:t>信封（商务及技术文件）评审结束后，招标人将按照</w:t>
      </w:r>
      <w:r>
        <w:rPr>
          <w:rFonts w:hint="eastAsia" w:ascii="宋体" w:hAnsi="宋体"/>
          <w:sz w:val="24"/>
          <w:highlight w:val="none"/>
        </w:rPr>
        <w:t>第二章</w:t>
      </w:r>
      <w:r>
        <w:rPr>
          <w:rFonts w:ascii="宋体" w:hAnsi="宋体"/>
          <w:sz w:val="24"/>
          <w:highlight w:val="none"/>
        </w:rPr>
        <w:t>“</w:t>
      </w:r>
      <w:r>
        <w:rPr>
          <w:rFonts w:hint="eastAsia" w:ascii="宋体" w:hAnsi="宋体"/>
          <w:sz w:val="24"/>
          <w:highlight w:val="none"/>
        </w:rPr>
        <w:t>投标</w:t>
      </w:r>
      <w:r>
        <w:rPr>
          <w:rFonts w:ascii="宋体" w:hAnsi="宋体"/>
          <w:sz w:val="24"/>
          <w:highlight w:val="none"/>
        </w:rPr>
        <w:t>人须知”</w:t>
      </w:r>
      <w:r>
        <w:rPr>
          <w:rFonts w:hint="eastAsia" w:ascii="宋体" w:hAnsi="宋体"/>
          <w:sz w:val="24"/>
          <w:highlight w:val="none"/>
        </w:rPr>
        <w:t>第5.1款</w:t>
      </w:r>
      <w:r>
        <w:rPr>
          <w:rFonts w:ascii="宋体" w:hAnsi="宋体"/>
          <w:sz w:val="24"/>
          <w:highlight w:val="none"/>
        </w:rPr>
        <w:t>规定的时间和地点</w:t>
      </w:r>
      <w:r>
        <w:rPr>
          <w:rFonts w:hint="eastAsia" w:ascii="宋体" w:hAnsi="宋体"/>
          <w:sz w:val="24"/>
          <w:highlight w:val="none"/>
        </w:rPr>
        <w:t>对</w:t>
      </w:r>
      <w:r>
        <w:rPr>
          <w:rFonts w:ascii="宋体" w:hAnsi="宋体"/>
          <w:sz w:val="24"/>
          <w:highlight w:val="none"/>
        </w:rPr>
        <w:t>通过投标文件第一</w:t>
      </w:r>
      <w:r>
        <w:rPr>
          <w:rFonts w:hint="eastAsia" w:ascii="宋体" w:hAnsi="宋体"/>
          <w:sz w:val="24"/>
          <w:highlight w:val="none"/>
        </w:rPr>
        <w:t>个</w:t>
      </w:r>
      <w:r>
        <w:rPr>
          <w:rFonts w:ascii="宋体" w:hAnsi="宋体"/>
          <w:sz w:val="24"/>
          <w:highlight w:val="none"/>
        </w:rPr>
        <w:t>信封（商务及技术文件）评审的投标</w:t>
      </w:r>
      <w:r>
        <w:rPr>
          <w:rFonts w:hint="eastAsia" w:ascii="宋体" w:hAnsi="宋体"/>
          <w:sz w:val="24"/>
          <w:highlight w:val="none"/>
        </w:rPr>
        <w:t>文件</w:t>
      </w:r>
      <w:r>
        <w:rPr>
          <w:rFonts w:ascii="宋体" w:hAnsi="宋体"/>
          <w:sz w:val="24"/>
          <w:highlight w:val="none"/>
        </w:rPr>
        <w:t>第二</w:t>
      </w:r>
      <w:r>
        <w:rPr>
          <w:rFonts w:hint="eastAsia" w:ascii="宋体" w:hAnsi="宋体"/>
          <w:sz w:val="24"/>
          <w:highlight w:val="none"/>
        </w:rPr>
        <w:t>个</w:t>
      </w:r>
      <w:r>
        <w:rPr>
          <w:rFonts w:ascii="宋体" w:hAnsi="宋体"/>
          <w:sz w:val="24"/>
          <w:highlight w:val="none"/>
        </w:rPr>
        <w:t>信封（报价</w:t>
      </w:r>
      <w:r>
        <w:rPr>
          <w:rFonts w:hint="eastAsia" w:ascii="宋体" w:hAnsi="宋体"/>
          <w:sz w:val="24"/>
          <w:highlight w:val="none"/>
        </w:rPr>
        <w:t>文件</w:t>
      </w:r>
      <w:r>
        <w:rPr>
          <w:rFonts w:ascii="宋体" w:hAnsi="宋体"/>
          <w:sz w:val="24"/>
          <w:highlight w:val="none"/>
        </w:rPr>
        <w:t>）进行开标。</w:t>
      </w:r>
    </w:p>
    <w:p>
      <w:pPr>
        <w:spacing w:line="360" w:lineRule="auto"/>
        <w:rPr>
          <w:rFonts w:hint="eastAsia" w:ascii="宋体" w:hAnsi="宋体"/>
          <w:sz w:val="24"/>
          <w:highlight w:val="none"/>
        </w:rPr>
      </w:pPr>
      <w:bookmarkStart w:id="78" w:name="_Toc503517993"/>
      <w:bookmarkStart w:id="79" w:name="_Toc503235815"/>
      <w:r>
        <w:rPr>
          <w:rFonts w:ascii="宋体" w:hAnsi="宋体"/>
          <w:sz w:val="24"/>
          <w:highlight w:val="none"/>
        </w:rPr>
        <w:t>3.</w:t>
      </w:r>
      <w:r>
        <w:rPr>
          <w:rFonts w:hint="eastAsia" w:ascii="宋体" w:hAnsi="宋体"/>
          <w:sz w:val="24"/>
          <w:highlight w:val="none"/>
        </w:rPr>
        <w:t>4 第二个信封</w:t>
      </w:r>
      <w:r>
        <w:rPr>
          <w:rFonts w:ascii="宋体" w:hAnsi="宋体"/>
          <w:sz w:val="24"/>
          <w:highlight w:val="none"/>
        </w:rPr>
        <w:t>初步评审</w:t>
      </w:r>
      <w:bookmarkEnd w:id="78"/>
      <w:bookmarkEnd w:id="79"/>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4</w:t>
      </w:r>
      <w:r>
        <w:rPr>
          <w:rFonts w:ascii="宋体" w:hAnsi="宋体"/>
          <w:sz w:val="24"/>
          <w:highlight w:val="none"/>
        </w:rPr>
        <w:t>.1 评标委员会依据本章第2.1.1项、第2.1.3项规定的评审标准对投标文件</w:t>
      </w:r>
      <w:r>
        <w:rPr>
          <w:rFonts w:hint="eastAsia" w:ascii="宋体" w:hAnsi="宋体"/>
          <w:sz w:val="24"/>
          <w:highlight w:val="none"/>
        </w:rPr>
        <w:t>第二个信封（报价文件）</w:t>
      </w:r>
      <w:r>
        <w:rPr>
          <w:rFonts w:ascii="宋体" w:hAnsi="宋体"/>
          <w:sz w:val="24"/>
          <w:highlight w:val="none"/>
        </w:rPr>
        <w:t>进行初步评审。有一项不符合评审标准的，</w:t>
      </w:r>
      <w:r>
        <w:rPr>
          <w:rFonts w:hint="eastAsia" w:ascii="宋体" w:hAnsi="宋体"/>
          <w:sz w:val="24"/>
          <w:highlight w:val="none"/>
        </w:rPr>
        <w:t>评标委员会应否决其投标</w:t>
      </w:r>
      <w:r>
        <w:rPr>
          <w:rFonts w:ascii="宋体" w:hAnsi="宋体"/>
          <w:sz w:val="24"/>
          <w:highlight w:val="none"/>
        </w:rPr>
        <w:t>。</w:t>
      </w:r>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2</w:t>
      </w:r>
      <w:r>
        <w:rPr>
          <w:rFonts w:ascii="宋体" w:hAnsi="宋体"/>
          <w:sz w:val="24"/>
          <w:highlight w:val="none"/>
        </w:rPr>
        <w:t xml:space="preserve"> 投标报价有算术错误的，评标委员会按以下原则对投标报价进行修正，修正的价格经投标人书面确认后具有约束力。投标人不接受修正价格的，</w:t>
      </w:r>
      <w:r>
        <w:rPr>
          <w:rFonts w:hint="eastAsia" w:ascii="宋体" w:hAnsi="宋体"/>
          <w:sz w:val="24"/>
          <w:highlight w:val="none"/>
        </w:rPr>
        <w:t>评标委员会应否决其投标。</w:t>
      </w:r>
    </w:p>
    <w:p>
      <w:pPr>
        <w:spacing w:line="360" w:lineRule="auto"/>
        <w:ind w:firstLine="480" w:firstLineChars="200"/>
        <w:rPr>
          <w:rFonts w:hint="eastAsia" w:ascii="宋体" w:hAnsi="宋体"/>
          <w:sz w:val="24"/>
          <w:highlight w:val="none"/>
        </w:rPr>
      </w:pPr>
      <w:r>
        <w:rPr>
          <w:rFonts w:ascii="宋体" w:hAnsi="宋体"/>
          <w:sz w:val="24"/>
          <w:highlight w:val="none"/>
        </w:rPr>
        <w:t>（1）投标文件中的大写金额与小写金额不一致的，以大写金额为准；</w:t>
      </w:r>
    </w:p>
    <w:p>
      <w:pPr>
        <w:spacing w:line="360" w:lineRule="auto"/>
        <w:ind w:firstLine="480" w:firstLineChars="200"/>
        <w:rPr>
          <w:rFonts w:hint="eastAsia" w:ascii="宋体" w:hAnsi="宋体"/>
          <w:sz w:val="24"/>
          <w:highlight w:val="none"/>
        </w:rPr>
      </w:pPr>
      <w:r>
        <w:rPr>
          <w:rFonts w:ascii="宋体" w:hAnsi="宋体"/>
          <w:sz w:val="24"/>
          <w:highlight w:val="none"/>
        </w:rPr>
        <w:t>（2）总价金额与依据单价计算出的结果不一致的，以单价金额为准修正总价，但单价金额小数点有明显错误的除外</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（3）当单价与数量相乘不等于合价时，以单价计算为准，如果单价有明显的小数点位置差错，应以标出的合价为准，同时对单价予以修正；</w:t>
      </w:r>
    </w:p>
    <w:p>
      <w:pPr>
        <w:spacing w:line="360" w:lineRule="auto"/>
        <w:ind w:firstLine="480" w:firstLineChars="200"/>
        <w:rPr>
          <w:rFonts w:hint="eastAsia" w:ascii="宋体" w:hAnsi="宋体"/>
          <w:sz w:val="24"/>
          <w:highlight w:val="none"/>
        </w:rPr>
      </w:pPr>
      <w:r>
        <w:rPr>
          <w:rFonts w:hint="eastAsia" w:ascii="宋体" w:hAnsi="宋体"/>
          <w:sz w:val="24"/>
          <w:highlight w:val="none"/>
        </w:rPr>
        <w:t>（4）当各子目的合价累计不等于总价时，应以各子目合价累计数为准，修正总价。</w:t>
      </w:r>
    </w:p>
    <w:p>
      <w:pPr>
        <w:spacing w:line="360" w:lineRule="auto"/>
        <w:ind w:firstLine="480" w:firstLineChars="200"/>
        <w:rPr>
          <w:rFonts w:hint="eastAsia" w:ascii="宋体" w:hAnsi="宋体"/>
          <w:sz w:val="24"/>
          <w:highlight w:val="none"/>
        </w:rPr>
      </w:pPr>
      <w:r>
        <w:rPr>
          <w:rFonts w:hint="eastAsia" w:ascii="宋体" w:hAnsi="宋体"/>
          <w:sz w:val="24"/>
          <w:highlight w:val="none"/>
        </w:rPr>
        <w:t>3.4.</w:t>
      </w:r>
      <w:r>
        <w:rPr>
          <w:rFonts w:ascii="宋体" w:hAnsi="宋体"/>
          <w:sz w:val="24"/>
          <w:highlight w:val="none"/>
        </w:rPr>
        <w:t>3</w:t>
      </w:r>
      <w:r>
        <w:rPr>
          <w:rFonts w:hint="eastAsia" w:ascii="宋体" w:hAnsi="宋体"/>
          <w:sz w:val="24"/>
          <w:highlight w:val="none"/>
        </w:rPr>
        <w:t xml:space="preserve"> 修正后的最终投标报价若超过最高投标限价（如有），评标委员会应否决其投标。</w:t>
      </w:r>
    </w:p>
    <w:p>
      <w:pPr>
        <w:spacing w:line="360" w:lineRule="auto"/>
        <w:ind w:firstLine="480" w:firstLineChars="200"/>
        <w:rPr>
          <w:rFonts w:hint="eastAsia" w:ascii="宋体" w:hAnsi="宋体"/>
          <w:sz w:val="24"/>
          <w:highlight w:val="none"/>
        </w:rPr>
      </w:pPr>
      <w:r>
        <w:rPr>
          <w:rFonts w:hint="eastAsia" w:ascii="宋体" w:hAnsi="宋体"/>
          <w:sz w:val="24"/>
          <w:highlight w:val="none"/>
        </w:rPr>
        <w:t>3.4.</w:t>
      </w:r>
      <w:r>
        <w:rPr>
          <w:rFonts w:ascii="宋体" w:hAnsi="宋体"/>
          <w:sz w:val="24"/>
          <w:highlight w:val="none"/>
        </w:rPr>
        <w:t>4</w:t>
      </w:r>
      <w:r>
        <w:rPr>
          <w:rFonts w:hint="eastAsia" w:ascii="宋体" w:hAnsi="宋体"/>
          <w:sz w:val="24"/>
          <w:highlight w:val="none"/>
        </w:rPr>
        <w:t xml:space="preserve"> 修正后的最终投标报价仅作为签订合同的一个依据，不参与评标价得分的计算。</w:t>
      </w:r>
    </w:p>
    <w:p>
      <w:pPr>
        <w:spacing w:line="360" w:lineRule="auto"/>
        <w:rPr>
          <w:rFonts w:hint="eastAsia" w:ascii="宋体" w:hAnsi="宋体"/>
          <w:sz w:val="24"/>
          <w:highlight w:val="none"/>
        </w:rPr>
      </w:pPr>
      <w:bookmarkStart w:id="80" w:name="_Toc503517994"/>
      <w:bookmarkStart w:id="81" w:name="_Toc503235816"/>
      <w:r>
        <w:rPr>
          <w:rFonts w:ascii="宋体" w:hAnsi="宋体"/>
          <w:sz w:val="24"/>
          <w:highlight w:val="none"/>
        </w:rPr>
        <w:t>3.</w:t>
      </w:r>
      <w:r>
        <w:rPr>
          <w:rFonts w:hint="eastAsia" w:ascii="宋体" w:hAnsi="宋体"/>
          <w:sz w:val="24"/>
          <w:highlight w:val="none"/>
        </w:rPr>
        <w:t>5 第二个信封</w:t>
      </w:r>
      <w:r>
        <w:rPr>
          <w:rFonts w:ascii="宋体" w:hAnsi="宋体"/>
          <w:sz w:val="24"/>
          <w:highlight w:val="none"/>
        </w:rPr>
        <w:t>详细评审</w:t>
      </w:r>
      <w:bookmarkEnd w:id="80"/>
      <w:bookmarkEnd w:id="81"/>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5</w:t>
      </w:r>
      <w:r>
        <w:rPr>
          <w:rFonts w:ascii="宋体" w:hAnsi="宋体"/>
          <w:sz w:val="24"/>
          <w:highlight w:val="none"/>
        </w:rPr>
        <w:t>.1 评标委员会按本章第2.2.4项（3）目规定的评审因素和分值对</w:t>
      </w:r>
      <w:r>
        <w:rPr>
          <w:rFonts w:hint="eastAsia" w:ascii="宋体" w:hAnsi="宋体"/>
          <w:sz w:val="24"/>
          <w:highlight w:val="none"/>
        </w:rPr>
        <w:t>评标价</w:t>
      </w:r>
      <w:r>
        <w:rPr>
          <w:rFonts w:ascii="宋体" w:hAnsi="宋体"/>
          <w:sz w:val="24"/>
          <w:highlight w:val="none"/>
        </w:rPr>
        <w:t>计算出得分C</w:t>
      </w:r>
      <w:r>
        <w:rPr>
          <w:rFonts w:hint="eastAsia" w:ascii="宋体" w:hAnsi="宋体"/>
          <w:sz w:val="24"/>
          <w:highlight w:val="none"/>
        </w:rPr>
        <w:t>。评标价得</w:t>
      </w:r>
      <w:r>
        <w:rPr>
          <w:rFonts w:ascii="宋体" w:hAnsi="宋体"/>
          <w:sz w:val="24"/>
          <w:highlight w:val="none"/>
        </w:rPr>
        <w:t>分分值计算保留小数点后两位，小数点后第三位“四舍五入”。</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3.5.2 </w:t>
      </w:r>
      <w:r>
        <w:rPr>
          <w:rFonts w:ascii="宋体" w:hAnsi="宋体"/>
          <w:sz w:val="24"/>
          <w:highlight w:val="none"/>
        </w:rPr>
        <w:t>投标人综合得分=</w:t>
      </w:r>
      <w:r>
        <w:rPr>
          <w:rFonts w:hint="eastAsia" w:ascii="宋体" w:hAnsi="宋体"/>
          <w:sz w:val="24"/>
          <w:highlight w:val="none"/>
        </w:rPr>
        <w:t>投标人的商务和技术得分</w:t>
      </w:r>
      <w:r>
        <w:rPr>
          <w:rFonts w:ascii="宋体" w:hAnsi="宋体"/>
          <w:sz w:val="24"/>
          <w:highlight w:val="none"/>
        </w:rPr>
        <w:t>+C。</w:t>
      </w:r>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3</w:t>
      </w:r>
      <w:r>
        <w:rPr>
          <w:rFonts w:ascii="宋体" w:hAnsi="宋体"/>
          <w:sz w:val="24"/>
          <w:highlight w:val="none"/>
        </w:rPr>
        <w:t xml:space="preserve">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pacing w:line="360" w:lineRule="auto"/>
        <w:rPr>
          <w:rFonts w:hint="eastAsia" w:ascii="宋体" w:hAnsi="宋体"/>
          <w:sz w:val="24"/>
          <w:highlight w:val="none"/>
        </w:rPr>
      </w:pPr>
      <w:bookmarkStart w:id="82" w:name="_Toc503235817"/>
      <w:bookmarkStart w:id="83" w:name="_Toc503517995"/>
      <w:r>
        <w:rPr>
          <w:rFonts w:ascii="宋体" w:hAnsi="宋体"/>
          <w:sz w:val="24"/>
          <w:highlight w:val="none"/>
        </w:rPr>
        <w:t>3.</w:t>
      </w:r>
      <w:r>
        <w:rPr>
          <w:rFonts w:hint="eastAsia" w:ascii="宋体" w:hAnsi="宋体"/>
          <w:sz w:val="24"/>
          <w:highlight w:val="none"/>
        </w:rPr>
        <w:t>6 投标文件相关信息的核查</w:t>
      </w:r>
      <w:bookmarkEnd w:id="82"/>
      <w:bookmarkEnd w:id="83"/>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6</w:t>
      </w:r>
      <w:r>
        <w:rPr>
          <w:rFonts w:ascii="宋体" w:hAnsi="宋体"/>
          <w:sz w:val="24"/>
          <w:highlight w:val="none"/>
        </w:rPr>
        <w:t>.1</w:t>
      </w:r>
      <w:r>
        <w:rPr>
          <w:rFonts w:hint="eastAsia" w:ascii="宋体" w:hAnsi="宋体"/>
          <w:sz w:val="24"/>
          <w:highlight w:val="none"/>
        </w:rPr>
        <w:t xml:space="preserve"> </w:t>
      </w:r>
      <w:r>
        <w:rPr>
          <w:rFonts w:ascii="宋体" w:hAnsi="宋体"/>
          <w:sz w:val="24"/>
          <w:highlight w:val="none"/>
        </w:rPr>
        <w:t>评标委员会应对在评标过程中发现的投标人与投标人之间、投标人与招标人之间存在的串通投标的情形进行评审和认定。</w:t>
      </w:r>
      <w:r>
        <w:rPr>
          <w:rFonts w:hint="eastAsia" w:ascii="宋体" w:hAnsi="宋体"/>
          <w:sz w:val="24"/>
          <w:highlight w:val="none"/>
        </w:rPr>
        <w:t>投标人存在</w:t>
      </w:r>
      <w:r>
        <w:rPr>
          <w:rFonts w:ascii="宋体" w:hAnsi="宋体"/>
          <w:sz w:val="24"/>
          <w:highlight w:val="none"/>
        </w:rPr>
        <w:t>串通投标</w:t>
      </w:r>
      <w:r>
        <w:rPr>
          <w:rFonts w:hint="eastAsia" w:ascii="宋体" w:hAnsi="宋体"/>
          <w:sz w:val="24"/>
          <w:highlight w:val="none"/>
        </w:rPr>
        <w:t>、</w:t>
      </w:r>
      <w:r>
        <w:rPr>
          <w:rFonts w:ascii="宋体" w:hAnsi="宋体"/>
          <w:sz w:val="24"/>
          <w:highlight w:val="none"/>
        </w:rPr>
        <w:t>弄虚作假</w:t>
      </w:r>
      <w:r>
        <w:rPr>
          <w:rFonts w:hint="eastAsia" w:ascii="宋体" w:hAnsi="宋体"/>
          <w:sz w:val="24"/>
          <w:highlight w:val="none"/>
        </w:rPr>
        <w:t>、行贿等</w:t>
      </w:r>
      <w:r>
        <w:rPr>
          <w:rFonts w:ascii="宋体" w:hAnsi="宋体"/>
          <w:sz w:val="24"/>
          <w:highlight w:val="none"/>
        </w:rPr>
        <w:t>违法行为的</w:t>
      </w:r>
      <w:r>
        <w:rPr>
          <w:rFonts w:hint="eastAsia" w:ascii="宋体" w:hAnsi="宋体"/>
          <w:sz w:val="24"/>
          <w:highlight w:val="none"/>
        </w:rPr>
        <w:t>，评标委员会应否决其投标。</w:t>
      </w:r>
    </w:p>
    <w:p>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ascii="宋体" w:hAnsi="宋体"/>
          <w:sz w:val="24"/>
          <w:highlight w:val="none"/>
        </w:rPr>
        <w:t>有下列情形之一的，属于投标人相互串通投标：</w:t>
      </w:r>
    </w:p>
    <w:p>
      <w:pPr>
        <w:spacing w:line="360" w:lineRule="auto"/>
        <w:ind w:firstLine="480" w:firstLineChars="200"/>
        <w:rPr>
          <w:rFonts w:hint="eastAsia" w:ascii="宋体" w:hAnsi="宋体"/>
          <w:sz w:val="24"/>
          <w:highlight w:val="none"/>
        </w:rPr>
      </w:pPr>
      <w:r>
        <w:rPr>
          <w:rFonts w:ascii="宋体" w:hAnsi="宋体"/>
          <w:sz w:val="24"/>
          <w:highlight w:val="none"/>
        </w:rPr>
        <w:t>a.投标人之间协商投标报价等投标文件的实质性内容；</w:t>
      </w:r>
    </w:p>
    <w:p>
      <w:pPr>
        <w:spacing w:line="360" w:lineRule="auto"/>
        <w:ind w:firstLine="480" w:firstLineChars="200"/>
        <w:rPr>
          <w:rFonts w:hint="eastAsia" w:ascii="宋体" w:hAnsi="宋体"/>
          <w:sz w:val="24"/>
          <w:highlight w:val="none"/>
        </w:rPr>
      </w:pPr>
      <w:r>
        <w:rPr>
          <w:rFonts w:ascii="宋体" w:hAnsi="宋体"/>
          <w:sz w:val="24"/>
          <w:highlight w:val="none"/>
        </w:rPr>
        <w:t>b.投标人之间约定中标人；</w:t>
      </w:r>
    </w:p>
    <w:p>
      <w:pPr>
        <w:spacing w:line="360" w:lineRule="auto"/>
        <w:ind w:firstLine="480" w:firstLineChars="200"/>
        <w:rPr>
          <w:rFonts w:hint="eastAsia" w:ascii="宋体" w:hAnsi="宋体"/>
          <w:sz w:val="24"/>
          <w:highlight w:val="none"/>
        </w:rPr>
      </w:pPr>
      <w:r>
        <w:rPr>
          <w:rFonts w:ascii="宋体" w:hAnsi="宋体"/>
          <w:sz w:val="24"/>
          <w:highlight w:val="none"/>
        </w:rPr>
        <w:t>c.投标人之间约定部分投标人放弃投标或中标；</w:t>
      </w:r>
    </w:p>
    <w:p>
      <w:pPr>
        <w:spacing w:line="360" w:lineRule="auto"/>
        <w:ind w:firstLine="480" w:firstLineChars="200"/>
        <w:rPr>
          <w:rFonts w:hint="eastAsia" w:ascii="宋体" w:hAnsi="宋体"/>
          <w:sz w:val="24"/>
          <w:highlight w:val="none"/>
        </w:rPr>
      </w:pPr>
      <w:r>
        <w:rPr>
          <w:rFonts w:ascii="宋体" w:hAnsi="宋体"/>
          <w:sz w:val="24"/>
          <w:highlight w:val="none"/>
        </w:rPr>
        <w:t>d.属于同一集团、协会、商会等组织成员的投标人按照该组织要求协同投标；</w:t>
      </w:r>
    </w:p>
    <w:p>
      <w:pPr>
        <w:spacing w:line="360" w:lineRule="auto"/>
        <w:ind w:firstLine="480" w:firstLineChars="200"/>
        <w:rPr>
          <w:rFonts w:hint="eastAsia" w:ascii="宋体" w:hAnsi="宋体"/>
          <w:sz w:val="24"/>
          <w:highlight w:val="none"/>
        </w:rPr>
      </w:pPr>
      <w:r>
        <w:rPr>
          <w:rFonts w:ascii="宋体" w:hAnsi="宋体"/>
          <w:sz w:val="24"/>
          <w:highlight w:val="none"/>
        </w:rPr>
        <w:t>e.投标人之间为谋取中标或排斥特定投标人而采取的其他联合行动。</w:t>
      </w:r>
    </w:p>
    <w:p>
      <w:pPr>
        <w:spacing w:line="360" w:lineRule="auto"/>
        <w:ind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有下列情形之一的，视为投标人相互串通投标：</w:t>
      </w:r>
    </w:p>
    <w:p>
      <w:pPr>
        <w:spacing w:line="360" w:lineRule="auto"/>
        <w:ind w:firstLine="480" w:firstLineChars="200"/>
        <w:rPr>
          <w:rFonts w:hint="eastAsia" w:ascii="宋体" w:hAnsi="宋体"/>
          <w:sz w:val="24"/>
          <w:highlight w:val="none"/>
        </w:rPr>
      </w:pPr>
      <w:r>
        <w:rPr>
          <w:rFonts w:ascii="宋体" w:hAnsi="宋体"/>
          <w:sz w:val="24"/>
          <w:highlight w:val="none"/>
        </w:rPr>
        <w:t>a.不同投标人的投标文件由同一单位或个人编制；</w:t>
      </w:r>
    </w:p>
    <w:p>
      <w:pPr>
        <w:spacing w:line="360" w:lineRule="auto"/>
        <w:ind w:firstLine="480" w:firstLineChars="200"/>
        <w:rPr>
          <w:rFonts w:hint="eastAsia" w:ascii="宋体" w:hAnsi="宋体"/>
          <w:sz w:val="24"/>
          <w:highlight w:val="none"/>
        </w:rPr>
      </w:pPr>
      <w:r>
        <w:rPr>
          <w:rFonts w:ascii="宋体" w:hAnsi="宋体"/>
          <w:sz w:val="24"/>
          <w:highlight w:val="none"/>
        </w:rPr>
        <w:t>b.不同投标人委托同一单位或个人办理投标事宜；</w:t>
      </w:r>
    </w:p>
    <w:p>
      <w:pPr>
        <w:spacing w:line="360" w:lineRule="auto"/>
        <w:ind w:firstLine="480" w:firstLineChars="200"/>
        <w:rPr>
          <w:rFonts w:hint="eastAsia" w:ascii="宋体" w:hAnsi="宋体"/>
          <w:sz w:val="24"/>
          <w:highlight w:val="none"/>
        </w:rPr>
      </w:pPr>
      <w:r>
        <w:rPr>
          <w:rFonts w:ascii="宋体" w:hAnsi="宋体"/>
          <w:sz w:val="24"/>
          <w:highlight w:val="none"/>
        </w:rPr>
        <w:t>c.不同投标人的投标文件载明的项目管理成员为同一人；</w:t>
      </w:r>
    </w:p>
    <w:p>
      <w:pPr>
        <w:spacing w:line="360" w:lineRule="auto"/>
        <w:ind w:firstLine="480" w:firstLineChars="200"/>
        <w:rPr>
          <w:rFonts w:hint="eastAsia" w:ascii="宋体" w:hAnsi="宋体"/>
          <w:sz w:val="24"/>
          <w:highlight w:val="none"/>
        </w:rPr>
      </w:pPr>
      <w:r>
        <w:rPr>
          <w:rFonts w:ascii="宋体" w:hAnsi="宋体"/>
          <w:sz w:val="24"/>
          <w:highlight w:val="none"/>
        </w:rPr>
        <w:t>d.不同投标人的投标文件异常一致或投标报价呈规律性差异；</w:t>
      </w:r>
    </w:p>
    <w:p>
      <w:pPr>
        <w:spacing w:line="360" w:lineRule="auto"/>
        <w:ind w:firstLine="480" w:firstLineChars="200"/>
        <w:rPr>
          <w:rFonts w:hint="eastAsia" w:ascii="宋体" w:hAnsi="宋体"/>
          <w:sz w:val="24"/>
          <w:highlight w:val="none"/>
        </w:rPr>
      </w:pPr>
      <w:r>
        <w:rPr>
          <w:rFonts w:ascii="宋体" w:hAnsi="宋体"/>
          <w:sz w:val="24"/>
          <w:highlight w:val="none"/>
        </w:rPr>
        <w:t>e.不同投标人的投标文件相互混装；</w:t>
      </w:r>
    </w:p>
    <w:p>
      <w:pPr>
        <w:spacing w:line="360" w:lineRule="auto"/>
        <w:ind w:firstLine="480" w:firstLineChars="200"/>
        <w:rPr>
          <w:rFonts w:hint="eastAsia" w:ascii="宋体" w:hAnsi="宋体"/>
          <w:sz w:val="24"/>
          <w:highlight w:val="none"/>
        </w:rPr>
      </w:pPr>
      <w:r>
        <w:rPr>
          <w:rFonts w:ascii="宋体" w:hAnsi="宋体"/>
          <w:sz w:val="24"/>
          <w:highlight w:val="none"/>
        </w:rPr>
        <w:t>f.不同投标人的投标保证金从同一单位或个人的账户转出。</w:t>
      </w:r>
    </w:p>
    <w:p>
      <w:pPr>
        <w:spacing w:line="360" w:lineRule="auto"/>
        <w:ind w:firstLine="480" w:firstLineChars="200"/>
        <w:rPr>
          <w:rFonts w:hint="eastAsia" w:ascii="宋体" w:hAnsi="宋体"/>
          <w:sz w:val="24"/>
          <w:highlight w:val="none"/>
        </w:rPr>
      </w:pPr>
      <w:r>
        <w:rPr>
          <w:rFonts w:ascii="宋体" w:hAnsi="宋体"/>
          <w:sz w:val="24"/>
          <w:highlight w:val="none"/>
        </w:rPr>
        <w:t>g.</w:t>
      </w:r>
      <w:r>
        <w:rPr>
          <w:rFonts w:hint="eastAsia" w:ascii="宋体" w:hAnsi="宋体"/>
          <w:sz w:val="24"/>
          <w:highlight w:val="none"/>
        </w:rPr>
        <w:t>广东省实施《中华人民共和国招标投标法》办法第十六条规定的情形。</w:t>
      </w:r>
    </w:p>
    <w:p>
      <w:pPr>
        <w:spacing w:line="360" w:lineRule="auto"/>
        <w:ind w:firstLine="480" w:firstLineChars="200"/>
        <w:rPr>
          <w:rFonts w:hint="eastAsia" w:ascii="宋体" w:hAnsi="宋体"/>
          <w:sz w:val="24"/>
          <w:highlight w:val="none"/>
        </w:rPr>
      </w:pPr>
      <w:r>
        <w:rPr>
          <w:rFonts w:hint="eastAsia" w:ascii="宋体" w:hAnsi="宋体"/>
          <w:sz w:val="24"/>
          <w:highlight w:val="none"/>
        </w:rPr>
        <w:t>（3）</w:t>
      </w:r>
      <w:r>
        <w:rPr>
          <w:rFonts w:ascii="宋体" w:hAnsi="宋体"/>
          <w:sz w:val="24"/>
          <w:highlight w:val="none"/>
        </w:rPr>
        <w:t>有下列情形之一的，属于招标人与投标人串通投标：</w:t>
      </w:r>
    </w:p>
    <w:p>
      <w:pPr>
        <w:spacing w:line="360" w:lineRule="auto"/>
        <w:ind w:firstLine="480" w:firstLineChars="200"/>
        <w:rPr>
          <w:rFonts w:hint="eastAsia" w:ascii="宋体" w:hAnsi="宋体"/>
          <w:sz w:val="24"/>
          <w:highlight w:val="none"/>
        </w:rPr>
      </w:pPr>
      <w:r>
        <w:rPr>
          <w:rFonts w:ascii="宋体" w:hAnsi="宋体"/>
          <w:sz w:val="24"/>
          <w:highlight w:val="none"/>
        </w:rPr>
        <w:t>a.招标人在开标前开启投标文件并将有关信息泄露给其他投标人;</w:t>
      </w:r>
    </w:p>
    <w:p>
      <w:pPr>
        <w:spacing w:line="360" w:lineRule="auto"/>
        <w:ind w:firstLine="480" w:firstLineChars="200"/>
        <w:rPr>
          <w:rFonts w:hint="eastAsia" w:ascii="宋体" w:hAnsi="宋体"/>
          <w:sz w:val="24"/>
          <w:highlight w:val="none"/>
        </w:rPr>
      </w:pPr>
      <w:r>
        <w:rPr>
          <w:rFonts w:ascii="宋体" w:hAnsi="宋体"/>
          <w:sz w:val="24"/>
          <w:highlight w:val="none"/>
        </w:rPr>
        <w:t>b.招标人直接或间接向投标人泄露标底、评标委员会成员等信息；</w:t>
      </w:r>
    </w:p>
    <w:p>
      <w:pPr>
        <w:spacing w:line="360" w:lineRule="auto"/>
        <w:ind w:firstLine="480" w:firstLineChars="200"/>
        <w:rPr>
          <w:rFonts w:hint="eastAsia" w:ascii="宋体" w:hAnsi="宋体"/>
          <w:sz w:val="24"/>
          <w:highlight w:val="none"/>
        </w:rPr>
      </w:pPr>
      <w:r>
        <w:rPr>
          <w:rFonts w:ascii="宋体" w:hAnsi="宋体"/>
          <w:sz w:val="24"/>
          <w:highlight w:val="none"/>
        </w:rPr>
        <w:t>c.招标人明示或暗示投标人压低或抬高投标报价；</w:t>
      </w:r>
    </w:p>
    <w:p>
      <w:pPr>
        <w:spacing w:line="360" w:lineRule="auto"/>
        <w:ind w:firstLine="480" w:firstLineChars="200"/>
        <w:rPr>
          <w:rFonts w:hint="eastAsia" w:ascii="宋体" w:hAnsi="宋体"/>
          <w:sz w:val="24"/>
          <w:highlight w:val="none"/>
        </w:rPr>
      </w:pPr>
      <w:r>
        <w:rPr>
          <w:rFonts w:ascii="宋体" w:hAnsi="宋体"/>
          <w:sz w:val="24"/>
          <w:highlight w:val="none"/>
        </w:rPr>
        <w:t>d.招标人授意投标人撤换、修改投标文件；</w:t>
      </w:r>
    </w:p>
    <w:p>
      <w:pPr>
        <w:spacing w:line="360" w:lineRule="auto"/>
        <w:ind w:firstLine="480" w:firstLineChars="200"/>
        <w:rPr>
          <w:rFonts w:hint="eastAsia" w:ascii="宋体" w:hAnsi="宋体"/>
          <w:sz w:val="24"/>
          <w:highlight w:val="none"/>
        </w:rPr>
      </w:pPr>
      <w:r>
        <w:rPr>
          <w:rFonts w:ascii="宋体" w:hAnsi="宋体"/>
          <w:sz w:val="24"/>
          <w:highlight w:val="none"/>
        </w:rPr>
        <w:t>e.招标人明示或暗示投标人为特定投标人中标提供方便；</w:t>
      </w:r>
    </w:p>
    <w:p>
      <w:pPr>
        <w:spacing w:line="360" w:lineRule="auto"/>
        <w:ind w:firstLine="480" w:firstLineChars="200"/>
        <w:rPr>
          <w:rFonts w:hint="eastAsia" w:ascii="宋体" w:hAnsi="宋体"/>
          <w:sz w:val="24"/>
          <w:highlight w:val="none"/>
        </w:rPr>
      </w:pPr>
      <w:r>
        <w:rPr>
          <w:rFonts w:ascii="宋体" w:hAnsi="宋体"/>
          <w:sz w:val="24"/>
          <w:highlight w:val="none"/>
        </w:rPr>
        <w:t>f.招标人与投标人为谋求特定投标人中标而采取的其他串通行为。</w:t>
      </w:r>
    </w:p>
    <w:p>
      <w:pPr>
        <w:spacing w:line="360" w:lineRule="auto"/>
        <w:ind w:firstLine="480" w:firstLineChars="200"/>
        <w:rPr>
          <w:rFonts w:hint="eastAsia" w:ascii="宋体" w:hAnsi="宋体"/>
          <w:sz w:val="24"/>
          <w:highlight w:val="none"/>
        </w:rPr>
      </w:pPr>
      <w:r>
        <w:rPr>
          <w:rFonts w:hint="eastAsia" w:ascii="宋体" w:hAnsi="宋体"/>
          <w:sz w:val="24"/>
          <w:highlight w:val="none"/>
        </w:rPr>
        <w:t>（4）</w:t>
      </w:r>
      <w:r>
        <w:rPr>
          <w:rFonts w:ascii="宋体" w:hAnsi="宋体"/>
          <w:sz w:val="24"/>
          <w:highlight w:val="none"/>
        </w:rPr>
        <w:t>投标人有下列情形之一的，属于弄虚作假的行为：</w:t>
      </w:r>
    </w:p>
    <w:p>
      <w:pPr>
        <w:spacing w:line="360" w:lineRule="auto"/>
        <w:ind w:firstLine="480" w:firstLineChars="200"/>
        <w:rPr>
          <w:rFonts w:hint="eastAsia" w:ascii="宋体" w:hAnsi="宋体"/>
          <w:sz w:val="24"/>
          <w:highlight w:val="none"/>
        </w:rPr>
      </w:pPr>
      <w:r>
        <w:rPr>
          <w:rFonts w:ascii="宋体" w:hAnsi="宋体"/>
          <w:sz w:val="24"/>
          <w:highlight w:val="none"/>
        </w:rPr>
        <w:t>a.使用通过受让或租借等方式获取的资格、资质证书投标</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ascii="宋体" w:hAnsi="宋体"/>
          <w:sz w:val="24"/>
          <w:highlight w:val="none"/>
        </w:rPr>
        <w:t>b.使用伪造、变造的许可证件；</w:t>
      </w:r>
    </w:p>
    <w:p>
      <w:pPr>
        <w:spacing w:line="360" w:lineRule="auto"/>
        <w:ind w:firstLine="480" w:firstLineChars="200"/>
        <w:rPr>
          <w:rFonts w:hint="eastAsia" w:ascii="宋体" w:hAnsi="宋体"/>
          <w:sz w:val="24"/>
          <w:highlight w:val="none"/>
        </w:rPr>
      </w:pPr>
      <w:r>
        <w:rPr>
          <w:rFonts w:ascii="宋体" w:hAnsi="宋体"/>
          <w:sz w:val="24"/>
          <w:highlight w:val="none"/>
        </w:rPr>
        <w:t>c.提供虚假的业绩；</w:t>
      </w:r>
    </w:p>
    <w:p>
      <w:pPr>
        <w:spacing w:line="360" w:lineRule="auto"/>
        <w:ind w:firstLine="480" w:firstLineChars="200"/>
        <w:rPr>
          <w:rFonts w:hint="eastAsia" w:ascii="宋体" w:hAnsi="宋体"/>
          <w:sz w:val="24"/>
          <w:highlight w:val="none"/>
        </w:rPr>
      </w:pPr>
      <w:r>
        <w:rPr>
          <w:rFonts w:ascii="宋体" w:hAnsi="宋体"/>
          <w:sz w:val="24"/>
          <w:highlight w:val="none"/>
        </w:rPr>
        <w:t>d.提供虚假的项目负责人或主要技术人员简历、劳动关系证明；</w:t>
      </w:r>
    </w:p>
    <w:p>
      <w:pPr>
        <w:spacing w:line="360" w:lineRule="auto"/>
        <w:ind w:firstLine="480" w:firstLineChars="200"/>
        <w:rPr>
          <w:rFonts w:hint="eastAsia" w:ascii="宋体" w:hAnsi="宋体"/>
          <w:sz w:val="24"/>
          <w:highlight w:val="none"/>
        </w:rPr>
      </w:pPr>
      <w:r>
        <w:rPr>
          <w:rFonts w:ascii="宋体" w:hAnsi="宋体"/>
          <w:sz w:val="24"/>
          <w:highlight w:val="none"/>
        </w:rPr>
        <w:t>e.提供虚假的信用状况；</w:t>
      </w:r>
    </w:p>
    <w:p>
      <w:pPr>
        <w:spacing w:line="360" w:lineRule="auto"/>
        <w:ind w:firstLine="480" w:firstLineChars="200"/>
        <w:rPr>
          <w:rFonts w:hint="eastAsia" w:ascii="宋体" w:hAnsi="宋体"/>
          <w:sz w:val="24"/>
          <w:highlight w:val="none"/>
        </w:rPr>
      </w:pPr>
      <w:r>
        <w:rPr>
          <w:rFonts w:ascii="宋体" w:hAnsi="宋体"/>
          <w:sz w:val="24"/>
          <w:highlight w:val="none"/>
        </w:rPr>
        <w:t>f.其他弄虚作假的行为。</w:t>
      </w:r>
    </w:p>
    <w:p>
      <w:pPr>
        <w:spacing w:line="360" w:lineRule="auto"/>
        <w:ind w:firstLine="480" w:firstLineChars="200"/>
        <w:rPr>
          <w:rFonts w:hint="eastAsia" w:ascii="宋体" w:hAnsi="宋体"/>
          <w:sz w:val="24"/>
          <w:highlight w:val="none"/>
        </w:rPr>
      </w:pPr>
      <w:r>
        <w:rPr>
          <w:rFonts w:hint="eastAsia" w:ascii="宋体" w:hAnsi="宋体"/>
          <w:sz w:val="24"/>
          <w:highlight w:val="none"/>
        </w:rPr>
        <w:t>3.6.2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p>
      <w:pPr>
        <w:spacing w:line="360" w:lineRule="auto"/>
        <w:rPr>
          <w:rFonts w:hint="eastAsia" w:ascii="宋体" w:hAnsi="宋体"/>
          <w:sz w:val="24"/>
          <w:highlight w:val="none"/>
        </w:rPr>
      </w:pPr>
      <w:bookmarkStart w:id="84" w:name="_Toc503517996"/>
      <w:bookmarkStart w:id="85" w:name="_Toc503235818"/>
      <w:r>
        <w:rPr>
          <w:rFonts w:ascii="宋体" w:hAnsi="宋体"/>
          <w:sz w:val="24"/>
          <w:highlight w:val="none"/>
        </w:rPr>
        <w:t>3.</w:t>
      </w:r>
      <w:r>
        <w:rPr>
          <w:rFonts w:hint="eastAsia" w:ascii="宋体" w:hAnsi="宋体"/>
          <w:sz w:val="24"/>
          <w:highlight w:val="none"/>
        </w:rPr>
        <w:t>7</w:t>
      </w:r>
      <w:r>
        <w:rPr>
          <w:rFonts w:ascii="宋体" w:hAnsi="宋体"/>
          <w:sz w:val="24"/>
          <w:highlight w:val="none"/>
        </w:rPr>
        <w:t xml:space="preserve"> 投标文件的澄清和</w:t>
      </w:r>
      <w:r>
        <w:rPr>
          <w:rFonts w:hint="eastAsia" w:ascii="宋体" w:hAnsi="宋体"/>
          <w:sz w:val="24"/>
          <w:highlight w:val="none"/>
        </w:rPr>
        <w:t>说明</w:t>
      </w:r>
      <w:bookmarkEnd w:id="84"/>
      <w:bookmarkEnd w:id="85"/>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 xml:space="preserve"> </w:t>
      </w:r>
      <w:r>
        <w:rPr>
          <w:rFonts w:ascii="宋体" w:hAnsi="宋体"/>
          <w:sz w:val="24"/>
          <w:highlight w:val="none"/>
        </w:rPr>
        <w:t>在评标过程中，评标委员会可以书面形式要求投标人对投标文件中</w:t>
      </w:r>
      <w:r>
        <w:rPr>
          <w:rFonts w:hint="eastAsia" w:ascii="宋体" w:hAnsi="宋体"/>
          <w:sz w:val="24"/>
          <w:highlight w:val="none"/>
        </w:rPr>
        <w:t>含义</w:t>
      </w:r>
      <w:r>
        <w:rPr>
          <w:rFonts w:ascii="宋体" w:hAnsi="宋体"/>
          <w:sz w:val="24"/>
          <w:highlight w:val="none"/>
        </w:rPr>
        <w:t>不明确的内容</w:t>
      </w:r>
      <w:r>
        <w:rPr>
          <w:rFonts w:hint="eastAsia" w:ascii="宋体" w:hAnsi="宋体"/>
          <w:sz w:val="24"/>
          <w:highlight w:val="none"/>
        </w:rPr>
        <w:t>、明显文字或计算错误</w:t>
      </w:r>
      <w:r>
        <w:rPr>
          <w:rFonts w:ascii="宋体" w:hAnsi="宋体"/>
          <w:sz w:val="24"/>
          <w:highlight w:val="none"/>
        </w:rPr>
        <w:t>进行书面澄清或说明。评标委员会不接受投标人主动提出的澄清、说明。</w:t>
      </w:r>
      <w:r>
        <w:rPr>
          <w:rFonts w:hint="eastAsia" w:ascii="宋体" w:hAnsi="宋体"/>
          <w:sz w:val="24"/>
          <w:highlight w:val="none"/>
        </w:rPr>
        <w:t>投标人不按评标委员会要求澄清或说明的，评标委员会应否决其投标。</w:t>
      </w:r>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7</w:t>
      </w:r>
      <w:r>
        <w:rPr>
          <w:rFonts w:ascii="宋体" w:hAnsi="宋体"/>
          <w:sz w:val="24"/>
          <w:highlight w:val="none"/>
        </w:rPr>
        <w:t>.2</w:t>
      </w:r>
      <w:r>
        <w:rPr>
          <w:rFonts w:hint="eastAsia" w:ascii="宋体" w:hAnsi="宋体"/>
          <w:sz w:val="24"/>
          <w:highlight w:val="none"/>
        </w:rPr>
        <w:t xml:space="preserve"> </w:t>
      </w:r>
      <w:r>
        <w:rPr>
          <w:rFonts w:ascii="宋体" w:hAnsi="宋体"/>
          <w:sz w:val="24"/>
          <w:highlight w:val="none"/>
        </w:rPr>
        <w:t>澄清</w:t>
      </w:r>
      <w:r>
        <w:rPr>
          <w:rFonts w:hint="eastAsia" w:ascii="宋体" w:hAnsi="宋体"/>
          <w:sz w:val="24"/>
          <w:highlight w:val="none"/>
        </w:rPr>
        <w:t>和</w:t>
      </w:r>
      <w:r>
        <w:rPr>
          <w:rFonts w:ascii="宋体" w:hAnsi="宋体"/>
          <w:sz w:val="24"/>
          <w:highlight w:val="none"/>
        </w:rPr>
        <w:t>说明不得</w:t>
      </w:r>
      <w:r>
        <w:rPr>
          <w:rFonts w:hint="eastAsia" w:ascii="宋体" w:hAnsi="宋体"/>
          <w:sz w:val="24"/>
          <w:highlight w:val="none"/>
        </w:rPr>
        <w:t>超出投标文件的范围或</w:t>
      </w:r>
      <w:r>
        <w:rPr>
          <w:rFonts w:ascii="宋体" w:hAnsi="宋体"/>
          <w:sz w:val="24"/>
          <w:highlight w:val="none"/>
        </w:rPr>
        <w:t>改变投标文件的实质性内容（算术性错误的修正除外）。投标人的书面澄清、说明属于投标文件的组成部分。</w:t>
      </w:r>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7</w:t>
      </w:r>
      <w:r>
        <w:rPr>
          <w:rFonts w:ascii="宋体" w:hAnsi="宋体"/>
          <w:sz w:val="24"/>
          <w:highlight w:val="none"/>
        </w:rPr>
        <w:t>.3</w:t>
      </w:r>
      <w:r>
        <w:rPr>
          <w:rFonts w:hint="eastAsia" w:ascii="宋体" w:hAnsi="宋体"/>
          <w:sz w:val="24"/>
          <w:highlight w:val="none"/>
        </w:rPr>
        <w:t xml:space="preserve"> </w:t>
      </w:r>
      <w:r>
        <w:rPr>
          <w:rFonts w:ascii="宋体" w:hAnsi="宋体"/>
          <w:sz w:val="24"/>
          <w:highlight w:val="none"/>
        </w:rPr>
        <w:t>评标委员会</w:t>
      </w:r>
      <w:r>
        <w:rPr>
          <w:rFonts w:hint="eastAsia" w:ascii="宋体" w:hAnsi="宋体"/>
          <w:sz w:val="24"/>
          <w:highlight w:val="none"/>
        </w:rPr>
        <w:t>不得暗示或诱导投标人作出澄清、说明，</w:t>
      </w:r>
      <w:r>
        <w:rPr>
          <w:rFonts w:ascii="宋体" w:hAnsi="宋体"/>
          <w:sz w:val="24"/>
          <w:highlight w:val="none"/>
        </w:rPr>
        <w:t>对投标人提交的澄清、说明有疑问的，可以要求投标人进一步澄清</w:t>
      </w:r>
      <w:r>
        <w:rPr>
          <w:rFonts w:hint="eastAsia" w:ascii="宋体" w:hAnsi="宋体"/>
          <w:sz w:val="24"/>
          <w:highlight w:val="none"/>
        </w:rPr>
        <w:t>或</w:t>
      </w:r>
      <w:r>
        <w:rPr>
          <w:rFonts w:ascii="宋体" w:hAnsi="宋体"/>
          <w:sz w:val="24"/>
          <w:highlight w:val="none"/>
        </w:rPr>
        <w:t>说明，直至满足评标委员会的要求。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3.7.4 凡超出招标文件规定的或给委托人带来未曾要求的利益的变化、偏差或其他因素在评标时不予考虑。</w:t>
      </w:r>
    </w:p>
    <w:p>
      <w:pPr>
        <w:spacing w:line="360" w:lineRule="auto"/>
        <w:rPr>
          <w:rFonts w:hint="eastAsia" w:ascii="宋体" w:hAnsi="宋体"/>
          <w:sz w:val="24"/>
          <w:highlight w:val="none"/>
        </w:rPr>
      </w:pPr>
      <w:bookmarkStart w:id="86" w:name="_Toc501257170"/>
      <w:bookmarkStart w:id="87" w:name="_Toc503517997"/>
      <w:bookmarkStart w:id="88" w:name="_Toc503235819"/>
      <w:r>
        <w:rPr>
          <w:rFonts w:hint="eastAsia" w:ascii="宋体" w:hAnsi="宋体"/>
          <w:sz w:val="24"/>
          <w:highlight w:val="none"/>
        </w:rPr>
        <w:t>3.8 不得否决投标的情形</w:t>
      </w:r>
      <w:bookmarkEnd w:id="86"/>
      <w:bookmarkEnd w:id="87"/>
      <w:bookmarkEnd w:id="88"/>
    </w:p>
    <w:p>
      <w:pPr>
        <w:spacing w:line="360" w:lineRule="auto"/>
        <w:ind w:firstLine="480" w:firstLineChars="200"/>
        <w:rPr>
          <w:rFonts w:hint="eastAsia" w:ascii="宋体" w:hAnsi="宋体"/>
          <w:sz w:val="24"/>
          <w:highlight w:val="none"/>
        </w:rPr>
      </w:pPr>
      <w:r>
        <w:rPr>
          <w:rFonts w:hint="eastAsia" w:ascii="宋体" w:hAnsi="宋体"/>
          <w:sz w:val="24"/>
          <w:highlight w:val="none"/>
        </w:rPr>
        <w:t>投标文件存在第二章“投标人须知”第1.12.3项所列情形的，均视为细微偏差，评标委员会不得否决投标人的投标，</w:t>
      </w:r>
      <w:r>
        <w:rPr>
          <w:rFonts w:ascii="宋体" w:hAnsi="宋体"/>
          <w:sz w:val="24"/>
          <w:highlight w:val="none"/>
        </w:rPr>
        <w:t>应按照</w:t>
      </w:r>
      <w:r>
        <w:rPr>
          <w:rFonts w:hint="eastAsia" w:ascii="宋体" w:hAnsi="宋体"/>
          <w:sz w:val="24"/>
          <w:highlight w:val="none"/>
        </w:rPr>
        <w:t>第二章“投标人须知”第1.12.4项规定的原则处理。</w:t>
      </w:r>
    </w:p>
    <w:p>
      <w:pPr>
        <w:spacing w:line="360" w:lineRule="auto"/>
        <w:rPr>
          <w:rFonts w:hint="eastAsia" w:ascii="宋体" w:hAnsi="宋体"/>
          <w:sz w:val="24"/>
          <w:highlight w:val="none"/>
        </w:rPr>
      </w:pPr>
      <w:bookmarkStart w:id="89" w:name="_Toc503235820"/>
      <w:bookmarkStart w:id="90" w:name="_Toc503517998"/>
      <w:r>
        <w:rPr>
          <w:rFonts w:ascii="宋体" w:hAnsi="宋体"/>
          <w:sz w:val="24"/>
          <w:highlight w:val="none"/>
        </w:rPr>
        <w:t>3.</w:t>
      </w:r>
      <w:r>
        <w:rPr>
          <w:rFonts w:hint="eastAsia" w:ascii="宋体" w:hAnsi="宋体"/>
          <w:sz w:val="24"/>
          <w:highlight w:val="none"/>
        </w:rPr>
        <w:t>9</w:t>
      </w:r>
      <w:r>
        <w:rPr>
          <w:rFonts w:ascii="宋体" w:hAnsi="宋体"/>
          <w:sz w:val="24"/>
          <w:highlight w:val="none"/>
        </w:rPr>
        <w:t xml:space="preserve"> 评标结果</w:t>
      </w:r>
      <w:bookmarkEnd w:id="89"/>
      <w:bookmarkEnd w:id="90"/>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9</w:t>
      </w:r>
      <w:r>
        <w:rPr>
          <w:rFonts w:ascii="宋体" w:hAnsi="宋体"/>
          <w:sz w:val="24"/>
          <w:highlight w:val="none"/>
        </w:rPr>
        <w:t>.1</w:t>
      </w:r>
      <w:r>
        <w:rPr>
          <w:rFonts w:hint="eastAsia" w:ascii="宋体" w:hAnsi="宋体"/>
          <w:sz w:val="24"/>
          <w:highlight w:val="none"/>
        </w:rPr>
        <w:t xml:space="preserve"> </w:t>
      </w:r>
      <w:r>
        <w:rPr>
          <w:rFonts w:ascii="宋体" w:hAnsi="宋体"/>
          <w:sz w:val="24"/>
          <w:highlight w:val="none"/>
        </w:rPr>
        <w:t>除第二章</w:t>
      </w:r>
      <w:r>
        <w:rPr>
          <w:rFonts w:hint="eastAsia" w:ascii="宋体" w:hAnsi="宋体"/>
          <w:sz w:val="24"/>
          <w:highlight w:val="none"/>
        </w:rPr>
        <w:t>“</w:t>
      </w:r>
      <w:r>
        <w:rPr>
          <w:rFonts w:ascii="宋体" w:hAnsi="宋体"/>
          <w:sz w:val="24"/>
          <w:highlight w:val="none"/>
        </w:rPr>
        <w:t>投标人须知</w:t>
      </w:r>
      <w:r>
        <w:rPr>
          <w:rFonts w:hint="eastAsia" w:ascii="宋体" w:hAnsi="宋体"/>
          <w:sz w:val="24"/>
          <w:highlight w:val="none"/>
        </w:rPr>
        <w:t>”</w:t>
      </w:r>
      <w:r>
        <w:rPr>
          <w:rFonts w:ascii="宋体" w:hAnsi="宋体"/>
          <w:sz w:val="24"/>
          <w:highlight w:val="none"/>
        </w:rPr>
        <w:t>前附表授权直接确定中标人外，</w:t>
      </w:r>
      <w:r>
        <w:rPr>
          <w:rFonts w:hint="eastAsia" w:ascii="宋体" w:hAnsi="宋体"/>
          <w:sz w:val="24"/>
          <w:highlight w:val="none"/>
        </w:rPr>
        <w:t>评标委员会将《投标人须知前附表》规定的方法推荐合格中标候选人，进入定标阶段。</w:t>
      </w:r>
    </w:p>
    <w:p>
      <w:pPr>
        <w:spacing w:line="360" w:lineRule="auto"/>
        <w:ind w:firstLine="480" w:firstLineChars="200"/>
        <w:rPr>
          <w:rFonts w:hint="eastAsia" w:ascii="宋体" w:hAnsi="宋体"/>
          <w:sz w:val="24"/>
          <w:highlight w:val="none"/>
        </w:rPr>
      </w:pPr>
      <w:r>
        <w:rPr>
          <w:rFonts w:ascii="宋体" w:hAnsi="宋体"/>
          <w:sz w:val="24"/>
          <w:highlight w:val="none"/>
        </w:rPr>
        <w:t>3.</w:t>
      </w:r>
      <w:r>
        <w:rPr>
          <w:rFonts w:hint="eastAsia" w:ascii="宋体" w:hAnsi="宋体"/>
          <w:sz w:val="24"/>
          <w:highlight w:val="none"/>
        </w:rPr>
        <w:t>9</w:t>
      </w:r>
      <w:r>
        <w:rPr>
          <w:rFonts w:ascii="宋体" w:hAnsi="宋体"/>
          <w:sz w:val="24"/>
          <w:highlight w:val="none"/>
        </w:rPr>
        <w:t>.2 评标委员会完成评标后，应向招标人提交书面评标报告。</w:t>
      </w:r>
    </w:p>
    <w:p>
      <w:pPr>
        <w:rPr>
          <w:rFonts w:hint="eastAsia" w:ascii="宋体" w:hAnsi="宋体"/>
          <w:sz w:val="24"/>
          <w:highlight w:val="none"/>
        </w:rPr>
      </w:pPr>
      <w:r>
        <w:rPr>
          <w:rFonts w:ascii="宋体" w:hAnsi="宋体"/>
          <w:sz w:val="24"/>
          <w:highlight w:val="none"/>
        </w:rPr>
        <w:t>3.</w:t>
      </w:r>
      <w:r>
        <w:rPr>
          <w:rFonts w:hint="eastAsia" w:ascii="宋体" w:hAnsi="宋体"/>
          <w:sz w:val="24"/>
          <w:highlight w:val="none"/>
        </w:rPr>
        <w:t>10</w:t>
      </w:r>
      <w:r>
        <w:rPr>
          <w:rFonts w:ascii="宋体" w:hAnsi="宋体"/>
          <w:sz w:val="24"/>
          <w:highlight w:val="none"/>
        </w:rPr>
        <w:t>定标</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3.10.1 定标委员会应当按照充分竞争、优质优价的原则，采用定标方案规定的定标方法，在评标委员会推荐的合格中标候选人中择优确定中标候选人。</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3.10.2评标结束后，招标人按以下规定组建定标委员会，在评标委员会推荐的合格中标候选人中确定中标候选人：</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定标由招标人依法组建的定标委员会负责，成员数量为5人或以上单数，定标委员会成员不得参与定标前期准备工作。</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3.10.3 定标时间和地点：</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招标人收到评标报告后，10个工作日内在广州交易集团有限公司（广州公共资源交易中心）举行定标会议，招标人按规定程序完成定标工作。</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3.10.4 定标方法</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本项目采用的定标方法为票决定标法。由招标人组建的定标委员会以直接投票的方式确定中标候选人排序。定标委员会成员根据定标因素对各合格中标候选人进行评审比较后，进行票决排名。票决采取公开投票计分法，即各定标委员会的每一个成员都以择优排序的原则对所有进入定标程序的合格中标候选人进行逐个投票，最优的 3 票，其次 2 票，依此类推，按总票高低排序，推荐总票最多的为中标人 。票数相同且影响排名的，定标委员会对得票数相同的合格中标候选人单独进行再次投票，直至确定中标候选人排序。</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3.10.5 定标因素</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在定标过程中，</w:t>
      </w:r>
      <w:r>
        <w:rPr>
          <w:rFonts w:hint="eastAsia" w:ascii="宋体"/>
          <w:b/>
          <w:bCs/>
          <w:sz w:val="24"/>
          <w:szCs w:val="24"/>
          <w:highlight w:val="none"/>
          <w:lang w:val="en-US" w:eastAsia="zh-CN"/>
        </w:rPr>
        <w:t>遵循</w:t>
      </w:r>
      <w:r>
        <w:rPr>
          <w:rFonts w:hint="eastAsia" w:ascii="宋体" w:hAnsi="Times New Roman" w:cs="Times New Roman"/>
          <w:b/>
          <w:bCs/>
          <w:kern w:val="2"/>
          <w:sz w:val="24"/>
          <w:szCs w:val="24"/>
          <w:highlight w:val="none"/>
        </w:rPr>
        <w:t>“兼顾择优与竞价”的原则</w:t>
      </w:r>
      <w:r>
        <w:rPr>
          <w:rFonts w:hint="eastAsia" w:ascii="宋体"/>
          <w:b/>
          <w:bCs/>
          <w:sz w:val="24"/>
          <w:szCs w:val="24"/>
          <w:highlight w:val="none"/>
        </w:rPr>
        <w:t>，</w:t>
      </w:r>
      <w:r>
        <w:rPr>
          <w:rFonts w:hint="eastAsia" w:ascii="宋体"/>
          <w:b/>
          <w:bCs/>
          <w:sz w:val="24"/>
          <w:szCs w:val="24"/>
          <w:highlight w:val="none"/>
          <w:lang w:val="en-US" w:eastAsia="zh-CN"/>
        </w:rPr>
        <w:t>定标</w:t>
      </w:r>
      <w:r>
        <w:rPr>
          <w:rFonts w:hint="eastAsia" w:ascii="宋体"/>
          <w:b/>
          <w:bCs/>
          <w:sz w:val="24"/>
          <w:szCs w:val="24"/>
          <w:highlight w:val="none"/>
        </w:rPr>
        <w:t>因素综合考虑为方案因素、团队因素</w:t>
      </w:r>
      <w:r>
        <w:rPr>
          <w:rFonts w:hint="eastAsia" w:ascii="宋体"/>
          <w:b/>
          <w:bCs/>
          <w:sz w:val="24"/>
          <w:szCs w:val="24"/>
          <w:highlight w:val="none"/>
          <w:lang w:eastAsia="zh-CN"/>
        </w:rPr>
        <w:t>、</w:t>
      </w:r>
      <w:r>
        <w:rPr>
          <w:rFonts w:hint="eastAsia" w:ascii="宋体"/>
          <w:b/>
          <w:bCs/>
          <w:sz w:val="24"/>
          <w:szCs w:val="24"/>
          <w:highlight w:val="none"/>
          <w:lang w:val="en-US" w:eastAsia="zh-CN"/>
        </w:rPr>
        <w:t>价格因素</w:t>
      </w:r>
      <w:r>
        <w:rPr>
          <w:rFonts w:hint="eastAsia" w:ascii="宋体"/>
          <w:b/>
          <w:bCs/>
          <w:sz w:val="24"/>
          <w:szCs w:val="24"/>
          <w:highlight w:val="none"/>
        </w:rPr>
        <w:t>。（具体详见附表1定标因素表）</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3.10.5定标工作流程 </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3.10.5.1 资料提供。</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定标活动前招标代理机构提供如下资料供定标委员会参考： </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（一）招标文件及其补充通知和补充资料（如有）。 </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（二）推荐合格中标候选人名单。 </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（三）合格中标候选人的定标因素资料。 </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（四）评标报告。 </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3.10.5.2 进入现场。 </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收好通讯工具（不得带入定标室），定标委员会成员及招标代理工作人员进入定标室（原则上非评标室的独立封闭房间，并有摄像记录功能），开展定标工作。 </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3.10.6定标细则 </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定标委员会及工作人员 </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（一）招标人组建定标委员会。</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（二）定标委员会成员为 5 人或以上单数。 </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（三）招标代理机构介绍参加定标会议的定标委员会成员和工作人员，并介绍工程招标概况，依法组织定标委员会推选定标委员会组长。</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（四）定标委员会组长组织定标委员会成员学习招标文件及定标办法，由定标委员会组长主持定标工作.招标代理机构协助将“合格中标候选人名单”和对应的评标报告等资料移交定标委员会。</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（六）定标委员会成员依照招标文件规定的“定标因素”要求，对“评标委员会推荐的合格中标候选人”中的定标资料进行阅读、分析、对比并独立填写《票决定标法投票表》。</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（七）定标委员会组长在所有定标委员会成员完成《定标票数评审表》填写后进行定标票决汇总。</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（八）定标委员会对所有进入定标程序的定标候选人进行得票排名（由高到底），确定中标候选人排序。中标候选人不超过 3 名。</w:t>
      </w:r>
    </w:p>
    <w:p>
      <w:pPr>
        <w:rPr>
          <w:rFonts w:hint="eastAsia" w:ascii="宋体" w:hAnsi="宋体"/>
          <w:sz w:val="24"/>
          <w:highlight w:val="none"/>
        </w:rPr>
      </w:pPr>
    </w:p>
    <w:p>
      <w:pPr>
        <w:rPr>
          <w:rFonts w:hint="eastAsia" w:ascii="宋体" w:hAnsi="宋体"/>
          <w:sz w:val="24"/>
          <w:highlight w:val="none"/>
        </w:rPr>
      </w:pPr>
      <w:r>
        <w:rPr>
          <w:rFonts w:hint="eastAsia" w:ascii="宋体" w:hAnsi="宋体"/>
          <w:sz w:val="24"/>
          <w:highlight w:val="none"/>
        </w:rPr>
        <w:t>3.11定标结果</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3.11.1招标人应在定标委员会确定中标候选人后 3 日内在在投标人须知前附表规定的媒介将评标报告、定标报告及中标候选人情况进行公示，公示期不少于 3 日，如在公示期间有接到异议的，经核实若存在与本招标文件废标条件相符的，可废除中标人中标资格。</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3.11.2招标人根据定标委员会评定结果及公示情况，确定排名第一的中标候选人为中标人。排名第一的中标候选人有下列情形之一，招标人可以按照中标候选人名单排序依次确定其他中标候选人为中标人，也可以重新招标： </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（1）中标人放弃中标资格或者拒不签订合同的； </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（2）中标人不按照招标文件要求提交履约担保的； </w:t>
      </w:r>
    </w:p>
    <w:p>
      <w:pPr>
        <w:pStyle w:val="22"/>
        <w:spacing w:line="520" w:lineRule="exact"/>
        <w:ind w:firstLine="482" w:firstLineChars="200"/>
        <w:rPr>
          <w:rFonts w:ascii="宋体"/>
          <w:b/>
          <w:bCs/>
          <w:sz w:val="24"/>
          <w:szCs w:val="24"/>
          <w:highlight w:val="none"/>
        </w:rPr>
      </w:pPr>
      <w:r>
        <w:rPr>
          <w:rFonts w:hint="eastAsia" w:ascii="宋体"/>
          <w:b/>
          <w:bCs/>
          <w:sz w:val="24"/>
          <w:szCs w:val="24"/>
          <w:highlight w:val="none"/>
        </w:rPr>
        <w:t xml:space="preserve">（3）中标人因不可抗力不能履行合同的；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pPr>
      <w:r>
        <w:rPr>
          <w:rFonts w:hint="eastAsia" w:ascii="宋体"/>
          <w:b/>
          <w:bCs/>
          <w:sz w:val="24"/>
          <w:szCs w:val="24"/>
          <w:highlight w:val="none"/>
        </w:rPr>
        <w:t>（4）被查实存在影响中标结果违法行为的。</w:t>
      </w:r>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方正宋三简体">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2" w:usb3="00000000" w:csb0="0004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061ABC"/>
    <w:multiLevelType w:val="singleLevel"/>
    <w:tmpl w:val="8D061ABC"/>
    <w:lvl w:ilvl="0" w:tentative="0">
      <w:start w:val="1"/>
      <w:numFmt w:val="decimal"/>
      <w:lvlText w:val="%1."/>
      <w:lvlJc w:val="left"/>
      <w:pPr>
        <w:tabs>
          <w:tab w:val="left" w:pos="312"/>
        </w:tabs>
      </w:pPr>
    </w:lvl>
  </w:abstractNum>
  <w:abstractNum w:abstractNumId="1">
    <w:nsid w:val="55521E0D"/>
    <w:multiLevelType w:val="singleLevel"/>
    <w:tmpl w:val="55521E0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104F9"/>
    <w:rsid w:val="2F110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1"/>
    <w:qFormat/>
    <w:uiPriority w:val="0"/>
    <w:pPr>
      <w:keepNext/>
      <w:keepLines/>
      <w:spacing w:line="578" w:lineRule="auto"/>
    </w:pPr>
    <w:rPr>
      <w:bCs/>
      <w:kern w:val="44"/>
      <w:sz w:val="44"/>
      <w:szCs w:val="44"/>
    </w:rPr>
  </w:style>
  <w:style w:type="paragraph" w:styleId="4">
    <w:name w:val="heading 2"/>
    <w:basedOn w:val="1"/>
    <w:next w:val="1"/>
    <w:qFormat/>
    <w:uiPriority w:val="0"/>
    <w:pPr>
      <w:keepNext/>
      <w:keepLines/>
      <w:spacing w:before="260" w:after="260" w:line="480" w:lineRule="exact"/>
      <w:jc w:val="center"/>
      <w:outlineLvl w:val="1"/>
    </w:pPr>
    <w:rPr>
      <w:rFonts w:ascii="宋体" w:hAnsi="宋体" w:eastAsia="黑体"/>
      <w:bCs/>
      <w:i/>
      <w:iCs/>
      <w:sz w:val="24"/>
      <w:szCs w:val="20"/>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
    <w:name w:val="Body Text"/>
    <w:basedOn w:val="1"/>
    <w:next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toc 9"/>
    <w:basedOn w:val="1"/>
    <w:next w:val="1"/>
    <w:unhideWhenUsed/>
    <w:qFormat/>
    <w:uiPriority w:val="39"/>
    <w:pPr>
      <w:ind w:left="3360" w:leftChars="1600"/>
    </w:pPr>
    <w:rPr>
      <w:rFonts w:ascii="Calibri" w:hAnsi="Calibri"/>
      <w:szCs w:val="22"/>
    </w:rPr>
  </w:style>
  <w:style w:type="paragraph" w:styleId="8">
    <w:name w:val="Plain Text"/>
    <w:basedOn w:val="1"/>
    <w:next w:val="9"/>
    <w:qFormat/>
    <w:uiPriority w:val="99"/>
    <w:rPr>
      <w:rFonts w:ascii="宋体" w:hAnsi="Courier New"/>
      <w:szCs w:val="20"/>
    </w:rPr>
  </w:style>
  <w:style w:type="paragraph" w:customStyle="1" w:styleId="9">
    <w:name w:val="Default"/>
    <w:next w:val="10"/>
    <w:qFormat/>
    <w:uiPriority w:val="0"/>
    <w:pPr>
      <w:widowControl w:val="0"/>
      <w:autoSpaceDE w:val="0"/>
      <w:autoSpaceDN w:val="0"/>
      <w:adjustRightInd w:val="0"/>
    </w:pPr>
    <w:rPr>
      <w:rFonts w:ascii="宋体" w:hAnsi="MingLiU_HKSCS" w:eastAsia="MingLiU_HKSCS" w:cs="宋体"/>
      <w:color w:val="000000"/>
      <w:sz w:val="24"/>
      <w:szCs w:val="24"/>
      <w:lang w:val="en-US" w:eastAsia="zh-CN" w:bidi="ar-SA"/>
    </w:rPr>
  </w:style>
  <w:style w:type="paragraph" w:customStyle="1" w:styleId="10">
    <w:name w:val="6'"/>
    <w:basedOn w:val="1"/>
    <w:next w:val="1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
    <w:name w:val="AOHead3"/>
    <w:basedOn w:val="1"/>
    <w:next w:val="1"/>
    <w:qFormat/>
    <w:uiPriority w:val="0"/>
    <w:pPr>
      <w:widowControl/>
      <w:spacing w:line="360" w:lineRule="auto"/>
      <w:ind w:left="1260"/>
      <w:outlineLvl w:val="2"/>
    </w:pPr>
    <w:rPr>
      <w:rFonts w:ascii="宋体"/>
      <w:color w:val="0000FF"/>
      <w:sz w:val="24"/>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tabs>
        <w:tab w:val="center" w:pos="4153"/>
        <w:tab w:val="right" w:pos="8306"/>
      </w:tabs>
      <w:snapToGrid w:val="0"/>
      <w:jc w:val="center"/>
    </w:pPr>
    <w:rPr>
      <w:sz w:val="18"/>
      <w:szCs w:val="18"/>
    </w:rPr>
  </w:style>
  <w:style w:type="paragraph" w:styleId="14">
    <w:name w:val="Body Text First Indent 2"/>
    <w:basedOn w:val="6"/>
    <w:next w:val="1"/>
    <w:unhideWhenUsed/>
    <w:qFormat/>
    <w:uiPriority w:val="0"/>
    <w:pPr>
      <w:ind w:firstLine="420" w:firstLineChars="200"/>
    </w:pPr>
    <w:rPr>
      <w:rFonts w:ascii="宋体" w:hAnsi="宋体"/>
      <w:color w:val="FF0000"/>
    </w:rPr>
  </w:style>
  <w:style w:type="character" w:customStyle="1" w:styleId="17">
    <w:name w:val="标题 1 Char1"/>
    <w:qFormat/>
    <w:uiPriority w:val="0"/>
    <w:rPr>
      <w:rFonts w:eastAsia="宋体"/>
      <w:b/>
      <w:bCs/>
      <w:kern w:val="44"/>
      <w:sz w:val="32"/>
      <w:szCs w:val="44"/>
    </w:rPr>
  </w:style>
  <w:style w:type="paragraph" w:customStyle="1" w:styleId="18">
    <w:name w:val="Table Paragraph"/>
    <w:basedOn w:val="1"/>
    <w:qFormat/>
    <w:uiPriority w:val="1"/>
    <w:rPr>
      <w:rFonts w:ascii="宋体" w:hAnsi="宋体" w:cs="宋体"/>
    </w:rPr>
  </w:style>
  <w:style w:type="paragraph" w:customStyle="1" w:styleId="19">
    <w:name w:val="表格正文-DDDDD"/>
    <w:basedOn w:val="1"/>
    <w:qFormat/>
    <w:uiPriority w:val="0"/>
    <w:pPr>
      <w:spacing w:line="300" w:lineRule="exact"/>
      <w:jc w:val="center"/>
    </w:pPr>
    <w:rPr>
      <w:rFonts w:ascii="方正宋三简体" w:eastAsia="方正宋三简体"/>
    </w:rPr>
  </w:style>
  <w:style w:type="paragraph" w:customStyle="1" w:styleId="20">
    <w:name w:val="正文3"/>
    <w:qFormat/>
    <w:uiPriority w:val="0"/>
    <w:pPr>
      <w:widowControl w:val="0"/>
      <w:adjustRightInd w:val="0"/>
      <w:spacing w:line="312" w:lineRule="atLeast"/>
      <w:jc w:val="both"/>
    </w:pPr>
    <w:rPr>
      <w:rFonts w:ascii="宋体" w:hAnsi="MingLiU_HKSCS" w:eastAsia="MingLiU_HKSCS" w:cs="Times New Roman"/>
      <w:sz w:val="34"/>
      <w:lang w:val="en-US" w:eastAsia="zh-CN" w:bidi="ar-SA"/>
    </w:rPr>
  </w:style>
  <w:style w:type="paragraph" w:customStyle="1" w:styleId="21">
    <w:name w:val="Table Text"/>
    <w:basedOn w:val="1"/>
    <w:semiHidden/>
    <w:qFormat/>
    <w:uiPriority w:val="0"/>
    <w:rPr>
      <w:rFonts w:ascii="宋体" w:hAnsi="宋体" w:cs="宋体"/>
      <w:sz w:val="20"/>
      <w:szCs w:val="20"/>
      <w:lang w:eastAsia="en-US"/>
    </w:rPr>
  </w:style>
  <w:style w:type="paragraph" w:customStyle="1" w:styleId="22">
    <w:name w:val="正文41"/>
    <w:basedOn w:val="1"/>
    <w:qFormat/>
    <w:uiPriority w:val="0"/>
    <w:pPr>
      <w:ind w:firstLine="630"/>
    </w:pPr>
    <w:rPr>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2025-10-14T11:47:00Z</dcterms:created>
  <dc:creator>允馨</dc:creator>
  <cp:lastModifiedBy>允馨</cp:lastModifiedBy>
  <dcterms:modified xsi:type="dcterms:W3CDTF">2025-10-14T11:49:52Z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