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EF404">
      <w:pPr>
        <w:spacing w:line="360"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长湴北路48号运动场等场地维修项目施工总承包</w:t>
      </w:r>
    </w:p>
    <w:p w14:paraId="6D5C24EE">
      <w:pPr>
        <w:spacing w:line="360" w:lineRule="auto"/>
        <w:jc w:val="center"/>
        <w:rPr>
          <w:rFonts w:hint="eastAsia" w:eastAsia="宋体"/>
          <w:b/>
          <w:bCs/>
          <w:color w:val="000000"/>
          <w:sz w:val="32"/>
          <w:szCs w:val="32"/>
          <w:highlight w:val="none"/>
          <w:shd w:val="clear" w:color="auto" w:fill="FFFFFF"/>
          <w:lang w:eastAsia="zh-CN"/>
        </w:rPr>
      </w:pPr>
      <w:r>
        <w:rPr>
          <w:rFonts w:hint="eastAsia" w:ascii="宋体" w:hAnsi="宋体" w:cs="宋体"/>
          <w:b/>
          <w:bCs/>
          <w:color w:val="000000"/>
          <w:sz w:val="32"/>
          <w:szCs w:val="32"/>
          <w:highlight w:val="none"/>
        </w:rPr>
        <w:t>补充公告</w:t>
      </w:r>
      <w:r>
        <w:rPr>
          <w:rFonts w:hint="eastAsia" w:ascii="宋体" w:hAnsi="宋体" w:cs="宋体"/>
          <w:b/>
          <w:bCs/>
          <w:color w:val="000000"/>
          <w:sz w:val="32"/>
          <w:szCs w:val="32"/>
          <w:highlight w:val="none"/>
          <w:lang w:eastAsia="zh-CN"/>
        </w:rPr>
        <w:t>（一）</w:t>
      </w:r>
    </w:p>
    <w:p w14:paraId="4A6D65AB">
      <w:pPr>
        <w:pStyle w:val="40"/>
        <w:spacing w:line="360" w:lineRule="auto"/>
        <w:ind w:firstLine="480" w:firstLineChars="200"/>
        <w:rPr>
          <w:rFonts w:hint="eastAsia"/>
          <w:color w:val="000000"/>
          <w:highlight w:val="none"/>
          <w:shd w:val="clear" w:color="auto" w:fill="FFFFFF"/>
        </w:rPr>
      </w:pPr>
      <w:r>
        <w:rPr>
          <w:rFonts w:hint="eastAsia"/>
          <w:color w:val="000000"/>
          <w:highlight w:val="none"/>
          <w:shd w:val="clear" w:color="auto" w:fill="FFFFFF"/>
        </w:rPr>
        <w:t>长湴北路48号运动场等场地维修项目施工总承包（项目编号：JG2025-4522）已于2025年9月24日发布招标公告，</w:t>
      </w:r>
      <w:r>
        <w:rPr>
          <w:rFonts w:hint="eastAsia"/>
          <w:color w:val="000000"/>
          <w:highlight w:val="none"/>
          <w:shd w:val="clear" w:color="auto" w:fill="FFFFFF"/>
        </w:rPr>
        <w:t>2025年</w:t>
      </w:r>
      <w:r>
        <w:rPr>
          <w:rFonts w:hint="eastAsia"/>
          <w:color w:val="000000"/>
          <w:highlight w:val="none"/>
          <w:shd w:val="clear" w:color="auto" w:fill="FFFFFF"/>
          <w:lang w:val="en-US" w:eastAsia="zh-CN"/>
        </w:rPr>
        <w:t>10</w:t>
      </w:r>
      <w:r>
        <w:rPr>
          <w:rFonts w:hint="eastAsia"/>
          <w:color w:val="000000"/>
          <w:highlight w:val="none"/>
          <w:shd w:val="clear" w:color="auto" w:fill="FFFFFF"/>
        </w:rPr>
        <w:t>月</w:t>
      </w:r>
      <w:r>
        <w:rPr>
          <w:rFonts w:hint="eastAsia"/>
          <w:color w:val="000000"/>
          <w:highlight w:val="none"/>
          <w:shd w:val="clear" w:color="auto" w:fill="FFFFFF"/>
          <w:lang w:val="en-US" w:eastAsia="zh-CN"/>
        </w:rPr>
        <w:t>13</w:t>
      </w:r>
      <w:r>
        <w:rPr>
          <w:rFonts w:hint="eastAsia"/>
          <w:color w:val="000000"/>
          <w:highlight w:val="none"/>
          <w:shd w:val="clear" w:color="auto" w:fill="FFFFFF"/>
        </w:rPr>
        <w:t>日发布</w:t>
      </w:r>
      <w:r>
        <w:rPr>
          <w:rFonts w:hint="eastAsia"/>
          <w:color w:val="000000"/>
          <w:highlight w:val="none"/>
          <w:shd w:val="clear" w:color="auto" w:fill="FFFFFF"/>
          <w:lang w:eastAsia="zh-CN"/>
        </w:rPr>
        <w:t>补充公告</w:t>
      </w:r>
      <w:r>
        <w:rPr>
          <w:rFonts w:hint="eastAsia"/>
          <w:color w:val="000000"/>
          <w:highlight w:val="none"/>
          <w:shd w:val="clear" w:color="auto" w:fill="FFFFFF"/>
          <w:lang w:eastAsia="zh-CN"/>
        </w:rPr>
        <w:t>。</w:t>
      </w:r>
      <w:r>
        <w:rPr>
          <w:rFonts w:hint="eastAsia"/>
          <w:color w:val="000000"/>
          <w:highlight w:val="none"/>
          <w:shd w:val="clear" w:color="auto" w:fill="FFFFFF"/>
        </w:rPr>
        <w:t>现对原招标文件作如下修改调整，如原招标文件、</w:t>
      </w:r>
      <w:r>
        <w:rPr>
          <w:rFonts w:hint="eastAsia"/>
          <w:color w:val="000000"/>
          <w:highlight w:val="none"/>
          <w:shd w:val="clear" w:color="auto" w:fill="FFFFFF"/>
          <w:lang w:eastAsia="zh-CN"/>
        </w:rPr>
        <w:t>补充公告</w:t>
      </w:r>
      <w:r>
        <w:rPr>
          <w:rFonts w:hint="eastAsia"/>
          <w:color w:val="000000"/>
          <w:highlight w:val="none"/>
          <w:shd w:val="clear" w:color="auto" w:fill="FFFFFF"/>
        </w:rPr>
        <w:t>内容与本补充公告</w:t>
      </w:r>
      <w:r>
        <w:rPr>
          <w:rFonts w:hint="eastAsia"/>
          <w:color w:val="000000"/>
          <w:highlight w:val="none"/>
          <w:shd w:val="clear" w:color="auto" w:fill="FFFFFF"/>
          <w:lang w:eastAsia="zh-CN"/>
        </w:rPr>
        <w:t>（一）</w:t>
      </w:r>
      <w:r>
        <w:rPr>
          <w:rFonts w:hint="eastAsia"/>
          <w:color w:val="000000"/>
          <w:highlight w:val="none"/>
          <w:shd w:val="clear" w:color="auto" w:fill="FFFFFF"/>
        </w:rPr>
        <w:t>内容存在不一致的，以本补充公告</w:t>
      </w:r>
      <w:r>
        <w:rPr>
          <w:rFonts w:hint="eastAsia"/>
          <w:color w:val="000000"/>
          <w:highlight w:val="none"/>
          <w:shd w:val="clear" w:color="auto" w:fill="FFFFFF"/>
          <w:lang w:eastAsia="zh-CN"/>
        </w:rPr>
        <w:t>（一）</w:t>
      </w:r>
      <w:r>
        <w:rPr>
          <w:rFonts w:hint="eastAsia"/>
          <w:color w:val="000000"/>
          <w:highlight w:val="none"/>
          <w:shd w:val="clear" w:color="auto" w:fill="FFFFFF"/>
        </w:rPr>
        <w:t>内容为准，原招标文件中其他内容不变。</w:t>
      </w:r>
    </w:p>
    <w:p w14:paraId="272815E8">
      <w:pPr>
        <w:pStyle w:val="40"/>
        <w:spacing w:line="360" w:lineRule="auto"/>
        <w:ind w:firstLine="482" w:firstLineChars="200"/>
        <w:rPr>
          <w:rFonts w:hint="eastAsia"/>
          <w:b/>
          <w:bCs/>
          <w:color w:val="000000"/>
          <w:highlight w:val="none"/>
          <w:shd w:val="clear" w:color="auto" w:fill="FFFFFF"/>
        </w:rPr>
      </w:pPr>
      <w:r>
        <w:rPr>
          <w:rFonts w:hint="eastAsia"/>
          <w:b/>
          <w:bCs/>
          <w:color w:val="000000"/>
          <w:highlight w:val="none"/>
          <w:shd w:val="clear" w:color="auto" w:fill="FFFFFF"/>
        </w:rPr>
        <w:t>一、对招标文件内容进行修改：</w:t>
      </w:r>
    </w:p>
    <w:tbl>
      <w:tblPr>
        <w:tblStyle w:val="16"/>
        <w:tblW w:w="85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8"/>
        <w:gridCol w:w="3260"/>
        <w:gridCol w:w="3209"/>
      </w:tblGrid>
      <w:tr w14:paraId="6B533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blHeader/>
          <w:jc w:val="center"/>
        </w:trPr>
        <w:tc>
          <w:tcPr>
            <w:tcW w:w="2128" w:type="dxa"/>
            <w:tcBorders>
              <w:tl2br w:val="nil"/>
              <w:tr2bl w:val="nil"/>
            </w:tcBorders>
            <w:tcMar>
              <w:top w:w="57" w:type="dxa"/>
              <w:left w:w="108" w:type="dxa"/>
              <w:bottom w:w="57" w:type="dxa"/>
              <w:right w:w="108" w:type="dxa"/>
            </w:tcMar>
            <w:vAlign w:val="center"/>
          </w:tcPr>
          <w:p w14:paraId="6C776BCC">
            <w:pPr>
              <w:pStyle w:val="40"/>
              <w:spacing w:line="360" w:lineRule="auto"/>
              <w:jc w:val="center"/>
              <w:rPr>
                <w:rFonts w:hint="eastAsia"/>
                <w:b/>
                <w:color w:val="000000"/>
                <w:highlight w:val="none"/>
              </w:rPr>
            </w:pPr>
            <w:r>
              <w:rPr>
                <w:rFonts w:hint="eastAsia"/>
                <w:b/>
                <w:color w:val="000000"/>
                <w:highlight w:val="none"/>
              </w:rPr>
              <w:t>条款号</w:t>
            </w:r>
          </w:p>
        </w:tc>
        <w:tc>
          <w:tcPr>
            <w:tcW w:w="3260" w:type="dxa"/>
            <w:tcBorders>
              <w:tl2br w:val="nil"/>
              <w:tr2bl w:val="nil"/>
            </w:tcBorders>
            <w:tcMar>
              <w:top w:w="57" w:type="dxa"/>
              <w:left w:w="108" w:type="dxa"/>
              <w:bottom w:w="57" w:type="dxa"/>
              <w:right w:w="108" w:type="dxa"/>
            </w:tcMar>
            <w:vAlign w:val="center"/>
          </w:tcPr>
          <w:p w14:paraId="5254194D">
            <w:pPr>
              <w:pStyle w:val="40"/>
              <w:spacing w:line="360" w:lineRule="auto"/>
              <w:jc w:val="center"/>
              <w:rPr>
                <w:rFonts w:hint="eastAsia"/>
                <w:b/>
                <w:color w:val="000000"/>
                <w:highlight w:val="none"/>
              </w:rPr>
            </w:pPr>
            <w:r>
              <w:rPr>
                <w:rFonts w:hint="eastAsia"/>
                <w:b/>
                <w:color w:val="000000"/>
                <w:highlight w:val="none"/>
              </w:rPr>
              <w:t>原文</w:t>
            </w:r>
          </w:p>
        </w:tc>
        <w:tc>
          <w:tcPr>
            <w:tcW w:w="3209" w:type="dxa"/>
            <w:tcBorders>
              <w:tl2br w:val="nil"/>
              <w:tr2bl w:val="nil"/>
            </w:tcBorders>
            <w:tcMar>
              <w:top w:w="57" w:type="dxa"/>
              <w:left w:w="108" w:type="dxa"/>
              <w:bottom w:w="57" w:type="dxa"/>
              <w:right w:w="108" w:type="dxa"/>
            </w:tcMar>
            <w:vAlign w:val="center"/>
          </w:tcPr>
          <w:p w14:paraId="28678D94">
            <w:pPr>
              <w:pStyle w:val="40"/>
              <w:spacing w:line="360" w:lineRule="auto"/>
              <w:jc w:val="center"/>
              <w:rPr>
                <w:rFonts w:hint="eastAsia"/>
                <w:b/>
                <w:color w:val="000000"/>
                <w:highlight w:val="none"/>
              </w:rPr>
            </w:pPr>
            <w:r>
              <w:rPr>
                <w:rFonts w:hint="eastAsia"/>
                <w:b/>
                <w:color w:val="000000"/>
                <w:highlight w:val="none"/>
              </w:rPr>
              <w:t>现文</w:t>
            </w:r>
          </w:p>
        </w:tc>
      </w:tr>
      <w:tr w14:paraId="6D8C6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jc w:val="center"/>
        </w:trPr>
        <w:tc>
          <w:tcPr>
            <w:tcW w:w="2128" w:type="dxa"/>
            <w:tcBorders>
              <w:tl2br w:val="nil"/>
              <w:tr2bl w:val="nil"/>
            </w:tcBorders>
            <w:tcMar>
              <w:top w:w="57" w:type="dxa"/>
              <w:left w:w="108" w:type="dxa"/>
              <w:bottom w:w="57" w:type="dxa"/>
              <w:right w:w="108" w:type="dxa"/>
            </w:tcMar>
            <w:vAlign w:val="center"/>
          </w:tcPr>
          <w:p w14:paraId="3B07066A">
            <w:pPr>
              <w:pStyle w:val="40"/>
              <w:spacing w:line="360" w:lineRule="auto"/>
              <w:rPr>
                <w:rFonts w:hint="eastAsia"/>
                <w:bCs/>
                <w:color w:val="000000"/>
                <w:kern w:val="2"/>
                <w:highlight w:val="none"/>
              </w:rPr>
            </w:pPr>
            <w:r>
              <w:rPr>
                <w:rFonts w:hint="eastAsia"/>
                <w:bCs/>
                <w:color w:val="000000"/>
                <w:kern w:val="2"/>
                <w:highlight w:val="none"/>
              </w:rPr>
              <w:t>招标文件第二章附表四“技术标详细审查评分表”</w:t>
            </w:r>
          </w:p>
        </w:tc>
        <w:tc>
          <w:tcPr>
            <w:tcW w:w="3260" w:type="dxa"/>
            <w:tcBorders>
              <w:tl2br w:val="nil"/>
              <w:tr2bl w:val="nil"/>
            </w:tcBorders>
            <w:tcMar>
              <w:top w:w="57" w:type="dxa"/>
              <w:left w:w="108" w:type="dxa"/>
              <w:bottom w:w="57" w:type="dxa"/>
              <w:right w:w="108" w:type="dxa"/>
            </w:tcMar>
            <w:vAlign w:val="center"/>
          </w:tcPr>
          <w:p w14:paraId="366ABAD9">
            <w:pPr>
              <w:spacing w:line="360" w:lineRule="auto"/>
              <w:jc w:val="left"/>
              <w:rPr>
                <w:color w:val="000000"/>
                <w:sz w:val="24"/>
                <w:szCs w:val="24"/>
                <w:highlight w:val="none"/>
                <w:shd w:val="clear" w:color="auto" w:fill="FFFFFF"/>
              </w:rPr>
            </w:pPr>
            <w:r>
              <w:rPr>
                <w:rFonts w:hint="eastAsia"/>
                <w:color w:val="000000"/>
                <w:sz w:val="24"/>
                <w:szCs w:val="24"/>
                <w:highlight w:val="none"/>
                <w:shd w:val="clear" w:color="auto" w:fill="FFFFFF"/>
              </w:rPr>
              <w:t>详见原招标文件第二章附表四“技术标详细审查评分表”</w:t>
            </w:r>
          </w:p>
        </w:tc>
        <w:tc>
          <w:tcPr>
            <w:tcW w:w="3209" w:type="dxa"/>
            <w:tcBorders>
              <w:tl2br w:val="nil"/>
              <w:tr2bl w:val="nil"/>
            </w:tcBorders>
            <w:tcMar>
              <w:top w:w="57" w:type="dxa"/>
              <w:left w:w="108" w:type="dxa"/>
              <w:bottom w:w="57" w:type="dxa"/>
              <w:right w:w="108" w:type="dxa"/>
            </w:tcMar>
            <w:vAlign w:val="center"/>
          </w:tcPr>
          <w:p w14:paraId="03AEE7E1">
            <w:pPr>
              <w:spacing w:line="360" w:lineRule="auto"/>
              <w:jc w:val="center"/>
              <w:rPr>
                <w:color w:val="000000"/>
                <w:sz w:val="24"/>
                <w:szCs w:val="24"/>
                <w:highlight w:val="none"/>
                <w:shd w:val="clear" w:color="auto" w:fill="FFFFFF"/>
              </w:rPr>
            </w:pPr>
            <w:r>
              <w:rPr>
                <w:rFonts w:hint="eastAsia"/>
                <w:color w:val="000000"/>
                <w:sz w:val="24"/>
                <w:szCs w:val="24"/>
                <w:highlight w:val="none"/>
                <w:shd w:val="clear" w:color="auto" w:fill="FFFFFF"/>
              </w:rPr>
              <w:t>具体详见本补充公告</w:t>
            </w:r>
            <w:r>
              <w:rPr>
                <w:rFonts w:hint="eastAsia"/>
                <w:color w:val="000000"/>
                <w:highlight w:val="none"/>
                <w:shd w:val="clear" w:color="auto" w:fill="FFFFFF"/>
                <w:lang w:eastAsia="zh-CN"/>
              </w:rPr>
              <w:t>（一）</w:t>
            </w:r>
            <w:r>
              <w:rPr>
                <w:rFonts w:hint="eastAsia"/>
                <w:color w:val="000000"/>
                <w:sz w:val="24"/>
                <w:szCs w:val="24"/>
                <w:highlight w:val="none"/>
                <w:shd w:val="clear" w:color="auto" w:fill="FFFFFF"/>
              </w:rPr>
              <w:t>附件1</w:t>
            </w:r>
          </w:p>
        </w:tc>
      </w:tr>
    </w:tbl>
    <w:p w14:paraId="0B29DF7D">
      <w:pPr>
        <w:pStyle w:val="40"/>
        <w:spacing w:line="360" w:lineRule="auto"/>
        <w:ind w:firstLine="480" w:firstLineChars="200"/>
        <w:rPr>
          <w:rFonts w:hint="eastAsia"/>
          <w:color w:val="000000"/>
          <w:highlight w:val="none"/>
          <w:shd w:val="clear" w:color="auto" w:fill="FFFFFF"/>
        </w:rPr>
      </w:pPr>
      <w:r>
        <w:rPr>
          <w:rFonts w:hint="eastAsia"/>
          <w:color w:val="000000"/>
          <w:highlight w:val="none"/>
          <w:shd w:val="clear" w:color="auto" w:fill="FFFFFF"/>
        </w:rPr>
        <w:t>二、原招标文件、</w:t>
      </w:r>
      <w:r>
        <w:rPr>
          <w:rFonts w:hint="eastAsia"/>
          <w:color w:val="000000"/>
          <w:highlight w:val="none"/>
          <w:shd w:val="clear" w:color="auto" w:fill="FFFFFF"/>
          <w:lang w:eastAsia="zh-CN"/>
        </w:rPr>
        <w:t>补充公告</w:t>
      </w:r>
      <w:r>
        <w:rPr>
          <w:rFonts w:hint="eastAsia"/>
          <w:color w:val="000000"/>
          <w:highlight w:val="none"/>
          <w:shd w:val="clear" w:color="auto" w:fill="FFFFFF"/>
        </w:rPr>
        <w:t>内容与本补充公告</w:t>
      </w:r>
      <w:r>
        <w:rPr>
          <w:rFonts w:hint="eastAsia"/>
          <w:color w:val="000000"/>
          <w:highlight w:val="none"/>
          <w:shd w:val="clear" w:color="auto" w:fill="FFFFFF"/>
          <w:lang w:eastAsia="zh-CN"/>
        </w:rPr>
        <w:t>（一）</w:t>
      </w:r>
      <w:r>
        <w:rPr>
          <w:rFonts w:hint="eastAsia"/>
          <w:color w:val="000000"/>
          <w:highlight w:val="none"/>
          <w:shd w:val="clear" w:color="auto" w:fill="FFFFFF"/>
        </w:rPr>
        <w:t>发布的内容不一致之处的，以本补充公告</w:t>
      </w:r>
      <w:r>
        <w:rPr>
          <w:rFonts w:hint="eastAsia"/>
          <w:color w:val="000000"/>
          <w:highlight w:val="none"/>
          <w:shd w:val="clear" w:color="auto" w:fill="FFFFFF"/>
          <w:lang w:eastAsia="zh-CN"/>
        </w:rPr>
        <w:t>（一）</w:t>
      </w:r>
      <w:r>
        <w:rPr>
          <w:rFonts w:hint="eastAsia"/>
          <w:color w:val="000000"/>
          <w:highlight w:val="none"/>
          <w:shd w:val="clear" w:color="auto" w:fill="FFFFFF"/>
        </w:rPr>
        <w:t>内容为准，具体时间及场地安排请各投标人密切留意</w:t>
      </w:r>
      <w:r>
        <w:rPr>
          <w:rFonts w:hint="eastAsia"/>
          <w:color w:val="000000"/>
          <w:highlight w:val="none"/>
        </w:rPr>
        <w:t>广州交易集团有限公司（广州公共资源交易中心）</w:t>
      </w:r>
      <w:r>
        <w:rPr>
          <w:rFonts w:hint="eastAsia"/>
          <w:color w:val="000000"/>
          <w:highlight w:val="none"/>
          <w:shd w:val="clear" w:color="auto" w:fill="FFFFFF"/>
        </w:rPr>
        <w:t>公布本项目的日程安排，投标人可登录</w:t>
      </w:r>
      <w:r>
        <w:rPr>
          <w:rFonts w:hint="eastAsia"/>
          <w:color w:val="000000"/>
          <w:highlight w:val="none"/>
        </w:rPr>
        <w:t>广州交易集团有限公司（广州公共资源交易中心）</w:t>
      </w:r>
      <w:r>
        <w:rPr>
          <w:rFonts w:hint="eastAsia"/>
          <w:color w:val="000000"/>
          <w:highlight w:val="none"/>
          <w:shd w:val="clear" w:color="auto" w:fill="FFFFFF"/>
        </w:rPr>
        <w:t>网站首页，点击“交易业务”专栏中的“建设工程”的“项目查询”，输入项目编号或项目名称查询最新信息。</w:t>
      </w:r>
    </w:p>
    <w:p w14:paraId="3DB78A85">
      <w:pPr>
        <w:pStyle w:val="40"/>
        <w:spacing w:line="360" w:lineRule="auto"/>
        <w:ind w:firstLine="480" w:firstLineChars="200"/>
        <w:rPr>
          <w:rFonts w:hint="eastAsia"/>
          <w:color w:val="000000"/>
          <w:highlight w:val="none"/>
          <w:shd w:val="clear" w:color="auto" w:fill="FFFFFF"/>
        </w:rPr>
      </w:pPr>
      <w:r>
        <w:rPr>
          <w:rFonts w:hint="eastAsia"/>
          <w:color w:val="000000"/>
          <w:highlight w:val="none"/>
          <w:shd w:val="clear" w:color="auto" w:fill="FFFFFF"/>
        </w:rPr>
        <w:t>三、本补充公告</w:t>
      </w:r>
      <w:r>
        <w:rPr>
          <w:rFonts w:hint="eastAsia"/>
          <w:color w:val="000000"/>
          <w:highlight w:val="none"/>
          <w:shd w:val="clear" w:color="auto" w:fill="FFFFFF"/>
          <w:lang w:eastAsia="zh-CN"/>
        </w:rPr>
        <w:t>（一）</w:t>
      </w:r>
      <w:r>
        <w:rPr>
          <w:rFonts w:hint="eastAsia"/>
          <w:color w:val="000000"/>
          <w:highlight w:val="none"/>
          <w:shd w:val="clear" w:color="auto" w:fill="FFFFFF"/>
        </w:rPr>
        <w:t>对于招标公</w:t>
      </w:r>
      <w:bookmarkStart w:id="0" w:name="_GoBack"/>
      <w:bookmarkEnd w:id="0"/>
      <w:r>
        <w:rPr>
          <w:rFonts w:hint="eastAsia"/>
          <w:color w:val="000000"/>
          <w:highlight w:val="none"/>
          <w:shd w:val="clear" w:color="auto" w:fill="FFFFFF"/>
        </w:rPr>
        <w:t>告、招标文件及其他函件内相同（或相同性质）的内容一并修改或补充。</w:t>
      </w:r>
    </w:p>
    <w:p w14:paraId="1668FD1C">
      <w:pPr>
        <w:pStyle w:val="40"/>
        <w:spacing w:line="360" w:lineRule="auto"/>
        <w:ind w:firstLine="480" w:firstLineChars="200"/>
        <w:jc w:val="right"/>
        <w:rPr>
          <w:rFonts w:hint="eastAsia"/>
          <w:color w:val="000000"/>
          <w:highlight w:val="none"/>
          <w:shd w:val="clear" w:color="auto" w:fill="FFFFFF"/>
        </w:rPr>
      </w:pPr>
    </w:p>
    <w:p w14:paraId="7015442A">
      <w:pPr>
        <w:pStyle w:val="40"/>
        <w:spacing w:line="360" w:lineRule="auto"/>
        <w:rPr>
          <w:rFonts w:hint="eastAsia"/>
          <w:color w:val="000000"/>
          <w:highlight w:val="none"/>
          <w:shd w:val="clear" w:color="auto" w:fill="FFFFFF"/>
        </w:rPr>
      </w:pPr>
      <w:r>
        <w:rPr>
          <w:rFonts w:hint="eastAsia"/>
          <w:color w:val="000000"/>
          <w:highlight w:val="none"/>
          <w:shd w:val="clear" w:color="auto" w:fill="FFFFFF"/>
        </w:rPr>
        <w:t>附件1：《技术标详细审查评分表》</w:t>
      </w:r>
    </w:p>
    <w:p w14:paraId="0A439DEC">
      <w:pPr>
        <w:pStyle w:val="40"/>
        <w:spacing w:line="360" w:lineRule="auto"/>
        <w:ind w:firstLine="480" w:firstLineChars="200"/>
        <w:jc w:val="right"/>
        <w:rPr>
          <w:rFonts w:hint="eastAsia"/>
          <w:bCs/>
          <w:color w:val="000000"/>
          <w:highlight w:val="none"/>
        </w:rPr>
      </w:pPr>
    </w:p>
    <w:p w14:paraId="61FB9239">
      <w:pPr>
        <w:spacing w:line="360" w:lineRule="auto"/>
        <w:ind w:firstLine="5040" w:firstLineChars="2100"/>
        <w:rPr>
          <w:rFonts w:hint="eastAsia" w:ascii="宋体" w:hAnsi="宋体" w:cs="宋体"/>
          <w:color w:val="000000"/>
          <w:sz w:val="24"/>
          <w:szCs w:val="24"/>
          <w:highlight w:val="none"/>
        </w:rPr>
      </w:pPr>
      <w:r>
        <w:rPr>
          <w:rFonts w:hint="eastAsia"/>
          <w:color w:val="000000"/>
          <w:sz w:val="24"/>
          <w:szCs w:val="24"/>
          <w:highlight w:val="none"/>
        </w:rPr>
        <w:t>中国烟草总公司广东省公司</w:t>
      </w:r>
    </w:p>
    <w:p w14:paraId="0877B365">
      <w:pPr>
        <w:pStyle w:val="40"/>
        <w:spacing w:line="360" w:lineRule="auto"/>
        <w:ind w:firstLine="480" w:firstLineChars="200"/>
        <w:jc w:val="center"/>
        <w:rPr>
          <w:rFonts w:hint="eastAsia"/>
          <w:color w:val="000000"/>
          <w:highlight w:val="none"/>
          <w:shd w:val="clear" w:color="auto" w:fill="FFFFFF"/>
        </w:rPr>
      </w:pPr>
      <w:r>
        <w:rPr>
          <w:rFonts w:hint="eastAsia"/>
          <w:color w:val="000000"/>
          <w:highlight w:val="none"/>
          <w:shd w:val="clear" w:color="auto" w:fill="FFFFFF"/>
        </w:rPr>
        <w:t xml:space="preserve">                                2025年10月1</w:t>
      </w:r>
      <w:r>
        <w:rPr>
          <w:rFonts w:hint="eastAsia"/>
          <w:color w:val="000000"/>
          <w:highlight w:val="none"/>
          <w:shd w:val="clear" w:color="auto" w:fill="FFFFFF"/>
          <w:lang w:val="en-US" w:eastAsia="zh-CN"/>
        </w:rPr>
        <w:t>4</w:t>
      </w:r>
      <w:r>
        <w:rPr>
          <w:rFonts w:hint="eastAsia"/>
          <w:color w:val="000000"/>
          <w:highlight w:val="none"/>
          <w:shd w:val="clear" w:color="auto" w:fill="FFFFFF"/>
        </w:rPr>
        <w:t>日</w:t>
      </w:r>
    </w:p>
    <w:p w14:paraId="2FD2EC5D">
      <w:pPr>
        <w:pStyle w:val="40"/>
        <w:spacing w:line="360" w:lineRule="auto"/>
        <w:rPr>
          <w:rFonts w:hint="eastAsia"/>
          <w:color w:val="000000"/>
          <w:highlight w:val="none"/>
          <w:shd w:val="clear" w:color="auto" w:fill="FFFFFF"/>
        </w:rPr>
        <w:sectPr>
          <w:headerReference r:id="rId3" w:type="default"/>
          <w:footerReference r:id="rId5" w:type="default"/>
          <w:headerReference r:id="rId4" w:type="even"/>
          <w:pgSz w:w="11906" w:h="16838"/>
          <w:pgMar w:top="1440" w:right="1797" w:bottom="1440" w:left="1797" w:header="851" w:footer="992" w:gutter="0"/>
          <w:cols w:space="720" w:num="1"/>
          <w:docGrid w:type="lines" w:linePitch="312" w:charSpace="0"/>
        </w:sectPr>
      </w:pPr>
    </w:p>
    <w:p w14:paraId="770AC41A">
      <w:pPr>
        <w:pStyle w:val="40"/>
        <w:spacing w:line="360" w:lineRule="auto"/>
        <w:rPr>
          <w:rFonts w:hint="eastAsia"/>
          <w:b/>
          <w:bCs/>
          <w:color w:val="000000"/>
          <w:highlight w:val="none"/>
          <w:shd w:val="clear" w:color="auto" w:fill="FFFFFF"/>
        </w:rPr>
      </w:pPr>
      <w:r>
        <w:rPr>
          <w:rFonts w:hint="eastAsia"/>
          <w:b/>
          <w:bCs/>
          <w:color w:val="000000"/>
          <w:highlight w:val="none"/>
          <w:shd w:val="clear" w:color="auto" w:fill="FFFFFF"/>
        </w:rPr>
        <w:t>附件1</w:t>
      </w:r>
    </w:p>
    <w:p w14:paraId="1E9893A8">
      <w:pPr>
        <w:jc w:val="center"/>
        <w:rPr>
          <w:rFonts w:hint="eastAsia" w:ascii="宋体" w:hAnsi="宋体" w:cs="宋体"/>
          <w:b/>
          <w:color w:val="000000"/>
          <w:sz w:val="24"/>
          <w:szCs w:val="24"/>
          <w:highlight w:val="none"/>
        </w:rPr>
      </w:pPr>
      <w:r>
        <w:rPr>
          <w:rFonts w:hint="eastAsia" w:ascii="宋体" w:hAnsi="宋体" w:cs="宋体"/>
          <w:b/>
          <w:color w:val="000000"/>
          <w:sz w:val="36"/>
          <w:szCs w:val="36"/>
          <w:highlight w:val="none"/>
        </w:rPr>
        <w:t>技术标详细审查评分表</w:t>
      </w:r>
    </w:p>
    <w:tbl>
      <w:tblPr>
        <w:tblStyle w:val="16"/>
        <w:tblW w:w="15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51"/>
        <w:gridCol w:w="1612"/>
        <w:gridCol w:w="645"/>
        <w:gridCol w:w="11861"/>
      </w:tblGrid>
      <w:tr w14:paraId="5C18DAA4">
        <w:tblPrEx>
          <w:tblCellMar>
            <w:top w:w="0" w:type="dxa"/>
            <w:left w:w="10" w:type="dxa"/>
            <w:bottom w:w="0" w:type="dxa"/>
            <w:right w:w="10" w:type="dxa"/>
          </w:tblCellMar>
        </w:tblPrEx>
        <w:trPr>
          <w:trHeight w:val="496" w:hRule="atLeast"/>
          <w:jc w:val="center"/>
        </w:trPr>
        <w:tc>
          <w:tcPr>
            <w:tcW w:w="1251" w:type="dxa"/>
            <w:shd w:val="clear" w:color="auto" w:fill="FFFFFF"/>
            <w:vAlign w:val="center"/>
          </w:tcPr>
          <w:p w14:paraId="655F8CAB">
            <w:pPr>
              <w:pStyle w:val="42"/>
              <w:shd w:val="clear" w:color="auto" w:fill="auto"/>
              <w:snapToGrid w:val="0"/>
              <w:spacing w:line="240" w:lineRule="auto"/>
              <w:jc w:val="center"/>
              <w:rPr>
                <w:rFonts w:hint="eastAsia"/>
                <w:color w:val="000000"/>
                <w:sz w:val="21"/>
                <w:szCs w:val="21"/>
                <w:highlight w:val="none"/>
              </w:rPr>
            </w:pPr>
            <w:r>
              <w:rPr>
                <w:rStyle w:val="41"/>
                <w:rFonts w:hint="eastAsia"/>
                <w:b/>
                <w:spacing w:val="-10"/>
                <w:sz w:val="21"/>
                <w:szCs w:val="21"/>
                <w:highlight w:val="none"/>
              </w:rPr>
              <w:t>评分项目</w:t>
            </w:r>
          </w:p>
        </w:tc>
        <w:tc>
          <w:tcPr>
            <w:tcW w:w="1612" w:type="dxa"/>
            <w:shd w:val="clear" w:color="auto" w:fill="FFFFFF"/>
            <w:vAlign w:val="center"/>
          </w:tcPr>
          <w:p w14:paraId="27F3D617">
            <w:pPr>
              <w:pStyle w:val="42"/>
              <w:shd w:val="clear" w:color="auto" w:fill="auto"/>
              <w:snapToGrid w:val="0"/>
              <w:spacing w:line="240" w:lineRule="auto"/>
              <w:jc w:val="center"/>
              <w:rPr>
                <w:rFonts w:hint="eastAsia"/>
                <w:color w:val="000000"/>
                <w:sz w:val="21"/>
                <w:szCs w:val="21"/>
                <w:highlight w:val="none"/>
              </w:rPr>
            </w:pPr>
            <w:r>
              <w:rPr>
                <w:rStyle w:val="41"/>
                <w:rFonts w:hint="eastAsia"/>
                <w:b/>
                <w:spacing w:val="-10"/>
                <w:sz w:val="21"/>
                <w:szCs w:val="21"/>
                <w:highlight w:val="none"/>
              </w:rPr>
              <w:t>评分内容</w:t>
            </w:r>
          </w:p>
        </w:tc>
        <w:tc>
          <w:tcPr>
            <w:tcW w:w="645" w:type="dxa"/>
            <w:shd w:val="clear" w:color="auto" w:fill="FFFFFF"/>
            <w:vAlign w:val="center"/>
          </w:tcPr>
          <w:p w14:paraId="5B84F8D5">
            <w:pPr>
              <w:pStyle w:val="42"/>
              <w:shd w:val="clear" w:color="auto" w:fill="auto"/>
              <w:snapToGrid w:val="0"/>
              <w:spacing w:line="240" w:lineRule="auto"/>
              <w:jc w:val="center"/>
              <w:rPr>
                <w:rFonts w:hint="eastAsia"/>
                <w:color w:val="000000"/>
                <w:sz w:val="21"/>
                <w:szCs w:val="21"/>
                <w:highlight w:val="none"/>
              </w:rPr>
            </w:pPr>
            <w:r>
              <w:rPr>
                <w:rStyle w:val="41"/>
                <w:rFonts w:hint="eastAsia"/>
                <w:b/>
                <w:spacing w:val="-10"/>
                <w:sz w:val="21"/>
                <w:szCs w:val="21"/>
                <w:highlight w:val="none"/>
              </w:rPr>
              <w:t>分值</w:t>
            </w:r>
          </w:p>
        </w:tc>
        <w:tc>
          <w:tcPr>
            <w:tcW w:w="11861" w:type="dxa"/>
            <w:shd w:val="clear" w:color="auto" w:fill="FFFFFF"/>
            <w:vAlign w:val="center"/>
          </w:tcPr>
          <w:p w14:paraId="65D0C096">
            <w:pPr>
              <w:pStyle w:val="42"/>
              <w:shd w:val="clear" w:color="auto" w:fill="auto"/>
              <w:snapToGrid w:val="0"/>
              <w:spacing w:line="240" w:lineRule="auto"/>
              <w:jc w:val="center"/>
              <w:rPr>
                <w:rStyle w:val="41"/>
                <w:rFonts w:hint="eastAsia"/>
                <w:sz w:val="21"/>
                <w:szCs w:val="21"/>
                <w:highlight w:val="none"/>
              </w:rPr>
            </w:pPr>
            <w:r>
              <w:rPr>
                <w:rStyle w:val="41"/>
                <w:rFonts w:hint="eastAsia"/>
                <w:b/>
                <w:spacing w:val="-10"/>
                <w:sz w:val="21"/>
                <w:szCs w:val="21"/>
                <w:highlight w:val="none"/>
              </w:rPr>
              <w:t>评审标准</w:t>
            </w:r>
          </w:p>
        </w:tc>
      </w:tr>
      <w:tr w14:paraId="6542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76" w:hRule="atLeast"/>
          <w:jc w:val="center"/>
        </w:trPr>
        <w:tc>
          <w:tcPr>
            <w:tcW w:w="1251" w:type="dxa"/>
            <w:vMerge w:val="restart"/>
            <w:shd w:val="clear" w:color="auto" w:fill="FFFFFF"/>
            <w:vAlign w:val="center"/>
          </w:tcPr>
          <w:p w14:paraId="44C43077">
            <w:pPr>
              <w:pStyle w:val="42"/>
              <w:shd w:val="clear" w:color="auto" w:fill="auto"/>
              <w:snapToGrid w:val="0"/>
              <w:spacing w:line="240" w:lineRule="auto"/>
              <w:jc w:val="center"/>
              <w:rPr>
                <w:rFonts w:hint="eastAsia"/>
                <w:color w:val="000000"/>
                <w:sz w:val="21"/>
                <w:szCs w:val="21"/>
                <w:highlight w:val="none"/>
              </w:rPr>
            </w:pPr>
            <w:r>
              <w:rPr>
                <w:rStyle w:val="41"/>
                <w:rFonts w:hint="eastAsia"/>
                <w:sz w:val="21"/>
                <w:szCs w:val="21"/>
                <w:highlight w:val="none"/>
              </w:rPr>
              <w:t>一、企业资信</w:t>
            </w:r>
            <w:r>
              <w:rPr>
                <w:rStyle w:val="43"/>
                <w:rFonts w:hint="eastAsia"/>
                <w:b w:val="0"/>
                <w:bCs w:val="0"/>
                <w:sz w:val="21"/>
                <w:szCs w:val="21"/>
                <w:highlight w:val="none"/>
              </w:rPr>
              <w:t>(6</w:t>
            </w:r>
            <w:r>
              <w:rPr>
                <w:rStyle w:val="41"/>
                <w:rFonts w:hint="eastAsia"/>
                <w:sz w:val="21"/>
                <w:szCs w:val="21"/>
                <w:highlight w:val="none"/>
              </w:rPr>
              <w:t>分</w:t>
            </w:r>
            <w:r>
              <w:rPr>
                <w:rStyle w:val="43"/>
                <w:rFonts w:hint="eastAsia"/>
                <w:b w:val="0"/>
                <w:bCs w:val="0"/>
                <w:sz w:val="21"/>
                <w:szCs w:val="21"/>
                <w:highlight w:val="none"/>
              </w:rPr>
              <w:t>)</w:t>
            </w:r>
          </w:p>
        </w:tc>
        <w:tc>
          <w:tcPr>
            <w:tcW w:w="1612" w:type="dxa"/>
            <w:shd w:val="clear" w:color="auto" w:fill="FFFFFF"/>
            <w:vAlign w:val="center"/>
          </w:tcPr>
          <w:p w14:paraId="5BCF05EC">
            <w:pPr>
              <w:pStyle w:val="42"/>
              <w:shd w:val="clear" w:color="auto" w:fill="auto"/>
              <w:snapToGrid w:val="0"/>
              <w:spacing w:line="360" w:lineRule="auto"/>
              <w:jc w:val="center"/>
              <w:rPr>
                <w:rStyle w:val="41"/>
                <w:rFonts w:hint="eastAsia"/>
                <w:sz w:val="21"/>
                <w:szCs w:val="21"/>
                <w:highlight w:val="none"/>
              </w:rPr>
            </w:pPr>
            <w:r>
              <w:rPr>
                <w:rStyle w:val="41"/>
                <w:rFonts w:hint="eastAsia"/>
                <w:sz w:val="21"/>
                <w:szCs w:val="21"/>
                <w:highlight w:val="none"/>
              </w:rPr>
              <w:t>类似业绩</w:t>
            </w:r>
          </w:p>
        </w:tc>
        <w:tc>
          <w:tcPr>
            <w:tcW w:w="645" w:type="dxa"/>
            <w:shd w:val="clear" w:color="auto" w:fill="FFFFFF"/>
            <w:vAlign w:val="center"/>
          </w:tcPr>
          <w:p w14:paraId="12376208">
            <w:pPr>
              <w:pStyle w:val="44"/>
              <w:adjustRightInd w:val="0"/>
              <w:snapToGrid w:val="0"/>
              <w:jc w:val="center"/>
              <w:rPr>
                <w:rStyle w:val="41"/>
                <w:rFonts w:hint="eastAsia"/>
                <w:sz w:val="21"/>
                <w:szCs w:val="21"/>
                <w:highlight w:val="none"/>
              </w:rPr>
            </w:pPr>
            <w:r>
              <w:rPr>
                <w:rFonts w:ascii="宋体" w:hAnsi="宋体" w:cs="宋体"/>
                <w:color w:val="000000"/>
                <w:sz w:val="20"/>
                <w:szCs w:val="20"/>
                <w:highlight w:val="none"/>
                <w:lang w:bidi="ar"/>
              </w:rPr>
              <w:t>1.2</w:t>
            </w:r>
          </w:p>
        </w:tc>
        <w:tc>
          <w:tcPr>
            <w:tcW w:w="11861" w:type="dxa"/>
            <w:shd w:val="clear" w:color="auto" w:fill="FFFFFF"/>
            <w:vAlign w:val="center"/>
          </w:tcPr>
          <w:p w14:paraId="6F00F451">
            <w:pPr>
              <w:widowControl/>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投标人自202</w:t>
            </w:r>
            <w:r>
              <w:rPr>
                <w:rFonts w:ascii="宋体" w:hAnsi="宋体" w:cs="宋体"/>
                <w:color w:val="000000"/>
                <w:kern w:val="0"/>
                <w:sz w:val="20"/>
                <w:szCs w:val="20"/>
                <w:highlight w:val="none"/>
                <w:lang w:bidi="ar"/>
              </w:rPr>
              <w:t>1</w:t>
            </w:r>
            <w:r>
              <w:rPr>
                <w:rFonts w:hint="eastAsia" w:ascii="宋体" w:hAnsi="宋体" w:cs="宋体"/>
                <w:color w:val="000000"/>
                <w:kern w:val="0"/>
                <w:sz w:val="20"/>
                <w:szCs w:val="20"/>
                <w:highlight w:val="none"/>
                <w:lang w:bidi="ar"/>
              </w:rPr>
              <w:t>年1月1日至投标截止时间止完成过质量合格且</w:t>
            </w:r>
            <w:r>
              <w:rPr>
                <w:rFonts w:hint="eastAsia" w:ascii="宋体" w:hAnsi="宋体" w:cs="宋体"/>
                <w:color w:val="000000"/>
                <w:sz w:val="20"/>
                <w:szCs w:val="20"/>
                <w:highlight w:val="none"/>
              </w:rPr>
              <w:t>中标</w:t>
            </w:r>
            <w:r>
              <w:rPr>
                <w:rFonts w:hint="eastAsia" w:ascii="宋体" w:hAnsi="宋体" w:cs="宋体"/>
                <w:color w:val="000000"/>
                <w:kern w:val="0"/>
                <w:sz w:val="20"/>
                <w:szCs w:val="20"/>
                <w:highlight w:val="none"/>
                <w:lang w:bidi="ar"/>
              </w:rPr>
              <w:t>金额不少于300万元的</w:t>
            </w:r>
            <w:r>
              <w:rPr>
                <w:rFonts w:hint="eastAsia" w:ascii="宋体" w:hAnsi="宋体" w:cs="宋体"/>
                <w:color w:val="000000"/>
                <w:szCs w:val="21"/>
                <w:highlight w:val="none"/>
              </w:rPr>
              <w:t>建筑工程施工总承包业绩</w:t>
            </w:r>
            <w:r>
              <w:rPr>
                <w:rFonts w:hint="eastAsia" w:ascii="宋体" w:hAnsi="宋体" w:cs="宋体"/>
                <w:color w:val="000000"/>
                <w:kern w:val="0"/>
                <w:szCs w:val="21"/>
                <w:highlight w:val="none"/>
              </w:rPr>
              <w:t>或工程总承包项目施工部分业绩（工程总承包项目包括勘察设计施工总承包或设计施工总承包或设计采购施工总承包或勘察设计采购施工总承包）</w:t>
            </w:r>
            <w:r>
              <w:rPr>
                <w:rFonts w:hint="eastAsia" w:ascii="宋体" w:hAnsi="宋体" w:cs="宋体"/>
                <w:color w:val="000000"/>
                <w:kern w:val="0"/>
                <w:sz w:val="20"/>
                <w:szCs w:val="20"/>
                <w:highlight w:val="none"/>
                <w:lang w:bidi="ar"/>
              </w:rPr>
              <w:t>：</w:t>
            </w:r>
          </w:p>
          <w:p w14:paraId="4C0ED5DC">
            <w:pPr>
              <w:widowControl/>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（1）具有10项及以上的，得1.2分；</w:t>
            </w:r>
          </w:p>
          <w:p w14:paraId="38D449E1">
            <w:pPr>
              <w:widowControl/>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（2）具有6～9项的，得0.6分；</w:t>
            </w:r>
          </w:p>
          <w:p w14:paraId="4FB29E22">
            <w:pPr>
              <w:widowControl/>
              <w:textAlignment w:val="bottom"/>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（3）具有1～5项的，得0.3分；</w:t>
            </w:r>
          </w:p>
          <w:p w14:paraId="6788C8FC">
            <w:pPr>
              <w:pStyle w:val="44"/>
              <w:rPr>
                <w:rStyle w:val="41"/>
                <w:rFonts w:hint="eastAsia"/>
                <w:sz w:val="21"/>
                <w:szCs w:val="21"/>
                <w:highlight w:val="none"/>
              </w:rPr>
            </w:pPr>
            <w:r>
              <w:rPr>
                <w:rFonts w:hint="eastAsia" w:ascii="宋体" w:hAnsi="宋体" w:cs="宋体"/>
                <w:color w:val="000000"/>
                <w:sz w:val="20"/>
                <w:szCs w:val="20"/>
                <w:highlight w:val="none"/>
                <w:lang w:bidi="ar"/>
              </w:rPr>
              <w:t>（4）不提供不得分；</w:t>
            </w:r>
          </w:p>
        </w:tc>
      </w:tr>
      <w:tr w14:paraId="25B5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29" w:hRule="atLeast"/>
          <w:jc w:val="center"/>
        </w:trPr>
        <w:tc>
          <w:tcPr>
            <w:tcW w:w="1251" w:type="dxa"/>
            <w:vMerge w:val="continue"/>
            <w:shd w:val="clear" w:color="auto" w:fill="FFFFFF"/>
            <w:vAlign w:val="center"/>
          </w:tcPr>
          <w:p w14:paraId="44B2C99E">
            <w:pPr>
              <w:snapToGrid w:val="0"/>
              <w:ind w:firstLine="420"/>
              <w:jc w:val="center"/>
              <w:rPr>
                <w:rFonts w:hint="eastAsia" w:ascii="宋体" w:hAnsi="宋体" w:cs="宋体"/>
                <w:color w:val="000000"/>
                <w:szCs w:val="21"/>
                <w:highlight w:val="none"/>
              </w:rPr>
            </w:pPr>
          </w:p>
        </w:tc>
        <w:tc>
          <w:tcPr>
            <w:tcW w:w="1612" w:type="dxa"/>
            <w:shd w:val="clear" w:color="auto" w:fill="FFFFFF"/>
            <w:vAlign w:val="center"/>
          </w:tcPr>
          <w:p w14:paraId="2455CB94">
            <w:pPr>
              <w:pStyle w:val="42"/>
              <w:shd w:val="clear" w:color="auto" w:fill="auto"/>
              <w:snapToGrid w:val="0"/>
              <w:spacing w:line="360" w:lineRule="auto"/>
              <w:jc w:val="center"/>
              <w:rPr>
                <w:rStyle w:val="41"/>
                <w:rFonts w:hint="eastAsia"/>
                <w:sz w:val="21"/>
                <w:szCs w:val="21"/>
                <w:highlight w:val="none"/>
              </w:rPr>
            </w:pPr>
            <w:r>
              <w:rPr>
                <w:rStyle w:val="41"/>
                <w:rFonts w:hint="eastAsia"/>
                <w:sz w:val="21"/>
                <w:szCs w:val="21"/>
                <w:highlight w:val="none"/>
              </w:rPr>
              <w:t>工程获项</w:t>
            </w:r>
          </w:p>
        </w:tc>
        <w:tc>
          <w:tcPr>
            <w:tcW w:w="645" w:type="dxa"/>
            <w:shd w:val="clear" w:color="auto" w:fill="FFFFFF"/>
            <w:vAlign w:val="center"/>
          </w:tcPr>
          <w:p w14:paraId="510D24F1">
            <w:pPr>
              <w:pStyle w:val="44"/>
              <w:adjustRightInd w:val="0"/>
              <w:snapToGrid w:val="0"/>
              <w:jc w:val="center"/>
              <w:rPr>
                <w:rStyle w:val="41"/>
                <w:rFonts w:hint="eastAsia"/>
                <w:sz w:val="21"/>
                <w:szCs w:val="21"/>
                <w:highlight w:val="none"/>
              </w:rPr>
            </w:pPr>
            <w:r>
              <w:rPr>
                <w:rFonts w:hint="eastAsia" w:ascii="宋体" w:hAnsi="宋体" w:cs="宋体"/>
                <w:color w:val="000000"/>
                <w:sz w:val="20"/>
                <w:szCs w:val="20"/>
                <w:highlight w:val="none"/>
                <w:lang w:bidi="ar"/>
              </w:rPr>
              <w:t>3.6</w:t>
            </w:r>
          </w:p>
        </w:tc>
        <w:tc>
          <w:tcPr>
            <w:tcW w:w="11861" w:type="dxa"/>
            <w:shd w:val="clear" w:color="auto" w:fill="FFFFFF"/>
            <w:vAlign w:val="center"/>
          </w:tcPr>
          <w:p w14:paraId="57B8C3E5">
            <w:pPr>
              <w:widowControl/>
              <w:textAlignment w:val="bottom"/>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投标人自2021年1月1日至投标截止时间止承接的建筑工程获得过市级或以上的质量奖项：</w:t>
            </w:r>
          </w:p>
          <w:p w14:paraId="4053B13E">
            <w:pPr>
              <w:widowControl/>
              <w:textAlignment w:val="bottom"/>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（1）具有10项及以上的，得3.6分；</w:t>
            </w:r>
          </w:p>
          <w:p w14:paraId="3D5EF51B">
            <w:pPr>
              <w:widowControl/>
              <w:textAlignment w:val="bottom"/>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（2）具有7～9项的，得1.8分；</w:t>
            </w:r>
          </w:p>
          <w:p w14:paraId="61C31146">
            <w:pPr>
              <w:widowControl/>
              <w:textAlignment w:val="bottom"/>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（3）具有4～6项的，得0.9分；</w:t>
            </w:r>
          </w:p>
          <w:p w14:paraId="75708555">
            <w:pPr>
              <w:widowControl/>
              <w:textAlignment w:val="bottom"/>
              <w:rPr>
                <w:rStyle w:val="41"/>
                <w:rFonts w:hint="eastAsia"/>
                <w:szCs w:val="21"/>
                <w:highlight w:val="none"/>
              </w:rPr>
            </w:pPr>
            <w:r>
              <w:rPr>
                <w:rFonts w:hint="eastAsia" w:ascii="宋体" w:hAnsi="宋体" w:cs="宋体"/>
                <w:color w:val="000000"/>
                <w:kern w:val="0"/>
                <w:sz w:val="20"/>
                <w:szCs w:val="20"/>
                <w:highlight w:val="none"/>
                <w:lang w:bidi="ar"/>
              </w:rPr>
              <w:t>（4）具有1～3项的，得0.5分；</w:t>
            </w:r>
          </w:p>
        </w:tc>
      </w:tr>
      <w:tr w14:paraId="5CA9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1" w:hRule="atLeast"/>
          <w:jc w:val="center"/>
        </w:trPr>
        <w:tc>
          <w:tcPr>
            <w:tcW w:w="1251" w:type="dxa"/>
            <w:vMerge w:val="continue"/>
            <w:shd w:val="clear" w:color="auto" w:fill="FFFFFF"/>
            <w:vAlign w:val="center"/>
          </w:tcPr>
          <w:p w14:paraId="6014CA85">
            <w:pPr>
              <w:snapToGrid w:val="0"/>
              <w:ind w:firstLine="420"/>
              <w:jc w:val="center"/>
              <w:rPr>
                <w:rFonts w:hint="eastAsia" w:ascii="宋体" w:hAnsi="宋体" w:cs="宋体"/>
                <w:color w:val="000000"/>
                <w:szCs w:val="21"/>
                <w:highlight w:val="none"/>
              </w:rPr>
            </w:pPr>
          </w:p>
        </w:tc>
        <w:tc>
          <w:tcPr>
            <w:tcW w:w="1612" w:type="dxa"/>
            <w:shd w:val="clear" w:color="auto" w:fill="FFFFFF"/>
            <w:vAlign w:val="center"/>
          </w:tcPr>
          <w:p w14:paraId="74D019A2">
            <w:pPr>
              <w:pStyle w:val="42"/>
              <w:shd w:val="clear" w:color="auto" w:fill="auto"/>
              <w:snapToGrid w:val="0"/>
              <w:spacing w:line="360" w:lineRule="auto"/>
              <w:jc w:val="center"/>
              <w:rPr>
                <w:rStyle w:val="41"/>
                <w:rFonts w:hint="eastAsia"/>
                <w:sz w:val="21"/>
                <w:szCs w:val="21"/>
                <w:highlight w:val="none"/>
              </w:rPr>
            </w:pPr>
            <w:r>
              <w:rPr>
                <w:rStyle w:val="41"/>
                <w:rFonts w:hint="eastAsia"/>
                <w:sz w:val="21"/>
                <w:szCs w:val="21"/>
                <w:highlight w:val="none"/>
              </w:rPr>
              <w:t>第三方评价</w:t>
            </w:r>
          </w:p>
        </w:tc>
        <w:tc>
          <w:tcPr>
            <w:tcW w:w="645" w:type="dxa"/>
            <w:shd w:val="clear" w:color="auto" w:fill="FFFFFF"/>
            <w:vAlign w:val="center"/>
          </w:tcPr>
          <w:p w14:paraId="1228BDBE">
            <w:pPr>
              <w:pStyle w:val="44"/>
              <w:adjustRightInd w:val="0"/>
              <w:snapToGrid w:val="0"/>
              <w:jc w:val="center"/>
              <w:rPr>
                <w:rFonts w:hint="eastAsia" w:ascii="宋体" w:hAnsi="宋体" w:cs="宋体"/>
                <w:color w:val="000000"/>
                <w:sz w:val="21"/>
                <w:szCs w:val="21"/>
                <w:highlight w:val="none"/>
                <w:shd w:val="clear" w:color="auto" w:fill="FFFFFF"/>
              </w:rPr>
            </w:pPr>
            <w:r>
              <w:rPr>
                <w:rFonts w:hint="eastAsia" w:ascii="宋体" w:hAnsi="宋体" w:cs="宋体"/>
                <w:color w:val="000000"/>
                <w:sz w:val="20"/>
                <w:szCs w:val="20"/>
                <w:highlight w:val="none"/>
                <w:lang w:bidi="ar"/>
              </w:rPr>
              <w:t>1</w:t>
            </w:r>
            <w:r>
              <w:rPr>
                <w:rFonts w:ascii="宋体" w:hAnsi="宋体" w:cs="宋体"/>
                <w:color w:val="000000"/>
                <w:sz w:val="20"/>
                <w:szCs w:val="20"/>
                <w:highlight w:val="none"/>
                <w:lang w:bidi="ar"/>
              </w:rPr>
              <w:t>.</w:t>
            </w:r>
            <w:r>
              <w:rPr>
                <w:rFonts w:hint="eastAsia" w:ascii="宋体" w:hAnsi="宋体" w:cs="宋体"/>
                <w:color w:val="000000"/>
                <w:sz w:val="20"/>
                <w:szCs w:val="20"/>
                <w:highlight w:val="none"/>
                <w:lang w:bidi="ar"/>
              </w:rPr>
              <w:t>2</w:t>
            </w:r>
          </w:p>
        </w:tc>
        <w:tc>
          <w:tcPr>
            <w:tcW w:w="11861" w:type="dxa"/>
            <w:shd w:val="clear" w:color="auto" w:fill="FFFFFF"/>
            <w:vAlign w:val="center"/>
          </w:tcPr>
          <w:p w14:paraId="25C2008E">
            <w:pPr>
              <w:widowControl/>
              <w:textAlignment w:val="bottom"/>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投标人具有有效期内的质量管理体系认证、环境管理体系认证、职业健康安全管理体系认证、企业安全生产标准化体系认证、合规性管理体系认证、知识产权管理体系认证情况：</w:t>
            </w:r>
          </w:p>
          <w:p w14:paraId="163A72F2">
            <w:pPr>
              <w:widowControl/>
              <w:textAlignment w:val="bottom"/>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（1）具有上述全部认证证书的，得1.2分；</w:t>
            </w:r>
          </w:p>
          <w:p w14:paraId="0EA8A426">
            <w:pPr>
              <w:widowControl/>
              <w:textAlignment w:val="bottom"/>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（2）上述认证证书缺少1项的，得0.6分；</w:t>
            </w:r>
          </w:p>
          <w:p w14:paraId="7E20EDA2">
            <w:pPr>
              <w:widowControl/>
              <w:textAlignment w:val="bottom"/>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（3）上述认证证书缺少2项的，得0.3分；</w:t>
            </w:r>
          </w:p>
          <w:p w14:paraId="73D15359">
            <w:pPr>
              <w:pStyle w:val="44"/>
              <w:rPr>
                <w:rFonts w:hint="eastAsia" w:ascii="宋体" w:hAnsi="宋体" w:cs="宋体"/>
                <w:color w:val="000000"/>
                <w:kern w:val="2"/>
                <w:sz w:val="21"/>
                <w:szCs w:val="21"/>
                <w:highlight w:val="none"/>
              </w:rPr>
            </w:pPr>
            <w:r>
              <w:rPr>
                <w:rFonts w:hint="eastAsia" w:ascii="宋体" w:hAnsi="宋体" w:cs="宋体"/>
                <w:color w:val="000000"/>
                <w:sz w:val="20"/>
                <w:szCs w:val="20"/>
                <w:highlight w:val="none"/>
                <w:lang w:bidi="ar"/>
              </w:rPr>
              <w:t>（4）上述认证缺少3项或以上的不得分。</w:t>
            </w:r>
          </w:p>
        </w:tc>
      </w:tr>
      <w:tr w14:paraId="14E8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9" w:hRule="atLeast"/>
          <w:jc w:val="center"/>
        </w:trPr>
        <w:tc>
          <w:tcPr>
            <w:tcW w:w="1251" w:type="dxa"/>
            <w:shd w:val="clear" w:color="auto" w:fill="FFFFFF"/>
            <w:vAlign w:val="center"/>
          </w:tcPr>
          <w:p w14:paraId="52189EA0">
            <w:pPr>
              <w:snapToGrid w:val="0"/>
              <w:jc w:val="center"/>
              <w:rPr>
                <w:rFonts w:hint="eastAsia" w:ascii="宋体" w:hAnsi="宋体" w:cs="宋体"/>
                <w:color w:val="000000"/>
                <w:szCs w:val="21"/>
                <w:highlight w:val="none"/>
              </w:rPr>
            </w:pPr>
          </w:p>
          <w:p w14:paraId="0AC31295">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二、项目管理机构能力</w:t>
            </w:r>
          </w:p>
          <w:p w14:paraId="380B348B">
            <w:pPr>
              <w:pStyle w:val="46"/>
              <w:jc w:val="center"/>
              <w:rPr>
                <w:rFonts w:hint="eastAsia" w:hAnsi="宋体" w:cs="宋体"/>
                <w:color w:val="000000"/>
                <w:szCs w:val="21"/>
                <w:highlight w:val="none"/>
              </w:rPr>
            </w:pPr>
            <w:r>
              <w:rPr>
                <w:rFonts w:hint="eastAsia" w:hAnsi="宋体" w:cs="宋体"/>
                <w:color w:val="000000"/>
                <w:szCs w:val="21"/>
                <w:highlight w:val="none"/>
              </w:rPr>
              <w:t>（14分）</w:t>
            </w:r>
          </w:p>
        </w:tc>
        <w:tc>
          <w:tcPr>
            <w:tcW w:w="1612" w:type="dxa"/>
            <w:shd w:val="clear" w:color="auto" w:fill="FFFFFF"/>
            <w:vAlign w:val="center"/>
          </w:tcPr>
          <w:p w14:paraId="5270C426">
            <w:pPr>
              <w:spacing w:line="360" w:lineRule="auto"/>
              <w:jc w:val="center"/>
              <w:rPr>
                <w:rStyle w:val="41"/>
                <w:rFonts w:hint="eastAsia"/>
                <w:szCs w:val="21"/>
                <w:highlight w:val="none"/>
              </w:rPr>
            </w:pPr>
            <w:r>
              <w:rPr>
                <w:rStyle w:val="41"/>
                <w:rFonts w:hint="eastAsia"/>
                <w:szCs w:val="21"/>
                <w:highlight w:val="none"/>
              </w:rPr>
              <w:t>项目管理机构</w:t>
            </w:r>
          </w:p>
        </w:tc>
        <w:tc>
          <w:tcPr>
            <w:tcW w:w="645" w:type="dxa"/>
            <w:shd w:val="clear" w:color="auto" w:fill="FFFFFF"/>
            <w:vAlign w:val="center"/>
          </w:tcPr>
          <w:p w14:paraId="3E6CC09F">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14</w:t>
            </w:r>
          </w:p>
        </w:tc>
        <w:tc>
          <w:tcPr>
            <w:tcW w:w="11861" w:type="dxa"/>
            <w:shd w:val="clear" w:color="auto" w:fill="FFFFFF"/>
            <w:vAlign w:val="center"/>
          </w:tcPr>
          <w:p w14:paraId="11EA4155">
            <w:pPr>
              <w:widowControl/>
              <w:spacing w:line="280" w:lineRule="exact"/>
              <w:textAlignment w:val="bottom"/>
              <w:rPr>
                <w:rFonts w:hint="eastAsia" w:ascii="宋体" w:hAnsi="宋体" w:cs="宋体"/>
                <w:color w:val="000000"/>
                <w:kern w:val="0"/>
                <w:sz w:val="20"/>
                <w:szCs w:val="20"/>
                <w:highlight w:val="none"/>
                <w:lang w:bidi="ar"/>
              </w:rPr>
            </w:pPr>
            <w:r>
              <w:rPr>
                <w:rFonts w:hint="eastAsia" w:ascii="宋体" w:hAnsi="宋体" w:cs="宋体"/>
                <w:b/>
                <w:bCs/>
                <w:color w:val="000000"/>
                <w:kern w:val="0"/>
                <w:sz w:val="20"/>
                <w:szCs w:val="20"/>
                <w:highlight w:val="none"/>
                <w:lang w:bidi="ar"/>
              </w:rPr>
              <w:t>（1）</w:t>
            </w:r>
            <w:r>
              <w:rPr>
                <w:rFonts w:hint="eastAsia" w:ascii="宋体" w:hAnsi="宋体" w:cs="宋体"/>
                <w:color w:val="000000"/>
                <w:kern w:val="0"/>
                <w:sz w:val="20"/>
                <w:szCs w:val="20"/>
                <w:highlight w:val="none"/>
                <w:lang w:bidi="ar"/>
              </w:rPr>
              <w:t>投标人项目管理机构人员配备满足《项目管理部组成人员配备基本要求表》的得2.5分，不满足《项目管理部组成人员配备基本要求表》的本小项得0分。</w:t>
            </w:r>
          </w:p>
          <w:p w14:paraId="0FF939B5">
            <w:pPr>
              <w:widowControl/>
              <w:spacing w:line="280" w:lineRule="exact"/>
              <w:textAlignment w:val="bottom"/>
              <w:rPr>
                <w:rFonts w:hint="eastAsia"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（2）技术负责人(本项最高加1.5分)：</w:t>
            </w:r>
          </w:p>
          <w:p w14:paraId="1C89E41F">
            <w:pPr>
              <w:widowControl/>
              <w:spacing w:line="280" w:lineRule="exact"/>
              <w:ind w:firstLine="400" w:firstLineChars="200"/>
              <w:textAlignment w:val="bottom"/>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①2</w:t>
            </w:r>
            <w:r>
              <w:rPr>
                <w:rFonts w:ascii="宋体" w:hAnsi="宋体" w:cs="宋体"/>
                <w:color w:val="000000"/>
                <w:kern w:val="0"/>
                <w:sz w:val="20"/>
                <w:szCs w:val="20"/>
                <w:highlight w:val="none"/>
                <w:lang w:bidi="ar"/>
              </w:rPr>
              <w:t>021</w:t>
            </w:r>
            <w:r>
              <w:rPr>
                <w:rFonts w:hint="eastAsia" w:ascii="宋体" w:hAnsi="宋体" w:cs="宋体"/>
                <w:color w:val="000000"/>
                <w:kern w:val="0"/>
                <w:sz w:val="20"/>
                <w:szCs w:val="20"/>
                <w:highlight w:val="none"/>
                <w:lang w:bidi="ar"/>
              </w:rPr>
              <w:t>年1月1日至投标截止时间止作为技术负责人完成过质量合格且</w:t>
            </w:r>
            <w:r>
              <w:rPr>
                <w:rFonts w:hint="eastAsia" w:ascii="宋体" w:hAnsi="宋体" w:cs="宋体"/>
                <w:color w:val="000000"/>
                <w:sz w:val="20"/>
                <w:szCs w:val="20"/>
                <w:highlight w:val="none"/>
              </w:rPr>
              <w:t>中标</w:t>
            </w:r>
            <w:r>
              <w:rPr>
                <w:rFonts w:hint="eastAsia" w:ascii="宋体" w:hAnsi="宋体" w:cs="宋体"/>
                <w:color w:val="000000"/>
                <w:kern w:val="0"/>
                <w:sz w:val="20"/>
                <w:szCs w:val="20"/>
                <w:highlight w:val="none"/>
                <w:lang w:bidi="ar"/>
              </w:rPr>
              <w:t>金额不少于300万元的</w:t>
            </w:r>
            <w:r>
              <w:rPr>
                <w:rFonts w:hint="eastAsia" w:ascii="宋体" w:hAnsi="宋体" w:cs="宋体"/>
                <w:color w:val="000000"/>
                <w:szCs w:val="21"/>
                <w:highlight w:val="none"/>
              </w:rPr>
              <w:t>建筑工程施工总承包业绩</w:t>
            </w:r>
            <w:r>
              <w:rPr>
                <w:rFonts w:hint="eastAsia" w:ascii="宋体" w:hAnsi="宋体" w:cs="宋体"/>
                <w:color w:val="000000"/>
                <w:kern w:val="0"/>
                <w:szCs w:val="21"/>
                <w:highlight w:val="none"/>
              </w:rPr>
              <w:t>或工程总承包项目施工部分业绩（工程总承包项目包括勘察设计施工总承包或设计施工总承包或设计采购施工总承包或勘察设计采购施工总承包）</w:t>
            </w:r>
            <w:r>
              <w:rPr>
                <w:rFonts w:hint="eastAsia" w:ascii="宋体" w:hAnsi="宋体" w:cs="宋体"/>
                <w:color w:val="000000"/>
                <w:kern w:val="0"/>
                <w:sz w:val="20"/>
                <w:szCs w:val="20"/>
                <w:highlight w:val="none"/>
                <w:lang w:bidi="ar"/>
              </w:rPr>
              <w:t>，加1分；</w:t>
            </w:r>
          </w:p>
          <w:p w14:paraId="03289099">
            <w:pPr>
              <w:pStyle w:val="2"/>
              <w:ind w:firstLine="400" w:firstLineChars="200"/>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②具有10年（或以上）工作经验的，加0.5分；具有5（含）-10年（不含）工作经验的，加0.3分；具有1（含）-5年（不含）工作经验的，加0.1分；其他不得分。</w:t>
            </w:r>
          </w:p>
          <w:p w14:paraId="265F9F26">
            <w:pPr>
              <w:widowControl/>
              <w:spacing w:line="280" w:lineRule="exact"/>
              <w:textAlignment w:val="bottom"/>
              <w:rPr>
                <w:rFonts w:hint="eastAsia"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（3）质量负责人(本项最高加1.5分)：</w:t>
            </w:r>
          </w:p>
          <w:p w14:paraId="10DFD8FA">
            <w:pPr>
              <w:widowControl/>
              <w:spacing w:line="280" w:lineRule="exact"/>
              <w:ind w:firstLine="400" w:firstLineChars="200"/>
              <w:textAlignment w:val="bottom"/>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①2</w:t>
            </w:r>
            <w:r>
              <w:rPr>
                <w:rFonts w:ascii="宋体" w:hAnsi="宋体" w:cs="宋体"/>
                <w:color w:val="000000"/>
                <w:kern w:val="0"/>
                <w:sz w:val="20"/>
                <w:szCs w:val="20"/>
                <w:highlight w:val="none"/>
                <w:lang w:bidi="ar"/>
              </w:rPr>
              <w:t>021</w:t>
            </w:r>
            <w:r>
              <w:rPr>
                <w:rFonts w:hint="eastAsia" w:ascii="宋体" w:hAnsi="宋体" w:cs="宋体"/>
                <w:color w:val="000000"/>
                <w:kern w:val="0"/>
                <w:sz w:val="20"/>
                <w:szCs w:val="20"/>
                <w:highlight w:val="none"/>
                <w:lang w:bidi="ar"/>
              </w:rPr>
              <w:t>年1月1日至投标截止时间止作为质量负责人完成过质量合格且</w:t>
            </w:r>
            <w:r>
              <w:rPr>
                <w:rFonts w:hint="eastAsia" w:ascii="宋体" w:hAnsi="宋体" w:cs="宋体"/>
                <w:color w:val="000000"/>
                <w:sz w:val="20"/>
                <w:szCs w:val="20"/>
                <w:highlight w:val="none"/>
              </w:rPr>
              <w:t>中标</w:t>
            </w:r>
            <w:r>
              <w:rPr>
                <w:rFonts w:hint="eastAsia" w:ascii="宋体" w:hAnsi="宋体" w:cs="宋体"/>
                <w:color w:val="000000"/>
                <w:kern w:val="0"/>
                <w:sz w:val="20"/>
                <w:szCs w:val="20"/>
                <w:highlight w:val="none"/>
                <w:lang w:bidi="ar"/>
              </w:rPr>
              <w:t>金额不少于300万元的</w:t>
            </w:r>
            <w:r>
              <w:rPr>
                <w:rFonts w:hint="eastAsia" w:ascii="宋体" w:hAnsi="宋体" w:cs="宋体"/>
                <w:color w:val="000000"/>
                <w:szCs w:val="21"/>
                <w:highlight w:val="none"/>
              </w:rPr>
              <w:t>建筑工程施工总承包业绩</w:t>
            </w:r>
            <w:r>
              <w:rPr>
                <w:rFonts w:hint="eastAsia" w:ascii="宋体" w:hAnsi="宋体" w:cs="宋体"/>
                <w:color w:val="000000"/>
                <w:kern w:val="0"/>
                <w:szCs w:val="21"/>
                <w:highlight w:val="none"/>
              </w:rPr>
              <w:t>或工程总承包项目施工部分业绩（工程总承包项目包括勘察设计施工总承包或设计施工总承包或设计采购施工总承包或勘察设计采购施工总承包）</w:t>
            </w:r>
            <w:r>
              <w:rPr>
                <w:rFonts w:hint="eastAsia" w:ascii="宋体" w:hAnsi="宋体" w:cs="宋体"/>
                <w:color w:val="000000"/>
                <w:kern w:val="0"/>
                <w:sz w:val="20"/>
                <w:szCs w:val="20"/>
                <w:highlight w:val="none"/>
                <w:lang w:bidi="ar"/>
              </w:rPr>
              <w:t>，加1分；</w:t>
            </w:r>
          </w:p>
          <w:p w14:paraId="71B8927D">
            <w:pPr>
              <w:pStyle w:val="2"/>
              <w:ind w:firstLine="400" w:firstLineChars="200"/>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②具有10年（或以上）工作经验的，加0.5分；具有5（含）-10年（不含）工作经验的，加0.3分；具有1（含）-5年（不含）工作经验的，加0.1分；其他不得分。</w:t>
            </w:r>
          </w:p>
          <w:p w14:paraId="7A2F481B">
            <w:pPr>
              <w:widowControl/>
              <w:spacing w:line="280" w:lineRule="exact"/>
              <w:textAlignment w:val="bottom"/>
              <w:rPr>
                <w:rFonts w:hint="eastAsia"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（4）造价负责人(本项最高加1.5分)：</w:t>
            </w:r>
          </w:p>
          <w:p w14:paraId="6C59B23C">
            <w:pPr>
              <w:widowControl/>
              <w:spacing w:line="280" w:lineRule="exact"/>
              <w:ind w:firstLine="400" w:firstLineChars="200"/>
              <w:textAlignment w:val="bottom"/>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①2</w:t>
            </w:r>
            <w:r>
              <w:rPr>
                <w:rFonts w:ascii="宋体" w:hAnsi="宋体" w:cs="宋体"/>
                <w:color w:val="000000"/>
                <w:kern w:val="0"/>
                <w:sz w:val="20"/>
                <w:szCs w:val="20"/>
                <w:highlight w:val="none"/>
                <w:lang w:bidi="ar"/>
              </w:rPr>
              <w:t>021</w:t>
            </w:r>
            <w:r>
              <w:rPr>
                <w:rFonts w:hint="eastAsia" w:ascii="宋体" w:hAnsi="宋体" w:cs="宋体"/>
                <w:color w:val="000000"/>
                <w:kern w:val="0"/>
                <w:sz w:val="20"/>
                <w:szCs w:val="20"/>
                <w:highlight w:val="none"/>
                <w:lang w:bidi="ar"/>
              </w:rPr>
              <w:t>年1月1日至投标截止时间止作为造价负责人完成过质量合格且</w:t>
            </w:r>
            <w:r>
              <w:rPr>
                <w:rFonts w:hint="eastAsia" w:ascii="宋体" w:hAnsi="宋体" w:cs="宋体"/>
                <w:color w:val="000000"/>
                <w:sz w:val="20"/>
                <w:szCs w:val="20"/>
                <w:highlight w:val="none"/>
              </w:rPr>
              <w:t>中标</w:t>
            </w:r>
            <w:r>
              <w:rPr>
                <w:rFonts w:hint="eastAsia" w:ascii="宋体" w:hAnsi="宋体" w:cs="宋体"/>
                <w:color w:val="000000"/>
                <w:kern w:val="0"/>
                <w:sz w:val="20"/>
                <w:szCs w:val="20"/>
                <w:highlight w:val="none"/>
                <w:lang w:bidi="ar"/>
              </w:rPr>
              <w:t>金额不少于300万元的</w:t>
            </w:r>
            <w:r>
              <w:rPr>
                <w:rFonts w:hint="eastAsia" w:ascii="宋体" w:hAnsi="宋体" w:cs="宋体"/>
                <w:color w:val="000000"/>
                <w:szCs w:val="21"/>
                <w:highlight w:val="none"/>
              </w:rPr>
              <w:t>建筑工程施工总承包业绩</w:t>
            </w:r>
            <w:r>
              <w:rPr>
                <w:rFonts w:hint="eastAsia" w:ascii="宋体" w:hAnsi="宋体" w:cs="宋体"/>
                <w:color w:val="000000"/>
                <w:kern w:val="0"/>
                <w:szCs w:val="21"/>
                <w:highlight w:val="none"/>
              </w:rPr>
              <w:t>或工程总承包项目施工部分业绩（工程总承包项目包括勘察设计施工总承包或设计施工总承包或设计采购施工总承包或勘察设计采购施工总承包）</w:t>
            </w:r>
            <w:r>
              <w:rPr>
                <w:rFonts w:hint="eastAsia" w:ascii="宋体" w:hAnsi="宋体" w:cs="宋体"/>
                <w:color w:val="000000"/>
                <w:kern w:val="0"/>
                <w:sz w:val="20"/>
                <w:szCs w:val="20"/>
                <w:highlight w:val="none"/>
                <w:lang w:bidi="ar"/>
              </w:rPr>
              <w:t>，加1分；</w:t>
            </w:r>
          </w:p>
          <w:p w14:paraId="6E688728">
            <w:pPr>
              <w:pStyle w:val="2"/>
              <w:ind w:firstLine="400" w:firstLineChars="200"/>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②具有10年（或以上）工作经验的，加0.5分；具有5（含）-10年（不含）工作经验的，加0.3分；具有1（含）-5年（不含）工作经验的，加0.1分；其他不得分。</w:t>
            </w:r>
          </w:p>
          <w:p w14:paraId="6D5B79F0">
            <w:pPr>
              <w:widowControl/>
              <w:spacing w:line="280" w:lineRule="exact"/>
              <w:textAlignment w:val="bottom"/>
              <w:rPr>
                <w:rFonts w:hint="eastAsia"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（5）安全负责人(本项最高加1分)：</w:t>
            </w:r>
          </w:p>
          <w:p w14:paraId="4B5ADBCC">
            <w:pPr>
              <w:widowControl/>
              <w:spacing w:line="280" w:lineRule="exact"/>
              <w:ind w:firstLine="400" w:firstLineChars="200"/>
              <w:textAlignment w:val="bottom"/>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①2</w:t>
            </w:r>
            <w:r>
              <w:rPr>
                <w:rFonts w:ascii="宋体" w:hAnsi="宋体" w:cs="宋体"/>
                <w:color w:val="000000"/>
                <w:kern w:val="0"/>
                <w:sz w:val="20"/>
                <w:szCs w:val="20"/>
                <w:highlight w:val="none"/>
                <w:lang w:bidi="ar"/>
              </w:rPr>
              <w:t>021</w:t>
            </w:r>
            <w:r>
              <w:rPr>
                <w:rFonts w:hint="eastAsia" w:ascii="宋体" w:hAnsi="宋体" w:cs="宋体"/>
                <w:color w:val="000000"/>
                <w:kern w:val="0"/>
                <w:sz w:val="20"/>
                <w:szCs w:val="20"/>
                <w:highlight w:val="none"/>
                <w:lang w:bidi="ar"/>
              </w:rPr>
              <w:t>年1月1日至投标截止时间止作为安全负责人完成过质量合格且</w:t>
            </w:r>
            <w:r>
              <w:rPr>
                <w:rFonts w:hint="eastAsia" w:ascii="宋体" w:hAnsi="宋体" w:cs="宋体"/>
                <w:color w:val="000000"/>
                <w:sz w:val="20"/>
                <w:szCs w:val="20"/>
                <w:highlight w:val="none"/>
              </w:rPr>
              <w:t>中标</w:t>
            </w:r>
            <w:r>
              <w:rPr>
                <w:rFonts w:hint="eastAsia" w:ascii="宋体" w:hAnsi="宋体" w:cs="宋体"/>
                <w:color w:val="000000"/>
                <w:kern w:val="0"/>
                <w:sz w:val="20"/>
                <w:szCs w:val="20"/>
                <w:highlight w:val="none"/>
                <w:lang w:bidi="ar"/>
              </w:rPr>
              <w:t>金额不少于300万元的</w:t>
            </w:r>
            <w:r>
              <w:rPr>
                <w:rFonts w:hint="eastAsia" w:ascii="宋体" w:hAnsi="宋体" w:cs="宋体"/>
                <w:color w:val="000000"/>
                <w:szCs w:val="21"/>
                <w:highlight w:val="none"/>
              </w:rPr>
              <w:t>建筑工程施工总承包业绩</w:t>
            </w:r>
            <w:r>
              <w:rPr>
                <w:rFonts w:hint="eastAsia" w:ascii="宋体" w:hAnsi="宋体" w:cs="宋体"/>
                <w:color w:val="000000"/>
                <w:kern w:val="0"/>
                <w:szCs w:val="21"/>
                <w:highlight w:val="none"/>
              </w:rPr>
              <w:t>或工程总承包项目施工部分业绩（工程总承包项目包括勘察设计施工总承包或设计施工总承包或设计采购施工总承包或勘察设计采购施工总承包）</w:t>
            </w:r>
            <w:r>
              <w:rPr>
                <w:rFonts w:hint="eastAsia" w:ascii="宋体" w:hAnsi="宋体" w:cs="宋体"/>
                <w:color w:val="000000"/>
                <w:kern w:val="0"/>
                <w:sz w:val="20"/>
                <w:szCs w:val="20"/>
                <w:highlight w:val="none"/>
                <w:lang w:bidi="ar"/>
              </w:rPr>
              <w:t>，加1分；</w:t>
            </w:r>
          </w:p>
          <w:p w14:paraId="0C947E7F">
            <w:pPr>
              <w:widowControl/>
              <w:spacing w:line="280" w:lineRule="exact"/>
              <w:textAlignment w:val="bottom"/>
              <w:rPr>
                <w:rFonts w:hint="eastAsia"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（6）深化设计负责人(本项最高加1.5分)：</w:t>
            </w:r>
          </w:p>
          <w:p w14:paraId="499F60CE">
            <w:pPr>
              <w:widowControl/>
              <w:spacing w:line="280" w:lineRule="exact"/>
              <w:ind w:firstLine="400" w:firstLineChars="200"/>
              <w:textAlignment w:val="bottom"/>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①2</w:t>
            </w:r>
            <w:r>
              <w:rPr>
                <w:rFonts w:ascii="宋体" w:hAnsi="宋体" w:cs="宋体"/>
                <w:color w:val="000000"/>
                <w:kern w:val="0"/>
                <w:sz w:val="20"/>
                <w:szCs w:val="20"/>
                <w:highlight w:val="none"/>
                <w:lang w:bidi="ar"/>
              </w:rPr>
              <w:t>021</w:t>
            </w:r>
            <w:r>
              <w:rPr>
                <w:rFonts w:hint="eastAsia" w:ascii="宋体" w:hAnsi="宋体" w:cs="宋体"/>
                <w:color w:val="000000"/>
                <w:kern w:val="0"/>
                <w:sz w:val="20"/>
                <w:szCs w:val="20"/>
                <w:highlight w:val="none"/>
                <w:lang w:bidi="ar"/>
              </w:rPr>
              <w:t>年1月1日至投标截止时间止作为深化设计负责人完成过质量合格且</w:t>
            </w:r>
            <w:r>
              <w:rPr>
                <w:rFonts w:hint="eastAsia" w:ascii="宋体" w:hAnsi="宋体" w:cs="宋体"/>
                <w:color w:val="000000"/>
                <w:sz w:val="20"/>
                <w:szCs w:val="20"/>
                <w:highlight w:val="none"/>
              </w:rPr>
              <w:t>中标</w:t>
            </w:r>
            <w:r>
              <w:rPr>
                <w:rFonts w:hint="eastAsia" w:ascii="宋体" w:hAnsi="宋体" w:cs="宋体"/>
                <w:color w:val="000000"/>
                <w:kern w:val="0"/>
                <w:sz w:val="20"/>
                <w:szCs w:val="20"/>
                <w:highlight w:val="none"/>
                <w:lang w:bidi="ar"/>
              </w:rPr>
              <w:t>金额不少于300万元的</w:t>
            </w:r>
            <w:r>
              <w:rPr>
                <w:rFonts w:hint="eastAsia" w:ascii="宋体" w:hAnsi="宋体" w:cs="宋体"/>
                <w:color w:val="000000"/>
                <w:szCs w:val="21"/>
                <w:highlight w:val="none"/>
              </w:rPr>
              <w:t>建筑工程施工总承包业绩</w:t>
            </w:r>
            <w:r>
              <w:rPr>
                <w:rFonts w:hint="eastAsia" w:ascii="宋体" w:hAnsi="宋体" w:cs="宋体"/>
                <w:color w:val="000000"/>
                <w:kern w:val="0"/>
                <w:szCs w:val="21"/>
                <w:highlight w:val="none"/>
              </w:rPr>
              <w:t>或工程总承包项目施工部分业绩（工程总承包项目包括勘察设计施工总承包或设计施工总承包或设计采购施工总承包或勘察设计采购施工总承包）</w:t>
            </w:r>
            <w:r>
              <w:rPr>
                <w:rFonts w:hint="eastAsia" w:ascii="宋体" w:hAnsi="宋体" w:cs="宋体"/>
                <w:color w:val="000000"/>
                <w:kern w:val="0"/>
                <w:sz w:val="20"/>
                <w:szCs w:val="20"/>
                <w:highlight w:val="none"/>
                <w:lang w:bidi="ar"/>
              </w:rPr>
              <w:t>，加0.5分；</w:t>
            </w:r>
          </w:p>
          <w:p w14:paraId="2703E1B5">
            <w:pPr>
              <w:widowControl/>
              <w:spacing w:line="280" w:lineRule="exact"/>
              <w:ind w:firstLine="400" w:firstLineChars="200"/>
              <w:textAlignment w:val="bottom"/>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②具有建筑装饰设计类高级工程师（或以上）职称的，加0.5分；</w:t>
            </w:r>
          </w:p>
          <w:p w14:paraId="00FBA71C">
            <w:pPr>
              <w:pStyle w:val="2"/>
              <w:ind w:firstLine="400" w:firstLineChars="200"/>
              <w:rPr>
                <w:color w:val="000000"/>
                <w:highlight w:val="none"/>
              </w:rPr>
            </w:pPr>
            <w:r>
              <w:rPr>
                <w:rFonts w:hint="eastAsia" w:ascii="宋体" w:hAnsi="宋体" w:cs="宋体"/>
                <w:color w:val="000000"/>
                <w:kern w:val="0"/>
                <w:sz w:val="20"/>
                <w:szCs w:val="20"/>
                <w:highlight w:val="none"/>
                <w:lang w:bidi="ar"/>
              </w:rPr>
              <w:t>③具有10年（或以上）工作经验的，加0.5分；具有5（含）-10年（不含）工作经验的，加0.3分；具有1（含）-5年（不含）工作经验的，加0.1分；其他不得分。</w:t>
            </w:r>
          </w:p>
          <w:p w14:paraId="0323D035">
            <w:pPr>
              <w:widowControl/>
              <w:spacing w:line="280" w:lineRule="exact"/>
              <w:textAlignment w:val="bottom"/>
              <w:rPr>
                <w:rFonts w:hint="eastAsia"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（7）装饰装修工程师(最多计算3人，本项最高加4.5分)：</w:t>
            </w:r>
          </w:p>
          <w:p w14:paraId="4CE124C0">
            <w:pPr>
              <w:widowControl/>
              <w:spacing w:line="280" w:lineRule="exact"/>
              <w:ind w:firstLine="400" w:firstLineChars="200"/>
              <w:textAlignment w:val="bottom"/>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①2</w:t>
            </w:r>
            <w:r>
              <w:rPr>
                <w:rFonts w:ascii="宋体" w:hAnsi="宋体" w:cs="宋体"/>
                <w:color w:val="000000"/>
                <w:kern w:val="0"/>
                <w:sz w:val="20"/>
                <w:szCs w:val="20"/>
                <w:highlight w:val="none"/>
                <w:lang w:bidi="ar"/>
              </w:rPr>
              <w:t>021</w:t>
            </w:r>
            <w:r>
              <w:rPr>
                <w:rFonts w:hint="eastAsia" w:ascii="宋体" w:hAnsi="宋体" w:cs="宋体"/>
                <w:color w:val="000000"/>
                <w:kern w:val="0"/>
                <w:sz w:val="20"/>
                <w:szCs w:val="20"/>
                <w:highlight w:val="none"/>
                <w:lang w:bidi="ar"/>
              </w:rPr>
              <w:t>年1月1日至投标截止时间止作为装饰装修工程师完成过质量合格且</w:t>
            </w:r>
            <w:r>
              <w:rPr>
                <w:rFonts w:hint="eastAsia" w:ascii="宋体" w:hAnsi="宋体" w:cs="宋体"/>
                <w:color w:val="000000"/>
                <w:sz w:val="20"/>
                <w:szCs w:val="20"/>
                <w:highlight w:val="none"/>
              </w:rPr>
              <w:t>中标</w:t>
            </w:r>
            <w:r>
              <w:rPr>
                <w:rFonts w:hint="eastAsia" w:ascii="宋体" w:hAnsi="宋体" w:cs="宋体"/>
                <w:color w:val="000000"/>
                <w:kern w:val="0"/>
                <w:sz w:val="20"/>
                <w:szCs w:val="20"/>
                <w:highlight w:val="none"/>
                <w:lang w:bidi="ar"/>
              </w:rPr>
              <w:t>金额不少于300万元的</w:t>
            </w:r>
            <w:r>
              <w:rPr>
                <w:rFonts w:hint="eastAsia" w:ascii="宋体" w:hAnsi="宋体" w:cs="宋体"/>
                <w:color w:val="000000"/>
                <w:szCs w:val="21"/>
                <w:highlight w:val="none"/>
              </w:rPr>
              <w:t>建筑工程施工总承包业绩</w:t>
            </w:r>
            <w:r>
              <w:rPr>
                <w:rFonts w:hint="eastAsia" w:ascii="宋体" w:hAnsi="宋体" w:cs="宋体"/>
                <w:color w:val="000000"/>
                <w:kern w:val="0"/>
                <w:szCs w:val="21"/>
                <w:highlight w:val="none"/>
              </w:rPr>
              <w:t>或工程总承包项目施工部分业绩（工程总承包项目包括勘察设计施工总承包或设计施工总承包或设计采购施工总承包或勘察设计采购施工总承包）</w:t>
            </w:r>
            <w:r>
              <w:rPr>
                <w:rFonts w:hint="eastAsia" w:ascii="宋体" w:hAnsi="宋体" w:cs="宋体"/>
                <w:color w:val="000000"/>
                <w:kern w:val="0"/>
                <w:sz w:val="20"/>
                <w:szCs w:val="20"/>
                <w:highlight w:val="none"/>
                <w:lang w:bidi="ar"/>
              </w:rPr>
              <w:t>，每人加0.5分；</w:t>
            </w:r>
          </w:p>
          <w:p w14:paraId="332E3576">
            <w:pPr>
              <w:widowControl/>
              <w:spacing w:line="280" w:lineRule="exact"/>
              <w:ind w:firstLine="400" w:firstLineChars="200"/>
              <w:textAlignment w:val="bottom"/>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②具有建筑装饰施工类高级工程师（或以上）职称的，每人加0.5分；</w:t>
            </w:r>
          </w:p>
          <w:p w14:paraId="6C7D06BA">
            <w:pPr>
              <w:pStyle w:val="2"/>
              <w:ind w:firstLine="400" w:firstLineChars="200"/>
              <w:rPr>
                <w:color w:val="000000"/>
                <w:highlight w:val="none"/>
              </w:rPr>
            </w:pPr>
            <w:r>
              <w:rPr>
                <w:rFonts w:hint="eastAsia" w:ascii="宋体" w:hAnsi="宋体" w:cs="宋体"/>
                <w:color w:val="000000"/>
                <w:kern w:val="0"/>
                <w:sz w:val="20"/>
                <w:szCs w:val="20"/>
                <w:highlight w:val="none"/>
                <w:lang w:bidi="ar"/>
              </w:rPr>
              <w:t>③具有10年（或以上）工作经验的，加0.5分；具有5（含）-10年（不含）工作经验的，加0.3分；具有1（含）-5年（不含）工作经验的，加0.1分；其他不得分。</w:t>
            </w:r>
          </w:p>
        </w:tc>
      </w:tr>
      <w:tr w14:paraId="7E5D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5" w:hRule="atLeast"/>
          <w:jc w:val="center"/>
        </w:trPr>
        <w:tc>
          <w:tcPr>
            <w:tcW w:w="2863" w:type="dxa"/>
            <w:gridSpan w:val="2"/>
            <w:shd w:val="clear" w:color="auto" w:fill="FFFFFF"/>
            <w:vAlign w:val="center"/>
          </w:tcPr>
          <w:p w14:paraId="494E78E5">
            <w:pPr>
              <w:pStyle w:val="42"/>
              <w:shd w:val="clear" w:color="auto" w:fill="auto"/>
              <w:snapToGrid w:val="0"/>
              <w:spacing w:line="240" w:lineRule="auto"/>
              <w:jc w:val="center"/>
              <w:rPr>
                <w:rStyle w:val="41"/>
                <w:rFonts w:hint="eastAsia"/>
                <w:sz w:val="21"/>
                <w:szCs w:val="21"/>
                <w:highlight w:val="none"/>
              </w:rPr>
            </w:pPr>
            <w:r>
              <w:rPr>
                <w:rStyle w:val="41"/>
                <w:rFonts w:hint="eastAsia"/>
                <w:sz w:val="21"/>
                <w:szCs w:val="21"/>
                <w:highlight w:val="none"/>
              </w:rPr>
              <w:t>合计</w:t>
            </w:r>
          </w:p>
        </w:tc>
        <w:tc>
          <w:tcPr>
            <w:tcW w:w="645" w:type="dxa"/>
            <w:shd w:val="clear" w:color="auto" w:fill="FFFFFF"/>
            <w:vAlign w:val="center"/>
          </w:tcPr>
          <w:p w14:paraId="27F605B6">
            <w:pPr>
              <w:pStyle w:val="42"/>
              <w:shd w:val="clear" w:color="auto" w:fill="auto"/>
              <w:snapToGrid w:val="0"/>
              <w:spacing w:line="240" w:lineRule="auto"/>
              <w:jc w:val="center"/>
              <w:rPr>
                <w:rStyle w:val="41"/>
                <w:rFonts w:hint="eastAsia"/>
                <w:sz w:val="21"/>
                <w:szCs w:val="21"/>
                <w:highlight w:val="none"/>
              </w:rPr>
            </w:pPr>
            <w:r>
              <w:rPr>
                <w:rStyle w:val="41"/>
                <w:rFonts w:hint="eastAsia"/>
                <w:sz w:val="21"/>
                <w:szCs w:val="21"/>
                <w:highlight w:val="none"/>
              </w:rPr>
              <w:t>20</w:t>
            </w:r>
          </w:p>
        </w:tc>
        <w:tc>
          <w:tcPr>
            <w:tcW w:w="11861" w:type="dxa"/>
            <w:shd w:val="clear" w:color="auto" w:fill="FFFFFF"/>
            <w:vAlign w:val="center"/>
          </w:tcPr>
          <w:p w14:paraId="06203EC2">
            <w:pPr>
              <w:pStyle w:val="42"/>
              <w:shd w:val="clear" w:color="auto" w:fill="auto"/>
              <w:snapToGrid w:val="0"/>
              <w:spacing w:line="240" w:lineRule="auto"/>
              <w:rPr>
                <w:rStyle w:val="41"/>
                <w:rFonts w:hint="eastAsia"/>
                <w:sz w:val="21"/>
                <w:szCs w:val="21"/>
                <w:highlight w:val="none"/>
              </w:rPr>
            </w:pPr>
          </w:p>
        </w:tc>
      </w:tr>
    </w:tbl>
    <w:p w14:paraId="6FC2C3C9">
      <w:pPr>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注：</w:t>
      </w:r>
    </w:p>
    <w:p w14:paraId="25A16620">
      <w:pPr>
        <w:adjustRightInd w:val="0"/>
        <w:snapToGrid w:val="0"/>
        <w:spacing w:line="360" w:lineRule="auto"/>
        <w:rPr>
          <w:rFonts w:hint="eastAsia" w:ascii="宋体" w:hAnsi="宋体" w:cs="宋体"/>
          <w:color w:val="000000"/>
          <w:sz w:val="20"/>
          <w:szCs w:val="20"/>
          <w:highlight w:val="none"/>
        </w:rPr>
      </w:pPr>
      <w:r>
        <w:rPr>
          <w:rFonts w:ascii="宋体" w:hAnsi="宋体" w:cs="宋体"/>
          <w:b/>
          <w:bCs/>
          <w:color w:val="000000"/>
          <w:sz w:val="20"/>
          <w:szCs w:val="20"/>
          <w:highlight w:val="none"/>
        </w:rPr>
        <w:t>1.</w:t>
      </w:r>
      <w:r>
        <w:rPr>
          <w:rFonts w:hint="eastAsia" w:ascii="宋体" w:hAnsi="宋体" w:cs="宋体"/>
          <w:b/>
          <w:bCs/>
          <w:color w:val="000000"/>
          <w:sz w:val="20"/>
          <w:szCs w:val="20"/>
          <w:highlight w:val="none"/>
        </w:rPr>
        <w:t xml:space="preserve"> 类似业绩：</w:t>
      </w:r>
      <w:r>
        <w:rPr>
          <w:rFonts w:hint="eastAsia" w:ascii="宋体" w:hAnsi="宋体" w:cs="宋体"/>
          <w:color w:val="000000"/>
          <w:sz w:val="20"/>
          <w:szCs w:val="20"/>
          <w:highlight w:val="none"/>
        </w:rPr>
        <w:t>业绩取自广州市住建行业信用管理平台（业绩是指：中标金额≥300万元的</w:t>
      </w:r>
      <w:r>
        <w:rPr>
          <w:rFonts w:hint="eastAsia" w:ascii="宋体" w:hAnsi="宋体" w:cs="宋体"/>
          <w:color w:val="000000"/>
          <w:szCs w:val="21"/>
          <w:highlight w:val="none"/>
        </w:rPr>
        <w:t>建筑工程施工总承包业绩</w:t>
      </w:r>
      <w:r>
        <w:rPr>
          <w:rFonts w:hint="eastAsia" w:ascii="宋体" w:hAnsi="宋体" w:cs="宋体"/>
          <w:color w:val="000000"/>
          <w:kern w:val="0"/>
          <w:szCs w:val="21"/>
          <w:highlight w:val="none"/>
        </w:rPr>
        <w:t>或工程总承包项目施工部分业绩（工程总承包项目包括勘察设计施工总承包或设计施工总承包或设计采购施工总承包或勘察设计采购施工总承包）</w:t>
      </w:r>
      <w:r>
        <w:rPr>
          <w:rFonts w:hint="eastAsia" w:ascii="宋体" w:hAnsi="宋体" w:cs="宋体"/>
          <w:color w:val="000000"/>
          <w:sz w:val="20"/>
          <w:szCs w:val="20"/>
          <w:highlight w:val="none"/>
        </w:rPr>
        <w:t>。业绩须在“工程对应的企业资质栏”中登记为“建筑工程施工总承包（原房屋建筑工程施工总承包）”。投标人须提供类似项目业绩的项目名称及业绩在广州市住建行业信用管理平台中项目编号、相应业绩在广州市住建行业信用管理平台的网页信息截图（截图须包含广州市住建行业信用管理平台中的“项目基本信息”、“工程规模”、“验收材料”、“工程对应的企业资质”栏）。不提供项目名称及项目编号、网页信息截图的业绩不予评审（不符合条件或无提交网页信息截图或无加盖投标人电子印章的不计分）。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14CAB0B1">
      <w:pPr>
        <w:adjustRightInd w:val="0"/>
        <w:snapToGrid w:val="0"/>
        <w:spacing w:line="360" w:lineRule="auto"/>
        <w:rPr>
          <w:rFonts w:hint="eastAsia" w:ascii="宋体" w:hAnsi="宋体" w:cs="宋体"/>
          <w:color w:val="000000"/>
          <w:sz w:val="20"/>
          <w:szCs w:val="20"/>
          <w:highlight w:val="none"/>
        </w:rPr>
      </w:pPr>
      <w:r>
        <w:rPr>
          <w:rFonts w:hint="eastAsia" w:ascii="宋体" w:hAnsi="宋体" w:cs="宋体"/>
          <w:color w:val="000000"/>
          <w:sz w:val="20"/>
          <w:szCs w:val="20"/>
          <w:highlight w:val="none"/>
        </w:rPr>
        <w:t>（1）施工中标金额以中标通知书为准，中标通知书上没有金额或免招标的，以施工合同（不含补充合同）为准。</w:t>
      </w:r>
    </w:p>
    <w:p w14:paraId="3104D73A">
      <w:pPr>
        <w:adjustRightInd w:val="0"/>
        <w:snapToGrid w:val="0"/>
        <w:spacing w:line="360" w:lineRule="auto"/>
        <w:rPr>
          <w:rFonts w:hint="eastAsia" w:ascii="宋体" w:hAnsi="宋体" w:cs="宋体"/>
          <w:color w:val="000000"/>
          <w:sz w:val="20"/>
          <w:szCs w:val="20"/>
          <w:highlight w:val="none"/>
        </w:rPr>
      </w:pPr>
      <w:r>
        <w:rPr>
          <w:rFonts w:hint="eastAsia" w:ascii="宋体" w:hAnsi="宋体" w:cs="宋体"/>
          <w:color w:val="000000"/>
          <w:sz w:val="20"/>
          <w:szCs w:val="20"/>
          <w:highlight w:val="none"/>
        </w:rPr>
        <w:t>（2）完成时间以竣工验收文件为准。验收文件至少具有建设单位、设计、施工和监理单位盖章。</w:t>
      </w:r>
    </w:p>
    <w:p w14:paraId="5F90EF5D">
      <w:pPr>
        <w:adjustRightInd w:val="0"/>
        <w:snapToGrid w:val="0"/>
        <w:spacing w:line="360" w:lineRule="auto"/>
        <w:rPr>
          <w:rFonts w:hint="eastAsia" w:ascii="宋体" w:hAnsi="宋体" w:cs="宋体"/>
          <w:color w:val="000000"/>
          <w:sz w:val="20"/>
          <w:szCs w:val="20"/>
          <w:highlight w:val="none"/>
        </w:rPr>
      </w:pPr>
      <w:r>
        <w:rPr>
          <w:rFonts w:hint="eastAsia" w:ascii="宋体" w:hAnsi="宋体" w:cs="宋体"/>
          <w:color w:val="000000"/>
          <w:sz w:val="20"/>
          <w:szCs w:val="20"/>
          <w:highlight w:val="none"/>
        </w:rPr>
        <w:t>（3）平台内业绩上传件不符合上述要求的，该项业绩不予认定。</w:t>
      </w:r>
    </w:p>
    <w:p w14:paraId="37465AEC">
      <w:pPr>
        <w:adjustRightInd w:val="0"/>
        <w:snapToGrid w:val="0"/>
        <w:spacing w:line="360" w:lineRule="auto"/>
        <w:rPr>
          <w:rFonts w:hint="eastAsia" w:ascii="宋体" w:hAnsi="宋体" w:cs="宋体"/>
          <w:b/>
          <w:bCs/>
          <w:color w:val="000000"/>
          <w:sz w:val="20"/>
          <w:szCs w:val="20"/>
          <w:highlight w:val="none"/>
        </w:rPr>
      </w:pPr>
      <w:r>
        <w:rPr>
          <w:rFonts w:ascii="宋体" w:hAnsi="宋体" w:cs="宋体"/>
          <w:b/>
          <w:bCs/>
          <w:color w:val="000000"/>
          <w:sz w:val="20"/>
          <w:szCs w:val="20"/>
          <w:highlight w:val="none"/>
        </w:rPr>
        <w:t>2.</w:t>
      </w:r>
      <w:r>
        <w:rPr>
          <w:rFonts w:hint="eastAsia" w:cs="宋体"/>
          <w:b/>
          <w:bCs/>
          <w:color w:val="000000"/>
          <w:sz w:val="20"/>
          <w:szCs w:val="20"/>
          <w:highlight w:val="none"/>
        </w:rPr>
        <w:t xml:space="preserve"> 工程奖项：</w:t>
      </w:r>
      <w:r>
        <w:rPr>
          <w:rFonts w:hint="eastAsia" w:ascii="宋体" w:hAnsi="宋体" w:cs="宋体"/>
          <w:color w:val="000000"/>
          <w:sz w:val="20"/>
          <w:szCs w:val="20"/>
          <w:highlight w:val="none"/>
        </w:rPr>
        <w:t>（1）奖项业绩取自广州市住建行业信用管理平台</w:t>
      </w:r>
      <w:r>
        <w:rPr>
          <w:rFonts w:ascii="宋体" w:hAnsi="宋体" w:cs="宋体"/>
          <w:color w:val="000000"/>
          <w:sz w:val="20"/>
          <w:szCs w:val="20"/>
          <w:highlight w:val="none"/>
        </w:rPr>
        <w:t>的</w:t>
      </w:r>
      <w:r>
        <w:rPr>
          <w:rFonts w:hint="eastAsia" w:ascii="宋体" w:hAnsi="宋体" w:cs="宋体"/>
          <w:color w:val="000000"/>
          <w:sz w:val="20"/>
          <w:szCs w:val="20"/>
          <w:highlight w:val="none"/>
        </w:rPr>
        <w:t>，投标人须提供网页信息截图（网页信息截图须能清晰显示带有“住建行业信用管理平台”名称，并至少包含“项目基本信息”、“奖项信息”等信息）。评标委员会对工程奖项的评审以投标截止时间在平台内工程奖项上传件为依据（投标文件中可不需重复提交相关业绩上传件）。</w:t>
      </w:r>
    </w:p>
    <w:p w14:paraId="7F8153EB">
      <w:pPr>
        <w:adjustRightInd w:val="0"/>
        <w:snapToGrid w:val="0"/>
        <w:spacing w:line="360" w:lineRule="auto"/>
        <w:rPr>
          <w:rFonts w:hint="eastAsia" w:ascii="宋体" w:hAnsi="宋体" w:cs="宋体"/>
          <w:color w:val="000000"/>
          <w:sz w:val="20"/>
          <w:szCs w:val="20"/>
          <w:highlight w:val="none"/>
        </w:rPr>
      </w:pPr>
      <w:r>
        <w:rPr>
          <w:rFonts w:hint="eastAsia" w:ascii="宋体" w:hAnsi="宋体" w:cs="宋体"/>
          <w:color w:val="000000"/>
          <w:sz w:val="20"/>
          <w:szCs w:val="20"/>
          <w:highlight w:val="none"/>
        </w:rPr>
        <w:t>（2）奖项业绩提供获奖证书的，投标人须提供获奖证书原件扫描件，并同时提供获奖业绩的中标通知书(或免招标证明文件)、施工合同(不含补充合同)、</w:t>
      </w:r>
      <w:r>
        <w:rPr>
          <w:rFonts w:ascii="宋体" w:hAnsi="宋体" w:cs="宋体"/>
          <w:color w:val="000000"/>
          <w:sz w:val="20"/>
          <w:szCs w:val="20"/>
          <w:highlight w:val="none"/>
        </w:rPr>
        <w:t>子分部工程质量验收记录或</w:t>
      </w:r>
      <w:r>
        <w:rPr>
          <w:rFonts w:hint="eastAsia" w:ascii="宋体" w:hAnsi="宋体" w:cs="宋体"/>
          <w:color w:val="000000"/>
          <w:sz w:val="20"/>
          <w:szCs w:val="20"/>
          <w:highlight w:val="none"/>
        </w:rPr>
        <w:t>竣工验收文件(</w:t>
      </w:r>
      <w:r>
        <w:rPr>
          <w:rFonts w:ascii="宋体" w:hAnsi="宋体" w:cs="宋体"/>
          <w:color w:val="000000"/>
          <w:sz w:val="20"/>
          <w:szCs w:val="20"/>
          <w:highlight w:val="none"/>
        </w:rPr>
        <w:t>验收记录或</w:t>
      </w:r>
      <w:r>
        <w:rPr>
          <w:rFonts w:hint="eastAsia" w:ascii="宋体" w:hAnsi="宋体" w:cs="宋体"/>
          <w:color w:val="000000"/>
          <w:sz w:val="20"/>
          <w:szCs w:val="20"/>
          <w:highlight w:val="none"/>
        </w:rPr>
        <w:t>验收文件至少具有建设单位、设计、施工和监理单位盖章)、竣工验收备案证明文件(备案证明须具有建设行政主管部门盖章确认)原件扫描件及该获奖工程在“全国建筑市场监管公共服务平台”的网页信息截图（网页信息截图须显示工程信息并具备施工许可证、施工合同及竣工验收备案环节登记单位信息）并加盖投标人企业电子印章。投标人须为该获奖项目的总承包单位，须提供相关证明材料（如施工合同、业主证明、评审申请材料、批复文件、竣工验收文件等）体现其为总承包单位身份，不符合上述条件或上述资料相关信息不一致或提供的资料不齐全的获奖业绩不予评审。评标委员会对获奖业绩的评审以投标人提供的完整的证明资料为依据。</w:t>
      </w:r>
    </w:p>
    <w:p w14:paraId="4A987626">
      <w:pPr>
        <w:adjustRightInd w:val="0"/>
        <w:snapToGrid w:val="0"/>
        <w:spacing w:line="360" w:lineRule="auto"/>
        <w:rPr>
          <w:rFonts w:hint="eastAsia" w:ascii="宋体" w:hAnsi="宋体" w:cs="宋体"/>
          <w:color w:val="000000"/>
          <w:sz w:val="20"/>
          <w:szCs w:val="20"/>
          <w:highlight w:val="none"/>
        </w:rPr>
      </w:pPr>
      <w:r>
        <w:rPr>
          <w:rFonts w:hint="eastAsia" w:ascii="宋体" w:hAnsi="宋体" w:cs="宋体"/>
          <w:color w:val="000000"/>
          <w:sz w:val="20"/>
          <w:szCs w:val="20"/>
          <w:highlight w:val="none"/>
        </w:rPr>
        <w:t>（3）时间以获奖证书颁发时间为准。</w:t>
      </w:r>
    </w:p>
    <w:p w14:paraId="3A7753E7">
      <w:pPr>
        <w:adjustRightInd w:val="0"/>
        <w:snapToGrid w:val="0"/>
        <w:spacing w:line="360" w:lineRule="auto"/>
        <w:rPr>
          <w:rFonts w:hint="eastAsia" w:ascii="宋体" w:hAnsi="宋体" w:cs="宋体"/>
          <w:color w:val="000000"/>
          <w:sz w:val="20"/>
          <w:szCs w:val="20"/>
          <w:highlight w:val="none"/>
        </w:rPr>
      </w:pPr>
      <w:r>
        <w:rPr>
          <w:rFonts w:hint="eastAsia" w:ascii="宋体" w:hAnsi="宋体" w:cs="宋体"/>
          <w:color w:val="000000"/>
          <w:sz w:val="20"/>
          <w:szCs w:val="20"/>
          <w:highlight w:val="none"/>
        </w:rPr>
        <w:t>（4）国家级质量奖项是指中国建设工程鲁班奖、中国土木工程詹天佑奖、国家优质工程金质奖</w:t>
      </w:r>
      <w:r>
        <w:rPr>
          <w:rFonts w:ascii="宋体" w:hAnsi="宋体" w:cs="宋体"/>
          <w:color w:val="000000"/>
          <w:sz w:val="20"/>
          <w:szCs w:val="20"/>
          <w:highlight w:val="none"/>
        </w:rPr>
        <w:t>（金奖）</w:t>
      </w:r>
      <w:r>
        <w:rPr>
          <w:rFonts w:hint="eastAsia" w:ascii="宋体" w:hAnsi="宋体" w:cs="宋体"/>
          <w:color w:val="000000"/>
          <w:sz w:val="20"/>
          <w:szCs w:val="20"/>
          <w:highlight w:val="none"/>
        </w:rPr>
        <w:t>、国家优质工程奖、中国(全国)建筑工程装饰奖（不含设计和幕墙类获奖）等；省级或市级工程质量奖项指省或市级建设主管部门或行业协会（或其所属专业分会）颁发的工程质量奖项（</w:t>
      </w:r>
      <w:r>
        <w:rPr>
          <w:rFonts w:hint="eastAsia" w:ascii="宋体" w:hAnsi="宋体" w:cs="宋体"/>
          <w:color w:val="000000"/>
          <w:szCs w:val="21"/>
          <w:highlight w:val="none"/>
        </w:rPr>
        <w:t>如发奖单位为</w:t>
      </w:r>
      <w:r>
        <w:rPr>
          <w:rFonts w:hint="eastAsia" w:ascii="宋体" w:hAnsi="宋体" w:cs="宋体"/>
          <w:color w:val="000000"/>
          <w:sz w:val="20"/>
          <w:szCs w:val="20"/>
          <w:highlight w:val="none"/>
        </w:rPr>
        <w:t>行业</w:t>
      </w:r>
      <w:r>
        <w:rPr>
          <w:rFonts w:hint="eastAsia" w:ascii="宋体" w:hAnsi="宋体" w:cs="宋体"/>
          <w:color w:val="000000"/>
          <w:szCs w:val="21"/>
          <w:highlight w:val="none"/>
        </w:rPr>
        <w:t>协会的，则须提供该协会在“中国社会组织政务服务平台”网站查询结果的网页截图，不提供不得分）</w:t>
      </w:r>
      <w:r>
        <w:rPr>
          <w:rFonts w:hint="eastAsia" w:ascii="宋体" w:hAnsi="宋体" w:cs="宋体"/>
          <w:color w:val="000000"/>
          <w:sz w:val="20"/>
          <w:szCs w:val="20"/>
          <w:highlight w:val="none"/>
        </w:rPr>
        <w:t>。只计算房屋建筑工程获奖得分，其他非房建项目，如：市政、路桥、铁路、水利、电力、化工、冶金等获奖不参与计分；各类技术创新QC成果及技术应用、科学进步、工法、安全文明、绿色施工、结构等奖项均不计分。同一项目以获得的最高奖项计算得分，不得重复计分；获奖时间以证书中载明的时间为准；不符合上述条件或未提供上述资料的不得分。</w:t>
      </w:r>
    </w:p>
    <w:p w14:paraId="4A9CF781">
      <w:pPr>
        <w:adjustRightInd w:val="0"/>
        <w:snapToGrid w:val="0"/>
        <w:spacing w:line="360" w:lineRule="auto"/>
        <w:rPr>
          <w:rFonts w:hint="eastAsia" w:ascii="宋体" w:hAnsi="宋体" w:cs="宋体"/>
          <w:color w:val="000000"/>
          <w:sz w:val="20"/>
          <w:szCs w:val="20"/>
          <w:highlight w:val="none"/>
        </w:rPr>
      </w:pPr>
      <w:r>
        <w:rPr>
          <w:rFonts w:hint="eastAsia" w:ascii="宋体" w:hAnsi="宋体" w:cs="宋体"/>
          <w:color w:val="000000"/>
          <w:sz w:val="20"/>
          <w:szCs w:val="20"/>
          <w:highlight w:val="none"/>
        </w:rPr>
        <w:t>（5）同一工程项目获得多个奖项的，只计算其符合要求的最高奖项得分，不重复计分。</w:t>
      </w:r>
    </w:p>
    <w:p w14:paraId="27F47B96">
      <w:pPr>
        <w:adjustRightInd w:val="0"/>
        <w:snapToGrid w:val="0"/>
        <w:spacing w:line="360" w:lineRule="auto"/>
        <w:rPr>
          <w:rFonts w:hint="eastAsia" w:ascii="宋体" w:hAnsi="宋体" w:cs="宋体"/>
          <w:color w:val="000000"/>
          <w:sz w:val="20"/>
          <w:szCs w:val="20"/>
          <w:highlight w:val="none"/>
        </w:rPr>
      </w:pPr>
      <w:r>
        <w:rPr>
          <w:rFonts w:cs="宋体"/>
          <w:b/>
          <w:bCs/>
          <w:color w:val="000000"/>
          <w:sz w:val="20"/>
          <w:szCs w:val="20"/>
          <w:highlight w:val="none"/>
        </w:rPr>
        <w:t>3.</w:t>
      </w:r>
      <w:r>
        <w:rPr>
          <w:rFonts w:hint="eastAsia" w:ascii="宋体" w:hAnsi="宋体" w:cs="宋体"/>
          <w:b/>
          <w:bCs/>
          <w:color w:val="000000"/>
          <w:sz w:val="20"/>
          <w:szCs w:val="20"/>
          <w:highlight w:val="none"/>
        </w:rPr>
        <w:t xml:space="preserve"> 第三方评价：</w:t>
      </w:r>
      <w:r>
        <w:rPr>
          <w:rFonts w:hint="eastAsia" w:ascii="宋体" w:hAnsi="宋体" w:cs="宋体"/>
          <w:color w:val="000000"/>
          <w:sz w:val="20"/>
          <w:szCs w:val="20"/>
          <w:highlight w:val="none"/>
        </w:rPr>
        <w:t>投标人须提供有效期内的认证证书原件扫描件加盖投标人电子印章，所提供认证证书需在国家认证认可监督管理委员会网站（http://www.cnca.gov.cn）能查询到相应认证结果并提供相应查询截图。不符合上述条件或未提供上述资料或无加盖投标人电子印章的不得分。</w:t>
      </w:r>
    </w:p>
    <w:p w14:paraId="42FF34D8">
      <w:pPr>
        <w:adjustRightInd w:val="0"/>
        <w:snapToGrid w:val="0"/>
        <w:spacing w:line="360" w:lineRule="auto"/>
        <w:rPr>
          <w:rFonts w:hint="eastAsia" w:ascii="宋体" w:hAnsi="宋体" w:cs="宋体"/>
          <w:color w:val="000000"/>
          <w:sz w:val="20"/>
          <w:szCs w:val="20"/>
          <w:highlight w:val="none"/>
        </w:rPr>
      </w:pPr>
      <w:r>
        <w:rPr>
          <w:rFonts w:ascii="宋体" w:hAnsi="宋体" w:cs="宋体"/>
          <w:b/>
          <w:bCs/>
          <w:color w:val="000000"/>
          <w:sz w:val="20"/>
          <w:szCs w:val="20"/>
          <w:highlight w:val="none"/>
        </w:rPr>
        <w:t>4.</w:t>
      </w:r>
      <w:r>
        <w:rPr>
          <w:rFonts w:hint="eastAsia" w:ascii="宋体" w:hAnsi="宋体" w:cs="宋体"/>
          <w:b/>
          <w:bCs/>
          <w:color w:val="000000"/>
          <w:sz w:val="20"/>
          <w:szCs w:val="20"/>
          <w:highlight w:val="none"/>
        </w:rPr>
        <w:t>项目管理机构：</w:t>
      </w:r>
      <w:r>
        <w:rPr>
          <w:rFonts w:hint="eastAsia" w:ascii="宋体" w:hAnsi="宋体" w:cs="宋体"/>
          <w:color w:val="000000"/>
          <w:sz w:val="20"/>
          <w:szCs w:val="20"/>
          <w:highlight w:val="none"/>
        </w:rPr>
        <w:t>（1）</w:t>
      </w:r>
      <w:r>
        <w:rPr>
          <w:rFonts w:ascii="宋体" w:hAnsi="宋体" w:cs="宋体"/>
          <w:color w:val="000000"/>
          <w:sz w:val="20"/>
          <w:szCs w:val="20"/>
          <w:highlight w:val="none"/>
        </w:rPr>
        <w:t>人员岗位不能互相兼任。</w:t>
      </w:r>
      <w:r>
        <w:rPr>
          <w:rFonts w:hint="eastAsia" w:ascii="宋体" w:hAnsi="宋体" w:cs="宋体"/>
          <w:color w:val="000000"/>
          <w:sz w:val="20"/>
          <w:szCs w:val="20"/>
          <w:highlight w:val="none"/>
        </w:rPr>
        <w:t>拟派的所有人员须提供相关证明资料和近一个月（</w:t>
      </w:r>
      <w:r>
        <w:rPr>
          <w:rFonts w:hint="eastAsia" w:ascii="宋体" w:hAnsi="宋体" w:cs="宋体"/>
          <w:b/>
          <w:bCs/>
          <w:color w:val="000000"/>
          <w:sz w:val="20"/>
          <w:szCs w:val="20"/>
          <w:highlight w:val="none"/>
        </w:rPr>
        <w:t>202</w:t>
      </w:r>
      <w:r>
        <w:rPr>
          <w:rFonts w:ascii="宋体" w:hAnsi="宋体" w:cs="宋体"/>
          <w:b/>
          <w:bCs/>
          <w:color w:val="000000"/>
          <w:sz w:val="20"/>
          <w:szCs w:val="20"/>
          <w:highlight w:val="none"/>
        </w:rPr>
        <w:t>5</w:t>
      </w:r>
      <w:r>
        <w:rPr>
          <w:rFonts w:hint="eastAsia" w:ascii="宋体" w:hAnsi="宋体" w:cs="宋体"/>
          <w:b/>
          <w:bCs/>
          <w:color w:val="000000"/>
          <w:sz w:val="20"/>
          <w:szCs w:val="20"/>
          <w:highlight w:val="none"/>
        </w:rPr>
        <w:t>年8月</w:t>
      </w:r>
      <w:r>
        <w:rPr>
          <w:rFonts w:hint="eastAsia" w:ascii="宋体" w:hAnsi="宋体" w:cs="宋体"/>
          <w:color w:val="000000"/>
          <w:sz w:val="20"/>
          <w:szCs w:val="20"/>
          <w:highlight w:val="none"/>
        </w:rPr>
        <w:t>）在投标单位（不含子公司</w:t>
      </w:r>
      <w:r>
        <w:rPr>
          <w:rFonts w:ascii="宋体" w:hAnsi="宋体" w:cs="宋体"/>
          <w:color w:val="000000"/>
          <w:sz w:val="20"/>
          <w:szCs w:val="20"/>
          <w:highlight w:val="none"/>
        </w:rPr>
        <w:t>，</w:t>
      </w:r>
      <w:r>
        <w:rPr>
          <w:rFonts w:hint="eastAsia" w:ascii="宋体" w:hAnsi="宋体" w:cs="宋体"/>
          <w:color w:val="000000"/>
          <w:sz w:val="20"/>
          <w:szCs w:val="20"/>
          <w:highlight w:val="none"/>
        </w:rPr>
        <w:t>含分公司）缴纳社保的证明材料扫描件并加盖投标人企业电子印章。</w:t>
      </w:r>
      <w:r>
        <w:rPr>
          <w:rFonts w:hint="eastAsia" w:ascii="宋体" w:hAnsi="宋体" w:cs="宋体"/>
          <w:b/>
          <w:bCs/>
          <w:color w:val="000000"/>
          <w:sz w:val="20"/>
          <w:szCs w:val="20"/>
          <w:highlight w:val="none"/>
        </w:rPr>
        <w:t>工作经验以取得高级工程师职称证的年限即发证时间（生效时间）开始计算，如取得正高级技术职称的，则以副高级职称日期开始计算</w:t>
      </w:r>
      <w:r>
        <w:rPr>
          <w:rFonts w:ascii="宋体" w:hAnsi="宋体" w:cs="宋体"/>
          <w:b/>
          <w:bCs/>
          <w:color w:val="000000"/>
          <w:sz w:val="20"/>
          <w:szCs w:val="20"/>
          <w:highlight w:val="none"/>
        </w:rPr>
        <w:t>。</w:t>
      </w:r>
      <w:r>
        <w:rPr>
          <w:rFonts w:hint="eastAsia" w:ascii="宋体" w:hAnsi="宋体" w:cs="宋体"/>
          <w:b/>
          <w:bCs/>
          <w:color w:val="000000"/>
          <w:sz w:val="20"/>
          <w:szCs w:val="20"/>
          <w:highlight w:val="none"/>
        </w:rPr>
        <w:t>人员职称按最高级别计算得分。</w:t>
      </w:r>
      <w:r>
        <w:rPr>
          <w:rFonts w:hint="eastAsia" w:ascii="宋体" w:hAnsi="宋体" w:cs="宋体"/>
          <w:bCs/>
          <w:color w:val="000000"/>
          <w:kern w:val="0"/>
          <w:sz w:val="20"/>
          <w:szCs w:val="20"/>
          <w:highlight w:val="none"/>
        </w:rPr>
        <w:t>按照《造价工程师职业资格制度规定》的规定，根据原人事部、原建设部发布的《造价工程师执业资格制度暂行规定》（人发〔1996〕77号）取得的造价工程师执业资格，并经注册且在有效期内的，等同于一级注册造价工程师。</w:t>
      </w:r>
      <w:r>
        <w:rPr>
          <w:rFonts w:hint="eastAsia" w:ascii="宋体" w:hAnsi="宋体" w:cs="宋体"/>
          <w:color w:val="000000"/>
          <w:sz w:val="20"/>
          <w:szCs w:val="20"/>
          <w:highlight w:val="none"/>
        </w:rPr>
        <w:t>未提供或所提供的证明资料不符合要求的，则该评分节点不予评审。</w:t>
      </w:r>
    </w:p>
    <w:p w14:paraId="5FECD862">
      <w:pPr>
        <w:adjustRightInd w:val="0"/>
        <w:snapToGrid w:val="0"/>
        <w:spacing w:line="360" w:lineRule="auto"/>
        <w:rPr>
          <w:rFonts w:hint="eastAsia" w:ascii="宋体" w:hAnsi="宋体" w:cs="宋体"/>
          <w:color w:val="000000"/>
          <w:sz w:val="20"/>
          <w:szCs w:val="20"/>
          <w:highlight w:val="none"/>
        </w:rPr>
      </w:pPr>
      <w:r>
        <w:rPr>
          <w:rFonts w:hint="eastAsia" w:ascii="宋体" w:hAnsi="宋体" w:cs="宋体"/>
          <w:color w:val="000000"/>
          <w:sz w:val="20"/>
          <w:szCs w:val="20"/>
          <w:highlight w:val="none"/>
        </w:rPr>
        <w:t>（2）职称证书以人社部门核发为准，若不是人社部门核发的职称证书，投标人应同时提供人社部门委托核发机构开展职称评审工作的证明文件或其他可由该机构核发的政策文件依据，或在“全国人力资源和社会保障政务服务平台”中查询的信息记录网页及截图，否则，对该职称证书不予认可。</w:t>
      </w:r>
    </w:p>
    <w:p w14:paraId="4929F67B">
      <w:pPr>
        <w:adjustRightInd w:val="0"/>
        <w:snapToGrid w:val="0"/>
        <w:spacing w:line="360" w:lineRule="auto"/>
        <w:rPr>
          <w:rFonts w:hint="eastAsia" w:ascii="宋体" w:hAnsi="宋体" w:cs="宋体"/>
          <w:color w:val="000000"/>
          <w:sz w:val="20"/>
          <w:szCs w:val="20"/>
          <w:highlight w:val="none"/>
        </w:rPr>
      </w:pPr>
      <w:r>
        <w:rPr>
          <w:rFonts w:hint="eastAsia" w:ascii="宋体" w:hAnsi="宋体" w:cs="宋体"/>
          <w:color w:val="000000"/>
          <w:sz w:val="20"/>
          <w:szCs w:val="20"/>
          <w:highlight w:val="none"/>
        </w:rPr>
        <w:t>（3）</w:t>
      </w:r>
      <w:r>
        <w:rPr>
          <w:rFonts w:hint="eastAsia" w:ascii="宋体" w:hAnsi="宋体" w:cs="宋体"/>
          <w:bCs/>
          <w:color w:val="000000"/>
          <w:kern w:val="0"/>
          <w:sz w:val="20"/>
          <w:szCs w:val="20"/>
          <w:highlight w:val="none"/>
        </w:rPr>
        <w:t>按照《造价工程师职业资格制度规定》的规定，根据原人事部、原建设部发布的《造价工程师执业资格制度暂行规定》（人发〔1996〕77号）取得的造价工程师执业资格，并经注册且在有效期内的，等同于一级注册造价工程师。</w:t>
      </w:r>
    </w:p>
    <w:p w14:paraId="2D97BDD2">
      <w:pPr>
        <w:adjustRightInd w:val="0"/>
        <w:snapToGrid w:val="0"/>
        <w:spacing w:line="360" w:lineRule="auto"/>
        <w:rPr>
          <w:color w:val="000000"/>
          <w:highlight w:val="none"/>
        </w:rPr>
      </w:pPr>
      <w:r>
        <w:rPr>
          <w:rFonts w:hint="eastAsia" w:ascii="宋体" w:hAnsi="宋体" w:cs="宋体"/>
          <w:color w:val="000000"/>
          <w:sz w:val="20"/>
          <w:szCs w:val="20"/>
          <w:highlight w:val="none"/>
        </w:rPr>
        <w:t>（4）人员业绩取自广州市住建行业信用管理平台。评审方法参考类似业绩评审方法，姓名及岗位通过平台内的相关文件证明。</w:t>
      </w:r>
    </w:p>
    <w:p w14:paraId="319B611E">
      <w:pPr>
        <w:adjustRightInd w:val="0"/>
        <w:snapToGrid w:val="0"/>
        <w:spacing w:line="360" w:lineRule="auto"/>
        <w:rPr>
          <w:color w:val="000000"/>
          <w:highlight w:val="none"/>
        </w:rPr>
      </w:pPr>
      <w:r>
        <w:rPr>
          <w:rFonts w:ascii="宋体" w:hAnsi="宋体" w:cs="宋体"/>
          <w:color w:val="000000"/>
          <w:sz w:val="20"/>
          <w:szCs w:val="20"/>
          <w:highlight w:val="none"/>
        </w:rPr>
        <w:t>6.</w:t>
      </w:r>
      <w:r>
        <w:rPr>
          <w:rFonts w:hint="eastAsia" w:ascii="宋体" w:hAnsi="宋体" w:cs="宋体"/>
          <w:color w:val="000000"/>
          <w:sz w:val="20"/>
          <w:szCs w:val="20"/>
          <w:highlight w:val="none"/>
        </w:rPr>
        <w:t>所有评委评分的算术平均值为投标人的最终得分。分数出现小数点，保留小数点后二位小数，第三位小数四舍五入。</w:t>
      </w:r>
    </w:p>
    <w:p w14:paraId="3530D65A">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 xml:space="preserve">评委签名：                     日期：  </w:t>
      </w:r>
      <w:r>
        <w:rPr>
          <w:rFonts w:hint="eastAsia"/>
          <w:color w:val="000000"/>
          <w:highlight w:val="none"/>
        </w:rPr>
        <w:tab/>
      </w:r>
      <w:r>
        <w:rPr>
          <w:rFonts w:hint="eastAsia" w:ascii="宋体" w:hAnsi="宋体" w:cs="宋体"/>
          <w:color w:val="000000"/>
          <w:szCs w:val="21"/>
          <w:highlight w:val="none"/>
        </w:rPr>
        <w:t xml:space="preserve"> </w:t>
      </w:r>
    </w:p>
    <w:p w14:paraId="07E29280">
      <w:pPr>
        <w:jc w:val="center"/>
        <w:rPr>
          <w:b/>
          <w:color w:val="000000"/>
          <w:sz w:val="28"/>
          <w:szCs w:val="28"/>
          <w:highlight w:val="none"/>
        </w:rPr>
      </w:pPr>
      <w:r>
        <w:rPr>
          <w:rFonts w:hint="eastAsia" w:ascii="宋体" w:hAnsi="宋体" w:cs="宋体"/>
          <w:color w:val="000000"/>
          <w:szCs w:val="21"/>
          <w:highlight w:val="none"/>
        </w:rPr>
        <w:br w:type="page"/>
      </w:r>
      <w:r>
        <w:rPr>
          <w:rFonts w:hint="eastAsia"/>
          <w:b/>
          <w:color w:val="000000"/>
          <w:sz w:val="28"/>
          <w:szCs w:val="28"/>
          <w:highlight w:val="none"/>
        </w:rPr>
        <w:t>《项目管理部组成人员配备基本要求表》</w:t>
      </w:r>
    </w:p>
    <w:tbl>
      <w:tblPr>
        <w:tblStyle w:val="16"/>
        <w:tblW w:w="15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025"/>
        <w:gridCol w:w="700"/>
        <w:gridCol w:w="6420"/>
        <w:gridCol w:w="5885"/>
      </w:tblGrid>
      <w:tr w14:paraId="642C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98" w:type="dxa"/>
            <w:tcBorders>
              <w:top w:val="single" w:color="auto" w:sz="4" w:space="0"/>
              <w:left w:val="single" w:color="auto" w:sz="4" w:space="0"/>
              <w:bottom w:val="single" w:color="auto" w:sz="4" w:space="0"/>
              <w:right w:val="single" w:color="auto" w:sz="4" w:space="0"/>
            </w:tcBorders>
            <w:vAlign w:val="center"/>
          </w:tcPr>
          <w:p w14:paraId="14C05721">
            <w:pPr>
              <w:ind w:left="-56" w:leftChars="-27" w:right="-46" w:rightChars="-22"/>
              <w:jc w:val="center"/>
              <w:rPr>
                <w:b/>
                <w:color w:val="000000"/>
                <w:highlight w:val="none"/>
              </w:rPr>
            </w:pPr>
            <w:r>
              <w:rPr>
                <w:rFonts w:hint="eastAsia"/>
                <w:b/>
                <w:color w:val="000000"/>
                <w:highlight w:val="none"/>
              </w:rPr>
              <w:t>序号</w:t>
            </w:r>
          </w:p>
        </w:tc>
        <w:tc>
          <w:tcPr>
            <w:tcW w:w="2025" w:type="dxa"/>
            <w:tcBorders>
              <w:top w:val="single" w:color="auto" w:sz="4" w:space="0"/>
              <w:left w:val="single" w:color="auto" w:sz="4" w:space="0"/>
              <w:bottom w:val="single" w:color="auto" w:sz="4" w:space="0"/>
              <w:right w:val="single" w:color="auto" w:sz="4" w:space="0"/>
            </w:tcBorders>
            <w:vAlign w:val="center"/>
          </w:tcPr>
          <w:p w14:paraId="414C436B">
            <w:pPr>
              <w:ind w:left="-56" w:leftChars="-27" w:right="-46" w:rightChars="-22"/>
              <w:jc w:val="center"/>
              <w:rPr>
                <w:b/>
                <w:bCs/>
                <w:color w:val="000000"/>
                <w:highlight w:val="none"/>
              </w:rPr>
            </w:pPr>
            <w:r>
              <w:rPr>
                <w:rFonts w:hint="eastAsia"/>
                <w:b/>
                <w:color w:val="000000"/>
                <w:highlight w:val="none"/>
              </w:rPr>
              <w:t>类别</w:t>
            </w:r>
          </w:p>
        </w:tc>
        <w:tc>
          <w:tcPr>
            <w:tcW w:w="700" w:type="dxa"/>
            <w:tcBorders>
              <w:top w:val="single" w:color="auto" w:sz="4" w:space="0"/>
              <w:left w:val="single" w:color="auto" w:sz="4" w:space="0"/>
              <w:bottom w:val="single" w:color="auto" w:sz="4" w:space="0"/>
              <w:right w:val="single" w:color="auto" w:sz="4" w:space="0"/>
            </w:tcBorders>
            <w:vAlign w:val="center"/>
          </w:tcPr>
          <w:p w14:paraId="7869FC97">
            <w:pPr>
              <w:ind w:left="-56" w:leftChars="-27" w:right="-46" w:rightChars="-22"/>
              <w:jc w:val="center"/>
              <w:rPr>
                <w:b/>
                <w:bCs/>
                <w:color w:val="000000"/>
                <w:highlight w:val="none"/>
              </w:rPr>
            </w:pPr>
            <w:r>
              <w:rPr>
                <w:rFonts w:hint="eastAsia"/>
                <w:b/>
                <w:color w:val="000000"/>
                <w:highlight w:val="none"/>
              </w:rPr>
              <w:t>数量</w:t>
            </w:r>
          </w:p>
        </w:tc>
        <w:tc>
          <w:tcPr>
            <w:tcW w:w="6420" w:type="dxa"/>
            <w:tcBorders>
              <w:top w:val="single" w:color="auto" w:sz="4" w:space="0"/>
              <w:left w:val="single" w:color="auto" w:sz="4" w:space="0"/>
              <w:bottom w:val="single" w:color="auto" w:sz="4" w:space="0"/>
              <w:right w:val="single" w:color="auto" w:sz="4" w:space="0"/>
            </w:tcBorders>
            <w:vAlign w:val="center"/>
          </w:tcPr>
          <w:p w14:paraId="071E330F">
            <w:pPr>
              <w:ind w:left="-56" w:leftChars="-27" w:right="-46" w:rightChars="-22"/>
              <w:jc w:val="center"/>
              <w:rPr>
                <w:b/>
                <w:color w:val="000000"/>
                <w:highlight w:val="none"/>
              </w:rPr>
            </w:pPr>
            <w:r>
              <w:rPr>
                <w:rFonts w:hint="eastAsia"/>
                <w:b/>
                <w:color w:val="000000"/>
                <w:highlight w:val="none"/>
              </w:rPr>
              <w:t>基本任职条件</w:t>
            </w:r>
          </w:p>
        </w:tc>
        <w:tc>
          <w:tcPr>
            <w:tcW w:w="5885" w:type="dxa"/>
            <w:tcBorders>
              <w:top w:val="single" w:color="auto" w:sz="4" w:space="0"/>
              <w:left w:val="single" w:color="auto" w:sz="4" w:space="0"/>
              <w:bottom w:val="single" w:color="auto" w:sz="4" w:space="0"/>
              <w:right w:val="single" w:color="auto" w:sz="4" w:space="0"/>
            </w:tcBorders>
            <w:vAlign w:val="center"/>
          </w:tcPr>
          <w:p w14:paraId="37DA2FFB">
            <w:pPr>
              <w:ind w:left="-56" w:leftChars="-27" w:right="-46" w:rightChars="-22"/>
              <w:jc w:val="center"/>
              <w:rPr>
                <w:b/>
                <w:color w:val="000000"/>
                <w:highlight w:val="none"/>
              </w:rPr>
            </w:pPr>
            <w:r>
              <w:rPr>
                <w:rFonts w:hint="eastAsia"/>
                <w:b/>
                <w:color w:val="000000"/>
                <w:highlight w:val="none"/>
              </w:rPr>
              <w:t>提供资料</w:t>
            </w:r>
          </w:p>
        </w:tc>
      </w:tr>
      <w:tr w14:paraId="2A5C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637F201A">
            <w:pPr>
              <w:ind w:left="-56" w:leftChars="-27" w:right="-46" w:rightChars="-22"/>
              <w:jc w:val="center"/>
              <w:rPr>
                <w:color w:val="000000"/>
                <w:highlight w:val="none"/>
              </w:rPr>
            </w:pPr>
            <w:r>
              <w:rPr>
                <w:color w:val="000000"/>
                <w:highlight w:val="none"/>
              </w:rPr>
              <w:t>1</w:t>
            </w:r>
          </w:p>
        </w:tc>
        <w:tc>
          <w:tcPr>
            <w:tcW w:w="2025" w:type="dxa"/>
            <w:tcBorders>
              <w:top w:val="single" w:color="auto" w:sz="4" w:space="0"/>
              <w:left w:val="single" w:color="auto" w:sz="4" w:space="0"/>
              <w:bottom w:val="single" w:color="auto" w:sz="4" w:space="0"/>
              <w:right w:val="single" w:color="auto" w:sz="4" w:space="0"/>
            </w:tcBorders>
            <w:vAlign w:val="center"/>
          </w:tcPr>
          <w:p w14:paraId="5C97B299">
            <w:pPr>
              <w:ind w:left="-56" w:leftChars="-27" w:right="-46" w:rightChars="-22"/>
              <w:jc w:val="center"/>
              <w:rPr>
                <w:color w:val="000000"/>
                <w:highlight w:val="none"/>
              </w:rPr>
            </w:pPr>
            <w:r>
              <w:rPr>
                <w:rFonts w:hint="eastAsia" w:ascii="宋体" w:hAnsi="宋体" w:cs="宋体"/>
                <w:color w:val="000000"/>
                <w:highlight w:val="none"/>
              </w:rPr>
              <w:t>项目负责人</w:t>
            </w:r>
          </w:p>
        </w:tc>
        <w:tc>
          <w:tcPr>
            <w:tcW w:w="700" w:type="dxa"/>
            <w:tcBorders>
              <w:top w:val="single" w:color="auto" w:sz="4" w:space="0"/>
              <w:left w:val="single" w:color="auto" w:sz="4" w:space="0"/>
              <w:bottom w:val="single" w:color="auto" w:sz="4" w:space="0"/>
              <w:right w:val="single" w:color="auto" w:sz="4" w:space="0"/>
            </w:tcBorders>
            <w:vAlign w:val="center"/>
          </w:tcPr>
          <w:p w14:paraId="395C8B01">
            <w:pPr>
              <w:ind w:left="-56" w:leftChars="-27" w:right="-46" w:rightChars="-22"/>
              <w:jc w:val="center"/>
              <w:rPr>
                <w:color w:val="000000"/>
                <w:highlight w:val="none"/>
              </w:rPr>
            </w:pPr>
            <w:r>
              <w:rPr>
                <w:rFonts w:hint="eastAsia" w:ascii="宋体" w:hAnsi="宋体" w:cs="宋体"/>
                <w:color w:val="000000"/>
                <w:highlight w:val="none"/>
              </w:rPr>
              <w:t>1</w:t>
            </w:r>
          </w:p>
        </w:tc>
        <w:tc>
          <w:tcPr>
            <w:tcW w:w="6420" w:type="dxa"/>
            <w:tcBorders>
              <w:top w:val="single" w:color="auto" w:sz="4" w:space="0"/>
              <w:left w:val="single" w:color="auto" w:sz="4" w:space="0"/>
              <w:bottom w:val="single" w:color="auto" w:sz="4" w:space="0"/>
              <w:right w:val="single" w:color="auto" w:sz="4" w:space="0"/>
            </w:tcBorders>
            <w:vAlign w:val="center"/>
          </w:tcPr>
          <w:p w14:paraId="745382F2">
            <w:pPr>
              <w:ind w:left="-56" w:leftChars="-27" w:right="-46" w:rightChars="-22"/>
              <w:rPr>
                <w:color w:val="000000"/>
                <w:highlight w:val="none"/>
              </w:rPr>
            </w:pPr>
            <w:r>
              <w:rPr>
                <w:rFonts w:hint="eastAsia" w:ascii="宋体" w:hAnsi="宋体" w:cs="宋体"/>
                <w:color w:val="000000"/>
                <w:highlight w:val="none"/>
              </w:rPr>
              <w:t>详见招标公告要求；</w:t>
            </w:r>
          </w:p>
        </w:tc>
        <w:tc>
          <w:tcPr>
            <w:tcW w:w="5885" w:type="dxa"/>
            <w:tcBorders>
              <w:top w:val="single" w:color="auto" w:sz="4" w:space="0"/>
              <w:left w:val="single" w:color="auto" w:sz="4" w:space="0"/>
              <w:bottom w:val="single" w:color="auto" w:sz="4" w:space="0"/>
              <w:right w:val="single" w:color="auto" w:sz="4" w:space="0"/>
            </w:tcBorders>
            <w:vAlign w:val="center"/>
          </w:tcPr>
          <w:p w14:paraId="5A70ECC6">
            <w:pPr>
              <w:ind w:left="-56" w:leftChars="-27" w:right="-46" w:rightChars="-22"/>
              <w:rPr>
                <w:color w:val="000000"/>
                <w:highlight w:val="none"/>
              </w:rPr>
            </w:pPr>
            <w:r>
              <w:rPr>
                <w:rFonts w:hint="eastAsia" w:ascii="宋体" w:hAnsi="宋体" w:cs="宋体"/>
                <w:color w:val="000000"/>
                <w:highlight w:val="none"/>
              </w:rPr>
              <w:t>按招标公告要求</w:t>
            </w:r>
          </w:p>
        </w:tc>
      </w:tr>
      <w:tr w14:paraId="279F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7C4A1175">
            <w:pPr>
              <w:ind w:left="-56" w:leftChars="-27" w:right="-46" w:rightChars="-22"/>
              <w:jc w:val="center"/>
              <w:rPr>
                <w:color w:val="000000"/>
                <w:highlight w:val="none"/>
              </w:rPr>
            </w:pPr>
            <w:r>
              <w:rPr>
                <w:color w:val="000000"/>
                <w:highlight w:val="none"/>
              </w:rPr>
              <w:t>2</w:t>
            </w:r>
          </w:p>
        </w:tc>
        <w:tc>
          <w:tcPr>
            <w:tcW w:w="2025" w:type="dxa"/>
            <w:tcBorders>
              <w:top w:val="single" w:color="auto" w:sz="4" w:space="0"/>
              <w:left w:val="single" w:color="auto" w:sz="4" w:space="0"/>
              <w:bottom w:val="single" w:color="auto" w:sz="4" w:space="0"/>
              <w:right w:val="single" w:color="auto" w:sz="4" w:space="0"/>
            </w:tcBorders>
            <w:vAlign w:val="center"/>
          </w:tcPr>
          <w:p w14:paraId="544FB4CF">
            <w:pPr>
              <w:ind w:left="-56" w:leftChars="-27" w:right="-46" w:rightChars="-22"/>
              <w:jc w:val="center"/>
              <w:rPr>
                <w:bCs/>
                <w:color w:val="000000"/>
                <w:spacing w:val="-2"/>
                <w:highlight w:val="none"/>
              </w:rPr>
            </w:pPr>
            <w:r>
              <w:rPr>
                <w:rFonts w:hint="eastAsia" w:ascii="宋体" w:hAnsi="宋体" w:cs="宋体"/>
                <w:bCs/>
                <w:color w:val="000000"/>
                <w:spacing w:val="-2"/>
                <w:highlight w:val="none"/>
              </w:rPr>
              <w:t>项目技术负责人</w:t>
            </w:r>
          </w:p>
        </w:tc>
        <w:tc>
          <w:tcPr>
            <w:tcW w:w="700" w:type="dxa"/>
            <w:tcBorders>
              <w:top w:val="single" w:color="auto" w:sz="4" w:space="0"/>
              <w:left w:val="single" w:color="auto" w:sz="4" w:space="0"/>
              <w:bottom w:val="single" w:color="auto" w:sz="4" w:space="0"/>
              <w:right w:val="single" w:color="auto" w:sz="4" w:space="0"/>
            </w:tcBorders>
            <w:vAlign w:val="center"/>
          </w:tcPr>
          <w:p w14:paraId="75425498">
            <w:pPr>
              <w:ind w:left="-56" w:leftChars="-27" w:right="-46" w:rightChars="-22"/>
              <w:jc w:val="center"/>
              <w:rPr>
                <w:color w:val="000000"/>
                <w:highlight w:val="none"/>
              </w:rPr>
            </w:pPr>
            <w:r>
              <w:rPr>
                <w:rFonts w:hint="eastAsia" w:ascii="宋体" w:hAnsi="宋体" w:cs="宋体"/>
                <w:color w:val="000000"/>
                <w:highlight w:val="none"/>
              </w:rPr>
              <w:t>1</w:t>
            </w:r>
          </w:p>
        </w:tc>
        <w:tc>
          <w:tcPr>
            <w:tcW w:w="6420" w:type="dxa"/>
            <w:tcBorders>
              <w:top w:val="single" w:color="auto" w:sz="4" w:space="0"/>
              <w:left w:val="single" w:color="auto" w:sz="4" w:space="0"/>
              <w:bottom w:val="single" w:color="auto" w:sz="4" w:space="0"/>
              <w:right w:val="single" w:color="auto" w:sz="4" w:space="0"/>
            </w:tcBorders>
            <w:vAlign w:val="center"/>
          </w:tcPr>
          <w:p w14:paraId="4B2C4328">
            <w:pPr>
              <w:ind w:left="-56" w:leftChars="-27" w:right="-46" w:rightChars="-22"/>
              <w:rPr>
                <w:color w:val="000000"/>
                <w:highlight w:val="none"/>
              </w:rPr>
            </w:pPr>
            <w:r>
              <w:rPr>
                <w:rFonts w:hint="eastAsia" w:ascii="宋体" w:hAnsi="宋体" w:cs="宋体"/>
                <w:color w:val="000000"/>
                <w:highlight w:val="none"/>
              </w:rPr>
              <w:t>详见招标公告要求；</w:t>
            </w:r>
          </w:p>
        </w:tc>
        <w:tc>
          <w:tcPr>
            <w:tcW w:w="5885" w:type="dxa"/>
            <w:tcBorders>
              <w:top w:val="single" w:color="auto" w:sz="4" w:space="0"/>
              <w:left w:val="single" w:color="auto" w:sz="4" w:space="0"/>
              <w:bottom w:val="single" w:color="auto" w:sz="4" w:space="0"/>
              <w:right w:val="single" w:color="auto" w:sz="4" w:space="0"/>
            </w:tcBorders>
            <w:vAlign w:val="center"/>
          </w:tcPr>
          <w:p w14:paraId="2F9D2555">
            <w:pPr>
              <w:ind w:left="-56" w:leftChars="-27" w:right="-46" w:rightChars="-22"/>
              <w:rPr>
                <w:color w:val="000000"/>
                <w:highlight w:val="none"/>
              </w:rPr>
            </w:pPr>
            <w:r>
              <w:rPr>
                <w:rFonts w:hint="eastAsia" w:ascii="宋体" w:hAnsi="宋体" w:cs="宋体"/>
                <w:color w:val="000000"/>
                <w:highlight w:val="none"/>
              </w:rPr>
              <w:t>按招标公告要求</w:t>
            </w:r>
          </w:p>
        </w:tc>
      </w:tr>
      <w:tr w14:paraId="0AE4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67282E65">
            <w:pPr>
              <w:ind w:left="-56" w:leftChars="-27" w:right="-46" w:rightChars="-22"/>
              <w:jc w:val="center"/>
              <w:rPr>
                <w:color w:val="000000"/>
                <w:highlight w:val="none"/>
              </w:rPr>
            </w:pPr>
            <w:r>
              <w:rPr>
                <w:rFonts w:hint="eastAsia"/>
                <w:color w:val="000000"/>
                <w:highlight w:val="none"/>
              </w:rPr>
              <w:t>3</w:t>
            </w:r>
          </w:p>
        </w:tc>
        <w:tc>
          <w:tcPr>
            <w:tcW w:w="2025" w:type="dxa"/>
            <w:tcBorders>
              <w:top w:val="single" w:color="auto" w:sz="4" w:space="0"/>
              <w:left w:val="single" w:color="auto" w:sz="4" w:space="0"/>
              <w:bottom w:val="single" w:color="auto" w:sz="4" w:space="0"/>
              <w:right w:val="single" w:color="auto" w:sz="4" w:space="0"/>
            </w:tcBorders>
            <w:vAlign w:val="center"/>
          </w:tcPr>
          <w:p w14:paraId="620C104C">
            <w:pPr>
              <w:ind w:left="-56" w:leftChars="-27" w:right="-46" w:rightChars="-22"/>
              <w:jc w:val="center"/>
              <w:rPr>
                <w:rFonts w:hint="eastAsia" w:ascii="宋体" w:hAnsi="宋体" w:cs="宋体"/>
                <w:bCs/>
                <w:color w:val="000000"/>
                <w:spacing w:val="-2"/>
                <w:highlight w:val="none"/>
              </w:rPr>
            </w:pPr>
            <w:r>
              <w:rPr>
                <w:rFonts w:hint="eastAsia" w:ascii="宋体" w:hAnsi="宋体" w:cs="宋体"/>
                <w:bCs/>
                <w:color w:val="000000"/>
                <w:spacing w:val="-2"/>
                <w:highlight w:val="none"/>
              </w:rPr>
              <w:t>质量负责人</w:t>
            </w:r>
          </w:p>
        </w:tc>
        <w:tc>
          <w:tcPr>
            <w:tcW w:w="700" w:type="dxa"/>
            <w:tcBorders>
              <w:top w:val="single" w:color="auto" w:sz="4" w:space="0"/>
              <w:left w:val="single" w:color="auto" w:sz="4" w:space="0"/>
              <w:bottom w:val="single" w:color="auto" w:sz="4" w:space="0"/>
              <w:right w:val="single" w:color="auto" w:sz="4" w:space="0"/>
            </w:tcBorders>
            <w:vAlign w:val="center"/>
          </w:tcPr>
          <w:p w14:paraId="66B7EEE4">
            <w:pPr>
              <w:ind w:left="-56" w:leftChars="-27" w:right="-46" w:rightChars="-22"/>
              <w:jc w:val="center"/>
              <w:rPr>
                <w:rFonts w:hint="eastAsia" w:ascii="宋体" w:hAnsi="宋体" w:cs="宋体"/>
                <w:color w:val="000000"/>
                <w:highlight w:val="none"/>
              </w:rPr>
            </w:pPr>
            <w:r>
              <w:rPr>
                <w:rFonts w:hint="eastAsia" w:ascii="宋体" w:hAnsi="宋体" w:cs="宋体"/>
                <w:color w:val="000000"/>
                <w:highlight w:val="none"/>
              </w:rPr>
              <w:t>1</w:t>
            </w:r>
          </w:p>
        </w:tc>
        <w:tc>
          <w:tcPr>
            <w:tcW w:w="6420" w:type="dxa"/>
            <w:tcBorders>
              <w:top w:val="single" w:color="auto" w:sz="4" w:space="0"/>
              <w:left w:val="single" w:color="auto" w:sz="4" w:space="0"/>
              <w:bottom w:val="single" w:color="auto" w:sz="4" w:space="0"/>
              <w:right w:val="single" w:color="auto" w:sz="4" w:space="0"/>
            </w:tcBorders>
            <w:vAlign w:val="center"/>
          </w:tcPr>
          <w:p w14:paraId="0A1D1BA1">
            <w:pPr>
              <w:ind w:left="-56" w:leftChars="-27" w:right="-46" w:rightChars="-22"/>
              <w:rPr>
                <w:rFonts w:hint="eastAsia" w:ascii="宋体" w:hAnsi="宋体" w:cs="宋体"/>
                <w:color w:val="000000"/>
                <w:highlight w:val="none"/>
              </w:rPr>
            </w:pPr>
            <w:r>
              <w:rPr>
                <w:rFonts w:hint="eastAsia" w:ascii="宋体" w:hAnsi="宋体" w:cs="宋体"/>
                <w:color w:val="000000"/>
                <w:highlight w:val="none"/>
              </w:rPr>
              <w:t>具有建筑施工类</w:t>
            </w:r>
            <w:r>
              <w:rPr>
                <w:rFonts w:hint="eastAsia" w:ascii="宋体" w:hAnsi="宋体"/>
                <w:color w:val="000000"/>
                <w:szCs w:val="21"/>
                <w:highlight w:val="none"/>
              </w:rPr>
              <w:t>专业</w:t>
            </w:r>
            <w:r>
              <w:rPr>
                <w:rFonts w:ascii="宋体" w:hAnsi="宋体"/>
                <w:color w:val="000000"/>
                <w:szCs w:val="21"/>
                <w:highlight w:val="none"/>
              </w:rPr>
              <w:t>中级</w:t>
            </w:r>
            <w:r>
              <w:rPr>
                <w:rFonts w:hint="eastAsia" w:ascii="宋体" w:hAnsi="宋体"/>
                <w:color w:val="000000"/>
                <w:szCs w:val="21"/>
                <w:highlight w:val="none"/>
              </w:rPr>
              <w:t>（或以上）技术职称；</w:t>
            </w:r>
          </w:p>
        </w:tc>
        <w:tc>
          <w:tcPr>
            <w:tcW w:w="5885" w:type="dxa"/>
            <w:tcBorders>
              <w:top w:val="single" w:color="auto" w:sz="4" w:space="0"/>
              <w:left w:val="single" w:color="auto" w:sz="4" w:space="0"/>
              <w:bottom w:val="single" w:color="auto" w:sz="4" w:space="0"/>
              <w:right w:val="single" w:color="auto" w:sz="4" w:space="0"/>
            </w:tcBorders>
            <w:vAlign w:val="center"/>
          </w:tcPr>
          <w:p w14:paraId="53AB1736">
            <w:pPr>
              <w:ind w:left="-56" w:leftChars="-27" w:right="-46" w:rightChars="-22"/>
              <w:rPr>
                <w:rFonts w:hint="eastAsia" w:ascii="宋体" w:hAnsi="宋体" w:cs="宋体"/>
                <w:color w:val="000000"/>
                <w:highlight w:val="none"/>
              </w:rPr>
            </w:pPr>
            <w:r>
              <w:rPr>
                <w:rFonts w:hint="eastAsia" w:ascii="宋体" w:hAnsi="宋体"/>
                <w:color w:val="000000"/>
                <w:szCs w:val="21"/>
                <w:highlight w:val="none"/>
              </w:rPr>
              <w:t>职称证书</w:t>
            </w:r>
          </w:p>
        </w:tc>
      </w:tr>
      <w:tr w14:paraId="03E2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582E86DC">
            <w:pPr>
              <w:ind w:left="-56" w:leftChars="-27" w:right="-46" w:rightChars="-22"/>
              <w:jc w:val="center"/>
              <w:rPr>
                <w:bCs/>
                <w:color w:val="000000"/>
                <w:kern w:val="44"/>
                <w:highlight w:val="none"/>
              </w:rPr>
            </w:pPr>
            <w:r>
              <w:rPr>
                <w:rFonts w:hint="eastAsia"/>
                <w:bCs/>
                <w:color w:val="000000"/>
                <w:kern w:val="44"/>
                <w:highlight w:val="none"/>
              </w:rPr>
              <w:t>4</w:t>
            </w:r>
          </w:p>
        </w:tc>
        <w:tc>
          <w:tcPr>
            <w:tcW w:w="2025" w:type="dxa"/>
            <w:tcBorders>
              <w:top w:val="single" w:color="auto" w:sz="4" w:space="0"/>
              <w:left w:val="single" w:color="auto" w:sz="4" w:space="0"/>
              <w:bottom w:val="single" w:color="auto" w:sz="4" w:space="0"/>
              <w:right w:val="single" w:color="auto" w:sz="4" w:space="0"/>
            </w:tcBorders>
            <w:vAlign w:val="center"/>
          </w:tcPr>
          <w:p w14:paraId="10A59A96">
            <w:pPr>
              <w:widowControl/>
              <w:spacing w:line="256" w:lineRule="exact"/>
              <w:ind w:left="-48" w:leftChars="-23"/>
              <w:jc w:val="center"/>
              <w:rPr>
                <w:bCs/>
                <w:color w:val="000000"/>
                <w:spacing w:val="-2"/>
                <w:highlight w:val="none"/>
              </w:rPr>
            </w:pPr>
            <w:r>
              <w:rPr>
                <w:rFonts w:hint="eastAsia" w:ascii="宋体" w:hAnsi="宋体" w:cs="宋体"/>
                <w:color w:val="000000"/>
                <w:kern w:val="0"/>
                <w:szCs w:val="21"/>
                <w:highlight w:val="none"/>
              </w:rPr>
              <w:t>安全负责人</w:t>
            </w:r>
          </w:p>
        </w:tc>
        <w:tc>
          <w:tcPr>
            <w:tcW w:w="700" w:type="dxa"/>
            <w:tcBorders>
              <w:top w:val="single" w:color="auto" w:sz="4" w:space="0"/>
              <w:left w:val="single" w:color="auto" w:sz="4" w:space="0"/>
              <w:bottom w:val="single" w:color="auto" w:sz="4" w:space="0"/>
              <w:right w:val="single" w:color="auto" w:sz="4" w:space="0"/>
            </w:tcBorders>
            <w:vAlign w:val="center"/>
          </w:tcPr>
          <w:p w14:paraId="783A2E63">
            <w:pPr>
              <w:widowControl/>
              <w:spacing w:line="256" w:lineRule="exact"/>
              <w:ind w:left="-44" w:leftChars="-21"/>
              <w:jc w:val="center"/>
              <w:rPr>
                <w:color w:val="000000"/>
                <w:highlight w:val="none"/>
              </w:rPr>
            </w:pPr>
            <w:r>
              <w:rPr>
                <w:rFonts w:hint="eastAsia" w:ascii="宋体" w:hAnsi="宋体" w:cs="宋体"/>
                <w:color w:val="000000"/>
                <w:kern w:val="0"/>
                <w:szCs w:val="21"/>
                <w:highlight w:val="none"/>
              </w:rPr>
              <w:t>1</w:t>
            </w:r>
          </w:p>
        </w:tc>
        <w:tc>
          <w:tcPr>
            <w:tcW w:w="6420" w:type="dxa"/>
            <w:tcBorders>
              <w:top w:val="single" w:color="auto" w:sz="4" w:space="0"/>
              <w:left w:val="single" w:color="auto" w:sz="4" w:space="0"/>
              <w:bottom w:val="single" w:color="auto" w:sz="4" w:space="0"/>
              <w:right w:val="single" w:color="auto" w:sz="4" w:space="0"/>
            </w:tcBorders>
            <w:vAlign w:val="center"/>
          </w:tcPr>
          <w:p w14:paraId="51B18139">
            <w:pPr>
              <w:ind w:left="-54" w:leftChars="-26" w:right="-65" w:rightChars="-31"/>
              <w:rPr>
                <w:color w:val="000000"/>
                <w:highlight w:val="none"/>
              </w:rPr>
            </w:pPr>
            <w:r>
              <w:rPr>
                <w:rFonts w:hint="eastAsia" w:ascii="宋体" w:hAnsi="宋体" w:cs="宋体"/>
                <w:color w:val="000000"/>
                <w:kern w:val="0"/>
                <w:szCs w:val="21"/>
                <w:highlight w:val="none"/>
              </w:rPr>
              <w:t>具有</w:t>
            </w:r>
            <w:r>
              <w:rPr>
                <w:rFonts w:hint="eastAsia" w:ascii="宋体" w:hAnsi="宋体"/>
                <w:color w:val="000000"/>
                <w:szCs w:val="21"/>
                <w:highlight w:val="none"/>
              </w:rPr>
              <w:t>“建筑施工安全”类别的注册安全工程师注册证书(有效期内)</w:t>
            </w:r>
          </w:p>
        </w:tc>
        <w:tc>
          <w:tcPr>
            <w:tcW w:w="5885" w:type="dxa"/>
            <w:tcBorders>
              <w:top w:val="single" w:color="auto" w:sz="4" w:space="0"/>
              <w:left w:val="single" w:color="auto" w:sz="4" w:space="0"/>
              <w:bottom w:val="single" w:color="auto" w:sz="4" w:space="0"/>
              <w:right w:val="single" w:color="auto" w:sz="4" w:space="0"/>
            </w:tcBorders>
            <w:vAlign w:val="center"/>
          </w:tcPr>
          <w:p w14:paraId="2D8141DE">
            <w:pPr>
              <w:ind w:left="-54" w:leftChars="-26" w:right="-65" w:rightChars="-31"/>
              <w:rPr>
                <w:color w:val="000000"/>
                <w:highlight w:val="none"/>
              </w:rPr>
            </w:pPr>
            <w:r>
              <w:rPr>
                <w:rFonts w:ascii="宋体" w:hAnsi="宋体" w:cs="宋体"/>
                <w:color w:val="000000"/>
                <w:kern w:val="0"/>
                <w:szCs w:val="21"/>
                <w:highlight w:val="none"/>
              </w:rPr>
              <w:t>同时</w:t>
            </w:r>
            <w:r>
              <w:rPr>
                <w:rFonts w:hint="eastAsia" w:ascii="宋体" w:hAnsi="宋体" w:cs="宋体"/>
                <w:color w:val="000000"/>
                <w:kern w:val="0"/>
                <w:szCs w:val="21"/>
                <w:highlight w:val="none"/>
              </w:rPr>
              <w:t>提供注册安全工程师注册证</w:t>
            </w:r>
            <w:r>
              <w:rPr>
                <w:rFonts w:ascii="宋体" w:hAnsi="宋体" w:cs="宋体"/>
                <w:color w:val="000000"/>
                <w:kern w:val="0"/>
                <w:szCs w:val="21"/>
                <w:highlight w:val="none"/>
              </w:rPr>
              <w:t>，以及</w:t>
            </w:r>
            <w:r>
              <w:rPr>
                <w:rFonts w:hint="eastAsia" w:ascii="宋体" w:hAnsi="宋体" w:cs="宋体"/>
                <w:color w:val="000000"/>
                <w:kern w:val="0"/>
                <w:szCs w:val="21"/>
                <w:highlight w:val="none"/>
              </w:rPr>
              <w:t>注册安全工程师注册管理系统（http://rmocse.chinasafety.ac.cn）</w:t>
            </w:r>
            <w:r>
              <w:rPr>
                <w:rFonts w:ascii="宋体" w:hAnsi="宋体" w:cs="宋体"/>
                <w:color w:val="000000"/>
                <w:kern w:val="0"/>
                <w:szCs w:val="21"/>
                <w:highlight w:val="none"/>
              </w:rPr>
              <w:t>或</w:t>
            </w:r>
            <w:r>
              <w:rPr>
                <w:rFonts w:hint="eastAsia" w:ascii="宋体" w:hAnsi="宋体" w:cs="宋体"/>
                <w:color w:val="000000"/>
                <w:kern w:val="0"/>
                <w:szCs w:val="21"/>
                <w:highlight w:val="none"/>
              </w:rPr>
              <w:t>应急管理部中级注册安全工程师注册信息（https://zwfw.mem.gov.cn/zwthlw/pages/hlwmh/yyfw/zcaqgcscx/index.html）”查询结果截图</w:t>
            </w:r>
          </w:p>
        </w:tc>
      </w:tr>
      <w:tr w14:paraId="1D68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98" w:type="dxa"/>
            <w:tcBorders>
              <w:top w:val="single" w:color="auto" w:sz="4" w:space="0"/>
              <w:left w:val="single" w:color="auto" w:sz="4" w:space="0"/>
              <w:right w:val="single" w:color="auto" w:sz="4" w:space="0"/>
            </w:tcBorders>
            <w:vAlign w:val="center"/>
          </w:tcPr>
          <w:p w14:paraId="0D474052">
            <w:pPr>
              <w:ind w:left="-56" w:leftChars="-27" w:right="-46" w:rightChars="-22"/>
              <w:jc w:val="center"/>
              <w:rPr>
                <w:bCs/>
                <w:color w:val="000000"/>
                <w:highlight w:val="none"/>
              </w:rPr>
            </w:pPr>
            <w:r>
              <w:rPr>
                <w:rFonts w:hint="eastAsia"/>
                <w:bCs/>
                <w:color w:val="000000"/>
                <w:kern w:val="44"/>
                <w:highlight w:val="none"/>
              </w:rPr>
              <w:t>5</w:t>
            </w:r>
          </w:p>
        </w:tc>
        <w:tc>
          <w:tcPr>
            <w:tcW w:w="2025" w:type="dxa"/>
            <w:tcBorders>
              <w:top w:val="single" w:color="auto" w:sz="4" w:space="0"/>
              <w:left w:val="single" w:color="auto" w:sz="4" w:space="0"/>
              <w:right w:val="single" w:color="auto" w:sz="4" w:space="0"/>
            </w:tcBorders>
            <w:vAlign w:val="center"/>
          </w:tcPr>
          <w:p w14:paraId="1AE19B3B">
            <w:pPr>
              <w:ind w:left="-54" w:leftChars="-26" w:right="-65" w:rightChars="-31"/>
              <w:jc w:val="center"/>
              <w:rPr>
                <w:rFonts w:hint="eastAsia" w:ascii="宋体" w:hAnsi="宋体" w:cs="宋体"/>
                <w:bCs/>
                <w:color w:val="000000"/>
                <w:kern w:val="44"/>
                <w:szCs w:val="21"/>
                <w:highlight w:val="none"/>
              </w:rPr>
            </w:pPr>
            <w:r>
              <w:rPr>
                <w:rFonts w:hint="eastAsia" w:ascii="宋体" w:hAnsi="宋体"/>
                <w:bCs/>
                <w:color w:val="000000"/>
                <w:szCs w:val="21"/>
                <w:highlight w:val="none"/>
              </w:rPr>
              <w:t>造价负责人</w:t>
            </w:r>
          </w:p>
        </w:tc>
        <w:tc>
          <w:tcPr>
            <w:tcW w:w="700" w:type="dxa"/>
            <w:tcBorders>
              <w:top w:val="single" w:color="auto" w:sz="4" w:space="0"/>
              <w:left w:val="single" w:color="auto" w:sz="4" w:space="0"/>
              <w:right w:val="single" w:color="auto" w:sz="4" w:space="0"/>
            </w:tcBorders>
            <w:vAlign w:val="center"/>
          </w:tcPr>
          <w:p w14:paraId="17061DBF">
            <w:pPr>
              <w:ind w:left="-54" w:leftChars="-26" w:right="-65" w:rightChars="-31"/>
              <w:jc w:val="center"/>
              <w:rPr>
                <w:rFonts w:hint="eastAsia" w:ascii="宋体" w:hAnsi="宋体" w:cs="宋体"/>
                <w:color w:val="000000"/>
                <w:kern w:val="0"/>
                <w:szCs w:val="21"/>
                <w:highlight w:val="none"/>
              </w:rPr>
            </w:pPr>
            <w:r>
              <w:rPr>
                <w:rFonts w:hint="eastAsia" w:ascii="宋体" w:hAnsi="宋体"/>
                <w:bCs/>
                <w:color w:val="000000"/>
                <w:szCs w:val="21"/>
                <w:highlight w:val="none"/>
              </w:rPr>
              <w:t>1</w:t>
            </w:r>
          </w:p>
        </w:tc>
        <w:tc>
          <w:tcPr>
            <w:tcW w:w="6420" w:type="dxa"/>
            <w:tcBorders>
              <w:top w:val="single" w:color="auto" w:sz="4" w:space="0"/>
              <w:left w:val="single" w:color="auto" w:sz="4" w:space="0"/>
              <w:bottom w:val="single" w:color="auto" w:sz="4" w:space="0"/>
              <w:right w:val="single" w:color="auto" w:sz="4" w:space="0"/>
            </w:tcBorders>
            <w:vAlign w:val="center"/>
          </w:tcPr>
          <w:p w14:paraId="3412C8EB">
            <w:pPr>
              <w:ind w:left="-54" w:leftChars="-26" w:right="-65" w:rightChars="-31"/>
              <w:rPr>
                <w:rFonts w:hint="eastAsia" w:ascii="宋体" w:hAnsi="宋体" w:cs="宋体"/>
                <w:color w:val="000000"/>
                <w:kern w:val="0"/>
                <w:szCs w:val="21"/>
                <w:highlight w:val="none"/>
              </w:rPr>
            </w:pPr>
            <w:r>
              <w:rPr>
                <w:rFonts w:hint="eastAsia" w:ascii="宋体" w:hAnsi="宋体" w:cs="宋体"/>
                <w:color w:val="000000"/>
                <w:kern w:val="0"/>
                <w:szCs w:val="21"/>
                <w:highlight w:val="none"/>
              </w:rPr>
              <w:t>具有有效期内的“土建”专业一级造价工程师注册证书</w:t>
            </w:r>
          </w:p>
        </w:tc>
        <w:tc>
          <w:tcPr>
            <w:tcW w:w="5885" w:type="dxa"/>
            <w:tcBorders>
              <w:top w:val="single" w:color="auto" w:sz="4" w:space="0"/>
              <w:left w:val="single" w:color="auto" w:sz="4" w:space="0"/>
              <w:right w:val="single" w:color="auto" w:sz="4" w:space="0"/>
            </w:tcBorders>
            <w:vAlign w:val="center"/>
          </w:tcPr>
          <w:p w14:paraId="2FCFD919">
            <w:pPr>
              <w:ind w:left="-54" w:leftChars="-26" w:right="-65" w:rightChars="-31"/>
              <w:rPr>
                <w:rFonts w:hint="eastAsia" w:ascii="宋体" w:hAnsi="宋体"/>
                <w:color w:val="000000"/>
                <w:szCs w:val="21"/>
                <w:highlight w:val="none"/>
              </w:rPr>
            </w:pPr>
            <w:r>
              <w:rPr>
                <w:rFonts w:ascii="宋体" w:hAnsi="宋体"/>
                <w:color w:val="000000"/>
                <w:szCs w:val="21"/>
                <w:highlight w:val="none"/>
              </w:rPr>
              <w:t>同时</w:t>
            </w:r>
            <w:r>
              <w:rPr>
                <w:rFonts w:hint="eastAsia" w:ascii="宋体" w:hAnsi="宋体"/>
                <w:color w:val="000000"/>
                <w:szCs w:val="21"/>
                <w:highlight w:val="none"/>
              </w:rPr>
              <w:t>提供造价工程师注册证书、“全国建筑市场监管公共服务平台（http://jzsc.mohurd.gov.cn）”查询结果截图</w:t>
            </w:r>
          </w:p>
        </w:tc>
      </w:tr>
      <w:tr w14:paraId="0A34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98" w:type="dxa"/>
            <w:tcBorders>
              <w:top w:val="single" w:color="auto" w:sz="4" w:space="0"/>
              <w:left w:val="single" w:color="auto" w:sz="4" w:space="0"/>
              <w:right w:val="single" w:color="auto" w:sz="4" w:space="0"/>
            </w:tcBorders>
            <w:vAlign w:val="center"/>
          </w:tcPr>
          <w:p w14:paraId="4AC86A31">
            <w:pPr>
              <w:ind w:left="-56" w:leftChars="-27" w:right="-46" w:rightChars="-22"/>
              <w:jc w:val="center"/>
              <w:rPr>
                <w:bCs/>
                <w:color w:val="000000"/>
                <w:kern w:val="44"/>
                <w:highlight w:val="none"/>
              </w:rPr>
            </w:pPr>
            <w:r>
              <w:rPr>
                <w:rFonts w:hint="eastAsia"/>
                <w:bCs/>
                <w:color w:val="000000"/>
                <w:kern w:val="44"/>
                <w:highlight w:val="none"/>
              </w:rPr>
              <w:t>6</w:t>
            </w:r>
          </w:p>
        </w:tc>
        <w:tc>
          <w:tcPr>
            <w:tcW w:w="2025" w:type="dxa"/>
            <w:tcBorders>
              <w:top w:val="single" w:color="auto" w:sz="4" w:space="0"/>
              <w:left w:val="single" w:color="auto" w:sz="4" w:space="0"/>
              <w:right w:val="single" w:color="auto" w:sz="4" w:space="0"/>
            </w:tcBorders>
            <w:vAlign w:val="center"/>
          </w:tcPr>
          <w:p w14:paraId="4DE8BF83">
            <w:pPr>
              <w:ind w:left="-54" w:leftChars="-26" w:right="-65" w:rightChars="-31"/>
              <w:jc w:val="center"/>
              <w:rPr>
                <w:rFonts w:hint="eastAsia" w:ascii="宋体" w:hAnsi="宋体"/>
                <w:bCs/>
                <w:color w:val="000000"/>
                <w:szCs w:val="21"/>
                <w:highlight w:val="none"/>
              </w:rPr>
            </w:pPr>
            <w:r>
              <w:rPr>
                <w:rFonts w:hint="eastAsia" w:ascii="宋体" w:hAnsi="宋体"/>
                <w:bCs/>
                <w:color w:val="000000"/>
                <w:szCs w:val="21"/>
                <w:highlight w:val="none"/>
              </w:rPr>
              <w:t>深化设计负责人</w:t>
            </w:r>
          </w:p>
        </w:tc>
        <w:tc>
          <w:tcPr>
            <w:tcW w:w="700" w:type="dxa"/>
            <w:tcBorders>
              <w:top w:val="single" w:color="auto" w:sz="4" w:space="0"/>
              <w:left w:val="single" w:color="auto" w:sz="4" w:space="0"/>
              <w:right w:val="single" w:color="auto" w:sz="4" w:space="0"/>
            </w:tcBorders>
            <w:vAlign w:val="center"/>
          </w:tcPr>
          <w:p w14:paraId="17C6BF1F">
            <w:pPr>
              <w:ind w:left="-54" w:leftChars="-26" w:right="-65" w:rightChars="-31"/>
              <w:jc w:val="center"/>
              <w:rPr>
                <w:rFonts w:hint="eastAsia" w:ascii="宋体" w:hAnsi="宋体"/>
                <w:bCs/>
                <w:color w:val="000000"/>
                <w:szCs w:val="21"/>
                <w:highlight w:val="none"/>
              </w:rPr>
            </w:pPr>
            <w:r>
              <w:rPr>
                <w:rFonts w:hint="eastAsia" w:ascii="宋体" w:hAnsi="宋体"/>
                <w:bCs/>
                <w:color w:val="000000"/>
                <w:szCs w:val="21"/>
                <w:highlight w:val="none"/>
              </w:rPr>
              <w:t>1</w:t>
            </w:r>
          </w:p>
        </w:tc>
        <w:tc>
          <w:tcPr>
            <w:tcW w:w="6420" w:type="dxa"/>
            <w:tcBorders>
              <w:top w:val="single" w:color="auto" w:sz="4" w:space="0"/>
              <w:left w:val="single" w:color="auto" w:sz="4" w:space="0"/>
              <w:bottom w:val="single" w:color="auto" w:sz="4" w:space="0"/>
              <w:right w:val="single" w:color="auto" w:sz="4" w:space="0"/>
            </w:tcBorders>
            <w:vAlign w:val="center"/>
          </w:tcPr>
          <w:p w14:paraId="0A5385CE">
            <w:pPr>
              <w:ind w:left="-54" w:leftChars="-26" w:right="-65" w:rightChars="-31"/>
              <w:rPr>
                <w:rFonts w:hint="eastAsia" w:ascii="宋体" w:hAnsi="宋体" w:cs="宋体"/>
                <w:color w:val="000000"/>
                <w:kern w:val="0"/>
                <w:szCs w:val="21"/>
                <w:highlight w:val="none"/>
              </w:rPr>
            </w:pPr>
            <w:r>
              <w:rPr>
                <w:rFonts w:hint="eastAsia" w:ascii="宋体" w:hAnsi="宋体" w:cs="宋体"/>
                <w:color w:val="000000"/>
                <w:kern w:val="0"/>
                <w:szCs w:val="21"/>
                <w:highlight w:val="none"/>
              </w:rPr>
              <w:t>具有建筑装饰设计类</w:t>
            </w:r>
            <w:r>
              <w:rPr>
                <w:rFonts w:hint="eastAsia" w:ascii="宋体" w:hAnsi="宋体"/>
                <w:color w:val="000000"/>
                <w:szCs w:val="21"/>
                <w:highlight w:val="none"/>
              </w:rPr>
              <w:t>专业</w:t>
            </w:r>
            <w:r>
              <w:rPr>
                <w:rFonts w:ascii="宋体" w:hAnsi="宋体"/>
                <w:color w:val="000000"/>
                <w:szCs w:val="21"/>
                <w:highlight w:val="none"/>
              </w:rPr>
              <w:t>中级</w:t>
            </w:r>
            <w:r>
              <w:rPr>
                <w:rFonts w:hint="eastAsia" w:ascii="宋体" w:hAnsi="宋体"/>
                <w:color w:val="000000"/>
                <w:szCs w:val="21"/>
                <w:highlight w:val="none"/>
              </w:rPr>
              <w:t>（或以上）技术职称；</w:t>
            </w:r>
          </w:p>
        </w:tc>
        <w:tc>
          <w:tcPr>
            <w:tcW w:w="5885" w:type="dxa"/>
            <w:tcBorders>
              <w:top w:val="single" w:color="auto" w:sz="4" w:space="0"/>
              <w:left w:val="single" w:color="auto" w:sz="4" w:space="0"/>
              <w:right w:val="single" w:color="auto" w:sz="4" w:space="0"/>
            </w:tcBorders>
            <w:vAlign w:val="center"/>
          </w:tcPr>
          <w:p w14:paraId="1B84C988">
            <w:pPr>
              <w:ind w:left="-54" w:leftChars="-26" w:right="-65" w:rightChars="-31"/>
              <w:rPr>
                <w:rFonts w:hint="eastAsia" w:ascii="宋体" w:hAnsi="宋体"/>
                <w:color w:val="000000"/>
                <w:szCs w:val="21"/>
                <w:highlight w:val="none"/>
              </w:rPr>
            </w:pPr>
            <w:r>
              <w:rPr>
                <w:rFonts w:hint="eastAsia" w:ascii="宋体" w:hAnsi="宋体"/>
                <w:color w:val="000000"/>
                <w:szCs w:val="21"/>
                <w:highlight w:val="none"/>
              </w:rPr>
              <w:t>职称证书</w:t>
            </w:r>
          </w:p>
        </w:tc>
      </w:tr>
      <w:tr w14:paraId="2622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98" w:type="dxa"/>
            <w:tcBorders>
              <w:top w:val="single" w:color="auto" w:sz="4" w:space="0"/>
              <w:left w:val="single" w:color="auto" w:sz="4" w:space="0"/>
              <w:right w:val="single" w:color="auto" w:sz="4" w:space="0"/>
            </w:tcBorders>
            <w:vAlign w:val="center"/>
          </w:tcPr>
          <w:p w14:paraId="33B3A48C">
            <w:pPr>
              <w:ind w:left="-56" w:leftChars="-27" w:right="-46" w:rightChars="-22"/>
              <w:jc w:val="center"/>
              <w:rPr>
                <w:color w:val="000000"/>
                <w:highlight w:val="none"/>
              </w:rPr>
            </w:pPr>
            <w:r>
              <w:rPr>
                <w:rFonts w:hint="eastAsia"/>
                <w:bCs/>
                <w:color w:val="000000"/>
                <w:highlight w:val="none"/>
              </w:rPr>
              <w:t>7</w:t>
            </w:r>
          </w:p>
        </w:tc>
        <w:tc>
          <w:tcPr>
            <w:tcW w:w="2025" w:type="dxa"/>
            <w:tcBorders>
              <w:top w:val="single" w:color="auto" w:sz="4" w:space="0"/>
              <w:left w:val="single" w:color="auto" w:sz="4" w:space="0"/>
              <w:right w:val="single" w:color="auto" w:sz="4" w:space="0"/>
            </w:tcBorders>
            <w:vAlign w:val="center"/>
          </w:tcPr>
          <w:p w14:paraId="452569EB">
            <w:pPr>
              <w:ind w:left="-54" w:leftChars="-26" w:right="-65" w:rightChars="-31"/>
              <w:jc w:val="center"/>
              <w:rPr>
                <w:rFonts w:hint="eastAsia" w:ascii="宋体" w:hAnsi="宋体" w:cs="宋体"/>
                <w:bCs/>
                <w:color w:val="000000"/>
                <w:kern w:val="44"/>
                <w:szCs w:val="21"/>
                <w:highlight w:val="none"/>
              </w:rPr>
            </w:pPr>
            <w:r>
              <w:rPr>
                <w:rFonts w:hint="eastAsia" w:ascii="宋体" w:hAnsi="宋体" w:cs="宋体"/>
                <w:bCs/>
                <w:color w:val="000000"/>
                <w:kern w:val="44"/>
                <w:szCs w:val="21"/>
                <w:highlight w:val="none"/>
              </w:rPr>
              <w:t>装饰装修工程师</w:t>
            </w:r>
          </w:p>
        </w:tc>
        <w:tc>
          <w:tcPr>
            <w:tcW w:w="700" w:type="dxa"/>
            <w:tcBorders>
              <w:top w:val="single" w:color="auto" w:sz="4" w:space="0"/>
              <w:left w:val="single" w:color="auto" w:sz="4" w:space="0"/>
              <w:right w:val="single" w:color="auto" w:sz="4" w:space="0"/>
            </w:tcBorders>
            <w:vAlign w:val="center"/>
          </w:tcPr>
          <w:p w14:paraId="2F8BF28B">
            <w:pPr>
              <w:ind w:left="-54" w:leftChars="-26" w:right="-65" w:rightChars="-31"/>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6420" w:type="dxa"/>
            <w:tcBorders>
              <w:top w:val="single" w:color="auto" w:sz="4" w:space="0"/>
              <w:left w:val="single" w:color="auto" w:sz="4" w:space="0"/>
              <w:bottom w:val="single" w:color="auto" w:sz="4" w:space="0"/>
              <w:right w:val="single" w:color="auto" w:sz="4" w:space="0"/>
            </w:tcBorders>
            <w:vAlign w:val="center"/>
          </w:tcPr>
          <w:p w14:paraId="05171F83">
            <w:pPr>
              <w:ind w:left="-54" w:leftChars="-26" w:right="-65" w:rightChars="-31"/>
              <w:rPr>
                <w:rFonts w:hint="eastAsia" w:ascii="宋体" w:hAnsi="宋体"/>
                <w:color w:val="000000"/>
                <w:szCs w:val="21"/>
                <w:highlight w:val="none"/>
              </w:rPr>
            </w:pPr>
            <w:r>
              <w:rPr>
                <w:rFonts w:hint="eastAsia" w:ascii="宋体" w:hAnsi="宋体"/>
                <w:color w:val="000000"/>
                <w:szCs w:val="21"/>
                <w:highlight w:val="none"/>
              </w:rPr>
              <w:t>具有</w:t>
            </w:r>
            <w:r>
              <w:rPr>
                <w:rFonts w:hint="eastAsia" w:ascii="宋体" w:hAnsi="宋体" w:cs="宋体"/>
                <w:color w:val="000000"/>
                <w:kern w:val="0"/>
                <w:szCs w:val="21"/>
                <w:highlight w:val="none"/>
              </w:rPr>
              <w:t>建筑装饰施工类</w:t>
            </w:r>
            <w:r>
              <w:rPr>
                <w:rFonts w:hint="eastAsia" w:ascii="宋体" w:hAnsi="宋体"/>
                <w:color w:val="000000"/>
                <w:szCs w:val="21"/>
                <w:highlight w:val="none"/>
              </w:rPr>
              <w:t>专业</w:t>
            </w:r>
            <w:r>
              <w:rPr>
                <w:rFonts w:ascii="宋体" w:hAnsi="宋体"/>
                <w:color w:val="000000"/>
                <w:szCs w:val="21"/>
                <w:highlight w:val="none"/>
              </w:rPr>
              <w:t>中级</w:t>
            </w:r>
            <w:r>
              <w:rPr>
                <w:rFonts w:hint="eastAsia" w:ascii="宋体" w:hAnsi="宋体"/>
                <w:color w:val="000000"/>
                <w:szCs w:val="21"/>
                <w:highlight w:val="none"/>
              </w:rPr>
              <w:t>（或以上）技术职称；</w:t>
            </w:r>
          </w:p>
        </w:tc>
        <w:tc>
          <w:tcPr>
            <w:tcW w:w="5885" w:type="dxa"/>
            <w:tcBorders>
              <w:top w:val="single" w:color="auto" w:sz="4" w:space="0"/>
              <w:left w:val="single" w:color="auto" w:sz="4" w:space="0"/>
              <w:right w:val="single" w:color="auto" w:sz="4" w:space="0"/>
            </w:tcBorders>
            <w:vAlign w:val="center"/>
          </w:tcPr>
          <w:p w14:paraId="34EE6BF3">
            <w:pPr>
              <w:ind w:left="-54" w:leftChars="-26" w:right="-65" w:rightChars="-31"/>
              <w:rPr>
                <w:rFonts w:hint="eastAsia" w:ascii="宋体" w:hAnsi="宋体"/>
                <w:color w:val="000000"/>
                <w:szCs w:val="21"/>
                <w:highlight w:val="none"/>
              </w:rPr>
            </w:pPr>
            <w:r>
              <w:rPr>
                <w:rFonts w:hint="eastAsia" w:ascii="宋体" w:hAnsi="宋体"/>
                <w:color w:val="000000"/>
                <w:szCs w:val="21"/>
                <w:highlight w:val="none"/>
              </w:rPr>
              <w:t>职称证书</w:t>
            </w:r>
          </w:p>
        </w:tc>
      </w:tr>
      <w:tr w14:paraId="6486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98" w:type="dxa"/>
            <w:tcBorders>
              <w:top w:val="single" w:color="auto" w:sz="4" w:space="0"/>
              <w:left w:val="single" w:color="auto" w:sz="4" w:space="0"/>
              <w:right w:val="single" w:color="auto" w:sz="4" w:space="0"/>
            </w:tcBorders>
            <w:vAlign w:val="center"/>
          </w:tcPr>
          <w:p w14:paraId="5F59F50E">
            <w:pPr>
              <w:ind w:left="-56" w:leftChars="-27" w:right="-46" w:rightChars="-22"/>
              <w:jc w:val="center"/>
              <w:rPr>
                <w:bCs/>
                <w:color w:val="000000"/>
                <w:highlight w:val="none"/>
              </w:rPr>
            </w:pPr>
            <w:r>
              <w:rPr>
                <w:rFonts w:hint="eastAsia"/>
                <w:bCs/>
                <w:color w:val="000000"/>
                <w:highlight w:val="none"/>
              </w:rPr>
              <w:t>8</w:t>
            </w:r>
          </w:p>
        </w:tc>
        <w:tc>
          <w:tcPr>
            <w:tcW w:w="2025" w:type="dxa"/>
            <w:tcBorders>
              <w:top w:val="single" w:color="auto" w:sz="4" w:space="0"/>
              <w:left w:val="single" w:color="auto" w:sz="4" w:space="0"/>
              <w:right w:val="single" w:color="auto" w:sz="4" w:space="0"/>
            </w:tcBorders>
            <w:vAlign w:val="center"/>
          </w:tcPr>
          <w:p w14:paraId="7F2A1E8A">
            <w:pPr>
              <w:ind w:left="-54" w:leftChars="-26" w:right="-65" w:rightChars="-31"/>
              <w:jc w:val="center"/>
              <w:rPr>
                <w:rFonts w:hint="eastAsia" w:ascii="宋体" w:hAnsi="宋体"/>
                <w:bCs/>
                <w:color w:val="000000"/>
                <w:szCs w:val="21"/>
                <w:highlight w:val="none"/>
              </w:rPr>
            </w:pPr>
            <w:r>
              <w:rPr>
                <w:rFonts w:hint="eastAsia" w:ascii="宋体" w:hAnsi="宋体"/>
                <w:bCs/>
                <w:color w:val="000000"/>
                <w:szCs w:val="21"/>
                <w:highlight w:val="none"/>
              </w:rPr>
              <w:t>建筑结构工程师</w:t>
            </w:r>
          </w:p>
        </w:tc>
        <w:tc>
          <w:tcPr>
            <w:tcW w:w="700" w:type="dxa"/>
            <w:tcBorders>
              <w:top w:val="single" w:color="auto" w:sz="4" w:space="0"/>
              <w:left w:val="single" w:color="auto" w:sz="4" w:space="0"/>
              <w:right w:val="single" w:color="auto" w:sz="4" w:space="0"/>
            </w:tcBorders>
            <w:vAlign w:val="center"/>
          </w:tcPr>
          <w:p w14:paraId="7FC1C421">
            <w:pPr>
              <w:shd w:val="clear" w:color="auto" w:fill="FFFFFF"/>
              <w:spacing w:line="228" w:lineRule="auto"/>
              <w:jc w:val="center"/>
              <w:rPr>
                <w:rFonts w:hint="eastAsia" w:ascii="宋体" w:hAnsi="宋体"/>
                <w:color w:val="000000"/>
                <w:szCs w:val="21"/>
                <w:highlight w:val="none"/>
              </w:rPr>
            </w:pPr>
            <w:r>
              <w:rPr>
                <w:rFonts w:hint="eastAsia" w:ascii="宋体" w:hAnsi="宋体"/>
                <w:color w:val="000000"/>
                <w:szCs w:val="21"/>
                <w:highlight w:val="none"/>
              </w:rPr>
              <w:t>1</w:t>
            </w:r>
          </w:p>
        </w:tc>
        <w:tc>
          <w:tcPr>
            <w:tcW w:w="6420" w:type="dxa"/>
            <w:tcBorders>
              <w:top w:val="single" w:color="auto" w:sz="4" w:space="0"/>
              <w:left w:val="single" w:color="auto" w:sz="4" w:space="0"/>
              <w:bottom w:val="single" w:color="auto" w:sz="4" w:space="0"/>
              <w:right w:val="single" w:color="auto" w:sz="4" w:space="0"/>
            </w:tcBorders>
            <w:vAlign w:val="center"/>
          </w:tcPr>
          <w:p w14:paraId="065D05B4">
            <w:pPr>
              <w:shd w:val="clear" w:color="auto" w:fill="FFFFFF"/>
              <w:ind w:left="-54" w:leftChars="-26" w:right="-65" w:rightChars="-31"/>
              <w:jc w:val="left"/>
              <w:rPr>
                <w:rFonts w:hint="eastAsia" w:ascii="宋体" w:hAnsi="宋体"/>
                <w:color w:val="000000"/>
                <w:szCs w:val="21"/>
                <w:highlight w:val="none"/>
              </w:rPr>
            </w:pPr>
            <w:r>
              <w:rPr>
                <w:rFonts w:hint="eastAsia" w:ascii="宋体" w:hAnsi="宋体"/>
                <w:color w:val="000000"/>
                <w:szCs w:val="21"/>
                <w:highlight w:val="none"/>
              </w:rPr>
              <w:t>具有建筑结构类专业工程师（或以上）技术职称</w:t>
            </w:r>
          </w:p>
        </w:tc>
        <w:tc>
          <w:tcPr>
            <w:tcW w:w="5885" w:type="dxa"/>
            <w:tcBorders>
              <w:top w:val="single" w:color="auto" w:sz="4" w:space="0"/>
              <w:left w:val="single" w:color="auto" w:sz="4" w:space="0"/>
              <w:right w:val="single" w:color="auto" w:sz="4" w:space="0"/>
            </w:tcBorders>
            <w:vAlign w:val="center"/>
          </w:tcPr>
          <w:p w14:paraId="2B827E8E">
            <w:pPr>
              <w:shd w:val="clear" w:color="auto" w:fill="FFFFFF"/>
              <w:ind w:left="-54" w:leftChars="-26" w:right="-65" w:rightChars="-31"/>
              <w:jc w:val="left"/>
              <w:rPr>
                <w:rFonts w:hint="eastAsia" w:ascii="宋体" w:hAnsi="宋体"/>
                <w:color w:val="000000"/>
                <w:szCs w:val="21"/>
                <w:highlight w:val="none"/>
              </w:rPr>
            </w:pPr>
            <w:r>
              <w:rPr>
                <w:rFonts w:hint="eastAsia" w:ascii="宋体" w:hAnsi="宋体"/>
                <w:color w:val="000000"/>
                <w:szCs w:val="21"/>
                <w:highlight w:val="none"/>
              </w:rPr>
              <w:t>职称证书</w:t>
            </w:r>
          </w:p>
        </w:tc>
      </w:tr>
      <w:tr w14:paraId="5754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65AB648D">
            <w:pPr>
              <w:ind w:left="-56" w:leftChars="-27" w:right="-46" w:rightChars="-22"/>
              <w:jc w:val="center"/>
              <w:rPr>
                <w:color w:val="000000"/>
                <w:highlight w:val="none"/>
              </w:rPr>
            </w:pPr>
            <w:r>
              <w:rPr>
                <w:rFonts w:hint="eastAsia"/>
                <w:color w:val="000000"/>
                <w:highlight w:val="none"/>
              </w:rPr>
              <w:t>9</w:t>
            </w:r>
          </w:p>
        </w:tc>
        <w:tc>
          <w:tcPr>
            <w:tcW w:w="2025" w:type="dxa"/>
            <w:tcBorders>
              <w:top w:val="single" w:color="auto" w:sz="4" w:space="0"/>
              <w:left w:val="single" w:color="auto" w:sz="4" w:space="0"/>
              <w:bottom w:val="single" w:color="auto" w:sz="4" w:space="0"/>
              <w:right w:val="single" w:color="auto" w:sz="4" w:space="0"/>
            </w:tcBorders>
            <w:vAlign w:val="center"/>
          </w:tcPr>
          <w:p w14:paraId="1B2ED4FF">
            <w:pPr>
              <w:ind w:left="-54" w:leftChars="-26" w:right="-65" w:rightChars="-31"/>
              <w:jc w:val="center"/>
              <w:rPr>
                <w:rFonts w:hint="eastAsia" w:ascii="宋体" w:hAnsi="宋体"/>
                <w:bCs/>
                <w:color w:val="000000"/>
                <w:szCs w:val="21"/>
                <w:highlight w:val="none"/>
              </w:rPr>
            </w:pPr>
            <w:r>
              <w:rPr>
                <w:rFonts w:hint="eastAsia" w:ascii="宋体" w:hAnsi="宋体"/>
                <w:bCs/>
                <w:color w:val="000000"/>
                <w:szCs w:val="21"/>
                <w:highlight w:val="none"/>
              </w:rPr>
              <w:t>材料工程师</w:t>
            </w:r>
          </w:p>
        </w:tc>
        <w:tc>
          <w:tcPr>
            <w:tcW w:w="700" w:type="dxa"/>
            <w:tcBorders>
              <w:top w:val="single" w:color="auto" w:sz="4" w:space="0"/>
              <w:left w:val="single" w:color="auto" w:sz="4" w:space="0"/>
              <w:bottom w:val="single" w:color="auto" w:sz="4" w:space="0"/>
              <w:right w:val="single" w:color="auto" w:sz="4" w:space="0"/>
            </w:tcBorders>
            <w:vAlign w:val="center"/>
          </w:tcPr>
          <w:p w14:paraId="05DC62CC">
            <w:pPr>
              <w:ind w:left="-54" w:leftChars="-26" w:right="-65" w:rightChars="-31"/>
              <w:jc w:val="center"/>
              <w:rPr>
                <w:rFonts w:hint="eastAsia" w:ascii="宋体" w:hAnsi="宋体"/>
                <w:bCs/>
                <w:color w:val="000000"/>
                <w:szCs w:val="21"/>
                <w:highlight w:val="none"/>
              </w:rPr>
            </w:pPr>
            <w:r>
              <w:rPr>
                <w:rFonts w:hint="eastAsia" w:ascii="宋体" w:hAnsi="宋体"/>
                <w:bCs/>
                <w:color w:val="000000"/>
                <w:szCs w:val="21"/>
                <w:highlight w:val="none"/>
              </w:rPr>
              <w:t>1</w:t>
            </w:r>
          </w:p>
        </w:tc>
        <w:tc>
          <w:tcPr>
            <w:tcW w:w="6420" w:type="dxa"/>
            <w:tcBorders>
              <w:top w:val="single" w:color="auto" w:sz="4" w:space="0"/>
              <w:left w:val="single" w:color="auto" w:sz="4" w:space="0"/>
              <w:bottom w:val="single" w:color="auto" w:sz="4" w:space="0"/>
              <w:right w:val="single" w:color="auto" w:sz="4" w:space="0"/>
            </w:tcBorders>
            <w:vAlign w:val="center"/>
          </w:tcPr>
          <w:p w14:paraId="1AB19EF1">
            <w:pPr>
              <w:ind w:left="-54" w:leftChars="-26" w:right="-65" w:rightChars="-31"/>
              <w:rPr>
                <w:rFonts w:hint="eastAsia" w:ascii="宋体" w:hAnsi="宋体" w:cs="宋体"/>
                <w:color w:val="000000"/>
                <w:kern w:val="0"/>
                <w:szCs w:val="21"/>
                <w:highlight w:val="none"/>
              </w:rPr>
            </w:pPr>
            <w:r>
              <w:rPr>
                <w:rFonts w:hint="eastAsia" w:ascii="宋体" w:hAnsi="宋体"/>
                <w:color w:val="000000"/>
                <w:szCs w:val="21"/>
                <w:highlight w:val="none"/>
              </w:rPr>
              <w:t>具有建筑材料类专业</w:t>
            </w:r>
            <w:r>
              <w:rPr>
                <w:rFonts w:ascii="宋体" w:hAnsi="宋体"/>
                <w:color w:val="000000"/>
                <w:szCs w:val="21"/>
                <w:highlight w:val="none"/>
              </w:rPr>
              <w:t>中级</w:t>
            </w:r>
            <w:r>
              <w:rPr>
                <w:rFonts w:hint="eastAsia" w:ascii="宋体" w:hAnsi="宋体"/>
                <w:color w:val="000000"/>
                <w:szCs w:val="21"/>
                <w:highlight w:val="none"/>
              </w:rPr>
              <w:t>（或以上）技术职称；</w:t>
            </w:r>
          </w:p>
        </w:tc>
        <w:tc>
          <w:tcPr>
            <w:tcW w:w="5885" w:type="dxa"/>
            <w:tcBorders>
              <w:top w:val="single" w:color="auto" w:sz="4" w:space="0"/>
              <w:left w:val="single" w:color="auto" w:sz="4" w:space="0"/>
              <w:bottom w:val="single" w:color="auto" w:sz="4" w:space="0"/>
              <w:right w:val="single" w:color="auto" w:sz="4" w:space="0"/>
            </w:tcBorders>
            <w:vAlign w:val="center"/>
          </w:tcPr>
          <w:p w14:paraId="46B78A89">
            <w:pPr>
              <w:ind w:left="-54" w:leftChars="-26" w:right="-65" w:rightChars="-31"/>
              <w:rPr>
                <w:rFonts w:hint="eastAsia" w:ascii="宋体" w:hAnsi="宋体"/>
                <w:color w:val="000000"/>
                <w:szCs w:val="21"/>
                <w:highlight w:val="none"/>
              </w:rPr>
            </w:pPr>
            <w:r>
              <w:rPr>
                <w:rFonts w:hint="eastAsia" w:ascii="宋体" w:hAnsi="宋体"/>
                <w:color w:val="000000"/>
                <w:szCs w:val="21"/>
                <w:highlight w:val="none"/>
              </w:rPr>
              <w:t>职称证书</w:t>
            </w:r>
          </w:p>
        </w:tc>
      </w:tr>
      <w:tr w14:paraId="223F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28537269">
            <w:pPr>
              <w:ind w:left="-56" w:leftChars="-27" w:right="-46" w:rightChars="-22"/>
              <w:jc w:val="center"/>
              <w:rPr>
                <w:color w:val="000000"/>
                <w:highlight w:val="none"/>
              </w:rPr>
            </w:pPr>
            <w:r>
              <w:rPr>
                <w:rFonts w:hint="eastAsia"/>
                <w:color w:val="000000"/>
                <w:highlight w:val="none"/>
              </w:rPr>
              <w:t>10</w:t>
            </w:r>
          </w:p>
        </w:tc>
        <w:tc>
          <w:tcPr>
            <w:tcW w:w="2025" w:type="dxa"/>
            <w:tcBorders>
              <w:top w:val="single" w:color="auto" w:sz="4" w:space="0"/>
              <w:left w:val="single" w:color="auto" w:sz="4" w:space="0"/>
              <w:bottom w:val="single" w:color="auto" w:sz="4" w:space="0"/>
              <w:right w:val="single" w:color="auto" w:sz="4" w:space="0"/>
            </w:tcBorders>
            <w:vAlign w:val="center"/>
          </w:tcPr>
          <w:p w14:paraId="765FDA63">
            <w:pPr>
              <w:ind w:left="-54" w:leftChars="-26" w:right="-65" w:rightChars="-31"/>
              <w:jc w:val="center"/>
              <w:rPr>
                <w:rFonts w:hint="eastAsia" w:ascii="宋体" w:hAnsi="宋体"/>
                <w:bCs/>
                <w:color w:val="000000"/>
                <w:szCs w:val="21"/>
                <w:highlight w:val="none"/>
              </w:rPr>
            </w:pPr>
            <w:r>
              <w:rPr>
                <w:rFonts w:hint="eastAsia" w:ascii="宋体" w:hAnsi="宋体"/>
                <w:bCs/>
                <w:color w:val="000000"/>
                <w:szCs w:val="21"/>
                <w:highlight w:val="none"/>
              </w:rPr>
              <w:t>专职安全员</w:t>
            </w:r>
          </w:p>
        </w:tc>
        <w:tc>
          <w:tcPr>
            <w:tcW w:w="700" w:type="dxa"/>
            <w:tcBorders>
              <w:top w:val="single" w:color="auto" w:sz="4" w:space="0"/>
              <w:left w:val="single" w:color="auto" w:sz="4" w:space="0"/>
              <w:bottom w:val="single" w:color="auto" w:sz="4" w:space="0"/>
              <w:right w:val="single" w:color="auto" w:sz="4" w:space="0"/>
            </w:tcBorders>
            <w:vAlign w:val="center"/>
          </w:tcPr>
          <w:p w14:paraId="70175359">
            <w:pPr>
              <w:ind w:left="-54" w:leftChars="-26" w:right="-65" w:rightChars="-31"/>
              <w:jc w:val="center"/>
              <w:rPr>
                <w:rFonts w:hint="eastAsia" w:ascii="宋体" w:hAnsi="宋体"/>
                <w:bCs/>
                <w:color w:val="000000"/>
                <w:szCs w:val="21"/>
                <w:highlight w:val="none"/>
              </w:rPr>
            </w:pPr>
            <w:r>
              <w:rPr>
                <w:rFonts w:hint="eastAsia" w:ascii="宋体" w:hAnsi="宋体"/>
                <w:bCs/>
                <w:color w:val="000000"/>
                <w:szCs w:val="21"/>
                <w:highlight w:val="none"/>
              </w:rPr>
              <w:t>1</w:t>
            </w:r>
          </w:p>
        </w:tc>
        <w:tc>
          <w:tcPr>
            <w:tcW w:w="6420" w:type="dxa"/>
            <w:tcBorders>
              <w:top w:val="single" w:color="auto" w:sz="4" w:space="0"/>
              <w:left w:val="single" w:color="auto" w:sz="4" w:space="0"/>
              <w:bottom w:val="single" w:color="auto" w:sz="4" w:space="0"/>
              <w:right w:val="single" w:color="auto" w:sz="4" w:space="0"/>
            </w:tcBorders>
            <w:vAlign w:val="center"/>
          </w:tcPr>
          <w:p w14:paraId="4B0E1222">
            <w:pPr>
              <w:ind w:left="-54" w:leftChars="-26" w:right="-65" w:rightChars="-31"/>
              <w:rPr>
                <w:rFonts w:hint="eastAsia" w:ascii="宋体" w:hAnsi="宋体"/>
                <w:color w:val="000000"/>
                <w:szCs w:val="21"/>
                <w:highlight w:val="none"/>
              </w:rPr>
            </w:pPr>
            <w:r>
              <w:rPr>
                <w:rFonts w:hint="eastAsia" w:ascii="宋体" w:hAnsi="宋体" w:cs="宋体"/>
                <w:color w:val="000000"/>
                <w:highlight w:val="none"/>
              </w:rPr>
              <w:t>详见招标公告要求。</w:t>
            </w:r>
          </w:p>
        </w:tc>
        <w:tc>
          <w:tcPr>
            <w:tcW w:w="5885" w:type="dxa"/>
            <w:tcBorders>
              <w:top w:val="single" w:color="auto" w:sz="4" w:space="0"/>
              <w:left w:val="single" w:color="auto" w:sz="4" w:space="0"/>
              <w:bottom w:val="single" w:color="auto" w:sz="4" w:space="0"/>
              <w:right w:val="single" w:color="auto" w:sz="4" w:space="0"/>
            </w:tcBorders>
            <w:vAlign w:val="center"/>
          </w:tcPr>
          <w:p w14:paraId="3FD73165">
            <w:pPr>
              <w:ind w:left="-54" w:leftChars="-26" w:right="-65" w:rightChars="-31"/>
              <w:rPr>
                <w:rFonts w:hint="eastAsia" w:ascii="宋体" w:hAnsi="宋体"/>
                <w:color w:val="000000"/>
                <w:szCs w:val="21"/>
                <w:highlight w:val="none"/>
              </w:rPr>
            </w:pPr>
            <w:r>
              <w:rPr>
                <w:rFonts w:hint="eastAsia" w:ascii="宋体" w:hAnsi="宋体" w:cs="宋体"/>
                <w:color w:val="000000"/>
                <w:kern w:val="0"/>
                <w:szCs w:val="21"/>
                <w:highlight w:val="none"/>
              </w:rPr>
              <w:t>按招标公告要求</w:t>
            </w:r>
          </w:p>
        </w:tc>
      </w:tr>
    </w:tbl>
    <w:p w14:paraId="558CA0E9">
      <w:pPr>
        <w:snapToGrid w:val="0"/>
        <w:spacing w:line="360" w:lineRule="auto"/>
        <w:jc w:val="left"/>
        <w:rPr>
          <w:rFonts w:hint="eastAsia" w:ascii="宋体" w:hAnsi="宋体" w:cs="宋体"/>
          <w:bCs/>
          <w:color w:val="000000"/>
          <w:kern w:val="0"/>
          <w:sz w:val="20"/>
          <w:szCs w:val="20"/>
          <w:highlight w:val="none"/>
        </w:rPr>
      </w:pPr>
    </w:p>
    <w:p w14:paraId="67B91AC0">
      <w:pPr>
        <w:snapToGrid w:val="0"/>
        <w:spacing w:line="360" w:lineRule="auto"/>
        <w:jc w:val="left"/>
        <w:rPr>
          <w:rFonts w:hint="eastAsia" w:ascii="宋体" w:hAnsi="宋体"/>
          <w:color w:val="000000"/>
          <w:szCs w:val="21"/>
          <w:highlight w:val="none"/>
        </w:rPr>
      </w:pPr>
      <w:r>
        <w:rPr>
          <w:rFonts w:hint="eastAsia" w:ascii="宋体" w:hAnsi="宋体" w:cs="宋体"/>
          <w:bCs/>
          <w:color w:val="000000"/>
          <w:kern w:val="0"/>
          <w:sz w:val="20"/>
          <w:szCs w:val="20"/>
          <w:highlight w:val="none"/>
        </w:rPr>
        <w:t>注：上述人员岗位不能相互兼任。未提供或所提供的证明资料不符合要求的，则该评分节点不予评审。</w:t>
      </w:r>
    </w:p>
    <w:sectPr>
      <w:footerReference r:id="rId6" w:type="default"/>
      <w:pgSz w:w="16838" w:h="11906" w:orient="landscape"/>
      <w:pgMar w:top="1417" w:right="1440" w:bottom="141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entury Schoolbook">
    <w:altName w:val="Segoe Print"/>
    <w:panose1 w:val="0204060405050502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31E87">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69410739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0B68C7B">
                          <w:pPr>
                            <w:pStyle w:val="29"/>
                            <w:rPr>
                              <w:rFonts w:hint="eastAsia"/>
                            </w:rPr>
                          </w:pPr>
                          <w:r>
                            <w:fldChar w:fldCharType="begin"/>
                          </w:r>
                          <w:r>
                            <w:instrText xml:space="preserve">PAGE   \* MERGEFORMAT</w:instrText>
                          </w:r>
                          <w:r>
                            <w:fldChar w:fldCharType="separate"/>
                          </w:r>
                          <w:r>
                            <w:rPr>
                              <w:lang w:val="zh-CN"/>
                            </w:rP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i91E0AAAAAIBAAAPAAAAAAAAAAEAIAAAACIA&#10;AABkcnMvZG93bnJldi54bWxQSwECFAAUAAAACACHTuJAzp7BNxECAAAKBAAADgAAAAAAAAABACAA&#10;AAAfAQAAZHJzL2Uyb0RvYy54bWxQSwUGAAAAAAYABgBZAQAAogUAAAAA&#10;">
              <v:fill on="f" focussize="0,0"/>
              <v:stroke on="f"/>
              <v:imagedata o:title=""/>
              <o:lock v:ext="edit" aspectratio="f"/>
              <v:textbox inset="0mm,0mm,0mm,0mm" style="mso-fit-shape-to-text:t;">
                <w:txbxContent>
                  <w:p w14:paraId="00B68C7B">
                    <w:pPr>
                      <w:pStyle w:val="29"/>
                      <w:rPr>
                        <w:rFonts w:hint="eastAsia"/>
                      </w:rP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1AAEB4A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59F6D">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962582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6FDB04F">
                          <w:pPr>
                            <w:pStyle w:val="29"/>
                            <w:rPr>
                              <w:rFonts w:hint="eastAsia"/>
                            </w:rPr>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E+LE7ISAgAACQQAAA4AAAAAAAAAAQAg&#10;AAAAHwEAAGRycy9lMm9Eb2MueG1sUEsFBgAAAAAGAAYAWQEAAKMFAAAAAA==&#10;">
              <v:fill on="f" focussize="0,0"/>
              <v:stroke on="f"/>
              <v:imagedata o:title=""/>
              <o:lock v:ext="edit" aspectratio="f"/>
              <v:textbox inset="0mm,0mm,0mm,0mm" style="mso-fit-shape-to-text:t;">
                <w:txbxContent>
                  <w:p w14:paraId="56FDB04F">
                    <w:pPr>
                      <w:pStyle w:val="29"/>
                      <w:rPr>
                        <w:rFonts w:hint="eastAsia"/>
                      </w:rPr>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F06D1">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36E00">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B7"/>
    <w:rsid w:val="00227D0C"/>
    <w:rsid w:val="006C1CAD"/>
    <w:rsid w:val="00725D73"/>
    <w:rsid w:val="00B65DB7"/>
    <w:rsid w:val="00BD69C7"/>
    <w:rsid w:val="00C936FE"/>
    <w:rsid w:val="00D215A9"/>
    <w:rsid w:val="00EF706D"/>
    <w:rsid w:val="00FF6CC5"/>
    <w:rsid w:val="62F45B06"/>
    <w:rsid w:val="6685097E"/>
    <w:rsid w:val="66905245"/>
    <w:rsid w:val="6C492D51"/>
    <w:rsid w:val="70666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7">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8">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next w:val="1"/>
    <w:link w:val="36"/>
    <w:qFormat/>
    <w:uiPriority w:val="99"/>
    <w:pPr>
      <w:jc w:val="left"/>
    </w:pPr>
    <w:rPr>
      <w:szCs w:val="24"/>
    </w:r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3"/>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6"/>
    <w:semiHidden/>
    <w:qFormat/>
    <w:uiPriority w:val="9"/>
    <w:rPr>
      <w:rFonts w:cstheme="majorBidi"/>
      <w:color w:val="104862" w:themeColor="accent1" w:themeShade="BF"/>
      <w:sz w:val="28"/>
      <w:szCs w:val="28"/>
    </w:rPr>
  </w:style>
  <w:style w:type="character" w:customStyle="1" w:styleId="22">
    <w:name w:val="标题 5 字符"/>
    <w:basedOn w:val="17"/>
    <w:link w:val="7"/>
    <w:semiHidden/>
    <w:qFormat/>
    <w:uiPriority w:val="9"/>
    <w:rPr>
      <w:rFonts w:cstheme="majorBidi"/>
      <w:color w:val="104862" w:themeColor="accent1" w:themeShade="BF"/>
      <w:sz w:val="24"/>
      <w:szCs w:val="24"/>
    </w:rPr>
  </w:style>
  <w:style w:type="character" w:customStyle="1" w:styleId="23">
    <w:name w:val="标题 6 字符"/>
    <w:basedOn w:val="17"/>
    <w:link w:val="8"/>
    <w:semiHidden/>
    <w:qFormat/>
    <w:uiPriority w:val="9"/>
    <w:rPr>
      <w:rFonts w:cstheme="majorBidi"/>
      <w:b/>
      <w:bCs/>
      <w:color w:val="104862" w:themeColor="accent1" w:themeShade="BF"/>
    </w:rPr>
  </w:style>
  <w:style w:type="character" w:customStyle="1" w:styleId="24">
    <w:name w:val="标题 7 字符"/>
    <w:basedOn w:val="17"/>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rFonts w:asciiTheme="minorHAnsi" w:hAnsiTheme="minorHAnsi" w:eastAsiaTheme="minorEastAsia" w:cstheme="minorBidi"/>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批注文字 字符"/>
    <w:basedOn w:val="17"/>
    <w:link w:val="2"/>
    <w:qFormat/>
    <w:uiPriority w:val="99"/>
    <w:rPr>
      <w:rFonts w:ascii="Times New Roman" w:hAnsi="Times New Roman" w:eastAsia="宋体" w:cs="Times New Roman"/>
      <w:szCs w:val="24"/>
    </w:rPr>
  </w:style>
  <w:style w:type="character" w:customStyle="1" w:styleId="37">
    <w:name w:val="页脚 字符"/>
    <w:basedOn w:val="17"/>
    <w:semiHidden/>
    <w:qFormat/>
    <w:uiPriority w:val="99"/>
    <w:rPr>
      <w:rFonts w:ascii="Times New Roman" w:hAnsi="Times New Roman" w:eastAsia="宋体" w:cs="Times New Roman"/>
      <w:sz w:val="18"/>
      <w:szCs w:val="18"/>
    </w:rPr>
  </w:style>
  <w:style w:type="character" w:customStyle="1" w:styleId="38">
    <w:name w:val="页脚 字符1"/>
    <w:link w:val="12"/>
    <w:qFormat/>
    <w:uiPriority w:val="99"/>
    <w:rPr>
      <w:rFonts w:ascii="Times New Roman" w:hAnsi="Times New Roman" w:eastAsia="宋体" w:cs="Times New Roman"/>
      <w:sz w:val="18"/>
      <w:szCs w:val="18"/>
    </w:rPr>
  </w:style>
  <w:style w:type="character" w:customStyle="1" w:styleId="39">
    <w:name w:val="页眉 字符"/>
    <w:basedOn w:val="17"/>
    <w:link w:val="13"/>
    <w:qFormat/>
    <w:uiPriority w:val="99"/>
    <w:rPr>
      <w:rFonts w:ascii="Times New Roman" w:hAnsi="Times New Roman" w:eastAsia="宋体" w:cs="Times New Roman"/>
      <w:sz w:val="18"/>
      <w:szCs w:val="18"/>
    </w:rPr>
  </w:style>
  <w:style w:type="paragraph" w:customStyle="1" w:styleId="40">
    <w:name w:val="p0"/>
    <w:basedOn w:val="1"/>
    <w:qFormat/>
    <w:uiPriority w:val="0"/>
    <w:pPr>
      <w:widowControl/>
      <w:jc w:val="left"/>
    </w:pPr>
    <w:rPr>
      <w:rFonts w:ascii="宋体" w:hAnsi="宋体" w:cs="宋体"/>
      <w:kern w:val="0"/>
      <w:sz w:val="24"/>
      <w:szCs w:val="24"/>
    </w:rPr>
  </w:style>
  <w:style w:type="character" w:customStyle="1" w:styleId="41">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42">
    <w:name w:val="正文文本3"/>
    <w:basedOn w:val="1"/>
    <w:qFormat/>
    <w:uiPriority w:val="0"/>
    <w:pPr>
      <w:shd w:val="clear" w:color="auto" w:fill="FFFFFF"/>
      <w:spacing w:line="0" w:lineRule="atLeast"/>
    </w:pPr>
    <w:rPr>
      <w:rFonts w:ascii="宋体" w:hAnsi="宋体" w:cs="宋体"/>
      <w:sz w:val="19"/>
      <w:szCs w:val="19"/>
    </w:rPr>
  </w:style>
  <w:style w:type="character" w:customStyle="1" w:styleId="43">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44">
    <w:name w:val="普通(网站)1"/>
    <w:basedOn w:val="1"/>
    <w:qFormat/>
    <w:uiPriority w:val="0"/>
    <w:pPr>
      <w:jc w:val="left"/>
    </w:pPr>
    <w:rPr>
      <w:kern w:val="0"/>
      <w:sz w:val="24"/>
    </w:rPr>
  </w:style>
  <w:style w:type="character" w:customStyle="1" w:styleId="45">
    <w:name w:val="font71"/>
    <w:qFormat/>
    <w:uiPriority w:val="0"/>
    <w:rPr>
      <w:rFonts w:hint="eastAsia" w:ascii="宋体" w:hAnsi="宋体" w:eastAsia="宋体" w:cs="宋体"/>
      <w:color w:val="FF0000"/>
      <w:sz w:val="20"/>
      <w:szCs w:val="20"/>
      <w:u w:val="none"/>
    </w:rPr>
  </w:style>
  <w:style w:type="paragraph" w:customStyle="1" w:styleId="46">
    <w:name w:val="纯文本1"/>
    <w:basedOn w:val="1"/>
    <w:link w:val="47"/>
    <w:qFormat/>
    <w:uiPriority w:val="0"/>
    <w:rPr>
      <w:rFonts w:ascii="宋体" w:hAnsi="Courier New"/>
      <w:szCs w:val="20"/>
    </w:rPr>
  </w:style>
  <w:style w:type="character" w:customStyle="1" w:styleId="47">
    <w:name w:val="纯文本 Char"/>
    <w:link w:val="46"/>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5162</Words>
  <Characters>5490</Characters>
  <Lines>40</Lines>
  <Paragraphs>11</Paragraphs>
  <TotalTime>0</TotalTime>
  <ScaleCrop>false</ScaleCrop>
  <LinksUpToDate>false</LinksUpToDate>
  <CharactersWithSpaces>5550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2025-10-13T08:03:00Z</dcterms:created>
  <dc:creator>April wong</dc:creator>
  <cp:lastModifiedBy>魚</cp:lastModifiedBy>
  <dcterms:modified xsi:type="dcterms:W3CDTF">2025-10-14T07:24:19Z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eyJoZGlkIjoiZmFhNDc0OWQyZjMxZTIwMjc4MTEzZjUxMTdmNjcyYzYiLCJ1c2VySWQiOiI1OTQ1Njg5MDcifQ==</vt:lpwstr>
  </property>
  <property fmtid="{D5CDD505-2E9C-101B-9397-08002B2CF9AE}" pid="3" name="KSOProductBuildVer">
    <vt:lpwstr>2052-12.1.0.22529</vt:lpwstr>
  </property>
  <property fmtid="{D5CDD505-2E9C-101B-9397-08002B2CF9AE}" pid="4" name="ICV">
    <vt:lpwstr>ACBAFC588D1C4CF4A5F604EF20AFB1E6_12</vt:lpwstr>
  </property>
</Properties>
</file>