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eastAsia="宋体"/>
          <w:b/>
          <w:bCs/>
          <w:color w:val="auto"/>
          <w:sz w:val="32"/>
          <w:szCs w:val="32"/>
          <w:highlight w:val="none"/>
        </w:rPr>
      </w:pPr>
      <w:bookmarkStart w:id="20" w:name="_GoBack"/>
      <w:bookmarkEnd w:id="20"/>
    </w:p>
    <w:p>
      <w:pPr>
        <w:pStyle w:val="4"/>
        <w:spacing w:line="360" w:lineRule="auto"/>
        <w:jc w:val="center"/>
        <w:outlineLvl w:val="0"/>
        <w:rPr>
          <w:rFonts w:eastAsia="宋体"/>
          <w:b/>
          <w:bCs/>
          <w:color w:val="auto"/>
          <w:sz w:val="32"/>
          <w:szCs w:val="32"/>
          <w:highlight w:val="none"/>
        </w:rPr>
      </w:pPr>
      <w:bookmarkStart w:id="0" w:name="_Toc19252"/>
      <w:bookmarkStart w:id="1" w:name="_Toc2189"/>
      <w:r>
        <w:rPr>
          <w:rFonts w:hint="eastAsia" w:eastAsia="宋体"/>
          <w:b/>
          <w:bCs/>
          <w:color w:val="auto"/>
          <w:sz w:val="32"/>
          <w:szCs w:val="32"/>
          <w:highlight w:val="none"/>
        </w:rPr>
        <w:t>广州市第四资源热力电厂二期工程及配套设施项目园林景观工程施工专业承包招标公告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u w:val="single"/>
          <w:lang w:eastAsia="zh-CN"/>
        </w:rPr>
        <w:t>穗发改核准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2019</w:t>
      </w:r>
      <w:r>
        <w:rPr>
          <w:rFonts w:hint="eastAsia" w:ascii="宋体" w:hAnsi="宋体" w:eastAsia="宋体" w:cs="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12号</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eastAsia="zh-CN"/>
        </w:rPr>
        <w:t>穗南审批地证﹝20</w:t>
      </w:r>
      <w:r>
        <w:rPr>
          <w:rFonts w:hint="eastAsia" w:ascii="宋体" w:hAnsi="宋体" w:eastAsia="宋体"/>
          <w:color w:val="auto"/>
          <w:sz w:val="24"/>
          <w:szCs w:val="24"/>
          <w:highlight w:val="none"/>
          <w:u w:val="single"/>
          <w:lang w:val="en-US" w:eastAsia="zh-CN"/>
        </w:rPr>
        <w:t>20</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u w:val="single"/>
          <w:lang w:eastAsia="zh-CN"/>
        </w:rPr>
        <w:t>号</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eastAsia="zh-CN"/>
        </w:rPr>
        <w:t>穗规划资源业务函﹝20</w:t>
      </w:r>
      <w:r>
        <w:rPr>
          <w:rFonts w:hint="eastAsia" w:ascii="宋体" w:hAnsi="宋体" w:eastAsia="宋体"/>
          <w:color w:val="auto"/>
          <w:sz w:val="24"/>
          <w:szCs w:val="24"/>
          <w:highlight w:val="none"/>
          <w:u w:val="single"/>
          <w:lang w:val="en-US" w:eastAsia="zh-CN"/>
        </w:rPr>
        <w:t>22</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10032</w:t>
      </w:r>
      <w:r>
        <w:rPr>
          <w:rFonts w:hint="eastAsia" w:ascii="宋体" w:hAnsi="宋体" w:eastAsia="宋体"/>
          <w:color w:val="auto"/>
          <w:sz w:val="24"/>
          <w:szCs w:val="24"/>
          <w:highlight w:val="none"/>
          <w:u w:val="single"/>
          <w:lang w:eastAsia="zh-CN"/>
        </w:rPr>
        <w:t>号、穗规划资源建证﹝20</w:t>
      </w:r>
      <w:r>
        <w:rPr>
          <w:rFonts w:hint="eastAsia" w:ascii="宋体" w:hAnsi="宋体" w:eastAsia="宋体"/>
          <w:color w:val="auto"/>
          <w:sz w:val="24"/>
          <w:szCs w:val="24"/>
          <w:highlight w:val="none"/>
          <w:u w:val="single"/>
          <w:lang w:val="en-US" w:eastAsia="zh-CN"/>
        </w:rPr>
        <w:t>20</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1942</w:t>
      </w:r>
      <w:r>
        <w:rPr>
          <w:rFonts w:hint="eastAsia" w:ascii="宋体" w:hAnsi="宋体" w:eastAsia="宋体"/>
          <w:color w:val="auto"/>
          <w:sz w:val="24"/>
          <w:szCs w:val="24"/>
          <w:highlight w:val="none"/>
          <w:u w:val="single"/>
          <w:lang w:eastAsia="zh-CN"/>
        </w:rPr>
        <w:t>号</w:t>
      </w:r>
      <w:r>
        <w:rPr>
          <w:rFonts w:hint="eastAsia" w:ascii="宋体" w:hAnsi="宋体" w:eastAsia="宋体"/>
          <w:color w:val="auto"/>
          <w:sz w:val="24"/>
          <w:szCs w:val="24"/>
          <w:highlight w:val="none"/>
        </w:rPr>
        <w:t>批准，并且图纸和技术资料满足施工要求，以及资金已经落实，</w:t>
      </w:r>
      <w:r>
        <w:rPr>
          <w:rFonts w:hint="eastAsia" w:ascii="宋体" w:hAnsi="宋体" w:eastAsia="宋体"/>
          <w:color w:val="auto"/>
          <w:sz w:val="24"/>
          <w:szCs w:val="24"/>
          <w:highlight w:val="none"/>
          <w:u w:val="single"/>
        </w:rPr>
        <w:t>广州环投南沙环保能源有限公司</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rPr>
        <w:t>广州市第四资源热力电厂二期工程及配套设施项目园林景观工程施工专业承包</w:t>
      </w:r>
      <w:r>
        <w:rPr>
          <w:rFonts w:hint="eastAsia" w:ascii="宋体" w:hAnsi="宋体" w:eastAsia="宋体"/>
          <w:color w:val="auto"/>
          <w:sz w:val="24"/>
          <w:szCs w:val="24"/>
          <w:highlight w:val="none"/>
        </w:rPr>
        <w:t>进行施工公开招标，选定承包人。</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一、工程名称：</w:t>
      </w:r>
      <w:r>
        <w:rPr>
          <w:rFonts w:hint="eastAsia" w:ascii="宋体" w:hAnsi="宋体" w:eastAsia="宋体"/>
          <w:color w:val="auto"/>
          <w:sz w:val="24"/>
          <w:szCs w:val="24"/>
          <w:highlight w:val="none"/>
          <w:u w:val="single"/>
        </w:rPr>
        <w:t>广州市第四资源热力电厂二期工程及配套设施项目园林景观工程施工专业承包</w:t>
      </w:r>
    </w:p>
    <w:p>
      <w:pPr>
        <w:spacing w:line="360" w:lineRule="auto"/>
        <w:ind w:firstLine="540" w:firstLineChars="225"/>
        <w:outlineLvl w:val="1"/>
        <w:rPr>
          <w:rFonts w:ascii="宋体" w:hAnsi="宋体" w:eastAsia="宋体"/>
          <w:color w:val="auto"/>
          <w:sz w:val="24"/>
          <w:szCs w:val="24"/>
          <w:highlight w:val="none"/>
        </w:rPr>
      </w:pPr>
      <w:bookmarkStart w:id="2" w:name="_Toc27782"/>
      <w:bookmarkStart w:id="3" w:name="_Toc26165"/>
      <w:r>
        <w:rPr>
          <w:rFonts w:hint="eastAsia" w:ascii="宋体" w:hAnsi="宋体" w:eastAsia="宋体"/>
          <w:color w:val="auto"/>
          <w:sz w:val="24"/>
          <w:szCs w:val="24"/>
          <w:highlight w:val="none"/>
        </w:rPr>
        <w:t>二、招标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广州环投南沙环保能源有限公司</w:t>
      </w:r>
      <w:bookmarkEnd w:id="2"/>
      <w:bookmarkEnd w:id="3"/>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eastAsia="zh-CN"/>
        </w:rPr>
        <w:t>王工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020-85806336</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项目建设管理单位：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p>
    <w:p>
      <w:pPr>
        <w:spacing w:line="360" w:lineRule="auto"/>
        <w:ind w:firstLine="540" w:firstLineChars="225"/>
        <w:outlineLvl w:val="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w:t>
      </w:r>
      <w:bookmarkStart w:id="4" w:name="_Toc6304"/>
      <w:bookmarkStart w:id="5" w:name="_Toc24999"/>
      <w:r>
        <w:rPr>
          <w:rFonts w:hint="eastAsia" w:ascii="宋体" w:hAnsi="宋体" w:eastAsia="宋体"/>
          <w:color w:val="auto"/>
          <w:sz w:val="24"/>
          <w:szCs w:val="24"/>
          <w:highlight w:val="none"/>
        </w:rPr>
        <w:t>招标代理机构：</w:t>
      </w:r>
      <w:r>
        <w:rPr>
          <w:rFonts w:hint="eastAsia" w:ascii="宋体" w:hAnsi="宋体" w:eastAsia="宋体"/>
          <w:color w:val="auto"/>
          <w:sz w:val="24"/>
          <w:szCs w:val="24"/>
          <w:highlight w:val="none"/>
          <w:u w:val="single"/>
          <w:lang w:eastAsia="zh-CN"/>
        </w:rPr>
        <w:t>北京中交建设工程咨询有限公司</w:t>
      </w:r>
      <w:bookmarkEnd w:id="4"/>
      <w:bookmarkEnd w:id="5"/>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eastAsia="zh-CN"/>
        </w:rPr>
        <w:t>罗工、何工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020-87575800-810/857</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招标监督机构：</w:t>
      </w:r>
      <w:r>
        <w:rPr>
          <w:rFonts w:hint="eastAsia" w:ascii="宋体" w:hAnsi="宋体" w:eastAsia="宋体"/>
          <w:color w:val="auto"/>
          <w:sz w:val="24"/>
          <w:szCs w:val="24"/>
          <w:highlight w:val="none"/>
          <w:u w:val="single"/>
        </w:rPr>
        <w:t>广州市林业和园林局</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w:t>
      </w:r>
      <w:r>
        <w:rPr>
          <w:rFonts w:hint="eastAsia" w:ascii="宋体" w:hAnsi="宋体" w:eastAsia="宋体"/>
          <w:color w:val="auto"/>
          <w:sz w:val="24"/>
          <w:szCs w:val="24"/>
          <w:highlight w:val="none"/>
          <w:u w:val="single"/>
        </w:rPr>
        <w:t>020-83865773</w:t>
      </w:r>
    </w:p>
    <w:p>
      <w:pPr>
        <w:spacing w:line="360" w:lineRule="auto"/>
        <w:ind w:firstLine="540" w:firstLineChars="225"/>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highlight w:val="none"/>
          <w:u w:val="single"/>
        </w:rPr>
        <w:t>广州市南沙区大岗装备基地（大岗镇新联二村）广州市第四资源热力电厂地块。</w:t>
      </w:r>
    </w:p>
    <w:p>
      <w:pPr>
        <w:spacing w:line="360" w:lineRule="auto"/>
        <w:ind w:firstLine="540" w:firstLineChars="225"/>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lang w:eastAsia="zh-CN"/>
        </w:rPr>
        <w:t>本项目主要建设一座日均焚烧处理生活垃圾3000吨的垃圾焚烧发电厂，配置4台800吨/日炉排焚烧炉，2台50MW凝汽式汽轮机组，以及一座设计处理规模为1200立方米/日的污水处理站，一座处理规模为1000吨/日的炉渣综合处理厂，并配套建设环卫车辆洗车及检验区、综合服务楼、门卫室、取水供水工程、进场道路、外电供电和电力上网接入工程等。</w:t>
      </w:r>
    </w:p>
    <w:p>
      <w:pPr>
        <w:spacing w:line="360" w:lineRule="auto"/>
        <w:ind w:firstLine="540" w:firstLineChars="225"/>
        <w:outlineLvl w:val="1"/>
        <w:rPr>
          <w:rFonts w:hint="eastAsia" w:ascii="宋体" w:hAnsi="宋体" w:eastAsia="宋体"/>
          <w:color w:val="auto"/>
          <w:sz w:val="24"/>
          <w:szCs w:val="24"/>
          <w:highlight w:val="none"/>
        </w:rPr>
      </w:pPr>
      <w:bookmarkStart w:id="6" w:name="_Toc2310"/>
      <w:bookmarkStart w:id="7" w:name="_Toc26640"/>
      <w:r>
        <w:rPr>
          <w:rFonts w:hint="eastAsia" w:ascii="宋体" w:hAnsi="宋体" w:eastAsia="宋体"/>
          <w:color w:val="auto"/>
          <w:sz w:val="24"/>
          <w:szCs w:val="24"/>
          <w:highlight w:val="none"/>
        </w:rPr>
        <w:t>五、标段划分及各标段招标内容、规模和最高投标限价：</w:t>
      </w:r>
      <w:bookmarkEnd w:id="6"/>
      <w:bookmarkEnd w:id="7"/>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rPr>
        <w:t>个标段。</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2.各标段招标内容、规模和最高投标限价：</w:t>
      </w:r>
      <w:r>
        <w:rPr>
          <w:rFonts w:hint="eastAsia" w:ascii="宋体" w:hAnsi="宋体" w:eastAsia="宋体"/>
          <w:color w:val="auto"/>
          <w:sz w:val="24"/>
          <w:szCs w:val="24"/>
          <w:highlight w:val="none"/>
          <w:u w:val="single"/>
        </w:rPr>
        <w:t>本次招标范围为广州市第四资源热力电厂二期工程及配套设施项目园林景观工程，主要内容如下（包括但不限于）：</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（1）招标内容、规模：</w:t>
      </w:r>
      <w:r>
        <w:rPr>
          <w:rFonts w:hint="eastAsia" w:ascii="宋体" w:hAnsi="宋体" w:eastAsia="宋体"/>
          <w:color w:val="auto"/>
          <w:sz w:val="24"/>
          <w:szCs w:val="24"/>
          <w:highlight w:val="none"/>
          <w:u w:val="single"/>
          <w:lang w:eastAsia="zh-CN"/>
        </w:rPr>
        <w:t>负责</w:t>
      </w:r>
      <w:r>
        <w:rPr>
          <w:rFonts w:hint="eastAsia" w:ascii="宋体" w:hAnsi="宋体" w:eastAsia="宋体"/>
          <w:color w:val="auto"/>
          <w:sz w:val="24"/>
          <w:szCs w:val="24"/>
          <w:highlight w:val="none"/>
          <w:u w:val="single"/>
        </w:rPr>
        <w:t>全厂红线范围内的园林绿化，园建设施及水电配套设施的采购及施工</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包括但不限于土方工程（含土方开挖、外运、支护、降排水措施、回填土施工等）、安装工程、景观工程（含运动设施、电瓶车站、摆设、标识等）、地面铺装、室外园林建筑和结构、电气照明、弱电系统、给水、排水、绿化种植、招标</w:t>
      </w:r>
      <w:r>
        <w:rPr>
          <w:rFonts w:hint="eastAsia" w:ascii="宋体" w:hAnsi="宋体" w:eastAsia="宋体"/>
          <w:color w:val="auto"/>
          <w:sz w:val="24"/>
          <w:szCs w:val="24"/>
          <w:highlight w:val="none"/>
          <w:u w:val="single"/>
          <w:lang w:eastAsia="zh-CN"/>
        </w:rPr>
        <w:t>人</w:t>
      </w:r>
      <w:r>
        <w:rPr>
          <w:rFonts w:hint="eastAsia" w:ascii="宋体" w:hAnsi="宋体" w:eastAsia="宋体"/>
          <w:color w:val="auto"/>
          <w:sz w:val="24"/>
          <w:szCs w:val="24"/>
          <w:highlight w:val="none"/>
          <w:u w:val="single"/>
        </w:rPr>
        <w:t>一二期工程原有乔木和绿植移栽等</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具体以招标文件、技术需求书及工程量清单、招标图纸为准。</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（2）承包方式：投标人根据招标人的招标文件、施工图纸及工程量清单等规定的范围内的工程内容，结合现场实际情况进行投标报价，由承包人按照合同约定范围和图纸内容实行工程</w:t>
      </w:r>
      <w:r>
        <w:rPr>
          <w:rFonts w:hint="eastAsia" w:ascii="宋体" w:hAnsi="宋体" w:eastAsia="宋体"/>
          <w:color w:val="auto"/>
          <w:sz w:val="24"/>
          <w:szCs w:val="24"/>
          <w:highlight w:val="none"/>
          <w:u w:val="single"/>
          <w:lang w:eastAsia="zh-CN"/>
        </w:rPr>
        <w:t>专业</w:t>
      </w:r>
      <w:r>
        <w:rPr>
          <w:rFonts w:hint="eastAsia" w:ascii="宋体" w:hAnsi="宋体" w:eastAsia="宋体"/>
          <w:color w:val="auto"/>
          <w:sz w:val="24"/>
          <w:szCs w:val="24"/>
          <w:highlight w:val="none"/>
          <w:u w:val="single"/>
        </w:rPr>
        <w:t>承包，包括但不限于包工、包料、包质量、包安全生产、包文明施工、包工期、包各系统调试及联合调试、包承包范围内工程验收通过、包移交、包结算、包运行维护管理及相关部门报建/报批手续、包施工</w:t>
      </w:r>
      <w:r>
        <w:rPr>
          <w:rFonts w:hint="eastAsia" w:ascii="宋体" w:hAnsi="宋体" w:eastAsia="宋体"/>
          <w:color w:val="auto"/>
          <w:sz w:val="24"/>
          <w:szCs w:val="24"/>
          <w:highlight w:val="none"/>
          <w:u w:val="single"/>
          <w:lang w:eastAsia="zh-CN"/>
        </w:rPr>
        <w:t>专业</w:t>
      </w:r>
      <w:r>
        <w:rPr>
          <w:rFonts w:hint="eastAsia" w:ascii="宋体" w:hAnsi="宋体" w:eastAsia="宋体"/>
          <w:color w:val="auto"/>
          <w:sz w:val="24"/>
          <w:szCs w:val="24"/>
          <w:highlight w:val="none"/>
          <w:u w:val="single"/>
        </w:rPr>
        <w:t>承包管理和现场整体组织、包专业协调及配合、包工程保险（含附加第三者责任险及其他保险）、包竣工图编制（须满足规划等各专项验收要求）等。</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3、最高投标限价：</w:t>
      </w:r>
      <w:r>
        <w:rPr>
          <w:rFonts w:hint="eastAsia" w:ascii="宋体" w:hAnsi="宋体" w:eastAsia="宋体"/>
          <w:color w:val="auto"/>
          <w:sz w:val="24"/>
          <w:szCs w:val="24"/>
          <w:highlight w:val="none"/>
          <w:u w:val="single"/>
          <w:lang w:val="en-US" w:eastAsia="zh-CN"/>
        </w:rPr>
        <w:t>12013850.81</w:t>
      </w:r>
      <w:r>
        <w:rPr>
          <w:rFonts w:hint="eastAsia" w:ascii="宋体" w:hAnsi="宋体" w:eastAsia="宋体"/>
          <w:color w:val="auto"/>
          <w:sz w:val="24"/>
          <w:szCs w:val="24"/>
          <w:highlight w:val="none"/>
          <w:u w:val="single"/>
        </w:rPr>
        <w:t>元。</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lang w:eastAsia="zh-CN"/>
        </w:rPr>
        <w:t>企业自筹</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9</w:t>
      </w:r>
      <w:r>
        <w:rPr>
          <w:rFonts w:hint="eastAsia" w:ascii="宋体" w:hAnsi="宋体" w:eastAsia="宋体"/>
          <w:color w:val="auto"/>
          <w:sz w:val="24"/>
          <w:szCs w:val="24"/>
          <w:highlight w:val="none"/>
        </w:rPr>
        <w:t>日至</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outlineLvl w:val="1"/>
        <w:rPr>
          <w:rFonts w:ascii="宋体" w:hAnsi="宋体" w:eastAsia="宋体"/>
          <w:color w:val="auto"/>
          <w:sz w:val="24"/>
          <w:szCs w:val="24"/>
          <w:highlight w:val="none"/>
        </w:rPr>
      </w:pPr>
      <w:bookmarkStart w:id="8" w:name="_Toc12978"/>
      <w:bookmarkStart w:id="9" w:name="_Toc249"/>
      <w:r>
        <w:rPr>
          <w:rFonts w:hint="eastAsia" w:ascii="宋体" w:hAnsi="宋体" w:eastAsia="宋体"/>
          <w:color w:val="auto"/>
          <w:sz w:val="24"/>
          <w:szCs w:val="24"/>
          <w:highlight w:val="none"/>
        </w:rPr>
        <w:t>八、递交投标文件时间与开标时间</w:t>
      </w:r>
      <w:bookmarkEnd w:id="8"/>
      <w:bookmarkEnd w:id="9"/>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分（递交投标文件截止时间与开标时间应为同一时间）。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outlineLvl w:val="1"/>
        <w:rPr>
          <w:rFonts w:ascii="宋体" w:hAnsi="宋体" w:eastAsia="宋体"/>
          <w:color w:val="auto"/>
          <w:sz w:val="24"/>
          <w:szCs w:val="24"/>
          <w:highlight w:val="none"/>
        </w:rPr>
      </w:pPr>
      <w:bookmarkStart w:id="10" w:name="_Toc19302"/>
      <w:bookmarkStart w:id="11" w:name="_Toc23901"/>
      <w:r>
        <w:rPr>
          <w:rFonts w:hint="eastAsia" w:ascii="宋体" w:hAnsi="宋体" w:eastAsia="宋体"/>
          <w:color w:val="auto"/>
          <w:sz w:val="24"/>
          <w:szCs w:val="24"/>
          <w:highlight w:val="none"/>
        </w:rPr>
        <w:t>九、办理投标登记手续</w:t>
      </w:r>
      <w:bookmarkEnd w:id="10"/>
      <w:bookmarkEnd w:id="11"/>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投标人应在递交投标文件截止时间前，登录广州公共资源交易网站办理网上投标登记手续。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）登录广州公共资源交易网站投标人服务专区完成投标人的相关信息录入。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万元，投标保证金须在开标前完成缴纳。</w:t>
      </w:r>
    </w:p>
    <w:p>
      <w:pPr>
        <w:spacing w:line="360" w:lineRule="auto"/>
        <w:ind w:firstLine="480" w:firstLineChars="200"/>
        <w:outlineLvl w:val="1"/>
        <w:rPr>
          <w:rFonts w:ascii="宋体" w:hAnsi="宋体" w:eastAsia="宋体"/>
          <w:color w:val="auto"/>
          <w:sz w:val="24"/>
          <w:szCs w:val="24"/>
          <w:highlight w:val="none"/>
        </w:rPr>
      </w:pPr>
      <w:bookmarkStart w:id="12" w:name="_Toc27951"/>
      <w:bookmarkStart w:id="13" w:name="_Toc4137"/>
      <w:r>
        <w:rPr>
          <w:rFonts w:hint="eastAsia" w:ascii="宋体" w:hAnsi="宋体" w:eastAsia="宋体"/>
          <w:color w:val="auto"/>
          <w:sz w:val="24"/>
          <w:szCs w:val="24"/>
          <w:highlight w:val="none"/>
        </w:rPr>
        <w:t>十、资格审查方式：</w:t>
      </w:r>
      <w:bookmarkEnd w:id="12"/>
      <w:bookmarkEnd w:id="13"/>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outlineLvl w:val="1"/>
        <w:rPr>
          <w:rFonts w:ascii="宋体" w:hAnsi="宋体" w:eastAsia="宋体"/>
          <w:color w:val="auto"/>
          <w:sz w:val="24"/>
          <w:szCs w:val="24"/>
          <w:highlight w:val="none"/>
        </w:rPr>
      </w:pPr>
      <w:bookmarkStart w:id="14" w:name="_Toc8653"/>
      <w:bookmarkStart w:id="15" w:name="_Toc794"/>
      <w:r>
        <w:rPr>
          <w:rFonts w:hint="eastAsia" w:ascii="宋体" w:hAnsi="宋体" w:eastAsia="宋体"/>
          <w:color w:val="auto"/>
          <w:sz w:val="24"/>
          <w:szCs w:val="24"/>
          <w:highlight w:val="none"/>
        </w:rPr>
        <w:t>十一、投标人资格条件：</w:t>
      </w:r>
      <w:bookmarkEnd w:id="14"/>
      <w:bookmarkEnd w:id="15"/>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2.投标人须是在中华人民共和国境内注册的独立法人或其他组织，持有工商行政管理部门核发的营业执照。</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rPr>
        <w:t>投标人拟担任本工程</w:t>
      </w:r>
      <w:r>
        <w:rPr>
          <w:rFonts w:hint="eastAsia" w:ascii="宋体" w:hAnsi="宋体" w:eastAsia="宋体"/>
          <w:color w:val="auto"/>
          <w:sz w:val="24"/>
          <w:szCs w:val="24"/>
          <w:highlight w:val="none"/>
        </w:rPr>
        <w:t>项目负责人的人员为：</w:t>
      </w:r>
      <w:r>
        <w:rPr>
          <w:rFonts w:hint="eastAsia" w:ascii="宋体" w:hAnsi="宋体" w:eastAsia="宋体"/>
          <w:color w:val="auto"/>
          <w:sz w:val="24"/>
          <w:szCs w:val="24"/>
          <w:highlight w:val="none"/>
          <w:u w:val="single"/>
        </w:rPr>
        <w:t>园林绿化或风景园林专业</w:t>
      </w:r>
      <w:r>
        <w:rPr>
          <w:rFonts w:hint="eastAsia" w:ascii="宋体" w:hAnsi="宋体" w:eastAsia="宋体"/>
          <w:color w:val="auto"/>
          <w:sz w:val="24"/>
          <w:szCs w:val="24"/>
          <w:highlight w:val="none"/>
          <w:u w:val="single"/>
          <w:lang w:eastAsia="zh-CN"/>
        </w:rPr>
        <w:t>高</w:t>
      </w:r>
      <w:r>
        <w:rPr>
          <w:rFonts w:hint="eastAsia" w:ascii="宋体" w:hAnsi="宋体" w:eastAsia="宋体"/>
          <w:color w:val="auto"/>
          <w:sz w:val="24"/>
          <w:szCs w:val="24"/>
          <w:highlight w:val="none"/>
        </w:rPr>
        <w:t>级及以上专业技术职称。</w:t>
      </w:r>
    </w:p>
    <w:p>
      <w:pPr>
        <w:numPr>
          <w:ilvl w:val="0"/>
          <w:numId w:val="1"/>
          <w:numberingChange w:id="0" w:author="hu" w:date="2020-08-20T14:18:00Z" w:original="%1:4:0:."/>
        </w:num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020年1月1日至今完成过质量合格的类似园林绿化工程业绩，类似工程是指经济指标达到</w:t>
      </w:r>
      <w:r>
        <w:rPr>
          <w:rFonts w:hint="eastAsia" w:ascii="宋体" w:hAnsi="宋体" w:eastAsia="宋体"/>
          <w:color w:val="auto"/>
          <w:sz w:val="24"/>
          <w:szCs w:val="24"/>
          <w:highlight w:val="none"/>
          <w:u w:val="single"/>
        </w:rPr>
        <w:t>中标额</w:t>
      </w:r>
      <w:r>
        <w:rPr>
          <w:rFonts w:hint="eastAsia" w:ascii="宋体" w:hAnsi="宋体" w:eastAsia="宋体"/>
          <w:color w:val="auto"/>
          <w:sz w:val="24"/>
          <w:szCs w:val="24"/>
          <w:highlight w:val="none"/>
          <w:u w:val="single"/>
          <w:lang w:val="en-US" w:eastAsia="zh-CN"/>
        </w:rPr>
        <w:t>800</w:t>
      </w:r>
      <w:r>
        <w:rPr>
          <w:rFonts w:hint="eastAsia" w:ascii="宋体" w:hAnsi="宋体" w:eastAsia="宋体"/>
          <w:color w:val="auto"/>
          <w:sz w:val="24"/>
          <w:szCs w:val="24"/>
          <w:highlight w:val="none"/>
          <w:u w:val="single"/>
        </w:rPr>
        <w:t>万元或以上</w:t>
      </w:r>
      <w:r>
        <w:rPr>
          <w:rFonts w:hint="eastAsia" w:ascii="宋体" w:hAnsi="宋体" w:eastAsia="宋体"/>
          <w:color w:val="auto"/>
          <w:sz w:val="24"/>
          <w:szCs w:val="24"/>
          <w:highlight w:val="none"/>
        </w:rPr>
        <w:t>的园林绿化工程。</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）业绩取自广州公共资源交易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w:t>
      </w:r>
      <w:r>
        <w:rPr>
          <w:rFonts w:ascii="宋体" w:hAnsi="宋体" w:eastAsia="宋体"/>
          <w:color w:val="auto"/>
          <w:sz w:val="24"/>
          <w:szCs w:val="24"/>
          <w:highlight w:val="none"/>
        </w:rPr>
        <w:t>企业</w:t>
      </w:r>
      <w:r>
        <w:rPr>
          <w:rFonts w:hint="eastAsia" w:ascii="宋体" w:hAnsi="宋体" w:eastAsia="宋体"/>
          <w:color w:val="auto"/>
          <w:sz w:val="24"/>
          <w:szCs w:val="24"/>
          <w:highlight w:val="none"/>
        </w:rPr>
        <w:t>工程业绩</w:t>
      </w:r>
      <w:r>
        <w:rPr>
          <w:rFonts w:ascii="宋体" w:hAnsi="宋体" w:eastAsia="宋体"/>
          <w:color w:val="auto"/>
          <w:sz w:val="24"/>
          <w:szCs w:val="24"/>
          <w:highlight w:val="none"/>
        </w:rPr>
        <w:t>库。</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）业绩需同时提供中标通知书、施工合同、竣工验收报告或竣工验收证明。如以上资料不能证明业绩规模的技术指标（指面积、跨度等）的，须另提供可证明业绩技术指标的其他资料。</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）业绩金额以中标通知书为准，中标通知书上没有金额的，以施工合同（不含补充合同）为准，完成时间以竣工验收时间为准。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5.专职安全人员须具有在有效期内的安全生产考核合格证书（C类），或能够提供广东省建筑施工企业管理人员安全生产考核信息系统安全生产管理人员证书信息的打印页。</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6.投标人按照规定的格式及内容要求签署了《投标人声明》。</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7.关于联合体投标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lang w:eastAsia="zh-CN"/>
        </w:rPr>
        <w:t>本项目不接受联合体投标。</w:t>
      </w:r>
    </w:p>
    <w:p>
      <w:pPr>
        <w:spacing w:line="360" w:lineRule="auto"/>
        <w:ind w:firstLine="480" w:firstLineChars="200"/>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rPr>
        <w:t>8.投标人信用情况</w:t>
      </w:r>
    </w:p>
    <w:p>
      <w:pPr>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lang w:eastAsia="zh-CN"/>
        </w:rPr>
        <w:t>未</w:t>
      </w:r>
      <w:r>
        <w:rPr>
          <w:rFonts w:hint="eastAsia" w:ascii="宋体" w:hAnsi="宋体" w:eastAsia="宋体"/>
          <w:color w:val="auto"/>
          <w:kern w:val="0"/>
          <w:sz w:val="24"/>
          <w:szCs w:val="24"/>
          <w:highlight w:val="none"/>
        </w:rPr>
        <w:t>被列入国家、省、市失信联合惩戒名单</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rPr>
        <w:t>具体名单以递交</w:t>
      </w:r>
      <w:r>
        <w:rPr>
          <w:rFonts w:hint="eastAsia" w:ascii="宋体" w:hAnsi="宋体" w:eastAsia="宋体"/>
          <w:color w:val="auto"/>
          <w:kern w:val="0"/>
          <w:sz w:val="24"/>
          <w:szCs w:val="24"/>
          <w:highlight w:val="none"/>
          <w:lang w:eastAsia="zh-CN"/>
        </w:rPr>
        <w:t>投标</w:t>
      </w:r>
      <w:r>
        <w:rPr>
          <w:rFonts w:hint="eastAsia" w:ascii="宋体" w:hAnsi="宋体" w:eastAsia="宋体"/>
          <w:color w:val="auto"/>
          <w:kern w:val="0"/>
          <w:sz w:val="24"/>
          <w:szCs w:val="24"/>
          <w:highlight w:val="none"/>
        </w:rPr>
        <w:t>文件截止时间“信用广州”网站公布的“失信联合惩戒黑名单——国家下发”为准</w:t>
      </w:r>
      <w:r>
        <w:rPr>
          <w:rFonts w:hint="eastAsia" w:ascii="宋体" w:hAnsi="宋体" w:eastAsia="宋体"/>
          <w:color w:val="auto"/>
          <w:kern w:val="0"/>
          <w:sz w:val="24"/>
          <w:szCs w:val="24"/>
          <w:highlight w:val="none"/>
          <w:lang w:eastAsia="zh-CN"/>
        </w:rPr>
        <w:t>），或未</w:t>
      </w:r>
      <w:r>
        <w:rPr>
          <w:rFonts w:hint="eastAsia" w:ascii="宋体" w:hAnsi="宋体" w:eastAsia="宋体"/>
          <w:color w:val="auto"/>
          <w:kern w:val="0"/>
          <w:sz w:val="24"/>
          <w:szCs w:val="24"/>
          <w:highlight w:val="none"/>
        </w:rPr>
        <w:t>因失信行为被本项目所在地行政主管部门作出限制参与工程建设项目投标</w:t>
      </w:r>
      <w:r>
        <w:rPr>
          <w:rFonts w:hint="eastAsia" w:ascii="宋体" w:hAnsi="宋体" w:eastAsia="宋体"/>
          <w:color w:val="auto"/>
          <w:kern w:val="0"/>
          <w:sz w:val="24"/>
          <w:szCs w:val="24"/>
          <w:highlight w:val="none"/>
          <w:lang w:eastAsia="zh-CN"/>
        </w:rPr>
        <w:t>的</w:t>
      </w:r>
      <w:r>
        <w:rPr>
          <w:rFonts w:hint="eastAsia" w:ascii="宋体" w:hAnsi="宋体" w:eastAsia="宋体"/>
          <w:color w:val="auto"/>
          <w:kern w:val="0"/>
          <w:sz w:val="24"/>
          <w:szCs w:val="24"/>
          <w:highlight w:val="none"/>
        </w:rPr>
        <w:t>决定。</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企业库办理企业信息登记，拟担任本工程项目负责人须是本企业信息登记中的在册人员。项目负责人和安全员不为同一人。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2.投标人资格条件2-5项（除广东省建筑施工企业管理人员安全生产考核信息系统安全生产管理人员证书信息的打印页、《信息公开证明》打印页外）的信息取自投标人在广州公共资源交易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企业库、城市园林绿化企业工程业绩库登记的信息，广州公共资源交易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企业库、城市园林绿化企业工程业绩库中该部分信息将被视为投标申请人递交资格审查资料的一部分。评标委员会对该部分资料的审查将以递交投标文件截止时，广州公共资源交易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企业库、城市园林绿化企业工程业绩库记录的信息为依据。投标人应及时维护其在广州公共资源交易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十三、资格审查结果及评标结果将在广州公共资源交易网站公示，公开接受投标人的监督。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3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szCs w:val="24"/>
          <w:highlight w:val="none"/>
        </w:rPr>
        <w:t>十五、</w:t>
      </w:r>
      <w:r>
        <w:rPr>
          <w:rFonts w:hint="eastAsia" w:ascii="宋体" w:hAnsi="宋体" w:eastAsia="宋体"/>
          <w:bCs/>
          <w:color w:val="auto"/>
          <w:sz w:val="24"/>
          <w:highlight w:val="none"/>
        </w:rPr>
        <w:t>本工程根据中华人民共和国现行的《建设工程工程量清单计价规范》及省、市有关计价规范设置最高投标限价。</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十六、</w:t>
      </w:r>
      <w:bookmarkStart w:id="16" w:name="OLE_LINK2"/>
      <w:bookmarkStart w:id="17" w:name="OLE_LINK1"/>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rPr>
        <w:t>广州环投南沙环保能源有限公司</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异议受理电话：</w:t>
      </w:r>
      <w:r>
        <w:rPr>
          <w:rFonts w:hint="eastAsia" w:ascii="宋体" w:hAnsi="宋体" w:eastAsia="宋体" w:cs="仿宋_GB2312"/>
          <w:color w:val="auto"/>
          <w:sz w:val="24"/>
          <w:szCs w:val="24"/>
          <w:highlight w:val="none"/>
          <w:u w:val="single"/>
        </w:rPr>
        <w:t>020-85806336</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广州市越秀区流花路121号南塔(越秀国际会议中心)11楼</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rPr>
        <w:t>广州市林业和园林局</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投诉受理电话：</w:t>
      </w:r>
      <w:r>
        <w:rPr>
          <w:rFonts w:hint="eastAsia" w:ascii="宋体" w:hAnsi="宋体" w:eastAsia="宋体" w:cs="仿宋_GB2312"/>
          <w:color w:val="auto"/>
          <w:sz w:val="24"/>
          <w:szCs w:val="24"/>
          <w:highlight w:val="none"/>
          <w:u w:val="single"/>
        </w:rPr>
        <w:t>020-83865773</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广州市越秀区环市东路348号</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十七、本公告在广州交易集团有限公司（广州公共资源交易中心）网站（网址：http://www.gzggzy.cn）、中国招标投标公共服务平台（网址：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广州公共资源交易网发布。本公告在各法定媒体发布的文本应当一致，如有不同之处，以在广州公共资源交易网站发布的文本为准。</w:t>
      </w:r>
    </w:p>
    <w:bookmarkEnd w:id="16"/>
    <w:bookmarkEnd w:id="17"/>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十八、本公告及招标文件使用GZYLZB202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single"/>
        </w:rPr>
        <w:t>最新</w:t>
      </w:r>
      <w:r>
        <w:rPr>
          <w:rFonts w:hint="eastAsia" w:ascii="宋体" w:hAnsi="宋体" w:eastAsia="宋体"/>
          <w:color w:val="auto"/>
          <w:sz w:val="24"/>
          <w:szCs w:val="24"/>
          <w:highlight w:val="none"/>
        </w:rPr>
        <w:t>版本的投标文件管理软件。</w:t>
      </w:r>
    </w:p>
    <w:p>
      <w:pPr>
        <w:spacing w:line="360" w:lineRule="auto"/>
        <w:ind w:firstLine="480" w:firstLineChars="200"/>
        <w:outlineLvl w:val="1"/>
        <w:rPr>
          <w:color w:val="auto"/>
          <w:highlight w:val="none"/>
        </w:rPr>
      </w:pPr>
      <w:bookmarkStart w:id="18" w:name="_Toc21171"/>
      <w:bookmarkStart w:id="19" w:name="_Toc10488"/>
      <w:r>
        <w:rPr>
          <w:rFonts w:hint="eastAsia" w:ascii="宋体" w:hAnsi="宋体" w:eastAsia="宋体"/>
          <w:color w:val="auto"/>
          <w:sz w:val="24"/>
          <w:szCs w:val="24"/>
          <w:highlight w:val="none"/>
        </w:rPr>
        <w:t>二十、投标人在广州公共资源交易网站下载招标图纸。</w:t>
      </w:r>
      <w:bookmarkEnd w:id="18"/>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A19BC"/>
    <w:multiLevelType w:val="singleLevel"/>
    <w:tmpl w:val="FE0A19BC"/>
    <w:lvl w:ilvl="0" w:tentative="0">
      <w:start w:val="4"/>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
    <w15:presenceInfo w15:providerId="None" w15:userId="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YTFkNzA2ODliMDhkNWZhMjNjNzJhYzc3ODBjNzQifQ=="/>
  </w:docVars>
  <w:rsids>
    <w:rsidRoot w:val="0FE73737"/>
    <w:rsid w:val="00FC3E1B"/>
    <w:rsid w:val="03983532"/>
    <w:rsid w:val="05BE4B63"/>
    <w:rsid w:val="0FE73737"/>
    <w:rsid w:val="1E7C3FD9"/>
    <w:rsid w:val="233861B7"/>
    <w:rsid w:val="3923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楷体_GB2312" w:cs="Times New Roman"/>
      <w:szCs w:val="20"/>
    </w:rPr>
  </w:style>
  <w:style w:type="paragraph" w:styleId="3">
    <w:name w:val="endnote text"/>
    <w:basedOn w:val="1"/>
    <w:qFormat/>
    <w:uiPriority w:val="0"/>
    <w:pPr>
      <w:snapToGrid w:val="0"/>
      <w:jc w:val="left"/>
    </w:pPr>
    <w:rPr>
      <w:rFonts w:ascii="宋体" w:hAnsi="宋体"/>
      <w:szCs w:val="24"/>
    </w:rPr>
  </w:style>
  <w:style w:type="paragraph" w:styleId="4">
    <w:name w:val="Body Text 2"/>
    <w:basedOn w:val="1"/>
    <w:qFormat/>
    <w:uiPriority w:val="0"/>
    <w:rPr>
      <w:rFonts w:ascii="宋体" w:hAnsi="宋体" w:eastAsia="楷体_GB2312" w:cs="Times New Roman"/>
      <w:szCs w:val="24"/>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3708</Words>
  <Characters>3946</Characters>
  <Lines>0</Lines>
  <Paragraphs>0</Paragraphs>
  <TotalTime>6</TotalTime>
  <ScaleCrop>false</ScaleCrop>
  <LinksUpToDate>false</LinksUpToDate>
  <CharactersWithSpaces>4018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2022-12-28T01:08:00Z</dcterms:created>
  <dc:creator>海庆</dc:creator>
  <cp:lastModifiedBy>海庆</cp:lastModifiedBy>
  <dcterms:modified xsi:type="dcterms:W3CDTF">2023-02-08T10:22:35Z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34EA586642D84E2E89409AC001C9B914</vt:lpwstr>
  </property>
</Properties>
</file>