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04640">
      <w:pPr>
        <w:spacing w:line="360" w:lineRule="auto"/>
        <w:ind w:left="0" w:leftChars="0"/>
        <w:jc w:val="center"/>
        <w:rPr>
          <w:rFonts w:hint="eastAsia" w:ascii="宋体" w:hAnsi="宋体" w:eastAsia="宋体"/>
          <w:b/>
          <w:bCs/>
          <w:color w:val="auto"/>
          <w:spacing w:val="40"/>
          <w:sz w:val="52"/>
          <w:szCs w:val="52"/>
          <w:highlight w:val="none"/>
          <w:lang w:val="en-US" w:eastAsia="zh-CN"/>
        </w:rPr>
      </w:pPr>
      <w:bookmarkStart w:id="0" w:name="_Toc18085"/>
      <w:bookmarkStart w:id="1" w:name="_Toc20717"/>
      <w:bookmarkStart w:id="2" w:name="_Toc31151"/>
    </w:p>
    <w:p w14:paraId="1424AD45">
      <w:pPr>
        <w:pStyle w:val="20"/>
        <w:rPr>
          <w:rFonts w:hint="eastAsia"/>
          <w:color w:val="auto"/>
          <w:highlight w:val="none"/>
          <w:lang w:val="en-US" w:eastAsia="zh-CN"/>
        </w:rPr>
      </w:pPr>
    </w:p>
    <w:p w14:paraId="432A538E">
      <w:pPr>
        <w:spacing w:line="360" w:lineRule="auto"/>
        <w:ind w:left="0" w:leftChars="0"/>
        <w:jc w:val="center"/>
        <w:rPr>
          <w:rFonts w:hint="default" w:ascii="宋体" w:hAnsi="宋体" w:eastAsia="宋体"/>
          <w:b/>
          <w:bCs/>
          <w:color w:val="auto"/>
          <w:spacing w:val="40"/>
          <w:sz w:val="52"/>
          <w:szCs w:val="52"/>
          <w:highlight w:val="none"/>
          <w:lang w:val="en-US"/>
        </w:rPr>
      </w:pPr>
      <w:r>
        <w:rPr>
          <w:rFonts w:hint="eastAsia" w:ascii="宋体" w:hAnsi="宋体" w:eastAsia="宋体"/>
          <w:b/>
          <w:bCs/>
          <w:color w:val="auto"/>
          <w:spacing w:val="40"/>
          <w:sz w:val="52"/>
          <w:szCs w:val="52"/>
          <w:highlight w:val="none"/>
          <w:lang w:val="en-US" w:eastAsia="zh-CN"/>
        </w:rPr>
        <w:t>太和镇健身徒步路径建设工程</w:t>
      </w:r>
    </w:p>
    <w:bookmarkEnd w:id="0"/>
    <w:bookmarkEnd w:id="1"/>
    <w:bookmarkEnd w:id="2"/>
    <w:p w14:paraId="60387697">
      <w:pPr>
        <w:spacing w:line="360" w:lineRule="auto"/>
        <w:ind w:left="359" w:leftChars="171"/>
        <w:jc w:val="center"/>
        <w:rPr>
          <w:rFonts w:ascii="宋体" w:hAnsi="宋体" w:eastAsia="宋体"/>
          <w:b/>
          <w:bCs/>
          <w:color w:val="auto"/>
          <w:spacing w:val="40"/>
          <w:sz w:val="44"/>
          <w:szCs w:val="44"/>
          <w:highlight w:val="none"/>
        </w:rPr>
      </w:pPr>
    </w:p>
    <w:p w14:paraId="1BDDBF6A">
      <w:pPr>
        <w:pStyle w:val="13"/>
        <w:rPr>
          <w:color w:val="auto"/>
          <w:highlight w:val="none"/>
        </w:rPr>
      </w:pPr>
    </w:p>
    <w:p w14:paraId="48CC7FB3">
      <w:pPr>
        <w:spacing w:line="360" w:lineRule="auto"/>
        <w:jc w:val="center"/>
        <w:rPr>
          <w:rFonts w:ascii="宋体" w:hAnsi="宋体" w:eastAsia="宋体"/>
          <w:color w:val="auto"/>
          <w:sz w:val="36"/>
          <w:highlight w:val="none"/>
          <w:u w:val="single"/>
        </w:rPr>
      </w:pPr>
    </w:p>
    <w:p w14:paraId="68DCF133">
      <w:pPr>
        <w:pStyle w:val="13"/>
        <w:rPr>
          <w:rFonts w:ascii="宋体" w:hAnsi="宋体" w:eastAsia="宋体"/>
          <w:color w:val="auto"/>
          <w:sz w:val="36"/>
          <w:highlight w:val="none"/>
          <w:u w:val="single"/>
        </w:rPr>
      </w:pPr>
    </w:p>
    <w:p w14:paraId="3B444552">
      <w:pPr>
        <w:rPr>
          <w:color w:val="auto"/>
          <w:highlight w:val="none"/>
        </w:rPr>
      </w:pPr>
    </w:p>
    <w:p w14:paraId="2870DD39">
      <w:pPr>
        <w:spacing w:line="360" w:lineRule="auto"/>
        <w:jc w:val="center"/>
        <w:rPr>
          <w:rFonts w:ascii="宋体" w:hAnsi="宋体" w:eastAsia="宋体"/>
          <w:b/>
          <w:bCs/>
          <w:color w:val="auto"/>
          <w:spacing w:val="26"/>
          <w:sz w:val="110"/>
          <w:szCs w:val="110"/>
          <w:highlight w:val="none"/>
          <w14:shadow w14:blurRad="50800" w14:dist="38100" w14:dir="2700000" w14:sx="100000" w14:sy="100000" w14:kx="0" w14:ky="0" w14:algn="tl">
            <w14:srgbClr w14:val="000000">
              <w14:alpha w14:val="60000"/>
            </w14:srgbClr>
          </w14:shadow>
        </w:rPr>
      </w:pPr>
      <w:r>
        <w:rPr>
          <w:rFonts w:hint="eastAsia" w:ascii="宋体" w:hAnsi="宋体" w:eastAsia="宋体"/>
          <w:b/>
          <w:bCs/>
          <w:color w:val="auto"/>
          <w:spacing w:val="26"/>
          <w:sz w:val="110"/>
          <w:szCs w:val="110"/>
          <w:highlight w:val="none"/>
          <w14:shadow w14:blurRad="50800" w14:dist="38100" w14:dir="2700000" w14:sx="100000" w14:sy="100000" w14:kx="0" w14:ky="0" w14:algn="tl">
            <w14:srgbClr w14:val="000000">
              <w14:alpha w14:val="60000"/>
            </w14:srgbClr>
          </w14:shadow>
        </w:rPr>
        <w:t>招标文件</w:t>
      </w:r>
    </w:p>
    <w:p w14:paraId="793BD507">
      <w:pPr>
        <w:spacing w:line="360" w:lineRule="auto"/>
        <w:jc w:val="center"/>
        <w:rPr>
          <w:rFonts w:ascii="宋体" w:hAnsi="宋体" w:eastAsia="宋体"/>
          <w:color w:val="auto"/>
          <w:sz w:val="32"/>
          <w:highlight w:val="none"/>
        </w:rPr>
      </w:pPr>
    </w:p>
    <w:p w14:paraId="369E664C">
      <w:pPr>
        <w:spacing w:line="360" w:lineRule="auto"/>
        <w:rPr>
          <w:rFonts w:ascii="宋体" w:hAnsi="宋体" w:eastAsia="宋体"/>
          <w:color w:val="auto"/>
          <w:sz w:val="52"/>
          <w:highlight w:val="none"/>
        </w:rPr>
      </w:pPr>
    </w:p>
    <w:p w14:paraId="3A504E48">
      <w:pPr>
        <w:pStyle w:val="13"/>
        <w:rPr>
          <w:rFonts w:ascii="宋体" w:hAnsi="宋体" w:eastAsia="宋体"/>
          <w:color w:val="auto"/>
          <w:sz w:val="52"/>
          <w:highlight w:val="none"/>
        </w:rPr>
      </w:pPr>
    </w:p>
    <w:p w14:paraId="0506BB0F">
      <w:pPr>
        <w:rPr>
          <w:color w:val="auto"/>
          <w:highlight w:val="none"/>
        </w:rPr>
      </w:pPr>
    </w:p>
    <w:p w14:paraId="49160239">
      <w:pPr>
        <w:pStyle w:val="13"/>
        <w:rPr>
          <w:rFonts w:ascii="宋体" w:hAnsi="宋体" w:eastAsia="宋体"/>
          <w:color w:val="auto"/>
          <w:sz w:val="52"/>
          <w:highlight w:val="none"/>
        </w:rPr>
      </w:pPr>
    </w:p>
    <w:p w14:paraId="0802FB2F">
      <w:pPr>
        <w:rPr>
          <w:color w:val="auto"/>
          <w:highlight w:val="none"/>
        </w:rPr>
      </w:pPr>
    </w:p>
    <w:p w14:paraId="3BF04188">
      <w:pPr>
        <w:spacing w:line="360" w:lineRule="auto"/>
        <w:rPr>
          <w:rFonts w:ascii="宋体" w:hAnsi="宋体" w:eastAsia="宋体"/>
          <w:color w:val="auto"/>
          <w:sz w:val="30"/>
          <w:szCs w:val="30"/>
          <w:highlight w:val="none"/>
          <w:u w:val="single"/>
        </w:rPr>
      </w:pPr>
      <w:r>
        <w:rPr>
          <w:rFonts w:hint="eastAsia" w:ascii="宋体" w:hAnsi="宋体" w:eastAsia="宋体"/>
          <w:color w:val="auto"/>
          <w:sz w:val="30"/>
          <w:szCs w:val="30"/>
          <w:highlight w:val="none"/>
        </w:rPr>
        <w:t xml:space="preserve">招  </w:t>
      </w:r>
      <w:r>
        <w:rPr>
          <w:rFonts w:hint="eastAsia" w:ascii="宋体" w:hAnsi="宋体" w:eastAsia="宋体"/>
          <w:color w:val="auto"/>
          <w:sz w:val="30"/>
          <w:szCs w:val="30"/>
          <w:highlight w:val="none"/>
          <w:lang w:val="en-US" w:eastAsia="zh-CN"/>
        </w:rPr>
        <w:t xml:space="preserve"> </w:t>
      </w:r>
      <w:r>
        <w:rPr>
          <w:rFonts w:hint="eastAsia" w:ascii="宋体" w:hAnsi="宋体" w:eastAsia="宋体"/>
          <w:color w:val="auto"/>
          <w:sz w:val="30"/>
          <w:szCs w:val="30"/>
          <w:highlight w:val="none"/>
        </w:rPr>
        <w:t xml:space="preserve">标 </w:t>
      </w:r>
      <w:r>
        <w:rPr>
          <w:rFonts w:hint="eastAsia" w:ascii="宋体" w:hAnsi="宋体" w:eastAsia="宋体"/>
          <w:color w:val="auto"/>
          <w:sz w:val="30"/>
          <w:szCs w:val="30"/>
          <w:highlight w:val="none"/>
          <w:lang w:val="en-US" w:eastAsia="zh-CN"/>
        </w:rPr>
        <w:t xml:space="preserve"> 人</w:t>
      </w:r>
      <w:r>
        <w:rPr>
          <w:rFonts w:hint="eastAsia" w:ascii="宋体" w:hAnsi="宋体" w:eastAsia="宋体"/>
          <w:color w:val="auto"/>
          <w:sz w:val="30"/>
          <w:szCs w:val="30"/>
          <w:highlight w:val="none"/>
        </w:rPr>
        <w:t>：</w:t>
      </w:r>
      <w:r>
        <w:rPr>
          <w:rFonts w:hint="eastAsia" w:ascii="宋体" w:hAnsi="宋体" w:eastAsia="宋体"/>
          <w:color w:val="auto"/>
          <w:sz w:val="30"/>
          <w:szCs w:val="30"/>
          <w:highlight w:val="none"/>
          <w:u w:val="single"/>
          <w:lang w:eastAsia="zh-CN"/>
        </w:rPr>
        <w:t>广州市白云区太和镇人民政府</w:t>
      </w:r>
    </w:p>
    <w:p w14:paraId="53CF77C6">
      <w:pPr>
        <w:spacing w:line="360" w:lineRule="auto"/>
        <w:rPr>
          <w:rFonts w:ascii="宋体" w:hAnsi="宋体" w:eastAsia="宋体"/>
          <w:color w:val="auto"/>
          <w:sz w:val="30"/>
          <w:szCs w:val="30"/>
          <w:highlight w:val="none"/>
          <w:u w:val="single"/>
        </w:rPr>
      </w:pPr>
      <w:r>
        <w:rPr>
          <w:rFonts w:hint="eastAsia" w:ascii="宋体" w:hAnsi="宋体" w:eastAsia="宋体"/>
          <w:color w:val="auto"/>
          <w:sz w:val="30"/>
          <w:szCs w:val="30"/>
          <w:highlight w:val="none"/>
        </w:rPr>
        <w:t>招标代理机构：</w:t>
      </w:r>
      <w:r>
        <w:rPr>
          <w:rFonts w:hint="eastAsia" w:ascii="宋体" w:hAnsi="宋体" w:eastAsia="宋体"/>
          <w:color w:val="auto"/>
          <w:sz w:val="30"/>
          <w:szCs w:val="30"/>
          <w:highlight w:val="none"/>
          <w:u w:val="single"/>
          <w:lang w:eastAsia="zh-CN"/>
        </w:rPr>
        <w:t>广州穗科建设管理有限公司</w:t>
      </w:r>
    </w:p>
    <w:p w14:paraId="4026BCCD">
      <w:pPr>
        <w:spacing w:line="360" w:lineRule="auto"/>
        <w:rPr>
          <w:rFonts w:ascii="宋体" w:hAnsi="宋体" w:eastAsia="宋体"/>
          <w:color w:val="auto"/>
          <w:sz w:val="30"/>
          <w:szCs w:val="30"/>
          <w:highlight w:val="none"/>
        </w:rPr>
      </w:pPr>
      <w:r>
        <w:rPr>
          <w:rFonts w:hint="eastAsia" w:ascii="宋体" w:hAnsi="宋体" w:eastAsia="宋体"/>
          <w:color w:val="auto"/>
          <w:sz w:val="30"/>
          <w:szCs w:val="30"/>
          <w:highlight w:val="none"/>
        </w:rPr>
        <w:t>日        期：</w:t>
      </w:r>
      <w:r>
        <w:rPr>
          <w:rFonts w:hint="eastAsia" w:ascii="宋体" w:hAnsi="宋体" w:eastAsia="宋体"/>
          <w:color w:val="auto"/>
          <w:sz w:val="30"/>
          <w:szCs w:val="30"/>
          <w:highlight w:val="none"/>
          <w:u w:val="single"/>
          <w:lang w:val="en-US" w:eastAsia="zh-CN"/>
        </w:rPr>
        <w:t>2025</w:t>
      </w:r>
      <w:r>
        <w:rPr>
          <w:rFonts w:hint="eastAsia" w:ascii="宋体" w:hAnsi="宋体" w:eastAsia="宋体"/>
          <w:color w:val="auto"/>
          <w:sz w:val="30"/>
          <w:szCs w:val="30"/>
          <w:highlight w:val="none"/>
        </w:rPr>
        <w:t>年</w:t>
      </w:r>
      <w:r>
        <w:rPr>
          <w:rFonts w:hint="eastAsia" w:ascii="宋体" w:hAnsi="宋体" w:eastAsia="宋体"/>
          <w:color w:val="auto"/>
          <w:sz w:val="30"/>
          <w:szCs w:val="30"/>
          <w:highlight w:val="none"/>
          <w:u w:val="single"/>
          <w:lang w:val="en-US" w:eastAsia="zh-CN"/>
        </w:rPr>
        <w:t>9</w:t>
      </w:r>
      <w:r>
        <w:rPr>
          <w:rFonts w:hint="eastAsia" w:ascii="宋体" w:hAnsi="宋体" w:eastAsia="宋体"/>
          <w:color w:val="auto"/>
          <w:sz w:val="30"/>
          <w:szCs w:val="30"/>
          <w:highlight w:val="none"/>
        </w:rPr>
        <w:t>月</w:t>
      </w:r>
    </w:p>
    <w:p w14:paraId="0DE4D404">
      <w:pPr>
        <w:pStyle w:val="75"/>
        <w:jc w:val="center"/>
        <w:rPr>
          <w:color w:val="auto"/>
          <w:sz w:val="44"/>
          <w:szCs w:val="44"/>
          <w:highlight w:val="none"/>
        </w:rPr>
      </w:pPr>
      <w:bookmarkStart w:id="3" w:name="_Toc19778"/>
      <w:r>
        <w:rPr>
          <w:color w:val="auto"/>
          <w:sz w:val="44"/>
          <w:szCs w:val="44"/>
          <w:highlight w:val="none"/>
          <w:lang w:val="zh-CN"/>
        </w:rPr>
        <w:t>目</w:t>
      </w:r>
      <w:r>
        <w:rPr>
          <w:rFonts w:hint="eastAsia"/>
          <w:color w:val="auto"/>
          <w:sz w:val="44"/>
          <w:szCs w:val="44"/>
          <w:highlight w:val="none"/>
          <w:lang w:val="zh-CN"/>
        </w:rPr>
        <w:t xml:space="preserve">  </w:t>
      </w:r>
      <w:r>
        <w:rPr>
          <w:color w:val="auto"/>
          <w:sz w:val="44"/>
          <w:szCs w:val="44"/>
          <w:highlight w:val="none"/>
          <w:lang w:val="zh-CN"/>
        </w:rPr>
        <w:t>录</w:t>
      </w:r>
      <w:bookmarkEnd w:id="3"/>
    </w:p>
    <w:p w14:paraId="7C56F129">
      <w:pPr>
        <w:pStyle w:val="26"/>
        <w:tabs>
          <w:tab w:val="right" w:leader="dot" w:pos="9014"/>
          <w:tab w:val="clear" w:pos="8493"/>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p>
    <w:p w14:paraId="51840219">
      <w:pPr>
        <w:pStyle w:val="27"/>
        <w:tabs>
          <w:tab w:val="right" w:leader="dot" w:pos="9014"/>
          <w:tab w:val="clear" w:pos="9060"/>
        </w:tabs>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_Toc24890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第一章  投标须知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_Toc24890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868E461">
      <w:pPr>
        <w:pStyle w:val="19"/>
        <w:tabs>
          <w:tab w:val="right" w:leader="dot" w:pos="9014"/>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_Toc5513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一、投标须知前附表</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_Toc5513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5115AC3D">
      <w:pPr>
        <w:pStyle w:val="19"/>
        <w:tabs>
          <w:tab w:val="right" w:leader="dot" w:pos="9014"/>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_Toc32105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二、投标须知修改表</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_Toc32105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38A5580B">
      <w:pPr>
        <w:pStyle w:val="19"/>
        <w:tabs>
          <w:tab w:val="right" w:leader="dot" w:pos="9014"/>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_Toc30499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三、投标须知通用条款</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_Toc30499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14</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EC28685">
      <w:pPr>
        <w:pStyle w:val="19"/>
        <w:tabs>
          <w:tab w:val="right" w:leader="dot" w:pos="9014"/>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_Toc27899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（一）总则</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_Toc27899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14</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5CDF441">
      <w:pPr>
        <w:pStyle w:val="19"/>
        <w:tabs>
          <w:tab w:val="right" w:leader="dot" w:pos="9014"/>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_Toc12749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（二）招标文件</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_Toc12749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78E1D26B">
      <w:pPr>
        <w:pStyle w:val="19"/>
        <w:tabs>
          <w:tab w:val="right" w:leader="dot" w:pos="9014"/>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_Toc5882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（三）投标文件的编制</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_Toc5882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4F253162">
      <w:pPr>
        <w:pStyle w:val="19"/>
        <w:tabs>
          <w:tab w:val="right" w:leader="dot" w:pos="9014"/>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_Toc6267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（四）投标文件的递交</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_Toc6267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5E9ED15E">
      <w:pPr>
        <w:pStyle w:val="19"/>
        <w:tabs>
          <w:tab w:val="right" w:leader="dot" w:pos="9014"/>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_Toc23819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（五）开标、评标、定标及合同签订</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_Toc23819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25</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810A178">
      <w:pPr>
        <w:pStyle w:val="27"/>
        <w:tabs>
          <w:tab w:val="right" w:leader="dot" w:pos="9014"/>
          <w:tab w:val="clear" w:pos="9060"/>
        </w:tabs>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_Toc24465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第二章  开标、评标及定标办法</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_Toc24465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7646FE7">
      <w:pPr>
        <w:pStyle w:val="19"/>
        <w:tabs>
          <w:tab w:val="right" w:leader="dot" w:pos="9014"/>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_Toc9492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一、开标、评标及定标办法修改表</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_Toc9492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28</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2D3715B">
      <w:pPr>
        <w:pStyle w:val="19"/>
        <w:tabs>
          <w:tab w:val="right" w:leader="dot" w:pos="9014"/>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_Toc29755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二、开标、评标及定标办法</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_Toc29755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32</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51EE8464">
      <w:pPr>
        <w:pStyle w:val="19"/>
        <w:tabs>
          <w:tab w:val="right" w:leader="dot" w:pos="9014"/>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_Toc21218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（一）总则</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_Toc21218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32</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5238583E">
      <w:pPr>
        <w:pStyle w:val="19"/>
        <w:tabs>
          <w:tab w:val="right" w:leader="dot" w:pos="9014"/>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_Toc4359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（二）开标评标办法程序和细则</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_Toc4359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C99D4A1">
      <w:pPr>
        <w:pStyle w:val="19"/>
        <w:tabs>
          <w:tab w:val="right" w:leader="dot" w:pos="9014"/>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_Toc19709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可选办法一  综合评分法</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_Toc19709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6B724B82">
      <w:pPr>
        <w:pStyle w:val="27"/>
        <w:tabs>
          <w:tab w:val="right" w:leader="dot" w:pos="9014"/>
          <w:tab w:val="clear" w:pos="9060"/>
        </w:tabs>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_Toc27158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第三章  合同条款</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_Toc27158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54F5459">
      <w:pPr>
        <w:pStyle w:val="26"/>
        <w:tabs>
          <w:tab w:val="right" w:leader="dot" w:pos="9014"/>
          <w:tab w:val="clear" w:pos="8493"/>
        </w:tabs>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_Toc13217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szCs w:val="24"/>
          <w:highlight w:val="none"/>
        </w:rPr>
        <w:t>第四章  投标文件格式</w:t>
      </w:r>
      <w:r>
        <w:rPr>
          <w:rFonts w:hint="eastAsia" w:ascii="宋体" w:hAnsi="宋体" w:eastAsia="宋体" w:cs="宋体"/>
          <w:bCs/>
          <w:color w:val="auto"/>
          <w:szCs w:val="24"/>
          <w:highlight w:val="none"/>
        </w:rPr>
        <w:tab/>
      </w: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PAGEREF _Toc13217 \h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szCs w:val="24"/>
          <w:highlight w:val="none"/>
        </w:rPr>
        <w:t>58</w:t>
      </w:r>
      <w:r>
        <w:rPr>
          <w:rFonts w:hint="eastAsia" w:ascii="宋体" w:hAnsi="宋体" w:eastAsia="宋体" w:cs="宋体"/>
          <w:bCs/>
          <w:color w:val="auto"/>
          <w:szCs w:val="24"/>
          <w:highlight w:val="none"/>
        </w:rPr>
        <w:fldChar w:fldCharType="end"/>
      </w:r>
      <w:r>
        <w:rPr>
          <w:rFonts w:hint="eastAsia" w:ascii="宋体" w:hAnsi="宋体" w:eastAsia="宋体" w:cs="宋体"/>
          <w:bCs/>
          <w:color w:val="auto"/>
          <w:szCs w:val="24"/>
          <w:highlight w:val="none"/>
        </w:rPr>
        <w:fldChar w:fldCharType="end"/>
      </w:r>
    </w:p>
    <w:p w14:paraId="53EAAA26">
      <w:pPr>
        <w:pStyle w:val="27"/>
        <w:tabs>
          <w:tab w:val="right" w:leader="dot" w:pos="9014"/>
          <w:tab w:val="clear" w:pos="9060"/>
        </w:tabs>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_Toc16219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第五章  技术条件（工程建设标准）</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_Toc16219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73</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59F8B56">
      <w:pPr>
        <w:pStyle w:val="27"/>
        <w:tabs>
          <w:tab w:val="right" w:leader="dot" w:pos="9014"/>
          <w:tab w:val="clear" w:pos="9060"/>
        </w:tabs>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_Toc30139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第六章  图纸及勘察资料</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_Toc30139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73</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A7F32BB">
      <w:pPr>
        <w:pStyle w:val="27"/>
        <w:tabs>
          <w:tab w:val="right" w:leader="dot" w:pos="9014"/>
          <w:tab w:val="clear" w:pos="9060"/>
        </w:tabs>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_Toc655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第七章  工程量清单</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_Toc655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74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7E47D59F">
      <w:pPr>
        <w:pStyle w:val="27"/>
        <w:tabs>
          <w:tab w:val="right" w:leader="dot" w:pos="9014"/>
          <w:tab w:val="clear" w:pos="9060"/>
        </w:tabs>
        <w:rPr>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_Toc15813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24"/>
          <w:highlight w:val="none"/>
        </w:rPr>
        <w:t>第八章  最高投标限价</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_Toc15813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75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DC52B93">
      <w:pPr>
        <w:pStyle w:val="3"/>
        <w:rPr>
          <w:color w:val="auto"/>
          <w:highlight w:val="none"/>
        </w:rPr>
      </w:pPr>
      <w:r>
        <w:rPr>
          <w:color w:val="auto"/>
          <w:highlight w:val="none"/>
        </w:rPr>
        <w:fldChar w:fldCharType="end"/>
      </w:r>
      <w:bookmarkStart w:id="4" w:name="_Toc101777609"/>
      <w:bookmarkStart w:id="5" w:name="_Toc10653"/>
      <w:bookmarkStart w:id="6" w:name="_Toc29083"/>
      <w:bookmarkStart w:id="7" w:name="_Toc15515"/>
      <w:bookmarkStart w:id="8" w:name="_Toc18352"/>
      <w:bookmarkStart w:id="9" w:name="_Toc1626"/>
      <w:bookmarkStart w:id="10" w:name="_Toc8930"/>
      <w:bookmarkStart w:id="11" w:name="_Toc22933"/>
      <w:bookmarkStart w:id="12" w:name="_Toc27070"/>
      <w:bookmarkStart w:id="13" w:name="_Toc32630"/>
      <w:bookmarkStart w:id="14" w:name="_Toc24890"/>
      <w:bookmarkStart w:id="15" w:name="_Toc9944"/>
      <w:bookmarkStart w:id="16" w:name="_Toc262229159"/>
    </w:p>
    <w:p w14:paraId="305211DE">
      <w:pPr>
        <w:rPr>
          <w:color w:val="auto"/>
          <w:highlight w:val="none"/>
        </w:rPr>
      </w:pPr>
    </w:p>
    <w:p w14:paraId="153FEDAB">
      <w:pPr>
        <w:pStyle w:val="3"/>
        <w:rPr>
          <w:rFonts w:ascii="宋体" w:eastAsia="宋体"/>
          <w:color w:val="auto"/>
          <w:highlight w:val="none"/>
        </w:rPr>
      </w:pPr>
      <w:r>
        <w:rPr>
          <w:rFonts w:hint="eastAsia" w:ascii="宋体" w:eastAsia="宋体"/>
          <w:color w:val="auto"/>
          <w:highlight w:val="none"/>
        </w:rPr>
        <w:t>第一章  投标须知</w:t>
      </w:r>
      <w:bookmarkEnd w:id="4"/>
      <w:bookmarkEnd w:id="5"/>
      <w:bookmarkEnd w:id="6"/>
      <w:bookmarkEnd w:id="7"/>
      <w:bookmarkEnd w:id="8"/>
      <w:bookmarkEnd w:id="9"/>
      <w:bookmarkEnd w:id="10"/>
      <w:bookmarkEnd w:id="11"/>
      <w:bookmarkEnd w:id="12"/>
      <w:bookmarkEnd w:id="13"/>
      <w:bookmarkEnd w:id="14"/>
      <w:bookmarkEnd w:id="15"/>
      <w:bookmarkEnd w:id="16"/>
    </w:p>
    <w:p w14:paraId="2AE64951">
      <w:pPr>
        <w:pStyle w:val="4"/>
        <w:spacing w:before="120"/>
        <w:rPr>
          <w:rFonts w:ascii="宋体" w:eastAsia="宋体"/>
          <w:color w:val="auto"/>
          <w:highlight w:val="none"/>
        </w:rPr>
      </w:pPr>
      <w:bookmarkStart w:id="17" w:name="_一、投标须知前附表"/>
      <w:bookmarkEnd w:id="17"/>
      <w:bookmarkStart w:id="18" w:name="_Toc262229160"/>
      <w:bookmarkStart w:id="19" w:name="_Toc22312"/>
      <w:bookmarkStart w:id="20" w:name="_Toc20346"/>
      <w:bookmarkStart w:id="21" w:name="_Toc13828"/>
      <w:bookmarkStart w:id="22" w:name="_Toc11230"/>
      <w:bookmarkStart w:id="23" w:name="_Toc8328"/>
      <w:bookmarkStart w:id="24" w:name="_Toc25292"/>
      <w:bookmarkStart w:id="25" w:name="_Toc101777610"/>
      <w:bookmarkStart w:id="26" w:name="_Toc5513"/>
      <w:bookmarkStart w:id="27" w:name="_Toc28255"/>
      <w:bookmarkStart w:id="28" w:name="_Toc20881"/>
      <w:bookmarkStart w:id="29" w:name="_Toc4718"/>
      <w:bookmarkStart w:id="30" w:name="_Toc24826"/>
      <w:r>
        <w:rPr>
          <w:rFonts w:hint="eastAsia" w:ascii="宋体" w:eastAsia="宋体"/>
          <w:color w:val="auto"/>
          <w:highlight w:val="none"/>
        </w:rPr>
        <w:t>一、投标须知前附表</w:t>
      </w:r>
      <w:bookmarkEnd w:id="18"/>
      <w:bookmarkEnd w:id="19"/>
      <w:bookmarkEnd w:id="20"/>
      <w:bookmarkEnd w:id="21"/>
      <w:bookmarkEnd w:id="22"/>
      <w:bookmarkEnd w:id="23"/>
      <w:bookmarkEnd w:id="24"/>
      <w:bookmarkEnd w:id="25"/>
      <w:bookmarkEnd w:id="26"/>
      <w:bookmarkEnd w:id="27"/>
      <w:bookmarkEnd w:id="28"/>
      <w:bookmarkEnd w:id="29"/>
      <w:bookmarkEnd w:id="30"/>
    </w:p>
    <w:p w14:paraId="042D8797">
      <w:pPr>
        <w:pStyle w:val="7"/>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声明：本投标须知前附表使用GZYLZB202</w:t>
      </w:r>
      <w:r>
        <w:rPr>
          <w:rFonts w:hint="eastAsia" w:ascii="宋体" w:hAnsi="宋体" w:eastAsia="宋体"/>
          <w:b/>
          <w:color w:val="auto"/>
          <w:szCs w:val="21"/>
          <w:highlight w:val="none"/>
          <w:lang w:val="en-US" w:eastAsia="zh-CN"/>
        </w:rPr>
        <w:t>3</w:t>
      </w:r>
      <w:r>
        <w:rPr>
          <w:rFonts w:hint="eastAsia" w:ascii="宋体" w:hAnsi="宋体" w:eastAsia="宋体"/>
          <w:b/>
          <w:color w:val="auto"/>
          <w:szCs w:val="21"/>
          <w:highlight w:val="none"/>
        </w:rPr>
        <w:t>-1招标文件范本，与范本不同之处均以下划线标明，所有标明下划线部分属于本表的组成部分，同其他部分具有同等效力。对范本《投标须知通用条款》和《开标、评标和定标办法通用条款》可选择部分的选择使用，均已在本表中注明，通用条款可选择部分中未被本投标须知前附表选择的部分无效。</w:t>
      </w:r>
    </w:p>
    <w:tbl>
      <w:tblPr>
        <w:tblStyle w:val="34"/>
        <w:tblW w:w="97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941"/>
        <w:gridCol w:w="1412"/>
        <w:gridCol w:w="6958"/>
      </w:tblGrid>
      <w:tr w14:paraId="75946F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blHeader/>
          <w:jc w:val="center"/>
        </w:trPr>
        <w:tc>
          <w:tcPr>
            <w:tcW w:w="457" w:type="dxa"/>
            <w:tcBorders>
              <w:top w:val="double" w:color="auto" w:sz="4" w:space="0"/>
              <w:left w:val="double" w:color="auto" w:sz="4" w:space="0"/>
              <w:bottom w:val="single" w:color="auto" w:sz="4" w:space="0"/>
              <w:right w:val="single" w:color="auto" w:sz="4" w:space="0"/>
            </w:tcBorders>
            <w:noWrap w:val="0"/>
            <w:vAlign w:val="center"/>
          </w:tcPr>
          <w:p w14:paraId="776932C7">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941" w:type="dxa"/>
            <w:tcBorders>
              <w:top w:val="double" w:color="auto" w:sz="4" w:space="0"/>
              <w:left w:val="single" w:color="auto" w:sz="4" w:space="0"/>
              <w:bottom w:val="single" w:color="auto" w:sz="4" w:space="0"/>
              <w:right w:val="single" w:color="auto" w:sz="4" w:space="0"/>
            </w:tcBorders>
            <w:noWrap w:val="0"/>
            <w:vAlign w:val="center"/>
          </w:tcPr>
          <w:p w14:paraId="4D961F7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412" w:type="dxa"/>
            <w:tcBorders>
              <w:top w:val="double" w:color="auto" w:sz="4" w:space="0"/>
              <w:left w:val="single" w:color="auto" w:sz="4" w:space="0"/>
              <w:bottom w:val="single" w:color="auto" w:sz="4" w:space="0"/>
              <w:right w:val="single" w:color="auto" w:sz="4" w:space="0"/>
            </w:tcBorders>
            <w:noWrap w:val="0"/>
            <w:vAlign w:val="center"/>
          </w:tcPr>
          <w:p w14:paraId="65E1BFCE">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6958" w:type="dxa"/>
            <w:tcBorders>
              <w:top w:val="double" w:color="auto" w:sz="4" w:space="0"/>
              <w:left w:val="single" w:color="auto" w:sz="4" w:space="0"/>
              <w:bottom w:val="single" w:color="auto" w:sz="4" w:space="0"/>
              <w:right w:val="double" w:color="auto" w:sz="4" w:space="0"/>
            </w:tcBorders>
            <w:noWrap w:val="0"/>
            <w:vAlign w:val="center"/>
          </w:tcPr>
          <w:p w14:paraId="7597776C">
            <w:pPr>
              <w:pStyle w:val="21"/>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说明与要求</w:t>
            </w:r>
          </w:p>
        </w:tc>
      </w:tr>
      <w:tr w14:paraId="15A15A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571825F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52AE330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55E467E3">
            <w:pPr>
              <w:rPr>
                <w:rFonts w:hint="eastAsia" w:ascii="宋体" w:hAnsi="宋体" w:eastAsia="宋体" w:cs="宋体"/>
                <w:color w:val="auto"/>
                <w:sz w:val="21"/>
                <w:szCs w:val="21"/>
                <w:highlight w:val="none"/>
              </w:rPr>
            </w:pPr>
            <w:r>
              <w:rPr>
                <w:rFonts w:hint="eastAsia" w:ascii="宋体" w:hAnsi="宋体" w:eastAsia="宋体"/>
                <w:color w:val="auto"/>
                <w:highlight w:val="none"/>
              </w:rPr>
              <w:t>定义</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1C97CF16">
            <w:pPr>
              <w:rPr>
                <w:rFonts w:ascii="宋体" w:hAnsi="宋体" w:eastAsia="宋体"/>
                <w:color w:val="auto"/>
                <w:highlight w:val="none"/>
              </w:rPr>
            </w:pPr>
            <w:r>
              <w:rPr>
                <w:rFonts w:hint="eastAsia" w:ascii="宋体" w:hAnsi="宋体" w:eastAsia="宋体"/>
                <w:color w:val="auto"/>
                <w:highlight w:val="none"/>
              </w:rPr>
              <w:t>招标人（即发包人）：</w:t>
            </w:r>
            <w:r>
              <w:rPr>
                <w:rFonts w:hint="eastAsia" w:ascii="宋体" w:hAnsi="宋体" w:eastAsia="宋体"/>
                <w:color w:val="auto"/>
                <w:highlight w:val="none"/>
                <w:u w:val="single"/>
                <w:lang w:val="zh-CN"/>
              </w:rPr>
              <w:t>广州市白云区太和镇人民政府</w:t>
            </w:r>
          </w:p>
          <w:p w14:paraId="01171A06">
            <w:pPr>
              <w:rPr>
                <w:rFonts w:ascii="宋体" w:hAnsi="宋体" w:eastAsia="宋体"/>
                <w:color w:val="auto"/>
                <w:highlight w:val="none"/>
              </w:rPr>
            </w:pPr>
            <w:r>
              <w:rPr>
                <w:rFonts w:hint="eastAsia" w:ascii="宋体" w:hAnsi="宋体" w:eastAsia="宋体"/>
                <w:color w:val="auto"/>
                <w:highlight w:val="none"/>
              </w:rPr>
              <w:t>项目建设管理单位：</w:t>
            </w:r>
            <w:r>
              <w:rPr>
                <w:rFonts w:hint="eastAsia" w:ascii="宋体" w:hAnsi="宋体" w:eastAsia="宋体"/>
                <w:color w:val="auto"/>
                <w:highlight w:val="none"/>
                <w:u w:val="single"/>
              </w:rPr>
              <w:t xml:space="preserve">  </w:t>
            </w:r>
            <w:r>
              <w:rPr>
                <w:rFonts w:hint="eastAsia" w:ascii="宋体" w:hAnsi="宋体" w:eastAsia="宋体" w:cs="宋体"/>
                <w:color w:val="auto"/>
                <w:szCs w:val="21"/>
                <w:highlight w:val="none"/>
                <w:u w:val="single"/>
              </w:rPr>
              <w:t xml:space="preserve"> / </w:t>
            </w:r>
            <w:r>
              <w:rPr>
                <w:rFonts w:hint="eastAsia" w:ascii="宋体" w:hAnsi="宋体" w:eastAsia="宋体"/>
                <w:color w:val="auto"/>
                <w:highlight w:val="none"/>
                <w:u w:val="single"/>
              </w:rPr>
              <w:t xml:space="preserve">                    </w:t>
            </w:r>
          </w:p>
          <w:p w14:paraId="0290D172">
            <w:pPr>
              <w:rPr>
                <w:rFonts w:ascii="宋体" w:hAnsi="宋体" w:eastAsia="宋体"/>
                <w:color w:val="auto"/>
                <w:highlight w:val="none"/>
              </w:rPr>
            </w:pPr>
            <w:r>
              <w:rPr>
                <w:rFonts w:hint="eastAsia" w:ascii="宋体" w:hAnsi="宋体" w:eastAsia="宋体"/>
                <w:color w:val="auto"/>
                <w:highlight w:val="none"/>
              </w:rPr>
              <w:t>招标代理机构：</w:t>
            </w:r>
            <w:r>
              <w:rPr>
                <w:rFonts w:hint="eastAsia" w:ascii="宋体" w:hAnsi="宋体" w:eastAsia="宋体"/>
                <w:color w:val="auto"/>
                <w:highlight w:val="none"/>
                <w:u w:val="single"/>
                <w:lang w:eastAsia="zh-CN"/>
              </w:rPr>
              <w:t>广州穗科建设管理有限公司</w:t>
            </w:r>
            <w:r>
              <w:rPr>
                <w:rFonts w:hint="eastAsia" w:ascii="宋体" w:hAnsi="宋体" w:eastAsia="宋体"/>
                <w:color w:val="auto"/>
                <w:highlight w:val="none"/>
                <w:u w:val="single"/>
              </w:rPr>
              <w:t xml:space="preserve">  </w:t>
            </w:r>
          </w:p>
          <w:p w14:paraId="3A9F75CA">
            <w:pPr>
              <w:rPr>
                <w:rFonts w:hint="eastAsia" w:ascii="宋体" w:hAnsi="宋体" w:eastAsia="宋体" w:cs="Times New Roman"/>
                <w:color w:val="auto"/>
                <w:highlight w:val="none"/>
                <w:u w:val="single"/>
                <w:lang w:val="en-US"/>
              </w:rPr>
            </w:pPr>
            <w:r>
              <w:rPr>
                <w:rFonts w:hint="eastAsia" w:ascii="宋体" w:hAnsi="宋体" w:eastAsia="宋体"/>
                <w:color w:val="auto"/>
                <w:highlight w:val="none"/>
              </w:rPr>
              <w:t>设计单位：</w:t>
            </w:r>
            <w:r>
              <w:rPr>
                <w:rFonts w:hint="eastAsia" w:ascii="宋体" w:hAnsi="宋体" w:eastAsia="宋体"/>
                <w:color w:val="auto"/>
                <w:highlight w:val="none"/>
                <w:u w:val="single"/>
                <w:lang w:val="en-US" w:eastAsia="zh-CN"/>
              </w:rPr>
              <w:t>广州市城市规划勘测设计研究院有限公司</w:t>
            </w:r>
            <w:r>
              <w:rPr>
                <w:rFonts w:hint="eastAsia" w:ascii="宋体" w:hAnsi="宋体" w:eastAsia="宋体"/>
                <w:color w:val="auto"/>
                <w:highlight w:val="none"/>
                <w:u w:val="single"/>
              </w:rPr>
              <w:t xml:space="preserve"> </w:t>
            </w:r>
          </w:p>
          <w:p w14:paraId="5A0B1BEE">
            <w:pPr>
              <w:rPr>
                <w:rFonts w:hint="default" w:ascii="宋体" w:hAnsi="宋体" w:eastAsia="宋体" w:cs="宋体"/>
                <w:color w:val="auto"/>
                <w:sz w:val="21"/>
                <w:szCs w:val="21"/>
                <w:highlight w:val="none"/>
                <w:lang w:val="en-US" w:eastAsia="zh-CN"/>
              </w:rPr>
            </w:pPr>
            <w:r>
              <w:rPr>
                <w:rFonts w:hint="eastAsia" w:ascii="宋体" w:hAnsi="宋体" w:eastAsia="宋体"/>
                <w:color w:val="auto"/>
                <w:highlight w:val="none"/>
              </w:rPr>
              <w:t>监理单位：</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w:t>
            </w:r>
            <w:r>
              <w:rPr>
                <w:rFonts w:hint="eastAsia" w:ascii="宋体" w:hAnsi="宋体" w:eastAsia="宋体"/>
                <w:color w:val="auto"/>
                <w:highlight w:val="none"/>
                <w:u w:val="single"/>
              </w:rPr>
              <w:t xml:space="preserve"> </w:t>
            </w:r>
          </w:p>
        </w:tc>
      </w:tr>
      <w:tr w14:paraId="12749F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4AC39B82">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BCC398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6D57FFDC">
            <w:pPr>
              <w:rPr>
                <w:rFonts w:hint="eastAsia" w:ascii="宋体" w:hAnsi="宋体" w:eastAsia="宋体" w:cs="宋体"/>
                <w:color w:val="auto"/>
                <w:sz w:val="21"/>
                <w:szCs w:val="21"/>
                <w:highlight w:val="none"/>
              </w:rPr>
            </w:pPr>
            <w:r>
              <w:rPr>
                <w:rFonts w:hint="eastAsia" w:ascii="宋体" w:hAnsi="宋体" w:eastAsia="宋体"/>
                <w:color w:val="auto"/>
                <w:highlight w:val="none"/>
              </w:rPr>
              <w:t>工程名称</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5B2FA36B">
            <w:pPr>
              <w:rPr>
                <w:rFonts w:hint="default" w:ascii="宋体" w:hAnsi="宋体" w:eastAsia="宋体" w:cs="宋体"/>
                <w:color w:val="auto"/>
                <w:sz w:val="21"/>
                <w:szCs w:val="21"/>
                <w:highlight w:val="none"/>
                <w:u w:val="single"/>
                <w:lang w:val="en-US"/>
              </w:rPr>
            </w:pP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太和镇健身徒步路径建设工程</w:t>
            </w:r>
            <w:r>
              <w:rPr>
                <w:rFonts w:hint="eastAsia" w:ascii="宋体" w:hAnsi="宋体" w:eastAsia="宋体"/>
                <w:color w:val="auto"/>
                <w:highlight w:val="none"/>
                <w:u w:val="single"/>
              </w:rPr>
              <w:t xml:space="preserve">  </w:t>
            </w:r>
          </w:p>
        </w:tc>
      </w:tr>
      <w:tr w14:paraId="78EE18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1350897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692C77E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24E632FE">
            <w:pPr>
              <w:rPr>
                <w:rFonts w:hint="eastAsia" w:ascii="宋体" w:hAnsi="宋体" w:eastAsia="宋体" w:cs="宋体"/>
                <w:color w:val="auto"/>
                <w:sz w:val="21"/>
                <w:szCs w:val="21"/>
                <w:highlight w:val="none"/>
              </w:rPr>
            </w:pPr>
            <w:r>
              <w:rPr>
                <w:rFonts w:hint="eastAsia" w:ascii="宋体" w:hAnsi="宋体" w:eastAsia="宋体"/>
                <w:color w:val="auto"/>
                <w:highlight w:val="none"/>
              </w:rPr>
              <w:t>建设地点</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0D2398C7">
            <w:pPr>
              <w:rPr>
                <w:rFonts w:hint="eastAsia" w:ascii="宋体" w:hAnsi="宋体" w:eastAsia="宋体" w:cs="宋体"/>
                <w:color w:val="auto"/>
                <w:sz w:val="21"/>
                <w:szCs w:val="21"/>
                <w:highlight w:val="none"/>
              </w:rPr>
            </w:pPr>
            <w:r>
              <w:rPr>
                <w:rFonts w:hint="eastAsia" w:ascii="宋体" w:hAnsi="宋体" w:eastAsia="宋体"/>
                <w:color w:val="auto"/>
                <w:highlight w:val="none"/>
                <w:u w:val="single"/>
              </w:rPr>
              <w:t xml:space="preserve"> </w:t>
            </w:r>
            <w:r>
              <w:rPr>
                <w:rFonts w:hint="eastAsia" w:ascii="宋体" w:hAnsi="宋体" w:eastAsia="宋体" w:cs="宋体"/>
                <w:color w:val="auto"/>
                <w:szCs w:val="21"/>
                <w:highlight w:val="none"/>
                <w:u w:val="single"/>
              </w:rPr>
              <w:t>详见本工程招标公告</w:t>
            </w:r>
            <w:r>
              <w:rPr>
                <w:rFonts w:hint="eastAsia" w:ascii="宋体" w:hAnsi="宋体" w:eastAsia="宋体" w:cs="宋体"/>
                <w:color w:val="auto"/>
                <w:szCs w:val="21"/>
                <w:highlight w:val="none"/>
              </w:rPr>
              <w:t>。</w:t>
            </w:r>
          </w:p>
        </w:tc>
      </w:tr>
      <w:tr w14:paraId="07DDA7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3C37E92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094ADCA8">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49B8D615">
            <w:pPr>
              <w:rPr>
                <w:rFonts w:hint="eastAsia" w:ascii="宋体" w:hAnsi="宋体" w:eastAsia="宋体" w:cs="宋体"/>
                <w:color w:val="auto"/>
                <w:sz w:val="21"/>
                <w:szCs w:val="21"/>
                <w:highlight w:val="none"/>
              </w:rPr>
            </w:pPr>
            <w:r>
              <w:rPr>
                <w:rFonts w:hint="eastAsia" w:ascii="宋体" w:hAnsi="宋体" w:eastAsia="宋体"/>
                <w:color w:val="auto"/>
                <w:highlight w:val="none"/>
              </w:rPr>
              <w:t>建设规模</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664FF519">
            <w:pPr>
              <w:snapToGrid w:val="0"/>
              <w:rPr>
                <w:rFonts w:hint="eastAsia" w:ascii="宋体" w:hAnsi="宋体" w:eastAsia="宋体" w:cs="宋体"/>
                <w:color w:val="auto"/>
                <w:sz w:val="21"/>
                <w:szCs w:val="21"/>
                <w:highlight w:val="none"/>
              </w:rPr>
            </w:pPr>
            <w:r>
              <w:rPr>
                <w:rFonts w:hint="eastAsia" w:ascii="宋体" w:hAnsi="宋体" w:eastAsia="宋体"/>
                <w:color w:val="auto"/>
                <w:highlight w:val="none"/>
                <w:u w:val="single"/>
              </w:rPr>
              <w:t xml:space="preserve"> </w:t>
            </w:r>
            <w:r>
              <w:rPr>
                <w:rFonts w:hint="eastAsia" w:ascii="宋体" w:hAnsi="宋体" w:eastAsia="宋体" w:cs="宋体"/>
                <w:color w:val="auto"/>
                <w:szCs w:val="21"/>
                <w:highlight w:val="none"/>
                <w:u w:val="single"/>
              </w:rPr>
              <w:t>详见本工程招标公告</w:t>
            </w:r>
            <w:r>
              <w:rPr>
                <w:rFonts w:hint="eastAsia" w:ascii="宋体" w:hAnsi="宋体" w:eastAsia="宋体" w:cs="宋体"/>
                <w:color w:val="auto"/>
                <w:szCs w:val="21"/>
                <w:highlight w:val="none"/>
              </w:rPr>
              <w:t>。</w:t>
            </w:r>
          </w:p>
        </w:tc>
      </w:tr>
      <w:tr w14:paraId="661A9C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6A3B78D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0E417C5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0D7011A8">
            <w:pPr>
              <w:rPr>
                <w:rFonts w:hint="eastAsia" w:ascii="宋体" w:hAnsi="宋体" w:eastAsia="宋体" w:cs="宋体"/>
                <w:color w:val="auto"/>
                <w:sz w:val="21"/>
                <w:szCs w:val="21"/>
                <w:highlight w:val="none"/>
              </w:rPr>
            </w:pPr>
            <w:r>
              <w:rPr>
                <w:rFonts w:hint="eastAsia" w:ascii="宋体" w:hAnsi="宋体" w:eastAsia="宋体"/>
                <w:color w:val="auto"/>
                <w:highlight w:val="none"/>
              </w:rPr>
              <w:t>承包方式</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7DDA793D">
            <w:pPr>
              <w:rPr>
                <w:rFonts w:hint="eastAsia" w:ascii="宋体" w:hAnsi="宋体" w:eastAsia="宋体" w:cs="宋体"/>
                <w:color w:val="auto"/>
                <w:sz w:val="21"/>
                <w:szCs w:val="21"/>
                <w:highlight w:val="none"/>
              </w:rPr>
            </w:pPr>
            <w:r>
              <w:rPr>
                <w:rFonts w:hint="eastAsia" w:ascii="宋体" w:hAnsi="宋体" w:eastAsia="宋体"/>
                <w:color w:val="auto"/>
                <w:highlight w:val="none"/>
              </w:rPr>
              <w:t>包工、包料、</w:t>
            </w:r>
            <w:r>
              <w:rPr>
                <w:rFonts w:hint="eastAsia" w:ascii="宋体" w:hAnsi="宋体" w:eastAsia="宋体"/>
                <w:color w:val="auto"/>
                <w:highlight w:val="none"/>
                <w:lang w:val="en-US" w:eastAsia="zh-CN"/>
              </w:rPr>
              <w:t>包设备、</w:t>
            </w:r>
            <w:r>
              <w:rPr>
                <w:rFonts w:hint="eastAsia" w:ascii="宋体" w:hAnsi="宋体" w:eastAsia="宋体"/>
                <w:color w:val="auto"/>
                <w:highlight w:val="none"/>
              </w:rPr>
              <w:t>包工期、包质量、包安全、包文明施工</w:t>
            </w:r>
            <w:r>
              <w:rPr>
                <w:rFonts w:hint="eastAsia" w:ascii="宋体" w:hAnsi="宋体" w:eastAsia="宋体"/>
                <w:color w:val="auto"/>
                <w:highlight w:val="none"/>
                <w:lang w:eastAsia="zh-CN"/>
              </w:rPr>
              <w:t>。</w:t>
            </w:r>
            <w:r>
              <w:rPr>
                <w:rFonts w:hint="eastAsia" w:ascii="宋体" w:hAnsi="宋体" w:eastAsia="宋体"/>
                <w:color w:val="auto"/>
                <w:highlight w:val="none"/>
              </w:rPr>
              <w:t>综合单价包干、项目措施费</w:t>
            </w:r>
            <w:r>
              <w:rPr>
                <w:rFonts w:hint="eastAsia" w:ascii="宋体" w:hAnsi="宋体" w:eastAsia="宋体"/>
                <w:color w:val="auto"/>
                <w:highlight w:val="none"/>
                <w:lang w:val="en-US" w:eastAsia="zh-CN"/>
              </w:rPr>
              <w:t>包干</w:t>
            </w:r>
            <w:r>
              <w:rPr>
                <w:rFonts w:hint="eastAsia" w:ascii="宋体" w:hAnsi="宋体" w:eastAsia="宋体"/>
                <w:color w:val="auto"/>
                <w:highlight w:val="none"/>
              </w:rPr>
              <w:t>。</w:t>
            </w:r>
          </w:p>
        </w:tc>
      </w:tr>
      <w:tr w14:paraId="1D6D86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6D32561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790635DA">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0B2324B1">
            <w:pPr>
              <w:rPr>
                <w:rFonts w:hint="eastAsia" w:ascii="宋体" w:hAnsi="宋体" w:eastAsia="宋体" w:cs="宋体"/>
                <w:color w:val="auto"/>
                <w:sz w:val="21"/>
                <w:szCs w:val="21"/>
                <w:highlight w:val="none"/>
              </w:rPr>
            </w:pPr>
            <w:r>
              <w:rPr>
                <w:rFonts w:hint="eastAsia" w:ascii="宋体" w:hAnsi="宋体" w:eastAsia="宋体"/>
                <w:color w:val="auto"/>
                <w:highlight w:val="none"/>
              </w:rPr>
              <w:t>质量标准</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3363893D">
            <w:pP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u w:val="single"/>
              </w:rPr>
              <w:t>按国家、省、市园林绿化规程、检评标准及相关要求，一次性验收合格</w:t>
            </w:r>
            <w:r>
              <w:rPr>
                <w:rFonts w:hint="eastAsia" w:ascii="宋体" w:hAnsi="宋体" w:eastAsia="宋体" w:cs="宋体"/>
                <w:color w:val="auto"/>
                <w:szCs w:val="21"/>
                <w:highlight w:val="none"/>
              </w:rPr>
              <w:t>。</w:t>
            </w:r>
          </w:p>
        </w:tc>
      </w:tr>
      <w:tr w14:paraId="655E25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75C2218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5A3841B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6F3319C5">
            <w:pPr>
              <w:rPr>
                <w:rFonts w:hint="eastAsia" w:ascii="宋体" w:hAnsi="宋体" w:eastAsia="宋体" w:cs="宋体"/>
                <w:color w:val="auto"/>
                <w:sz w:val="21"/>
                <w:szCs w:val="21"/>
                <w:highlight w:val="none"/>
              </w:rPr>
            </w:pPr>
            <w:r>
              <w:rPr>
                <w:rFonts w:hint="eastAsia" w:ascii="宋体" w:hAnsi="宋体" w:eastAsia="宋体"/>
                <w:color w:val="auto"/>
                <w:highlight w:val="none"/>
              </w:rPr>
              <w:t>招标范围</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4488B13E">
            <w:pP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u w:val="single"/>
              </w:rPr>
              <w:t>详见本工程招标公告</w:t>
            </w:r>
            <w:r>
              <w:rPr>
                <w:rFonts w:hint="eastAsia" w:ascii="宋体" w:hAnsi="宋体" w:eastAsia="宋体" w:cs="宋体"/>
                <w:color w:val="auto"/>
                <w:szCs w:val="21"/>
                <w:highlight w:val="none"/>
              </w:rPr>
              <w:t>。</w:t>
            </w:r>
          </w:p>
        </w:tc>
      </w:tr>
      <w:tr w14:paraId="1EA3EC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18FBD175">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3F3F4F82">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29A6343C">
            <w:pPr>
              <w:rPr>
                <w:rFonts w:hint="eastAsia" w:ascii="宋体" w:hAnsi="宋体" w:eastAsia="宋体" w:cs="宋体"/>
                <w:color w:val="auto"/>
                <w:sz w:val="21"/>
                <w:szCs w:val="21"/>
                <w:highlight w:val="none"/>
              </w:rPr>
            </w:pPr>
            <w:r>
              <w:rPr>
                <w:rFonts w:hint="eastAsia" w:ascii="宋体" w:hAnsi="宋体" w:eastAsia="宋体"/>
                <w:color w:val="auto"/>
                <w:highlight w:val="none"/>
              </w:rPr>
              <w:t>工期要求</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4DDE1E0E">
            <w:pPr>
              <w:rPr>
                <w:rFonts w:hint="eastAsia" w:ascii="宋体" w:hAnsi="宋体" w:eastAsia="宋体" w:cs="宋体"/>
                <w:color w:val="auto"/>
                <w:sz w:val="21"/>
                <w:szCs w:val="21"/>
                <w:highlight w:val="none"/>
              </w:rPr>
            </w:pPr>
            <w:r>
              <w:rPr>
                <w:rFonts w:hint="eastAsia" w:ascii="宋体" w:hAnsi="宋体" w:eastAsia="宋体"/>
                <w:color w:val="auto"/>
                <w:highlight w:val="none"/>
                <w:u w:val="single"/>
                <w:lang w:val="en-US" w:eastAsia="zh-CN"/>
              </w:rPr>
              <w:t>2025</w:t>
            </w:r>
            <w:r>
              <w:rPr>
                <w:rFonts w:hint="eastAsia" w:ascii="宋体" w:hAnsi="宋体" w:eastAsia="宋体"/>
                <w:color w:val="auto"/>
                <w:highlight w:val="none"/>
              </w:rPr>
              <w:t>年</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rPr>
              <w:t>月</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rPr>
              <w:t>日计划开工，施工总工期</w:t>
            </w:r>
            <w:r>
              <w:rPr>
                <w:rFonts w:hint="eastAsia" w:ascii="宋体" w:hAnsi="宋体" w:eastAsia="宋体"/>
                <w:color w:val="auto"/>
                <w:highlight w:val="none"/>
                <w:u w:val="single"/>
                <w:lang w:val="en-US" w:eastAsia="zh-CN"/>
              </w:rPr>
              <w:t>270日历天，具体以实际施工天数为准</w:t>
            </w:r>
            <w:r>
              <w:rPr>
                <w:rFonts w:hint="eastAsia" w:ascii="宋体" w:hAnsi="宋体" w:eastAsia="宋体"/>
                <w:color w:val="auto"/>
                <w:highlight w:val="none"/>
              </w:rPr>
              <w:t>。</w:t>
            </w:r>
          </w:p>
        </w:tc>
      </w:tr>
      <w:tr w14:paraId="01D0D7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07AE4D1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660E6D9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114F224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70E32750">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区财政资金</w:t>
            </w:r>
          </w:p>
        </w:tc>
      </w:tr>
      <w:tr w14:paraId="35B25B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34841B9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191A9806">
            <w:pPr>
              <w:spacing w:line="240" w:lineRule="auto"/>
              <w:rPr>
                <w:rFonts w:hint="eastAsia" w:ascii="宋体" w:hAnsi="宋体" w:eastAsia="宋体" w:cs="宋体"/>
                <w:color w:val="auto"/>
                <w:sz w:val="21"/>
                <w:szCs w:val="21"/>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5984D3E8">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投标人资格条件</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0C6902B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详见本工程招标公告。</w:t>
            </w:r>
          </w:p>
        </w:tc>
      </w:tr>
      <w:tr w14:paraId="2AC72A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70ED6B1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109F8683">
            <w:pPr>
              <w:spacing w:line="240" w:lineRule="auto"/>
              <w:rPr>
                <w:rFonts w:hint="eastAsia" w:ascii="宋体" w:hAnsi="宋体" w:eastAsia="宋体" w:cs="宋体"/>
                <w:color w:val="auto"/>
                <w:sz w:val="21"/>
                <w:szCs w:val="21"/>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67978145">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资格审查方式</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560DC69A">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电子化资格后审。</w:t>
            </w:r>
          </w:p>
        </w:tc>
      </w:tr>
      <w:tr w14:paraId="0E7D20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5F32B810">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130E39E8">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678F2C3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报价以及单价和总价计算方式</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1AB19298">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工程量清单计价，按国家、省有关计价规范执行。</w:t>
            </w:r>
          </w:p>
        </w:tc>
      </w:tr>
      <w:tr w14:paraId="4E91AA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21D7A13A">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67B5EAB5">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2EFA74A0">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7B5BDE25">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90 </w:t>
            </w:r>
            <w:r>
              <w:rPr>
                <w:rFonts w:hint="eastAsia" w:ascii="宋体" w:hAnsi="宋体" w:eastAsia="宋体" w:cs="宋体"/>
                <w:color w:val="auto"/>
                <w:sz w:val="21"/>
                <w:szCs w:val="21"/>
                <w:highlight w:val="none"/>
              </w:rPr>
              <w:t>日历天（从递交投标文件截止之日计起）</w:t>
            </w:r>
            <w:r>
              <w:rPr>
                <w:rFonts w:hint="eastAsia" w:ascii="宋体" w:hAnsi="宋体" w:eastAsia="宋体" w:cs="宋体"/>
                <w:color w:val="auto"/>
                <w:sz w:val="21"/>
                <w:szCs w:val="21"/>
                <w:highlight w:val="none"/>
                <w:u w:val="single"/>
              </w:rPr>
              <w:t>。如投标有效期内发生异议或投诉的，则投标有效期自动延长至异议或投诉处理结束后90日历天。中标人的投标有效期自动延期至合同履行完毕。</w:t>
            </w:r>
          </w:p>
        </w:tc>
      </w:tr>
      <w:tr w14:paraId="7ACE3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7548F47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20D55E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6CF7C14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2E750AEA">
            <w:pPr>
              <w:spacing w:line="240" w:lineRule="auto"/>
              <w:ind w:left="720" w:hanging="630" w:hangingChars="3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2" w:char="F052"/>
            </w:r>
            <w:r>
              <w:rPr>
                <w:rFonts w:hint="eastAsia" w:ascii="宋体" w:hAnsi="宋体" w:eastAsia="宋体" w:cs="宋体"/>
                <w:color w:val="auto"/>
                <w:sz w:val="21"/>
                <w:szCs w:val="21"/>
                <w:highlight w:val="none"/>
              </w:rPr>
              <w:t>方式一：不要求投标人递交投标保证金。</w:t>
            </w:r>
          </w:p>
          <w:p w14:paraId="3AC1C2DE">
            <w:pPr>
              <w:spacing w:line="240" w:lineRule="auto"/>
              <w:ind w:left="63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□方式二：要求投标人递交投标保证金，具体要求如下：</w:t>
            </w:r>
          </w:p>
          <w:p w14:paraId="431E4707">
            <w:pPr>
              <w:spacing w:line="240" w:lineRule="auto"/>
              <w:ind w:left="63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1.投标保证金数额：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w:t>
            </w:r>
          </w:p>
          <w:p w14:paraId="020009B2">
            <w:pPr>
              <w:spacing w:line="240" w:lineRule="auto"/>
              <w:ind w:left="63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2.投标保证金的形式：投标保证金可采用</w:t>
            </w:r>
            <w:r>
              <w:rPr>
                <w:rFonts w:hint="eastAsia" w:ascii="宋体" w:hAnsi="宋体" w:eastAsia="宋体" w:cs="宋体"/>
                <w:color w:val="auto"/>
                <w:sz w:val="21"/>
                <w:szCs w:val="21"/>
                <w:highlight w:val="none"/>
                <w:u w:val="single"/>
              </w:rPr>
              <w:t>投标保函、转账、现金、支票、汇票、投标保证保险</w:t>
            </w:r>
            <w:r>
              <w:rPr>
                <w:rFonts w:hint="eastAsia" w:ascii="宋体" w:hAnsi="宋体" w:eastAsia="宋体" w:cs="宋体"/>
                <w:color w:val="auto"/>
                <w:sz w:val="21"/>
                <w:szCs w:val="21"/>
                <w:highlight w:val="none"/>
              </w:rPr>
              <w:t>形式，须在递交投标文件截止时间前完成缴纳。</w:t>
            </w:r>
          </w:p>
          <w:p w14:paraId="06FE4658">
            <w:pPr>
              <w:spacing w:line="240" w:lineRule="auto"/>
              <w:ind w:left="63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□方式三：</w:t>
            </w:r>
            <w:r>
              <w:rPr>
                <w:rFonts w:hint="eastAsia" w:ascii="宋体" w:hAnsi="宋体" w:eastAsia="宋体" w:cs="宋体"/>
                <w:color w:val="auto"/>
                <w:sz w:val="21"/>
                <w:szCs w:val="21"/>
                <w:highlight w:val="none"/>
                <w:u w:val="single"/>
              </w:rPr>
              <w:t>招标人自定的其它方式（招标人不得限定投标保证金只能以现金形式提交）</w:t>
            </w:r>
            <w:r>
              <w:rPr>
                <w:rFonts w:hint="eastAsia" w:ascii="宋体" w:hAnsi="宋体" w:eastAsia="宋体" w:cs="宋体"/>
                <w:color w:val="auto"/>
                <w:sz w:val="21"/>
                <w:szCs w:val="21"/>
                <w:highlight w:val="none"/>
              </w:rPr>
              <w:t>。</w:t>
            </w:r>
          </w:p>
          <w:p w14:paraId="49078F9B">
            <w:pPr>
              <w:spacing w:line="240" w:lineRule="auto"/>
              <w:ind w:left="63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注：招标人可对信用良好企业、中小企业免收投标保证金。</w:t>
            </w:r>
          </w:p>
        </w:tc>
      </w:tr>
      <w:tr w14:paraId="0ED7CF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768A3867">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14E026A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7B77C5C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领取招标文件及图纸</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6B835EBC">
            <w:pPr>
              <w:pStyle w:val="21"/>
              <w:adjustRightInd w:val="0"/>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Cs w:val="21"/>
                <w:highlight w:val="none"/>
              </w:rPr>
              <w:t>由投标人自行在</w:t>
            </w:r>
            <w:r>
              <w:rPr>
                <w:rFonts w:hint="eastAsia" w:ascii="宋体" w:hAnsi="宋体" w:eastAsia="宋体" w:cs="宋体"/>
                <w:color w:val="auto"/>
                <w:szCs w:val="21"/>
                <w:highlight w:val="none"/>
                <w:u w:val="single"/>
              </w:rPr>
              <w:t>广州交易集团有限公司（广州公共资源交易中心）网站</w:t>
            </w:r>
            <w:r>
              <w:rPr>
                <w:rFonts w:hint="eastAsia" w:ascii="宋体" w:hAnsi="宋体" w:eastAsia="宋体" w:cs="宋体"/>
                <w:color w:val="auto"/>
                <w:szCs w:val="21"/>
                <w:highlight w:val="none"/>
              </w:rPr>
              <w:t>下载。</w:t>
            </w:r>
          </w:p>
        </w:tc>
      </w:tr>
      <w:tr w14:paraId="41E1CC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1EF3B00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69A6BDD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4CDFB2B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5CEA54BA">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Cs w:val="21"/>
                <w:highlight w:val="none"/>
              </w:rPr>
              <w:t>自</w:t>
            </w:r>
            <w:r>
              <w:rPr>
                <w:rFonts w:hint="eastAsia" w:ascii="宋体" w:hAnsi="宋体" w:eastAsia="宋体" w:cs="宋体"/>
                <w:color w:val="auto"/>
                <w:szCs w:val="21"/>
                <w:highlight w:val="none"/>
                <w:u w:val="single"/>
              </w:rPr>
              <w:t>招标公告发布之日</w:t>
            </w:r>
            <w:r>
              <w:rPr>
                <w:rFonts w:hint="eastAsia" w:ascii="宋体" w:hAnsi="宋体" w:eastAsia="宋体" w:cs="宋体"/>
                <w:color w:val="auto"/>
                <w:szCs w:val="21"/>
                <w:highlight w:val="none"/>
              </w:rPr>
              <w:t>起具备现场踏勘条件；</w:t>
            </w:r>
          </w:p>
          <w:p w14:paraId="03271B0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方式：招标人不集中组织，由投标人自行踏勘；</w:t>
            </w:r>
            <w:r>
              <w:rPr>
                <w:rFonts w:hint="eastAsia" w:ascii="宋体" w:hAnsi="宋体" w:eastAsia="宋体" w:cs="宋体"/>
                <w:color w:val="auto"/>
                <w:sz w:val="21"/>
                <w:szCs w:val="21"/>
                <w:highlight w:val="none"/>
                <w:u w:val="single"/>
              </w:rPr>
              <w:t>投标人不进行踏勘的，视为已熟知现场条件，自行承担相关风险。</w:t>
            </w:r>
          </w:p>
          <w:p w14:paraId="06D96E01">
            <w:pPr>
              <w:pStyle w:val="21"/>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现场详细地点： </w:t>
            </w:r>
          </w:p>
        </w:tc>
      </w:tr>
      <w:tr w14:paraId="51966B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409F9AA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307BECBA">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06C3BC0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招标答疑与澄清</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22A224D5">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1.方式：网上答疑</w:t>
            </w:r>
          </w:p>
          <w:p w14:paraId="5175243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2.投标人提问期限：自招标公告发布之日起不少于3天，具体提问截止时间可通过广州公共资源交易网站查询。</w:t>
            </w:r>
          </w:p>
          <w:p w14:paraId="0D71F32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3.招标人澄清、修补或答疑期限：在递交投标文件截止日期前</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日</w:t>
            </w:r>
          </w:p>
          <w:p w14:paraId="3E961AA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4.网上答疑的相关事项详见招标文件8.1款。</w:t>
            </w:r>
          </w:p>
        </w:tc>
      </w:tr>
      <w:tr w14:paraId="13D84E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2E125C5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42AD02B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6F5D0C3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投标文件的组成</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765F9E5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投标文件由资格审查部分和技术经济部分两部分组成。</w:t>
            </w:r>
          </w:p>
        </w:tc>
      </w:tr>
      <w:tr w14:paraId="23828A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3F5A1C32">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3619AEA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1A3F6346">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2AF85DCD">
            <w:pPr>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投标文件为含电子签名及电子签章的加密电子投标文件1套。</w:t>
            </w:r>
          </w:p>
          <w:p w14:paraId="5FA7C40A">
            <w:pPr>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技术部分（施工组织方案）文件页数最多不超过</w:t>
            </w:r>
            <w:r>
              <w:rPr>
                <w:rFonts w:hint="eastAsia" w:ascii="宋体" w:hAnsi="宋体" w:eastAsia="宋体" w:cs="宋体"/>
                <w:color w:val="auto"/>
                <w:sz w:val="21"/>
                <w:szCs w:val="21"/>
                <w:highlight w:val="none"/>
                <w:u w:val="single"/>
              </w:rPr>
              <w:t xml:space="preserve"> 50 </w:t>
            </w:r>
            <w:r>
              <w:rPr>
                <w:rFonts w:hint="eastAsia" w:ascii="宋体" w:hAnsi="宋体" w:eastAsia="宋体" w:cs="宋体"/>
                <w:color w:val="auto"/>
                <w:sz w:val="21"/>
                <w:szCs w:val="21"/>
                <w:highlight w:val="none"/>
              </w:rPr>
              <w:t>页（</w:t>
            </w:r>
            <w:r>
              <w:rPr>
                <w:rFonts w:hint="eastAsia" w:ascii="宋体" w:hAnsi="宋体" w:eastAsia="宋体" w:cs="宋体"/>
                <w:color w:val="auto"/>
                <w:sz w:val="21"/>
                <w:szCs w:val="21"/>
                <w:highlight w:val="none"/>
                <w:u w:val="single"/>
              </w:rPr>
              <w:t>50</w:t>
            </w:r>
            <w:r>
              <w:rPr>
                <w:rFonts w:hint="eastAsia" w:ascii="宋体" w:hAnsi="宋体" w:eastAsia="宋体" w:cs="宋体"/>
                <w:color w:val="auto"/>
                <w:sz w:val="21"/>
                <w:szCs w:val="21"/>
                <w:highlight w:val="none"/>
              </w:rPr>
              <w:t>页，不包括</w:t>
            </w:r>
            <w:r>
              <w:rPr>
                <w:rFonts w:hint="eastAsia" w:ascii="宋体" w:hAnsi="宋体" w:eastAsia="宋体" w:cs="宋体"/>
                <w:color w:val="auto"/>
                <w:sz w:val="21"/>
                <w:szCs w:val="21"/>
                <w:highlight w:val="none"/>
                <w:u w:val="single"/>
              </w:rPr>
              <w:t>首页</w:t>
            </w:r>
            <w:r>
              <w:rPr>
                <w:rFonts w:hint="eastAsia" w:ascii="宋体" w:hAnsi="宋体" w:eastAsia="宋体" w:cs="宋体"/>
                <w:color w:val="auto"/>
                <w:sz w:val="21"/>
                <w:szCs w:val="21"/>
                <w:highlight w:val="none"/>
              </w:rPr>
              <w:t>及目录页）。</w:t>
            </w:r>
          </w:p>
        </w:tc>
      </w:tr>
      <w:tr w14:paraId="3A686A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0573D322">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38318492">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454E55C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递交投标文件的时间和地点</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1CB26F4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1.递交方式：网上递交投标文件。</w:t>
            </w:r>
          </w:p>
          <w:p w14:paraId="4F9B132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2.递交投标文件截止时间：</w:t>
            </w:r>
            <w:r>
              <w:rPr>
                <w:rFonts w:hint="eastAsia" w:ascii="宋体" w:hAnsi="宋体" w:eastAsia="宋体" w:cs="宋体"/>
                <w:color w:val="auto"/>
                <w:sz w:val="21"/>
                <w:szCs w:val="21"/>
                <w:highlight w:val="none"/>
                <w:u w:val="single"/>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p w14:paraId="6D53A7C2">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2.地点：广州公共资源交易网站。</w:t>
            </w:r>
          </w:p>
          <w:p w14:paraId="6CC8B7B6">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3.上述时间及地点是否有改变，请密切留意招标答疑纪要的相关信息。</w:t>
            </w:r>
          </w:p>
        </w:tc>
      </w:tr>
      <w:tr w14:paraId="5724A7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6544CFE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57949485">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5866DF2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2C23B7F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1.开标时间：</w:t>
            </w:r>
            <w:r>
              <w:rPr>
                <w:rFonts w:hint="eastAsia" w:ascii="宋体" w:hAnsi="宋体" w:eastAsia="宋体" w:cs="宋体"/>
                <w:color w:val="auto"/>
                <w:sz w:val="21"/>
                <w:szCs w:val="21"/>
                <w:highlight w:val="none"/>
                <w:u w:val="single"/>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p w14:paraId="53FABE75">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w:t>
            </w:r>
            <w:r>
              <w:rPr>
                <w:rFonts w:hint="eastAsia" w:ascii="宋体" w:hAnsi="宋体" w:eastAsia="宋体" w:cs="宋体"/>
                <w:color w:val="auto"/>
                <w:sz w:val="21"/>
                <w:szCs w:val="21"/>
                <w:highlight w:val="none"/>
                <w:u w:val="single"/>
              </w:rPr>
              <w:t>广州交易集团有限公司（广州公共资源交易中心）指定开标室</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投标人也可选择参加在线开标，具体按照交易平台相关指南进行操作。详见：广州公共资源交易网站最新指引。</w:t>
            </w:r>
          </w:p>
          <w:p w14:paraId="72D29CB2">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3.递交投标文件截止时间与开标时间应为同一时间。</w:t>
            </w:r>
            <w:r>
              <w:rPr>
                <w:rFonts w:hint="eastAsia" w:ascii="宋体" w:hAnsi="宋体" w:eastAsia="宋体" w:cs="宋体"/>
                <w:color w:val="auto"/>
                <w:sz w:val="21"/>
                <w:szCs w:val="21"/>
                <w:highlight w:val="none"/>
                <w:u w:val="single"/>
              </w:rPr>
              <w:t>投标人也可选择参加在线开标，具体按照交易平台相关指南进行操作。详见：广州公共资源交易网站最新指引。</w:t>
            </w:r>
          </w:p>
          <w:p w14:paraId="0D9054C7">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4.上述时间及地点是否有改变，请密切留意招标答疑纪要的相关信息。</w:t>
            </w:r>
          </w:p>
        </w:tc>
      </w:tr>
      <w:tr w14:paraId="3FB5F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6B4ADB4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2E7D074">
            <w:pPr>
              <w:spacing w:line="240" w:lineRule="auto"/>
              <w:rPr>
                <w:rFonts w:hint="eastAsia" w:ascii="宋体" w:hAnsi="宋体" w:eastAsia="宋体" w:cs="宋体"/>
                <w:color w:val="auto"/>
                <w:sz w:val="21"/>
                <w:szCs w:val="21"/>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48CEF728">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541C5AA3">
            <w:pPr>
              <w:pStyle w:val="32"/>
              <w:spacing w:after="0"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可选办法一 综合评分法</w:t>
            </w:r>
          </w:p>
          <w:p w14:paraId="7D2C62B5">
            <w:pPr>
              <w:pStyle w:val="32"/>
              <w:spacing w:after="0" w:line="240" w:lineRule="auto"/>
              <w:ind w:firstLine="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可选办法二 经评审的最低投标价法或者法律法规规定的其他评标方法</w:t>
            </w:r>
          </w:p>
        </w:tc>
      </w:tr>
      <w:tr w14:paraId="106423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0B798F9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0E6ACDC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76D364D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1636E059">
            <w:pPr>
              <w:rPr>
                <w:rFonts w:hint="eastAsia" w:ascii="宋体" w:hAnsi="宋体" w:eastAsia="宋体"/>
                <w:color w:val="auto"/>
                <w:szCs w:val="22"/>
                <w:highlight w:val="none"/>
              </w:rPr>
            </w:pPr>
            <w:r>
              <w:rPr>
                <w:rFonts w:hint="eastAsia" w:ascii="宋体" w:hAnsi="宋体" w:eastAsia="宋体"/>
                <w:color w:val="auto"/>
                <w:szCs w:val="22"/>
                <w:highlight w:val="none"/>
                <w:lang w:eastAsia="zh-CN"/>
              </w:rPr>
              <w:t>☑</w:t>
            </w:r>
            <w:r>
              <w:rPr>
                <w:rFonts w:hint="eastAsia" w:ascii="宋体" w:hAnsi="宋体" w:eastAsia="宋体"/>
                <w:color w:val="auto"/>
                <w:szCs w:val="22"/>
                <w:highlight w:val="none"/>
              </w:rPr>
              <w:t>不采用评定分离，中标候选人</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u w:val="single"/>
                <w:lang w:val="en-US" w:eastAsia="zh-CN"/>
              </w:rPr>
              <w:t>3</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名（不超过3名）</w:t>
            </w:r>
          </w:p>
          <w:p w14:paraId="4910838F">
            <w:pPr>
              <w:spacing w:line="240" w:lineRule="auto"/>
              <w:rPr>
                <w:rFonts w:hint="eastAsia" w:ascii="宋体" w:hAnsi="宋体" w:eastAsia="宋体" w:cs="宋体"/>
                <w:color w:val="auto"/>
                <w:sz w:val="21"/>
                <w:szCs w:val="21"/>
                <w:highlight w:val="none"/>
              </w:rPr>
            </w:pPr>
            <w:r>
              <w:rPr>
                <w:rFonts w:hint="eastAsia" w:ascii="宋体" w:hAnsi="宋体" w:eastAsia="宋体"/>
                <w:color w:val="auto"/>
                <w:szCs w:val="22"/>
                <w:highlight w:val="none"/>
              </w:rPr>
              <w:t>□采用评定分离，中标候选人</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名（建议3-5名）</w:t>
            </w:r>
          </w:p>
        </w:tc>
      </w:tr>
      <w:tr w14:paraId="7A562C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359BAB38">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7F62D8C1">
            <w:pPr>
              <w:spacing w:line="240" w:lineRule="auto"/>
              <w:rPr>
                <w:rFonts w:hint="eastAsia" w:ascii="宋体" w:hAnsi="宋体" w:eastAsia="宋体" w:cs="宋体"/>
                <w:color w:val="auto"/>
                <w:sz w:val="21"/>
                <w:szCs w:val="21"/>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56554E90">
            <w:pPr>
              <w:spacing w:line="240" w:lineRule="auto"/>
              <w:rPr>
                <w:rFonts w:hint="eastAsia" w:ascii="宋体" w:hAnsi="宋体" w:eastAsia="宋体" w:cs="宋体"/>
                <w:color w:val="auto"/>
                <w:sz w:val="21"/>
                <w:szCs w:val="21"/>
                <w:highlight w:val="none"/>
                <w:vertAlign w:val="superscript"/>
              </w:rPr>
            </w:pPr>
            <w:r>
              <w:rPr>
                <w:rFonts w:hint="eastAsia" w:ascii="宋体" w:hAnsi="宋体" w:eastAsia="宋体" w:cs="宋体"/>
                <w:color w:val="auto"/>
                <w:sz w:val="21"/>
                <w:szCs w:val="21"/>
                <w:highlight w:val="none"/>
              </w:rPr>
              <w:t>最高投标限价</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36D88F1C">
            <w:pPr>
              <w:rPr>
                <w:rFonts w:hint="eastAsia" w:ascii="宋体" w:hAnsi="宋体" w:eastAsia="宋体" w:cs="宋体"/>
                <w:color w:val="auto"/>
                <w:sz w:val="21"/>
                <w:szCs w:val="21"/>
                <w:highlight w:val="none"/>
              </w:rPr>
            </w:pPr>
            <w:r>
              <w:rPr>
                <w:rFonts w:hint="eastAsia" w:ascii="宋体" w:hAnsi="宋体" w:eastAsia="宋体"/>
                <w:color w:val="auto"/>
                <w:szCs w:val="21"/>
                <w:highlight w:val="none"/>
              </w:rPr>
              <w:t>本项目最高投标限价为</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u w:val="single"/>
              </w:rPr>
              <w:t>人民币</w:t>
            </w:r>
            <w:r>
              <w:rPr>
                <w:rFonts w:hint="eastAsia" w:ascii="宋体" w:hAnsi="宋体" w:eastAsia="宋体"/>
                <w:color w:val="auto"/>
                <w:szCs w:val="21"/>
                <w:highlight w:val="none"/>
                <w:u w:val="single"/>
                <w:lang w:val="en-US" w:eastAsia="zh-CN"/>
              </w:rPr>
              <w:t xml:space="preserve">6,989,626.58 </w:t>
            </w:r>
            <w:r>
              <w:rPr>
                <w:rFonts w:hint="eastAsia" w:ascii="宋体" w:hAnsi="宋体" w:eastAsia="宋体"/>
                <w:color w:val="auto"/>
                <w:szCs w:val="21"/>
                <w:highlight w:val="none"/>
              </w:rPr>
              <w:t>元。</w:t>
            </w:r>
          </w:p>
        </w:tc>
      </w:tr>
      <w:tr w14:paraId="52D4FF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32338690">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4D9F3BE3">
            <w:pPr>
              <w:spacing w:line="240" w:lineRule="auto"/>
              <w:rPr>
                <w:rFonts w:hint="eastAsia" w:ascii="宋体" w:hAnsi="宋体" w:eastAsia="宋体" w:cs="宋体"/>
                <w:color w:val="auto"/>
                <w:sz w:val="21"/>
                <w:szCs w:val="21"/>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470C80E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成本警示价（如有）</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26F0FE84">
            <w:pPr>
              <w:rPr>
                <w:rFonts w:hint="eastAsia" w:ascii="宋体" w:hAnsi="宋体" w:eastAsia="宋体"/>
                <w:color w:val="auto"/>
                <w:szCs w:val="21"/>
                <w:highlight w:val="none"/>
              </w:rPr>
            </w:pPr>
            <w:r>
              <w:rPr>
                <w:rFonts w:hint="eastAsia" w:ascii="宋体" w:hAnsi="宋体" w:eastAsia="宋体"/>
                <w:color w:val="auto"/>
                <w:szCs w:val="21"/>
                <w:highlight w:val="none"/>
              </w:rPr>
              <w:t>本项目成本警示价为</w:t>
            </w:r>
            <w:r>
              <w:rPr>
                <w:rFonts w:hint="eastAsia" w:ascii="宋体" w:hAnsi="宋体" w:eastAsia="宋体"/>
                <w:color w:val="auto"/>
                <w:szCs w:val="21"/>
                <w:highlight w:val="none"/>
                <w:u w:val="single"/>
              </w:rPr>
              <w:t>人民币</w:t>
            </w:r>
            <w:r>
              <w:rPr>
                <w:rFonts w:hint="eastAsia" w:ascii="宋体" w:hAnsi="宋体" w:eastAsia="宋体"/>
                <w:color w:val="auto"/>
                <w:szCs w:val="21"/>
                <w:highlight w:val="none"/>
                <w:u w:val="single"/>
                <w:lang w:val="en-US" w:eastAsia="zh-CN"/>
              </w:rPr>
              <w:t>6,290,663.92</w:t>
            </w:r>
            <w:r>
              <w:rPr>
                <w:rFonts w:hint="eastAsia" w:ascii="宋体" w:hAnsi="宋体" w:eastAsia="宋体"/>
                <w:color w:val="auto"/>
                <w:szCs w:val="21"/>
                <w:highlight w:val="none"/>
                <w:u w:val="single"/>
              </w:rPr>
              <w:t>元</w:t>
            </w:r>
            <w:r>
              <w:rPr>
                <w:rFonts w:hint="eastAsia" w:ascii="宋体" w:hAnsi="宋体" w:eastAsia="宋体"/>
                <w:color w:val="auto"/>
                <w:szCs w:val="21"/>
                <w:highlight w:val="none"/>
              </w:rPr>
              <w:t>（按最高投标限价的90%计算）。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47B4AF30">
            <w:pPr>
              <w:rPr>
                <w:rFonts w:hint="eastAsia" w:ascii="宋体" w:hAnsi="宋体" w:eastAsia="宋体" w:cs="宋体"/>
                <w:color w:val="auto"/>
                <w:sz w:val="21"/>
                <w:szCs w:val="21"/>
                <w:highlight w:val="none"/>
              </w:rPr>
            </w:pPr>
            <w:r>
              <w:rPr>
                <w:rFonts w:hint="eastAsia" w:ascii="宋体" w:hAnsi="宋体" w:eastAsia="宋体"/>
                <w:color w:val="auto"/>
                <w:szCs w:val="21"/>
                <w:highlight w:val="none"/>
              </w:rPr>
              <w:t>注：为充分体现招标人意愿及落实项目业主负责制，成本警示价由招标人决定。</w:t>
            </w:r>
          </w:p>
        </w:tc>
      </w:tr>
      <w:tr w14:paraId="0EF913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7A9D5C2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1FAF2D2F">
            <w:pPr>
              <w:spacing w:line="240" w:lineRule="auto"/>
              <w:rPr>
                <w:rFonts w:hint="eastAsia" w:ascii="宋体" w:hAnsi="宋体" w:eastAsia="宋体" w:cs="宋体"/>
                <w:color w:val="auto"/>
                <w:sz w:val="21"/>
                <w:szCs w:val="21"/>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6A7F5AB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非竞争报价</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2FB84CB4">
            <w:pPr>
              <w:rPr>
                <w:rFonts w:hint="eastAsia" w:ascii="宋体" w:hAnsi="宋体" w:eastAsia="宋体"/>
                <w:color w:val="auto"/>
                <w:szCs w:val="21"/>
                <w:highlight w:val="none"/>
              </w:rPr>
            </w:pPr>
            <w:r>
              <w:rPr>
                <w:rFonts w:hint="eastAsia" w:ascii="宋体" w:hAnsi="宋体" w:eastAsia="宋体"/>
                <w:color w:val="auto"/>
                <w:szCs w:val="21"/>
                <w:highlight w:val="none"/>
              </w:rPr>
              <w:t>本项目绿色施工安全防护措施费为</w:t>
            </w:r>
            <w:r>
              <w:rPr>
                <w:rFonts w:hint="eastAsia" w:ascii="宋体" w:hAnsi="宋体" w:eastAsia="宋体"/>
                <w:color w:val="auto"/>
                <w:szCs w:val="21"/>
                <w:highlight w:val="none"/>
                <w:u w:val="single"/>
                <w:lang w:val="en-US" w:eastAsia="zh-CN"/>
              </w:rPr>
              <w:t>190,466.41</w:t>
            </w:r>
            <w:r>
              <w:rPr>
                <w:rFonts w:hint="eastAsia" w:ascii="宋体" w:hAnsi="宋体" w:eastAsia="宋体"/>
                <w:color w:val="auto"/>
                <w:szCs w:val="21"/>
                <w:highlight w:val="none"/>
                <w:u w:val="single"/>
              </w:rPr>
              <w:t>元</w:t>
            </w:r>
            <w:r>
              <w:rPr>
                <w:rFonts w:hint="eastAsia" w:ascii="宋体" w:hAnsi="宋体" w:eastAsia="宋体"/>
                <w:color w:val="auto"/>
                <w:szCs w:val="21"/>
                <w:highlight w:val="none"/>
              </w:rPr>
              <w:t>（未按招标文件规定的金额填写的，其投标文件将被评标委员会否决）。</w:t>
            </w:r>
          </w:p>
          <w:p w14:paraId="5834E4C6">
            <w:pPr>
              <w:spacing w:line="240" w:lineRule="auto"/>
              <w:rPr>
                <w:rFonts w:hint="eastAsia" w:ascii="宋体" w:hAnsi="宋体" w:eastAsia="宋体" w:cs="宋体"/>
                <w:color w:val="auto"/>
                <w:sz w:val="21"/>
                <w:szCs w:val="21"/>
                <w:highlight w:val="none"/>
              </w:rPr>
            </w:pPr>
            <w:r>
              <w:rPr>
                <w:rFonts w:hint="eastAsia" w:ascii="宋体" w:hAnsi="宋体" w:eastAsia="宋体"/>
                <w:color w:val="auto"/>
                <w:szCs w:val="21"/>
                <w:highlight w:val="none"/>
              </w:rPr>
              <w:t>本项目暂列金额为</w:t>
            </w:r>
            <w:r>
              <w:rPr>
                <w:rFonts w:hint="eastAsia" w:ascii="宋体" w:hAnsi="宋体" w:eastAsia="宋体"/>
                <w:color w:val="auto"/>
                <w:szCs w:val="21"/>
                <w:highlight w:val="none"/>
                <w:u w:val="single"/>
                <w:lang w:val="en-US" w:eastAsia="zh-CN"/>
              </w:rPr>
              <w:t>488</w:t>
            </w:r>
            <w:r>
              <w:rPr>
                <w:rFonts w:hint="eastAsia" w:ascii="宋体" w:hAnsi="宋体"/>
                <w:color w:val="333333"/>
                <w:sz w:val="24"/>
                <w:szCs w:val="24"/>
                <w:u w:val="single"/>
                <w:lang w:val="en-US" w:eastAsia="zh-CN"/>
              </w:rPr>
              <w:t>,</w:t>
            </w:r>
            <w:r>
              <w:rPr>
                <w:rFonts w:hint="eastAsia" w:ascii="宋体" w:hAnsi="宋体" w:eastAsia="宋体"/>
                <w:color w:val="auto"/>
                <w:szCs w:val="21"/>
                <w:highlight w:val="none"/>
                <w:u w:val="single"/>
                <w:lang w:val="en-US" w:eastAsia="zh-CN"/>
              </w:rPr>
              <w:t>797.43</w:t>
            </w:r>
            <w:r>
              <w:rPr>
                <w:rFonts w:hint="eastAsia" w:ascii="宋体" w:hAnsi="宋体"/>
                <w:color w:val="333333"/>
                <w:sz w:val="24"/>
                <w:szCs w:val="24"/>
                <w:u w:val="single"/>
              </w:rPr>
              <w:t xml:space="preserve"> </w:t>
            </w:r>
            <w:r>
              <w:rPr>
                <w:rFonts w:hint="eastAsia" w:ascii="宋体" w:hAnsi="宋体" w:eastAsia="宋体"/>
                <w:color w:val="auto"/>
                <w:szCs w:val="21"/>
                <w:highlight w:val="none"/>
              </w:rPr>
              <w:t>元，暂估价为</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u w:val="single"/>
                <w:lang w:val="en-US" w:eastAsia="zh-CN"/>
              </w:rPr>
              <w:t>/</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元。（未按招标文件规定的金额填写的，由评标委员会按照招标文件规定的金额进行修正）。</w:t>
            </w:r>
          </w:p>
        </w:tc>
      </w:tr>
      <w:tr w14:paraId="539606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7661E07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0E0C424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26775C1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0F73409F">
            <w:pPr>
              <w:spacing w:line="240" w:lineRule="auto"/>
              <w:ind w:left="960" w:hanging="840" w:hangingChars="4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2" w:char="F052"/>
            </w:r>
            <w:r>
              <w:rPr>
                <w:rFonts w:hint="eastAsia" w:ascii="宋体" w:hAnsi="宋体" w:eastAsia="宋体" w:cs="宋体"/>
                <w:color w:val="auto"/>
                <w:sz w:val="21"/>
                <w:szCs w:val="21"/>
                <w:highlight w:val="none"/>
              </w:rPr>
              <w:t>要求。履约担保金额：</w:t>
            </w:r>
            <w:r>
              <w:rPr>
                <w:rFonts w:hint="eastAsia" w:ascii="宋体" w:hAnsi="宋体" w:eastAsia="宋体" w:cs="宋体"/>
                <w:color w:val="auto"/>
                <w:sz w:val="21"/>
                <w:szCs w:val="21"/>
                <w:highlight w:val="none"/>
                <w:u w:val="single"/>
              </w:rPr>
              <w:t>中标价款的10%</w:t>
            </w:r>
            <w:r>
              <w:rPr>
                <w:rFonts w:hint="eastAsia" w:ascii="宋体" w:hAnsi="宋体" w:eastAsia="宋体" w:cs="宋体"/>
                <w:color w:val="auto"/>
                <w:sz w:val="21"/>
                <w:szCs w:val="21"/>
                <w:highlight w:val="none"/>
              </w:rPr>
              <w:t>。履约担保形式：可采用</w:t>
            </w:r>
            <w:r>
              <w:rPr>
                <w:rFonts w:hint="eastAsia" w:ascii="宋体" w:hAnsi="宋体" w:eastAsia="宋体" w:cs="宋体"/>
                <w:color w:val="auto"/>
                <w:sz w:val="21"/>
                <w:szCs w:val="21"/>
                <w:highlight w:val="none"/>
                <w:u w:val="single"/>
              </w:rPr>
              <w:t>银行或担保公司保函、转账、现金、支票、汇票、履约保证保险</w:t>
            </w:r>
            <w:r>
              <w:rPr>
                <w:rFonts w:hint="eastAsia" w:ascii="宋体" w:hAnsi="宋体" w:eastAsia="宋体" w:cs="宋体"/>
                <w:color w:val="auto"/>
                <w:sz w:val="21"/>
                <w:szCs w:val="21"/>
                <w:highlight w:val="none"/>
              </w:rPr>
              <w:t>等形式</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具体</w:t>
            </w:r>
            <w:r>
              <w:rPr>
                <w:rFonts w:hint="eastAsia" w:ascii="宋体" w:hAnsi="宋体" w:eastAsia="宋体" w:cs="宋体"/>
                <w:color w:val="auto"/>
                <w:szCs w:val="21"/>
                <w:highlight w:val="none"/>
                <w:u w:val="single"/>
                <w:lang w:val="en-US" w:eastAsia="zh-CN"/>
              </w:rPr>
              <w:t>按</w:t>
            </w:r>
            <w:r>
              <w:rPr>
                <w:rFonts w:hint="eastAsia" w:ascii="宋体" w:hAnsi="宋体" w:eastAsia="宋体" w:cs="宋体"/>
                <w:color w:val="auto"/>
                <w:szCs w:val="21"/>
                <w:highlight w:val="none"/>
                <w:u w:val="single"/>
              </w:rPr>
              <w:t>合同</w:t>
            </w:r>
            <w:r>
              <w:rPr>
                <w:rFonts w:hint="eastAsia" w:ascii="宋体" w:hAnsi="宋体" w:eastAsia="宋体" w:cs="宋体"/>
                <w:color w:val="auto"/>
                <w:szCs w:val="21"/>
                <w:highlight w:val="none"/>
                <w:u w:val="single"/>
                <w:lang w:eastAsia="zh-CN"/>
              </w:rPr>
              <w:t>约定</w:t>
            </w:r>
            <w:r>
              <w:rPr>
                <w:rFonts w:hint="eastAsia" w:ascii="宋体" w:hAnsi="宋体" w:eastAsia="宋体" w:cs="宋体"/>
                <w:color w:val="auto"/>
                <w:sz w:val="21"/>
                <w:szCs w:val="21"/>
                <w:highlight w:val="none"/>
              </w:rPr>
              <w:t>。</w:t>
            </w:r>
          </w:p>
          <w:p w14:paraId="59B9392F">
            <w:pPr>
              <w:spacing w:line="240" w:lineRule="auto"/>
              <w:ind w:left="840" w:hanging="840" w:hangingChars="4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不要求。</w:t>
            </w:r>
          </w:p>
        </w:tc>
      </w:tr>
      <w:tr w14:paraId="15D11D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250A4CE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34753D72">
            <w:pPr>
              <w:spacing w:line="240" w:lineRule="auto"/>
              <w:rPr>
                <w:rFonts w:hint="eastAsia" w:ascii="宋体" w:hAnsi="宋体" w:eastAsia="宋体" w:cs="宋体"/>
                <w:color w:val="auto"/>
                <w:sz w:val="21"/>
                <w:szCs w:val="21"/>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101536F3">
            <w:pPr>
              <w:pStyle w:val="32"/>
              <w:spacing w:after="0"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保修期</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69246AC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按照《建设工程质量管理条例》规定。</w:t>
            </w:r>
          </w:p>
        </w:tc>
      </w:tr>
      <w:tr w14:paraId="0EE090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0D7937C8">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11B98FBA">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39.1</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114859DE">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6C8B2864">
            <w:pPr>
              <w:rPr>
                <w:rFonts w:hint="eastAsia" w:ascii="宋体" w:hAnsi="宋体" w:eastAsia="宋体"/>
                <w:color w:val="auto"/>
                <w:highlight w:val="none"/>
              </w:rPr>
            </w:pPr>
            <w:r>
              <w:rPr>
                <w:rFonts w:hint="eastAsia" w:ascii="宋体" w:hAnsi="宋体" w:eastAsia="宋体" w:cs="宋体"/>
                <w:color w:val="auto"/>
                <w:kern w:val="0"/>
                <w:szCs w:val="21"/>
                <w:highlight w:val="none"/>
              </w:rPr>
              <w:sym w:font="Wingdings" w:char="00A8"/>
            </w:r>
            <w:r>
              <w:rPr>
                <w:rFonts w:hint="eastAsia" w:ascii="宋体" w:hAnsi="宋体" w:eastAsia="宋体" w:cs="Times New Roman"/>
                <w:color w:val="auto"/>
                <w:highlight w:val="none"/>
              </w:rPr>
              <w:t xml:space="preserve">方式一：评标委员会共 </w:t>
            </w:r>
            <w:r>
              <w:rPr>
                <w:rFonts w:hint="eastAsia" w:ascii="宋体" w:hAnsi="宋体" w:eastAsia="宋体" w:cs="Times New Roman"/>
                <w:color w:val="auto"/>
                <w:highlight w:val="none"/>
                <w:u w:val="single"/>
                <w:lang w:val="en-US" w:eastAsia="zh-CN"/>
              </w:rPr>
              <w:t xml:space="preserve">   </w:t>
            </w:r>
            <w:r>
              <w:rPr>
                <w:rFonts w:hint="eastAsia" w:ascii="宋体" w:hAnsi="宋体" w:eastAsia="宋体" w:cs="Times New Roman"/>
                <w:color w:val="auto"/>
                <w:highlight w:val="none"/>
              </w:rPr>
              <w:t>人。</w:t>
            </w:r>
          </w:p>
          <w:p w14:paraId="1ACDAD9A">
            <w:pPr>
              <w:ind w:left="1050" w:hanging="1050" w:hangingChars="500"/>
              <w:rPr>
                <w:rFonts w:hint="eastAsia" w:ascii="宋体" w:hAnsi="宋体" w:eastAsia="宋体"/>
                <w:color w:val="auto"/>
                <w:highlight w:val="none"/>
              </w:rPr>
            </w:pPr>
            <w:r>
              <w:rPr>
                <w:rFonts w:hint="eastAsia" w:ascii="宋体" w:hAnsi="宋体" w:eastAsia="宋体" w:cs="宋体"/>
                <w:color w:val="auto"/>
                <w:kern w:val="0"/>
                <w:szCs w:val="21"/>
                <w:highlight w:val="none"/>
              </w:rPr>
              <w:sym w:font="Wingdings" w:char="00FE"/>
            </w:r>
            <w:r>
              <w:rPr>
                <w:rFonts w:hint="eastAsia" w:ascii="宋体" w:hAnsi="宋体" w:eastAsia="宋体"/>
                <w:color w:val="auto"/>
                <w:highlight w:val="none"/>
              </w:rPr>
              <w:t>方式二：评标委员会共</w:t>
            </w:r>
            <w:r>
              <w:rPr>
                <w:rFonts w:hint="eastAsia" w:ascii="宋体" w:hAnsi="宋体" w:eastAsia="宋体"/>
                <w:color w:val="auto"/>
                <w:highlight w:val="none"/>
                <w:u w:val="single"/>
                <w:lang w:val="en-US" w:eastAsia="zh-CN"/>
              </w:rPr>
              <w:t>7</w:t>
            </w:r>
            <w:r>
              <w:rPr>
                <w:rFonts w:hint="eastAsia" w:ascii="宋体" w:hAnsi="宋体" w:eastAsia="宋体"/>
                <w:color w:val="auto"/>
                <w:highlight w:val="none"/>
              </w:rPr>
              <w:t>人，其中招标人代表</w:t>
            </w:r>
            <w:r>
              <w:rPr>
                <w:rFonts w:hint="eastAsia" w:ascii="宋体" w:hAnsi="宋体" w:eastAsia="宋体"/>
                <w:color w:val="auto"/>
                <w:highlight w:val="none"/>
                <w:u w:val="single"/>
                <w:lang w:val="en-US" w:eastAsia="zh-CN"/>
              </w:rPr>
              <w:t>2</w:t>
            </w:r>
            <w:r>
              <w:rPr>
                <w:rFonts w:hint="eastAsia" w:ascii="宋体" w:hAnsi="宋体" w:eastAsia="宋体"/>
                <w:color w:val="auto"/>
                <w:highlight w:val="none"/>
              </w:rPr>
              <w:t>人，技术、经济等方面专家</w:t>
            </w:r>
            <w:r>
              <w:rPr>
                <w:rFonts w:hint="eastAsia" w:ascii="宋体" w:hAnsi="宋体" w:eastAsia="宋体"/>
                <w:color w:val="auto"/>
                <w:highlight w:val="none"/>
                <w:u w:val="single"/>
                <w:lang w:val="en-US" w:eastAsia="zh-CN"/>
              </w:rPr>
              <w:t>5</w:t>
            </w:r>
            <w:r>
              <w:rPr>
                <w:rFonts w:hint="eastAsia" w:ascii="宋体" w:hAnsi="宋体" w:eastAsia="宋体"/>
                <w:color w:val="auto"/>
                <w:highlight w:val="none"/>
              </w:rPr>
              <w:t>人。</w:t>
            </w:r>
          </w:p>
          <w:p w14:paraId="14E5933E">
            <w:pPr>
              <w:spacing w:line="240" w:lineRule="auto"/>
              <w:ind w:left="1050" w:hanging="1050" w:hangingChars="500"/>
              <w:rPr>
                <w:rFonts w:hint="eastAsia" w:ascii="宋体" w:hAnsi="宋体" w:eastAsia="宋体" w:cs="宋体"/>
                <w:color w:val="auto"/>
                <w:sz w:val="21"/>
                <w:szCs w:val="21"/>
                <w:highlight w:val="none"/>
              </w:rPr>
            </w:pPr>
            <w:r>
              <w:rPr>
                <w:rFonts w:hint="eastAsia" w:ascii="宋体" w:hAnsi="宋体" w:eastAsia="宋体"/>
                <w:color w:val="auto"/>
                <w:highlight w:val="none"/>
              </w:rPr>
              <w:t>评标专家从政府评标专家库随机抽取。</w:t>
            </w:r>
          </w:p>
        </w:tc>
      </w:tr>
      <w:tr w14:paraId="5B822F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75557227">
            <w:pPr>
              <w:spacing w:line="240" w:lineRule="auto"/>
              <w:rPr>
                <w:rFonts w:hint="eastAsia" w:ascii="宋体" w:hAnsi="宋体" w:eastAsia="宋体" w:cs="宋体"/>
                <w:color w:val="auto"/>
                <w:sz w:val="21"/>
                <w:szCs w:val="21"/>
                <w:highlight w:val="none"/>
              </w:rPr>
            </w:pPr>
            <w:bookmarkStart w:id="31" w:name="OLE_LINK6" w:colFirst="2" w:colLast="3"/>
            <w:r>
              <w:rPr>
                <w:rFonts w:hint="eastAsia" w:ascii="宋体" w:hAnsi="宋体" w:eastAsia="宋体" w:cs="宋体"/>
                <w:color w:val="auto"/>
                <w:sz w:val="21"/>
                <w:szCs w:val="21"/>
                <w:highlight w:val="none"/>
              </w:rPr>
              <w:t>30</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10ACED9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46.6</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05D8812C">
            <w:pPr>
              <w:spacing w:line="240" w:lineRule="auto"/>
              <w:rPr>
                <w:rFonts w:hint="eastAsia" w:ascii="宋体" w:hAnsi="宋体" w:eastAsia="宋体" w:cs="宋体"/>
                <w:color w:val="auto"/>
                <w:sz w:val="21"/>
                <w:szCs w:val="21"/>
                <w:highlight w:val="none"/>
                <w:lang w:eastAsia="zh-CN"/>
              </w:rPr>
            </w:pPr>
            <w:bookmarkStart w:id="32" w:name="OLE_LINK7"/>
            <w:r>
              <w:rPr>
                <w:rFonts w:hint="eastAsia" w:ascii="宋体" w:hAnsi="宋体" w:eastAsia="宋体" w:cs="宋体"/>
                <w:color w:val="auto"/>
                <w:sz w:val="21"/>
                <w:szCs w:val="21"/>
                <w:highlight w:val="none"/>
              </w:rPr>
              <w:t>评标参考价的</w:t>
            </w:r>
            <w:r>
              <w:rPr>
                <w:rFonts w:hint="eastAsia" w:ascii="宋体" w:hAnsi="宋体" w:eastAsia="宋体" w:cs="宋体"/>
                <w:color w:val="auto"/>
                <w:sz w:val="21"/>
                <w:szCs w:val="21"/>
                <w:highlight w:val="none"/>
                <w:lang w:val="en-US" w:eastAsia="zh-CN"/>
              </w:rPr>
              <w:t>计算</w:t>
            </w:r>
            <w:bookmarkEnd w:id="32"/>
          </w:p>
        </w:tc>
        <w:tc>
          <w:tcPr>
            <w:tcW w:w="6958" w:type="dxa"/>
            <w:tcBorders>
              <w:top w:val="single" w:color="auto" w:sz="4" w:space="0"/>
              <w:left w:val="single" w:color="auto" w:sz="4" w:space="0"/>
              <w:bottom w:val="single" w:color="auto" w:sz="4" w:space="0"/>
              <w:right w:val="double" w:color="auto" w:sz="4" w:space="0"/>
            </w:tcBorders>
            <w:noWrap w:val="0"/>
            <w:vAlign w:val="center"/>
          </w:tcPr>
          <w:p w14:paraId="34FA5A6E">
            <w:pPr>
              <w:pBdr>
                <w:bottom w:val="single" w:color="auto" w:sz="6" w:space="1"/>
              </w:pBdr>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olor w:val="auto"/>
                <w:highlight w:val="none"/>
              </w:rPr>
              <w:t>计算评标参考价的下浮率X从0.5%、1%、1.5%、2%、2.5%、3%、3.5%中随机抽取。</w:t>
            </w:r>
          </w:p>
        </w:tc>
      </w:tr>
      <w:bookmarkEnd w:id="31"/>
      <w:tr w14:paraId="1AF956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54139DA7">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351C0A26">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46.3、46.5</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5C3A8D58">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技术部分（施工组织方案）、技术部分（项目实施能力）评分汇总方式</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2BE4631B">
            <w:pPr>
              <w:ind w:left="840" w:hanging="840" w:hangingChars="400"/>
              <w:rPr>
                <w:rFonts w:hint="eastAsia" w:ascii="宋体" w:hAnsi="宋体" w:eastAsia="宋体" w:cs="Times New Roman"/>
                <w:color w:val="auto"/>
                <w:highlight w:val="none"/>
              </w:rPr>
            </w:pPr>
            <w:r>
              <w:rPr>
                <w:rFonts w:hint="eastAsia" w:ascii="宋体" w:hAnsi="宋体" w:eastAsia="宋体" w:cs="Times New Roman"/>
                <w:color w:val="auto"/>
                <w:highlight w:val="none"/>
              </w:rPr>
              <w:sym w:font="Wingdings" w:char="00A8"/>
            </w:r>
            <w:r>
              <w:rPr>
                <w:rFonts w:hint="eastAsia" w:ascii="宋体" w:hAnsi="宋体" w:eastAsia="宋体" w:cs="Times New Roman"/>
                <w:color w:val="auto"/>
                <w:highlight w:val="none"/>
              </w:rPr>
              <w:t>式一：所有评委的分数汇总后去掉一个最高分和一个最低分，剩余分数的算术平均值为投标人的技术部分</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施工组织方案</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、技术部分</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项目实施能力</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最终得分。</w:t>
            </w:r>
          </w:p>
          <w:p w14:paraId="6773D43A">
            <w:pPr>
              <w:spacing w:line="240" w:lineRule="auto"/>
              <w:ind w:left="840" w:hanging="840" w:hangingChars="400"/>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sym w:font="Wingdings" w:char="00FE"/>
            </w:r>
            <w:r>
              <w:rPr>
                <w:rFonts w:hint="eastAsia" w:ascii="宋体" w:hAnsi="宋体" w:eastAsia="宋体" w:cs="宋体"/>
                <w:color w:val="auto"/>
                <w:kern w:val="0"/>
                <w:szCs w:val="21"/>
                <w:highlight w:val="none"/>
              </w:rPr>
              <w:t>方式二：所有评委的分数汇总后的算术平均值为投标人的技术部分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施工组织方案</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、技术部分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项目实施能力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最终得分。</w:t>
            </w:r>
          </w:p>
        </w:tc>
      </w:tr>
      <w:tr w14:paraId="2233C4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464DD46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6D37586A">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46.7</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23E7A38A">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分值权重</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30FF239E">
            <w:pP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综合评分法：</w:t>
            </w:r>
          </w:p>
          <w:p w14:paraId="3028AB5C">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方式一：技术部分（施工组织方案）得分权重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%，技术部分（项目实施能力）得分权重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15</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%，报价得分权重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8</w:t>
            </w:r>
            <w:r>
              <w:rPr>
                <w:rFonts w:ascii="宋体" w:hAnsi="宋体" w:eastAsia="宋体" w:cs="宋体"/>
                <w:color w:val="auto"/>
                <w:kern w:val="0"/>
                <w:szCs w:val="21"/>
                <w:highlight w:val="none"/>
                <w:u w:val="single"/>
              </w:rPr>
              <w:t>0</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A5BCDAF">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□方式二：技术部分（施工组织方案）得分权重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%，技术部分（项目实施能力）得分权重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%，报价得分权重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%，诚信综合评价得分权重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4799397">
            <w:pPr>
              <w:pStyle w:val="7"/>
              <w:ind w:firstLine="0"/>
              <w:rPr>
                <w:rFonts w:hint="eastAsia"/>
                <w:color w:val="auto"/>
                <w:highlight w:val="none"/>
              </w:rPr>
            </w:pPr>
            <w:r>
              <w:rPr>
                <w:rFonts w:hint="eastAsia" w:ascii="宋体" w:hAnsi="宋体" w:eastAsia="宋体" w:cs="宋体"/>
                <w:color w:val="auto"/>
                <w:kern w:val="0"/>
                <w:szCs w:val="21"/>
                <w:highlight w:val="none"/>
              </w:rPr>
              <w:t>注：复杂和大型工程，技术部分（施工组织方案）得分权重不少于10%，报价得分权重不少于60%，诚信综合评价得分权重占0%-5%；其他工程，技术部分（施工组织方案）得分权重不少于5%，报价得分权重不少于80%，诚信综合评价得分权重占0-5%。技术部分（项目实施能力）权重=100-技术部分（施工组织方案）得分权重-报价得分权重-诚信综合评价得分权重。</w:t>
            </w:r>
          </w:p>
        </w:tc>
      </w:tr>
      <w:tr w14:paraId="10F645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5DF4EF47">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034B1C3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46.7</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67B3019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企业诚信综合评价计分</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1DD562C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highlight w:val="none"/>
                <w:u w:val="single"/>
              </w:rPr>
              <w:t>本项目企业诚信综合评价排名不参与评分。</w:t>
            </w:r>
          </w:p>
        </w:tc>
      </w:tr>
      <w:tr w14:paraId="2EBD2A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41A02F66">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5F884850">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13.4、13.5.2</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1514CDC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合同价款的调整办法</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5803248D">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详见合同相关条款约定。</w:t>
            </w:r>
          </w:p>
        </w:tc>
      </w:tr>
      <w:tr w14:paraId="21C9FF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3F3AFE1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134326CD">
            <w:pPr>
              <w:spacing w:line="240" w:lineRule="auto"/>
              <w:rPr>
                <w:rFonts w:hint="eastAsia" w:ascii="宋体" w:hAnsi="宋体" w:eastAsia="宋体" w:cs="宋体"/>
                <w:color w:val="auto"/>
                <w:sz w:val="21"/>
                <w:szCs w:val="21"/>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28A97D7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建设工程质量检测管理办法</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62F71695">
            <w:pPr>
              <w:adjustRightInd w:val="0"/>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根据《建设工程质量检测管理办法》（2022年建设部令第57号）第十六条规定，建设工程质量、安全检测业务应由建设单位依法委托，不列入本次招标范围。招标文件中与此条不一致的，以此条为准。</w:t>
            </w:r>
          </w:p>
        </w:tc>
      </w:tr>
      <w:tr w14:paraId="2030D4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21FF42B7">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7A18BA20">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3F98C6A6">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电子招标投标解密失败及突发情况的补救</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13C09AA5">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1、按照广州公共资源交易平台关于全流程电子化项目的相关指南进行操作。详见：广州公共资源交易网站最新指引。  </w:t>
            </w:r>
          </w:p>
          <w:p w14:paraId="2ED7E71C">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2、提交投标文件光盘备用</w:t>
            </w:r>
          </w:p>
          <w:p w14:paraId="7AB84055">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可制作非加密的电子投标文件（PDF格式）刻入光盘（1份），在投标须知前附表第20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F2CE9C2">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3、补救方案</w:t>
            </w:r>
          </w:p>
          <w:p w14:paraId="51CF5C2C">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F7F7838">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（2）评标时突发情况的补救方案：若遇不可抗力发生（指网络瘫痪、服务器损坏、交易系统故障短期无法恢复等因素），由评标委员会开启投标人递交的全部投标文件光盘，并按光盘内容进行评审。</w:t>
            </w:r>
          </w:p>
          <w:p w14:paraId="20526D70">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（3）除发生上述情况外，开标评标均以投标人通过广州公共资源交易平台网上递交的电子投标文件为准。</w:t>
            </w:r>
          </w:p>
        </w:tc>
      </w:tr>
      <w:tr w14:paraId="3D2002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19C6DD2D">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37</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F4D62E3">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37</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37986039">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招标人拒绝接收投标文件备用光盘的情况</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7CD8BAEF">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1、在投标截止期后逾期或未在指定地点递交投标文件备用光盘的；</w:t>
            </w:r>
          </w:p>
          <w:p w14:paraId="17CFB86D">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2、投标文件备用光盘未按招标文件要求密封或未在密封处盖章的；</w:t>
            </w:r>
          </w:p>
          <w:p w14:paraId="3E2FAFA1">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3、投标人代表未凭法定代表人证明书（原件）、法定代表人授权书原件（仅限于非法定代表人）、本人身份证原件递交投标文件备用光盘的。</w:t>
            </w:r>
          </w:p>
        </w:tc>
      </w:tr>
      <w:tr w14:paraId="5AED28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54976A73">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38</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6392248C">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38</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27A65F8F">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中标公示后中标单位提交投标文件要求</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1F7DB7E5">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中标人在签订合同前需向招标人另行提供与投标递交的电子标书一致且加盖单位公章的纸质投标文件（含投标须知11.4.9包含的所有工程量清单报价表）4份及电子文件1份（不用生成投标书；包括用Microsoft Excel 软件或广州公共资源交易网站提供的投标书制作软件制作的工程量清单报价表和单价分析表，用 Microsoft Word 软件或广州公共资源交易网站提供的投标书制作软件制作的经济投标文件其他部分。电子文件介质使用CD-R光盘，所有电子文件不能采用压缩处理）。</w:t>
            </w:r>
          </w:p>
        </w:tc>
      </w:tr>
      <w:tr w14:paraId="1D5EF9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62FAB2D9">
            <w:pPr>
              <w:spacing w:line="240" w:lineRule="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39</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2D5A7F5">
            <w:pPr>
              <w:spacing w:line="240" w:lineRule="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39</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2FFB795B">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绿色发展理念</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595F3A16">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Cs w:val="21"/>
                <w:highlight w:val="none"/>
                <w:u w:val="single"/>
              </w:rPr>
              <w:t>投标人应承诺氢燃料电池汽车作为混凝土搅拌车和建筑废弃物运输车在本项目的投入使用。</w:t>
            </w:r>
          </w:p>
        </w:tc>
      </w:tr>
      <w:tr w14:paraId="2FD8E0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14:paraId="4EBA0F8F">
            <w:pPr>
              <w:spacing w:line="240" w:lineRule="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40</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449F13E5">
            <w:pPr>
              <w:spacing w:line="240" w:lineRule="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40</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74607A94">
            <w:pPr>
              <w:rPr>
                <w:rFonts w:hint="eastAsia" w:ascii="宋体" w:hAnsi="宋体" w:eastAsia="宋体" w:cs="宋体"/>
                <w:color w:val="auto"/>
                <w:sz w:val="21"/>
                <w:szCs w:val="21"/>
                <w:highlight w:val="none"/>
                <w:u w:val="single"/>
              </w:rPr>
            </w:pPr>
            <w:r>
              <w:rPr>
                <w:rFonts w:hint="eastAsia" w:ascii="宋体" w:hAnsi="宋体" w:eastAsia="宋体"/>
                <w:color w:val="auto"/>
                <w:highlight w:val="none"/>
              </w:rPr>
              <w:t>其他</w:t>
            </w:r>
          </w:p>
        </w:tc>
        <w:tc>
          <w:tcPr>
            <w:tcW w:w="6958" w:type="dxa"/>
            <w:tcBorders>
              <w:top w:val="single" w:color="auto" w:sz="4" w:space="0"/>
              <w:left w:val="single" w:color="auto" w:sz="4" w:space="0"/>
              <w:bottom w:val="single" w:color="auto" w:sz="4" w:space="0"/>
              <w:right w:val="double" w:color="auto" w:sz="4" w:space="0"/>
            </w:tcBorders>
            <w:noWrap w:val="0"/>
            <w:vAlign w:val="center"/>
          </w:tcPr>
          <w:p w14:paraId="364E08A0">
            <w:pPr>
              <w:rPr>
                <w:rFonts w:hint="eastAsia" w:ascii="宋体" w:hAnsi="宋体" w:eastAsia="宋体" w:cs="宋体"/>
                <w:color w:val="auto"/>
                <w:sz w:val="21"/>
                <w:szCs w:val="21"/>
                <w:highlight w:val="none"/>
                <w:u w:val="single"/>
                <w:lang w:val="en-US" w:eastAsia="zh-CN"/>
              </w:rPr>
            </w:pPr>
            <w:r>
              <w:rPr>
                <w:rFonts w:hint="eastAsia" w:ascii="宋体" w:hAnsi="宋体" w:eastAsia="宋体"/>
                <w:color w:val="auto"/>
                <w:highlight w:val="none"/>
                <w:u w:val="none"/>
              </w:rPr>
              <w:t>本招标项目由中标人支付招标代理费用，中标人在领取《中标通知书》前向招标代理足额一次性支付招标代理费[计费依据参考《招标代理服务收费管理暂行办法》（计价〔2002〕1980号）文的规定计算。[注：按“工程类”计取]。本费用由投标人自行考虑，招标人不再另行支付。</w:t>
            </w:r>
          </w:p>
        </w:tc>
      </w:tr>
    </w:tbl>
    <w:p w14:paraId="439E8568">
      <w:pPr>
        <w:spacing w:line="480" w:lineRule="auto"/>
        <w:ind w:firstLine="537" w:firstLineChars="224"/>
        <w:rPr>
          <w:rFonts w:ascii="宋体" w:hAnsi="宋体" w:eastAsia="宋体"/>
          <w:color w:val="auto"/>
          <w:sz w:val="24"/>
          <w:highlight w:val="none"/>
        </w:rPr>
      </w:pPr>
    </w:p>
    <w:p w14:paraId="419B7A7C">
      <w:pPr>
        <w:pStyle w:val="4"/>
        <w:spacing w:before="120"/>
        <w:rPr>
          <w:rFonts w:ascii="宋体" w:eastAsia="宋体"/>
          <w:color w:val="auto"/>
          <w:highlight w:val="none"/>
        </w:rPr>
      </w:pPr>
      <w:bookmarkStart w:id="33" w:name="_二、投标须知修改表"/>
      <w:bookmarkEnd w:id="33"/>
      <w:r>
        <w:rPr>
          <w:rFonts w:hint="eastAsia" w:ascii="宋体" w:eastAsia="宋体"/>
          <w:color w:val="auto"/>
          <w:highlight w:val="none"/>
        </w:rPr>
        <w:br w:type="page"/>
      </w:r>
      <w:bookmarkStart w:id="34" w:name="_Toc28948"/>
      <w:bookmarkStart w:id="35" w:name="_Toc262229161"/>
      <w:bookmarkStart w:id="36" w:name="_Toc26168"/>
      <w:bookmarkStart w:id="37" w:name="_Toc17014"/>
      <w:bookmarkStart w:id="38" w:name="_Toc29501"/>
      <w:bookmarkStart w:id="39" w:name="_Toc8938"/>
      <w:bookmarkStart w:id="40" w:name="_Toc32105"/>
      <w:bookmarkStart w:id="41" w:name="_Toc18865"/>
      <w:bookmarkStart w:id="42" w:name="_Toc4195"/>
      <w:bookmarkStart w:id="43" w:name="_Toc24309"/>
      <w:bookmarkStart w:id="44" w:name="_Toc20294"/>
      <w:bookmarkStart w:id="45" w:name="_Toc26978"/>
      <w:r>
        <w:rPr>
          <w:rFonts w:hint="eastAsia" w:ascii="宋体" w:eastAsia="宋体"/>
          <w:color w:val="auto"/>
          <w:highlight w:val="none"/>
        </w:rPr>
        <w:t>二、投标须知修改表</w:t>
      </w:r>
      <w:bookmarkEnd w:id="34"/>
      <w:bookmarkEnd w:id="35"/>
      <w:bookmarkEnd w:id="36"/>
      <w:bookmarkEnd w:id="37"/>
      <w:bookmarkEnd w:id="38"/>
      <w:bookmarkEnd w:id="39"/>
      <w:bookmarkEnd w:id="40"/>
      <w:bookmarkEnd w:id="41"/>
      <w:bookmarkEnd w:id="42"/>
      <w:bookmarkEnd w:id="43"/>
      <w:bookmarkEnd w:id="44"/>
      <w:bookmarkEnd w:id="45"/>
    </w:p>
    <w:p w14:paraId="297105B0">
      <w:pPr>
        <w:pStyle w:val="32"/>
        <w:spacing w:line="360" w:lineRule="auto"/>
        <w:ind w:firstLine="0"/>
        <w:rPr>
          <w:rFonts w:ascii="宋体" w:hAnsi="宋体" w:eastAsia="宋体"/>
          <w:b/>
          <w:color w:val="auto"/>
          <w:szCs w:val="21"/>
          <w:highlight w:val="none"/>
        </w:rPr>
      </w:pPr>
      <w:r>
        <w:rPr>
          <w:rFonts w:hint="eastAsia" w:ascii="宋体" w:hAnsi="宋体" w:eastAsia="宋体"/>
          <w:b/>
          <w:color w:val="auto"/>
          <w:szCs w:val="21"/>
          <w:highlight w:val="none"/>
        </w:rPr>
        <w:t>声明：本投标须知使用GZYLZB202</w:t>
      </w:r>
      <w:r>
        <w:rPr>
          <w:rFonts w:hint="eastAsia" w:ascii="宋体" w:hAnsi="宋体" w:eastAsia="宋体"/>
          <w:b/>
          <w:color w:val="auto"/>
          <w:szCs w:val="21"/>
          <w:highlight w:val="none"/>
          <w:lang w:val="en-US" w:eastAsia="zh-CN"/>
        </w:rPr>
        <w:t>3</w:t>
      </w:r>
      <w:r>
        <w:rPr>
          <w:rFonts w:hint="eastAsia" w:ascii="宋体" w:hAnsi="宋体" w:eastAsia="宋体"/>
          <w:b/>
          <w:color w:val="auto"/>
          <w:szCs w:val="21"/>
          <w:highlight w:val="none"/>
        </w:rPr>
        <w:t>-1招标文件范本的投标须知通用条款，与该通用条款不同之处，均在本表中列明，修改之处均以下划线标明，并以现文为准，原文不再有效。没有在本表中列明的条款，以原文为准。本招标文件中不再转录投标须知通用条款，请投标人自行到广州市林业和园林局网站（网址：http://lyylj.gz.gov.cn/）下载查阅。</w:t>
      </w:r>
    </w:p>
    <w:p w14:paraId="68CE7507">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5.1</w:t>
      </w:r>
      <w:r>
        <w:rPr>
          <w:rFonts w:hint="eastAsia" w:ascii="宋体" w:hAnsi="宋体" w:eastAsia="宋体"/>
          <w:b/>
          <w:color w:val="auto"/>
          <w:szCs w:val="21"/>
          <w:highlight w:val="none"/>
        </w:rPr>
        <w:t xml:space="preserve">             修改类型：修改</w:t>
      </w:r>
    </w:p>
    <w:p w14:paraId="64601625">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lang w:val="en-US" w:eastAsia="zh-CN"/>
        </w:rPr>
        <w:t>5.1</w:t>
      </w:r>
      <w:r>
        <w:rPr>
          <w:rFonts w:hint="eastAsia" w:ascii="宋体" w:hAnsi="宋体" w:eastAsia="宋体"/>
          <w:b w:val="0"/>
          <w:bCs/>
          <w:color w:val="auto"/>
          <w:szCs w:val="21"/>
          <w:highlight w:val="none"/>
        </w:rPr>
        <w:t>投标人应按本投标须知前附表第16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2887BC61">
      <w:pPr>
        <w:keepNext w:val="0"/>
        <w:keepLines w:val="0"/>
        <w:pageBreakBefore w:val="0"/>
        <w:widowControl w:val="0"/>
        <w:pBdr>
          <w:bottom w:val="single" w:color="auto" w:sz="6" w:space="1"/>
        </w:pBdr>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b/>
          <w:color w:val="auto"/>
          <w:sz w:val="21"/>
          <w:szCs w:val="21"/>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lang w:val="en-US" w:eastAsia="zh-CN"/>
        </w:rPr>
        <w:t>5.1</w:t>
      </w:r>
      <w:r>
        <w:rPr>
          <w:rFonts w:hint="eastAsia" w:ascii="宋体" w:hAnsi="宋体" w:eastAsia="宋体"/>
          <w:b w:val="0"/>
          <w:bCs/>
          <w:color w:val="auto"/>
          <w:szCs w:val="21"/>
          <w:highlight w:val="none"/>
        </w:rPr>
        <w:t>投标人应按本投标须知前附表第16项所述时间和要求对工程现场及周围环境进行踏勘，投标人应充分重视和仔细地进行这种考察，以便投标人获取那些须投标人自己负责的有关编制投标</w:t>
      </w:r>
      <w:r>
        <w:rPr>
          <w:rFonts w:hint="eastAsia" w:ascii="宋体" w:hAnsi="宋体" w:eastAsia="宋体"/>
          <w:b w:val="0"/>
          <w:bCs/>
          <w:color w:val="auto"/>
          <w:szCs w:val="21"/>
          <w:highlight w:val="none"/>
          <w:lang w:val="en-US" w:eastAsia="zh-CN"/>
        </w:rPr>
        <w:t>9</w:t>
      </w:r>
      <w:r>
        <w:rPr>
          <w:rFonts w:hint="eastAsia" w:ascii="宋体" w:hAnsi="宋体" w:eastAsia="宋体"/>
          <w:b w:val="0"/>
          <w:bCs/>
          <w:color w:val="auto"/>
          <w:szCs w:val="21"/>
          <w:highlight w:val="none"/>
        </w:rPr>
        <w:t>文件和签署合同所涉及现场所有的资料。</w:t>
      </w:r>
      <w:r>
        <w:rPr>
          <w:rFonts w:hint="eastAsia" w:ascii="宋体" w:hAnsi="宋体" w:eastAsia="宋体"/>
          <w:b w:val="0"/>
          <w:bCs/>
          <w:color w:val="auto"/>
          <w:szCs w:val="21"/>
          <w:highlight w:val="none"/>
          <w:u w:val="single"/>
        </w:rPr>
        <w:t>投标人不进行踏勘的，视为已熟知现场条件，自行承担相关风险。</w:t>
      </w:r>
      <w:r>
        <w:rPr>
          <w:rFonts w:hint="eastAsia" w:ascii="宋体" w:hAnsi="宋体" w:eastAsia="宋体"/>
          <w:b w:val="0"/>
          <w:bCs/>
          <w:color w:val="auto"/>
          <w:szCs w:val="21"/>
          <w:highlight w:val="none"/>
        </w:rPr>
        <w:t>一旦中标，这种考察即被认为其结果已在中标文件中得到充分反映。</w:t>
      </w:r>
      <w:r>
        <w:rPr>
          <w:rFonts w:hint="eastAsia" w:ascii="宋体" w:hAnsi="宋体" w:eastAsia="宋体"/>
          <w:bCs/>
          <w:color w:val="auto"/>
          <w:szCs w:val="21"/>
          <w:highlight w:val="none"/>
          <w:u w:val="single"/>
        </w:rPr>
        <w:t>招标人不受理因投标人缺乏对现场条件的了解或掌握而提出的任何索赔。</w:t>
      </w:r>
      <w:r>
        <w:rPr>
          <w:rFonts w:hint="eastAsia" w:ascii="宋体" w:hAnsi="宋体" w:eastAsia="宋体"/>
          <w:b w:val="0"/>
          <w:bCs/>
          <w:color w:val="auto"/>
          <w:szCs w:val="21"/>
          <w:highlight w:val="none"/>
        </w:rPr>
        <w:t>考察现场的费用由投标人自己承担。</w:t>
      </w:r>
    </w:p>
    <w:p w14:paraId="7E2B0E08">
      <w:pPr>
        <w:spacing w:line="360" w:lineRule="auto"/>
        <w:ind w:firstLine="472" w:firstLineChars="224"/>
        <w:rPr>
          <w:rFonts w:ascii="宋体" w:hAnsi="宋体" w:eastAsia="宋体"/>
          <w:b/>
          <w:color w:val="auto"/>
          <w:sz w:val="21"/>
          <w:szCs w:val="21"/>
          <w:highlight w:val="none"/>
        </w:rPr>
      </w:pPr>
      <w:r>
        <w:rPr>
          <w:rFonts w:hint="eastAsia" w:ascii="宋体" w:hAnsi="宋体" w:eastAsia="宋体"/>
          <w:b/>
          <w:color w:val="auto"/>
          <w:sz w:val="21"/>
          <w:szCs w:val="21"/>
          <w:highlight w:val="none"/>
        </w:rPr>
        <w:t>条款号：7.1             修改类型：修改</w:t>
      </w:r>
    </w:p>
    <w:p w14:paraId="0D321E46">
      <w:pPr>
        <w:spacing w:line="360" w:lineRule="auto"/>
        <w:ind w:firstLine="422" w:firstLineChars="200"/>
        <w:rPr>
          <w:rFonts w:ascii="宋体" w:hAnsi="宋体" w:eastAsia="宋体"/>
          <w:color w:val="auto"/>
          <w:sz w:val="21"/>
          <w:szCs w:val="21"/>
          <w:highlight w:val="none"/>
        </w:rPr>
      </w:pPr>
      <w:r>
        <w:rPr>
          <w:rFonts w:hint="eastAsia" w:ascii="宋体" w:hAnsi="宋体" w:eastAsia="宋体"/>
          <w:b/>
          <w:color w:val="auto"/>
          <w:sz w:val="21"/>
          <w:szCs w:val="21"/>
          <w:highlight w:val="none"/>
        </w:rPr>
        <w:t>原文：</w:t>
      </w:r>
      <w:r>
        <w:rPr>
          <w:rFonts w:hint="eastAsia" w:ascii="宋体" w:hAnsi="宋体" w:eastAsia="宋体"/>
          <w:bCs/>
          <w:color w:val="auto"/>
          <w:sz w:val="21"/>
          <w:szCs w:val="21"/>
          <w:highlight w:val="none"/>
        </w:rPr>
        <w:t>7.1</w:t>
      </w:r>
      <w:r>
        <w:rPr>
          <w:rFonts w:hint="eastAsia" w:ascii="宋体" w:hAnsi="宋体" w:eastAsia="宋体"/>
          <w:color w:val="auto"/>
          <w:sz w:val="21"/>
          <w:szCs w:val="21"/>
          <w:highlight w:val="none"/>
        </w:rPr>
        <w:t>本招标文件包括下列文件，以及所有按本须知第8条发出的招标答疑会会议纪要和按本须知第9条发出的澄清或修改：</w:t>
      </w:r>
    </w:p>
    <w:p w14:paraId="0E97B4F5">
      <w:pPr>
        <w:pStyle w:val="32"/>
        <w:spacing w:after="0" w:line="360" w:lineRule="auto"/>
        <w:ind w:firstLine="420" w:firstLineChars="200"/>
        <w:rPr>
          <w:rFonts w:ascii="宋体" w:hAnsi="宋体" w:eastAsia="宋体"/>
          <w:color w:val="auto"/>
          <w:sz w:val="21"/>
          <w:szCs w:val="21"/>
          <w:highlight w:val="none"/>
        </w:rPr>
      </w:pPr>
      <w:r>
        <w:rPr>
          <w:rFonts w:hint="eastAsia" w:ascii="宋体" w:hAnsi="宋体" w:eastAsia="宋体"/>
          <w:bCs/>
          <w:color w:val="auto"/>
          <w:sz w:val="21"/>
          <w:szCs w:val="21"/>
          <w:highlight w:val="none"/>
        </w:rPr>
        <w:t xml:space="preserve">第一章  </w:t>
      </w:r>
      <w:r>
        <w:rPr>
          <w:rFonts w:hint="eastAsia" w:ascii="宋体" w:hAnsi="宋体" w:eastAsia="宋体"/>
          <w:color w:val="auto"/>
          <w:sz w:val="21"/>
          <w:szCs w:val="21"/>
          <w:highlight w:val="none"/>
        </w:rPr>
        <w:t>投标须知</w:t>
      </w:r>
    </w:p>
    <w:p w14:paraId="46D770E7">
      <w:pPr>
        <w:pStyle w:val="32"/>
        <w:spacing w:after="0" w:line="360" w:lineRule="auto"/>
        <w:ind w:firstLine="420" w:firstLineChars="200"/>
        <w:rPr>
          <w:rFonts w:ascii="宋体" w:hAnsi="宋体" w:eastAsia="宋体"/>
          <w:color w:val="auto"/>
          <w:sz w:val="21"/>
          <w:szCs w:val="21"/>
          <w:highlight w:val="none"/>
        </w:rPr>
      </w:pPr>
      <w:r>
        <w:rPr>
          <w:rFonts w:hint="eastAsia" w:ascii="宋体" w:hAnsi="宋体" w:eastAsia="宋体"/>
          <w:bCs/>
          <w:color w:val="auto"/>
          <w:sz w:val="21"/>
          <w:szCs w:val="21"/>
          <w:highlight w:val="none"/>
        </w:rPr>
        <w:t xml:space="preserve">第二章  </w:t>
      </w:r>
      <w:r>
        <w:rPr>
          <w:rFonts w:hint="eastAsia" w:ascii="宋体" w:hAnsi="宋体" w:eastAsia="宋体"/>
          <w:color w:val="auto"/>
          <w:sz w:val="21"/>
          <w:szCs w:val="21"/>
          <w:highlight w:val="none"/>
        </w:rPr>
        <w:t>开标、评标及定标办法</w:t>
      </w:r>
    </w:p>
    <w:p w14:paraId="6C8D69C1">
      <w:pPr>
        <w:pStyle w:val="32"/>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第三章  合同条款（另册）</w:t>
      </w:r>
    </w:p>
    <w:p w14:paraId="19F03324">
      <w:pPr>
        <w:pStyle w:val="32"/>
        <w:spacing w:after="0" w:line="360" w:lineRule="auto"/>
        <w:ind w:firstLine="420" w:firstLineChars="200"/>
        <w:rPr>
          <w:rFonts w:ascii="宋体" w:hAnsi="宋体" w:eastAsia="宋体"/>
          <w:b/>
          <w:color w:val="auto"/>
          <w:sz w:val="21"/>
          <w:szCs w:val="21"/>
          <w:highlight w:val="none"/>
        </w:rPr>
      </w:pPr>
      <w:r>
        <w:rPr>
          <w:rFonts w:hint="eastAsia" w:ascii="宋体" w:hAnsi="宋体" w:eastAsia="宋体"/>
          <w:bCs/>
          <w:color w:val="auto"/>
          <w:sz w:val="21"/>
          <w:szCs w:val="21"/>
          <w:highlight w:val="none"/>
        </w:rPr>
        <w:t xml:space="preserve">第四章  </w:t>
      </w:r>
      <w:r>
        <w:rPr>
          <w:rFonts w:hint="eastAsia" w:ascii="宋体" w:hAnsi="宋体" w:eastAsia="宋体"/>
          <w:color w:val="auto"/>
          <w:sz w:val="21"/>
          <w:szCs w:val="21"/>
          <w:highlight w:val="none"/>
        </w:rPr>
        <w:t>投标文件格式</w:t>
      </w:r>
    </w:p>
    <w:p w14:paraId="764CB5E3">
      <w:pPr>
        <w:pStyle w:val="32"/>
        <w:spacing w:after="0" w:line="360" w:lineRule="auto"/>
        <w:ind w:firstLine="420" w:firstLineChars="200"/>
        <w:rPr>
          <w:rFonts w:ascii="宋体" w:hAnsi="宋体" w:eastAsia="宋体"/>
          <w:color w:val="auto"/>
          <w:sz w:val="21"/>
          <w:szCs w:val="21"/>
          <w:highlight w:val="none"/>
        </w:rPr>
      </w:pPr>
      <w:r>
        <w:rPr>
          <w:rFonts w:hint="eastAsia" w:ascii="宋体" w:hAnsi="宋体" w:eastAsia="宋体"/>
          <w:bCs/>
          <w:color w:val="auto"/>
          <w:sz w:val="21"/>
          <w:szCs w:val="21"/>
          <w:highlight w:val="none"/>
        </w:rPr>
        <w:t xml:space="preserve">第五章  </w:t>
      </w:r>
      <w:r>
        <w:rPr>
          <w:rFonts w:hint="eastAsia" w:ascii="宋体" w:hAnsi="宋体" w:eastAsia="宋体"/>
          <w:color w:val="auto"/>
          <w:sz w:val="21"/>
          <w:szCs w:val="21"/>
          <w:highlight w:val="none"/>
        </w:rPr>
        <w:t>技术条件（工程建设标准）（另册）</w:t>
      </w:r>
    </w:p>
    <w:p w14:paraId="4215F044">
      <w:pPr>
        <w:pStyle w:val="32"/>
        <w:spacing w:after="0" w:line="360" w:lineRule="auto"/>
        <w:ind w:firstLine="420" w:firstLineChars="200"/>
        <w:rPr>
          <w:rFonts w:ascii="宋体" w:hAnsi="宋体" w:eastAsia="宋体"/>
          <w:color w:val="auto"/>
          <w:sz w:val="21"/>
          <w:szCs w:val="21"/>
          <w:highlight w:val="none"/>
        </w:rPr>
      </w:pPr>
      <w:r>
        <w:rPr>
          <w:rFonts w:hint="eastAsia" w:ascii="宋体" w:hAnsi="宋体" w:eastAsia="宋体"/>
          <w:bCs/>
          <w:color w:val="auto"/>
          <w:sz w:val="21"/>
          <w:szCs w:val="21"/>
          <w:highlight w:val="none"/>
        </w:rPr>
        <w:t xml:space="preserve">第六章  </w:t>
      </w:r>
      <w:r>
        <w:rPr>
          <w:rFonts w:hint="eastAsia" w:ascii="宋体" w:hAnsi="宋体" w:eastAsia="宋体"/>
          <w:color w:val="auto"/>
          <w:sz w:val="21"/>
          <w:szCs w:val="21"/>
          <w:highlight w:val="none"/>
        </w:rPr>
        <w:t>图纸及勘察资料（另册）</w:t>
      </w:r>
    </w:p>
    <w:p w14:paraId="7757572A">
      <w:pPr>
        <w:pStyle w:val="32"/>
        <w:spacing w:after="0" w:line="360" w:lineRule="auto"/>
        <w:ind w:firstLine="420" w:firstLineChars="200"/>
        <w:rPr>
          <w:rFonts w:hint="eastAsia" w:ascii="宋体" w:hAnsi="宋体" w:eastAsia="宋体"/>
          <w:color w:val="auto"/>
          <w:sz w:val="21"/>
          <w:szCs w:val="21"/>
          <w:highlight w:val="none"/>
        </w:rPr>
      </w:pPr>
      <w:r>
        <w:rPr>
          <w:rFonts w:hint="eastAsia" w:ascii="宋体" w:hAnsi="宋体" w:eastAsia="宋体"/>
          <w:bCs/>
          <w:color w:val="auto"/>
          <w:sz w:val="21"/>
          <w:szCs w:val="21"/>
          <w:highlight w:val="none"/>
        </w:rPr>
        <w:t xml:space="preserve">第七章  </w:t>
      </w:r>
      <w:r>
        <w:rPr>
          <w:rFonts w:hint="eastAsia" w:ascii="宋体" w:hAnsi="宋体" w:eastAsia="宋体"/>
          <w:color w:val="auto"/>
          <w:sz w:val="21"/>
          <w:szCs w:val="21"/>
          <w:highlight w:val="none"/>
        </w:rPr>
        <w:t>工程量清单（另册）</w:t>
      </w:r>
    </w:p>
    <w:p w14:paraId="15E7213F">
      <w:pPr>
        <w:pStyle w:val="32"/>
        <w:spacing w:after="0" w:line="360" w:lineRule="auto"/>
        <w:ind w:firstLine="420" w:firstLineChars="200"/>
        <w:rPr>
          <w:rFonts w:hint="eastAsia" w:ascii="宋体" w:hAnsi="宋体" w:eastAsia="宋体"/>
          <w:b w:val="0"/>
          <w:bCs/>
          <w:color w:val="auto"/>
          <w:sz w:val="21"/>
          <w:szCs w:val="21"/>
          <w:highlight w:val="none"/>
          <w:u w:val="none"/>
        </w:rPr>
      </w:pPr>
      <w:r>
        <w:rPr>
          <w:rFonts w:hint="eastAsia" w:ascii="宋体" w:hAnsi="宋体" w:eastAsia="宋体"/>
          <w:color w:val="auto"/>
          <w:sz w:val="21"/>
          <w:szCs w:val="21"/>
          <w:highlight w:val="none"/>
        </w:rPr>
        <w:t>第八章  最高投标限价（另册）</w:t>
      </w:r>
    </w:p>
    <w:p w14:paraId="483C19EA">
      <w:pPr>
        <w:spacing w:line="360" w:lineRule="auto"/>
        <w:ind w:firstLine="422" w:firstLineChars="200"/>
        <w:rPr>
          <w:rFonts w:ascii="宋体" w:hAnsi="宋体" w:eastAsia="宋体"/>
          <w:color w:val="auto"/>
          <w:sz w:val="21"/>
          <w:szCs w:val="21"/>
          <w:highlight w:val="none"/>
        </w:rPr>
      </w:pPr>
      <w:r>
        <w:rPr>
          <w:rFonts w:hint="eastAsia" w:ascii="宋体" w:hAnsi="宋体" w:eastAsia="宋体"/>
          <w:b/>
          <w:color w:val="auto"/>
          <w:sz w:val="21"/>
          <w:szCs w:val="21"/>
          <w:highlight w:val="none"/>
        </w:rPr>
        <w:t>现文：</w:t>
      </w:r>
      <w:r>
        <w:rPr>
          <w:rFonts w:hint="eastAsia" w:ascii="宋体" w:hAnsi="宋体" w:eastAsia="宋体"/>
          <w:bCs/>
          <w:color w:val="auto"/>
          <w:sz w:val="21"/>
          <w:szCs w:val="21"/>
          <w:highlight w:val="none"/>
        </w:rPr>
        <w:t>7.1</w:t>
      </w:r>
      <w:r>
        <w:rPr>
          <w:rFonts w:hint="eastAsia" w:ascii="宋体" w:hAnsi="宋体" w:eastAsia="宋体"/>
          <w:color w:val="auto"/>
          <w:sz w:val="21"/>
          <w:szCs w:val="21"/>
          <w:highlight w:val="none"/>
        </w:rPr>
        <w:t>本招标文件包括下列文件，以及所有按本须知第8条发出的招标答疑会会议纪要和按本须知第9条发出的澄清或修改：</w:t>
      </w:r>
    </w:p>
    <w:p w14:paraId="42234C9C">
      <w:pPr>
        <w:pStyle w:val="32"/>
        <w:spacing w:after="0" w:line="360" w:lineRule="auto"/>
        <w:ind w:firstLine="420" w:firstLineChars="200"/>
        <w:rPr>
          <w:rFonts w:ascii="宋体" w:hAnsi="宋体" w:eastAsia="宋体"/>
          <w:color w:val="auto"/>
          <w:sz w:val="21"/>
          <w:szCs w:val="21"/>
          <w:highlight w:val="none"/>
        </w:rPr>
      </w:pPr>
      <w:r>
        <w:rPr>
          <w:rFonts w:hint="eastAsia" w:ascii="宋体" w:hAnsi="宋体" w:eastAsia="宋体"/>
          <w:bCs/>
          <w:color w:val="auto"/>
          <w:sz w:val="21"/>
          <w:szCs w:val="21"/>
          <w:highlight w:val="none"/>
        </w:rPr>
        <w:t xml:space="preserve">第一章  </w:t>
      </w:r>
      <w:r>
        <w:rPr>
          <w:rFonts w:hint="eastAsia" w:ascii="宋体" w:hAnsi="宋体" w:eastAsia="宋体"/>
          <w:color w:val="auto"/>
          <w:sz w:val="21"/>
          <w:szCs w:val="21"/>
          <w:highlight w:val="none"/>
        </w:rPr>
        <w:t>投标须知</w:t>
      </w:r>
    </w:p>
    <w:p w14:paraId="2EF9255D">
      <w:pPr>
        <w:pStyle w:val="32"/>
        <w:spacing w:after="0" w:line="360" w:lineRule="auto"/>
        <w:ind w:firstLine="420" w:firstLineChars="200"/>
        <w:rPr>
          <w:rFonts w:ascii="宋体" w:hAnsi="宋体" w:eastAsia="宋体"/>
          <w:color w:val="auto"/>
          <w:sz w:val="21"/>
          <w:szCs w:val="21"/>
          <w:highlight w:val="none"/>
        </w:rPr>
      </w:pPr>
      <w:r>
        <w:rPr>
          <w:rFonts w:hint="eastAsia" w:ascii="宋体" w:hAnsi="宋体" w:eastAsia="宋体"/>
          <w:bCs/>
          <w:color w:val="auto"/>
          <w:sz w:val="21"/>
          <w:szCs w:val="21"/>
          <w:highlight w:val="none"/>
        </w:rPr>
        <w:t xml:space="preserve">第二章  </w:t>
      </w:r>
      <w:r>
        <w:rPr>
          <w:rFonts w:hint="eastAsia" w:ascii="宋体" w:hAnsi="宋体" w:eastAsia="宋体"/>
          <w:color w:val="auto"/>
          <w:sz w:val="21"/>
          <w:szCs w:val="21"/>
          <w:highlight w:val="none"/>
        </w:rPr>
        <w:t>开标、评标及定标办法</w:t>
      </w:r>
    </w:p>
    <w:p w14:paraId="1DF258E1">
      <w:pPr>
        <w:pStyle w:val="32"/>
        <w:spacing w:after="0" w:line="360" w:lineRule="auto"/>
        <w:ind w:firstLine="420" w:firstLineChars="200"/>
        <w:rPr>
          <w:rFonts w:ascii="宋体" w:hAnsi="宋体" w:eastAsia="宋体"/>
          <w:strike/>
          <w:dstrike w:val="0"/>
          <w:color w:val="auto"/>
          <w:sz w:val="21"/>
          <w:szCs w:val="21"/>
          <w:highlight w:val="none"/>
        </w:rPr>
      </w:pPr>
      <w:r>
        <w:rPr>
          <w:rFonts w:hint="eastAsia" w:ascii="宋体" w:hAnsi="宋体" w:eastAsia="宋体"/>
          <w:color w:val="auto"/>
          <w:sz w:val="21"/>
          <w:szCs w:val="21"/>
          <w:highlight w:val="none"/>
        </w:rPr>
        <w:t>第三章  合同条款</w:t>
      </w:r>
      <w:r>
        <w:rPr>
          <w:rFonts w:hint="eastAsia" w:ascii="宋体" w:hAnsi="宋体" w:eastAsia="宋体"/>
          <w:strike/>
          <w:dstrike w:val="0"/>
          <w:color w:val="auto"/>
          <w:sz w:val="21"/>
          <w:szCs w:val="21"/>
          <w:highlight w:val="none"/>
        </w:rPr>
        <w:t>（另册）</w:t>
      </w:r>
    </w:p>
    <w:p w14:paraId="349B5A19">
      <w:pPr>
        <w:pStyle w:val="32"/>
        <w:spacing w:after="0" w:line="360" w:lineRule="auto"/>
        <w:ind w:firstLine="420" w:firstLineChars="200"/>
        <w:rPr>
          <w:rFonts w:ascii="宋体" w:hAnsi="宋体" w:eastAsia="宋体"/>
          <w:b/>
          <w:color w:val="auto"/>
          <w:sz w:val="21"/>
          <w:szCs w:val="21"/>
          <w:highlight w:val="none"/>
        </w:rPr>
      </w:pPr>
      <w:r>
        <w:rPr>
          <w:rFonts w:hint="eastAsia" w:ascii="宋体" w:hAnsi="宋体" w:eastAsia="宋体"/>
          <w:bCs/>
          <w:color w:val="auto"/>
          <w:sz w:val="21"/>
          <w:szCs w:val="21"/>
          <w:highlight w:val="none"/>
        </w:rPr>
        <w:t xml:space="preserve">第四章  </w:t>
      </w:r>
      <w:r>
        <w:rPr>
          <w:rFonts w:hint="eastAsia" w:ascii="宋体" w:hAnsi="宋体" w:eastAsia="宋体"/>
          <w:color w:val="auto"/>
          <w:sz w:val="21"/>
          <w:szCs w:val="21"/>
          <w:highlight w:val="none"/>
        </w:rPr>
        <w:t>投标文件格式</w:t>
      </w:r>
    </w:p>
    <w:p w14:paraId="11A44DEC">
      <w:pPr>
        <w:pStyle w:val="32"/>
        <w:spacing w:after="0" w:line="360" w:lineRule="auto"/>
        <w:ind w:firstLine="420" w:firstLineChars="200"/>
        <w:rPr>
          <w:rFonts w:ascii="宋体" w:hAnsi="宋体" w:eastAsia="宋体"/>
          <w:strike w:val="0"/>
          <w:dstrike w:val="0"/>
          <w:color w:val="auto"/>
          <w:sz w:val="21"/>
          <w:szCs w:val="21"/>
          <w:highlight w:val="none"/>
        </w:rPr>
      </w:pPr>
      <w:r>
        <w:rPr>
          <w:rFonts w:hint="eastAsia" w:ascii="宋体" w:hAnsi="宋体" w:eastAsia="宋体"/>
          <w:bCs/>
          <w:strike w:val="0"/>
          <w:dstrike w:val="0"/>
          <w:color w:val="auto"/>
          <w:sz w:val="21"/>
          <w:szCs w:val="21"/>
          <w:highlight w:val="none"/>
        </w:rPr>
        <w:t xml:space="preserve">第五章  </w:t>
      </w:r>
      <w:r>
        <w:rPr>
          <w:rFonts w:hint="eastAsia" w:ascii="宋体" w:hAnsi="宋体" w:eastAsia="宋体"/>
          <w:strike w:val="0"/>
          <w:dstrike w:val="0"/>
          <w:color w:val="auto"/>
          <w:sz w:val="21"/>
          <w:szCs w:val="21"/>
          <w:highlight w:val="none"/>
        </w:rPr>
        <w:t>技术条件（工程建设标准）（另册）</w:t>
      </w:r>
    </w:p>
    <w:p w14:paraId="6467E94A">
      <w:pPr>
        <w:pStyle w:val="32"/>
        <w:spacing w:after="0" w:line="360" w:lineRule="auto"/>
        <w:ind w:firstLine="420" w:firstLineChars="200"/>
        <w:rPr>
          <w:rFonts w:ascii="宋体" w:hAnsi="宋体" w:eastAsia="宋体"/>
          <w:strike w:val="0"/>
          <w:dstrike w:val="0"/>
          <w:color w:val="auto"/>
          <w:sz w:val="21"/>
          <w:szCs w:val="21"/>
          <w:highlight w:val="none"/>
        </w:rPr>
      </w:pPr>
      <w:r>
        <w:rPr>
          <w:rFonts w:hint="eastAsia" w:ascii="宋体" w:hAnsi="宋体" w:eastAsia="宋体"/>
          <w:bCs/>
          <w:strike w:val="0"/>
          <w:dstrike w:val="0"/>
          <w:color w:val="auto"/>
          <w:sz w:val="21"/>
          <w:szCs w:val="21"/>
          <w:highlight w:val="none"/>
        </w:rPr>
        <w:t xml:space="preserve">第六章  </w:t>
      </w:r>
      <w:r>
        <w:rPr>
          <w:rFonts w:hint="eastAsia" w:ascii="宋体" w:hAnsi="宋体" w:eastAsia="宋体"/>
          <w:strike w:val="0"/>
          <w:dstrike w:val="0"/>
          <w:color w:val="auto"/>
          <w:sz w:val="21"/>
          <w:szCs w:val="21"/>
          <w:highlight w:val="none"/>
        </w:rPr>
        <w:t>图纸及勘察资料（另册）</w:t>
      </w:r>
    </w:p>
    <w:p w14:paraId="73FCE1DC">
      <w:pPr>
        <w:pStyle w:val="32"/>
        <w:spacing w:after="0" w:line="360" w:lineRule="auto"/>
        <w:ind w:firstLine="420" w:firstLineChars="200"/>
        <w:rPr>
          <w:rFonts w:hint="eastAsia" w:ascii="宋体" w:hAnsi="宋体" w:eastAsia="宋体"/>
          <w:strike w:val="0"/>
          <w:dstrike w:val="0"/>
          <w:color w:val="auto"/>
          <w:sz w:val="21"/>
          <w:szCs w:val="21"/>
          <w:highlight w:val="none"/>
        </w:rPr>
      </w:pPr>
      <w:r>
        <w:rPr>
          <w:rFonts w:hint="eastAsia" w:ascii="宋体" w:hAnsi="宋体" w:eastAsia="宋体"/>
          <w:bCs/>
          <w:strike w:val="0"/>
          <w:dstrike w:val="0"/>
          <w:color w:val="auto"/>
          <w:sz w:val="21"/>
          <w:szCs w:val="21"/>
          <w:highlight w:val="none"/>
        </w:rPr>
        <w:t xml:space="preserve">第七章  </w:t>
      </w:r>
      <w:r>
        <w:rPr>
          <w:rFonts w:hint="eastAsia" w:ascii="宋体" w:hAnsi="宋体" w:eastAsia="宋体"/>
          <w:strike w:val="0"/>
          <w:dstrike w:val="0"/>
          <w:color w:val="auto"/>
          <w:sz w:val="21"/>
          <w:szCs w:val="21"/>
          <w:highlight w:val="none"/>
        </w:rPr>
        <w:t>工程量清单（另册）</w:t>
      </w:r>
    </w:p>
    <w:p w14:paraId="3A9475FA">
      <w:pPr>
        <w:pBdr>
          <w:bottom w:val="single" w:color="auto" w:sz="6" w:space="1"/>
        </w:pBdr>
        <w:spacing w:line="360" w:lineRule="auto"/>
        <w:ind w:firstLine="420" w:firstLineChars="200"/>
        <w:rPr>
          <w:rFonts w:hint="eastAsia" w:ascii="宋体" w:hAnsi="宋体" w:eastAsia="宋体"/>
          <w:b/>
          <w:strike w:val="0"/>
          <w:dstrike w:val="0"/>
          <w:color w:val="auto"/>
          <w:sz w:val="21"/>
          <w:szCs w:val="21"/>
          <w:highlight w:val="none"/>
          <w:lang w:eastAsia="zh-CN"/>
        </w:rPr>
      </w:pPr>
      <w:r>
        <w:rPr>
          <w:rFonts w:hint="eastAsia" w:ascii="宋体" w:hAnsi="宋体" w:eastAsia="宋体"/>
          <w:strike w:val="0"/>
          <w:dstrike w:val="0"/>
          <w:color w:val="auto"/>
          <w:sz w:val="21"/>
          <w:szCs w:val="21"/>
          <w:highlight w:val="none"/>
        </w:rPr>
        <w:t>第八章  最高投标限价（另册</w:t>
      </w:r>
      <w:r>
        <w:rPr>
          <w:rFonts w:hint="eastAsia" w:ascii="宋体" w:hAnsi="宋体" w:eastAsia="宋体"/>
          <w:strike w:val="0"/>
          <w:dstrike w:val="0"/>
          <w:color w:val="auto"/>
          <w:sz w:val="21"/>
          <w:szCs w:val="21"/>
          <w:highlight w:val="none"/>
          <w:lang w:eastAsia="zh-CN"/>
        </w:rPr>
        <w:t>）</w:t>
      </w:r>
    </w:p>
    <w:p w14:paraId="62B0480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7.5</w:t>
      </w:r>
      <w:r>
        <w:rPr>
          <w:rFonts w:hint="eastAsia" w:ascii="宋体" w:hAnsi="宋体" w:eastAsia="宋体"/>
          <w:b/>
          <w:color w:val="auto"/>
          <w:szCs w:val="21"/>
          <w:highlight w:val="none"/>
        </w:rPr>
        <w:t xml:space="preserve">             修改类型：修改</w:t>
      </w:r>
    </w:p>
    <w:p w14:paraId="260AD8A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7.5发布招标公告的同时，通过广州公共资源交易网站发布电子招标文件、施工图纸、最高投标限价、成本警示价（如有）。</w:t>
      </w:r>
    </w:p>
    <w:p w14:paraId="7EA1A303">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7.5发布招标公告的同时，通过</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网站发布电子招标文件、施工图纸、最高投标限价、成本警示价。</w:t>
      </w:r>
    </w:p>
    <w:p w14:paraId="4F7E3E8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7.6</w:t>
      </w:r>
      <w:r>
        <w:rPr>
          <w:rFonts w:hint="eastAsia" w:ascii="宋体" w:hAnsi="宋体" w:eastAsia="宋体"/>
          <w:b/>
          <w:color w:val="auto"/>
          <w:szCs w:val="21"/>
          <w:highlight w:val="none"/>
        </w:rPr>
        <w:t xml:space="preserve">             修改类型：修改</w:t>
      </w:r>
    </w:p>
    <w:p w14:paraId="25D515C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7.6招标文件一经在广州公共资源交易网站发布，视作已发放给所有投标人。</w:t>
      </w:r>
    </w:p>
    <w:p w14:paraId="582C8562">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7.6招标文件一经在</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网站发布，视作已发放给所有投标人。</w:t>
      </w:r>
    </w:p>
    <w:p w14:paraId="171B9E0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8</w:t>
      </w:r>
      <w:r>
        <w:rPr>
          <w:rFonts w:hint="eastAsia" w:ascii="宋体" w:hAnsi="宋体" w:eastAsia="宋体"/>
          <w:b/>
          <w:color w:val="auto"/>
          <w:szCs w:val="21"/>
          <w:highlight w:val="none"/>
        </w:rPr>
        <w:t xml:space="preserve">             修改类型：修改</w:t>
      </w:r>
    </w:p>
    <w:p w14:paraId="414DB7C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Cs w:val="21"/>
          <w:highlight w:val="none"/>
        </w:rPr>
      </w:pPr>
      <w:r>
        <w:rPr>
          <w:rFonts w:hint="eastAsia" w:ascii="宋体" w:hAnsi="宋体" w:eastAsia="宋体"/>
          <w:b/>
          <w:color w:val="auto"/>
          <w:szCs w:val="21"/>
          <w:highlight w:val="none"/>
        </w:rPr>
        <w:t>原文：8．招标答疑</w:t>
      </w:r>
    </w:p>
    <w:p w14:paraId="75C538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8.1 招标答疑采用网上答疑方式。投标人若对招标文件（包括招标图纸、清单、最高投标限价）有疑问的，可在规定的时间内通过广州公共资源交易网站进入提问区域将问题提交给招标人或招标代理机构，提交问题时一律不得署名。</w:t>
      </w:r>
    </w:p>
    <w:p w14:paraId="38A91E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网上答疑的具体操作详见交易平台发布的相关操作指引。</w:t>
      </w:r>
    </w:p>
    <w:p w14:paraId="74D87B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8.2投标人应在招标公告发布之日起3天内对招标文件提出疑问。招标人应在递交投标文件截止时间15 日前解答投标人对招标文件提出的疑问，形成答疑纪要，并可在广州公共资源交易网站“招标答疑”专区发布。</w:t>
      </w:r>
    </w:p>
    <w:p w14:paraId="626DD6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8.3招标答疑纪要一经在广州公共资源交易网站发布，视作已发放给所有投标人。</w:t>
      </w:r>
    </w:p>
    <w:p w14:paraId="7676D4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8.4招标答疑纪要为招标文件的一部分。投标人可在广州公共资源交易网站浏览、下载招标答疑纪要。</w:t>
      </w:r>
    </w:p>
    <w:p w14:paraId="028A1F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b w:val="0"/>
          <w:bCs/>
          <w:color w:val="auto"/>
          <w:szCs w:val="21"/>
          <w:highlight w:val="none"/>
        </w:rPr>
      </w:pPr>
      <w:r>
        <w:rPr>
          <w:rFonts w:hint="eastAsia" w:ascii="宋体" w:hAnsi="宋体" w:eastAsia="宋体"/>
          <w:b w:val="0"/>
          <w:bCs/>
          <w:color w:val="auto"/>
          <w:szCs w:val="21"/>
          <w:highlight w:val="none"/>
        </w:rPr>
        <w:t>8.5若招标答疑纪要与招标文件有矛盾时，以广州公共资源交易网站最后发布的答疑纪要为准。</w:t>
      </w:r>
    </w:p>
    <w:p w14:paraId="492AC6B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Cs w:val="21"/>
          <w:highlight w:val="none"/>
        </w:rPr>
      </w:pPr>
      <w:r>
        <w:rPr>
          <w:rFonts w:hint="eastAsia" w:ascii="宋体" w:hAnsi="宋体" w:eastAsia="宋体"/>
          <w:b/>
          <w:color w:val="auto"/>
          <w:szCs w:val="21"/>
          <w:highlight w:val="none"/>
        </w:rPr>
        <w:t>现文：8．招标答疑</w:t>
      </w:r>
    </w:p>
    <w:p w14:paraId="7578C4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8.1 招标答疑采用网上答疑方式。投标人若对招标文件（包括招标图纸、清单、最高投标限价）有疑问的，可在规定的时间内通过</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网站进入提问区域将问题提交给招标人或招标代理机构，提交问题时一律不得署名。</w:t>
      </w:r>
    </w:p>
    <w:p w14:paraId="40DA33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网上答疑的具体操作详见交易平台发布的相关操作指引。</w:t>
      </w:r>
    </w:p>
    <w:p w14:paraId="30606F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8.2投标人应在招标公告发布之日起3天内对招标文件提出疑问。招标人应在递交投标文件截止时间15 日前解答投标人对招标文件提出的疑问，形成答疑纪要，并可在</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w:t>
      </w:r>
      <w:r>
        <w:rPr>
          <w:rFonts w:hint="eastAsia" w:ascii="宋体" w:hAnsi="宋体" w:eastAsia="宋体"/>
          <w:b w:val="0"/>
          <w:bCs/>
          <w:color w:val="auto"/>
          <w:szCs w:val="21"/>
          <w:highlight w:val="none"/>
          <w:u w:val="single"/>
        </w:rPr>
        <w:t>项目查询（日程安排、答疑纪要）</w:t>
      </w:r>
      <w:r>
        <w:rPr>
          <w:rFonts w:hint="eastAsia" w:ascii="宋体" w:hAnsi="宋体" w:eastAsia="宋体"/>
          <w:b w:val="0"/>
          <w:bCs/>
          <w:color w:val="auto"/>
          <w:szCs w:val="21"/>
          <w:highlight w:val="none"/>
        </w:rPr>
        <w:t>”专区发布。</w:t>
      </w:r>
    </w:p>
    <w:p w14:paraId="174EF5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8.3招标答疑纪要一经在</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网站发布，视作已发放给所有投标人。</w:t>
      </w:r>
    </w:p>
    <w:p w14:paraId="7BA256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8.4招标答疑纪要为招标文件的一部分。投标人可在</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网站浏览、下载招标答疑纪要。</w:t>
      </w:r>
    </w:p>
    <w:p w14:paraId="338111C7">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highlight w:val="none"/>
        </w:rPr>
      </w:pPr>
      <w:r>
        <w:rPr>
          <w:rFonts w:hint="eastAsia" w:ascii="宋体" w:hAnsi="宋体" w:eastAsia="宋体"/>
          <w:b w:val="0"/>
          <w:bCs/>
          <w:color w:val="auto"/>
          <w:szCs w:val="21"/>
          <w:highlight w:val="none"/>
        </w:rPr>
        <w:t>8.5若招标答疑纪要与招标文件有矛盾时，以</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网站最后发布的答疑纪要为准。</w:t>
      </w:r>
    </w:p>
    <w:p w14:paraId="3242799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9.2</w:t>
      </w:r>
      <w:r>
        <w:rPr>
          <w:rFonts w:hint="eastAsia" w:ascii="宋体" w:hAnsi="宋体" w:eastAsia="宋体"/>
          <w:b/>
          <w:color w:val="auto"/>
          <w:szCs w:val="21"/>
          <w:highlight w:val="none"/>
        </w:rPr>
        <w:t xml:space="preserve">             修改类型：修改</w:t>
      </w:r>
    </w:p>
    <w:p w14:paraId="17BA9C6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9.2招标文件的澄清或修改在广州公共资源交易网站发布。招标文件的澄清或修改一经在广州公共资源交易网站发布，视作已发放给所有投标人。</w:t>
      </w:r>
    </w:p>
    <w:p w14:paraId="4D2CDA8D">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9.2招标文件的澄清或修改在</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网站发布。招标文件的澄清或修改一经在</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网站发布，视作已发放给所有投标人。</w:t>
      </w:r>
    </w:p>
    <w:p w14:paraId="7C85A73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9.4</w:t>
      </w:r>
      <w:r>
        <w:rPr>
          <w:rFonts w:hint="eastAsia" w:ascii="宋体" w:hAnsi="宋体" w:eastAsia="宋体"/>
          <w:b/>
          <w:color w:val="auto"/>
          <w:szCs w:val="21"/>
          <w:highlight w:val="none"/>
        </w:rPr>
        <w:t xml:space="preserve">             修改类型：修改</w:t>
      </w:r>
    </w:p>
    <w:p w14:paraId="77E3A30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9.4招标文件的澄清、修改均以广州公共资源交易网站发布的内容为准。当招标文件的澄清、修改在同一内容的表述不一致时，以广州公共资源交易网站最后发布的内容为准。</w:t>
      </w:r>
    </w:p>
    <w:p w14:paraId="4DB8B914">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 w:val="21"/>
          <w:szCs w:val="21"/>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9.4招标文件的澄清、修改均以</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网站发布的内容为准。当招标文件的澄清、修改在同一内容的表述不一致时，以</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网站最后发布的内容为准。</w:t>
      </w:r>
    </w:p>
    <w:p w14:paraId="50E89310">
      <w:pPr>
        <w:spacing w:line="360" w:lineRule="auto"/>
        <w:ind w:firstLine="472" w:firstLineChars="224"/>
        <w:rPr>
          <w:rFonts w:ascii="宋体" w:hAnsi="宋体" w:eastAsia="宋体"/>
          <w:b/>
          <w:color w:val="auto"/>
          <w:sz w:val="21"/>
          <w:szCs w:val="21"/>
          <w:highlight w:val="none"/>
        </w:rPr>
      </w:pPr>
      <w:r>
        <w:rPr>
          <w:rFonts w:hint="eastAsia" w:ascii="宋体" w:hAnsi="宋体" w:eastAsia="宋体"/>
          <w:b/>
          <w:color w:val="auto"/>
          <w:sz w:val="21"/>
          <w:szCs w:val="21"/>
          <w:highlight w:val="none"/>
        </w:rPr>
        <w:t>条款号：11.2             修改类型：修改</w:t>
      </w:r>
    </w:p>
    <w:p w14:paraId="0384EFA8">
      <w:pPr>
        <w:spacing w:line="360" w:lineRule="auto"/>
        <w:ind w:firstLine="422" w:firstLineChars="200"/>
        <w:rPr>
          <w:rFonts w:hint="eastAsia" w:ascii="宋体" w:hAnsi="宋体" w:eastAsia="宋体"/>
          <w:bCs/>
          <w:color w:val="auto"/>
          <w:sz w:val="21"/>
          <w:szCs w:val="21"/>
          <w:highlight w:val="none"/>
        </w:rPr>
      </w:pPr>
      <w:r>
        <w:rPr>
          <w:rFonts w:hint="eastAsia" w:ascii="宋体" w:hAnsi="宋体" w:eastAsia="宋体"/>
          <w:b/>
          <w:color w:val="auto"/>
          <w:sz w:val="21"/>
          <w:szCs w:val="21"/>
          <w:highlight w:val="none"/>
        </w:rPr>
        <w:t>原文：</w:t>
      </w:r>
      <w:r>
        <w:rPr>
          <w:rFonts w:hint="eastAsia" w:ascii="宋体" w:hAnsi="宋体" w:eastAsia="宋体"/>
          <w:bCs/>
          <w:color w:val="auto"/>
          <w:sz w:val="21"/>
          <w:szCs w:val="21"/>
          <w:highlight w:val="none"/>
        </w:rPr>
        <w:t>11.2资格审查文件主要包括的内容：</w:t>
      </w:r>
    </w:p>
    <w:p w14:paraId="391A752E">
      <w:pPr>
        <w:spacing w:line="360" w:lineRule="auto"/>
        <w:ind w:firstLine="420" w:firstLineChars="200"/>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11.2.1法定代表人证明书，如投标文件为委托代理人签署应同时附上法定代表人证明书和法定代表人授权书；</w:t>
      </w:r>
    </w:p>
    <w:p w14:paraId="06D8E54E">
      <w:pPr>
        <w:spacing w:line="360" w:lineRule="auto"/>
        <w:ind w:firstLine="420" w:firstLineChars="200"/>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11.2.2</w:t>
      </w:r>
      <w:r>
        <w:rPr>
          <w:rFonts w:hint="eastAsia" w:ascii="宋体" w:hAnsi="宋体" w:eastAsia="宋体"/>
          <w:color w:val="auto"/>
          <w:sz w:val="21"/>
          <w:szCs w:val="21"/>
          <w:highlight w:val="none"/>
        </w:rPr>
        <w:t>工商行政管理部门核发的</w:t>
      </w:r>
      <w:r>
        <w:rPr>
          <w:rFonts w:hint="eastAsia" w:ascii="宋体" w:hAnsi="宋体" w:eastAsia="宋体"/>
          <w:bCs/>
          <w:color w:val="auto"/>
          <w:sz w:val="21"/>
          <w:szCs w:val="21"/>
          <w:highlight w:val="none"/>
        </w:rPr>
        <w:t>营业执照；</w:t>
      </w:r>
    </w:p>
    <w:p w14:paraId="73D42F30">
      <w:pPr>
        <w:spacing w:line="360" w:lineRule="auto"/>
        <w:ind w:firstLine="420" w:firstLineChars="200"/>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11.2.3项目负责人（按招标公告要求和网上投标登记时选择拟投标的项目负责人）</w:t>
      </w:r>
      <w:r>
        <w:rPr>
          <w:rFonts w:hint="eastAsia" w:ascii="宋体" w:hAnsi="宋体" w:eastAsia="宋体"/>
          <w:color w:val="auto"/>
          <w:kern w:val="0"/>
          <w:sz w:val="21"/>
          <w:szCs w:val="21"/>
          <w:highlight w:val="none"/>
        </w:rPr>
        <w:t>；</w:t>
      </w:r>
    </w:p>
    <w:p w14:paraId="3CF80676">
      <w:pPr>
        <w:spacing w:line="360" w:lineRule="auto"/>
        <w:ind w:firstLine="420" w:firstLineChars="200"/>
        <w:rPr>
          <w:rFonts w:ascii="宋体" w:hAnsi="宋体" w:eastAsia="宋体"/>
          <w:bCs/>
          <w:color w:val="auto"/>
          <w:sz w:val="21"/>
          <w:szCs w:val="21"/>
          <w:highlight w:val="none"/>
        </w:rPr>
      </w:pPr>
      <w:r>
        <w:rPr>
          <w:rFonts w:hint="eastAsia" w:ascii="宋体" w:hAnsi="宋体" w:eastAsia="宋体"/>
          <w:bCs/>
          <w:color w:val="auto"/>
          <w:sz w:val="21"/>
          <w:szCs w:val="21"/>
          <w:highlight w:val="none"/>
        </w:rPr>
        <w:t>11.2.4用于资格审查的业绩（设置业绩要求时选择此项，投标人选择用于资格审查的业绩须用本企业的CA数字证书对生成的内容进行签章）；</w:t>
      </w:r>
    </w:p>
    <w:p w14:paraId="3EB10EAB">
      <w:pPr>
        <w:spacing w:line="360" w:lineRule="auto"/>
        <w:ind w:firstLine="420" w:firstLineChars="200"/>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11.2.5</w:t>
      </w:r>
      <w:r>
        <w:rPr>
          <w:rFonts w:hint="eastAsia" w:ascii="宋体" w:hAnsi="宋体" w:eastAsia="宋体"/>
          <w:color w:val="auto"/>
          <w:sz w:val="21"/>
          <w:szCs w:val="21"/>
          <w:highlight w:val="none"/>
        </w:rPr>
        <w:t>专职安全人员须具有在有效期内的安全生产考核合格证书（C类），或能够提供广东省建筑施工企业管理人员安全生产考核信息系统安全生产管理人员证书信息的打印页</w:t>
      </w:r>
      <w:r>
        <w:rPr>
          <w:rFonts w:hint="eastAsia" w:ascii="宋体" w:hAnsi="宋体" w:eastAsia="宋体"/>
          <w:bCs/>
          <w:color w:val="auto"/>
          <w:sz w:val="21"/>
          <w:szCs w:val="21"/>
          <w:highlight w:val="none"/>
        </w:rPr>
        <w:t>（按网上投标登记时选择拟派专职安全员）；</w:t>
      </w:r>
    </w:p>
    <w:p w14:paraId="1B4D82CD">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bCs/>
          <w:color w:val="auto"/>
          <w:sz w:val="21"/>
          <w:szCs w:val="21"/>
          <w:highlight w:val="none"/>
        </w:rPr>
        <w:t>11.2.6</w:t>
      </w:r>
      <w:r>
        <w:rPr>
          <w:rFonts w:hint="eastAsia" w:ascii="宋体" w:hAnsi="宋体" w:eastAsia="宋体"/>
          <w:color w:val="auto"/>
          <w:sz w:val="21"/>
          <w:szCs w:val="21"/>
          <w:highlight w:val="none"/>
        </w:rPr>
        <w:t>投标人按照规定的格式及内容要求签署的《投标人声明》（格式见第四章）；</w:t>
      </w:r>
    </w:p>
    <w:p w14:paraId="56F6849C">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11.2.7列明主办单位的联合体工作协议（采用联合体投标时需递交，投标人拟任本工程项目负责人应为联合体主办方企业信息登记中的在册人员，联合体工作协议应明确约定各方拟承担的工作和责任）；</w:t>
      </w:r>
    </w:p>
    <w:p w14:paraId="7D141CF3">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11.2.8未被列入国家、省、市失信联合惩戒名单（具体名单以递交投标文件截止时间“信用广州”网站公布的“失信联合惩戒黑名单——国家下发”为准），或未因失信行为被本项目所在地行政主管部门作出限制参与工程建设项目投标的决定。</w:t>
      </w:r>
    </w:p>
    <w:p w14:paraId="34EF3A10">
      <w:pPr>
        <w:spacing w:line="360" w:lineRule="auto"/>
        <w:ind w:firstLine="420" w:firstLineChars="200"/>
        <w:rPr>
          <w:rFonts w:hint="eastAsia" w:ascii="宋体" w:hAnsi="宋体" w:eastAsia="宋体"/>
          <w:b w:val="0"/>
          <w:bCs/>
          <w:color w:val="auto"/>
          <w:sz w:val="21"/>
          <w:szCs w:val="21"/>
          <w:highlight w:val="none"/>
          <w:u w:val="none"/>
        </w:rPr>
      </w:pPr>
      <w:r>
        <w:rPr>
          <w:rFonts w:hint="eastAsia" w:ascii="宋体" w:hAnsi="宋体" w:eastAsia="宋体"/>
          <w:bCs/>
          <w:color w:val="auto"/>
          <w:sz w:val="21"/>
          <w:szCs w:val="21"/>
          <w:highlight w:val="none"/>
        </w:rPr>
        <w:t>注：资格审查内容的11.2.2至11.2.5项</w:t>
      </w:r>
      <w:r>
        <w:rPr>
          <w:rFonts w:hint="eastAsia" w:ascii="宋体" w:hAnsi="宋体" w:eastAsia="宋体"/>
          <w:color w:val="auto"/>
          <w:sz w:val="21"/>
          <w:szCs w:val="21"/>
          <w:highlight w:val="none"/>
        </w:rPr>
        <w:t>（除广东省建筑施工企业管理人员安全生产考核信息系统安全生产管理人员证书信息的打印页、《信息公开证明》打印页外）的资料取自投标申请人在</w:t>
      </w:r>
      <w:r>
        <w:rPr>
          <w:rFonts w:hint="eastAsia" w:ascii="宋体" w:hAnsi="宋体" w:eastAsia="宋体"/>
          <w:color w:val="auto"/>
          <w:sz w:val="21"/>
          <w:szCs w:val="21"/>
          <w:highlight w:val="none"/>
          <w:lang w:eastAsia="zh-CN"/>
        </w:rPr>
        <w:t>广州公共资源交易平台</w:t>
      </w:r>
      <w:r>
        <w:rPr>
          <w:rFonts w:hint="eastAsia" w:ascii="宋体" w:hAnsi="宋体" w:eastAsia="宋体"/>
          <w:color w:val="auto"/>
          <w:sz w:val="21"/>
          <w:szCs w:val="21"/>
          <w:highlight w:val="none"/>
        </w:rPr>
        <w:t>企业库、城市园林绿化企业工程业绩库中的资料，</w:t>
      </w:r>
      <w:r>
        <w:rPr>
          <w:rFonts w:hint="eastAsia" w:ascii="宋体" w:hAnsi="宋体" w:eastAsia="宋体"/>
          <w:color w:val="auto"/>
          <w:sz w:val="21"/>
          <w:szCs w:val="21"/>
          <w:highlight w:val="none"/>
          <w:lang w:eastAsia="zh-CN"/>
        </w:rPr>
        <w:t>广州公共资源交易平台</w:t>
      </w:r>
      <w:r>
        <w:rPr>
          <w:rFonts w:hint="eastAsia" w:ascii="宋体" w:hAnsi="宋体" w:eastAsia="宋体"/>
          <w:color w:val="auto"/>
          <w:sz w:val="21"/>
          <w:szCs w:val="21"/>
          <w:highlight w:val="none"/>
        </w:rPr>
        <w:t>企业库、城市园林绿化企业工程业绩库中该部分信息将被视为投标申请人递交的资格审查资料的一部分，</w:t>
      </w:r>
      <w:r>
        <w:rPr>
          <w:rFonts w:hint="eastAsia" w:ascii="宋体" w:hAnsi="宋体" w:eastAsia="宋体"/>
          <w:bCs/>
          <w:color w:val="auto"/>
          <w:sz w:val="21"/>
          <w:szCs w:val="21"/>
          <w:highlight w:val="none"/>
        </w:rPr>
        <w:t>资格审查文件不需另行提交。</w:t>
      </w:r>
    </w:p>
    <w:p w14:paraId="5DD2EE7A">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b/>
          <w:color w:val="auto"/>
          <w:sz w:val="21"/>
          <w:szCs w:val="21"/>
          <w:highlight w:val="none"/>
        </w:rPr>
        <w:t>现文：</w:t>
      </w:r>
      <w:r>
        <w:rPr>
          <w:rFonts w:hint="eastAsia" w:ascii="宋体" w:hAnsi="宋体" w:eastAsia="宋体" w:cs="宋体"/>
          <w:bCs/>
          <w:color w:val="auto"/>
          <w:sz w:val="21"/>
          <w:szCs w:val="21"/>
          <w:highlight w:val="none"/>
        </w:rPr>
        <w:t>11.2资格审查文件主要包括的内容：</w:t>
      </w:r>
    </w:p>
    <w:p w14:paraId="35E1E6B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11.2.1</w:t>
      </w:r>
      <w:r>
        <w:rPr>
          <w:rFonts w:hint="eastAsia" w:ascii="宋体" w:hAnsi="宋体" w:eastAsia="宋体" w:cs="宋体"/>
          <w:bCs/>
          <w:color w:val="auto"/>
          <w:sz w:val="21"/>
          <w:szCs w:val="21"/>
          <w:highlight w:val="none"/>
          <w:u w:val="none"/>
        </w:rPr>
        <w:t>法定代表人证明书，如投标文件为委托代理人签署应同时附上法定代表人证明书和法定代表人授权书；</w:t>
      </w:r>
    </w:p>
    <w:p w14:paraId="0C5B942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11.2.2</w:t>
      </w:r>
      <w:r>
        <w:rPr>
          <w:rFonts w:hint="eastAsia" w:ascii="宋体" w:hAnsi="宋体" w:eastAsia="宋体" w:cs="宋体"/>
          <w:bCs/>
          <w:color w:val="auto"/>
          <w:sz w:val="21"/>
          <w:szCs w:val="21"/>
          <w:highlight w:val="none"/>
          <w:u w:val="none"/>
        </w:rPr>
        <w:t>工商行政管理部门核发的营业执照</w:t>
      </w:r>
      <w:r>
        <w:rPr>
          <w:rFonts w:hint="eastAsia" w:ascii="宋体" w:hAnsi="宋体" w:eastAsia="宋体" w:cs="宋体"/>
          <w:bCs/>
          <w:color w:val="auto"/>
          <w:sz w:val="21"/>
          <w:szCs w:val="21"/>
          <w:highlight w:val="none"/>
        </w:rPr>
        <w:t>；</w:t>
      </w:r>
    </w:p>
    <w:p w14:paraId="684113C3">
      <w:pPr>
        <w:spacing w:line="360" w:lineRule="auto"/>
        <w:ind w:firstLine="420" w:firstLineChars="200"/>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rPr>
        <w:t>11.2.3</w:t>
      </w:r>
      <w:r>
        <w:rPr>
          <w:rFonts w:hint="eastAsia" w:ascii="宋体" w:hAnsi="宋体" w:eastAsia="宋体" w:cs="宋体"/>
          <w:bCs/>
          <w:color w:val="auto"/>
          <w:sz w:val="21"/>
          <w:szCs w:val="21"/>
          <w:highlight w:val="none"/>
          <w:u w:val="none"/>
        </w:rPr>
        <w:t>项目负责人（按招标公告要求和网上投标登记时选择拟投标的项目负责人）；</w:t>
      </w:r>
    </w:p>
    <w:p w14:paraId="6B5BE933">
      <w:pPr>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bCs/>
          <w:color w:val="auto"/>
          <w:sz w:val="21"/>
          <w:szCs w:val="21"/>
          <w:highlight w:val="none"/>
          <w:lang w:val="en-US" w:eastAsia="zh-CN"/>
        </w:rPr>
        <w:t>11.2.4</w:t>
      </w:r>
      <w:r>
        <w:rPr>
          <w:rFonts w:hint="eastAsia" w:ascii="宋体" w:hAnsi="宋体" w:eastAsia="宋体"/>
          <w:bCs/>
          <w:color w:val="auto"/>
          <w:sz w:val="21"/>
          <w:szCs w:val="21"/>
          <w:highlight w:val="none"/>
        </w:rPr>
        <w:t>用于资格审查的业绩（</w:t>
      </w:r>
      <w:r>
        <w:rPr>
          <w:rFonts w:hint="eastAsia" w:ascii="宋体" w:hAnsi="宋体" w:eastAsia="宋体" w:cs="宋体"/>
          <w:color w:val="auto"/>
          <w:szCs w:val="21"/>
          <w:highlight w:val="none"/>
          <w:u w:val="single"/>
        </w:rPr>
        <w:t>投标人选择用于</w:t>
      </w:r>
      <w:r>
        <w:rPr>
          <w:rFonts w:hint="eastAsia" w:ascii="宋体" w:hAnsi="宋体" w:eastAsia="宋体"/>
          <w:bCs/>
          <w:color w:val="auto"/>
          <w:sz w:val="21"/>
          <w:szCs w:val="21"/>
          <w:highlight w:val="none"/>
          <w:u w:val="single"/>
        </w:rPr>
        <w:t>资格审查的业绩须用本企业的CA数字证书对生成的内容进行签章）；</w:t>
      </w:r>
    </w:p>
    <w:p w14:paraId="08DDD97A">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u w:val="single"/>
        </w:rPr>
        <w:t>11.2.</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专职安全员须具有在有效期内的安全生产考核合格证书（C类），</w:t>
      </w:r>
      <w:r>
        <w:rPr>
          <w:rFonts w:hint="eastAsia" w:ascii="宋体" w:hAnsi="宋体" w:eastAsia="宋体" w:cs="宋体"/>
          <w:bCs/>
          <w:color w:val="auto"/>
          <w:szCs w:val="21"/>
          <w:highlight w:val="none"/>
          <w:u w:val="single"/>
        </w:rPr>
        <w:t>或</w:t>
      </w:r>
      <w:r>
        <w:rPr>
          <w:rFonts w:hint="eastAsia" w:ascii="宋体" w:hAnsi="宋体" w:eastAsia="宋体"/>
          <w:color w:val="auto"/>
          <w:sz w:val="21"/>
          <w:szCs w:val="21"/>
          <w:highlight w:val="none"/>
          <w:u w:val="single"/>
        </w:rPr>
        <w:t>建筑施工企业专职安全生产管理人员安全生产考核合格证书（C3）</w:t>
      </w:r>
      <w:r>
        <w:rPr>
          <w:rFonts w:hint="eastAsia" w:ascii="宋体" w:hAnsi="宋体" w:eastAsia="宋体" w:cs="宋体"/>
          <w:bCs/>
          <w:color w:val="auto"/>
          <w:sz w:val="21"/>
          <w:szCs w:val="21"/>
          <w:highlight w:val="none"/>
          <w:u w:val="single"/>
        </w:rPr>
        <w:t>；（按网上投标登记时选择拟派专职安全员）；</w:t>
      </w:r>
    </w:p>
    <w:p w14:paraId="7705A65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 w:val="21"/>
          <w:szCs w:val="21"/>
          <w:highlight w:val="none"/>
          <w:u w:val="single"/>
        </w:rPr>
        <w:t>11.2.</w:t>
      </w:r>
      <w:r>
        <w:rPr>
          <w:rFonts w:hint="eastAsia" w:ascii="宋体" w:hAnsi="宋体" w:eastAsia="宋体" w:cs="宋体"/>
          <w:bCs/>
          <w:color w:val="auto"/>
          <w:sz w:val="21"/>
          <w:szCs w:val="21"/>
          <w:highlight w:val="none"/>
          <w:u w:val="single"/>
          <w:lang w:val="en-US" w:eastAsia="zh-CN"/>
        </w:rPr>
        <w:t>6</w:t>
      </w:r>
      <w:r>
        <w:rPr>
          <w:rFonts w:hint="eastAsia" w:ascii="宋体" w:hAnsi="宋体" w:eastAsia="宋体" w:cs="宋体"/>
          <w:bCs/>
          <w:color w:val="auto"/>
          <w:szCs w:val="21"/>
          <w:highlight w:val="none"/>
        </w:rPr>
        <w:t>投标人按照规定的格式及内容要求签署的《投标人声明》（格式见第四章）；</w:t>
      </w:r>
    </w:p>
    <w:p w14:paraId="04767B1B">
      <w:pPr>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11.2.</w:t>
      </w:r>
      <w:r>
        <w:rPr>
          <w:rFonts w:hint="eastAsia" w:ascii="宋体" w:hAnsi="宋体" w:eastAsia="宋体" w:cs="宋体"/>
          <w:bCs/>
          <w:color w:val="auto"/>
          <w:sz w:val="21"/>
          <w:szCs w:val="21"/>
          <w:highlight w:val="none"/>
          <w:u w:val="single"/>
          <w:lang w:val="en-US" w:eastAsia="zh-CN"/>
        </w:rPr>
        <w:t>7</w:t>
      </w:r>
      <w:r>
        <w:rPr>
          <w:rFonts w:hint="eastAsia" w:ascii="宋体" w:hAnsi="宋体" w:eastAsia="宋体"/>
          <w:color w:val="auto"/>
          <w:kern w:val="0"/>
          <w:sz w:val="21"/>
          <w:szCs w:val="21"/>
          <w:highlight w:val="none"/>
          <w:u w:val="single" w:color="auto"/>
        </w:rPr>
        <w:t>不存在《全国失信惩戒措施基础清单》惩戒内容为“在一定期限内依法取消参加依法必须进行招标的项目的投标资格”的情形</w:t>
      </w:r>
      <w:r>
        <w:rPr>
          <w:rFonts w:hint="eastAsia" w:ascii="宋体" w:hAnsi="宋体" w:eastAsia="宋体" w:cs="宋体"/>
          <w:bCs/>
          <w:color w:val="auto"/>
          <w:sz w:val="21"/>
          <w:szCs w:val="21"/>
          <w:highlight w:val="none"/>
          <w:u w:val="single"/>
        </w:rPr>
        <w:t>。（投标人无需提供资料，按交易系统比对的结果进行评审）</w:t>
      </w:r>
      <w:r>
        <w:rPr>
          <w:rFonts w:hint="eastAsia" w:ascii="宋体" w:hAnsi="宋体" w:eastAsia="宋体"/>
          <w:color w:val="auto"/>
          <w:kern w:val="0"/>
          <w:sz w:val="21"/>
          <w:szCs w:val="21"/>
          <w:highlight w:val="none"/>
        </w:rPr>
        <w:t>。</w:t>
      </w:r>
    </w:p>
    <w:p w14:paraId="1B5EF26C">
      <w:pPr>
        <w:pBdr>
          <w:bottom w:val="single" w:color="auto" w:sz="6" w:space="1"/>
        </w:pBd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注：资格审查内容的11.2.2至</w:t>
      </w:r>
      <w:r>
        <w:rPr>
          <w:rFonts w:hint="eastAsia" w:ascii="宋体" w:hAnsi="宋体" w:eastAsia="宋体" w:cs="宋体"/>
          <w:bCs/>
          <w:color w:val="auto"/>
          <w:sz w:val="21"/>
          <w:szCs w:val="21"/>
          <w:highlight w:val="none"/>
          <w:u w:val="single"/>
        </w:rPr>
        <w:t>11.2.</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rPr>
        <w:t>项的资料取自投标申请人在</w:t>
      </w:r>
      <w:r>
        <w:rPr>
          <w:rFonts w:hint="eastAsia" w:ascii="宋体" w:hAnsi="宋体" w:eastAsia="宋体"/>
          <w:color w:val="auto"/>
          <w:highlight w:val="none"/>
          <w:lang w:eastAsia="zh-CN"/>
        </w:rPr>
        <w:t>广州交易集团有限公司（广州公共资源交易中心）</w:t>
      </w:r>
      <w:r>
        <w:rPr>
          <w:rFonts w:hint="eastAsia" w:ascii="宋体" w:hAnsi="宋体" w:eastAsia="宋体" w:cs="宋体"/>
          <w:bCs/>
          <w:color w:val="auto"/>
          <w:sz w:val="21"/>
          <w:szCs w:val="21"/>
          <w:highlight w:val="none"/>
        </w:rPr>
        <w:t>平台企业库库中的资料，</w:t>
      </w:r>
      <w:r>
        <w:rPr>
          <w:rFonts w:hint="eastAsia" w:ascii="宋体" w:hAnsi="宋体" w:eastAsia="宋体"/>
          <w:color w:val="auto"/>
          <w:highlight w:val="none"/>
          <w:lang w:eastAsia="zh-CN"/>
        </w:rPr>
        <w:t>广州交易集团有限公司（广州公共资源交易中心）</w:t>
      </w:r>
      <w:r>
        <w:rPr>
          <w:rFonts w:hint="eastAsia" w:ascii="宋体" w:hAnsi="宋体" w:eastAsia="宋体" w:cs="宋体"/>
          <w:bCs/>
          <w:color w:val="auto"/>
          <w:sz w:val="21"/>
          <w:szCs w:val="21"/>
          <w:highlight w:val="none"/>
        </w:rPr>
        <w:t>平台企业库库中该部分信息将被视为投标申请人递交的资格审查资料的一部分，资格审查文件不需另行提交。</w:t>
      </w:r>
    </w:p>
    <w:p w14:paraId="1C6F48C7">
      <w:pPr>
        <w:spacing w:line="360" w:lineRule="auto"/>
        <w:ind w:firstLine="472" w:firstLineChars="224"/>
        <w:rPr>
          <w:rFonts w:ascii="宋体" w:hAnsi="宋体" w:eastAsia="宋体"/>
          <w:b/>
          <w:color w:val="auto"/>
          <w:sz w:val="21"/>
          <w:szCs w:val="21"/>
          <w:highlight w:val="none"/>
        </w:rPr>
      </w:pPr>
      <w:r>
        <w:rPr>
          <w:rFonts w:hint="eastAsia" w:ascii="宋体" w:hAnsi="宋体" w:eastAsia="宋体"/>
          <w:b/>
          <w:color w:val="auto"/>
          <w:sz w:val="21"/>
          <w:szCs w:val="21"/>
          <w:highlight w:val="none"/>
        </w:rPr>
        <w:t>条款号：11.3技术部分（施工组织方案）文件（办法</w:t>
      </w:r>
      <w:r>
        <w:rPr>
          <w:rFonts w:hint="eastAsia" w:ascii="宋体" w:hAnsi="宋体" w:eastAsia="宋体"/>
          <w:b/>
          <w:color w:val="auto"/>
          <w:sz w:val="21"/>
          <w:szCs w:val="21"/>
          <w:highlight w:val="none"/>
          <w:lang w:val="en-US" w:eastAsia="zh-CN"/>
        </w:rPr>
        <w:t>一</w:t>
      </w:r>
      <w:r>
        <w:rPr>
          <w:rFonts w:hint="eastAsia" w:ascii="宋体" w:hAnsi="宋体" w:eastAsia="宋体"/>
          <w:b/>
          <w:color w:val="auto"/>
          <w:sz w:val="21"/>
          <w:szCs w:val="21"/>
          <w:highlight w:val="none"/>
        </w:rPr>
        <w:t>可选）：        修改类型：修改</w:t>
      </w:r>
    </w:p>
    <w:p w14:paraId="63931489">
      <w:pPr>
        <w:spacing w:line="360" w:lineRule="auto"/>
        <w:ind w:firstLine="472" w:firstLineChars="224"/>
        <w:rPr>
          <w:rFonts w:hint="eastAsia" w:ascii="宋体" w:hAnsi="宋体" w:eastAsia="宋体"/>
          <w:b w:val="0"/>
          <w:bCs/>
          <w:color w:val="auto"/>
          <w:sz w:val="21"/>
          <w:szCs w:val="21"/>
          <w:highlight w:val="none"/>
          <w:u w:val="none"/>
        </w:rPr>
      </w:pPr>
      <w:r>
        <w:rPr>
          <w:rFonts w:hint="eastAsia" w:ascii="宋体" w:hAnsi="宋体" w:eastAsia="宋体"/>
          <w:b/>
          <w:color w:val="auto"/>
          <w:sz w:val="21"/>
          <w:szCs w:val="21"/>
          <w:highlight w:val="none"/>
        </w:rPr>
        <w:t>原文：</w:t>
      </w:r>
      <w:r>
        <w:rPr>
          <w:rFonts w:hint="eastAsia" w:ascii="宋体" w:hAnsi="宋体" w:eastAsia="宋体"/>
          <w:b w:val="0"/>
          <w:bCs/>
          <w:color w:val="auto"/>
          <w:sz w:val="21"/>
          <w:szCs w:val="21"/>
          <w:highlight w:val="none"/>
        </w:rPr>
        <w:t>（2）技术部分（施工组织方案）文件页数最多不超过</w:t>
      </w:r>
      <w:r>
        <w:rPr>
          <w:rFonts w:hint="eastAsia" w:ascii="宋体" w:hAnsi="宋体" w:eastAsia="宋体"/>
          <w:b w:val="0"/>
          <w:bCs/>
          <w:color w:val="auto"/>
          <w:sz w:val="21"/>
          <w:szCs w:val="21"/>
          <w:highlight w:val="none"/>
          <w:u w:val="single"/>
        </w:rPr>
        <w:t xml:space="preserve">   </w:t>
      </w:r>
      <w:r>
        <w:rPr>
          <w:rFonts w:hint="eastAsia" w:ascii="宋体" w:hAnsi="宋体" w:eastAsia="宋体"/>
          <w:b w:val="0"/>
          <w:bCs/>
          <w:color w:val="auto"/>
          <w:sz w:val="21"/>
          <w:szCs w:val="21"/>
          <w:highlight w:val="none"/>
        </w:rPr>
        <w:t>页（50页，不包括封面及目录页）；</w:t>
      </w:r>
    </w:p>
    <w:p w14:paraId="51C2B9B7">
      <w:pPr>
        <w:pBdr>
          <w:bottom w:val="single" w:color="auto" w:sz="6" w:space="1"/>
        </w:pBd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b/>
          <w:color w:val="auto"/>
          <w:sz w:val="21"/>
          <w:szCs w:val="21"/>
          <w:highlight w:val="none"/>
        </w:rPr>
        <w:t>现文：</w:t>
      </w:r>
      <w:r>
        <w:rPr>
          <w:rFonts w:hint="eastAsia" w:ascii="宋体" w:hAnsi="宋体" w:eastAsia="宋体"/>
          <w:b w:val="0"/>
          <w:bCs/>
          <w:color w:val="auto"/>
          <w:sz w:val="21"/>
          <w:szCs w:val="21"/>
          <w:highlight w:val="none"/>
        </w:rPr>
        <w:t>（2）技术部分（施工组织方案）文件页数最多不超过</w:t>
      </w:r>
      <w:r>
        <w:rPr>
          <w:rFonts w:hint="eastAsia" w:ascii="宋体" w:hAnsi="宋体" w:eastAsia="宋体"/>
          <w:b w:val="0"/>
          <w:bCs/>
          <w:color w:val="auto"/>
          <w:sz w:val="21"/>
          <w:szCs w:val="21"/>
          <w:highlight w:val="none"/>
          <w:u w:val="single"/>
        </w:rPr>
        <w:t xml:space="preserve"> 50 </w:t>
      </w:r>
      <w:r>
        <w:rPr>
          <w:rFonts w:hint="eastAsia" w:ascii="宋体" w:hAnsi="宋体" w:eastAsia="宋体"/>
          <w:b w:val="0"/>
          <w:bCs/>
          <w:color w:val="auto"/>
          <w:sz w:val="21"/>
          <w:szCs w:val="21"/>
          <w:highlight w:val="none"/>
        </w:rPr>
        <w:t>页（50页，不包括封面及目录页）；</w:t>
      </w:r>
    </w:p>
    <w:p w14:paraId="423803C6">
      <w:pPr>
        <w:spacing w:line="360" w:lineRule="auto"/>
        <w:ind w:firstLine="472" w:firstLineChars="224"/>
        <w:rPr>
          <w:rFonts w:ascii="宋体" w:hAnsi="宋体" w:eastAsia="宋体"/>
          <w:b/>
          <w:color w:val="auto"/>
          <w:sz w:val="21"/>
          <w:szCs w:val="21"/>
          <w:highlight w:val="none"/>
        </w:rPr>
      </w:pPr>
      <w:r>
        <w:rPr>
          <w:rFonts w:hint="eastAsia" w:ascii="宋体" w:hAnsi="宋体" w:eastAsia="宋体"/>
          <w:b/>
          <w:color w:val="auto"/>
          <w:sz w:val="21"/>
          <w:szCs w:val="21"/>
          <w:highlight w:val="none"/>
        </w:rPr>
        <w:t>条款号：11.4.5             修改类型：修改</w:t>
      </w:r>
    </w:p>
    <w:p w14:paraId="0C8EC810">
      <w:pPr>
        <w:spacing w:line="360" w:lineRule="auto"/>
        <w:ind w:firstLine="472" w:firstLineChars="224"/>
        <w:rPr>
          <w:rFonts w:hint="eastAsia" w:ascii="宋体" w:hAnsi="宋体" w:eastAsia="宋体"/>
          <w:b w:val="0"/>
          <w:bCs/>
          <w:color w:val="auto"/>
          <w:sz w:val="21"/>
          <w:szCs w:val="21"/>
          <w:highlight w:val="none"/>
        </w:rPr>
      </w:pPr>
      <w:r>
        <w:rPr>
          <w:rFonts w:hint="eastAsia" w:ascii="宋体" w:hAnsi="宋体" w:eastAsia="宋体"/>
          <w:b/>
          <w:color w:val="auto"/>
          <w:sz w:val="21"/>
          <w:szCs w:val="21"/>
          <w:highlight w:val="none"/>
        </w:rPr>
        <w:t>原文：</w:t>
      </w:r>
      <w:r>
        <w:rPr>
          <w:rFonts w:hint="eastAsia" w:ascii="宋体" w:hAnsi="宋体" w:eastAsia="宋体"/>
          <w:b w:val="0"/>
          <w:bCs/>
          <w:color w:val="auto"/>
          <w:sz w:val="21"/>
          <w:szCs w:val="21"/>
          <w:highlight w:val="none"/>
        </w:rPr>
        <w:t>11.4.5项目管理机构能力（办法</w:t>
      </w:r>
      <w:r>
        <w:rPr>
          <w:rFonts w:hint="eastAsia" w:ascii="宋体" w:hAnsi="宋体" w:eastAsia="宋体"/>
          <w:b w:val="0"/>
          <w:bCs/>
          <w:color w:val="auto"/>
          <w:sz w:val="21"/>
          <w:szCs w:val="21"/>
          <w:highlight w:val="none"/>
          <w:lang w:val="en-US" w:eastAsia="zh-CN"/>
        </w:rPr>
        <w:t>一</w:t>
      </w:r>
      <w:r>
        <w:rPr>
          <w:rFonts w:hint="eastAsia" w:ascii="宋体" w:hAnsi="宋体" w:eastAsia="宋体"/>
          <w:b w:val="0"/>
          <w:bCs/>
          <w:color w:val="auto"/>
          <w:sz w:val="21"/>
          <w:szCs w:val="21"/>
          <w:highlight w:val="none"/>
        </w:rPr>
        <w:t>可选）；</w:t>
      </w:r>
    </w:p>
    <w:p w14:paraId="4E86B056">
      <w:pPr>
        <w:spacing w:line="360" w:lineRule="auto"/>
        <w:ind w:firstLine="470" w:firstLineChars="224"/>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（1）投标人应列出本工程的施工组织机构构成和画出机构框架图及其负责人；</w:t>
      </w:r>
    </w:p>
    <w:p w14:paraId="41F65773">
      <w:pPr>
        <w:spacing w:line="360" w:lineRule="auto"/>
        <w:ind w:firstLine="470" w:firstLineChars="224"/>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（2）投标人应详细列出本工程组织机构中主要成员的名单、简历资料、职务职称和在本项目中拟担任的职务等资料，并附上有关证明材料复印件；</w:t>
      </w:r>
    </w:p>
    <w:p w14:paraId="0D13FAE0">
      <w:pPr>
        <w:spacing w:line="360" w:lineRule="auto"/>
        <w:ind w:firstLine="470" w:firstLineChars="224"/>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（3）项目负责人能力、企业技术力量配备情况</w:t>
      </w:r>
    </w:p>
    <w:p w14:paraId="4646CDB4">
      <w:pPr>
        <w:spacing w:line="360" w:lineRule="auto"/>
        <w:ind w:firstLine="470" w:firstLineChars="224"/>
        <w:rPr>
          <w:rFonts w:hint="eastAsia" w:ascii="宋体" w:hAnsi="宋体" w:eastAsia="宋体"/>
          <w:b w:val="0"/>
          <w:bCs/>
          <w:color w:val="auto"/>
          <w:sz w:val="21"/>
          <w:szCs w:val="21"/>
          <w:highlight w:val="none"/>
          <w:u w:val="none"/>
        </w:rPr>
      </w:pPr>
      <w:r>
        <w:rPr>
          <w:rFonts w:hint="eastAsia" w:ascii="宋体" w:hAnsi="宋体" w:eastAsia="宋体"/>
          <w:b w:val="0"/>
          <w:bCs/>
          <w:color w:val="auto"/>
          <w:sz w:val="21"/>
          <w:szCs w:val="21"/>
          <w:highlight w:val="none"/>
        </w:rPr>
        <w:t>（4）其他辅助说明资料。</w:t>
      </w:r>
    </w:p>
    <w:p w14:paraId="081F5E0E">
      <w:pPr>
        <w:spacing w:line="360" w:lineRule="auto"/>
        <w:ind w:firstLine="472" w:firstLineChars="224"/>
        <w:rPr>
          <w:rFonts w:hint="eastAsia" w:ascii="宋体" w:hAnsi="宋体" w:eastAsia="宋体"/>
          <w:b w:val="0"/>
          <w:bCs/>
          <w:color w:val="auto"/>
          <w:sz w:val="21"/>
          <w:szCs w:val="21"/>
          <w:highlight w:val="none"/>
        </w:rPr>
      </w:pPr>
      <w:r>
        <w:rPr>
          <w:rFonts w:hint="eastAsia" w:ascii="宋体" w:hAnsi="宋体" w:eastAsia="宋体"/>
          <w:b/>
          <w:color w:val="auto"/>
          <w:sz w:val="21"/>
          <w:szCs w:val="21"/>
          <w:highlight w:val="none"/>
        </w:rPr>
        <w:t>现文：</w:t>
      </w:r>
      <w:r>
        <w:rPr>
          <w:rFonts w:hint="eastAsia" w:ascii="宋体" w:hAnsi="宋体" w:eastAsia="宋体"/>
          <w:b w:val="0"/>
          <w:bCs/>
          <w:color w:val="auto"/>
          <w:sz w:val="21"/>
          <w:szCs w:val="21"/>
          <w:highlight w:val="none"/>
        </w:rPr>
        <w:t>11.4.5项目管理机构能力（办法</w:t>
      </w:r>
      <w:r>
        <w:rPr>
          <w:rFonts w:hint="eastAsia" w:ascii="宋体" w:hAnsi="宋体" w:eastAsia="宋体"/>
          <w:b w:val="0"/>
          <w:bCs/>
          <w:color w:val="auto"/>
          <w:sz w:val="21"/>
          <w:szCs w:val="21"/>
          <w:highlight w:val="none"/>
          <w:lang w:val="en-US" w:eastAsia="zh-CN"/>
        </w:rPr>
        <w:t>一</w:t>
      </w:r>
      <w:r>
        <w:rPr>
          <w:rFonts w:hint="eastAsia" w:ascii="宋体" w:hAnsi="宋体" w:eastAsia="宋体"/>
          <w:b w:val="0"/>
          <w:bCs/>
          <w:color w:val="auto"/>
          <w:sz w:val="21"/>
          <w:szCs w:val="21"/>
          <w:highlight w:val="none"/>
        </w:rPr>
        <w:t>可选）；</w:t>
      </w:r>
    </w:p>
    <w:p w14:paraId="457E6DEC">
      <w:pPr>
        <w:spacing w:line="360" w:lineRule="auto"/>
        <w:ind w:firstLine="470" w:firstLineChars="224"/>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w:t>
      </w:r>
      <w:r>
        <w:rPr>
          <w:rFonts w:hint="eastAsia" w:ascii="宋体" w:hAnsi="宋体" w:eastAsia="宋体" w:cs="Times New Roman"/>
          <w:b w:val="0"/>
          <w:bCs/>
          <w:color w:val="auto"/>
          <w:sz w:val="21"/>
          <w:szCs w:val="21"/>
          <w:highlight w:val="none"/>
        </w:rPr>
        <w:t>投标</w:t>
      </w:r>
      <w:r>
        <w:rPr>
          <w:rFonts w:hint="eastAsia" w:ascii="宋体" w:hAnsi="宋体" w:eastAsia="宋体"/>
          <w:b w:val="0"/>
          <w:bCs/>
          <w:color w:val="auto"/>
          <w:sz w:val="21"/>
          <w:szCs w:val="21"/>
          <w:highlight w:val="none"/>
        </w:rPr>
        <w:t>人应列出本工程的施工组织机构构成和画出机构框架图及其负责人；</w:t>
      </w:r>
    </w:p>
    <w:p w14:paraId="165EFB29">
      <w:pPr>
        <w:pBdr>
          <w:bottom w:val="single" w:color="auto" w:sz="6" w:space="1"/>
        </w:pBdr>
        <w:spacing w:line="360" w:lineRule="auto"/>
        <w:ind w:firstLine="420" w:firstLineChars="200"/>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（2）投标人应详细列出本工程组织机构中主要成员的名单、简历资料、职务职称和在本项目中拟担任的职务等资料，并附上有关证明材料</w:t>
      </w:r>
      <w:r>
        <w:rPr>
          <w:rFonts w:hint="eastAsia" w:ascii="宋体" w:hAnsi="宋体" w:eastAsia="宋体"/>
          <w:b w:val="0"/>
          <w:bCs/>
          <w:color w:val="auto"/>
          <w:sz w:val="21"/>
          <w:szCs w:val="21"/>
          <w:highlight w:val="none"/>
          <w:u w:val="single"/>
        </w:rPr>
        <w:t>原件扫描件（招标文件有规定格式的，需按招标文件格式提供，无格式要求的，格式自拟）</w:t>
      </w:r>
      <w:r>
        <w:rPr>
          <w:rFonts w:hint="eastAsia" w:ascii="宋体" w:hAnsi="宋体" w:eastAsia="宋体"/>
          <w:b w:val="0"/>
          <w:bCs/>
          <w:color w:val="auto"/>
          <w:sz w:val="21"/>
          <w:szCs w:val="21"/>
          <w:highlight w:val="none"/>
        </w:rPr>
        <w:t>；</w:t>
      </w:r>
    </w:p>
    <w:p w14:paraId="5C0A33DB">
      <w:pPr>
        <w:pBdr>
          <w:bottom w:val="single" w:color="auto" w:sz="6" w:space="1"/>
        </w:pBdr>
        <w:spacing w:line="360" w:lineRule="auto"/>
        <w:ind w:firstLine="420" w:firstLineChars="200"/>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（3）项目负责人能力、企业技术力量配备情况</w:t>
      </w:r>
    </w:p>
    <w:p w14:paraId="53A37608">
      <w:pPr>
        <w:pBdr>
          <w:bottom w:val="single" w:color="auto" w:sz="6" w:space="1"/>
        </w:pBd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b w:val="0"/>
          <w:bCs/>
          <w:color w:val="auto"/>
          <w:sz w:val="21"/>
          <w:szCs w:val="21"/>
          <w:highlight w:val="none"/>
        </w:rPr>
        <w:t>（4）其他辅助说明资料。</w:t>
      </w:r>
    </w:p>
    <w:p w14:paraId="08DA4359">
      <w:pPr>
        <w:spacing w:line="360" w:lineRule="auto"/>
        <w:ind w:firstLine="472" w:firstLineChars="224"/>
        <w:rPr>
          <w:rFonts w:ascii="宋体" w:hAnsi="宋体" w:eastAsia="宋体"/>
          <w:b/>
          <w:color w:val="auto"/>
          <w:sz w:val="21"/>
          <w:szCs w:val="21"/>
          <w:highlight w:val="none"/>
        </w:rPr>
      </w:pPr>
      <w:r>
        <w:rPr>
          <w:rFonts w:hint="eastAsia" w:ascii="宋体" w:hAnsi="宋体" w:eastAsia="宋体"/>
          <w:b/>
          <w:color w:val="auto"/>
          <w:sz w:val="21"/>
          <w:szCs w:val="21"/>
          <w:highlight w:val="none"/>
        </w:rPr>
        <w:t>条款号：</w:t>
      </w:r>
      <w:r>
        <w:rPr>
          <w:rFonts w:hint="eastAsia" w:ascii="宋体" w:hAnsi="宋体" w:eastAsia="宋体"/>
          <w:b/>
          <w:bCs w:val="0"/>
          <w:color w:val="auto"/>
          <w:sz w:val="21"/>
          <w:szCs w:val="21"/>
          <w:highlight w:val="none"/>
        </w:rPr>
        <w:t>11.4.8</w:t>
      </w:r>
      <w:r>
        <w:rPr>
          <w:rFonts w:hint="eastAsia" w:ascii="宋体" w:hAnsi="宋体" w:eastAsia="宋体"/>
          <w:b/>
          <w:color w:val="auto"/>
          <w:sz w:val="21"/>
          <w:szCs w:val="21"/>
          <w:highlight w:val="none"/>
        </w:rPr>
        <w:t xml:space="preserve">             修改类型：修改</w:t>
      </w:r>
    </w:p>
    <w:p w14:paraId="61B241D4">
      <w:pPr>
        <w:spacing w:line="360" w:lineRule="auto"/>
        <w:ind w:firstLine="472" w:firstLineChars="224"/>
        <w:rPr>
          <w:rFonts w:hint="eastAsia" w:ascii="宋体" w:hAnsi="宋体" w:eastAsia="宋体"/>
          <w:b w:val="0"/>
          <w:bCs/>
          <w:color w:val="auto"/>
          <w:sz w:val="21"/>
          <w:szCs w:val="21"/>
          <w:highlight w:val="none"/>
          <w:u w:val="none"/>
        </w:rPr>
      </w:pPr>
      <w:r>
        <w:rPr>
          <w:rFonts w:hint="eastAsia" w:ascii="宋体" w:hAnsi="宋体" w:eastAsia="宋体"/>
          <w:b/>
          <w:color w:val="auto"/>
          <w:sz w:val="21"/>
          <w:szCs w:val="21"/>
          <w:highlight w:val="none"/>
        </w:rPr>
        <w:t>原文：</w:t>
      </w:r>
      <w:r>
        <w:rPr>
          <w:rFonts w:hint="eastAsia" w:ascii="宋体" w:hAnsi="宋体" w:eastAsia="宋体"/>
          <w:b w:val="0"/>
          <w:bCs/>
          <w:color w:val="auto"/>
          <w:sz w:val="21"/>
          <w:szCs w:val="21"/>
          <w:highlight w:val="none"/>
        </w:rPr>
        <w:t>11.4.8其他评审内容（办法</w:t>
      </w:r>
      <w:r>
        <w:rPr>
          <w:rFonts w:hint="eastAsia" w:ascii="宋体" w:hAnsi="宋体" w:eastAsia="宋体"/>
          <w:b w:val="0"/>
          <w:bCs/>
          <w:color w:val="auto"/>
          <w:sz w:val="21"/>
          <w:szCs w:val="21"/>
          <w:highlight w:val="none"/>
          <w:lang w:val="en-US" w:eastAsia="zh-CN"/>
        </w:rPr>
        <w:t>一</w:t>
      </w:r>
      <w:r>
        <w:rPr>
          <w:rFonts w:hint="eastAsia" w:ascii="宋体" w:hAnsi="宋体" w:eastAsia="宋体"/>
          <w:b w:val="0"/>
          <w:bCs/>
          <w:color w:val="auto"/>
          <w:sz w:val="21"/>
          <w:szCs w:val="21"/>
          <w:highlight w:val="none"/>
        </w:rPr>
        <w:t>可选）；</w:t>
      </w:r>
    </w:p>
    <w:p w14:paraId="29492BAC">
      <w:pPr>
        <w:pBdr>
          <w:bottom w:val="single" w:color="auto" w:sz="6" w:space="1"/>
        </w:pBdr>
        <w:spacing w:line="360" w:lineRule="auto"/>
        <w:ind w:firstLine="422" w:firstLineChars="200"/>
        <w:rPr>
          <w:rFonts w:hint="eastAsia" w:ascii="宋体" w:hAnsi="宋体" w:eastAsia="宋体"/>
          <w:b/>
          <w:color w:val="auto"/>
          <w:sz w:val="21"/>
          <w:szCs w:val="21"/>
          <w:highlight w:val="none"/>
          <w:u w:val="single"/>
        </w:rPr>
      </w:pPr>
      <w:r>
        <w:rPr>
          <w:rFonts w:hint="eastAsia" w:ascii="宋体" w:hAnsi="宋体" w:eastAsia="宋体"/>
          <w:b/>
          <w:color w:val="auto"/>
          <w:sz w:val="21"/>
          <w:szCs w:val="21"/>
          <w:highlight w:val="none"/>
        </w:rPr>
        <w:t>现文：</w:t>
      </w:r>
      <w:r>
        <w:rPr>
          <w:rFonts w:hint="eastAsia" w:ascii="宋体" w:hAnsi="宋体" w:eastAsia="宋体"/>
          <w:b w:val="0"/>
          <w:bCs/>
          <w:color w:val="auto"/>
          <w:sz w:val="21"/>
          <w:szCs w:val="21"/>
          <w:highlight w:val="none"/>
        </w:rPr>
        <w:t>11.4.8其他评审内容</w:t>
      </w:r>
      <w:r>
        <w:rPr>
          <w:rFonts w:hint="eastAsia" w:ascii="宋体" w:hAnsi="宋体" w:eastAsia="宋体"/>
          <w:b w:val="0"/>
          <w:bCs/>
          <w:color w:val="auto"/>
          <w:sz w:val="21"/>
          <w:szCs w:val="21"/>
          <w:highlight w:val="none"/>
          <w:u w:val="none"/>
        </w:rPr>
        <w:t>，</w:t>
      </w:r>
      <w:r>
        <w:rPr>
          <w:rFonts w:hint="eastAsia" w:ascii="宋体" w:hAnsi="宋体" w:eastAsia="宋体"/>
          <w:b w:val="0"/>
          <w:bCs/>
          <w:color w:val="auto"/>
          <w:sz w:val="21"/>
          <w:szCs w:val="21"/>
          <w:highlight w:val="none"/>
          <w:u w:val="single"/>
        </w:rPr>
        <w:t>具体以附件</w:t>
      </w:r>
      <w:r>
        <w:rPr>
          <w:rFonts w:hint="eastAsia" w:ascii="宋体" w:hAnsi="宋体" w:eastAsia="宋体"/>
          <w:b w:val="0"/>
          <w:bCs/>
          <w:color w:val="auto"/>
          <w:sz w:val="21"/>
          <w:szCs w:val="21"/>
          <w:highlight w:val="none"/>
          <w:u w:val="single"/>
          <w:lang w:val="en-US" w:eastAsia="zh-CN"/>
        </w:rPr>
        <w:t>10</w:t>
      </w:r>
      <w:r>
        <w:rPr>
          <w:rFonts w:hint="eastAsia" w:ascii="宋体" w:hAnsi="宋体" w:eastAsia="宋体"/>
          <w:b w:val="0"/>
          <w:bCs/>
          <w:color w:val="auto"/>
          <w:sz w:val="21"/>
          <w:szCs w:val="21"/>
          <w:highlight w:val="none"/>
          <w:u w:val="single"/>
        </w:rPr>
        <w:t>《技术部分（项目实施能力）审查评分表》）上的要求提资料；</w:t>
      </w:r>
    </w:p>
    <w:p w14:paraId="2471ED24">
      <w:pPr>
        <w:spacing w:line="360" w:lineRule="auto"/>
        <w:ind w:firstLine="472" w:firstLineChars="224"/>
        <w:rPr>
          <w:rFonts w:ascii="宋体" w:hAnsi="宋体" w:eastAsia="宋体"/>
          <w:b/>
          <w:color w:val="auto"/>
          <w:sz w:val="21"/>
          <w:szCs w:val="21"/>
          <w:highlight w:val="none"/>
        </w:rPr>
      </w:pPr>
      <w:r>
        <w:rPr>
          <w:rFonts w:hint="eastAsia" w:ascii="宋体" w:hAnsi="宋体" w:eastAsia="宋体"/>
          <w:b/>
          <w:color w:val="auto"/>
          <w:sz w:val="21"/>
          <w:szCs w:val="21"/>
          <w:highlight w:val="none"/>
        </w:rPr>
        <w:t>条款号：11.4.13             修改类型：修改</w:t>
      </w:r>
    </w:p>
    <w:p w14:paraId="64A7D978">
      <w:pPr>
        <w:spacing w:line="360" w:lineRule="auto"/>
        <w:ind w:firstLine="422" w:firstLineChars="200"/>
        <w:rPr>
          <w:rFonts w:hint="eastAsia" w:ascii="宋体" w:hAnsi="宋体" w:eastAsia="宋体"/>
          <w:b w:val="0"/>
          <w:bCs/>
          <w:color w:val="auto"/>
          <w:sz w:val="21"/>
          <w:szCs w:val="21"/>
          <w:highlight w:val="none"/>
          <w:u w:val="none"/>
        </w:rPr>
      </w:pPr>
      <w:r>
        <w:rPr>
          <w:rFonts w:hint="eastAsia" w:ascii="宋体" w:hAnsi="宋体" w:eastAsia="宋体"/>
          <w:b/>
          <w:color w:val="auto"/>
          <w:sz w:val="21"/>
          <w:szCs w:val="21"/>
          <w:highlight w:val="none"/>
        </w:rPr>
        <w:t>原文：</w:t>
      </w:r>
      <w:r>
        <w:rPr>
          <w:rFonts w:hint="eastAsia" w:ascii="宋体" w:hAnsi="宋体" w:eastAsia="宋体"/>
          <w:b w:val="0"/>
          <w:bCs/>
          <w:color w:val="auto"/>
          <w:sz w:val="21"/>
          <w:szCs w:val="21"/>
          <w:highlight w:val="none"/>
        </w:rPr>
        <w:t>11.4.13招标文件要求的其他内容。</w:t>
      </w:r>
    </w:p>
    <w:p w14:paraId="1DC2B94A">
      <w:pPr>
        <w:pBdr>
          <w:bottom w:val="single" w:color="auto" w:sz="6" w:space="1"/>
        </w:pBdr>
        <w:spacing w:line="360" w:lineRule="auto"/>
        <w:ind w:firstLine="422" w:firstLineChars="200"/>
        <w:rPr>
          <w:rFonts w:hint="eastAsia" w:ascii="宋体" w:hAnsi="宋体" w:eastAsia="宋体"/>
          <w:b w:val="0"/>
          <w:bCs/>
          <w:color w:val="auto"/>
          <w:sz w:val="21"/>
          <w:szCs w:val="21"/>
          <w:highlight w:val="none"/>
          <w:u w:val="single"/>
        </w:rPr>
      </w:pPr>
      <w:r>
        <w:rPr>
          <w:rFonts w:hint="eastAsia" w:ascii="宋体" w:hAnsi="宋体" w:eastAsia="宋体"/>
          <w:b/>
          <w:color w:val="auto"/>
          <w:sz w:val="21"/>
          <w:szCs w:val="21"/>
          <w:highlight w:val="none"/>
        </w:rPr>
        <w:t>现文：</w:t>
      </w:r>
      <w:r>
        <w:rPr>
          <w:rFonts w:hint="eastAsia" w:ascii="宋体" w:hAnsi="宋体" w:eastAsia="宋体"/>
          <w:b w:val="0"/>
          <w:bCs/>
          <w:color w:val="auto"/>
          <w:sz w:val="21"/>
          <w:szCs w:val="21"/>
          <w:highlight w:val="none"/>
        </w:rPr>
        <w:t>11.4.13</w:t>
      </w:r>
      <w:r>
        <w:rPr>
          <w:rFonts w:hint="eastAsia" w:ascii="宋体" w:hAnsi="宋体" w:eastAsia="宋体"/>
          <w:b w:val="0"/>
          <w:bCs/>
          <w:color w:val="auto"/>
          <w:sz w:val="21"/>
          <w:szCs w:val="21"/>
          <w:highlight w:val="none"/>
          <w:u w:val="single"/>
        </w:rPr>
        <w:t>招标文件要求的其他内容及投标人认为技术经济部分详细审查所需的其他证明资料。</w:t>
      </w:r>
    </w:p>
    <w:p w14:paraId="5C33D9CE">
      <w:pPr>
        <w:spacing w:line="360" w:lineRule="auto"/>
        <w:ind w:firstLine="472" w:firstLineChars="224"/>
        <w:rPr>
          <w:rFonts w:ascii="宋体" w:hAnsi="宋体" w:eastAsia="宋体"/>
          <w:b/>
          <w:color w:val="auto"/>
          <w:sz w:val="21"/>
          <w:szCs w:val="21"/>
          <w:highlight w:val="none"/>
        </w:rPr>
      </w:pPr>
      <w:r>
        <w:rPr>
          <w:rFonts w:hint="eastAsia" w:ascii="宋体" w:hAnsi="宋体" w:eastAsia="宋体"/>
          <w:b/>
          <w:color w:val="auto"/>
          <w:sz w:val="21"/>
          <w:szCs w:val="21"/>
          <w:highlight w:val="none"/>
        </w:rPr>
        <w:t>条款号：13.6.4             修改类型：修改</w:t>
      </w:r>
    </w:p>
    <w:p w14:paraId="2FC69D52">
      <w:pPr>
        <w:spacing w:line="360" w:lineRule="auto"/>
        <w:ind w:firstLine="472" w:firstLineChars="224"/>
        <w:rPr>
          <w:rFonts w:hint="eastAsia" w:ascii="宋体" w:hAnsi="宋体" w:eastAsia="宋体"/>
          <w:b w:val="0"/>
          <w:bCs/>
          <w:color w:val="auto"/>
          <w:sz w:val="21"/>
          <w:szCs w:val="21"/>
          <w:highlight w:val="none"/>
          <w:u w:val="none"/>
        </w:rPr>
      </w:pPr>
      <w:r>
        <w:rPr>
          <w:rFonts w:hint="eastAsia" w:ascii="宋体" w:hAnsi="宋体" w:eastAsia="宋体"/>
          <w:b/>
          <w:color w:val="auto"/>
          <w:sz w:val="21"/>
          <w:szCs w:val="21"/>
          <w:highlight w:val="none"/>
        </w:rPr>
        <w:t>原文：</w:t>
      </w:r>
      <w:r>
        <w:rPr>
          <w:rFonts w:hint="eastAsia" w:ascii="宋体" w:hAnsi="宋体" w:eastAsia="宋体"/>
          <w:b w:val="0"/>
          <w:bCs/>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351442AE">
      <w:pPr>
        <w:pBdr>
          <w:bottom w:val="single" w:color="auto" w:sz="6" w:space="1"/>
        </w:pBdr>
        <w:spacing w:line="360" w:lineRule="auto"/>
        <w:ind w:firstLine="422" w:firstLineChars="200"/>
        <w:rPr>
          <w:rFonts w:hint="eastAsia" w:ascii="宋体" w:hAnsi="宋体" w:eastAsia="宋体"/>
          <w:b w:val="0"/>
          <w:bCs/>
          <w:color w:val="auto"/>
          <w:sz w:val="21"/>
          <w:szCs w:val="21"/>
          <w:highlight w:val="none"/>
        </w:rPr>
      </w:pPr>
      <w:r>
        <w:rPr>
          <w:rFonts w:hint="eastAsia" w:ascii="宋体" w:hAnsi="宋体" w:eastAsia="宋体"/>
          <w:b/>
          <w:color w:val="auto"/>
          <w:sz w:val="21"/>
          <w:szCs w:val="21"/>
          <w:highlight w:val="none"/>
        </w:rPr>
        <w:t>现文：</w:t>
      </w:r>
      <w:r>
        <w:rPr>
          <w:rFonts w:hint="eastAsia" w:ascii="宋体" w:hAnsi="宋体" w:eastAsia="宋体"/>
          <w:b w:val="0"/>
          <w:bCs/>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eastAsia="宋体"/>
          <w:b w:val="0"/>
          <w:bCs/>
          <w:color w:val="auto"/>
          <w:sz w:val="21"/>
          <w:szCs w:val="21"/>
          <w:highlight w:val="none"/>
          <w:u w:val="single"/>
        </w:rPr>
        <w:t>经发包人同意，</w:t>
      </w:r>
      <w:r>
        <w:rPr>
          <w:rFonts w:hint="eastAsia" w:ascii="宋体" w:hAnsi="宋体" w:eastAsia="宋体"/>
          <w:b w:val="0"/>
          <w:bCs/>
          <w:color w:val="auto"/>
          <w:sz w:val="21"/>
          <w:szCs w:val="21"/>
          <w:highlight w:val="none"/>
        </w:rPr>
        <w:t>承包人有法定的承包资格的，由承包人承包，承包人无法定的承包资格但有法定的分包权的，由承包人分包，招标人同承包人结算的价格按本投标须知13.5款规定确定。</w:t>
      </w:r>
    </w:p>
    <w:p w14:paraId="0951F30C">
      <w:pPr>
        <w:spacing w:line="360" w:lineRule="auto"/>
        <w:ind w:firstLine="472" w:firstLineChars="224"/>
        <w:rPr>
          <w:rFonts w:ascii="宋体" w:hAnsi="宋体" w:eastAsia="宋体"/>
          <w:b/>
          <w:color w:val="auto"/>
          <w:sz w:val="21"/>
          <w:szCs w:val="21"/>
          <w:highlight w:val="none"/>
        </w:rPr>
      </w:pPr>
      <w:r>
        <w:rPr>
          <w:rFonts w:hint="eastAsia" w:ascii="宋体" w:hAnsi="宋体" w:eastAsia="宋体"/>
          <w:b/>
          <w:color w:val="auto"/>
          <w:sz w:val="21"/>
          <w:szCs w:val="21"/>
          <w:highlight w:val="none"/>
        </w:rPr>
        <w:t>条款号：</w:t>
      </w:r>
      <w:r>
        <w:rPr>
          <w:rFonts w:hint="eastAsia" w:ascii="宋体" w:hAnsi="宋体" w:eastAsia="宋体"/>
          <w:b/>
          <w:color w:val="auto"/>
          <w:sz w:val="21"/>
          <w:szCs w:val="21"/>
          <w:highlight w:val="none"/>
          <w:lang w:val="en-US" w:eastAsia="zh-CN"/>
        </w:rPr>
        <w:t>15.2</w:t>
      </w:r>
      <w:r>
        <w:rPr>
          <w:rFonts w:hint="eastAsia" w:ascii="宋体" w:hAnsi="宋体" w:eastAsia="宋体"/>
          <w:b/>
          <w:color w:val="auto"/>
          <w:sz w:val="21"/>
          <w:szCs w:val="21"/>
          <w:highlight w:val="none"/>
        </w:rPr>
        <w:t xml:space="preserve">            修改类型：修改</w:t>
      </w:r>
    </w:p>
    <w:p w14:paraId="3749539A">
      <w:pPr>
        <w:spacing w:line="360" w:lineRule="auto"/>
        <w:ind w:firstLine="472" w:firstLineChars="224"/>
        <w:rPr>
          <w:rFonts w:hint="eastAsia" w:ascii="宋体" w:hAnsi="宋体" w:eastAsia="宋体"/>
          <w:b w:val="0"/>
          <w:bCs/>
          <w:color w:val="auto"/>
          <w:sz w:val="21"/>
          <w:szCs w:val="21"/>
          <w:highlight w:val="none"/>
          <w:u w:val="none"/>
        </w:rPr>
      </w:pPr>
      <w:r>
        <w:rPr>
          <w:rFonts w:hint="eastAsia" w:ascii="宋体" w:hAnsi="宋体" w:eastAsia="宋体"/>
          <w:b/>
          <w:color w:val="auto"/>
          <w:sz w:val="21"/>
          <w:szCs w:val="21"/>
          <w:highlight w:val="none"/>
        </w:rPr>
        <w:t>原文：</w:t>
      </w:r>
      <w:r>
        <w:rPr>
          <w:rFonts w:hint="eastAsia" w:ascii="宋体" w:hAnsi="宋体" w:eastAsia="宋体"/>
          <w:b w:val="0"/>
          <w:bCs/>
          <w:color w:val="auto"/>
          <w:sz w:val="21"/>
          <w:szCs w:val="21"/>
          <w:highlight w:val="none"/>
          <w:lang w:val="en-US" w:eastAsia="zh-CN"/>
        </w:rPr>
        <w:t>15.2在特殊情况下，招标人在原定投标有效期内，可以根据需要以书面形式向投标人提出延长投标有效期的要求，对此要求投标人须以书面形式予以答复。投标人可以拒绝招标人这种要求，而投标保证金应当予以退还。同意延长投标有效期的投标人既不能要求也不允许修改其投标文件，但需要相应的延长投标保证金的有效期，在延长的投标有效期内，本须知第16条关于投标保证金的退还与否的规定仍然适用。</w:t>
      </w:r>
    </w:p>
    <w:p w14:paraId="64433C64">
      <w:pPr>
        <w:pBdr>
          <w:bottom w:val="single" w:color="auto" w:sz="6" w:space="1"/>
        </w:pBdr>
        <w:spacing w:line="360" w:lineRule="auto"/>
        <w:ind w:firstLine="422" w:firstLineChars="200"/>
        <w:rPr>
          <w:rFonts w:hint="eastAsia" w:ascii="宋体" w:hAnsi="宋体" w:eastAsia="宋体"/>
          <w:b w:val="0"/>
          <w:bCs/>
          <w:color w:val="auto"/>
          <w:sz w:val="21"/>
          <w:szCs w:val="21"/>
          <w:highlight w:val="none"/>
        </w:rPr>
      </w:pPr>
      <w:r>
        <w:rPr>
          <w:rFonts w:hint="eastAsia" w:ascii="宋体" w:hAnsi="宋体" w:eastAsia="宋体"/>
          <w:b/>
          <w:color w:val="auto"/>
          <w:sz w:val="21"/>
          <w:szCs w:val="21"/>
          <w:highlight w:val="none"/>
        </w:rPr>
        <w:t>现文：</w:t>
      </w:r>
      <w:r>
        <w:rPr>
          <w:rFonts w:hint="eastAsia" w:ascii="宋体" w:hAnsi="宋体" w:eastAsia="宋体" w:cs="Times New Roman"/>
          <w:b w:val="0"/>
          <w:bCs/>
          <w:color w:val="auto"/>
          <w:sz w:val="21"/>
          <w:szCs w:val="21"/>
          <w:highlight w:val="none"/>
          <w:lang w:val="en-US" w:eastAsia="zh-CN"/>
        </w:rPr>
        <w:t>15.2</w:t>
      </w:r>
      <w:r>
        <w:rPr>
          <w:rFonts w:hint="eastAsia" w:ascii="宋体" w:hAnsi="宋体" w:eastAsia="宋体" w:cs="Times New Roman"/>
          <w:bCs/>
          <w:color w:val="auto"/>
          <w:sz w:val="21"/>
          <w:szCs w:val="21"/>
          <w:highlight w:val="none"/>
        </w:rPr>
        <w:t>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eastAsia="宋体" w:cs="Times New Roman"/>
          <w:b w:val="0"/>
          <w:bCs/>
          <w:color w:val="auto"/>
          <w:sz w:val="21"/>
          <w:szCs w:val="21"/>
          <w:highlight w:val="none"/>
        </w:rPr>
        <w:t>。同意延长投标有效期的投标人既不能要求也不允许修改其投标文件，</w:t>
      </w:r>
      <w:r>
        <w:rPr>
          <w:rFonts w:hint="eastAsia" w:ascii="宋体" w:hAnsi="宋体" w:eastAsia="宋体"/>
          <w:strike w:val="0"/>
          <w:color w:val="auto"/>
          <w:sz w:val="21"/>
          <w:szCs w:val="21"/>
          <w:highlight w:val="none"/>
        </w:rPr>
        <w:t>否则</w:t>
      </w:r>
      <w:r>
        <w:rPr>
          <w:rFonts w:hint="eastAsia" w:ascii="宋体" w:hAnsi="宋体" w:eastAsia="宋体"/>
          <w:color w:val="auto"/>
          <w:sz w:val="21"/>
          <w:szCs w:val="21"/>
          <w:highlight w:val="none"/>
        </w:rPr>
        <w:t>招标人有权就其</w:t>
      </w:r>
      <w:r>
        <w:rPr>
          <w:rFonts w:hint="eastAsia" w:ascii="宋体" w:hAnsi="宋体" w:eastAsia="宋体"/>
          <w:color w:val="auto"/>
          <w:sz w:val="21"/>
          <w:szCs w:val="21"/>
          <w:highlight w:val="none"/>
          <w:lang w:val="en-US" w:eastAsia="zh-CN"/>
        </w:rPr>
        <w:t>修改</w:t>
      </w:r>
      <w:r>
        <w:rPr>
          <w:rFonts w:hint="eastAsia" w:ascii="宋体" w:hAnsi="宋体" w:eastAsia="宋体"/>
          <w:color w:val="auto"/>
          <w:sz w:val="21"/>
          <w:szCs w:val="21"/>
          <w:highlight w:val="none"/>
        </w:rPr>
        <w:t>行为报告政府主管部门载入不良信用记录。</w:t>
      </w:r>
    </w:p>
    <w:p w14:paraId="740DD3DF">
      <w:pPr>
        <w:spacing w:line="360" w:lineRule="auto"/>
        <w:ind w:firstLine="472" w:firstLineChars="224"/>
        <w:rPr>
          <w:rFonts w:hint="eastAsia"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rPr>
        <w:t>条款号：</w:t>
      </w:r>
      <w:r>
        <w:rPr>
          <w:rFonts w:hint="eastAsia" w:ascii="宋体" w:hAnsi="宋体" w:eastAsia="宋体"/>
          <w:b/>
          <w:color w:val="auto"/>
          <w:szCs w:val="21"/>
          <w:highlight w:val="none"/>
        </w:rPr>
        <w:t>16</w:t>
      </w:r>
      <w:r>
        <w:rPr>
          <w:rFonts w:hint="eastAsia" w:ascii="宋体" w:hAnsi="宋体" w:eastAsia="宋体"/>
          <w:b/>
          <w:color w:val="auto"/>
          <w:sz w:val="21"/>
          <w:szCs w:val="21"/>
          <w:highlight w:val="none"/>
        </w:rPr>
        <w:t xml:space="preserve">             修改类型：</w:t>
      </w:r>
      <w:r>
        <w:rPr>
          <w:rFonts w:hint="eastAsia" w:ascii="宋体" w:hAnsi="宋体" w:eastAsia="宋体"/>
          <w:b/>
          <w:color w:val="auto"/>
          <w:sz w:val="21"/>
          <w:szCs w:val="21"/>
          <w:highlight w:val="none"/>
          <w:lang w:val="en-US" w:eastAsia="zh-CN"/>
        </w:rPr>
        <w:t>删除</w:t>
      </w:r>
    </w:p>
    <w:p w14:paraId="6609CFE1">
      <w:pPr>
        <w:spacing w:line="360" w:lineRule="auto"/>
        <w:ind w:firstLine="472" w:firstLineChars="224"/>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原文：16．投标保证金</w:t>
      </w:r>
    </w:p>
    <w:p w14:paraId="6040F054">
      <w:pPr>
        <w:spacing w:line="360" w:lineRule="auto"/>
        <w:ind w:firstLine="470" w:firstLineChars="224"/>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16.1投标人应按投标须知前附表第14项所述金额和时间递交投标保证金。招标人可委托广州交易集团有限公司（广州公共资源交易中心）具体实施保证金的收取和退还工作，并按照《广</w:t>
      </w:r>
      <w:r>
        <w:rPr>
          <w:rFonts w:hint="eastAsia" w:ascii="宋体" w:hAnsi="宋体" w:eastAsia="宋体"/>
          <w:b w:val="0"/>
          <w:bCs/>
          <w:color w:val="auto"/>
          <w:sz w:val="21"/>
          <w:szCs w:val="21"/>
          <w:highlight w:val="none"/>
          <w:lang w:eastAsia="zh-CN"/>
        </w:rPr>
        <w:t>东</w:t>
      </w:r>
      <w:r>
        <w:rPr>
          <w:rFonts w:hint="eastAsia" w:ascii="宋体" w:hAnsi="宋体" w:eastAsia="宋体"/>
          <w:b w:val="0"/>
          <w:bCs/>
          <w:color w:val="auto"/>
          <w:sz w:val="21"/>
          <w:szCs w:val="21"/>
          <w:highlight w:val="none"/>
        </w:rPr>
        <w:t>省实施&lt;中华人民共和国招标投标法&gt;办法》第二十五条规定，按期退回投标保证金。</w:t>
      </w:r>
    </w:p>
    <w:p w14:paraId="18DAB191">
      <w:pPr>
        <w:spacing w:line="360" w:lineRule="auto"/>
        <w:ind w:firstLine="470" w:firstLineChars="224"/>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16.2所有投标保证金必须由投标人的银行基本账户转出。</w:t>
      </w:r>
    </w:p>
    <w:p w14:paraId="6CA170B5">
      <w:pPr>
        <w:spacing w:line="360" w:lineRule="auto"/>
        <w:ind w:firstLine="470" w:firstLineChars="224"/>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16.3如采用转帐、现金、支票、汇票形式提交的，可委托广州交易集团有限公司（广州公共资源交易中心）代收投标保证金，其缴纳情况以</w:t>
      </w:r>
      <w:r>
        <w:rPr>
          <w:rFonts w:hint="eastAsia" w:ascii="宋体" w:hAnsi="宋体" w:eastAsia="宋体"/>
          <w:b w:val="0"/>
          <w:bCs/>
          <w:color w:val="auto"/>
          <w:sz w:val="21"/>
          <w:szCs w:val="21"/>
          <w:highlight w:val="none"/>
          <w:lang w:eastAsia="zh-CN"/>
        </w:rPr>
        <w:t>广州交易集团有限公司（广州公共资源交易中心）平台</w:t>
      </w:r>
      <w:r>
        <w:rPr>
          <w:rFonts w:hint="eastAsia" w:ascii="宋体" w:hAnsi="宋体" w:eastAsia="宋体"/>
          <w:b w:val="0"/>
          <w:bCs/>
          <w:color w:val="auto"/>
          <w:sz w:val="21"/>
          <w:szCs w:val="21"/>
          <w:highlight w:val="none"/>
        </w:rPr>
        <w:t>数据库记录的信息为准。</w:t>
      </w:r>
    </w:p>
    <w:p w14:paraId="3757D0CF">
      <w:pPr>
        <w:spacing w:line="360" w:lineRule="auto"/>
        <w:ind w:firstLine="470" w:firstLineChars="224"/>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16.4缴费的操作详见</w:t>
      </w:r>
      <w:r>
        <w:rPr>
          <w:rFonts w:hint="eastAsia" w:ascii="宋体" w:hAnsi="宋体" w:eastAsia="宋体"/>
          <w:b w:val="0"/>
          <w:bCs/>
          <w:color w:val="auto"/>
          <w:sz w:val="21"/>
          <w:szCs w:val="21"/>
          <w:highlight w:val="none"/>
          <w:lang w:eastAsia="zh-CN"/>
        </w:rPr>
        <w:t>广州交易集团有限公司（广州公共资源交易中心）网站</w:t>
      </w:r>
      <w:r>
        <w:rPr>
          <w:rFonts w:hint="eastAsia" w:ascii="宋体" w:hAnsi="宋体" w:eastAsia="宋体"/>
          <w:b w:val="0"/>
          <w:bCs/>
          <w:color w:val="auto"/>
          <w:sz w:val="21"/>
          <w:szCs w:val="21"/>
          <w:highlight w:val="none"/>
        </w:rPr>
        <w:t>公布的操作指引。</w:t>
      </w:r>
    </w:p>
    <w:p w14:paraId="282F90CB">
      <w:pPr>
        <w:spacing w:line="360" w:lineRule="auto"/>
        <w:ind w:firstLine="470" w:firstLineChars="224"/>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16.5 投标人未按要求递交投标保证金的，其投标文件将被否决。如采用保函或保险等形式提交的，保函需开具给招标人，保函有效期不少于投标有效期。保证保险需开具给招标人（受益人必须是招标人），保证保险有效期不少于投标有效期。</w:t>
      </w:r>
    </w:p>
    <w:p w14:paraId="075B6716">
      <w:pPr>
        <w:spacing w:line="360" w:lineRule="auto"/>
        <w:ind w:firstLine="470" w:firstLineChars="224"/>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如采用投标保函或投标保证保险的形式提交投标保证金的，在开标前不强制要求投标人提交纸质原件，由中标候选人在中标候选人公示前提交并在网上公示，投标人应在投标文件中提交投标保函或投标保证保险扫描件并加盖投标人电子印章。</w:t>
      </w:r>
    </w:p>
    <w:p w14:paraId="10B7821E">
      <w:pPr>
        <w:spacing w:line="360" w:lineRule="auto"/>
        <w:ind w:firstLine="470" w:firstLineChars="224"/>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16.6如有下列情况之一的，招标人将不予退还投标保证金：</w:t>
      </w:r>
    </w:p>
    <w:p w14:paraId="29E58006">
      <w:pPr>
        <w:spacing w:line="360" w:lineRule="auto"/>
        <w:ind w:firstLine="470" w:firstLineChars="224"/>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16.6.1投标人在投标有效期内撤销投标文件；</w:t>
      </w:r>
    </w:p>
    <w:p w14:paraId="325E6E80">
      <w:pPr>
        <w:spacing w:line="360" w:lineRule="auto"/>
        <w:ind w:firstLine="470" w:firstLineChars="224"/>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16.6.2中标人未在规定期限内按要求提交履约担保；</w:t>
      </w:r>
    </w:p>
    <w:p w14:paraId="6650320C">
      <w:pPr>
        <w:pBdr>
          <w:bottom w:val="single" w:color="auto" w:sz="6" w:space="1"/>
        </w:pBdr>
        <w:spacing w:line="360" w:lineRule="auto"/>
        <w:ind w:firstLine="420" w:firstLineChars="200"/>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16.6.3中标人未在规定期限内签订合同。</w:t>
      </w:r>
    </w:p>
    <w:p w14:paraId="055864A8">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19.3.5</w:t>
      </w:r>
      <w:r>
        <w:rPr>
          <w:rFonts w:hint="eastAsia" w:ascii="宋体" w:hAnsi="宋体" w:eastAsia="宋体" w:cs="宋体"/>
          <w:b/>
          <w:color w:val="auto"/>
          <w:szCs w:val="21"/>
          <w:highlight w:val="none"/>
        </w:rPr>
        <w:t xml:space="preserve">              修改类型：</w:t>
      </w:r>
      <w:r>
        <w:rPr>
          <w:rFonts w:hint="eastAsia" w:ascii="宋体" w:hAnsi="宋体" w:eastAsia="宋体" w:cs="宋体"/>
          <w:b/>
          <w:color w:val="auto"/>
          <w:szCs w:val="21"/>
          <w:highlight w:val="none"/>
          <w:lang w:eastAsia="zh-CN"/>
        </w:rPr>
        <w:t>删除</w:t>
      </w:r>
    </w:p>
    <w:p w14:paraId="1BE4AE46">
      <w:pPr>
        <w:pBdr>
          <w:bottom w:val="single" w:color="auto" w:sz="6" w:space="1"/>
        </w:pBdr>
        <w:spacing w:line="360" w:lineRule="auto"/>
        <w:ind w:firstLine="422" w:firstLineChars="200"/>
        <w:rPr>
          <w:rFonts w:hint="eastAsia" w:ascii="宋体" w:hAnsi="宋体" w:eastAsia="宋体"/>
          <w:b w:val="0"/>
          <w:bCs/>
          <w:color w:val="auto"/>
          <w:sz w:val="21"/>
          <w:szCs w:val="21"/>
          <w:highlight w:val="none"/>
        </w:rPr>
      </w:pPr>
      <w:r>
        <w:rPr>
          <w:rFonts w:hint="eastAsia" w:ascii="宋体" w:hAnsi="宋体" w:eastAsia="宋体" w:cs="宋体"/>
          <w:b/>
          <w:color w:val="auto"/>
          <w:szCs w:val="21"/>
          <w:highlight w:val="none"/>
        </w:rPr>
        <w:t>原文：</w:t>
      </w:r>
      <w:r>
        <w:rPr>
          <w:rFonts w:hint="eastAsia" w:ascii="宋体" w:hAnsi="宋体" w:eastAsia="宋体" w:cs="Times New Roman"/>
          <w:bCs/>
          <w:strike w:val="0"/>
          <w:color w:val="auto"/>
          <w:sz w:val="21"/>
          <w:szCs w:val="21"/>
          <w:highlight w:val="none"/>
        </w:rPr>
        <w:t>19.3.5 投标人未按要求递交投标保证金的（如设置投标保证金的）</w:t>
      </w:r>
      <w:r>
        <w:rPr>
          <w:rFonts w:hint="eastAsia" w:ascii="宋体" w:hAnsi="宋体" w:eastAsia="宋体" w:cs="Times New Roman"/>
          <w:bCs/>
          <w:color w:val="auto"/>
          <w:sz w:val="21"/>
          <w:szCs w:val="21"/>
          <w:highlight w:val="none"/>
        </w:rPr>
        <w:t>。</w:t>
      </w:r>
    </w:p>
    <w:p w14:paraId="625B1D2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条款号：2</w:t>
      </w:r>
      <w:r>
        <w:rPr>
          <w:rFonts w:hint="eastAsia" w:ascii="宋体" w:hAnsi="宋体" w:eastAsia="宋体" w:cs="宋体"/>
          <w:b/>
          <w:color w:val="auto"/>
          <w:szCs w:val="21"/>
          <w:highlight w:val="none"/>
          <w:lang w:val="en-US" w:eastAsia="zh-CN"/>
        </w:rPr>
        <w:t>2.4</w:t>
      </w:r>
      <w:r>
        <w:rPr>
          <w:rFonts w:hint="eastAsia" w:ascii="宋体" w:hAnsi="宋体" w:eastAsia="宋体" w:cs="宋体"/>
          <w:b/>
          <w:color w:val="auto"/>
          <w:szCs w:val="21"/>
          <w:highlight w:val="none"/>
        </w:rPr>
        <w:t xml:space="preserve">             修改类型：修改</w:t>
      </w:r>
    </w:p>
    <w:p w14:paraId="0A836880">
      <w:pPr>
        <w:snapToGrid w:val="0"/>
        <w:spacing w:line="360" w:lineRule="auto"/>
        <w:ind w:firstLine="422" w:firstLineChars="200"/>
        <w:rPr>
          <w:rFonts w:ascii="宋体" w:hAnsi="宋体" w:eastAsia="宋体"/>
          <w:color w:val="auto"/>
          <w:sz w:val="21"/>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lang w:val="en-US" w:eastAsia="zh-CN"/>
        </w:rPr>
        <w:t>22.4</w:t>
      </w:r>
      <w:r>
        <w:rPr>
          <w:rFonts w:hint="eastAsia" w:ascii="宋体" w:hAnsi="宋体" w:eastAsia="宋体" w:cs="宋体"/>
          <w:color w:val="auto"/>
          <w:szCs w:val="21"/>
          <w:highlight w:val="none"/>
        </w:rPr>
        <w:t xml:space="preserve"> </w:t>
      </w:r>
      <w:r>
        <w:rPr>
          <w:rFonts w:hint="eastAsia" w:ascii="宋体" w:hAnsi="宋体" w:eastAsia="宋体"/>
          <w:color w:val="auto"/>
          <w:sz w:val="21"/>
          <w:szCs w:val="21"/>
          <w:highlight w:val="none"/>
        </w:rPr>
        <w:t>在递交投标文件截止时间后，投标人在投标文件格式中规定的有效期终止日前，投标人不能撤回投标文件，</w:t>
      </w:r>
      <w:r>
        <w:rPr>
          <w:rFonts w:hint="eastAsia" w:ascii="宋体" w:hAnsi="宋体" w:eastAsia="宋体"/>
          <w:strike w:val="0"/>
          <w:color w:val="auto"/>
          <w:sz w:val="21"/>
          <w:szCs w:val="21"/>
          <w:highlight w:val="none"/>
        </w:rPr>
        <w:t>否则其投标保证金将不予退还，且</w:t>
      </w:r>
      <w:r>
        <w:rPr>
          <w:rFonts w:hint="eastAsia" w:ascii="宋体" w:hAnsi="宋体" w:eastAsia="宋体"/>
          <w:color w:val="auto"/>
          <w:sz w:val="21"/>
          <w:szCs w:val="21"/>
          <w:highlight w:val="none"/>
        </w:rPr>
        <w:t>招标人有权就其撤回行为报告政府主管部门载入不良信用记录。</w:t>
      </w:r>
    </w:p>
    <w:p w14:paraId="560058C9">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lang w:val="en-US" w:eastAsia="zh-CN"/>
        </w:rPr>
        <w:t>22.4</w:t>
      </w:r>
      <w:r>
        <w:rPr>
          <w:rFonts w:hint="eastAsia" w:ascii="宋体" w:hAnsi="宋体" w:eastAsia="宋体" w:cs="宋体"/>
          <w:color w:val="auto"/>
          <w:szCs w:val="21"/>
          <w:highlight w:val="none"/>
        </w:rPr>
        <w:t xml:space="preserve"> </w:t>
      </w:r>
      <w:r>
        <w:rPr>
          <w:rFonts w:hint="eastAsia" w:ascii="宋体" w:hAnsi="宋体" w:eastAsia="宋体"/>
          <w:color w:val="auto"/>
          <w:sz w:val="21"/>
          <w:szCs w:val="21"/>
          <w:highlight w:val="none"/>
        </w:rPr>
        <w:t>在递交投标文件截止时间后，投标人在投标文件格式中规定的有效期终止日前，投标人不能撤回投标文件，</w:t>
      </w:r>
      <w:r>
        <w:rPr>
          <w:rFonts w:hint="eastAsia" w:ascii="宋体" w:hAnsi="宋体" w:eastAsia="宋体"/>
          <w:strike w:val="0"/>
          <w:color w:val="auto"/>
          <w:sz w:val="21"/>
          <w:szCs w:val="21"/>
          <w:highlight w:val="none"/>
        </w:rPr>
        <w:t>否则</w:t>
      </w:r>
      <w:r>
        <w:rPr>
          <w:rFonts w:hint="eastAsia" w:ascii="宋体" w:hAnsi="宋体" w:eastAsia="宋体"/>
          <w:color w:val="auto"/>
          <w:sz w:val="21"/>
          <w:szCs w:val="21"/>
          <w:highlight w:val="none"/>
        </w:rPr>
        <w:t>招标人有权就其撤回行为报告政府主管部门载入不良信用记录。</w:t>
      </w:r>
    </w:p>
    <w:p w14:paraId="64893101">
      <w:pPr>
        <w:spacing w:line="360" w:lineRule="auto"/>
        <w:ind w:firstLine="472" w:firstLineChars="224"/>
        <w:rPr>
          <w:rFonts w:ascii="宋体" w:hAnsi="宋体" w:eastAsia="宋体"/>
          <w:b/>
          <w:color w:val="auto"/>
          <w:sz w:val="21"/>
          <w:szCs w:val="21"/>
          <w:highlight w:val="none"/>
        </w:rPr>
      </w:pPr>
      <w:r>
        <w:rPr>
          <w:rFonts w:hint="eastAsia" w:ascii="宋体" w:hAnsi="宋体" w:eastAsia="宋体"/>
          <w:b/>
          <w:color w:val="auto"/>
          <w:sz w:val="21"/>
          <w:szCs w:val="21"/>
          <w:highlight w:val="none"/>
        </w:rPr>
        <w:t>条款号：</w:t>
      </w:r>
      <w:r>
        <w:rPr>
          <w:rFonts w:hint="eastAsia" w:ascii="宋体" w:hAnsi="宋体" w:eastAsia="宋体"/>
          <w:b/>
          <w:color w:val="auto"/>
          <w:sz w:val="21"/>
          <w:szCs w:val="21"/>
          <w:highlight w:val="none"/>
          <w:lang w:val="en-US" w:eastAsia="zh-CN"/>
        </w:rPr>
        <w:t>31.2</w:t>
      </w:r>
      <w:r>
        <w:rPr>
          <w:rFonts w:hint="eastAsia" w:ascii="宋体" w:hAnsi="宋体" w:eastAsia="宋体"/>
          <w:b/>
          <w:color w:val="auto"/>
          <w:sz w:val="21"/>
          <w:szCs w:val="21"/>
          <w:highlight w:val="none"/>
        </w:rPr>
        <w:t xml:space="preserve">             修改类型：修改</w:t>
      </w:r>
    </w:p>
    <w:p w14:paraId="22E8A88D">
      <w:pPr>
        <w:spacing w:line="360" w:lineRule="auto"/>
        <w:ind w:firstLine="472" w:firstLineChars="224"/>
        <w:rPr>
          <w:rFonts w:hint="eastAsia" w:ascii="宋体" w:hAnsi="宋体" w:eastAsia="宋体"/>
          <w:b w:val="0"/>
          <w:bCs/>
          <w:color w:val="auto"/>
          <w:sz w:val="21"/>
          <w:szCs w:val="21"/>
          <w:highlight w:val="none"/>
          <w:u w:val="none"/>
        </w:rPr>
      </w:pPr>
      <w:r>
        <w:rPr>
          <w:rFonts w:hint="eastAsia" w:ascii="宋体" w:hAnsi="宋体" w:eastAsia="宋体"/>
          <w:b/>
          <w:color w:val="auto"/>
          <w:sz w:val="21"/>
          <w:szCs w:val="21"/>
          <w:highlight w:val="none"/>
        </w:rPr>
        <w:t>原文：</w:t>
      </w:r>
      <w:r>
        <w:rPr>
          <w:rFonts w:hint="eastAsia" w:ascii="宋体" w:hAnsi="宋体" w:eastAsia="宋体"/>
          <w:b/>
          <w:color w:val="auto"/>
          <w:sz w:val="21"/>
          <w:szCs w:val="21"/>
          <w:highlight w:val="none"/>
          <w:lang w:val="en-US" w:eastAsia="zh-CN"/>
        </w:rPr>
        <w:t>31.2</w:t>
      </w:r>
      <w:r>
        <w:rPr>
          <w:rFonts w:hint="eastAsia" w:ascii="宋体" w:hAnsi="宋体" w:eastAsia="宋体"/>
          <w:color w:val="auto"/>
          <w:sz w:val="21"/>
          <w:szCs w:val="21"/>
          <w:highlight w:val="none"/>
        </w:rPr>
        <w:t>中标通知书发出之日起30日后，中标人未按上款的规定与招标人订立合同，招标人将解除中标通知书，</w:t>
      </w:r>
      <w:r>
        <w:rPr>
          <w:rFonts w:hint="eastAsia" w:ascii="宋体" w:hAnsi="宋体" w:eastAsia="宋体"/>
          <w:strike w:val="0"/>
          <w:color w:val="auto"/>
          <w:sz w:val="21"/>
          <w:szCs w:val="21"/>
          <w:highlight w:val="none"/>
        </w:rPr>
        <w:t>原中标人的投标保证金不予退还，</w:t>
      </w:r>
      <w:r>
        <w:rPr>
          <w:rFonts w:hint="eastAsia" w:ascii="宋体" w:hAnsi="宋体" w:eastAsia="宋体"/>
          <w:color w:val="auto"/>
          <w:sz w:val="21"/>
          <w:szCs w:val="21"/>
          <w:highlight w:val="none"/>
        </w:rPr>
        <w:t>且依法承担相应法律责任。原中标人给招标人造成损失</w:t>
      </w:r>
      <w:r>
        <w:rPr>
          <w:rFonts w:hint="eastAsia" w:ascii="宋体" w:hAnsi="宋体" w:eastAsia="宋体"/>
          <w:strike w:val="0"/>
          <w:color w:val="auto"/>
          <w:sz w:val="21"/>
          <w:szCs w:val="21"/>
          <w:highlight w:val="none"/>
        </w:rPr>
        <w:t>超过投标保证金数额</w:t>
      </w:r>
      <w:r>
        <w:rPr>
          <w:rFonts w:hint="eastAsia" w:ascii="宋体" w:hAnsi="宋体" w:eastAsia="宋体"/>
          <w:color w:val="auto"/>
          <w:sz w:val="21"/>
          <w:szCs w:val="21"/>
          <w:highlight w:val="none"/>
        </w:rPr>
        <w:t>的，还应当对</w:t>
      </w:r>
      <w:r>
        <w:rPr>
          <w:rFonts w:hint="eastAsia" w:ascii="宋体" w:hAnsi="宋体" w:eastAsia="宋体"/>
          <w:color w:val="auto"/>
          <w:sz w:val="21"/>
          <w:szCs w:val="21"/>
          <w:highlight w:val="none"/>
          <w:lang w:val="en-US" w:eastAsia="zh-CN"/>
        </w:rPr>
        <w:t>超过</w:t>
      </w:r>
      <w:r>
        <w:rPr>
          <w:rFonts w:hint="eastAsia" w:ascii="宋体" w:hAnsi="宋体" w:eastAsia="宋体"/>
          <w:color w:val="auto"/>
          <w:sz w:val="21"/>
          <w:szCs w:val="21"/>
          <w:highlight w:val="none"/>
        </w:rPr>
        <w:t>部分予以赔偿。原中标人有异议的，可以向人民法院起诉。</w:t>
      </w:r>
    </w:p>
    <w:p w14:paraId="6A9B899B">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b/>
          <w:color w:val="auto"/>
          <w:sz w:val="21"/>
          <w:szCs w:val="21"/>
          <w:highlight w:val="none"/>
        </w:rPr>
        <w:t>现文：</w:t>
      </w:r>
      <w:r>
        <w:rPr>
          <w:rFonts w:hint="eastAsia" w:ascii="宋体" w:hAnsi="宋体" w:eastAsia="宋体"/>
          <w:b/>
          <w:color w:val="auto"/>
          <w:sz w:val="21"/>
          <w:szCs w:val="21"/>
          <w:highlight w:val="none"/>
          <w:lang w:val="en-US" w:eastAsia="zh-CN"/>
        </w:rPr>
        <w:t>31.2</w:t>
      </w:r>
      <w:r>
        <w:rPr>
          <w:rFonts w:hint="eastAsia" w:ascii="宋体" w:hAnsi="宋体" w:eastAsia="宋体" w:cs="宋体"/>
          <w:color w:val="auto"/>
          <w:sz w:val="21"/>
          <w:szCs w:val="21"/>
          <w:highlight w:val="none"/>
        </w:rPr>
        <w:t>中标通知书发出之日起30日后，中标人未按上款的规定与招标人订立合同，招标人将解除中标通知书，且依法承担相应法律责任。原中标人给招标人造成损失的，还应当对</w:t>
      </w:r>
      <w:r>
        <w:rPr>
          <w:rFonts w:hint="eastAsia" w:ascii="宋体" w:hAnsi="宋体" w:eastAsia="宋体" w:cs="宋体"/>
          <w:color w:val="auto"/>
          <w:sz w:val="21"/>
          <w:szCs w:val="21"/>
          <w:highlight w:val="none"/>
          <w:lang w:eastAsia="zh-CN"/>
        </w:rPr>
        <w:t>损失</w:t>
      </w:r>
      <w:r>
        <w:rPr>
          <w:rFonts w:hint="eastAsia" w:ascii="宋体" w:hAnsi="宋体" w:eastAsia="宋体" w:cs="宋体"/>
          <w:color w:val="auto"/>
          <w:sz w:val="21"/>
          <w:szCs w:val="21"/>
          <w:highlight w:val="none"/>
        </w:rPr>
        <w:t>部分予以赔偿。原中标人有异议的，可以向人民法院起诉。</w:t>
      </w:r>
    </w:p>
    <w:p w14:paraId="75D04649">
      <w:pPr>
        <w:spacing w:line="360" w:lineRule="auto"/>
        <w:ind w:firstLine="472" w:firstLineChars="224"/>
        <w:rPr>
          <w:rFonts w:ascii="宋体" w:hAnsi="宋体" w:eastAsia="宋体"/>
          <w:b/>
          <w:color w:val="auto"/>
          <w:sz w:val="21"/>
          <w:szCs w:val="21"/>
          <w:highlight w:val="none"/>
        </w:rPr>
      </w:pPr>
      <w:r>
        <w:rPr>
          <w:rFonts w:hint="eastAsia" w:ascii="宋体" w:hAnsi="宋体" w:eastAsia="宋体"/>
          <w:b/>
          <w:color w:val="auto"/>
          <w:sz w:val="21"/>
          <w:szCs w:val="21"/>
          <w:highlight w:val="none"/>
        </w:rPr>
        <w:t>条款号：32.2             修改类型：修改</w:t>
      </w:r>
    </w:p>
    <w:p w14:paraId="57A6BC99">
      <w:pPr>
        <w:spacing w:line="360" w:lineRule="auto"/>
        <w:ind w:firstLine="472" w:firstLineChars="224"/>
        <w:rPr>
          <w:rFonts w:hint="eastAsia" w:ascii="宋体" w:hAnsi="宋体" w:eastAsia="宋体"/>
          <w:b w:val="0"/>
          <w:bCs/>
          <w:color w:val="auto"/>
          <w:sz w:val="21"/>
          <w:szCs w:val="21"/>
          <w:highlight w:val="none"/>
          <w:u w:val="none"/>
        </w:rPr>
      </w:pPr>
      <w:r>
        <w:rPr>
          <w:rFonts w:hint="eastAsia" w:ascii="宋体" w:hAnsi="宋体" w:eastAsia="宋体"/>
          <w:b/>
          <w:color w:val="auto"/>
          <w:sz w:val="21"/>
          <w:szCs w:val="21"/>
          <w:highlight w:val="none"/>
        </w:rPr>
        <w:t>原文：</w:t>
      </w:r>
      <w:r>
        <w:rPr>
          <w:rFonts w:hint="eastAsia" w:ascii="宋体" w:hAnsi="宋体" w:eastAsia="宋体"/>
          <w:b w:val="0"/>
          <w:bCs/>
          <w:color w:val="auto"/>
          <w:sz w:val="21"/>
          <w:szCs w:val="21"/>
          <w:highlight w:val="none"/>
        </w:rPr>
        <w:t>32.2中标通知书发出之日起15日后，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29EE652">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b/>
          <w:color w:val="auto"/>
          <w:sz w:val="21"/>
          <w:szCs w:val="21"/>
          <w:highlight w:val="none"/>
        </w:rPr>
        <w:t>现文：</w:t>
      </w:r>
      <w:r>
        <w:rPr>
          <w:rFonts w:hint="eastAsia" w:ascii="宋体" w:hAnsi="宋体" w:eastAsia="宋体"/>
          <w:color w:val="auto"/>
          <w:sz w:val="21"/>
          <w:szCs w:val="21"/>
          <w:highlight w:val="none"/>
        </w:rPr>
        <w:t>32.2中标通知书发出之日起15日后，中标人未按上款的规定递交履约担保，招标人将解除中标通知书，原中标人</w:t>
      </w:r>
      <w:r>
        <w:rPr>
          <w:rFonts w:hint="eastAsia" w:ascii="宋体" w:hAnsi="宋体" w:eastAsia="宋体"/>
          <w:strike/>
          <w:dstrike w:val="0"/>
          <w:color w:val="auto"/>
          <w:sz w:val="21"/>
          <w:szCs w:val="21"/>
          <w:highlight w:val="none"/>
        </w:rPr>
        <w:t>的投标保证金不予退还，且</w:t>
      </w:r>
      <w:r>
        <w:rPr>
          <w:rFonts w:hint="eastAsia" w:ascii="宋体" w:hAnsi="宋体" w:eastAsia="宋体"/>
          <w:color w:val="auto"/>
          <w:sz w:val="21"/>
          <w:szCs w:val="21"/>
          <w:highlight w:val="none"/>
        </w:rPr>
        <w:t>依法承担相应法律责任。原中标人给招标人造成的损失</w:t>
      </w:r>
      <w:r>
        <w:rPr>
          <w:rFonts w:hint="eastAsia" w:ascii="宋体" w:hAnsi="宋体" w:eastAsia="宋体"/>
          <w:strike/>
          <w:dstrike w:val="0"/>
          <w:color w:val="auto"/>
          <w:sz w:val="21"/>
          <w:szCs w:val="21"/>
          <w:highlight w:val="none"/>
        </w:rPr>
        <w:t>超过投标保证金数额的，还应当对超过部分</w:t>
      </w:r>
      <w:r>
        <w:rPr>
          <w:rFonts w:hint="eastAsia" w:ascii="宋体" w:hAnsi="宋体" w:eastAsia="宋体"/>
          <w:color w:val="auto"/>
          <w:sz w:val="21"/>
          <w:szCs w:val="21"/>
          <w:highlight w:val="none"/>
        </w:rPr>
        <w:t>予以赔偿。原中标人有异议的，可以向人民法院起诉。</w:t>
      </w:r>
    </w:p>
    <w:p w14:paraId="4676083A">
      <w:pPr>
        <w:spacing w:line="360" w:lineRule="auto"/>
        <w:ind w:firstLine="472" w:firstLineChars="224"/>
        <w:rPr>
          <w:rFonts w:ascii="宋体" w:hAnsi="宋体" w:eastAsia="宋体"/>
          <w:b/>
          <w:color w:val="auto"/>
          <w:sz w:val="21"/>
          <w:szCs w:val="21"/>
          <w:highlight w:val="none"/>
        </w:rPr>
      </w:pPr>
      <w:r>
        <w:rPr>
          <w:rFonts w:hint="eastAsia" w:ascii="宋体" w:hAnsi="宋体" w:eastAsia="宋体"/>
          <w:b/>
          <w:color w:val="auto"/>
          <w:sz w:val="21"/>
          <w:szCs w:val="21"/>
          <w:highlight w:val="none"/>
        </w:rPr>
        <w:t>条款号：</w:t>
      </w:r>
      <w:r>
        <w:rPr>
          <w:rFonts w:hint="eastAsia" w:ascii="宋体" w:hAnsi="宋体" w:eastAsia="宋体"/>
          <w:b/>
          <w:color w:val="auto"/>
          <w:sz w:val="21"/>
          <w:szCs w:val="21"/>
          <w:highlight w:val="none"/>
          <w:lang w:val="en-US" w:eastAsia="zh-CN"/>
        </w:rPr>
        <w:t>33</w:t>
      </w:r>
      <w:r>
        <w:rPr>
          <w:rFonts w:hint="eastAsia" w:ascii="宋体" w:hAnsi="宋体" w:eastAsia="宋体"/>
          <w:b/>
          <w:color w:val="auto"/>
          <w:sz w:val="21"/>
          <w:szCs w:val="21"/>
          <w:highlight w:val="none"/>
        </w:rPr>
        <w:t xml:space="preserve">             修改类型：修改</w:t>
      </w:r>
    </w:p>
    <w:p w14:paraId="74ABAF1F">
      <w:pPr>
        <w:spacing w:line="360" w:lineRule="auto"/>
        <w:ind w:firstLine="472" w:firstLineChars="224"/>
        <w:rPr>
          <w:rFonts w:hint="eastAsia" w:ascii="宋体" w:hAnsi="宋体" w:eastAsia="宋体"/>
          <w:b w:val="0"/>
          <w:bCs/>
          <w:color w:val="auto"/>
          <w:sz w:val="21"/>
          <w:szCs w:val="21"/>
          <w:highlight w:val="none"/>
        </w:rPr>
      </w:pPr>
      <w:r>
        <w:rPr>
          <w:rFonts w:hint="eastAsia" w:ascii="宋体" w:hAnsi="宋体" w:eastAsia="宋体"/>
          <w:b/>
          <w:color w:val="auto"/>
          <w:sz w:val="21"/>
          <w:szCs w:val="21"/>
          <w:highlight w:val="none"/>
        </w:rPr>
        <w:t>原文：</w:t>
      </w:r>
      <w:r>
        <w:rPr>
          <w:rFonts w:hint="eastAsia" w:ascii="宋体" w:hAnsi="宋体" w:eastAsia="宋体"/>
          <w:b w:val="0"/>
          <w:bCs/>
          <w:color w:val="auto"/>
          <w:sz w:val="21"/>
          <w:szCs w:val="21"/>
          <w:highlight w:val="none"/>
        </w:rPr>
        <w:t>33．合同生效</w:t>
      </w:r>
    </w:p>
    <w:p w14:paraId="661607C7">
      <w:pPr>
        <w:spacing w:line="360" w:lineRule="auto"/>
        <w:ind w:firstLine="470" w:firstLineChars="224"/>
        <w:rPr>
          <w:rFonts w:hint="eastAsia" w:ascii="宋体" w:hAnsi="宋体" w:eastAsia="宋体"/>
          <w:b w:val="0"/>
          <w:bCs/>
          <w:color w:val="auto"/>
          <w:sz w:val="21"/>
          <w:szCs w:val="21"/>
          <w:highlight w:val="none"/>
          <w:u w:val="none"/>
        </w:rPr>
      </w:pPr>
      <w:r>
        <w:rPr>
          <w:rFonts w:hint="eastAsia" w:ascii="宋体" w:hAnsi="宋体" w:eastAsia="宋体"/>
          <w:b w:val="0"/>
          <w:bCs/>
          <w:color w:val="auto"/>
          <w:sz w:val="21"/>
          <w:szCs w:val="21"/>
          <w:highlight w:val="none"/>
        </w:rPr>
        <w:t>在合同双方全权代表在合同协议书上签字，并分别加盖双方单位的公章后，合同正式生效。</w:t>
      </w:r>
    </w:p>
    <w:p w14:paraId="62F173C5">
      <w:pPr>
        <w:pBdr>
          <w:bottom w:val="single" w:color="auto" w:sz="6" w:space="1"/>
        </w:pBdr>
        <w:spacing w:line="360" w:lineRule="auto"/>
        <w:ind w:firstLine="422" w:firstLineChars="200"/>
        <w:rPr>
          <w:rFonts w:hint="eastAsia" w:ascii="宋体" w:hAnsi="宋体" w:eastAsia="宋体"/>
          <w:b w:val="0"/>
          <w:bCs/>
          <w:color w:val="auto"/>
          <w:sz w:val="21"/>
          <w:szCs w:val="21"/>
          <w:highlight w:val="none"/>
        </w:rPr>
      </w:pPr>
      <w:r>
        <w:rPr>
          <w:rFonts w:hint="eastAsia" w:ascii="宋体" w:hAnsi="宋体" w:eastAsia="宋体"/>
          <w:b/>
          <w:color w:val="auto"/>
          <w:sz w:val="21"/>
          <w:szCs w:val="21"/>
          <w:highlight w:val="none"/>
        </w:rPr>
        <w:t>现文：</w:t>
      </w:r>
      <w:r>
        <w:rPr>
          <w:rFonts w:hint="eastAsia" w:ascii="宋体" w:hAnsi="宋体" w:eastAsia="宋体"/>
          <w:b w:val="0"/>
          <w:bCs/>
          <w:color w:val="auto"/>
          <w:sz w:val="21"/>
          <w:szCs w:val="21"/>
          <w:highlight w:val="none"/>
        </w:rPr>
        <w:t>33．合同生效</w:t>
      </w:r>
    </w:p>
    <w:p w14:paraId="0871AA67">
      <w:pPr>
        <w:pBdr>
          <w:bottom w:val="single" w:color="auto" w:sz="6" w:space="1"/>
        </w:pBdr>
        <w:spacing w:line="360" w:lineRule="auto"/>
        <w:ind w:firstLine="420" w:firstLineChars="200"/>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在合同双方全权代表在合同协议书上签字，并分别加盖双方单位的公章</w:t>
      </w:r>
      <w:r>
        <w:rPr>
          <w:rFonts w:hint="eastAsia" w:ascii="宋体" w:hAnsi="宋体" w:eastAsia="宋体"/>
          <w:b w:val="0"/>
          <w:bCs/>
          <w:color w:val="auto"/>
          <w:sz w:val="21"/>
          <w:szCs w:val="21"/>
          <w:highlight w:val="none"/>
          <w:u w:val="single"/>
        </w:rPr>
        <w:t>且自合同约定的项目起始之日起，</w:t>
      </w:r>
      <w:r>
        <w:rPr>
          <w:rFonts w:hint="eastAsia" w:ascii="宋体" w:hAnsi="宋体" w:eastAsia="宋体"/>
          <w:b w:val="0"/>
          <w:bCs/>
          <w:color w:val="auto"/>
          <w:sz w:val="21"/>
          <w:szCs w:val="21"/>
          <w:highlight w:val="none"/>
        </w:rPr>
        <w:t>合同正式生效。</w:t>
      </w:r>
    </w:p>
    <w:p w14:paraId="477E9F8B">
      <w:pPr>
        <w:spacing w:line="360" w:lineRule="auto"/>
        <w:ind w:firstLine="472" w:firstLineChars="224"/>
        <w:rPr>
          <w:rFonts w:ascii="宋体" w:hAnsi="宋体" w:eastAsia="宋体"/>
          <w:b/>
          <w:color w:val="auto"/>
          <w:sz w:val="21"/>
          <w:szCs w:val="21"/>
          <w:highlight w:val="none"/>
        </w:rPr>
      </w:pPr>
      <w:r>
        <w:rPr>
          <w:rFonts w:hint="eastAsia" w:ascii="宋体" w:hAnsi="宋体" w:eastAsia="宋体"/>
          <w:b/>
          <w:color w:val="auto"/>
          <w:sz w:val="21"/>
          <w:szCs w:val="21"/>
          <w:highlight w:val="none"/>
        </w:rPr>
        <w:t>条款号：34             修改类型：修改</w:t>
      </w:r>
    </w:p>
    <w:p w14:paraId="6B6E6821">
      <w:pPr>
        <w:spacing w:line="360" w:lineRule="auto"/>
        <w:ind w:firstLine="472" w:firstLineChars="224"/>
        <w:rPr>
          <w:rFonts w:hint="eastAsia" w:ascii="宋体" w:hAnsi="宋体" w:eastAsia="宋体"/>
          <w:b w:val="0"/>
          <w:bCs/>
          <w:color w:val="auto"/>
          <w:sz w:val="21"/>
          <w:szCs w:val="21"/>
          <w:highlight w:val="none"/>
        </w:rPr>
      </w:pPr>
      <w:r>
        <w:rPr>
          <w:rFonts w:hint="eastAsia" w:ascii="宋体" w:hAnsi="宋体" w:eastAsia="宋体"/>
          <w:b/>
          <w:color w:val="auto"/>
          <w:sz w:val="21"/>
          <w:szCs w:val="21"/>
          <w:highlight w:val="none"/>
        </w:rPr>
        <w:t>原文：</w:t>
      </w:r>
      <w:r>
        <w:rPr>
          <w:rFonts w:hint="eastAsia" w:ascii="宋体" w:hAnsi="宋体" w:eastAsia="宋体"/>
          <w:b w:val="0"/>
          <w:bCs/>
          <w:color w:val="auto"/>
          <w:sz w:val="21"/>
          <w:szCs w:val="21"/>
          <w:highlight w:val="none"/>
        </w:rPr>
        <w:t>34．其它费用</w:t>
      </w:r>
    </w:p>
    <w:p w14:paraId="0679262D">
      <w:pPr>
        <w:spacing w:line="360" w:lineRule="auto"/>
        <w:ind w:firstLine="470" w:firstLineChars="224"/>
        <w:rPr>
          <w:rFonts w:hint="eastAsia" w:ascii="宋体" w:hAnsi="宋体" w:eastAsia="宋体"/>
          <w:b w:val="0"/>
          <w:bCs/>
          <w:color w:val="auto"/>
          <w:sz w:val="21"/>
          <w:szCs w:val="21"/>
          <w:highlight w:val="none"/>
          <w:u w:val="none"/>
        </w:rPr>
      </w:pPr>
      <w:r>
        <w:rPr>
          <w:rFonts w:hint="eastAsia" w:ascii="宋体" w:hAnsi="宋体" w:eastAsia="宋体"/>
          <w:b w:val="0"/>
          <w:bCs/>
          <w:color w:val="auto"/>
          <w:sz w:val="21"/>
          <w:szCs w:val="21"/>
          <w:highlight w:val="none"/>
        </w:rPr>
        <w:t>公共资源交易服务费应根据政府有关规定支付。</w:t>
      </w:r>
    </w:p>
    <w:p w14:paraId="4147AEBF">
      <w:pPr>
        <w:pBdr>
          <w:bottom w:val="single" w:color="auto" w:sz="6" w:space="1"/>
        </w:pBdr>
        <w:spacing w:line="360" w:lineRule="auto"/>
        <w:ind w:firstLine="422" w:firstLineChars="200"/>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现文：</w:t>
      </w:r>
      <w:r>
        <w:rPr>
          <w:rFonts w:hint="eastAsia" w:ascii="宋体" w:hAnsi="宋体" w:eastAsia="宋体"/>
          <w:b w:val="0"/>
          <w:bCs/>
          <w:color w:val="auto"/>
          <w:sz w:val="21"/>
          <w:szCs w:val="21"/>
          <w:highlight w:val="none"/>
        </w:rPr>
        <w:t>34．其它费用</w:t>
      </w:r>
    </w:p>
    <w:p w14:paraId="4954EFAC">
      <w:pPr>
        <w:pBdr>
          <w:bottom w:val="single" w:color="auto" w:sz="6" w:space="1"/>
        </w:pBd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b w:val="0"/>
          <w:bCs/>
          <w:color w:val="auto"/>
          <w:sz w:val="21"/>
          <w:szCs w:val="21"/>
          <w:highlight w:val="none"/>
          <w:u w:val="single"/>
        </w:rPr>
        <w:t>中标人向</w:t>
      </w:r>
      <w:r>
        <w:rPr>
          <w:rFonts w:hint="eastAsia" w:ascii="宋体" w:hAnsi="宋体" w:eastAsia="宋体"/>
          <w:b w:val="0"/>
          <w:bCs/>
          <w:color w:val="auto"/>
          <w:sz w:val="21"/>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缴</w:t>
      </w:r>
      <w:r>
        <w:rPr>
          <w:rFonts w:hint="eastAsia" w:ascii="宋体" w:hAnsi="宋体" w:eastAsia="宋体" w:cs="宋体"/>
          <w:color w:val="auto"/>
          <w:szCs w:val="21"/>
          <w:highlight w:val="none"/>
          <w:u w:val="single"/>
          <w:lang w:val="en-US" w:eastAsia="zh-CN"/>
        </w:rPr>
        <w:t>纳</w:t>
      </w:r>
      <w:r>
        <w:rPr>
          <w:rFonts w:hint="eastAsia" w:ascii="宋体" w:hAnsi="宋体" w:eastAsia="宋体"/>
          <w:b w:val="0"/>
          <w:bCs/>
          <w:color w:val="auto"/>
          <w:sz w:val="21"/>
          <w:szCs w:val="21"/>
          <w:highlight w:val="none"/>
          <w:u w:val="single"/>
        </w:rPr>
        <w:t>交易服务费，其费用包含在中标人投标报价中，招标人不另行支付。</w:t>
      </w:r>
    </w:p>
    <w:p w14:paraId="6722AA65">
      <w:pPr>
        <w:spacing w:line="360" w:lineRule="auto"/>
        <w:rPr>
          <w:rFonts w:ascii="宋体" w:hAnsi="宋体" w:eastAsia="宋体"/>
          <w:color w:val="auto"/>
          <w:highlight w:val="none"/>
        </w:rPr>
      </w:pPr>
      <w:r>
        <w:rPr>
          <w:rFonts w:hint="eastAsia" w:ascii="宋体" w:hAnsi="宋体" w:eastAsia="宋体"/>
          <w:b/>
          <w:color w:val="auto"/>
          <w:szCs w:val="21"/>
          <w:highlight w:val="none"/>
        </w:rPr>
        <w:t>注：以上修改，仅限于本范本中有可供选择条款的情形。（以下无正文）</w:t>
      </w:r>
    </w:p>
    <w:p w14:paraId="655B1FE6">
      <w:pPr>
        <w:pStyle w:val="4"/>
        <w:spacing w:before="120"/>
        <w:rPr>
          <w:rFonts w:ascii="宋体" w:eastAsia="宋体"/>
          <w:color w:val="auto"/>
          <w:highlight w:val="none"/>
        </w:rPr>
      </w:pPr>
      <w:bookmarkStart w:id="46" w:name="_三、投标须知通用条款"/>
      <w:bookmarkEnd w:id="46"/>
      <w:r>
        <w:rPr>
          <w:rFonts w:hint="eastAsia" w:ascii="宋体" w:eastAsia="宋体"/>
          <w:color w:val="auto"/>
          <w:highlight w:val="none"/>
        </w:rPr>
        <w:br w:type="page"/>
      </w:r>
      <w:bookmarkStart w:id="47" w:name="_Toc30499"/>
      <w:r>
        <w:rPr>
          <w:rFonts w:hint="eastAsia" w:ascii="宋体" w:hAnsi="宋体" w:eastAsia="宋体" w:cs="宋体"/>
          <w:color w:val="auto"/>
          <w:highlight w:val="none"/>
        </w:rPr>
        <w:t>三、投标须知通用条款</w:t>
      </w:r>
      <w:bookmarkEnd w:id="47"/>
    </w:p>
    <w:p w14:paraId="209685DC">
      <w:pPr>
        <w:pStyle w:val="4"/>
        <w:spacing w:before="120"/>
        <w:rPr>
          <w:rFonts w:ascii="宋体" w:eastAsia="宋体"/>
          <w:color w:val="auto"/>
          <w:highlight w:val="none"/>
        </w:rPr>
      </w:pPr>
      <w:bookmarkStart w:id="48" w:name="_Toc27899"/>
      <w:r>
        <w:rPr>
          <w:rFonts w:hint="eastAsia" w:ascii="宋体" w:eastAsia="宋体"/>
          <w:color w:val="auto"/>
          <w:highlight w:val="none"/>
        </w:rPr>
        <w:t>（一）总则</w:t>
      </w:r>
      <w:bookmarkEnd w:id="48"/>
    </w:p>
    <w:p w14:paraId="5D69E5B5">
      <w:pPr>
        <w:pStyle w:val="32"/>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1.定义</w:t>
      </w:r>
    </w:p>
    <w:p w14:paraId="5A593F4D">
      <w:pPr>
        <w:pStyle w:val="32"/>
        <w:spacing w:after="0" w:line="360" w:lineRule="auto"/>
        <w:ind w:firstLine="480" w:firstLineChars="200"/>
        <w:rPr>
          <w:rFonts w:ascii="宋体" w:hAnsi="宋体" w:eastAsia="宋体"/>
          <w:b/>
          <w:bCs/>
          <w:color w:val="auto"/>
          <w:sz w:val="24"/>
          <w:highlight w:val="none"/>
        </w:rPr>
      </w:pPr>
      <w:r>
        <w:rPr>
          <w:rFonts w:hint="eastAsia" w:ascii="宋体" w:hAnsi="宋体" w:eastAsia="宋体"/>
          <w:color w:val="auto"/>
          <w:sz w:val="24"/>
          <w:highlight w:val="none"/>
        </w:rPr>
        <w:t>本招标文件使用的下列词语具有如下规定的意义：</w:t>
      </w:r>
    </w:p>
    <w:p w14:paraId="6A671C39">
      <w:pPr>
        <w:pStyle w:val="32"/>
        <w:spacing w:after="0" w:line="360" w:lineRule="auto"/>
        <w:ind w:firstLine="480" w:firstLineChars="200"/>
        <w:rPr>
          <w:rFonts w:ascii="宋体" w:hAnsi="宋体" w:eastAsia="宋体"/>
          <w:b/>
          <w:bCs/>
          <w:color w:val="auto"/>
          <w:sz w:val="24"/>
          <w:highlight w:val="none"/>
          <w:u w:val="single"/>
        </w:rPr>
      </w:pPr>
      <w:r>
        <w:rPr>
          <w:rFonts w:hint="eastAsia" w:ascii="宋体" w:hAnsi="宋体" w:eastAsia="宋体"/>
          <w:color w:val="auto"/>
          <w:sz w:val="24"/>
          <w:highlight w:val="none"/>
        </w:rPr>
        <w:t>（1）“招标人”（即发包人）、“项目建设管理单位”（或称“项目代建单位”）、“招标代理机构”、“设计单位”、“监理单位”均已在投标须知前附表中列明。</w:t>
      </w:r>
    </w:p>
    <w:p w14:paraId="3D31C0B1">
      <w:pPr>
        <w:pStyle w:val="32"/>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 xml:space="preserve">（2）“投标人”指向招标人递交投标文件的当事人。   </w:t>
      </w:r>
    </w:p>
    <w:p w14:paraId="0A940A66">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（3）“承包人”指其投标被招标人接受并与其签订承包合同的当事人。</w:t>
      </w:r>
    </w:p>
    <w:p w14:paraId="026001F9">
      <w:pPr>
        <w:pStyle w:val="32"/>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（4）“招标文件”指由招标代理机构发出的本文件（包括全部章节、附件）及招标答疑会会议纪要和</w:t>
      </w:r>
      <w:r>
        <w:rPr>
          <w:rFonts w:hint="eastAsia" w:ascii="宋体" w:hAnsi="宋体" w:eastAsia="宋体"/>
          <w:bCs/>
          <w:color w:val="auto"/>
          <w:sz w:val="24"/>
          <w:highlight w:val="none"/>
        </w:rPr>
        <w:t>招标文件的澄清与修改</w:t>
      </w:r>
      <w:r>
        <w:rPr>
          <w:rFonts w:hint="eastAsia" w:ascii="宋体" w:hAnsi="宋体" w:eastAsia="宋体"/>
          <w:color w:val="auto"/>
          <w:sz w:val="24"/>
          <w:highlight w:val="none"/>
        </w:rPr>
        <w:t>文件。</w:t>
      </w:r>
    </w:p>
    <w:p w14:paraId="675499B0">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（5）“投标文件”指投标人根据本项目招标文件向招标人递交的全部文件。</w:t>
      </w:r>
    </w:p>
    <w:p w14:paraId="2C092438">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（6）“书面文件”指打字或印刷的文件，包括电传、电报和传真。</w:t>
      </w:r>
    </w:p>
    <w:p w14:paraId="7D7091F7">
      <w:pPr>
        <w:pStyle w:val="32"/>
        <w:spacing w:after="0" w:line="360" w:lineRule="auto"/>
        <w:ind w:firstLine="480" w:firstLineChars="200"/>
        <w:rPr>
          <w:rFonts w:ascii="宋体" w:hAnsi="宋体" w:eastAsia="宋体"/>
          <w:b/>
          <w:color w:val="auto"/>
          <w:sz w:val="24"/>
          <w:szCs w:val="24"/>
          <w:highlight w:val="none"/>
        </w:rPr>
      </w:pPr>
      <w:r>
        <w:rPr>
          <w:rFonts w:hint="eastAsia" w:ascii="宋体" w:hAnsi="宋体" w:eastAsia="宋体"/>
          <w:color w:val="auto"/>
          <w:sz w:val="24"/>
          <w:highlight w:val="none"/>
        </w:rPr>
        <w:t>（7）“电子文件</w:t>
      </w:r>
      <w:r>
        <w:rPr>
          <w:rFonts w:hint="eastAsia" w:ascii="宋体" w:hAnsi="宋体" w:eastAsia="宋体"/>
          <w:color w:val="auto"/>
          <w:sz w:val="24"/>
          <w:szCs w:val="24"/>
          <w:highlight w:val="none"/>
        </w:rPr>
        <w:t>”</w:t>
      </w:r>
      <w:r>
        <w:rPr>
          <w:rFonts w:hint="eastAsia" w:ascii="宋体" w:hAnsi="宋体" w:eastAsia="宋体"/>
          <w:b/>
          <w:color w:val="auto"/>
          <w:sz w:val="24"/>
          <w:szCs w:val="24"/>
          <w:highlight w:val="none"/>
        </w:rPr>
        <w:t xml:space="preserve"> </w:t>
      </w:r>
      <w:r>
        <w:rPr>
          <w:rFonts w:hint="eastAsia" w:ascii="宋体" w:hAnsi="宋体" w:eastAsia="宋体"/>
          <w:color w:val="auto"/>
          <w:sz w:val="24"/>
          <w:szCs w:val="24"/>
          <w:highlight w:val="none"/>
        </w:rPr>
        <w:t>指数字、文字、图形等以数码形式存储于磁带、磁盘、光盘等载体，依赖计算机等数字设备阅读、处理，并可在通信网络上传送的文件。</w:t>
      </w:r>
    </w:p>
    <w:p w14:paraId="7CB141BA">
      <w:pPr>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2.招标说明</w:t>
      </w:r>
    </w:p>
    <w:p w14:paraId="64E278A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2.1本招标工程项目按照《中华人民共和国招标投标法》等有关法律、行政法规、规章和规范性文件，通过招标方式选定承包人。</w:t>
      </w:r>
    </w:p>
    <w:p w14:paraId="22D5BB1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2.2工程名称、建设地点、建设规模、承包方式、质量标准、招标范围、工期要求等均在投标须知前附表中列明。</w:t>
      </w:r>
    </w:p>
    <w:p w14:paraId="7561F27D">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2.3设计说明：详见招标图纸。</w:t>
      </w:r>
    </w:p>
    <w:p w14:paraId="73CCF11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2.4工程施工特点：详见招标图纸。</w:t>
      </w:r>
    </w:p>
    <w:p w14:paraId="1035B0DB">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3．资金来源</w:t>
      </w:r>
    </w:p>
    <w:p w14:paraId="7AC679D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本招标工程项目资金来源见投标须知前附表第9项。</w:t>
      </w:r>
    </w:p>
    <w:p w14:paraId="3A736FD7">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4．投标人资格条件</w:t>
      </w:r>
    </w:p>
    <w:p w14:paraId="45C1E6A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详见本项目招标公告。</w:t>
      </w:r>
    </w:p>
    <w:p w14:paraId="0187442F">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5．踏勘现场</w:t>
      </w:r>
    </w:p>
    <w:p w14:paraId="0EEA72BE">
      <w:pPr>
        <w:spacing w:line="360" w:lineRule="auto"/>
        <w:ind w:firstLine="480" w:firstLineChars="200"/>
        <w:rPr>
          <w:rFonts w:ascii="宋体" w:hAnsi="宋体" w:eastAsia="宋体"/>
          <w:bCs/>
          <w:color w:val="auto"/>
          <w:sz w:val="24"/>
          <w:highlight w:val="none"/>
          <w:u w:val="single"/>
        </w:rPr>
      </w:pPr>
      <w:r>
        <w:rPr>
          <w:rFonts w:hint="eastAsia" w:ascii="宋体" w:hAnsi="宋体" w:eastAsia="宋体"/>
          <w:bCs/>
          <w:color w:val="auto"/>
          <w:sz w:val="24"/>
          <w:highlight w:val="none"/>
        </w:rPr>
        <w:t>5.1 投标人应按本投标须知前附表第16项所述时间和要求对工程现场及周围环境进行踏勘，</w:t>
      </w:r>
      <w:r>
        <w:rPr>
          <w:rFonts w:hint="eastAsia" w:ascii="宋体" w:hAnsi="宋体" w:eastAsia="宋体"/>
          <w:color w:val="auto"/>
          <w:sz w:val="24"/>
          <w:highlight w:val="none"/>
        </w:rPr>
        <w:t>投标人应充分重视和仔细地进行这种考察，</w:t>
      </w:r>
      <w:r>
        <w:rPr>
          <w:rFonts w:hint="eastAsia" w:ascii="宋体" w:hAnsi="宋体" w:eastAsia="宋体"/>
          <w:bCs/>
          <w:color w:val="auto"/>
          <w:sz w:val="24"/>
          <w:highlight w:val="none"/>
        </w:rPr>
        <w:t>以便投标人获取</w:t>
      </w:r>
      <w:r>
        <w:rPr>
          <w:rFonts w:hint="eastAsia" w:ascii="宋体" w:hAnsi="宋体" w:eastAsia="宋体"/>
          <w:color w:val="auto"/>
          <w:sz w:val="24"/>
          <w:highlight w:val="none"/>
        </w:rPr>
        <w:t>那些须投标人自己负责的</w:t>
      </w:r>
      <w:r>
        <w:rPr>
          <w:rFonts w:hint="eastAsia" w:ascii="宋体" w:hAnsi="宋体" w:eastAsia="宋体"/>
          <w:bCs/>
          <w:color w:val="auto"/>
          <w:sz w:val="24"/>
          <w:highlight w:val="none"/>
        </w:rPr>
        <w:t>有关编制投标文件和签署合同所涉及现场所有的资料。</w:t>
      </w:r>
      <w:r>
        <w:rPr>
          <w:rFonts w:hint="eastAsia" w:ascii="宋体" w:hAnsi="宋体" w:eastAsia="宋体"/>
          <w:color w:val="auto"/>
          <w:sz w:val="24"/>
          <w:highlight w:val="none"/>
        </w:rPr>
        <w:t>一旦中标，这种考察即被认为其结果已在中标文件中得到充分反映。考察现场的费用由投标人自己承担。</w:t>
      </w:r>
    </w:p>
    <w:p w14:paraId="45B46595">
      <w:pPr>
        <w:tabs>
          <w:tab w:val="left" w:pos="105"/>
        </w:tabs>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5.2 招标人向投标人提供的有关现场的数据和资料，是招标人现有的能被投标人利用的资料，招标人对投标人做出的任何推论、理解和结论均不负责任。</w:t>
      </w:r>
    </w:p>
    <w:p w14:paraId="4EE63A6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5.3 经招标人允许，投标人可为踏勘目的进入招标人的项目现场。</w:t>
      </w:r>
      <w:r>
        <w:rPr>
          <w:rFonts w:hint="eastAsia" w:ascii="宋体" w:hAnsi="宋体" w:eastAsia="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bCs/>
          <w:color w:val="auto"/>
          <w:sz w:val="24"/>
          <w:highlight w:val="none"/>
        </w:rPr>
        <w:t>投标人不得因此使招标人承担有关的责任和蒙受损失。</w:t>
      </w:r>
    </w:p>
    <w:p w14:paraId="51EF0175">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6．投标费用</w:t>
      </w:r>
    </w:p>
    <w:p w14:paraId="416E9B06">
      <w:pPr>
        <w:tabs>
          <w:tab w:val="left" w:pos="105"/>
        </w:tabs>
        <w:spacing w:line="360" w:lineRule="auto"/>
        <w:ind w:firstLine="480" w:firstLineChars="200"/>
        <w:rPr>
          <w:rFonts w:ascii="宋体" w:hAnsi="宋体" w:eastAsia="宋体"/>
          <w:bCs/>
          <w:color w:val="auto"/>
          <w:sz w:val="24"/>
          <w:highlight w:val="none"/>
        </w:rPr>
      </w:pPr>
      <w:r>
        <w:rPr>
          <w:rFonts w:hint="eastAsia" w:ascii="宋体" w:hAnsi="宋体" w:eastAsia="宋体"/>
          <w:color w:val="auto"/>
          <w:sz w:val="24"/>
          <w:highlight w:val="none"/>
        </w:rPr>
        <w:t>不论投标结果如何，投标人应承担</w:t>
      </w:r>
      <w:r>
        <w:rPr>
          <w:rFonts w:hint="eastAsia" w:ascii="宋体" w:hAnsi="宋体" w:eastAsia="宋体"/>
          <w:bCs/>
          <w:color w:val="auto"/>
          <w:sz w:val="24"/>
          <w:highlight w:val="none"/>
        </w:rPr>
        <w:t>自身</w:t>
      </w:r>
      <w:r>
        <w:rPr>
          <w:rFonts w:hint="eastAsia" w:ascii="宋体" w:hAnsi="宋体" w:eastAsia="宋体"/>
          <w:color w:val="auto"/>
          <w:sz w:val="24"/>
          <w:highlight w:val="none"/>
        </w:rPr>
        <w:t>因投标文件编制、递交及其他</w:t>
      </w:r>
      <w:r>
        <w:rPr>
          <w:rFonts w:hint="eastAsia" w:ascii="宋体" w:hAnsi="宋体" w:eastAsia="宋体"/>
          <w:bCs/>
          <w:color w:val="auto"/>
          <w:sz w:val="24"/>
          <w:highlight w:val="none"/>
        </w:rPr>
        <w:t>参加本招标活动</w:t>
      </w:r>
      <w:r>
        <w:rPr>
          <w:rFonts w:hint="eastAsia" w:ascii="宋体" w:hAnsi="宋体" w:eastAsia="宋体"/>
          <w:color w:val="auto"/>
          <w:sz w:val="24"/>
          <w:highlight w:val="none"/>
        </w:rPr>
        <w:t>所涉及的一切费用，招标人对上述费用不负任何责任。</w:t>
      </w:r>
    </w:p>
    <w:p w14:paraId="4BA68143">
      <w:pPr>
        <w:pStyle w:val="4"/>
        <w:spacing w:before="120"/>
        <w:rPr>
          <w:rFonts w:ascii="宋体" w:eastAsia="宋体"/>
          <w:color w:val="auto"/>
          <w:highlight w:val="none"/>
        </w:rPr>
      </w:pPr>
      <w:bookmarkStart w:id="49" w:name="_Toc12749"/>
      <w:r>
        <w:rPr>
          <w:rFonts w:hint="eastAsia" w:ascii="宋体" w:eastAsia="宋体"/>
          <w:color w:val="auto"/>
          <w:highlight w:val="none"/>
        </w:rPr>
        <w:t>（二）招标文件</w:t>
      </w:r>
      <w:bookmarkEnd w:id="49"/>
    </w:p>
    <w:p w14:paraId="2391E6CA">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7.招标文件的组成</w:t>
      </w:r>
    </w:p>
    <w:p w14:paraId="031A35CF">
      <w:pPr>
        <w:spacing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7.1</w:t>
      </w:r>
      <w:r>
        <w:rPr>
          <w:rFonts w:hint="eastAsia" w:ascii="宋体" w:hAnsi="宋体" w:eastAsia="宋体"/>
          <w:color w:val="auto"/>
          <w:sz w:val="24"/>
          <w:highlight w:val="none"/>
        </w:rPr>
        <w:t>本招标文件包括下列文件，以及所有按本须知第8条发出的招标答疑会会议纪要和按本须知第9条发出的澄清或修改：</w:t>
      </w:r>
    </w:p>
    <w:p w14:paraId="7DA9DF29">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 xml:space="preserve">第一章  </w:t>
      </w:r>
      <w:r>
        <w:rPr>
          <w:rFonts w:hint="eastAsia" w:ascii="宋体" w:hAnsi="宋体" w:eastAsia="宋体"/>
          <w:color w:val="auto"/>
          <w:sz w:val="24"/>
          <w:highlight w:val="none"/>
        </w:rPr>
        <w:t>投标须知</w:t>
      </w:r>
    </w:p>
    <w:p w14:paraId="2F411595">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 xml:space="preserve">第二章  </w:t>
      </w:r>
      <w:r>
        <w:rPr>
          <w:rFonts w:hint="eastAsia" w:ascii="宋体" w:hAnsi="宋体" w:eastAsia="宋体"/>
          <w:color w:val="auto"/>
          <w:sz w:val="24"/>
          <w:highlight w:val="none"/>
        </w:rPr>
        <w:t>开标、评标及定标办法</w:t>
      </w:r>
    </w:p>
    <w:p w14:paraId="62E3108E">
      <w:pPr>
        <w:pStyle w:val="32"/>
        <w:spacing w:after="0" w:line="360" w:lineRule="auto"/>
        <w:ind w:firstLine="480" w:firstLineChars="200"/>
        <w:rPr>
          <w:rFonts w:ascii="宋体" w:hAnsi="宋体" w:eastAsia="宋体"/>
          <w:strike w:val="0"/>
          <w:color w:val="auto"/>
          <w:sz w:val="24"/>
          <w:highlight w:val="none"/>
        </w:rPr>
      </w:pPr>
      <w:r>
        <w:rPr>
          <w:rFonts w:hint="eastAsia" w:ascii="宋体" w:hAnsi="宋体" w:eastAsia="宋体"/>
          <w:color w:val="auto"/>
          <w:sz w:val="24"/>
          <w:highlight w:val="none"/>
        </w:rPr>
        <w:t>第三章  合同条款</w:t>
      </w:r>
      <w:r>
        <w:rPr>
          <w:rFonts w:hint="eastAsia" w:ascii="宋体" w:hAnsi="宋体" w:eastAsia="宋体"/>
          <w:strike w:val="0"/>
          <w:dstrike w:val="0"/>
          <w:color w:val="auto"/>
          <w:sz w:val="24"/>
          <w:highlight w:val="none"/>
        </w:rPr>
        <w:t>（另册）</w:t>
      </w:r>
    </w:p>
    <w:p w14:paraId="43B7F6E7">
      <w:pPr>
        <w:pStyle w:val="32"/>
        <w:spacing w:after="0" w:line="360" w:lineRule="auto"/>
        <w:ind w:firstLine="480" w:firstLineChars="200"/>
        <w:rPr>
          <w:rFonts w:ascii="宋体" w:hAnsi="宋体" w:eastAsia="宋体"/>
          <w:b/>
          <w:color w:val="auto"/>
          <w:sz w:val="24"/>
          <w:highlight w:val="none"/>
        </w:rPr>
      </w:pPr>
      <w:r>
        <w:rPr>
          <w:rFonts w:hint="eastAsia" w:ascii="宋体" w:hAnsi="宋体" w:eastAsia="宋体"/>
          <w:bCs/>
          <w:color w:val="auto"/>
          <w:sz w:val="24"/>
          <w:highlight w:val="none"/>
        </w:rPr>
        <w:t xml:space="preserve">第四章  </w:t>
      </w:r>
      <w:r>
        <w:rPr>
          <w:rFonts w:hint="eastAsia" w:ascii="宋体" w:hAnsi="宋体" w:eastAsia="宋体"/>
          <w:color w:val="auto"/>
          <w:sz w:val="24"/>
          <w:highlight w:val="none"/>
        </w:rPr>
        <w:t>投标文件格式</w:t>
      </w:r>
    </w:p>
    <w:p w14:paraId="6EA93232">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 xml:space="preserve">第五章  </w:t>
      </w:r>
      <w:r>
        <w:rPr>
          <w:rFonts w:hint="eastAsia" w:ascii="宋体" w:hAnsi="宋体" w:eastAsia="宋体"/>
          <w:color w:val="auto"/>
          <w:sz w:val="24"/>
          <w:highlight w:val="none"/>
        </w:rPr>
        <w:t>技术条件（工程建设标准）（另册）</w:t>
      </w:r>
    </w:p>
    <w:p w14:paraId="3C93ACD2">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 xml:space="preserve">第六章  </w:t>
      </w:r>
      <w:r>
        <w:rPr>
          <w:rFonts w:hint="eastAsia" w:ascii="宋体" w:hAnsi="宋体" w:eastAsia="宋体"/>
          <w:color w:val="auto"/>
          <w:sz w:val="24"/>
          <w:highlight w:val="none"/>
        </w:rPr>
        <w:t>图纸及勘察资料（另册）</w:t>
      </w:r>
    </w:p>
    <w:p w14:paraId="4965ED5C">
      <w:pPr>
        <w:pStyle w:val="32"/>
        <w:spacing w:after="0" w:line="360" w:lineRule="auto"/>
        <w:ind w:firstLine="480" w:firstLineChars="200"/>
        <w:rPr>
          <w:rFonts w:hint="eastAsia" w:ascii="宋体" w:hAnsi="宋体" w:eastAsia="宋体"/>
          <w:color w:val="auto"/>
          <w:sz w:val="24"/>
          <w:highlight w:val="none"/>
        </w:rPr>
      </w:pPr>
      <w:r>
        <w:rPr>
          <w:rFonts w:hint="eastAsia" w:ascii="宋体" w:hAnsi="宋体" w:eastAsia="宋体"/>
          <w:bCs/>
          <w:color w:val="auto"/>
          <w:sz w:val="24"/>
          <w:highlight w:val="none"/>
        </w:rPr>
        <w:t xml:space="preserve">第七章  </w:t>
      </w:r>
      <w:r>
        <w:rPr>
          <w:rFonts w:hint="eastAsia" w:ascii="宋体" w:hAnsi="宋体" w:eastAsia="宋体"/>
          <w:color w:val="auto"/>
          <w:sz w:val="24"/>
          <w:highlight w:val="none"/>
        </w:rPr>
        <w:t>工程量清单（另册）</w:t>
      </w:r>
    </w:p>
    <w:p w14:paraId="2B646F63">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第八章  最高投标限价（另册）</w:t>
      </w:r>
    </w:p>
    <w:p w14:paraId="081E445E">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7.2 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14:paraId="4854B22A">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7.3 投标人一旦中标，招标文件的内容对招标人和中标人双方均有约束力。</w:t>
      </w:r>
    </w:p>
    <w:p w14:paraId="09F7396D">
      <w:pPr>
        <w:pStyle w:val="32"/>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7.4</w:t>
      </w:r>
      <w:r>
        <w:rPr>
          <w:rFonts w:hint="eastAsia" w:ascii="宋体" w:hAnsi="宋体" w:eastAsia="宋体" w:cs="仿宋_GB2312"/>
          <w:color w:val="auto"/>
          <w:sz w:val="24"/>
          <w:szCs w:val="24"/>
          <w:highlight w:val="none"/>
        </w:rPr>
        <w:t>招标人（或委托招标代理机构）使用广东省内依法设立的电子认证服务机构签发的电子签名认证证书对电子招标文件进行电子签名及电子签章。该电子签名及电子签章对招标人手写签名或者盖章同等的法律效力。</w:t>
      </w:r>
    </w:p>
    <w:p w14:paraId="521C2D11">
      <w:pPr>
        <w:pStyle w:val="32"/>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7.5发布招标公告的同时，通过广州</w:t>
      </w:r>
      <w:r>
        <w:rPr>
          <w:rFonts w:hint="eastAsia" w:ascii="宋体" w:hAnsi="宋体" w:eastAsia="宋体" w:cs="仿宋_GB2312"/>
          <w:color w:val="auto"/>
          <w:sz w:val="24"/>
          <w:szCs w:val="24"/>
          <w:highlight w:val="none"/>
        </w:rPr>
        <w:t>公共资源交易网站发布电子招标文件、施工图纸、最高投标限价、成本警示价（如有）。</w:t>
      </w:r>
    </w:p>
    <w:p w14:paraId="35CA08EB">
      <w:pPr>
        <w:pStyle w:val="32"/>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7.6招标文件一经在广州公共资源交易网站发布，视作已</w:t>
      </w:r>
      <w:r>
        <w:rPr>
          <w:rFonts w:hint="eastAsia" w:ascii="宋体" w:hAnsi="宋体" w:eastAsia="宋体"/>
          <w:color w:val="auto"/>
          <w:sz w:val="24"/>
          <w:highlight w:val="none"/>
        </w:rPr>
        <w:t>发放给所有投标人。</w:t>
      </w:r>
    </w:p>
    <w:p w14:paraId="50D9145F">
      <w:pPr>
        <w:pStyle w:val="32"/>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7.7投标人获取电子招标文件后，应仔细检查电子招标文件的合法有效性。合法有效的电子招标文件应具有招标人（或招标代理机构）的电子签名</w:t>
      </w:r>
      <w:r>
        <w:rPr>
          <w:rFonts w:hint="eastAsia" w:ascii="宋体" w:hAnsi="宋体" w:eastAsia="宋体" w:cs="仿宋_GB2312"/>
          <w:color w:val="auto"/>
          <w:sz w:val="24"/>
          <w:szCs w:val="24"/>
          <w:highlight w:val="none"/>
        </w:rPr>
        <w:t>及电子签章</w:t>
      </w:r>
      <w:r>
        <w:rPr>
          <w:rFonts w:hint="eastAsia" w:ascii="宋体" w:hAnsi="宋体" w:eastAsia="宋体"/>
          <w:color w:val="auto"/>
          <w:sz w:val="24"/>
          <w:szCs w:val="24"/>
          <w:highlight w:val="none"/>
        </w:rPr>
        <w:t>。</w:t>
      </w:r>
    </w:p>
    <w:p w14:paraId="1870DAB1">
      <w:pPr>
        <w:pStyle w:val="32"/>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7.8招标人应在招标文件第四章中明确编制投标文件主要内容的格式要求。</w:t>
      </w:r>
    </w:p>
    <w:p w14:paraId="300733AF">
      <w:pPr>
        <w:widowControl/>
        <w:snapToGrid w:val="0"/>
        <w:spacing w:line="360" w:lineRule="auto"/>
        <w:ind w:firstLine="482" w:firstLineChars="200"/>
        <w:jc w:val="left"/>
        <w:rPr>
          <w:rFonts w:ascii="宋体" w:hAnsi="宋体" w:eastAsia="宋体"/>
          <w:color w:val="auto"/>
          <w:sz w:val="24"/>
          <w:highlight w:val="none"/>
        </w:rPr>
      </w:pPr>
      <w:r>
        <w:rPr>
          <w:rFonts w:hint="eastAsia" w:ascii="宋体" w:hAnsi="宋体" w:eastAsia="宋体"/>
          <w:b/>
          <w:bCs/>
          <w:color w:val="auto"/>
          <w:sz w:val="24"/>
          <w:highlight w:val="none"/>
        </w:rPr>
        <w:t>8．招标答疑</w:t>
      </w:r>
    </w:p>
    <w:p w14:paraId="6D5084F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szCs w:val="21"/>
          <w:highlight w:val="none"/>
        </w:rPr>
        <w:t>8.1</w:t>
      </w:r>
      <w:r>
        <w:rPr>
          <w:rFonts w:hint="eastAsia" w:ascii="宋体" w:hAnsi="宋体" w:eastAsia="宋体"/>
          <w:color w:val="auto"/>
          <w:sz w:val="24"/>
          <w:highlight w:val="none"/>
        </w:rPr>
        <w:t xml:space="preserve"> 招标答疑采用网上答疑方式。投标人若对招标文件（包括招标图纸、清单、最高投标限价）有疑问的，可在规定的时间内通过</w:t>
      </w:r>
      <w:r>
        <w:rPr>
          <w:rFonts w:hint="eastAsia" w:ascii="宋体" w:hAnsi="宋体" w:eastAsia="宋体"/>
          <w:color w:val="auto"/>
          <w:sz w:val="24"/>
          <w:highlight w:val="none"/>
          <w:lang w:eastAsia="zh-CN"/>
        </w:rPr>
        <w:t>广州公共资源交易</w:t>
      </w:r>
      <w:r>
        <w:rPr>
          <w:rFonts w:hint="eastAsia" w:ascii="宋体" w:hAnsi="宋体" w:eastAsia="宋体"/>
          <w:color w:val="auto"/>
          <w:sz w:val="24"/>
          <w:highlight w:val="none"/>
        </w:rPr>
        <w:t>网站进入提问区域将问题提交给招标人或招标代理机构，提交问题时一律不得署名。</w:t>
      </w:r>
    </w:p>
    <w:p w14:paraId="4C0868D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网上答疑的具体操作详见交易平台发布的相关操作指引。</w:t>
      </w:r>
    </w:p>
    <w:p w14:paraId="502376E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8.2投标人应在招标公告发布之日起3天内对招标文件提出疑问。招标人应在递交投标文件截止时间15 日前解答投标人对招标文件提出的疑问，形成答疑纪要，并可在</w:t>
      </w:r>
      <w:r>
        <w:rPr>
          <w:rFonts w:hint="eastAsia" w:ascii="宋体" w:hAnsi="宋体" w:eastAsia="宋体"/>
          <w:color w:val="auto"/>
          <w:sz w:val="24"/>
          <w:highlight w:val="none"/>
          <w:lang w:eastAsia="zh-CN"/>
        </w:rPr>
        <w:t>广州公共资源交易</w:t>
      </w:r>
      <w:r>
        <w:rPr>
          <w:rFonts w:hint="eastAsia" w:ascii="宋体" w:hAnsi="宋体" w:eastAsia="宋体"/>
          <w:color w:val="auto"/>
          <w:sz w:val="24"/>
          <w:highlight w:val="none"/>
        </w:rPr>
        <w:t>网站“招标答疑”专区发布。</w:t>
      </w:r>
    </w:p>
    <w:p w14:paraId="6CF7432F">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szCs w:val="24"/>
          <w:highlight w:val="none"/>
        </w:rPr>
        <w:t>8.3</w:t>
      </w:r>
      <w:r>
        <w:rPr>
          <w:rFonts w:hint="eastAsia" w:ascii="宋体" w:hAnsi="宋体" w:eastAsia="宋体"/>
          <w:color w:val="auto"/>
          <w:sz w:val="24"/>
          <w:highlight w:val="none"/>
        </w:rPr>
        <w:t>招标答疑纪要一经在</w:t>
      </w:r>
      <w:r>
        <w:rPr>
          <w:rFonts w:hint="eastAsia" w:ascii="宋体" w:hAnsi="宋体" w:eastAsia="宋体"/>
          <w:color w:val="auto"/>
          <w:sz w:val="24"/>
          <w:highlight w:val="none"/>
          <w:lang w:eastAsia="zh-CN"/>
        </w:rPr>
        <w:t>广州公共资源交易</w:t>
      </w:r>
      <w:r>
        <w:rPr>
          <w:rFonts w:hint="eastAsia" w:ascii="宋体" w:hAnsi="宋体" w:eastAsia="宋体"/>
          <w:color w:val="auto"/>
          <w:sz w:val="24"/>
          <w:highlight w:val="none"/>
        </w:rPr>
        <w:t>网站发布，视作已发放给所有投标人。</w:t>
      </w:r>
    </w:p>
    <w:p w14:paraId="776D2BA0">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8.4招标答疑纪要为招标文件的一部分。</w:t>
      </w:r>
      <w:r>
        <w:rPr>
          <w:rFonts w:hint="eastAsia" w:ascii="宋体" w:hAnsi="宋体" w:eastAsia="宋体"/>
          <w:color w:val="auto"/>
          <w:sz w:val="24"/>
          <w:szCs w:val="24"/>
          <w:highlight w:val="none"/>
        </w:rPr>
        <w:t>投标人可在</w:t>
      </w:r>
      <w:r>
        <w:rPr>
          <w:rFonts w:hint="eastAsia" w:ascii="宋体" w:hAnsi="宋体" w:eastAsia="宋体"/>
          <w:color w:val="auto"/>
          <w:sz w:val="24"/>
          <w:szCs w:val="24"/>
          <w:highlight w:val="none"/>
          <w:lang w:eastAsia="zh-CN"/>
        </w:rPr>
        <w:t>广州公共资源交易</w:t>
      </w:r>
      <w:r>
        <w:rPr>
          <w:rFonts w:hint="eastAsia" w:ascii="宋体" w:hAnsi="宋体" w:eastAsia="宋体"/>
          <w:color w:val="auto"/>
          <w:sz w:val="24"/>
          <w:szCs w:val="24"/>
          <w:highlight w:val="none"/>
        </w:rPr>
        <w:t>网站浏览、下载招标答疑纪要。</w:t>
      </w:r>
    </w:p>
    <w:p w14:paraId="45B4213F">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8.5若招标答疑纪要与招标文件有矛盾时，以</w:t>
      </w:r>
      <w:r>
        <w:rPr>
          <w:rFonts w:hint="eastAsia" w:ascii="宋体" w:hAnsi="宋体" w:eastAsia="宋体"/>
          <w:color w:val="auto"/>
          <w:sz w:val="24"/>
          <w:szCs w:val="24"/>
          <w:highlight w:val="none"/>
          <w:lang w:eastAsia="zh-CN"/>
        </w:rPr>
        <w:t>广州公共资源交易</w:t>
      </w:r>
      <w:r>
        <w:rPr>
          <w:rFonts w:hint="eastAsia" w:ascii="宋体" w:hAnsi="宋体" w:eastAsia="宋体"/>
          <w:color w:val="auto"/>
          <w:sz w:val="24"/>
          <w:szCs w:val="24"/>
          <w:highlight w:val="none"/>
        </w:rPr>
        <w:t>网站</w:t>
      </w:r>
      <w:r>
        <w:rPr>
          <w:rFonts w:hint="eastAsia" w:ascii="宋体" w:hAnsi="宋体" w:eastAsia="宋体"/>
          <w:color w:val="auto"/>
          <w:sz w:val="24"/>
          <w:highlight w:val="none"/>
        </w:rPr>
        <w:t>最后发布的答疑纪要为准。</w:t>
      </w:r>
    </w:p>
    <w:p w14:paraId="1DF7423C">
      <w:pPr>
        <w:pStyle w:val="32"/>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9.招标文件的澄清与修改</w:t>
      </w:r>
    </w:p>
    <w:p w14:paraId="64859032">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9.1招标文件发出后，在递交投标文件截止时间15日前，招标人可对招标文件进行必要的澄清或修改。</w:t>
      </w:r>
    </w:p>
    <w:p w14:paraId="7F7CAF3B">
      <w:pPr>
        <w:pStyle w:val="32"/>
        <w:spacing w:before="50" w:after="5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9.2招标文件的澄清或修改在</w:t>
      </w:r>
      <w:r>
        <w:rPr>
          <w:rFonts w:hint="eastAsia" w:ascii="宋体" w:hAnsi="宋体" w:eastAsia="宋体"/>
          <w:color w:val="auto"/>
          <w:sz w:val="24"/>
          <w:highlight w:val="none"/>
          <w:lang w:eastAsia="zh-CN"/>
        </w:rPr>
        <w:t>广州公共资源交易</w:t>
      </w:r>
      <w:r>
        <w:rPr>
          <w:rFonts w:hint="eastAsia" w:ascii="宋体" w:hAnsi="宋体" w:eastAsia="宋体"/>
          <w:color w:val="auto"/>
          <w:sz w:val="24"/>
          <w:highlight w:val="none"/>
        </w:rPr>
        <w:t>网站发布。招标文件的澄清或修改一经在</w:t>
      </w:r>
      <w:r>
        <w:rPr>
          <w:rFonts w:hint="eastAsia" w:ascii="宋体" w:hAnsi="宋体" w:eastAsia="宋体"/>
          <w:color w:val="auto"/>
          <w:sz w:val="24"/>
          <w:highlight w:val="none"/>
          <w:lang w:eastAsia="zh-CN"/>
        </w:rPr>
        <w:t>广州公共资源交易</w:t>
      </w:r>
      <w:r>
        <w:rPr>
          <w:rFonts w:hint="eastAsia" w:ascii="宋体" w:hAnsi="宋体" w:eastAsia="宋体"/>
          <w:color w:val="auto"/>
          <w:sz w:val="24"/>
          <w:highlight w:val="none"/>
        </w:rPr>
        <w:t>网站发布，视作已发放给所有投标人。</w:t>
      </w:r>
    </w:p>
    <w:p w14:paraId="3AAE6F5D">
      <w:pPr>
        <w:pStyle w:val="32"/>
        <w:spacing w:before="50" w:after="5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9.3招标文件的澄清、修改作为招标文件的组成部分，具有约束作用。</w:t>
      </w:r>
    </w:p>
    <w:p w14:paraId="06F3F573">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9.4招标文件的澄清、修改均以</w:t>
      </w:r>
      <w:r>
        <w:rPr>
          <w:rFonts w:hint="eastAsia" w:ascii="宋体" w:hAnsi="宋体" w:eastAsia="宋体"/>
          <w:color w:val="auto"/>
          <w:sz w:val="24"/>
          <w:szCs w:val="24"/>
          <w:highlight w:val="none"/>
          <w:lang w:eastAsia="zh-CN"/>
        </w:rPr>
        <w:t>广州公共资源交易</w:t>
      </w:r>
      <w:r>
        <w:rPr>
          <w:rFonts w:hint="eastAsia" w:ascii="宋体" w:hAnsi="宋体" w:eastAsia="宋体"/>
          <w:color w:val="auto"/>
          <w:sz w:val="24"/>
          <w:szCs w:val="24"/>
          <w:highlight w:val="none"/>
        </w:rPr>
        <w:t>网站发布</w:t>
      </w:r>
      <w:r>
        <w:rPr>
          <w:rFonts w:hint="eastAsia" w:ascii="宋体" w:hAnsi="宋体" w:eastAsia="宋体"/>
          <w:color w:val="auto"/>
          <w:sz w:val="24"/>
          <w:highlight w:val="none"/>
        </w:rPr>
        <w:t>的内容为准。当招标文件的澄清、修改在同一内容的表述不一致时，以</w:t>
      </w:r>
      <w:r>
        <w:rPr>
          <w:rFonts w:hint="eastAsia" w:ascii="宋体" w:hAnsi="宋体" w:eastAsia="宋体"/>
          <w:color w:val="auto"/>
          <w:sz w:val="24"/>
          <w:szCs w:val="24"/>
          <w:highlight w:val="none"/>
          <w:lang w:eastAsia="zh-CN"/>
        </w:rPr>
        <w:t>广州公共资源交易</w:t>
      </w:r>
      <w:r>
        <w:rPr>
          <w:rFonts w:hint="eastAsia" w:ascii="宋体" w:hAnsi="宋体" w:eastAsia="宋体"/>
          <w:color w:val="auto"/>
          <w:sz w:val="24"/>
          <w:szCs w:val="24"/>
          <w:highlight w:val="none"/>
        </w:rPr>
        <w:t>网站</w:t>
      </w:r>
      <w:r>
        <w:rPr>
          <w:rFonts w:hint="eastAsia" w:ascii="宋体" w:hAnsi="宋体" w:eastAsia="宋体"/>
          <w:color w:val="auto"/>
          <w:sz w:val="24"/>
          <w:highlight w:val="none"/>
        </w:rPr>
        <w:t>最后发布的内容为准。</w:t>
      </w:r>
    </w:p>
    <w:p w14:paraId="790B651B">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9.5为使投标人在编制投标文件时有充分的时间对招标文件的澄清或修改等内容考虑进去，招标人将酌情延长递交投标文件的截止时间，具体时间将在招标文件的澄清或修改中予以明确。若澄清或修改中没有明确延长时间，即表示投标时间不延长。</w:t>
      </w:r>
    </w:p>
    <w:p w14:paraId="7F28E561">
      <w:pPr>
        <w:pStyle w:val="4"/>
        <w:spacing w:before="120"/>
        <w:rPr>
          <w:rFonts w:ascii="宋体" w:eastAsia="宋体"/>
          <w:color w:val="auto"/>
          <w:highlight w:val="none"/>
        </w:rPr>
      </w:pPr>
      <w:bookmarkStart w:id="50" w:name="_Toc5882"/>
      <w:r>
        <w:rPr>
          <w:rFonts w:hint="eastAsia" w:ascii="宋体" w:eastAsia="宋体"/>
          <w:color w:val="auto"/>
          <w:highlight w:val="none"/>
        </w:rPr>
        <w:t>（三）投标文件的编制</w:t>
      </w:r>
      <w:bookmarkEnd w:id="50"/>
    </w:p>
    <w:p w14:paraId="11D45300">
      <w:pPr>
        <w:pStyle w:val="32"/>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10．投标文件的语言及度量衡单位</w:t>
      </w:r>
    </w:p>
    <w:p w14:paraId="77C78E52">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10.1 投标文件和与投标有关的所有文件均应使用中文。</w:t>
      </w:r>
    </w:p>
    <w:p w14:paraId="1E2AFE9F">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10.2 除工程规范另有规定外，投标文件使用的度量衡单位，均采用中华人民共和国法定计量单位。</w:t>
      </w:r>
    </w:p>
    <w:p w14:paraId="19586656">
      <w:pPr>
        <w:pStyle w:val="32"/>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11．投标文件的组成</w:t>
      </w:r>
    </w:p>
    <w:p w14:paraId="12E59C3A">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11.1投标文件由资格审查部分和技术经济部分两部分组成。</w:t>
      </w:r>
    </w:p>
    <w:p w14:paraId="25677DD6">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11.2资格审查文件主要包括的内容：</w:t>
      </w:r>
    </w:p>
    <w:p w14:paraId="482F288F">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11.2.1法定代表人证明书，如投标文件为委托代理人签署应同时附上法定代表人证明书和法定代表人授权书；</w:t>
      </w:r>
    </w:p>
    <w:p w14:paraId="6E4C0DB7">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11.2.2</w:t>
      </w:r>
      <w:r>
        <w:rPr>
          <w:rFonts w:hint="eastAsia" w:ascii="宋体" w:hAnsi="宋体" w:eastAsia="宋体" w:cs="Times New Roman"/>
          <w:bCs/>
          <w:color w:val="auto"/>
          <w:sz w:val="24"/>
          <w:szCs w:val="24"/>
          <w:highlight w:val="none"/>
        </w:rPr>
        <w:t>工商行政管理部门核发的营业执照；</w:t>
      </w:r>
    </w:p>
    <w:p w14:paraId="21657491">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11.2.3项目负责人（按招标公告要求和网上投标登记时选择拟投标的项目负责人）</w:t>
      </w:r>
      <w:r>
        <w:rPr>
          <w:rFonts w:hint="eastAsia" w:ascii="宋体" w:hAnsi="宋体" w:eastAsia="宋体"/>
          <w:color w:val="auto"/>
          <w:kern w:val="0"/>
          <w:sz w:val="24"/>
          <w:szCs w:val="24"/>
          <w:highlight w:val="none"/>
        </w:rPr>
        <w:t>；</w:t>
      </w:r>
    </w:p>
    <w:p w14:paraId="383244C1">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11.2.</w:t>
      </w:r>
      <w:r>
        <w:rPr>
          <w:rFonts w:hint="eastAsia" w:ascii="宋体" w:hAnsi="宋体" w:eastAsia="宋体" w:cs="Times New Roman"/>
          <w:bCs/>
          <w:color w:val="auto"/>
          <w:sz w:val="24"/>
          <w:szCs w:val="24"/>
          <w:highlight w:val="none"/>
        </w:rPr>
        <w:t>4用于</w:t>
      </w:r>
      <w:r>
        <w:rPr>
          <w:rFonts w:hint="eastAsia" w:ascii="宋体" w:hAnsi="宋体" w:eastAsia="宋体"/>
          <w:bCs/>
          <w:color w:val="auto"/>
          <w:sz w:val="24"/>
          <w:szCs w:val="24"/>
          <w:highlight w:val="none"/>
        </w:rPr>
        <w:t>资格审查的业绩（设置业绩要求时选择此项，投标人选择用于资格审查的业绩须用本企业的CA数字证书对生成的内容进行签章）；</w:t>
      </w:r>
    </w:p>
    <w:p w14:paraId="024BD55C">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11.2.5</w:t>
      </w:r>
      <w:r>
        <w:rPr>
          <w:rFonts w:hint="eastAsia" w:ascii="宋体" w:hAnsi="宋体" w:eastAsia="宋体"/>
          <w:color w:val="auto"/>
          <w:sz w:val="24"/>
          <w:szCs w:val="24"/>
          <w:highlight w:val="none"/>
        </w:rPr>
        <w:t>专职安全人员须具有在有效期内的安全生产考核合格证书（C类），或能够提供广东省建筑施工企业管理人员安全生产考核信息系统安全生产管理人员证书信息的打印页</w:t>
      </w:r>
      <w:r>
        <w:rPr>
          <w:rFonts w:hint="eastAsia" w:ascii="宋体" w:hAnsi="宋体" w:eastAsia="宋体"/>
          <w:bCs/>
          <w:color w:val="auto"/>
          <w:sz w:val="24"/>
          <w:szCs w:val="24"/>
          <w:highlight w:val="none"/>
        </w:rPr>
        <w:t>（按网上投标登记时选择拟派专职安全员）；</w:t>
      </w:r>
    </w:p>
    <w:p w14:paraId="364A126E">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bCs/>
          <w:color w:val="auto"/>
          <w:sz w:val="24"/>
          <w:szCs w:val="24"/>
          <w:highlight w:val="none"/>
        </w:rPr>
        <w:t>11.2.6</w:t>
      </w:r>
      <w:r>
        <w:rPr>
          <w:rFonts w:hint="eastAsia" w:ascii="宋体" w:hAnsi="宋体" w:eastAsia="宋体"/>
          <w:color w:val="auto"/>
          <w:sz w:val="24"/>
          <w:szCs w:val="24"/>
          <w:highlight w:val="none"/>
        </w:rPr>
        <w:t>投标人按照规定的格式及内容要求签署的《投标人声明》（格式见第四章）；</w:t>
      </w:r>
    </w:p>
    <w:p w14:paraId="3AD3C57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11.2.7列明主办单位的联合体工作协议（采用联合体投标时需递交，投标人拟任本工程项目负责人应为联合体主办方企业信息登记中的在册人员，联合体工作协议应明确约定各方拟承担的工作和责任）；</w:t>
      </w:r>
    </w:p>
    <w:p w14:paraId="391BD645">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11.2.8未被列入国家、省、市失信联合惩戒名单（具体名单以递交投标文件截止时间“信用广州”网站公布的“失信联合惩戒黑名单——国家下发”为准），或未因失信行为被本项目所在地行政主管部门作出限制参与工程建设项目投标的决定。</w:t>
      </w:r>
    </w:p>
    <w:p w14:paraId="1F2463C0">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注：资格审查内容的11.2.2至11.2.5项</w:t>
      </w:r>
      <w:r>
        <w:rPr>
          <w:rFonts w:hint="eastAsia" w:ascii="宋体" w:hAnsi="宋体" w:eastAsia="宋体"/>
          <w:color w:val="auto"/>
          <w:sz w:val="24"/>
          <w:szCs w:val="24"/>
          <w:highlight w:val="none"/>
        </w:rPr>
        <w:t>（除广东省建筑施工企业管理人员安全生产考核信息系统安全生产管理人员证书信息的打印页、《信息公开证明》打印页外）的资料取自</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在</w:t>
      </w:r>
      <w:r>
        <w:rPr>
          <w:rFonts w:hint="eastAsia" w:ascii="宋体" w:hAnsi="宋体" w:eastAsia="宋体"/>
          <w:color w:val="auto"/>
          <w:sz w:val="24"/>
          <w:szCs w:val="24"/>
          <w:highlight w:val="none"/>
          <w:lang w:eastAsia="zh-CN"/>
        </w:rPr>
        <w:t>广州公共资源交易平台</w:t>
      </w:r>
      <w:r>
        <w:rPr>
          <w:rFonts w:hint="eastAsia" w:ascii="宋体" w:hAnsi="宋体" w:eastAsia="宋体"/>
          <w:color w:val="auto"/>
          <w:sz w:val="24"/>
          <w:szCs w:val="24"/>
          <w:highlight w:val="none"/>
        </w:rPr>
        <w:t>企业库、城市园林绿化企业工程业绩库中的资料，</w:t>
      </w:r>
      <w:r>
        <w:rPr>
          <w:rFonts w:hint="eastAsia" w:ascii="宋体" w:hAnsi="宋体" w:eastAsia="宋体"/>
          <w:color w:val="auto"/>
          <w:sz w:val="24"/>
          <w:szCs w:val="24"/>
          <w:highlight w:val="none"/>
          <w:lang w:eastAsia="zh-CN"/>
        </w:rPr>
        <w:t>广州公共资源交易平台</w:t>
      </w:r>
      <w:r>
        <w:rPr>
          <w:rFonts w:hint="eastAsia" w:ascii="宋体" w:hAnsi="宋体" w:eastAsia="宋体"/>
          <w:color w:val="auto"/>
          <w:sz w:val="24"/>
          <w:szCs w:val="24"/>
          <w:highlight w:val="none"/>
        </w:rPr>
        <w:t>企业库、城市园林绿化企业工程业绩库中该部分信息将被视为</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递交的资格审查资料的一部分，</w:t>
      </w:r>
      <w:r>
        <w:rPr>
          <w:rFonts w:hint="eastAsia" w:ascii="宋体" w:hAnsi="宋体" w:eastAsia="宋体"/>
          <w:bCs/>
          <w:color w:val="auto"/>
          <w:sz w:val="24"/>
          <w:szCs w:val="24"/>
          <w:highlight w:val="none"/>
        </w:rPr>
        <w:t>资格审查文件不需另行提交。</w:t>
      </w:r>
    </w:p>
    <w:p w14:paraId="69CDF8CA">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11.3技术部分</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rPr>
        <w:t>施工组织方案</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rPr>
        <w:t>文件（办法</w:t>
      </w:r>
      <w:r>
        <w:rPr>
          <w:rFonts w:hint="eastAsia" w:ascii="宋体" w:hAnsi="宋体" w:eastAsia="宋体"/>
          <w:bCs/>
          <w:color w:val="auto"/>
          <w:sz w:val="24"/>
          <w:szCs w:val="24"/>
          <w:highlight w:val="none"/>
          <w:lang w:val="en-US" w:eastAsia="zh-CN"/>
        </w:rPr>
        <w:t>一</w:t>
      </w:r>
      <w:r>
        <w:rPr>
          <w:rFonts w:hint="eastAsia" w:ascii="宋体" w:hAnsi="宋体" w:eastAsia="宋体"/>
          <w:bCs/>
          <w:color w:val="auto"/>
          <w:sz w:val="24"/>
          <w:szCs w:val="24"/>
          <w:highlight w:val="none"/>
        </w:rPr>
        <w:t>可选）：</w:t>
      </w:r>
    </w:p>
    <w:p w14:paraId="09D81C12">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技术部分</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rPr>
        <w:t>施工组织方案</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rPr>
        <w:t>文件评审采用“暗标形式”，文件中不得出现名称、印章、商标、投标金额等记认符号（或使人辨认出投标人或其专业技术人员的身份）或出现涉及人员姓名、简历等暴露投标人身份的内容。技术部分</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rPr>
        <w:t>施工组织方案</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rPr>
        <w:t>文件投标文件应包含但不限于一下内容：</w:t>
      </w:r>
    </w:p>
    <w:p w14:paraId="3E6E5C15">
      <w:pPr>
        <w:numPr>
          <w:ilvl w:val="0"/>
          <w:numId w:val="1"/>
        </w:num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eastAsia="zh-CN"/>
        </w:rPr>
        <w:t>技术部分（施工组织方案）</w:t>
      </w:r>
      <w:r>
        <w:rPr>
          <w:rFonts w:hint="eastAsia" w:ascii="宋体" w:hAnsi="宋体" w:eastAsia="宋体"/>
          <w:bCs/>
          <w:color w:val="auto"/>
          <w:sz w:val="24"/>
          <w:szCs w:val="24"/>
          <w:highlight w:val="none"/>
        </w:rPr>
        <w:t>文件以A4（210mm*297mm）规格编排；</w:t>
      </w:r>
    </w:p>
    <w:p w14:paraId="1BD275C8">
      <w:pPr>
        <w:numPr>
          <w:ilvl w:val="0"/>
          <w:numId w:val="1"/>
        </w:num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lang w:eastAsia="zh-CN"/>
        </w:rPr>
        <w:t>技术部分（施工组织方案）</w:t>
      </w:r>
      <w:r>
        <w:rPr>
          <w:rFonts w:hint="eastAsia" w:ascii="宋体" w:hAnsi="宋体" w:eastAsia="宋体"/>
          <w:bCs/>
          <w:color w:val="auto"/>
          <w:sz w:val="24"/>
          <w:szCs w:val="24"/>
          <w:highlight w:val="none"/>
        </w:rPr>
        <w:t>文件页数最多不超过</w:t>
      </w:r>
      <w:r>
        <w:rPr>
          <w:rFonts w:hint="eastAsia" w:ascii="宋体" w:hAnsi="宋体" w:eastAsia="宋体"/>
          <w:bCs/>
          <w:color w:val="auto"/>
          <w:sz w:val="24"/>
          <w:szCs w:val="24"/>
          <w:highlight w:val="none"/>
          <w:u w:val="single"/>
          <w:lang w:val="en-US" w:eastAsia="zh-CN"/>
        </w:rPr>
        <w:t>50</w:t>
      </w:r>
      <w:r>
        <w:rPr>
          <w:rFonts w:hint="eastAsia" w:ascii="宋体" w:hAnsi="宋体" w:eastAsia="宋体"/>
          <w:bCs/>
          <w:color w:val="auto"/>
          <w:sz w:val="24"/>
          <w:szCs w:val="24"/>
          <w:highlight w:val="none"/>
        </w:rPr>
        <w:t>页（</w:t>
      </w:r>
      <w:r>
        <w:rPr>
          <w:rFonts w:hint="eastAsia" w:ascii="宋体" w:hAnsi="宋体" w:eastAsia="宋体"/>
          <w:bCs/>
          <w:color w:val="auto"/>
          <w:sz w:val="24"/>
          <w:szCs w:val="24"/>
          <w:highlight w:val="none"/>
          <w:u w:val="single"/>
        </w:rPr>
        <w:t>50</w:t>
      </w:r>
      <w:r>
        <w:rPr>
          <w:rFonts w:hint="eastAsia" w:ascii="宋体" w:hAnsi="宋体" w:eastAsia="宋体"/>
          <w:bCs/>
          <w:color w:val="auto"/>
          <w:sz w:val="24"/>
          <w:szCs w:val="24"/>
          <w:highlight w:val="none"/>
        </w:rPr>
        <w:t>页，不包括封面及目录页）；</w:t>
      </w:r>
    </w:p>
    <w:p w14:paraId="284976FD">
      <w:pPr>
        <w:numPr>
          <w:ilvl w:val="0"/>
          <w:numId w:val="1"/>
        </w:num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lang w:eastAsia="zh-CN"/>
        </w:rPr>
        <w:t>技术部分（施工组织方案）</w:t>
      </w:r>
      <w:r>
        <w:rPr>
          <w:rFonts w:hint="eastAsia" w:ascii="宋体" w:hAnsi="宋体" w:eastAsia="宋体"/>
          <w:bCs/>
          <w:color w:val="auto"/>
          <w:sz w:val="24"/>
          <w:szCs w:val="24"/>
          <w:highlight w:val="none"/>
        </w:rPr>
        <w:t>文件正文内容：</w:t>
      </w:r>
    </w:p>
    <w:p w14:paraId="2C5B760E">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①封面：写明项目名称、编制年月；</w:t>
      </w:r>
    </w:p>
    <w:p w14:paraId="4A5A5026">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②目录；</w:t>
      </w:r>
    </w:p>
    <w:p w14:paraId="5B70351B">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③概况；</w:t>
      </w:r>
    </w:p>
    <w:p w14:paraId="2012094B">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④工作目标与组织架构；</w:t>
      </w:r>
    </w:p>
    <w:p w14:paraId="57971C56">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⑤现状调研与分析；</w:t>
      </w:r>
    </w:p>
    <w:p w14:paraId="2D81276D">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⑥实施方案；</w:t>
      </w:r>
    </w:p>
    <w:p w14:paraId="316C68D2">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⑦投资及风险控制；</w:t>
      </w:r>
    </w:p>
    <w:p w14:paraId="3708C305">
      <w:pPr>
        <w:spacing w:line="360" w:lineRule="auto"/>
        <w:ind w:left="420" w:left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⑧投标人认为有必要提供的其他资料</w:t>
      </w:r>
    </w:p>
    <w:p w14:paraId="2975FB6D">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11.4</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主要包括的内容：</w:t>
      </w:r>
    </w:p>
    <w:p w14:paraId="733F511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11.4.1《投标函》（格式见第四章）；</w:t>
      </w:r>
    </w:p>
    <w:p w14:paraId="3C875116">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11.4.2《广州园林绿化工程施工招标投标书》（格式见第四章）；</w:t>
      </w:r>
    </w:p>
    <w:p w14:paraId="0917A04D">
      <w:pPr>
        <w:spacing w:line="360" w:lineRule="auto"/>
        <w:ind w:right="-290" w:rightChars="-138"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11.4.3《响应招标文件所附施工组织设计要点的承诺书》（格式见第四章）；</w:t>
      </w:r>
    </w:p>
    <w:p w14:paraId="63025632">
      <w:pPr>
        <w:spacing w:line="360" w:lineRule="auto"/>
        <w:ind w:right="-290" w:rightChars="-138"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11.4.4《对投标文件编制的承诺》（格式见第四章）；</w:t>
      </w:r>
    </w:p>
    <w:p w14:paraId="122E4282">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11.4.5项目管理机构能力（办法二可选）；</w:t>
      </w:r>
    </w:p>
    <w:p w14:paraId="051B7E10">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（1）投标人应列出本工程的施工组织机构构成和画出机构框架图及其负责人；</w:t>
      </w:r>
    </w:p>
    <w:p w14:paraId="5DE745A1">
      <w:pPr>
        <w:shd w:val="clear" w:color="auto" w:fill="auto"/>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（2）投标人应详细列出本工程组织机构中主要成员的名单、简历资料、职务职称和在本项目中拟担任的职务等资料，并附上有关证明材料复印件；</w:t>
      </w:r>
    </w:p>
    <w:p w14:paraId="2C737539">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（3）项目负责人能力、企业技术力量配备情况</w:t>
      </w:r>
    </w:p>
    <w:p w14:paraId="0D715F1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（4）其他辅助说明资料。</w:t>
      </w:r>
    </w:p>
    <w:p w14:paraId="7665B3B0">
      <w:pPr>
        <w:spacing w:line="360" w:lineRule="auto"/>
        <w:ind w:firstLine="480" w:firstLineChars="200"/>
        <w:rPr>
          <w:rFonts w:hint="eastAsia" w:ascii="宋体" w:hAnsi="宋体" w:eastAsia="宋体"/>
          <w:bCs/>
          <w:strike w:val="0"/>
          <w:dstrike w:val="0"/>
          <w:color w:val="auto"/>
          <w:sz w:val="24"/>
          <w:szCs w:val="24"/>
          <w:highlight w:val="none"/>
        </w:rPr>
      </w:pPr>
      <w:r>
        <w:rPr>
          <w:rFonts w:hint="eastAsia" w:ascii="宋体" w:hAnsi="宋体" w:eastAsia="宋体"/>
          <w:bCs/>
          <w:strike w:val="0"/>
          <w:dstrike w:val="0"/>
          <w:color w:val="auto"/>
          <w:sz w:val="24"/>
          <w:szCs w:val="24"/>
          <w:highlight w:val="none"/>
        </w:rPr>
        <w:t>11.4.6机械设备投入情况（办法二可选）；</w:t>
      </w:r>
    </w:p>
    <w:p w14:paraId="6D3513A9">
      <w:pPr>
        <w:spacing w:line="360" w:lineRule="auto"/>
        <w:ind w:firstLine="480" w:firstLineChars="200"/>
        <w:rPr>
          <w:rFonts w:hint="eastAsia" w:ascii="宋体" w:hAnsi="宋体" w:eastAsia="宋体"/>
          <w:bCs/>
          <w:strike w:val="0"/>
          <w:dstrike w:val="0"/>
          <w:color w:val="auto"/>
          <w:sz w:val="24"/>
          <w:szCs w:val="24"/>
          <w:highlight w:val="none"/>
        </w:rPr>
      </w:pPr>
      <w:r>
        <w:rPr>
          <w:rFonts w:hint="eastAsia" w:ascii="宋体" w:hAnsi="宋体" w:eastAsia="宋体"/>
          <w:bCs/>
          <w:strike w:val="0"/>
          <w:dstrike w:val="0"/>
          <w:color w:val="auto"/>
          <w:sz w:val="24"/>
          <w:szCs w:val="24"/>
          <w:highlight w:val="none"/>
        </w:rPr>
        <w:t>（1）机械设备为自有或租赁的说明；</w:t>
      </w:r>
    </w:p>
    <w:p w14:paraId="708A5198">
      <w:pPr>
        <w:spacing w:line="360" w:lineRule="auto"/>
        <w:ind w:firstLine="480" w:firstLineChars="200"/>
        <w:rPr>
          <w:rFonts w:hint="eastAsia" w:ascii="宋体" w:hAnsi="宋体" w:eastAsia="宋体"/>
          <w:bCs/>
          <w:strike w:val="0"/>
          <w:dstrike w:val="0"/>
          <w:color w:val="auto"/>
          <w:sz w:val="24"/>
          <w:szCs w:val="24"/>
          <w:highlight w:val="none"/>
        </w:rPr>
      </w:pPr>
      <w:r>
        <w:rPr>
          <w:rFonts w:hint="eastAsia" w:ascii="宋体" w:hAnsi="宋体" w:eastAsia="宋体"/>
          <w:bCs/>
          <w:strike w:val="0"/>
          <w:dstrike w:val="0"/>
          <w:color w:val="auto"/>
          <w:sz w:val="24"/>
          <w:szCs w:val="24"/>
          <w:highlight w:val="none"/>
        </w:rPr>
        <w:t>（2）若机械设备为租赁，租赁期应满足本工程工期要求，并承诺其租赁不属于重复租赁。</w:t>
      </w:r>
    </w:p>
    <w:p w14:paraId="7EF9F2B5">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11.4.7企业施工经验（投标人选择用于评标的业绩须用本企业的CA数字证书对生成的内容进行签章。业绩资料取自投标人在</w:t>
      </w:r>
      <w:r>
        <w:rPr>
          <w:rFonts w:hint="eastAsia" w:ascii="宋体" w:hAnsi="宋体" w:eastAsia="宋体"/>
          <w:color w:val="auto"/>
          <w:sz w:val="24"/>
          <w:szCs w:val="24"/>
          <w:highlight w:val="none"/>
        </w:rPr>
        <w:t>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城市园林绿化企业工程业绩库中的资料，</w:t>
      </w:r>
      <w:r>
        <w:rPr>
          <w:rFonts w:hint="eastAsia" w:ascii="宋体" w:hAnsi="宋体" w:eastAsia="宋体"/>
          <w:bCs/>
          <w:color w:val="auto"/>
          <w:sz w:val="24"/>
          <w:szCs w:val="24"/>
          <w:highlight w:val="none"/>
        </w:rPr>
        <w:t>在</w:t>
      </w:r>
      <w:r>
        <w:rPr>
          <w:rFonts w:hint="eastAsia" w:ascii="宋体" w:hAnsi="宋体" w:eastAsia="宋体"/>
          <w:color w:val="auto"/>
          <w:sz w:val="24"/>
          <w:szCs w:val="24"/>
          <w:highlight w:val="none"/>
        </w:rPr>
        <w:t>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城市园林绿化企业工程业绩库记录的该部分资料将被视为投标人递交的投标资料的一部分，投标资料不需另行提交。</w:t>
      </w:r>
      <w:r>
        <w:rPr>
          <w:rFonts w:hint="eastAsia" w:ascii="宋体" w:hAnsi="宋体" w:eastAsia="宋体"/>
          <w:bCs/>
          <w:color w:val="auto"/>
          <w:sz w:val="24"/>
          <w:szCs w:val="24"/>
          <w:highlight w:val="none"/>
        </w:rPr>
        <w:t>）</w:t>
      </w:r>
    </w:p>
    <w:p w14:paraId="3462FCCE">
      <w:pPr>
        <w:tabs>
          <w:tab w:val="left" w:pos="1125"/>
        </w:tabs>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11.4.8其他评审内容（办法二可选）；</w:t>
      </w:r>
    </w:p>
    <w:p w14:paraId="4955F2AA">
      <w:pPr>
        <w:tabs>
          <w:tab w:val="left" w:pos="1125"/>
        </w:tabs>
        <w:spacing w:line="360" w:lineRule="auto"/>
        <w:ind w:firstLine="480" w:firstLineChars="200"/>
        <w:rPr>
          <w:rFonts w:ascii="宋体" w:hAnsi="宋体" w:eastAsia="宋体"/>
          <w:color w:val="auto"/>
          <w:sz w:val="24"/>
          <w:szCs w:val="24"/>
          <w:highlight w:val="none"/>
        </w:rPr>
      </w:pPr>
      <w:r>
        <w:rPr>
          <w:rFonts w:hint="eastAsia" w:ascii="宋体" w:hAnsi="宋体" w:eastAsia="宋体"/>
          <w:bCs/>
          <w:color w:val="auto"/>
          <w:sz w:val="24"/>
          <w:szCs w:val="24"/>
          <w:highlight w:val="none"/>
        </w:rPr>
        <w:t>11.4.11经济部分</w:t>
      </w:r>
      <w:r>
        <w:rPr>
          <w:rFonts w:hint="eastAsia" w:ascii="宋体" w:hAnsi="宋体" w:eastAsia="宋体"/>
          <w:color w:val="auto"/>
          <w:sz w:val="24"/>
          <w:szCs w:val="24"/>
          <w:highlight w:val="none"/>
        </w:rPr>
        <w:t>文件包括</w:t>
      </w:r>
      <w:r>
        <w:rPr>
          <w:rFonts w:hint="eastAsia" w:ascii="宋体" w:hAnsi="宋体" w:eastAsia="宋体"/>
          <w:color w:val="auto"/>
          <w:sz w:val="24"/>
          <w:highlight w:val="none"/>
        </w:rPr>
        <w:t>：</w:t>
      </w:r>
    </w:p>
    <w:p w14:paraId="6A7E4761">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p>
    <w:p w14:paraId="424B5591">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11.4.12若投标人的投标报价低于工程成本警戒价的，投标人还须提供详细的施工组织设计、单价、措施性费用、单价分析表、主要材料价格表、投标人成本分析供评标委员会评审；</w:t>
      </w:r>
    </w:p>
    <w:p w14:paraId="328DFF61">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11.4.13招标文件要求的其他内容。</w:t>
      </w:r>
    </w:p>
    <w:p w14:paraId="05770495">
      <w:pPr>
        <w:tabs>
          <w:tab w:val="left" w:pos="1125"/>
        </w:tabs>
        <w:spacing w:line="360" w:lineRule="auto"/>
        <w:ind w:firstLine="480" w:firstLineChars="200"/>
        <w:rPr>
          <w:rFonts w:ascii="宋体" w:hAnsi="宋体" w:eastAsia="宋体"/>
          <w:strike w:val="0"/>
          <w:dstrike w:val="0"/>
          <w:color w:val="auto"/>
          <w:sz w:val="24"/>
          <w:szCs w:val="24"/>
          <w:highlight w:val="none"/>
        </w:rPr>
      </w:pPr>
      <w:r>
        <w:rPr>
          <w:rFonts w:hint="eastAsia" w:ascii="宋体" w:hAnsi="宋体" w:eastAsia="宋体"/>
          <w:strike w:val="0"/>
          <w:dstrike w:val="0"/>
          <w:color w:val="auto"/>
          <w:sz w:val="24"/>
          <w:szCs w:val="24"/>
          <w:highlight w:val="none"/>
        </w:rPr>
        <w:t>11.5工程量清单的组成、编制、计价、格式、项目编码、项目名称、工程内容、计量单位和工程量计算规则按照招标人给出的工程量清单及国家、省有关计价规范执行。</w:t>
      </w:r>
    </w:p>
    <w:p w14:paraId="342C2998">
      <w:pPr>
        <w:pStyle w:val="32"/>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11.6投标人应使用符合《广东省工程造价文件数据交换标准（电子评标部分） 交易中心实施细则》的计价软件制作工程量清单报价表和单价分析表（如本招标文件要求单价分析表）。</w:t>
      </w:r>
    </w:p>
    <w:p w14:paraId="521D9708">
      <w:pPr>
        <w:spacing w:line="360" w:lineRule="auto"/>
        <w:ind w:firstLine="470" w:firstLineChars="196"/>
        <w:rPr>
          <w:rFonts w:ascii="宋体" w:hAnsi="宋体" w:eastAsia="宋体"/>
          <w:color w:val="auto"/>
          <w:sz w:val="24"/>
          <w:szCs w:val="24"/>
          <w:highlight w:val="none"/>
        </w:rPr>
      </w:pPr>
      <w:r>
        <w:rPr>
          <w:rFonts w:hint="eastAsia" w:ascii="宋体" w:hAnsi="宋体" w:eastAsia="宋体"/>
          <w:color w:val="auto"/>
          <w:sz w:val="24"/>
          <w:szCs w:val="24"/>
          <w:highlight w:val="none"/>
        </w:rPr>
        <w:t>11.7投标人应使用广州公共资源交易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的投标文件管理软件进行投标文件的合成、电子签名</w:t>
      </w:r>
      <w:r>
        <w:rPr>
          <w:rFonts w:hint="eastAsia" w:ascii="宋体" w:hAnsi="宋体" w:eastAsia="宋体" w:cs="仿宋_GB2312"/>
          <w:color w:val="auto"/>
          <w:sz w:val="24"/>
          <w:szCs w:val="24"/>
          <w:highlight w:val="none"/>
        </w:rPr>
        <w:t>、电子签章及加密打包工作，所有电子投标文件不能进行压缩处理。电子投标文件统一采用网络上传的形式，投标人需登录</w:t>
      </w:r>
      <w:r>
        <w:rPr>
          <w:rFonts w:hint="eastAsia" w:ascii="宋体" w:hAnsi="宋体" w:eastAsia="宋体" w:cs="仿宋_GB2312"/>
          <w:color w:val="auto"/>
          <w:sz w:val="24"/>
          <w:szCs w:val="24"/>
          <w:highlight w:val="none"/>
          <w:lang w:eastAsia="zh-CN"/>
        </w:rPr>
        <w:t>广州公共资源交易</w:t>
      </w:r>
      <w:r>
        <w:rPr>
          <w:rFonts w:hint="eastAsia" w:ascii="宋体" w:hAnsi="宋体" w:eastAsia="宋体" w:cs="仿宋_GB2312"/>
          <w:color w:val="auto"/>
          <w:sz w:val="24"/>
          <w:szCs w:val="24"/>
          <w:highlight w:val="none"/>
        </w:rPr>
        <w:t>网站投标人服务区在递交投标文件截止时间前完整上传至广州公共资源交易</w:t>
      </w:r>
      <w:r>
        <w:rPr>
          <w:rFonts w:hint="eastAsia" w:ascii="宋体" w:hAnsi="宋体" w:eastAsia="宋体" w:cs="仿宋_GB2312"/>
          <w:color w:val="auto"/>
          <w:sz w:val="24"/>
          <w:szCs w:val="24"/>
          <w:highlight w:val="none"/>
          <w:lang w:eastAsia="zh-CN"/>
        </w:rPr>
        <w:t>平台</w:t>
      </w:r>
      <w:r>
        <w:rPr>
          <w:rFonts w:hint="eastAsia" w:ascii="宋体" w:hAnsi="宋体" w:eastAsia="宋体" w:cs="仿宋_GB2312"/>
          <w:color w:val="auto"/>
          <w:sz w:val="24"/>
          <w:szCs w:val="24"/>
          <w:highlight w:val="none"/>
        </w:rPr>
        <w:t>的信息系统。</w:t>
      </w:r>
    </w:p>
    <w:p w14:paraId="17D21E60">
      <w:pPr>
        <w:pStyle w:val="32"/>
        <w:spacing w:after="0" w:line="360" w:lineRule="auto"/>
        <w:ind w:firstLine="480" w:firstLineChars="200"/>
        <w:rPr>
          <w:rFonts w:ascii="宋体" w:hAnsi="宋体" w:eastAsia="宋体"/>
          <w:bCs/>
          <w:color w:val="auto"/>
          <w:sz w:val="24"/>
          <w:szCs w:val="24"/>
          <w:highlight w:val="none"/>
        </w:rPr>
      </w:pPr>
      <w:r>
        <w:rPr>
          <w:rFonts w:hint="eastAsia" w:ascii="宋体" w:hAnsi="宋体" w:eastAsia="宋体"/>
          <w:color w:val="auto"/>
          <w:sz w:val="24"/>
          <w:szCs w:val="24"/>
          <w:highlight w:val="none"/>
        </w:rPr>
        <w:t>11.8</w:t>
      </w:r>
      <w:r>
        <w:rPr>
          <w:rFonts w:hint="eastAsia" w:ascii="宋体" w:hAnsi="宋体" w:eastAsia="宋体"/>
          <w:bCs/>
          <w:color w:val="auto"/>
          <w:sz w:val="24"/>
          <w:szCs w:val="24"/>
          <w:highlight w:val="none"/>
        </w:rPr>
        <w:t>投标人应使用依法设立的电子认证服务机构签发的电子签名认证证书对电子投标文件进行电子签名</w:t>
      </w:r>
      <w:r>
        <w:rPr>
          <w:rFonts w:hint="eastAsia" w:ascii="宋体" w:hAnsi="宋体" w:eastAsia="宋体" w:cs="仿宋_GB2312"/>
          <w:color w:val="auto"/>
          <w:sz w:val="24"/>
          <w:szCs w:val="24"/>
          <w:highlight w:val="none"/>
        </w:rPr>
        <w:t>及电子签章</w:t>
      </w:r>
      <w:r>
        <w:rPr>
          <w:rFonts w:hint="eastAsia" w:ascii="宋体" w:hAnsi="宋体" w:eastAsia="宋体"/>
          <w:bCs/>
          <w:color w:val="auto"/>
          <w:sz w:val="24"/>
          <w:szCs w:val="24"/>
          <w:highlight w:val="none"/>
        </w:rPr>
        <w:t>。该电子签名</w:t>
      </w:r>
      <w:r>
        <w:rPr>
          <w:rFonts w:hint="eastAsia" w:ascii="宋体" w:hAnsi="宋体" w:eastAsia="宋体" w:cs="仿宋_GB2312"/>
          <w:color w:val="auto"/>
          <w:sz w:val="24"/>
          <w:szCs w:val="24"/>
          <w:highlight w:val="none"/>
        </w:rPr>
        <w:t>及电子签章</w:t>
      </w:r>
      <w:r>
        <w:rPr>
          <w:rFonts w:hint="eastAsia" w:ascii="宋体" w:hAnsi="宋体" w:eastAsia="宋体"/>
          <w:bCs/>
          <w:color w:val="auto"/>
          <w:sz w:val="24"/>
          <w:szCs w:val="24"/>
          <w:highlight w:val="none"/>
        </w:rPr>
        <w:t>与手写签名或者盖章具有同等的法律效力。</w:t>
      </w:r>
    </w:p>
    <w:p w14:paraId="07707603">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11.9除工程量清单报价表相关的内容、《广州园林绿化工程施工招标投标书》外，投标文件的其他内容均以电子文件（纸质原件的扫描件）编制，其格式要求详见第四章投标文件格式说明。</w:t>
      </w:r>
    </w:p>
    <w:p w14:paraId="402E76F4">
      <w:pPr>
        <w:pStyle w:val="32"/>
        <w:spacing w:after="0"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11.10投标文件应按上述的编排要求编制。如因不按上述编排要求编制而所引起系统无法检索、读取相关信息时，其后果由投标人承担。</w:t>
      </w:r>
    </w:p>
    <w:p w14:paraId="1080A8C6">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12．投标文件格式</w:t>
      </w:r>
    </w:p>
    <w:p w14:paraId="44E62144">
      <w:pPr>
        <w:pStyle w:val="32"/>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highlight w:val="none"/>
        </w:rPr>
        <w:t>12.1投标人递交的投标文件应当使用招标文件所规定的投标文件全部格式。</w:t>
      </w:r>
    </w:p>
    <w:p w14:paraId="038B294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12.2投标人应仔细阅读第四章投标文件格式的相关规定和要求。如电子投标文件未按规定的格式填写，或主要内容不全，或关键字迹模糊、无法辨认造成无法满足评标需要的，经评标委员会审查否决其投标。</w:t>
      </w:r>
    </w:p>
    <w:p w14:paraId="19CA0120">
      <w:pPr>
        <w:pStyle w:val="32"/>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13．投标报价及造价承包和变更结算方式</w:t>
      </w:r>
    </w:p>
    <w:p w14:paraId="340F1087">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13.1 本工程的投标报价采用投标须知前附表第12项所规定的方式。投标文件中的大写金额和小写金额不一致的，以大写金额为准。投标报价（含单价及总价）精确到“分”。</w:t>
      </w:r>
    </w:p>
    <w:p w14:paraId="16B2EF9D">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13.2招标人按照招标图纸制定工程量清单，该清单载于本招标文件第七章中，投标人按照招标人提供的工程量清单中列出的工程项目和工程量填报单价和合价。每一项目只允许有一个报价。任何有选择的报价将不予接受。投标人未填报单价或合价的工程项目，视为完成该工程项目所需费用已包含在其它有价款的竞争性报价内，在实施后，招标人将不予支付。</w:t>
      </w:r>
    </w:p>
    <w:p w14:paraId="250CC540">
      <w:pPr>
        <w:pStyle w:val="32"/>
        <w:spacing w:after="0" w:line="360" w:lineRule="auto"/>
        <w:ind w:firstLine="480" w:firstLineChars="200"/>
        <w:rPr>
          <w:rFonts w:ascii="宋体" w:hAnsi="宋体" w:eastAsia="宋体"/>
          <w:strike/>
          <w:dstrike w:val="0"/>
          <w:color w:val="auto"/>
          <w:sz w:val="24"/>
          <w:highlight w:val="none"/>
        </w:rPr>
      </w:pPr>
      <w:r>
        <w:rPr>
          <w:rFonts w:hint="eastAsia" w:ascii="宋体" w:hAnsi="宋体" w:eastAsia="宋体"/>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w:t>
      </w:r>
      <w:r>
        <w:rPr>
          <w:rFonts w:hint="eastAsia" w:ascii="宋体" w:hAnsi="宋体" w:eastAsia="宋体"/>
          <w:strike w:val="0"/>
          <w:dstrike w:val="0"/>
          <w:color w:val="auto"/>
          <w:sz w:val="24"/>
          <w:highlight w:val="none"/>
        </w:rPr>
        <w:t>招标人提供的工程量清单或招标文件其他部分中</w:t>
      </w:r>
      <w:r>
        <w:rPr>
          <w:rFonts w:hint="eastAsia" w:ascii="宋体" w:hAnsi="宋体" w:eastAsia="宋体"/>
          <w:strike w:val="0"/>
          <w:dstrike w:val="0"/>
          <w:color w:val="auto"/>
          <w:sz w:val="24"/>
          <w:szCs w:val="24"/>
          <w:highlight w:val="none"/>
        </w:rPr>
        <w:t>有关规费、暂列金额、暂估价等非竞争性项目明列了单价或合价金额的，投标人应按照明列的单价或合价金额报价，未按照规定金额报价的，由评标委员会按照招标文件规定的金额进行修正。</w:t>
      </w:r>
    </w:p>
    <w:p w14:paraId="163887B4">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13.4</w:t>
      </w:r>
      <w:r>
        <w:rPr>
          <w:rFonts w:hint="eastAsia" w:ascii="宋体" w:hAnsi="宋体" w:eastAsia="宋体"/>
          <w:color w:val="auto"/>
          <w:sz w:val="24"/>
          <w:szCs w:val="24"/>
          <w:highlight w:val="non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w:t>
      </w:r>
    </w:p>
    <w:p w14:paraId="16E48ECE">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13.5 变更结算方式按招标文件及施工合同相关规定执行。</w:t>
      </w:r>
    </w:p>
    <w:p w14:paraId="7D6F625E">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13.6</w:t>
      </w:r>
      <w:r>
        <w:rPr>
          <w:rFonts w:hint="eastAsia" w:ascii="宋体" w:hAnsi="宋体" w:eastAsia="宋体"/>
          <w:color w:val="auto"/>
          <w:sz w:val="24"/>
          <w:szCs w:val="24"/>
          <w:highlight w:val="none"/>
        </w:rPr>
        <w:t>暂列金额、暂估价</w:t>
      </w:r>
    </w:p>
    <w:p w14:paraId="5C097C78">
      <w:pPr>
        <w:pStyle w:val="32"/>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highlight w:val="none"/>
        </w:rPr>
        <w:t>13.6.1</w:t>
      </w:r>
      <w:r>
        <w:rPr>
          <w:rFonts w:hint="eastAsia" w:ascii="宋体" w:hAnsi="宋体" w:eastAsia="宋体"/>
          <w:color w:val="auto"/>
          <w:sz w:val="24"/>
          <w:szCs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2E743A2C">
      <w:pPr>
        <w:pStyle w:val="32"/>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暂估价是指招标人在工程量清单中提供的用于支付必然发生但暂时不能确定价格的材料的单价以及专业工程的金额。</w:t>
      </w:r>
    </w:p>
    <w:p w14:paraId="152E9590">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13.6.2在工程实施中，暂列金额、暂估价所包含的工作范围和图纸、标准深化固定后，按照工程专业、设备、材料类别等分类汇总的金额，达到法定招标范围标准的，应由招标人</w:t>
      </w:r>
      <w:r>
        <w:rPr>
          <w:rFonts w:hint="eastAsia" w:ascii="宋体" w:hAnsi="宋体" w:eastAsia="宋体"/>
          <w:strike w:val="0"/>
          <w:dstrike w:val="0"/>
          <w:color w:val="auto"/>
          <w:sz w:val="24"/>
          <w:highlight w:val="none"/>
        </w:rPr>
        <w:t>同中标人联合</w:t>
      </w:r>
      <w:r>
        <w:rPr>
          <w:rFonts w:hint="eastAsia" w:ascii="宋体" w:hAnsi="宋体" w:eastAsia="宋体"/>
          <w:color w:val="auto"/>
          <w:sz w:val="24"/>
          <w:highlight w:val="none"/>
        </w:rPr>
        <w:t>招标</w:t>
      </w:r>
      <w:r>
        <w:rPr>
          <w:rFonts w:hint="eastAsia" w:ascii="宋体" w:hAnsi="宋体" w:eastAsia="宋体"/>
          <w:strike w:val="0"/>
          <w:dstrike w:val="0"/>
          <w:color w:val="auto"/>
          <w:sz w:val="24"/>
          <w:highlight w:val="none"/>
        </w:rPr>
        <w:t>，</w:t>
      </w:r>
      <w:r>
        <w:rPr>
          <w:rFonts w:hint="eastAsia" w:ascii="宋体" w:hAnsi="宋体" w:eastAsia="宋体"/>
          <w:color w:val="auto"/>
          <w:sz w:val="24"/>
          <w:highlight w:val="none"/>
        </w:rPr>
        <w:t>确定承包人和承包价格。</w:t>
      </w:r>
    </w:p>
    <w:p w14:paraId="642925E1">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119B5826">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446E0705">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55B8A9D">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5E43DA2F">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0E067A8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13.8属于投标人自行采购的主要材料、设备，招标人可以在招标文件中提出材料、设备的技术标准或者质量要求。如果必须引用某一生产供应者的技术标准才能准确或者清楚地说明技术标准时，可以引用不少于3个同等档次品牌或者生产供应商供投标人报价时选择，引用品牌或者生产供应商名称前应当加上“参照或相当于”的字样，引用的货物品牌或者生产公供应商在市场上应当具有可选择性。投标人在投标文件中应明确所选用主要材料、设备的品牌、厂家以及质量等级，并且应当符合招标文件的要求。</w:t>
      </w:r>
    </w:p>
    <w:p w14:paraId="2546C4F7">
      <w:pPr>
        <w:pStyle w:val="32"/>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14．投标货币</w:t>
      </w:r>
    </w:p>
    <w:p w14:paraId="079F240E">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本工程投标报价采用的币种为人民币。</w:t>
      </w:r>
    </w:p>
    <w:p w14:paraId="16533572">
      <w:pPr>
        <w:pStyle w:val="32"/>
        <w:spacing w:after="0"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highlight w:val="none"/>
        </w:rPr>
        <w:t>15．投标有效期</w:t>
      </w:r>
    </w:p>
    <w:p w14:paraId="1AF13482">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15.1 投标有效期见投标须知前附表第13项所规定的期限，在此期限内，凡符合本招标文件要求的投标文件均保持有效。</w:t>
      </w:r>
    </w:p>
    <w:p w14:paraId="53891435">
      <w:pPr>
        <w:pStyle w:val="32"/>
        <w:spacing w:after="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投标保证金应当予以退还。同意延长投标有效期的投标人既不能要求也不允许修改其投标文件，但需要相应的延长投标保证金的有效期，在延长的投标有效期内，本须知第16条关于投标保证金的退还与否的规定仍然适用。</w:t>
      </w:r>
    </w:p>
    <w:p w14:paraId="693E5617">
      <w:pPr>
        <w:pStyle w:val="32"/>
        <w:spacing w:after="0" w:line="360" w:lineRule="auto"/>
        <w:ind w:firstLine="482" w:firstLineChars="200"/>
        <w:rPr>
          <w:rFonts w:ascii="宋体" w:hAnsi="宋体" w:eastAsia="宋体"/>
          <w:b/>
          <w:bCs/>
          <w:strike w:val="0"/>
          <w:dstrike w:val="0"/>
          <w:color w:val="auto"/>
          <w:sz w:val="24"/>
          <w:highlight w:val="none"/>
          <w:u w:val="none"/>
        </w:rPr>
      </w:pPr>
      <w:r>
        <w:rPr>
          <w:rFonts w:hint="eastAsia" w:ascii="宋体" w:hAnsi="宋体" w:eastAsia="宋体"/>
          <w:b/>
          <w:bCs/>
          <w:strike w:val="0"/>
          <w:dstrike w:val="0"/>
          <w:color w:val="auto"/>
          <w:sz w:val="24"/>
          <w:highlight w:val="none"/>
          <w:u w:val="none"/>
        </w:rPr>
        <w:t>16．投标保证金</w:t>
      </w:r>
    </w:p>
    <w:p w14:paraId="7D42458F">
      <w:pPr>
        <w:spacing w:line="360" w:lineRule="auto"/>
        <w:ind w:firstLine="480" w:firstLineChars="200"/>
        <w:rPr>
          <w:rFonts w:ascii="宋体" w:hAnsi="宋体" w:eastAsia="宋体"/>
          <w:strike w:val="0"/>
          <w:dstrike w:val="0"/>
          <w:color w:val="auto"/>
          <w:sz w:val="24"/>
          <w:highlight w:val="none"/>
          <w:u w:val="none"/>
        </w:rPr>
      </w:pPr>
      <w:r>
        <w:rPr>
          <w:rFonts w:hint="eastAsia" w:ascii="宋体" w:hAnsi="宋体" w:eastAsia="宋体"/>
          <w:strike w:val="0"/>
          <w:dstrike w:val="0"/>
          <w:color w:val="auto"/>
          <w:sz w:val="24"/>
          <w:highlight w:val="none"/>
          <w:u w:val="none"/>
        </w:rPr>
        <w:t>16.1投标人应按投标须知前附表第14项所述金额和时间递交</w:t>
      </w:r>
      <w:r>
        <w:rPr>
          <w:rFonts w:hint="eastAsia" w:ascii="宋体" w:hAnsi="宋体" w:eastAsia="宋体"/>
          <w:bCs/>
          <w:strike w:val="0"/>
          <w:dstrike w:val="0"/>
          <w:color w:val="auto"/>
          <w:sz w:val="24"/>
          <w:highlight w:val="none"/>
          <w:u w:val="none"/>
        </w:rPr>
        <w:t>投标保证金</w:t>
      </w:r>
      <w:r>
        <w:rPr>
          <w:rFonts w:hint="eastAsia" w:ascii="宋体" w:hAnsi="宋体" w:eastAsia="宋体"/>
          <w:strike w:val="0"/>
          <w:dstrike w:val="0"/>
          <w:color w:val="auto"/>
          <w:sz w:val="24"/>
          <w:highlight w:val="none"/>
          <w:u w:val="none"/>
        </w:rPr>
        <w:t>。招标人可委托广州交易集团有限公司（广州公共资源交易中心）具体实施保证金的收取和退还工作</w:t>
      </w:r>
      <w:r>
        <w:rPr>
          <w:rFonts w:hint="eastAsia" w:ascii="宋体" w:hAnsi="宋体" w:eastAsia="宋体"/>
          <w:strike w:val="0"/>
          <w:dstrike w:val="0"/>
          <w:color w:val="auto"/>
          <w:sz w:val="24"/>
          <w:szCs w:val="24"/>
          <w:highlight w:val="none"/>
          <w:u w:val="none"/>
        </w:rPr>
        <w:t>，并按照《广</w:t>
      </w:r>
      <w:r>
        <w:rPr>
          <w:rFonts w:hint="eastAsia" w:ascii="宋体" w:hAnsi="宋体" w:eastAsia="宋体"/>
          <w:strike w:val="0"/>
          <w:dstrike w:val="0"/>
          <w:color w:val="auto"/>
          <w:sz w:val="24"/>
          <w:szCs w:val="24"/>
          <w:highlight w:val="none"/>
          <w:u w:val="none"/>
          <w:lang w:eastAsia="zh-CN"/>
        </w:rPr>
        <w:t>东</w:t>
      </w:r>
      <w:r>
        <w:rPr>
          <w:rFonts w:hint="eastAsia" w:ascii="宋体" w:hAnsi="宋体" w:eastAsia="宋体"/>
          <w:strike w:val="0"/>
          <w:dstrike w:val="0"/>
          <w:color w:val="auto"/>
          <w:sz w:val="24"/>
          <w:szCs w:val="24"/>
          <w:highlight w:val="none"/>
          <w:u w:val="none"/>
        </w:rPr>
        <w:t>省实施&lt;中华人民共和国招标投标法&gt;办法》第二十五条规定，按期退回投标保证金。</w:t>
      </w:r>
    </w:p>
    <w:p w14:paraId="4C16C939">
      <w:pPr>
        <w:spacing w:line="360" w:lineRule="auto"/>
        <w:ind w:firstLine="480" w:firstLineChars="200"/>
        <w:rPr>
          <w:rFonts w:hint="eastAsia" w:ascii="宋体" w:hAnsi="宋体" w:eastAsia="宋体"/>
          <w:strike w:val="0"/>
          <w:dstrike w:val="0"/>
          <w:color w:val="auto"/>
          <w:sz w:val="24"/>
          <w:szCs w:val="24"/>
          <w:highlight w:val="none"/>
          <w:u w:val="none"/>
        </w:rPr>
      </w:pPr>
      <w:r>
        <w:rPr>
          <w:rFonts w:hint="eastAsia" w:ascii="宋体" w:hAnsi="宋体" w:eastAsia="宋体"/>
          <w:strike w:val="0"/>
          <w:dstrike w:val="0"/>
          <w:color w:val="auto"/>
          <w:sz w:val="24"/>
          <w:szCs w:val="24"/>
          <w:highlight w:val="none"/>
          <w:u w:val="none"/>
        </w:rPr>
        <w:t>16.2所有投标保证金必须由投标人的银行基本账户转出。</w:t>
      </w:r>
    </w:p>
    <w:p w14:paraId="32DA91D4">
      <w:pPr>
        <w:spacing w:line="360" w:lineRule="auto"/>
        <w:ind w:firstLine="480" w:firstLineChars="200"/>
        <w:rPr>
          <w:rFonts w:hint="eastAsia" w:ascii="宋体" w:hAnsi="宋体" w:eastAsia="宋体"/>
          <w:strike w:val="0"/>
          <w:dstrike w:val="0"/>
          <w:color w:val="auto"/>
          <w:sz w:val="24"/>
          <w:szCs w:val="24"/>
          <w:highlight w:val="none"/>
          <w:u w:val="none"/>
        </w:rPr>
      </w:pPr>
      <w:r>
        <w:rPr>
          <w:rFonts w:hint="eastAsia" w:ascii="宋体" w:hAnsi="宋体" w:eastAsia="宋体"/>
          <w:strike w:val="0"/>
          <w:dstrike w:val="0"/>
          <w:color w:val="auto"/>
          <w:sz w:val="24"/>
          <w:szCs w:val="24"/>
          <w:highlight w:val="none"/>
          <w:u w:val="none"/>
        </w:rPr>
        <w:t>16.3</w:t>
      </w:r>
      <w:r>
        <w:rPr>
          <w:rFonts w:hint="eastAsia" w:ascii="宋体" w:hAnsi="宋体" w:eastAsia="宋体" w:cs="宋体"/>
          <w:strike w:val="0"/>
          <w:dstrike w:val="0"/>
          <w:color w:val="auto"/>
          <w:sz w:val="24"/>
          <w:szCs w:val="24"/>
          <w:highlight w:val="none"/>
          <w:u w:val="none"/>
        </w:rPr>
        <w:t>如采用转帐、现金、支票、汇票形式提交的，</w:t>
      </w:r>
      <w:r>
        <w:rPr>
          <w:rFonts w:hint="eastAsia" w:ascii="宋体" w:hAnsi="宋体" w:eastAsia="宋体"/>
          <w:strike w:val="0"/>
          <w:dstrike w:val="0"/>
          <w:color w:val="auto"/>
          <w:sz w:val="24"/>
          <w:szCs w:val="24"/>
          <w:highlight w:val="none"/>
          <w:u w:val="none"/>
        </w:rPr>
        <w:t>可委托广州交易集团有限公司（广州公共资源交易中心）代收投标保证金，其缴纳情况以广州公共资源交易</w:t>
      </w:r>
      <w:r>
        <w:rPr>
          <w:rFonts w:hint="eastAsia" w:ascii="宋体" w:hAnsi="宋体" w:eastAsia="宋体"/>
          <w:strike w:val="0"/>
          <w:dstrike w:val="0"/>
          <w:color w:val="auto"/>
          <w:sz w:val="24"/>
          <w:szCs w:val="24"/>
          <w:highlight w:val="none"/>
          <w:u w:val="none"/>
          <w:lang w:eastAsia="zh-CN"/>
        </w:rPr>
        <w:t>平台</w:t>
      </w:r>
      <w:r>
        <w:rPr>
          <w:rFonts w:hint="eastAsia" w:ascii="宋体" w:hAnsi="宋体" w:eastAsia="宋体"/>
          <w:strike w:val="0"/>
          <w:dstrike w:val="0"/>
          <w:color w:val="auto"/>
          <w:sz w:val="24"/>
          <w:szCs w:val="24"/>
          <w:highlight w:val="none"/>
          <w:u w:val="none"/>
        </w:rPr>
        <w:t>数据库记录的信息为准。</w:t>
      </w:r>
    </w:p>
    <w:p w14:paraId="5F146BBB">
      <w:pPr>
        <w:spacing w:line="360" w:lineRule="auto"/>
        <w:ind w:firstLine="480" w:firstLineChars="200"/>
        <w:rPr>
          <w:rFonts w:ascii="宋体" w:hAnsi="宋体" w:eastAsia="宋体"/>
          <w:strike w:val="0"/>
          <w:dstrike w:val="0"/>
          <w:color w:val="auto"/>
          <w:sz w:val="24"/>
          <w:szCs w:val="24"/>
          <w:highlight w:val="none"/>
          <w:u w:val="none"/>
        </w:rPr>
      </w:pPr>
      <w:r>
        <w:rPr>
          <w:rFonts w:hint="eastAsia" w:ascii="宋体" w:hAnsi="宋体" w:eastAsia="宋体"/>
          <w:strike w:val="0"/>
          <w:dstrike w:val="0"/>
          <w:color w:val="auto"/>
          <w:sz w:val="24"/>
          <w:szCs w:val="24"/>
          <w:highlight w:val="none"/>
          <w:u w:val="none"/>
        </w:rPr>
        <w:t>16.4缴费的操作详见广州公共资源交易</w:t>
      </w:r>
      <w:r>
        <w:rPr>
          <w:rFonts w:hint="eastAsia" w:ascii="宋体" w:hAnsi="宋体" w:eastAsia="宋体"/>
          <w:strike w:val="0"/>
          <w:dstrike w:val="0"/>
          <w:color w:val="auto"/>
          <w:sz w:val="24"/>
          <w:szCs w:val="24"/>
          <w:highlight w:val="none"/>
          <w:u w:val="none"/>
          <w:lang w:eastAsia="zh-CN"/>
        </w:rPr>
        <w:t>网站</w:t>
      </w:r>
      <w:r>
        <w:rPr>
          <w:rFonts w:hint="eastAsia" w:ascii="宋体" w:hAnsi="宋体" w:eastAsia="宋体"/>
          <w:strike w:val="0"/>
          <w:dstrike w:val="0"/>
          <w:color w:val="auto"/>
          <w:sz w:val="24"/>
          <w:szCs w:val="24"/>
          <w:highlight w:val="none"/>
          <w:u w:val="none"/>
        </w:rPr>
        <w:t>公布的操作指引。</w:t>
      </w:r>
    </w:p>
    <w:p w14:paraId="0AF66974">
      <w:pPr>
        <w:spacing w:line="360" w:lineRule="auto"/>
        <w:ind w:firstLine="480" w:firstLineChars="200"/>
        <w:rPr>
          <w:rFonts w:hint="eastAsia" w:ascii="宋体" w:hAnsi="宋体" w:eastAsia="宋体"/>
          <w:strike w:val="0"/>
          <w:dstrike w:val="0"/>
          <w:color w:val="auto"/>
          <w:sz w:val="24"/>
          <w:szCs w:val="24"/>
          <w:highlight w:val="none"/>
          <w:u w:val="none"/>
        </w:rPr>
      </w:pPr>
      <w:r>
        <w:rPr>
          <w:rFonts w:hint="eastAsia" w:ascii="宋体" w:hAnsi="宋体" w:eastAsia="宋体"/>
          <w:strike w:val="0"/>
          <w:dstrike w:val="0"/>
          <w:color w:val="auto"/>
          <w:sz w:val="24"/>
          <w:szCs w:val="24"/>
          <w:highlight w:val="none"/>
          <w:u w:val="none"/>
        </w:rPr>
        <w:t>16.5 投标人未按要求递交投标保证金的，其投标文件将被否决。如采用保函或保险等形式提交的，保函需开具给招标人，保函有效期不少于投标有效期。保证保险需开具给招标人（受益人必须是招标人），保证保险有效期不少于投标有效期。如采用投标保函或投标保证保险的形式提交投标保证金的，在开标前不强制要求投标人提交纸质原件，由中标候选人在中标候选人公示前提交并在网上公示，投标人应在投标文件中提交投标保函或投标保证保险扫描件并加盖投标人电子印章。</w:t>
      </w:r>
    </w:p>
    <w:p w14:paraId="638221B5">
      <w:pPr>
        <w:spacing w:line="360" w:lineRule="auto"/>
        <w:ind w:firstLine="480" w:firstLineChars="200"/>
        <w:rPr>
          <w:rFonts w:ascii="宋体" w:hAnsi="宋体" w:eastAsia="宋体"/>
          <w:strike w:val="0"/>
          <w:dstrike w:val="0"/>
          <w:color w:val="auto"/>
          <w:sz w:val="24"/>
          <w:szCs w:val="24"/>
          <w:highlight w:val="none"/>
          <w:u w:val="none"/>
        </w:rPr>
      </w:pPr>
      <w:r>
        <w:rPr>
          <w:rFonts w:hint="eastAsia" w:ascii="宋体" w:hAnsi="宋体" w:eastAsia="宋体"/>
          <w:strike w:val="0"/>
          <w:dstrike w:val="0"/>
          <w:color w:val="auto"/>
          <w:sz w:val="24"/>
          <w:szCs w:val="24"/>
          <w:highlight w:val="none"/>
          <w:u w:val="none"/>
        </w:rPr>
        <w:t>16.6如有下列情况之一的，招标人将不予退还投标保证金：</w:t>
      </w:r>
    </w:p>
    <w:p w14:paraId="4F25E092">
      <w:pPr>
        <w:spacing w:line="360" w:lineRule="auto"/>
        <w:ind w:firstLine="480" w:firstLineChars="200"/>
        <w:rPr>
          <w:rFonts w:ascii="宋体" w:hAnsi="宋体" w:eastAsia="宋体"/>
          <w:strike w:val="0"/>
          <w:dstrike w:val="0"/>
          <w:color w:val="auto"/>
          <w:sz w:val="24"/>
          <w:szCs w:val="24"/>
          <w:highlight w:val="none"/>
          <w:u w:val="none"/>
        </w:rPr>
      </w:pPr>
      <w:r>
        <w:rPr>
          <w:rFonts w:hint="eastAsia" w:ascii="宋体" w:hAnsi="宋体" w:eastAsia="宋体"/>
          <w:strike w:val="0"/>
          <w:dstrike w:val="0"/>
          <w:color w:val="auto"/>
          <w:sz w:val="24"/>
          <w:szCs w:val="24"/>
          <w:highlight w:val="none"/>
          <w:u w:val="none"/>
        </w:rPr>
        <w:t>16.6.1投标人在投标有效期内撤销投标文件；</w:t>
      </w:r>
    </w:p>
    <w:p w14:paraId="0B797678">
      <w:pPr>
        <w:spacing w:line="360" w:lineRule="auto"/>
        <w:ind w:firstLine="480" w:firstLineChars="200"/>
        <w:rPr>
          <w:rFonts w:ascii="宋体" w:hAnsi="宋体" w:eastAsia="宋体"/>
          <w:strike w:val="0"/>
          <w:dstrike w:val="0"/>
          <w:color w:val="auto"/>
          <w:sz w:val="24"/>
          <w:szCs w:val="24"/>
          <w:highlight w:val="none"/>
          <w:u w:val="none"/>
        </w:rPr>
      </w:pPr>
      <w:r>
        <w:rPr>
          <w:rFonts w:hint="eastAsia" w:ascii="宋体" w:hAnsi="宋体" w:eastAsia="宋体"/>
          <w:strike w:val="0"/>
          <w:dstrike w:val="0"/>
          <w:color w:val="auto"/>
          <w:sz w:val="24"/>
          <w:szCs w:val="24"/>
          <w:highlight w:val="none"/>
          <w:u w:val="none"/>
        </w:rPr>
        <w:t>16.6.2中标人未在规定期限内按要求提交履约担保；</w:t>
      </w:r>
    </w:p>
    <w:p w14:paraId="24901C6E">
      <w:pPr>
        <w:spacing w:line="360" w:lineRule="auto"/>
        <w:ind w:firstLine="480" w:firstLineChars="200"/>
        <w:rPr>
          <w:rFonts w:ascii="宋体" w:hAnsi="宋体" w:eastAsia="宋体"/>
          <w:strike w:val="0"/>
          <w:dstrike w:val="0"/>
          <w:color w:val="auto"/>
          <w:sz w:val="24"/>
          <w:szCs w:val="24"/>
          <w:highlight w:val="none"/>
          <w:u w:val="none"/>
        </w:rPr>
      </w:pPr>
      <w:r>
        <w:rPr>
          <w:rFonts w:hint="eastAsia" w:ascii="宋体" w:hAnsi="宋体" w:eastAsia="宋体"/>
          <w:strike w:val="0"/>
          <w:dstrike w:val="0"/>
          <w:color w:val="auto"/>
          <w:sz w:val="24"/>
          <w:szCs w:val="24"/>
          <w:highlight w:val="none"/>
          <w:u w:val="none"/>
        </w:rPr>
        <w:t>16.6.3中标人未在规定期限内签订合同。</w:t>
      </w:r>
    </w:p>
    <w:p w14:paraId="5A7A2C80">
      <w:pPr>
        <w:pStyle w:val="32"/>
        <w:spacing w:after="0" w:line="360" w:lineRule="auto"/>
        <w:ind w:firstLine="477" w:firstLineChars="198"/>
        <w:rPr>
          <w:rFonts w:ascii="宋体" w:hAnsi="宋体" w:eastAsia="宋体"/>
          <w:b/>
          <w:bCs/>
          <w:color w:val="auto"/>
          <w:sz w:val="24"/>
          <w:highlight w:val="none"/>
        </w:rPr>
      </w:pPr>
      <w:r>
        <w:rPr>
          <w:rFonts w:hint="eastAsia" w:ascii="宋体" w:hAnsi="宋体" w:eastAsia="宋体"/>
          <w:b/>
          <w:bCs/>
          <w:color w:val="auto"/>
          <w:sz w:val="24"/>
          <w:highlight w:val="none"/>
        </w:rPr>
        <w:t>17.投标文件的份数和签署</w:t>
      </w:r>
    </w:p>
    <w:p w14:paraId="7040DD56">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szCs w:val="21"/>
          <w:highlight w:val="none"/>
        </w:rPr>
        <w:t>17.1</w:t>
      </w:r>
      <w:r>
        <w:rPr>
          <w:rFonts w:hint="eastAsia" w:ascii="宋体" w:hAnsi="宋体" w:eastAsia="宋体"/>
          <w:color w:val="auto"/>
          <w:sz w:val="24"/>
          <w:highlight w:val="none"/>
        </w:rPr>
        <w:t>投标人应按投标须知前附表第19项规定的份数递交投标文件。</w:t>
      </w:r>
    </w:p>
    <w:p w14:paraId="50CB44A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szCs w:val="24"/>
          <w:highlight w:val="none"/>
        </w:rPr>
        <w:t>17.2</w:t>
      </w:r>
      <w:r>
        <w:rPr>
          <w:rFonts w:hint="eastAsia" w:ascii="宋体" w:hAnsi="宋体" w:eastAsia="宋体"/>
          <w:color w:val="auto"/>
          <w:sz w:val="24"/>
          <w:highlight w:val="none"/>
        </w:rPr>
        <w:t>除投标人对错误处须修改外，全套投标文件应无涂改或增删，如有修改，修改处应由投标人加盖投标人的印章或由投标文件签字人签字或盖章。</w:t>
      </w:r>
    </w:p>
    <w:p w14:paraId="47B16A11">
      <w:pPr>
        <w:pStyle w:val="4"/>
        <w:spacing w:before="120"/>
        <w:rPr>
          <w:rFonts w:ascii="宋体" w:eastAsia="宋体"/>
          <w:color w:val="auto"/>
          <w:highlight w:val="none"/>
        </w:rPr>
      </w:pPr>
      <w:bookmarkStart w:id="51" w:name="_Toc6267"/>
      <w:r>
        <w:rPr>
          <w:rFonts w:hint="eastAsia" w:ascii="宋体" w:eastAsia="宋体"/>
          <w:color w:val="auto"/>
          <w:highlight w:val="none"/>
        </w:rPr>
        <w:t>（四）投标文件的递交</w:t>
      </w:r>
      <w:bookmarkEnd w:id="51"/>
    </w:p>
    <w:p w14:paraId="3A1D2417">
      <w:pPr>
        <w:pStyle w:val="32"/>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18．</w:t>
      </w:r>
      <w:r>
        <w:rPr>
          <w:rFonts w:hint="eastAsia" w:ascii="宋体" w:hAnsi="宋体" w:eastAsia="宋体"/>
          <w:b/>
          <w:color w:val="auto"/>
          <w:sz w:val="24"/>
          <w:szCs w:val="24"/>
          <w:highlight w:val="none"/>
        </w:rPr>
        <w:t>投标文件的密封</w:t>
      </w:r>
    </w:p>
    <w:p w14:paraId="54BF5616">
      <w:pPr>
        <w:spacing w:line="360" w:lineRule="auto"/>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18.1 投标文件的密封要求：投标人应使用广州公共资源交易服务系统提供的软件制作电子投标文件并进行电子签名、电子签章及加密打包。不得修改所生成电子投标文件的文件格式。</w:t>
      </w:r>
    </w:p>
    <w:p w14:paraId="23F6B459">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1"/>
          <w:highlight w:val="none"/>
        </w:rPr>
        <w:t>18.2投标文件的电子签名和电子签章要求： 电子投标文件必须包含完整的投标人电子签名及电子签章。</w:t>
      </w:r>
    </w:p>
    <w:p w14:paraId="4B95344F">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19．投标文件的递交和接收</w:t>
      </w:r>
    </w:p>
    <w:p w14:paraId="75793ADE">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19.1 投标人代表应按投标须知前附表第20项所规定的时间和地点向招标人递交投标文件。</w:t>
      </w:r>
    </w:p>
    <w:p w14:paraId="26391852">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19.2投标人使用制作该投标文件的机构业务数字证书递交投标文件。</w:t>
      </w:r>
    </w:p>
    <w:p w14:paraId="561CF0EE">
      <w:pPr>
        <w:spacing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highlight w:val="none"/>
        </w:rPr>
        <w:t>19.3</w:t>
      </w:r>
      <w:r>
        <w:rPr>
          <w:rFonts w:hint="eastAsia" w:ascii="宋体" w:hAnsi="宋体" w:eastAsia="宋体"/>
          <w:color w:val="auto"/>
          <w:sz w:val="24"/>
          <w:szCs w:val="24"/>
          <w:highlight w:val="none"/>
        </w:rPr>
        <w:t>若出现以下情况之一的，招标人将拒绝接收投标文件：</w:t>
      </w:r>
    </w:p>
    <w:p w14:paraId="792466BF">
      <w:pPr>
        <w:spacing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19.3.1投标文件未在递交投标文件截止时间前完整上传并保存在广州公共资源交易电子评标系统且取得回执的； </w:t>
      </w:r>
    </w:p>
    <w:p w14:paraId="733FE6CB">
      <w:pPr>
        <w:spacing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19.3.2投标文件未按招标文件要求进行电子签名和电子签章，并进行加密的；</w:t>
      </w:r>
    </w:p>
    <w:p w14:paraId="6A798DA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19.3.3 投标文件中投标人电子签名或电子签章不完整的；</w:t>
      </w:r>
    </w:p>
    <w:p w14:paraId="123648BD">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19.3.4 投标文件损坏或格式不正确的；</w:t>
      </w:r>
    </w:p>
    <w:p w14:paraId="77294C7D">
      <w:pPr>
        <w:spacing w:line="360" w:lineRule="auto"/>
        <w:ind w:firstLine="523" w:firstLineChars="218"/>
        <w:rPr>
          <w:rFonts w:ascii="宋体" w:hAnsi="宋体" w:eastAsia="宋体"/>
          <w:strike w:val="0"/>
          <w:dstrike w:val="0"/>
          <w:color w:val="auto"/>
          <w:sz w:val="24"/>
          <w:szCs w:val="24"/>
          <w:highlight w:val="none"/>
        </w:rPr>
      </w:pPr>
      <w:r>
        <w:rPr>
          <w:rFonts w:hint="eastAsia" w:ascii="宋体" w:hAnsi="宋体" w:eastAsia="宋体"/>
          <w:strike w:val="0"/>
          <w:dstrike w:val="0"/>
          <w:color w:val="auto"/>
          <w:sz w:val="24"/>
          <w:szCs w:val="24"/>
          <w:highlight w:val="none"/>
        </w:rPr>
        <w:t>19.3.5 投标人未按要求递交投标保证金的（如设置投标保证金的）。</w:t>
      </w:r>
    </w:p>
    <w:p w14:paraId="4E299B6F">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highlight w:val="none"/>
        </w:rPr>
        <w:t xml:space="preserve">19.4 </w:t>
      </w:r>
      <w:r>
        <w:rPr>
          <w:rFonts w:hint="eastAsia" w:ascii="宋体" w:hAnsi="宋体" w:eastAsia="宋体"/>
          <w:color w:val="auto"/>
          <w:sz w:val="24"/>
          <w:szCs w:val="24"/>
          <w:highlight w:val="none"/>
        </w:rPr>
        <w:t>递交投标文件截止时间前，招标人拒绝接收符合条件的投标文件，投标人可向招标监督机构投诉。</w:t>
      </w:r>
    </w:p>
    <w:p w14:paraId="1B412F57">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20．递交投标文件的截止时间</w:t>
      </w:r>
    </w:p>
    <w:p w14:paraId="149ECEEB">
      <w:pPr>
        <w:spacing w:line="360" w:lineRule="auto"/>
        <w:ind w:firstLine="480" w:firstLineChars="200"/>
        <w:rPr>
          <w:rFonts w:ascii="宋体" w:hAnsi="宋体" w:eastAsia="宋体"/>
          <w:b/>
          <w:bCs/>
          <w:color w:val="auto"/>
          <w:sz w:val="24"/>
          <w:highlight w:val="none"/>
        </w:rPr>
      </w:pPr>
      <w:r>
        <w:rPr>
          <w:rFonts w:hint="eastAsia" w:ascii="宋体" w:hAnsi="宋体" w:eastAsia="宋体"/>
          <w:color w:val="auto"/>
          <w:sz w:val="24"/>
          <w:highlight w:val="none"/>
        </w:rPr>
        <w:t>20.1投标人应在投标须知前附表第 20 项所述的时间前递交投标文件。截止时间以广州公共资源交易信息系统服务器从中国科学院国家授时中心取得的北京时间为准。</w:t>
      </w:r>
    </w:p>
    <w:p w14:paraId="2318662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20.2招标人可按本须知第9条规定以招标文件修改的方式，酌情延长递交投标文件的截止时间。在此情况下，投标人的所有权利和义务以及投标人受制约的截止时间，均以延长后递交投标文件截止时间为准。</w:t>
      </w:r>
    </w:p>
    <w:p w14:paraId="41A7727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20.3 到递交投标文件截止时间止，</w:t>
      </w:r>
      <w:r>
        <w:rPr>
          <w:rFonts w:hint="eastAsia" w:ascii="宋体" w:hAnsi="宋体" w:eastAsia="宋体"/>
          <w:color w:val="auto"/>
          <w:sz w:val="24"/>
          <w:szCs w:val="24"/>
          <w:highlight w:val="none"/>
        </w:rPr>
        <w:t>若递交投标文件的投标人不足3家，招标人将依法重新组织招标</w:t>
      </w:r>
      <w:r>
        <w:rPr>
          <w:rFonts w:hint="eastAsia" w:ascii="宋体" w:hAnsi="宋体" w:eastAsia="宋体"/>
          <w:color w:val="auto"/>
          <w:sz w:val="24"/>
          <w:highlight w:val="none"/>
        </w:rPr>
        <w:t>（</w:t>
      </w:r>
      <w:r>
        <w:rPr>
          <w:rFonts w:hint="eastAsia" w:ascii="宋体" w:hAnsi="宋体" w:eastAsia="宋体"/>
          <w:color w:val="auto"/>
          <w:sz w:val="24"/>
          <w:szCs w:val="24"/>
          <w:highlight w:val="none"/>
        </w:rPr>
        <w:t>当N个标段同时招标且不允许兼中时，若递交投标文件单位不足N+2家，招标人将依法重新组织招标</w:t>
      </w:r>
      <w:r>
        <w:rPr>
          <w:rFonts w:hint="eastAsia" w:ascii="宋体" w:hAnsi="宋体" w:eastAsia="宋体"/>
          <w:color w:val="auto"/>
          <w:sz w:val="24"/>
          <w:highlight w:val="none"/>
        </w:rPr>
        <w:t>）。</w:t>
      </w:r>
    </w:p>
    <w:p w14:paraId="0F013B9F">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21．迟交的投标文件</w:t>
      </w:r>
    </w:p>
    <w:p w14:paraId="0AC587A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递交投标文件截止时间到达后，电子评标系统将不允许投标人上传投标文件。</w:t>
      </w:r>
    </w:p>
    <w:p w14:paraId="3DBBF30B">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22．投标文件的补充、修改与撤回</w:t>
      </w:r>
    </w:p>
    <w:p w14:paraId="2315024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22.1投标人在递交投标文件截止时间前，可以撤回或替换已递交的投标文件。</w:t>
      </w:r>
    </w:p>
    <w:p w14:paraId="4B444F1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22.3 在递交投标文件截止时间后，投标人不得补充、修改和更换投标文件。</w:t>
      </w:r>
    </w:p>
    <w:p w14:paraId="5BD1D00A">
      <w:pPr>
        <w:snapToGrid w:val="0"/>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22.4在递交投标文件截止时间后，投标人在投标文件格式中规定的有效期终止日前，投标人不能撤回投标文件，否则其投标保证金将不予退还，且招标人有权就其撤回行为报告政府主管部门载入不良信用记录。</w:t>
      </w:r>
    </w:p>
    <w:p w14:paraId="0B4C2999">
      <w:pPr>
        <w:snapToGrid w:val="0"/>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23.投标信息录入</w:t>
      </w:r>
    </w:p>
    <w:p w14:paraId="32E5E44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投标人应在上传电子投标文件前将投标人的相关信息在广州公共资源交易服务系统中录入完毕。</w:t>
      </w:r>
    </w:p>
    <w:p w14:paraId="50EFEE43">
      <w:pPr>
        <w:pStyle w:val="4"/>
        <w:spacing w:before="120"/>
        <w:rPr>
          <w:rFonts w:ascii="宋体" w:eastAsia="宋体"/>
          <w:color w:val="auto"/>
          <w:highlight w:val="none"/>
        </w:rPr>
      </w:pPr>
      <w:bookmarkStart w:id="52" w:name="_Toc23819"/>
      <w:r>
        <w:rPr>
          <w:rFonts w:hint="eastAsia" w:ascii="宋体" w:eastAsia="宋体"/>
          <w:color w:val="auto"/>
          <w:highlight w:val="none"/>
        </w:rPr>
        <w:t>（五）开标、评标、定标及合同签订</w:t>
      </w:r>
      <w:bookmarkEnd w:id="52"/>
    </w:p>
    <w:p w14:paraId="7C9961EA">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24.开标</w:t>
      </w:r>
    </w:p>
    <w:p w14:paraId="7F954CD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详见第二章开标、评标及定标办法。</w:t>
      </w:r>
    </w:p>
    <w:p w14:paraId="35D6DE11">
      <w:pPr>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25.投标人对投标文件的解密</w:t>
      </w:r>
    </w:p>
    <w:p w14:paraId="4D5D65CC">
      <w:pPr>
        <w:spacing w:line="360" w:lineRule="auto"/>
        <w:ind w:firstLine="480" w:firstLineChars="200"/>
        <w:rPr>
          <w:rFonts w:ascii="宋体" w:hAnsi="宋体" w:eastAsia="宋体"/>
          <w:color w:val="auto"/>
          <w:sz w:val="24"/>
          <w:highlight w:val="none"/>
        </w:rPr>
      </w:pPr>
      <w:r>
        <w:rPr>
          <w:rFonts w:hint="eastAsia" w:ascii="宋体" w:hAnsi="宋体" w:eastAsia="宋体" w:cs="仿宋_GB2312"/>
          <w:color w:val="auto"/>
          <w:sz w:val="24"/>
          <w:szCs w:val="24"/>
          <w:highlight w:val="none"/>
        </w:rPr>
        <w:t>25.1递交投标文件截止时间到达后的</w:t>
      </w:r>
      <w:r>
        <w:rPr>
          <w:rFonts w:hint="eastAsia" w:ascii="宋体" w:hAnsi="宋体" w:eastAsia="宋体" w:cs="仿宋_GB2312"/>
          <w:color w:val="auto"/>
          <w:sz w:val="24"/>
          <w:szCs w:val="24"/>
          <w:highlight w:val="none"/>
          <w:u w:val="single"/>
          <w:lang w:val="en-US" w:eastAsia="zh-CN"/>
        </w:rPr>
        <w:t>1</w:t>
      </w:r>
      <w:r>
        <w:rPr>
          <w:rFonts w:hint="eastAsia" w:ascii="宋体" w:hAnsi="宋体" w:eastAsia="宋体" w:cs="仿宋_GB2312"/>
          <w:color w:val="auto"/>
          <w:sz w:val="24"/>
          <w:szCs w:val="24"/>
          <w:highlight w:val="none"/>
        </w:rPr>
        <w:t>小时内为投标人对其电子投标文件的解密时间，投标人须在规定的解密时间内使用</w:t>
      </w:r>
      <w:r>
        <w:rPr>
          <w:rFonts w:hint="eastAsia" w:ascii="宋体" w:hAnsi="宋体" w:eastAsia="宋体"/>
          <w:color w:val="auto"/>
          <w:sz w:val="24"/>
          <w:szCs w:val="24"/>
          <w:highlight w:val="none"/>
        </w:rPr>
        <w:t>制作该投标文件的机构业务数字证书</w:t>
      </w:r>
      <w:r>
        <w:rPr>
          <w:rFonts w:hint="eastAsia" w:ascii="宋体" w:hAnsi="宋体" w:eastAsia="宋体" w:cs="仿宋_GB2312"/>
          <w:color w:val="auto"/>
          <w:sz w:val="24"/>
          <w:szCs w:val="24"/>
          <w:highlight w:val="none"/>
        </w:rPr>
        <w:t>对投标文件进行解密，逾期未解密的投标文件将被否决</w:t>
      </w:r>
      <w:r>
        <w:rPr>
          <w:rFonts w:hint="eastAsia" w:ascii="宋体" w:hAnsi="宋体" w:eastAsia="宋体"/>
          <w:color w:val="auto"/>
          <w:sz w:val="24"/>
          <w:szCs w:val="24"/>
          <w:highlight w:val="none"/>
        </w:rPr>
        <w:t>。</w:t>
      </w:r>
    </w:p>
    <w:p w14:paraId="2FF637F4">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25.2因投标人原因造成投标文件未解密的，视为撤销其投标文件。</w:t>
      </w:r>
    </w:p>
    <w:p w14:paraId="5C9DA7CC">
      <w:pPr>
        <w:spacing w:line="360" w:lineRule="auto"/>
        <w:ind w:firstLine="482" w:firstLineChars="200"/>
        <w:rPr>
          <w:rFonts w:hint="eastAsia" w:ascii="宋体" w:hAnsi="宋体" w:eastAsia="宋体"/>
          <w:b/>
          <w:color w:val="auto"/>
          <w:sz w:val="24"/>
          <w:highlight w:val="none"/>
        </w:rPr>
      </w:pPr>
      <w:r>
        <w:rPr>
          <w:rFonts w:hint="eastAsia" w:ascii="宋体" w:hAnsi="宋体" w:eastAsia="宋体"/>
          <w:b/>
          <w:bCs/>
          <w:color w:val="auto"/>
          <w:sz w:val="24"/>
          <w:highlight w:val="none"/>
        </w:rPr>
        <w:t>26．招标人</w:t>
      </w:r>
      <w:r>
        <w:rPr>
          <w:rFonts w:hint="eastAsia" w:ascii="宋体" w:hAnsi="宋体" w:eastAsia="宋体"/>
          <w:b/>
          <w:color w:val="auto"/>
          <w:sz w:val="24"/>
          <w:highlight w:val="none"/>
        </w:rPr>
        <w:t>对投标文件的解密</w:t>
      </w:r>
    </w:p>
    <w:p w14:paraId="0D6DA33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s="仿宋_GB2312"/>
          <w:color w:val="auto"/>
          <w:sz w:val="24"/>
          <w:szCs w:val="24"/>
          <w:highlight w:val="none"/>
        </w:rPr>
        <w:t>投标人对投标文件的解密时间截止后，</w:t>
      </w:r>
      <w:r>
        <w:rPr>
          <w:rFonts w:hint="eastAsia" w:ascii="宋体" w:hAnsi="宋体" w:eastAsia="宋体"/>
          <w:color w:val="auto"/>
          <w:sz w:val="24"/>
          <w:szCs w:val="24"/>
          <w:highlight w:val="none"/>
        </w:rPr>
        <w:t>招标人或招标代理机构</w:t>
      </w:r>
      <w:r>
        <w:rPr>
          <w:rFonts w:hint="eastAsia" w:ascii="宋体" w:hAnsi="宋体" w:eastAsia="宋体" w:cs="仿宋_GB2312"/>
          <w:color w:val="auto"/>
          <w:sz w:val="24"/>
          <w:szCs w:val="24"/>
          <w:highlight w:val="none"/>
        </w:rPr>
        <w:t>使用</w:t>
      </w:r>
      <w:r>
        <w:rPr>
          <w:rFonts w:hint="eastAsia" w:ascii="宋体" w:hAnsi="宋体" w:eastAsia="宋体"/>
          <w:color w:val="auto"/>
          <w:sz w:val="24"/>
          <w:szCs w:val="24"/>
          <w:highlight w:val="none"/>
        </w:rPr>
        <w:t>制作该招标文件的机构业务数字证书对所有投标人电子投标文件进行招标人解密。</w:t>
      </w:r>
    </w:p>
    <w:p w14:paraId="77D03880">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27.评标过程的保密</w:t>
      </w:r>
    </w:p>
    <w:p w14:paraId="3020891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27.1 开标后，直至中标候选人公示为止，凡属于对投标文件的审查、澄清、评价和比较有关的资料、中标候选人的推荐情况及与评标有关的其他任何情况均严格保密。</w:t>
      </w:r>
    </w:p>
    <w:p w14:paraId="22060C3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27.2 在投标文件的评审和比较、中标候选人推荐以及授予合同的过程中，投标人向招标人和评标委员会施加不公正影响的任何行为，都将会导致其投标被拒绝。</w:t>
      </w:r>
    </w:p>
    <w:p w14:paraId="7335AF55">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28．投标文件的澄清，计算错误的修正</w:t>
      </w:r>
    </w:p>
    <w:p w14:paraId="1BCFD38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详见招标文件第二章开标、评标及定标办法。</w:t>
      </w:r>
    </w:p>
    <w:p w14:paraId="02D576D2">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29．投标文件的评审、比较和否决</w:t>
      </w:r>
    </w:p>
    <w:p w14:paraId="3B328C95">
      <w:pPr>
        <w:spacing w:line="360" w:lineRule="auto"/>
        <w:ind w:firstLine="480" w:firstLineChars="200"/>
        <w:rPr>
          <w:rFonts w:ascii="宋体" w:hAnsi="宋体" w:eastAsia="宋体"/>
          <w:bCs/>
          <w:color w:val="auto"/>
          <w:sz w:val="24"/>
          <w:szCs w:val="24"/>
          <w:highlight w:val="none"/>
        </w:rPr>
      </w:pPr>
      <w:r>
        <w:rPr>
          <w:rFonts w:hint="eastAsia" w:ascii="宋体" w:hAnsi="宋体" w:eastAsia="宋体"/>
          <w:color w:val="auto"/>
          <w:sz w:val="24"/>
          <w:highlight w:val="none"/>
        </w:rPr>
        <w:t>详见招标文件第二章开标、评标及定标办法。</w:t>
      </w:r>
      <w:r>
        <w:rPr>
          <w:rFonts w:hint="eastAsia" w:ascii="宋体" w:hAnsi="宋体" w:eastAsia="宋体"/>
          <w:color w:val="auto"/>
          <w:sz w:val="24"/>
          <w:szCs w:val="24"/>
          <w:highlight w:val="none"/>
        </w:rPr>
        <w:t>经评标委员会评审，资格审查合格的投标人或通过否决性条款审查的投标人少于3个的，招标人将依法重新招标。</w:t>
      </w:r>
    </w:p>
    <w:p w14:paraId="0233330D">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30．中标通知书</w:t>
      </w:r>
    </w:p>
    <w:p w14:paraId="6F3ADBE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30.1定标后，招标人将就规定的内容在广州公共资源交易</w:t>
      </w:r>
      <w:r>
        <w:rPr>
          <w:rFonts w:hint="eastAsia" w:ascii="宋体" w:hAnsi="宋体" w:eastAsia="宋体"/>
          <w:color w:val="auto"/>
          <w:sz w:val="24"/>
          <w:highlight w:val="none"/>
          <w:lang w:eastAsia="zh-CN"/>
        </w:rPr>
        <w:t>网站</w:t>
      </w:r>
      <w:r>
        <w:rPr>
          <w:rFonts w:hint="eastAsia" w:ascii="宋体" w:hAnsi="宋体" w:eastAsia="宋体"/>
          <w:color w:val="auto"/>
          <w:sz w:val="24"/>
          <w:highlight w:val="none"/>
        </w:rPr>
        <w:t>公示3日。</w:t>
      </w:r>
    </w:p>
    <w:p w14:paraId="3F15058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30.2在中标人确定后，招标人应当向中标人发出中标通知书，并同时将中标结果通知所有未中标的投标人。</w:t>
      </w:r>
    </w:p>
    <w:p w14:paraId="335B5B5E">
      <w:pPr>
        <w:spacing w:line="360" w:lineRule="auto"/>
        <w:ind w:firstLine="480" w:firstLineChars="200"/>
        <w:rPr>
          <w:rFonts w:ascii="宋体" w:hAnsi="宋体" w:eastAsia="宋体"/>
          <w:color w:val="auto"/>
          <w:sz w:val="24"/>
          <w:highlight w:val="none"/>
          <w:bdr w:val="single" w:color="auto" w:sz="4" w:space="0"/>
        </w:rPr>
      </w:pPr>
      <w:r>
        <w:rPr>
          <w:rFonts w:hint="eastAsia" w:ascii="宋体" w:hAnsi="宋体" w:eastAsia="宋体"/>
          <w:color w:val="auto"/>
          <w:sz w:val="24"/>
          <w:highlight w:val="none"/>
        </w:rPr>
        <w:t>30.3中标人必须在收到中标通知书后24小时之内以书面形式回复招标人，确认收到。</w:t>
      </w:r>
    </w:p>
    <w:p w14:paraId="5CA8C6E8">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31．合同协议书的签订</w:t>
      </w:r>
    </w:p>
    <w:p w14:paraId="72CAA50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31.1 招标人与中标人将于中标通知书发出之日起30日内，按照招标文件和中标人的投标文件商定和签订合同，招标人和中标人不得再行订立背离合同实质性内容的其他协议。</w:t>
      </w:r>
    </w:p>
    <w:p w14:paraId="1872114C">
      <w:pPr>
        <w:shd w:val="clear" w:color="auto" w:fill="auto"/>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A2606D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31.3未经招标人同意，中标人在投标过程中使用的银行名称及</w:t>
      </w:r>
      <w:r>
        <w:rPr>
          <w:rFonts w:hint="eastAsia" w:ascii="宋体" w:hAnsi="宋体" w:eastAsia="宋体"/>
          <w:color w:val="auto"/>
          <w:sz w:val="24"/>
          <w:highlight w:val="none"/>
          <w:lang w:eastAsia="zh-CN"/>
        </w:rPr>
        <w:t>账号</w:t>
      </w:r>
      <w:r>
        <w:rPr>
          <w:rFonts w:hint="eastAsia" w:ascii="宋体" w:hAnsi="宋体" w:eastAsia="宋体"/>
          <w:color w:val="auto"/>
          <w:sz w:val="24"/>
          <w:highlight w:val="none"/>
        </w:rPr>
        <w:t>至完成竣工结算不得变更，否则招标人有权停止工程款项的</w:t>
      </w:r>
      <w:r>
        <w:rPr>
          <w:rFonts w:hint="eastAsia" w:ascii="宋体" w:hAnsi="宋体" w:eastAsia="宋体"/>
          <w:color w:val="auto"/>
          <w:sz w:val="24"/>
          <w:highlight w:val="none"/>
          <w:lang w:eastAsia="zh-CN"/>
        </w:rPr>
        <w:t>拨付</w:t>
      </w:r>
      <w:r>
        <w:rPr>
          <w:rFonts w:hint="eastAsia" w:ascii="宋体" w:hAnsi="宋体" w:eastAsia="宋体"/>
          <w:color w:val="auto"/>
          <w:sz w:val="24"/>
          <w:highlight w:val="none"/>
        </w:rPr>
        <w:t>及至解除合同，由此造成的一切责任由中标人承担。</w:t>
      </w:r>
    </w:p>
    <w:p w14:paraId="5C5518D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31.4招标人支付工程款时，中标人应提供工程所在地发票。</w:t>
      </w:r>
    </w:p>
    <w:p w14:paraId="21A148B7">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32．履约担保</w:t>
      </w:r>
    </w:p>
    <w:p w14:paraId="0A00FFDD">
      <w:pPr>
        <w:snapToGrid w:val="0"/>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32.1 在收到中标通知书后的15日内，中标人应按本须知前附表第27项的规定向招标人递交履约担保；如果中标人的履约担保是以金融机构保函或保证保险的形式提供，则该金融机构或保险公司的注册地址须是在中国大陆境内。金融机构保函或保证保险均需开具给招标人（受益人必须是招标人）。</w:t>
      </w:r>
    </w:p>
    <w:p w14:paraId="4048ED38">
      <w:pPr>
        <w:snapToGrid w:val="0"/>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32.2中标通知书发出之日起15日后，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F657C04">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33．合同生效</w:t>
      </w:r>
    </w:p>
    <w:p w14:paraId="02CCEA2E">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在合同双方全权代表在合同协议书上签字，并分别加盖双方单位的公章后，合同正式生效。</w:t>
      </w:r>
    </w:p>
    <w:p w14:paraId="7DA0F663">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34．其它费用</w:t>
      </w:r>
    </w:p>
    <w:p w14:paraId="1EE08C42">
      <w:pPr>
        <w:spacing w:line="360" w:lineRule="auto"/>
        <w:ind w:firstLine="480" w:firstLineChars="200"/>
        <w:rPr>
          <w:rFonts w:hint="eastAsia" w:ascii="宋体" w:hAnsi="宋体" w:eastAsia="宋体"/>
          <w:b/>
          <w:bCs/>
          <w:color w:val="auto"/>
          <w:sz w:val="24"/>
          <w:highlight w:val="none"/>
        </w:rPr>
      </w:pPr>
      <w:r>
        <w:rPr>
          <w:rFonts w:hint="eastAsia" w:ascii="宋体" w:hAnsi="宋体" w:eastAsia="宋体"/>
          <w:color w:val="auto"/>
          <w:sz w:val="24"/>
          <w:highlight w:val="none"/>
        </w:rPr>
        <w:t>公共资源交易服务费应根据政府有关规定支付。</w:t>
      </w:r>
    </w:p>
    <w:p w14:paraId="6F44413D">
      <w:pPr>
        <w:pStyle w:val="32"/>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35．腐败与敲诈行为</w:t>
      </w:r>
    </w:p>
    <w:p w14:paraId="2C1E729D">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在招标和合同实施期间，业主要求投标人和承包人遵守最高的道德标准。</w:t>
      </w:r>
    </w:p>
    <w:p w14:paraId="67D78438">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35.1对本条款的规定，特定义如下词汇：</w:t>
      </w:r>
    </w:p>
    <w:p w14:paraId="170B4C88">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（1）“腐败行为”是指在招标或合同执行期间，通过提供、给予、接受或索要任何有价值的东西，从而影响招标人有关人员工作的行为；</w:t>
      </w:r>
    </w:p>
    <w:p w14:paraId="5726F692">
      <w:pPr>
        <w:pStyle w:val="32"/>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欺诈行为”是指通过提供伪证影响招标或合同执行，从而损害招标人利益的行为；也包括投标人之间串通（在递交投标书之前或之后），人为地使招标过程失去竞争性，从而使业主无法从公开的自由竞争中获得利益的行为。</w:t>
      </w:r>
    </w:p>
    <w:p w14:paraId="211A10BE">
      <w:pPr>
        <w:pStyle w:val="32"/>
        <w:spacing w:after="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35.2如果投标人被认定在本招标的竞争中有腐败或欺诈行为，则会被取消投标资格。</w:t>
      </w:r>
    </w:p>
    <w:p w14:paraId="6ADAC17A">
      <w:pPr>
        <w:pStyle w:val="32"/>
        <w:spacing w:after="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35.3投标人如在本项目中存在串通投标、弄虚作假、行贿情形的，中标无效，该投标人将被招标人列入黑名单并限制其投标。行政监督机构将对其违法行为进行行政处罚并通报。</w:t>
      </w:r>
    </w:p>
    <w:p w14:paraId="44581757">
      <w:pPr>
        <w:pStyle w:val="32"/>
        <w:spacing w:after="0" w:line="360" w:lineRule="auto"/>
        <w:ind w:firstLine="482" w:firstLineChars="200"/>
        <w:rPr>
          <w:rFonts w:hint="eastAsia" w:ascii="宋体" w:eastAsia="宋体"/>
          <w:b/>
          <w:color w:val="auto"/>
          <w:sz w:val="24"/>
          <w:highlight w:val="none"/>
        </w:rPr>
      </w:pPr>
      <w:r>
        <w:rPr>
          <w:rFonts w:hint="eastAsia" w:ascii="宋体" w:eastAsia="宋体"/>
          <w:b/>
          <w:color w:val="auto"/>
          <w:sz w:val="24"/>
          <w:highlight w:val="none"/>
        </w:rPr>
        <w:t>36.其他</w:t>
      </w:r>
    </w:p>
    <w:p w14:paraId="79052891">
      <w:pPr>
        <w:pStyle w:val="32"/>
        <w:spacing w:after="0" w:line="360" w:lineRule="auto"/>
        <w:ind w:firstLine="480" w:firstLineChars="200"/>
        <w:rPr>
          <w:rFonts w:hint="eastAsia" w:ascii="宋体" w:hAnsi="宋体" w:eastAsia="宋体"/>
          <w:color w:val="auto"/>
          <w:sz w:val="24"/>
          <w:highlight w:val="none"/>
        </w:rPr>
      </w:pPr>
      <w:r>
        <w:rPr>
          <w:rFonts w:hint="eastAsia" w:ascii="宋体" w:eastAsia="宋体"/>
          <w:color w:val="auto"/>
          <w:sz w:val="24"/>
          <w:highlight w:val="none"/>
        </w:rPr>
        <w:t>其他投标人须知事项，见投标须知前附表第36项。</w:t>
      </w:r>
    </w:p>
    <w:p w14:paraId="0B17A497">
      <w:pPr>
        <w:pStyle w:val="32"/>
        <w:spacing w:after="0" w:line="360" w:lineRule="auto"/>
        <w:ind w:firstLine="480" w:firstLineChars="200"/>
        <w:rPr>
          <w:rFonts w:hint="eastAsia" w:ascii="宋体" w:hAnsi="宋体" w:eastAsia="宋体"/>
          <w:color w:val="auto"/>
          <w:sz w:val="24"/>
          <w:highlight w:val="none"/>
        </w:rPr>
      </w:pPr>
    </w:p>
    <w:p w14:paraId="274CFE5C">
      <w:pPr>
        <w:pStyle w:val="3"/>
        <w:rPr>
          <w:rFonts w:ascii="宋体" w:eastAsia="宋体"/>
          <w:b w:val="0"/>
          <w:color w:val="auto"/>
          <w:highlight w:val="none"/>
        </w:rPr>
      </w:pPr>
      <w:bookmarkStart w:id="53" w:name="_第二章__开标、评标及定标办法"/>
      <w:bookmarkEnd w:id="53"/>
      <w:r>
        <w:rPr>
          <w:rFonts w:hint="eastAsia" w:ascii="宋体" w:eastAsia="宋体"/>
          <w:color w:val="auto"/>
          <w:highlight w:val="none"/>
        </w:rPr>
        <w:br w:type="page"/>
      </w:r>
      <w:bookmarkStart w:id="54" w:name="_Toc12712"/>
      <w:bookmarkStart w:id="55" w:name="_Toc24465"/>
      <w:bookmarkStart w:id="56" w:name="_Toc21220"/>
      <w:bookmarkStart w:id="57" w:name="_Toc13102"/>
      <w:bookmarkStart w:id="58" w:name="_Toc613"/>
      <w:bookmarkStart w:id="59" w:name="_Toc9777"/>
      <w:bookmarkStart w:id="60" w:name="_Toc262229168"/>
      <w:bookmarkStart w:id="61" w:name="_Toc4405"/>
      <w:bookmarkStart w:id="62" w:name="_Toc19123"/>
      <w:bookmarkStart w:id="63" w:name="_Toc20599"/>
      <w:bookmarkStart w:id="64" w:name="_Toc27137"/>
      <w:bookmarkStart w:id="65" w:name="_Toc11805"/>
      <w:bookmarkStart w:id="66" w:name="_Toc155150492"/>
      <w:bookmarkStart w:id="67" w:name="_Toc155150494"/>
      <w:r>
        <w:rPr>
          <w:rFonts w:hint="eastAsia" w:ascii="宋体" w:eastAsia="宋体"/>
          <w:b w:val="0"/>
          <w:color w:val="auto"/>
          <w:highlight w:val="none"/>
        </w:rPr>
        <w:t>第二章  开标、评标及定标办法</w:t>
      </w:r>
      <w:bookmarkEnd w:id="54"/>
      <w:bookmarkEnd w:id="55"/>
      <w:bookmarkEnd w:id="56"/>
      <w:bookmarkEnd w:id="57"/>
      <w:bookmarkEnd w:id="58"/>
      <w:bookmarkEnd w:id="59"/>
      <w:bookmarkEnd w:id="60"/>
      <w:bookmarkEnd w:id="61"/>
      <w:bookmarkEnd w:id="62"/>
      <w:bookmarkEnd w:id="63"/>
      <w:bookmarkEnd w:id="64"/>
      <w:bookmarkEnd w:id="65"/>
      <w:bookmarkEnd w:id="66"/>
    </w:p>
    <w:p w14:paraId="4E95C3EC">
      <w:pPr>
        <w:pStyle w:val="4"/>
        <w:spacing w:before="120"/>
        <w:rPr>
          <w:rFonts w:ascii="宋体" w:eastAsia="宋体"/>
          <w:color w:val="auto"/>
          <w:highlight w:val="none"/>
        </w:rPr>
      </w:pPr>
      <w:bookmarkStart w:id="68" w:name="_一、开标、评标及定标办法修改表"/>
      <w:bookmarkEnd w:id="68"/>
      <w:bookmarkStart w:id="69" w:name="_Toc22769"/>
      <w:bookmarkStart w:id="70" w:name="_Toc26062"/>
      <w:bookmarkStart w:id="71" w:name="_Toc4196"/>
      <w:bookmarkStart w:id="72" w:name="_Toc24406"/>
      <w:bookmarkStart w:id="73" w:name="_Toc25798"/>
      <w:bookmarkStart w:id="74" w:name="_Toc5930"/>
      <w:bookmarkStart w:id="75" w:name="_Toc9492"/>
      <w:bookmarkStart w:id="76" w:name="_Toc31530"/>
      <w:bookmarkStart w:id="77" w:name="_Toc22676"/>
      <w:bookmarkStart w:id="78" w:name="_Toc262229169"/>
      <w:bookmarkStart w:id="79" w:name="_Toc26366"/>
      <w:bookmarkStart w:id="80" w:name="_Toc5823"/>
      <w:bookmarkStart w:id="81" w:name="_Toc155150493"/>
      <w:r>
        <w:rPr>
          <w:rFonts w:hint="eastAsia" w:ascii="宋体" w:eastAsia="宋体"/>
          <w:color w:val="auto"/>
          <w:highlight w:val="none"/>
        </w:rPr>
        <w:t>一、开标、评标及定标办法修改表</w:t>
      </w:r>
      <w:bookmarkEnd w:id="69"/>
      <w:bookmarkEnd w:id="70"/>
      <w:bookmarkEnd w:id="71"/>
      <w:bookmarkEnd w:id="72"/>
      <w:bookmarkEnd w:id="73"/>
      <w:bookmarkEnd w:id="74"/>
      <w:bookmarkEnd w:id="75"/>
      <w:bookmarkEnd w:id="76"/>
      <w:bookmarkEnd w:id="77"/>
      <w:bookmarkEnd w:id="78"/>
      <w:bookmarkEnd w:id="79"/>
      <w:bookmarkEnd w:id="80"/>
      <w:bookmarkEnd w:id="81"/>
    </w:p>
    <w:p w14:paraId="350C87DD">
      <w:pPr>
        <w:pStyle w:val="32"/>
        <w:spacing w:after="0" w:line="360" w:lineRule="auto"/>
        <w:ind w:firstLine="0"/>
        <w:rPr>
          <w:rFonts w:ascii="宋体" w:hAnsi="宋体" w:eastAsia="宋体"/>
          <w:b/>
          <w:color w:val="auto"/>
          <w:szCs w:val="21"/>
          <w:highlight w:val="none"/>
        </w:rPr>
      </w:pPr>
      <w:r>
        <w:rPr>
          <w:rFonts w:hint="eastAsia" w:ascii="宋体" w:hAnsi="宋体" w:eastAsia="宋体"/>
          <w:b/>
          <w:color w:val="auto"/>
          <w:szCs w:val="21"/>
          <w:highlight w:val="none"/>
        </w:rPr>
        <w:t>声明：本</w:t>
      </w:r>
      <w:r>
        <w:rPr>
          <w:rFonts w:hint="eastAsia" w:ascii="宋体" w:hAnsi="宋体" w:eastAsia="宋体"/>
          <w:b/>
          <w:color w:val="auto"/>
          <w:highlight w:val="none"/>
        </w:rPr>
        <w:t>开标、评标及定标办法使用GZYLZB202</w:t>
      </w:r>
      <w:r>
        <w:rPr>
          <w:rFonts w:hint="eastAsia" w:ascii="宋体" w:hAnsi="宋体" w:eastAsia="宋体"/>
          <w:b/>
          <w:color w:val="auto"/>
          <w:highlight w:val="none"/>
          <w:lang w:val="en-US" w:eastAsia="zh-CN"/>
        </w:rPr>
        <w:t>3</w:t>
      </w:r>
      <w:r>
        <w:rPr>
          <w:rFonts w:hint="eastAsia" w:ascii="宋体" w:hAnsi="宋体" w:eastAsia="宋体"/>
          <w:b/>
          <w:color w:val="auto"/>
          <w:highlight w:val="none"/>
        </w:rPr>
        <w:t>-1招标文件范本的开标、评标及定标办法</w:t>
      </w:r>
      <w:r>
        <w:rPr>
          <w:rFonts w:hint="eastAsia" w:ascii="宋体" w:hAnsi="宋体" w:eastAsia="宋体"/>
          <w:b/>
          <w:color w:val="auto"/>
          <w:szCs w:val="21"/>
          <w:highlight w:val="none"/>
        </w:rPr>
        <w:t>通用条款，与该通用条款不同之处，均在本表中列明，修改之处均以下划线标明，并以现文为准，原文不再有效。没有在本表中列明的条款，以原文为准。本招标文件中不再转录</w:t>
      </w:r>
      <w:r>
        <w:rPr>
          <w:rFonts w:hint="eastAsia" w:ascii="宋体" w:hAnsi="宋体" w:eastAsia="宋体"/>
          <w:b/>
          <w:color w:val="auto"/>
          <w:highlight w:val="none"/>
        </w:rPr>
        <w:t>开标、评标及定标办法</w:t>
      </w:r>
      <w:r>
        <w:rPr>
          <w:rFonts w:hint="eastAsia" w:ascii="宋体" w:hAnsi="宋体" w:eastAsia="宋体"/>
          <w:b/>
          <w:color w:val="auto"/>
          <w:szCs w:val="21"/>
          <w:highlight w:val="none"/>
        </w:rPr>
        <w:t>通用条款，请投标人自行到广州市林业和园林局网站（网址：http://lyylj.gz.gov.cn/）下载查阅。</w:t>
      </w:r>
    </w:p>
    <w:p w14:paraId="3A320791">
      <w:pPr>
        <w:pBdr>
          <w:bottom w:val="single" w:color="auto" w:sz="6" w:space="1"/>
        </w:pBd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条款号：38.</w:t>
      </w:r>
      <w:r>
        <w:rPr>
          <w:rFonts w:hint="eastAsia" w:ascii="宋体" w:hAnsi="宋体" w:eastAsia="宋体" w:cs="宋体"/>
          <w:b/>
          <w:color w:val="auto"/>
          <w:szCs w:val="21"/>
          <w:highlight w:val="none"/>
          <w:lang w:val="en-US" w:eastAsia="zh-CN"/>
        </w:rPr>
        <w:t>3.3</w:t>
      </w:r>
      <w:r>
        <w:rPr>
          <w:rFonts w:hint="eastAsia" w:ascii="宋体" w:hAnsi="宋体" w:eastAsia="宋体" w:cs="宋体"/>
          <w:b/>
          <w:color w:val="auto"/>
          <w:szCs w:val="21"/>
          <w:highlight w:val="none"/>
        </w:rPr>
        <w:t xml:space="preserve">                    修改类型：</w:t>
      </w:r>
      <w:r>
        <w:rPr>
          <w:rFonts w:hint="eastAsia" w:ascii="宋体" w:hAnsi="宋体" w:eastAsia="宋体" w:cs="宋体"/>
          <w:b/>
          <w:color w:val="auto"/>
          <w:szCs w:val="21"/>
          <w:highlight w:val="none"/>
          <w:lang w:val="en-US" w:eastAsia="zh-CN"/>
        </w:rPr>
        <w:t>删除</w:t>
      </w:r>
    </w:p>
    <w:p w14:paraId="1CD5DEE5">
      <w:pPr>
        <w:pBdr>
          <w:bottom w:val="single" w:color="auto" w:sz="6" w:space="1"/>
        </w:pBd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val="0"/>
          <w:bCs/>
          <w:color w:val="auto"/>
          <w:szCs w:val="21"/>
          <w:highlight w:val="none"/>
        </w:rPr>
        <w:t>38.3.3投标人未按要求递交投标保证金的；</w:t>
      </w:r>
    </w:p>
    <w:p w14:paraId="7C5424F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38.4</w:t>
      </w:r>
      <w:r>
        <w:rPr>
          <w:rFonts w:hint="eastAsia" w:ascii="宋体" w:hAnsi="宋体" w:eastAsia="宋体"/>
          <w:b/>
          <w:color w:val="auto"/>
          <w:szCs w:val="21"/>
          <w:highlight w:val="none"/>
        </w:rPr>
        <w:t xml:space="preserve">             修改类型：修改</w:t>
      </w:r>
    </w:p>
    <w:p w14:paraId="4148D71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38.4若递交投标文件的投标人不足3个，则重新组织招标（当N个标段同时招标且不允许兼中时，若递交投标文件单位不足N+2个，则重新组织招标）。</w:t>
      </w:r>
    </w:p>
    <w:p w14:paraId="3792975A">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Cs w:val="21"/>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38.4若递交投标文件的投标人不足3个，则重新组织招标</w:t>
      </w:r>
      <w:r>
        <w:rPr>
          <w:rFonts w:hint="eastAsia" w:ascii="宋体" w:hAnsi="宋体" w:eastAsia="宋体"/>
          <w:b w:val="0"/>
          <w:bCs/>
          <w:color w:val="auto"/>
          <w:szCs w:val="21"/>
          <w:highlight w:val="none"/>
          <w:u w:val="single"/>
        </w:rPr>
        <w:t>。</w:t>
      </w:r>
    </w:p>
    <w:p w14:paraId="6450E6E6">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条款号：41.1             修改类型：修改</w:t>
      </w:r>
    </w:p>
    <w:p w14:paraId="5450F69E">
      <w:pPr>
        <w:spacing w:line="360" w:lineRule="auto"/>
        <w:ind w:firstLine="422" w:firstLineChars="200"/>
        <w:rPr>
          <w:rFonts w:hint="eastAsia"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41.1不采用评定分离的，评标委员会推荐中标候选人</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名（不多于3名）。</w:t>
      </w:r>
    </w:p>
    <w:p w14:paraId="462DE3DB">
      <w:pPr>
        <w:spacing w:line="360" w:lineRule="auto"/>
        <w:ind w:firstLine="420" w:firstLineChars="200"/>
        <w:rPr>
          <w:rFonts w:ascii="宋体" w:hAnsi="宋体" w:eastAsia="宋体"/>
          <w:b w:val="0"/>
          <w:bCs/>
          <w:color w:val="auto"/>
          <w:szCs w:val="21"/>
          <w:highlight w:val="none"/>
        </w:rPr>
      </w:pPr>
      <w:r>
        <w:rPr>
          <w:rFonts w:hint="eastAsia" w:ascii="宋体" w:hAnsi="宋体" w:eastAsia="宋体"/>
          <w:b w:val="0"/>
          <w:bCs/>
          <w:color w:val="auto"/>
          <w:szCs w:val="21"/>
          <w:highlight w:val="none"/>
        </w:rPr>
        <w:t>评标委员会向招标人推荐按综合得分高低排序的中标候选人。招标人在评标委员会推荐的中标候选人中确定中标人。依法必须招标的项目，招标人应当确定排名第一的中标候选人为中标人。</w:t>
      </w:r>
    </w:p>
    <w:p w14:paraId="1E42A9C8">
      <w:pPr>
        <w:pBdr>
          <w:top w:val="none" w:color="auto" w:sz="0" w:space="0"/>
          <w:left w:val="none" w:color="auto" w:sz="0" w:space="0"/>
          <w:bottom w:val="none" w:color="auto" w:sz="0" w:space="0"/>
          <w:right w:val="none" w:color="auto" w:sz="0" w:space="0"/>
          <w:between w:val="none" w:color="auto" w:sz="0" w:space="0"/>
        </w:pBdr>
        <w:tabs>
          <w:tab w:val="left" w:pos="1890"/>
        </w:tabs>
        <w:snapToGrid w:val="0"/>
        <w:spacing w:line="360" w:lineRule="auto"/>
        <w:ind w:firstLine="422" w:firstLineChars="200"/>
        <w:rPr>
          <w:rFonts w:hint="eastAsia" w:ascii="宋体" w:hAnsi="宋体" w:eastAsia="宋体"/>
          <w:b w:val="0"/>
          <w:bCs/>
          <w:color w:val="auto"/>
          <w:szCs w:val="21"/>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41.1不采用评定分离的，评标委员会推荐中标候选人</w:t>
      </w:r>
      <w:r>
        <w:rPr>
          <w:rFonts w:hint="eastAsia" w:ascii="宋体" w:hAnsi="宋体" w:eastAsia="宋体"/>
          <w:b w:val="0"/>
          <w:bCs/>
          <w:color w:val="auto"/>
          <w:szCs w:val="21"/>
          <w:highlight w:val="none"/>
          <w:u w:val="single"/>
        </w:rPr>
        <w:t>3</w:t>
      </w:r>
      <w:r>
        <w:rPr>
          <w:rFonts w:hint="eastAsia" w:ascii="宋体" w:hAnsi="宋体" w:eastAsia="宋体"/>
          <w:b w:val="0"/>
          <w:bCs/>
          <w:color w:val="auto"/>
          <w:szCs w:val="21"/>
          <w:highlight w:val="none"/>
        </w:rPr>
        <w:t>名（不多于3名）。</w:t>
      </w:r>
    </w:p>
    <w:p w14:paraId="4D1410A0">
      <w:pPr>
        <w:tabs>
          <w:tab w:val="left" w:pos="1890"/>
        </w:tabs>
        <w:snapToGrid w:val="0"/>
        <w:spacing w:line="360" w:lineRule="auto"/>
        <w:ind w:firstLine="420" w:firstLineChars="200"/>
        <w:rPr>
          <w:rFonts w:hint="eastAsia" w:ascii="宋体" w:hAnsi="宋体" w:eastAsia="宋体" w:cs="Times New Roman"/>
          <w:bCs/>
          <w:color w:val="auto"/>
          <w:szCs w:val="21"/>
          <w:highlight w:val="none"/>
          <w:u w:val="none"/>
          <w:lang w:val="en-US" w:eastAsia="zh-CN"/>
        </w:rPr>
      </w:pPr>
      <w:r>
        <w:rPr>
          <w:rFonts w:hint="eastAsia" w:ascii="宋体" w:hAnsi="宋体" w:eastAsia="宋体" w:cs="Times New Roman"/>
          <w:b w:val="0"/>
          <w:bCs/>
          <w:color w:val="auto"/>
          <w:szCs w:val="21"/>
          <w:highlight w:val="none"/>
        </w:rPr>
        <w:t>评标委员会向招标人推荐按综合得分高低排序的中标候选人。招标人在评标委员会推荐的中标候选人中确定中标人。依法必须招标的项目，招标人应当确定排名第一的中标候选人为中标人</w:t>
      </w:r>
      <w:r>
        <w:rPr>
          <w:rFonts w:hint="eastAsia" w:ascii="宋体" w:hAnsi="宋体" w:eastAsia="宋体" w:cs="Times New Roman"/>
          <w:bCs/>
          <w:color w:val="auto"/>
          <w:szCs w:val="21"/>
          <w:highlight w:val="none"/>
          <w:u w:val="none"/>
          <w:lang w:val="en-US" w:eastAsia="zh-CN"/>
        </w:rPr>
        <w:t>。</w:t>
      </w:r>
    </w:p>
    <w:p w14:paraId="4BC76DEF">
      <w:pPr>
        <w:pBdr>
          <w:top w:val="none" w:color="auto" w:sz="0" w:space="0"/>
          <w:left w:val="none" w:color="auto" w:sz="0" w:space="0"/>
          <w:bottom w:val="single" w:color="auto" w:sz="6" w:space="1"/>
          <w:right w:val="none" w:color="auto" w:sz="0" w:space="0"/>
          <w:between w:val="none" w:color="auto" w:sz="0" w:space="0"/>
        </w:pBdr>
        <w:spacing w:line="360" w:lineRule="auto"/>
        <w:rPr>
          <w:rFonts w:hint="eastAsia" w:ascii="宋体" w:hAnsi="宋体" w:eastAsia="宋体" w:cs="Times New Roman"/>
          <w:b w:val="0"/>
          <w:bCs/>
          <w:color w:val="auto"/>
          <w:szCs w:val="21"/>
          <w:highlight w:val="none"/>
        </w:rPr>
      </w:pPr>
    </w:p>
    <w:p w14:paraId="006FD357">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条款号：41.2             修改类型：删除</w:t>
      </w:r>
    </w:p>
    <w:p w14:paraId="2FA24621">
      <w:pPr>
        <w:spacing w:line="360" w:lineRule="auto"/>
        <w:ind w:firstLine="422" w:firstLineChars="200"/>
        <w:rPr>
          <w:rFonts w:hint="eastAsia"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41.2采用评定分离的，评标委员会推荐中标候选人</w:t>
      </w:r>
      <w:r>
        <w:rPr>
          <w:rFonts w:hint="eastAsia" w:ascii="宋体" w:hAnsi="宋体" w:eastAsia="宋体"/>
          <w:b w:val="0"/>
          <w:bCs/>
          <w:strike w:val="0"/>
          <w:dstrike w:val="0"/>
          <w:color w:val="auto"/>
          <w:szCs w:val="21"/>
          <w:highlight w:val="none"/>
          <w:u w:val="single"/>
        </w:rPr>
        <w:t xml:space="preserve">   </w:t>
      </w:r>
      <w:r>
        <w:rPr>
          <w:rFonts w:hint="eastAsia" w:ascii="宋体" w:hAnsi="宋体" w:eastAsia="宋体"/>
          <w:b w:val="0"/>
          <w:bCs/>
          <w:color w:val="auto"/>
          <w:szCs w:val="21"/>
          <w:highlight w:val="none"/>
        </w:rPr>
        <w:t>名（3-5名）。</w:t>
      </w:r>
    </w:p>
    <w:p w14:paraId="1F15464A">
      <w:pPr>
        <w:pBdr>
          <w:bottom w:val="single" w:color="auto" w:sz="6" w:space="1"/>
        </w:pBdr>
        <w:spacing w:line="360" w:lineRule="auto"/>
        <w:ind w:firstLine="420" w:firstLineChars="200"/>
        <w:rPr>
          <w:rFonts w:hint="eastAsia" w:ascii="宋体" w:hAnsi="宋体" w:eastAsia="宋体"/>
          <w:b w:val="0"/>
          <w:bCs/>
          <w:color w:val="auto"/>
          <w:szCs w:val="21"/>
          <w:highlight w:val="none"/>
          <w:u w:val="single"/>
        </w:rPr>
      </w:pPr>
      <w:r>
        <w:rPr>
          <w:rFonts w:hint="eastAsia" w:ascii="宋体" w:hAnsi="宋体" w:eastAsia="宋体"/>
          <w:b w:val="0"/>
          <w:bCs/>
          <w:color w:val="auto"/>
          <w:szCs w:val="21"/>
          <w:highlight w:val="none"/>
        </w:rPr>
        <w:t>评标委员会向招标人推荐不排序的中标候选人。定标委员会在中标候选人中按照定标办法（详见附件一）确定中标人。</w:t>
      </w:r>
    </w:p>
    <w:p w14:paraId="628814EE">
      <w:pPr>
        <w:spacing w:line="480" w:lineRule="auto"/>
        <w:ind w:firstLine="422" w:firstLineChars="200"/>
        <w:rPr>
          <w:rFonts w:hint="eastAsia" w:ascii="宋体" w:hAnsi="宋体" w:eastAsia="宋体" w:cs="等线"/>
          <w:b/>
          <w:color w:val="auto"/>
          <w:szCs w:val="21"/>
          <w:highlight w:val="none"/>
        </w:rPr>
      </w:pPr>
      <w:r>
        <w:rPr>
          <w:rFonts w:hint="eastAsia" w:ascii="宋体" w:hAnsi="宋体" w:eastAsia="宋体" w:cs="等线"/>
          <w:b/>
          <w:color w:val="auto"/>
          <w:szCs w:val="21"/>
          <w:highlight w:val="none"/>
        </w:rPr>
        <w:t>条款号：4</w:t>
      </w:r>
      <w:r>
        <w:rPr>
          <w:rFonts w:ascii="宋体" w:hAnsi="宋体" w:eastAsia="宋体" w:cs="等线"/>
          <w:b/>
          <w:color w:val="auto"/>
          <w:szCs w:val="21"/>
          <w:highlight w:val="none"/>
        </w:rPr>
        <w:t>1.3</w:t>
      </w:r>
      <w:r>
        <w:rPr>
          <w:rFonts w:hint="eastAsia" w:ascii="宋体" w:hAnsi="宋体" w:eastAsia="宋体" w:cs="等线"/>
          <w:b/>
          <w:color w:val="auto"/>
          <w:szCs w:val="21"/>
          <w:highlight w:val="none"/>
        </w:rPr>
        <w:t xml:space="preserve">       修改类型：修改</w:t>
      </w:r>
    </w:p>
    <w:p w14:paraId="0ECF19D7">
      <w:pPr>
        <w:spacing w:line="480" w:lineRule="auto"/>
        <w:ind w:firstLine="422" w:firstLineChars="200"/>
        <w:rPr>
          <w:rFonts w:ascii="宋体" w:hAnsi="宋体" w:eastAsia="宋体" w:cs="等线"/>
          <w:color w:val="auto"/>
          <w:szCs w:val="21"/>
          <w:highlight w:val="none"/>
        </w:rPr>
      </w:pPr>
      <w:r>
        <w:rPr>
          <w:rFonts w:hint="eastAsia" w:ascii="宋体" w:hAnsi="宋体" w:eastAsia="宋体" w:cs="等线"/>
          <w:b/>
          <w:color w:val="auto"/>
          <w:szCs w:val="21"/>
          <w:highlight w:val="none"/>
        </w:rPr>
        <w:t>原文：</w:t>
      </w:r>
      <w:r>
        <w:rPr>
          <w:rFonts w:hint="eastAsia" w:ascii="宋体" w:hAnsi="宋体" w:eastAsia="宋体" w:cs="等线"/>
          <w:color w:val="auto"/>
          <w:szCs w:val="21"/>
          <w:highlight w:val="none"/>
        </w:rPr>
        <w:t>4</w:t>
      </w:r>
      <w:r>
        <w:rPr>
          <w:rFonts w:ascii="宋体" w:hAnsi="宋体" w:eastAsia="宋体" w:cs="等线"/>
          <w:color w:val="auto"/>
          <w:szCs w:val="21"/>
          <w:highlight w:val="none"/>
        </w:rPr>
        <w:t>1.3</w:t>
      </w:r>
      <w:r>
        <w:rPr>
          <w:rFonts w:hint="eastAsia" w:ascii="宋体" w:hAnsi="宋体" w:eastAsia="宋体" w:cs="等线"/>
          <w:color w:val="auto"/>
          <w:szCs w:val="21"/>
          <w:highlight w:val="none"/>
        </w:rPr>
        <w:t>中标人确定后，招标人（招标代理机构）通过广州公共资源交易网站和广东省招标投标监管网公示中标结果，向中标人发出中标通知书，并同时将中标结果通知所有未中标的投标人。投标人或其他利害关系人对评标结果有异议的，应当在中标候选人公示期间通过电子交易平台或书面方式提出。通过电子交易平台提出异议的，招标人线上作出答复。作出答复前，应当暂停招标投标活动。</w:t>
      </w:r>
    </w:p>
    <w:p w14:paraId="25856F94">
      <w:pPr>
        <w:pBdr>
          <w:bottom w:val="single" w:color="auto" w:sz="6" w:space="1"/>
        </w:pBdr>
        <w:spacing w:line="480" w:lineRule="auto"/>
        <w:ind w:firstLine="424" w:firstLineChars="201"/>
        <w:rPr>
          <w:rFonts w:hint="eastAsia" w:ascii="宋体" w:hAnsi="宋体" w:eastAsia="宋体" w:cs="等线"/>
          <w:b/>
          <w:color w:val="auto"/>
          <w:szCs w:val="21"/>
          <w:highlight w:val="none"/>
        </w:rPr>
      </w:pPr>
      <w:r>
        <w:rPr>
          <w:rFonts w:hint="eastAsia" w:ascii="宋体" w:hAnsi="宋体" w:eastAsia="宋体" w:cs="等线"/>
          <w:b/>
          <w:color w:val="auto"/>
          <w:szCs w:val="21"/>
          <w:highlight w:val="none"/>
        </w:rPr>
        <w:t>现文：</w:t>
      </w:r>
      <w:r>
        <w:rPr>
          <w:rFonts w:hint="eastAsia" w:ascii="宋体" w:hAnsi="宋体" w:eastAsia="宋体" w:cs="等线"/>
          <w:color w:val="auto"/>
          <w:szCs w:val="21"/>
          <w:highlight w:val="none"/>
        </w:rPr>
        <w:t>4</w:t>
      </w:r>
      <w:r>
        <w:rPr>
          <w:rFonts w:ascii="宋体" w:hAnsi="宋体" w:eastAsia="宋体" w:cs="等线"/>
          <w:color w:val="auto"/>
          <w:szCs w:val="21"/>
          <w:highlight w:val="none"/>
        </w:rPr>
        <w:t>1.3</w:t>
      </w:r>
      <w:r>
        <w:rPr>
          <w:rFonts w:hint="eastAsia" w:ascii="宋体" w:hAnsi="宋体" w:eastAsia="宋体" w:cs="等线"/>
          <w:color w:val="auto"/>
          <w:szCs w:val="21"/>
          <w:highlight w:val="none"/>
        </w:rPr>
        <w:t>中标人确定后，招标人（招标代理机构）通过广州公共资源交易网站和广东省招标投标监管网公示中标结果，向中标人发出中标通知书。投标人或其他利害关系人对评标结果有异议的，应当在中标候选人公示期间通过电子交易平台或书面方式提出。通过电子交易平台提出异议的，招标人线上作出答复。作出答复前，应当暂停招标投标活动。</w:t>
      </w:r>
    </w:p>
    <w:p w14:paraId="254195BA">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条款号：41.4             修改类型：修改</w:t>
      </w:r>
    </w:p>
    <w:p w14:paraId="0D3C19C6">
      <w:pPr>
        <w:spacing w:line="360" w:lineRule="auto"/>
        <w:ind w:firstLine="422" w:firstLineChars="200"/>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41.4招标人应当自确定中标人之日起十五日内，向招标管理机构提交招标投标情况的书面报告。采用评定分离的，招标人应当提交定标报告。定标报告应包括定标委员会的产生过程、定标委员会成员名单、定标程序、定标会议过程及定标结果等内容。</w:t>
      </w:r>
    </w:p>
    <w:p w14:paraId="2560DE62">
      <w:pPr>
        <w:pBdr>
          <w:bottom w:val="single" w:color="auto" w:sz="6" w:space="1"/>
        </w:pBdr>
        <w:spacing w:line="360" w:lineRule="auto"/>
        <w:ind w:firstLine="422" w:firstLineChars="200"/>
        <w:rPr>
          <w:rFonts w:ascii="宋体" w:hAnsi="宋体" w:eastAsia="宋体"/>
          <w:b w:val="0"/>
          <w:bCs/>
          <w:color w:val="auto"/>
          <w:highlight w:val="none"/>
          <w:u w:val="singl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41.4</w:t>
      </w:r>
      <w:r>
        <w:rPr>
          <w:rFonts w:hint="eastAsia" w:ascii="宋体" w:hAnsi="宋体" w:eastAsia="宋体"/>
          <w:b w:val="0"/>
          <w:bCs/>
          <w:color w:val="auto"/>
          <w:szCs w:val="21"/>
          <w:highlight w:val="none"/>
          <w:u w:val="single"/>
        </w:rPr>
        <w:t>招标人应当自确定中标人之日起十五日内，向招标管理机构提交招标投标情况的书面报告。</w:t>
      </w:r>
    </w:p>
    <w:p w14:paraId="461CFC6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条款号：可选办法</w:t>
      </w:r>
      <w:r>
        <w:rPr>
          <w:rFonts w:hint="eastAsia" w:ascii="宋体" w:hAnsi="宋体" w:eastAsia="宋体"/>
          <w:b/>
          <w:color w:val="auto"/>
          <w:szCs w:val="21"/>
          <w:highlight w:val="none"/>
          <w:lang w:val="en-US" w:eastAsia="zh-CN"/>
        </w:rPr>
        <w:t>二</w:t>
      </w:r>
      <w:r>
        <w:rPr>
          <w:rFonts w:hint="eastAsia" w:ascii="宋体" w:hAnsi="宋体" w:eastAsia="宋体"/>
          <w:b/>
          <w:color w:val="auto"/>
          <w:szCs w:val="21"/>
          <w:highlight w:val="none"/>
        </w:rPr>
        <w:t xml:space="preserve">  经评审的最低投标价法或者法律法规规定的其他评标方法             修改类型：删除</w:t>
      </w:r>
    </w:p>
    <w:p w14:paraId="000B02D1">
      <w:pPr>
        <w:pBdr>
          <w:bottom w:val="single" w:color="auto" w:sz="6" w:space="1"/>
        </w:pBdr>
        <w:spacing w:line="360" w:lineRule="auto"/>
        <w:ind w:firstLine="422" w:firstLineChars="200"/>
        <w:rPr>
          <w:rFonts w:hint="eastAsia" w:ascii="宋体" w:hAnsi="宋体" w:eastAsia="宋体"/>
          <w:b w:val="0"/>
          <w:bCs/>
          <w:color w:val="auto"/>
          <w:szCs w:val="21"/>
          <w:highlight w:val="none"/>
          <w:lang w:val="en-US" w:eastAsia="zh-CN"/>
        </w:rPr>
      </w:pPr>
      <w:r>
        <w:rPr>
          <w:rFonts w:hint="eastAsia" w:ascii="宋体" w:hAnsi="宋体" w:eastAsia="宋体"/>
          <w:b/>
          <w:color w:val="auto"/>
          <w:szCs w:val="21"/>
          <w:highlight w:val="none"/>
        </w:rPr>
        <w:t>原文：</w:t>
      </w:r>
      <w:r>
        <w:rPr>
          <w:rFonts w:hint="eastAsia" w:ascii="宋体" w:hAnsi="宋体" w:eastAsia="宋体" w:cs="等线"/>
          <w:color w:val="auto"/>
          <w:szCs w:val="21"/>
          <w:highlight w:val="none"/>
        </w:rPr>
        <w:t>详见《广州市园林绿化工程施工招标文件范本（</w:t>
      </w:r>
      <w:r>
        <w:rPr>
          <w:rFonts w:ascii="宋体" w:hAnsi="宋体" w:eastAsia="宋体" w:cs="等线"/>
          <w:color w:val="auto"/>
          <w:szCs w:val="21"/>
          <w:highlight w:val="none"/>
        </w:rPr>
        <w:t>GZYLZB2023-1</w:t>
      </w:r>
      <w:r>
        <w:rPr>
          <w:rFonts w:hint="eastAsia" w:ascii="宋体" w:hAnsi="宋体" w:eastAsia="宋体" w:cs="等线"/>
          <w:color w:val="auto"/>
          <w:szCs w:val="21"/>
          <w:highlight w:val="none"/>
        </w:rPr>
        <w:t>）》</w:t>
      </w:r>
    </w:p>
    <w:p w14:paraId="6E9A0A46">
      <w:pPr>
        <w:spacing w:line="360" w:lineRule="auto"/>
        <w:ind w:firstLine="472" w:firstLineChars="224"/>
        <w:rPr>
          <w:rFonts w:hint="eastAsia"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rPr>
        <w:t>条款号：</w:t>
      </w:r>
      <w:r>
        <w:rPr>
          <w:rFonts w:hint="eastAsia" w:ascii="宋体" w:hAnsi="宋体" w:eastAsia="宋体"/>
          <w:b/>
          <w:color w:val="auto"/>
          <w:sz w:val="21"/>
          <w:szCs w:val="21"/>
          <w:highlight w:val="none"/>
          <w:lang w:val="en-US" w:eastAsia="zh-CN"/>
        </w:rPr>
        <w:t>42.4.3</w:t>
      </w:r>
      <w:r>
        <w:rPr>
          <w:rFonts w:hint="eastAsia" w:ascii="宋体" w:hAnsi="宋体" w:eastAsia="宋体"/>
          <w:b/>
          <w:color w:val="auto"/>
          <w:sz w:val="21"/>
          <w:szCs w:val="21"/>
          <w:highlight w:val="none"/>
        </w:rPr>
        <w:t xml:space="preserve">            修改类型：</w:t>
      </w:r>
      <w:r>
        <w:rPr>
          <w:rFonts w:hint="eastAsia" w:ascii="宋体" w:hAnsi="宋体" w:eastAsia="宋体"/>
          <w:b/>
          <w:color w:val="auto"/>
          <w:sz w:val="21"/>
          <w:szCs w:val="21"/>
          <w:highlight w:val="none"/>
          <w:lang w:val="en-US" w:eastAsia="zh-CN"/>
        </w:rPr>
        <w:t>删除</w:t>
      </w:r>
    </w:p>
    <w:p w14:paraId="47A173E2">
      <w:pPr>
        <w:spacing w:line="360" w:lineRule="auto"/>
        <w:ind w:firstLine="472" w:firstLineChars="224"/>
        <w:rPr>
          <w:rFonts w:hint="eastAsia" w:ascii="宋体" w:hAnsi="宋体" w:eastAsia="宋体"/>
          <w:b w:val="0"/>
          <w:bCs/>
          <w:color w:val="auto"/>
          <w:sz w:val="21"/>
          <w:szCs w:val="21"/>
          <w:highlight w:val="none"/>
        </w:rPr>
      </w:pPr>
      <w:r>
        <w:rPr>
          <w:rFonts w:hint="eastAsia" w:ascii="宋体" w:hAnsi="宋体" w:eastAsia="宋体"/>
          <w:b/>
          <w:color w:val="auto"/>
          <w:sz w:val="21"/>
          <w:szCs w:val="21"/>
          <w:highlight w:val="none"/>
        </w:rPr>
        <w:t>原文：</w:t>
      </w:r>
      <w:r>
        <w:rPr>
          <w:rFonts w:hint="eastAsia" w:ascii="宋体" w:hAnsi="宋体" w:eastAsia="宋体"/>
          <w:b w:val="0"/>
          <w:bCs/>
          <w:color w:val="auto"/>
          <w:sz w:val="21"/>
          <w:szCs w:val="21"/>
          <w:highlight w:val="none"/>
        </w:rPr>
        <w:t>42.4.3投标人未按要求递交投标保证金的；</w:t>
      </w:r>
    </w:p>
    <w:p w14:paraId="7BC8BF4B">
      <w:pPr>
        <w:pBdr>
          <w:bottom w:val="single" w:color="auto" w:sz="6" w:space="1"/>
        </w:pBdr>
        <w:spacing w:line="360" w:lineRule="auto"/>
        <w:ind w:firstLine="0" w:firstLineChars="0"/>
        <w:rPr>
          <w:rFonts w:hint="eastAsia" w:ascii="宋体" w:hAnsi="宋体" w:eastAsia="宋体"/>
          <w:b w:val="0"/>
          <w:bCs/>
          <w:color w:val="auto"/>
          <w:sz w:val="21"/>
          <w:szCs w:val="21"/>
          <w:highlight w:val="none"/>
        </w:rPr>
      </w:pPr>
    </w:p>
    <w:p w14:paraId="25CDD9AE">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条款号：43.2             修改类型：修改</w:t>
      </w:r>
    </w:p>
    <w:p w14:paraId="7B96A37C">
      <w:pPr>
        <w:spacing w:line="360" w:lineRule="auto"/>
        <w:ind w:firstLine="422" w:firstLineChars="200"/>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43.2由招标人或其推选的代表检查投标文件的投标人解密情况，也可以由招标人委托的公证机构检查并公证，之后由招标人对全部投标文件进行解密。</w:t>
      </w:r>
    </w:p>
    <w:p w14:paraId="798A7C13">
      <w:pPr>
        <w:pBdr>
          <w:bottom w:val="single" w:color="auto" w:sz="6" w:space="1"/>
        </w:pBdr>
        <w:spacing w:line="360" w:lineRule="auto"/>
        <w:ind w:firstLine="422" w:firstLineChars="200"/>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43.2由招标人</w:t>
      </w:r>
      <w:r>
        <w:rPr>
          <w:rFonts w:hint="eastAsia" w:ascii="宋体" w:hAnsi="宋体" w:eastAsia="宋体"/>
          <w:b w:val="0"/>
          <w:bCs/>
          <w:color w:val="auto"/>
          <w:szCs w:val="21"/>
          <w:highlight w:val="none"/>
          <w:u w:val="single"/>
        </w:rPr>
        <w:t>（或招标代理）</w:t>
      </w:r>
      <w:r>
        <w:rPr>
          <w:rFonts w:hint="eastAsia" w:ascii="宋体" w:hAnsi="宋体" w:eastAsia="宋体"/>
          <w:b w:val="0"/>
          <w:bCs/>
          <w:color w:val="auto"/>
          <w:szCs w:val="21"/>
          <w:highlight w:val="none"/>
        </w:rPr>
        <w:t>或其推选的代表检查投标文件的投标人解密情况，也可以由招标人委托的公证机构检查并公证，之后由招标人</w:t>
      </w:r>
      <w:r>
        <w:rPr>
          <w:rFonts w:hint="eastAsia" w:ascii="宋体" w:hAnsi="宋体" w:eastAsia="宋体"/>
          <w:b w:val="0"/>
          <w:bCs/>
          <w:color w:val="auto"/>
          <w:szCs w:val="21"/>
          <w:highlight w:val="none"/>
          <w:u w:val="single"/>
        </w:rPr>
        <w:t>（或招标代理）</w:t>
      </w:r>
      <w:r>
        <w:rPr>
          <w:rFonts w:hint="eastAsia" w:ascii="宋体" w:hAnsi="宋体" w:eastAsia="宋体"/>
          <w:b w:val="0"/>
          <w:bCs/>
          <w:color w:val="auto"/>
          <w:szCs w:val="21"/>
          <w:highlight w:val="none"/>
        </w:rPr>
        <w:t>对全部投标文件进行解密。</w:t>
      </w:r>
    </w:p>
    <w:p w14:paraId="41A8828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43.3.2</w:t>
      </w:r>
      <w:r>
        <w:rPr>
          <w:rFonts w:hint="eastAsia" w:ascii="宋体" w:hAnsi="宋体" w:eastAsia="宋体"/>
          <w:b/>
          <w:color w:val="auto"/>
          <w:szCs w:val="21"/>
          <w:highlight w:val="none"/>
        </w:rPr>
        <w:t xml:space="preserve">             修改类型：修改</w:t>
      </w:r>
    </w:p>
    <w:p w14:paraId="190F02B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43.3.2投标人自行决定是否参加开标会。若投标人对开标过程有异议，应在开标现场提出，投标人代表提出异议时须出示本人身份证原件。招标人应当当场作出答复，并制作记录。</w:t>
      </w:r>
    </w:p>
    <w:p w14:paraId="6CC65506">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43.3.2投标人自行决定是否参加开标会。</w:t>
      </w:r>
      <w:r>
        <w:rPr>
          <w:rFonts w:hint="eastAsia" w:ascii="宋体" w:hAnsi="宋体" w:eastAsia="宋体"/>
          <w:b w:val="0"/>
          <w:bCs/>
          <w:color w:val="auto"/>
          <w:szCs w:val="21"/>
          <w:highlight w:val="none"/>
          <w:u w:val="single"/>
        </w:rPr>
        <w:t>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04A0A41">
      <w:pPr>
        <w:spacing w:line="360" w:lineRule="auto"/>
        <w:ind w:firstLine="422" w:firstLineChars="200"/>
        <w:rPr>
          <w:rFonts w:hint="eastAsia" w:ascii="宋体" w:hAnsi="宋体" w:eastAsia="宋体"/>
          <w:b/>
          <w:color w:val="auto"/>
          <w:szCs w:val="21"/>
          <w:highlight w:val="none"/>
        </w:rPr>
      </w:pPr>
    </w:p>
    <w:p w14:paraId="59B9A277">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条款号：43.4             修改类型：修改</w:t>
      </w:r>
    </w:p>
    <w:p w14:paraId="6B98DB59">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43.4 开标前，首先由招标人或招标代理机构按 42.3 规定,现场随机抽取确定该工程计算评标参考价的下浮率 X。招标人或招标代理机构在开标时，公布以下所有内容：a、投标人名称；b、电子投标文件解密情况；c、电子投标文件的递交情况；d、法定代表人证明及授权委托；e、投标保证金；f、投标报价；g、人工费；h、绿色施工安全防护措施费；i、工期；j、质量标准；k、施工组织设计承诺书；l、项目负责人；m、专职安全员。</w:t>
      </w:r>
    </w:p>
    <w:p w14:paraId="74F8DEF0">
      <w:pPr>
        <w:pBdr>
          <w:bottom w:val="single" w:color="auto" w:sz="6" w:space="1"/>
        </w:pBdr>
        <w:spacing w:line="360" w:lineRule="auto"/>
        <w:ind w:firstLine="422" w:firstLineChars="200"/>
        <w:rPr>
          <w:rFonts w:ascii="宋体" w:hAnsi="宋体" w:eastAsia="宋体"/>
          <w:color w:val="auto"/>
          <w:highlight w:val="none"/>
          <w:u w:val="singl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43.4开标前，首先由招标人或招标代理机构按42.3规定,现场随机抽取确定该工程计算评标参考价的下浮率X。招标人或招标代理机构在开标时，公布以下所有内容：a、投标人名称；b、电子投标文件解密情况；c、电子投标文件的递交情况；d、法定代表人证明及授权委托；e、</w:t>
      </w:r>
      <w:r>
        <w:rPr>
          <w:rFonts w:hint="eastAsia" w:ascii="宋体" w:hAnsi="宋体" w:eastAsia="宋体"/>
          <w:b w:val="0"/>
          <w:bCs/>
          <w:color w:val="auto"/>
          <w:szCs w:val="21"/>
          <w:highlight w:val="none"/>
          <w:u w:val="single"/>
        </w:rPr>
        <w:t>投标报价；</w:t>
      </w:r>
      <w:r>
        <w:rPr>
          <w:rFonts w:hint="eastAsia" w:ascii="宋体" w:hAnsi="宋体" w:eastAsia="宋体"/>
          <w:b w:val="0"/>
          <w:bCs/>
          <w:color w:val="auto"/>
          <w:szCs w:val="21"/>
          <w:highlight w:val="none"/>
          <w:u w:val="single"/>
          <w:lang w:val="en-US" w:eastAsia="zh-CN"/>
        </w:rPr>
        <w:t>f</w:t>
      </w:r>
      <w:r>
        <w:rPr>
          <w:rFonts w:hint="eastAsia" w:ascii="宋体" w:hAnsi="宋体" w:eastAsia="宋体"/>
          <w:b w:val="0"/>
          <w:bCs/>
          <w:color w:val="auto"/>
          <w:szCs w:val="21"/>
          <w:highlight w:val="none"/>
          <w:u w:val="single"/>
        </w:rPr>
        <w:t>、人工费；</w:t>
      </w:r>
      <w:r>
        <w:rPr>
          <w:rFonts w:hint="eastAsia" w:ascii="宋体" w:hAnsi="宋体" w:eastAsia="宋体"/>
          <w:b w:val="0"/>
          <w:bCs/>
          <w:color w:val="auto"/>
          <w:szCs w:val="21"/>
          <w:highlight w:val="none"/>
          <w:u w:val="single"/>
          <w:lang w:val="en-US" w:eastAsia="zh-CN"/>
        </w:rPr>
        <w:t>g</w:t>
      </w:r>
      <w:r>
        <w:rPr>
          <w:rFonts w:hint="eastAsia" w:ascii="宋体" w:hAnsi="宋体" w:eastAsia="宋体"/>
          <w:b w:val="0"/>
          <w:bCs/>
          <w:color w:val="auto"/>
          <w:szCs w:val="21"/>
          <w:highlight w:val="none"/>
          <w:u w:val="single"/>
        </w:rPr>
        <w:t>、绿色施工安全防护措施费；</w:t>
      </w:r>
      <w:r>
        <w:rPr>
          <w:rFonts w:hint="eastAsia" w:ascii="宋体" w:hAnsi="宋体" w:eastAsia="宋体"/>
          <w:b w:val="0"/>
          <w:bCs/>
          <w:color w:val="auto"/>
          <w:szCs w:val="21"/>
          <w:highlight w:val="none"/>
          <w:u w:val="single"/>
          <w:lang w:val="en-US" w:eastAsia="zh-CN"/>
        </w:rPr>
        <w:t>h</w:t>
      </w:r>
      <w:r>
        <w:rPr>
          <w:rFonts w:hint="eastAsia" w:ascii="宋体" w:hAnsi="宋体" w:eastAsia="宋体"/>
          <w:b w:val="0"/>
          <w:bCs/>
          <w:color w:val="auto"/>
          <w:szCs w:val="21"/>
          <w:highlight w:val="none"/>
          <w:u w:val="single"/>
        </w:rPr>
        <w:t>、工期；</w:t>
      </w:r>
      <w:r>
        <w:rPr>
          <w:rFonts w:hint="eastAsia" w:ascii="宋体" w:hAnsi="宋体" w:eastAsia="宋体"/>
          <w:b w:val="0"/>
          <w:bCs/>
          <w:color w:val="auto"/>
          <w:szCs w:val="21"/>
          <w:highlight w:val="none"/>
          <w:u w:val="single"/>
          <w:lang w:val="en-US" w:eastAsia="zh-CN"/>
        </w:rPr>
        <w:t>i</w:t>
      </w:r>
      <w:r>
        <w:rPr>
          <w:rFonts w:hint="eastAsia" w:ascii="宋体" w:hAnsi="宋体" w:eastAsia="宋体"/>
          <w:b w:val="0"/>
          <w:bCs/>
          <w:color w:val="auto"/>
          <w:szCs w:val="21"/>
          <w:highlight w:val="none"/>
          <w:u w:val="single"/>
        </w:rPr>
        <w:t>、质量标准；</w:t>
      </w:r>
      <w:r>
        <w:rPr>
          <w:rFonts w:hint="eastAsia" w:ascii="宋体" w:hAnsi="宋体" w:eastAsia="宋体"/>
          <w:b w:val="0"/>
          <w:bCs/>
          <w:color w:val="auto"/>
          <w:szCs w:val="21"/>
          <w:highlight w:val="none"/>
          <w:u w:val="single"/>
          <w:lang w:val="en-US" w:eastAsia="zh-CN"/>
        </w:rPr>
        <w:t>j</w:t>
      </w:r>
      <w:r>
        <w:rPr>
          <w:rFonts w:hint="eastAsia" w:ascii="宋体" w:hAnsi="宋体" w:eastAsia="宋体"/>
          <w:b w:val="0"/>
          <w:bCs/>
          <w:color w:val="auto"/>
          <w:szCs w:val="21"/>
          <w:highlight w:val="none"/>
          <w:u w:val="single"/>
        </w:rPr>
        <w:t>、施工组织设计要点承诺书</w:t>
      </w:r>
      <w:r>
        <w:rPr>
          <w:rFonts w:hint="eastAsia" w:ascii="宋体" w:hAnsi="宋体" w:eastAsia="宋体"/>
          <w:b w:val="0"/>
          <w:bCs/>
          <w:color w:val="auto"/>
          <w:szCs w:val="21"/>
          <w:highlight w:val="none"/>
          <w:u w:val="single"/>
          <w:lang w:eastAsia="zh-CN"/>
        </w:rPr>
        <w:t>；</w:t>
      </w:r>
      <w:r>
        <w:rPr>
          <w:rFonts w:hint="eastAsia" w:ascii="宋体" w:hAnsi="宋体" w:eastAsia="宋体"/>
          <w:b w:val="0"/>
          <w:bCs/>
          <w:color w:val="auto"/>
          <w:szCs w:val="21"/>
          <w:highlight w:val="none"/>
          <w:u w:val="single"/>
        </w:rPr>
        <w:t>k、项目负责人</w:t>
      </w:r>
      <w:r>
        <w:rPr>
          <w:rFonts w:hint="eastAsia" w:ascii="宋体" w:hAnsi="宋体" w:eastAsia="宋体"/>
          <w:b w:val="0"/>
          <w:bCs/>
          <w:color w:val="auto"/>
          <w:szCs w:val="21"/>
          <w:highlight w:val="none"/>
          <w:u w:val="single"/>
          <w:lang w:eastAsia="zh-CN"/>
        </w:rPr>
        <w:t>；</w:t>
      </w:r>
      <w:r>
        <w:rPr>
          <w:rFonts w:hint="eastAsia" w:ascii="宋体" w:hAnsi="宋体" w:eastAsia="宋体"/>
          <w:b w:val="0"/>
          <w:bCs/>
          <w:color w:val="auto"/>
          <w:szCs w:val="21"/>
          <w:highlight w:val="none"/>
          <w:u w:val="single"/>
        </w:rPr>
        <w:t>l、专职安全员。</w:t>
      </w:r>
    </w:p>
    <w:p w14:paraId="508BD891">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条款号：45.2             修改类型：修改</w:t>
      </w:r>
    </w:p>
    <w:p w14:paraId="65A83B99">
      <w:pPr>
        <w:spacing w:line="360" w:lineRule="auto"/>
        <w:ind w:firstLine="422" w:firstLineChars="200"/>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Cs/>
          <w:color w:val="auto"/>
          <w:szCs w:val="21"/>
          <w:highlight w:val="none"/>
        </w:rPr>
        <w:t>45.2《资格审查表》中序号2-5项（除广东省建筑施工企业管理人员安全生产考核信息系统安全生产管理人员证书信息的打印页、《信息公开证明》打印页外）评审内容的信息取自投标人在广州公共资源交易平台企业库、城市园林绿化企业工程业绩库中的资料。评标委员会对该部分内容的审查，以开标当天中午12时在广州公共资源交易平台企业库、城市园林绿化企业工程业绩库中的资料为依据。</w:t>
      </w:r>
    </w:p>
    <w:p w14:paraId="2F8C6FCC">
      <w:pPr>
        <w:pBdr>
          <w:bottom w:val="single" w:color="auto" w:sz="6" w:space="1"/>
        </w:pBdr>
        <w:spacing w:line="360" w:lineRule="auto"/>
        <w:ind w:firstLine="422" w:firstLineChars="200"/>
        <w:rPr>
          <w:rFonts w:hint="eastAsia" w:ascii="宋体" w:hAnsi="宋体" w:eastAsia="宋体"/>
          <w:bCs/>
          <w:color w:val="auto"/>
          <w:szCs w:val="21"/>
          <w:highlight w:val="none"/>
          <w:lang w:eastAsia="zh-CN"/>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45.2《资格审查表》中序号2-5项（除</w:t>
      </w:r>
      <w:r>
        <w:rPr>
          <w:rFonts w:hint="eastAsia" w:ascii="宋体" w:hAnsi="宋体" w:eastAsia="宋体"/>
          <w:b w:val="0"/>
          <w:bCs/>
          <w:color w:val="auto"/>
          <w:szCs w:val="21"/>
          <w:highlight w:val="none"/>
          <w:u w:val="single"/>
        </w:rPr>
        <w:t>《信息公开证明》打印页外</w:t>
      </w:r>
      <w:r>
        <w:rPr>
          <w:rFonts w:hint="eastAsia" w:ascii="宋体" w:hAnsi="宋体" w:eastAsia="宋体"/>
          <w:b w:val="0"/>
          <w:bCs/>
          <w:color w:val="auto"/>
          <w:szCs w:val="21"/>
          <w:highlight w:val="none"/>
        </w:rPr>
        <w:t>）评审内容的信息取自投标人在广州公共资源交易平台企业库、城市园林绿化企业工程业绩库中的资料。评标委员会对该部分内容的审查，以</w:t>
      </w:r>
      <w:r>
        <w:rPr>
          <w:rFonts w:hint="eastAsia" w:ascii="宋体" w:hAnsi="宋体" w:eastAsia="宋体"/>
          <w:b w:val="0"/>
          <w:bCs/>
          <w:color w:val="auto"/>
          <w:szCs w:val="21"/>
          <w:highlight w:val="none"/>
          <w:u w:val="single"/>
        </w:rPr>
        <w:t>递交投标文件截止</w:t>
      </w:r>
      <w:r>
        <w:rPr>
          <w:rFonts w:hint="eastAsia" w:ascii="宋体" w:hAnsi="宋体" w:eastAsia="宋体"/>
          <w:b w:val="0"/>
          <w:bCs/>
          <w:color w:val="auto"/>
          <w:szCs w:val="21"/>
          <w:highlight w:val="none"/>
        </w:rPr>
        <w:t>时在广州公共资源交易平台企业库、城市园林绿化企业工程业绩库中的资料为依据。</w:t>
      </w:r>
    </w:p>
    <w:p w14:paraId="071F4742">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bCs w:val="0"/>
          <w:color w:val="auto"/>
          <w:szCs w:val="21"/>
          <w:highlight w:val="none"/>
        </w:rPr>
        <w:t>46.</w:t>
      </w:r>
      <w:r>
        <w:rPr>
          <w:rFonts w:hint="eastAsia" w:ascii="宋体" w:hAnsi="宋体" w:eastAsia="宋体"/>
          <w:b/>
          <w:bCs w:val="0"/>
          <w:color w:val="auto"/>
          <w:szCs w:val="21"/>
          <w:highlight w:val="none"/>
          <w:lang w:val="en-US" w:eastAsia="zh-CN"/>
        </w:rPr>
        <w:t>1</w:t>
      </w:r>
      <w:r>
        <w:rPr>
          <w:rFonts w:hint="eastAsia" w:ascii="宋体" w:hAnsi="宋体" w:eastAsia="宋体"/>
          <w:b/>
          <w:bCs w:val="0"/>
          <w:color w:val="auto"/>
          <w:szCs w:val="21"/>
          <w:highlight w:val="none"/>
        </w:rPr>
        <w:t>.1</w:t>
      </w:r>
      <w:r>
        <w:rPr>
          <w:rFonts w:hint="eastAsia" w:ascii="宋体" w:hAnsi="宋体" w:eastAsia="宋体"/>
          <w:b/>
          <w:color w:val="auto"/>
          <w:szCs w:val="21"/>
          <w:highlight w:val="none"/>
          <w:lang w:val="en-US" w:eastAsia="zh-CN"/>
        </w:rPr>
        <w:t>.8</w:t>
      </w:r>
      <w:r>
        <w:rPr>
          <w:rFonts w:hint="eastAsia" w:ascii="宋体" w:hAnsi="宋体" w:eastAsia="宋体"/>
          <w:b/>
          <w:color w:val="auto"/>
          <w:szCs w:val="21"/>
          <w:highlight w:val="none"/>
        </w:rPr>
        <w:t xml:space="preserve">            修改类型：修改</w:t>
      </w:r>
    </w:p>
    <w:p w14:paraId="10C4DD47">
      <w:pPr>
        <w:spacing w:line="360" w:lineRule="auto"/>
        <w:ind w:firstLine="422" w:firstLineChars="200"/>
        <w:rPr>
          <w:rFonts w:hint="eastAsia" w:ascii="宋体" w:hAnsi="宋体" w:eastAsia="宋体"/>
          <w:b w:val="0"/>
          <w:bCs/>
          <w:color w:val="auto"/>
          <w:szCs w:val="21"/>
          <w:highlight w:val="none"/>
          <w:lang w:val="en-US" w:eastAsia="zh-CN"/>
        </w:rPr>
      </w:pPr>
      <w:r>
        <w:rPr>
          <w:rFonts w:hint="eastAsia" w:ascii="宋体" w:hAnsi="宋体" w:eastAsia="宋体"/>
          <w:b/>
          <w:color w:val="auto"/>
          <w:szCs w:val="21"/>
          <w:highlight w:val="none"/>
        </w:rPr>
        <w:t>原文：</w:t>
      </w:r>
      <w:r>
        <w:rPr>
          <w:rFonts w:hint="eastAsia" w:ascii="宋体" w:hAnsi="宋体" w:eastAsia="宋体" w:cs="Times New Roman"/>
          <w:b w:val="0"/>
          <w:bCs/>
          <w:color w:val="auto"/>
          <w:szCs w:val="21"/>
          <w:highlight w:val="none"/>
        </w:rPr>
        <w:t>46</w:t>
      </w:r>
      <w:r>
        <w:rPr>
          <w:rFonts w:hint="eastAsia" w:ascii="宋体" w:hAnsi="宋体" w:eastAsia="宋体"/>
          <w:b w:val="0"/>
          <w:bCs/>
          <w:color w:val="auto"/>
          <w:szCs w:val="21"/>
          <w:highlight w:val="none"/>
        </w:rPr>
        <w:t>.1.1.8按上述修正错误的原则及方法调整或修正投标文件的投标报价，调整后的投标报价对投标人起约束作用。如果投标人不接受修正后的报价，则取消其投标资格，并且其投标保证金也将不予退还。以上修正不影响修正前按步骤确定的投标人排序。</w:t>
      </w:r>
    </w:p>
    <w:p w14:paraId="06828E0B">
      <w:pPr>
        <w:pBdr>
          <w:bottom w:val="single" w:color="auto" w:sz="6" w:space="1"/>
        </w:pBdr>
        <w:spacing w:line="360" w:lineRule="auto"/>
        <w:ind w:firstLine="422" w:firstLineChars="200"/>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cs="Times New Roman"/>
          <w:b w:val="0"/>
          <w:bCs/>
          <w:color w:val="auto"/>
          <w:szCs w:val="21"/>
          <w:highlight w:val="none"/>
        </w:rPr>
        <w:t>46</w:t>
      </w:r>
      <w:r>
        <w:rPr>
          <w:rFonts w:hint="eastAsia" w:ascii="宋体" w:hAnsi="宋体" w:eastAsia="宋体"/>
          <w:b w:val="0"/>
          <w:bCs/>
          <w:color w:val="auto"/>
          <w:szCs w:val="21"/>
          <w:highlight w:val="none"/>
        </w:rPr>
        <w:t>.1.1.8按上述修正错误的原则及方法调整或修正投标文件的投标报价，调整后的投标报价对投标人起约束作用。如果投标人不接受修正后的报价，则取消其投标资格</w:t>
      </w:r>
      <w:r>
        <w:rPr>
          <w:rFonts w:hint="eastAsia" w:ascii="宋体" w:hAnsi="宋体" w:eastAsia="宋体"/>
          <w:b w:val="0"/>
          <w:bCs/>
          <w:strike/>
          <w:color w:val="auto"/>
          <w:szCs w:val="21"/>
          <w:highlight w:val="none"/>
        </w:rPr>
        <w:t>，并且其投标保证金也将不予退还</w:t>
      </w:r>
      <w:r>
        <w:rPr>
          <w:rFonts w:hint="eastAsia" w:ascii="宋体" w:hAnsi="宋体" w:eastAsia="宋体"/>
          <w:b w:val="0"/>
          <w:bCs/>
          <w:color w:val="auto"/>
          <w:szCs w:val="21"/>
          <w:highlight w:val="none"/>
        </w:rPr>
        <w:t>。以上修正不影响修正前按步骤确定的投标人排序。</w:t>
      </w:r>
    </w:p>
    <w:p w14:paraId="26F1163E">
      <w:pPr>
        <w:spacing w:line="360" w:lineRule="auto"/>
        <w:ind w:firstLine="422" w:firstLineChars="200"/>
        <w:rPr>
          <w:rFonts w:hint="eastAsia" w:ascii="宋体" w:hAnsi="宋体" w:eastAsia="宋体" w:cs="等线"/>
          <w:b/>
          <w:color w:val="auto"/>
          <w:szCs w:val="21"/>
          <w:highlight w:val="none"/>
        </w:rPr>
      </w:pPr>
      <w:r>
        <w:rPr>
          <w:rFonts w:hint="eastAsia" w:ascii="宋体" w:hAnsi="宋体" w:eastAsia="宋体" w:cs="等线"/>
          <w:b/>
          <w:color w:val="auto"/>
          <w:szCs w:val="21"/>
          <w:highlight w:val="none"/>
        </w:rPr>
        <w:t>条款号：4</w:t>
      </w:r>
      <w:r>
        <w:rPr>
          <w:rFonts w:ascii="宋体" w:hAnsi="宋体" w:eastAsia="宋体" w:cs="等线"/>
          <w:b/>
          <w:color w:val="auto"/>
          <w:szCs w:val="21"/>
          <w:highlight w:val="none"/>
        </w:rPr>
        <w:t>6.6</w:t>
      </w:r>
      <w:r>
        <w:rPr>
          <w:rFonts w:hint="eastAsia" w:ascii="宋体" w:hAnsi="宋体" w:eastAsia="宋体" w:cs="等线"/>
          <w:b/>
          <w:color w:val="auto"/>
          <w:szCs w:val="21"/>
          <w:highlight w:val="none"/>
        </w:rPr>
        <w:t xml:space="preserve">       修改类型：修改</w:t>
      </w:r>
    </w:p>
    <w:p w14:paraId="794118F9">
      <w:pPr>
        <w:pBdr>
          <w:bottom w:val="single" w:color="auto" w:sz="6" w:space="1"/>
        </w:pBdr>
        <w:spacing w:line="360" w:lineRule="auto"/>
        <w:ind w:firstLine="424" w:firstLineChars="201"/>
        <w:rPr>
          <w:rFonts w:ascii="宋体" w:hAnsi="宋体" w:eastAsia="宋体" w:cs="等线"/>
          <w:color w:val="auto"/>
          <w:szCs w:val="21"/>
          <w:highlight w:val="none"/>
        </w:rPr>
      </w:pPr>
      <w:r>
        <w:rPr>
          <w:rFonts w:hint="eastAsia" w:ascii="宋体" w:hAnsi="宋体" w:eastAsia="宋体" w:cs="等线"/>
          <w:b/>
          <w:color w:val="auto"/>
          <w:szCs w:val="21"/>
          <w:highlight w:val="none"/>
        </w:rPr>
        <w:t>原文：</w:t>
      </w:r>
      <w:r>
        <w:rPr>
          <w:rFonts w:ascii="宋体" w:hAnsi="宋体" w:eastAsia="宋体" w:cs="等线"/>
          <w:color w:val="auto"/>
          <w:szCs w:val="21"/>
          <w:highlight w:val="none"/>
        </w:rPr>
        <w:t>46.6对通过否决性条款审查的投标人的投标报价进行评分</w:t>
      </w:r>
    </w:p>
    <w:p w14:paraId="7FDBCF11">
      <w:pPr>
        <w:pBdr>
          <w:bottom w:val="single" w:color="auto" w:sz="6" w:space="1"/>
        </w:pBdr>
        <w:spacing w:line="360" w:lineRule="auto"/>
        <w:ind w:firstLine="422" w:firstLineChars="201"/>
        <w:rPr>
          <w:rFonts w:ascii="宋体" w:hAnsi="宋体" w:eastAsia="宋体" w:cs="等线"/>
          <w:color w:val="auto"/>
          <w:szCs w:val="21"/>
          <w:highlight w:val="none"/>
        </w:rPr>
      </w:pPr>
      <w:r>
        <w:rPr>
          <w:rFonts w:ascii="宋体" w:hAnsi="宋体" w:eastAsia="宋体" w:cs="等线"/>
          <w:color w:val="auto"/>
          <w:szCs w:val="21"/>
          <w:highlight w:val="none"/>
        </w:rPr>
        <w:t>46.6.1以通过否决性条款审查的投标人中，随机抽取一半数量（四舍五入取整数）的投标报价，取其算术平均值下浮X作为评标参考价。（例：通过否决性条款审查的投标人的报价为3家，随机抽取2家投标人报价的算术平均值下浮X作为评标参考价。）</w:t>
      </w:r>
    </w:p>
    <w:p w14:paraId="318B5B6F">
      <w:pPr>
        <w:pBdr>
          <w:bottom w:val="single" w:color="auto" w:sz="6" w:space="1"/>
        </w:pBdr>
        <w:spacing w:line="360" w:lineRule="auto"/>
        <w:ind w:firstLine="424" w:firstLineChars="201"/>
        <w:rPr>
          <w:rFonts w:ascii="宋体" w:hAnsi="宋体" w:eastAsia="宋体" w:cs="等线"/>
          <w:color w:val="auto"/>
          <w:szCs w:val="21"/>
          <w:highlight w:val="none"/>
        </w:rPr>
      </w:pPr>
      <w:r>
        <w:rPr>
          <w:rFonts w:hint="eastAsia" w:ascii="宋体" w:hAnsi="宋体" w:eastAsia="宋体" w:cs="等线"/>
          <w:b/>
          <w:color w:val="auto"/>
          <w:szCs w:val="21"/>
          <w:highlight w:val="none"/>
        </w:rPr>
        <w:t>现文：</w:t>
      </w:r>
      <w:r>
        <w:rPr>
          <w:rFonts w:ascii="宋体" w:hAnsi="宋体" w:eastAsia="宋体" w:cs="等线"/>
          <w:color w:val="auto"/>
          <w:szCs w:val="21"/>
          <w:highlight w:val="none"/>
        </w:rPr>
        <w:t>46.6对通过否决性条款审查的投标人的投标报价进行评分</w:t>
      </w:r>
    </w:p>
    <w:p w14:paraId="4AE3553E">
      <w:pPr>
        <w:pBdr>
          <w:bottom w:val="single" w:color="auto" w:sz="6" w:space="1"/>
        </w:pBdr>
        <w:spacing w:line="360" w:lineRule="auto"/>
        <w:ind w:firstLine="422" w:firstLineChars="201"/>
        <w:rPr>
          <w:rFonts w:hint="eastAsia" w:ascii="宋体" w:hAnsi="宋体" w:eastAsia="宋体" w:cs="等线"/>
          <w:color w:val="auto"/>
          <w:szCs w:val="21"/>
          <w:highlight w:val="none"/>
          <w:u w:val="single"/>
        </w:rPr>
      </w:pPr>
      <w:r>
        <w:rPr>
          <w:rFonts w:ascii="宋体" w:hAnsi="宋体" w:eastAsia="宋体" w:cs="等线"/>
          <w:color w:val="auto"/>
          <w:szCs w:val="21"/>
          <w:highlight w:val="none"/>
        </w:rPr>
        <w:t>46.6.1</w:t>
      </w:r>
      <w:r>
        <w:rPr>
          <w:rFonts w:hint="eastAsia" w:ascii="宋体" w:hAnsi="宋体" w:eastAsia="宋体" w:cs="等线"/>
          <w:color w:val="auto"/>
          <w:szCs w:val="21"/>
          <w:highlight w:val="none"/>
          <w:u w:val="single"/>
        </w:rPr>
        <w:t>当</w:t>
      </w:r>
      <w:r>
        <w:rPr>
          <w:rFonts w:ascii="宋体" w:hAnsi="宋体" w:eastAsia="宋体" w:cs="等线"/>
          <w:color w:val="auto"/>
          <w:szCs w:val="21"/>
          <w:highlight w:val="none"/>
          <w:u w:val="single"/>
        </w:rPr>
        <w:t>通过否决性条款审查</w:t>
      </w:r>
      <w:r>
        <w:rPr>
          <w:rFonts w:hint="eastAsia" w:ascii="宋体" w:hAnsi="宋体" w:eastAsia="宋体" w:cs="等线"/>
          <w:color w:val="auto"/>
          <w:szCs w:val="21"/>
          <w:highlight w:val="none"/>
          <w:u w:val="single"/>
        </w:rPr>
        <w:t>在位于</w:t>
      </w:r>
      <w:r>
        <w:rPr>
          <w:rFonts w:ascii="宋体" w:hAnsi="宋体" w:eastAsia="宋体" w:cs="等线"/>
          <w:color w:val="auto"/>
          <w:szCs w:val="21"/>
          <w:highlight w:val="none"/>
          <w:u w:val="single"/>
        </w:rPr>
        <w:t>[最高投标限价×90%，最高投标限价]区间的投标价中的投标人大于或等于5名时，所有入围的有效投标价中去掉一个最高价和一个最低价，取余下有效投标价的算术平均值</w:t>
      </w:r>
      <w:r>
        <w:rPr>
          <w:rFonts w:hint="eastAsia" w:ascii="宋体" w:hAnsi="宋体" w:eastAsia="宋体" w:cs="等线"/>
          <w:color w:val="auto"/>
          <w:szCs w:val="21"/>
          <w:highlight w:val="none"/>
          <w:u w:val="single"/>
        </w:rPr>
        <w:t>下浮</w:t>
      </w:r>
      <w:r>
        <w:rPr>
          <w:rFonts w:ascii="宋体" w:hAnsi="宋体" w:eastAsia="宋体" w:cs="等线"/>
          <w:color w:val="auto"/>
          <w:szCs w:val="21"/>
          <w:highlight w:val="none"/>
          <w:u w:val="single"/>
        </w:rPr>
        <w:t>X作为评标参考价。当通过</w:t>
      </w:r>
      <w:r>
        <w:rPr>
          <w:rFonts w:hint="eastAsia" w:ascii="宋体" w:hAnsi="宋体" w:eastAsia="宋体" w:cs="等线"/>
          <w:color w:val="auto"/>
          <w:szCs w:val="21"/>
          <w:highlight w:val="none"/>
          <w:u w:val="single"/>
        </w:rPr>
        <w:t>否决性条款审查</w:t>
      </w:r>
      <w:r>
        <w:rPr>
          <w:rFonts w:ascii="宋体" w:hAnsi="宋体" w:eastAsia="宋体" w:cs="等线"/>
          <w:color w:val="auto"/>
          <w:szCs w:val="21"/>
          <w:highlight w:val="none"/>
          <w:u w:val="single"/>
        </w:rPr>
        <w:t>在位于[最高投标限价×90%，最高投标限价]区间的投标价中的投标人小于5名时，取所有入围的有效投标价的算术平均值</w:t>
      </w:r>
      <w:r>
        <w:rPr>
          <w:rFonts w:hint="eastAsia" w:ascii="宋体" w:hAnsi="宋体" w:eastAsia="宋体" w:cs="等线"/>
          <w:color w:val="auto"/>
          <w:szCs w:val="21"/>
          <w:highlight w:val="none"/>
          <w:u w:val="single"/>
        </w:rPr>
        <w:t>下浮</w:t>
      </w:r>
      <w:r>
        <w:rPr>
          <w:rFonts w:ascii="宋体" w:hAnsi="宋体" w:eastAsia="宋体" w:cs="等线"/>
          <w:color w:val="auto"/>
          <w:szCs w:val="21"/>
          <w:highlight w:val="none"/>
          <w:u w:val="single"/>
        </w:rPr>
        <w:t>X作为评标参考价。若当通过</w:t>
      </w:r>
      <w:r>
        <w:rPr>
          <w:rFonts w:hint="eastAsia" w:ascii="宋体" w:hAnsi="宋体" w:eastAsia="宋体" w:cs="等线"/>
          <w:color w:val="auto"/>
          <w:szCs w:val="21"/>
          <w:highlight w:val="none"/>
          <w:u w:val="single"/>
        </w:rPr>
        <w:t>否决性条款审查</w:t>
      </w:r>
      <w:r>
        <w:rPr>
          <w:rFonts w:ascii="宋体" w:hAnsi="宋体" w:eastAsia="宋体" w:cs="等线"/>
          <w:color w:val="auto"/>
          <w:szCs w:val="21"/>
          <w:highlight w:val="none"/>
          <w:u w:val="single"/>
        </w:rPr>
        <w:t>没有投标价位于[最高投标限价×90%，最高投标限价]区间的投标人，所有投标人的报价得分为0分。</w:t>
      </w:r>
    </w:p>
    <w:p w14:paraId="1A4E237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条款号：46.7.1             修改类型：修改</w:t>
      </w:r>
    </w:p>
    <w:p w14:paraId="15B433F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46.7.1权重分配：技术部分（施工组织方案）得分权重</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%，技术部分（项目实施能力）得分权重</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%，报价得分权重</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%，诚信综合评价得分权重</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w:t>
      </w:r>
    </w:p>
    <w:p w14:paraId="18FEC87E">
      <w:pPr>
        <w:keepNext w:val="0"/>
        <w:keepLines w:val="0"/>
        <w:pageBreakBefore w:val="0"/>
        <w:widowControl w:val="0"/>
        <w:pBdr>
          <w:bottom w:val="single" w:color="auto" w:sz="6" w:space="1"/>
        </w:pBdr>
        <w:shd w:val="clear" w:color="auto"/>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46.7.1权重分配：技术部分（施工组织方案）得分权重</w:t>
      </w:r>
      <w:r>
        <w:rPr>
          <w:rFonts w:hint="eastAsia" w:ascii="宋体" w:hAnsi="宋体" w:eastAsia="宋体"/>
          <w:b w:val="0"/>
          <w:bCs/>
          <w:color w:val="auto"/>
          <w:szCs w:val="21"/>
          <w:highlight w:val="none"/>
          <w:u w:val="single"/>
          <w:lang w:val="en-US" w:eastAsia="zh-CN"/>
        </w:rPr>
        <w:t>5</w:t>
      </w:r>
      <w:r>
        <w:rPr>
          <w:rFonts w:hint="eastAsia" w:ascii="宋体" w:hAnsi="宋体" w:eastAsia="宋体"/>
          <w:b w:val="0"/>
          <w:bCs/>
          <w:color w:val="auto"/>
          <w:szCs w:val="21"/>
          <w:highlight w:val="none"/>
        </w:rPr>
        <w:t>%，技术部分（项目实施能力）得分权重</w:t>
      </w:r>
      <w:r>
        <w:rPr>
          <w:rFonts w:hint="eastAsia" w:ascii="宋体" w:hAnsi="宋体" w:eastAsia="宋体"/>
          <w:b w:val="0"/>
          <w:bCs/>
          <w:color w:val="auto"/>
          <w:szCs w:val="21"/>
          <w:highlight w:val="none"/>
          <w:u w:val="single"/>
          <w:lang w:val="en-US" w:eastAsia="zh-CN"/>
        </w:rPr>
        <w:t>15</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%，报价得分权重</w:t>
      </w:r>
      <w:r>
        <w:rPr>
          <w:rFonts w:hint="eastAsia" w:ascii="宋体" w:hAnsi="宋体" w:eastAsia="宋体"/>
          <w:b w:val="0"/>
          <w:bCs/>
          <w:color w:val="auto"/>
          <w:szCs w:val="21"/>
          <w:highlight w:val="none"/>
          <w:u w:val="single"/>
          <w:lang w:val="en-US" w:eastAsia="zh-CN"/>
        </w:rPr>
        <w:t>80</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%，诚信综合评价得分权重</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u w:val="single"/>
          <w:lang w:val="en-US" w:eastAsia="zh-CN"/>
        </w:rPr>
        <w:t>0</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w:t>
      </w:r>
    </w:p>
    <w:p w14:paraId="53E0FDB3">
      <w:pPr>
        <w:spacing w:line="360" w:lineRule="auto"/>
        <w:rPr>
          <w:rFonts w:hint="eastAsia" w:ascii="宋体" w:hAnsi="宋体" w:eastAsia="宋体"/>
          <w:b/>
          <w:color w:val="auto"/>
          <w:szCs w:val="21"/>
          <w:highlight w:val="none"/>
        </w:rPr>
      </w:pPr>
    </w:p>
    <w:p w14:paraId="10E16C17">
      <w:pPr>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bCs w:val="0"/>
          <w:color w:val="auto"/>
          <w:szCs w:val="21"/>
          <w:highlight w:val="none"/>
        </w:rPr>
        <w:t>46.7.</w:t>
      </w:r>
      <w:r>
        <w:rPr>
          <w:rFonts w:hint="eastAsia" w:ascii="宋体" w:hAnsi="宋体" w:eastAsia="宋体"/>
          <w:b/>
          <w:bCs w:val="0"/>
          <w:color w:val="auto"/>
          <w:szCs w:val="21"/>
          <w:highlight w:val="none"/>
          <w:lang w:val="en-US" w:eastAsia="zh-CN"/>
        </w:rPr>
        <w:t>2</w:t>
      </w:r>
      <w:r>
        <w:rPr>
          <w:rFonts w:hint="eastAsia" w:ascii="宋体" w:hAnsi="宋体" w:eastAsia="宋体"/>
          <w:b/>
          <w:color w:val="auto"/>
          <w:szCs w:val="21"/>
          <w:highlight w:val="none"/>
        </w:rPr>
        <w:t xml:space="preserve">            修改类型：修改</w:t>
      </w:r>
    </w:p>
    <w:p w14:paraId="165D65AA">
      <w:pPr>
        <w:pBdr>
          <w:bottom w:val="single" w:color="auto" w:sz="6" w:space="1"/>
        </w:pBdr>
        <w:spacing w:line="360" w:lineRule="auto"/>
        <w:ind w:firstLine="424" w:firstLineChars="201"/>
        <w:rPr>
          <w:rFonts w:ascii="宋体" w:hAnsi="宋体" w:eastAsia="宋体" w:cs="等线"/>
          <w:color w:val="auto"/>
          <w:szCs w:val="21"/>
          <w:highlight w:val="none"/>
        </w:rPr>
      </w:pPr>
      <w:r>
        <w:rPr>
          <w:rFonts w:hint="eastAsia" w:ascii="宋体" w:hAnsi="宋体" w:eastAsia="宋体" w:cs="等线"/>
          <w:b/>
          <w:color w:val="auto"/>
          <w:szCs w:val="21"/>
          <w:highlight w:val="none"/>
        </w:rPr>
        <w:t>原文：</w:t>
      </w:r>
      <w:r>
        <w:rPr>
          <w:rFonts w:hint="eastAsia" w:ascii="宋体" w:hAnsi="宋体" w:eastAsia="宋体" w:cs="等线"/>
          <w:color w:val="auto"/>
          <w:szCs w:val="21"/>
          <w:highlight w:val="none"/>
        </w:rPr>
        <w:t>46.7.2投标人综合得分=技术部分（施工组织方案）得分×技术部分（施工组织方案）得分权重+技术部分（项目实施能力）得分×技术部分（项目实施能力）得分权重+报价得分×报价得分权重+诚信综合评价排名得分×诚信综合评价排名得分权重 。投标人综合得分、技术部分（施工组织方案）得分、技术部分（项目实施能力）得分、报价得分和诚信综合评价排名得分满分为100分。</w:t>
      </w:r>
    </w:p>
    <w:p w14:paraId="12531FB7">
      <w:pPr>
        <w:pBdr>
          <w:bottom w:val="single" w:color="auto" w:sz="6" w:space="1"/>
        </w:pBdr>
        <w:spacing w:line="360" w:lineRule="auto"/>
        <w:ind w:firstLine="424" w:firstLineChars="201"/>
        <w:rPr>
          <w:rFonts w:ascii="宋体" w:hAnsi="宋体" w:eastAsia="宋体"/>
          <w:color w:val="auto"/>
          <w:highlight w:val="none"/>
        </w:rPr>
      </w:pPr>
      <w:r>
        <w:rPr>
          <w:rFonts w:hint="eastAsia" w:ascii="宋体" w:hAnsi="宋体" w:eastAsia="宋体" w:cs="等线"/>
          <w:b/>
          <w:color w:val="auto"/>
          <w:szCs w:val="21"/>
          <w:highlight w:val="none"/>
        </w:rPr>
        <w:t>现文：</w:t>
      </w:r>
      <w:r>
        <w:rPr>
          <w:rFonts w:hint="eastAsia" w:ascii="宋体" w:hAnsi="宋体" w:eastAsia="宋体" w:cs="等线"/>
          <w:color w:val="auto"/>
          <w:szCs w:val="21"/>
          <w:highlight w:val="none"/>
        </w:rPr>
        <w:t>46.7.2</w:t>
      </w:r>
      <w:r>
        <w:rPr>
          <w:rFonts w:hint="eastAsia" w:ascii="宋体" w:hAnsi="宋体" w:eastAsia="宋体" w:cs="等线"/>
          <w:color w:val="auto"/>
          <w:szCs w:val="21"/>
          <w:highlight w:val="none"/>
          <w:u w:val="single"/>
        </w:rPr>
        <w:t>投标人综合得分=技术部分（施工组织方案）得分×技术部分（施工组织方案）得分权重+技术部分（项目实施能力）得分×技术部分（项目实施能力）得分权重+报价得分×报价得分权重。投标人综合得分、技术部分（施工组织方案）得分、技术部分（项目实施能力）得分和报价得分满分为100分。</w:t>
      </w:r>
    </w:p>
    <w:p w14:paraId="7A41C193">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条款号：附件1 开标记录表             修改类型：修改</w:t>
      </w:r>
    </w:p>
    <w:p w14:paraId="16D146D2">
      <w:pPr>
        <w:spacing w:line="360" w:lineRule="auto"/>
        <w:ind w:firstLine="422" w:firstLineChars="200"/>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详见《GZYLZB202</w:t>
      </w:r>
      <w:r>
        <w:rPr>
          <w:rFonts w:hint="eastAsia" w:ascii="宋体" w:hAnsi="宋体" w:eastAsia="宋体"/>
          <w:b w:val="0"/>
          <w:bCs/>
          <w:color w:val="auto"/>
          <w:szCs w:val="21"/>
          <w:highlight w:val="none"/>
          <w:lang w:val="en-US" w:eastAsia="zh-CN"/>
        </w:rPr>
        <w:t>3</w:t>
      </w:r>
      <w:r>
        <w:rPr>
          <w:rFonts w:hint="eastAsia" w:ascii="宋体" w:hAnsi="宋体" w:eastAsia="宋体"/>
          <w:b w:val="0"/>
          <w:bCs/>
          <w:color w:val="auto"/>
          <w:szCs w:val="21"/>
          <w:highlight w:val="none"/>
        </w:rPr>
        <w:t>-1招标文件范本》</w:t>
      </w:r>
    </w:p>
    <w:p w14:paraId="7DC0EB79">
      <w:pPr>
        <w:pBdr>
          <w:bottom w:val="single" w:color="auto" w:sz="6" w:space="1"/>
        </w:pBdr>
        <w:spacing w:line="360" w:lineRule="auto"/>
        <w:ind w:firstLine="422" w:firstLineChars="200"/>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cs="Times New Roman"/>
          <w:b w:val="0"/>
          <w:bCs/>
          <w:color w:val="auto"/>
          <w:szCs w:val="21"/>
          <w:highlight w:val="none"/>
        </w:rPr>
        <w:t>详见附件1 开标记录表</w:t>
      </w:r>
    </w:p>
    <w:p w14:paraId="48BE3A70">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条款号：附件2  资格审查表             修改类型：修改</w:t>
      </w:r>
    </w:p>
    <w:p w14:paraId="26720BFB">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详见《GZYLZB202</w:t>
      </w:r>
      <w:r>
        <w:rPr>
          <w:rFonts w:hint="eastAsia" w:ascii="宋体" w:hAnsi="宋体" w:eastAsia="宋体"/>
          <w:b w:val="0"/>
          <w:bCs/>
          <w:color w:val="auto"/>
          <w:szCs w:val="21"/>
          <w:highlight w:val="none"/>
          <w:lang w:val="en-US" w:eastAsia="zh-CN"/>
        </w:rPr>
        <w:t>3</w:t>
      </w:r>
      <w:r>
        <w:rPr>
          <w:rFonts w:hint="eastAsia" w:ascii="宋体" w:hAnsi="宋体" w:eastAsia="宋体"/>
          <w:b w:val="0"/>
          <w:bCs/>
          <w:color w:val="auto"/>
          <w:szCs w:val="21"/>
          <w:highlight w:val="none"/>
        </w:rPr>
        <w:t>-1招标文件范本》</w:t>
      </w:r>
    </w:p>
    <w:p w14:paraId="22B6199E">
      <w:pPr>
        <w:pBdr>
          <w:bottom w:val="single" w:color="auto" w:sz="6" w:space="1"/>
        </w:pBdr>
        <w:spacing w:line="360" w:lineRule="auto"/>
        <w:ind w:firstLine="422" w:firstLineChars="200"/>
        <w:rPr>
          <w:rFonts w:ascii="宋体" w:hAnsi="宋体" w:eastAsia="宋体"/>
          <w:b w:val="0"/>
          <w:bCs/>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详见附件2  资格审查表</w:t>
      </w:r>
    </w:p>
    <w:p w14:paraId="629C4D1C">
      <w:pPr>
        <w:tabs>
          <w:tab w:val="left" w:pos="1890"/>
        </w:tabs>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条款号：附件3 算术复核表                     修改类型：删除</w:t>
      </w:r>
    </w:p>
    <w:p w14:paraId="1AD55C36">
      <w:pPr>
        <w:pBdr>
          <w:bottom w:val="single" w:color="auto" w:sz="6" w:space="1"/>
        </w:pBdr>
        <w:spacing w:line="360" w:lineRule="auto"/>
        <w:ind w:firstLine="422" w:firstLineChars="200"/>
        <w:rPr>
          <w:rFonts w:hint="eastAsia" w:ascii="宋体" w:hAnsi="宋体" w:eastAsia="宋体" w:cs="宋体"/>
          <w:b w:val="0"/>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val="0"/>
          <w:bCs/>
          <w:color w:val="auto"/>
          <w:szCs w:val="21"/>
          <w:highlight w:val="none"/>
        </w:rPr>
        <w:t>详见《GZYLZB202</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-1招标文件范本》</w:t>
      </w:r>
    </w:p>
    <w:p w14:paraId="00916267">
      <w:pPr>
        <w:tabs>
          <w:tab w:val="left" w:pos="1890"/>
        </w:tabs>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条款号：附件4算术复核汇总表             修改类型：删除</w:t>
      </w:r>
    </w:p>
    <w:p w14:paraId="7FFCA30C">
      <w:pPr>
        <w:pBdr>
          <w:bottom w:val="single" w:color="auto" w:sz="6" w:space="1"/>
        </w:pBd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val="0"/>
          <w:bCs/>
          <w:color w:val="auto"/>
          <w:szCs w:val="21"/>
          <w:highlight w:val="none"/>
        </w:rPr>
        <w:t>详见《GZYLZB202</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-1招标文件范本》</w:t>
      </w:r>
    </w:p>
    <w:p w14:paraId="42A5D2C2">
      <w:pPr>
        <w:tabs>
          <w:tab w:val="left" w:pos="1890"/>
        </w:tabs>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条款号：附件</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 xml:space="preserve"> 投标文件否决性条款审查表       修改类型：修改</w:t>
      </w:r>
    </w:p>
    <w:p w14:paraId="6EEBECF6">
      <w:pPr>
        <w:pBdr>
          <w:bottom w:val="single" w:color="auto" w:sz="6" w:space="1"/>
        </w:pBd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val="0"/>
          <w:bCs/>
          <w:color w:val="auto"/>
          <w:szCs w:val="21"/>
          <w:highlight w:val="none"/>
        </w:rPr>
        <w:t>详见《GZYLZB202</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-1招标文件范本》</w:t>
      </w:r>
    </w:p>
    <w:p w14:paraId="27EBD574">
      <w:pPr>
        <w:pBdr>
          <w:bottom w:val="single" w:color="auto" w:sz="6" w:space="1"/>
        </w:pBd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val="0"/>
          <w:bCs/>
          <w:color w:val="auto"/>
          <w:szCs w:val="21"/>
          <w:highlight w:val="none"/>
        </w:rPr>
        <w:t>详见附件</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rPr>
        <w:t xml:space="preserve"> 投标文件否决性条款审查表</w:t>
      </w:r>
    </w:p>
    <w:p w14:paraId="5FC80566">
      <w:pPr>
        <w:tabs>
          <w:tab w:val="left" w:pos="1890"/>
        </w:tabs>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条款号：附件</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 xml:space="preserve"> 投标人串通投标评审表           修改类型：修改</w:t>
      </w:r>
    </w:p>
    <w:p w14:paraId="69A33AEE">
      <w:pPr>
        <w:pBdr>
          <w:bottom w:val="single" w:color="auto" w:sz="6" w:space="1"/>
        </w:pBd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val="0"/>
          <w:bCs/>
          <w:color w:val="auto"/>
          <w:szCs w:val="21"/>
          <w:highlight w:val="none"/>
        </w:rPr>
        <w:t>详见《GZYLZB202</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-1招标文件范本》</w:t>
      </w:r>
    </w:p>
    <w:p w14:paraId="110EBABF">
      <w:pPr>
        <w:pBdr>
          <w:bottom w:val="single" w:color="auto" w:sz="6" w:space="1"/>
        </w:pBdr>
        <w:spacing w:line="360" w:lineRule="auto"/>
        <w:ind w:firstLine="422" w:firstLineChars="200"/>
        <w:rPr>
          <w:rFonts w:hint="eastAsia" w:ascii="宋体" w:hAnsi="宋体" w:eastAsia="宋体" w:cs="宋体"/>
          <w:b w:val="0"/>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val="0"/>
          <w:bCs/>
          <w:color w:val="auto"/>
          <w:szCs w:val="21"/>
          <w:highlight w:val="none"/>
        </w:rPr>
        <w:t>详见附件</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rPr>
        <w:t xml:space="preserve"> 投标人串通投标评审表</w:t>
      </w:r>
    </w:p>
    <w:p w14:paraId="0DC00305">
      <w:pPr>
        <w:tabs>
          <w:tab w:val="left" w:pos="1890"/>
        </w:tabs>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附件</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rPr>
        <w:t>技术部分（施工组织方案）审查评分表       修改类型：修改</w:t>
      </w:r>
    </w:p>
    <w:p w14:paraId="21C3BB43">
      <w:pPr>
        <w:pBdr>
          <w:bottom w:val="single" w:color="auto" w:sz="6" w:space="1"/>
        </w:pBd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val="0"/>
          <w:bCs/>
          <w:color w:val="auto"/>
          <w:szCs w:val="21"/>
          <w:highlight w:val="none"/>
        </w:rPr>
        <w:t>详见《GZYLZB202</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-1招标文件范本》</w:t>
      </w:r>
    </w:p>
    <w:p w14:paraId="3F63F8EB">
      <w:pPr>
        <w:pBdr>
          <w:bottom w:val="single" w:color="auto" w:sz="6" w:space="1"/>
        </w:pBd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val="0"/>
          <w:bCs/>
          <w:color w:val="auto"/>
          <w:szCs w:val="21"/>
          <w:highlight w:val="none"/>
        </w:rPr>
        <w:t>详见附件</w:t>
      </w:r>
      <w:r>
        <w:rPr>
          <w:rFonts w:hint="eastAsia" w:ascii="宋体" w:hAnsi="宋体" w:eastAsia="宋体" w:cs="宋体"/>
          <w:b w:val="0"/>
          <w:bCs/>
          <w:color w:val="auto"/>
          <w:szCs w:val="21"/>
          <w:highlight w:val="none"/>
          <w:lang w:val="en-US" w:eastAsia="zh-CN"/>
        </w:rPr>
        <w:t>9</w:t>
      </w:r>
      <w:r>
        <w:rPr>
          <w:rFonts w:hint="eastAsia" w:ascii="宋体" w:hAnsi="宋体" w:eastAsia="宋体" w:cs="宋体"/>
          <w:b w:val="0"/>
          <w:bCs/>
          <w:color w:val="auto"/>
          <w:szCs w:val="21"/>
          <w:highlight w:val="none"/>
        </w:rPr>
        <w:t>技术部分（施工组织方案）审查评分表</w:t>
      </w:r>
    </w:p>
    <w:p w14:paraId="1793B832">
      <w:pPr>
        <w:tabs>
          <w:tab w:val="left" w:pos="1890"/>
        </w:tabs>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条款号：附件</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技术部分（项目实施能力）审查评分表        修改类型：修改</w:t>
      </w:r>
    </w:p>
    <w:p w14:paraId="6D8DF4E9">
      <w:pPr>
        <w:pBdr>
          <w:bottom w:val="single" w:color="auto" w:sz="6" w:space="1"/>
        </w:pBdr>
        <w:spacing w:line="360" w:lineRule="auto"/>
        <w:ind w:firstLine="422" w:firstLineChars="200"/>
        <w:rPr>
          <w:rFonts w:hint="eastAsia" w:ascii="宋体" w:hAnsi="宋体" w:eastAsia="宋体" w:cs="宋体"/>
          <w:b w:val="0"/>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val="0"/>
          <w:bCs/>
          <w:color w:val="auto"/>
          <w:szCs w:val="21"/>
          <w:highlight w:val="none"/>
        </w:rPr>
        <w:t>详见《GZYLZB202</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-1招标文件范本》</w:t>
      </w:r>
    </w:p>
    <w:p w14:paraId="5B6A8942">
      <w:pPr>
        <w:pBdr>
          <w:bottom w:val="single" w:color="auto" w:sz="6" w:space="1"/>
        </w:pBdr>
        <w:spacing w:line="360" w:lineRule="auto"/>
        <w:ind w:firstLine="422" w:firstLineChars="200"/>
        <w:rPr>
          <w:rFonts w:hint="eastAsia" w:ascii="宋体" w:hAnsi="宋体" w:eastAsia="宋体" w:cs="宋体"/>
          <w:b w:val="0"/>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val="0"/>
          <w:bCs/>
          <w:color w:val="auto"/>
          <w:szCs w:val="21"/>
          <w:highlight w:val="none"/>
        </w:rPr>
        <w:t>详见附件</w:t>
      </w:r>
      <w:r>
        <w:rPr>
          <w:rFonts w:hint="eastAsia" w:ascii="宋体" w:hAnsi="宋体" w:eastAsia="宋体" w:cs="宋体"/>
          <w:b w:val="0"/>
          <w:bCs/>
          <w:color w:val="auto"/>
          <w:szCs w:val="21"/>
          <w:highlight w:val="none"/>
          <w:lang w:val="en-US" w:eastAsia="zh-CN"/>
        </w:rPr>
        <w:t>10</w:t>
      </w:r>
      <w:r>
        <w:rPr>
          <w:rFonts w:hint="eastAsia" w:ascii="宋体" w:hAnsi="宋体" w:eastAsia="宋体" w:cs="宋体"/>
          <w:b w:val="0"/>
          <w:bCs/>
          <w:color w:val="auto"/>
          <w:szCs w:val="21"/>
          <w:highlight w:val="none"/>
        </w:rPr>
        <w:t>技术部分（项目实施能力）审查评分表</w:t>
      </w:r>
    </w:p>
    <w:p w14:paraId="3D24B58F">
      <w:pPr>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注：以上修改，仅限于本范本中有可供选择条款的情形。</w:t>
      </w:r>
    </w:p>
    <w:p w14:paraId="514D1588">
      <w:pPr>
        <w:spacing w:line="360" w:lineRule="auto"/>
        <w:rPr>
          <w:rFonts w:ascii="宋体" w:hAnsi="宋体" w:eastAsia="宋体"/>
          <w:color w:val="auto"/>
          <w:highlight w:val="none"/>
        </w:rPr>
      </w:pPr>
      <w:r>
        <w:rPr>
          <w:rFonts w:hint="eastAsia" w:ascii="宋体" w:hAnsi="宋体" w:eastAsia="宋体"/>
          <w:b/>
          <w:color w:val="auto"/>
          <w:szCs w:val="21"/>
          <w:highlight w:val="none"/>
        </w:rPr>
        <w:t>（以下无正文）</w:t>
      </w:r>
    </w:p>
    <w:p w14:paraId="1E7DDF5B">
      <w:pPr>
        <w:pStyle w:val="4"/>
        <w:spacing w:before="120"/>
        <w:rPr>
          <w:rFonts w:ascii="宋体" w:eastAsia="宋体"/>
          <w:color w:val="auto"/>
          <w:highlight w:val="none"/>
        </w:rPr>
      </w:pPr>
      <w:bookmarkStart w:id="82" w:name="_二、采用资格后审方式施工招标项目开标、评标及定标办法"/>
      <w:bookmarkEnd w:id="82"/>
      <w:r>
        <w:rPr>
          <w:rFonts w:hint="eastAsia" w:ascii="宋体" w:eastAsia="宋体"/>
          <w:color w:val="auto"/>
          <w:highlight w:val="none"/>
        </w:rPr>
        <w:br w:type="page"/>
      </w:r>
      <w:bookmarkEnd w:id="67"/>
      <w:bookmarkStart w:id="83" w:name="_Toc29755"/>
      <w:r>
        <w:rPr>
          <w:rFonts w:hint="eastAsia" w:ascii="宋体" w:eastAsia="宋体"/>
          <w:color w:val="auto"/>
          <w:highlight w:val="none"/>
        </w:rPr>
        <w:t>二、开标、评标及定标办法</w:t>
      </w:r>
      <w:bookmarkEnd w:id="83"/>
    </w:p>
    <w:p w14:paraId="57248156">
      <w:pPr>
        <w:pStyle w:val="4"/>
        <w:spacing w:before="120"/>
        <w:rPr>
          <w:rFonts w:ascii="宋体" w:eastAsia="宋体"/>
          <w:color w:val="auto"/>
          <w:highlight w:val="none"/>
        </w:rPr>
      </w:pPr>
      <w:bookmarkStart w:id="84" w:name="_Toc21218"/>
      <w:r>
        <w:rPr>
          <w:rFonts w:hint="eastAsia" w:ascii="宋体" w:eastAsia="宋体"/>
          <w:color w:val="auto"/>
          <w:highlight w:val="none"/>
        </w:rPr>
        <w:t>（一）总则</w:t>
      </w:r>
      <w:bookmarkEnd w:id="84"/>
    </w:p>
    <w:p w14:paraId="2FDE0B47">
      <w:pPr>
        <w:ind w:firstLine="3896" w:firstLineChars="1617"/>
        <w:rPr>
          <w:rFonts w:ascii="宋体" w:hAnsi="宋体" w:eastAsia="宋体"/>
          <w:b/>
          <w:color w:val="auto"/>
          <w:sz w:val="24"/>
          <w:szCs w:val="24"/>
          <w:highlight w:val="none"/>
        </w:rPr>
      </w:pPr>
    </w:p>
    <w:p w14:paraId="11570704">
      <w:pPr>
        <w:tabs>
          <w:tab w:val="left" w:pos="1620"/>
        </w:tabs>
        <w:snapToGrid w:val="0"/>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highlight w:val="none"/>
        </w:rPr>
        <w:t>37.开标、评标及定标所依据的规则</w:t>
      </w:r>
    </w:p>
    <w:p w14:paraId="784E422A">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37.1《中华人民共和国招标投标法》；</w:t>
      </w:r>
    </w:p>
    <w:p w14:paraId="038A245F">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37.2《中华人民共和国招标投标法实施条例》；</w:t>
      </w:r>
    </w:p>
    <w:p w14:paraId="3649F9BC">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37.3《广东省实施〈中华人民共和国招标投标法〉办法》；</w:t>
      </w:r>
    </w:p>
    <w:p w14:paraId="734AD9E5">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37.4国家发改委等九部委2013年第23号令；</w:t>
      </w:r>
    </w:p>
    <w:p w14:paraId="5ED9773F">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37.5《广州市工程建设项目招标投标管理办法》；</w:t>
      </w:r>
    </w:p>
    <w:p w14:paraId="0DAD37DC">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37.6《广东省加强建设工程招标投标监督管理的若干规定》；</w:t>
      </w:r>
    </w:p>
    <w:p w14:paraId="730396AB">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37.7《广州市林业和园林局关于明确广州市园林绿化工程项目招标投标有关问题的通知》</w:t>
      </w:r>
    </w:p>
    <w:p w14:paraId="492EC998">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37.8本项目招标文件。</w:t>
      </w:r>
    </w:p>
    <w:p w14:paraId="384F5821">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38.开标</w:t>
      </w:r>
    </w:p>
    <w:p w14:paraId="581F5F03">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38.1招标人按投标须知前附表第21项所规定的时间和地点公开开标，并邀请所有投标人参加。递交投标文件截止时间后，开标时间因故推迟的，相关评标信息仍以原定的开标时间的信息为准。</w:t>
      </w:r>
    </w:p>
    <w:p w14:paraId="5953A80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38.2投标人、招标人分别按投标须知第25条、第26条规定对投标文件进行解密。</w:t>
      </w:r>
    </w:p>
    <w:p w14:paraId="769460F2">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38.3开标时，出现下列情形之一的投标人，不参与电脑随机排序、资格审查和评标，其投标文件作无效处理：</w:t>
      </w:r>
    </w:p>
    <w:p w14:paraId="266AEFF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38.3.1未成功递交或因投标人原因未成功导入投标文件的；</w:t>
      </w:r>
    </w:p>
    <w:p w14:paraId="502A31DA">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38.3.2因投标人原因造成投标文件未解密的；</w:t>
      </w:r>
    </w:p>
    <w:p w14:paraId="39293BF6">
      <w:pPr>
        <w:spacing w:line="360" w:lineRule="auto"/>
        <w:ind w:firstLine="480" w:firstLineChars="200"/>
        <w:rPr>
          <w:rFonts w:hint="eastAsia"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38.3.3投标人未按要求递交投标保证金的；</w:t>
      </w:r>
    </w:p>
    <w:p w14:paraId="15EF2E7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38.3.4两个（含两个）以上的投标人加密打包投标文件电脑机器特征码一致的；</w:t>
      </w:r>
    </w:p>
    <w:p w14:paraId="180DF25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38.3.5项目负责人和</w:t>
      </w:r>
      <w:r>
        <w:rPr>
          <w:rFonts w:hint="eastAsia" w:ascii="宋体" w:hAnsi="宋体" w:eastAsia="宋体"/>
          <w:color w:val="auto"/>
          <w:sz w:val="24"/>
          <w:szCs w:val="24"/>
          <w:highlight w:val="none"/>
          <w:lang w:eastAsia="zh-CN"/>
        </w:rPr>
        <w:t>专职</w:t>
      </w:r>
      <w:r>
        <w:rPr>
          <w:rFonts w:hint="eastAsia" w:ascii="宋体" w:hAnsi="宋体" w:eastAsia="宋体"/>
          <w:color w:val="auto"/>
          <w:sz w:val="24"/>
          <w:szCs w:val="24"/>
          <w:highlight w:val="none"/>
        </w:rPr>
        <w:t>安全员为同一人的。</w:t>
      </w:r>
    </w:p>
    <w:p w14:paraId="637B5AC8">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38.4若递交投标文件的投标人不足3个，则重新组织招标（当N个标段同时招标且不允许兼中时，若递交投标文件单位不足N+2个，则重新组织招标）。</w:t>
      </w:r>
    </w:p>
    <w:p w14:paraId="003F7840">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39.评标</w:t>
      </w:r>
    </w:p>
    <w:p w14:paraId="1A298163">
      <w:pPr>
        <w:spacing w:line="360" w:lineRule="auto"/>
        <w:ind w:firstLine="480" w:firstLineChars="200"/>
        <w:rPr>
          <w:rFonts w:ascii="宋体" w:hAnsi="宋体" w:eastAsia="宋体"/>
          <w:color w:val="auto"/>
          <w:sz w:val="24"/>
          <w:szCs w:val="24"/>
          <w:highlight w:val="none"/>
        </w:rPr>
      </w:pPr>
      <w:r>
        <w:rPr>
          <w:rFonts w:hint="eastAsia" w:ascii="宋体" w:hAnsi="宋体" w:eastAsia="宋体" w:cs="Times New Roman"/>
          <w:color w:val="auto"/>
          <w:sz w:val="24"/>
          <w:szCs w:val="24"/>
          <w:highlight w:val="none"/>
        </w:rPr>
        <w:t>39.1评</w:t>
      </w:r>
      <w:r>
        <w:rPr>
          <w:rFonts w:hint="eastAsia" w:ascii="宋体" w:hAnsi="宋体" w:eastAsia="宋体"/>
          <w:color w:val="auto"/>
          <w:sz w:val="24"/>
          <w:szCs w:val="24"/>
          <w:highlight w:val="none"/>
        </w:rPr>
        <w:t>标由招标人依法组建的评标委员会负责。评标委员会由招标人的代表和有关技术、经济等方面的专家组成，成员人数为五人以上单数。招标人代表不得担任评标委员会负责人，不得接受评标报酬，评标过程中不得以任何方式影响其他评标专家独立评标。技术、经济等方面的专家须从政府设立的建设工程评标专家库中随机抽取确定，不得少于成员总数的三份之二。</w:t>
      </w:r>
    </w:p>
    <w:p w14:paraId="3057753C">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39.2评标委员会的职责及守则：</w:t>
      </w:r>
    </w:p>
    <w:p w14:paraId="5FDF0180">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39.2.1根据评标细则，对标书进行认真评审，完成评审报告；</w:t>
      </w:r>
    </w:p>
    <w:p w14:paraId="5C1EDFCF">
      <w:pPr>
        <w:tabs>
          <w:tab w:val="left" w:pos="1620"/>
        </w:tabs>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39.2.2向招标人报告评审意见，推荐合格的中标候选人。</w:t>
      </w:r>
    </w:p>
    <w:p w14:paraId="45127586">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bCs/>
          <w:color w:val="auto"/>
          <w:sz w:val="24"/>
          <w:szCs w:val="24"/>
          <w:highlight w:val="none"/>
        </w:rPr>
        <w:t>39.2.3</w:t>
      </w:r>
      <w:r>
        <w:rPr>
          <w:rFonts w:hint="eastAsia" w:ascii="宋体" w:hAnsi="宋体" w:eastAsia="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30014CF8">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39.2.4全体参与评标人员：</w:t>
      </w:r>
    </w:p>
    <w:p w14:paraId="4DBE3BCF">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39.2.4.1 必须遵守评标纪律、不得泄密；</w:t>
      </w:r>
    </w:p>
    <w:p w14:paraId="10A47D18">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39.2.4.2 必须公正、不得循私；</w:t>
      </w:r>
    </w:p>
    <w:p w14:paraId="3D9C5E17">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39.2.4.3 必须科学、不得草率；</w:t>
      </w:r>
    </w:p>
    <w:p w14:paraId="13CC4A93">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39.2.4.4 必须客观、不得带有成见；</w:t>
      </w:r>
    </w:p>
    <w:p w14:paraId="1B65AB22">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bCs/>
          <w:color w:val="auto"/>
          <w:sz w:val="24"/>
          <w:szCs w:val="24"/>
          <w:highlight w:val="none"/>
        </w:rPr>
        <w:t>39.2.4.5 必须平等、不得强加于人</w:t>
      </w:r>
      <w:r>
        <w:rPr>
          <w:rFonts w:hint="eastAsia" w:ascii="宋体" w:hAnsi="宋体" w:eastAsia="宋体"/>
          <w:color w:val="auto"/>
          <w:sz w:val="24"/>
          <w:szCs w:val="24"/>
          <w:highlight w:val="none"/>
        </w:rPr>
        <w:t>；</w:t>
      </w:r>
    </w:p>
    <w:p w14:paraId="66B1B868">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39.2.4.6 必须严谨、不得随意马虎。</w:t>
      </w:r>
    </w:p>
    <w:p w14:paraId="2E89AD60">
      <w:pPr>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olor w:val="auto"/>
          <w:sz w:val="24"/>
          <w:szCs w:val="24"/>
          <w:highlight w:val="none"/>
        </w:rPr>
        <w:t>39.3 评标结束后，</w:t>
      </w:r>
      <w:r>
        <w:rPr>
          <w:rFonts w:hint="eastAsia" w:ascii="宋体" w:hAnsi="宋体" w:eastAsia="宋体"/>
          <w:bCs/>
          <w:color w:val="auto"/>
          <w:sz w:val="24"/>
          <w:szCs w:val="24"/>
          <w:highlight w:val="none"/>
        </w:rPr>
        <w:t>评标委员会递交评标报告并依法推荐中标候选人。</w:t>
      </w:r>
    </w:p>
    <w:p w14:paraId="2EB43A16">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存在投标人串通投标行为的，评标委员会应将相关投标人存在的具体情形、评审认定过程及评审依据详细记录在评标报告中，作为评标报告的组成部分。投标人有关澄清文件的原件封存广州交易集团有限公司（广州公共资源交易中心）备查，复印件在评标结束当日工作时间内（评标结束时处于非工作时间的，应于下个一工作日12:00时前）由招标人或招标代理机构转交该项目招标监管机构查处。</w:t>
      </w:r>
    </w:p>
    <w:p w14:paraId="0D778F05">
      <w:pPr>
        <w:snapToGrid w:val="0"/>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40．投标文件的澄清</w:t>
      </w:r>
    </w:p>
    <w:p w14:paraId="0176DB39">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40.1投标文件属于《投标人串通投标评审表》所列情形之一的，评标委员会应要求涉及相应情形的投标企业在接到通知后2小时内到达指定地点作出书面澄清。</w:t>
      </w:r>
    </w:p>
    <w:p w14:paraId="2DBDD1C7">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40.2对于</w:t>
      </w:r>
      <w:r>
        <w:rPr>
          <w:rFonts w:hint="eastAsia" w:ascii="宋体" w:hAnsi="宋体" w:eastAsia="宋体"/>
          <w:color w:val="auto"/>
          <w:sz w:val="24"/>
          <w:szCs w:val="24"/>
          <w:highlight w:val="none"/>
          <w:lang w:val="en-US" w:eastAsia="zh-CN"/>
        </w:rPr>
        <w:t>40</w:t>
      </w:r>
      <w:r>
        <w:rPr>
          <w:rFonts w:hint="eastAsia" w:ascii="宋体" w:hAnsi="宋体" w:eastAsia="宋体"/>
          <w:color w:val="auto"/>
          <w:sz w:val="24"/>
          <w:szCs w:val="24"/>
          <w:highlight w:val="none"/>
        </w:rPr>
        <w:t>.1以外的其他情况，为有助于投标文件的审查、评价和比较，评标期间，经评标委员会或评标委员会专业评审组中2人以上（含2人）成员以书面形式提出动议，评标委员会或评标委员会专业评审组应当书面发出澄清通知，要求投标人对投标文件含义不明确的内容作出澄清。</w:t>
      </w:r>
    </w:p>
    <w:p w14:paraId="624B72BF">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40.3投标人应以书面形式进行澄清，</w:t>
      </w:r>
      <w:r>
        <w:rPr>
          <w:rFonts w:hint="eastAsia" w:ascii="宋体" w:hAnsi="宋体" w:eastAsia="宋体"/>
          <w:bCs/>
          <w:color w:val="auto"/>
          <w:sz w:val="24"/>
          <w:highlight w:val="none"/>
        </w:rPr>
        <w:t>澄清和说明内容属于投标文件的组成部分，</w:t>
      </w:r>
      <w:r>
        <w:rPr>
          <w:rFonts w:hint="eastAsia" w:ascii="宋体" w:hAnsi="宋体" w:eastAsia="宋体"/>
          <w:color w:val="auto"/>
          <w:sz w:val="24"/>
          <w:szCs w:val="24"/>
          <w:highlight w:val="none"/>
        </w:rPr>
        <w:t>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3078FFAA">
      <w:pPr>
        <w:spacing w:line="360" w:lineRule="auto"/>
        <w:ind w:firstLine="480" w:firstLineChars="200"/>
        <w:rPr>
          <w:rFonts w:ascii="宋体" w:hAnsi="宋体" w:eastAsia="宋体"/>
          <w:bCs/>
          <w:color w:val="auto"/>
          <w:sz w:val="24"/>
          <w:highlight w:val="none"/>
        </w:rPr>
      </w:pPr>
      <w:r>
        <w:rPr>
          <w:rFonts w:hint="eastAsia" w:ascii="宋体" w:hAnsi="宋体" w:eastAsia="宋体"/>
          <w:color w:val="auto"/>
          <w:sz w:val="24"/>
          <w:szCs w:val="24"/>
          <w:highlight w:val="none"/>
        </w:rPr>
        <w:t>40.4评标委员会或评标委员会专业评审组成员均应当阅读投标人的澄清，但应独立参考澄清对投标文件进行评审，</w:t>
      </w:r>
      <w:r>
        <w:rPr>
          <w:rFonts w:hint="eastAsia" w:ascii="宋体" w:hAnsi="宋体" w:eastAsia="宋体"/>
          <w:bCs/>
          <w:color w:val="auto"/>
          <w:sz w:val="24"/>
          <w:highlight w:val="none"/>
        </w:rPr>
        <w:t>整个澄清的过程不得存在排斥潜在投标人的现象。</w:t>
      </w:r>
    </w:p>
    <w:p w14:paraId="31304CB5">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40.5如果投标文件实质上不响应招标文件的各项要求，评标委员会将按照否决性条款审查标准予以拒绝，不接受投标人通过修改或撤销其不符合要求的差异或保留，使之成为具有响应性的投标。</w:t>
      </w:r>
    </w:p>
    <w:p w14:paraId="18B287E0">
      <w:pPr>
        <w:tabs>
          <w:tab w:val="left" w:pos="1890"/>
        </w:tabs>
        <w:snapToGrid w:val="0"/>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41．定标</w:t>
      </w:r>
    </w:p>
    <w:p w14:paraId="26ADB133">
      <w:pPr>
        <w:tabs>
          <w:tab w:val="left" w:pos="1890"/>
        </w:tabs>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41.1不采用评定分离的，评标委员会推荐中标候选人</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名（不多于3名）。</w:t>
      </w:r>
    </w:p>
    <w:p w14:paraId="70D1ECE7">
      <w:pPr>
        <w:tabs>
          <w:tab w:val="left" w:pos="1890"/>
        </w:tabs>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评标委员会向招标人推荐按综合得分高低排序的中标候选人。招标人在评标委员会推荐的中标候选人中确定中标人。依法必须招标的项目，招标人应当确定排名第一的中标候选人为中标人。</w:t>
      </w:r>
    </w:p>
    <w:p w14:paraId="0143DFE6">
      <w:pPr>
        <w:tabs>
          <w:tab w:val="left" w:pos="1890"/>
        </w:tabs>
        <w:snapToGrid w:val="0"/>
        <w:spacing w:line="360" w:lineRule="auto"/>
        <w:ind w:firstLine="480" w:firstLineChars="200"/>
        <w:rPr>
          <w:rFonts w:hint="eastAsia" w:ascii="宋体" w:hAnsi="宋体" w:eastAsia="宋体"/>
          <w:strike w:val="0"/>
          <w:dstrike w:val="0"/>
          <w:color w:val="auto"/>
          <w:sz w:val="24"/>
          <w:szCs w:val="24"/>
          <w:highlight w:val="none"/>
          <w:u w:val="none"/>
        </w:rPr>
      </w:pPr>
      <w:r>
        <w:rPr>
          <w:rFonts w:hint="eastAsia" w:ascii="宋体" w:hAnsi="宋体" w:eastAsia="宋体"/>
          <w:strike w:val="0"/>
          <w:dstrike w:val="0"/>
          <w:color w:val="auto"/>
          <w:sz w:val="24"/>
          <w:szCs w:val="24"/>
          <w:highlight w:val="none"/>
          <w:u w:val="none"/>
        </w:rPr>
        <w:t xml:space="preserve"> 41.2采用评定分离的，评标委员会推荐中标候选人   名（3-5名）。</w:t>
      </w:r>
    </w:p>
    <w:p w14:paraId="53956E3F">
      <w:pPr>
        <w:tabs>
          <w:tab w:val="left" w:pos="1890"/>
        </w:tabs>
        <w:snapToGrid w:val="0"/>
        <w:spacing w:line="360" w:lineRule="auto"/>
        <w:ind w:firstLine="480" w:firstLineChars="200"/>
        <w:rPr>
          <w:rFonts w:hint="eastAsia" w:ascii="宋体" w:hAnsi="宋体" w:eastAsia="宋体"/>
          <w:strike w:val="0"/>
          <w:dstrike w:val="0"/>
          <w:color w:val="auto"/>
          <w:sz w:val="24"/>
          <w:szCs w:val="24"/>
          <w:highlight w:val="none"/>
          <w:u w:val="none"/>
        </w:rPr>
      </w:pPr>
      <w:r>
        <w:rPr>
          <w:rFonts w:hint="eastAsia" w:ascii="宋体" w:hAnsi="宋体" w:eastAsia="宋体"/>
          <w:strike w:val="0"/>
          <w:dstrike w:val="0"/>
          <w:color w:val="auto"/>
          <w:sz w:val="24"/>
          <w:szCs w:val="24"/>
          <w:highlight w:val="none"/>
          <w:u w:val="none"/>
        </w:rPr>
        <w:t>评标委员会向招标人推荐不排序的中标候选人。定标委员会在中标候选人中按照定标办法（详见附件一）确定中标人。</w:t>
      </w:r>
    </w:p>
    <w:p w14:paraId="3C73CF96">
      <w:pPr>
        <w:tabs>
          <w:tab w:val="left" w:pos="1890"/>
        </w:tabs>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41.3中标人确定后，招标人（招标代理机构）通过广州公共资源交易</w:t>
      </w:r>
      <w:r>
        <w:rPr>
          <w:rFonts w:hint="eastAsia" w:ascii="宋体" w:hAnsi="宋体" w:eastAsia="宋体"/>
          <w:color w:val="auto"/>
          <w:sz w:val="24"/>
          <w:szCs w:val="24"/>
          <w:highlight w:val="none"/>
          <w:lang w:eastAsia="zh-CN"/>
        </w:rPr>
        <w:t>网站</w:t>
      </w:r>
      <w:r>
        <w:rPr>
          <w:rFonts w:hint="eastAsia" w:ascii="宋体" w:hAnsi="宋体" w:eastAsia="宋体"/>
          <w:color w:val="auto"/>
          <w:sz w:val="24"/>
          <w:szCs w:val="24"/>
          <w:highlight w:val="none"/>
        </w:rPr>
        <w:t>和广东省招标投标监管网公示中标结果，向中标人发出中标通知书，并同时将中标结果通知所有未中标的投标人。投标人或其他利害关系人对评标结果有异议的，应当在中标候选人公示期间通过电子交易平台或书面方式提出。通过电子交易平台提出异议的，招标人线上作出答复。作出答复前，应当暂停招标投标活动。</w:t>
      </w:r>
    </w:p>
    <w:p w14:paraId="34335B74">
      <w:pPr>
        <w:tabs>
          <w:tab w:val="left" w:pos="1890"/>
        </w:tabs>
        <w:snapToGrid w:val="0"/>
        <w:spacing w:line="360" w:lineRule="auto"/>
        <w:ind w:firstLine="480" w:firstLineChars="200"/>
        <w:rPr>
          <w:rFonts w:ascii="宋体" w:hAnsi="宋体" w:eastAsia="宋体"/>
          <w:strike w:val="0"/>
          <w:dstrike w:val="0"/>
          <w:color w:val="auto"/>
          <w:sz w:val="24"/>
          <w:szCs w:val="24"/>
          <w:highlight w:val="none"/>
        </w:rPr>
      </w:pPr>
      <w:r>
        <w:rPr>
          <w:rFonts w:hint="eastAsia" w:ascii="宋体" w:hAnsi="宋体" w:eastAsia="宋体"/>
          <w:color w:val="auto"/>
          <w:sz w:val="24"/>
          <w:szCs w:val="24"/>
          <w:highlight w:val="none"/>
        </w:rPr>
        <w:t>41.4招标人应当自确定中标人之日起十五日内，向招标管理机构提交招标投标情况的书面报告</w:t>
      </w:r>
      <w:r>
        <w:rPr>
          <w:rFonts w:hint="eastAsia" w:ascii="宋体" w:hAnsi="宋体" w:eastAsia="宋体"/>
          <w:strike w:val="0"/>
          <w:dstrike w:val="0"/>
          <w:color w:val="auto"/>
          <w:sz w:val="24"/>
          <w:szCs w:val="24"/>
          <w:highlight w:val="none"/>
        </w:rPr>
        <w:t>。采用评定分离的，招标人应当提交定标报告。定标报告应包括定标委员会的产生过程、定标委员会成员名单、定标程序、定标会议过程及定标结果等内容。</w:t>
      </w:r>
    </w:p>
    <w:p w14:paraId="09C31820">
      <w:pPr>
        <w:tabs>
          <w:tab w:val="left" w:pos="1890"/>
        </w:tabs>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41.5如出现中标人放弃中标、因不可抗力不能履行合同、不按照招标文件要求提交履约担保，或者被查实存在影响中标结果的违法行为等情形，不符合中标条件的，招标人可按照条款41.1的定标方式重新确定中标人，也可以重新招标。</w:t>
      </w:r>
    </w:p>
    <w:p w14:paraId="12821BDB">
      <w:pPr>
        <w:tabs>
          <w:tab w:val="left" w:pos="1890"/>
        </w:tabs>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41.6如重新确定的中标人出现上述情形，招标人可直接确认最后一名中标候选人为中标人。如所有中标候选人均出现本款所列情形的，本项目招标失败，招标人依法重新招标。</w:t>
      </w:r>
    </w:p>
    <w:p w14:paraId="3B4D40EE">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41.7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36C5090C">
      <w:pPr>
        <w:pStyle w:val="4"/>
        <w:spacing w:before="120"/>
        <w:rPr>
          <w:rFonts w:hint="eastAsia" w:ascii="宋体" w:eastAsia="宋体"/>
          <w:color w:val="auto"/>
          <w:highlight w:val="none"/>
        </w:rPr>
      </w:pPr>
      <w:r>
        <w:rPr>
          <w:rFonts w:ascii="宋体" w:eastAsia="宋体"/>
          <w:color w:val="auto"/>
          <w:szCs w:val="32"/>
          <w:highlight w:val="none"/>
        </w:rPr>
        <w:br w:type="page"/>
      </w:r>
      <w:bookmarkStart w:id="85" w:name="_Toc4359"/>
      <w:r>
        <w:rPr>
          <w:rFonts w:hint="eastAsia" w:ascii="宋体" w:eastAsia="宋体"/>
          <w:color w:val="auto"/>
          <w:highlight w:val="none"/>
        </w:rPr>
        <w:t>（二）开标评标办法程序和细则</w:t>
      </w:r>
      <w:bookmarkEnd w:id="85"/>
    </w:p>
    <w:p w14:paraId="1D322D23">
      <w:pPr>
        <w:pStyle w:val="7"/>
        <w:ind w:firstLine="0"/>
        <w:rPr>
          <w:rFonts w:hint="eastAsia" w:ascii="宋体" w:hAnsi="宋体" w:eastAsia="宋体"/>
          <w:b/>
          <w:color w:val="auto"/>
          <w:highlight w:val="none"/>
        </w:rPr>
      </w:pPr>
    </w:p>
    <w:p w14:paraId="440FDAEE">
      <w:pPr>
        <w:pStyle w:val="4"/>
        <w:spacing w:before="120"/>
        <w:rPr>
          <w:rFonts w:hint="eastAsia" w:ascii="宋体" w:eastAsia="宋体"/>
          <w:color w:val="auto"/>
          <w:highlight w:val="none"/>
        </w:rPr>
      </w:pPr>
      <w:bookmarkStart w:id="86" w:name="_Toc19709"/>
      <w:r>
        <w:rPr>
          <w:rFonts w:hint="eastAsia" w:ascii="宋体" w:eastAsia="宋体"/>
          <w:color w:val="auto"/>
          <w:highlight w:val="none"/>
        </w:rPr>
        <w:t>可选办法一  综合评分法</w:t>
      </w:r>
      <w:bookmarkEnd w:id="86"/>
    </w:p>
    <w:p w14:paraId="1BE0D5AF">
      <w:pPr>
        <w:snapToGrid w:val="0"/>
        <w:spacing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42.开标和评标程序</w:t>
      </w:r>
    </w:p>
    <w:p w14:paraId="2963EEA2">
      <w:pPr>
        <w:pStyle w:val="32"/>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42.1投标人在递交投标文件截止时间到达后的</w:t>
      </w:r>
      <w:r>
        <w:rPr>
          <w:rFonts w:hint="eastAsia" w:ascii="宋体" w:hAnsi="宋体" w:eastAsia="宋体"/>
          <w:color w:val="auto"/>
          <w:sz w:val="24"/>
          <w:szCs w:val="24"/>
          <w:highlight w:val="none"/>
          <w:u w:val="none"/>
          <w:lang w:val="en-US" w:eastAsia="zh-CN"/>
        </w:rPr>
        <w:t>1</w:t>
      </w:r>
      <w:r>
        <w:rPr>
          <w:rFonts w:hint="eastAsia" w:ascii="宋体" w:hAnsi="宋体" w:eastAsia="宋体"/>
          <w:color w:val="auto"/>
          <w:sz w:val="24"/>
          <w:szCs w:val="24"/>
          <w:highlight w:val="none"/>
        </w:rPr>
        <w:t>小时内，使用制作该投标文件的机构业务数字证书对其投标文件进行解密。</w:t>
      </w:r>
    </w:p>
    <w:p w14:paraId="1FA86907">
      <w:pPr>
        <w:pStyle w:val="32"/>
        <w:tabs>
          <w:tab w:val="left" w:pos="7380"/>
        </w:tabs>
        <w:spacing w:after="0"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42.2公布投标人名单，将显示出所有投标人信息及投标人投标文件递交情况以及解密情况。</w:t>
      </w:r>
    </w:p>
    <w:p w14:paraId="01DF34B2">
      <w:pPr>
        <w:pStyle w:val="32"/>
        <w:tabs>
          <w:tab w:val="left" w:pos="7380"/>
        </w:tabs>
        <w:spacing w:after="0" w:line="360" w:lineRule="auto"/>
        <w:ind w:firstLine="523" w:firstLineChars="218"/>
        <w:rPr>
          <w:rFonts w:ascii="宋体" w:hAnsi="宋体" w:eastAsia="宋体"/>
          <w:color w:val="auto"/>
          <w:sz w:val="24"/>
          <w:szCs w:val="24"/>
          <w:highlight w:val="none"/>
          <w:u w:val="thick"/>
        </w:rPr>
      </w:pPr>
      <w:r>
        <w:rPr>
          <w:rFonts w:hint="eastAsia" w:ascii="宋体" w:hAnsi="宋体" w:eastAsia="宋体"/>
          <w:color w:val="auto"/>
          <w:sz w:val="24"/>
          <w:szCs w:val="24"/>
          <w:highlight w:val="none"/>
        </w:rPr>
        <w:t>42.3随机抽取确定该工程计算评标参考价的下浮率X，从0.5%、1%、1.5%、2%、2.5%、3%、3.5%中抽取其中之一。</w:t>
      </w:r>
    </w:p>
    <w:p w14:paraId="57853E80">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olor w:val="auto"/>
          <w:sz w:val="24"/>
          <w:szCs w:val="24"/>
          <w:highlight w:val="none"/>
        </w:rPr>
        <w:t>42.4</w:t>
      </w:r>
      <w:r>
        <w:rPr>
          <w:rFonts w:hint="eastAsia" w:ascii="宋体" w:hAnsi="宋体" w:eastAsia="宋体" w:cs="仿宋_GB2312"/>
          <w:color w:val="auto"/>
          <w:sz w:val="24"/>
          <w:szCs w:val="24"/>
          <w:highlight w:val="none"/>
        </w:rPr>
        <w:t>开标时，出现下列情形之一的投标人，不参与资格审查和评标，</w:t>
      </w:r>
      <w:r>
        <w:rPr>
          <w:rFonts w:hint="eastAsia" w:ascii="宋体" w:hAnsi="宋体" w:eastAsia="宋体"/>
          <w:color w:val="auto"/>
          <w:sz w:val="24"/>
          <w:szCs w:val="24"/>
          <w:highlight w:val="none"/>
        </w:rPr>
        <w:t>其投标文件作无效处理</w:t>
      </w:r>
      <w:r>
        <w:rPr>
          <w:rFonts w:hint="eastAsia" w:ascii="宋体" w:hAnsi="宋体" w:eastAsia="宋体" w:cs="仿宋_GB2312"/>
          <w:color w:val="auto"/>
          <w:sz w:val="24"/>
          <w:szCs w:val="24"/>
          <w:highlight w:val="none"/>
        </w:rPr>
        <w:t>：</w:t>
      </w:r>
    </w:p>
    <w:p w14:paraId="054C369F">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42.4.1未成功递交或因投标人原因未成功导入投标文件的；</w:t>
      </w:r>
    </w:p>
    <w:p w14:paraId="59F27EC5">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42.4.2因投标人原因造成投标文件未解密的；</w:t>
      </w:r>
    </w:p>
    <w:p w14:paraId="0288DAA3">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strike w:val="0"/>
          <w:dstrike w:val="0"/>
          <w:color w:val="auto"/>
          <w:sz w:val="24"/>
          <w:szCs w:val="24"/>
          <w:highlight w:val="none"/>
        </w:rPr>
        <w:t>42.4.3</w:t>
      </w:r>
      <w:r>
        <w:rPr>
          <w:rFonts w:hint="eastAsia" w:ascii="宋体" w:hAnsi="宋体" w:eastAsia="宋体"/>
          <w:strike w:val="0"/>
          <w:dstrike w:val="0"/>
          <w:color w:val="auto"/>
          <w:sz w:val="24"/>
          <w:szCs w:val="24"/>
          <w:highlight w:val="none"/>
        </w:rPr>
        <w:t>投标人未按要求递交投标保证金的</w:t>
      </w:r>
      <w:r>
        <w:rPr>
          <w:rFonts w:hint="eastAsia" w:ascii="宋体" w:hAnsi="宋体" w:eastAsia="宋体" w:cs="仿宋_GB2312"/>
          <w:color w:val="auto"/>
          <w:sz w:val="24"/>
          <w:szCs w:val="24"/>
          <w:highlight w:val="none"/>
        </w:rPr>
        <w:t>；</w:t>
      </w:r>
    </w:p>
    <w:p w14:paraId="77890628">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42.4.4两个（含两个）以上的投标人制作投标文件电脑机器特征码一致的；</w:t>
      </w:r>
    </w:p>
    <w:p w14:paraId="45FD6F1F">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42.4.5项目负责人和</w:t>
      </w:r>
      <w:r>
        <w:rPr>
          <w:rFonts w:hint="eastAsia" w:ascii="宋体" w:hAnsi="宋体" w:eastAsia="宋体" w:cs="仿宋_GB2312"/>
          <w:color w:val="auto"/>
          <w:sz w:val="24"/>
          <w:szCs w:val="24"/>
          <w:highlight w:val="none"/>
          <w:lang w:eastAsia="zh-CN"/>
        </w:rPr>
        <w:t>专职</w:t>
      </w:r>
      <w:r>
        <w:rPr>
          <w:rFonts w:hint="eastAsia" w:ascii="宋体" w:hAnsi="宋体" w:eastAsia="宋体" w:cs="仿宋_GB2312"/>
          <w:color w:val="auto"/>
          <w:sz w:val="24"/>
          <w:szCs w:val="24"/>
          <w:highlight w:val="none"/>
        </w:rPr>
        <w:t>安全员为同一人的。</w:t>
      </w:r>
    </w:p>
    <w:p w14:paraId="66E81340">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s="仿宋_GB2312"/>
          <w:color w:val="auto"/>
          <w:sz w:val="24"/>
          <w:szCs w:val="24"/>
          <w:highlight w:val="none"/>
        </w:rPr>
        <w:t>42.5招标人使用</w:t>
      </w:r>
      <w:r>
        <w:rPr>
          <w:rFonts w:hint="eastAsia" w:ascii="宋体" w:hAnsi="宋体" w:eastAsia="宋体"/>
          <w:color w:val="auto"/>
          <w:sz w:val="24"/>
          <w:szCs w:val="24"/>
          <w:highlight w:val="none"/>
        </w:rPr>
        <w:t>制作该招标文件的机构业务数字证书</w:t>
      </w:r>
      <w:r>
        <w:rPr>
          <w:rFonts w:hint="eastAsia" w:ascii="宋体" w:hAnsi="宋体" w:eastAsia="宋体" w:cs="仿宋_GB2312"/>
          <w:color w:val="auto"/>
          <w:sz w:val="24"/>
          <w:szCs w:val="24"/>
          <w:highlight w:val="none"/>
        </w:rPr>
        <w:t>对已完成投标人解密的电子投标文件进行招标人解密。</w:t>
      </w:r>
    </w:p>
    <w:p w14:paraId="1109089D">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42.6将所有解密成功的电子投标文件导入系统并公开开标。</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文件开标时不得开启，在评标时由评标系统随机编号后开启，交由评标委员会进行评审。</w:t>
      </w:r>
    </w:p>
    <w:p w14:paraId="70CBE8F2">
      <w:pPr>
        <w:pStyle w:val="32"/>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42.7由评标委员会对所有已公开开标的投标人进行资格审查。</w:t>
      </w:r>
    </w:p>
    <w:p w14:paraId="60870AD0">
      <w:pPr>
        <w:pStyle w:val="32"/>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42.8投标文件否决性条款审查（含投标报价算术复核）。</w:t>
      </w:r>
    </w:p>
    <w:p w14:paraId="50E60D87">
      <w:pPr>
        <w:pStyle w:val="32"/>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42.9对通过否决性条款审查的投标文件进行</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文件审查评分（暗标）。</w:t>
      </w:r>
    </w:p>
    <w:p w14:paraId="2825C5DF">
      <w:pPr>
        <w:pStyle w:val="32"/>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42.10揭晓</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文件评审结果。</w:t>
      </w:r>
    </w:p>
    <w:p w14:paraId="73B0C3CA">
      <w:pPr>
        <w:pStyle w:val="32"/>
        <w:tabs>
          <w:tab w:val="left" w:pos="7380"/>
        </w:tabs>
        <w:spacing w:after="0"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42.11对通过否决性条款审查的投标文件进行技术部分</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文件审查评分。</w:t>
      </w:r>
    </w:p>
    <w:p w14:paraId="247144BB">
      <w:pPr>
        <w:pStyle w:val="32"/>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42.12对通过否决性条款审查的投标文件的投标报价进行评分。</w:t>
      </w:r>
    </w:p>
    <w:p w14:paraId="44DE34AB">
      <w:pPr>
        <w:pStyle w:val="32"/>
        <w:tabs>
          <w:tab w:val="left" w:pos="7380"/>
        </w:tabs>
        <w:spacing w:after="0"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42.13按照“综合得分=</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得分×</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得分权重+</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得分×</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得分权重+报价得分×报价得分权重+诚信综合评价排名得分×诚信综合评价排名得分权重”的公式，计算各有效投标文件的综合得分，并按照综合得分高低排序。</w:t>
      </w:r>
    </w:p>
    <w:p w14:paraId="5503ED8D">
      <w:pPr>
        <w:pStyle w:val="32"/>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42.14评标委员会向招标人推荐中标候选人名单，并递交资格审查报告及评标报告。</w:t>
      </w:r>
    </w:p>
    <w:p w14:paraId="39A069B2">
      <w:pPr>
        <w:snapToGrid w:val="0"/>
        <w:spacing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43.开标细则</w:t>
      </w:r>
    </w:p>
    <w:p w14:paraId="03EE0907">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43.1开标由招标人或其委托的招标代理机构主持；</w:t>
      </w:r>
    </w:p>
    <w:p w14:paraId="6809589E">
      <w:pPr>
        <w:pStyle w:val="32"/>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43.2由招标人或其推选的代表检查投标文件的投标人解密情况，也可以由招标人委托的公证机构检查并公证，之后由招标人对全部投标文件进行解密。</w:t>
      </w:r>
    </w:p>
    <w:p w14:paraId="74C1655C">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43.3细则</w:t>
      </w:r>
    </w:p>
    <w:p w14:paraId="5196CEBC">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43.3.1递交投标文件截止时间前，各投标人将投标文件完整上传并保存在广州公共资源交易电子评标系统。</w:t>
      </w:r>
    </w:p>
    <w:p w14:paraId="1DE81D73">
      <w:pPr>
        <w:pStyle w:val="32"/>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kern w:val="44"/>
          <w:sz w:val="24"/>
          <w:szCs w:val="24"/>
          <w:highlight w:val="none"/>
        </w:rPr>
        <w:t>43.3.2投标人自行决定是否参加开标会。</w:t>
      </w:r>
      <w:r>
        <w:rPr>
          <w:rFonts w:hint="eastAsia" w:ascii="宋体" w:hAnsi="宋体" w:eastAsia="宋体"/>
          <w:color w:val="auto"/>
          <w:sz w:val="24"/>
          <w:szCs w:val="24"/>
          <w:highlight w:val="none"/>
        </w:rPr>
        <w:t>若投标人对开标过程有异议，应在开标现场提出，投标人代表提出异议时须出示本人身份证原件。招标人应当当场作出答复，并制作记录。</w:t>
      </w:r>
    </w:p>
    <w:p w14:paraId="3DF6F00C">
      <w:pPr>
        <w:pStyle w:val="32"/>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kern w:val="44"/>
          <w:sz w:val="24"/>
          <w:szCs w:val="24"/>
          <w:highlight w:val="none"/>
        </w:rPr>
        <w:t>43.4 开标前，首先由招标人或招标代理机构按 42.3 规定,现场随机抽取确定该工程计算评标参考价的下浮率 X。招标人或招标代理机构在开标时，公布以下所有内容：a、投标人名称；b、电子投标文件解密情况；c、电子投标文件的递交情况；d、法定代表人证明及授权委托；e、投标保证金；f、投标报价；g、人工费；h、绿色施工安全防护措施费；i、工期；j、质量标准；k、施工组织设计承诺书；l、项目负责人；m、专职安全员</w:t>
      </w:r>
      <w:r>
        <w:rPr>
          <w:rFonts w:hint="eastAsia" w:ascii="宋体" w:hAnsi="宋体" w:eastAsia="宋体"/>
          <w:color w:val="auto"/>
          <w:sz w:val="24"/>
          <w:szCs w:val="24"/>
          <w:highlight w:val="none"/>
        </w:rPr>
        <w:t>。</w:t>
      </w:r>
    </w:p>
    <w:p w14:paraId="1E543799">
      <w:pPr>
        <w:pStyle w:val="32"/>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43.5 投标报价以数字和文字两种方式表述的，应宣读文字表述的投标报价。</w:t>
      </w:r>
    </w:p>
    <w:p w14:paraId="19115B7D">
      <w:pPr>
        <w:pStyle w:val="32"/>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43.6招标人对开标过程进行记录，并存档备查。</w:t>
      </w:r>
    </w:p>
    <w:p w14:paraId="3336D2EA">
      <w:pPr>
        <w:pStyle w:val="32"/>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43.7招标人将上述符合要求的投标文件，送至评标委员会进行评审。</w:t>
      </w:r>
    </w:p>
    <w:p w14:paraId="61EDF7B6">
      <w:pPr>
        <w:pStyle w:val="32"/>
        <w:tabs>
          <w:tab w:val="left" w:pos="7380"/>
        </w:tabs>
        <w:spacing w:after="0"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44.资格审查及评标细则</w:t>
      </w:r>
    </w:p>
    <w:p w14:paraId="65BE2B27">
      <w:pPr>
        <w:pStyle w:val="32"/>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44.1资格审查及评标均由招标人依法组建的评标委员会负责。</w:t>
      </w:r>
    </w:p>
    <w:p w14:paraId="2E821DDC">
      <w:pPr>
        <w:pStyle w:val="32"/>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44.2评标委员会的组成：资格审查及投标文件的评审由评标委员会负责。</w:t>
      </w:r>
    </w:p>
    <w:p w14:paraId="3DFDED06">
      <w:pPr>
        <w:pStyle w:val="32"/>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44.3资格审查、否决性条款审查</w:t>
      </w:r>
    </w:p>
    <w:p w14:paraId="298D8984">
      <w:pPr>
        <w:pStyle w:val="32"/>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44.3.1评标委员会按资格审查的标准对所有递交投标文件的投标人进行审查，如资格审查合格的投标人不足3个时，应重新招标。</w:t>
      </w:r>
    </w:p>
    <w:p w14:paraId="45D5C383">
      <w:pPr>
        <w:pStyle w:val="32"/>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44.3.2如通过否决性条款审查的投标人少于3个时，应重新招标。</w:t>
      </w:r>
    </w:p>
    <w:p w14:paraId="246F4B04">
      <w:pPr>
        <w:pStyle w:val="32"/>
        <w:tabs>
          <w:tab w:val="left" w:pos="7380"/>
        </w:tabs>
        <w:spacing w:after="0"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45.投标人资格审查</w:t>
      </w:r>
    </w:p>
    <w:p w14:paraId="32A13B81">
      <w:pPr>
        <w:pStyle w:val="32"/>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45.1资格审查采用电子化审查方式进行，评标委员会利用计算机系统对投标人递交的资格审查文件进行独立评审。</w:t>
      </w:r>
    </w:p>
    <w:p w14:paraId="1C4900A0">
      <w:pPr>
        <w:pStyle w:val="32"/>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45.2《资格审查表》中序号2-5项（除广东省建筑施工企业管理人员安全生产考核信息系统安全生产管理人员证书信息的打印页、《信息公开证明》打印页外）评审内容的信息取自投标人在广州公共资源交易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企业库、城市园林绿化企业工程业绩库中的资料。评标委员会对该部分内容的审查，以开标当天中午12时在广州公共资源交易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企业库、城市园林绿化企业工程业绩库中的资料为依据。</w:t>
      </w:r>
    </w:p>
    <w:p w14:paraId="7EC4D76C">
      <w:pPr>
        <w:pStyle w:val="32"/>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45.3资格审查文件中全部符合《资格审查表》中情形的，为资格审查合格。否则为资格审查不合格，经评标委员会认定后，其投标文件不进入下一轮评审。如评标委员会成员的评审意见不一致时，可公开要求投标人进行澄清，并记录及由评标委员会、作出澄清的投标人签字确认，以评标委员会过半数成员的意见作为评标委员会对该情形的认定结论。</w:t>
      </w:r>
    </w:p>
    <w:p w14:paraId="2BBD84C4">
      <w:pPr>
        <w:pStyle w:val="32"/>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45.4汇总资格审查情况，编写资格审查报告。</w:t>
      </w:r>
    </w:p>
    <w:p w14:paraId="37479CF6">
      <w:pPr>
        <w:pStyle w:val="32"/>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45.5资格审查不合格及存在42.4条款情形的投标文件不参加评标，不参与评标参考价的计算。</w:t>
      </w:r>
    </w:p>
    <w:p w14:paraId="6ED65633">
      <w:pPr>
        <w:pStyle w:val="32"/>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45.6资格审查时，投标企业名称已经工商变更的，但企业及个人的资料未完成企业名称变更，仍然承认其有效；投标企业未及时办理变更手续的，招标人或招标代理机构应通报发证部门。</w:t>
      </w:r>
    </w:p>
    <w:p w14:paraId="5F09EC90">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特别声明：资审合格后，投标人的资格发生变化而不满足投标人资格条件，在发出中标通知书前，资格问题仍未解决的，招标人将取消其中标资格。</w:t>
      </w:r>
    </w:p>
    <w:p w14:paraId="61B5B4B3">
      <w:pPr>
        <w:spacing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46.评标细则</w:t>
      </w:r>
    </w:p>
    <w:p w14:paraId="58ACE3DD">
      <w:pPr>
        <w:pStyle w:val="32"/>
        <w:tabs>
          <w:tab w:val="left" w:pos="7380"/>
        </w:tabs>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46.1投标文件否决性条款审查</w:t>
      </w:r>
    </w:p>
    <w:p w14:paraId="1C0EFC4E">
      <w:pPr>
        <w:pStyle w:val="32"/>
        <w:tabs>
          <w:tab w:val="left" w:pos="7380"/>
        </w:tabs>
        <w:spacing w:after="0" w:line="360" w:lineRule="auto"/>
        <w:ind w:firstLine="523" w:firstLineChars="218"/>
        <w:rPr>
          <w:rFonts w:hint="eastAsia" w:ascii="宋体" w:hAnsi="宋体" w:eastAsia="宋体"/>
          <w:strike w:val="0"/>
          <w:dstrike w:val="0"/>
          <w:color w:val="auto"/>
          <w:sz w:val="24"/>
          <w:szCs w:val="24"/>
          <w:highlight w:val="none"/>
        </w:rPr>
      </w:pPr>
      <w:r>
        <w:rPr>
          <w:rFonts w:hint="eastAsia" w:ascii="宋体" w:hAnsi="宋体" w:eastAsia="宋体"/>
          <w:strike w:val="0"/>
          <w:dstrike w:val="0"/>
          <w:color w:val="auto"/>
          <w:sz w:val="24"/>
          <w:szCs w:val="24"/>
          <w:highlight w:val="none"/>
        </w:rPr>
        <w:t>46.1.1投标报价算术复核。评标委员会将对进行否决性条款审查的投标文件投标报价按照就低不就高的原则进行算术复核，具体标准如下：</w:t>
      </w:r>
    </w:p>
    <w:p w14:paraId="425E6A29">
      <w:pPr>
        <w:pStyle w:val="32"/>
        <w:tabs>
          <w:tab w:val="left" w:pos="7380"/>
        </w:tabs>
        <w:spacing w:after="0" w:line="360" w:lineRule="auto"/>
        <w:ind w:firstLine="523" w:firstLineChars="218"/>
        <w:rPr>
          <w:rFonts w:hint="eastAsia" w:ascii="宋体" w:hAnsi="宋体" w:eastAsia="宋体"/>
          <w:strike w:val="0"/>
          <w:dstrike w:val="0"/>
          <w:color w:val="auto"/>
          <w:sz w:val="24"/>
          <w:szCs w:val="24"/>
          <w:highlight w:val="none"/>
        </w:rPr>
      </w:pPr>
      <w:r>
        <w:rPr>
          <w:rFonts w:hint="eastAsia" w:ascii="宋体" w:hAnsi="宋体" w:eastAsia="宋体"/>
          <w:strike w:val="0"/>
          <w:dstrike w:val="0"/>
          <w:color w:val="auto"/>
          <w:sz w:val="24"/>
          <w:szCs w:val="24"/>
          <w:highlight w:val="none"/>
        </w:rPr>
        <w:t>46.1.1.1数字表述的金额和用文字表述的金额不一致时，应以文字表述的金额为准。</w:t>
      </w:r>
    </w:p>
    <w:p w14:paraId="727BB352">
      <w:pPr>
        <w:pStyle w:val="32"/>
        <w:tabs>
          <w:tab w:val="left" w:pos="7380"/>
        </w:tabs>
        <w:spacing w:after="0" w:line="360" w:lineRule="auto"/>
        <w:ind w:firstLine="523" w:firstLineChars="218"/>
        <w:rPr>
          <w:rFonts w:hint="eastAsia" w:ascii="宋体" w:hAnsi="宋体" w:eastAsia="宋体"/>
          <w:strike w:val="0"/>
          <w:dstrike w:val="0"/>
          <w:color w:val="auto"/>
          <w:sz w:val="24"/>
          <w:szCs w:val="24"/>
          <w:highlight w:val="none"/>
        </w:rPr>
      </w:pPr>
      <w:r>
        <w:rPr>
          <w:rFonts w:hint="eastAsia" w:ascii="宋体" w:hAnsi="宋体" w:eastAsia="宋体"/>
          <w:strike w:val="0"/>
          <w:dstrike w:val="0"/>
          <w:color w:val="auto"/>
          <w:sz w:val="24"/>
          <w:szCs w:val="24"/>
          <w:highlight w:val="none"/>
        </w:rPr>
        <w:t>46.1.1.2经算术复核的投标人报价与其投标报价不一致时，按就低不就高原则确定其最终报价。</w:t>
      </w:r>
    </w:p>
    <w:p w14:paraId="7A7604E8">
      <w:pPr>
        <w:pStyle w:val="32"/>
        <w:tabs>
          <w:tab w:val="left" w:pos="7380"/>
        </w:tabs>
        <w:spacing w:after="0" w:line="360" w:lineRule="auto"/>
        <w:ind w:firstLine="523" w:firstLineChars="218"/>
        <w:rPr>
          <w:rFonts w:hint="eastAsia" w:ascii="宋体" w:hAnsi="宋体" w:eastAsia="宋体"/>
          <w:strike w:val="0"/>
          <w:dstrike w:val="0"/>
          <w:color w:val="auto"/>
          <w:sz w:val="24"/>
          <w:szCs w:val="24"/>
          <w:highlight w:val="none"/>
        </w:rPr>
      </w:pPr>
      <w:r>
        <w:rPr>
          <w:rFonts w:hint="eastAsia" w:ascii="宋体" w:hAnsi="宋体" w:eastAsia="宋体"/>
          <w:strike w:val="0"/>
          <w:dstrike w:val="0"/>
          <w:color w:val="auto"/>
          <w:sz w:val="24"/>
          <w:szCs w:val="24"/>
          <w:highlight w:val="none"/>
        </w:rPr>
        <w:t>46.1.1.3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07FBC96">
      <w:pPr>
        <w:pStyle w:val="32"/>
        <w:tabs>
          <w:tab w:val="left" w:pos="7380"/>
        </w:tabs>
        <w:spacing w:after="0" w:line="360" w:lineRule="auto"/>
        <w:ind w:firstLine="523" w:firstLineChars="218"/>
        <w:rPr>
          <w:rFonts w:hint="eastAsia" w:ascii="宋体" w:hAnsi="宋体" w:eastAsia="宋体"/>
          <w:strike w:val="0"/>
          <w:dstrike w:val="0"/>
          <w:color w:val="auto"/>
          <w:sz w:val="24"/>
          <w:szCs w:val="24"/>
          <w:highlight w:val="none"/>
        </w:rPr>
      </w:pPr>
      <w:r>
        <w:rPr>
          <w:rFonts w:hint="eastAsia" w:ascii="宋体" w:hAnsi="宋体" w:eastAsia="宋体"/>
          <w:strike w:val="0"/>
          <w:dstrike w:val="0"/>
          <w:color w:val="auto"/>
          <w:sz w:val="24"/>
          <w:szCs w:val="24"/>
          <w:highlight w:val="none"/>
        </w:rPr>
        <w:t>46.1.1.4当合价、金额累加错误时，按就低不就高原则，如果累加修正值小于原累加值，则按累加修正值；如果累加修正值大于原累加值，则按原累加值。</w:t>
      </w:r>
    </w:p>
    <w:p w14:paraId="083C6F74">
      <w:pPr>
        <w:pStyle w:val="32"/>
        <w:tabs>
          <w:tab w:val="left" w:pos="7380"/>
        </w:tabs>
        <w:spacing w:after="0" w:line="360" w:lineRule="auto"/>
        <w:ind w:firstLine="523" w:firstLineChars="218"/>
        <w:rPr>
          <w:rFonts w:hint="eastAsia" w:ascii="宋体" w:hAnsi="宋体" w:eastAsia="宋体"/>
          <w:strike w:val="0"/>
          <w:dstrike w:val="0"/>
          <w:color w:val="auto"/>
          <w:sz w:val="24"/>
          <w:szCs w:val="24"/>
          <w:highlight w:val="none"/>
        </w:rPr>
      </w:pPr>
      <w:r>
        <w:rPr>
          <w:rFonts w:hint="eastAsia" w:ascii="宋体" w:hAnsi="宋体" w:eastAsia="宋体"/>
          <w:strike w:val="0"/>
          <w:dstrike w:val="0"/>
          <w:color w:val="auto"/>
          <w:sz w:val="24"/>
          <w:szCs w:val="24"/>
          <w:highlight w:val="none"/>
        </w:rPr>
        <w:t>46.1.1.5如果投标人的有关规费、所有暂列金额、暂估价等未按招标文件规定的金额填写的，由评标委员会按照招标文件规定的金额进行修正。</w:t>
      </w:r>
    </w:p>
    <w:p w14:paraId="1B9C0A77">
      <w:pPr>
        <w:pStyle w:val="32"/>
        <w:tabs>
          <w:tab w:val="left" w:pos="7380"/>
        </w:tabs>
        <w:spacing w:after="0" w:line="360" w:lineRule="auto"/>
        <w:ind w:firstLine="523" w:firstLineChars="218"/>
        <w:rPr>
          <w:rFonts w:hint="eastAsia" w:ascii="宋体" w:hAnsi="宋体" w:eastAsia="宋体"/>
          <w:strike w:val="0"/>
          <w:dstrike w:val="0"/>
          <w:color w:val="auto"/>
          <w:sz w:val="24"/>
          <w:szCs w:val="24"/>
          <w:highlight w:val="none"/>
        </w:rPr>
      </w:pPr>
      <w:r>
        <w:rPr>
          <w:rFonts w:hint="eastAsia" w:ascii="宋体" w:hAnsi="宋体" w:eastAsia="宋体"/>
          <w:strike w:val="0"/>
          <w:dstrike w:val="0"/>
          <w:color w:val="auto"/>
          <w:sz w:val="24"/>
          <w:szCs w:val="24"/>
          <w:highlight w:val="none"/>
        </w:rPr>
        <w:t>46.1.1.6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613571A">
      <w:pPr>
        <w:pStyle w:val="32"/>
        <w:tabs>
          <w:tab w:val="left" w:pos="7380"/>
        </w:tabs>
        <w:spacing w:after="0" w:line="360" w:lineRule="auto"/>
        <w:ind w:firstLine="523" w:firstLineChars="218"/>
        <w:rPr>
          <w:rFonts w:hint="eastAsia" w:ascii="宋体" w:hAnsi="宋体" w:eastAsia="宋体"/>
          <w:strike w:val="0"/>
          <w:dstrike w:val="0"/>
          <w:color w:val="auto"/>
          <w:sz w:val="24"/>
          <w:szCs w:val="24"/>
          <w:highlight w:val="none"/>
        </w:rPr>
      </w:pPr>
      <w:r>
        <w:rPr>
          <w:rFonts w:hint="eastAsia" w:ascii="宋体" w:hAnsi="宋体" w:eastAsia="宋体"/>
          <w:strike w:val="0"/>
          <w:dstrike w:val="0"/>
          <w:color w:val="auto"/>
          <w:sz w:val="24"/>
          <w:szCs w:val="24"/>
          <w:highlight w:val="none"/>
        </w:rPr>
        <w:t>46.1.1.7按就低不就高原则，当修正后报价小于原报价，总价按修正后报价；当修正后报价大于原报价，总价按原报价，并在签订合同时载明在结算价中扣除修正报价与原报价的差额。</w:t>
      </w:r>
    </w:p>
    <w:p w14:paraId="2154C18A">
      <w:pPr>
        <w:pStyle w:val="32"/>
        <w:tabs>
          <w:tab w:val="left" w:pos="7380"/>
        </w:tabs>
        <w:spacing w:after="0" w:line="360" w:lineRule="auto"/>
        <w:ind w:firstLine="523" w:firstLineChars="218"/>
        <w:rPr>
          <w:rFonts w:hint="eastAsia" w:ascii="宋体" w:hAnsi="宋体" w:eastAsia="宋体"/>
          <w:strike w:val="0"/>
          <w:dstrike w:val="0"/>
          <w:color w:val="auto"/>
          <w:sz w:val="24"/>
          <w:szCs w:val="24"/>
          <w:highlight w:val="none"/>
        </w:rPr>
      </w:pPr>
      <w:r>
        <w:rPr>
          <w:rFonts w:hint="eastAsia" w:ascii="宋体" w:hAnsi="宋体" w:eastAsia="宋体"/>
          <w:strike w:val="0"/>
          <w:dstrike w:val="0"/>
          <w:color w:val="auto"/>
          <w:sz w:val="24"/>
          <w:szCs w:val="24"/>
          <w:highlight w:val="none"/>
        </w:rPr>
        <w:t>46.1.1.8</w:t>
      </w:r>
      <w:r>
        <w:rPr>
          <w:rFonts w:hint="eastAsia" w:ascii="宋体" w:hAnsi="宋体" w:eastAsia="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以上修正不影响修正前按步骤确定的投标人排序。</w:t>
      </w:r>
    </w:p>
    <w:p w14:paraId="27EEC196">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46.1.2在评标过程中，评标委员会发现投标人的报价明显低于其他投标报价或者在设有成本警示价时明显低于成本警示价，使得其投标报价可能低于其个别成本的，应当要求该投标人作出书面说明并提供相关证明材料。投标人不能合理说明或者不能提供相关证明材料的，由评标委员会认定该投标人低于成本报价竞标，应当否决其投标。</w:t>
      </w:r>
    </w:p>
    <w:p w14:paraId="657BF35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s="Times New Roman"/>
          <w:color w:val="auto"/>
          <w:sz w:val="24"/>
          <w:szCs w:val="24"/>
          <w:highlight w:val="none"/>
        </w:rPr>
        <w:t>46.1.3对资格审查合</w:t>
      </w:r>
      <w:r>
        <w:rPr>
          <w:rFonts w:hint="eastAsia" w:ascii="宋体" w:hAnsi="宋体" w:eastAsia="宋体"/>
          <w:color w:val="auto"/>
          <w:sz w:val="24"/>
          <w:szCs w:val="24"/>
          <w:highlight w:val="none"/>
        </w:rPr>
        <w:t>格的投标人进行否决性条款审查，包括串通投标情形的核查、澄清及认定（如有）。投标文件中出现《投标文件否决性条款审查表》中任何一种情形的，评标委员会应否决其投标。如评标委员会成员的评审意见不一致时，以评标委员会过半数成员的意见作为评标委员会对该情形的认定结论。</w:t>
      </w:r>
    </w:p>
    <w:p w14:paraId="5FC3216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如投标文件评审过程中，投标文件属于串通投标情形之一的（见《投标人串通投标评审表》），</w:t>
      </w:r>
      <w:r>
        <w:rPr>
          <w:rFonts w:ascii="宋体" w:hAnsi="宋体" w:eastAsia="宋体"/>
          <w:color w:val="auto"/>
          <w:sz w:val="24"/>
          <w:szCs w:val="24"/>
          <w:highlight w:val="none"/>
        </w:rPr>
        <w:t>评标委员会</w:t>
      </w:r>
      <w:r>
        <w:rPr>
          <w:rFonts w:hint="eastAsia" w:ascii="宋体" w:hAnsi="宋体" w:eastAsia="宋体"/>
          <w:color w:val="auto"/>
          <w:sz w:val="24"/>
          <w:szCs w:val="24"/>
          <w:highlight w:val="none"/>
        </w:rPr>
        <w:t>应参考投标人的澄清，按招标文件评标办法中《投标人串通投标评审表》的规定进行评审。</w:t>
      </w:r>
    </w:p>
    <w:p w14:paraId="4071F03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46.2</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否决性审查：对投标文件否决性条款审查合格的投标人进行</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否决性审查。投标文件中出现《</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文件否决性条款审查表》中任何一种情形的，评标委员会应否决其投标。如评标委员会成员的评审意见不一致时，以评标委员会过半数成员的意见作为评标委员会对该情形的认定结论。</w:t>
      </w:r>
    </w:p>
    <w:p w14:paraId="342AEA03">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46.3</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审查评分：评标委员会按照《</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审查评分表》的标准，对通过否决性条款审查的投标文件进行</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审查，评出</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得分。</w:t>
      </w:r>
    </w:p>
    <w:p w14:paraId="324AF3D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46.4在评标委员会全体成员均完成暗标评审和汇总后，由评标委员会确定投标人与暗标编号的对应关系，并在</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标号确认表上签字确认。</w:t>
      </w:r>
    </w:p>
    <w:p w14:paraId="457B227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46.5</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审查评分：评标委员会按照《</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审查评分表》的标准，对通过否决性条款审查的投标文件进行详细审查，评出</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得分。</w:t>
      </w:r>
    </w:p>
    <w:p w14:paraId="6BAE37E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46.6对通过否决性条款审查的投标人的投标报价进行评分</w:t>
      </w:r>
    </w:p>
    <w:p w14:paraId="55C57899">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46.6.1以通过否决性条款审查的投标人中，随机抽取一半数量（四舍五入取整数）的投标报价，取其算术平均值下浮X作为评标参考价。（例：通过否决性条款审查的投标人的报价为3家，随机抽取2家投标人报价的算术平均值下浮X作为评标参考价。）</w:t>
      </w:r>
    </w:p>
    <w:p w14:paraId="3B3FCC07">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46.6.2当报价等于评标参考价时得100分，报价每高于评标参考价1%，扣</w:t>
      </w:r>
      <w:r>
        <w:rPr>
          <w:rFonts w:hint="eastAsia" w:ascii="宋体" w:hAnsi="宋体" w:eastAsia="宋体"/>
          <w:color w:val="auto"/>
          <w:sz w:val="24"/>
          <w:szCs w:val="24"/>
          <w:highlight w:val="none"/>
          <w:u w:val="none"/>
          <w:lang w:val="en-US" w:eastAsia="zh-CN"/>
        </w:rPr>
        <w:t>1.5</w:t>
      </w:r>
      <w:r>
        <w:rPr>
          <w:rFonts w:hint="eastAsia" w:ascii="宋体" w:hAnsi="宋体" w:eastAsia="宋体"/>
          <w:color w:val="auto"/>
          <w:sz w:val="24"/>
          <w:szCs w:val="24"/>
          <w:highlight w:val="none"/>
        </w:rPr>
        <w:t>分，每低于评标参考价1%，扣</w:t>
      </w:r>
      <w:r>
        <w:rPr>
          <w:rFonts w:hint="eastAsia" w:ascii="宋体" w:hAnsi="宋体" w:eastAsia="宋体"/>
          <w:color w:val="auto"/>
          <w:sz w:val="24"/>
          <w:szCs w:val="24"/>
          <w:highlight w:val="none"/>
          <w:u w:val="none"/>
          <w:lang w:val="en-US" w:eastAsia="zh-CN"/>
        </w:rPr>
        <w:t>1</w:t>
      </w:r>
      <w:r>
        <w:rPr>
          <w:rFonts w:hint="eastAsia" w:ascii="宋体" w:hAnsi="宋体" w:eastAsia="宋体"/>
          <w:color w:val="auto"/>
          <w:sz w:val="24"/>
          <w:szCs w:val="24"/>
          <w:highlight w:val="none"/>
        </w:rPr>
        <w:t>分，扣至0分为止，得出报价得分，得分按四舍五入的原则保留两位小数。</w:t>
      </w:r>
    </w:p>
    <w:p w14:paraId="13F58DA7">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46.7计算通过否决性条款审查的投标人综合得分</w:t>
      </w:r>
    </w:p>
    <w:p w14:paraId="772FBE94">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46.7.1权重分配：技术部分（施工组织方案）得分权重</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%，技术部分（项目实施能力）得分权重</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%，报价得分权重</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%，诚信综合评价得分权重</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w:t>
      </w:r>
    </w:p>
    <w:p w14:paraId="7770C496">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复杂和大型工程，技术部分（施工组织方案）得分权重不少于10%，报价得分权重不少于60%，诚信综合评价得分权重占0%-5%；其他工程，技术部分（施工组织方案）得分权重不少于5%，报价得分权重不少于80%，诚信综合评价得分权重占0-</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%。技术部分（项目实施能力）权重=100-技术部分（施工组织方案）得分权重-报价得分权重-诚信综合评价得分权重。企业诚信综合评价得分，以开标当天广州公共资源交易网站上公布的得分为准。</w:t>
      </w:r>
    </w:p>
    <w:p w14:paraId="1B4163D4">
      <w:pPr>
        <w:spacing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46.7.2投标人综合得分=</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得分×</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得分权重+</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得分×</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得分权重+报价得分×报价得分权重+诚信综合评价排名得分×诚信综合评价排名得分权重。投标人综合得分满分为100分。</w:t>
      </w:r>
    </w:p>
    <w:p w14:paraId="48309FA3">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46.8评标委员会按照各有效投标人的综合得分从高到低排列先后次序。综合得分相同的，以诚信综合评价排名靠前的排前；如仍存在相同情况，则对具有相同情况的投标人，按中标候选人数量规定，由评标委员会采用记名投票方式，确定中标候选人的排序。</w:t>
      </w:r>
    </w:p>
    <w:p w14:paraId="3E7AAA68">
      <w:pPr>
        <w:pStyle w:val="32"/>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46.9评标结束后，评标委员会按照第41条要求向招标人推荐中标候选人，并编制评标报告。评标报告由评标委员会全体签名，对评标结论有异议的评标委员会成员可以书面阐述其不同意见和理由。评标委员会在评标报告提交后随即解散，评标过程中使用的文件、表格以及其他资料应当及时归还招标人（或招标代理）。</w:t>
      </w:r>
    </w:p>
    <w:p w14:paraId="6FDC58A3">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46.10资格审查合格的</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或通过否决定性条款审查的投标人少于3个的，应修正招标方案，重新招标（当N个标段同时招标且不允许兼中时，资格审查合格的</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或有效投标人少于N+2个的，应修正招标方案，重新招标）。</w:t>
      </w:r>
    </w:p>
    <w:p w14:paraId="4CCB8B0B">
      <w:pPr>
        <w:spacing w:line="360" w:lineRule="auto"/>
        <w:rPr>
          <w:rFonts w:hint="eastAsia" w:ascii="宋体" w:hAnsi="宋体" w:eastAsia="宋体"/>
          <w:color w:val="auto"/>
          <w:sz w:val="24"/>
          <w:szCs w:val="24"/>
          <w:highlight w:val="none"/>
        </w:rPr>
      </w:pPr>
    </w:p>
    <w:p w14:paraId="19E8F0AD">
      <w:pPr>
        <w:spacing w:line="360" w:lineRule="auto"/>
        <w:ind w:firstLine="523" w:firstLineChars="218"/>
        <w:rPr>
          <w:rFonts w:hint="eastAsia" w:ascii="宋体" w:hAnsi="宋体" w:eastAsia="宋体"/>
          <w:color w:val="auto"/>
          <w:sz w:val="24"/>
          <w:szCs w:val="24"/>
          <w:highlight w:val="none"/>
        </w:rPr>
      </w:pPr>
    </w:p>
    <w:p w14:paraId="65308815">
      <w:pPr>
        <w:spacing w:line="360" w:lineRule="auto"/>
        <w:ind w:firstLine="523" w:firstLineChars="218"/>
        <w:rPr>
          <w:rFonts w:hint="eastAsia" w:ascii="宋体" w:hAnsi="宋体" w:eastAsia="宋体"/>
          <w:color w:val="auto"/>
          <w:sz w:val="24"/>
          <w:szCs w:val="24"/>
          <w:highlight w:val="none"/>
        </w:rPr>
      </w:pPr>
    </w:p>
    <w:p w14:paraId="59110D86">
      <w:pPr>
        <w:spacing w:line="360" w:lineRule="auto"/>
        <w:ind w:firstLine="523" w:firstLineChars="218"/>
        <w:rPr>
          <w:rFonts w:hint="eastAsia" w:ascii="宋体" w:hAnsi="宋体" w:eastAsia="宋体"/>
          <w:color w:val="auto"/>
          <w:sz w:val="24"/>
          <w:szCs w:val="24"/>
          <w:highlight w:val="none"/>
        </w:rPr>
      </w:pPr>
    </w:p>
    <w:p w14:paraId="7148F767">
      <w:pPr>
        <w:spacing w:line="360" w:lineRule="auto"/>
        <w:ind w:firstLine="523" w:firstLineChars="218"/>
        <w:rPr>
          <w:rFonts w:hint="eastAsia" w:ascii="宋体" w:hAnsi="宋体" w:eastAsia="宋体"/>
          <w:color w:val="auto"/>
          <w:sz w:val="24"/>
          <w:szCs w:val="24"/>
          <w:highlight w:val="none"/>
        </w:rPr>
      </w:pPr>
    </w:p>
    <w:p w14:paraId="11345A19">
      <w:pPr>
        <w:spacing w:line="360" w:lineRule="auto"/>
        <w:ind w:firstLine="523" w:firstLineChars="218"/>
        <w:rPr>
          <w:rFonts w:hint="eastAsia" w:ascii="宋体" w:hAnsi="宋体" w:eastAsia="宋体"/>
          <w:color w:val="auto"/>
          <w:sz w:val="24"/>
          <w:szCs w:val="24"/>
          <w:highlight w:val="none"/>
        </w:rPr>
      </w:pPr>
    </w:p>
    <w:p w14:paraId="5595413D">
      <w:pPr>
        <w:spacing w:line="360" w:lineRule="auto"/>
        <w:ind w:firstLine="523" w:firstLineChars="218"/>
        <w:rPr>
          <w:rFonts w:hint="eastAsia" w:ascii="宋体" w:hAnsi="宋体" w:eastAsia="宋体"/>
          <w:color w:val="auto"/>
          <w:sz w:val="24"/>
          <w:szCs w:val="24"/>
          <w:highlight w:val="none"/>
        </w:rPr>
      </w:pPr>
    </w:p>
    <w:p w14:paraId="2C44BD2D">
      <w:pPr>
        <w:spacing w:line="360" w:lineRule="auto"/>
        <w:ind w:firstLine="523" w:firstLineChars="218"/>
        <w:rPr>
          <w:rFonts w:hint="eastAsia" w:ascii="宋体" w:hAnsi="宋体" w:eastAsia="宋体"/>
          <w:color w:val="auto"/>
          <w:sz w:val="24"/>
          <w:szCs w:val="24"/>
          <w:highlight w:val="none"/>
        </w:rPr>
      </w:pPr>
    </w:p>
    <w:p w14:paraId="2035E917">
      <w:pPr>
        <w:spacing w:line="360" w:lineRule="auto"/>
        <w:ind w:firstLine="523" w:firstLineChars="218"/>
        <w:rPr>
          <w:rFonts w:hint="eastAsia" w:ascii="宋体" w:hAnsi="宋体" w:eastAsia="宋体"/>
          <w:color w:val="auto"/>
          <w:sz w:val="24"/>
          <w:szCs w:val="24"/>
          <w:highlight w:val="none"/>
        </w:rPr>
      </w:pPr>
    </w:p>
    <w:p w14:paraId="111B2DC4">
      <w:pPr>
        <w:spacing w:line="360" w:lineRule="auto"/>
        <w:ind w:firstLine="523" w:firstLineChars="218"/>
        <w:rPr>
          <w:rFonts w:hint="eastAsia" w:ascii="宋体" w:hAnsi="宋体" w:eastAsia="宋体"/>
          <w:color w:val="auto"/>
          <w:sz w:val="24"/>
          <w:szCs w:val="24"/>
          <w:highlight w:val="none"/>
        </w:rPr>
      </w:pPr>
    </w:p>
    <w:p w14:paraId="5BCECF63">
      <w:pPr>
        <w:spacing w:line="360" w:lineRule="auto"/>
        <w:ind w:firstLine="523" w:firstLineChars="218"/>
        <w:rPr>
          <w:rFonts w:hint="eastAsia" w:ascii="宋体" w:hAnsi="宋体" w:eastAsia="宋体"/>
          <w:color w:val="auto"/>
          <w:sz w:val="24"/>
          <w:szCs w:val="24"/>
          <w:highlight w:val="none"/>
        </w:rPr>
      </w:pPr>
    </w:p>
    <w:p w14:paraId="6A974208">
      <w:pPr>
        <w:spacing w:line="360" w:lineRule="auto"/>
        <w:ind w:firstLine="523" w:firstLineChars="218"/>
        <w:rPr>
          <w:rFonts w:hint="eastAsia" w:ascii="宋体" w:hAnsi="宋体" w:eastAsia="宋体"/>
          <w:color w:val="auto"/>
          <w:sz w:val="24"/>
          <w:szCs w:val="24"/>
          <w:highlight w:val="none"/>
        </w:rPr>
      </w:pPr>
    </w:p>
    <w:p w14:paraId="1729E443">
      <w:pPr>
        <w:spacing w:line="360" w:lineRule="auto"/>
        <w:ind w:firstLine="523" w:firstLineChars="218"/>
        <w:rPr>
          <w:rFonts w:hint="eastAsia" w:ascii="宋体" w:hAnsi="宋体" w:eastAsia="宋体"/>
          <w:strike/>
          <w:color w:val="auto"/>
          <w:sz w:val="24"/>
          <w:szCs w:val="24"/>
          <w:highlight w:val="none"/>
        </w:rPr>
      </w:pPr>
    </w:p>
    <w:p w14:paraId="365AED18">
      <w:pPr>
        <w:spacing w:line="360" w:lineRule="auto"/>
        <w:ind w:firstLine="523" w:firstLineChars="218"/>
        <w:rPr>
          <w:rFonts w:hint="eastAsia" w:ascii="宋体" w:hAnsi="宋体" w:eastAsia="宋体"/>
          <w:strike/>
          <w:color w:val="auto"/>
          <w:sz w:val="24"/>
          <w:szCs w:val="24"/>
          <w:highlight w:val="none"/>
        </w:rPr>
      </w:pPr>
    </w:p>
    <w:p w14:paraId="145D7BD1">
      <w:pPr>
        <w:spacing w:line="360" w:lineRule="auto"/>
        <w:ind w:firstLine="523" w:firstLineChars="218"/>
        <w:rPr>
          <w:rFonts w:hint="eastAsia" w:ascii="宋体" w:hAnsi="宋体" w:eastAsia="宋体"/>
          <w:strike/>
          <w:color w:val="auto"/>
          <w:sz w:val="24"/>
          <w:szCs w:val="24"/>
          <w:highlight w:val="none"/>
        </w:rPr>
      </w:pPr>
    </w:p>
    <w:p w14:paraId="71FAAB2C">
      <w:pPr>
        <w:spacing w:line="360" w:lineRule="auto"/>
        <w:ind w:firstLine="523" w:firstLineChars="218"/>
        <w:rPr>
          <w:rFonts w:hint="eastAsia" w:ascii="宋体" w:hAnsi="宋体" w:eastAsia="宋体"/>
          <w:strike/>
          <w:color w:val="auto"/>
          <w:sz w:val="24"/>
          <w:szCs w:val="24"/>
          <w:highlight w:val="none"/>
        </w:rPr>
      </w:pPr>
    </w:p>
    <w:p w14:paraId="5E016A05">
      <w:pPr>
        <w:spacing w:line="360" w:lineRule="auto"/>
        <w:ind w:firstLine="523" w:firstLineChars="218"/>
        <w:rPr>
          <w:rFonts w:hint="eastAsia" w:ascii="宋体" w:hAnsi="宋体" w:eastAsia="宋体"/>
          <w:strike/>
          <w:color w:val="auto"/>
          <w:sz w:val="24"/>
          <w:szCs w:val="24"/>
          <w:highlight w:val="none"/>
        </w:rPr>
      </w:pPr>
    </w:p>
    <w:p w14:paraId="1688D029">
      <w:pPr>
        <w:spacing w:line="360" w:lineRule="auto"/>
        <w:ind w:firstLine="523" w:firstLineChars="218"/>
        <w:rPr>
          <w:rFonts w:hint="eastAsia" w:ascii="宋体" w:hAnsi="宋体" w:eastAsia="宋体"/>
          <w:strike/>
          <w:color w:val="auto"/>
          <w:sz w:val="24"/>
          <w:szCs w:val="24"/>
          <w:highlight w:val="none"/>
        </w:rPr>
      </w:pPr>
    </w:p>
    <w:p w14:paraId="73C1D578">
      <w:pPr>
        <w:pStyle w:val="4"/>
        <w:spacing w:before="120"/>
        <w:rPr>
          <w:rFonts w:hint="eastAsia" w:ascii="宋体" w:eastAsia="宋体"/>
          <w:strike/>
          <w:color w:val="auto"/>
          <w:highlight w:val="none"/>
        </w:rPr>
      </w:pPr>
      <w:bookmarkStart w:id="87" w:name="_Toc26590"/>
      <w:bookmarkStart w:id="88" w:name="_Toc664"/>
      <w:bookmarkStart w:id="89" w:name="_Toc17900"/>
      <w:r>
        <w:rPr>
          <w:rFonts w:hint="eastAsia" w:ascii="宋体" w:eastAsia="宋体"/>
          <w:strike/>
          <w:color w:val="auto"/>
          <w:highlight w:val="none"/>
        </w:rPr>
        <w:t>可选办法</w:t>
      </w:r>
      <w:r>
        <w:rPr>
          <w:rFonts w:hint="eastAsia" w:ascii="宋体" w:eastAsia="宋体"/>
          <w:strike/>
          <w:color w:val="auto"/>
          <w:highlight w:val="none"/>
          <w:lang w:eastAsia="zh-CN"/>
        </w:rPr>
        <w:t>二</w:t>
      </w:r>
      <w:r>
        <w:rPr>
          <w:rFonts w:hint="eastAsia" w:ascii="宋体" w:eastAsia="宋体"/>
          <w:strike/>
          <w:color w:val="auto"/>
          <w:highlight w:val="none"/>
        </w:rPr>
        <w:t xml:space="preserve">  经评审的最低投标价法或者法律法规规定的其他评标方法</w:t>
      </w:r>
      <w:bookmarkEnd w:id="87"/>
      <w:bookmarkEnd w:id="88"/>
      <w:bookmarkEnd w:id="89"/>
    </w:p>
    <w:p w14:paraId="3115423F">
      <w:pPr>
        <w:spacing w:line="360" w:lineRule="auto"/>
        <w:ind w:firstLine="523" w:firstLineChars="218"/>
        <w:jc w:val="center"/>
        <w:rPr>
          <w:rFonts w:hint="eastAsia" w:ascii="宋体" w:eastAsia="宋体"/>
          <w:strike/>
          <w:color w:val="auto"/>
          <w:sz w:val="24"/>
          <w:szCs w:val="24"/>
          <w:highlight w:val="none"/>
          <w:lang w:eastAsia="zh-CN"/>
        </w:rPr>
        <w:sectPr>
          <w:footerReference r:id="rId5" w:type="first"/>
          <w:headerReference r:id="rId3" w:type="default"/>
          <w:footerReference r:id="rId4" w:type="default"/>
          <w:endnotePr>
            <w:numFmt w:val="decimal"/>
          </w:endnotePr>
          <w:pgSz w:w="11850" w:h="16783"/>
          <w:pgMar w:top="1440" w:right="1418" w:bottom="1440" w:left="1418" w:header="851" w:footer="907" w:gutter="0"/>
          <w:pgNumType w:fmt="decimal"/>
          <w:cols w:space="720" w:num="1"/>
        </w:sectPr>
      </w:pPr>
      <w:r>
        <w:rPr>
          <w:rFonts w:hint="eastAsia" w:ascii="宋体" w:eastAsia="宋体"/>
          <w:strike/>
          <w:color w:val="auto"/>
          <w:sz w:val="24"/>
          <w:szCs w:val="24"/>
          <w:highlight w:val="none"/>
          <w:lang w:eastAsia="zh-CN"/>
        </w:rPr>
        <w:t>（由招标人自行拟定）</w:t>
      </w:r>
    </w:p>
    <w:p w14:paraId="1E00F466">
      <w:pPr>
        <w:spacing w:line="360" w:lineRule="auto"/>
        <w:outlineLvl w:val="2"/>
        <w:rPr>
          <w:rFonts w:ascii="宋体" w:hAnsi="宋体" w:eastAsia="宋体"/>
          <w:color w:val="auto"/>
          <w:sz w:val="24"/>
          <w:szCs w:val="24"/>
          <w:highlight w:val="none"/>
        </w:rPr>
      </w:pPr>
      <w:bookmarkStart w:id="90" w:name="_Toc10355"/>
      <w:bookmarkStart w:id="91" w:name="_Toc21788"/>
      <w:bookmarkStart w:id="92" w:name="_Toc1527"/>
      <w:bookmarkStart w:id="93" w:name="_Toc18676"/>
      <w:r>
        <w:rPr>
          <w:rFonts w:hint="eastAsia" w:ascii="宋体" w:hAnsi="宋体" w:eastAsia="宋体"/>
          <w:color w:val="auto"/>
          <w:sz w:val="24"/>
          <w:szCs w:val="24"/>
          <w:highlight w:val="none"/>
        </w:rPr>
        <w:t>附件1</w:t>
      </w:r>
      <w:bookmarkEnd w:id="90"/>
      <w:bookmarkEnd w:id="91"/>
      <w:bookmarkEnd w:id="92"/>
      <w:bookmarkEnd w:id="93"/>
    </w:p>
    <w:p w14:paraId="58158E6F">
      <w:pPr>
        <w:ind w:right="-437" w:rightChars="-208"/>
        <w:jc w:val="center"/>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t>开标记录表</w:t>
      </w:r>
    </w:p>
    <w:p w14:paraId="52CF0D06">
      <w:pPr>
        <w:jc w:val="center"/>
        <w:rPr>
          <w:rFonts w:hint="eastAsia" w:ascii="宋体" w:hAnsi="宋体" w:eastAsia="宋体"/>
          <w:b/>
          <w:color w:val="auto"/>
          <w:szCs w:val="21"/>
          <w:highlight w:val="none"/>
        </w:rPr>
      </w:pPr>
    </w:p>
    <w:p w14:paraId="0FBD6945">
      <w:pPr>
        <w:rPr>
          <w:rFonts w:hint="eastAsia" w:ascii="宋体" w:hAnsi="宋体" w:eastAsia="宋体"/>
          <w:color w:val="auto"/>
          <w:szCs w:val="21"/>
          <w:highlight w:val="none"/>
        </w:rPr>
      </w:pPr>
      <w:r>
        <w:rPr>
          <w:rFonts w:hint="eastAsia" w:ascii="宋体" w:hAnsi="宋体" w:eastAsia="宋体"/>
          <w:color w:val="auto"/>
          <w:szCs w:val="21"/>
          <w:highlight w:val="none"/>
        </w:rPr>
        <w:t>开标地点：                                                                        开标时间：   年   月   日   时   分</w:t>
      </w:r>
    </w:p>
    <w:p w14:paraId="1DACC326">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评标参考价下浮点数：   %                                                          最高投标限价：          （元）</w:t>
      </w:r>
    </w:p>
    <w:p w14:paraId="3C67DB18">
      <w:pPr>
        <w:spacing w:line="360" w:lineRule="auto"/>
        <w:rPr>
          <w:rFonts w:hint="eastAsia" w:ascii="宋体" w:hAnsi="宋体" w:eastAsia="宋体"/>
          <w:color w:val="auto"/>
          <w:szCs w:val="21"/>
          <w:highlight w:val="none"/>
        </w:rPr>
      </w:pPr>
    </w:p>
    <w:tbl>
      <w:tblPr>
        <w:tblStyle w:val="34"/>
        <w:tblW w:w="0" w:type="auto"/>
        <w:tblInd w:w="0" w:type="dxa"/>
        <w:tblLayout w:type="fixed"/>
        <w:tblCellMar>
          <w:top w:w="0" w:type="dxa"/>
          <w:left w:w="0" w:type="dxa"/>
          <w:bottom w:w="0" w:type="dxa"/>
          <w:right w:w="0" w:type="dxa"/>
        </w:tblCellMar>
      </w:tblPr>
      <w:tblGrid>
        <w:gridCol w:w="706"/>
        <w:gridCol w:w="803"/>
        <w:gridCol w:w="1101"/>
        <w:gridCol w:w="870"/>
        <w:gridCol w:w="870"/>
        <w:gridCol w:w="769"/>
        <w:gridCol w:w="803"/>
        <w:gridCol w:w="627"/>
        <w:gridCol w:w="611"/>
        <w:gridCol w:w="767"/>
        <w:gridCol w:w="855"/>
        <w:gridCol w:w="1116"/>
        <w:gridCol w:w="768"/>
        <w:gridCol w:w="785"/>
        <w:gridCol w:w="942"/>
        <w:gridCol w:w="784"/>
        <w:gridCol w:w="768"/>
        <w:gridCol w:w="959"/>
      </w:tblGrid>
      <w:tr w14:paraId="54EFE33A">
        <w:tblPrEx>
          <w:tblCellMar>
            <w:top w:w="0" w:type="dxa"/>
            <w:left w:w="0" w:type="dxa"/>
            <w:bottom w:w="0" w:type="dxa"/>
            <w:right w:w="0" w:type="dxa"/>
          </w:tblCellMar>
        </w:tblPrEx>
        <w:trPr>
          <w:trHeight w:val="780" w:hRule="atLeast"/>
        </w:trPr>
        <w:tc>
          <w:tcPr>
            <w:tcW w:w="7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D621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8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6DD2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投标人名称</w:t>
            </w:r>
          </w:p>
        </w:tc>
        <w:tc>
          <w:tcPr>
            <w:tcW w:w="11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8DE9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投标文件是否解密</w:t>
            </w:r>
          </w:p>
        </w:tc>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DDE6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电子标书递交是否成功</w:t>
            </w:r>
          </w:p>
        </w:tc>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E838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法定代表人证明书及授权委托书</w:t>
            </w:r>
          </w:p>
        </w:tc>
        <w:tc>
          <w:tcPr>
            <w:tcW w:w="7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7BC0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8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E986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专职安全员</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A7DF3">
            <w:pPr>
              <w:keepNext w:val="0"/>
              <w:keepLines w:val="0"/>
              <w:widowControl/>
              <w:suppressLineNumbers w:val="0"/>
              <w:jc w:val="center"/>
              <w:textAlignment w:val="center"/>
              <w:rPr>
                <w:rFonts w:hint="eastAsia" w:ascii="宋体" w:hAnsi="宋体" w:eastAsia="宋体" w:cs="宋体"/>
                <w:i w:val="0"/>
                <w:strike/>
                <w:color w:val="auto"/>
                <w:sz w:val="21"/>
                <w:szCs w:val="21"/>
                <w:highlight w:val="none"/>
                <w:u w:val="none"/>
              </w:rPr>
            </w:pPr>
            <w:r>
              <w:rPr>
                <w:rFonts w:hint="eastAsia" w:ascii="宋体" w:hAnsi="宋体" w:eastAsia="宋体" w:cs="宋体"/>
                <w:i w:val="0"/>
                <w:strike/>
                <w:color w:val="auto"/>
                <w:kern w:val="0"/>
                <w:sz w:val="21"/>
                <w:szCs w:val="21"/>
                <w:highlight w:val="none"/>
                <w:u w:val="none"/>
                <w:lang w:val="en-US" w:eastAsia="zh-CN" w:bidi="ar"/>
              </w:rPr>
              <w:t>投标保证金（元）</w:t>
            </w:r>
          </w:p>
        </w:tc>
        <w:tc>
          <w:tcPr>
            <w:tcW w:w="7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C5E4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投标总报价（元）</w:t>
            </w:r>
          </w:p>
        </w:tc>
        <w:tc>
          <w:tcPr>
            <w:tcW w:w="8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8864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其中：人工费（元）</w:t>
            </w:r>
          </w:p>
        </w:tc>
        <w:tc>
          <w:tcPr>
            <w:tcW w:w="11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1C8D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其中：绿色施工安全防护措施费（元）</w:t>
            </w:r>
          </w:p>
        </w:tc>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A821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总工期</w:t>
            </w:r>
          </w:p>
        </w:tc>
        <w:tc>
          <w:tcPr>
            <w:tcW w:w="7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ADF3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工程质量标准</w:t>
            </w:r>
          </w:p>
        </w:tc>
        <w:tc>
          <w:tcPr>
            <w:tcW w:w="9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B5F1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施工组织设计承诺书</w:t>
            </w:r>
          </w:p>
        </w:tc>
        <w:tc>
          <w:tcPr>
            <w:tcW w:w="7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0A4E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是否有效投标</w:t>
            </w:r>
          </w:p>
        </w:tc>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9326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无效原因</w:t>
            </w:r>
          </w:p>
        </w:tc>
        <w:tc>
          <w:tcPr>
            <w:tcW w:w="9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8C38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投标人签名确认</w:t>
            </w:r>
          </w:p>
        </w:tc>
      </w:tr>
      <w:tr w14:paraId="54A06255">
        <w:tblPrEx>
          <w:tblCellMar>
            <w:top w:w="0" w:type="dxa"/>
            <w:left w:w="0" w:type="dxa"/>
            <w:bottom w:w="0" w:type="dxa"/>
            <w:right w:w="0" w:type="dxa"/>
          </w:tblCellMar>
        </w:tblPrEx>
        <w:trPr>
          <w:trHeight w:val="1020" w:hRule="atLeast"/>
        </w:trPr>
        <w:tc>
          <w:tcPr>
            <w:tcW w:w="7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5C4AC">
            <w:pPr>
              <w:jc w:val="center"/>
              <w:rPr>
                <w:rFonts w:hint="eastAsia" w:ascii="宋体" w:hAnsi="宋体" w:eastAsia="宋体" w:cs="宋体"/>
                <w:i w:val="0"/>
                <w:color w:val="auto"/>
                <w:sz w:val="21"/>
                <w:szCs w:val="21"/>
                <w:highlight w:val="none"/>
                <w:u w:val="none"/>
              </w:rPr>
            </w:pPr>
          </w:p>
        </w:tc>
        <w:tc>
          <w:tcPr>
            <w:tcW w:w="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C9132">
            <w:pPr>
              <w:jc w:val="center"/>
              <w:rPr>
                <w:rFonts w:hint="eastAsia" w:ascii="宋体" w:hAnsi="宋体" w:eastAsia="宋体" w:cs="宋体"/>
                <w:i w:val="0"/>
                <w:color w:val="auto"/>
                <w:sz w:val="21"/>
                <w:szCs w:val="21"/>
                <w:highlight w:val="none"/>
                <w:u w:val="none"/>
              </w:rPr>
            </w:pPr>
          </w:p>
        </w:tc>
        <w:tc>
          <w:tcPr>
            <w:tcW w:w="11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14380">
            <w:pPr>
              <w:jc w:val="center"/>
              <w:rPr>
                <w:rFonts w:hint="eastAsia" w:ascii="宋体" w:hAnsi="宋体" w:eastAsia="宋体" w:cs="宋体"/>
                <w:i w:val="0"/>
                <w:color w:val="auto"/>
                <w:sz w:val="21"/>
                <w:szCs w:val="21"/>
                <w:highlight w:val="none"/>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5533B">
            <w:pPr>
              <w:jc w:val="center"/>
              <w:rPr>
                <w:rFonts w:hint="eastAsia" w:ascii="宋体" w:hAnsi="宋体" w:eastAsia="宋体" w:cs="宋体"/>
                <w:i w:val="0"/>
                <w:color w:val="auto"/>
                <w:sz w:val="21"/>
                <w:szCs w:val="21"/>
                <w:highlight w:val="none"/>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951C2">
            <w:pPr>
              <w:jc w:val="center"/>
              <w:rPr>
                <w:rFonts w:hint="eastAsia" w:ascii="宋体" w:hAnsi="宋体" w:eastAsia="宋体" w:cs="宋体"/>
                <w:i w:val="0"/>
                <w:color w:val="auto"/>
                <w:sz w:val="21"/>
                <w:szCs w:val="21"/>
                <w:highlight w:val="none"/>
                <w:u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91F72">
            <w:pPr>
              <w:jc w:val="center"/>
              <w:rPr>
                <w:rFonts w:hint="eastAsia" w:ascii="宋体" w:hAnsi="宋体" w:eastAsia="宋体" w:cs="宋体"/>
                <w:i w:val="0"/>
                <w:color w:val="auto"/>
                <w:sz w:val="21"/>
                <w:szCs w:val="21"/>
                <w:highlight w:val="none"/>
                <w:u w:val="none"/>
              </w:rPr>
            </w:pPr>
          </w:p>
        </w:tc>
        <w:tc>
          <w:tcPr>
            <w:tcW w:w="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1AFFC">
            <w:pPr>
              <w:jc w:val="center"/>
              <w:rPr>
                <w:rFonts w:hint="eastAsia" w:ascii="宋体" w:hAnsi="宋体" w:eastAsia="宋体" w:cs="宋体"/>
                <w:i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B3CE1">
            <w:pPr>
              <w:keepNext w:val="0"/>
              <w:keepLines w:val="0"/>
              <w:widowControl/>
              <w:suppressLineNumbers w:val="0"/>
              <w:jc w:val="center"/>
              <w:textAlignment w:val="center"/>
              <w:rPr>
                <w:rFonts w:hint="eastAsia" w:ascii="宋体" w:hAnsi="宋体" w:eastAsia="宋体" w:cs="宋体"/>
                <w:i w:val="0"/>
                <w:strike/>
                <w:color w:val="auto"/>
                <w:sz w:val="21"/>
                <w:szCs w:val="21"/>
                <w:highlight w:val="none"/>
                <w:u w:val="none"/>
              </w:rPr>
            </w:pPr>
            <w:r>
              <w:rPr>
                <w:rFonts w:hint="eastAsia" w:ascii="宋体" w:hAnsi="宋体" w:eastAsia="宋体" w:cs="宋体"/>
                <w:i w:val="0"/>
                <w:strike/>
                <w:color w:val="auto"/>
                <w:kern w:val="0"/>
                <w:sz w:val="21"/>
                <w:szCs w:val="21"/>
                <w:highlight w:val="none"/>
                <w:u w:val="none"/>
                <w:lang w:val="en-US" w:eastAsia="zh-CN" w:bidi="ar"/>
              </w:rPr>
              <w:t>缴纳方式</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BAB35">
            <w:pPr>
              <w:keepNext w:val="0"/>
              <w:keepLines w:val="0"/>
              <w:widowControl/>
              <w:suppressLineNumbers w:val="0"/>
              <w:jc w:val="center"/>
              <w:textAlignment w:val="center"/>
              <w:rPr>
                <w:rFonts w:hint="eastAsia" w:ascii="宋体" w:hAnsi="宋体" w:eastAsia="宋体" w:cs="宋体"/>
                <w:i w:val="0"/>
                <w:strike/>
                <w:color w:val="auto"/>
                <w:sz w:val="21"/>
                <w:szCs w:val="21"/>
                <w:highlight w:val="none"/>
                <w:u w:val="none"/>
              </w:rPr>
            </w:pPr>
            <w:r>
              <w:rPr>
                <w:rFonts w:hint="eastAsia" w:ascii="宋体" w:hAnsi="宋体" w:eastAsia="宋体" w:cs="宋体"/>
                <w:i w:val="0"/>
                <w:strike/>
                <w:color w:val="auto"/>
                <w:kern w:val="0"/>
                <w:sz w:val="21"/>
                <w:szCs w:val="21"/>
                <w:highlight w:val="none"/>
                <w:u w:val="none"/>
                <w:lang w:val="en-US" w:eastAsia="zh-CN" w:bidi="ar"/>
              </w:rPr>
              <w:t>金额</w:t>
            </w:r>
          </w:p>
        </w:tc>
        <w:tc>
          <w:tcPr>
            <w:tcW w:w="7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614F9">
            <w:pPr>
              <w:jc w:val="center"/>
              <w:rPr>
                <w:rFonts w:hint="eastAsia" w:ascii="宋体" w:hAnsi="宋体" w:eastAsia="宋体" w:cs="宋体"/>
                <w:i w:val="0"/>
                <w:color w:val="auto"/>
                <w:sz w:val="21"/>
                <w:szCs w:val="21"/>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4BF2F">
            <w:pPr>
              <w:jc w:val="center"/>
              <w:rPr>
                <w:rFonts w:hint="eastAsia" w:ascii="宋体" w:hAnsi="宋体" w:eastAsia="宋体" w:cs="宋体"/>
                <w:i w:val="0"/>
                <w:color w:val="auto"/>
                <w:sz w:val="21"/>
                <w:szCs w:val="21"/>
                <w:highlight w:val="none"/>
                <w:u w:val="none"/>
              </w:rPr>
            </w:pPr>
          </w:p>
        </w:tc>
        <w:tc>
          <w:tcPr>
            <w:tcW w:w="11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44EAD">
            <w:pPr>
              <w:jc w:val="center"/>
              <w:rPr>
                <w:rFonts w:hint="eastAsia" w:ascii="宋体" w:hAnsi="宋体" w:eastAsia="宋体" w:cs="宋体"/>
                <w:i w:val="0"/>
                <w:color w:val="auto"/>
                <w:sz w:val="21"/>
                <w:szCs w:val="21"/>
                <w:highlight w:val="none"/>
                <w:u w:val="none"/>
              </w:rPr>
            </w:pP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7FA49">
            <w:pPr>
              <w:jc w:val="center"/>
              <w:rPr>
                <w:rFonts w:hint="eastAsia" w:ascii="宋体" w:hAnsi="宋体" w:eastAsia="宋体" w:cs="宋体"/>
                <w:i w:val="0"/>
                <w:color w:val="auto"/>
                <w:sz w:val="21"/>
                <w:szCs w:val="21"/>
                <w:highlight w:val="none"/>
                <w:u w:val="none"/>
              </w:rPr>
            </w:pPr>
          </w:p>
        </w:tc>
        <w:tc>
          <w:tcPr>
            <w:tcW w:w="7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FDB31">
            <w:pPr>
              <w:jc w:val="center"/>
              <w:rPr>
                <w:rFonts w:hint="eastAsia" w:ascii="宋体" w:hAnsi="宋体" w:eastAsia="宋体" w:cs="宋体"/>
                <w:i w:val="0"/>
                <w:color w:val="auto"/>
                <w:sz w:val="21"/>
                <w:szCs w:val="21"/>
                <w:highlight w:val="none"/>
                <w:u w:val="none"/>
              </w:rPr>
            </w:pPr>
          </w:p>
        </w:tc>
        <w:tc>
          <w:tcPr>
            <w:tcW w:w="9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6B96B">
            <w:pPr>
              <w:jc w:val="center"/>
              <w:rPr>
                <w:rFonts w:hint="eastAsia" w:ascii="宋体" w:hAnsi="宋体" w:eastAsia="宋体" w:cs="宋体"/>
                <w:i w:val="0"/>
                <w:color w:val="auto"/>
                <w:sz w:val="21"/>
                <w:szCs w:val="21"/>
                <w:highlight w:val="none"/>
                <w:u w:val="none"/>
              </w:rPr>
            </w:pPr>
          </w:p>
        </w:tc>
        <w:tc>
          <w:tcPr>
            <w:tcW w:w="7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654B8">
            <w:pPr>
              <w:jc w:val="center"/>
              <w:rPr>
                <w:rFonts w:hint="eastAsia" w:ascii="宋体" w:hAnsi="宋体" w:eastAsia="宋体" w:cs="宋体"/>
                <w:i w:val="0"/>
                <w:color w:val="auto"/>
                <w:sz w:val="21"/>
                <w:szCs w:val="21"/>
                <w:highlight w:val="none"/>
                <w:u w:val="none"/>
              </w:rPr>
            </w:pP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EC9A8">
            <w:pPr>
              <w:jc w:val="center"/>
              <w:rPr>
                <w:rFonts w:hint="eastAsia" w:ascii="宋体" w:hAnsi="宋体" w:eastAsia="宋体" w:cs="宋体"/>
                <w:i w:val="0"/>
                <w:color w:val="auto"/>
                <w:sz w:val="21"/>
                <w:szCs w:val="21"/>
                <w:highlight w:val="none"/>
                <w:u w:val="none"/>
              </w:rPr>
            </w:pPr>
          </w:p>
        </w:tc>
        <w:tc>
          <w:tcPr>
            <w:tcW w:w="9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1534E">
            <w:pPr>
              <w:jc w:val="center"/>
              <w:rPr>
                <w:rFonts w:hint="eastAsia" w:ascii="宋体" w:hAnsi="宋体" w:eastAsia="宋体" w:cs="宋体"/>
                <w:i w:val="0"/>
                <w:color w:val="auto"/>
                <w:sz w:val="21"/>
                <w:szCs w:val="21"/>
                <w:highlight w:val="none"/>
                <w:u w:val="none"/>
              </w:rPr>
            </w:pPr>
          </w:p>
        </w:tc>
      </w:tr>
      <w:tr w14:paraId="45D2CD6C">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A9251">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620ED">
            <w:pPr>
              <w:jc w:val="center"/>
              <w:rPr>
                <w:rFonts w:hint="eastAsia" w:ascii="宋体" w:hAnsi="宋体" w:eastAsia="宋体" w:cs="宋体"/>
                <w:i w:val="0"/>
                <w:color w:val="auto"/>
                <w:sz w:val="21"/>
                <w:szCs w:val="21"/>
                <w:highlight w:val="none"/>
                <w:u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4D11E">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06BB7">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43A7C">
            <w:pPr>
              <w:jc w:val="center"/>
              <w:rPr>
                <w:rFonts w:hint="eastAsia" w:ascii="宋体" w:hAnsi="宋体" w:eastAsia="宋体" w:cs="宋体"/>
                <w:i w:val="0"/>
                <w:color w:val="auto"/>
                <w:sz w:val="21"/>
                <w:szCs w:val="21"/>
                <w:highlight w:val="none"/>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CD7B9">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0A367">
            <w:pPr>
              <w:jc w:val="center"/>
              <w:rPr>
                <w:rFonts w:hint="eastAsia" w:ascii="宋体" w:hAnsi="宋体" w:eastAsia="宋体" w:cs="宋体"/>
                <w:i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F0562">
            <w:pPr>
              <w:jc w:val="center"/>
              <w:rPr>
                <w:rFonts w:hint="eastAsia" w:ascii="宋体" w:hAnsi="宋体" w:eastAsia="宋体" w:cs="宋体"/>
                <w:i w:val="0"/>
                <w:color w:val="auto"/>
                <w:sz w:val="24"/>
                <w:szCs w:val="24"/>
                <w:highlight w:val="none"/>
                <w:u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752E4">
            <w:pPr>
              <w:jc w:val="center"/>
              <w:rPr>
                <w:rFonts w:hint="eastAsia" w:ascii="宋体" w:hAnsi="宋体" w:eastAsia="宋体" w:cs="宋体"/>
                <w:i w:val="0"/>
                <w:color w:val="auto"/>
                <w:sz w:val="24"/>
                <w:szCs w:val="24"/>
                <w:highlight w:val="none"/>
                <w:u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AA6E7">
            <w:pPr>
              <w:jc w:val="center"/>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B61AD">
            <w:pPr>
              <w:jc w:val="center"/>
              <w:rPr>
                <w:rFonts w:hint="eastAsia" w:ascii="宋体" w:hAnsi="宋体" w:eastAsia="宋体" w:cs="宋体"/>
                <w:i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4929C">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D7ABD">
            <w:pPr>
              <w:jc w:val="center"/>
              <w:rPr>
                <w:rFonts w:hint="eastAsia" w:ascii="宋体" w:hAnsi="宋体" w:eastAsia="宋体" w:cs="宋体"/>
                <w:i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C9209">
            <w:pPr>
              <w:jc w:val="center"/>
              <w:rPr>
                <w:rFonts w:hint="eastAsia" w:ascii="宋体" w:hAnsi="宋体" w:eastAsia="宋体" w:cs="宋体"/>
                <w:i w:val="0"/>
                <w:color w:val="auto"/>
                <w:sz w:val="21"/>
                <w:szCs w:val="21"/>
                <w:highlight w:val="none"/>
                <w:u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94191">
            <w:pPr>
              <w:jc w:val="center"/>
              <w:rPr>
                <w:rFonts w:hint="eastAsia" w:ascii="宋体" w:hAnsi="宋体" w:eastAsia="宋体" w:cs="宋体"/>
                <w:i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E62D1">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2D9BE">
            <w:pPr>
              <w:jc w:val="center"/>
              <w:rPr>
                <w:rFonts w:hint="eastAsia" w:ascii="宋体" w:hAnsi="宋体" w:eastAsia="宋体" w:cs="宋体"/>
                <w:i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F6666">
            <w:pPr>
              <w:jc w:val="center"/>
              <w:rPr>
                <w:rFonts w:hint="eastAsia" w:ascii="宋体" w:hAnsi="宋体" w:eastAsia="宋体" w:cs="宋体"/>
                <w:i w:val="0"/>
                <w:color w:val="auto"/>
                <w:sz w:val="21"/>
                <w:szCs w:val="21"/>
                <w:highlight w:val="none"/>
                <w:u w:val="none"/>
              </w:rPr>
            </w:pPr>
          </w:p>
        </w:tc>
      </w:tr>
      <w:tr w14:paraId="764EAA71">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EBB97">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95951">
            <w:pPr>
              <w:jc w:val="center"/>
              <w:rPr>
                <w:rFonts w:hint="eastAsia" w:ascii="宋体" w:hAnsi="宋体" w:eastAsia="宋体" w:cs="宋体"/>
                <w:i w:val="0"/>
                <w:color w:val="auto"/>
                <w:sz w:val="21"/>
                <w:szCs w:val="21"/>
                <w:highlight w:val="none"/>
                <w:u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EC9D1">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720F1">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59947">
            <w:pPr>
              <w:jc w:val="center"/>
              <w:rPr>
                <w:rFonts w:hint="eastAsia" w:ascii="宋体" w:hAnsi="宋体" w:eastAsia="宋体" w:cs="宋体"/>
                <w:i w:val="0"/>
                <w:color w:val="auto"/>
                <w:sz w:val="21"/>
                <w:szCs w:val="21"/>
                <w:highlight w:val="none"/>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3485A">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0EA24">
            <w:pPr>
              <w:jc w:val="center"/>
              <w:rPr>
                <w:rFonts w:hint="eastAsia" w:ascii="宋体" w:hAnsi="宋体" w:eastAsia="宋体" w:cs="宋体"/>
                <w:i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A6E6D">
            <w:pPr>
              <w:jc w:val="center"/>
              <w:rPr>
                <w:rFonts w:hint="eastAsia" w:ascii="宋体" w:hAnsi="宋体" w:eastAsia="宋体" w:cs="宋体"/>
                <w:i w:val="0"/>
                <w:color w:val="auto"/>
                <w:sz w:val="21"/>
                <w:szCs w:val="21"/>
                <w:highlight w:val="none"/>
                <w:u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3B249">
            <w:pPr>
              <w:jc w:val="center"/>
              <w:rPr>
                <w:rFonts w:hint="eastAsia" w:ascii="宋体" w:hAnsi="宋体" w:eastAsia="宋体" w:cs="宋体"/>
                <w:i w:val="0"/>
                <w:color w:val="auto"/>
                <w:sz w:val="21"/>
                <w:szCs w:val="21"/>
                <w:highlight w:val="none"/>
                <w:u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F7F39">
            <w:pPr>
              <w:jc w:val="center"/>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BB148">
            <w:pPr>
              <w:jc w:val="center"/>
              <w:rPr>
                <w:rFonts w:hint="eastAsia" w:ascii="宋体" w:hAnsi="宋体" w:eastAsia="宋体" w:cs="宋体"/>
                <w:i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0552B">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115A5">
            <w:pPr>
              <w:jc w:val="center"/>
              <w:rPr>
                <w:rFonts w:hint="eastAsia" w:ascii="宋体" w:hAnsi="宋体" w:eastAsia="宋体" w:cs="宋体"/>
                <w:i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CE99B">
            <w:pPr>
              <w:jc w:val="center"/>
              <w:rPr>
                <w:rFonts w:hint="eastAsia" w:ascii="宋体" w:hAnsi="宋体" w:eastAsia="宋体" w:cs="宋体"/>
                <w:i w:val="0"/>
                <w:color w:val="auto"/>
                <w:sz w:val="21"/>
                <w:szCs w:val="21"/>
                <w:highlight w:val="none"/>
                <w:u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1093B">
            <w:pPr>
              <w:jc w:val="center"/>
              <w:rPr>
                <w:rFonts w:hint="eastAsia" w:ascii="宋体" w:hAnsi="宋体" w:eastAsia="宋体" w:cs="宋体"/>
                <w:i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2812F">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AC116">
            <w:pPr>
              <w:jc w:val="center"/>
              <w:rPr>
                <w:rFonts w:hint="eastAsia" w:ascii="宋体" w:hAnsi="宋体" w:eastAsia="宋体" w:cs="宋体"/>
                <w:i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5F929">
            <w:pPr>
              <w:jc w:val="center"/>
              <w:rPr>
                <w:rFonts w:hint="eastAsia" w:ascii="宋体" w:hAnsi="宋体" w:eastAsia="宋体" w:cs="宋体"/>
                <w:i w:val="0"/>
                <w:color w:val="auto"/>
                <w:sz w:val="21"/>
                <w:szCs w:val="21"/>
                <w:highlight w:val="none"/>
                <w:u w:val="none"/>
              </w:rPr>
            </w:pPr>
          </w:p>
        </w:tc>
      </w:tr>
      <w:tr w14:paraId="65A193EF">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CEEDA">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CD626">
            <w:pPr>
              <w:jc w:val="center"/>
              <w:rPr>
                <w:rFonts w:hint="eastAsia" w:ascii="宋体" w:hAnsi="宋体" w:eastAsia="宋体" w:cs="宋体"/>
                <w:i w:val="0"/>
                <w:color w:val="auto"/>
                <w:sz w:val="21"/>
                <w:szCs w:val="21"/>
                <w:highlight w:val="none"/>
                <w:u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82F66">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79048">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A980C9">
            <w:pPr>
              <w:jc w:val="center"/>
              <w:rPr>
                <w:rFonts w:hint="eastAsia" w:ascii="宋体" w:hAnsi="宋体" w:eastAsia="宋体" w:cs="宋体"/>
                <w:i w:val="0"/>
                <w:color w:val="auto"/>
                <w:sz w:val="21"/>
                <w:szCs w:val="21"/>
                <w:highlight w:val="none"/>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8DFF2">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E77C0">
            <w:pPr>
              <w:jc w:val="center"/>
              <w:rPr>
                <w:rFonts w:hint="eastAsia" w:ascii="宋体" w:hAnsi="宋体" w:eastAsia="宋体" w:cs="宋体"/>
                <w:i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D9ACC">
            <w:pPr>
              <w:jc w:val="center"/>
              <w:rPr>
                <w:rFonts w:hint="eastAsia" w:ascii="宋体" w:hAnsi="宋体" w:eastAsia="宋体" w:cs="宋体"/>
                <w:i w:val="0"/>
                <w:color w:val="auto"/>
                <w:sz w:val="21"/>
                <w:szCs w:val="21"/>
                <w:highlight w:val="none"/>
                <w:u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2F1B9">
            <w:pPr>
              <w:jc w:val="center"/>
              <w:rPr>
                <w:rFonts w:hint="eastAsia" w:ascii="宋体" w:hAnsi="宋体" w:eastAsia="宋体" w:cs="宋体"/>
                <w:i w:val="0"/>
                <w:color w:val="auto"/>
                <w:sz w:val="21"/>
                <w:szCs w:val="21"/>
                <w:highlight w:val="none"/>
                <w:u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163EE">
            <w:pPr>
              <w:jc w:val="center"/>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F2645">
            <w:pPr>
              <w:jc w:val="center"/>
              <w:rPr>
                <w:rFonts w:hint="eastAsia" w:ascii="宋体" w:hAnsi="宋体" w:eastAsia="宋体" w:cs="宋体"/>
                <w:i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59E23">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DF278">
            <w:pPr>
              <w:jc w:val="center"/>
              <w:rPr>
                <w:rFonts w:hint="eastAsia" w:ascii="宋体" w:hAnsi="宋体" w:eastAsia="宋体" w:cs="宋体"/>
                <w:i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4EB83">
            <w:pPr>
              <w:jc w:val="center"/>
              <w:rPr>
                <w:rFonts w:hint="eastAsia" w:ascii="宋体" w:hAnsi="宋体" w:eastAsia="宋体" w:cs="宋体"/>
                <w:i w:val="0"/>
                <w:color w:val="auto"/>
                <w:sz w:val="21"/>
                <w:szCs w:val="21"/>
                <w:highlight w:val="none"/>
                <w:u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1AC36">
            <w:pPr>
              <w:jc w:val="center"/>
              <w:rPr>
                <w:rFonts w:hint="eastAsia" w:ascii="宋体" w:hAnsi="宋体" w:eastAsia="宋体" w:cs="宋体"/>
                <w:i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BD145">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96E49">
            <w:pPr>
              <w:jc w:val="center"/>
              <w:rPr>
                <w:rFonts w:hint="eastAsia" w:ascii="宋体" w:hAnsi="宋体" w:eastAsia="宋体" w:cs="宋体"/>
                <w:i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2EE08">
            <w:pPr>
              <w:jc w:val="center"/>
              <w:rPr>
                <w:rFonts w:hint="eastAsia" w:ascii="宋体" w:hAnsi="宋体" w:eastAsia="宋体" w:cs="宋体"/>
                <w:i w:val="0"/>
                <w:color w:val="auto"/>
                <w:sz w:val="21"/>
                <w:szCs w:val="21"/>
                <w:highlight w:val="none"/>
                <w:u w:val="none"/>
              </w:rPr>
            </w:pPr>
          </w:p>
        </w:tc>
      </w:tr>
      <w:tr w14:paraId="7266CF6F">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5BCC2">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B5025">
            <w:pPr>
              <w:jc w:val="center"/>
              <w:rPr>
                <w:rFonts w:hint="eastAsia" w:ascii="宋体" w:hAnsi="宋体" w:eastAsia="宋体" w:cs="宋体"/>
                <w:i w:val="0"/>
                <w:color w:val="auto"/>
                <w:sz w:val="21"/>
                <w:szCs w:val="21"/>
                <w:highlight w:val="none"/>
                <w:u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8EF9F">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6F704">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35B36">
            <w:pPr>
              <w:jc w:val="center"/>
              <w:rPr>
                <w:rFonts w:hint="eastAsia" w:ascii="宋体" w:hAnsi="宋体" w:eastAsia="宋体" w:cs="宋体"/>
                <w:i w:val="0"/>
                <w:color w:val="auto"/>
                <w:sz w:val="21"/>
                <w:szCs w:val="21"/>
                <w:highlight w:val="none"/>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E73B8">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84156">
            <w:pPr>
              <w:jc w:val="center"/>
              <w:rPr>
                <w:rFonts w:hint="eastAsia" w:ascii="宋体" w:hAnsi="宋体" w:eastAsia="宋体" w:cs="宋体"/>
                <w:i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9E02F">
            <w:pPr>
              <w:jc w:val="center"/>
              <w:rPr>
                <w:rFonts w:hint="eastAsia" w:ascii="宋体" w:hAnsi="宋体" w:eastAsia="宋体" w:cs="宋体"/>
                <w:i w:val="0"/>
                <w:color w:val="auto"/>
                <w:sz w:val="21"/>
                <w:szCs w:val="21"/>
                <w:highlight w:val="none"/>
                <w:u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345F8">
            <w:pPr>
              <w:jc w:val="center"/>
              <w:rPr>
                <w:rFonts w:hint="eastAsia" w:ascii="宋体" w:hAnsi="宋体" w:eastAsia="宋体" w:cs="宋体"/>
                <w:i w:val="0"/>
                <w:color w:val="auto"/>
                <w:sz w:val="21"/>
                <w:szCs w:val="21"/>
                <w:highlight w:val="none"/>
                <w:u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7E921">
            <w:pPr>
              <w:jc w:val="center"/>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6C3CB">
            <w:pPr>
              <w:jc w:val="center"/>
              <w:rPr>
                <w:rFonts w:hint="eastAsia" w:ascii="宋体" w:hAnsi="宋体" w:eastAsia="宋体" w:cs="宋体"/>
                <w:i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B7F85">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6EFA5">
            <w:pPr>
              <w:jc w:val="center"/>
              <w:rPr>
                <w:rFonts w:hint="eastAsia" w:ascii="宋体" w:hAnsi="宋体" w:eastAsia="宋体" w:cs="宋体"/>
                <w:i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B49CC">
            <w:pPr>
              <w:jc w:val="center"/>
              <w:rPr>
                <w:rFonts w:hint="eastAsia" w:ascii="宋体" w:hAnsi="宋体" w:eastAsia="宋体" w:cs="宋体"/>
                <w:i w:val="0"/>
                <w:color w:val="auto"/>
                <w:sz w:val="21"/>
                <w:szCs w:val="21"/>
                <w:highlight w:val="none"/>
                <w:u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7E792">
            <w:pPr>
              <w:jc w:val="center"/>
              <w:rPr>
                <w:rFonts w:hint="eastAsia" w:ascii="宋体" w:hAnsi="宋体" w:eastAsia="宋体" w:cs="宋体"/>
                <w:i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C5083">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399F5">
            <w:pPr>
              <w:jc w:val="center"/>
              <w:rPr>
                <w:rFonts w:hint="eastAsia" w:ascii="宋体" w:hAnsi="宋体" w:eastAsia="宋体" w:cs="宋体"/>
                <w:i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7E256">
            <w:pPr>
              <w:jc w:val="center"/>
              <w:rPr>
                <w:rFonts w:hint="eastAsia" w:ascii="宋体" w:hAnsi="宋体" w:eastAsia="宋体" w:cs="宋体"/>
                <w:i w:val="0"/>
                <w:color w:val="auto"/>
                <w:sz w:val="21"/>
                <w:szCs w:val="21"/>
                <w:highlight w:val="none"/>
                <w:u w:val="none"/>
              </w:rPr>
            </w:pPr>
          </w:p>
        </w:tc>
      </w:tr>
      <w:tr w14:paraId="61AC9542">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2AA7C">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D7E0F">
            <w:pPr>
              <w:jc w:val="center"/>
              <w:rPr>
                <w:rFonts w:hint="eastAsia" w:ascii="宋体" w:hAnsi="宋体" w:eastAsia="宋体" w:cs="宋体"/>
                <w:i w:val="0"/>
                <w:color w:val="auto"/>
                <w:sz w:val="21"/>
                <w:szCs w:val="21"/>
                <w:highlight w:val="none"/>
                <w:u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45F72">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3727E">
            <w:pPr>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B6907">
            <w:pPr>
              <w:jc w:val="center"/>
              <w:rPr>
                <w:rFonts w:hint="eastAsia" w:ascii="宋体" w:hAnsi="宋体" w:eastAsia="宋体" w:cs="宋体"/>
                <w:i w:val="0"/>
                <w:color w:val="auto"/>
                <w:sz w:val="21"/>
                <w:szCs w:val="21"/>
                <w:highlight w:val="none"/>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F6AF6">
            <w:pPr>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77805">
            <w:pPr>
              <w:jc w:val="center"/>
              <w:rPr>
                <w:rFonts w:hint="eastAsia" w:ascii="宋体" w:hAnsi="宋体" w:eastAsia="宋体" w:cs="宋体"/>
                <w:i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D98B7">
            <w:pPr>
              <w:jc w:val="center"/>
              <w:rPr>
                <w:rFonts w:hint="eastAsia" w:ascii="宋体" w:hAnsi="宋体" w:eastAsia="宋体" w:cs="宋体"/>
                <w:i w:val="0"/>
                <w:color w:val="auto"/>
                <w:sz w:val="21"/>
                <w:szCs w:val="21"/>
                <w:highlight w:val="none"/>
                <w:u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5300E">
            <w:pPr>
              <w:jc w:val="center"/>
              <w:rPr>
                <w:rFonts w:hint="eastAsia" w:ascii="宋体" w:hAnsi="宋体" w:eastAsia="宋体" w:cs="宋体"/>
                <w:i w:val="0"/>
                <w:color w:val="auto"/>
                <w:sz w:val="21"/>
                <w:szCs w:val="21"/>
                <w:highlight w:val="none"/>
                <w:u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BFF92">
            <w:pPr>
              <w:jc w:val="center"/>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EC427">
            <w:pPr>
              <w:jc w:val="center"/>
              <w:rPr>
                <w:rFonts w:hint="eastAsia" w:ascii="宋体" w:hAnsi="宋体" w:eastAsia="宋体" w:cs="宋体"/>
                <w:i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823A8">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0374F">
            <w:pPr>
              <w:jc w:val="center"/>
              <w:rPr>
                <w:rFonts w:hint="eastAsia" w:ascii="宋体" w:hAnsi="宋体" w:eastAsia="宋体" w:cs="宋体"/>
                <w:i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8121B">
            <w:pPr>
              <w:jc w:val="center"/>
              <w:rPr>
                <w:rFonts w:hint="eastAsia" w:ascii="宋体" w:hAnsi="宋体" w:eastAsia="宋体" w:cs="宋体"/>
                <w:i w:val="0"/>
                <w:color w:val="auto"/>
                <w:sz w:val="21"/>
                <w:szCs w:val="21"/>
                <w:highlight w:val="none"/>
                <w:u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8E4AA">
            <w:pPr>
              <w:jc w:val="center"/>
              <w:rPr>
                <w:rFonts w:hint="eastAsia" w:ascii="宋体" w:hAnsi="宋体" w:eastAsia="宋体" w:cs="宋体"/>
                <w:i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AB270">
            <w:pPr>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682AF">
            <w:pPr>
              <w:jc w:val="center"/>
              <w:rPr>
                <w:rFonts w:hint="eastAsia" w:ascii="宋体" w:hAnsi="宋体" w:eastAsia="宋体" w:cs="宋体"/>
                <w:i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8D339">
            <w:pPr>
              <w:jc w:val="center"/>
              <w:rPr>
                <w:rFonts w:hint="eastAsia" w:ascii="宋体" w:hAnsi="宋体" w:eastAsia="宋体" w:cs="宋体"/>
                <w:i w:val="0"/>
                <w:color w:val="auto"/>
                <w:sz w:val="21"/>
                <w:szCs w:val="21"/>
                <w:highlight w:val="none"/>
                <w:u w:val="none"/>
              </w:rPr>
            </w:pPr>
          </w:p>
        </w:tc>
      </w:tr>
    </w:tbl>
    <w:p w14:paraId="7EB2CAD0">
      <w:pPr>
        <w:rPr>
          <w:rFonts w:hint="eastAsia" w:ascii="宋体" w:hAnsi="宋体" w:eastAsia="宋体"/>
          <w:color w:val="auto"/>
          <w:szCs w:val="21"/>
          <w:highlight w:val="none"/>
        </w:rPr>
      </w:pPr>
    </w:p>
    <w:p w14:paraId="6D58D69C">
      <w:pPr>
        <w:rPr>
          <w:rFonts w:hint="eastAsia" w:ascii="宋体" w:hAnsi="宋体" w:eastAsia="宋体"/>
          <w:color w:val="auto"/>
          <w:szCs w:val="21"/>
          <w:highlight w:val="none"/>
        </w:rPr>
      </w:pPr>
      <w:r>
        <w:rPr>
          <w:rFonts w:hint="eastAsia" w:ascii="宋体" w:hAnsi="宋体" w:eastAsia="宋体"/>
          <w:color w:val="auto"/>
          <w:szCs w:val="21"/>
          <w:highlight w:val="none"/>
        </w:rPr>
        <w:t>注：本表部分信息源自《广州园林绿化工程施工招标投标书》。</w:t>
      </w:r>
    </w:p>
    <w:p w14:paraId="0FA9CF00">
      <w:pPr>
        <w:rPr>
          <w:rFonts w:hint="eastAsia" w:ascii="宋体" w:hAnsi="宋体" w:eastAsia="宋体"/>
          <w:color w:val="auto"/>
          <w:sz w:val="24"/>
          <w:highlight w:val="none"/>
        </w:rPr>
      </w:pPr>
    </w:p>
    <w:p w14:paraId="75C1F3FD">
      <w:pPr>
        <w:rPr>
          <w:rFonts w:hint="eastAsia" w:ascii="宋体" w:hAnsi="宋体" w:eastAsia="宋体"/>
          <w:color w:val="auto"/>
          <w:sz w:val="24"/>
          <w:highlight w:val="none"/>
        </w:rPr>
      </w:pPr>
    </w:p>
    <w:p w14:paraId="75BD6262">
      <w:pPr>
        <w:rPr>
          <w:rFonts w:hint="eastAsia" w:ascii="宋体" w:hAnsi="宋体" w:eastAsia="宋体"/>
          <w:color w:val="auto"/>
          <w:szCs w:val="21"/>
          <w:highlight w:val="none"/>
        </w:rPr>
      </w:pPr>
      <w:r>
        <w:rPr>
          <w:rFonts w:hint="eastAsia" w:ascii="宋体" w:hAnsi="宋体" w:eastAsia="宋体"/>
          <w:color w:val="auto"/>
          <w:szCs w:val="21"/>
          <w:highlight w:val="none"/>
        </w:rPr>
        <w:t xml:space="preserve">招标人代表：                                                       招标代理机构代表： </w:t>
      </w:r>
    </w:p>
    <w:p w14:paraId="236FF7FB">
      <w:pPr>
        <w:pStyle w:val="32"/>
        <w:tabs>
          <w:tab w:val="left" w:pos="7380"/>
        </w:tabs>
        <w:spacing w:after="0" w:line="360" w:lineRule="auto"/>
        <w:ind w:firstLine="0"/>
        <w:rPr>
          <w:rFonts w:hint="eastAsia" w:ascii="宋体" w:hAnsi="宋体" w:eastAsia="宋体"/>
          <w:color w:val="auto"/>
          <w:szCs w:val="21"/>
          <w:highlight w:val="none"/>
        </w:rPr>
      </w:pPr>
    </w:p>
    <w:p w14:paraId="601B2BF9">
      <w:pPr>
        <w:pStyle w:val="32"/>
        <w:tabs>
          <w:tab w:val="left" w:pos="7380"/>
        </w:tabs>
        <w:spacing w:after="0" w:line="360" w:lineRule="auto"/>
        <w:ind w:firstLine="0"/>
        <w:rPr>
          <w:rFonts w:hint="eastAsia" w:ascii="宋体" w:hAnsi="宋体" w:eastAsia="宋体"/>
          <w:color w:val="auto"/>
          <w:szCs w:val="21"/>
          <w:highlight w:val="none"/>
        </w:rPr>
      </w:pPr>
    </w:p>
    <w:p w14:paraId="5FC3C634">
      <w:pPr>
        <w:pStyle w:val="32"/>
        <w:tabs>
          <w:tab w:val="left" w:pos="7380"/>
        </w:tabs>
        <w:spacing w:after="0" w:line="360" w:lineRule="auto"/>
        <w:ind w:firstLine="0"/>
        <w:rPr>
          <w:rFonts w:hint="eastAsia" w:ascii="宋体" w:hAnsi="宋体" w:eastAsia="宋体"/>
          <w:color w:val="auto"/>
          <w:szCs w:val="21"/>
          <w:highlight w:val="none"/>
        </w:rPr>
      </w:pPr>
    </w:p>
    <w:p w14:paraId="3AD7293D">
      <w:pPr>
        <w:pStyle w:val="32"/>
        <w:tabs>
          <w:tab w:val="left" w:pos="7380"/>
        </w:tabs>
        <w:spacing w:after="0" w:line="360" w:lineRule="auto"/>
        <w:ind w:firstLine="0"/>
        <w:rPr>
          <w:rFonts w:hint="eastAsia" w:ascii="宋体" w:hAnsi="宋体" w:eastAsia="宋体"/>
          <w:color w:val="auto"/>
          <w:szCs w:val="21"/>
          <w:highlight w:val="none"/>
        </w:rPr>
      </w:pPr>
    </w:p>
    <w:p w14:paraId="15DD4EDB">
      <w:pPr>
        <w:pStyle w:val="32"/>
        <w:tabs>
          <w:tab w:val="left" w:pos="7380"/>
        </w:tabs>
        <w:spacing w:after="0" w:line="360" w:lineRule="auto"/>
        <w:ind w:firstLine="0"/>
        <w:rPr>
          <w:rFonts w:hint="eastAsia" w:ascii="宋体" w:hAnsi="宋体" w:eastAsia="宋体"/>
          <w:color w:val="auto"/>
          <w:szCs w:val="21"/>
          <w:highlight w:val="none"/>
        </w:rPr>
      </w:pPr>
    </w:p>
    <w:p w14:paraId="75C119EC">
      <w:pPr>
        <w:spacing w:line="360" w:lineRule="auto"/>
        <w:outlineLvl w:val="2"/>
        <w:rPr>
          <w:rFonts w:hint="eastAsia" w:ascii="宋体" w:hAnsi="宋体" w:eastAsia="宋体"/>
          <w:color w:val="auto"/>
          <w:sz w:val="24"/>
          <w:szCs w:val="24"/>
          <w:highlight w:val="none"/>
        </w:rPr>
      </w:pPr>
      <w:bookmarkStart w:id="94" w:name="_Toc24036"/>
      <w:bookmarkStart w:id="95" w:name="_Toc18570"/>
      <w:bookmarkStart w:id="96" w:name="_Toc25303"/>
    </w:p>
    <w:p w14:paraId="1A0E5B55">
      <w:pPr>
        <w:spacing w:line="360" w:lineRule="auto"/>
        <w:outlineLvl w:val="2"/>
        <w:rPr>
          <w:rFonts w:ascii="宋体" w:hAnsi="宋体" w:eastAsia="宋体"/>
          <w:color w:val="auto"/>
          <w:sz w:val="24"/>
          <w:szCs w:val="24"/>
          <w:highlight w:val="none"/>
        </w:rPr>
      </w:pPr>
      <w:bookmarkStart w:id="97" w:name="_Toc5423"/>
      <w:r>
        <w:rPr>
          <w:rFonts w:hint="eastAsia" w:ascii="宋体" w:hAnsi="宋体" w:eastAsia="宋体"/>
          <w:color w:val="auto"/>
          <w:sz w:val="24"/>
          <w:szCs w:val="24"/>
          <w:highlight w:val="none"/>
        </w:rPr>
        <w:t>附件2</w:t>
      </w:r>
      <w:bookmarkEnd w:id="94"/>
      <w:bookmarkEnd w:id="95"/>
      <w:bookmarkEnd w:id="96"/>
      <w:bookmarkEnd w:id="97"/>
    </w:p>
    <w:p w14:paraId="3455DE06">
      <w:pPr>
        <w:spacing w:line="360" w:lineRule="auto"/>
        <w:jc w:val="center"/>
        <w:rPr>
          <w:rFonts w:hint="eastAsia" w:ascii="宋体" w:hAnsi="宋体" w:eastAsia="宋体"/>
          <w:b/>
          <w:color w:val="auto"/>
          <w:sz w:val="30"/>
          <w:szCs w:val="30"/>
          <w:highlight w:val="none"/>
        </w:rPr>
      </w:pPr>
      <w:r>
        <w:rPr>
          <w:rFonts w:hint="eastAsia" w:ascii="宋体" w:hAnsi="宋体" w:eastAsia="宋体"/>
          <w:b/>
          <w:color w:val="auto"/>
          <w:sz w:val="30"/>
          <w:szCs w:val="30"/>
          <w:highlight w:val="none"/>
        </w:rPr>
        <w:t>资格审查表</w:t>
      </w:r>
    </w:p>
    <w:p w14:paraId="51B7510D">
      <w:pPr>
        <w:spacing w:line="360" w:lineRule="auto"/>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工程名称：</w:t>
      </w:r>
    </w:p>
    <w:tbl>
      <w:tblPr>
        <w:tblStyle w:val="34"/>
        <w:tblW w:w="0" w:type="auto"/>
        <w:tblInd w:w="-72" w:type="dxa"/>
        <w:tblLayout w:type="fixed"/>
        <w:tblCellMar>
          <w:top w:w="0" w:type="dxa"/>
          <w:left w:w="108" w:type="dxa"/>
          <w:bottom w:w="0" w:type="dxa"/>
          <w:right w:w="108" w:type="dxa"/>
        </w:tblCellMar>
      </w:tblPr>
      <w:tblGrid>
        <w:gridCol w:w="540"/>
        <w:gridCol w:w="8604"/>
        <w:gridCol w:w="740"/>
        <w:gridCol w:w="1070"/>
        <w:gridCol w:w="1440"/>
        <w:gridCol w:w="1440"/>
      </w:tblGrid>
      <w:tr w14:paraId="0515CC5D">
        <w:tblPrEx>
          <w:tblCellMar>
            <w:top w:w="0" w:type="dxa"/>
            <w:left w:w="108" w:type="dxa"/>
            <w:bottom w:w="0" w:type="dxa"/>
            <w:right w:w="108" w:type="dxa"/>
          </w:tblCellMar>
        </w:tblPrEx>
        <w:trPr>
          <w:trHeight w:val="679"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3DDA6E40">
            <w:pPr>
              <w:jc w:val="center"/>
              <w:rPr>
                <w:rFonts w:ascii="宋体" w:hAnsi="宋体" w:eastAsia="宋体"/>
                <w:b/>
                <w:color w:val="auto"/>
                <w:szCs w:val="21"/>
                <w:highlight w:val="none"/>
              </w:rPr>
            </w:pPr>
            <w:r>
              <w:rPr>
                <w:rFonts w:hint="eastAsia" w:ascii="宋体" w:hAnsi="宋体" w:eastAsia="宋体"/>
                <w:b/>
                <w:color w:val="auto"/>
                <w:szCs w:val="21"/>
                <w:highlight w:val="none"/>
              </w:rPr>
              <w:t>序号</w:t>
            </w:r>
          </w:p>
        </w:tc>
        <w:tc>
          <w:tcPr>
            <w:tcW w:w="8604"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13C04A6B">
            <w:pPr>
              <w:rPr>
                <w:rFonts w:hint="eastAsia" w:ascii="宋体" w:hAnsi="宋体" w:eastAsia="宋体"/>
                <w:b/>
                <w:color w:val="auto"/>
                <w:szCs w:val="21"/>
                <w:highlight w:val="none"/>
              </w:rPr>
            </w:pPr>
            <w:r>
              <w:rPr>
                <w:rFonts w:hint="eastAsia" w:ascii="宋体" w:hAnsi="宋体" w:eastAsia="宋体"/>
                <w:b/>
                <w:color w:val="auto"/>
                <w:szCs w:val="21"/>
                <w:highlight w:val="none"/>
              </w:rPr>
              <w:t xml:space="preserve">                                            投标人</w:t>
            </w:r>
          </w:p>
          <w:p w14:paraId="70E327EE">
            <w:pPr>
              <w:ind w:firstLine="211" w:firstLineChars="100"/>
              <w:rPr>
                <w:rFonts w:ascii="宋体" w:hAnsi="宋体" w:eastAsia="宋体"/>
                <w:b/>
                <w:color w:val="auto"/>
                <w:szCs w:val="21"/>
                <w:highlight w:val="none"/>
              </w:rPr>
            </w:pPr>
            <w:r>
              <w:rPr>
                <w:rFonts w:hint="eastAsia" w:ascii="宋体" w:hAnsi="宋体" w:eastAsia="宋体"/>
                <w:b/>
                <w:color w:val="auto"/>
                <w:szCs w:val="21"/>
                <w:highlight w:val="none"/>
              </w:rPr>
              <w:t>评审内容</w:t>
            </w:r>
          </w:p>
        </w:tc>
        <w:tc>
          <w:tcPr>
            <w:tcW w:w="740" w:type="dxa"/>
            <w:tcBorders>
              <w:top w:val="single" w:color="auto" w:sz="4" w:space="0"/>
              <w:left w:val="single" w:color="auto" w:sz="4" w:space="0"/>
              <w:bottom w:val="single" w:color="auto" w:sz="4" w:space="0"/>
              <w:right w:val="single" w:color="auto" w:sz="4" w:space="0"/>
            </w:tcBorders>
            <w:noWrap w:val="0"/>
            <w:vAlign w:val="top"/>
          </w:tcPr>
          <w:p w14:paraId="5B611D32">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6B117D5B">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577310F">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732AC7A">
            <w:pPr>
              <w:rPr>
                <w:rFonts w:ascii="宋体" w:hAnsi="宋体" w:eastAsia="宋体"/>
                <w:color w:val="auto"/>
                <w:szCs w:val="21"/>
                <w:highlight w:val="none"/>
              </w:rPr>
            </w:pPr>
          </w:p>
        </w:tc>
      </w:tr>
      <w:tr w14:paraId="6B90A04E">
        <w:tblPrEx>
          <w:tblCellMar>
            <w:top w:w="0" w:type="dxa"/>
            <w:left w:w="108" w:type="dxa"/>
            <w:bottom w:w="0" w:type="dxa"/>
            <w:right w:w="108" w:type="dxa"/>
          </w:tblCellMar>
        </w:tblPrEx>
        <w:trPr>
          <w:trHeight w:val="57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2961F434">
            <w:pPr>
              <w:jc w:val="cente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8604" w:type="dxa"/>
            <w:tcBorders>
              <w:top w:val="single" w:color="auto" w:sz="4" w:space="0"/>
              <w:left w:val="single" w:color="auto" w:sz="4" w:space="0"/>
              <w:bottom w:val="single" w:color="auto" w:sz="4" w:space="0"/>
              <w:right w:val="single" w:color="auto" w:sz="4" w:space="0"/>
            </w:tcBorders>
            <w:noWrap w:val="0"/>
            <w:vAlign w:val="center"/>
          </w:tcPr>
          <w:p w14:paraId="0258F374">
            <w:pPr>
              <w:spacing w:line="240" w:lineRule="exact"/>
              <w:rPr>
                <w:rFonts w:hint="eastAsia" w:ascii="宋体" w:hAnsi="宋体" w:eastAsia="宋体"/>
                <w:color w:val="auto"/>
                <w:szCs w:val="21"/>
                <w:highlight w:val="none"/>
              </w:rPr>
            </w:pPr>
            <w:r>
              <w:rPr>
                <w:rFonts w:hint="eastAsia" w:ascii="宋体" w:hAnsi="宋体" w:eastAsia="宋体"/>
                <w:color w:val="auto"/>
                <w:szCs w:val="21"/>
                <w:highlight w:val="none"/>
              </w:rPr>
              <w:t>投标文件中有法定代表人证明书，如投标文件为委托代理人签署应同时附上法定代表人证明书和法定代表人授权书。</w:t>
            </w:r>
          </w:p>
        </w:tc>
        <w:tc>
          <w:tcPr>
            <w:tcW w:w="740" w:type="dxa"/>
            <w:tcBorders>
              <w:top w:val="single" w:color="auto" w:sz="4" w:space="0"/>
              <w:left w:val="single" w:color="auto" w:sz="4" w:space="0"/>
              <w:bottom w:val="single" w:color="auto" w:sz="4" w:space="0"/>
              <w:right w:val="single" w:color="auto" w:sz="4" w:space="0"/>
            </w:tcBorders>
            <w:noWrap w:val="0"/>
            <w:vAlign w:val="top"/>
          </w:tcPr>
          <w:p w14:paraId="78388FC1">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64CACDFD">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4E3CC16">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CF1AD48">
            <w:pPr>
              <w:rPr>
                <w:rFonts w:ascii="宋体" w:hAnsi="宋体" w:eastAsia="宋体"/>
                <w:color w:val="auto"/>
                <w:szCs w:val="21"/>
                <w:highlight w:val="none"/>
              </w:rPr>
            </w:pPr>
          </w:p>
        </w:tc>
      </w:tr>
      <w:tr w14:paraId="34227418">
        <w:tblPrEx>
          <w:tblCellMar>
            <w:top w:w="0" w:type="dxa"/>
            <w:left w:w="108" w:type="dxa"/>
            <w:bottom w:w="0" w:type="dxa"/>
            <w:right w:w="108" w:type="dxa"/>
          </w:tblCellMar>
        </w:tblPrEx>
        <w:trPr>
          <w:trHeight w:val="411"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6C7DC000">
            <w:pPr>
              <w:jc w:val="center"/>
              <w:rPr>
                <w:rFonts w:hint="eastAsia" w:ascii="宋体" w:hAnsi="宋体" w:eastAsia="宋体"/>
                <w:color w:val="auto"/>
                <w:szCs w:val="21"/>
                <w:highlight w:val="none"/>
              </w:rPr>
            </w:pPr>
            <w:r>
              <w:rPr>
                <w:rFonts w:hint="eastAsia" w:ascii="宋体" w:hAnsi="宋体" w:eastAsia="宋体"/>
                <w:color w:val="auto"/>
                <w:szCs w:val="21"/>
                <w:highlight w:val="none"/>
              </w:rPr>
              <w:t>2</w:t>
            </w:r>
          </w:p>
        </w:tc>
        <w:tc>
          <w:tcPr>
            <w:tcW w:w="8604" w:type="dxa"/>
            <w:tcBorders>
              <w:top w:val="single" w:color="auto" w:sz="4" w:space="0"/>
              <w:left w:val="single" w:color="auto" w:sz="4" w:space="0"/>
              <w:bottom w:val="single" w:color="auto" w:sz="4" w:space="0"/>
              <w:right w:val="single" w:color="auto" w:sz="4" w:space="0"/>
            </w:tcBorders>
            <w:noWrap w:val="0"/>
            <w:vAlign w:val="center"/>
          </w:tcPr>
          <w:p w14:paraId="6AD1FAC3">
            <w:pPr>
              <w:spacing w:line="240" w:lineRule="exact"/>
              <w:rPr>
                <w:rFonts w:ascii="宋体" w:hAnsi="宋体" w:eastAsia="宋体"/>
                <w:color w:val="auto"/>
                <w:szCs w:val="21"/>
                <w:highlight w:val="none"/>
              </w:rPr>
            </w:pPr>
            <w:r>
              <w:rPr>
                <w:rFonts w:hint="eastAsia" w:ascii="宋体" w:hAnsi="宋体" w:eastAsia="宋体"/>
                <w:color w:val="auto"/>
                <w:szCs w:val="21"/>
                <w:highlight w:val="none"/>
                <w:u w:val="none"/>
              </w:rPr>
              <w:t>投标人持有工商行政管理部门核发的营业执照满足公告要求。</w:t>
            </w:r>
          </w:p>
        </w:tc>
        <w:tc>
          <w:tcPr>
            <w:tcW w:w="740" w:type="dxa"/>
            <w:tcBorders>
              <w:top w:val="single" w:color="auto" w:sz="4" w:space="0"/>
              <w:left w:val="single" w:color="auto" w:sz="4" w:space="0"/>
              <w:bottom w:val="single" w:color="auto" w:sz="4" w:space="0"/>
              <w:right w:val="single" w:color="auto" w:sz="4" w:space="0"/>
            </w:tcBorders>
            <w:noWrap w:val="0"/>
            <w:vAlign w:val="top"/>
          </w:tcPr>
          <w:p w14:paraId="6D6CF74E">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4F5A5CC7">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95C7EBC">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4E1D3F4">
            <w:pPr>
              <w:rPr>
                <w:rFonts w:ascii="宋体" w:hAnsi="宋体" w:eastAsia="宋体"/>
                <w:color w:val="auto"/>
                <w:szCs w:val="21"/>
                <w:highlight w:val="none"/>
              </w:rPr>
            </w:pPr>
          </w:p>
        </w:tc>
      </w:tr>
      <w:tr w14:paraId="2D49E87A">
        <w:tblPrEx>
          <w:tblCellMar>
            <w:top w:w="0" w:type="dxa"/>
            <w:left w:w="108" w:type="dxa"/>
            <w:bottom w:w="0" w:type="dxa"/>
            <w:right w:w="108" w:type="dxa"/>
          </w:tblCellMar>
        </w:tblPrEx>
        <w:trPr>
          <w:trHeight w:val="45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08D55131">
            <w:pPr>
              <w:jc w:val="center"/>
              <w:rPr>
                <w:rFonts w:hint="eastAsia" w:ascii="宋体" w:hAnsi="宋体" w:eastAsia="宋体"/>
                <w:color w:val="auto"/>
                <w:szCs w:val="21"/>
                <w:highlight w:val="none"/>
              </w:rPr>
            </w:pPr>
            <w:r>
              <w:rPr>
                <w:rFonts w:hint="eastAsia" w:ascii="宋体" w:hAnsi="宋体" w:eastAsia="宋体"/>
                <w:color w:val="auto"/>
                <w:szCs w:val="21"/>
                <w:highlight w:val="none"/>
              </w:rPr>
              <w:t>3</w:t>
            </w:r>
          </w:p>
        </w:tc>
        <w:tc>
          <w:tcPr>
            <w:tcW w:w="8604" w:type="dxa"/>
            <w:tcBorders>
              <w:top w:val="single" w:color="auto" w:sz="4" w:space="0"/>
              <w:left w:val="single" w:color="auto" w:sz="4" w:space="0"/>
              <w:bottom w:val="single" w:color="auto" w:sz="4" w:space="0"/>
              <w:right w:val="single" w:color="auto" w:sz="4" w:space="0"/>
            </w:tcBorders>
            <w:noWrap w:val="0"/>
            <w:vAlign w:val="center"/>
          </w:tcPr>
          <w:p w14:paraId="72E8163F">
            <w:pPr>
              <w:spacing w:line="240" w:lineRule="exact"/>
              <w:rPr>
                <w:rFonts w:hint="eastAsia" w:ascii="宋体" w:hAnsi="宋体" w:eastAsia="宋体"/>
                <w:color w:val="auto"/>
                <w:szCs w:val="21"/>
                <w:highlight w:val="none"/>
              </w:rPr>
            </w:pPr>
            <w:r>
              <w:rPr>
                <w:rFonts w:hint="eastAsia" w:ascii="宋体" w:hAnsi="宋体" w:eastAsia="宋体"/>
                <w:color w:val="auto"/>
                <w:szCs w:val="21"/>
                <w:highlight w:val="none"/>
              </w:rPr>
              <w:t>投标人拟担任本工程项目负责人的专业和资格满足公告要求。</w:t>
            </w:r>
          </w:p>
        </w:tc>
        <w:tc>
          <w:tcPr>
            <w:tcW w:w="740" w:type="dxa"/>
            <w:tcBorders>
              <w:top w:val="single" w:color="auto" w:sz="4" w:space="0"/>
              <w:left w:val="single" w:color="auto" w:sz="4" w:space="0"/>
              <w:bottom w:val="single" w:color="auto" w:sz="4" w:space="0"/>
              <w:right w:val="single" w:color="auto" w:sz="4" w:space="0"/>
            </w:tcBorders>
            <w:noWrap w:val="0"/>
            <w:vAlign w:val="top"/>
          </w:tcPr>
          <w:p w14:paraId="3E9C3996">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37138672">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F6D4836">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AB8A35B">
            <w:pPr>
              <w:rPr>
                <w:rFonts w:ascii="宋体" w:hAnsi="宋体" w:eastAsia="宋体"/>
                <w:color w:val="auto"/>
                <w:szCs w:val="21"/>
                <w:highlight w:val="none"/>
              </w:rPr>
            </w:pPr>
          </w:p>
        </w:tc>
      </w:tr>
      <w:tr w14:paraId="48B12870">
        <w:tblPrEx>
          <w:tblCellMar>
            <w:top w:w="0" w:type="dxa"/>
            <w:left w:w="108" w:type="dxa"/>
            <w:bottom w:w="0" w:type="dxa"/>
            <w:right w:w="108" w:type="dxa"/>
          </w:tblCellMar>
        </w:tblPrEx>
        <w:trPr>
          <w:trHeight w:val="501"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5692BB13">
            <w:pPr>
              <w:jc w:val="center"/>
              <w:rPr>
                <w:rFonts w:ascii="宋体" w:hAnsi="宋体" w:eastAsia="宋体"/>
                <w:strike w:val="0"/>
                <w:dstrike w:val="0"/>
                <w:color w:val="auto"/>
                <w:szCs w:val="21"/>
                <w:highlight w:val="none"/>
              </w:rPr>
            </w:pPr>
            <w:r>
              <w:rPr>
                <w:rFonts w:hint="eastAsia" w:ascii="宋体" w:hAnsi="宋体" w:eastAsia="宋体"/>
                <w:strike w:val="0"/>
                <w:dstrike w:val="0"/>
                <w:color w:val="auto"/>
                <w:szCs w:val="21"/>
                <w:highlight w:val="none"/>
              </w:rPr>
              <w:t>4</w:t>
            </w:r>
          </w:p>
        </w:tc>
        <w:tc>
          <w:tcPr>
            <w:tcW w:w="8604" w:type="dxa"/>
            <w:tcBorders>
              <w:top w:val="single" w:color="auto" w:sz="4" w:space="0"/>
              <w:left w:val="single" w:color="auto" w:sz="4" w:space="0"/>
              <w:bottom w:val="single" w:color="auto" w:sz="4" w:space="0"/>
              <w:right w:val="single" w:color="auto" w:sz="4" w:space="0"/>
            </w:tcBorders>
            <w:noWrap w:val="0"/>
            <w:vAlign w:val="center"/>
          </w:tcPr>
          <w:p w14:paraId="7AA57669">
            <w:pPr>
              <w:spacing w:line="240" w:lineRule="exact"/>
              <w:rPr>
                <w:rFonts w:ascii="宋体" w:hAnsi="宋体" w:eastAsia="宋体"/>
                <w:strike w:val="0"/>
                <w:dstrike w:val="0"/>
                <w:color w:val="auto"/>
                <w:szCs w:val="21"/>
                <w:highlight w:val="none"/>
              </w:rPr>
            </w:pPr>
            <w:r>
              <w:rPr>
                <w:rFonts w:hint="eastAsia" w:ascii="宋体" w:hAnsi="宋体" w:eastAsia="宋体"/>
                <w:strike w:val="0"/>
                <w:dstrike w:val="0"/>
                <w:color w:val="auto"/>
                <w:szCs w:val="21"/>
                <w:highlight w:val="none"/>
              </w:rPr>
              <w:t>投标人完成过质量合格的类似工程业绩及其资料满足公告要求。</w:t>
            </w:r>
          </w:p>
        </w:tc>
        <w:tc>
          <w:tcPr>
            <w:tcW w:w="740" w:type="dxa"/>
            <w:tcBorders>
              <w:top w:val="single" w:color="auto" w:sz="4" w:space="0"/>
              <w:left w:val="single" w:color="auto" w:sz="4" w:space="0"/>
              <w:bottom w:val="single" w:color="auto" w:sz="4" w:space="0"/>
              <w:right w:val="single" w:color="auto" w:sz="4" w:space="0"/>
            </w:tcBorders>
            <w:noWrap w:val="0"/>
            <w:vAlign w:val="top"/>
          </w:tcPr>
          <w:p w14:paraId="144F6019">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08CE7FF9">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A70DFDE">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D629E57">
            <w:pPr>
              <w:rPr>
                <w:rFonts w:ascii="宋体" w:hAnsi="宋体" w:eastAsia="宋体"/>
                <w:color w:val="auto"/>
                <w:szCs w:val="21"/>
                <w:highlight w:val="none"/>
              </w:rPr>
            </w:pPr>
          </w:p>
        </w:tc>
      </w:tr>
      <w:tr w14:paraId="2188040E">
        <w:tblPrEx>
          <w:tblCellMar>
            <w:top w:w="0" w:type="dxa"/>
            <w:left w:w="108" w:type="dxa"/>
            <w:bottom w:w="0" w:type="dxa"/>
            <w:right w:w="108" w:type="dxa"/>
          </w:tblCellMar>
        </w:tblPrEx>
        <w:trPr>
          <w:trHeight w:val="57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6CBC73D3">
            <w:pPr>
              <w:jc w:val="center"/>
              <w:rPr>
                <w:rFonts w:hint="eastAsia" w:ascii="宋体" w:hAnsi="宋体" w:eastAsia="宋体"/>
                <w:color w:val="auto"/>
                <w:szCs w:val="21"/>
                <w:highlight w:val="none"/>
              </w:rPr>
            </w:pPr>
            <w:r>
              <w:rPr>
                <w:rFonts w:hint="eastAsia" w:ascii="宋体" w:hAnsi="宋体" w:eastAsia="宋体"/>
                <w:color w:val="auto"/>
                <w:szCs w:val="21"/>
                <w:highlight w:val="none"/>
              </w:rPr>
              <w:t>5</w:t>
            </w:r>
          </w:p>
        </w:tc>
        <w:tc>
          <w:tcPr>
            <w:tcW w:w="8604" w:type="dxa"/>
            <w:tcBorders>
              <w:top w:val="single" w:color="auto" w:sz="4" w:space="0"/>
              <w:left w:val="single" w:color="auto" w:sz="4" w:space="0"/>
              <w:bottom w:val="single" w:color="auto" w:sz="4" w:space="0"/>
              <w:right w:val="single" w:color="auto" w:sz="4" w:space="0"/>
            </w:tcBorders>
            <w:noWrap w:val="0"/>
            <w:vAlign w:val="center"/>
          </w:tcPr>
          <w:p w14:paraId="08CF9176">
            <w:pPr>
              <w:rPr>
                <w:rFonts w:hint="eastAsia" w:ascii="宋体" w:hAnsi="宋体" w:eastAsia="宋体"/>
                <w:color w:val="auto"/>
                <w:szCs w:val="21"/>
                <w:highlight w:val="none"/>
              </w:rPr>
            </w:pPr>
            <w:r>
              <w:rPr>
                <w:rFonts w:hint="eastAsia" w:ascii="宋体" w:hAnsi="宋体" w:eastAsia="宋体"/>
                <w:color w:val="auto"/>
                <w:szCs w:val="21"/>
                <w:highlight w:val="none"/>
              </w:rPr>
              <w:t>专职安全员须具有</w:t>
            </w:r>
            <w:r>
              <w:rPr>
                <w:rFonts w:hint="eastAsia" w:ascii="宋体" w:hAnsi="宋体" w:eastAsia="宋体"/>
                <w:color w:val="auto"/>
                <w:szCs w:val="21"/>
                <w:highlight w:val="none"/>
                <w:u w:val="single"/>
              </w:rPr>
              <w:t>在有效期内的</w:t>
            </w:r>
            <w:r>
              <w:rPr>
                <w:rFonts w:hint="eastAsia" w:ascii="宋体" w:hAnsi="宋体" w:eastAsia="宋体"/>
                <w:color w:val="auto"/>
                <w:szCs w:val="21"/>
                <w:highlight w:val="none"/>
              </w:rPr>
              <w:t>安全生产考核合格证（C类）或建筑施工企业专职安全生产管理人员安全生产考核合格证书（C3）。</w:t>
            </w:r>
          </w:p>
        </w:tc>
        <w:tc>
          <w:tcPr>
            <w:tcW w:w="740" w:type="dxa"/>
            <w:tcBorders>
              <w:top w:val="single" w:color="auto" w:sz="4" w:space="0"/>
              <w:left w:val="single" w:color="auto" w:sz="4" w:space="0"/>
              <w:bottom w:val="single" w:color="auto" w:sz="4" w:space="0"/>
              <w:right w:val="single" w:color="auto" w:sz="4" w:space="0"/>
            </w:tcBorders>
            <w:noWrap w:val="0"/>
            <w:vAlign w:val="top"/>
          </w:tcPr>
          <w:p w14:paraId="5A70B4D6">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277337E1">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71CBC10">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D05B531">
            <w:pPr>
              <w:rPr>
                <w:rFonts w:ascii="宋体" w:hAnsi="宋体" w:eastAsia="宋体"/>
                <w:color w:val="auto"/>
                <w:szCs w:val="21"/>
                <w:highlight w:val="none"/>
              </w:rPr>
            </w:pPr>
          </w:p>
        </w:tc>
      </w:tr>
      <w:tr w14:paraId="3782E5EA">
        <w:tblPrEx>
          <w:tblCellMar>
            <w:top w:w="0" w:type="dxa"/>
            <w:left w:w="108" w:type="dxa"/>
            <w:bottom w:w="0" w:type="dxa"/>
            <w:right w:w="108" w:type="dxa"/>
          </w:tblCellMar>
        </w:tblPrEx>
        <w:trPr>
          <w:trHeight w:val="50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10D7A10C">
            <w:pPr>
              <w:jc w:val="center"/>
              <w:rPr>
                <w:rFonts w:ascii="宋体" w:hAnsi="宋体" w:eastAsia="宋体"/>
                <w:color w:val="auto"/>
                <w:szCs w:val="21"/>
                <w:highlight w:val="none"/>
              </w:rPr>
            </w:pPr>
            <w:r>
              <w:rPr>
                <w:rFonts w:hint="eastAsia" w:ascii="宋体" w:hAnsi="宋体" w:eastAsia="宋体"/>
                <w:color w:val="auto"/>
                <w:szCs w:val="21"/>
                <w:highlight w:val="none"/>
              </w:rPr>
              <w:t>6</w:t>
            </w:r>
          </w:p>
        </w:tc>
        <w:tc>
          <w:tcPr>
            <w:tcW w:w="8604" w:type="dxa"/>
            <w:tcBorders>
              <w:top w:val="single" w:color="auto" w:sz="4" w:space="0"/>
              <w:left w:val="single" w:color="auto" w:sz="4" w:space="0"/>
              <w:bottom w:val="single" w:color="auto" w:sz="4" w:space="0"/>
              <w:right w:val="single" w:color="auto" w:sz="4" w:space="0"/>
            </w:tcBorders>
            <w:noWrap w:val="0"/>
            <w:vAlign w:val="center"/>
          </w:tcPr>
          <w:p w14:paraId="13232EB9">
            <w:pPr>
              <w:rPr>
                <w:rFonts w:hint="eastAsia" w:ascii="宋体" w:hAnsi="宋体" w:eastAsia="宋体"/>
                <w:color w:val="auto"/>
                <w:szCs w:val="21"/>
                <w:highlight w:val="none"/>
              </w:rPr>
            </w:pPr>
            <w:r>
              <w:rPr>
                <w:rFonts w:hint="eastAsia" w:ascii="宋体" w:hAnsi="宋体" w:eastAsia="宋体"/>
                <w:color w:val="auto"/>
                <w:szCs w:val="21"/>
                <w:highlight w:val="none"/>
              </w:rPr>
              <w:t>投标人按规定的格式及内容要求签署《投标人声明》。</w:t>
            </w:r>
          </w:p>
        </w:tc>
        <w:tc>
          <w:tcPr>
            <w:tcW w:w="740" w:type="dxa"/>
            <w:tcBorders>
              <w:top w:val="single" w:color="auto" w:sz="4" w:space="0"/>
              <w:left w:val="single" w:color="auto" w:sz="4" w:space="0"/>
              <w:bottom w:val="single" w:color="auto" w:sz="4" w:space="0"/>
              <w:right w:val="single" w:color="auto" w:sz="4" w:space="0"/>
            </w:tcBorders>
            <w:noWrap w:val="0"/>
            <w:vAlign w:val="top"/>
          </w:tcPr>
          <w:p w14:paraId="55DDA865">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54105285">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01B18B7">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BB2799F">
            <w:pPr>
              <w:rPr>
                <w:rFonts w:ascii="宋体" w:hAnsi="宋体" w:eastAsia="宋体"/>
                <w:color w:val="auto"/>
                <w:szCs w:val="21"/>
                <w:highlight w:val="none"/>
              </w:rPr>
            </w:pPr>
          </w:p>
        </w:tc>
      </w:tr>
      <w:tr w14:paraId="655F8292">
        <w:tblPrEx>
          <w:tblCellMar>
            <w:top w:w="0" w:type="dxa"/>
            <w:left w:w="108" w:type="dxa"/>
            <w:bottom w:w="0" w:type="dxa"/>
            <w:right w:w="108" w:type="dxa"/>
          </w:tblCellMar>
        </w:tblPrEx>
        <w:trPr>
          <w:trHeight w:val="57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04A88279">
            <w:pPr>
              <w:jc w:val="center"/>
              <w:rPr>
                <w:rFonts w:hint="eastAsia" w:ascii="宋体" w:hAnsi="宋体" w:eastAsia="宋体"/>
                <w:color w:val="auto"/>
                <w:szCs w:val="21"/>
                <w:highlight w:val="none"/>
              </w:rPr>
            </w:pPr>
            <w:r>
              <w:rPr>
                <w:rFonts w:hint="eastAsia" w:ascii="宋体" w:hAnsi="宋体" w:eastAsia="宋体"/>
                <w:color w:val="auto"/>
                <w:szCs w:val="21"/>
                <w:highlight w:val="none"/>
              </w:rPr>
              <w:t>7</w:t>
            </w:r>
          </w:p>
        </w:tc>
        <w:tc>
          <w:tcPr>
            <w:tcW w:w="8604" w:type="dxa"/>
            <w:tcBorders>
              <w:top w:val="single" w:color="auto" w:sz="4" w:space="0"/>
              <w:left w:val="single" w:color="auto" w:sz="4" w:space="0"/>
              <w:bottom w:val="single" w:color="auto" w:sz="4" w:space="0"/>
              <w:right w:val="single" w:color="auto" w:sz="4" w:space="0"/>
            </w:tcBorders>
            <w:noWrap w:val="0"/>
            <w:vAlign w:val="center"/>
          </w:tcPr>
          <w:p w14:paraId="5D90835F">
            <w:pPr>
              <w:rPr>
                <w:rFonts w:hint="eastAsia" w:ascii="宋体" w:hAnsi="宋体" w:eastAsia="宋体"/>
                <w:color w:val="auto"/>
                <w:szCs w:val="21"/>
                <w:highlight w:val="none"/>
              </w:rPr>
            </w:pPr>
            <w:r>
              <w:rPr>
                <w:rFonts w:hint="eastAsia" w:ascii="宋体" w:hAnsi="宋体" w:eastAsia="宋体"/>
                <w:color w:val="auto"/>
                <w:szCs w:val="21"/>
                <w:highlight w:val="none"/>
                <w:u w:val="none"/>
              </w:rPr>
              <w:t>关于联合体投标：本项目不接受联合体投标。</w:t>
            </w:r>
          </w:p>
        </w:tc>
        <w:tc>
          <w:tcPr>
            <w:tcW w:w="740" w:type="dxa"/>
            <w:tcBorders>
              <w:top w:val="single" w:color="auto" w:sz="4" w:space="0"/>
              <w:left w:val="single" w:color="auto" w:sz="4" w:space="0"/>
              <w:bottom w:val="single" w:color="auto" w:sz="4" w:space="0"/>
              <w:right w:val="single" w:color="auto" w:sz="4" w:space="0"/>
            </w:tcBorders>
            <w:noWrap w:val="0"/>
            <w:vAlign w:val="top"/>
          </w:tcPr>
          <w:p w14:paraId="09DB6047">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52D7EF01">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B978EDF">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39A2628">
            <w:pPr>
              <w:rPr>
                <w:rFonts w:ascii="宋体" w:hAnsi="宋体" w:eastAsia="宋体"/>
                <w:color w:val="auto"/>
                <w:szCs w:val="21"/>
                <w:highlight w:val="none"/>
              </w:rPr>
            </w:pPr>
          </w:p>
        </w:tc>
      </w:tr>
      <w:tr w14:paraId="57CC9422">
        <w:tblPrEx>
          <w:tblCellMar>
            <w:top w:w="0" w:type="dxa"/>
            <w:left w:w="108" w:type="dxa"/>
            <w:bottom w:w="0" w:type="dxa"/>
            <w:right w:w="108" w:type="dxa"/>
          </w:tblCellMar>
        </w:tblPrEx>
        <w:trPr>
          <w:trHeight w:val="762"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3CCC401A">
            <w:pPr>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8</w:t>
            </w:r>
          </w:p>
        </w:tc>
        <w:tc>
          <w:tcPr>
            <w:tcW w:w="8604" w:type="dxa"/>
            <w:tcBorders>
              <w:top w:val="single" w:color="auto" w:sz="4" w:space="0"/>
              <w:left w:val="single" w:color="auto" w:sz="4" w:space="0"/>
              <w:bottom w:val="single" w:color="auto" w:sz="4" w:space="0"/>
              <w:right w:val="single" w:color="auto" w:sz="4" w:space="0"/>
            </w:tcBorders>
            <w:noWrap w:val="0"/>
            <w:vAlign w:val="center"/>
          </w:tcPr>
          <w:p w14:paraId="6A7D09BC">
            <w:pPr>
              <w:rPr>
                <w:rFonts w:hint="eastAsia" w:ascii="宋体" w:hAnsi="宋体" w:eastAsia="宋体"/>
                <w:color w:val="auto"/>
                <w:szCs w:val="21"/>
                <w:highlight w:val="none"/>
              </w:rPr>
            </w:pPr>
            <w:r>
              <w:rPr>
                <w:rFonts w:hint="eastAsia" w:ascii="宋体" w:hAnsi="宋体" w:eastAsia="宋体"/>
                <w:color w:val="auto"/>
                <w:szCs w:val="21"/>
                <w:highlight w:val="none"/>
              </w:rPr>
              <w:t>不存在《全国失信惩戒措施基础清单》惩戒内容为“在一定期限内依法取消参加依法必须进行招标的项目的投标资格”的情形</w:t>
            </w:r>
            <w:r>
              <w:rPr>
                <w:rFonts w:hint="eastAsia" w:ascii="宋体" w:hAnsi="宋体" w:eastAsia="宋体"/>
                <w:color w:val="auto"/>
                <w:szCs w:val="21"/>
                <w:highlight w:val="none"/>
                <w:u w:val="single"/>
              </w:rPr>
              <w:t>（以《投标人声明》进行评审）</w:t>
            </w:r>
            <w:r>
              <w:rPr>
                <w:rFonts w:hint="eastAsia" w:ascii="宋体" w:hAnsi="宋体" w:eastAsia="宋体"/>
                <w:color w:val="auto"/>
                <w:szCs w:val="21"/>
                <w:highlight w:val="none"/>
              </w:rPr>
              <w:t>。</w:t>
            </w:r>
          </w:p>
        </w:tc>
        <w:tc>
          <w:tcPr>
            <w:tcW w:w="740" w:type="dxa"/>
            <w:tcBorders>
              <w:top w:val="single" w:color="auto" w:sz="4" w:space="0"/>
              <w:left w:val="single" w:color="auto" w:sz="4" w:space="0"/>
              <w:bottom w:val="single" w:color="auto" w:sz="4" w:space="0"/>
              <w:right w:val="single" w:color="auto" w:sz="4" w:space="0"/>
            </w:tcBorders>
            <w:noWrap w:val="0"/>
            <w:vAlign w:val="top"/>
          </w:tcPr>
          <w:p w14:paraId="71F26E74">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33CB345F">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DD8AFCE">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0CD6288">
            <w:pPr>
              <w:rPr>
                <w:rFonts w:ascii="宋体" w:hAnsi="宋体" w:eastAsia="宋体"/>
                <w:color w:val="auto"/>
                <w:szCs w:val="21"/>
                <w:highlight w:val="none"/>
              </w:rPr>
            </w:pPr>
          </w:p>
        </w:tc>
      </w:tr>
      <w:tr w14:paraId="5A73BD2C">
        <w:tblPrEx>
          <w:tblCellMar>
            <w:top w:w="0" w:type="dxa"/>
            <w:left w:w="108" w:type="dxa"/>
            <w:bottom w:w="0" w:type="dxa"/>
            <w:right w:w="108" w:type="dxa"/>
          </w:tblCellMar>
        </w:tblPrEx>
        <w:trPr>
          <w:trHeight w:val="762"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651AFB56">
            <w:pPr>
              <w:jc w:val="center"/>
              <w:rPr>
                <w:rFonts w:hint="default" w:ascii="宋体" w:hAnsi="宋体" w:eastAsia="宋体"/>
                <w:strike/>
                <w:dstrike w:val="0"/>
                <w:color w:val="auto"/>
                <w:szCs w:val="21"/>
                <w:highlight w:val="none"/>
                <w:lang w:val="en-US" w:eastAsia="zh-CN"/>
              </w:rPr>
            </w:pPr>
            <w:r>
              <w:rPr>
                <w:rFonts w:hint="eastAsia" w:ascii="宋体" w:hAnsi="宋体" w:eastAsia="宋体"/>
                <w:strike/>
                <w:dstrike w:val="0"/>
                <w:color w:val="auto"/>
                <w:szCs w:val="21"/>
                <w:highlight w:val="none"/>
                <w:lang w:val="en-US" w:eastAsia="zh-CN"/>
              </w:rPr>
              <w:t>9</w:t>
            </w:r>
          </w:p>
        </w:tc>
        <w:tc>
          <w:tcPr>
            <w:tcW w:w="8604" w:type="dxa"/>
            <w:tcBorders>
              <w:top w:val="single" w:color="auto" w:sz="4" w:space="0"/>
              <w:left w:val="single" w:color="auto" w:sz="4" w:space="0"/>
              <w:bottom w:val="single" w:color="auto" w:sz="4" w:space="0"/>
              <w:right w:val="single" w:color="auto" w:sz="4" w:space="0"/>
            </w:tcBorders>
            <w:noWrap w:val="0"/>
            <w:vAlign w:val="center"/>
          </w:tcPr>
          <w:p w14:paraId="68BCAD8D">
            <w:pPr>
              <w:rPr>
                <w:rFonts w:hint="eastAsia" w:ascii="宋体" w:hAnsi="宋体" w:eastAsia="宋体"/>
                <w:strike/>
                <w:dstrike w:val="0"/>
                <w:color w:val="auto"/>
                <w:szCs w:val="21"/>
                <w:highlight w:val="none"/>
              </w:rPr>
            </w:pPr>
            <w:r>
              <w:rPr>
                <w:rFonts w:hint="eastAsia" w:ascii="宋体" w:hAnsi="宋体" w:eastAsia="宋体"/>
                <w:strike/>
                <w:dstrike w:val="0"/>
                <w:color w:val="auto"/>
                <w:szCs w:val="21"/>
                <w:highlight w:val="none"/>
              </w:rPr>
              <w:t>未在以往工程中因不诚信行为或不充分履约行为被本项目招标人书面拒绝投标的。（如有，提供具体名单；如无，则删除。）</w:t>
            </w:r>
          </w:p>
        </w:tc>
        <w:tc>
          <w:tcPr>
            <w:tcW w:w="740" w:type="dxa"/>
            <w:tcBorders>
              <w:top w:val="single" w:color="auto" w:sz="4" w:space="0"/>
              <w:left w:val="single" w:color="auto" w:sz="4" w:space="0"/>
              <w:bottom w:val="single" w:color="auto" w:sz="4" w:space="0"/>
              <w:right w:val="single" w:color="auto" w:sz="4" w:space="0"/>
            </w:tcBorders>
            <w:noWrap w:val="0"/>
            <w:vAlign w:val="top"/>
          </w:tcPr>
          <w:p w14:paraId="0840398D">
            <w:pPr>
              <w:rPr>
                <w:rFonts w:ascii="宋体" w:hAnsi="宋体" w:eastAsia="宋体"/>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7382661A">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2BBDF71">
            <w:pPr>
              <w:rPr>
                <w:rFonts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B760319">
            <w:pPr>
              <w:rPr>
                <w:rFonts w:ascii="宋体" w:hAnsi="宋体" w:eastAsia="宋体"/>
                <w:color w:val="auto"/>
                <w:szCs w:val="21"/>
                <w:highlight w:val="none"/>
              </w:rPr>
            </w:pPr>
          </w:p>
        </w:tc>
      </w:tr>
    </w:tbl>
    <w:p w14:paraId="2FCE7A8A">
      <w:pPr>
        <w:ind w:left="630" w:hanging="630" w:hangingChars="300"/>
        <w:rPr>
          <w:rFonts w:ascii="宋体" w:hAnsi="宋体" w:eastAsia="宋体"/>
          <w:color w:val="auto"/>
          <w:szCs w:val="21"/>
          <w:highlight w:val="none"/>
        </w:rPr>
      </w:pPr>
      <w:r>
        <w:rPr>
          <w:rFonts w:hint="eastAsia" w:ascii="宋体" w:hAnsi="宋体" w:eastAsia="宋体"/>
          <w:color w:val="auto"/>
          <w:szCs w:val="21"/>
          <w:highlight w:val="none"/>
        </w:rPr>
        <w:t>注：1.本表评审内容的信息取自</w:t>
      </w:r>
      <w:r>
        <w:rPr>
          <w:rFonts w:hint="eastAsia" w:ascii="宋体" w:hAnsi="宋体" w:eastAsia="宋体"/>
          <w:color w:val="auto"/>
          <w:szCs w:val="21"/>
          <w:highlight w:val="none"/>
          <w:lang w:eastAsia="zh-CN"/>
        </w:rPr>
        <w:t>投标人</w:t>
      </w:r>
      <w:r>
        <w:rPr>
          <w:rFonts w:hint="eastAsia" w:ascii="宋体" w:hAnsi="宋体" w:eastAsia="宋体"/>
          <w:color w:val="auto"/>
          <w:szCs w:val="21"/>
          <w:highlight w:val="none"/>
        </w:rPr>
        <w:t>在广州公共资源交易</w:t>
      </w:r>
      <w:r>
        <w:rPr>
          <w:rFonts w:hint="eastAsia" w:ascii="宋体" w:hAnsi="宋体" w:eastAsia="宋体"/>
          <w:color w:val="auto"/>
          <w:szCs w:val="21"/>
          <w:highlight w:val="none"/>
          <w:lang w:eastAsia="zh-CN"/>
        </w:rPr>
        <w:t>平台</w:t>
      </w:r>
      <w:r>
        <w:rPr>
          <w:rFonts w:hint="eastAsia" w:ascii="宋体" w:hAnsi="宋体" w:eastAsia="宋体"/>
          <w:color w:val="auto"/>
          <w:szCs w:val="21"/>
          <w:highlight w:val="none"/>
        </w:rPr>
        <w:t>企业库、园林绿化企业工程业绩库登记的信息，</w:t>
      </w:r>
      <w:r>
        <w:rPr>
          <w:rFonts w:hint="eastAsia" w:ascii="宋体" w:hAnsi="宋体" w:eastAsia="宋体"/>
          <w:color w:val="auto"/>
          <w:szCs w:val="21"/>
          <w:highlight w:val="none"/>
          <w:lang w:eastAsia="zh-CN"/>
        </w:rPr>
        <w:t>投标人</w:t>
      </w:r>
      <w:r>
        <w:rPr>
          <w:rFonts w:hint="eastAsia" w:ascii="宋体" w:hAnsi="宋体" w:eastAsia="宋体"/>
          <w:color w:val="auto"/>
          <w:szCs w:val="21"/>
          <w:highlight w:val="none"/>
        </w:rPr>
        <w:t>在广州公共资源交易</w:t>
      </w:r>
      <w:r>
        <w:rPr>
          <w:rFonts w:hint="eastAsia" w:ascii="宋体" w:hAnsi="宋体" w:eastAsia="宋体"/>
          <w:color w:val="auto"/>
          <w:szCs w:val="21"/>
          <w:highlight w:val="none"/>
          <w:lang w:eastAsia="zh-CN"/>
        </w:rPr>
        <w:t>平台</w:t>
      </w:r>
      <w:r>
        <w:rPr>
          <w:rFonts w:hint="eastAsia" w:ascii="宋体" w:hAnsi="宋体" w:eastAsia="宋体"/>
          <w:color w:val="auto"/>
          <w:szCs w:val="21"/>
          <w:highlight w:val="none"/>
        </w:rPr>
        <w:t>企业库、园林绿化企业工程业绩库登记的信息将视为其递交资格审查文件的一部分。评标委员会对该部分内容的审查，以</w:t>
      </w:r>
      <w:r>
        <w:rPr>
          <w:rFonts w:hint="eastAsia" w:ascii="宋体" w:hAnsi="宋体" w:eastAsia="宋体"/>
          <w:color w:val="auto"/>
          <w:szCs w:val="21"/>
          <w:highlight w:val="none"/>
          <w:u w:val="single"/>
        </w:rPr>
        <w:t>递交投标文件截止</w:t>
      </w:r>
      <w:r>
        <w:rPr>
          <w:rFonts w:hint="eastAsia" w:ascii="宋体" w:hAnsi="宋体" w:eastAsia="宋体"/>
          <w:color w:val="auto"/>
          <w:szCs w:val="21"/>
          <w:highlight w:val="none"/>
        </w:rPr>
        <w:t>时在广州公共资源交易</w:t>
      </w:r>
      <w:r>
        <w:rPr>
          <w:rFonts w:hint="eastAsia" w:ascii="宋体" w:hAnsi="宋体" w:eastAsia="宋体"/>
          <w:color w:val="auto"/>
          <w:szCs w:val="21"/>
          <w:highlight w:val="none"/>
          <w:lang w:eastAsia="zh-CN"/>
        </w:rPr>
        <w:t>平台</w:t>
      </w:r>
      <w:r>
        <w:rPr>
          <w:rFonts w:hint="eastAsia" w:ascii="宋体" w:hAnsi="宋体" w:eastAsia="宋体"/>
          <w:color w:val="auto"/>
          <w:szCs w:val="21"/>
          <w:highlight w:val="none"/>
        </w:rPr>
        <w:t>企业库记录的信息为依据。</w:t>
      </w:r>
    </w:p>
    <w:p w14:paraId="549AFE5F">
      <w:pPr>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2.使用GZYLZB202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-1招标文件范本，与范本内容不同之处均以下划线标明。</w:t>
      </w:r>
    </w:p>
    <w:p w14:paraId="05FDFCE9">
      <w:pPr>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3.凡不满足《资格审查表》中任何一项情形，结论均为无效，否则视为有效。</w:t>
      </w:r>
    </w:p>
    <w:p w14:paraId="1B30F6E9">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4.如对本表中某种情形的评审意见不一致时，以评标委员会过半数成员的意见作为评标委员会对该情形的认定结论。</w:t>
      </w:r>
    </w:p>
    <w:p w14:paraId="0AD5940A">
      <w:pPr>
        <w:pStyle w:val="32"/>
        <w:tabs>
          <w:tab w:val="left" w:pos="7380"/>
        </w:tabs>
        <w:spacing w:after="0" w:line="360" w:lineRule="auto"/>
        <w:ind w:firstLine="0"/>
        <w:rPr>
          <w:rFonts w:hint="eastAsia" w:ascii="宋体" w:hAnsi="宋体" w:eastAsia="宋体"/>
          <w:b/>
          <w:color w:val="auto"/>
          <w:szCs w:val="21"/>
          <w:highlight w:val="none"/>
        </w:rPr>
      </w:pPr>
      <w:r>
        <w:rPr>
          <w:rFonts w:hint="eastAsia" w:ascii="宋体" w:hAnsi="宋体" w:eastAsia="宋体"/>
          <w:b/>
          <w:color w:val="auto"/>
          <w:szCs w:val="21"/>
          <w:highlight w:val="none"/>
        </w:rPr>
        <w:t xml:space="preserve">评委签名：  </w:t>
      </w:r>
      <w:r>
        <w:rPr>
          <w:rFonts w:hint="eastAsia" w:ascii="宋体" w:hAnsi="宋体" w:eastAsia="宋体"/>
          <w:color w:val="auto"/>
          <w:szCs w:val="21"/>
          <w:highlight w:val="none"/>
        </w:rPr>
        <w:t xml:space="preserve">                                                                                         </w:t>
      </w:r>
      <w:r>
        <w:rPr>
          <w:rFonts w:hint="eastAsia" w:ascii="宋体" w:hAnsi="宋体" w:eastAsia="宋体"/>
          <w:b/>
          <w:color w:val="auto"/>
          <w:szCs w:val="21"/>
          <w:highlight w:val="none"/>
        </w:rPr>
        <w:t>日期：</w:t>
      </w:r>
    </w:p>
    <w:p w14:paraId="21D1CF6D">
      <w:pPr>
        <w:spacing w:line="360" w:lineRule="auto"/>
        <w:outlineLvl w:val="2"/>
        <w:rPr>
          <w:rFonts w:hint="eastAsia" w:ascii="宋体" w:hAnsi="宋体" w:eastAsia="宋体"/>
          <w:bCs/>
          <w:color w:val="auto"/>
          <w:sz w:val="24"/>
          <w:szCs w:val="24"/>
          <w:highlight w:val="none"/>
        </w:rPr>
      </w:pPr>
      <w:bookmarkStart w:id="98" w:name="_Toc20013"/>
      <w:bookmarkStart w:id="99" w:name="_Toc22622"/>
      <w:bookmarkStart w:id="100" w:name="_Toc30697"/>
    </w:p>
    <w:p w14:paraId="517A2E76">
      <w:pPr>
        <w:spacing w:line="360" w:lineRule="auto"/>
        <w:outlineLvl w:val="2"/>
        <w:rPr>
          <w:rFonts w:ascii="宋体" w:hAnsi="宋体" w:eastAsia="宋体"/>
          <w:bCs/>
          <w:color w:val="auto"/>
          <w:sz w:val="24"/>
          <w:szCs w:val="24"/>
          <w:highlight w:val="none"/>
        </w:rPr>
      </w:pPr>
      <w:bookmarkStart w:id="101" w:name="_Toc14659"/>
      <w:r>
        <w:rPr>
          <w:rFonts w:hint="eastAsia" w:ascii="宋体" w:hAnsi="宋体" w:eastAsia="宋体"/>
          <w:bCs/>
          <w:color w:val="auto"/>
          <w:sz w:val="24"/>
          <w:szCs w:val="24"/>
          <w:highlight w:val="none"/>
        </w:rPr>
        <w:t>附件3</w:t>
      </w:r>
      <w:bookmarkEnd w:id="98"/>
      <w:bookmarkEnd w:id="99"/>
      <w:bookmarkEnd w:id="100"/>
      <w:bookmarkEnd w:id="101"/>
    </w:p>
    <w:p w14:paraId="279AE35E">
      <w:pPr>
        <w:spacing w:line="360" w:lineRule="auto"/>
        <w:jc w:val="center"/>
        <w:rPr>
          <w:rFonts w:hint="eastAsia" w:ascii="宋体" w:hAnsi="宋体" w:eastAsia="宋体"/>
          <w:b/>
          <w:color w:val="auto"/>
          <w:sz w:val="24"/>
          <w:highlight w:val="none"/>
        </w:rPr>
      </w:pPr>
      <w:r>
        <w:rPr>
          <w:rFonts w:hint="eastAsia" w:ascii="宋体" w:hAnsi="宋体" w:eastAsia="宋体" w:cs="宋体"/>
          <w:b/>
          <w:bCs/>
          <w:color w:val="auto"/>
          <w:kern w:val="0"/>
          <w:sz w:val="32"/>
          <w:szCs w:val="32"/>
          <w:highlight w:val="none"/>
        </w:rPr>
        <w:t>算术复核表</w:t>
      </w:r>
    </w:p>
    <w:p w14:paraId="562C3229">
      <w:pPr>
        <w:widowControl/>
        <w:jc w:val="left"/>
        <w:rPr>
          <w:rFonts w:hint="eastAsia" w:ascii="宋体" w:hAnsi="宋体" w:eastAsia="宋体" w:cs="宋体"/>
          <w:b/>
          <w:bCs/>
          <w:color w:val="auto"/>
          <w:kern w:val="0"/>
          <w:sz w:val="24"/>
          <w:szCs w:val="24"/>
          <w:highlight w:val="none"/>
        </w:rPr>
      </w:pPr>
    </w:p>
    <w:p w14:paraId="74DE1C58">
      <w:pPr>
        <w:widowControl/>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工程名称：                                           投标人:                                               单位：元</w:t>
      </w:r>
    </w:p>
    <w:tbl>
      <w:tblPr>
        <w:tblStyle w:val="34"/>
        <w:tblW w:w="0" w:type="auto"/>
        <w:tblInd w:w="93" w:type="dxa"/>
        <w:tblLayout w:type="fixed"/>
        <w:tblCellMar>
          <w:top w:w="0" w:type="dxa"/>
          <w:left w:w="108" w:type="dxa"/>
          <w:bottom w:w="0" w:type="dxa"/>
          <w:right w:w="108" w:type="dxa"/>
        </w:tblCellMar>
      </w:tblPr>
      <w:tblGrid>
        <w:gridCol w:w="645"/>
        <w:gridCol w:w="4488"/>
        <w:gridCol w:w="1602"/>
        <w:gridCol w:w="1575"/>
        <w:gridCol w:w="1575"/>
        <w:gridCol w:w="1680"/>
        <w:gridCol w:w="3045"/>
      </w:tblGrid>
      <w:tr w14:paraId="6A2F5D60">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418ED966">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编号</w:t>
            </w:r>
          </w:p>
        </w:tc>
        <w:tc>
          <w:tcPr>
            <w:tcW w:w="4488" w:type="dxa"/>
            <w:tcBorders>
              <w:top w:val="single" w:color="auto" w:sz="4" w:space="0"/>
              <w:left w:val="nil"/>
              <w:bottom w:val="single" w:color="auto" w:sz="4" w:space="0"/>
              <w:right w:val="single" w:color="auto" w:sz="4" w:space="0"/>
            </w:tcBorders>
            <w:noWrap w:val="0"/>
            <w:vAlign w:val="center"/>
          </w:tcPr>
          <w:p w14:paraId="7F6A6FE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算术复核项目</w:t>
            </w:r>
          </w:p>
        </w:tc>
        <w:tc>
          <w:tcPr>
            <w:tcW w:w="1602" w:type="dxa"/>
            <w:tcBorders>
              <w:top w:val="single" w:color="auto" w:sz="4" w:space="0"/>
              <w:left w:val="nil"/>
              <w:bottom w:val="single" w:color="auto" w:sz="4" w:space="0"/>
              <w:right w:val="single" w:color="auto" w:sz="4" w:space="0"/>
            </w:tcBorders>
            <w:noWrap w:val="0"/>
            <w:vAlign w:val="center"/>
          </w:tcPr>
          <w:p w14:paraId="0B042D6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修正前投标</w:t>
            </w:r>
          </w:p>
          <w:p w14:paraId="7DA1E43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报价A</w:t>
            </w:r>
          </w:p>
        </w:tc>
        <w:tc>
          <w:tcPr>
            <w:tcW w:w="1575" w:type="dxa"/>
            <w:tcBorders>
              <w:top w:val="single" w:color="auto" w:sz="4" w:space="0"/>
              <w:left w:val="nil"/>
              <w:bottom w:val="single" w:color="auto" w:sz="4" w:space="0"/>
              <w:right w:val="single" w:color="auto" w:sz="4" w:space="0"/>
            </w:tcBorders>
            <w:noWrap w:val="0"/>
            <w:vAlign w:val="center"/>
          </w:tcPr>
          <w:p w14:paraId="30F5830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修正后投标</w:t>
            </w:r>
          </w:p>
          <w:p w14:paraId="224DEB03">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报价B</w:t>
            </w:r>
          </w:p>
        </w:tc>
        <w:tc>
          <w:tcPr>
            <w:tcW w:w="1575" w:type="dxa"/>
            <w:tcBorders>
              <w:top w:val="single" w:color="auto" w:sz="4" w:space="0"/>
              <w:left w:val="nil"/>
              <w:bottom w:val="single" w:color="auto" w:sz="4" w:space="0"/>
              <w:right w:val="single" w:color="auto" w:sz="4" w:space="0"/>
            </w:tcBorders>
            <w:noWrap w:val="0"/>
            <w:vAlign w:val="center"/>
          </w:tcPr>
          <w:p w14:paraId="0E4B8D4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修正率</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r=|A-B|/A*100%</w:t>
            </w:r>
          </w:p>
        </w:tc>
        <w:tc>
          <w:tcPr>
            <w:tcW w:w="1680" w:type="dxa"/>
            <w:tcBorders>
              <w:top w:val="single" w:color="auto" w:sz="4" w:space="0"/>
              <w:left w:val="nil"/>
              <w:bottom w:val="single" w:color="auto" w:sz="4" w:space="0"/>
              <w:right w:val="single" w:color="auto" w:sz="4" w:space="0"/>
            </w:tcBorders>
            <w:noWrap w:val="0"/>
            <w:vAlign w:val="center"/>
          </w:tcPr>
          <w:p w14:paraId="14DBC86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经评审的最终投标报价</w:t>
            </w:r>
          </w:p>
        </w:tc>
        <w:tc>
          <w:tcPr>
            <w:tcW w:w="3045" w:type="dxa"/>
            <w:tcBorders>
              <w:top w:val="single" w:color="auto" w:sz="4" w:space="0"/>
              <w:left w:val="nil"/>
              <w:bottom w:val="single" w:color="auto" w:sz="4" w:space="0"/>
              <w:right w:val="single" w:color="auto" w:sz="4" w:space="0"/>
            </w:tcBorders>
            <w:noWrap w:val="0"/>
            <w:vAlign w:val="center"/>
          </w:tcPr>
          <w:p w14:paraId="6952C57E">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当B&gt;A时，修正后报价与原报价的差额；当B≤A,R=0</w:t>
            </w:r>
          </w:p>
        </w:tc>
      </w:tr>
      <w:tr w14:paraId="2607BA6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6620661A">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4488" w:type="dxa"/>
            <w:tcBorders>
              <w:top w:val="nil"/>
              <w:left w:val="nil"/>
              <w:bottom w:val="single" w:color="auto" w:sz="4" w:space="0"/>
              <w:right w:val="single" w:color="auto" w:sz="4" w:space="0"/>
            </w:tcBorders>
            <w:noWrap w:val="0"/>
            <w:vAlign w:val="center"/>
          </w:tcPr>
          <w:p w14:paraId="5B138009">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[单位工程1]</w:t>
            </w:r>
          </w:p>
        </w:tc>
        <w:tc>
          <w:tcPr>
            <w:tcW w:w="1602" w:type="dxa"/>
            <w:tcBorders>
              <w:top w:val="nil"/>
              <w:left w:val="nil"/>
              <w:bottom w:val="single" w:color="auto" w:sz="4" w:space="0"/>
              <w:right w:val="single" w:color="auto" w:sz="4" w:space="0"/>
            </w:tcBorders>
            <w:noWrap w:val="0"/>
            <w:vAlign w:val="center"/>
          </w:tcPr>
          <w:p w14:paraId="01D7046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76939BA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002187F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47088B4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2C97D3CF">
            <w:pPr>
              <w:widowControl/>
              <w:jc w:val="left"/>
              <w:rPr>
                <w:rFonts w:ascii="宋体" w:hAnsi="宋体" w:eastAsia="宋体" w:cs="宋体"/>
                <w:color w:val="auto"/>
                <w:kern w:val="0"/>
                <w:sz w:val="24"/>
                <w:szCs w:val="24"/>
                <w:highlight w:val="none"/>
              </w:rPr>
            </w:pPr>
          </w:p>
        </w:tc>
      </w:tr>
      <w:tr w14:paraId="1C977A35">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771C1CD3">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p>
        </w:tc>
        <w:tc>
          <w:tcPr>
            <w:tcW w:w="4488" w:type="dxa"/>
            <w:tcBorders>
              <w:top w:val="nil"/>
              <w:left w:val="nil"/>
              <w:bottom w:val="single" w:color="auto" w:sz="4" w:space="0"/>
              <w:right w:val="single" w:color="auto" w:sz="4" w:space="0"/>
            </w:tcBorders>
            <w:noWrap w:val="0"/>
            <w:vAlign w:val="center"/>
          </w:tcPr>
          <w:p w14:paraId="3F6C0AAD">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[单位工程2]</w:t>
            </w:r>
          </w:p>
        </w:tc>
        <w:tc>
          <w:tcPr>
            <w:tcW w:w="1602" w:type="dxa"/>
            <w:tcBorders>
              <w:top w:val="nil"/>
              <w:left w:val="nil"/>
              <w:bottom w:val="single" w:color="auto" w:sz="4" w:space="0"/>
              <w:right w:val="single" w:color="auto" w:sz="4" w:space="0"/>
            </w:tcBorders>
            <w:noWrap w:val="0"/>
            <w:vAlign w:val="center"/>
          </w:tcPr>
          <w:p w14:paraId="5FFCBC98">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497C622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2BC732A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64B5190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5207355B">
            <w:pPr>
              <w:jc w:val="left"/>
              <w:rPr>
                <w:rFonts w:ascii="宋体" w:hAnsi="宋体" w:eastAsia="宋体" w:cs="宋体"/>
                <w:color w:val="auto"/>
                <w:kern w:val="0"/>
                <w:sz w:val="24"/>
                <w:szCs w:val="24"/>
                <w:highlight w:val="none"/>
              </w:rPr>
            </w:pPr>
          </w:p>
        </w:tc>
      </w:tr>
      <w:tr w14:paraId="60E747AB">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112D58FF">
            <w:pPr>
              <w:widowControl/>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4AFECA7C">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4B84F49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2610D48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35BFD65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3CFF89F8">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14BD1088">
            <w:pPr>
              <w:jc w:val="left"/>
              <w:rPr>
                <w:rFonts w:ascii="宋体" w:hAnsi="宋体" w:eastAsia="宋体" w:cs="宋体"/>
                <w:color w:val="auto"/>
                <w:kern w:val="0"/>
                <w:sz w:val="24"/>
                <w:szCs w:val="24"/>
                <w:highlight w:val="none"/>
              </w:rPr>
            </w:pPr>
          </w:p>
        </w:tc>
      </w:tr>
      <w:tr w14:paraId="2674F68D">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2EABC3B0">
            <w:pPr>
              <w:widowControl/>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62FCA7DA">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7854D99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46A5913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0BC01B2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16459A8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7FE3AC19">
            <w:pPr>
              <w:jc w:val="left"/>
              <w:rPr>
                <w:rFonts w:ascii="宋体" w:hAnsi="宋体" w:eastAsia="宋体" w:cs="宋体"/>
                <w:color w:val="auto"/>
                <w:kern w:val="0"/>
                <w:sz w:val="24"/>
                <w:szCs w:val="24"/>
                <w:highlight w:val="none"/>
              </w:rPr>
            </w:pPr>
          </w:p>
        </w:tc>
      </w:tr>
      <w:tr w14:paraId="67F587EE">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46E7576A">
            <w:pPr>
              <w:widowControl/>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22556218">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66E2B05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03692DE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3C8DF318">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4FFFFAE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250FDD09">
            <w:pPr>
              <w:jc w:val="left"/>
              <w:rPr>
                <w:rFonts w:ascii="宋体" w:hAnsi="宋体" w:eastAsia="宋体" w:cs="宋体"/>
                <w:color w:val="auto"/>
                <w:kern w:val="0"/>
                <w:sz w:val="24"/>
                <w:szCs w:val="24"/>
                <w:highlight w:val="none"/>
              </w:rPr>
            </w:pPr>
          </w:p>
        </w:tc>
      </w:tr>
      <w:tr w14:paraId="0C195BF3">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126742AA">
            <w:pPr>
              <w:widowControl/>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7A0F10E2">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757B100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5C9AFED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051660B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4D06D95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11396B81">
            <w:pPr>
              <w:jc w:val="left"/>
              <w:rPr>
                <w:rFonts w:ascii="宋体" w:hAnsi="宋体" w:eastAsia="宋体" w:cs="宋体"/>
                <w:color w:val="auto"/>
                <w:kern w:val="0"/>
                <w:sz w:val="24"/>
                <w:szCs w:val="24"/>
                <w:highlight w:val="none"/>
              </w:rPr>
            </w:pPr>
          </w:p>
        </w:tc>
      </w:tr>
      <w:tr w14:paraId="6C26754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06BEA9EF">
            <w:pPr>
              <w:widowControl/>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n</w:t>
            </w:r>
          </w:p>
        </w:tc>
        <w:tc>
          <w:tcPr>
            <w:tcW w:w="4488" w:type="dxa"/>
            <w:tcBorders>
              <w:top w:val="nil"/>
              <w:left w:val="nil"/>
              <w:bottom w:val="single" w:color="auto" w:sz="4" w:space="0"/>
              <w:right w:val="single" w:color="auto" w:sz="4" w:space="0"/>
            </w:tcBorders>
            <w:noWrap w:val="0"/>
            <w:vAlign w:val="center"/>
          </w:tcPr>
          <w:p w14:paraId="2CF0A4DA">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[单位工程n]</w:t>
            </w:r>
          </w:p>
        </w:tc>
        <w:tc>
          <w:tcPr>
            <w:tcW w:w="1602" w:type="dxa"/>
            <w:tcBorders>
              <w:top w:val="nil"/>
              <w:left w:val="nil"/>
              <w:bottom w:val="single" w:color="auto" w:sz="4" w:space="0"/>
              <w:right w:val="single" w:color="auto" w:sz="4" w:space="0"/>
            </w:tcBorders>
            <w:noWrap w:val="0"/>
            <w:vAlign w:val="center"/>
          </w:tcPr>
          <w:p w14:paraId="5152A1A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0354B8A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29716988">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01F1E28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3E501A93">
            <w:pPr>
              <w:widowControl/>
              <w:jc w:val="left"/>
              <w:rPr>
                <w:rFonts w:ascii="宋体" w:hAnsi="宋体" w:eastAsia="宋体" w:cs="宋体"/>
                <w:color w:val="auto"/>
                <w:kern w:val="0"/>
                <w:sz w:val="24"/>
                <w:szCs w:val="24"/>
                <w:highlight w:val="none"/>
              </w:rPr>
            </w:pPr>
          </w:p>
        </w:tc>
      </w:tr>
      <w:tr w14:paraId="5846597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648B046C">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0F2307B4">
            <w:pPr>
              <w:widowControl/>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投标报价</w:t>
            </w:r>
          </w:p>
        </w:tc>
        <w:tc>
          <w:tcPr>
            <w:tcW w:w="1602" w:type="dxa"/>
            <w:tcBorders>
              <w:top w:val="nil"/>
              <w:left w:val="nil"/>
              <w:bottom w:val="single" w:color="auto" w:sz="4" w:space="0"/>
              <w:right w:val="single" w:color="auto" w:sz="4" w:space="0"/>
            </w:tcBorders>
            <w:noWrap w:val="0"/>
            <w:vAlign w:val="center"/>
          </w:tcPr>
          <w:p w14:paraId="1E1B7BF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260E7C6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r2bl w:val="single" w:color="auto" w:sz="4" w:space="0"/>
            </w:tcBorders>
            <w:noWrap w:val="0"/>
            <w:vAlign w:val="center"/>
          </w:tcPr>
          <w:p w14:paraId="25976DE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411B1C7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64614F5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∑A=A</w:t>
            </w:r>
            <w:r>
              <w:rPr>
                <w:rFonts w:hint="eastAsia" w:ascii="宋体" w:hAnsi="宋体" w:eastAsia="宋体" w:cs="宋体"/>
                <w:color w:val="auto"/>
                <w:kern w:val="0"/>
                <w:sz w:val="24"/>
                <w:szCs w:val="24"/>
                <w:highlight w:val="none"/>
                <w:vertAlign w:val="subscript"/>
              </w:rPr>
              <w:t>1</w:t>
            </w:r>
            <w:r>
              <w:rPr>
                <w:rFonts w:hint="eastAsia" w:ascii="宋体" w:hAnsi="宋体" w:eastAsia="宋体" w:cs="宋体"/>
                <w:color w:val="auto"/>
                <w:kern w:val="0"/>
                <w:sz w:val="24"/>
                <w:szCs w:val="24"/>
                <w:highlight w:val="none"/>
              </w:rPr>
              <w:t>+A</w:t>
            </w:r>
            <w:r>
              <w:rPr>
                <w:rFonts w:hint="eastAsia" w:ascii="宋体" w:hAnsi="宋体" w:eastAsia="宋体" w:cs="宋体"/>
                <w:color w:val="auto"/>
                <w:kern w:val="0"/>
                <w:sz w:val="24"/>
                <w:szCs w:val="24"/>
                <w:highlight w:val="none"/>
                <w:vertAlign w:val="subscript"/>
              </w:rPr>
              <w:t>2</w:t>
            </w:r>
            <w:r>
              <w:rPr>
                <w:rFonts w:hint="eastAsia" w:ascii="宋体" w:hAnsi="宋体" w:eastAsia="宋体" w:cs="宋体"/>
                <w:color w:val="auto"/>
                <w:kern w:val="0"/>
                <w:sz w:val="24"/>
                <w:szCs w:val="24"/>
                <w:highlight w:val="none"/>
              </w:rPr>
              <w:t>+…An；∑B=B</w:t>
            </w:r>
            <w:r>
              <w:rPr>
                <w:rFonts w:hint="eastAsia" w:ascii="宋体" w:hAnsi="宋体" w:eastAsia="宋体" w:cs="宋体"/>
                <w:color w:val="auto"/>
                <w:kern w:val="0"/>
                <w:sz w:val="24"/>
                <w:szCs w:val="24"/>
                <w:highlight w:val="none"/>
                <w:vertAlign w:val="subscript"/>
              </w:rPr>
              <w:t>1</w:t>
            </w:r>
            <w:r>
              <w:rPr>
                <w:rFonts w:hint="eastAsia" w:ascii="宋体" w:hAnsi="宋体" w:eastAsia="宋体" w:cs="宋体"/>
                <w:color w:val="auto"/>
                <w:kern w:val="0"/>
                <w:sz w:val="24"/>
                <w:szCs w:val="24"/>
                <w:highlight w:val="none"/>
              </w:rPr>
              <w:t>+B</w:t>
            </w:r>
            <w:r>
              <w:rPr>
                <w:rFonts w:hint="eastAsia" w:ascii="宋体" w:hAnsi="宋体" w:eastAsia="宋体" w:cs="宋体"/>
                <w:color w:val="auto"/>
                <w:kern w:val="0"/>
                <w:sz w:val="24"/>
                <w:szCs w:val="24"/>
                <w:highlight w:val="none"/>
                <w:vertAlign w:val="subscript"/>
              </w:rPr>
              <w:t>2</w:t>
            </w:r>
            <w:r>
              <w:rPr>
                <w:rFonts w:hint="eastAsia" w:ascii="宋体" w:hAnsi="宋体" w:eastAsia="宋体" w:cs="宋体"/>
                <w:color w:val="auto"/>
                <w:kern w:val="0"/>
                <w:sz w:val="24"/>
                <w:szCs w:val="24"/>
                <w:highlight w:val="none"/>
              </w:rPr>
              <w:t>+…Bn</w:t>
            </w:r>
          </w:p>
        </w:tc>
      </w:tr>
    </w:tbl>
    <w:p w14:paraId="081DE9CD">
      <w:pPr>
        <w:widowControl/>
        <w:tabs>
          <w:tab w:val="left" w:pos="5226"/>
          <w:tab w:val="left" w:pos="6828"/>
          <w:tab w:val="left" w:pos="8403"/>
          <w:tab w:val="left" w:pos="9978"/>
        </w:tabs>
        <w:ind w:left="1142" w:leftChars="44" w:hanging="1050" w:hangingChars="500"/>
        <w:jc w:val="left"/>
        <w:rPr>
          <w:rFonts w:hint="eastAsia" w:ascii="宋体" w:hAnsi="宋体" w:eastAsia="宋体"/>
          <w:color w:val="auto"/>
          <w:szCs w:val="21"/>
          <w:highlight w:val="none"/>
        </w:rPr>
      </w:pPr>
      <w:r>
        <w:rPr>
          <w:rFonts w:hint="eastAsia" w:ascii="宋体" w:hAnsi="宋体" w:eastAsia="宋体" w:cs="宋体"/>
          <w:color w:val="auto"/>
          <w:kern w:val="0"/>
          <w:szCs w:val="21"/>
          <w:highlight w:val="none"/>
        </w:rPr>
        <w:t>修正原则：</w:t>
      </w:r>
      <w:r>
        <w:rPr>
          <w:rFonts w:hint="eastAsia" w:ascii="宋体" w:hAnsi="宋体" w:eastAsia="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p>
    <w:p w14:paraId="2277EB92">
      <w:pPr>
        <w:widowControl/>
        <w:tabs>
          <w:tab w:val="left" w:pos="5226"/>
          <w:tab w:val="left" w:pos="6828"/>
          <w:tab w:val="left" w:pos="8403"/>
          <w:tab w:val="left" w:pos="9978"/>
        </w:tabs>
        <w:ind w:left="1142" w:leftChars="44" w:hanging="1050" w:hangingChars="500"/>
        <w:jc w:val="left"/>
        <w:rPr>
          <w:rFonts w:hint="eastAsia" w:ascii="宋体" w:hAnsi="宋体" w:eastAsia="宋体"/>
          <w:color w:val="auto"/>
          <w:szCs w:val="21"/>
          <w:highlight w:val="none"/>
        </w:rPr>
      </w:pPr>
    </w:p>
    <w:p w14:paraId="3E62FDE7">
      <w:pPr>
        <w:widowControl/>
        <w:tabs>
          <w:tab w:val="left" w:pos="5226"/>
          <w:tab w:val="left" w:pos="6828"/>
          <w:tab w:val="left" w:pos="11040"/>
        </w:tabs>
        <w:ind w:left="1297" w:leftChars="44" w:hanging="1205" w:hangingChars="500"/>
        <w:jc w:val="left"/>
        <w:rPr>
          <w:rFonts w:hint="eastAsia" w:ascii="宋体" w:hAnsi="宋体" w:eastAsia="宋体"/>
          <w:color w:val="auto"/>
          <w:sz w:val="24"/>
          <w:szCs w:val="24"/>
          <w:highlight w:val="none"/>
        </w:rPr>
      </w:pPr>
      <w:r>
        <w:rPr>
          <w:rFonts w:hint="eastAsia" w:ascii="宋体" w:hAnsi="宋体" w:eastAsia="宋体" w:cs="宋体"/>
          <w:b/>
          <w:bCs/>
          <w:color w:val="auto"/>
          <w:kern w:val="0"/>
          <w:sz w:val="24"/>
          <w:szCs w:val="24"/>
          <w:highlight w:val="none"/>
        </w:rPr>
        <w:t>评委签名</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 w:val="24"/>
          <w:szCs w:val="24"/>
          <w:highlight w:val="none"/>
        </w:rPr>
        <w:t>日期：</w:t>
      </w:r>
    </w:p>
    <w:p w14:paraId="4612D8CF">
      <w:pPr>
        <w:widowControl/>
        <w:jc w:val="left"/>
        <w:rPr>
          <w:rFonts w:ascii="宋体" w:hAnsi="宋体" w:eastAsia="宋体"/>
          <w:color w:val="auto"/>
          <w:sz w:val="24"/>
          <w:szCs w:val="24"/>
          <w:highlight w:val="none"/>
        </w:rPr>
        <w:sectPr>
          <w:headerReference r:id="rId6" w:type="default"/>
          <w:endnotePr>
            <w:numFmt w:val="decimal"/>
          </w:endnotePr>
          <w:pgSz w:w="16783" w:h="11850" w:orient="landscape"/>
          <w:pgMar w:top="851" w:right="1134" w:bottom="567" w:left="1134" w:header="0" w:footer="0" w:gutter="567"/>
          <w:pgNumType w:fmt="decimal"/>
          <w:cols w:space="720" w:num="1"/>
        </w:sectPr>
      </w:pPr>
    </w:p>
    <w:p w14:paraId="2D74EED8">
      <w:pPr>
        <w:ind w:firstLine="117" w:firstLineChars="49"/>
        <w:rPr>
          <w:rFonts w:hint="eastAsia" w:ascii="宋体" w:hAnsi="宋体" w:eastAsia="宋体"/>
          <w:color w:val="auto"/>
          <w:sz w:val="24"/>
          <w:szCs w:val="24"/>
          <w:highlight w:val="none"/>
        </w:rPr>
      </w:pPr>
    </w:p>
    <w:p w14:paraId="18613F92">
      <w:pPr>
        <w:ind w:firstLine="117" w:firstLineChars="49"/>
        <w:outlineLvl w:val="2"/>
        <w:rPr>
          <w:rFonts w:ascii="宋体" w:hAnsi="宋体" w:eastAsia="宋体"/>
          <w:color w:val="auto"/>
          <w:sz w:val="24"/>
          <w:szCs w:val="24"/>
          <w:highlight w:val="none"/>
        </w:rPr>
      </w:pPr>
      <w:bookmarkStart w:id="102" w:name="_Toc17119"/>
      <w:bookmarkStart w:id="103" w:name="_Toc27915"/>
      <w:bookmarkStart w:id="104" w:name="_Toc2138"/>
      <w:bookmarkStart w:id="105" w:name="_Toc1106"/>
      <w:r>
        <w:rPr>
          <w:rFonts w:hint="eastAsia" w:ascii="宋体" w:hAnsi="宋体" w:eastAsia="宋体"/>
          <w:color w:val="auto"/>
          <w:sz w:val="24"/>
          <w:szCs w:val="24"/>
          <w:highlight w:val="none"/>
        </w:rPr>
        <w:t>附件4</w:t>
      </w:r>
      <w:bookmarkEnd w:id="102"/>
      <w:bookmarkEnd w:id="103"/>
      <w:bookmarkEnd w:id="104"/>
      <w:bookmarkEnd w:id="105"/>
    </w:p>
    <w:p w14:paraId="378F233D">
      <w:pPr>
        <w:ind w:firstLine="117" w:firstLineChars="49"/>
        <w:rPr>
          <w:rFonts w:hint="eastAsia" w:ascii="宋体" w:hAnsi="宋体" w:eastAsia="宋体"/>
          <w:color w:val="auto"/>
          <w:sz w:val="24"/>
          <w:szCs w:val="24"/>
          <w:highlight w:val="none"/>
        </w:rPr>
      </w:pPr>
    </w:p>
    <w:p w14:paraId="6E340454">
      <w:pPr>
        <w:spacing w:line="360" w:lineRule="auto"/>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算术复核汇总表</w:t>
      </w:r>
    </w:p>
    <w:p w14:paraId="4C27D1BB">
      <w:pPr>
        <w:ind w:firstLine="360" w:firstLineChars="150"/>
        <w:rPr>
          <w:rFonts w:hint="eastAsia" w:ascii="宋体" w:hAnsi="宋体" w:eastAsia="宋体"/>
          <w:color w:val="auto"/>
          <w:szCs w:val="21"/>
          <w:highlight w:val="none"/>
        </w:rPr>
      </w:pPr>
      <w:r>
        <w:rPr>
          <w:rFonts w:hint="eastAsia" w:ascii="宋体" w:hAnsi="宋体" w:eastAsia="宋体" w:cs="宋体"/>
          <w:bCs/>
          <w:color w:val="auto"/>
          <w:kern w:val="0"/>
          <w:sz w:val="24"/>
          <w:szCs w:val="24"/>
          <w:highlight w:val="none"/>
        </w:rPr>
        <w:t>工程名称：</w:t>
      </w:r>
    </w:p>
    <w:tbl>
      <w:tblPr>
        <w:tblStyle w:val="34"/>
        <w:tblW w:w="0" w:type="auto"/>
        <w:tblInd w:w="288" w:type="dxa"/>
        <w:tblLayout w:type="fixed"/>
        <w:tblCellMar>
          <w:top w:w="0" w:type="dxa"/>
          <w:left w:w="108" w:type="dxa"/>
          <w:bottom w:w="0" w:type="dxa"/>
          <w:right w:w="108" w:type="dxa"/>
        </w:tblCellMar>
      </w:tblPr>
      <w:tblGrid>
        <w:gridCol w:w="888"/>
        <w:gridCol w:w="4440"/>
        <w:gridCol w:w="3060"/>
        <w:gridCol w:w="3240"/>
        <w:gridCol w:w="2754"/>
      </w:tblGrid>
      <w:tr w14:paraId="1CAB6576">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09CEBA84">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编号</w:t>
            </w:r>
          </w:p>
        </w:tc>
        <w:tc>
          <w:tcPr>
            <w:tcW w:w="4440" w:type="dxa"/>
            <w:tcBorders>
              <w:top w:val="single" w:color="auto" w:sz="4" w:space="0"/>
              <w:left w:val="single" w:color="auto" w:sz="4" w:space="0"/>
              <w:bottom w:val="single" w:color="auto" w:sz="4" w:space="0"/>
              <w:right w:val="single" w:color="auto" w:sz="4" w:space="0"/>
            </w:tcBorders>
            <w:noWrap w:val="0"/>
            <w:vAlign w:val="center"/>
          </w:tcPr>
          <w:p w14:paraId="7F98C7E9">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投标人名称</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6AD232B4">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原投标报价（A）</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2BA4C2F">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算术复核后投标报价（B）</w:t>
            </w:r>
          </w:p>
        </w:tc>
        <w:tc>
          <w:tcPr>
            <w:tcW w:w="2754" w:type="dxa"/>
            <w:tcBorders>
              <w:top w:val="single" w:color="auto" w:sz="4" w:space="0"/>
              <w:left w:val="single" w:color="auto" w:sz="4" w:space="0"/>
              <w:bottom w:val="single" w:color="auto" w:sz="4" w:space="0"/>
              <w:right w:val="single" w:color="auto" w:sz="4" w:space="0"/>
            </w:tcBorders>
            <w:noWrap w:val="0"/>
            <w:vAlign w:val="center"/>
          </w:tcPr>
          <w:p w14:paraId="2754696A">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误差率（r=|A-B|/A*100%）</w:t>
            </w:r>
          </w:p>
        </w:tc>
      </w:tr>
      <w:tr w14:paraId="192CACB8">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328ECB75">
            <w:pPr>
              <w:rPr>
                <w:rFonts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76B4D297">
            <w:pPr>
              <w:rPr>
                <w:rFonts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616A7CEA">
            <w:pPr>
              <w:rPr>
                <w:rFonts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27D63D50">
            <w:pPr>
              <w:rPr>
                <w:rFonts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32F95F18">
            <w:pPr>
              <w:rPr>
                <w:rFonts w:ascii="宋体" w:hAnsi="宋体" w:eastAsia="宋体"/>
                <w:b/>
                <w:color w:val="auto"/>
                <w:sz w:val="24"/>
                <w:szCs w:val="24"/>
                <w:highlight w:val="none"/>
              </w:rPr>
            </w:pPr>
          </w:p>
        </w:tc>
      </w:tr>
      <w:tr w14:paraId="03637929">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72D9112C">
            <w:pPr>
              <w:rPr>
                <w:rFonts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17D2AC4E">
            <w:pPr>
              <w:rPr>
                <w:rFonts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3B2F0B4D">
            <w:pPr>
              <w:rPr>
                <w:rFonts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3ED0679D">
            <w:pPr>
              <w:rPr>
                <w:rFonts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7C292565">
            <w:pPr>
              <w:rPr>
                <w:rFonts w:ascii="宋体" w:hAnsi="宋体" w:eastAsia="宋体"/>
                <w:b/>
                <w:color w:val="auto"/>
                <w:sz w:val="24"/>
                <w:szCs w:val="24"/>
                <w:highlight w:val="none"/>
              </w:rPr>
            </w:pPr>
          </w:p>
        </w:tc>
      </w:tr>
      <w:tr w14:paraId="58345C6D">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52C0A500">
            <w:pPr>
              <w:rPr>
                <w:rFonts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3EFC8479">
            <w:pPr>
              <w:rPr>
                <w:rFonts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5444D68E">
            <w:pPr>
              <w:rPr>
                <w:rFonts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6098DD3A">
            <w:pPr>
              <w:rPr>
                <w:rFonts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162CAC42">
            <w:pPr>
              <w:rPr>
                <w:rFonts w:ascii="宋体" w:hAnsi="宋体" w:eastAsia="宋体"/>
                <w:b/>
                <w:color w:val="auto"/>
                <w:sz w:val="24"/>
                <w:szCs w:val="24"/>
                <w:highlight w:val="none"/>
              </w:rPr>
            </w:pPr>
          </w:p>
        </w:tc>
      </w:tr>
      <w:tr w14:paraId="1B4617C7">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26E6B00F">
            <w:pPr>
              <w:rPr>
                <w:rFonts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51C8F5FA">
            <w:pPr>
              <w:rPr>
                <w:rFonts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7B0F67F7">
            <w:pPr>
              <w:rPr>
                <w:rFonts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380E1D5D">
            <w:pPr>
              <w:rPr>
                <w:rFonts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1F490A18">
            <w:pPr>
              <w:rPr>
                <w:rFonts w:ascii="宋体" w:hAnsi="宋体" w:eastAsia="宋体"/>
                <w:b/>
                <w:color w:val="auto"/>
                <w:sz w:val="24"/>
                <w:szCs w:val="24"/>
                <w:highlight w:val="none"/>
              </w:rPr>
            </w:pPr>
          </w:p>
        </w:tc>
      </w:tr>
      <w:tr w14:paraId="448C7B4B">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14888CB0">
            <w:pPr>
              <w:rPr>
                <w:rFonts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48DF62A7">
            <w:pPr>
              <w:rPr>
                <w:rFonts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1387BDB7">
            <w:pPr>
              <w:rPr>
                <w:rFonts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172D686B">
            <w:pPr>
              <w:rPr>
                <w:rFonts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7A0E9D50">
            <w:pPr>
              <w:rPr>
                <w:rFonts w:ascii="宋体" w:hAnsi="宋体" w:eastAsia="宋体"/>
                <w:b/>
                <w:color w:val="auto"/>
                <w:sz w:val="24"/>
                <w:szCs w:val="24"/>
                <w:highlight w:val="none"/>
              </w:rPr>
            </w:pPr>
          </w:p>
        </w:tc>
      </w:tr>
      <w:tr w14:paraId="545DECD5">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41D7A647">
            <w:pPr>
              <w:rPr>
                <w:rFonts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776E1720">
            <w:pPr>
              <w:rPr>
                <w:rFonts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219BD0A4">
            <w:pPr>
              <w:rPr>
                <w:rFonts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1397484">
            <w:pPr>
              <w:rPr>
                <w:rFonts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7B4F41ED">
            <w:pPr>
              <w:rPr>
                <w:rFonts w:ascii="宋体" w:hAnsi="宋体" w:eastAsia="宋体"/>
                <w:b/>
                <w:color w:val="auto"/>
                <w:sz w:val="24"/>
                <w:szCs w:val="24"/>
                <w:highlight w:val="none"/>
              </w:rPr>
            </w:pPr>
          </w:p>
        </w:tc>
      </w:tr>
      <w:tr w14:paraId="2A325676">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465D454D">
            <w:pPr>
              <w:rPr>
                <w:rFonts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618F94DD">
            <w:pPr>
              <w:rPr>
                <w:rFonts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2DA8884E">
            <w:pPr>
              <w:rPr>
                <w:rFonts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159E7A20">
            <w:pPr>
              <w:rPr>
                <w:rFonts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06574902">
            <w:pPr>
              <w:rPr>
                <w:rFonts w:ascii="宋体" w:hAnsi="宋体" w:eastAsia="宋体"/>
                <w:b/>
                <w:color w:val="auto"/>
                <w:sz w:val="24"/>
                <w:szCs w:val="24"/>
                <w:highlight w:val="none"/>
              </w:rPr>
            </w:pPr>
          </w:p>
        </w:tc>
      </w:tr>
      <w:tr w14:paraId="376ABB90">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005608B1">
            <w:pPr>
              <w:rPr>
                <w:rFonts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4B9EBC7D">
            <w:pPr>
              <w:rPr>
                <w:rFonts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3B31AFC7">
            <w:pPr>
              <w:rPr>
                <w:rFonts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6E185338">
            <w:pPr>
              <w:rPr>
                <w:rFonts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437B95A7">
            <w:pPr>
              <w:rPr>
                <w:rFonts w:ascii="宋体" w:hAnsi="宋体" w:eastAsia="宋体"/>
                <w:b/>
                <w:color w:val="auto"/>
                <w:sz w:val="24"/>
                <w:szCs w:val="24"/>
                <w:highlight w:val="none"/>
              </w:rPr>
            </w:pPr>
          </w:p>
        </w:tc>
      </w:tr>
    </w:tbl>
    <w:p w14:paraId="4C923D79">
      <w:pPr>
        <w:rPr>
          <w:rFonts w:hint="eastAsia" w:ascii="宋体" w:hAnsi="宋体" w:eastAsia="宋体"/>
          <w:b/>
          <w:color w:val="auto"/>
          <w:sz w:val="24"/>
          <w:szCs w:val="24"/>
          <w:highlight w:val="none"/>
        </w:rPr>
      </w:pPr>
    </w:p>
    <w:p w14:paraId="13DE9388">
      <w:pPr>
        <w:ind w:firstLine="361" w:firstLineChars="150"/>
        <w:rPr>
          <w:rFonts w:hint="eastAsia" w:ascii="宋体" w:hAnsi="宋体" w:eastAsia="宋体"/>
          <w:color w:val="auto"/>
          <w:sz w:val="24"/>
          <w:szCs w:val="24"/>
          <w:highlight w:val="none"/>
        </w:rPr>
      </w:pPr>
      <w:r>
        <w:rPr>
          <w:rFonts w:hint="eastAsia" w:ascii="宋体" w:hAnsi="宋体" w:eastAsia="宋体"/>
          <w:b/>
          <w:bCs/>
          <w:color w:val="auto"/>
          <w:sz w:val="24"/>
          <w:szCs w:val="24"/>
          <w:highlight w:val="none"/>
        </w:rPr>
        <w:t>评委签名</w:t>
      </w:r>
      <w:r>
        <w:rPr>
          <w:rFonts w:hint="eastAsia" w:ascii="宋体" w:hAnsi="宋体" w:eastAsia="宋体"/>
          <w:color w:val="auto"/>
          <w:sz w:val="24"/>
          <w:szCs w:val="24"/>
          <w:highlight w:val="none"/>
        </w:rPr>
        <w:t>：                                                                                         日期：</w:t>
      </w:r>
    </w:p>
    <w:p w14:paraId="775837A6">
      <w:pPr>
        <w:tabs>
          <w:tab w:val="left" w:pos="7987"/>
        </w:tabs>
        <w:bidi w:val="0"/>
        <w:jc w:val="left"/>
        <w:rPr>
          <w:rFonts w:hint="eastAsia" w:eastAsia="楷体_GB2312"/>
          <w:color w:val="auto"/>
          <w:highlight w:val="none"/>
          <w:lang w:eastAsia="zh-CN"/>
        </w:rPr>
        <w:sectPr>
          <w:footerReference r:id="rId8" w:type="first"/>
          <w:footerReference r:id="rId7" w:type="default"/>
          <w:endnotePr>
            <w:numFmt w:val="decimal"/>
          </w:endnotePr>
          <w:pgSz w:w="16783" w:h="11850" w:orient="landscape"/>
          <w:pgMar w:top="851" w:right="1247" w:bottom="567" w:left="1134" w:header="851" w:footer="567" w:gutter="0"/>
          <w:pgNumType w:fmt="decimal"/>
          <w:cols w:space="720" w:num="1"/>
          <w:titlePg/>
          <w:docGrid w:type="lines" w:linePitch="312" w:charSpace="0"/>
        </w:sectPr>
      </w:pPr>
    </w:p>
    <w:p w14:paraId="0532CF3A">
      <w:pPr>
        <w:spacing w:line="360" w:lineRule="auto"/>
        <w:rPr>
          <w:rFonts w:hint="eastAsia" w:ascii="宋体" w:hAnsi="宋体" w:eastAsia="宋体"/>
          <w:b/>
          <w:color w:val="auto"/>
          <w:sz w:val="24"/>
          <w:szCs w:val="24"/>
          <w:highlight w:val="none"/>
        </w:rPr>
      </w:pPr>
    </w:p>
    <w:p w14:paraId="0179F2B6">
      <w:pPr>
        <w:jc w:val="left"/>
        <w:outlineLvl w:val="2"/>
        <w:rPr>
          <w:rFonts w:hint="eastAsia" w:ascii="宋体" w:hAnsi="宋体" w:eastAsia="宋体"/>
          <w:b/>
          <w:color w:val="auto"/>
          <w:sz w:val="28"/>
          <w:szCs w:val="28"/>
          <w:highlight w:val="none"/>
        </w:rPr>
      </w:pPr>
      <w:r>
        <w:rPr>
          <w:rFonts w:ascii="宋体" w:hAnsi="宋体" w:eastAsia="宋体"/>
          <w:b/>
          <w:color w:val="auto"/>
          <w:sz w:val="24"/>
          <w:szCs w:val="24"/>
          <w:highlight w:val="none"/>
        </w:rPr>
        <w:br w:type="page"/>
      </w:r>
      <w:bookmarkStart w:id="106" w:name="_Toc19158"/>
      <w:bookmarkStart w:id="107" w:name="_Toc28978"/>
      <w:bookmarkStart w:id="108" w:name="_Toc11569"/>
      <w:bookmarkStart w:id="109" w:name="_Toc27075"/>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 xml:space="preserve">                                         </w:t>
      </w:r>
      <w:r>
        <w:rPr>
          <w:rFonts w:hint="eastAsia" w:ascii="宋体" w:hAnsi="宋体" w:eastAsia="宋体"/>
          <w:b/>
          <w:color w:val="auto"/>
          <w:sz w:val="28"/>
          <w:szCs w:val="28"/>
          <w:highlight w:val="none"/>
        </w:rPr>
        <w:t>投标文件否决性条款审查表</w:t>
      </w:r>
      <w:bookmarkEnd w:id="106"/>
      <w:bookmarkEnd w:id="107"/>
      <w:bookmarkEnd w:id="108"/>
      <w:bookmarkEnd w:id="109"/>
    </w:p>
    <w:p w14:paraId="44691644">
      <w:pPr>
        <w:rPr>
          <w:rFonts w:hint="eastAsia" w:ascii="宋体" w:hAnsi="宋体" w:eastAsia="宋体"/>
          <w:b/>
          <w:color w:val="auto"/>
          <w:szCs w:val="21"/>
          <w:highlight w:val="none"/>
        </w:rPr>
      </w:pPr>
      <w:r>
        <w:rPr>
          <w:rFonts w:hint="eastAsia" w:ascii="宋体" w:hAnsi="宋体" w:eastAsia="宋体"/>
          <w:b/>
          <w:color w:val="auto"/>
          <w:szCs w:val="21"/>
          <w:highlight w:val="none"/>
        </w:rPr>
        <w:t>工程名称：</w:t>
      </w:r>
    </w:p>
    <w:tbl>
      <w:tblPr>
        <w:tblStyle w:val="34"/>
        <w:tblW w:w="0" w:type="auto"/>
        <w:tblInd w:w="3" w:type="dxa"/>
        <w:tblLayout w:type="fixed"/>
        <w:tblCellMar>
          <w:top w:w="0" w:type="dxa"/>
          <w:left w:w="108" w:type="dxa"/>
          <w:bottom w:w="0" w:type="dxa"/>
          <w:right w:w="108" w:type="dxa"/>
        </w:tblCellMar>
      </w:tblPr>
      <w:tblGrid>
        <w:gridCol w:w="471"/>
        <w:gridCol w:w="8588"/>
        <w:gridCol w:w="1095"/>
        <w:gridCol w:w="1095"/>
        <w:gridCol w:w="1095"/>
        <w:gridCol w:w="1095"/>
        <w:gridCol w:w="1095"/>
      </w:tblGrid>
      <w:tr w14:paraId="3362FEA3">
        <w:tblPrEx>
          <w:tblCellMar>
            <w:top w:w="0" w:type="dxa"/>
            <w:left w:w="108" w:type="dxa"/>
            <w:bottom w:w="0" w:type="dxa"/>
            <w:right w:w="108" w:type="dxa"/>
          </w:tblCellMar>
        </w:tblPrEx>
        <w:trPr>
          <w:trHeight w:val="502"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1DF02D09">
            <w:pPr>
              <w:spacing w:line="300" w:lineRule="exact"/>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8588"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44F6C212">
            <w:pPr>
              <w:spacing w:line="300" w:lineRule="exact"/>
              <w:rPr>
                <w:rFonts w:hint="eastAsia" w:ascii="宋体" w:hAnsi="宋体" w:eastAsia="宋体"/>
                <w:color w:val="auto"/>
                <w:szCs w:val="21"/>
                <w:highlight w:val="none"/>
              </w:rPr>
            </w:pPr>
            <w:r>
              <w:rPr>
                <w:rFonts w:hint="eastAsia" w:ascii="宋体" w:hAnsi="宋体" w:eastAsia="宋体"/>
                <w:color w:val="auto"/>
                <w:szCs w:val="21"/>
                <w:highlight w:val="none"/>
              </w:rPr>
              <w:t xml:space="preserve">                                      投标人</w:t>
            </w:r>
          </w:p>
          <w:p w14:paraId="69FCF4D7">
            <w:pPr>
              <w:spacing w:line="300" w:lineRule="exact"/>
              <w:rPr>
                <w:rFonts w:ascii="宋体" w:hAnsi="宋体" w:eastAsia="宋体"/>
                <w:color w:val="auto"/>
                <w:szCs w:val="21"/>
                <w:highlight w:val="none"/>
              </w:rPr>
            </w:pPr>
            <w:r>
              <w:rPr>
                <w:rFonts w:hint="eastAsia" w:ascii="宋体" w:hAnsi="宋体" w:eastAsia="宋体"/>
                <w:color w:val="auto"/>
                <w:szCs w:val="21"/>
                <w:highlight w:val="none"/>
              </w:rPr>
              <w:t>评审内容</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126450F3">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2D8E783">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CA4E4CE">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54E42E8">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16D6659">
            <w:pPr>
              <w:spacing w:line="300" w:lineRule="exact"/>
              <w:rPr>
                <w:rFonts w:ascii="宋体" w:hAnsi="宋体" w:eastAsia="宋体"/>
                <w:color w:val="auto"/>
                <w:szCs w:val="21"/>
                <w:highlight w:val="none"/>
              </w:rPr>
            </w:pPr>
          </w:p>
        </w:tc>
      </w:tr>
      <w:tr w14:paraId="51B074CB">
        <w:tblPrEx>
          <w:tblCellMar>
            <w:top w:w="0" w:type="dxa"/>
            <w:left w:w="108" w:type="dxa"/>
            <w:bottom w:w="0" w:type="dxa"/>
            <w:right w:w="108" w:type="dxa"/>
          </w:tblCellMar>
        </w:tblPrEx>
        <w:trPr>
          <w:trHeight w:val="242"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116C1331">
            <w:pPr>
              <w:spacing w:line="3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220D9ACF">
            <w:pPr>
              <w:spacing w:line="300" w:lineRule="exact"/>
              <w:rPr>
                <w:rFonts w:hint="eastAsia" w:ascii="宋体" w:hAnsi="宋体" w:eastAsia="宋体"/>
                <w:color w:val="auto"/>
                <w:szCs w:val="21"/>
                <w:highlight w:val="none"/>
              </w:rPr>
            </w:pPr>
            <w:r>
              <w:rPr>
                <w:rFonts w:hint="eastAsia" w:ascii="宋体" w:hAnsi="宋体" w:eastAsia="宋体"/>
                <w:color w:val="auto"/>
                <w:szCs w:val="21"/>
                <w:highlight w:val="none"/>
              </w:rPr>
              <w:t>投标文件中没有《投标函》；</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2E311AC">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4568701">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B0CA9E0">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3159BC7">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818110">
            <w:pPr>
              <w:spacing w:line="300" w:lineRule="exact"/>
              <w:rPr>
                <w:rFonts w:ascii="宋体" w:hAnsi="宋体" w:eastAsia="宋体"/>
                <w:color w:val="auto"/>
                <w:szCs w:val="21"/>
                <w:highlight w:val="none"/>
              </w:rPr>
            </w:pPr>
          </w:p>
        </w:tc>
      </w:tr>
      <w:tr w14:paraId="0271227C">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6BF8F36F">
            <w:pPr>
              <w:spacing w:line="3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2</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2E20A25F">
            <w:pPr>
              <w:spacing w:line="300" w:lineRule="exact"/>
              <w:rPr>
                <w:rFonts w:hint="eastAsia" w:ascii="宋体" w:hAnsi="宋体" w:eastAsia="宋体"/>
                <w:color w:val="auto"/>
                <w:szCs w:val="21"/>
                <w:highlight w:val="none"/>
              </w:rPr>
            </w:pPr>
            <w:r>
              <w:rPr>
                <w:rFonts w:hint="eastAsia" w:ascii="宋体" w:hAnsi="宋体" w:eastAsia="宋体"/>
                <w:color w:val="auto"/>
                <w:szCs w:val="21"/>
                <w:highlight w:val="none"/>
              </w:rPr>
              <w:t>投标文件中没有《广州园林绿化工程施工招标投标书》；</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EC0269E">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4C1E8B1">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FA4D71D">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48B74B5">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E073311">
            <w:pPr>
              <w:spacing w:line="300" w:lineRule="exact"/>
              <w:rPr>
                <w:rFonts w:ascii="宋体" w:hAnsi="宋体" w:eastAsia="宋体"/>
                <w:color w:val="auto"/>
                <w:szCs w:val="21"/>
                <w:highlight w:val="none"/>
              </w:rPr>
            </w:pPr>
          </w:p>
        </w:tc>
      </w:tr>
      <w:tr w14:paraId="6A37585F">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3C79FE81">
            <w:pPr>
              <w:spacing w:line="3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3</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1375A297">
            <w:pPr>
              <w:spacing w:line="300" w:lineRule="exact"/>
              <w:rPr>
                <w:rFonts w:hint="eastAsia" w:ascii="宋体" w:hAnsi="宋体" w:eastAsia="宋体"/>
                <w:color w:val="auto"/>
                <w:szCs w:val="21"/>
                <w:highlight w:val="none"/>
              </w:rPr>
            </w:pPr>
            <w:r>
              <w:rPr>
                <w:rFonts w:hint="eastAsia" w:ascii="宋体" w:hAnsi="宋体" w:eastAsia="宋体"/>
                <w:color w:val="auto"/>
                <w:szCs w:val="21"/>
                <w:highlight w:val="none"/>
              </w:rPr>
              <w:t>未承诺响应招标文件所附施工组织设计要点的；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332B453">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C5DB610">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69F0E6E">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A02A1FA">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5822E7D">
            <w:pPr>
              <w:spacing w:line="300" w:lineRule="exact"/>
              <w:rPr>
                <w:rFonts w:ascii="宋体" w:hAnsi="宋体" w:eastAsia="宋体"/>
                <w:color w:val="auto"/>
                <w:szCs w:val="21"/>
                <w:highlight w:val="none"/>
              </w:rPr>
            </w:pPr>
          </w:p>
        </w:tc>
      </w:tr>
      <w:tr w14:paraId="54108BA0">
        <w:tblPrEx>
          <w:tblCellMar>
            <w:top w:w="0" w:type="dxa"/>
            <w:left w:w="108" w:type="dxa"/>
            <w:bottom w:w="0" w:type="dxa"/>
            <w:right w:w="108" w:type="dxa"/>
          </w:tblCellMar>
        </w:tblPrEx>
        <w:trPr>
          <w:trHeight w:val="251"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768E4179">
            <w:pPr>
              <w:spacing w:line="3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4</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2F75E2ED">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不能满足完成投标项目工期的；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92D7307">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367010B">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60D58B5">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8CC67CA">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59D5589">
            <w:pPr>
              <w:spacing w:line="300" w:lineRule="exact"/>
              <w:rPr>
                <w:rFonts w:ascii="宋体" w:hAnsi="宋体" w:eastAsia="宋体"/>
                <w:color w:val="auto"/>
                <w:szCs w:val="21"/>
                <w:highlight w:val="none"/>
              </w:rPr>
            </w:pPr>
          </w:p>
        </w:tc>
      </w:tr>
      <w:tr w14:paraId="1046C81F">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5899C629">
            <w:pPr>
              <w:spacing w:line="3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5</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1D74A02D">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投标文件未按规定的格式填写，或主要内容不全，或关键字迹模糊、无法辨认；</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3CC1B1B">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9294773">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14D36E0">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FD5DCDC">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17C46DF">
            <w:pPr>
              <w:spacing w:line="300" w:lineRule="exact"/>
              <w:rPr>
                <w:rFonts w:ascii="宋体" w:hAnsi="宋体" w:eastAsia="宋体"/>
                <w:color w:val="auto"/>
                <w:szCs w:val="21"/>
                <w:highlight w:val="none"/>
              </w:rPr>
            </w:pPr>
          </w:p>
        </w:tc>
      </w:tr>
      <w:tr w14:paraId="76A70066">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0C492B3A">
            <w:pPr>
              <w:spacing w:line="3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6</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078843F0">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对同一招标项目出现两个或以上的投标报价，且没有声明哪个有效；</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60015AF">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E0012D1">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DCC220D">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BB5F2C">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15958B6">
            <w:pPr>
              <w:spacing w:line="300" w:lineRule="exact"/>
              <w:rPr>
                <w:rFonts w:ascii="宋体" w:hAnsi="宋体" w:eastAsia="宋体"/>
                <w:color w:val="auto"/>
                <w:szCs w:val="21"/>
                <w:highlight w:val="none"/>
              </w:rPr>
            </w:pPr>
          </w:p>
        </w:tc>
      </w:tr>
      <w:tr w14:paraId="47B03503">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40824354">
            <w:pPr>
              <w:spacing w:line="3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7</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0A1C623C">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投标报价高于最高投标限价；</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C7CE729">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C86F5C5">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A3C657">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0A2087B">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F821B55">
            <w:pPr>
              <w:spacing w:line="300" w:lineRule="exact"/>
              <w:rPr>
                <w:rFonts w:ascii="宋体" w:hAnsi="宋体" w:eastAsia="宋体"/>
                <w:color w:val="auto"/>
                <w:szCs w:val="21"/>
                <w:highlight w:val="none"/>
              </w:rPr>
            </w:pPr>
          </w:p>
        </w:tc>
      </w:tr>
      <w:tr w14:paraId="5398218F">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5E1B660B">
            <w:pPr>
              <w:spacing w:line="300" w:lineRule="exact"/>
              <w:jc w:val="center"/>
              <w:rPr>
                <w:rFonts w:hint="eastAsia" w:ascii="宋体" w:hAnsi="宋体" w:eastAsia="宋体"/>
                <w:strike w:val="0"/>
                <w:color w:val="auto"/>
                <w:szCs w:val="21"/>
                <w:highlight w:val="none"/>
                <w:u w:val="none"/>
              </w:rPr>
            </w:pPr>
            <w:r>
              <w:rPr>
                <w:rFonts w:hint="eastAsia" w:ascii="宋体" w:hAnsi="宋体" w:eastAsia="宋体"/>
                <w:strike w:val="0"/>
                <w:color w:val="auto"/>
                <w:szCs w:val="21"/>
                <w:highlight w:val="none"/>
                <w:u w:val="none"/>
              </w:rPr>
              <w:t>8</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7695757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strike w:val="0"/>
                <w:color w:val="auto"/>
                <w:kern w:val="2"/>
                <w:sz w:val="21"/>
                <w:szCs w:val="21"/>
                <w:highlight w:val="none"/>
                <w:u w:val="none"/>
                <w:lang w:val="en-US" w:eastAsia="zh-CN" w:bidi="ar-SA"/>
              </w:rPr>
            </w:pPr>
            <w:r>
              <w:rPr>
                <w:rFonts w:hint="eastAsia" w:ascii="宋体" w:hAnsi="宋体" w:eastAsia="宋体"/>
                <w:strike w:val="0"/>
                <w:color w:val="auto"/>
                <w:szCs w:val="21"/>
                <w:highlight w:val="none"/>
                <w:u w:val="none"/>
              </w:rPr>
              <w:t>投标报价低于企业成本的（投标人的报价明显低于其他投标报价或者在设有成本警示价时明显低于成本警示价，使得其投标报价可能低于其个别成本，又不能合理说明或者不能提供相关证明材料，评标委员会认定该投标人低于成本报价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1822225">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6BBA24">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7425C3D">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1B24B8B">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F12E9CD">
            <w:pPr>
              <w:spacing w:line="300" w:lineRule="exact"/>
              <w:rPr>
                <w:rFonts w:ascii="宋体" w:hAnsi="宋体" w:eastAsia="宋体"/>
                <w:color w:val="auto"/>
                <w:szCs w:val="21"/>
                <w:highlight w:val="none"/>
              </w:rPr>
            </w:pPr>
          </w:p>
        </w:tc>
      </w:tr>
      <w:tr w14:paraId="2D52C6E2">
        <w:tblPrEx>
          <w:tblCellMar>
            <w:top w:w="0" w:type="dxa"/>
            <w:left w:w="108" w:type="dxa"/>
            <w:bottom w:w="0" w:type="dxa"/>
            <w:right w:w="108" w:type="dxa"/>
          </w:tblCellMar>
        </w:tblPrEx>
        <w:trPr>
          <w:trHeight w:val="276"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5F9C8427">
            <w:pPr>
              <w:spacing w:line="3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9</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398CDF46">
            <w:pPr>
              <w:spacing w:line="300" w:lineRule="exact"/>
              <w:rPr>
                <w:rFonts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投标报价中对招标文件规定的绿色施工安全防护措施费进行浮动或改变；</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9EAF96A">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ED5E04E">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5BF64B3">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CE731FE">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86AB9CB">
            <w:pPr>
              <w:spacing w:line="300" w:lineRule="exact"/>
              <w:rPr>
                <w:rFonts w:ascii="宋体" w:hAnsi="宋体" w:eastAsia="宋体"/>
                <w:color w:val="auto"/>
                <w:szCs w:val="21"/>
                <w:highlight w:val="none"/>
              </w:rPr>
            </w:pPr>
          </w:p>
        </w:tc>
      </w:tr>
      <w:tr w14:paraId="1E5D81B2">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49BB2B2B">
            <w:pPr>
              <w:spacing w:line="300" w:lineRule="exact"/>
              <w:jc w:val="center"/>
              <w:rPr>
                <w:rFonts w:ascii="宋体" w:hAnsi="宋体" w:eastAsia="宋体"/>
                <w:color w:val="auto"/>
                <w:szCs w:val="21"/>
                <w:highlight w:val="none"/>
              </w:rPr>
            </w:pPr>
            <w:r>
              <w:rPr>
                <w:rFonts w:hint="eastAsia" w:ascii="宋体" w:hAnsi="宋体" w:eastAsia="宋体"/>
                <w:color w:val="auto"/>
                <w:szCs w:val="21"/>
                <w:highlight w:val="none"/>
              </w:rPr>
              <w:t>10</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502F6F59">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算术复核后的投标报价与原投标报价相比存在1%或以上误差的；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1E7BB2F">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3735EB2">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D3B8CFE">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2378173">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F5A7266">
            <w:pPr>
              <w:spacing w:line="300" w:lineRule="exact"/>
              <w:rPr>
                <w:rFonts w:ascii="宋体" w:hAnsi="宋体" w:eastAsia="宋体"/>
                <w:color w:val="auto"/>
                <w:szCs w:val="21"/>
                <w:highlight w:val="none"/>
              </w:rPr>
            </w:pPr>
          </w:p>
        </w:tc>
      </w:tr>
      <w:tr w14:paraId="75F2615B">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7B68BA34">
            <w:pPr>
              <w:spacing w:line="300" w:lineRule="exact"/>
              <w:jc w:val="center"/>
              <w:rPr>
                <w:rFonts w:ascii="宋体" w:hAnsi="宋体" w:eastAsia="宋体"/>
                <w:color w:val="auto"/>
                <w:szCs w:val="21"/>
                <w:highlight w:val="none"/>
              </w:rPr>
            </w:pPr>
            <w:r>
              <w:rPr>
                <w:rFonts w:hint="eastAsia" w:ascii="宋体" w:hAnsi="宋体" w:eastAsia="宋体"/>
                <w:color w:val="auto"/>
                <w:szCs w:val="21"/>
                <w:highlight w:val="none"/>
              </w:rPr>
              <w:t>11</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67A2189F">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不同投标人的投标文件由同一单位或者个人编制；</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926B453">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5E510E8">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2425FEE">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7A676F1">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3B56663">
            <w:pPr>
              <w:spacing w:line="300" w:lineRule="exact"/>
              <w:rPr>
                <w:rFonts w:ascii="宋体" w:hAnsi="宋体" w:eastAsia="宋体"/>
                <w:color w:val="auto"/>
                <w:szCs w:val="21"/>
                <w:highlight w:val="none"/>
              </w:rPr>
            </w:pPr>
          </w:p>
        </w:tc>
      </w:tr>
      <w:tr w14:paraId="41E3BEC8">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55B9D968">
            <w:pPr>
              <w:spacing w:line="300" w:lineRule="exact"/>
              <w:jc w:val="center"/>
              <w:rPr>
                <w:rFonts w:ascii="宋体" w:hAnsi="宋体" w:eastAsia="宋体"/>
                <w:color w:val="auto"/>
                <w:szCs w:val="21"/>
                <w:highlight w:val="none"/>
              </w:rPr>
            </w:pPr>
            <w:r>
              <w:rPr>
                <w:rFonts w:hint="eastAsia" w:ascii="宋体" w:hAnsi="宋体" w:eastAsia="宋体"/>
                <w:color w:val="auto"/>
                <w:szCs w:val="21"/>
                <w:highlight w:val="none"/>
              </w:rPr>
              <w:t>12</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49BC11A0">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不同投标人委托同一单位或者个人办理投标事宜；</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8ABCDF6">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DABABD">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8813D68">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7850EBB">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7E4EB2C">
            <w:pPr>
              <w:spacing w:line="300" w:lineRule="exact"/>
              <w:rPr>
                <w:rFonts w:ascii="宋体" w:hAnsi="宋体" w:eastAsia="宋体"/>
                <w:color w:val="auto"/>
                <w:szCs w:val="21"/>
                <w:highlight w:val="none"/>
              </w:rPr>
            </w:pPr>
          </w:p>
        </w:tc>
      </w:tr>
      <w:tr w14:paraId="7CBC3B69">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631F6C0F">
            <w:pPr>
              <w:spacing w:line="300" w:lineRule="exact"/>
              <w:jc w:val="center"/>
              <w:rPr>
                <w:rFonts w:ascii="宋体" w:hAnsi="宋体" w:eastAsia="宋体"/>
                <w:color w:val="auto"/>
                <w:szCs w:val="21"/>
                <w:highlight w:val="none"/>
              </w:rPr>
            </w:pPr>
            <w:r>
              <w:rPr>
                <w:rFonts w:hint="eastAsia" w:ascii="宋体" w:hAnsi="宋体" w:eastAsia="宋体"/>
                <w:color w:val="auto"/>
                <w:szCs w:val="21"/>
                <w:highlight w:val="none"/>
              </w:rPr>
              <w:t>13</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05C7958A">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不同投标人的投标文件载明的项目管理成员为同一人；</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3EA87E1">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2DA16EF">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3D6DF15">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ADE01CD">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EBB6C55">
            <w:pPr>
              <w:spacing w:line="300" w:lineRule="exact"/>
              <w:rPr>
                <w:rFonts w:ascii="宋体" w:hAnsi="宋体" w:eastAsia="宋体"/>
                <w:color w:val="auto"/>
                <w:szCs w:val="21"/>
                <w:highlight w:val="none"/>
              </w:rPr>
            </w:pPr>
          </w:p>
        </w:tc>
      </w:tr>
      <w:tr w14:paraId="2B909E3C">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69DBE46B">
            <w:pPr>
              <w:spacing w:line="300" w:lineRule="exact"/>
              <w:jc w:val="center"/>
              <w:rPr>
                <w:rFonts w:ascii="宋体" w:hAnsi="宋体" w:eastAsia="宋体"/>
                <w:color w:val="auto"/>
                <w:szCs w:val="21"/>
                <w:highlight w:val="none"/>
              </w:rPr>
            </w:pPr>
            <w:r>
              <w:rPr>
                <w:rFonts w:hint="eastAsia" w:ascii="宋体" w:hAnsi="宋体" w:eastAsia="宋体"/>
                <w:color w:val="auto"/>
                <w:szCs w:val="21"/>
                <w:highlight w:val="none"/>
              </w:rPr>
              <w:t>14</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3537CBF4">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不同投标人的投标文件异常一致或者投标报价呈规律性差异；</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BFCA313">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78341F2">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80B4A30">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761E528">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98DD543">
            <w:pPr>
              <w:spacing w:line="300" w:lineRule="exact"/>
              <w:rPr>
                <w:rFonts w:ascii="宋体" w:hAnsi="宋体" w:eastAsia="宋体"/>
                <w:color w:val="auto"/>
                <w:szCs w:val="21"/>
                <w:highlight w:val="none"/>
              </w:rPr>
            </w:pPr>
          </w:p>
        </w:tc>
      </w:tr>
      <w:tr w14:paraId="523C5011">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6E060C1E">
            <w:pPr>
              <w:spacing w:line="300" w:lineRule="exact"/>
              <w:jc w:val="center"/>
              <w:rPr>
                <w:rFonts w:ascii="宋体" w:hAnsi="宋体" w:eastAsia="宋体"/>
                <w:color w:val="auto"/>
                <w:szCs w:val="21"/>
                <w:highlight w:val="none"/>
              </w:rPr>
            </w:pPr>
            <w:r>
              <w:rPr>
                <w:rFonts w:hint="eastAsia" w:ascii="宋体" w:hAnsi="宋体" w:eastAsia="宋体"/>
                <w:color w:val="auto"/>
                <w:szCs w:val="21"/>
                <w:highlight w:val="none"/>
              </w:rPr>
              <w:t>15</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2D7D14BF">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不同投标人的投标文件相互混装；</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FE375C5">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9A2C1A2">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1812CDB">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1537491">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E118E93">
            <w:pPr>
              <w:spacing w:line="300" w:lineRule="exact"/>
              <w:rPr>
                <w:rFonts w:ascii="宋体" w:hAnsi="宋体" w:eastAsia="宋体"/>
                <w:color w:val="auto"/>
                <w:szCs w:val="21"/>
                <w:highlight w:val="none"/>
              </w:rPr>
            </w:pPr>
          </w:p>
        </w:tc>
      </w:tr>
      <w:tr w14:paraId="61317D2D">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6D51B8F9">
            <w:pPr>
              <w:spacing w:line="300" w:lineRule="exact"/>
              <w:jc w:val="center"/>
              <w:rPr>
                <w:rFonts w:hint="default" w:ascii="宋体" w:hAnsi="宋体" w:eastAsia="宋体"/>
                <w:strike/>
                <w:color w:val="auto"/>
                <w:szCs w:val="21"/>
                <w:highlight w:val="none"/>
                <w:lang w:val="en-US" w:eastAsia="zh-CN"/>
              </w:rPr>
            </w:pPr>
            <w:r>
              <w:rPr>
                <w:rFonts w:hint="eastAsia" w:ascii="宋体" w:hAnsi="宋体" w:eastAsia="宋体"/>
                <w:strike/>
                <w:color w:val="auto"/>
                <w:szCs w:val="21"/>
                <w:highlight w:val="none"/>
                <w:lang w:val="en-US" w:eastAsia="zh-CN"/>
              </w:rPr>
              <w:t>16</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499ACEFE">
            <w:pPr>
              <w:spacing w:line="300" w:lineRule="exact"/>
              <w:rPr>
                <w:rFonts w:hint="eastAsia" w:ascii="宋体" w:hAnsi="宋体" w:eastAsia="宋体"/>
                <w:strike/>
                <w:color w:val="auto"/>
                <w:szCs w:val="21"/>
                <w:highlight w:val="none"/>
              </w:rPr>
            </w:pPr>
            <w:r>
              <w:rPr>
                <w:rFonts w:hint="eastAsia" w:ascii="宋体" w:hAnsi="宋体" w:eastAsia="宋体"/>
                <w:strike/>
                <w:color w:val="auto"/>
                <w:szCs w:val="21"/>
                <w:highlight w:val="none"/>
              </w:rPr>
              <w:t>不同投标人的投标保证金从同一单位或者个人的账户转出；</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83472C4">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FF81541">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7D287DE">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DBD9FAE">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500D9CE">
            <w:pPr>
              <w:spacing w:line="300" w:lineRule="exact"/>
              <w:rPr>
                <w:rFonts w:ascii="宋体" w:hAnsi="宋体" w:eastAsia="宋体"/>
                <w:color w:val="auto"/>
                <w:szCs w:val="21"/>
                <w:highlight w:val="none"/>
              </w:rPr>
            </w:pPr>
          </w:p>
        </w:tc>
      </w:tr>
      <w:tr w14:paraId="5F78CF21">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41644354">
            <w:pPr>
              <w:spacing w:line="300" w:lineRule="exact"/>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17</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6923CD17">
            <w:pPr>
              <w:spacing w:line="300" w:lineRule="exact"/>
              <w:rPr>
                <w:rFonts w:hint="eastAsia" w:ascii="宋体" w:hAnsi="宋体" w:eastAsia="宋体"/>
                <w:color w:val="auto"/>
                <w:szCs w:val="21"/>
                <w:highlight w:val="none"/>
              </w:rPr>
            </w:pPr>
            <w:r>
              <w:rPr>
                <w:rFonts w:hint="eastAsia" w:ascii="宋体" w:hAnsi="宋体" w:eastAsia="宋体"/>
                <w:color w:val="auto"/>
                <w:szCs w:val="21"/>
                <w:highlight w:val="none"/>
              </w:rPr>
              <w:t>不同投标人的投标报价中分部分项工程量清单综合单价相似度达到80%及以上的；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8A17F70">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2FD3789">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FE02F66">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7936288">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714F330">
            <w:pPr>
              <w:spacing w:line="300" w:lineRule="exact"/>
              <w:rPr>
                <w:rFonts w:ascii="宋体" w:hAnsi="宋体" w:eastAsia="宋体"/>
                <w:color w:val="auto"/>
                <w:szCs w:val="21"/>
                <w:highlight w:val="none"/>
              </w:rPr>
            </w:pPr>
          </w:p>
        </w:tc>
      </w:tr>
      <w:tr w14:paraId="3733E70A">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4D67DD72">
            <w:pPr>
              <w:spacing w:line="300" w:lineRule="exact"/>
              <w:jc w:val="center"/>
              <w:rPr>
                <w:rFonts w:ascii="宋体" w:hAnsi="宋体" w:eastAsia="宋体"/>
                <w:color w:val="auto"/>
                <w:szCs w:val="21"/>
                <w:highlight w:val="none"/>
              </w:rPr>
            </w:pPr>
            <w:r>
              <w:rPr>
                <w:rFonts w:hint="eastAsia" w:ascii="宋体" w:hAnsi="宋体" w:eastAsia="宋体"/>
                <w:color w:val="auto"/>
                <w:szCs w:val="21"/>
                <w:highlight w:val="none"/>
                <w:lang w:val="en-US" w:eastAsia="zh-CN"/>
              </w:rPr>
              <w:t>18</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680774D0">
            <w:pPr>
              <w:spacing w:line="300" w:lineRule="exact"/>
              <w:rPr>
                <w:rFonts w:hint="eastAsia" w:ascii="宋体" w:hAnsi="宋体" w:eastAsia="宋体"/>
                <w:color w:val="auto"/>
                <w:szCs w:val="21"/>
                <w:highlight w:val="none"/>
              </w:rPr>
            </w:pPr>
            <w:r>
              <w:rPr>
                <w:rFonts w:hint="eastAsia" w:ascii="宋体" w:hAnsi="宋体" w:eastAsia="宋体"/>
                <w:color w:val="auto"/>
                <w:szCs w:val="21"/>
                <w:highlight w:val="none"/>
              </w:rPr>
              <w:t>不同投标人加密打包投标文件的电脑机器特征码相同的；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749B041">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9302818">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A5AAF7D">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CF81276">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4890DA7">
            <w:pPr>
              <w:spacing w:line="300" w:lineRule="exact"/>
              <w:rPr>
                <w:rFonts w:ascii="宋体" w:hAnsi="宋体" w:eastAsia="宋体"/>
                <w:color w:val="auto"/>
                <w:szCs w:val="21"/>
                <w:highlight w:val="none"/>
              </w:rPr>
            </w:pPr>
          </w:p>
        </w:tc>
      </w:tr>
      <w:tr w14:paraId="6AB4F4D4">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02DAF4BA">
            <w:pPr>
              <w:spacing w:line="300" w:lineRule="exact"/>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19</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585A1B8C">
            <w:pPr>
              <w:spacing w:line="300" w:lineRule="exact"/>
              <w:rPr>
                <w:rFonts w:hint="eastAsia" w:ascii="宋体" w:hAnsi="宋体" w:eastAsia="宋体"/>
                <w:color w:val="auto"/>
                <w:szCs w:val="21"/>
                <w:highlight w:val="none"/>
                <w:lang w:eastAsia="zh-CN"/>
              </w:rPr>
            </w:pPr>
            <w:r>
              <w:rPr>
                <w:rFonts w:hint="eastAsia" w:ascii="宋体" w:hAnsi="宋体" w:eastAsia="宋体"/>
                <w:color w:val="auto"/>
                <w:szCs w:val="21"/>
                <w:highlight w:val="none"/>
              </w:rPr>
              <w:t>不同投标人的投标文件工程量清单编制机器硬件信息相同的</w:t>
            </w:r>
            <w:r>
              <w:rPr>
                <w:rFonts w:hint="eastAsia" w:ascii="宋体" w:hAnsi="宋体" w:eastAsia="宋体"/>
                <w:color w:val="auto"/>
                <w:szCs w:val="21"/>
                <w:highlight w:val="none"/>
                <w:lang w:eastAsia="zh-CN"/>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ABAC56E">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8DF2D49">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BDBBFC6">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20B984E">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67BC5FA">
            <w:pPr>
              <w:spacing w:line="300" w:lineRule="exact"/>
              <w:rPr>
                <w:rFonts w:ascii="宋体" w:hAnsi="宋体" w:eastAsia="宋体"/>
                <w:color w:val="auto"/>
                <w:szCs w:val="21"/>
                <w:highlight w:val="none"/>
              </w:rPr>
            </w:pPr>
          </w:p>
        </w:tc>
      </w:tr>
      <w:tr w14:paraId="583BE2DD">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12372BB4">
            <w:pPr>
              <w:spacing w:line="300" w:lineRule="exact"/>
              <w:jc w:val="center"/>
              <w:rPr>
                <w:rFonts w:hint="default" w:ascii="宋体" w:hAnsi="宋体" w:eastAsia="宋体"/>
                <w:strike/>
                <w:color w:val="auto"/>
                <w:szCs w:val="21"/>
                <w:highlight w:val="none"/>
                <w:lang w:val="en-US" w:eastAsia="zh-CN"/>
              </w:rPr>
            </w:pPr>
            <w:r>
              <w:rPr>
                <w:rFonts w:hint="eastAsia" w:ascii="宋体" w:hAnsi="宋体" w:eastAsia="宋体"/>
                <w:strike/>
                <w:color w:val="auto"/>
                <w:szCs w:val="21"/>
                <w:highlight w:val="none"/>
                <w:lang w:val="en-US" w:eastAsia="zh-CN"/>
              </w:rPr>
              <w:t>20</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7DEC4295">
            <w:pPr>
              <w:spacing w:line="300" w:lineRule="exact"/>
              <w:rPr>
                <w:rFonts w:hint="eastAsia" w:ascii="宋体" w:hAnsi="宋体" w:eastAsia="宋体"/>
                <w:strike/>
                <w:color w:val="auto"/>
                <w:szCs w:val="21"/>
                <w:highlight w:val="none"/>
              </w:rPr>
            </w:pPr>
            <w:r>
              <w:rPr>
                <w:rFonts w:hint="eastAsia" w:ascii="宋体" w:hAnsi="宋体" w:eastAsia="宋体" w:cs="Times New Roman"/>
                <w:strike/>
                <w:color w:val="auto"/>
                <w:szCs w:val="21"/>
                <w:highlight w:val="none"/>
                <w:lang w:eastAsia="zh-CN"/>
              </w:rPr>
              <w:t>未按要求提交投标保证金的；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3873A92">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26A0BD8">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AEC3C6C">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411341D">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13B5DFB">
            <w:pPr>
              <w:spacing w:line="300" w:lineRule="exact"/>
              <w:rPr>
                <w:rFonts w:ascii="宋体" w:hAnsi="宋体" w:eastAsia="宋体"/>
                <w:color w:val="auto"/>
                <w:szCs w:val="21"/>
                <w:highlight w:val="none"/>
              </w:rPr>
            </w:pPr>
          </w:p>
        </w:tc>
      </w:tr>
      <w:tr w14:paraId="224C74F4">
        <w:tblPrEx>
          <w:tblCellMar>
            <w:top w:w="0" w:type="dxa"/>
            <w:left w:w="108" w:type="dxa"/>
            <w:bottom w:w="0" w:type="dxa"/>
            <w:right w:w="108" w:type="dxa"/>
          </w:tblCellMar>
        </w:tblPrEx>
        <w:trPr>
          <w:trHeight w:val="268"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6341275D">
            <w:pPr>
              <w:spacing w:line="300" w:lineRule="exact"/>
              <w:jc w:val="center"/>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lang w:val="en-US" w:eastAsia="zh-CN"/>
              </w:rPr>
              <w:t>21</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41C8B84B">
            <w:pPr>
              <w:spacing w:line="300" w:lineRule="exact"/>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无《对投标文件编制的承诺》。</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3848490">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5FA704A">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9F5052C">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F352015">
            <w:pPr>
              <w:spacing w:line="300" w:lineRule="exact"/>
              <w:rPr>
                <w:rFonts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CE9EB4F">
            <w:pPr>
              <w:spacing w:line="300" w:lineRule="exact"/>
              <w:rPr>
                <w:rFonts w:ascii="宋体" w:hAnsi="宋体" w:eastAsia="宋体"/>
                <w:color w:val="auto"/>
                <w:szCs w:val="21"/>
                <w:highlight w:val="none"/>
              </w:rPr>
            </w:pPr>
          </w:p>
        </w:tc>
      </w:tr>
    </w:tbl>
    <w:p w14:paraId="172BA690">
      <w:pPr>
        <w:spacing w:line="240" w:lineRule="exact"/>
        <w:jc w:val="left"/>
        <w:rPr>
          <w:rFonts w:hint="eastAsia" w:ascii="宋体" w:hAnsi="宋体" w:eastAsia="宋体"/>
          <w:color w:val="auto"/>
          <w:sz w:val="18"/>
          <w:szCs w:val="18"/>
          <w:highlight w:val="none"/>
        </w:rPr>
      </w:pPr>
      <w:r>
        <w:rPr>
          <w:rFonts w:hint="eastAsia" w:ascii="宋体" w:hAnsi="宋体" w:eastAsia="宋体"/>
          <w:color w:val="auto"/>
          <w:szCs w:val="21"/>
          <w:highlight w:val="none"/>
        </w:rPr>
        <w:t>注：</w:t>
      </w:r>
      <w:r>
        <w:rPr>
          <w:rFonts w:hint="eastAsia" w:ascii="宋体" w:hAnsi="宋体" w:eastAsia="宋体"/>
          <w:color w:val="auto"/>
          <w:sz w:val="18"/>
          <w:szCs w:val="18"/>
          <w:highlight w:val="none"/>
        </w:rPr>
        <w:t>1.本表使用GZYLZB202</w:t>
      </w:r>
      <w:r>
        <w:rPr>
          <w:rFonts w:hint="eastAsia" w:ascii="宋体" w:hAnsi="宋体" w:eastAsia="宋体"/>
          <w:color w:val="auto"/>
          <w:sz w:val="18"/>
          <w:szCs w:val="18"/>
          <w:highlight w:val="none"/>
          <w:lang w:val="en-US" w:eastAsia="zh-CN"/>
        </w:rPr>
        <w:t>3</w:t>
      </w:r>
      <w:r>
        <w:rPr>
          <w:rFonts w:hint="eastAsia" w:ascii="宋体" w:hAnsi="宋体" w:eastAsia="宋体"/>
          <w:color w:val="auto"/>
          <w:sz w:val="18"/>
          <w:szCs w:val="18"/>
          <w:highlight w:val="none"/>
        </w:rPr>
        <w:t>-1招标文件范本，与范本内容不同之处均以下划线标明。</w:t>
      </w:r>
    </w:p>
    <w:p w14:paraId="787AE342">
      <w:pPr>
        <w:spacing w:line="240" w:lineRule="exact"/>
        <w:ind w:firstLine="360" w:firstLineChars="200"/>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2.凡出现《投标文件否决性条款审查表》中任何一项情形，否决其投标。</w:t>
      </w:r>
    </w:p>
    <w:p w14:paraId="6F8D572E">
      <w:pPr>
        <w:spacing w:line="240" w:lineRule="exact"/>
        <w:ind w:left="359" w:leftChars="171"/>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3.分部分项工程量清单综合单价相似度和加密打包投标文件的电脑机器特征码以广州公共资源交易评标系统的检索信息为准。出现第</w:t>
      </w:r>
      <w:r>
        <w:rPr>
          <w:rFonts w:hint="eastAsia" w:ascii="宋体" w:hAnsi="宋体" w:eastAsia="宋体"/>
          <w:color w:val="auto"/>
          <w:sz w:val="18"/>
          <w:szCs w:val="18"/>
          <w:highlight w:val="none"/>
          <w:lang w:val="en-US" w:eastAsia="zh-CN"/>
        </w:rPr>
        <w:t>11-19</w:t>
      </w:r>
      <w:r>
        <w:rPr>
          <w:rFonts w:hint="eastAsia" w:ascii="宋体" w:hAnsi="宋体" w:eastAsia="宋体"/>
          <w:color w:val="auto"/>
          <w:sz w:val="18"/>
          <w:szCs w:val="18"/>
          <w:highlight w:val="none"/>
        </w:rPr>
        <w:t>项内容所列情形之一的，评标委员会应按照招标文件《投标人串通投标评审表》中的规定进行有关串通投标认定。</w:t>
      </w:r>
    </w:p>
    <w:p w14:paraId="5820E912">
      <w:pPr>
        <w:spacing w:line="240" w:lineRule="exact"/>
        <w:ind w:left="359" w:leftChars="171"/>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 xml:space="preserve">4.如对本表中某种情形的评审意见不一致时，以评标委员会过半数成员的意见作为评标委员会对该情形的认定结论。 </w:t>
      </w:r>
    </w:p>
    <w:p w14:paraId="757E5D92">
      <w:pPr>
        <w:spacing w:line="240" w:lineRule="exact"/>
        <w:rPr>
          <w:rFonts w:hint="eastAsia" w:ascii="宋体" w:hAnsi="宋体" w:eastAsia="宋体"/>
          <w:b/>
          <w:color w:val="auto"/>
          <w:szCs w:val="21"/>
          <w:highlight w:val="none"/>
        </w:rPr>
      </w:pPr>
    </w:p>
    <w:p w14:paraId="37C2C4AF">
      <w:pPr>
        <w:spacing w:line="240" w:lineRule="exact"/>
        <w:rPr>
          <w:rFonts w:hint="eastAsia" w:ascii="宋体" w:hAnsi="宋体" w:eastAsia="宋体"/>
          <w:b/>
          <w:color w:val="auto"/>
          <w:szCs w:val="21"/>
          <w:highlight w:val="none"/>
        </w:rPr>
      </w:pPr>
      <w:r>
        <w:rPr>
          <w:rFonts w:hint="eastAsia" w:ascii="宋体" w:hAnsi="宋体" w:eastAsia="宋体"/>
          <w:b/>
          <w:color w:val="auto"/>
          <w:szCs w:val="21"/>
          <w:highlight w:val="none"/>
        </w:rPr>
        <w:t>评委签名：                                                                                        日期：</w:t>
      </w:r>
    </w:p>
    <w:p w14:paraId="7518FABD">
      <w:pPr>
        <w:pStyle w:val="32"/>
        <w:ind w:firstLine="0"/>
        <w:outlineLvl w:val="2"/>
        <w:rPr>
          <w:rFonts w:hint="eastAsia" w:ascii="宋体" w:hAnsi="宋体" w:eastAsia="宋体"/>
          <w:color w:val="auto"/>
          <w:sz w:val="24"/>
          <w:szCs w:val="24"/>
          <w:highlight w:val="none"/>
        </w:rPr>
      </w:pPr>
      <w:bookmarkStart w:id="110" w:name="_Toc6821"/>
      <w:bookmarkStart w:id="111" w:name="_Toc10135"/>
      <w:bookmarkStart w:id="112" w:name="_Toc4887"/>
    </w:p>
    <w:p w14:paraId="40FB91E3">
      <w:pPr>
        <w:pStyle w:val="32"/>
        <w:ind w:firstLine="0"/>
        <w:outlineLvl w:val="2"/>
        <w:rPr>
          <w:rFonts w:hint="eastAsia" w:ascii="宋体" w:hAnsi="宋体" w:eastAsia="宋体"/>
          <w:color w:val="auto"/>
          <w:szCs w:val="21"/>
          <w:highlight w:val="none"/>
          <w:lang w:eastAsia="zh-CN"/>
        </w:rPr>
      </w:pPr>
      <w:bookmarkStart w:id="113" w:name="_Toc31358"/>
      <w:r>
        <w:rPr>
          <w:rFonts w:hint="eastAsia" w:ascii="宋体" w:hAnsi="宋体" w:eastAsia="宋体"/>
          <w:color w:val="auto"/>
          <w:sz w:val="24"/>
          <w:szCs w:val="24"/>
          <w:highlight w:val="none"/>
        </w:rPr>
        <w:t>附件</w:t>
      </w:r>
      <w:bookmarkEnd w:id="110"/>
      <w:bookmarkEnd w:id="111"/>
      <w:r>
        <w:rPr>
          <w:rFonts w:hint="eastAsia" w:ascii="宋体" w:hAnsi="宋体" w:eastAsia="宋体"/>
          <w:color w:val="auto"/>
          <w:sz w:val="24"/>
          <w:szCs w:val="24"/>
          <w:highlight w:val="none"/>
          <w:lang w:val="en-US" w:eastAsia="zh-CN"/>
        </w:rPr>
        <w:t>6</w:t>
      </w:r>
      <w:bookmarkEnd w:id="112"/>
      <w:bookmarkEnd w:id="113"/>
    </w:p>
    <w:p w14:paraId="06E5FEB9">
      <w:pPr>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投标人串通投标评审表</w:t>
      </w:r>
    </w:p>
    <w:tbl>
      <w:tblPr>
        <w:tblStyle w:val="34"/>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491"/>
        <w:gridCol w:w="1188"/>
        <w:gridCol w:w="1716"/>
        <w:gridCol w:w="7553"/>
        <w:gridCol w:w="908"/>
        <w:gridCol w:w="1815"/>
      </w:tblGrid>
      <w:tr w14:paraId="3151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46" w:type="dxa"/>
            <w:gridSpan w:val="3"/>
            <w:vMerge w:val="restart"/>
            <w:noWrap w:val="0"/>
            <w:vAlign w:val="center"/>
          </w:tcPr>
          <w:p w14:paraId="552810A5">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投标人名称</w:t>
            </w:r>
          </w:p>
        </w:tc>
        <w:tc>
          <w:tcPr>
            <w:tcW w:w="10177" w:type="dxa"/>
            <w:gridSpan w:val="3"/>
            <w:vMerge w:val="restart"/>
            <w:noWrap w:val="0"/>
            <w:vAlign w:val="center"/>
          </w:tcPr>
          <w:p w14:paraId="0228206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815" w:type="dxa"/>
            <w:vMerge w:val="restart"/>
            <w:noWrap w:val="0"/>
            <w:vAlign w:val="center"/>
          </w:tcPr>
          <w:p w14:paraId="7118846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6492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46" w:type="dxa"/>
            <w:gridSpan w:val="3"/>
            <w:vMerge w:val="continue"/>
            <w:noWrap w:val="0"/>
            <w:vAlign w:val="center"/>
          </w:tcPr>
          <w:p w14:paraId="494A55FD">
            <w:pPr>
              <w:widowControl/>
              <w:jc w:val="left"/>
              <w:rPr>
                <w:rFonts w:ascii="宋体" w:hAnsi="宋体" w:eastAsia="宋体" w:cs="宋体"/>
                <w:color w:val="auto"/>
                <w:kern w:val="0"/>
                <w:sz w:val="24"/>
                <w:szCs w:val="24"/>
                <w:highlight w:val="none"/>
              </w:rPr>
            </w:pPr>
          </w:p>
        </w:tc>
        <w:tc>
          <w:tcPr>
            <w:tcW w:w="10177" w:type="dxa"/>
            <w:gridSpan w:val="3"/>
            <w:vMerge w:val="continue"/>
            <w:noWrap w:val="0"/>
            <w:vAlign w:val="center"/>
          </w:tcPr>
          <w:p w14:paraId="4C1F15D2">
            <w:pPr>
              <w:widowControl/>
              <w:jc w:val="left"/>
              <w:rPr>
                <w:rFonts w:ascii="宋体" w:hAnsi="宋体" w:eastAsia="宋体" w:cs="宋体"/>
                <w:color w:val="auto"/>
                <w:kern w:val="0"/>
                <w:sz w:val="24"/>
                <w:szCs w:val="24"/>
                <w:highlight w:val="none"/>
              </w:rPr>
            </w:pPr>
          </w:p>
        </w:tc>
        <w:tc>
          <w:tcPr>
            <w:tcW w:w="1815" w:type="dxa"/>
            <w:vMerge w:val="continue"/>
            <w:noWrap w:val="0"/>
            <w:vAlign w:val="center"/>
          </w:tcPr>
          <w:p w14:paraId="4116A7E9">
            <w:pPr>
              <w:widowControl/>
              <w:jc w:val="left"/>
              <w:rPr>
                <w:rFonts w:ascii="宋体" w:hAnsi="宋体" w:eastAsia="宋体" w:cs="宋体"/>
                <w:color w:val="auto"/>
                <w:kern w:val="0"/>
                <w:sz w:val="24"/>
                <w:szCs w:val="24"/>
                <w:highlight w:val="none"/>
              </w:rPr>
            </w:pPr>
          </w:p>
        </w:tc>
      </w:tr>
      <w:tr w14:paraId="5174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restart"/>
            <w:noWrap w:val="0"/>
            <w:textDirection w:val="tbRlV"/>
            <w:vAlign w:val="center"/>
          </w:tcPr>
          <w:p w14:paraId="6525685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串通投标认定</w:t>
            </w:r>
          </w:p>
        </w:tc>
        <w:tc>
          <w:tcPr>
            <w:tcW w:w="491" w:type="dxa"/>
            <w:vMerge w:val="restart"/>
            <w:noWrap w:val="0"/>
            <w:vAlign w:val="center"/>
          </w:tcPr>
          <w:p w14:paraId="50E9F93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88" w:type="dxa"/>
            <w:vMerge w:val="restart"/>
            <w:noWrap w:val="0"/>
            <w:vAlign w:val="center"/>
          </w:tcPr>
          <w:p w14:paraId="61D0708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存在</w:t>
            </w:r>
          </w:p>
          <w:p w14:paraId="2EC96D82">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情形</w:t>
            </w:r>
          </w:p>
        </w:tc>
        <w:tc>
          <w:tcPr>
            <w:tcW w:w="9269" w:type="dxa"/>
            <w:gridSpan w:val="2"/>
            <w:noWrap w:val="0"/>
            <w:vAlign w:val="center"/>
          </w:tcPr>
          <w:p w14:paraId="0F96A01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不同投标人的投标文件由同一单位或者个人编制；   </w:t>
            </w:r>
          </w:p>
        </w:tc>
        <w:tc>
          <w:tcPr>
            <w:tcW w:w="908" w:type="dxa"/>
            <w:noWrap w:val="0"/>
            <w:vAlign w:val="center"/>
          </w:tcPr>
          <w:p w14:paraId="393A45C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restart"/>
            <w:noWrap w:val="0"/>
            <w:vAlign w:val="bottom"/>
          </w:tcPr>
          <w:p w14:paraId="64416230">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8CA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3DE00111">
            <w:pPr>
              <w:widowControl/>
              <w:jc w:val="left"/>
              <w:rPr>
                <w:rFonts w:ascii="宋体" w:hAnsi="宋体" w:eastAsia="宋体" w:cs="宋体"/>
                <w:color w:val="auto"/>
                <w:kern w:val="0"/>
                <w:sz w:val="24"/>
                <w:szCs w:val="24"/>
                <w:highlight w:val="none"/>
              </w:rPr>
            </w:pPr>
          </w:p>
        </w:tc>
        <w:tc>
          <w:tcPr>
            <w:tcW w:w="491" w:type="dxa"/>
            <w:vMerge w:val="continue"/>
            <w:noWrap w:val="0"/>
            <w:vAlign w:val="center"/>
          </w:tcPr>
          <w:p w14:paraId="7F0DE87F">
            <w:pPr>
              <w:widowControl/>
              <w:jc w:val="left"/>
              <w:rPr>
                <w:rFonts w:ascii="宋体" w:hAnsi="宋体" w:eastAsia="宋体" w:cs="宋体"/>
                <w:color w:val="auto"/>
                <w:kern w:val="0"/>
                <w:sz w:val="24"/>
                <w:szCs w:val="24"/>
                <w:highlight w:val="none"/>
              </w:rPr>
            </w:pPr>
          </w:p>
        </w:tc>
        <w:tc>
          <w:tcPr>
            <w:tcW w:w="1188" w:type="dxa"/>
            <w:vMerge w:val="continue"/>
            <w:noWrap w:val="0"/>
            <w:vAlign w:val="center"/>
          </w:tcPr>
          <w:p w14:paraId="1510958B">
            <w:pPr>
              <w:widowControl/>
              <w:jc w:val="left"/>
              <w:rPr>
                <w:rFonts w:ascii="宋体" w:hAnsi="宋体" w:eastAsia="宋体" w:cs="宋体"/>
                <w:color w:val="auto"/>
                <w:kern w:val="0"/>
                <w:sz w:val="24"/>
                <w:szCs w:val="24"/>
                <w:highlight w:val="none"/>
              </w:rPr>
            </w:pPr>
          </w:p>
        </w:tc>
        <w:tc>
          <w:tcPr>
            <w:tcW w:w="9269" w:type="dxa"/>
            <w:gridSpan w:val="2"/>
            <w:noWrap w:val="0"/>
            <w:vAlign w:val="center"/>
          </w:tcPr>
          <w:p w14:paraId="0836383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不同投标人委托同一单位或者个人办理投标事宜；  </w:t>
            </w:r>
          </w:p>
        </w:tc>
        <w:tc>
          <w:tcPr>
            <w:tcW w:w="908" w:type="dxa"/>
            <w:noWrap w:val="0"/>
            <w:vAlign w:val="center"/>
          </w:tcPr>
          <w:p w14:paraId="4AAB9B8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1486D47F">
            <w:pPr>
              <w:widowControl/>
              <w:jc w:val="left"/>
              <w:rPr>
                <w:rFonts w:ascii="宋体" w:hAnsi="宋体" w:eastAsia="宋体" w:cs="宋体"/>
                <w:color w:val="auto"/>
                <w:kern w:val="0"/>
                <w:sz w:val="24"/>
                <w:szCs w:val="24"/>
                <w:highlight w:val="none"/>
              </w:rPr>
            </w:pPr>
          </w:p>
        </w:tc>
      </w:tr>
      <w:tr w14:paraId="3548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1F4AAD9E">
            <w:pPr>
              <w:widowControl/>
              <w:jc w:val="left"/>
              <w:rPr>
                <w:rFonts w:ascii="宋体" w:hAnsi="宋体" w:eastAsia="宋体" w:cs="宋体"/>
                <w:color w:val="auto"/>
                <w:kern w:val="0"/>
                <w:sz w:val="24"/>
                <w:szCs w:val="24"/>
                <w:highlight w:val="none"/>
              </w:rPr>
            </w:pPr>
          </w:p>
        </w:tc>
        <w:tc>
          <w:tcPr>
            <w:tcW w:w="491" w:type="dxa"/>
            <w:vMerge w:val="continue"/>
            <w:noWrap w:val="0"/>
            <w:vAlign w:val="center"/>
          </w:tcPr>
          <w:p w14:paraId="4AFADCC4">
            <w:pPr>
              <w:widowControl/>
              <w:jc w:val="left"/>
              <w:rPr>
                <w:rFonts w:ascii="宋体" w:hAnsi="宋体" w:eastAsia="宋体" w:cs="宋体"/>
                <w:color w:val="auto"/>
                <w:kern w:val="0"/>
                <w:sz w:val="24"/>
                <w:szCs w:val="24"/>
                <w:highlight w:val="none"/>
              </w:rPr>
            </w:pPr>
          </w:p>
        </w:tc>
        <w:tc>
          <w:tcPr>
            <w:tcW w:w="1188" w:type="dxa"/>
            <w:vMerge w:val="continue"/>
            <w:noWrap w:val="0"/>
            <w:vAlign w:val="center"/>
          </w:tcPr>
          <w:p w14:paraId="64E562C6">
            <w:pPr>
              <w:widowControl/>
              <w:jc w:val="left"/>
              <w:rPr>
                <w:rFonts w:ascii="宋体" w:hAnsi="宋体" w:eastAsia="宋体" w:cs="宋体"/>
                <w:color w:val="auto"/>
                <w:kern w:val="0"/>
                <w:sz w:val="24"/>
                <w:szCs w:val="24"/>
                <w:highlight w:val="none"/>
              </w:rPr>
            </w:pPr>
          </w:p>
        </w:tc>
        <w:tc>
          <w:tcPr>
            <w:tcW w:w="9269" w:type="dxa"/>
            <w:gridSpan w:val="2"/>
            <w:noWrap w:val="0"/>
            <w:vAlign w:val="center"/>
          </w:tcPr>
          <w:p w14:paraId="3669878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不同投标人的投标文件载明的项目管理成员为同一人；</w:t>
            </w:r>
          </w:p>
        </w:tc>
        <w:tc>
          <w:tcPr>
            <w:tcW w:w="908" w:type="dxa"/>
            <w:noWrap w:val="0"/>
            <w:vAlign w:val="center"/>
          </w:tcPr>
          <w:p w14:paraId="5134DBE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5E8C78E0">
            <w:pPr>
              <w:widowControl/>
              <w:jc w:val="left"/>
              <w:rPr>
                <w:rFonts w:ascii="宋体" w:hAnsi="宋体" w:eastAsia="宋体" w:cs="宋体"/>
                <w:color w:val="auto"/>
                <w:kern w:val="0"/>
                <w:sz w:val="24"/>
                <w:szCs w:val="24"/>
                <w:highlight w:val="none"/>
              </w:rPr>
            </w:pPr>
          </w:p>
        </w:tc>
      </w:tr>
      <w:tr w14:paraId="43BA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32B9C012">
            <w:pPr>
              <w:widowControl/>
              <w:jc w:val="left"/>
              <w:rPr>
                <w:rFonts w:ascii="宋体" w:hAnsi="宋体" w:eastAsia="宋体" w:cs="宋体"/>
                <w:color w:val="auto"/>
                <w:kern w:val="0"/>
                <w:sz w:val="24"/>
                <w:szCs w:val="24"/>
                <w:highlight w:val="none"/>
              </w:rPr>
            </w:pPr>
          </w:p>
        </w:tc>
        <w:tc>
          <w:tcPr>
            <w:tcW w:w="491" w:type="dxa"/>
            <w:vMerge w:val="continue"/>
            <w:noWrap w:val="0"/>
            <w:vAlign w:val="center"/>
          </w:tcPr>
          <w:p w14:paraId="3DF2B896">
            <w:pPr>
              <w:widowControl/>
              <w:jc w:val="left"/>
              <w:rPr>
                <w:rFonts w:ascii="宋体" w:hAnsi="宋体" w:eastAsia="宋体" w:cs="宋体"/>
                <w:color w:val="auto"/>
                <w:kern w:val="0"/>
                <w:sz w:val="24"/>
                <w:szCs w:val="24"/>
                <w:highlight w:val="none"/>
              </w:rPr>
            </w:pPr>
          </w:p>
        </w:tc>
        <w:tc>
          <w:tcPr>
            <w:tcW w:w="1188" w:type="dxa"/>
            <w:vMerge w:val="continue"/>
            <w:noWrap w:val="0"/>
            <w:vAlign w:val="center"/>
          </w:tcPr>
          <w:p w14:paraId="610184C6">
            <w:pPr>
              <w:widowControl/>
              <w:jc w:val="left"/>
              <w:rPr>
                <w:rFonts w:ascii="宋体" w:hAnsi="宋体" w:eastAsia="宋体" w:cs="宋体"/>
                <w:color w:val="auto"/>
                <w:kern w:val="0"/>
                <w:sz w:val="24"/>
                <w:szCs w:val="24"/>
                <w:highlight w:val="none"/>
              </w:rPr>
            </w:pPr>
          </w:p>
        </w:tc>
        <w:tc>
          <w:tcPr>
            <w:tcW w:w="9269" w:type="dxa"/>
            <w:gridSpan w:val="2"/>
            <w:noWrap w:val="0"/>
            <w:vAlign w:val="center"/>
          </w:tcPr>
          <w:p w14:paraId="521E90E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不同投标人的投标文件异常一致或者投标报价呈规律性差异；</w:t>
            </w:r>
          </w:p>
        </w:tc>
        <w:tc>
          <w:tcPr>
            <w:tcW w:w="908" w:type="dxa"/>
            <w:noWrap w:val="0"/>
            <w:vAlign w:val="center"/>
          </w:tcPr>
          <w:p w14:paraId="2B8D010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0418887D">
            <w:pPr>
              <w:widowControl/>
              <w:jc w:val="left"/>
              <w:rPr>
                <w:rFonts w:ascii="宋体" w:hAnsi="宋体" w:eastAsia="宋体" w:cs="宋体"/>
                <w:color w:val="auto"/>
                <w:kern w:val="0"/>
                <w:sz w:val="24"/>
                <w:szCs w:val="24"/>
                <w:highlight w:val="none"/>
              </w:rPr>
            </w:pPr>
          </w:p>
        </w:tc>
      </w:tr>
      <w:tr w14:paraId="6A7B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6441C605">
            <w:pPr>
              <w:widowControl/>
              <w:jc w:val="left"/>
              <w:rPr>
                <w:rFonts w:ascii="宋体" w:hAnsi="宋体" w:eastAsia="宋体" w:cs="宋体"/>
                <w:color w:val="auto"/>
                <w:kern w:val="0"/>
                <w:sz w:val="24"/>
                <w:szCs w:val="24"/>
                <w:highlight w:val="none"/>
              </w:rPr>
            </w:pPr>
          </w:p>
        </w:tc>
        <w:tc>
          <w:tcPr>
            <w:tcW w:w="491" w:type="dxa"/>
            <w:vMerge w:val="continue"/>
            <w:noWrap w:val="0"/>
            <w:vAlign w:val="center"/>
          </w:tcPr>
          <w:p w14:paraId="44B3D0AA">
            <w:pPr>
              <w:widowControl/>
              <w:jc w:val="left"/>
              <w:rPr>
                <w:rFonts w:ascii="宋体" w:hAnsi="宋体" w:eastAsia="宋体" w:cs="宋体"/>
                <w:color w:val="auto"/>
                <w:kern w:val="0"/>
                <w:sz w:val="24"/>
                <w:szCs w:val="24"/>
                <w:highlight w:val="none"/>
              </w:rPr>
            </w:pPr>
          </w:p>
        </w:tc>
        <w:tc>
          <w:tcPr>
            <w:tcW w:w="1188" w:type="dxa"/>
            <w:vMerge w:val="continue"/>
            <w:noWrap w:val="0"/>
            <w:vAlign w:val="center"/>
          </w:tcPr>
          <w:p w14:paraId="4C23B14F">
            <w:pPr>
              <w:widowControl/>
              <w:jc w:val="left"/>
              <w:rPr>
                <w:rFonts w:ascii="宋体" w:hAnsi="宋体" w:eastAsia="宋体" w:cs="宋体"/>
                <w:color w:val="auto"/>
                <w:kern w:val="0"/>
                <w:sz w:val="24"/>
                <w:szCs w:val="24"/>
                <w:highlight w:val="none"/>
              </w:rPr>
            </w:pPr>
          </w:p>
        </w:tc>
        <w:tc>
          <w:tcPr>
            <w:tcW w:w="9269" w:type="dxa"/>
            <w:gridSpan w:val="2"/>
            <w:noWrap w:val="0"/>
            <w:vAlign w:val="center"/>
          </w:tcPr>
          <w:p w14:paraId="6BAA28A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不同投标人的投标文件相互混装； </w:t>
            </w:r>
          </w:p>
        </w:tc>
        <w:tc>
          <w:tcPr>
            <w:tcW w:w="908" w:type="dxa"/>
            <w:noWrap w:val="0"/>
            <w:vAlign w:val="center"/>
          </w:tcPr>
          <w:p w14:paraId="0F15C085">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582E8741">
            <w:pPr>
              <w:widowControl/>
              <w:jc w:val="left"/>
              <w:rPr>
                <w:rFonts w:ascii="宋体" w:hAnsi="宋体" w:eastAsia="宋体" w:cs="宋体"/>
                <w:color w:val="auto"/>
                <w:kern w:val="0"/>
                <w:sz w:val="24"/>
                <w:szCs w:val="24"/>
                <w:highlight w:val="none"/>
              </w:rPr>
            </w:pPr>
          </w:p>
        </w:tc>
      </w:tr>
      <w:tr w14:paraId="17C6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3231DEF8">
            <w:pPr>
              <w:widowControl/>
              <w:jc w:val="left"/>
              <w:rPr>
                <w:rFonts w:ascii="宋体" w:hAnsi="宋体" w:eastAsia="宋体" w:cs="宋体"/>
                <w:color w:val="auto"/>
                <w:kern w:val="0"/>
                <w:sz w:val="24"/>
                <w:szCs w:val="24"/>
                <w:highlight w:val="none"/>
              </w:rPr>
            </w:pPr>
          </w:p>
        </w:tc>
        <w:tc>
          <w:tcPr>
            <w:tcW w:w="491" w:type="dxa"/>
            <w:vMerge w:val="continue"/>
            <w:noWrap w:val="0"/>
            <w:vAlign w:val="center"/>
          </w:tcPr>
          <w:p w14:paraId="080FE659">
            <w:pPr>
              <w:widowControl/>
              <w:jc w:val="left"/>
              <w:rPr>
                <w:rFonts w:ascii="宋体" w:hAnsi="宋体" w:eastAsia="宋体" w:cs="宋体"/>
                <w:color w:val="auto"/>
                <w:kern w:val="0"/>
                <w:sz w:val="24"/>
                <w:szCs w:val="24"/>
                <w:highlight w:val="none"/>
              </w:rPr>
            </w:pPr>
          </w:p>
        </w:tc>
        <w:tc>
          <w:tcPr>
            <w:tcW w:w="1188" w:type="dxa"/>
            <w:vMerge w:val="continue"/>
            <w:noWrap w:val="0"/>
            <w:vAlign w:val="center"/>
          </w:tcPr>
          <w:p w14:paraId="54009CEE">
            <w:pPr>
              <w:widowControl/>
              <w:jc w:val="left"/>
              <w:rPr>
                <w:rFonts w:ascii="宋体" w:hAnsi="宋体" w:eastAsia="宋体" w:cs="宋体"/>
                <w:color w:val="auto"/>
                <w:kern w:val="0"/>
                <w:sz w:val="24"/>
                <w:szCs w:val="24"/>
                <w:highlight w:val="none"/>
              </w:rPr>
            </w:pPr>
          </w:p>
        </w:tc>
        <w:tc>
          <w:tcPr>
            <w:tcW w:w="9269" w:type="dxa"/>
            <w:gridSpan w:val="2"/>
            <w:tcBorders>
              <w:bottom w:val="single" w:color="auto" w:sz="4" w:space="0"/>
            </w:tcBorders>
            <w:noWrap w:val="0"/>
            <w:vAlign w:val="center"/>
          </w:tcPr>
          <w:p w14:paraId="3ADCD2DA">
            <w:pPr>
              <w:widowControl/>
              <w:jc w:val="left"/>
              <w:rPr>
                <w:rFonts w:ascii="宋体" w:hAnsi="宋体" w:eastAsia="宋体" w:cs="宋体"/>
                <w:color w:val="auto"/>
                <w:kern w:val="0"/>
                <w:sz w:val="24"/>
                <w:szCs w:val="24"/>
                <w:highlight w:val="none"/>
              </w:rPr>
            </w:pPr>
            <w:r>
              <w:rPr>
                <w:rFonts w:hint="eastAsia" w:ascii="宋体" w:hAnsi="宋体" w:eastAsia="宋体" w:cs="宋体"/>
                <w:strike/>
                <w:color w:val="auto"/>
                <w:kern w:val="0"/>
                <w:sz w:val="24"/>
                <w:szCs w:val="24"/>
                <w:highlight w:val="none"/>
              </w:rPr>
              <w:t xml:space="preserve">不同投标人的投标保证金从同一单位或者个人的账户转出； </w:t>
            </w:r>
          </w:p>
        </w:tc>
        <w:tc>
          <w:tcPr>
            <w:tcW w:w="908" w:type="dxa"/>
            <w:noWrap w:val="0"/>
            <w:vAlign w:val="center"/>
          </w:tcPr>
          <w:p w14:paraId="1F3CB9C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64CA3D28">
            <w:pPr>
              <w:widowControl/>
              <w:jc w:val="left"/>
              <w:rPr>
                <w:rFonts w:ascii="宋体" w:hAnsi="宋体" w:eastAsia="宋体" w:cs="宋体"/>
                <w:color w:val="auto"/>
                <w:kern w:val="0"/>
                <w:sz w:val="24"/>
                <w:szCs w:val="24"/>
                <w:highlight w:val="none"/>
              </w:rPr>
            </w:pPr>
          </w:p>
        </w:tc>
      </w:tr>
      <w:tr w14:paraId="0F25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456E09A7">
            <w:pPr>
              <w:widowControl/>
              <w:jc w:val="left"/>
              <w:rPr>
                <w:rFonts w:ascii="宋体" w:hAnsi="宋体" w:eastAsia="宋体" w:cs="宋体"/>
                <w:color w:val="auto"/>
                <w:kern w:val="0"/>
                <w:sz w:val="24"/>
                <w:szCs w:val="24"/>
                <w:highlight w:val="none"/>
              </w:rPr>
            </w:pPr>
          </w:p>
        </w:tc>
        <w:tc>
          <w:tcPr>
            <w:tcW w:w="491" w:type="dxa"/>
            <w:vMerge w:val="continue"/>
            <w:noWrap w:val="0"/>
            <w:vAlign w:val="center"/>
          </w:tcPr>
          <w:p w14:paraId="49AAE5DF">
            <w:pPr>
              <w:widowControl/>
              <w:jc w:val="left"/>
              <w:rPr>
                <w:rFonts w:ascii="宋体" w:hAnsi="宋体" w:eastAsia="宋体" w:cs="宋体"/>
                <w:color w:val="auto"/>
                <w:kern w:val="0"/>
                <w:sz w:val="24"/>
                <w:szCs w:val="24"/>
                <w:highlight w:val="none"/>
              </w:rPr>
            </w:pPr>
          </w:p>
        </w:tc>
        <w:tc>
          <w:tcPr>
            <w:tcW w:w="1188" w:type="dxa"/>
            <w:vMerge w:val="continue"/>
            <w:noWrap w:val="0"/>
            <w:vAlign w:val="center"/>
          </w:tcPr>
          <w:p w14:paraId="3672017B">
            <w:pPr>
              <w:widowControl/>
              <w:jc w:val="left"/>
              <w:rPr>
                <w:rFonts w:ascii="宋体" w:hAnsi="宋体" w:eastAsia="宋体" w:cs="宋体"/>
                <w:color w:val="auto"/>
                <w:kern w:val="0"/>
                <w:sz w:val="24"/>
                <w:szCs w:val="24"/>
                <w:highlight w:val="none"/>
              </w:rPr>
            </w:pPr>
          </w:p>
        </w:tc>
        <w:tc>
          <w:tcPr>
            <w:tcW w:w="9269" w:type="dxa"/>
            <w:gridSpan w:val="2"/>
            <w:noWrap w:val="0"/>
            <w:vAlign w:val="center"/>
          </w:tcPr>
          <w:p w14:paraId="2D2403B8">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不同投标人的投标报价中分部分项工程量清单综合单价相似度达到80%及以上的；</w:t>
            </w:r>
          </w:p>
        </w:tc>
        <w:tc>
          <w:tcPr>
            <w:tcW w:w="908" w:type="dxa"/>
            <w:noWrap w:val="0"/>
            <w:vAlign w:val="center"/>
          </w:tcPr>
          <w:p w14:paraId="4B0A87C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14933EAA">
            <w:pPr>
              <w:widowControl/>
              <w:jc w:val="left"/>
              <w:rPr>
                <w:rFonts w:ascii="宋体" w:hAnsi="宋体" w:eastAsia="宋体" w:cs="宋体"/>
                <w:color w:val="auto"/>
                <w:kern w:val="0"/>
                <w:sz w:val="24"/>
                <w:szCs w:val="24"/>
                <w:highlight w:val="none"/>
              </w:rPr>
            </w:pPr>
          </w:p>
        </w:tc>
      </w:tr>
      <w:tr w14:paraId="4B8D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502019F1">
            <w:pPr>
              <w:widowControl/>
              <w:jc w:val="left"/>
              <w:rPr>
                <w:rFonts w:ascii="宋体" w:hAnsi="宋体" w:eastAsia="宋体" w:cs="宋体"/>
                <w:color w:val="auto"/>
                <w:kern w:val="0"/>
                <w:sz w:val="24"/>
                <w:szCs w:val="24"/>
                <w:highlight w:val="none"/>
              </w:rPr>
            </w:pPr>
          </w:p>
        </w:tc>
        <w:tc>
          <w:tcPr>
            <w:tcW w:w="491" w:type="dxa"/>
            <w:vMerge w:val="continue"/>
            <w:noWrap w:val="0"/>
            <w:vAlign w:val="center"/>
          </w:tcPr>
          <w:p w14:paraId="74D84BF3">
            <w:pPr>
              <w:widowControl/>
              <w:jc w:val="left"/>
              <w:rPr>
                <w:rFonts w:ascii="宋体" w:hAnsi="宋体" w:eastAsia="宋体" w:cs="宋体"/>
                <w:color w:val="auto"/>
                <w:kern w:val="0"/>
                <w:sz w:val="24"/>
                <w:szCs w:val="24"/>
                <w:highlight w:val="none"/>
              </w:rPr>
            </w:pPr>
          </w:p>
        </w:tc>
        <w:tc>
          <w:tcPr>
            <w:tcW w:w="1188" w:type="dxa"/>
            <w:vMerge w:val="continue"/>
            <w:noWrap w:val="0"/>
            <w:vAlign w:val="center"/>
          </w:tcPr>
          <w:p w14:paraId="2D3FC32D">
            <w:pPr>
              <w:widowControl/>
              <w:jc w:val="left"/>
              <w:rPr>
                <w:rFonts w:ascii="宋体" w:hAnsi="宋体" w:eastAsia="宋体" w:cs="宋体"/>
                <w:color w:val="auto"/>
                <w:kern w:val="0"/>
                <w:sz w:val="24"/>
                <w:szCs w:val="24"/>
                <w:highlight w:val="none"/>
              </w:rPr>
            </w:pPr>
          </w:p>
        </w:tc>
        <w:tc>
          <w:tcPr>
            <w:tcW w:w="9269" w:type="dxa"/>
            <w:gridSpan w:val="2"/>
            <w:noWrap w:val="0"/>
            <w:vAlign w:val="center"/>
          </w:tcPr>
          <w:p w14:paraId="506ACEC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不同投标人加密打包投标文件的电脑机器特征码相同的。 </w:t>
            </w:r>
          </w:p>
        </w:tc>
        <w:tc>
          <w:tcPr>
            <w:tcW w:w="908" w:type="dxa"/>
            <w:noWrap w:val="0"/>
            <w:vAlign w:val="center"/>
          </w:tcPr>
          <w:p w14:paraId="5F4D1572">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73A66D7E">
            <w:pPr>
              <w:widowControl/>
              <w:jc w:val="left"/>
              <w:rPr>
                <w:rFonts w:ascii="宋体" w:hAnsi="宋体" w:eastAsia="宋体" w:cs="宋体"/>
                <w:color w:val="auto"/>
                <w:kern w:val="0"/>
                <w:sz w:val="24"/>
                <w:szCs w:val="24"/>
                <w:highlight w:val="none"/>
              </w:rPr>
            </w:pPr>
          </w:p>
        </w:tc>
      </w:tr>
      <w:tr w14:paraId="4D98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59971F52">
            <w:pPr>
              <w:widowControl/>
              <w:jc w:val="left"/>
              <w:rPr>
                <w:rFonts w:ascii="宋体" w:hAnsi="宋体" w:eastAsia="宋体" w:cs="宋体"/>
                <w:color w:val="auto"/>
                <w:kern w:val="0"/>
                <w:sz w:val="24"/>
                <w:szCs w:val="24"/>
                <w:highlight w:val="none"/>
              </w:rPr>
            </w:pPr>
          </w:p>
        </w:tc>
        <w:tc>
          <w:tcPr>
            <w:tcW w:w="491" w:type="dxa"/>
            <w:vMerge w:val="restart"/>
            <w:noWrap w:val="0"/>
            <w:vAlign w:val="center"/>
          </w:tcPr>
          <w:p w14:paraId="38BE974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188" w:type="dxa"/>
            <w:vMerge w:val="restart"/>
            <w:noWrap w:val="0"/>
            <w:vAlign w:val="center"/>
          </w:tcPr>
          <w:p w14:paraId="64012E5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澄清</w:t>
            </w:r>
          </w:p>
          <w:p w14:paraId="285A298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核查</w:t>
            </w:r>
          </w:p>
        </w:tc>
        <w:tc>
          <w:tcPr>
            <w:tcW w:w="10177" w:type="dxa"/>
            <w:gridSpan w:val="3"/>
            <w:noWrap w:val="0"/>
            <w:vAlign w:val="center"/>
          </w:tcPr>
          <w:p w14:paraId="6BFD007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无澄清 □</w:t>
            </w:r>
          </w:p>
        </w:tc>
        <w:tc>
          <w:tcPr>
            <w:tcW w:w="1815" w:type="dxa"/>
            <w:vMerge w:val="restart"/>
            <w:noWrap w:val="0"/>
            <w:vAlign w:val="bottom"/>
          </w:tcPr>
          <w:p w14:paraId="3D90EF65">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C05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42EED0F3">
            <w:pPr>
              <w:widowControl/>
              <w:jc w:val="left"/>
              <w:rPr>
                <w:rFonts w:ascii="宋体" w:hAnsi="宋体" w:eastAsia="宋体" w:cs="宋体"/>
                <w:color w:val="auto"/>
                <w:kern w:val="0"/>
                <w:sz w:val="24"/>
                <w:szCs w:val="24"/>
                <w:highlight w:val="none"/>
              </w:rPr>
            </w:pPr>
          </w:p>
        </w:tc>
        <w:tc>
          <w:tcPr>
            <w:tcW w:w="491" w:type="dxa"/>
            <w:vMerge w:val="continue"/>
            <w:noWrap w:val="0"/>
            <w:vAlign w:val="center"/>
          </w:tcPr>
          <w:p w14:paraId="6E21304C">
            <w:pPr>
              <w:widowControl/>
              <w:jc w:val="center"/>
              <w:rPr>
                <w:rFonts w:hint="eastAsia" w:ascii="宋体" w:hAnsi="宋体" w:eastAsia="宋体" w:cs="宋体"/>
                <w:color w:val="auto"/>
                <w:kern w:val="0"/>
                <w:sz w:val="24"/>
                <w:szCs w:val="24"/>
                <w:highlight w:val="none"/>
              </w:rPr>
            </w:pPr>
          </w:p>
        </w:tc>
        <w:tc>
          <w:tcPr>
            <w:tcW w:w="1188" w:type="dxa"/>
            <w:vMerge w:val="continue"/>
            <w:noWrap w:val="0"/>
            <w:vAlign w:val="center"/>
          </w:tcPr>
          <w:p w14:paraId="7ECE7682">
            <w:pPr>
              <w:widowControl/>
              <w:jc w:val="center"/>
              <w:rPr>
                <w:rFonts w:hint="eastAsia" w:ascii="宋体" w:hAnsi="宋体" w:eastAsia="宋体" w:cs="宋体"/>
                <w:color w:val="auto"/>
                <w:kern w:val="0"/>
                <w:sz w:val="24"/>
                <w:szCs w:val="24"/>
                <w:highlight w:val="none"/>
              </w:rPr>
            </w:pPr>
          </w:p>
        </w:tc>
        <w:tc>
          <w:tcPr>
            <w:tcW w:w="1716" w:type="dxa"/>
            <w:vMerge w:val="restart"/>
            <w:noWrap w:val="0"/>
            <w:vAlign w:val="center"/>
          </w:tcPr>
          <w:p w14:paraId="3F507FCE">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有澄清 □</w:t>
            </w:r>
          </w:p>
        </w:tc>
        <w:tc>
          <w:tcPr>
            <w:tcW w:w="8461" w:type="dxa"/>
            <w:gridSpan w:val="2"/>
            <w:noWrap w:val="0"/>
            <w:vAlign w:val="center"/>
          </w:tcPr>
          <w:p w14:paraId="04505E16">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澄清</w:t>
            </w:r>
            <w:r>
              <w:rPr>
                <w:rFonts w:hint="eastAsia" w:ascii="宋体" w:hAnsi="宋体" w:eastAsia="宋体" w:cs="宋体"/>
                <w:b/>
                <w:color w:val="auto"/>
                <w:kern w:val="0"/>
                <w:sz w:val="24"/>
                <w:szCs w:val="24"/>
                <w:highlight w:val="none"/>
              </w:rPr>
              <w:t>合理</w:t>
            </w:r>
            <w:r>
              <w:rPr>
                <w:rFonts w:hint="eastAsia" w:ascii="宋体" w:hAnsi="宋体" w:eastAsia="宋体" w:cs="宋体"/>
                <w:color w:val="auto"/>
                <w:kern w:val="0"/>
                <w:sz w:val="24"/>
                <w:szCs w:val="24"/>
                <w:highlight w:val="none"/>
              </w:rPr>
              <w:t xml:space="preserve">    □</w:t>
            </w:r>
          </w:p>
        </w:tc>
        <w:tc>
          <w:tcPr>
            <w:tcW w:w="1815" w:type="dxa"/>
            <w:vMerge w:val="continue"/>
            <w:noWrap w:val="0"/>
            <w:vAlign w:val="bottom"/>
          </w:tcPr>
          <w:p w14:paraId="3892E1D2">
            <w:pPr>
              <w:widowControl/>
              <w:jc w:val="center"/>
              <w:rPr>
                <w:rFonts w:hint="eastAsia" w:ascii="宋体" w:hAnsi="宋体" w:eastAsia="宋体" w:cs="宋体"/>
                <w:color w:val="auto"/>
                <w:kern w:val="0"/>
                <w:sz w:val="24"/>
                <w:szCs w:val="24"/>
                <w:highlight w:val="none"/>
              </w:rPr>
            </w:pPr>
          </w:p>
        </w:tc>
      </w:tr>
      <w:tr w14:paraId="21F2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4067A57B">
            <w:pPr>
              <w:widowControl/>
              <w:jc w:val="left"/>
              <w:rPr>
                <w:rFonts w:ascii="宋体" w:hAnsi="宋体" w:eastAsia="宋体" w:cs="宋体"/>
                <w:color w:val="auto"/>
                <w:kern w:val="0"/>
                <w:sz w:val="24"/>
                <w:szCs w:val="24"/>
                <w:highlight w:val="none"/>
              </w:rPr>
            </w:pPr>
          </w:p>
        </w:tc>
        <w:tc>
          <w:tcPr>
            <w:tcW w:w="491" w:type="dxa"/>
            <w:vMerge w:val="continue"/>
            <w:noWrap w:val="0"/>
            <w:vAlign w:val="center"/>
          </w:tcPr>
          <w:p w14:paraId="0EE615FF">
            <w:pPr>
              <w:widowControl/>
              <w:jc w:val="center"/>
              <w:rPr>
                <w:rFonts w:hint="eastAsia" w:ascii="宋体" w:hAnsi="宋体" w:eastAsia="宋体" w:cs="宋体"/>
                <w:color w:val="auto"/>
                <w:kern w:val="0"/>
                <w:sz w:val="24"/>
                <w:szCs w:val="24"/>
                <w:highlight w:val="none"/>
              </w:rPr>
            </w:pPr>
          </w:p>
        </w:tc>
        <w:tc>
          <w:tcPr>
            <w:tcW w:w="1188" w:type="dxa"/>
            <w:vMerge w:val="continue"/>
            <w:noWrap w:val="0"/>
            <w:vAlign w:val="center"/>
          </w:tcPr>
          <w:p w14:paraId="38A7CF14">
            <w:pPr>
              <w:widowControl/>
              <w:jc w:val="center"/>
              <w:rPr>
                <w:rFonts w:hint="eastAsia" w:ascii="宋体" w:hAnsi="宋体" w:eastAsia="宋体" w:cs="宋体"/>
                <w:color w:val="auto"/>
                <w:kern w:val="0"/>
                <w:sz w:val="24"/>
                <w:szCs w:val="24"/>
                <w:highlight w:val="none"/>
              </w:rPr>
            </w:pPr>
          </w:p>
        </w:tc>
        <w:tc>
          <w:tcPr>
            <w:tcW w:w="1716" w:type="dxa"/>
            <w:vMerge w:val="continue"/>
            <w:noWrap w:val="0"/>
            <w:vAlign w:val="center"/>
          </w:tcPr>
          <w:p w14:paraId="255A0046">
            <w:pPr>
              <w:widowControl/>
              <w:rPr>
                <w:rFonts w:hint="eastAsia" w:ascii="宋体" w:hAnsi="宋体" w:eastAsia="宋体" w:cs="宋体"/>
                <w:color w:val="auto"/>
                <w:kern w:val="0"/>
                <w:sz w:val="24"/>
                <w:szCs w:val="24"/>
                <w:highlight w:val="none"/>
              </w:rPr>
            </w:pPr>
          </w:p>
        </w:tc>
        <w:tc>
          <w:tcPr>
            <w:tcW w:w="8461" w:type="dxa"/>
            <w:gridSpan w:val="2"/>
            <w:noWrap w:val="0"/>
            <w:vAlign w:val="center"/>
          </w:tcPr>
          <w:p w14:paraId="60029FE8">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澄清</w:t>
            </w:r>
            <w:r>
              <w:rPr>
                <w:rFonts w:hint="eastAsia" w:ascii="宋体" w:hAnsi="宋体" w:eastAsia="宋体" w:cs="宋体"/>
                <w:b/>
                <w:color w:val="auto"/>
                <w:kern w:val="0"/>
                <w:sz w:val="24"/>
                <w:szCs w:val="24"/>
                <w:highlight w:val="none"/>
              </w:rPr>
              <w:t>不合理</w:t>
            </w:r>
            <w:r>
              <w:rPr>
                <w:rFonts w:hint="eastAsia" w:ascii="宋体" w:hAnsi="宋体" w:eastAsia="宋体" w:cs="宋体"/>
                <w:color w:val="auto"/>
                <w:kern w:val="0"/>
                <w:sz w:val="24"/>
                <w:szCs w:val="24"/>
                <w:highlight w:val="none"/>
              </w:rPr>
              <w:t xml:space="preserve">  □</w:t>
            </w:r>
          </w:p>
        </w:tc>
        <w:tc>
          <w:tcPr>
            <w:tcW w:w="1815" w:type="dxa"/>
            <w:vMerge w:val="continue"/>
            <w:noWrap w:val="0"/>
            <w:vAlign w:val="bottom"/>
          </w:tcPr>
          <w:p w14:paraId="60D85545">
            <w:pPr>
              <w:widowControl/>
              <w:jc w:val="center"/>
              <w:rPr>
                <w:rFonts w:hint="eastAsia" w:ascii="宋体" w:hAnsi="宋体" w:eastAsia="宋体" w:cs="宋体"/>
                <w:color w:val="auto"/>
                <w:kern w:val="0"/>
                <w:sz w:val="24"/>
                <w:szCs w:val="24"/>
                <w:highlight w:val="none"/>
              </w:rPr>
            </w:pPr>
          </w:p>
        </w:tc>
      </w:tr>
      <w:tr w14:paraId="64DD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67" w:type="dxa"/>
            <w:vMerge w:val="continue"/>
            <w:tcBorders>
              <w:bottom w:val="single" w:color="auto" w:sz="4" w:space="0"/>
            </w:tcBorders>
            <w:noWrap w:val="0"/>
            <w:vAlign w:val="center"/>
          </w:tcPr>
          <w:p w14:paraId="752CDFDF">
            <w:pPr>
              <w:widowControl/>
              <w:jc w:val="left"/>
              <w:rPr>
                <w:rFonts w:ascii="宋体" w:hAnsi="宋体" w:eastAsia="宋体" w:cs="宋体"/>
                <w:color w:val="auto"/>
                <w:kern w:val="0"/>
                <w:sz w:val="24"/>
                <w:szCs w:val="24"/>
                <w:highlight w:val="none"/>
              </w:rPr>
            </w:pPr>
          </w:p>
        </w:tc>
        <w:tc>
          <w:tcPr>
            <w:tcW w:w="491" w:type="dxa"/>
            <w:tcBorders>
              <w:bottom w:val="single" w:color="auto" w:sz="4" w:space="0"/>
            </w:tcBorders>
            <w:noWrap w:val="0"/>
            <w:vAlign w:val="center"/>
          </w:tcPr>
          <w:p w14:paraId="6308435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188" w:type="dxa"/>
            <w:tcBorders>
              <w:bottom w:val="single" w:color="auto" w:sz="4" w:space="0"/>
            </w:tcBorders>
            <w:noWrap w:val="0"/>
            <w:vAlign w:val="center"/>
          </w:tcPr>
          <w:p w14:paraId="0F05AF24">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认定</w:t>
            </w:r>
          </w:p>
        </w:tc>
        <w:tc>
          <w:tcPr>
            <w:tcW w:w="11992" w:type="dxa"/>
            <w:gridSpan w:val="4"/>
            <w:tcBorders>
              <w:bottom w:val="single" w:color="auto" w:sz="4" w:space="0"/>
            </w:tcBorders>
            <w:noWrap w:val="0"/>
            <w:vAlign w:val="center"/>
          </w:tcPr>
          <w:p w14:paraId="6BC33494">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串通投标 </w:t>
            </w:r>
            <w:r>
              <w:rPr>
                <w:rFonts w:hint="eastAsia" w:ascii="宋体" w:hAnsi="宋体" w:eastAsia="宋体" w:cs="宋体"/>
                <w:color w:val="auto"/>
                <w:kern w:val="0"/>
                <w:sz w:val="24"/>
                <w:szCs w:val="24"/>
                <w:highlight w:val="none"/>
              </w:rPr>
              <w:t xml:space="preserve">  </w:t>
            </w:r>
            <w:r>
              <w:rPr>
                <w:rFonts w:hint="eastAsia" w:ascii="宋体" w:hAnsi="宋体" w:eastAsia="宋体" w:cs="宋体"/>
                <w:b/>
                <w:bCs/>
                <w:color w:val="auto"/>
                <w:kern w:val="0"/>
                <w:sz w:val="24"/>
                <w:szCs w:val="24"/>
                <w:highlight w:val="none"/>
              </w:rPr>
              <w:t>是□    否□</w:t>
            </w:r>
          </w:p>
        </w:tc>
      </w:tr>
    </w:tbl>
    <w:p w14:paraId="4F8093DB">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注：1.评标委员会应将证据、记录、澄清等相关依据文件保存完整；</w:t>
      </w:r>
    </w:p>
    <w:p w14:paraId="38B54DBD">
      <w:pPr>
        <w:widowControl/>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2.评标委员会按照少数服从多数的原则进行表决；</w:t>
      </w:r>
    </w:p>
    <w:p w14:paraId="500A9E8D">
      <w:pPr>
        <w:widowControl/>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3.评审工程量清单综合单价相似的仅限于投标人投标报价中分部分项工程量清单综合单价。</w:t>
      </w:r>
    </w:p>
    <w:p w14:paraId="76C54C76">
      <w:pPr>
        <w:widowControl/>
        <w:jc w:val="left"/>
        <w:rPr>
          <w:rFonts w:hint="eastAsia" w:ascii="宋体" w:hAnsi="宋体" w:eastAsia="宋体" w:cs="宋体"/>
          <w:b/>
          <w:color w:val="auto"/>
          <w:kern w:val="0"/>
          <w:sz w:val="24"/>
          <w:szCs w:val="24"/>
          <w:highlight w:val="none"/>
        </w:rPr>
      </w:pPr>
    </w:p>
    <w:p w14:paraId="7CD78E4D">
      <w:pPr>
        <w:widowControl/>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评标委员会签名：                                                                      日期：</w:t>
      </w:r>
    </w:p>
    <w:p w14:paraId="1D8D0134">
      <w:pPr>
        <w:outlineLvl w:val="2"/>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br w:type="page"/>
      </w:r>
      <w:bookmarkStart w:id="114" w:name="_Toc15680"/>
    </w:p>
    <w:p w14:paraId="13365F23">
      <w:pPr>
        <w:outlineLvl w:val="2"/>
        <w:rPr>
          <w:rFonts w:ascii="宋体" w:hAnsi="宋体" w:eastAsia="宋体"/>
          <w:color w:val="auto"/>
          <w:sz w:val="24"/>
          <w:szCs w:val="24"/>
          <w:highlight w:val="none"/>
        </w:rPr>
      </w:pPr>
      <w:bookmarkStart w:id="115" w:name="_Toc4279"/>
      <w:bookmarkStart w:id="116" w:name="_Toc28434"/>
      <w:bookmarkStart w:id="117" w:name="_Toc13083"/>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（适用于办法</w:t>
      </w: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w:t>
      </w:r>
      <w:bookmarkEnd w:id="114"/>
      <w:bookmarkEnd w:id="115"/>
      <w:bookmarkEnd w:id="116"/>
      <w:bookmarkEnd w:id="117"/>
    </w:p>
    <w:p w14:paraId="216141A4">
      <w:pPr>
        <w:jc w:val="center"/>
        <w:rPr>
          <w:rFonts w:hint="eastAsia" w:ascii="宋体" w:hAnsi="宋体" w:eastAsia="宋体"/>
          <w:b/>
          <w:color w:val="auto"/>
          <w:sz w:val="36"/>
          <w:szCs w:val="36"/>
          <w:highlight w:val="none"/>
        </w:rPr>
      </w:pPr>
      <w:r>
        <w:rPr>
          <w:rFonts w:hint="eastAsia" w:ascii="宋体" w:hAnsi="宋体" w:eastAsia="宋体"/>
          <w:b/>
          <w:color w:val="auto"/>
          <w:sz w:val="32"/>
          <w:szCs w:val="32"/>
          <w:highlight w:val="none"/>
          <w:lang w:eastAsia="zh-CN"/>
        </w:rPr>
        <w:t>技术部分（施工组织方案）</w:t>
      </w:r>
      <w:r>
        <w:rPr>
          <w:rFonts w:hint="eastAsia" w:ascii="宋体" w:hAnsi="宋体" w:eastAsia="宋体"/>
          <w:b/>
          <w:color w:val="auto"/>
          <w:sz w:val="32"/>
          <w:szCs w:val="32"/>
          <w:highlight w:val="none"/>
        </w:rPr>
        <w:t>文件否决性条款审查表</w:t>
      </w:r>
    </w:p>
    <w:p w14:paraId="6C0950E9">
      <w:pPr>
        <w:tabs>
          <w:tab w:val="left" w:pos="720"/>
        </w:tabs>
        <w:snapToGrid w:val="0"/>
        <w:spacing w:line="360" w:lineRule="auto"/>
        <w:rPr>
          <w:rFonts w:hint="eastAsia" w:ascii="宋体" w:hAnsi="宋体" w:eastAsia="宋体"/>
          <w:bCs/>
          <w:color w:val="auto"/>
          <w:szCs w:val="21"/>
          <w:highlight w:val="none"/>
        </w:rPr>
      </w:pPr>
      <w:r>
        <w:rPr>
          <w:rFonts w:hint="eastAsia" w:ascii="宋体" w:hAnsi="宋体" w:eastAsia="宋体"/>
          <w:bCs/>
          <w:color w:val="auto"/>
          <w:szCs w:val="21"/>
          <w:highlight w:val="none"/>
        </w:rPr>
        <w:t>工程名称：</w:t>
      </w:r>
    </w:p>
    <w:tbl>
      <w:tblPr>
        <w:tblStyle w:val="34"/>
        <w:tblW w:w="0" w:type="auto"/>
        <w:tblInd w:w="3" w:type="dxa"/>
        <w:tblLayout w:type="fixed"/>
        <w:tblCellMar>
          <w:top w:w="0" w:type="dxa"/>
          <w:left w:w="108" w:type="dxa"/>
          <w:bottom w:w="0" w:type="dxa"/>
          <w:right w:w="108" w:type="dxa"/>
        </w:tblCellMar>
      </w:tblPr>
      <w:tblGrid>
        <w:gridCol w:w="656"/>
        <w:gridCol w:w="8269"/>
        <w:gridCol w:w="1080"/>
        <w:gridCol w:w="1080"/>
        <w:gridCol w:w="1080"/>
        <w:gridCol w:w="1080"/>
        <w:gridCol w:w="1080"/>
      </w:tblGrid>
      <w:tr w14:paraId="29CE9074">
        <w:tblPrEx>
          <w:tblCellMar>
            <w:top w:w="0" w:type="dxa"/>
            <w:left w:w="108" w:type="dxa"/>
            <w:bottom w:w="0" w:type="dxa"/>
            <w:right w:w="108" w:type="dxa"/>
          </w:tblCellMar>
        </w:tblPrEx>
        <w:trPr>
          <w:trHeight w:val="44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64F3A4F0">
            <w:pPr>
              <w:spacing w:line="240" w:lineRule="exact"/>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8269"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3EC039BF">
            <w:pPr>
              <w:rPr>
                <w:rFonts w:hint="eastAsia" w:ascii="宋体" w:hAnsi="宋体" w:eastAsia="宋体"/>
                <w:color w:val="auto"/>
                <w:szCs w:val="21"/>
                <w:highlight w:val="none"/>
              </w:rPr>
            </w:pPr>
            <w:r>
              <w:rPr>
                <w:rFonts w:hint="eastAsia" w:ascii="宋体" w:hAnsi="宋体" w:eastAsia="宋体"/>
                <w:color w:val="auto"/>
                <w:szCs w:val="21"/>
                <w:highlight w:val="none"/>
              </w:rPr>
              <w:t xml:space="preserve">                                      投标人</w:t>
            </w:r>
          </w:p>
          <w:p w14:paraId="41D45B35">
            <w:pPr>
              <w:rPr>
                <w:rFonts w:ascii="宋体" w:hAnsi="宋体" w:eastAsia="宋体"/>
                <w:color w:val="auto"/>
                <w:szCs w:val="21"/>
                <w:highlight w:val="none"/>
              </w:rPr>
            </w:pPr>
            <w:r>
              <w:rPr>
                <w:rFonts w:hint="eastAsia" w:ascii="宋体" w:hAnsi="宋体" w:eastAsia="宋体"/>
                <w:color w:val="auto"/>
                <w:szCs w:val="21"/>
                <w:highlight w:val="none"/>
              </w:rPr>
              <w:t>评审内容</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CD744E7">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36CC7D2">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B435EF6">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24B4296">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F99A1A6">
            <w:pPr>
              <w:rPr>
                <w:rFonts w:ascii="宋体" w:hAnsi="宋体" w:eastAsia="宋体"/>
                <w:color w:val="auto"/>
                <w:szCs w:val="21"/>
                <w:highlight w:val="none"/>
              </w:rPr>
            </w:pPr>
          </w:p>
        </w:tc>
      </w:tr>
      <w:tr w14:paraId="06D78910">
        <w:tblPrEx>
          <w:tblCellMar>
            <w:top w:w="0" w:type="dxa"/>
            <w:left w:w="108" w:type="dxa"/>
            <w:bottom w:w="0" w:type="dxa"/>
            <w:right w:w="108" w:type="dxa"/>
          </w:tblCellMar>
        </w:tblPrEx>
        <w:trPr>
          <w:trHeight w:val="312"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6F37720F">
            <w:pPr>
              <w:jc w:val="cente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8269" w:type="dxa"/>
            <w:tcBorders>
              <w:top w:val="single" w:color="auto" w:sz="4" w:space="0"/>
              <w:left w:val="single" w:color="auto" w:sz="4" w:space="0"/>
              <w:bottom w:val="single" w:color="auto" w:sz="4" w:space="0"/>
              <w:right w:val="single" w:color="auto" w:sz="4" w:space="0"/>
            </w:tcBorders>
            <w:noWrap w:val="0"/>
            <w:vAlign w:val="center"/>
          </w:tcPr>
          <w:p w14:paraId="53D004C1">
            <w:pPr>
              <w:spacing w:line="240" w:lineRule="exact"/>
              <w:rPr>
                <w:rFonts w:hint="eastAsia" w:ascii="宋体" w:hAnsi="宋体" w:eastAsia="宋体"/>
                <w:color w:val="auto"/>
                <w:szCs w:val="21"/>
                <w:highlight w:val="none"/>
              </w:rPr>
            </w:pPr>
            <w:r>
              <w:rPr>
                <w:rFonts w:hint="eastAsia" w:ascii="宋体" w:hAnsi="宋体" w:eastAsia="宋体"/>
                <w:color w:val="auto"/>
                <w:szCs w:val="21"/>
                <w:highlight w:val="none"/>
                <w:lang w:eastAsia="zh-CN"/>
              </w:rPr>
              <w:t>技术部分（施工组织方案）</w:t>
            </w:r>
            <w:r>
              <w:rPr>
                <w:rFonts w:hint="eastAsia" w:ascii="宋体" w:hAnsi="宋体" w:eastAsia="宋体"/>
                <w:color w:val="auto"/>
                <w:szCs w:val="21"/>
                <w:highlight w:val="none"/>
              </w:rPr>
              <w:t>有明显抄袭行为的；</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124F724">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B76C2F7">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5A080D4">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92F6A87">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1087AEB">
            <w:pPr>
              <w:rPr>
                <w:rFonts w:ascii="宋体" w:hAnsi="宋体" w:eastAsia="宋体"/>
                <w:color w:val="auto"/>
                <w:szCs w:val="21"/>
                <w:highlight w:val="none"/>
              </w:rPr>
            </w:pPr>
          </w:p>
        </w:tc>
      </w:tr>
      <w:tr w14:paraId="74791AEB">
        <w:tblPrEx>
          <w:tblCellMar>
            <w:top w:w="0" w:type="dxa"/>
            <w:left w:w="108" w:type="dxa"/>
            <w:bottom w:w="0" w:type="dxa"/>
            <w:right w:w="108" w:type="dxa"/>
          </w:tblCellMar>
        </w:tblPrEx>
        <w:trPr>
          <w:trHeight w:val="312"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163818A7">
            <w:pPr>
              <w:jc w:val="center"/>
              <w:rPr>
                <w:rFonts w:hint="eastAsia" w:ascii="宋体" w:hAnsi="宋体" w:eastAsia="宋体"/>
                <w:color w:val="auto"/>
                <w:szCs w:val="21"/>
                <w:highlight w:val="none"/>
              </w:rPr>
            </w:pPr>
            <w:r>
              <w:rPr>
                <w:rFonts w:hint="eastAsia" w:ascii="宋体" w:hAnsi="宋体" w:eastAsia="宋体"/>
                <w:color w:val="auto"/>
                <w:szCs w:val="21"/>
                <w:highlight w:val="none"/>
              </w:rPr>
              <w:t>2</w:t>
            </w:r>
          </w:p>
        </w:tc>
        <w:tc>
          <w:tcPr>
            <w:tcW w:w="8269" w:type="dxa"/>
            <w:tcBorders>
              <w:top w:val="single" w:color="auto" w:sz="4" w:space="0"/>
              <w:left w:val="single" w:color="auto" w:sz="4" w:space="0"/>
              <w:bottom w:val="single" w:color="auto" w:sz="4" w:space="0"/>
              <w:right w:val="single" w:color="auto" w:sz="4" w:space="0"/>
            </w:tcBorders>
            <w:noWrap w:val="0"/>
            <w:vAlign w:val="center"/>
          </w:tcPr>
          <w:p w14:paraId="26AFD788">
            <w:pPr>
              <w:spacing w:line="240" w:lineRule="exact"/>
              <w:rPr>
                <w:rFonts w:hint="eastAsia" w:ascii="宋体" w:hAnsi="宋体" w:eastAsia="宋体"/>
                <w:color w:val="auto"/>
                <w:szCs w:val="21"/>
                <w:highlight w:val="none"/>
              </w:rPr>
            </w:pPr>
            <w:r>
              <w:rPr>
                <w:rFonts w:hint="eastAsia" w:ascii="宋体" w:hAnsi="宋体" w:eastAsia="宋体"/>
                <w:color w:val="auto"/>
                <w:szCs w:val="21"/>
                <w:highlight w:val="none"/>
                <w:lang w:eastAsia="zh-CN"/>
              </w:rPr>
              <w:t>技术部分（施工组织方案）</w:t>
            </w:r>
            <w:r>
              <w:rPr>
                <w:rFonts w:hint="eastAsia" w:ascii="宋体" w:hAnsi="宋体" w:eastAsia="宋体"/>
                <w:color w:val="auto"/>
                <w:szCs w:val="21"/>
                <w:highlight w:val="none"/>
              </w:rPr>
              <w:t>侵犯他人著作权和特许权的；</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7021FB">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D6C7DEC">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7B05CC8">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1BDE867">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55C71EE">
            <w:pPr>
              <w:rPr>
                <w:rFonts w:ascii="宋体" w:hAnsi="宋体" w:eastAsia="宋体"/>
                <w:color w:val="auto"/>
                <w:szCs w:val="21"/>
                <w:highlight w:val="none"/>
              </w:rPr>
            </w:pPr>
          </w:p>
        </w:tc>
      </w:tr>
      <w:tr w14:paraId="36BB84F6">
        <w:tblPrEx>
          <w:tblCellMar>
            <w:top w:w="0" w:type="dxa"/>
            <w:left w:w="108" w:type="dxa"/>
            <w:bottom w:w="0" w:type="dxa"/>
            <w:right w:w="108" w:type="dxa"/>
          </w:tblCellMar>
        </w:tblPrEx>
        <w:trPr>
          <w:trHeight w:val="9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F8AEC68">
            <w:pPr>
              <w:jc w:val="center"/>
              <w:rPr>
                <w:rFonts w:hint="eastAsia" w:ascii="宋体" w:hAnsi="宋体" w:eastAsia="宋体"/>
                <w:color w:val="auto"/>
                <w:szCs w:val="21"/>
                <w:highlight w:val="none"/>
              </w:rPr>
            </w:pPr>
            <w:r>
              <w:rPr>
                <w:rFonts w:hint="eastAsia" w:ascii="宋体" w:hAnsi="宋体" w:eastAsia="宋体"/>
                <w:color w:val="auto"/>
                <w:szCs w:val="21"/>
                <w:highlight w:val="none"/>
              </w:rPr>
              <w:t>3</w:t>
            </w:r>
          </w:p>
        </w:tc>
        <w:tc>
          <w:tcPr>
            <w:tcW w:w="8269" w:type="dxa"/>
            <w:tcBorders>
              <w:top w:val="single" w:color="auto" w:sz="4" w:space="0"/>
              <w:left w:val="single" w:color="auto" w:sz="4" w:space="0"/>
              <w:bottom w:val="single" w:color="auto" w:sz="4" w:space="0"/>
              <w:right w:val="single" w:color="auto" w:sz="4" w:space="0"/>
            </w:tcBorders>
            <w:noWrap w:val="0"/>
            <w:vAlign w:val="center"/>
          </w:tcPr>
          <w:p w14:paraId="6D7428C7">
            <w:pPr>
              <w:spacing w:line="240" w:lineRule="exact"/>
              <w:rPr>
                <w:rFonts w:hint="eastAsia" w:ascii="宋体" w:hAnsi="宋体" w:eastAsia="宋体"/>
                <w:color w:val="auto"/>
                <w:szCs w:val="21"/>
                <w:highlight w:val="none"/>
              </w:rPr>
            </w:pPr>
            <w:r>
              <w:rPr>
                <w:rFonts w:hint="eastAsia" w:ascii="宋体" w:hAnsi="宋体" w:eastAsia="宋体"/>
                <w:color w:val="auto"/>
                <w:szCs w:val="21"/>
                <w:highlight w:val="none"/>
              </w:rPr>
              <w:t>发现投标人在</w:t>
            </w:r>
            <w:r>
              <w:rPr>
                <w:rFonts w:hint="eastAsia" w:ascii="宋体" w:hAnsi="宋体" w:eastAsia="宋体"/>
                <w:color w:val="auto"/>
                <w:szCs w:val="21"/>
                <w:highlight w:val="none"/>
                <w:lang w:eastAsia="zh-CN"/>
              </w:rPr>
              <w:t>技术部分（施工组织方案）</w:t>
            </w:r>
            <w:r>
              <w:rPr>
                <w:rFonts w:hint="eastAsia" w:ascii="宋体" w:hAnsi="宋体" w:eastAsia="宋体"/>
                <w:color w:val="auto"/>
                <w:szCs w:val="21"/>
                <w:highlight w:val="none"/>
              </w:rPr>
              <w:t>内标注名称、印章、商标、投标金额等记认符号（或使人辨认出投标人或其专业技术人员的身份）或出现涉及人员姓名、简历、等暴露投标人身份的内容。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0B072C">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EA174B7">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A50A467">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10642F8">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817E623">
            <w:pPr>
              <w:rPr>
                <w:rFonts w:ascii="宋体" w:hAnsi="宋体" w:eastAsia="宋体"/>
                <w:color w:val="auto"/>
                <w:szCs w:val="21"/>
                <w:highlight w:val="none"/>
              </w:rPr>
            </w:pPr>
          </w:p>
        </w:tc>
      </w:tr>
      <w:tr w14:paraId="7B7F5EFB">
        <w:tblPrEx>
          <w:tblCellMar>
            <w:top w:w="0" w:type="dxa"/>
            <w:left w:w="108" w:type="dxa"/>
            <w:bottom w:w="0" w:type="dxa"/>
            <w:right w:w="108" w:type="dxa"/>
          </w:tblCellMar>
        </w:tblPrEx>
        <w:trPr>
          <w:trHeight w:val="9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AFB65D5">
            <w:pPr>
              <w:jc w:val="center"/>
              <w:rPr>
                <w:rFonts w:ascii="宋体" w:hAnsi="宋体" w:eastAsia="宋体"/>
                <w:color w:val="auto"/>
                <w:szCs w:val="21"/>
                <w:highlight w:val="none"/>
              </w:rPr>
            </w:pPr>
            <w:r>
              <w:rPr>
                <w:rFonts w:hint="eastAsia" w:ascii="宋体" w:hAnsi="宋体" w:eastAsia="宋体"/>
                <w:color w:val="auto"/>
                <w:szCs w:val="21"/>
                <w:highlight w:val="none"/>
              </w:rPr>
              <w:t>4</w:t>
            </w:r>
          </w:p>
        </w:tc>
        <w:tc>
          <w:tcPr>
            <w:tcW w:w="8269" w:type="dxa"/>
            <w:tcBorders>
              <w:top w:val="single" w:color="auto" w:sz="4" w:space="0"/>
              <w:left w:val="single" w:color="auto" w:sz="4" w:space="0"/>
              <w:bottom w:val="single" w:color="auto" w:sz="4" w:space="0"/>
              <w:right w:val="single" w:color="auto" w:sz="4" w:space="0"/>
            </w:tcBorders>
            <w:noWrap w:val="0"/>
            <w:vAlign w:val="center"/>
          </w:tcPr>
          <w:p w14:paraId="197502BC">
            <w:pPr>
              <w:spacing w:line="240" w:lineRule="exact"/>
              <w:rPr>
                <w:rFonts w:hint="eastAsia" w:ascii="宋体" w:hAnsi="宋体" w:eastAsia="宋体"/>
                <w:color w:val="auto"/>
                <w:szCs w:val="21"/>
                <w:highlight w:val="none"/>
                <w:lang w:eastAsia="zh-CN"/>
              </w:rPr>
            </w:pPr>
            <w:r>
              <w:rPr>
                <w:rFonts w:hint="eastAsia" w:ascii="宋体" w:hAnsi="宋体" w:eastAsia="宋体"/>
                <w:color w:val="auto"/>
                <w:szCs w:val="21"/>
                <w:highlight w:val="none"/>
              </w:rPr>
              <w:t>存在串通投标情形（串通投标情形以《中华人民共和国</w:t>
            </w:r>
            <w:r>
              <w:rPr>
                <w:rFonts w:hint="eastAsia" w:ascii="宋体" w:hAnsi="宋体" w:eastAsia="宋体"/>
                <w:color w:val="auto"/>
                <w:szCs w:val="21"/>
                <w:highlight w:val="none"/>
                <w:lang w:eastAsia="zh-CN"/>
              </w:rPr>
              <w:t>招标</w:t>
            </w:r>
            <w:r>
              <w:rPr>
                <w:rFonts w:hint="eastAsia" w:ascii="宋体" w:hAnsi="宋体" w:eastAsia="宋体"/>
                <w:color w:val="auto"/>
                <w:szCs w:val="21"/>
                <w:highlight w:val="none"/>
              </w:rPr>
              <w:t>投标法实施条例》的规定为准）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3275B2">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F3AE09E">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7550927">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72A9A3C">
            <w:pPr>
              <w:rPr>
                <w:rFonts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8C7012E">
            <w:pPr>
              <w:rPr>
                <w:rFonts w:ascii="宋体" w:hAnsi="宋体" w:eastAsia="宋体"/>
                <w:color w:val="auto"/>
                <w:szCs w:val="21"/>
                <w:highlight w:val="none"/>
              </w:rPr>
            </w:pPr>
          </w:p>
        </w:tc>
      </w:tr>
    </w:tbl>
    <w:p w14:paraId="7B758E2A">
      <w:pPr>
        <w:spacing w:line="260" w:lineRule="exact"/>
        <w:rPr>
          <w:rFonts w:hint="eastAsia" w:ascii="宋体" w:hAnsi="宋体" w:eastAsia="宋体"/>
          <w:color w:val="auto"/>
          <w:szCs w:val="21"/>
          <w:highlight w:val="none"/>
        </w:rPr>
      </w:pPr>
      <w:r>
        <w:rPr>
          <w:rFonts w:hint="eastAsia" w:ascii="宋体" w:hAnsi="宋体" w:eastAsia="宋体"/>
          <w:color w:val="auto"/>
          <w:szCs w:val="21"/>
          <w:highlight w:val="none"/>
        </w:rPr>
        <w:t>注：1.本表使用GZYLZB202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-1招标文件范本，与范本内容不同之处均以下划线标明。</w:t>
      </w:r>
    </w:p>
    <w:p w14:paraId="425A1B1E">
      <w:pPr>
        <w:spacing w:line="26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2.凡出现《</w:t>
      </w:r>
      <w:r>
        <w:rPr>
          <w:rFonts w:hint="eastAsia" w:ascii="宋体" w:hAnsi="宋体" w:eastAsia="宋体"/>
          <w:color w:val="auto"/>
          <w:szCs w:val="21"/>
          <w:highlight w:val="none"/>
          <w:lang w:eastAsia="zh-CN"/>
        </w:rPr>
        <w:t>技术部分（施工组织方案）</w:t>
      </w:r>
      <w:r>
        <w:rPr>
          <w:rFonts w:hint="eastAsia" w:ascii="宋体" w:hAnsi="宋体" w:eastAsia="宋体"/>
          <w:color w:val="auto"/>
          <w:szCs w:val="21"/>
          <w:highlight w:val="none"/>
        </w:rPr>
        <w:t>文件否决性条款审查表》中任何一项情形，否决其投标。</w:t>
      </w:r>
    </w:p>
    <w:p w14:paraId="2EED321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3.如对本表中某种情形的评审意见不一致时，以评标委员会过半数成员的意见作为评标委员会对该情形的认定结论。</w:t>
      </w:r>
    </w:p>
    <w:p w14:paraId="72525762">
      <w:pPr>
        <w:rPr>
          <w:rFonts w:hint="eastAsia" w:ascii="宋体" w:hAnsi="宋体" w:eastAsia="宋体"/>
          <w:color w:val="auto"/>
          <w:szCs w:val="21"/>
          <w:highlight w:val="none"/>
        </w:rPr>
      </w:pPr>
    </w:p>
    <w:p w14:paraId="2B094FB6">
      <w:pPr>
        <w:spacing w:line="240" w:lineRule="exact"/>
        <w:rPr>
          <w:rFonts w:hint="eastAsia" w:ascii="宋体" w:hAnsi="宋体" w:eastAsia="宋体"/>
          <w:b/>
          <w:color w:val="auto"/>
          <w:szCs w:val="21"/>
          <w:highlight w:val="none"/>
        </w:rPr>
      </w:pPr>
      <w:r>
        <w:rPr>
          <w:rFonts w:hint="eastAsia" w:ascii="宋体" w:hAnsi="宋体" w:eastAsia="宋体"/>
          <w:b/>
          <w:color w:val="auto"/>
          <w:szCs w:val="21"/>
          <w:highlight w:val="none"/>
        </w:rPr>
        <w:t xml:space="preserve"> 评委签名：                                                                                        日期：</w:t>
      </w:r>
    </w:p>
    <w:p w14:paraId="257C6168">
      <w:pPr>
        <w:rPr>
          <w:rFonts w:hint="eastAsia" w:ascii="宋体" w:hAnsi="宋体" w:eastAsia="宋体"/>
          <w:color w:val="auto"/>
          <w:szCs w:val="21"/>
          <w:highlight w:val="none"/>
        </w:rPr>
        <w:sectPr>
          <w:headerReference r:id="rId10" w:type="first"/>
          <w:footerReference r:id="rId12" w:type="first"/>
          <w:headerReference r:id="rId9" w:type="default"/>
          <w:footerReference r:id="rId11" w:type="default"/>
          <w:endnotePr>
            <w:numFmt w:val="decimal"/>
          </w:endnotePr>
          <w:type w:val="continuous"/>
          <w:pgSz w:w="16783" w:h="11850" w:orient="landscape"/>
          <w:pgMar w:top="567" w:right="1247" w:bottom="567" w:left="1134" w:header="284" w:footer="284" w:gutter="0"/>
          <w:pgNumType w:fmt="decimal"/>
          <w:cols w:space="720" w:num="1"/>
          <w:titlePg/>
          <w:docGrid w:type="lines" w:linePitch="312" w:charSpace="0"/>
        </w:sectPr>
      </w:pPr>
    </w:p>
    <w:p w14:paraId="4270DD6E">
      <w:pPr>
        <w:widowControl/>
        <w:ind w:firstLine="482" w:firstLineChars="200"/>
        <w:jc w:val="left"/>
        <w:rPr>
          <w:rFonts w:ascii="宋体" w:hAnsi="宋体" w:eastAsia="宋体" w:cs="宋体"/>
          <w:b/>
          <w:color w:val="auto"/>
          <w:kern w:val="0"/>
          <w:sz w:val="24"/>
          <w:szCs w:val="24"/>
          <w:highlight w:val="none"/>
        </w:rPr>
        <w:sectPr>
          <w:endnotePr>
            <w:numFmt w:val="decimal"/>
          </w:endnotePr>
          <w:type w:val="continuous"/>
          <w:pgSz w:w="16783" w:h="11850" w:orient="landscape"/>
          <w:pgMar w:top="567" w:right="1247" w:bottom="567" w:left="1134" w:header="284" w:footer="284" w:gutter="0"/>
          <w:pgNumType w:fmt="decimal"/>
          <w:cols w:space="720" w:num="1"/>
          <w:titlePg/>
          <w:docGrid w:type="lines" w:linePitch="312" w:charSpace="0"/>
        </w:sectPr>
      </w:pPr>
    </w:p>
    <w:p w14:paraId="3AE71599">
      <w:pPr>
        <w:pStyle w:val="32"/>
        <w:ind w:firstLine="0"/>
        <w:outlineLvl w:val="2"/>
        <w:rPr>
          <w:rFonts w:ascii="宋体" w:hAnsi="宋体" w:eastAsia="宋体"/>
          <w:color w:val="auto"/>
          <w:szCs w:val="21"/>
          <w:highlight w:val="none"/>
        </w:rPr>
      </w:pPr>
      <w:bookmarkStart w:id="118" w:name="_Toc2676"/>
      <w:bookmarkStart w:id="119" w:name="_Toc5040"/>
      <w:bookmarkStart w:id="120" w:name="_Toc19944"/>
      <w:bookmarkStart w:id="121" w:name="_Toc20530"/>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（适用于办法</w:t>
      </w: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w:t>
      </w:r>
      <w:bookmarkEnd w:id="118"/>
      <w:bookmarkEnd w:id="119"/>
      <w:bookmarkEnd w:id="120"/>
      <w:bookmarkEnd w:id="121"/>
    </w:p>
    <w:p w14:paraId="257BA606">
      <w:pPr>
        <w:widowControl/>
        <w:spacing w:line="360" w:lineRule="auto"/>
        <w:jc w:val="center"/>
        <w:rPr>
          <w:b/>
          <w:bCs/>
          <w:color w:val="auto"/>
          <w:kern w:val="0"/>
          <w:sz w:val="28"/>
          <w:szCs w:val="28"/>
          <w:highlight w:val="none"/>
        </w:rPr>
      </w:pPr>
    </w:p>
    <w:p w14:paraId="0D896AD0">
      <w:pPr>
        <w:widowControl/>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lang w:eastAsia="zh-CN"/>
        </w:rPr>
        <w:t>技术部分（施工组织方案）</w:t>
      </w:r>
      <w:r>
        <w:rPr>
          <w:rFonts w:hint="eastAsia" w:ascii="宋体" w:hAnsi="宋体" w:eastAsia="宋体"/>
          <w:b/>
          <w:color w:val="auto"/>
          <w:sz w:val="36"/>
          <w:szCs w:val="36"/>
          <w:highlight w:val="none"/>
        </w:rPr>
        <w:t>编号确认表</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0"/>
        <w:gridCol w:w="4280"/>
      </w:tblGrid>
      <w:tr w14:paraId="408E3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5591C51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3420" w:type="dxa"/>
            <w:noWrap w:val="0"/>
            <w:vAlign w:val="center"/>
          </w:tcPr>
          <w:p w14:paraId="1C25222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暗标编号</w:t>
            </w:r>
          </w:p>
        </w:tc>
        <w:tc>
          <w:tcPr>
            <w:tcW w:w="4280" w:type="dxa"/>
            <w:noWrap w:val="0"/>
            <w:vAlign w:val="center"/>
          </w:tcPr>
          <w:p w14:paraId="54D6166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确认的投标人名称</w:t>
            </w:r>
          </w:p>
        </w:tc>
      </w:tr>
      <w:tr w14:paraId="53C42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65356437">
            <w:pPr>
              <w:tabs>
                <w:tab w:val="left" w:pos="4680"/>
              </w:tabs>
              <w:spacing w:line="360" w:lineRule="auto"/>
              <w:rPr>
                <w:b/>
                <w:bCs/>
                <w:color w:val="auto"/>
                <w:szCs w:val="21"/>
                <w:highlight w:val="none"/>
                <w:u w:val="single"/>
              </w:rPr>
            </w:pPr>
          </w:p>
        </w:tc>
        <w:tc>
          <w:tcPr>
            <w:tcW w:w="3420" w:type="dxa"/>
            <w:noWrap w:val="0"/>
            <w:vAlign w:val="top"/>
          </w:tcPr>
          <w:p w14:paraId="3524040F">
            <w:pPr>
              <w:tabs>
                <w:tab w:val="left" w:pos="4680"/>
              </w:tabs>
              <w:spacing w:line="360" w:lineRule="auto"/>
              <w:rPr>
                <w:b/>
                <w:bCs/>
                <w:color w:val="auto"/>
                <w:szCs w:val="21"/>
                <w:highlight w:val="none"/>
                <w:u w:val="single"/>
              </w:rPr>
            </w:pPr>
          </w:p>
        </w:tc>
        <w:tc>
          <w:tcPr>
            <w:tcW w:w="4280" w:type="dxa"/>
            <w:noWrap w:val="0"/>
            <w:vAlign w:val="top"/>
          </w:tcPr>
          <w:p w14:paraId="5298FC66">
            <w:pPr>
              <w:tabs>
                <w:tab w:val="left" w:pos="4680"/>
              </w:tabs>
              <w:spacing w:line="360" w:lineRule="auto"/>
              <w:rPr>
                <w:b/>
                <w:bCs/>
                <w:color w:val="auto"/>
                <w:szCs w:val="21"/>
                <w:highlight w:val="none"/>
                <w:u w:val="single"/>
              </w:rPr>
            </w:pPr>
          </w:p>
        </w:tc>
      </w:tr>
      <w:tr w14:paraId="58E16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7E0D38BE">
            <w:pPr>
              <w:tabs>
                <w:tab w:val="left" w:pos="4680"/>
              </w:tabs>
              <w:spacing w:line="360" w:lineRule="auto"/>
              <w:rPr>
                <w:b/>
                <w:bCs/>
                <w:color w:val="auto"/>
                <w:szCs w:val="21"/>
                <w:highlight w:val="none"/>
                <w:u w:val="single"/>
              </w:rPr>
            </w:pPr>
          </w:p>
        </w:tc>
        <w:tc>
          <w:tcPr>
            <w:tcW w:w="3420" w:type="dxa"/>
            <w:noWrap w:val="0"/>
            <w:vAlign w:val="top"/>
          </w:tcPr>
          <w:p w14:paraId="1AEF43F2">
            <w:pPr>
              <w:tabs>
                <w:tab w:val="left" w:pos="4680"/>
              </w:tabs>
              <w:spacing w:line="360" w:lineRule="auto"/>
              <w:rPr>
                <w:b/>
                <w:bCs/>
                <w:color w:val="auto"/>
                <w:szCs w:val="21"/>
                <w:highlight w:val="none"/>
                <w:u w:val="single"/>
              </w:rPr>
            </w:pPr>
          </w:p>
        </w:tc>
        <w:tc>
          <w:tcPr>
            <w:tcW w:w="4280" w:type="dxa"/>
            <w:noWrap w:val="0"/>
            <w:vAlign w:val="top"/>
          </w:tcPr>
          <w:p w14:paraId="7F79EE64">
            <w:pPr>
              <w:tabs>
                <w:tab w:val="left" w:pos="4680"/>
              </w:tabs>
              <w:spacing w:line="360" w:lineRule="auto"/>
              <w:rPr>
                <w:b/>
                <w:bCs/>
                <w:color w:val="auto"/>
                <w:szCs w:val="21"/>
                <w:highlight w:val="none"/>
                <w:u w:val="single"/>
              </w:rPr>
            </w:pPr>
          </w:p>
        </w:tc>
      </w:tr>
      <w:tr w14:paraId="2086B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3762539C">
            <w:pPr>
              <w:tabs>
                <w:tab w:val="left" w:pos="4680"/>
              </w:tabs>
              <w:spacing w:line="360" w:lineRule="auto"/>
              <w:rPr>
                <w:b/>
                <w:bCs/>
                <w:color w:val="auto"/>
                <w:szCs w:val="21"/>
                <w:highlight w:val="none"/>
                <w:u w:val="single"/>
              </w:rPr>
            </w:pPr>
          </w:p>
        </w:tc>
        <w:tc>
          <w:tcPr>
            <w:tcW w:w="3420" w:type="dxa"/>
            <w:noWrap w:val="0"/>
            <w:vAlign w:val="top"/>
          </w:tcPr>
          <w:p w14:paraId="1BF94B30">
            <w:pPr>
              <w:tabs>
                <w:tab w:val="left" w:pos="4680"/>
              </w:tabs>
              <w:spacing w:line="360" w:lineRule="auto"/>
              <w:rPr>
                <w:b/>
                <w:bCs/>
                <w:color w:val="auto"/>
                <w:szCs w:val="21"/>
                <w:highlight w:val="none"/>
                <w:u w:val="single"/>
              </w:rPr>
            </w:pPr>
          </w:p>
        </w:tc>
        <w:tc>
          <w:tcPr>
            <w:tcW w:w="4280" w:type="dxa"/>
            <w:noWrap w:val="0"/>
            <w:vAlign w:val="top"/>
          </w:tcPr>
          <w:p w14:paraId="637A64F5">
            <w:pPr>
              <w:tabs>
                <w:tab w:val="left" w:pos="4680"/>
              </w:tabs>
              <w:spacing w:line="360" w:lineRule="auto"/>
              <w:rPr>
                <w:b/>
                <w:bCs/>
                <w:color w:val="auto"/>
                <w:szCs w:val="21"/>
                <w:highlight w:val="none"/>
                <w:u w:val="single"/>
              </w:rPr>
            </w:pPr>
          </w:p>
        </w:tc>
      </w:tr>
      <w:tr w14:paraId="4EED4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06EABFE5">
            <w:pPr>
              <w:tabs>
                <w:tab w:val="left" w:pos="4680"/>
              </w:tabs>
              <w:spacing w:line="360" w:lineRule="auto"/>
              <w:rPr>
                <w:b/>
                <w:bCs/>
                <w:color w:val="auto"/>
                <w:szCs w:val="21"/>
                <w:highlight w:val="none"/>
                <w:u w:val="single"/>
              </w:rPr>
            </w:pPr>
          </w:p>
        </w:tc>
        <w:tc>
          <w:tcPr>
            <w:tcW w:w="3420" w:type="dxa"/>
            <w:noWrap w:val="0"/>
            <w:vAlign w:val="top"/>
          </w:tcPr>
          <w:p w14:paraId="5E96C5F0">
            <w:pPr>
              <w:tabs>
                <w:tab w:val="left" w:pos="4680"/>
              </w:tabs>
              <w:spacing w:line="360" w:lineRule="auto"/>
              <w:rPr>
                <w:b/>
                <w:bCs/>
                <w:color w:val="auto"/>
                <w:szCs w:val="21"/>
                <w:highlight w:val="none"/>
                <w:u w:val="single"/>
              </w:rPr>
            </w:pPr>
          </w:p>
        </w:tc>
        <w:tc>
          <w:tcPr>
            <w:tcW w:w="4280" w:type="dxa"/>
            <w:noWrap w:val="0"/>
            <w:vAlign w:val="top"/>
          </w:tcPr>
          <w:p w14:paraId="57837A40">
            <w:pPr>
              <w:tabs>
                <w:tab w:val="left" w:pos="4680"/>
              </w:tabs>
              <w:spacing w:line="360" w:lineRule="auto"/>
              <w:rPr>
                <w:b/>
                <w:bCs/>
                <w:color w:val="auto"/>
                <w:szCs w:val="21"/>
                <w:highlight w:val="none"/>
                <w:u w:val="single"/>
              </w:rPr>
            </w:pPr>
          </w:p>
        </w:tc>
      </w:tr>
      <w:tr w14:paraId="4E44F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0EA2C1D0">
            <w:pPr>
              <w:tabs>
                <w:tab w:val="left" w:pos="4680"/>
              </w:tabs>
              <w:spacing w:line="360" w:lineRule="auto"/>
              <w:rPr>
                <w:b/>
                <w:bCs/>
                <w:color w:val="auto"/>
                <w:szCs w:val="21"/>
                <w:highlight w:val="none"/>
                <w:u w:val="single"/>
              </w:rPr>
            </w:pPr>
          </w:p>
        </w:tc>
        <w:tc>
          <w:tcPr>
            <w:tcW w:w="3420" w:type="dxa"/>
            <w:noWrap w:val="0"/>
            <w:vAlign w:val="top"/>
          </w:tcPr>
          <w:p w14:paraId="200F35C2">
            <w:pPr>
              <w:tabs>
                <w:tab w:val="left" w:pos="4680"/>
              </w:tabs>
              <w:spacing w:line="360" w:lineRule="auto"/>
              <w:rPr>
                <w:b/>
                <w:bCs/>
                <w:color w:val="auto"/>
                <w:szCs w:val="21"/>
                <w:highlight w:val="none"/>
                <w:u w:val="single"/>
              </w:rPr>
            </w:pPr>
          </w:p>
        </w:tc>
        <w:tc>
          <w:tcPr>
            <w:tcW w:w="4280" w:type="dxa"/>
            <w:noWrap w:val="0"/>
            <w:vAlign w:val="top"/>
          </w:tcPr>
          <w:p w14:paraId="304545D2">
            <w:pPr>
              <w:tabs>
                <w:tab w:val="left" w:pos="4680"/>
              </w:tabs>
              <w:spacing w:line="360" w:lineRule="auto"/>
              <w:rPr>
                <w:b/>
                <w:bCs/>
                <w:color w:val="auto"/>
                <w:szCs w:val="21"/>
                <w:highlight w:val="none"/>
                <w:u w:val="single"/>
              </w:rPr>
            </w:pPr>
          </w:p>
        </w:tc>
      </w:tr>
      <w:tr w14:paraId="6C0D7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10D4BC93">
            <w:pPr>
              <w:tabs>
                <w:tab w:val="left" w:pos="4680"/>
              </w:tabs>
              <w:spacing w:line="360" w:lineRule="auto"/>
              <w:rPr>
                <w:b/>
                <w:bCs/>
                <w:color w:val="auto"/>
                <w:szCs w:val="21"/>
                <w:highlight w:val="none"/>
                <w:u w:val="single"/>
              </w:rPr>
            </w:pPr>
          </w:p>
        </w:tc>
        <w:tc>
          <w:tcPr>
            <w:tcW w:w="3420" w:type="dxa"/>
            <w:noWrap w:val="0"/>
            <w:vAlign w:val="top"/>
          </w:tcPr>
          <w:p w14:paraId="6EEF2CB7">
            <w:pPr>
              <w:tabs>
                <w:tab w:val="left" w:pos="4680"/>
              </w:tabs>
              <w:spacing w:line="360" w:lineRule="auto"/>
              <w:rPr>
                <w:b/>
                <w:bCs/>
                <w:color w:val="auto"/>
                <w:szCs w:val="21"/>
                <w:highlight w:val="none"/>
                <w:u w:val="single"/>
              </w:rPr>
            </w:pPr>
          </w:p>
        </w:tc>
        <w:tc>
          <w:tcPr>
            <w:tcW w:w="4280" w:type="dxa"/>
            <w:noWrap w:val="0"/>
            <w:vAlign w:val="top"/>
          </w:tcPr>
          <w:p w14:paraId="126F18C2">
            <w:pPr>
              <w:tabs>
                <w:tab w:val="left" w:pos="4680"/>
              </w:tabs>
              <w:spacing w:line="360" w:lineRule="auto"/>
              <w:rPr>
                <w:b/>
                <w:bCs/>
                <w:color w:val="auto"/>
                <w:szCs w:val="21"/>
                <w:highlight w:val="none"/>
                <w:u w:val="single"/>
              </w:rPr>
            </w:pPr>
          </w:p>
        </w:tc>
      </w:tr>
      <w:tr w14:paraId="0B024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5134E872">
            <w:pPr>
              <w:tabs>
                <w:tab w:val="left" w:pos="4680"/>
              </w:tabs>
              <w:spacing w:line="360" w:lineRule="auto"/>
              <w:rPr>
                <w:b/>
                <w:bCs/>
                <w:color w:val="auto"/>
                <w:szCs w:val="21"/>
                <w:highlight w:val="none"/>
                <w:u w:val="single"/>
              </w:rPr>
            </w:pPr>
          </w:p>
        </w:tc>
        <w:tc>
          <w:tcPr>
            <w:tcW w:w="3420" w:type="dxa"/>
            <w:noWrap w:val="0"/>
            <w:vAlign w:val="top"/>
          </w:tcPr>
          <w:p w14:paraId="0088F003">
            <w:pPr>
              <w:tabs>
                <w:tab w:val="left" w:pos="4680"/>
              </w:tabs>
              <w:spacing w:line="360" w:lineRule="auto"/>
              <w:rPr>
                <w:b/>
                <w:bCs/>
                <w:color w:val="auto"/>
                <w:szCs w:val="21"/>
                <w:highlight w:val="none"/>
                <w:u w:val="single"/>
              </w:rPr>
            </w:pPr>
          </w:p>
        </w:tc>
        <w:tc>
          <w:tcPr>
            <w:tcW w:w="4280" w:type="dxa"/>
            <w:noWrap w:val="0"/>
            <w:vAlign w:val="top"/>
          </w:tcPr>
          <w:p w14:paraId="48D50BFC">
            <w:pPr>
              <w:tabs>
                <w:tab w:val="left" w:pos="4680"/>
              </w:tabs>
              <w:spacing w:line="360" w:lineRule="auto"/>
              <w:rPr>
                <w:b/>
                <w:bCs/>
                <w:color w:val="auto"/>
                <w:szCs w:val="21"/>
                <w:highlight w:val="none"/>
                <w:u w:val="single"/>
              </w:rPr>
            </w:pPr>
          </w:p>
        </w:tc>
      </w:tr>
      <w:tr w14:paraId="7588CD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33ABD7A3">
            <w:pPr>
              <w:tabs>
                <w:tab w:val="left" w:pos="4680"/>
              </w:tabs>
              <w:spacing w:line="360" w:lineRule="auto"/>
              <w:rPr>
                <w:b/>
                <w:bCs/>
                <w:color w:val="auto"/>
                <w:szCs w:val="21"/>
                <w:highlight w:val="none"/>
                <w:u w:val="single"/>
              </w:rPr>
            </w:pPr>
          </w:p>
        </w:tc>
        <w:tc>
          <w:tcPr>
            <w:tcW w:w="3420" w:type="dxa"/>
            <w:noWrap w:val="0"/>
            <w:vAlign w:val="top"/>
          </w:tcPr>
          <w:p w14:paraId="7E128E01">
            <w:pPr>
              <w:tabs>
                <w:tab w:val="left" w:pos="4680"/>
              </w:tabs>
              <w:spacing w:line="360" w:lineRule="auto"/>
              <w:rPr>
                <w:b/>
                <w:bCs/>
                <w:color w:val="auto"/>
                <w:szCs w:val="21"/>
                <w:highlight w:val="none"/>
                <w:u w:val="single"/>
              </w:rPr>
            </w:pPr>
          </w:p>
        </w:tc>
        <w:tc>
          <w:tcPr>
            <w:tcW w:w="4280" w:type="dxa"/>
            <w:noWrap w:val="0"/>
            <w:vAlign w:val="top"/>
          </w:tcPr>
          <w:p w14:paraId="7D23E38C">
            <w:pPr>
              <w:tabs>
                <w:tab w:val="left" w:pos="4680"/>
              </w:tabs>
              <w:spacing w:line="360" w:lineRule="auto"/>
              <w:rPr>
                <w:b/>
                <w:bCs/>
                <w:color w:val="auto"/>
                <w:szCs w:val="21"/>
                <w:highlight w:val="none"/>
                <w:u w:val="single"/>
              </w:rPr>
            </w:pPr>
          </w:p>
        </w:tc>
      </w:tr>
      <w:tr w14:paraId="60764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0AFF3A44">
            <w:pPr>
              <w:tabs>
                <w:tab w:val="left" w:pos="4680"/>
              </w:tabs>
              <w:spacing w:line="360" w:lineRule="auto"/>
              <w:rPr>
                <w:b/>
                <w:bCs/>
                <w:color w:val="auto"/>
                <w:szCs w:val="21"/>
                <w:highlight w:val="none"/>
                <w:u w:val="single"/>
              </w:rPr>
            </w:pPr>
          </w:p>
        </w:tc>
        <w:tc>
          <w:tcPr>
            <w:tcW w:w="3420" w:type="dxa"/>
            <w:noWrap w:val="0"/>
            <w:vAlign w:val="top"/>
          </w:tcPr>
          <w:p w14:paraId="0CCD8D3F">
            <w:pPr>
              <w:tabs>
                <w:tab w:val="left" w:pos="4680"/>
              </w:tabs>
              <w:spacing w:line="360" w:lineRule="auto"/>
              <w:rPr>
                <w:b/>
                <w:bCs/>
                <w:color w:val="auto"/>
                <w:szCs w:val="21"/>
                <w:highlight w:val="none"/>
                <w:u w:val="single"/>
              </w:rPr>
            </w:pPr>
          </w:p>
        </w:tc>
        <w:tc>
          <w:tcPr>
            <w:tcW w:w="4280" w:type="dxa"/>
            <w:noWrap w:val="0"/>
            <w:vAlign w:val="top"/>
          </w:tcPr>
          <w:p w14:paraId="06D75312">
            <w:pPr>
              <w:tabs>
                <w:tab w:val="left" w:pos="4680"/>
              </w:tabs>
              <w:spacing w:line="360" w:lineRule="auto"/>
              <w:rPr>
                <w:b/>
                <w:bCs/>
                <w:color w:val="auto"/>
                <w:szCs w:val="21"/>
                <w:highlight w:val="none"/>
                <w:u w:val="single"/>
              </w:rPr>
            </w:pPr>
          </w:p>
        </w:tc>
      </w:tr>
      <w:tr w14:paraId="604B8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2A7E9EC6">
            <w:pPr>
              <w:tabs>
                <w:tab w:val="left" w:pos="4680"/>
              </w:tabs>
              <w:spacing w:line="360" w:lineRule="auto"/>
              <w:rPr>
                <w:b/>
                <w:bCs/>
                <w:color w:val="auto"/>
                <w:szCs w:val="21"/>
                <w:highlight w:val="none"/>
                <w:u w:val="single"/>
              </w:rPr>
            </w:pPr>
          </w:p>
        </w:tc>
        <w:tc>
          <w:tcPr>
            <w:tcW w:w="3420" w:type="dxa"/>
            <w:noWrap w:val="0"/>
            <w:vAlign w:val="top"/>
          </w:tcPr>
          <w:p w14:paraId="1A236B0D">
            <w:pPr>
              <w:tabs>
                <w:tab w:val="left" w:pos="4680"/>
              </w:tabs>
              <w:spacing w:line="360" w:lineRule="auto"/>
              <w:rPr>
                <w:b/>
                <w:bCs/>
                <w:color w:val="auto"/>
                <w:szCs w:val="21"/>
                <w:highlight w:val="none"/>
                <w:u w:val="single"/>
              </w:rPr>
            </w:pPr>
          </w:p>
        </w:tc>
        <w:tc>
          <w:tcPr>
            <w:tcW w:w="4280" w:type="dxa"/>
            <w:noWrap w:val="0"/>
            <w:vAlign w:val="top"/>
          </w:tcPr>
          <w:p w14:paraId="05FA5E50">
            <w:pPr>
              <w:tabs>
                <w:tab w:val="left" w:pos="4680"/>
              </w:tabs>
              <w:spacing w:line="360" w:lineRule="auto"/>
              <w:rPr>
                <w:b/>
                <w:bCs/>
                <w:color w:val="auto"/>
                <w:szCs w:val="21"/>
                <w:highlight w:val="none"/>
                <w:u w:val="single"/>
              </w:rPr>
            </w:pPr>
          </w:p>
        </w:tc>
      </w:tr>
      <w:tr w14:paraId="5DA87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0534F2EE">
            <w:pPr>
              <w:tabs>
                <w:tab w:val="left" w:pos="4680"/>
              </w:tabs>
              <w:spacing w:line="360" w:lineRule="auto"/>
              <w:rPr>
                <w:b/>
                <w:bCs/>
                <w:color w:val="auto"/>
                <w:szCs w:val="21"/>
                <w:highlight w:val="none"/>
                <w:u w:val="single"/>
              </w:rPr>
            </w:pPr>
          </w:p>
        </w:tc>
        <w:tc>
          <w:tcPr>
            <w:tcW w:w="3420" w:type="dxa"/>
            <w:noWrap w:val="0"/>
            <w:vAlign w:val="top"/>
          </w:tcPr>
          <w:p w14:paraId="20EAD96B">
            <w:pPr>
              <w:tabs>
                <w:tab w:val="left" w:pos="4680"/>
              </w:tabs>
              <w:spacing w:line="360" w:lineRule="auto"/>
              <w:rPr>
                <w:b/>
                <w:bCs/>
                <w:color w:val="auto"/>
                <w:szCs w:val="21"/>
                <w:highlight w:val="none"/>
                <w:u w:val="single"/>
              </w:rPr>
            </w:pPr>
          </w:p>
        </w:tc>
        <w:tc>
          <w:tcPr>
            <w:tcW w:w="4280" w:type="dxa"/>
            <w:noWrap w:val="0"/>
            <w:vAlign w:val="top"/>
          </w:tcPr>
          <w:p w14:paraId="05CF373B">
            <w:pPr>
              <w:tabs>
                <w:tab w:val="left" w:pos="4680"/>
              </w:tabs>
              <w:spacing w:line="360" w:lineRule="auto"/>
              <w:rPr>
                <w:b/>
                <w:bCs/>
                <w:color w:val="auto"/>
                <w:szCs w:val="21"/>
                <w:highlight w:val="none"/>
                <w:u w:val="single"/>
              </w:rPr>
            </w:pPr>
          </w:p>
        </w:tc>
      </w:tr>
    </w:tbl>
    <w:p w14:paraId="397C517D">
      <w:pPr>
        <w:widowControl/>
        <w:tabs>
          <w:tab w:val="left" w:pos="4680"/>
        </w:tabs>
        <w:spacing w:line="360" w:lineRule="auto"/>
        <w:ind w:firstLine="1200" w:firstLineChars="500"/>
        <w:jc w:val="left"/>
        <w:rPr>
          <w:rFonts w:ascii="宋体" w:hAnsi="宋体" w:eastAsia="宋体" w:cs="宋体"/>
          <w:b/>
          <w:color w:val="auto"/>
          <w:kern w:val="0"/>
          <w:sz w:val="24"/>
          <w:szCs w:val="24"/>
          <w:highlight w:val="none"/>
        </w:rPr>
        <w:sectPr>
          <w:headerReference r:id="rId13" w:type="first"/>
          <w:footerReference r:id="rId15" w:type="first"/>
          <w:footerReference r:id="rId14" w:type="default"/>
          <w:endnotePr>
            <w:numFmt w:val="decimal"/>
          </w:endnotePr>
          <w:pgSz w:w="11850" w:h="16783"/>
          <w:pgMar w:top="1247" w:right="567" w:bottom="1134" w:left="567" w:header="284" w:footer="284" w:gutter="0"/>
          <w:pgNumType w:fmt="decimal"/>
          <w:cols w:space="720" w:num="1"/>
          <w:titlePg/>
          <w:docGrid w:type="lines" w:linePitch="312" w:charSpace="0"/>
        </w:sectPr>
      </w:pPr>
      <w:r>
        <w:rPr>
          <w:rFonts w:hint="eastAsia" w:ascii="宋体" w:hAnsi="宋体" w:eastAsia="宋体" w:cs="宋体"/>
          <w:color w:val="auto"/>
          <w:kern w:val="0"/>
          <w:sz w:val="24"/>
          <w:szCs w:val="24"/>
          <w:highlight w:val="none"/>
        </w:rPr>
        <w:t xml:space="preserve">评标委员会全体成员签名：                                日期： </w:t>
      </w:r>
    </w:p>
    <w:p w14:paraId="49D8DEAD">
      <w:pPr>
        <w:ind w:left="0" w:leftChars="0" w:right="-827" w:rightChars="-394"/>
        <w:rPr>
          <w:rFonts w:hint="eastAsia" w:ascii="宋体" w:hAnsi="宋体" w:eastAsia="宋体"/>
          <w:color w:val="auto"/>
          <w:sz w:val="24"/>
          <w:szCs w:val="24"/>
          <w:highlight w:val="none"/>
        </w:rPr>
      </w:pPr>
    </w:p>
    <w:p w14:paraId="7C184C6B">
      <w:pPr>
        <w:outlineLvl w:val="2"/>
        <w:rPr>
          <w:rFonts w:hint="eastAsia" w:ascii="宋体" w:hAnsi="宋体" w:eastAsia="宋体"/>
          <w:color w:val="auto"/>
          <w:sz w:val="24"/>
          <w:szCs w:val="24"/>
          <w:highlight w:val="none"/>
        </w:rPr>
      </w:pPr>
      <w:bookmarkStart w:id="122" w:name="_Toc471"/>
      <w:bookmarkStart w:id="123" w:name="_Toc14600"/>
      <w:bookmarkStart w:id="124" w:name="_Toc18044"/>
      <w:bookmarkStart w:id="125" w:name="_Toc31445"/>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9</w:t>
      </w:r>
      <w:r>
        <w:rPr>
          <w:rFonts w:hint="eastAsia" w:ascii="宋体" w:hAnsi="宋体" w:eastAsia="宋体"/>
          <w:color w:val="auto"/>
          <w:sz w:val="24"/>
          <w:szCs w:val="24"/>
          <w:highlight w:val="none"/>
        </w:rPr>
        <w:t>（适用于办法</w:t>
      </w: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w:t>
      </w:r>
      <w:bookmarkEnd w:id="122"/>
      <w:bookmarkEnd w:id="123"/>
      <w:bookmarkEnd w:id="124"/>
      <w:bookmarkEnd w:id="125"/>
    </w:p>
    <w:p w14:paraId="73F1CE00">
      <w:pPr>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lang w:eastAsia="zh-CN"/>
        </w:rPr>
        <w:t>技术部分（施工组织方案）</w:t>
      </w:r>
      <w:r>
        <w:rPr>
          <w:rFonts w:hint="eastAsia" w:ascii="宋体" w:hAnsi="宋体" w:eastAsia="宋体"/>
          <w:b/>
          <w:color w:val="auto"/>
          <w:sz w:val="36"/>
          <w:szCs w:val="36"/>
          <w:highlight w:val="none"/>
        </w:rPr>
        <w:t>审查评分表</w:t>
      </w:r>
    </w:p>
    <w:p w14:paraId="0FEB50EF">
      <w:pPr>
        <w:rPr>
          <w:rFonts w:hint="eastAsia" w:ascii="宋体" w:hAnsi="宋体" w:eastAsia="宋体"/>
          <w:bCs/>
          <w:color w:val="auto"/>
          <w:szCs w:val="21"/>
          <w:highlight w:val="none"/>
        </w:rPr>
      </w:pPr>
      <w:r>
        <w:rPr>
          <w:rFonts w:hint="eastAsia" w:ascii="宋体" w:hAnsi="宋体" w:eastAsia="宋体"/>
          <w:bCs/>
          <w:color w:val="auto"/>
          <w:szCs w:val="21"/>
          <w:highlight w:val="none"/>
        </w:rPr>
        <w:t>工程名称：                                                                                 方案编号：</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682"/>
        <w:gridCol w:w="713"/>
        <w:gridCol w:w="8748"/>
      </w:tblGrid>
      <w:tr w14:paraId="78B8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917" w:type="dxa"/>
            <w:gridSpan w:val="2"/>
            <w:noWrap w:val="0"/>
            <w:vAlign w:val="center"/>
          </w:tcPr>
          <w:p w14:paraId="41F43CED">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评审项目</w:t>
            </w:r>
          </w:p>
        </w:tc>
        <w:tc>
          <w:tcPr>
            <w:tcW w:w="713" w:type="dxa"/>
            <w:noWrap w:val="0"/>
            <w:vAlign w:val="center"/>
          </w:tcPr>
          <w:p w14:paraId="4194A261">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8748" w:type="dxa"/>
            <w:noWrap w:val="0"/>
            <w:vAlign w:val="center"/>
          </w:tcPr>
          <w:p w14:paraId="4C7C3B2C">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编制要求</w:t>
            </w:r>
          </w:p>
        </w:tc>
      </w:tr>
      <w:tr w14:paraId="0EF7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17" w:type="dxa"/>
            <w:gridSpan w:val="2"/>
            <w:noWrap w:val="0"/>
            <w:vAlign w:val="center"/>
          </w:tcPr>
          <w:p w14:paraId="6CDE7734">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概况（5分）</w:t>
            </w:r>
          </w:p>
        </w:tc>
        <w:tc>
          <w:tcPr>
            <w:tcW w:w="713" w:type="dxa"/>
            <w:noWrap w:val="0"/>
            <w:vAlign w:val="center"/>
          </w:tcPr>
          <w:p w14:paraId="15A2BFFE">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8748" w:type="dxa"/>
            <w:noWrap w:val="0"/>
            <w:vAlign w:val="center"/>
          </w:tcPr>
          <w:p w14:paraId="1F4D9DE2">
            <w:pPr>
              <w:pageBreakBefore w:val="0"/>
              <w:kinsoku/>
              <w:wordWrap/>
              <w:overflowPunct/>
              <w:topLinePunct w:val="0"/>
              <w:autoSpaceDE/>
              <w:autoSpaceDN/>
              <w:bidi w:val="0"/>
              <w:adjustRightInd/>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概况内容全面、概括性强，包括工程概况、工程范围、编制依据。（内容完整者得4分，优者加1分，良者加0.5分；无相关内容者得0分；本项最高得分5分）</w:t>
            </w:r>
          </w:p>
        </w:tc>
      </w:tr>
      <w:tr w14:paraId="31A7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35" w:type="dxa"/>
            <w:vMerge w:val="restart"/>
            <w:noWrap w:val="0"/>
            <w:vAlign w:val="center"/>
          </w:tcPr>
          <w:p w14:paraId="78D1AD89">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工作目标与组织架构（5分）</w:t>
            </w:r>
          </w:p>
        </w:tc>
        <w:tc>
          <w:tcPr>
            <w:tcW w:w="2682" w:type="dxa"/>
            <w:noWrap w:val="0"/>
            <w:vAlign w:val="center"/>
          </w:tcPr>
          <w:p w14:paraId="4BC17D59">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工作目标</w:t>
            </w:r>
          </w:p>
        </w:tc>
        <w:tc>
          <w:tcPr>
            <w:tcW w:w="713" w:type="dxa"/>
            <w:vMerge w:val="restart"/>
            <w:noWrap w:val="0"/>
            <w:vAlign w:val="center"/>
          </w:tcPr>
          <w:p w14:paraId="00965999">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8748" w:type="dxa"/>
            <w:vMerge w:val="restart"/>
            <w:noWrap w:val="0"/>
            <w:vAlign w:val="center"/>
          </w:tcPr>
          <w:p w14:paraId="1FA61E01">
            <w:pPr>
              <w:pageBreakBefore w:val="0"/>
              <w:kinsoku/>
              <w:wordWrap/>
              <w:overflowPunct/>
              <w:topLinePunct w:val="0"/>
              <w:autoSpaceDE/>
              <w:autoSpaceDN/>
              <w:bidi w:val="0"/>
              <w:adjustRightInd/>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了解项目总体情况，编制项目的总体目标、施工目标、质量目标和工期目标；编制合理的组织架构，满足项目需要。（内容完整者得4分，优者加1分，良者加0.5分；无相关内容者得0分；本项最高得分5分）</w:t>
            </w:r>
          </w:p>
        </w:tc>
      </w:tr>
      <w:tr w14:paraId="4648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235" w:type="dxa"/>
            <w:vMerge w:val="continue"/>
            <w:noWrap w:val="0"/>
            <w:vAlign w:val="center"/>
          </w:tcPr>
          <w:p w14:paraId="2191A0CB">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p>
        </w:tc>
        <w:tc>
          <w:tcPr>
            <w:tcW w:w="2682" w:type="dxa"/>
            <w:noWrap w:val="0"/>
            <w:vAlign w:val="center"/>
          </w:tcPr>
          <w:p w14:paraId="11E49C43">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组织架构</w:t>
            </w:r>
          </w:p>
        </w:tc>
        <w:tc>
          <w:tcPr>
            <w:tcW w:w="713" w:type="dxa"/>
            <w:vMerge w:val="continue"/>
            <w:noWrap w:val="0"/>
            <w:vAlign w:val="center"/>
          </w:tcPr>
          <w:p w14:paraId="50395204">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p>
        </w:tc>
        <w:tc>
          <w:tcPr>
            <w:tcW w:w="8748" w:type="dxa"/>
            <w:vMerge w:val="continue"/>
            <w:noWrap w:val="0"/>
            <w:vAlign w:val="center"/>
          </w:tcPr>
          <w:p w14:paraId="6ACC57BC">
            <w:pPr>
              <w:pageBreakBefore w:val="0"/>
              <w:kinsoku/>
              <w:wordWrap/>
              <w:overflowPunct/>
              <w:topLinePunct w:val="0"/>
              <w:autoSpaceDE/>
              <w:autoSpaceDN/>
              <w:bidi w:val="0"/>
              <w:adjustRightInd/>
              <w:spacing w:line="240" w:lineRule="exact"/>
              <w:rPr>
                <w:rFonts w:hint="eastAsia" w:ascii="宋体" w:hAnsi="宋体" w:eastAsia="宋体" w:cs="宋体"/>
                <w:color w:val="auto"/>
                <w:sz w:val="21"/>
                <w:szCs w:val="21"/>
                <w:highlight w:val="none"/>
              </w:rPr>
            </w:pPr>
          </w:p>
        </w:tc>
      </w:tr>
      <w:tr w14:paraId="7AE2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917" w:type="dxa"/>
            <w:gridSpan w:val="2"/>
            <w:noWrap w:val="0"/>
            <w:vAlign w:val="center"/>
          </w:tcPr>
          <w:p w14:paraId="6E7956B8">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现状调查与分析（15分）</w:t>
            </w:r>
          </w:p>
        </w:tc>
        <w:tc>
          <w:tcPr>
            <w:tcW w:w="713" w:type="dxa"/>
            <w:noWrap w:val="0"/>
            <w:vAlign w:val="center"/>
          </w:tcPr>
          <w:p w14:paraId="52889FB5">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8748" w:type="dxa"/>
            <w:noWrap w:val="0"/>
            <w:vAlign w:val="center"/>
          </w:tcPr>
          <w:p w14:paraId="5B41681D">
            <w:pPr>
              <w:pageBreakBefore w:val="0"/>
              <w:kinsoku/>
              <w:wordWrap/>
              <w:overflowPunct/>
              <w:topLinePunct w:val="0"/>
              <w:autoSpaceDE/>
              <w:autoSpaceDN/>
              <w:bidi w:val="0"/>
              <w:adjustRightInd/>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确理解规划建设意图，对项目现状摸查充分；熟悉项目情况，能深入、合理地分析项目的具体特性，针对周边的区位条件、景观资源、植物现状等情况制定全面、合理的施工方案和处理措施。（内容完整者得12分，优者加3分，良者加1.5分；无相关内容者得0分；本项最高得分15分）</w:t>
            </w:r>
          </w:p>
        </w:tc>
      </w:tr>
      <w:tr w14:paraId="746B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235" w:type="dxa"/>
            <w:vMerge w:val="restart"/>
            <w:noWrap w:val="0"/>
            <w:vAlign w:val="center"/>
          </w:tcPr>
          <w:p w14:paraId="5A417ABA">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实施方案</w:t>
            </w:r>
          </w:p>
          <w:p w14:paraId="0D38EB78">
            <w:pPr>
              <w:pStyle w:val="3"/>
              <w:pageBreakBefore w:val="0"/>
              <w:kinsoku/>
              <w:wordWrap/>
              <w:overflowPunct/>
              <w:topLinePunct w:val="0"/>
              <w:autoSpaceDE/>
              <w:autoSpaceDN/>
              <w:bidi w:val="0"/>
              <w:adjustRightInd/>
              <w:spacing w:line="240" w:lineRule="exact"/>
              <w:rPr>
                <w:rFonts w:hint="eastAsia" w:ascii="宋体" w:hAnsi="宋体" w:eastAsia="宋体" w:cs="宋体"/>
                <w:b w:val="0"/>
                <w:color w:val="auto"/>
                <w:sz w:val="21"/>
                <w:szCs w:val="21"/>
                <w:highlight w:val="none"/>
              </w:rPr>
            </w:pPr>
            <w:bookmarkStart w:id="126" w:name="_Toc118295329"/>
            <w:r>
              <w:rPr>
                <w:rFonts w:hint="eastAsia" w:ascii="宋体" w:hAnsi="宋体" w:eastAsia="宋体" w:cs="宋体"/>
                <w:b w:val="0"/>
                <w:color w:val="auto"/>
                <w:sz w:val="21"/>
                <w:szCs w:val="21"/>
                <w:highlight w:val="none"/>
              </w:rPr>
              <w:t>（65分）</w:t>
            </w:r>
            <w:bookmarkEnd w:id="126"/>
          </w:p>
        </w:tc>
        <w:tc>
          <w:tcPr>
            <w:tcW w:w="2682" w:type="dxa"/>
            <w:noWrap w:val="0"/>
            <w:vAlign w:val="center"/>
          </w:tcPr>
          <w:p w14:paraId="02AC1D87">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施工总体进度计划</w:t>
            </w:r>
          </w:p>
        </w:tc>
        <w:tc>
          <w:tcPr>
            <w:tcW w:w="713" w:type="dxa"/>
            <w:noWrap w:val="0"/>
            <w:vAlign w:val="center"/>
          </w:tcPr>
          <w:p w14:paraId="6BAFBB3F">
            <w:pPr>
              <w:pageBreakBefore w:val="0"/>
              <w:kinsoku/>
              <w:wordWrap/>
              <w:overflowPunct/>
              <w:topLinePunct w:val="0"/>
              <w:autoSpaceDE/>
              <w:autoSpaceDN/>
              <w:bidi w:val="0"/>
              <w:adjustRightInd/>
              <w:spacing w:line="240" w:lineRule="exact"/>
              <w:jc w:val="center"/>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5分</w:t>
            </w:r>
          </w:p>
        </w:tc>
        <w:tc>
          <w:tcPr>
            <w:tcW w:w="8748" w:type="dxa"/>
            <w:noWrap w:val="0"/>
            <w:vAlign w:val="center"/>
          </w:tcPr>
          <w:p w14:paraId="7DBB5EDE">
            <w:pPr>
              <w:pageBreakBefore w:val="0"/>
              <w:kinsoku/>
              <w:wordWrap/>
              <w:overflowPunct/>
              <w:topLinePunct w:val="0"/>
              <w:autoSpaceDE/>
              <w:autoSpaceDN/>
              <w:bidi w:val="0"/>
              <w:adjustRightInd/>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施工总体进度计划明确、具体、科学可靠，符合项目需求，且制定保障措施。（内容完整者得4分，优者加1分，良者加0.5分；无相关内容者得0分；本项最高得分5分）</w:t>
            </w:r>
          </w:p>
        </w:tc>
      </w:tr>
      <w:tr w14:paraId="18C5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235" w:type="dxa"/>
            <w:vMerge w:val="continue"/>
            <w:noWrap w:val="0"/>
            <w:vAlign w:val="center"/>
          </w:tcPr>
          <w:p w14:paraId="1A763468">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p>
        </w:tc>
        <w:tc>
          <w:tcPr>
            <w:tcW w:w="2682" w:type="dxa"/>
            <w:noWrap w:val="0"/>
            <w:vAlign w:val="center"/>
          </w:tcPr>
          <w:p w14:paraId="34A9E8DF">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施工组织与部署</w:t>
            </w:r>
          </w:p>
        </w:tc>
        <w:tc>
          <w:tcPr>
            <w:tcW w:w="713" w:type="dxa"/>
            <w:vMerge w:val="restart"/>
            <w:noWrap w:val="0"/>
            <w:vAlign w:val="center"/>
          </w:tcPr>
          <w:p w14:paraId="32E99017">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8748" w:type="dxa"/>
            <w:vMerge w:val="restart"/>
            <w:noWrap w:val="0"/>
            <w:vAlign w:val="center"/>
          </w:tcPr>
          <w:p w14:paraId="72EA8B38">
            <w:pPr>
              <w:pageBreakBefore w:val="0"/>
              <w:kinsoku/>
              <w:wordWrap/>
              <w:overflowPunct/>
              <w:topLinePunct w:val="0"/>
              <w:autoSpaceDE/>
              <w:autoSpaceDN/>
              <w:bidi w:val="0"/>
              <w:adjustRightInd/>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1、施工组织内容合理，包括主要工程项目施工方法； 2、施工投入人力物资合理充足；3、能有效保障劳动者合法权益。（内容完整者得8分，优者加2分，良者加1分；无相关内容者得0分；本项最高得分10分）。</w:t>
            </w:r>
          </w:p>
        </w:tc>
      </w:tr>
      <w:tr w14:paraId="4BBD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35" w:type="dxa"/>
            <w:vMerge w:val="continue"/>
            <w:noWrap w:val="0"/>
            <w:vAlign w:val="center"/>
          </w:tcPr>
          <w:p w14:paraId="4403B29D">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p>
        </w:tc>
        <w:tc>
          <w:tcPr>
            <w:tcW w:w="2682" w:type="dxa"/>
            <w:noWrap w:val="0"/>
            <w:vAlign w:val="center"/>
          </w:tcPr>
          <w:p w14:paraId="5784D2FC">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主要工程项目施工方法</w:t>
            </w:r>
          </w:p>
        </w:tc>
        <w:tc>
          <w:tcPr>
            <w:tcW w:w="713" w:type="dxa"/>
            <w:vMerge w:val="continue"/>
            <w:noWrap w:val="0"/>
            <w:vAlign w:val="center"/>
          </w:tcPr>
          <w:p w14:paraId="12DBB39D">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p>
        </w:tc>
        <w:tc>
          <w:tcPr>
            <w:tcW w:w="8748" w:type="dxa"/>
            <w:vMerge w:val="continue"/>
            <w:noWrap w:val="0"/>
            <w:vAlign w:val="center"/>
          </w:tcPr>
          <w:p w14:paraId="503C6B5A">
            <w:pPr>
              <w:pageBreakBefore w:val="0"/>
              <w:kinsoku/>
              <w:wordWrap/>
              <w:overflowPunct/>
              <w:topLinePunct w:val="0"/>
              <w:autoSpaceDE/>
              <w:autoSpaceDN/>
              <w:bidi w:val="0"/>
              <w:adjustRightInd/>
              <w:spacing w:line="240" w:lineRule="exact"/>
              <w:rPr>
                <w:rFonts w:hint="eastAsia" w:ascii="宋体" w:hAnsi="宋体" w:eastAsia="宋体" w:cs="宋体"/>
                <w:color w:val="auto"/>
                <w:sz w:val="21"/>
                <w:szCs w:val="21"/>
                <w:highlight w:val="none"/>
              </w:rPr>
            </w:pPr>
          </w:p>
        </w:tc>
      </w:tr>
      <w:tr w14:paraId="554A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35" w:type="dxa"/>
            <w:vMerge w:val="continue"/>
            <w:noWrap w:val="0"/>
            <w:vAlign w:val="center"/>
          </w:tcPr>
          <w:p w14:paraId="396AC20B">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p>
        </w:tc>
        <w:tc>
          <w:tcPr>
            <w:tcW w:w="2682" w:type="dxa"/>
            <w:noWrap w:val="0"/>
            <w:vAlign w:val="center"/>
          </w:tcPr>
          <w:p w14:paraId="618C459A">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施工投入（人、机、材等）</w:t>
            </w:r>
          </w:p>
        </w:tc>
        <w:tc>
          <w:tcPr>
            <w:tcW w:w="713" w:type="dxa"/>
            <w:vMerge w:val="continue"/>
            <w:noWrap w:val="0"/>
            <w:vAlign w:val="center"/>
          </w:tcPr>
          <w:p w14:paraId="719A7D2C">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p>
        </w:tc>
        <w:tc>
          <w:tcPr>
            <w:tcW w:w="8748" w:type="dxa"/>
            <w:vMerge w:val="continue"/>
            <w:noWrap w:val="0"/>
            <w:vAlign w:val="center"/>
          </w:tcPr>
          <w:p w14:paraId="08D24DE4">
            <w:pPr>
              <w:pageBreakBefore w:val="0"/>
              <w:kinsoku/>
              <w:wordWrap/>
              <w:overflowPunct/>
              <w:topLinePunct w:val="0"/>
              <w:autoSpaceDE/>
              <w:autoSpaceDN/>
              <w:bidi w:val="0"/>
              <w:adjustRightInd/>
              <w:spacing w:line="240" w:lineRule="exact"/>
              <w:rPr>
                <w:rFonts w:hint="eastAsia" w:ascii="宋体" w:hAnsi="宋体" w:eastAsia="宋体" w:cs="宋体"/>
                <w:color w:val="auto"/>
                <w:sz w:val="21"/>
                <w:szCs w:val="21"/>
                <w:highlight w:val="none"/>
              </w:rPr>
            </w:pPr>
          </w:p>
        </w:tc>
      </w:tr>
      <w:tr w14:paraId="5018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35" w:type="dxa"/>
            <w:vMerge w:val="continue"/>
            <w:noWrap w:val="0"/>
            <w:vAlign w:val="center"/>
          </w:tcPr>
          <w:p w14:paraId="3D7CE69B">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p>
        </w:tc>
        <w:tc>
          <w:tcPr>
            <w:tcW w:w="2682" w:type="dxa"/>
            <w:noWrap w:val="0"/>
            <w:vAlign w:val="center"/>
          </w:tcPr>
          <w:p w14:paraId="424D845A">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材料采购计划</w:t>
            </w:r>
          </w:p>
        </w:tc>
        <w:tc>
          <w:tcPr>
            <w:tcW w:w="713" w:type="dxa"/>
            <w:noWrap w:val="0"/>
            <w:vAlign w:val="center"/>
          </w:tcPr>
          <w:p w14:paraId="0118F488">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8748" w:type="dxa"/>
            <w:noWrap w:val="0"/>
            <w:vAlign w:val="center"/>
          </w:tcPr>
          <w:p w14:paraId="0D1F19C2">
            <w:pPr>
              <w:pageBreakBefore w:val="0"/>
              <w:kinsoku/>
              <w:wordWrap/>
              <w:overflowPunct/>
              <w:topLinePunct w:val="0"/>
              <w:autoSpaceDE/>
              <w:autoSpaceDN/>
              <w:bidi w:val="0"/>
              <w:adjustRightInd/>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材料计划合理，紧密结合项目现状，能有效保障项目顺利推进。（内容完整者得8分，优者加2分，良者加1分；无相关内容者得0分；本项最高得分10分）</w:t>
            </w:r>
          </w:p>
        </w:tc>
      </w:tr>
      <w:tr w14:paraId="6E5B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35" w:type="dxa"/>
            <w:vMerge w:val="continue"/>
            <w:noWrap w:val="0"/>
            <w:vAlign w:val="center"/>
          </w:tcPr>
          <w:p w14:paraId="6E52DD7D">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p>
        </w:tc>
        <w:tc>
          <w:tcPr>
            <w:tcW w:w="2682" w:type="dxa"/>
            <w:noWrap w:val="0"/>
            <w:vAlign w:val="center"/>
          </w:tcPr>
          <w:p w14:paraId="086CDA42">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资金使用计划</w:t>
            </w:r>
          </w:p>
        </w:tc>
        <w:tc>
          <w:tcPr>
            <w:tcW w:w="713" w:type="dxa"/>
            <w:noWrap w:val="0"/>
            <w:vAlign w:val="center"/>
          </w:tcPr>
          <w:p w14:paraId="5BB91D08">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8748" w:type="dxa"/>
            <w:noWrap w:val="0"/>
            <w:vAlign w:val="center"/>
          </w:tcPr>
          <w:p w14:paraId="7435E7F2">
            <w:pPr>
              <w:pageBreakBefore w:val="0"/>
              <w:kinsoku/>
              <w:wordWrap/>
              <w:overflowPunct/>
              <w:topLinePunct w:val="0"/>
              <w:autoSpaceDE/>
              <w:autoSpaceDN/>
              <w:bidi w:val="0"/>
              <w:adjustRightInd/>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资金计划合理，能有效保障项目顺利推进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（内容完整者得4分，优者加1分，良者加0.5分；无相关内容者得0分；本项最高得分5分）</w:t>
            </w:r>
          </w:p>
        </w:tc>
      </w:tr>
      <w:tr w14:paraId="4CD3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235" w:type="dxa"/>
            <w:vMerge w:val="continue"/>
            <w:noWrap w:val="0"/>
            <w:vAlign w:val="center"/>
          </w:tcPr>
          <w:p w14:paraId="2F3C1052">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p>
        </w:tc>
        <w:tc>
          <w:tcPr>
            <w:tcW w:w="2682" w:type="dxa"/>
            <w:noWrap w:val="0"/>
            <w:vAlign w:val="center"/>
          </w:tcPr>
          <w:p w14:paraId="5D21D275">
            <w:pPr>
              <w:pageBreakBefore w:val="0"/>
              <w:kinsoku/>
              <w:wordWrap/>
              <w:overflowPunct/>
              <w:topLinePunct w:val="0"/>
              <w:autoSpaceDE/>
              <w:autoSpaceDN/>
              <w:bidi w:val="0"/>
              <w:adjustRightInd/>
              <w:spacing w:line="240" w:lineRule="exact"/>
              <w:jc w:val="center"/>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质量标准</w:t>
            </w:r>
          </w:p>
        </w:tc>
        <w:tc>
          <w:tcPr>
            <w:tcW w:w="713" w:type="dxa"/>
            <w:noWrap w:val="0"/>
            <w:vAlign w:val="center"/>
          </w:tcPr>
          <w:p w14:paraId="3376CBD1">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8748" w:type="dxa"/>
            <w:noWrap w:val="0"/>
            <w:vAlign w:val="center"/>
          </w:tcPr>
          <w:p w14:paraId="29B246AE">
            <w:pPr>
              <w:pageBreakBefore w:val="0"/>
              <w:kinsoku/>
              <w:wordWrap/>
              <w:overflowPunct/>
              <w:topLinePunct w:val="0"/>
              <w:autoSpaceDE/>
              <w:autoSpaceDN/>
              <w:bidi w:val="0"/>
              <w:adjustRightInd/>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质量保证措施完整、具体、可行。（内容完整者得8分，优者加2分，良者加1分；无相关内容者得0分；本项最高得分10分）</w:t>
            </w:r>
          </w:p>
        </w:tc>
      </w:tr>
      <w:tr w14:paraId="2097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35" w:type="dxa"/>
            <w:vMerge w:val="continue"/>
            <w:noWrap w:val="0"/>
            <w:vAlign w:val="center"/>
          </w:tcPr>
          <w:p w14:paraId="10EF915C">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p>
        </w:tc>
        <w:tc>
          <w:tcPr>
            <w:tcW w:w="2682" w:type="dxa"/>
            <w:noWrap w:val="0"/>
            <w:vAlign w:val="center"/>
          </w:tcPr>
          <w:p w14:paraId="40AA830B">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档案管理</w:t>
            </w:r>
          </w:p>
        </w:tc>
        <w:tc>
          <w:tcPr>
            <w:tcW w:w="713" w:type="dxa"/>
            <w:noWrap w:val="0"/>
            <w:vAlign w:val="center"/>
          </w:tcPr>
          <w:p w14:paraId="6805ED0E">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8748" w:type="dxa"/>
            <w:noWrap w:val="0"/>
            <w:vAlign w:val="center"/>
          </w:tcPr>
          <w:p w14:paraId="4799DA96">
            <w:pPr>
              <w:pageBreakBefore w:val="0"/>
              <w:kinsoku/>
              <w:wordWrap/>
              <w:overflowPunct/>
              <w:topLinePunct w:val="0"/>
              <w:autoSpaceDE/>
              <w:autoSpaceDN/>
              <w:bidi w:val="0"/>
              <w:adjustRightInd/>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档案管理制度完整、规范。（内容完整者得4分，优者加1分，良者加0.5分；无相关内容者得0分；本项最高得分5分）</w:t>
            </w:r>
          </w:p>
        </w:tc>
      </w:tr>
      <w:tr w14:paraId="4184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235" w:type="dxa"/>
            <w:vMerge w:val="continue"/>
            <w:noWrap w:val="0"/>
            <w:vAlign w:val="center"/>
          </w:tcPr>
          <w:p w14:paraId="017A709B">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p>
        </w:tc>
        <w:tc>
          <w:tcPr>
            <w:tcW w:w="2682" w:type="dxa"/>
            <w:noWrap w:val="0"/>
            <w:vAlign w:val="center"/>
          </w:tcPr>
          <w:p w14:paraId="2D9F4851">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安全文明施工和绿色施工</w:t>
            </w:r>
          </w:p>
        </w:tc>
        <w:tc>
          <w:tcPr>
            <w:tcW w:w="713" w:type="dxa"/>
            <w:noWrap w:val="0"/>
            <w:vAlign w:val="center"/>
          </w:tcPr>
          <w:p w14:paraId="31FD53DB">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8748" w:type="dxa"/>
            <w:noWrap w:val="0"/>
            <w:vAlign w:val="center"/>
          </w:tcPr>
          <w:p w14:paraId="50D101AD">
            <w:pPr>
              <w:pageBreakBefore w:val="0"/>
              <w:kinsoku/>
              <w:wordWrap/>
              <w:overflowPunct/>
              <w:topLinePunct w:val="0"/>
              <w:autoSpaceDE/>
              <w:autoSpaceDN/>
              <w:bidi w:val="0"/>
              <w:adjustRightInd/>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安全管理目标明确，能针对项目实施内容提出具体有效的防护措施；有完善的文明施工管理措施；绿色施工方案合理。（内容完整者得8分，优者加2分，良者加1分；无相关内容者得0分；本项最高得分10分）</w:t>
            </w:r>
          </w:p>
        </w:tc>
      </w:tr>
      <w:tr w14:paraId="32E5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235" w:type="dxa"/>
            <w:vMerge w:val="continue"/>
            <w:noWrap w:val="0"/>
            <w:vAlign w:val="center"/>
          </w:tcPr>
          <w:p w14:paraId="6D9AF964">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p>
        </w:tc>
        <w:tc>
          <w:tcPr>
            <w:tcW w:w="2682" w:type="dxa"/>
            <w:noWrap w:val="0"/>
            <w:vAlign w:val="center"/>
          </w:tcPr>
          <w:p w14:paraId="65971C36">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工程保修和养护管理措施</w:t>
            </w:r>
          </w:p>
        </w:tc>
        <w:tc>
          <w:tcPr>
            <w:tcW w:w="713" w:type="dxa"/>
            <w:noWrap w:val="0"/>
            <w:vAlign w:val="center"/>
          </w:tcPr>
          <w:p w14:paraId="32D5928B">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8748" w:type="dxa"/>
            <w:noWrap w:val="0"/>
            <w:vAlign w:val="center"/>
          </w:tcPr>
          <w:p w14:paraId="22550851">
            <w:pPr>
              <w:pageBreakBefore w:val="0"/>
              <w:kinsoku/>
              <w:wordWrap/>
              <w:overflowPunct/>
              <w:topLinePunct w:val="0"/>
              <w:autoSpaceDE/>
              <w:autoSpaceDN/>
              <w:bidi w:val="0"/>
              <w:adjustRightInd/>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工程保修和养护管理措施具体有效。（内容完整者得8分，优者加2分，良者加1分；无相关内容者得0分；本项最高得分10分）</w:t>
            </w:r>
          </w:p>
        </w:tc>
      </w:tr>
      <w:tr w14:paraId="09F6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35" w:type="dxa"/>
            <w:vMerge w:val="restart"/>
            <w:noWrap w:val="0"/>
            <w:vAlign w:val="center"/>
          </w:tcPr>
          <w:p w14:paraId="4D133CBC">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第五章风险控制</w:t>
            </w:r>
          </w:p>
          <w:p w14:paraId="2CC2385B">
            <w:pPr>
              <w:pStyle w:val="3"/>
              <w:pageBreakBefore w:val="0"/>
              <w:kinsoku/>
              <w:wordWrap/>
              <w:overflowPunct/>
              <w:topLinePunct w:val="0"/>
              <w:autoSpaceDE/>
              <w:autoSpaceDN/>
              <w:bidi w:val="0"/>
              <w:adjustRightInd/>
              <w:spacing w:line="240" w:lineRule="exact"/>
              <w:rPr>
                <w:rFonts w:hint="eastAsia" w:ascii="宋体" w:hAnsi="宋体" w:eastAsia="宋体" w:cs="宋体"/>
                <w:color w:val="auto"/>
                <w:sz w:val="21"/>
                <w:szCs w:val="21"/>
                <w:highlight w:val="none"/>
              </w:rPr>
            </w:pPr>
            <w:bookmarkStart w:id="127" w:name="_Toc118295330"/>
            <w:r>
              <w:rPr>
                <w:rFonts w:hint="eastAsia" w:ascii="宋体" w:hAnsi="宋体" w:eastAsia="宋体" w:cs="宋体"/>
                <w:b w:val="0"/>
                <w:color w:val="auto"/>
                <w:sz w:val="21"/>
                <w:szCs w:val="21"/>
                <w:highlight w:val="none"/>
              </w:rPr>
              <w:t>（10分）</w:t>
            </w:r>
            <w:bookmarkEnd w:id="127"/>
          </w:p>
        </w:tc>
        <w:tc>
          <w:tcPr>
            <w:tcW w:w="2682" w:type="dxa"/>
            <w:noWrap w:val="0"/>
            <w:vAlign w:val="center"/>
          </w:tcPr>
          <w:p w14:paraId="647D1023">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工程投资节约措施</w:t>
            </w:r>
          </w:p>
        </w:tc>
        <w:tc>
          <w:tcPr>
            <w:tcW w:w="713" w:type="dxa"/>
            <w:noWrap w:val="0"/>
            <w:vAlign w:val="center"/>
          </w:tcPr>
          <w:p w14:paraId="1F13F503">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8748" w:type="dxa"/>
            <w:noWrap w:val="0"/>
            <w:vAlign w:val="center"/>
          </w:tcPr>
          <w:p w14:paraId="4F5A3474">
            <w:pPr>
              <w:pageBreakBefore w:val="0"/>
              <w:kinsoku/>
              <w:wordWrap/>
              <w:overflowPunct/>
              <w:topLinePunct w:val="0"/>
              <w:autoSpaceDE/>
              <w:autoSpaceDN/>
              <w:bidi w:val="0"/>
              <w:adjustRightInd/>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节约工程投资的措施及理由合理、可信、可行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（内容完整者得4分，优者加1分，良者加0.5分；无相关内容者得0分；本项最高得分5分）</w:t>
            </w:r>
          </w:p>
        </w:tc>
      </w:tr>
      <w:tr w14:paraId="7282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35" w:type="dxa"/>
            <w:vMerge w:val="continue"/>
            <w:noWrap w:val="0"/>
            <w:vAlign w:val="center"/>
          </w:tcPr>
          <w:p w14:paraId="11422FF8">
            <w:pPr>
              <w:pStyle w:val="3"/>
              <w:pageBreakBefore w:val="0"/>
              <w:kinsoku/>
              <w:wordWrap/>
              <w:overflowPunct/>
              <w:topLinePunct w:val="0"/>
              <w:autoSpaceDE/>
              <w:autoSpaceDN/>
              <w:bidi w:val="0"/>
              <w:adjustRightInd/>
              <w:spacing w:line="240" w:lineRule="exact"/>
              <w:rPr>
                <w:rFonts w:hint="eastAsia" w:ascii="宋体" w:hAnsi="宋体" w:eastAsia="宋体" w:cs="宋体"/>
                <w:color w:val="auto"/>
                <w:sz w:val="21"/>
                <w:szCs w:val="21"/>
                <w:highlight w:val="none"/>
              </w:rPr>
            </w:pPr>
          </w:p>
        </w:tc>
        <w:tc>
          <w:tcPr>
            <w:tcW w:w="2682" w:type="dxa"/>
            <w:noWrap w:val="0"/>
            <w:vAlign w:val="center"/>
          </w:tcPr>
          <w:p w14:paraId="3AFCDB84">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应急预案和抵抗风险措施</w:t>
            </w:r>
          </w:p>
        </w:tc>
        <w:tc>
          <w:tcPr>
            <w:tcW w:w="713" w:type="dxa"/>
            <w:noWrap w:val="0"/>
            <w:vAlign w:val="center"/>
          </w:tcPr>
          <w:p w14:paraId="6A87F05B">
            <w:pPr>
              <w:pageBreakBefore w:val="0"/>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8748" w:type="dxa"/>
            <w:noWrap w:val="0"/>
            <w:vAlign w:val="center"/>
          </w:tcPr>
          <w:p w14:paraId="4618CC16">
            <w:pPr>
              <w:pageBreakBefore w:val="0"/>
              <w:kinsoku/>
              <w:wordWrap/>
              <w:overflowPunct/>
              <w:topLinePunct w:val="0"/>
              <w:autoSpaceDE/>
              <w:autoSpaceDN/>
              <w:bidi w:val="0"/>
              <w:adjustRightInd/>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能合理分析可能存在的应急情况并提出应急处理措施，做到配合、协调、服务方案考虑全面。（内容完整者得4分，优者加1分，良者加0.5分；无相关内容者得0分；本项最高得分5分）</w:t>
            </w:r>
          </w:p>
        </w:tc>
      </w:tr>
    </w:tbl>
    <w:p w14:paraId="24EA114D">
      <w:pPr>
        <w:rPr>
          <w:rFonts w:hint="eastAsia" w:ascii="宋体" w:hAnsi="宋体" w:eastAsia="宋体" w:cs="宋体"/>
          <w:color w:val="auto"/>
          <w:sz w:val="18"/>
          <w:szCs w:val="18"/>
          <w:highlight w:val="none"/>
        </w:rPr>
      </w:pPr>
    </w:p>
    <w:p w14:paraId="3D9627A1">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备注：评审项目总分为100分，最终得分按投标须知前附表第</w:t>
      </w:r>
      <w:r>
        <w:rPr>
          <w:rFonts w:hint="eastAsia" w:ascii="宋体" w:hAnsi="宋体" w:eastAsia="宋体" w:cs="宋体"/>
          <w:color w:val="auto"/>
          <w:sz w:val="18"/>
          <w:szCs w:val="18"/>
          <w:highlight w:val="none"/>
          <w:u w:val="single"/>
        </w:rPr>
        <w:t>3</w:t>
      </w:r>
      <w:r>
        <w:rPr>
          <w:rFonts w:hint="eastAsia" w:ascii="宋体" w:hAnsi="宋体" w:eastAsia="宋体" w:cs="宋体"/>
          <w:color w:val="auto"/>
          <w:sz w:val="18"/>
          <w:szCs w:val="18"/>
          <w:highlight w:val="none"/>
          <w:u w:val="single"/>
          <w:lang w:val="en-US" w:eastAsia="zh-CN"/>
        </w:rPr>
        <w:t>1</w:t>
      </w:r>
      <w:r>
        <w:rPr>
          <w:rFonts w:hint="eastAsia" w:ascii="宋体" w:hAnsi="宋体" w:eastAsia="宋体" w:cs="宋体"/>
          <w:color w:val="auto"/>
          <w:sz w:val="18"/>
          <w:szCs w:val="18"/>
          <w:highlight w:val="none"/>
        </w:rPr>
        <w:t>项所规定的方式进行汇总；分数出现小数点，保留小数点后二位小数，第三位小数四舍五入。</w:t>
      </w:r>
    </w:p>
    <w:p w14:paraId="6875B886">
      <w:pPr>
        <w:ind w:right="-827" w:rightChars="-394"/>
        <w:rPr>
          <w:rFonts w:hint="eastAsia" w:ascii="宋体" w:hAnsi="宋体" w:eastAsia="宋体" w:cs="宋体"/>
          <w:b/>
          <w:color w:val="auto"/>
          <w:kern w:val="0"/>
          <w:sz w:val="24"/>
          <w:szCs w:val="24"/>
          <w:highlight w:val="none"/>
        </w:rPr>
      </w:pPr>
    </w:p>
    <w:p w14:paraId="3885BDF3">
      <w:pPr>
        <w:ind w:left="-718" w:leftChars="-342" w:right="-827" w:rightChars="-394" w:firstLine="723" w:firstLineChars="300"/>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评标委员会签名：                                                                      日期：</w:t>
      </w:r>
    </w:p>
    <w:p w14:paraId="7CA27ECD">
      <w:pPr>
        <w:outlineLvl w:val="2"/>
        <w:rPr>
          <w:rFonts w:hint="eastAsia" w:ascii="宋体" w:hAnsi="宋体" w:eastAsia="宋体"/>
          <w:color w:val="auto"/>
          <w:sz w:val="24"/>
          <w:szCs w:val="24"/>
          <w:highlight w:val="none"/>
        </w:rPr>
      </w:pPr>
      <w:bookmarkStart w:id="128" w:name="_Toc16072"/>
    </w:p>
    <w:p w14:paraId="61E3974B">
      <w:pPr>
        <w:outlineLvl w:val="2"/>
        <w:rPr>
          <w:rFonts w:hint="eastAsia" w:ascii="宋体" w:hAnsi="宋体" w:eastAsia="宋体"/>
          <w:color w:val="auto"/>
          <w:sz w:val="24"/>
          <w:szCs w:val="24"/>
          <w:highlight w:val="none"/>
        </w:rPr>
      </w:pPr>
      <w:bookmarkStart w:id="129" w:name="_Toc23833"/>
      <w:bookmarkStart w:id="130" w:name="_Toc2646"/>
    </w:p>
    <w:p w14:paraId="4A768A5A">
      <w:pPr>
        <w:outlineLvl w:val="2"/>
        <w:rPr>
          <w:rFonts w:hint="eastAsia" w:ascii="宋体" w:hAnsi="宋体" w:eastAsia="宋体"/>
          <w:color w:val="auto"/>
          <w:sz w:val="24"/>
          <w:szCs w:val="24"/>
          <w:highlight w:val="none"/>
        </w:rPr>
      </w:pPr>
    </w:p>
    <w:p w14:paraId="7E5C2B28">
      <w:pPr>
        <w:outlineLvl w:val="2"/>
        <w:rPr>
          <w:rFonts w:hint="eastAsia" w:ascii="宋体" w:hAnsi="宋体" w:eastAsia="宋体"/>
          <w:color w:val="auto"/>
          <w:sz w:val="24"/>
          <w:szCs w:val="24"/>
          <w:highlight w:val="none"/>
        </w:rPr>
      </w:pPr>
    </w:p>
    <w:p w14:paraId="51D2035D">
      <w:pPr>
        <w:outlineLvl w:val="2"/>
        <w:rPr>
          <w:rFonts w:hint="eastAsia" w:ascii="宋体" w:hAnsi="宋体" w:eastAsia="宋体"/>
          <w:color w:val="auto"/>
          <w:sz w:val="24"/>
          <w:szCs w:val="24"/>
          <w:highlight w:val="none"/>
        </w:rPr>
      </w:pPr>
    </w:p>
    <w:p w14:paraId="00821D3A">
      <w:pPr>
        <w:outlineLvl w:val="2"/>
        <w:rPr>
          <w:rFonts w:hint="eastAsia" w:ascii="宋体" w:hAnsi="宋体" w:eastAsia="宋体"/>
          <w:color w:val="auto"/>
          <w:sz w:val="24"/>
          <w:szCs w:val="24"/>
          <w:highlight w:val="none"/>
        </w:rPr>
      </w:pPr>
    </w:p>
    <w:p w14:paraId="1CB9A637">
      <w:pPr>
        <w:outlineLvl w:val="2"/>
        <w:rPr>
          <w:rFonts w:hint="eastAsia" w:ascii="宋体" w:hAnsi="宋体" w:eastAsia="宋体"/>
          <w:color w:val="auto"/>
          <w:sz w:val="24"/>
          <w:szCs w:val="24"/>
          <w:highlight w:val="none"/>
        </w:rPr>
      </w:pPr>
    </w:p>
    <w:p w14:paraId="121D58DF">
      <w:pPr>
        <w:outlineLvl w:val="2"/>
        <w:rPr>
          <w:rFonts w:hint="eastAsia" w:ascii="宋体" w:hAnsi="宋体" w:eastAsia="宋体"/>
          <w:color w:val="auto"/>
          <w:sz w:val="24"/>
          <w:szCs w:val="24"/>
          <w:highlight w:val="none"/>
        </w:rPr>
      </w:pPr>
      <w:bookmarkStart w:id="131" w:name="_Toc9951"/>
      <w:r>
        <w:rPr>
          <w:rFonts w:hint="eastAsia" w:ascii="宋体" w:hAnsi="宋体" w:eastAsia="宋体"/>
          <w:color w:val="auto"/>
          <w:sz w:val="24"/>
          <w:szCs w:val="24"/>
          <w:highlight w:val="none"/>
        </w:rPr>
        <w:br w:type="page"/>
      </w: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（适用于办法</w:t>
      </w: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w:t>
      </w:r>
      <w:bookmarkEnd w:id="128"/>
      <w:bookmarkEnd w:id="129"/>
      <w:bookmarkEnd w:id="130"/>
      <w:bookmarkEnd w:id="131"/>
    </w:p>
    <w:p w14:paraId="75D6781F">
      <w:pPr>
        <w:spacing w:line="4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技术部分（项目实施能力）</w:t>
      </w:r>
      <w:r>
        <w:rPr>
          <w:rFonts w:hint="eastAsia" w:ascii="宋体" w:hAnsi="宋体" w:eastAsia="宋体" w:cs="宋体"/>
          <w:b/>
          <w:color w:val="auto"/>
          <w:sz w:val="36"/>
          <w:szCs w:val="36"/>
          <w:highlight w:val="none"/>
        </w:rPr>
        <w:t>审查评分表</w:t>
      </w:r>
    </w:p>
    <w:tbl>
      <w:tblPr>
        <w:tblStyle w:val="34"/>
        <w:tblW w:w="15531" w:type="dxa"/>
        <w:tblInd w:w="-6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7"/>
        <w:gridCol w:w="1167"/>
        <w:gridCol w:w="1109"/>
        <w:gridCol w:w="12138"/>
      </w:tblGrid>
      <w:tr w14:paraId="0CC3F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2284" w:type="dxa"/>
            <w:gridSpan w:val="2"/>
            <w:noWrap w:val="0"/>
            <w:vAlign w:val="center"/>
          </w:tcPr>
          <w:p w14:paraId="6E8C5569">
            <w:pPr>
              <w:pageBreakBefore w:val="0"/>
              <w:widowControl/>
              <w:kinsoku/>
              <w:wordWrap/>
              <w:overflowPunct/>
              <w:topLinePunct w:val="0"/>
              <w:autoSpaceDE/>
              <w:autoSpaceDN/>
              <w:bidi w:val="0"/>
              <w:adjustRightInd/>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1109" w:type="dxa"/>
            <w:vMerge w:val="restart"/>
            <w:noWrap w:val="0"/>
            <w:vAlign w:val="center"/>
          </w:tcPr>
          <w:p w14:paraId="7A873E72">
            <w:pPr>
              <w:pageBreakBefore w:val="0"/>
              <w:widowControl/>
              <w:kinsoku/>
              <w:wordWrap/>
              <w:overflowPunct/>
              <w:topLinePunct w:val="0"/>
              <w:autoSpaceDE/>
              <w:autoSpaceDN/>
              <w:bidi w:val="0"/>
              <w:adjustRightInd/>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取值范围</w:t>
            </w:r>
          </w:p>
        </w:tc>
        <w:tc>
          <w:tcPr>
            <w:tcW w:w="12138" w:type="dxa"/>
            <w:vMerge w:val="restart"/>
            <w:noWrap w:val="0"/>
            <w:vAlign w:val="center"/>
          </w:tcPr>
          <w:p w14:paraId="653ACA5B">
            <w:pPr>
              <w:pageBreakBefore w:val="0"/>
              <w:widowControl/>
              <w:kinsoku/>
              <w:wordWrap/>
              <w:overflowPunct/>
              <w:topLinePunct w:val="0"/>
              <w:autoSpaceDE/>
              <w:autoSpaceDN/>
              <w:bidi w:val="0"/>
              <w:adjustRightInd/>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评审内容</w:t>
            </w:r>
          </w:p>
        </w:tc>
      </w:tr>
      <w:tr w14:paraId="4E725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117" w:type="dxa"/>
            <w:noWrap w:val="0"/>
            <w:vAlign w:val="center"/>
          </w:tcPr>
          <w:p w14:paraId="11502800">
            <w:pPr>
              <w:pageBreakBefore w:val="0"/>
              <w:widowControl/>
              <w:kinsoku/>
              <w:wordWrap/>
              <w:overflowPunct/>
              <w:topLinePunct w:val="0"/>
              <w:autoSpaceDE/>
              <w:autoSpaceDN/>
              <w:bidi w:val="0"/>
              <w:adjustRightInd/>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1167" w:type="dxa"/>
            <w:noWrap w:val="0"/>
            <w:vAlign w:val="center"/>
          </w:tcPr>
          <w:p w14:paraId="265000B5">
            <w:pPr>
              <w:pageBreakBefore w:val="0"/>
              <w:widowControl/>
              <w:kinsoku/>
              <w:wordWrap/>
              <w:overflowPunct/>
              <w:topLinePunct w:val="0"/>
              <w:autoSpaceDE/>
              <w:autoSpaceDN/>
              <w:bidi w:val="0"/>
              <w:adjustRightInd/>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w:t>
            </w:r>
          </w:p>
        </w:tc>
        <w:tc>
          <w:tcPr>
            <w:tcW w:w="1109" w:type="dxa"/>
            <w:vMerge w:val="continue"/>
            <w:noWrap w:val="0"/>
            <w:vAlign w:val="center"/>
          </w:tcPr>
          <w:p w14:paraId="2C15E355">
            <w:pPr>
              <w:pageBreakBefore w:val="0"/>
              <w:widowControl/>
              <w:kinsoku/>
              <w:wordWrap/>
              <w:overflowPunct/>
              <w:topLinePunct w:val="0"/>
              <w:autoSpaceDE/>
              <w:autoSpaceDN/>
              <w:bidi w:val="0"/>
              <w:adjustRightInd/>
              <w:spacing w:line="240" w:lineRule="exact"/>
              <w:jc w:val="left"/>
              <w:rPr>
                <w:rFonts w:hint="eastAsia" w:ascii="宋体" w:hAnsi="宋体" w:eastAsia="宋体" w:cs="宋体"/>
                <w:b/>
                <w:bCs/>
                <w:color w:val="auto"/>
                <w:sz w:val="21"/>
                <w:szCs w:val="21"/>
                <w:highlight w:val="none"/>
              </w:rPr>
            </w:pPr>
          </w:p>
        </w:tc>
        <w:tc>
          <w:tcPr>
            <w:tcW w:w="12138" w:type="dxa"/>
            <w:vMerge w:val="continue"/>
            <w:noWrap w:val="0"/>
            <w:vAlign w:val="center"/>
          </w:tcPr>
          <w:p w14:paraId="1450FAE9">
            <w:pPr>
              <w:pageBreakBefore w:val="0"/>
              <w:widowControl/>
              <w:kinsoku/>
              <w:wordWrap/>
              <w:overflowPunct/>
              <w:topLinePunct w:val="0"/>
              <w:autoSpaceDE/>
              <w:autoSpaceDN/>
              <w:bidi w:val="0"/>
              <w:adjustRightInd/>
              <w:spacing w:line="240" w:lineRule="exact"/>
              <w:jc w:val="left"/>
              <w:rPr>
                <w:rFonts w:hint="eastAsia" w:ascii="宋体" w:hAnsi="宋体" w:eastAsia="宋体" w:cs="宋体"/>
                <w:b/>
                <w:bCs/>
                <w:color w:val="auto"/>
                <w:sz w:val="21"/>
                <w:szCs w:val="21"/>
                <w:highlight w:val="none"/>
              </w:rPr>
            </w:pPr>
          </w:p>
        </w:tc>
      </w:tr>
      <w:tr w14:paraId="2CF1D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1117" w:type="dxa"/>
            <w:vMerge w:val="restart"/>
            <w:noWrap w:val="0"/>
            <w:vAlign w:val="center"/>
          </w:tcPr>
          <w:p w14:paraId="306138DC">
            <w:pPr>
              <w:pageBreakBefore w:val="0"/>
              <w:widowControl/>
              <w:kinsoku/>
              <w:wordWrap/>
              <w:overflowPunct/>
              <w:topLinePunct w:val="0"/>
              <w:autoSpaceDE/>
              <w:autoSpaceDN/>
              <w:bidi w:val="0"/>
              <w:adjustRightInd/>
              <w:spacing w:line="2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一、项目管理机构能力</w:t>
            </w:r>
          </w:p>
          <w:p w14:paraId="09787098">
            <w:pPr>
              <w:pageBreakBefore w:val="0"/>
              <w:widowControl/>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p>
        </w:tc>
        <w:tc>
          <w:tcPr>
            <w:tcW w:w="1167" w:type="dxa"/>
            <w:noWrap w:val="0"/>
            <w:vAlign w:val="center"/>
          </w:tcPr>
          <w:p w14:paraId="14C06926">
            <w:pPr>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项目负责人能力</w:t>
            </w:r>
          </w:p>
        </w:tc>
        <w:tc>
          <w:tcPr>
            <w:tcW w:w="1109" w:type="dxa"/>
            <w:noWrap w:val="0"/>
            <w:vAlign w:val="center"/>
          </w:tcPr>
          <w:p w14:paraId="1C10E547">
            <w:pPr>
              <w:spacing w:line="312"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20</w:t>
            </w:r>
          </w:p>
        </w:tc>
        <w:tc>
          <w:tcPr>
            <w:tcW w:w="12138" w:type="dxa"/>
            <w:noWrap w:val="0"/>
            <w:vAlign w:val="center"/>
          </w:tcPr>
          <w:p w14:paraId="1ECC5008">
            <w:pPr>
              <w:pageBreakBefore w:val="0"/>
              <w:widowControl/>
              <w:numPr>
                <w:ilvl w:val="0"/>
                <w:numId w:val="2"/>
              </w:numPr>
              <w:kinsoku/>
              <w:wordWrap/>
              <w:overflowPunct/>
              <w:topLinePunct w:val="0"/>
              <w:autoSpaceDE/>
              <w:autoSpaceDN/>
              <w:bidi w:val="0"/>
              <w:spacing w:line="240" w:lineRule="auto"/>
              <w:jc w:val="left"/>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具有大学本科或以上学历得10分，具有大学专科学历得5分，其他不得分</w:t>
            </w:r>
            <w:r>
              <w:rPr>
                <w:rFonts w:hint="eastAsia" w:ascii="宋体" w:hAnsi="宋体" w:eastAsia="宋体" w:cs="宋体"/>
                <w:b w:val="0"/>
                <w:bCs/>
                <w:color w:val="auto"/>
                <w:szCs w:val="21"/>
                <w:highlight w:val="none"/>
              </w:rPr>
              <w:t>。</w:t>
            </w:r>
          </w:p>
          <w:p w14:paraId="5E0CCAC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w:t>
            </w:r>
            <w:r>
              <w:rPr>
                <w:rFonts w:hint="eastAsia" w:ascii="宋体" w:hAnsi="宋体" w:eastAsia="宋体" w:cs="宋体"/>
                <w:color w:val="auto"/>
                <w:szCs w:val="21"/>
                <w:highlight w:val="none"/>
              </w:rPr>
              <w:t>从业经历</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不含</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以上的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分；从业经历</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年（含）以</w:t>
            </w:r>
            <w:r>
              <w:rPr>
                <w:rFonts w:hint="eastAsia" w:ascii="宋体" w:hAnsi="宋体" w:eastAsia="宋体" w:cs="宋体"/>
                <w:color w:val="auto"/>
                <w:szCs w:val="21"/>
                <w:highlight w:val="none"/>
                <w:lang w:val="en-US" w:eastAsia="zh-CN"/>
              </w:rPr>
              <w:t>下</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含）以</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分；从业经历</w:t>
            </w:r>
            <w:r>
              <w:rPr>
                <w:rFonts w:hint="eastAsia" w:ascii="宋体" w:hAnsi="宋体" w:eastAsia="宋体" w:cs="宋体"/>
                <w:color w:val="auto"/>
                <w:szCs w:val="21"/>
                <w:highlight w:val="none"/>
                <w:lang w:val="en-US" w:eastAsia="zh-CN"/>
              </w:rPr>
              <w:t>8年（含）以下，</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本小项最高得10分。</w:t>
            </w:r>
          </w:p>
          <w:p w14:paraId="36156FCA">
            <w:pPr>
              <w:pageBreakBefore w:val="0"/>
              <w:widowControl/>
              <w:kinsoku/>
              <w:wordWrap/>
              <w:overflowPunct/>
              <w:topLinePunct w:val="0"/>
              <w:autoSpaceDE/>
              <w:autoSpaceDN/>
              <w:bidi w:val="0"/>
              <w:spacing w:line="240" w:lineRule="auto"/>
              <w:jc w:val="left"/>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bCs w:val="0"/>
                <w:color w:val="auto"/>
                <w:szCs w:val="21"/>
                <w:highlight w:val="none"/>
              </w:rPr>
              <w:t>注：本项最高得</w:t>
            </w:r>
            <w:r>
              <w:rPr>
                <w:rFonts w:hint="eastAsia" w:ascii="宋体" w:hAnsi="宋体" w:eastAsia="宋体" w:cs="宋体"/>
                <w:b/>
                <w:bCs w:val="0"/>
                <w:color w:val="auto"/>
                <w:szCs w:val="21"/>
                <w:highlight w:val="none"/>
                <w:lang w:val="en-US" w:eastAsia="zh-CN"/>
              </w:rPr>
              <w:t>20</w:t>
            </w:r>
            <w:r>
              <w:rPr>
                <w:rFonts w:hint="eastAsia" w:ascii="宋体" w:hAnsi="宋体" w:eastAsia="宋体" w:cs="宋体"/>
                <w:b/>
                <w:bCs w:val="0"/>
                <w:color w:val="auto"/>
                <w:szCs w:val="21"/>
                <w:highlight w:val="none"/>
              </w:rPr>
              <w:t>分。（1）须对应提供项目负责人</w:t>
            </w:r>
            <w:r>
              <w:rPr>
                <w:rFonts w:hint="eastAsia" w:ascii="宋体" w:hAnsi="宋体" w:eastAsia="宋体" w:cs="宋体"/>
                <w:b/>
                <w:bCs w:val="0"/>
                <w:color w:val="auto"/>
                <w:szCs w:val="21"/>
                <w:highlight w:val="none"/>
                <w:lang w:val="en-US" w:eastAsia="zh-CN"/>
              </w:rPr>
              <w:t>①</w:t>
            </w:r>
            <w:r>
              <w:rPr>
                <w:rFonts w:hint="eastAsia" w:ascii="宋体" w:hAnsi="宋体" w:eastAsia="宋体" w:cs="宋体"/>
                <w:b/>
                <w:bCs w:val="0"/>
                <w:color w:val="auto"/>
                <w:szCs w:val="21"/>
                <w:highlight w:val="none"/>
              </w:rPr>
              <w:t>身份证</w:t>
            </w:r>
            <w:r>
              <w:rPr>
                <w:rFonts w:hint="eastAsia" w:ascii="宋体" w:hAnsi="宋体" w:eastAsia="宋体" w:cs="宋体"/>
                <w:b/>
                <w:bCs w:val="0"/>
                <w:color w:val="auto"/>
                <w:szCs w:val="21"/>
                <w:highlight w:val="none"/>
                <w:lang w:val="en-US" w:eastAsia="zh-CN"/>
              </w:rPr>
              <w:t>扫描件；②毕业证扫描件；③</w:t>
            </w:r>
            <w:r>
              <w:rPr>
                <w:rFonts w:hint="eastAsia" w:ascii="宋体" w:hAnsi="宋体" w:eastAsia="宋体" w:cs="宋体"/>
                <w:b/>
                <w:bCs w:val="0"/>
                <w:color w:val="auto"/>
                <w:szCs w:val="21"/>
                <w:highlight w:val="none"/>
              </w:rPr>
              <w:t>投标截止时间前1个月（2025年</w:t>
            </w:r>
            <w:r>
              <w:rPr>
                <w:rFonts w:hint="eastAsia" w:ascii="宋体" w:hAnsi="宋体" w:eastAsia="宋体" w:cs="宋体"/>
                <w:b/>
                <w:bCs w:val="0"/>
                <w:color w:val="auto"/>
                <w:szCs w:val="21"/>
                <w:highlight w:val="none"/>
                <w:lang w:val="en-US" w:eastAsia="zh-CN"/>
              </w:rPr>
              <w:t>10</w:t>
            </w:r>
            <w:r>
              <w:rPr>
                <w:rFonts w:hint="eastAsia" w:ascii="宋体" w:hAnsi="宋体" w:eastAsia="宋体" w:cs="宋体"/>
                <w:b/>
                <w:bCs w:val="0"/>
                <w:color w:val="auto"/>
                <w:szCs w:val="21"/>
                <w:highlight w:val="none"/>
              </w:rPr>
              <w:t>月）在本单位购买的社保证明文件扫描件。从业经历年限从毕业证书的核发时间或毕业时间（大学专科(或以上)学历）开始起计</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rPr>
              <w:t>上述证明材料均需加盖投标人电子印章，不提供或资料不齐全均不得分。</w:t>
            </w:r>
          </w:p>
        </w:tc>
      </w:tr>
      <w:tr w14:paraId="76536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trPr>
        <w:tc>
          <w:tcPr>
            <w:tcW w:w="1117" w:type="dxa"/>
            <w:vMerge w:val="continue"/>
            <w:noWrap w:val="0"/>
            <w:vAlign w:val="center"/>
          </w:tcPr>
          <w:p w14:paraId="67001E77">
            <w:pPr>
              <w:pageBreakBefore w:val="0"/>
              <w:widowControl/>
              <w:kinsoku/>
              <w:wordWrap/>
              <w:overflowPunct/>
              <w:topLinePunct w:val="0"/>
              <w:autoSpaceDE/>
              <w:autoSpaceDN/>
              <w:bidi w:val="0"/>
              <w:adjustRightInd/>
              <w:spacing w:line="240" w:lineRule="exact"/>
              <w:jc w:val="left"/>
              <w:rPr>
                <w:rFonts w:hint="eastAsia" w:ascii="宋体" w:hAnsi="宋体" w:eastAsia="宋体" w:cs="宋体"/>
                <w:color w:val="auto"/>
                <w:sz w:val="21"/>
                <w:szCs w:val="21"/>
                <w:highlight w:val="none"/>
              </w:rPr>
            </w:pPr>
          </w:p>
        </w:tc>
        <w:tc>
          <w:tcPr>
            <w:tcW w:w="1167" w:type="dxa"/>
            <w:vMerge w:val="restart"/>
            <w:noWrap w:val="0"/>
            <w:vAlign w:val="center"/>
          </w:tcPr>
          <w:p w14:paraId="1A7AB1EF">
            <w:pPr>
              <w:pageBreakBefore w:val="0"/>
              <w:widowControl/>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企业技术力量配备情况</w:t>
            </w:r>
          </w:p>
        </w:tc>
        <w:tc>
          <w:tcPr>
            <w:tcW w:w="1109" w:type="dxa"/>
            <w:vMerge w:val="restart"/>
            <w:noWrap w:val="0"/>
            <w:vAlign w:val="center"/>
          </w:tcPr>
          <w:p w14:paraId="53A64A33">
            <w:pPr>
              <w:pageBreakBefore w:val="0"/>
              <w:widowControl/>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2138" w:type="dxa"/>
            <w:noWrap w:val="0"/>
            <w:vAlign w:val="center"/>
          </w:tcPr>
          <w:p w14:paraId="57584819">
            <w:pPr>
              <w:pageBreakBefore w:val="0"/>
              <w:widowControl/>
              <w:kinsoku/>
              <w:wordWrap/>
              <w:overflowPunct/>
              <w:topLinePunct w:val="0"/>
              <w:autoSpaceDE/>
              <w:autoSpaceDN/>
              <w:bidi w:val="0"/>
              <w:spacing w:line="240" w:lineRule="auto"/>
              <w:jc w:val="left"/>
              <w:textAlignment w:val="auto"/>
              <w:outlineLvl w:val="9"/>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一.技术负责人要求：</w:t>
            </w:r>
          </w:p>
          <w:p w14:paraId="57E9DE29">
            <w:pPr>
              <w:pageBreakBefore w:val="0"/>
              <w:widowControl/>
              <w:kinsoku/>
              <w:wordWrap/>
              <w:overflowPunct/>
              <w:topLinePunct w:val="0"/>
              <w:autoSpaceDE/>
              <w:autoSpaceDN/>
              <w:bidi w:val="0"/>
              <w:spacing w:line="240" w:lineRule="auto"/>
              <w:jc w:val="left"/>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1.具有园林绿化类（含风景园林施工）专业高级（或以上）技术职称的，得3分；具有园林绿化类（含风景园林施工）专业中级技术职称的，得1.5分；无或其他不得分。本小项最高得3分。</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2.自2023年1月1日至今</w:t>
            </w:r>
            <w:r>
              <w:rPr>
                <w:rFonts w:hint="eastAsia" w:ascii="宋体" w:hAnsi="宋体" w:eastAsia="宋体" w:cs="宋体"/>
                <w:strike w:val="0"/>
                <w:dstrike w:val="0"/>
                <w:color w:val="auto"/>
                <w:highlight w:val="none"/>
                <w:lang w:val="en-US" w:eastAsia="zh-CN"/>
              </w:rPr>
              <w:t>作为技术负责人或项目负责人</w:t>
            </w:r>
            <w:r>
              <w:rPr>
                <w:rFonts w:hint="eastAsia" w:ascii="宋体" w:hAnsi="宋体" w:eastAsia="宋体" w:cs="宋体"/>
                <w:color w:val="auto"/>
                <w:highlight w:val="none"/>
                <w:lang w:val="en-US" w:eastAsia="zh-CN"/>
              </w:rPr>
              <w:t>完成过中标金额450万元（或以上）且质量合格的园林绿化工程施工业绩，每提供一项得5分，本小项最高得5分。</w:t>
            </w:r>
          </w:p>
          <w:p w14:paraId="4F5E8A11">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bCs/>
                <w:color w:val="auto"/>
                <w:szCs w:val="21"/>
                <w:highlight w:val="none"/>
              </w:rPr>
              <w:t>从业经历在10年（不含本数）以上的得</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分；从业经历5</w:t>
            </w:r>
            <w:r>
              <w:rPr>
                <w:rFonts w:hint="eastAsia" w:ascii="宋体" w:hAnsi="宋体" w:eastAsia="宋体" w:cs="宋体"/>
                <w:bCs/>
                <w:color w:val="auto"/>
                <w:szCs w:val="21"/>
                <w:highlight w:val="none"/>
                <w:lang w:val="en-US" w:eastAsia="zh-CN"/>
              </w:rPr>
              <w:t>年</w:t>
            </w:r>
            <w:r>
              <w:rPr>
                <w:rFonts w:hint="eastAsia" w:ascii="宋体" w:hAnsi="宋体" w:eastAsia="宋体" w:cs="宋体"/>
                <w:bCs/>
                <w:color w:val="auto"/>
                <w:szCs w:val="21"/>
                <w:highlight w:val="none"/>
              </w:rPr>
              <w:t>（不含本数）至10年（含本数）的得</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分；其他的不得分，本小项最高得</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w:t>
            </w:r>
          </w:p>
          <w:p w14:paraId="1E32FD19">
            <w:pPr>
              <w:pageBreakBefore w:val="0"/>
              <w:widowControl/>
              <w:kinsoku/>
              <w:wordWrap/>
              <w:overflowPunct/>
              <w:topLinePunct w:val="0"/>
              <w:autoSpaceDE/>
              <w:autoSpaceDN/>
              <w:bidi w:val="0"/>
              <w:spacing w:line="240" w:lineRule="auto"/>
              <w:jc w:val="left"/>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注：本项最高得10分。（1）须对应提供技术负责人</w:t>
            </w:r>
            <w:r>
              <w:rPr>
                <w:rFonts w:hint="eastAsia" w:ascii="宋体" w:hAnsi="宋体" w:eastAsia="宋体" w:cs="宋体"/>
                <w:b/>
                <w:bCs/>
                <w:color w:val="auto"/>
                <w:szCs w:val="21"/>
                <w:highlight w:val="none"/>
                <w:lang w:val="en-US" w:eastAsia="zh-CN"/>
              </w:rPr>
              <w:t>①</w:t>
            </w:r>
            <w:r>
              <w:rPr>
                <w:rFonts w:hint="eastAsia" w:ascii="宋体" w:hAnsi="宋体" w:eastAsia="宋体" w:cs="宋体"/>
                <w:b/>
                <w:bCs/>
                <w:color w:val="auto"/>
                <w:szCs w:val="21"/>
                <w:highlight w:val="none"/>
              </w:rPr>
              <w:t>身份证</w:t>
            </w:r>
            <w:r>
              <w:rPr>
                <w:rFonts w:hint="eastAsia" w:ascii="宋体" w:hAnsi="宋体" w:eastAsia="宋体" w:cs="宋体"/>
                <w:b/>
                <w:bCs/>
                <w:color w:val="auto"/>
                <w:szCs w:val="21"/>
                <w:highlight w:val="none"/>
                <w:lang w:val="en-US" w:eastAsia="zh-CN"/>
              </w:rPr>
              <w:t>扫描件；</w:t>
            </w:r>
            <w:r>
              <w:rPr>
                <w:rFonts w:hint="eastAsia" w:ascii="宋体" w:hAnsi="宋体" w:eastAsia="宋体" w:cs="宋体"/>
                <w:b/>
                <w:bCs/>
                <w:color w:val="auto"/>
                <w:highlight w:val="none"/>
                <w:lang w:val="en-US" w:eastAsia="zh-CN"/>
              </w:rPr>
              <w:t>②职称证扫描件；③</w:t>
            </w:r>
            <w:r>
              <w:rPr>
                <w:rFonts w:hint="eastAsia" w:ascii="宋体" w:hAnsi="宋体" w:eastAsia="宋体" w:cs="宋体"/>
                <w:b/>
                <w:bCs/>
                <w:color w:val="auto"/>
                <w:highlight w:val="none"/>
              </w:rPr>
              <w:t>毕业证书扫描件</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⑤投标截止时间前1个月（2025年10月）在本单位购买的社保证明文件扫描件。（2）技术负责人园林绿化工程施工业绩取自</w:t>
            </w:r>
            <w:r>
              <w:rPr>
                <w:rFonts w:hint="eastAsia" w:ascii="宋体" w:hAnsi="宋体" w:eastAsia="宋体" w:cs="宋体"/>
                <w:b/>
                <w:bCs/>
                <w:color w:val="auto"/>
                <w:szCs w:val="21"/>
                <w:highlight w:val="none"/>
                <w:lang w:val="en-US" w:eastAsia="zh-CN"/>
              </w:rPr>
              <w:t>取自广州公共资源交易中心城市园林绿化企业工程业绩库信息</w:t>
            </w:r>
            <w:r>
              <w:rPr>
                <w:rFonts w:hint="eastAsia" w:ascii="宋体" w:hAnsi="宋体" w:eastAsia="宋体" w:cs="宋体"/>
                <w:b/>
                <w:bCs/>
                <w:color w:val="auto"/>
                <w:highlight w:val="none"/>
                <w:lang w:val="en-US" w:eastAsia="zh-CN"/>
              </w:rPr>
              <w:t>，须提供业绩信息打印页或截图、中标通知书扫描件、施工合同扫描件、竣工验收报告或竣工验收证明扫描件。（3）业绩金额以中标通知书为准，中标通知书没有金额的，以施工合同（不含补充合同）为准；业绩时间以竣工验收时间为准。属于联合体业绩的，按中标通知书金额乘以联合体双方盖章确认的协议书比例为准或施工合同（不含补充合同）的金额为准。</w:t>
            </w:r>
            <w:r>
              <w:rPr>
                <w:rFonts w:hint="eastAsia" w:ascii="宋体" w:hAnsi="宋体" w:eastAsia="宋体" w:cs="宋体"/>
                <w:b/>
                <w:bCs/>
                <w:color w:val="auto"/>
                <w:highlight w:val="none"/>
              </w:rPr>
              <w:t>（4）</w:t>
            </w:r>
            <w:r>
              <w:rPr>
                <w:rFonts w:hint="eastAsia" w:ascii="宋体" w:hAnsi="宋体" w:eastAsia="宋体" w:cs="宋体"/>
                <w:b/>
                <w:bCs/>
                <w:color w:val="auto"/>
                <w:szCs w:val="21"/>
                <w:highlight w:val="none"/>
              </w:rPr>
              <w:t>从业经历年限从毕业证书的</w:t>
            </w:r>
            <w:r>
              <w:rPr>
                <w:rFonts w:hint="eastAsia" w:ascii="宋体" w:hAnsi="宋体" w:eastAsia="宋体" w:cs="宋体"/>
                <w:b/>
                <w:bCs w:val="0"/>
                <w:color w:val="auto"/>
                <w:szCs w:val="21"/>
                <w:highlight w:val="none"/>
              </w:rPr>
              <w:t>核发时间或毕业时间（大学专科(或以上)学历）开始起计</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lang w:val="en-US" w:eastAsia="zh-CN"/>
              </w:rPr>
              <w:t>（5）上述证明材料均需加盖投标人电子印章，不提供或资料不齐全均不得分。</w:t>
            </w:r>
          </w:p>
        </w:tc>
      </w:tr>
      <w:tr w14:paraId="7F6DA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1117" w:type="dxa"/>
            <w:vMerge w:val="continue"/>
            <w:noWrap w:val="0"/>
            <w:vAlign w:val="center"/>
          </w:tcPr>
          <w:p w14:paraId="660D7EC5">
            <w:pPr>
              <w:rPr>
                <w:rFonts w:hint="eastAsia" w:ascii="宋体" w:hAnsi="宋体" w:eastAsia="宋体" w:cs="宋体"/>
                <w:color w:val="auto"/>
                <w:highlight w:val="none"/>
              </w:rPr>
            </w:pPr>
          </w:p>
        </w:tc>
        <w:tc>
          <w:tcPr>
            <w:tcW w:w="1167" w:type="dxa"/>
            <w:vMerge w:val="continue"/>
            <w:noWrap w:val="0"/>
            <w:vAlign w:val="center"/>
          </w:tcPr>
          <w:p w14:paraId="5BAB8C7C">
            <w:pPr>
              <w:rPr>
                <w:rFonts w:hint="eastAsia" w:ascii="宋体" w:hAnsi="宋体" w:eastAsia="宋体" w:cs="宋体"/>
                <w:color w:val="auto"/>
                <w:highlight w:val="none"/>
              </w:rPr>
            </w:pPr>
          </w:p>
        </w:tc>
        <w:tc>
          <w:tcPr>
            <w:tcW w:w="1109" w:type="dxa"/>
            <w:vMerge w:val="continue"/>
            <w:noWrap w:val="0"/>
            <w:vAlign w:val="center"/>
          </w:tcPr>
          <w:p w14:paraId="1A65F783">
            <w:pPr>
              <w:rPr>
                <w:rFonts w:hint="eastAsia" w:ascii="宋体" w:hAnsi="宋体" w:eastAsia="宋体" w:cs="宋体"/>
                <w:color w:val="auto"/>
                <w:highlight w:val="none"/>
              </w:rPr>
            </w:pPr>
          </w:p>
        </w:tc>
        <w:tc>
          <w:tcPr>
            <w:tcW w:w="12138" w:type="dxa"/>
            <w:noWrap w:val="0"/>
            <w:vAlign w:val="center"/>
          </w:tcPr>
          <w:p w14:paraId="548153F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highlight w:val="none"/>
              </w:rPr>
              <w:t>二、</w:t>
            </w:r>
            <w:r>
              <w:rPr>
                <w:rFonts w:hint="eastAsia" w:ascii="宋体" w:hAnsi="宋体" w:eastAsia="宋体" w:cs="宋体"/>
                <w:b/>
                <w:bCs/>
                <w:color w:val="auto"/>
                <w:szCs w:val="21"/>
                <w:highlight w:val="none"/>
              </w:rPr>
              <w:t>技术管理人员要求（除项目负责人、技术负责人外）：</w:t>
            </w:r>
          </w:p>
          <w:p w14:paraId="13F19BB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满足《技术部分（项目实施能力）审查评分表》附表《投标人投入主要人员基本要求表》要求的基础上，额外增加配置以下管理人员的：</w:t>
            </w:r>
          </w:p>
          <w:p w14:paraId="2975956D">
            <w:pPr>
              <w:keepNext w:val="0"/>
              <w:keepLines w:val="0"/>
              <w:pageBreakBefore w:val="0"/>
              <w:numPr>
                <w:ilvl w:val="0"/>
                <w:numId w:val="3"/>
              </w:numPr>
              <w:kinsoku/>
              <w:wordWrap/>
              <w:overflowPunct/>
              <w:topLinePunct w:val="0"/>
              <w:autoSpaceDE/>
              <w:autoSpaceDN/>
              <w:bidi w:val="0"/>
              <w:spacing w:line="24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造价工程师1人</w:t>
            </w:r>
            <w:r>
              <w:rPr>
                <w:rFonts w:hint="eastAsia" w:ascii="宋体" w:hAnsi="宋体" w:eastAsia="宋体" w:cs="宋体"/>
                <w:bCs/>
                <w:color w:val="auto"/>
                <w:szCs w:val="21"/>
                <w:highlight w:val="none"/>
              </w:rPr>
              <w:t>：</w:t>
            </w:r>
          </w:p>
          <w:p w14:paraId="662FC541">
            <w:pPr>
              <w:keepNext w:val="0"/>
              <w:keepLines w:val="0"/>
              <w:pageBreakBefore w:val="0"/>
              <w:numPr>
                <w:ilvl w:val="0"/>
                <w:numId w:val="0"/>
              </w:numPr>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具有注册一级造价工程师执业资格且在有效期内的，得2分；具有二级注册造价工程师执业资格且在有效期内的，得1分；无或其他不得分。本小项最高得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分。以</w:t>
            </w:r>
            <w:r>
              <w:rPr>
                <w:rFonts w:hint="eastAsia" w:ascii="宋体" w:hAnsi="宋体" w:eastAsia="宋体" w:cs="宋体"/>
                <w:color w:val="auto"/>
                <w:highlight w:val="none"/>
                <w:lang w:val="en-US" w:eastAsia="zh-CN"/>
              </w:rPr>
              <w:t>造价工程师</w:t>
            </w:r>
            <w:r>
              <w:rPr>
                <w:rFonts w:hint="eastAsia" w:ascii="宋体" w:hAnsi="宋体" w:eastAsia="宋体" w:cs="宋体"/>
                <w:color w:val="auto"/>
                <w:highlight w:val="none"/>
              </w:rPr>
              <w:t>注册证书为准。</w:t>
            </w:r>
          </w:p>
          <w:p w14:paraId="2C82ECA6">
            <w:pPr>
              <w:keepNext w:val="0"/>
              <w:keepLines w:val="0"/>
              <w:pageBreakBefore w:val="0"/>
              <w:numPr>
                <w:ilvl w:val="0"/>
                <w:numId w:val="3"/>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园林工程师（</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人）</w:t>
            </w:r>
            <w:r>
              <w:rPr>
                <w:rFonts w:hint="eastAsia" w:ascii="宋体" w:hAnsi="宋体" w:eastAsia="宋体" w:cs="宋体"/>
                <w:b/>
                <w:bCs/>
                <w:color w:val="auto"/>
                <w:szCs w:val="21"/>
                <w:highlight w:val="none"/>
                <w:lang w:eastAsia="zh-CN"/>
              </w:rPr>
              <w:t>：</w:t>
            </w:r>
          </w:p>
          <w:p w14:paraId="04CB00DB">
            <w:pPr>
              <w:keepNext w:val="0"/>
              <w:keepLines w:val="0"/>
              <w:pageBreakBefore w:val="0"/>
              <w:numPr>
                <w:ilvl w:val="0"/>
                <w:numId w:val="0"/>
              </w:numPr>
              <w:kinsoku/>
              <w:wordWrap/>
              <w:overflowPunct/>
              <w:topLinePunct w:val="0"/>
              <w:autoSpaceDE/>
              <w:autoSpaceDN/>
              <w:bidi w:val="0"/>
              <w:spacing w:line="240" w:lineRule="auto"/>
              <w:ind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具有园林绿化或风景园林专业高级(或以上)工程师技术职称的</w:t>
            </w:r>
            <w:r>
              <w:rPr>
                <w:rFonts w:hint="eastAsia" w:ascii="宋体" w:hAnsi="宋体" w:eastAsia="宋体" w:cs="宋体"/>
                <w:color w:val="auto"/>
                <w:szCs w:val="21"/>
                <w:highlight w:val="none"/>
                <w:lang w:val="en-US" w:eastAsia="zh-CN"/>
              </w:rPr>
              <w:t>每个</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分；具有园林绿化或风景园林专业工程师技术职称的得1分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本小项最高得4分。</w:t>
            </w:r>
            <w:r>
              <w:rPr>
                <w:rFonts w:hint="eastAsia" w:ascii="宋体" w:hAnsi="宋体" w:eastAsia="宋体" w:cs="宋体"/>
                <w:color w:val="auto"/>
                <w:szCs w:val="21"/>
                <w:highlight w:val="none"/>
              </w:rPr>
              <w:t>无或其他不得分。</w:t>
            </w:r>
            <w:r>
              <w:rPr>
                <w:rFonts w:hint="eastAsia" w:ascii="宋体" w:hAnsi="宋体" w:eastAsia="宋体" w:cs="宋体"/>
                <w:color w:val="auto"/>
                <w:highlight w:val="none"/>
              </w:rPr>
              <w:t>以职称证书为准。</w:t>
            </w:r>
          </w:p>
          <w:p w14:paraId="5E1632DC">
            <w:pPr>
              <w:keepNext w:val="0"/>
              <w:keepLines w:val="0"/>
              <w:pageBreakBefore w:val="0"/>
              <w:numPr>
                <w:ilvl w:val="0"/>
                <w:numId w:val="3"/>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建筑工程负责人</w:t>
            </w:r>
            <w:r>
              <w:rPr>
                <w:rFonts w:hint="eastAsia" w:ascii="宋体" w:hAnsi="宋体" w:eastAsia="宋体" w:cs="宋体"/>
                <w:b/>
                <w:bCs/>
                <w:color w:val="auto"/>
                <w:highlight w:val="none"/>
              </w:rPr>
              <w:t>1人</w:t>
            </w:r>
            <w:r>
              <w:rPr>
                <w:rFonts w:hint="eastAsia" w:ascii="宋体" w:hAnsi="宋体" w:eastAsia="宋体" w:cs="宋体"/>
                <w:color w:val="auto"/>
                <w:highlight w:val="none"/>
              </w:rPr>
              <w:t>：</w:t>
            </w:r>
          </w:p>
          <w:p w14:paraId="64166437">
            <w:pPr>
              <w:keepNext w:val="0"/>
              <w:keepLines w:val="0"/>
              <w:pageBreakBefore w:val="0"/>
              <w:numPr>
                <w:ilvl w:val="0"/>
                <w:numId w:val="0"/>
              </w:numPr>
              <w:kinsoku/>
              <w:wordWrap/>
              <w:overflowPunct/>
              <w:topLinePunct w:val="0"/>
              <w:autoSpaceDE/>
              <w:autoSpaceDN/>
              <w:bidi w:val="0"/>
              <w:spacing w:line="240" w:lineRule="auto"/>
              <w:ind w:leftChars="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具有建筑工程专业二级或以上级别注册建造师且持有安全培训考核合格证（B类）或建筑施工企业项目负责人安全生产考核合格证书，得2分，</w:t>
            </w:r>
            <w:r>
              <w:rPr>
                <w:rFonts w:hint="eastAsia" w:ascii="宋体" w:hAnsi="宋体" w:eastAsia="宋体" w:cs="宋体"/>
                <w:color w:val="auto"/>
                <w:highlight w:val="none"/>
                <w:lang w:val="en-US" w:eastAsia="zh-CN"/>
              </w:rPr>
              <w:t>无或其他不得分。</w:t>
            </w:r>
          </w:p>
          <w:p w14:paraId="726ED70C">
            <w:pPr>
              <w:widowControl/>
              <w:snapToGrid w:val="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（4）安全负责人（1人）：</w:t>
            </w:r>
          </w:p>
          <w:p w14:paraId="6AE4BF67">
            <w:pPr>
              <w:keepNext w:val="0"/>
              <w:keepLines w:val="0"/>
              <w:pageBreakBefore w:val="0"/>
              <w:numPr>
                <w:ilvl w:val="0"/>
                <w:numId w:val="0"/>
              </w:numPr>
              <w:kinsoku/>
              <w:wordWrap/>
              <w:overflowPunct/>
              <w:topLinePunct w:val="0"/>
              <w:autoSpaceDE/>
              <w:autoSpaceDN/>
              <w:bidi w:val="0"/>
              <w:spacing w:line="24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1）具有园林绿化或风景园林</w:t>
            </w:r>
            <w:r>
              <w:rPr>
                <w:rFonts w:hint="eastAsia" w:ascii="宋体" w:hAnsi="宋体" w:eastAsia="宋体" w:cs="宋体"/>
                <w:color w:val="auto"/>
                <w:szCs w:val="21"/>
                <w:highlight w:val="none"/>
                <w:lang w:val="en-US" w:eastAsia="zh-CN"/>
              </w:rPr>
              <w:t>或安全类</w:t>
            </w:r>
            <w:r>
              <w:rPr>
                <w:rFonts w:hint="eastAsia" w:ascii="宋体" w:hAnsi="宋体" w:eastAsia="宋体" w:cs="宋体"/>
                <w:color w:val="auto"/>
                <w:szCs w:val="21"/>
                <w:highlight w:val="none"/>
              </w:rPr>
              <w:t>专业高级（或以上）工程师技术职称的，得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分；无或其他不得分。本小项最高得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14:paraId="42CB9AC3">
            <w:pPr>
              <w:keepNext w:val="0"/>
              <w:keepLines w:val="0"/>
              <w:pageBreakBefore w:val="0"/>
              <w:numPr>
                <w:ilvl w:val="0"/>
                <w:numId w:val="0"/>
              </w:numPr>
              <w:kinsoku/>
              <w:wordWrap/>
              <w:overflowPunct/>
              <w:topLinePunct w:val="0"/>
              <w:autoSpaceDE/>
              <w:autoSpaceDN/>
              <w:bidi w:val="0"/>
              <w:spacing w:line="24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2）具有在有效期内的安全生产考核合格证（A类或B类或C类）或建筑施工企业专职安全生产管理人员安全生产考核合格证书（C3类）</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分；无或其他不得分。本小项最高得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14:paraId="228F6ED8">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其他技术人员：</w:t>
            </w:r>
          </w:p>
          <w:p w14:paraId="12E16359">
            <w:pPr>
              <w:keepNext w:val="0"/>
              <w:keepLines w:val="0"/>
              <w:pageBreakBefore w:val="0"/>
              <w:numPr>
                <w:ilvl w:val="0"/>
                <w:numId w:val="0"/>
              </w:numPr>
              <w:kinsoku/>
              <w:wordWrap/>
              <w:overflowPunct/>
              <w:topLinePunct w:val="0"/>
              <w:autoSpaceDE/>
              <w:autoSpaceDN/>
              <w:bidi w:val="0"/>
              <w:spacing w:line="240" w:lineRule="auto"/>
              <w:ind w:firstLine="210" w:firstLineChars="1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中级或以上测量放线工1人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中级或以上模板工1</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中级或以上钢筋工1人。完全满足上述技术人员要求得10分，缺少一个技术工种扣3.5分，扣完为止。本小项最高得10分。</w:t>
            </w:r>
            <w:r>
              <w:rPr>
                <w:rFonts w:hint="eastAsia" w:ascii="宋体" w:hAnsi="宋体" w:eastAsia="宋体" w:cs="宋体"/>
                <w:color w:val="auto"/>
                <w:szCs w:val="21"/>
                <w:highlight w:val="none"/>
              </w:rPr>
              <w:t>具有符合岗位人员要求的有效的岗位证或职业资格证或</w:t>
            </w:r>
            <w:r>
              <w:rPr>
                <w:rFonts w:hint="eastAsia" w:ascii="宋体" w:hAnsi="宋体" w:eastAsia="宋体" w:cs="宋体"/>
                <w:color w:val="auto"/>
                <w:szCs w:val="21"/>
                <w:highlight w:val="none"/>
                <w:lang w:val="en-US" w:eastAsia="zh-CN"/>
              </w:rPr>
              <w:t>职业</w:t>
            </w:r>
            <w:r>
              <w:rPr>
                <w:rFonts w:hint="eastAsia" w:ascii="宋体" w:hAnsi="宋体" w:eastAsia="宋体" w:cs="宋体"/>
                <w:color w:val="auto"/>
                <w:szCs w:val="21"/>
                <w:highlight w:val="none"/>
              </w:rPr>
              <w:t>培训合格证。</w:t>
            </w:r>
          </w:p>
          <w:p w14:paraId="0DDA2134">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szCs w:val="21"/>
                <w:highlight w:val="none"/>
                <w:lang w:val="en-US" w:eastAsia="zh-CN"/>
              </w:rPr>
              <w:t>注：</w:t>
            </w:r>
            <w:r>
              <w:rPr>
                <w:rFonts w:hint="eastAsia" w:ascii="宋体" w:hAnsi="宋体" w:eastAsia="宋体" w:cs="宋体"/>
                <w:b/>
                <w:bCs/>
                <w:color w:val="auto"/>
                <w:szCs w:val="21"/>
                <w:highlight w:val="none"/>
              </w:rPr>
              <w:t>上述技术管理人员不得兼任，全部满足上述技术管理人员要求的，得20分；不满足《投标人投入主要人员基本要求表》的，本项得0分</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highlight w:val="none"/>
              </w:rPr>
              <w:t>须提供上述人员对应的职称证</w:t>
            </w:r>
            <w:r>
              <w:rPr>
                <w:rFonts w:hint="eastAsia" w:ascii="宋体" w:hAnsi="宋体" w:eastAsia="宋体" w:cs="宋体"/>
                <w:b/>
                <w:bCs/>
                <w:color w:val="auto"/>
                <w:highlight w:val="none"/>
                <w:lang w:val="en-US" w:eastAsia="zh-CN"/>
              </w:rPr>
              <w:t>扫描件</w:t>
            </w:r>
            <w:r>
              <w:rPr>
                <w:rFonts w:hint="eastAsia" w:ascii="宋体" w:hAnsi="宋体" w:eastAsia="宋体" w:cs="宋体"/>
                <w:b/>
                <w:bCs/>
                <w:color w:val="auto"/>
                <w:highlight w:val="none"/>
              </w:rPr>
              <w:t>（如需）、注册证</w:t>
            </w:r>
            <w:r>
              <w:rPr>
                <w:rFonts w:hint="eastAsia" w:ascii="宋体" w:hAnsi="宋体" w:eastAsia="宋体" w:cs="宋体"/>
                <w:b/>
                <w:bCs/>
                <w:color w:val="auto"/>
                <w:highlight w:val="none"/>
                <w:lang w:val="en-US" w:eastAsia="zh-CN"/>
              </w:rPr>
              <w:t>扫描件</w:t>
            </w:r>
            <w:r>
              <w:rPr>
                <w:rFonts w:hint="eastAsia" w:ascii="宋体" w:hAnsi="宋体" w:eastAsia="宋体" w:cs="宋体"/>
                <w:b/>
                <w:bCs/>
                <w:color w:val="auto"/>
                <w:highlight w:val="none"/>
              </w:rPr>
              <w:t>（如需）、</w:t>
            </w:r>
            <w:r>
              <w:rPr>
                <w:rFonts w:hint="eastAsia" w:ascii="宋体" w:hAnsi="宋体" w:eastAsia="宋体" w:cs="宋体"/>
                <w:b/>
                <w:bCs/>
                <w:color w:val="auto"/>
                <w:highlight w:val="none"/>
                <w:lang w:val="en-US" w:eastAsia="zh-CN"/>
              </w:rPr>
              <w:t>安全生产合格证扫描件（如需）、</w:t>
            </w:r>
            <w:r>
              <w:rPr>
                <w:rFonts w:hint="eastAsia" w:ascii="宋体" w:hAnsi="宋体" w:eastAsia="宋体" w:cs="宋体"/>
                <w:b/>
                <w:bCs/>
                <w:color w:val="auto"/>
                <w:highlight w:val="none"/>
              </w:rPr>
              <w:t>职业培训合格证</w:t>
            </w:r>
            <w:r>
              <w:rPr>
                <w:rFonts w:hint="eastAsia" w:ascii="宋体" w:hAnsi="宋体" w:eastAsia="宋体" w:cs="宋体"/>
                <w:b/>
                <w:bCs/>
                <w:color w:val="auto"/>
                <w:highlight w:val="none"/>
                <w:lang w:val="en-US" w:eastAsia="zh-CN"/>
              </w:rPr>
              <w:t>扫描件</w:t>
            </w:r>
            <w:r>
              <w:rPr>
                <w:rFonts w:hint="eastAsia" w:ascii="宋体" w:hAnsi="宋体" w:eastAsia="宋体" w:cs="宋体"/>
                <w:b/>
                <w:bCs/>
                <w:color w:val="auto"/>
                <w:highlight w:val="none"/>
              </w:rPr>
              <w:t>（如需）</w:t>
            </w:r>
            <w:r>
              <w:rPr>
                <w:rFonts w:hint="eastAsia" w:ascii="宋体" w:hAnsi="宋体" w:eastAsia="宋体" w:cs="宋体"/>
                <w:b/>
                <w:bCs/>
                <w:color w:val="auto"/>
                <w:highlight w:val="none"/>
                <w:lang w:val="en-US" w:eastAsia="zh-CN"/>
              </w:rPr>
              <w:t>或</w:t>
            </w:r>
            <w:r>
              <w:rPr>
                <w:rFonts w:hint="eastAsia" w:ascii="宋体" w:hAnsi="宋体" w:eastAsia="宋体" w:cs="宋体"/>
                <w:b/>
                <w:bCs/>
                <w:color w:val="auto"/>
                <w:highlight w:val="none"/>
              </w:rPr>
              <w:t>职业资格证书</w:t>
            </w:r>
            <w:r>
              <w:rPr>
                <w:rFonts w:hint="eastAsia" w:ascii="宋体" w:hAnsi="宋体" w:eastAsia="宋体" w:cs="宋体"/>
                <w:b/>
                <w:bCs/>
                <w:color w:val="auto"/>
                <w:highlight w:val="none"/>
                <w:lang w:val="en-US" w:eastAsia="zh-CN"/>
              </w:rPr>
              <w:t>扫描件</w:t>
            </w:r>
            <w:r>
              <w:rPr>
                <w:rFonts w:hint="eastAsia" w:ascii="宋体" w:hAnsi="宋体" w:eastAsia="宋体" w:cs="宋体"/>
                <w:b/>
                <w:bCs/>
                <w:color w:val="auto"/>
                <w:highlight w:val="none"/>
              </w:rPr>
              <w:t>（如需）、身份证</w:t>
            </w:r>
            <w:r>
              <w:rPr>
                <w:rFonts w:hint="eastAsia" w:ascii="宋体" w:hAnsi="宋体" w:eastAsia="宋体" w:cs="宋体"/>
                <w:b/>
                <w:bCs/>
                <w:color w:val="auto"/>
                <w:highlight w:val="none"/>
                <w:lang w:val="en-US" w:eastAsia="zh-CN"/>
              </w:rPr>
              <w:t>扫描件</w:t>
            </w:r>
            <w:r>
              <w:rPr>
                <w:rFonts w:hint="eastAsia" w:ascii="宋体" w:hAnsi="宋体" w:eastAsia="宋体" w:cs="宋体"/>
                <w:b/>
                <w:bCs/>
                <w:color w:val="auto"/>
                <w:highlight w:val="none"/>
              </w:rPr>
              <w:t>及投标截止时间前近1个月（2025年</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月）在本单位购买的社保证明文件扫描件，并加盖投标单位电子印章。按照《造价工程师职业资格制度规定》的规定，根据原人事部、原建设部发布的《造价工程师执业资格制度暂行规定》（人发〔1996〕77号）取得的造价工程师执业资格，并经注册且在有效期内，等同于一级注册造价工程师。提交的证明材料不齐全或不符合上述条件的不得分。</w:t>
            </w:r>
          </w:p>
        </w:tc>
      </w:tr>
      <w:tr w14:paraId="69799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4" w:hRule="atLeast"/>
        </w:trPr>
        <w:tc>
          <w:tcPr>
            <w:tcW w:w="1117" w:type="dxa"/>
            <w:noWrap w:val="0"/>
            <w:vAlign w:val="center"/>
          </w:tcPr>
          <w:p w14:paraId="60C088A6">
            <w:pPr>
              <w:pageBreakBefore w:val="0"/>
              <w:widowControl/>
              <w:kinsoku/>
              <w:wordWrap/>
              <w:overflowPunct/>
              <w:topLinePunct w:val="0"/>
              <w:autoSpaceDE/>
              <w:autoSpaceDN/>
              <w:bidi w:val="0"/>
              <w:adjustRightInd/>
              <w:spacing w:line="2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二、机械设备投入情况</w:t>
            </w:r>
          </w:p>
        </w:tc>
        <w:tc>
          <w:tcPr>
            <w:tcW w:w="1167" w:type="dxa"/>
            <w:noWrap w:val="0"/>
            <w:vAlign w:val="center"/>
          </w:tcPr>
          <w:p w14:paraId="5D984A88">
            <w:pPr>
              <w:pageBreakBefore w:val="0"/>
              <w:widowControl/>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机械设备</w:t>
            </w:r>
          </w:p>
          <w:p w14:paraId="3AE4005E">
            <w:pPr>
              <w:pageBreakBefore w:val="0"/>
              <w:widowControl/>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w:t>
            </w:r>
          </w:p>
        </w:tc>
        <w:tc>
          <w:tcPr>
            <w:tcW w:w="1109" w:type="dxa"/>
            <w:noWrap w:val="0"/>
            <w:vAlign w:val="center"/>
          </w:tcPr>
          <w:p w14:paraId="78F36F73">
            <w:pPr>
              <w:pageBreakBefore w:val="0"/>
              <w:widowControl/>
              <w:kinsoku/>
              <w:wordWrap/>
              <w:overflowPunct/>
              <w:topLinePunct w:val="0"/>
              <w:autoSpaceDE/>
              <w:autoSpaceDN/>
              <w:bidi w:val="0"/>
              <w:adjustRightInd/>
              <w:spacing w:line="24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2138" w:type="dxa"/>
            <w:noWrap w:val="0"/>
            <w:vAlign w:val="center"/>
          </w:tcPr>
          <w:p w14:paraId="435239D6">
            <w:pPr>
              <w:pageBreakBefore w:val="0"/>
              <w:widowControl/>
              <w:kinsoku/>
              <w:wordWrap/>
              <w:overflowPunct/>
              <w:topLinePunct w:val="0"/>
              <w:autoSpaceDE/>
              <w:autoSpaceDN/>
              <w:bidi w:val="0"/>
              <w:spacing w:line="240" w:lineRule="auto"/>
              <w:jc w:val="left"/>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为满足施工要求，配备机械设备要求如下：洒水车</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台、货车</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rPr>
              <w:t>台、</w:t>
            </w:r>
            <w:r>
              <w:rPr>
                <w:rFonts w:hint="eastAsia" w:ascii="宋体" w:hAnsi="宋体" w:eastAsia="宋体" w:cs="宋体"/>
                <w:color w:val="auto"/>
                <w:highlight w:val="none"/>
              </w:rPr>
              <w:t>大地测量仪器RTK</w:t>
            </w:r>
            <w:r>
              <w:rPr>
                <w:rFonts w:hint="eastAsia" w:ascii="宋体" w:hAnsi="宋体" w:eastAsia="宋体" w:cs="宋体"/>
                <w:color w:val="auto"/>
                <w:highlight w:val="none"/>
                <w:lang w:val="en-US" w:eastAsia="zh-CN"/>
              </w:rPr>
              <w:t xml:space="preserve"> 4台</w:t>
            </w:r>
            <w:r>
              <w:rPr>
                <w:rFonts w:hint="eastAsia" w:ascii="宋体" w:hAnsi="宋体" w:eastAsia="宋体" w:cs="宋体"/>
                <w:b w:val="0"/>
                <w:bCs/>
                <w:color w:val="auto"/>
                <w:szCs w:val="21"/>
                <w:highlight w:val="none"/>
              </w:rPr>
              <w:t>。满足以上要求得</w:t>
            </w:r>
            <w:r>
              <w:rPr>
                <w:rFonts w:hint="eastAsia" w:ascii="宋体" w:hAnsi="宋体" w:eastAsia="宋体" w:cs="宋体"/>
                <w:b w:val="0"/>
                <w:bCs/>
                <w:color w:val="auto"/>
                <w:szCs w:val="21"/>
                <w:highlight w:val="none"/>
                <w:lang w:val="en-US" w:eastAsia="zh-CN"/>
              </w:rPr>
              <w:t>10</w:t>
            </w:r>
            <w:r>
              <w:rPr>
                <w:rFonts w:hint="eastAsia" w:ascii="宋体" w:hAnsi="宋体" w:eastAsia="宋体" w:cs="宋体"/>
                <w:b w:val="0"/>
                <w:bCs/>
                <w:color w:val="auto"/>
                <w:szCs w:val="21"/>
                <w:highlight w:val="none"/>
              </w:rPr>
              <w:t>分，每缺少一台扣1分，扣完为止。</w:t>
            </w:r>
          </w:p>
          <w:p w14:paraId="4CD385BA">
            <w:pPr>
              <w:pageBreakBefore w:val="0"/>
              <w:widowControl/>
              <w:kinsoku/>
              <w:wordWrap/>
              <w:overflowPunct/>
              <w:topLinePunct w:val="0"/>
              <w:autoSpaceDE/>
              <w:autoSpaceDN/>
              <w:bidi w:val="0"/>
              <w:spacing w:line="240" w:lineRule="auto"/>
              <w:jc w:val="left"/>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bCs/>
                <w:color w:val="auto"/>
                <w:szCs w:val="21"/>
                <w:highlight w:val="none"/>
                <w:lang w:val="en-US" w:eastAsia="zh-CN"/>
              </w:rPr>
              <w:t>注：自有的，需提供购买发票或有效的行驶证；租赁的，需承诺其租赁不属于重复租赁，并同时提供租赁合同、购买发票或有效的行驶证。上述证明材料均需加盖投标人电子印章，不提供或资料不齐全均不得分。</w:t>
            </w:r>
          </w:p>
        </w:tc>
      </w:tr>
      <w:tr w14:paraId="1DC62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3" w:hRule="atLeast"/>
        </w:trPr>
        <w:tc>
          <w:tcPr>
            <w:tcW w:w="1117" w:type="dxa"/>
            <w:noWrap w:val="0"/>
            <w:vAlign w:val="center"/>
          </w:tcPr>
          <w:p w14:paraId="0B613564">
            <w:pPr>
              <w:pageBreakBefore w:val="0"/>
              <w:widowControl/>
              <w:kinsoku/>
              <w:wordWrap/>
              <w:overflowPunct/>
              <w:topLinePunct w:val="0"/>
              <w:autoSpaceDE/>
              <w:autoSpaceDN/>
              <w:bidi w:val="0"/>
              <w:adjustRightInd/>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三、企业施工经验</w:t>
            </w:r>
          </w:p>
          <w:p w14:paraId="5CE0D76F">
            <w:pPr>
              <w:pageBreakBefore w:val="0"/>
              <w:widowControl/>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p>
        </w:tc>
        <w:tc>
          <w:tcPr>
            <w:tcW w:w="1167" w:type="dxa"/>
            <w:noWrap w:val="0"/>
            <w:vAlign w:val="center"/>
          </w:tcPr>
          <w:p w14:paraId="679D48EF">
            <w:pPr>
              <w:pageBreakBefore w:val="0"/>
              <w:widowControl/>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类似业绩</w:t>
            </w:r>
          </w:p>
        </w:tc>
        <w:tc>
          <w:tcPr>
            <w:tcW w:w="1109" w:type="dxa"/>
            <w:noWrap w:val="0"/>
            <w:vAlign w:val="center"/>
          </w:tcPr>
          <w:p w14:paraId="7D9E3DDB">
            <w:pPr>
              <w:pageBreakBefore w:val="0"/>
              <w:widowControl/>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12138" w:type="dxa"/>
            <w:noWrap w:val="0"/>
            <w:vAlign w:val="center"/>
          </w:tcPr>
          <w:p w14:paraId="3CEC0AAE">
            <w:pPr>
              <w:pageBreakBefore w:val="0"/>
              <w:widowControl/>
              <w:kinsoku/>
              <w:wordWrap/>
              <w:overflowPunct/>
              <w:topLinePunct w:val="0"/>
              <w:autoSpaceDE/>
              <w:autoSpaceDN/>
              <w:bidi w:val="0"/>
              <w:spacing w:line="240" w:lineRule="auto"/>
              <w:jc w:val="left"/>
              <w:textAlignment w:val="auto"/>
              <w:outlineLvl w:val="9"/>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投标人自2023年1月1日至今，完成过中标金额450万元（或以上）且质量合格的园林绿化工程施工业绩，每提供一项得7.5分，最高得30分。</w:t>
            </w:r>
          </w:p>
          <w:p w14:paraId="3C521E32">
            <w:pPr>
              <w:pageBreakBefore w:val="0"/>
              <w:widowControl/>
              <w:kinsoku/>
              <w:wordWrap/>
              <w:overflowPunct/>
              <w:topLinePunct w:val="0"/>
              <w:autoSpaceDE/>
              <w:autoSpaceDN/>
              <w:bidi w:val="0"/>
              <w:spacing w:line="240" w:lineRule="auto"/>
              <w:jc w:val="left"/>
              <w:textAlignment w:val="auto"/>
              <w:outlineLvl w:val="9"/>
              <w:rPr>
                <w:rFonts w:hint="eastAsia" w:ascii="宋体" w:hAnsi="宋体" w:eastAsia="宋体" w:cs="宋体"/>
                <w:b w:val="0"/>
                <w:bCs/>
                <w:color w:val="auto"/>
                <w:szCs w:val="21"/>
                <w:highlight w:val="none"/>
                <w:lang w:val="en-US" w:eastAsia="zh-CN"/>
              </w:rPr>
            </w:pPr>
            <w:r>
              <w:rPr>
                <w:rFonts w:hint="eastAsia" w:ascii="宋体" w:hAnsi="宋体" w:eastAsia="宋体" w:cs="宋体"/>
                <w:b/>
                <w:bCs w:val="0"/>
                <w:color w:val="auto"/>
                <w:szCs w:val="21"/>
                <w:highlight w:val="none"/>
                <w:lang w:val="en-US" w:eastAsia="zh-CN"/>
              </w:rPr>
              <w:t>注：本项最高得30分。业绩取自广州公共资源交易中心城市园林绿化企业工程业绩库。业绩金额以中标通知书为准，中标通知书没有金额的，以施工合同（不含补充合同）为准；业绩时间以竣工验收时间为准。须同时提供①广州公共资源交易中心城市园林绿化企业工程业绩库</w:t>
            </w:r>
            <w:r>
              <w:rPr>
                <w:rFonts w:hint="eastAsia" w:ascii="宋体" w:hAnsi="宋体" w:eastAsia="宋体" w:cs="宋体"/>
                <w:b/>
                <w:bCs w:val="0"/>
                <w:color w:val="auto"/>
                <w:highlight w:val="none"/>
                <w:lang w:val="en-US" w:eastAsia="zh-CN"/>
              </w:rPr>
              <w:t>业绩信息打印页或截图；②</w:t>
            </w:r>
            <w:r>
              <w:rPr>
                <w:rFonts w:hint="eastAsia" w:ascii="宋体" w:hAnsi="宋体" w:eastAsia="宋体" w:cs="宋体"/>
                <w:b/>
                <w:bCs w:val="0"/>
                <w:color w:val="auto"/>
                <w:szCs w:val="21"/>
                <w:highlight w:val="none"/>
                <w:lang w:val="en-US" w:eastAsia="zh-CN"/>
              </w:rPr>
              <w:t>中标通知书扫描件；②施工合同关键页扫描件；③竣工验收报告或竣工验收证明扫描件等。属于联合体业绩的，按中标通知书金额乘以联合体双方盖章确认的协议书比例为准或施工合同（不含补充合同）的金额为准。上述证明材料均需加盖投标人电子印章，不提供或资料不齐全均不得分。</w:t>
            </w:r>
          </w:p>
        </w:tc>
      </w:tr>
      <w:tr w14:paraId="3D87A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1117" w:type="dxa"/>
            <w:noWrap w:val="0"/>
            <w:vAlign w:val="center"/>
          </w:tcPr>
          <w:p w14:paraId="2F325387">
            <w:pPr>
              <w:pageBreakBefore w:val="0"/>
              <w:widowControl/>
              <w:kinsoku/>
              <w:wordWrap/>
              <w:overflowPunct/>
              <w:topLinePunct w:val="0"/>
              <w:autoSpaceDE/>
              <w:autoSpaceDN/>
              <w:bidi w:val="0"/>
              <w:adjustRightInd/>
              <w:spacing w:line="2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四、其他评审内容</w:t>
            </w:r>
          </w:p>
        </w:tc>
        <w:tc>
          <w:tcPr>
            <w:tcW w:w="1167" w:type="dxa"/>
            <w:noWrap w:val="0"/>
            <w:vAlign w:val="center"/>
          </w:tcPr>
          <w:p w14:paraId="4A5393B3">
            <w:pPr>
              <w:pageBreakBefore w:val="0"/>
              <w:widowControl/>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其他评审内容</w:t>
            </w:r>
          </w:p>
        </w:tc>
        <w:tc>
          <w:tcPr>
            <w:tcW w:w="1109" w:type="dxa"/>
            <w:noWrap w:val="0"/>
            <w:vAlign w:val="center"/>
          </w:tcPr>
          <w:p w14:paraId="75C67025">
            <w:pPr>
              <w:pageBreakBefore w:val="0"/>
              <w:widowControl/>
              <w:kinsoku/>
              <w:wordWrap/>
              <w:overflowPunct/>
              <w:topLinePunct w:val="0"/>
              <w:autoSpaceDE/>
              <w:autoSpaceDN/>
              <w:bidi w:val="0"/>
              <w:adjustRightInd/>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138" w:type="dxa"/>
            <w:noWrap w:val="0"/>
            <w:vAlign w:val="center"/>
          </w:tcPr>
          <w:p w14:paraId="71E80E7F">
            <w:pPr>
              <w:pageBreakBefore w:val="0"/>
              <w:widowControl/>
              <w:kinsoku/>
              <w:wordWrap/>
              <w:overflowPunct/>
              <w:topLinePunct w:val="0"/>
              <w:autoSpaceDE/>
              <w:autoSpaceDN/>
              <w:bidi w:val="0"/>
              <w:spacing w:line="240" w:lineRule="auto"/>
              <w:jc w:val="left"/>
              <w:textAlignment w:val="auto"/>
              <w:outlineLvl w:val="9"/>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投标人获得园林绿化相关的实用新型专利，每提供一项得2分，最高得10分。</w:t>
            </w:r>
          </w:p>
          <w:p w14:paraId="3BBE2418">
            <w:pPr>
              <w:pageBreakBefore w:val="0"/>
              <w:widowControl/>
              <w:kinsoku/>
              <w:wordWrap/>
              <w:overflowPunct/>
              <w:topLinePunct w:val="0"/>
              <w:autoSpaceDE/>
              <w:autoSpaceDN/>
              <w:bidi w:val="0"/>
              <w:spacing w:line="240" w:lineRule="auto"/>
              <w:jc w:val="left"/>
              <w:textAlignment w:val="auto"/>
              <w:outlineLvl w:val="9"/>
              <w:rPr>
                <w:rFonts w:hint="default" w:ascii="宋体" w:hAnsi="宋体" w:eastAsia="宋体" w:cs="宋体"/>
                <w:b w:val="0"/>
                <w:bCs/>
                <w:color w:val="auto"/>
                <w:szCs w:val="21"/>
                <w:highlight w:val="none"/>
                <w:lang w:val="en-US" w:eastAsia="zh-CN"/>
              </w:rPr>
            </w:pPr>
            <w:r>
              <w:rPr>
                <w:rFonts w:hint="eastAsia" w:ascii="宋体" w:hAnsi="宋体" w:eastAsia="宋体" w:cs="宋体"/>
                <w:b/>
                <w:bCs w:val="0"/>
                <w:color w:val="auto"/>
                <w:szCs w:val="21"/>
                <w:highlight w:val="none"/>
                <w:lang w:val="en-US" w:eastAsia="zh-CN"/>
              </w:rPr>
              <w:t>注：提供专利证书扫描件。加盖投标人电子印章，不提供或资料不齐全均不得分。</w:t>
            </w:r>
          </w:p>
        </w:tc>
      </w:tr>
    </w:tbl>
    <w:p w14:paraId="6E6484BE">
      <w:pPr>
        <w:widowControl/>
        <w:spacing w:line="340" w:lineRule="atLeast"/>
        <w:jc w:val="left"/>
        <w:textAlignment w:val="baseline"/>
        <w:rPr>
          <w:rFonts w:ascii="宋体" w:hAnsi="宋体" w:eastAsia="宋体"/>
          <w:color w:val="auto"/>
          <w:kern w:val="0"/>
          <w:szCs w:val="21"/>
          <w:highlight w:val="none"/>
        </w:rPr>
      </w:pPr>
    </w:p>
    <w:p w14:paraId="65FC7275">
      <w:pPr>
        <w:widowControl/>
        <w:spacing w:line="340" w:lineRule="atLeast"/>
        <w:jc w:val="left"/>
        <w:textAlignment w:val="baseline"/>
        <w:rPr>
          <w:rFonts w:hint="eastAsia" w:ascii="宋体" w:hAnsi="宋体" w:eastAsia="宋体"/>
          <w:color w:val="auto"/>
          <w:kern w:val="0"/>
          <w:szCs w:val="22"/>
          <w:highlight w:val="none"/>
        </w:rPr>
      </w:pPr>
      <w:r>
        <w:rPr>
          <w:rFonts w:ascii="宋体" w:hAnsi="宋体" w:eastAsia="宋体"/>
          <w:color w:val="auto"/>
          <w:kern w:val="0"/>
          <w:szCs w:val="21"/>
          <w:highlight w:val="none"/>
        </w:rPr>
        <w:t>备注：</w:t>
      </w:r>
      <w:r>
        <w:rPr>
          <w:rFonts w:hint="eastAsia" w:ascii="宋体" w:hAnsi="宋体" w:eastAsia="宋体"/>
          <w:color w:val="auto"/>
          <w:kern w:val="0"/>
          <w:szCs w:val="21"/>
          <w:highlight w:val="none"/>
        </w:rPr>
        <w:t>评审项目总分为100分，最终得分按投标须知前附表第31项所规定的方式进行汇总；分数出现小数点，保留小数点后二位小数，第三位小数四舍五入。</w:t>
      </w:r>
    </w:p>
    <w:p w14:paraId="68F5DEDE">
      <w:pPr>
        <w:widowControl/>
        <w:spacing w:line="340" w:lineRule="atLeast"/>
        <w:jc w:val="left"/>
        <w:rPr>
          <w:rFonts w:hint="eastAsia" w:ascii="宋体" w:hAnsi="宋体" w:eastAsia="宋体" w:cs="宋体"/>
          <w:b/>
          <w:strike/>
          <w:color w:val="auto"/>
          <w:sz w:val="36"/>
          <w:szCs w:val="36"/>
          <w:highlight w:val="none"/>
          <w:lang w:eastAsia="zh-CN"/>
        </w:rPr>
      </w:pPr>
      <w:r>
        <w:rPr>
          <w:rFonts w:hint="eastAsia" w:ascii="宋体" w:hAnsi="宋体" w:eastAsia="宋体" w:cs="宋体"/>
          <w:b/>
          <w:bCs/>
          <w:color w:val="auto"/>
          <w:kern w:val="0"/>
          <w:szCs w:val="21"/>
          <w:highlight w:val="none"/>
        </w:rPr>
        <w:t>评标委员会签名：                                                                                 日期：</w:t>
      </w:r>
    </w:p>
    <w:p w14:paraId="34D98458">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《技术部分（项目实施能力）审查评分表》附表：《投标人投入主要人员基本要求表》</w:t>
      </w:r>
    </w:p>
    <w:tbl>
      <w:tblPr>
        <w:tblStyle w:val="34"/>
        <w:tblW w:w="14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463"/>
        <w:gridCol w:w="1203"/>
        <w:gridCol w:w="5049"/>
        <w:gridCol w:w="4467"/>
      </w:tblGrid>
      <w:tr w14:paraId="77A4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7925F13">
            <w:pPr>
              <w:snapToGrid w:val="0"/>
              <w:spacing w:line="3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463" w:type="dxa"/>
            <w:tcBorders>
              <w:top w:val="single" w:color="auto" w:sz="4" w:space="0"/>
              <w:left w:val="nil"/>
              <w:bottom w:val="single" w:color="auto" w:sz="4" w:space="0"/>
              <w:right w:val="single" w:color="auto" w:sz="4" w:space="0"/>
            </w:tcBorders>
            <w:noWrap w:val="0"/>
            <w:vAlign w:val="center"/>
          </w:tcPr>
          <w:p w14:paraId="406CAC96">
            <w:pPr>
              <w:snapToGrid w:val="0"/>
              <w:spacing w:line="3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在本项目任职</w:t>
            </w:r>
          </w:p>
        </w:tc>
        <w:tc>
          <w:tcPr>
            <w:tcW w:w="1203" w:type="dxa"/>
            <w:tcBorders>
              <w:top w:val="single" w:color="auto" w:sz="4" w:space="0"/>
              <w:left w:val="nil"/>
              <w:bottom w:val="single" w:color="auto" w:sz="4" w:space="0"/>
              <w:right w:val="single" w:color="auto" w:sz="4" w:space="0"/>
            </w:tcBorders>
            <w:noWrap w:val="0"/>
            <w:vAlign w:val="center"/>
          </w:tcPr>
          <w:p w14:paraId="2216FA4F">
            <w:pPr>
              <w:snapToGrid w:val="0"/>
              <w:spacing w:line="3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人数</w:t>
            </w:r>
          </w:p>
        </w:tc>
        <w:tc>
          <w:tcPr>
            <w:tcW w:w="5049" w:type="dxa"/>
            <w:tcBorders>
              <w:top w:val="single" w:color="auto" w:sz="4" w:space="0"/>
              <w:left w:val="nil"/>
              <w:bottom w:val="single" w:color="auto" w:sz="4" w:space="0"/>
              <w:right w:val="single" w:color="auto" w:sz="4" w:space="0"/>
            </w:tcBorders>
            <w:noWrap w:val="0"/>
            <w:vAlign w:val="center"/>
          </w:tcPr>
          <w:p w14:paraId="6FE1B9BC">
            <w:pPr>
              <w:snapToGrid w:val="0"/>
              <w:spacing w:line="3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基本要求</w:t>
            </w:r>
          </w:p>
        </w:tc>
        <w:tc>
          <w:tcPr>
            <w:tcW w:w="4467" w:type="dxa"/>
            <w:tcBorders>
              <w:top w:val="single" w:color="auto" w:sz="4" w:space="0"/>
              <w:left w:val="nil"/>
              <w:bottom w:val="single" w:color="auto" w:sz="4" w:space="0"/>
              <w:right w:val="single" w:color="auto" w:sz="4" w:space="0"/>
            </w:tcBorders>
            <w:noWrap w:val="0"/>
            <w:vAlign w:val="center"/>
          </w:tcPr>
          <w:p w14:paraId="4E3077A3">
            <w:pPr>
              <w:snapToGrid w:val="0"/>
              <w:spacing w:line="3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5DB8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13FD760">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463" w:type="dxa"/>
            <w:tcBorders>
              <w:top w:val="single" w:color="auto" w:sz="4" w:space="0"/>
              <w:left w:val="nil"/>
              <w:bottom w:val="single" w:color="auto" w:sz="4" w:space="0"/>
              <w:right w:val="single" w:color="auto" w:sz="4" w:space="0"/>
            </w:tcBorders>
            <w:noWrap w:val="0"/>
            <w:vAlign w:val="center"/>
          </w:tcPr>
          <w:p w14:paraId="6211663B">
            <w:pPr>
              <w:spacing w:line="360" w:lineRule="auto"/>
              <w:ind w:left="-57" w:leftChars="-27" w:right="-46" w:rightChars="-2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项目负责人</w:t>
            </w:r>
          </w:p>
        </w:tc>
        <w:tc>
          <w:tcPr>
            <w:tcW w:w="1203" w:type="dxa"/>
            <w:tcBorders>
              <w:top w:val="single" w:color="auto" w:sz="4" w:space="0"/>
              <w:left w:val="nil"/>
              <w:bottom w:val="single" w:color="auto" w:sz="4" w:space="0"/>
              <w:right w:val="single" w:color="auto" w:sz="4" w:space="0"/>
            </w:tcBorders>
            <w:noWrap w:val="0"/>
            <w:vAlign w:val="center"/>
          </w:tcPr>
          <w:p w14:paraId="4F5FB46D">
            <w:pPr>
              <w:spacing w:line="360" w:lineRule="auto"/>
              <w:ind w:left="-57" w:leftChars="-27" w:right="-46" w:rightChars="-2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5049" w:type="dxa"/>
            <w:tcBorders>
              <w:top w:val="single" w:color="auto" w:sz="4" w:space="0"/>
              <w:left w:val="nil"/>
              <w:bottom w:val="single" w:color="auto" w:sz="4" w:space="0"/>
              <w:right w:val="single" w:color="auto" w:sz="4" w:space="0"/>
            </w:tcBorders>
            <w:noWrap w:val="0"/>
            <w:vAlign w:val="center"/>
          </w:tcPr>
          <w:p w14:paraId="6EC1786D">
            <w:pPr>
              <w:spacing w:line="360" w:lineRule="auto"/>
              <w:ind w:left="-57" w:leftChars="-27" w:right="-46" w:rightChars="-2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符合招标公告要求</w:t>
            </w:r>
          </w:p>
        </w:tc>
        <w:tc>
          <w:tcPr>
            <w:tcW w:w="4467" w:type="dxa"/>
            <w:tcBorders>
              <w:top w:val="single" w:color="auto" w:sz="4" w:space="0"/>
              <w:left w:val="nil"/>
              <w:bottom w:val="single" w:color="auto" w:sz="4" w:space="0"/>
              <w:right w:val="single" w:color="auto" w:sz="4" w:space="0"/>
            </w:tcBorders>
            <w:noWrap w:val="0"/>
            <w:vAlign w:val="center"/>
          </w:tcPr>
          <w:p w14:paraId="756C4963">
            <w:pPr>
              <w:spacing w:line="360" w:lineRule="auto"/>
              <w:ind w:left="-57" w:leftChars="-27" w:right="-46" w:rightChars="-2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按招标公告要求提供</w:t>
            </w:r>
          </w:p>
        </w:tc>
      </w:tr>
      <w:tr w14:paraId="3D9D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199909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463" w:type="dxa"/>
            <w:tcBorders>
              <w:top w:val="single" w:color="auto" w:sz="4" w:space="0"/>
              <w:left w:val="nil"/>
              <w:bottom w:val="single" w:color="auto" w:sz="4" w:space="0"/>
              <w:right w:val="single" w:color="auto" w:sz="4" w:space="0"/>
            </w:tcBorders>
            <w:noWrap w:val="0"/>
            <w:vAlign w:val="center"/>
          </w:tcPr>
          <w:p w14:paraId="559FC28B">
            <w:pPr>
              <w:spacing w:line="360" w:lineRule="auto"/>
              <w:ind w:left="-57" w:leftChars="-27" w:right="-46" w:rightChars="-2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技术负责人</w:t>
            </w:r>
          </w:p>
        </w:tc>
        <w:tc>
          <w:tcPr>
            <w:tcW w:w="1203" w:type="dxa"/>
            <w:tcBorders>
              <w:top w:val="single" w:color="auto" w:sz="4" w:space="0"/>
              <w:left w:val="nil"/>
              <w:bottom w:val="single" w:color="auto" w:sz="4" w:space="0"/>
              <w:right w:val="single" w:color="auto" w:sz="4" w:space="0"/>
            </w:tcBorders>
            <w:noWrap w:val="0"/>
            <w:vAlign w:val="center"/>
          </w:tcPr>
          <w:p w14:paraId="1E6339B9">
            <w:pPr>
              <w:spacing w:line="360" w:lineRule="auto"/>
              <w:ind w:left="-57" w:leftChars="-27" w:right="-46" w:rightChars="-2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5049" w:type="dxa"/>
            <w:tcBorders>
              <w:top w:val="single" w:color="auto" w:sz="4" w:space="0"/>
              <w:left w:val="nil"/>
              <w:bottom w:val="single" w:color="auto" w:sz="4" w:space="0"/>
              <w:right w:val="single" w:color="auto" w:sz="4" w:space="0"/>
            </w:tcBorders>
            <w:noWrap w:val="0"/>
            <w:vAlign w:val="center"/>
          </w:tcPr>
          <w:p w14:paraId="7F2B1028">
            <w:pPr>
              <w:spacing w:line="360" w:lineRule="auto"/>
              <w:ind w:left="-57" w:leftChars="-27" w:right="-46" w:rightChars="-2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具有林业或园林绿化类（含风景园林施工）专业中级或以上技术职称</w:t>
            </w:r>
          </w:p>
        </w:tc>
        <w:tc>
          <w:tcPr>
            <w:tcW w:w="4467" w:type="dxa"/>
            <w:tcBorders>
              <w:top w:val="single" w:color="auto" w:sz="4" w:space="0"/>
              <w:left w:val="nil"/>
              <w:bottom w:val="single" w:color="auto" w:sz="4" w:space="0"/>
              <w:right w:val="single" w:color="auto" w:sz="4" w:space="0"/>
            </w:tcBorders>
            <w:noWrap w:val="0"/>
            <w:vAlign w:val="center"/>
          </w:tcPr>
          <w:p w14:paraId="181DD515">
            <w:pPr>
              <w:spacing w:line="360" w:lineRule="auto"/>
              <w:ind w:left="-57" w:leftChars="-27" w:right="-46" w:rightChars="-2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提供职称证书</w:t>
            </w:r>
          </w:p>
        </w:tc>
      </w:tr>
      <w:tr w14:paraId="3ED1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2BE22F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463" w:type="dxa"/>
            <w:tcBorders>
              <w:top w:val="single" w:color="auto" w:sz="4" w:space="0"/>
              <w:left w:val="nil"/>
              <w:bottom w:val="single" w:color="auto" w:sz="4" w:space="0"/>
              <w:right w:val="single" w:color="auto" w:sz="4" w:space="0"/>
            </w:tcBorders>
            <w:noWrap w:val="0"/>
            <w:vAlign w:val="center"/>
          </w:tcPr>
          <w:p w14:paraId="650FB5C2">
            <w:pPr>
              <w:spacing w:line="360" w:lineRule="auto"/>
              <w:ind w:left="-57" w:leftChars="-27" w:right="-46" w:rightChars="-2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专职安全员</w:t>
            </w:r>
          </w:p>
        </w:tc>
        <w:tc>
          <w:tcPr>
            <w:tcW w:w="1203" w:type="dxa"/>
            <w:tcBorders>
              <w:top w:val="single" w:color="auto" w:sz="4" w:space="0"/>
              <w:left w:val="nil"/>
              <w:bottom w:val="single" w:color="auto" w:sz="4" w:space="0"/>
              <w:right w:val="single" w:color="auto" w:sz="4" w:space="0"/>
            </w:tcBorders>
            <w:noWrap w:val="0"/>
            <w:vAlign w:val="center"/>
          </w:tcPr>
          <w:p w14:paraId="5061C188">
            <w:pPr>
              <w:spacing w:line="360" w:lineRule="auto"/>
              <w:ind w:left="-57" w:leftChars="-27" w:right="-46" w:rightChars="-2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5049" w:type="dxa"/>
            <w:tcBorders>
              <w:top w:val="single" w:color="auto" w:sz="4" w:space="0"/>
              <w:left w:val="nil"/>
              <w:bottom w:val="single" w:color="auto" w:sz="4" w:space="0"/>
              <w:right w:val="single" w:color="auto" w:sz="4" w:space="0"/>
            </w:tcBorders>
            <w:noWrap w:val="0"/>
            <w:vAlign w:val="center"/>
          </w:tcPr>
          <w:p w14:paraId="1EF8EEB2">
            <w:pPr>
              <w:spacing w:line="360" w:lineRule="auto"/>
              <w:ind w:left="-57" w:leftChars="-27" w:right="-46" w:rightChars="-2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符合招标公告要求</w:t>
            </w:r>
          </w:p>
        </w:tc>
        <w:tc>
          <w:tcPr>
            <w:tcW w:w="4467" w:type="dxa"/>
            <w:tcBorders>
              <w:top w:val="single" w:color="auto" w:sz="4" w:space="0"/>
              <w:left w:val="nil"/>
              <w:bottom w:val="single" w:color="auto" w:sz="4" w:space="0"/>
              <w:right w:val="single" w:color="auto" w:sz="4" w:space="0"/>
            </w:tcBorders>
            <w:noWrap w:val="0"/>
            <w:vAlign w:val="center"/>
          </w:tcPr>
          <w:p w14:paraId="18F06575">
            <w:pPr>
              <w:spacing w:line="360" w:lineRule="auto"/>
              <w:ind w:left="-57" w:leftChars="-27" w:right="-46" w:rightChars="-2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按招标公告要求提供</w:t>
            </w:r>
          </w:p>
        </w:tc>
      </w:tr>
      <w:tr w14:paraId="66AE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CB6100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2463" w:type="dxa"/>
            <w:tcBorders>
              <w:top w:val="single" w:color="auto" w:sz="4" w:space="0"/>
              <w:left w:val="nil"/>
              <w:bottom w:val="single" w:color="auto" w:sz="4" w:space="0"/>
              <w:right w:val="single" w:color="auto" w:sz="4" w:space="0"/>
            </w:tcBorders>
            <w:noWrap w:val="0"/>
            <w:vAlign w:val="center"/>
          </w:tcPr>
          <w:p w14:paraId="4142F31A">
            <w:pPr>
              <w:spacing w:line="360" w:lineRule="auto"/>
              <w:ind w:left="-57" w:leftChars="-27" w:right="-46" w:rightChars="-2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施工员</w:t>
            </w:r>
          </w:p>
        </w:tc>
        <w:tc>
          <w:tcPr>
            <w:tcW w:w="1203" w:type="dxa"/>
            <w:tcBorders>
              <w:top w:val="single" w:color="auto" w:sz="4" w:space="0"/>
              <w:left w:val="nil"/>
              <w:bottom w:val="single" w:color="auto" w:sz="4" w:space="0"/>
              <w:right w:val="single" w:color="auto" w:sz="4" w:space="0"/>
            </w:tcBorders>
            <w:noWrap w:val="0"/>
            <w:vAlign w:val="center"/>
          </w:tcPr>
          <w:p w14:paraId="24296D6C">
            <w:pPr>
              <w:spacing w:line="360" w:lineRule="auto"/>
              <w:ind w:left="-57" w:leftChars="-27" w:right="-46" w:rightChars="-22"/>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2</w:t>
            </w:r>
          </w:p>
        </w:tc>
        <w:tc>
          <w:tcPr>
            <w:tcW w:w="5049" w:type="dxa"/>
            <w:tcBorders>
              <w:top w:val="single" w:color="auto" w:sz="4" w:space="0"/>
              <w:left w:val="nil"/>
              <w:bottom w:val="single" w:color="auto" w:sz="4" w:space="0"/>
              <w:right w:val="single" w:color="auto" w:sz="4" w:space="0"/>
            </w:tcBorders>
            <w:noWrap w:val="0"/>
            <w:vAlign w:val="center"/>
          </w:tcPr>
          <w:p w14:paraId="6CF86BD4">
            <w:pPr>
              <w:spacing w:line="360" w:lineRule="auto"/>
              <w:ind w:left="-57" w:leftChars="-27" w:right="-46" w:rightChars="-2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具有相关证件</w:t>
            </w:r>
          </w:p>
        </w:tc>
        <w:tc>
          <w:tcPr>
            <w:tcW w:w="4467" w:type="dxa"/>
            <w:tcBorders>
              <w:top w:val="single" w:color="auto" w:sz="4" w:space="0"/>
              <w:left w:val="nil"/>
              <w:bottom w:val="single" w:color="auto" w:sz="4" w:space="0"/>
              <w:right w:val="single" w:color="auto" w:sz="4" w:space="0"/>
            </w:tcBorders>
            <w:noWrap w:val="0"/>
            <w:vAlign w:val="center"/>
          </w:tcPr>
          <w:p w14:paraId="67E303CB">
            <w:pPr>
              <w:spacing w:line="360" w:lineRule="auto"/>
              <w:ind w:left="-57" w:leftChars="-27" w:right="-46" w:rightChars="-2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提供有效的岗位证或职业资格证或培训合格证</w:t>
            </w:r>
          </w:p>
        </w:tc>
      </w:tr>
      <w:tr w14:paraId="65B5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6DE0270">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2463" w:type="dxa"/>
            <w:tcBorders>
              <w:top w:val="single" w:color="auto" w:sz="4" w:space="0"/>
              <w:left w:val="nil"/>
              <w:bottom w:val="single" w:color="auto" w:sz="4" w:space="0"/>
              <w:right w:val="single" w:color="auto" w:sz="4" w:space="0"/>
            </w:tcBorders>
            <w:noWrap w:val="0"/>
            <w:vAlign w:val="center"/>
          </w:tcPr>
          <w:p w14:paraId="5BDD2531">
            <w:pPr>
              <w:spacing w:line="360" w:lineRule="auto"/>
              <w:ind w:left="-57" w:leftChars="-27" w:right="-46" w:rightChars="-22"/>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材料员(取样员)</w:t>
            </w:r>
          </w:p>
        </w:tc>
        <w:tc>
          <w:tcPr>
            <w:tcW w:w="1203" w:type="dxa"/>
            <w:tcBorders>
              <w:top w:val="single" w:color="auto" w:sz="4" w:space="0"/>
              <w:left w:val="nil"/>
              <w:bottom w:val="single" w:color="auto" w:sz="4" w:space="0"/>
              <w:right w:val="single" w:color="auto" w:sz="4" w:space="0"/>
            </w:tcBorders>
            <w:noWrap w:val="0"/>
            <w:vAlign w:val="center"/>
          </w:tcPr>
          <w:p w14:paraId="0A0A476C">
            <w:pPr>
              <w:spacing w:line="360" w:lineRule="auto"/>
              <w:ind w:left="-57" w:leftChars="-27" w:right="-46" w:rightChars="-22"/>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5049" w:type="dxa"/>
            <w:tcBorders>
              <w:top w:val="single" w:color="auto" w:sz="4" w:space="0"/>
              <w:left w:val="nil"/>
              <w:bottom w:val="single" w:color="auto" w:sz="4" w:space="0"/>
              <w:right w:val="single" w:color="auto" w:sz="4" w:space="0"/>
            </w:tcBorders>
            <w:noWrap w:val="0"/>
            <w:vAlign w:val="center"/>
          </w:tcPr>
          <w:p w14:paraId="7E4BCE47">
            <w:pPr>
              <w:spacing w:line="360" w:lineRule="auto"/>
              <w:ind w:left="-57" w:leftChars="-27" w:right="-46" w:rightChars="-22"/>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具有相关证件</w:t>
            </w:r>
          </w:p>
        </w:tc>
        <w:tc>
          <w:tcPr>
            <w:tcW w:w="4467" w:type="dxa"/>
            <w:tcBorders>
              <w:top w:val="single" w:color="auto" w:sz="4" w:space="0"/>
              <w:left w:val="nil"/>
              <w:bottom w:val="single" w:color="auto" w:sz="4" w:space="0"/>
              <w:right w:val="single" w:color="auto" w:sz="4" w:space="0"/>
            </w:tcBorders>
            <w:noWrap w:val="0"/>
            <w:vAlign w:val="top"/>
          </w:tcPr>
          <w:p w14:paraId="6E6DB29E">
            <w:pPr>
              <w:spacing w:line="360" w:lineRule="auto"/>
              <w:ind w:left="-57" w:leftChars="-27" w:right="-46" w:rightChars="-22"/>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提供有效的岗位证或职业资格证或培训合格证</w:t>
            </w:r>
          </w:p>
        </w:tc>
      </w:tr>
      <w:tr w14:paraId="5567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F7EA5A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2463" w:type="dxa"/>
            <w:tcBorders>
              <w:top w:val="single" w:color="auto" w:sz="4" w:space="0"/>
              <w:left w:val="nil"/>
              <w:bottom w:val="single" w:color="auto" w:sz="4" w:space="0"/>
              <w:right w:val="single" w:color="auto" w:sz="4" w:space="0"/>
            </w:tcBorders>
            <w:shd w:val="clear" w:color="auto" w:fill="auto"/>
            <w:noWrap w:val="0"/>
            <w:vAlign w:val="center"/>
          </w:tcPr>
          <w:p w14:paraId="5D1E2DC0">
            <w:pPr>
              <w:spacing w:line="360" w:lineRule="auto"/>
              <w:ind w:left="-57" w:leftChars="-27" w:right="-46" w:rightChars="-22"/>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质量员</w:t>
            </w:r>
          </w:p>
        </w:tc>
        <w:tc>
          <w:tcPr>
            <w:tcW w:w="1203" w:type="dxa"/>
            <w:tcBorders>
              <w:top w:val="single" w:color="auto" w:sz="4" w:space="0"/>
              <w:left w:val="nil"/>
              <w:bottom w:val="single" w:color="auto" w:sz="4" w:space="0"/>
              <w:right w:val="single" w:color="auto" w:sz="4" w:space="0"/>
            </w:tcBorders>
            <w:shd w:val="clear" w:color="auto" w:fill="auto"/>
            <w:noWrap w:val="0"/>
            <w:vAlign w:val="center"/>
          </w:tcPr>
          <w:p w14:paraId="774F79F6">
            <w:pPr>
              <w:spacing w:line="360" w:lineRule="auto"/>
              <w:ind w:left="-57" w:leftChars="-27" w:right="-46" w:rightChars="-22"/>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2</w:t>
            </w:r>
          </w:p>
        </w:tc>
        <w:tc>
          <w:tcPr>
            <w:tcW w:w="5049" w:type="dxa"/>
            <w:tcBorders>
              <w:top w:val="single" w:color="auto" w:sz="4" w:space="0"/>
              <w:left w:val="nil"/>
              <w:bottom w:val="single" w:color="auto" w:sz="4" w:space="0"/>
              <w:right w:val="single" w:color="auto" w:sz="4" w:space="0"/>
            </w:tcBorders>
            <w:shd w:val="clear" w:color="auto" w:fill="auto"/>
            <w:noWrap w:val="0"/>
            <w:vAlign w:val="center"/>
          </w:tcPr>
          <w:p w14:paraId="508FDF8B">
            <w:pPr>
              <w:spacing w:line="360" w:lineRule="auto"/>
              <w:ind w:left="-57" w:leftChars="-27" w:right="-46" w:rightChars="-22"/>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具有相关证件</w:t>
            </w:r>
          </w:p>
        </w:tc>
        <w:tc>
          <w:tcPr>
            <w:tcW w:w="4467" w:type="dxa"/>
            <w:tcBorders>
              <w:top w:val="single" w:color="auto" w:sz="4" w:space="0"/>
              <w:left w:val="nil"/>
              <w:bottom w:val="single" w:color="auto" w:sz="4" w:space="0"/>
              <w:right w:val="single" w:color="auto" w:sz="4" w:space="0"/>
            </w:tcBorders>
            <w:shd w:val="clear" w:color="auto" w:fill="auto"/>
            <w:noWrap w:val="0"/>
            <w:vAlign w:val="top"/>
          </w:tcPr>
          <w:p w14:paraId="7A46665A">
            <w:pPr>
              <w:spacing w:line="360" w:lineRule="auto"/>
              <w:ind w:left="-57" w:leftChars="-27" w:right="-46" w:rightChars="-22"/>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提供有效的岗位证或职业资格证或培训合格证</w:t>
            </w:r>
          </w:p>
        </w:tc>
      </w:tr>
      <w:tr w14:paraId="59B5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EB6CCE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2463" w:type="dxa"/>
            <w:tcBorders>
              <w:top w:val="single" w:color="auto" w:sz="4" w:space="0"/>
              <w:left w:val="nil"/>
              <w:bottom w:val="single" w:color="auto" w:sz="4" w:space="0"/>
              <w:right w:val="single" w:color="auto" w:sz="4" w:space="0"/>
            </w:tcBorders>
            <w:shd w:val="clear" w:color="auto" w:fill="auto"/>
            <w:noWrap w:val="0"/>
            <w:vAlign w:val="center"/>
          </w:tcPr>
          <w:p w14:paraId="53E11BA8">
            <w:pPr>
              <w:spacing w:line="360" w:lineRule="auto"/>
              <w:ind w:left="-57" w:leftChars="-27" w:right="-46" w:rightChars="-22"/>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资料员</w:t>
            </w:r>
          </w:p>
        </w:tc>
        <w:tc>
          <w:tcPr>
            <w:tcW w:w="1203" w:type="dxa"/>
            <w:tcBorders>
              <w:top w:val="single" w:color="auto" w:sz="4" w:space="0"/>
              <w:left w:val="nil"/>
              <w:bottom w:val="single" w:color="auto" w:sz="4" w:space="0"/>
              <w:right w:val="single" w:color="auto" w:sz="4" w:space="0"/>
            </w:tcBorders>
            <w:shd w:val="clear" w:color="auto" w:fill="auto"/>
            <w:noWrap w:val="0"/>
            <w:vAlign w:val="center"/>
          </w:tcPr>
          <w:p w14:paraId="600B5D6C">
            <w:pPr>
              <w:spacing w:line="360" w:lineRule="auto"/>
              <w:ind w:left="-57" w:leftChars="-27" w:right="-46" w:rightChars="-22"/>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1</w:t>
            </w:r>
          </w:p>
        </w:tc>
        <w:tc>
          <w:tcPr>
            <w:tcW w:w="5049" w:type="dxa"/>
            <w:tcBorders>
              <w:top w:val="single" w:color="auto" w:sz="4" w:space="0"/>
              <w:left w:val="nil"/>
              <w:bottom w:val="single" w:color="auto" w:sz="4" w:space="0"/>
              <w:right w:val="single" w:color="auto" w:sz="4" w:space="0"/>
            </w:tcBorders>
            <w:shd w:val="clear" w:color="auto" w:fill="auto"/>
            <w:noWrap w:val="0"/>
            <w:vAlign w:val="center"/>
          </w:tcPr>
          <w:p w14:paraId="420449F0">
            <w:pPr>
              <w:spacing w:line="360" w:lineRule="auto"/>
              <w:ind w:left="-57" w:leftChars="-27" w:right="-46" w:rightChars="-22"/>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具有相关证件</w:t>
            </w:r>
          </w:p>
        </w:tc>
        <w:tc>
          <w:tcPr>
            <w:tcW w:w="4467" w:type="dxa"/>
            <w:tcBorders>
              <w:top w:val="single" w:color="auto" w:sz="4" w:space="0"/>
              <w:left w:val="nil"/>
              <w:bottom w:val="single" w:color="auto" w:sz="4" w:space="0"/>
              <w:right w:val="single" w:color="auto" w:sz="4" w:space="0"/>
            </w:tcBorders>
            <w:shd w:val="clear" w:color="auto" w:fill="auto"/>
            <w:noWrap w:val="0"/>
            <w:vAlign w:val="top"/>
          </w:tcPr>
          <w:p w14:paraId="348C312E">
            <w:pPr>
              <w:spacing w:line="360" w:lineRule="auto"/>
              <w:ind w:left="-57" w:leftChars="-27" w:right="-46" w:rightChars="-22"/>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提供有效的岗位证或职业资格证或培训合格证</w:t>
            </w:r>
          </w:p>
        </w:tc>
      </w:tr>
      <w:tr w14:paraId="07F4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69AE0A5">
            <w:pPr>
              <w:widowControl/>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2463" w:type="dxa"/>
            <w:tcBorders>
              <w:top w:val="single" w:color="auto" w:sz="4" w:space="0"/>
              <w:left w:val="nil"/>
              <w:bottom w:val="single" w:color="auto" w:sz="4" w:space="0"/>
              <w:right w:val="single" w:color="auto" w:sz="4" w:space="0"/>
            </w:tcBorders>
            <w:shd w:val="clear" w:color="auto" w:fill="auto"/>
            <w:noWrap w:val="0"/>
            <w:vAlign w:val="center"/>
          </w:tcPr>
          <w:p w14:paraId="4DEC679E">
            <w:pPr>
              <w:spacing w:line="360" w:lineRule="auto"/>
              <w:ind w:left="-57" w:leftChars="-27" w:right="-46" w:rightChars="-22"/>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机械员</w:t>
            </w:r>
          </w:p>
        </w:tc>
        <w:tc>
          <w:tcPr>
            <w:tcW w:w="1203" w:type="dxa"/>
            <w:tcBorders>
              <w:top w:val="single" w:color="auto" w:sz="4" w:space="0"/>
              <w:left w:val="nil"/>
              <w:bottom w:val="single" w:color="auto" w:sz="4" w:space="0"/>
              <w:right w:val="single" w:color="auto" w:sz="4" w:space="0"/>
            </w:tcBorders>
            <w:shd w:val="clear" w:color="auto" w:fill="auto"/>
            <w:noWrap w:val="0"/>
            <w:vAlign w:val="center"/>
          </w:tcPr>
          <w:p w14:paraId="434154E9">
            <w:pPr>
              <w:spacing w:line="360" w:lineRule="auto"/>
              <w:ind w:left="-57" w:leftChars="-27" w:right="-46" w:rightChars="-22"/>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1</w:t>
            </w:r>
          </w:p>
        </w:tc>
        <w:tc>
          <w:tcPr>
            <w:tcW w:w="5049" w:type="dxa"/>
            <w:tcBorders>
              <w:top w:val="single" w:color="auto" w:sz="4" w:space="0"/>
              <w:left w:val="nil"/>
              <w:bottom w:val="single" w:color="auto" w:sz="4" w:space="0"/>
              <w:right w:val="single" w:color="auto" w:sz="4" w:space="0"/>
            </w:tcBorders>
            <w:shd w:val="clear" w:color="auto" w:fill="auto"/>
            <w:noWrap w:val="0"/>
            <w:vAlign w:val="center"/>
          </w:tcPr>
          <w:p w14:paraId="72AADF4F">
            <w:pPr>
              <w:spacing w:line="360" w:lineRule="auto"/>
              <w:ind w:left="-57" w:leftChars="-27" w:right="-46" w:rightChars="-22"/>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具有相关证件</w:t>
            </w:r>
          </w:p>
        </w:tc>
        <w:tc>
          <w:tcPr>
            <w:tcW w:w="4467" w:type="dxa"/>
            <w:tcBorders>
              <w:top w:val="single" w:color="auto" w:sz="4" w:space="0"/>
              <w:left w:val="nil"/>
              <w:bottom w:val="single" w:color="auto" w:sz="4" w:space="0"/>
              <w:right w:val="single" w:color="auto" w:sz="4" w:space="0"/>
            </w:tcBorders>
            <w:shd w:val="clear" w:color="auto" w:fill="auto"/>
            <w:noWrap w:val="0"/>
            <w:vAlign w:val="top"/>
          </w:tcPr>
          <w:p w14:paraId="6103B0F1">
            <w:pPr>
              <w:spacing w:line="360" w:lineRule="auto"/>
              <w:ind w:left="-57" w:leftChars="-27" w:right="-46" w:rightChars="-22"/>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提供有效的岗位证或职业资格证或培训合格证</w:t>
            </w:r>
          </w:p>
        </w:tc>
      </w:tr>
      <w:tr w14:paraId="61B4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358" w:type="dxa"/>
            <w:gridSpan w:val="2"/>
            <w:tcBorders>
              <w:top w:val="single" w:color="auto" w:sz="4" w:space="0"/>
              <w:left w:val="single" w:color="auto" w:sz="4" w:space="0"/>
              <w:bottom w:val="single" w:color="auto" w:sz="4" w:space="0"/>
              <w:right w:val="single" w:color="auto" w:sz="4" w:space="0"/>
            </w:tcBorders>
            <w:noWrap w:val="0"/>
            <w:vAlign w:val="center"/>
          </w:tcPr>
          <w:p w14:paraId="3325F42D">
            <w:pPr>
              <w:spacing w:line="360" w:lineRule="auto"/>
              <w:ind w:left="-57" w:leftChars="-27" w:right="-46" w:rightChars="-2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203" w:type="dxa"/>
            <w:tcBorders>
              <w:top w:val="single" w:color="auto" w:sz="4" w:space="0"/>
              <w:left w:val="nil"/>
              <w:bottom w:val="single" w:color="auto" w:sz="4" w:space="0"/>
              <w:right w:val="single" w:color="auto" w:sz="4" w:space="0"/>
            </w:tcBorders>
            <w:noWrap w:val="0"/>
            <w:vAlign w:val="center"/>
          </w:tcPr>
          <w:p w14:paraId="1575192A">
            <w:pPr>
              <w:spacing w:line="360" w:lineRule="auto"/>
              <w:ind w:left="-57" w:leftChars="-27" w:right="-46" w:rightChars="-22"/>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5049" w:type="dxa"/>
            <w:tcBorders>
              <w:top w:val="single" w:color="auto" w:sz="4" w:space="0"/>
              <w:left w:val="nil"/>
              <w:bottom w:val="single" w:color="auto" w:sz="4" w:space="0"/>
              <w:right w:val="single" w:color="auto" w:sz="4" w:space="0"/>
            </w:tcBorders>
            <w:noWrap w:val="0"/>
            <w:vAlign w:val="center"/>
          </w:tcPr>
          <w:p w14:paraId="53C64A5F">
            <w:pPr>
              <w:spacing w:line="360" w:lineRule="auto"/>
              <w:ind w:right="-46" w:rightChars="-22"/>
              <w:jc w:val="left"/>
              <w:rPr>
                <w:rFonts w:hint="eastAsia" w:ascii="宋体" w:hAnsi="宋体" w:eastAsia="宋体" w:cs="宋体"/>
                <w:color w:val="auto"/>
                <w:kern w:val="0"/>
                <w:szCs w:val="21"/>
                <w:highlight w:val="none"/>
              </w:rPr>
            </w:pPr>
          </w:p>
        </w:tc>
        <w:tc>
          <w:tcPr>
            <w:tcW w:w="4467" w:type="dxa"/>
            <w:tcBorders>
              <w:top w:val="single" w:color="auto" w:sz="4" w:space="0"/>
              <w:left w:val="nil"/>
              <w:bottom w:val="single" w:color="auto" w:sz="4" w:space="0"/>
              <w:right w:val="single" w:color="auto" w:sz="4" w:space="0"/>
            </w:tcBorders>
            <w:noWrap w:val="0"/>
            <w:vAlign w:val="center"/>
          </w:tcPr>
          <w:p w14:paraId="50DBF7CA">
            <w:pPr>
              <w:spacing w:line="360" w:lineRule="auto"/>
              <w:jc w:val="center"/>
              <w:rPr>
                <w:rFonts w:hint="eastAsia" w:ascii="宋体" w:hAnsi="宋体" w:eastAsia="宋体" w:cs="宋体"/>
                <w:color w:val="auto"/>
                <w:szCs w:val="21"/>
                <w:highlight w:val="none"/>
              </w:rPr>
            </w:pPr>
          </w:p>
        </w:tc>
      </w:tr>
    </w:tbl>
    <w:p w14:paraId="0C25B58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ascii="宋体" w:hAnsi="宋体" w:eastAsia="宋体" w:cs="宋体"/>
          <w:b/>
          <w:color w:val="auto"/>
          <w:szCs w:val="21"/>
          <w:highlight w:val="none"/>
        </w:rPr>
        <w:t>本人员数量和岗位配备为最低标准</w:t>
      </w:r>
      <w:r>
        <w:rPr>
          <w:rFonts w:hint="eastAsia" w:ascii="宋体" w:hAnsi="宋体" w:eastAsia="宋体" w:cs="宋体"/>
          <w:color w:val="auto"/>
          <w:szCs w:val="21"/>
          <w:highlight w:val="none"/>
        </w:rPr>
        <w:t>。</w:t>
      </w:r>
    </w:p>
    <w:p w14:paraId="59C179BE">
      <w:pPr>
        <w:widowControl/>
        <w:spacing w:line="400" w:lineRule="exact"/>
        <w:ind w:firstLine="420" w:firstLineChars="200"/>
        <w:rPr>
          <w:rFonts w:hint="eastAsia" w:ascii="宋体" w:hAnsi="宋体" w:eastAsia="宋体" w:cs="宋体"/>
          <w:color w:val="auto"/>
          <w:kern w:val="0"/>
          <w:sz w:val="18"/>
          <w:szCs w:val="18"/>
          <w:highlight w:val="none"/>
        </w:rPr>
      </w:pPr>
      <w:bookmarkStart w:id="132" w:name="_Toc27801"/>
      <w:bookmarkStart w:id="133" w:name="_Toc9506"/>
      <w:r>
        <w:rPr>
          <w:rFonts w:hint="eastAsia" w:ascii="宋体" w:hAnsi="宋体" w:eastAsia="宋体" w:cs="宋体"/>
          <w:color w:val="auto"/>
          <w:szCs w:val="21"/>
          <w:highlight w:val="none"/>
        </w:rPr>
        <w:t>2. 本表人员均要求提交相关资格证明资料和投标人（不含子公司）为其缴纳的本项目投标截止时间前1个月（2025年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月）社保证明材料扫描件。</w:t>
      </w:r>
      <w:bookmarkEnd w:id="132"/>
      <w:bookmarkEnd w:id="133"/>
    </w:p>
    <w:p w14:paraId="2B8A75FB">
      <w:pPr>
        <w:spacing w:line="400" w:lineRule="exact"/>
        <w:jc w:val="center"/>
        <w:rPr>
          <w:rFonts w:hint="eastAsia" w:ascii="宋体" w:hAnsi="宋体" w:eastAsia="宋体" w:cs="宋体"/>
          <w:b/>
          <w:strike/>
          <w:color w:val="auto"/>
          <w:sz w:val="36"/>
          <w:szCs w:val="36"/>
          <w:highlight w:val="none"/>
        </w:rPr>
      </w:pPr>
      <w:r>
        <w:rPr>
          <w:rFonts w:hint="eastAsia" w:ascii="宋体" w:hAnsi="宋体" w:eastAsia="宋体" w:cs="宋体"/>
          <w:b/>
          <w:strike/>
          <w:color w:val="auto"/>
          <w:sz w:val="36"/>
          <w:szCs w:val="36"/>
          <w:highlight w:val="none"/>
          <w:lang w:eastAsia="zh-CN"/>
        </w:rPr>
        <w:br w:type="page"/>
      </w:r>
      <w:r>
        <w:rPr>
          <w:rFonts w:hint="eastAsia" w:ascii="宋体" w:hAnsi="宋体" w:eastAsia="宋体" w:cs="宋体"/>
          <w:b/>
          <w:strike/>
          <w:color w:val="auto"/>
          <w:sz w:val="36"/>
          <w:szCs w:val="36"/>
          <w:highlight w:val="none"/>
          <w:lang w:eastAsia="zh-CN"/>
        </w:rPr>
        <w:t>技术部分（项目实施能力）</w:t>
      </w:r>
      <w:r>
        <w:rPr>
          <w:rFonts w:hint="eastAsia" w:ascii="宋体" w:hAnsi="宋体" w:eastAsia="宋体" w:cs="宋体"/>
          <w:b/>
          <w:strike/>
          <w:color w:val="auto"/>
          <w:sz w:val="36"/>
          <w:szCs w:val="36"/>
          <w:highlight w:val="none"/>
        </w:rPr>
        <w:t>审查评分表设置说明</w:t>
      </w:r>
    </w:p>
    <w:p w14:paraId="25E79353">
      <w:pPr>
        <w:widowControl/>
        <w:spacing w:line="400" w:lineRule="exact"/>
        <w:ind w:firstLine="540" w:firstLineChars="300"/>
        <w:rPr>
          <w:rFonts w:hint="eastAsia" w:ascii="宋体" w:hAnsi="宋体" w:eastAsia="宋体" w:cs="宋体"/>
          <w:strike/>
          <w:color w:val="auto"/>
          <w:kern w:val="0"/>
          <w:sz w:val="18"/>
          <w:szCs w:val="18"/>
          <w:highlight w:val="none"/>
        </w:rPr>
      </w:pPr>
    </w:p>
    <w:p w14:paraId="01B19176">
      <w:pPr>
        <w:widowControl/>
        <w:spacing w:line="400" w:lineRule="exact"/>
        <w:ind w:firstLine="540" w:firstLineChars="300"/>
        <w:rPr>
          <w:rFonts w:hint="eastAsia" w:ascii="宋体" w:hAnsi="宋体" w:eastAsia="宋体" w:cs="宋体"/>
          <w:b/>
          <w:bCs/>
          <w:strike/>
          <w:color w:val="auto"/>
          <w:kern w:val="0"/>
          <w:sz w:val="18"/>
          <w:szCs w:val="18"/>
          <w:highlight w:val="none"/>
        </w:rPr>
      </w:pPr>
      <w:r>
        <w:rPr>
          <w:rFonts w:hint="eastAsia" w:ascii="宋体" w:hAnsi="宋体" w:eastAsia="宋体" w:cs="宋体"/>
          <w:strike/>
          <w:color w:val="auto"/>
          <w:kern w:val="0"/>
          <w:sz w:val="18"/>
          <w:szCs w:val="18"/>
          <w:highlight w:val="none"/>
          <w:lang w:eastAsia="zh-CN"/>
        </w:rPr>
        <w:t>技术部分（项目实施能力）</w:t>
      </w:r>
      <w:r>
        <w:rPr>
          <w:rFonts w:hint="eastAsia" w:ascii="宋体" w:hAnsi="宋体" w:eastAsia="宋体" w:cs="宋体"/>
          <w:strike/>
          <w:color w:val="auto"/>
          <w:kern w:val="0"/>
          <w:sz w:val="18"/>
          <w:szCs w:val="18"/>
          <w:highlight w:val="none"/>
        </w:rPr>
        <w:t>审查的主要因素有：项目管理机构能力、机械设备投入情况、企业施工经验和其他。招标人不得设置排斥性条款及明显高于或偏离项目实施要求的内容。评审项目总分应为100分，最终得分按投标须知前附表第32项所规定的方式进行汇总；分数出现小数点，保留小数点后二位小数，第三位小数四舍五入。</w:t>
      </w:r>
    </w:p>
    <w:p w14:paraId="783AF810">
      <w:pPr>
        <w:widowControl/>
        <w:spacing w:line="360" w:lineRule="exact"/>
        <w:ind w:firstLine="361" w:firstLineChars="200"/>
        <w:rPr>
          <w:rFonts w:hint="eastAsia" w:ascii="宋体" w:hAnsi="宋体" w:eastAsia="宋体" w:cs="宋体"/>
          <w:b/>
          <w:bCs/>
          <w:strike/>
          <w:color w:val="auto"/>
          <w:kern w:val="0"/>
          <w:sz w:val="18"/>
          <w:szCs w:val="18"/>
          <w:highlight w:val="none"/>
        </w:rPr>
      </w:pPr>
      <w:r>
        <w:rPr>
          <w:rFonts w:hint="eastAsia" w:ascii="宋体" w:hAnsi="宋体" w:eastAsia="宋体" w:cs="宋体"/>
          <w:b/>
          <w:bCs/>
          <w:strike/>
          <w:color w:val="auto"/>
          <w:kern w:val="0"/>
          <w:sz w:val="18"/>
          <w:szCs w:val="18"/>
          <w:highlight w:val="none"/>
        </w:rPr>
        <w:t>一、项目管理机构能力</w:t>
      </w:r>
    </w:p>
    <w:p w14:paraId="45987B5A">
      <w:pPr>
        <w:widowControl/>
        <w:spacing w:line="360" w:lineRule="exact"/>
        <w:ind w:firstLine="360" w:firstLineChars="200"/>
        <w:rPr>
          <w:rFonts w:hint="eastAsia" w:ascii="宋体" w:hAnsi="宋体" w:eastAsia="宋体" w:cs="宋体"/>
          <w:strike/>
          <w:color w:val="auto"/>
          <w:kern w:val="0"/>
          <w:sz w:val="18"/>
          <w:szCs w:val="18"/>
          <w:highlight w:val="none"/>
        </w:rPr>
      </w:pPr>
      <w:r>
        <w:rPr>
          <w:rFonts w:hint="eastAsia" w:ascii="宋体" w:hAnsi="宋体" w:eastAsia="宋体" w:cs="宋体"/>
          <w:strike/>
          <w:color w:val="auto"/>
          <w:kern w:val="0"/>
          <w:sz w:val="18"/>
          <w:szCs w:val="18"/>
          <w:highlight w:val="none"/>
        </w:rPr>
        <w:t>项目管理机构能力的评审内容主要包括项目负责人的从业能力和类似业绩，以及企业技术管理人员的投入情况。</w:t>
      </w:r>
    </w:p>
    <w:p w14:paraId="1B11EB00">
      <w:pPr>
        <w:widowControl/>
        <w:spacing w:line="360" w:lineRule="exact"/>
        <w:ind w:firstLine="360" w:firstLineChars="200"/>
        <w:rPr>
          <w:rFonts w:hint="eastAsia" w:ascii="宋体" w:hAnsi="宋体" w:eastAsia="宋体" w:cs="宋体"/>
          <w:strike/>
          <w:color w:val="auto"/>
          <w:kern w:val="0"/>
          <w:sz w:val="18"/>
          <w:szCs w:val="18"/>
          <w:highlight w:val="none"/>
        </w:rPr>
      </w:pPr>
      <w:r>
        <w:rPr>
          <w:rFonts w:hint="eastAsia" w:ascii="宋体" w:hAnsi="宋体" w:eastAsia="宋体" w:cs="宋体"/>
          <w:strike/>
          <w:color w:val="auto"/>
          <w:kern w:val="0"/>
          <w:sz w:val="18"/>
          <w:szCs w:val="18"/>
          <w:highlight w:val="none"/>
        </w:rPr>
        <w:t>（一）项目负责人能力</w:t>
      </w:r>
    </w:p>
    <w:p w14:paraId="0726A575">
      <w:pPr>
        <w:widowControl/>
        <w:spacing w:line="360" w:lineRule="exact"/>
        <w:ind w:firstLine="360" w:firstLineChars="200"/>
        <w:rPr>
          <w:rFonts w:hint="eastAsia" w:ascii="宋体" w:hAnsi="宋体" w:eastAsia="宋体" w:cs="宋体"/>
          <w:strike/>
          <w:color w:val="auto"/>
          <w:kern w:val="0"/>
          <w:sz w:val="18"/>
          <w:szCs w:val="18"/>
          <w:highlight w:val="none"/>
        </w:rPr>
      </w:pPr>
      <w:r>
        <w:rPr>
          <w:rFonts w:hint="eastAsia" w:ascii="宋体" w:hAnsi="宋体" w:eastAsia="宋体" w:cs="宋体"/>
          <w:strike/>
          <w:color w:val="auto"/>
          <w:kern w:val="0"/>
          <w:sz w:val="18"/>
          <w:szCs w:val="18"/>
          <w:highlight w:val="none"/>
        </w:rPr>
        <w:t>1.招标人可根据项目实际情况设置项目负责人的专业技术职称、从业经历等要求；含有建筑、桥梁、码头的园林绿化工程可设置注册建造师资格要求。</w:t>
      </w:r>
    </w:p>
    <w:p w14:paraId="6F00F023">
      <w:pPr>
        <w:widowControl/>
        <w:spacing w:line="360" w:lineRule="exact"/>
        <w:ind w:firstLine="360" w:firstLineChars="200"/>
        <w:rPr>
          <w:rFonts w:hint="eastAsia" w:ascii="宋体" w:hAnsi="宋体" w:eastAsia="宋体" w:cs="宋体"/>
          <w:strike/>
          <w:color w:val="auto"/>
          <w:kern w:val="0"/>
          <w:sz w:val="18"/>
          <w:szCs w:val="18"/>
          <w:highlight w:val="none"/>
        </w:rPr>
      </w:pPr>
      <w:r>
        <w:rPr>
          <w:rFonts w:hint="eastAsia" w:ascii="宋体" w:hAnsi="宋体" w:eastAsia="宋体" w:cs="宋体"/>
          <w:strike/>
          <w:color w:val="auto"/>
          <w:kern w:val="0"/>
          <w:sz w:val="18"/>
          <w:szCs w:val="18"/>
          <w:highlight w:val="none"/>
        </w:rPr>
        <w:t>2.招标人可设置项目负责人近年来（近2-5年）已完成质量合格的类似业绩，业绩有效时间以竣工验收报告为准。类似业绩应为采用公开招标或邀请招标方式在公共资源交易平台招标的园林绿化工程,数量不宜超过5个。</w:t>
      </w:r>
    </w:p>
    <w:p w14:paraId="2FE057E2">
      <w:pPr>
        <w:widowControl/>
        <w:spacing w:line="360" w:lineRule="exact"/>
        <w:ind w:firstLine="360" w:firstLineChars="200"/>
        <w:rPr>
          <w:rFonts w:hint="eastAsia" w:ascii="宋体" w:hAnsi="宋体" w:eastAsia="宋体" w:cs="宋体"/>
          <w:strike/>
          <w:color w:val="auto"/>
          <w:kern w:val="0"/>
          <w:sz w:val="18"/>
          <w:szCs w:val="18"/>
          <w:highlight w:val="none"/>
        </w:rPr>
      </w:pPr>
      <w:r>
        <w:rPr>
          <w:rFonts w:hint="eastAsia" w:ascii="宋体" w:hAnsi="宋体" w:eastAsia="宋体" w:cs="宋体"/>
          <w:strike/>
          <w:color w:val="auto"/>
          <w:kern w:val="0"/>
          <w:sz w:val="18"/>
          <w:szCs w:val="18"/>
          <w:highlight w:val="none"/>
        </w:rPr>
        <w:t>3.业绩设置按等次得分的，最高档指标不得超过招标项目本身所对应的规模，且指标设置数量不多于2个。</w:t>
      </w:r>
    </w:p>
    <w:p w14:paraId="4C584C9E">
      <w:pPr>
        <w:widowControl/>
        <w:spacing w:line="360" w:lineRule="exact"/>
        <w:ind w:firstLine="360" w:firstLineChars="200"/>
        <w:rPr>
          <w:rFonts w:hint="eastAsia" w:ascii="宋体" w:hAnsi="宋体" w:eastAsia="宋体" w:cs="宋体"/>
          <w:strike/>
          <w:color w:val="auto"/>
          <w:kern w:val="0"/>
          <w:sz w:val="18"/>
          <w:szCs w:val="18"/>
          <w:highlight w:val="none"/>
        </w:rPr>
      </w:pPr>
      <w:r>
        <w:rPr>
          <w:rFonts w:hint="eastAsia" w:ascii="宋体" w:hAnsi="宋体" w:eastAsia="宋体" w:cs="宋体"/>
          <w:strike/>
          <w:color w:val="auto"/>
          <w:kern w:val="0"/>
          <w:sz w:val="18"/>
          <w:szCs w:val="18"/>
          <w:highlight w:val="none"/>
        </w:rPr>
        <w:t>4.项目负责人能力得分占比不应超过</w:t>
      </w:r>
      <w:r>
        <w:rPr>
          <w:rFonts w:hint="eastAsia" w:ascii="宋体" w:hAnsi="宋体" w:eastAsia="宋体" w:cs="宋体"/>
          <w:strike/>
          <w:color w:val="auto"/>
          <w:kern w:val="0"/>
          <w:sz w:val="18"/>
          <w:szCs w:val="18"/>
          <w:highlight w:val="none"/>
          <w:lang w:eastAsia="zh-CN"/>
        </w:rPr>
        <w:t>技术部分（项目实施能力）</w:t>
      </w:r>
      <w:r>
        <w:rPr>
          <w:rFonts w:hint="eastAsia" w:ascii="宋体" w:hAnsi="宋体" w:eastAsia="宋体" w:cs="宋体"/>
          <w:strike/>
          <w:color w:val="auto"/>
          <w:kern w:val="0"/>
          <w:sz w:val="18"/>
          <w:szCs w:val="18"/>
          <w:highlight w:val="none"/>
        </w:rPr>
        <w:t>总权重的30%。</w:t>
      </w:r>
    </w:p>
    <w:p w14:paraId="6CBC3F68">
      <w:pPr>
        <w:widowControl/>
        <w:spacing w:line="360" w:lineRule="exact"/>
        <w:ind w:firstLine="360" w:firstLineChars="200"/>
        <w:rPr>
          <w:rFonts w:hint="eastAsia" w:ascii="宋体" w:hAnsi="宋体" w:eastAsia="宋体" w:cs="宋体"/>
          <w:strike/>
          <w:color w:val="auto"/>
          <w:kern w:val="0"/>
          <w:sz w:val="18"/>
          <w:szCs w:val="18"/>
          <w:highlight w:val="none"/>
        </w:rPr>
      </w:pPr>
      <w:r>
        <w:rPr>
          <w:rFonts w:hint="eastAsia" w:ascii="宋体" w:hAnsi="宋体" w:eastAsia="宋体" w:cs="宋体"/>
          <w:strike/>
          <w:color w:val="auto"/>
          <w:kern w:val="0"/>
          <w:sz w:val="18"/>
          <w:szCs w:val="18"/>
          <w:highlight w:val="none"/>
        </w:rPr>
        <w:t>（二）企业技术力量配备情况</w:t>
      </w:r>
    </w:p>
    <w:p w14:paraId="2433FD9D">
      <w:pPr>
        <w:widowControl/>
        <w:spacing w:line="360" w:lineRule="exact"/>
        <w:ind w:firstLine="360" w:firstLineChars="200"/>
        <w:rPr>
          <w:rFonts w:hint="eastAsia" w:ascii="宋体" w:hAnsi="宋体" w:eastAsia="宋体" w:cs="宋体"/>
          <w:b/>
          <w:bCs/>
          <w:strike/>
          <w:color w:val="auto"/>
          <w:kern w:val="0"/>
          <w:sz w:val="18"/>
          <w:szCs w:val="18"/>
          <w:highlight w:val="none"/>
        </w:rPr>
      </w:pPr>
      <w:r>
        <w:rPr>
          <w:rFonts w:hint="eastAsia" w:ascii="宋体" w:hAnsi="宋体" w:eastAsia="宋体" w:cs="宋体"/>
          <w:strike/>
          <w:color w:val="auto"/>
          <w:kern w:val="0"/>
          <w:sz w:val="18"/>
          <w:szCs w:val="18"/>
          <w:highlight w:val="none"/>
        </w:rPr>
        <w:t>招标人可根据项目实际需要，可设置技术负责人的专业技术职称（或注册建造师资格）和从业经历，以及技术人员数量、专业职称、从业资格要求等评审内容。技术力量配备情况得分占比不应超过</w:t>
      </w:r>
      <w:r>
        <w:rPr>
          <w:rFonts w:hint="eastAsia" w:ascii="宋体" w:hAnsi="宋体" w:eastAsia="宋体" w:cs="宋体"/>
          <w:strike/>
          <w:color w:val="auto"/>
          <w:kern w:val="0"/>
          <w:sz w:val="18"/>
          <w:szCs w:val="18"/>
          <w:highlight w:val="none"/>
          <w:lang w:eastAsia="zh-CN"/>
        </w:rPr>
        <w:t>技术部分（项目实施能力）</w:t>
      </w:r>
      <w:r>
        <w:rPr>
          <w:rFonts w:hint="eastAsia" w:ascii="宋体" w:hAnsi="宋体" w:eastAsia="宋体" w:cs="宋体"/>
          <w:strike/>
          <w:color w:val="auto"/>
          <w:kern w:val="0"/>
          <w:sz w:val="18"/>
          <w:szCs w:val="18"/>
          <w:highlight w:val="none"/>
        </w:rPr>
        <w:t>总权重的30%。</w:t>
      </w:r>
    </w:p>
    <w:p w14:paraId="3EFFD302">
      <w:pPr>
        <w:widowControl/>
        <w:spacing w:line="360" w:lineRule="exact"/>
        <w:ind w:firstLine="361" w:firstLineChars="200"/>
        <w:rPr>
          <w:rFonts w:hint="eastAsia" w:ascii="宋体" w:hAnsi="宋体" w:eastAsia="宋体" w:cs="宋体"/>
          <w:b/>
          <w:bCs/>
          <w:strike/>
          <w:color w:val="auto"/>
          <w:kern w:val="0"/>
          <w:sz w:val="18"/>
          <w:szCs w:val="18"/>
          <w:highlight w:val="none"/>
        </w:rPr>
      </w:pPr>
      <w:r>
        <w:rPr>
          <w:rFonts w:hint="eastAsia" w:ascii="宋体" w:hAnsi="宋体" w:eastAsia="宋体" w:cs="宋体"/>
          <w:b/>
          <w:bCs/>
          <w:strike/>
          <w:color w:val="auto"/>
          <w:kern w:val="0"/>
          <w:sz w:val="18"/>
          <w:szCs w:val="18"/>
          <w:highlight w:val="none"/>
        </w:rPr>
        <w:t>二、机械设备投入情况</w:t>
      </w:r>
    </w:p>
    <w:p w14:paraId="6447E2A9">
      <w:pPr>
        <w:widowControl/>
        <w:spacing w:line="360" w:lineRule="exact"/>
        <w:ind w:firstLine="360" w:firstLineChars="200"/>
        <w:rPr>
          <w:rFonts w:hint="eastAsia" w:ascii="宋体" w:hAnsi="宋体" w:eastAsia="宋体" w:cs="宋体"/>
          <w:strike/>
          <w:color w:val="auto"/>
          <w:kern w:val="0"/>
          <w:sz w:val="18"/>
          <w:szCs w:val="18"/>
          <w:highlight w:val="none"/>
        </w:rPr>
      </w:pPr>
      <w:r>
        <w:rPr>
          <w:rFonts w:hint="eastAsia" w:ascii="宋体" w:hAnsi="宋体" w:eastAsia="宋体" w:cs="宋体"/>
          <w:strike/>
          <w:color w:val="auto"/>
          <w:kern w:val="0"/>
          <w:sz w:val="18"/>
          <w:szCs w:val="18"/>
          <w:highlight w:val="none"/>
        </w:rPr>
        <w:t>招标人为满足施工质量要求，可根据项目规模和特征设置对企业投入机械设备的评审要求。自有和租赁设备应当视为同等施工能力，得分应一致。机械设备投入情况得分占比不应超过</w:t>
      </w:r>
      <w:r>
        <w:rPr>
          <w:rFonts w:hint="eastAsia" w:ascii="宋体" w:hAnsi="宋体" w:eastAsia="宋体" w:cs="宋体"/>
          <w:strike/>
          <w:color w:val="auto"/>
          <w:kern w:val="0"/>
          <w:sz w:val="18"/>
          <w:szCs w:val="18"/>
          <w:highlight w:val="none"/>
          <w:lang w:eastAsia="zh-CN"/>
        </w:rPr>
        <w:t>技术部分（项目实施能力）</w:t>
      </w:r>
      <w:r>
        <w:rPr>
          <w:rFonts w:hint="eastAsia" w:ascii="宋体" w:hAnsi="宋体" w:eastAsia="宋体" w:cs="宋体"/>
          <w:strike/>
          <w:color w:val="auto"/>
          <w:kern w:val="0"/>
          <w:sz w:val="18"/>
          <w:szCs w:val="18"/>
          <w:highlight w:val="none"/>
        </w:rPr>
        <w:t>总权重的20%。</w:t>
      </w:r>
    </w:p>
    <w:p w14:paraId="144AA65E">
      <w:pPr>
        <w:widowControl/>
        <w:spacing w:line="360" w:lineRule="exact"/>
        <w:ind w:firstLine="361" w:firstLineChars="200"/>
        <w:rPr>
          <w:rFonts w:hint="eastAsia" w:ascii="宋体" w:hAnsi="宋体" w:eastAsia="宋体" w:cs="宋体"/>
          <w:b/>
          <w:bCs/>
          <w:strike/>
          <w:color w:val="auto"/>
          <w:kern w:val="0"/>
          <w:sz w:val="18"/>
          <w:szCs w:val="18"/>
          <w:highlight w:val="none"/>
        </w:rPr>
      </w:pPr>
      <w:r>
        <w:rPr>
          <w:rFonts w:hint="eastAsia" w:ascii="宋体" w:hAnsi="宋体" w:eastAsia="宋体" w:cs="宋体"/>
          <w:b/>
          <w:bCs/>
          <w:strike/>
          <w:color w:val="auto"/>
          <w:kern w:val="0"/>
          <w:sz w:val="18"/>
          <w:szCs w:val="18"/>
          <w:highlight w:val="none"/>
        </w:rPr>
        <w:t>三、企业施工经验</w:t>
      </w:r>
    </w:p>
    <w:p w14:paraId="0C7D7A53">
      <w:pPr>
        <w:widowControl/>
        <w:spacing w:line="360" w:lineRule="exact"/>
        <w:ind w:firstLine="360" w:firstLineChars="200"/>
        <w:rPr>
          <w:rFonts w:hint="eastAsia" w:ascii="宋体" w:hAnsi="宋体" w:eastAsia="宋体" w:cs="宋体"/>
          <w:strike/>
          <w:color w:val="auto"/>
          <w:kern w:val="0"/>
          <w:sz w:val="18"/>
          <w:szCs w:val="18"/>
          <w:highlight w:val="none"/>
        </w:rPr>
      </w:pPr>
      <w:r>
        <w:rPr>
          <w:rFonts w:hint="eastAsia" w:ascii="宋体" w:hAnsi="宋体" w:eastAsia="宋体" w:cs="宋体"/>
          <w:strike/>
          <w:color w:val="auto"/>
          <w:kern w:val="0"/>
          <w:sz w:val="18"/>
          <w:szCs w:val="18"/>
          <w:highlight w:val="none"/>
        </w:rPr>
        <w:t>（一）施工经验是指企业近年来（近2-5年）已完成质量合格的类似业绩，业绩有效时间以竣工验收报告为准，数量不宜超过5个。业绩设置按等次得分的，最高档指标不得超过招标项目本身所对应的规模，且指标设置数量不多于2个。业绩取自广州公共资源交易</w:t>
      </w:r>
      <w:r>
        <w:rPr>
          <w:rFonts w:hint="eastAsia" w:ascii="宋体" w:hAnsi="宋体" w:eastAsia="宋体" w:cs="宋体"/>
          <w:strike/>
          <w:color w:val="auto"/>
          <w:kern w:val="0"/>
          <w:sz w:val="18"/>
          <w:szCs w:val="18"/>
          <w:highlight w:val="none"/>
          <w:lang w:eastAsia="zh-CN"/>
        </w:rPr>
        <w:t>平台</w:t>
      </w:r>
      <w:r>
        <w:rPr>
          <w:rFonts w:hint="eastAsia" w:ascii="宋体" w:hAnsi="宋体" w:eastAsia="宋体" w:cs="宋体"/>
          <w:strike/>
          <w:color w:val="auto"/>
          <w:kern w:val="0"/>
          <w:sz w:val="18"/>
          <w:szCs w:val="18"/>
          <w:highlight w:val="none"/>
        </w:rPr>
        <w:t>城市园林绿化企业工程业绩库。</w:t>
      </w:r>
    </w:p>
    <w:p w14:paraId="6A7705FF">
      <w:pPr>
        <w:widowControl/>
        <w:spacing w:line="360" w:lineRule="exact"/>
        <w:ind w:firstLine="360" w:firstLineChars="200"/>
        <w:rPr>
          <w:rFonts w:hint="eastAsia" w:ascii="宋体" w:hAnsi="宋体" w:eastAsia="宋体" w:cs="宋体"/>
          <w:strike/>
          <w:color w:val="auto"/>
          <w:kern w:val="0"/>
          <w:sz w:val="18"/>
          <w:szCs w:val="18"/>
          <w:highlight w:val="none"/>
        </w:rPr>
      </w:pPr>
      <w:r>
        <w:rPr>
          <w:rFonts w:hint="eastAsia" w:ascii="宋体" w:hAnsi="宋体" w:eastAsia="宋体" w:cs="宋体"/>
          <w:strike/>
          <w:color w:val="auto"/>
          <w:kern w:val="0"/>
          <w:sz w:val="18"/>
          <w:szCs w:val="18"/>
          <w:highlight w:val="none"/>
        </w:rPr>
        <w:t>（二）企业施工经验得分占比不应超过</w:t>
      </w:r>
      <w:r>
        <w:rPr>
          <w:rFonts w:hint="eastAsia" w:ascii="宋体" w:hAnsi="宋体" w:eastAsia="宋体" w:cs="宋体"/>
          <w:strike/>
          <w:color w:val="auto"/>
          <w:kern w:val="0"/>
          <w:sz w:val="18"/>
          <w:szCs w:val="18"/>
          <w:highlight w:val="none"/>
          <w:lang w:eastAsia="zh-CN"/>
        </w:rPr>
        <w:t>技术部分（项目实施能力）</w:t>
      </w:r>
      <w:r>
        <w:rPr>
          <w:rFonts w:hint="eastAsia" w:ascii="宋体" w:hAnsi="宋体" w:eastAsia="宋体" w:cs="宋体"/>
          <w:strike/>
          <w:color w:val="auto"/>
          <w:kern w:val="0"/>
          <w:sz w:val="18"/>
          <w:szCs w:val="18"/>
          <w:highlight w:val="none"/>
        </w:rPr>
        <w:t>总权重的30%。</w:t>
      </w:r>
    </w:p>
    <w:p w14:paraId="6A03F77B">
      <w:pPr>
        <w:widowControl/>
        <w:spacing w:line="360" w:lineRule="exact"/>
        <w:ind w:firstLine="361" w:firstLineChars="200"/>
        <w:rPr>
          <w:rFonts w:hint="eastAsia" w:ascii="宋体" w:hAnsi="宋体" w:eastAsia="宋体" w:cs="宋体"/>
          <w:b/>
          <w:bCs/>
          <w:strike/>
          <w:color w:val="auto"/>
          <w:kern w:val="0"/>
          <w:sz w:val="18"/>
          <w:szCs w:val="18"/>
          <w:highlight w:val="none"/>
        </w:rPr>
      </w:pPr>
      <w:r>
        <w:rPr>
          <w:rFonts w:hint="eastAsia" w:ascii="宋体" w:hAnsi="宋体" w:eastAsia="宋体" w:cs="宋体"/>
          <w:b/>
          <w:bCs/>
          <w:strike/>
          <w:color w:val="auto"/>
          <w:kern w:val="0"/>
          <w:sz w:val="18"/>
          <w:szCs w:val="18"/>
          <w:highlight w:val="none"/>
        </w:rPr>
        <w:t>四、其他评审内容</w:t>
      </w:r>
    </w:p>
    <w:p w14:paraId="3421BC01">
      <w:pPr>
        <w:widowControl/>
        <w:spacing w:line="360" w:lineRule="exact"/>
        <w:ind w:firstLine="360" w:firstLineChars="200"/>
        <w:rPr>
          <w:rFonts w:hint="eastAsia" w:ascii="宋体" w:hAnsi="宋体" w:eastAsia="宋体" w:cs="宋体"/>
          <w:strike/>
          <w:color w:val="auto"/>
          <w:kern w:val="0"/>
          <w:sz w:val="18"/>
          <w:szCs w:val="18"/>
          <w:highlight w:val="none"/>
        </w:rPr>
      </w:pPr>
      <w:r>
        <w:rPr>
          <w:rFonts w:hint="eastAsia" w:ascii="宋体" w:hAnsi="宋体" w:eastAsia="宋体" w:cs="宋体"/>
          <w:strike/>
          <w:color w:val="auto"/>
          <w:kern w:val="0"/>
          <w:sz w:val="18"/>
          <w:szCs w:val="18"/>
          <w:highlight w:val="none"/>
        </w:rPr>
        <w:t>招标人可根据招标项目实际需要合理设其他评审内容，其占比不应超过</w:t>
      </w:r>
      <w:r>
        <w:rPr>
          <w:rFonts w:hint="eastAsia" w:ascii="宋体" w:hAnsi="宋体" w:eastAsia="宋体" w:cs="宋体"/>
          <w:strike/>
          <w:color w:val="auto"/>
          <w:kern w:val="0"/>
          <w:sz w:val="18"/>
          <w:szCs w:val="18"/>
          <w:highlight w:val="none"/>
          <w:lang w:eastAsia="zh-CN"/>
        </w:rPr>
        <w:t>技术部分（项目实施能力）</w:t>
      </w:r>
      <w:r>
        <w:rPr>
          <w:rFonts w:hint="eastAsia" w:ascii="宋体" w:hAnsi="宋体" w:eastAsia="宋体" w:cs="宋体"/>
          <w:strike/>
          <w:color w:val="auto"/>
          <w:kern w:val="0"/>
          <w:sz w:val="18"/>
          <w:szCs w:val="18"/>
          <w:highlight w:val="none"/>
        </w:rPr>
        <w:t>部分总权重的10%。</w:t>
      </w:r>
    </w:p>
    <w:p w14:paraId="4F56FC3E">
      <w:pPr>
        <w:outlineLvl w:val="2"/>
        <w:rPr>
          <w:rFonts w:hint="eastAsia" w:ascii="宋体" w:hAnsi="宋体" w:eastAsia="宋体"/>
          <w:color w:val="auto"/>
          <w:sz w:val="24"/>
          <w:szCs w:val="24"/>
          <w:highlight w:val="none"/>
        </w:rPr>
      </w:pPr>
      <w:bookmarkStart w:id="134" w:name="_Toc19126"/>
    </w:p>
    <w:p w14:paraId="62726EBE">
      <w:pPr>
        <w:outlineLvl w:val="2"/>
        <w:rPr>
          <w:rFonts w:hint="eastAsia" w:ascii="宋体" w:hAnsi="宋体" w:eastAsia="宋体"/>
          <w:color w:val="auto"/>
          <w:sz w:val="24"/>
          <w:szCs w:val="24"/>
          <w:highlight w:val="none"/>
        </w:rPr>
      </w:pPr>
      <w:bookmarkStart w:id="135" w:name="_Toc27219"/>
      <w:bookmarkStart w:id="136" w:name="_Toc311"/>
      <w:bookmarkStart w:id="137" w:name="_Toc31091"/>
      <w:r>
        <w:rPr>
          <w:rFonts w:hint="eastAsia" w:ascii="宋体" w:hAnsi="宋体" w:eastAsia="宋体"/>
          <w:color w:val="auto"/>
          <w:sz w:val="24"/>
          <w:szCs w:val="24"/>
          <w:highlight w:val="none"/>
        </w:rPr>
        <w:br w:type="page"/>
      </w: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11</w:t>
      </w:r>
      <w:r>
        <w:rPr>
          <w:rFonts w:hint="eastAsia" w:ascii="宋体" w:hAnsi="宋体" w:eastAsia="宋体"/>
          <w:color w:val="auto"/>
          <w:sz w:val="24"/>
          <w:szCs w:val="24"/>
          <w:highlight w:val="none"/>
        </w:rPr>
        <w:t>（适用于办法</w:t>
      </w: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w:t>
      </w:r>
      <w:bookmarkEnd w:id="134"/>
      <w:bookmarkEnd w:id="135"/>
      <w:bookmarkEnd w:id="136"/>
      <w:bookmarkEnd w:id="137"/>
    </w:p>
    <w:p w14:paraId="14C56C86">
      <w:pPr>
        <w:rPr>
          <w:rFonts w:ascii="宋体" w:hAnsi="宋体" w:eastAsia="宋体"/>
          <w:color w:val="auto"/>
          <w:sz w:val="24"/>
          <w:szCs w:val="24"/>
          <w:highlight w:val="none"/>
        </w:rPr>
      </w:pPr>
    </w:p>
    <w:p w14:paraId="31A87A21">
      <w:pPr>
        <w:jc w:val="center"/>
        <w:rPr>
          <w:rFonts w:ascii="宋体" w:hAnsi="宋体" w:eastAsia="宋体"/>
          <w:b/>
          <w:color w:val="auto"/>
          <w:sz w:val="36"/>
          <w:szCs w:val="36"/>
          <w:highlight w:val="none"/>
        </w:rPr>
      </w:pPr>
      <w:r>
        <w:rPr>
          <w:rFonts w:hint="eastAsia" w:ascii="宋体" w:hAnsi="宋体" w:eastAsia="宋体"/>
          <w:b/>
          <w:color w:val="auto"/>
          <w:sz w:val="36"/>
          <w:szCs w:val="36"/>
          <w:highlight w:val="none"/>
        </w:rPr>
        <w:t>投标报价评分表</w:t>
      </w:r>
    </w:p>
    <w:p w14:paraId="01F4214A">
      <w:pPr>
        <w:rPr>
          <w:rFonts w:ascii="宋体" w:hAnsi="宋体" w:eastAsia="宋体"/>
          <w:color w:val="auto"/>
          <w:szCs w:val="21"/>
          <w:highlight w:val="none"/>
        </w:rPr>
      </w:pPr>
      <w:r>
        <w:rPr>
          <w:rFonts w:hint="eastAsia" w:ascii="宋体" w:hAnsi="宋体" w:eastAsia="宋体"/>
          <w:color w:val="auto"/>
          <w:szCs w:val="21"/>
          <w:highlight w:val="none"/>
        </w:rPr>
        <w:t>工程名称：</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14:paraId="5F58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39F8FF59">
            <w:pPr>
              <w:jc w:val="center"/>
              <w:rPr>
                <w:rFonts w:ascii="宋体" w:hAnsi="宋体" w:eastAsia="宋体"/>
                <w:color w:val="auto"/>
                <w:szCs w:val="21"/>
                <w:highlight w:val="none"/>
              </w:rPr>
            </w:pPr>
            <w:r>
              <w:rPr>
                <w:rFonts w:hint="eastAsia" w:ascii="宋体" w:hAnsi="宋体" w:eastAsia="宋体"/>
                <w:color w:val="auto"/>
                <w:szCs w:val="21"/>
                <w:highlight w:val="none"/>
              </w:rPr>
              <w:t>投标人名称</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49B0F70">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3D3BE00">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4BBAF04">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3687F2E">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D9BA608">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037AB6E">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D112C3D">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BEBBC2A">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51A2E33">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346BFDD">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F343571">
            <w:pPr>
              <w:rPr>
                <w:rFonts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40F2160D">
            <w:pPr>
              <w:rPr>
                <w:rFonts w:ascii="宋体" w:hAnsi="宋体" w:eastAsia="宋体"/>
                <w:color w:val="auto"/>
                <w:szCs w:val="21"/>
                <w:highlight w:val="none"/>
              </w:rPr>
            </w:pPr>
          </w:p>
        </w:tc>
      </w:tr>
      <w:tr w14:paraId="4BA0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7192D885">
            <w:pPr>
              <w:jc w:val="center"/>
              <w:rPr>
                <w:rFonts w:ascii="宋体" w:hAnsi="宋体" w:eastAsia="宋体"/>
                <w:color w:val="auto"/>
                <w:szCs w:val="21"/>
                <w:highlight w:val="none"/>
              </w:rPr>
            </w:pPr>
            <w:r>
              <w:rPr>
                <w:rFonts w:hint="eastAsia" w:ascii="宋体" w:hAnsi="宋体" w:eastAsia="宋体"/>
                <w:color w:val="auto"/>
                <w:szCs w:val="21"/>
                <w:highlight w:val="none"/>
              </w:rPr>
              <w:t>投标报价</w:t>
            </w:r>
            <w:r>
              <w:rPr>
                <w:rFonts w:ascii="宋体" w:hAnsi="宋体" w:eastAsia="宋体"/>
                <w:color w:val="auto"/>
                <w:szCs w:val="21"/>
                <w:highlight w:val="none"/>
              </w:rPr>
              <w:t>PT</w:t>
            </w:r>
            <w:r>
              <w:rPr>
                <w:rFonts w:hint="eastAsia" w:ascii="宋体" w:hAnsi="宋体" w:eastAsia="宋体"/>
                <w:color w:val="auto"/>
                <w:szCs w:val="21"/>
                <w:highlight w:val="none"/>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2091B0E">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F351AE7">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45D4AC1">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7BC29E2">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7467E9F">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6DD500A">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C094E08">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7D77327">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BBFA392">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CF53285">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72EF560">
            <w:pPr>
              <w:rPr>
                <w:rFonts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350C0D48">
            <w:pPr>
              <w:rPr>
                <w:rFonts w:ascii="宋体" w:hAnsi="宋体" w:eastAsia="宋体"/>
                <w:color w:val="auto"/>
                <w:szCs w:val="21"/>
                <w:highlight w:val="none"/>
              </w:rPr>
            </w:pPr>
          </w:p>
        </w:tc>
      </w:tr>
      <w:tr w14:paraId="7487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1F0A7FD8">
            <w:pPr>
              <w:jc w:val="center"/>
              <w:rPr>
                <w:rFonts w:ascii="宋体" w:hAnsi="宋体" w:eastAsia="宋体"/>
                <w:color w:val="auto"/>
                <w:szCs w:val="21"/>
                <w:highlight w:val="none"/>
              </w:rPr>
            </w:pPr>
            <w:r>
              <w:rPr>
                <w:rFonts w:hint="eastAsia" w:ascii="宋体" w:hAnsi="宋体" w:eastAsia="宋体"/>
                <w:color w:val="auto"/>
                <w:szCs w:val="21"/>
                <w:highlight w:val="none"/>
              </w:rPr>
              <w:t>计算评标参考价的下浮率X%</w:t>
            </w:r>
          </w:p>
        </w:tc>
        <w:tc>
          <w:tcPr>
            <w:tcW w:w="12577" w:type="dxa"/>
            <w:gridSpan w:val="12"/>
            <w:tcBorders>
              <w:top w:val="single" w:color="auto" w:sz="4" w:space="0"/>
              <w:left w:val="single" w:color="auto" w:sz="4" w:space="0"/>
              <w:bottom w:val="single" w:color="auto" w:sz="4" w:space="0"/>
              <w:right w:val="single" w:color="auto" w:sz="4" w:space="0"/>
            </w:tcBorders>
            <w:noWrap w:val="0"/>
            <w:vAlign w:val="center"/>
          </w:tcPr>
          <w:p w14:paraId="7933B817">
            <w:pPr>
              <w:rPr>
                <w:rFonts w:ascii="宋体" w:hAnsi="宋体" w:eastAsia="宋体"/>
                <w:color w:val="auto"/>
                <w:szCs w:val="21"/>
                <w:highlight w:val="none"/>
              </w:rPr>
            </w:pPr>
          </w:p>
        </w:tc>
      </w:tr>
      <w:tr w14:paraId="1FAE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4752C5AE">
            <w:pPr>
              <w:jc w:val="center"/>
              <w:rPr>
                <w:rFonts w:ascii="宋体" w:hAnsi="宋体" w:eastAsia="宋体"/>
                <w:color w:val="auto"/>
                <w:szCs w:val="21"/>
                <w:highlight w:val="none"/>
              </w:rPr>
            </w:pPr>
            <w:r>
              <w:rPr>
                <w:rFonts w:hint="eastAsia" w:ascii="宋体" w:hAnsi="宋体" w:eastAsia="宋体"/>
                <w:color w:val="auto"/>
                <w:szCs w:val="21"/>
                <w:highlight w:val="none"/>
              </w:rPr>
              <w:t>评标参考价PC（元）</w:t>
            </w:r>
          </w:p>
        </w:tc>
        <w:tc>
          <w:tcPr>
            <w:tcW w:w="12577" w:type="dxa"/>
            <w:gridSpan w:val="12"/>
            <w:tcBorders>
              <w:top w:val="single" w:color="auto" w:sz="4" w:space="0"/>
              <w:left w:val="single" w:color="auto" w:sz="4" w:space="0"/>
              <w:bottom w:val="single" w:color="auto" w:sz="4" w:space="0"/>
              <w:right w:val="single" w:color="auto" w:sz="4" w:space="0"/>
            </w:tcBorders>
            <w:noWrap w:val="0"/>
            <w:vAlign w:val="center"/>
          </w:tcPr>
          <w:p w14:paraId="75F3272A">
            <w:pPr>
              <w:rPr>
                <w:rFonts w:ascii="宋体" w:hAnsi="宋体" w:eastAsia="宋体"/>
                <w:color w:val="auto"/>
                <w:szCs w:val="21"/>
                <w:highlight w:val="none"/>
              </w:rPr>
            </w:pPr>
          </w:p>
        </w:tc>
      </w:tr>
      <w:tr w14:paraId="3872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7CC4DCBA">
            <w:pPr>
              <w:jc w:val="center"/>
              <w:rPr>
                <w:rFonts w:ascii="宋体" w:hAnsi="宋体" w:eastAsia="宋体"/>
                <w:color w:val="auto"/>
                <w:szCs w:val="21"/>
                <w:highlight w:val="none"/>
              </w:rPr>
            </w:pPr>
            <w:r>
              <w:rPr>
                <w:rFonts w:hint="eastAsia" w:ascii="宋体" w:hAnsi="宋体" w:eastAsia="宋体"/>
                <w:color w:val="auto"/>
                <w:szCs w:val="21"/>
                <w:highlight w:val="none"/>
              </w:rPr>
              <w:t>偏差（（</w:t>
            </w:r>
            <w:r>
              <w:rPr>
                <w:rFonts w:ascii="宋体" w:hAnsi="宋体" w:eastAsia="宋体"/>
                <w:color w:val="auto"/>
                <w:szCs w:val="21"/>
                <w:highlight w:val="none"/>
              </w:rPr>
              <w:t>PT-PC</w:t>
            </w:r>
            <w:r>
              <w:rPr>
                <w:rFonts w:hint="eastAsia" w:ascii="宋体" w:hAnsi="宋体" w:eastAsia="宋体"/>
                <w:color w:val="auto"/>
                <w:szCs w:val="21"/>
                <w:highlight w:val="none"/>
              </w:rPr>
              <w:t>）</w:t>
            </w:r>
            <w:r>
              <w:rPr>
                <w:rFonts w:ascii="宋体" w:hAnsi="宋体" w:eastAsia="宋体"/>
                <w:color w:val="auto"/>
                <w:szCs w:val="21"/>
                <w:highlight w:val="none"/>
              </w:rPr>
              <w:t>/PC</w:t>
            </w:r>
            <w:r>
              <w:rPr>
                <w:rFonts w:hint="eastAsia" w:ascii="宋体" w:hAnsi="宋体" w:eastAsia="宋体"/>
                <w:color w:val="auto"/>
                <w:szCs w:val="21"/>
                <w:highlight w:val="none"/>
              </w:rPr>
              <w:t>）（</w:t>
            </w:r>
            <w:r>
              <w:rPr>
                <w:rFonts w:ascii="宋体" w:hAnsi="宋体" w:eastAsia="宋体"/>
                <w:color w:val="auto"/>
                <w:szCs w:val="21"/>
                <w:highlight w:val="none"/>
              </w:rPr>
              <w:t>%</w:t>
            </w:r>
            <w:r>
              <w:rPr>
                <w:rFonts w:hint="eastAsia" w:ascii="宋体" w:hAnsi="宋体" w:eastAsia="宋体"/>
                <w:color w:val="auto"/>
                <w:szCs w:val="21"/>
                <w:highlight w:val="none"/>
              </w:rPr>
              <w:t>）</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7654D4F">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0C36480">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964B70C">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0C2B612">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B5D66BB">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3406F4A">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3E2466D">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CF78C04">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B40BAC6">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7C2C7E4">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F05D036">
            <w:pPr>
              <w:rPr>
                <w:rFonts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49369D51">
            <w:pPr>
              <w:rPr>
                <w:rFonts w:ascii="宋体" w:hAnsi="宋体" w:eastAsia="宋体"/>
                <w:color w:val="auto"/>
                <w:szCs w:val="21"/>
                <w:highlight w:val="none"/>
              </w:rPr>
            </w:pPr>
          </w:p>
        </w:tc>
      </w:tr>
      <w:tr w14:paraId="0DF3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71D615B5">
            <w:pPr>
              <w:jc w:val="center"/>
              <w:rPr>
                <w:rFonts w:ascii="宋体" w:hAnsi="宋体" w:eastAsia="宋体"/>
                <w:color w:val="auto"/>
                <w:szCs w:val="21"/>
                <w:highlight w:val="none"/>
              </w:rPr>
            </w:pPr>
            <w:r>
              <w:rPr>
                <w:rFonts w:hint="eastAsia" w:ascii="宋体" w:hAnsi="宋体" w:eastAsia="宋体"/>
                <w:color w:val="auto"/>
                <w:szCs w:val="21"/>
                <w:highlight w:val="none"/>
              </w:rPr>
              <w:t>减分（</w:t>
            </w:r>
            <w:r>
              <w:rPr>
                <w:rFonts w:ascii="宋体" w:hAnsi="宋体" w:eastAsia="宋体"/>
                <w:color w:val="auto"/>
                <w:szCs w:val="21"/>
                <w:highlight w:val="none"/>
              </w:rPr>
              <w:t>A</w:t>
            </w:r>
            <w:r>
              <w:rPr>
                <w:rFonts w:hint="eastAsia" w:ascii="宋体" w:hAnsi="宋体" w:eastAsia="宋体"/>
                <w:color w:val="auto"/>
                <w:szCs w:val="21"/>
                <w:highlight w:val="none"/>
              </w:rPr>
              <w:t>）</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F761EF6">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09D22AB">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90BE2DA">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E47B07C">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7D8DDFD">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47C8477">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4718F88">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48D3E3E">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2B09A00">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687CA9E">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6C42230">
            <w:pPr>
              <w:rPr>
                <w:rFonts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14310E60">
            <w:pPr>
              <w:rPr>
                <w:rFonts w:ascii="宋体" w:hAnsi="宋体" w:eastAsia="宋体"/>
                <w:color w:val="auto"/>
                <w:szCs w:val="21"/>
                <w:highlight w:val="none"/>
              </w:rPr>
            </w:pPr>
          </w:p>
        </w:tc>
      </w:tr>
      <w:tr w14:paraId="6D29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3BD1D757">
            <w:pPr>
              <w:jc w:val="center"/>
              <w:rPr>
                <w:rFonts w:ascii="宋体" w:hAnsi="宋体" w:eastAsia="宋体"/>
                <w:color w:val="auto"/>
                <w:szCs w:val="21"/>
                <w:highlight w:val="none"/>
              </w:rPr>
            </w:pPr>
            <w:r>
              <w:rPr>
                <w:rFonts w:hint="eastAsia" w:ascii="宋体" w:hAnsi="宋体" w:eastAsia="宋体"/>
                <w:color w:val="auto"/>
                <w:szCs w:val="21"/>
                <w:highlight w:val="none"/>
              </w:rPr>
              <w:t>得分</w:t>
            </w:r>
            <w:r>
              <w:rPr>
                <w:rFonts w:ascii="宋体" w:hAnsi="宋体" w:eastAsia="宋体"/>
                <w:color w:val="auto"/>
                <w:szCs w:val="21"/>
                <w:highlight w:val="none"/>
              </w:rPr>
              <w:t>(I=100-A)</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521F9B5">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BA78213">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88B07A3">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614688D">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BE6824A">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A9464C0">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DE76E25">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63BC0F6">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5F42E26">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D6B9CDD">
            <w:pPr>
              <w:rPr>
                <w:rFonts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D2DCD24">
            <w:pPr>
              <w:rPr>
                <w:rFonts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24E8B6A5">
            <w:pPr>
              <w:rPr>
                <w:rFonts w:ascii="宋体" w:hAnsi="宋体" w:eastAsia="宋体"/>
                <w:color w:val="auto"/>
                <w:szCs w:val="21"/>
                <w:highlight w:val="none"/>
              </w:rPr>
            </w:pPr>
          </w:p>
        </w:tc>
      </w:tr>
    </w:tbl>
    <w:p w14:paraId="53E251A4">
      <w:pPr>
        <w:ind w:left="-199" w:leftChars="-95" w:right="-827" w:rightChars="-394"/>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评委签名：</w:t>
      </w:r>
    </w:p>
    <w:p w14:paraId="74691F87">
      <w:pPr>
        <w:rPr>
          <w:rFonts w:ascii="宋体" w:hAnsi="宋体" w:eastAsia="宋体"/>
          <w:b/>
          <w:color w:val="auto"/>
          <w:sz w:val="24"/>
          <w:highlight w:val="none"/>
        </w:rPr>
      </w:pPr>
    </w:p>
    <w:p w14:paraId="341BB63E">
      <w:pPr>
        <w:spacing w:line="360" w:lineRule="auto"/>
        <w:ind w:firstLine="411" w:firstLineChars="196"/>
        <w:outlineLvl w:val="1"/>
        <w:rPr>
          <w:rFonts w:ascii="宋体" w:hAnsi="宋体" w:eastAsia="宋体"/>
          <w:color w:val="auto"/>
          <w:szCs w:val="21"/>
          <w:highlight w:val="none"/>
        </w:rPr>
        <w:sectPr>
          <w:headerReference r:id="rId16" w:type="default"/>
          <w:footerReference r:id="rId17" w:type="default"/>
          <w:endnotePr>
            <w:numFmt w:val="decimal"/>
          </w:endnotePr>
          <w:pgSz w:w="16783" w:h="11850" w:orient="landscape"/>
          <w:pgMar w:top="567" w:right="1616" w:bottom="567" w:left="1293" w:header="850" w:footer="907" w:gutter="567"/>
          <w:pgNumType w:fmt="decimal"/>
          <w:cols w:space="720" w:num="1"/>
        </w:sectPr>
      </w:pPr>
    </w:p>
    <w:p w14:paraId="38C8B20E">
      <w:pPr>
        <w:outlineLvl w:val="2"/>
        <w:rPr>
          <w:rFonts w:ascii="宋体" w:hAnsi="宋体" w:eastAsia="宋体"/>
          <w:strike/>
          <w:color w:val="auto"/>
          <w:sz w:val="24"/>
          <w:szCs w:val="24"/>
          <w:highlight w:val="none"/>
        </w:rPr>
      </w:pPr>
      <w:bookmarkStart w:id="138" w:name="_第三章__合同条款"/>
      <w:bookmarkEnd w:id="138"/>
      <w:bookmarkStart w:id="139" w:name="_Toc14247"/>
      <w:bookmarkStart w:id="140" w:name="_Toc12342"/>
      <w:bookmarkStart w:id="141" w:name="_Toc5739"/>
      <w:bookmarkStart w:id="142" w:name="_Toc24053"/>
      <w:bookmarkStart w:id="143" w:name="_Toc14657"/>
      <w:bookmarkStart w:id="144" w:name="_Toc4061"/>
      <w:bookmarkStart w:id="145" w:name="_Toc19454"/>
      <w:bookmarkStart w:id="146" w:name="_Toc16566"/>
      <w:bookmarkStart w:id="147" w:name="_Toc262229174"/>
      <w:r>
        <w:rPr>
          <w:rFonts w:hint="eastAsia" w:ascii="宋体" w:hAnsi="宋体" w:eastAsia="宋体"/>
          <w:strike/>
          <w:color w:val="auto"/>
          <w:sz w:val="24"/>
          <w:szCs w:val="24"/>
          <w:highlight w:val="none"/>
        </w:rPr>
        <w:t>附件</w:t>
      </w:r>
      <w:r>
        <w:rPr>
          <w:rFonts w:hint="eastAsia" w:ascii="宋体" w:hAnsi="宋体" w:eastAsia="宋体"/>
          <w:strike/>
          <w:color w:val="auto"/>
          <w:sz w:val="24"/>
          <w:szCs w:val="24"/>
          <w:highlight w:val="none"/>
          <w:lang w:val="en-US" w:eastAsia="zh-CN"/>
        </w:rPr>
        <w:t>12</w:t>
      </w:r>
      <w:r>
        <w:rPr>
          <w:rFonts w:hint="eastAsia" w:ascii="宋体" w:hAnsi="宋体" w:eastAsia="宋体"/>
          <w:strike/>
          <w:color w:val="auto"/>
          <w:sz w:val="24"/>
          <w:szCs w:val="24"/>
          <w:highlight w:val="none"/>
        </w:rPr>
        <w:t xml:space="preserve"> 定标委员会组建办法及定标方法</w:t>
      </w:r>
      <w:bookmarkEnd w:id="139"/>
      <w:bookmarkEnd w:id="140"/>
      <w:bookmarkEnd w:id="141"/>
      <w:bookmarkEnd w:id="142"/>
      <w:bookmarkEnd w:id="143"/>
      <w:bookmarkEnd w:id="144"/>
      <w:bookmarkEnd w:id="145"/>
    </w:p>
    <w:p w14:paraId="5D0416D5">
      <w:pPr>
        <w:rPr>
          <w:rFonts w:hint="eastAsia" w:ascii="宋体" w:hAnsi="宋体" w:eastAsia="宋体"/>
          <w:strike/>
          <w:color w:val="auto"/>
          <w:sz w:val="24"/>
          <w:szCs w:val="24"/>
          <w:highlight w:val="none"/>
        </w:rPr>
      </w:pPr>
    </w:p>
    <w:p w14:paraId="2DA9FBA2">
      <w:pPr>
        <w:jc w:val="center"/>
        <w:rPr>
          <w:rFonts w:hint="eastAsia" w:ascii="宋体" w:hAnsi="宋体" w:eastAsia="宋体"/>
          <w:b/>
          <w:bCs/>
          <w:strike/>
          <w:color w:val="auto"/>
          <w:sz w:val="36"/>
          <w:szCs w:val="36"/>
          <w:highlight w:val="none"/>
        </w:rPr>
      </w:pPr>
    </w:p>
    <w:p w14:paraId="6E8324B9">
      <w:pPr>
        <w:jc w:val="center"/>
        <w:rPr>
          <w:rFonts w:hint="eastAsia" w:ascii="宋体" w:hAnsi="宋体" w:eastAsia="宋体"/>
          <w:b/>
          <w:bCs/>
          <w:strike/>
          <w:color w:val="auto"/>
          <w:sz w:val="36"/>
          <w:szCs w:val="36"/>
          <w:highlight w:val="none"/>
        </w:rPr>
      </w:pPr>
      <w:r>
        <w:rPr>
          <w:rFonts w:hint="eastAsia" w:ascii="宋体" w:hAnsi="宋体" w:eastAsia="宋体"/>
          <w:b/>
          <w:bCs/>
          <w:strike/>
          <w:color w:val="auto"/>
          <w:sz w:val="36"/>
          <w:szCs w:val="36"/>
          <w:highlight w:val="none"/>
        </w:rPr>
        <w:t>定标委员会组建办法及定标办法</w:t>
      </w:r>
    </w:p>
    <w:p w14:paraId="644744F9">
      <w:pPr>
        <w:jc w:val="left"/>
        <w:rPr>
          <w:rFonts w:hint="eastAsia" w:ascii="宋体" w:hAnsi="宋体" w:eastAsia="宋体"/>
          <w:strike/>
          <w:color w:val="auto"/>
          <w:szCs w:val="21"/>
          <w:highlight w:val="none"/>
        </w:rPr>
      </w:pPr>
    </w:p>
    <w:p w14:paraId="7A8B1A59">
      <w:pPr>
        <w:jc w:val="left"/>
        <w:rPr>
          <w:rFonts w:hint="eastAsia" w:ascii="宋体" w:eastAsia="宋体"/>
          <w:strike/>
          <w:color w:val="auto"/>
          <w:highlight w:val="none"/>
        </w:rPr>
      </w:pPr>
      <w:r>
        <w:rPr>
          <w:rFonts w:hint="eastAsia" w:ascii="宋体" w:hAnsi="宋体" w:eastAsia="宋体"/>
          <w:strike/>
          <w:color w:val="auto"/>
          <w:sz w:val="24"/>
          <w:szCs w:val="24"/>
          <w:highlight w:val="none"/>
        </w:rPr>
        <w:t>注：本项由招标人自行制定。</w:t>
      </w:r>
    </w:p>
    <w:p w14:paraId="644904AF">
      <w:pPr>
        <w:pStyle w:val="69"/>
        <w:rPr>
          <w:rFonts w:hint="eastAsia"/>
          <w:strike/>
          <w:color w:val="auto"/>
          <w:highlight w:val="none"/>
        </w:rPr>
      </w:pPr>
    </w:p>
    <w:p w14:paraId="103C85BD">
      <w:pPr>
        <w:spacing w:line="360" w:lineRule="auto"/>
        <w:jc w:val="left"/>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定标办法设置说明：</w:t>
      </w:r>
    </w:p>
    <w:p w14:paraId="135177DA">
      <w:pPr>
        <w:pStyle w:val="69"/>
        <w:spacing w:line="360" w:lineRule="auto"/>
        <w:ind w:firstLine="480" w:firstLineChars="200"/>
        <w:rPr>
          <w:rFonts w:hint="eastAsia" w:ascii="宋体" w:hAnsi="宋体" w:cs="宋体"/>
          <w:strike/>
          <w:color w:val="auto"/>
          <w:highlight w:val="none"/>
        </w:rPr>
      </w:pPr>
      <w:r>
        <w:rPr>
          <w:rFonts w:hint="eastAsia" w:ascii="宋体" w:hAnsi="宋体" w:cs="宋体"/>
          <w:strike/>
          <w:color w:val="auto"/>
          <w:highlight w:val="none"/>
        </w:rPr>
        <w:t>一、招标公告发布前，招标人应当根据招标项目特点，事先制定科学、合理的定标委员会组建及定标办法，并在招标文件中详细载明。定标时必须严格遵守定标办法，不得临时改变。</w:t>
      </w:r>
    </w:p>
    <w:p w14:paraId="669C09C6">
      <w:pPr>
        <w:pStyle w:val="69"/>
        <w:spacing w:line="360" w:lineRule="auto"/>
        <w:ind w:firstLine="480" w:firstLineChars="200"/>
        <w:rPr>
          <w:rFonts w:hint="eastAsia" w:ascii="宋体" w:hAnsi="宋体" w:cs="宋体"/>
          <w:strike/>
          <w:color w:val="auto"/>
          <w:highlight w:val="none"/>
        </w:rPr>
      </w:pPr>
      <w:r>
        <w:rPr>
          <w:rFonts w:hint="eastAsia" w:ascii="宋体" w:hAnsi="宋体" w:cs="宋体"/>
          <w:strike/>
          <w:color w:val="auto"/>
          <w:highlight w:val="none"/>
        </w:rPr>
        <w:t>二、定标办法应当对定标因素、定标程序等内容予以明确。可采用价格优势排名、票决、抽签、集体议事决策等办法。</w:t>
      </w:r>
    </w:p>
    <w:p w14:paraId="642CF3F1">
      <w:pPr>
        <w:pStyle w:val="69"/>
        <w:spacing w:line="360" w:lineRule="auto"/>
        <w:ind w:firstLine="480" w:firstLineChars="200"/>
        <w:rPr>
          <w:rFonts w:hint="eastAsia" w:ascii="宋体" w:hAnsi="宋体" w:cs="宋体"/>
          <w:strike/>
          <w:color w:val="auto"/>
          <w:highlight w:val="none"/>
        </w:rPr>
      </w:pPr>
      <w:r>
        <w:rPr>
          <w:rFonts w:hint="eastAsia" w:ascii="宋体" w:hAnsi="宋体" w:cs="宋体"/>
          <w:strike/>
          <w:color w:val="auto"/>
          <w:highlight w:val="none"/>
        </w:rPr>
        <w:t>定标委员会成员原则上从招标人、项目业主或者使用单位的领导班子成员、经营管理人员中产生，成员数量为</w:t>
      </w:r>
      <w:r>
        <w:rPr>
          <w:rFonts w:hint="eastAsia" w:ascii="宋体" w:hAnsi="宋体" w:cs="宋体"/>
          <w:strike/>
          <w:color w:val="auto"/>
          <w:highlight w:val="none"/>
          <w:lang w:val="en-US" w:eastAsia="zh-CN"/>
        </w:rPr>
        <w:t>5</w:t>
      </w:r>
      <w:r>
        <w:rPr>
          <w:rFonts w:hint="eastAsia" w:ascii="宋体" w:hAnsi="宋体" w:cs="宋体"/>
          <w:strike/>
          <w:color w:val="auto"/>
          <w:highlight w:val="none"/>
        </w:rPr>
        <w:t>人以上单数。</w:t>
      </w:r>
    </w:p>
    <w:p w14:paraId="5CC1C035">
      <w:pPr>
        <w:pStyle w:val="69"/>
        <w:spacing w:line="360" w:lineRule="auto"/>
        <w:ind w:firstLine="480" w:firstLineChars="200"/>
        <w:rPr>
          <w:rFonts w:hint="eastAsia" w:ascii="宋体" w:hAnsi="宋体" w:cs="宋体"/>
          <w:strike/>
          <w:color w:val="auto"/>
          <w:highlight w:val="none"/>
        </w:rPr>
      </w:pPr>
      <w:r>
        <w:rPr>
          <w:rFonts w:hint="eastAsia" w:ascii="宋体" w:hAnsi="宋体" w:cs="宋体"/>
          <w:strike/>
          <w:color w:val="auto"/>
          <w:highlight w:val="none"/>
        </w:rPr>
        <w:t>评标结束后，评标过程中使用的文件、表格及其他纸质资料由招标人收齐并妥善保管。招标人应当自中标候选人公示结束后5个工作日内进入交易中心召开定标会。定标过程应当公开、公平、公正，定标委员会按有关规定及招标文件约定的定标办法确定中标人。</w:t>
      </w:r>
    </w:p>
    <w:p w14:paraId="06FCD9F7">
      <w:pPr>
        <w:pStyle w:val="69"/>
        <w:spacing w:line="360" w:lineRule="auto"/>
        <w:ind w:firstLine="480" w:firstLineChars="200"/>
        <w:rPr>
          <w:rFonts w:hint="eastAsia" w:ascii="宋体" w:hAnsi="宋体" w:cs="宋体"/>
          <w:strike/>
          <w:color w:val="auto"/>
          <w:highlight w:val="none"/>
        </w:rPr>
      </w:pPr>
      <w:r>
        <w:rPr>
          <w:rFonts w:hint="eastAsia" w:ascii="宋体" w:hAnsi="宋体" w:cs="宋体"/>
          <w:strike/>
          <w:color w:val="auto"/>
          <w:highlight w:val="none"/>
        </w:rPr>
        <w:t>三、招标人应当对定标过程进行记录，并存档备查。</w:t>
      </w:r>
    </w:p>
    <w:p w14:paraId="3B6838E7">
      <w:pPr>
        <w:pStyle w:val="32"/>
        <w:rPr>
          <w:rFonts w:hint="eastAsia" w:ascii="宋体" w:eastAsia="宋体"/>
          <w:color w:val="auto"/>
          <w:highlight w:val="none"/>
        </w:rPr>
      </w:pPr>
    </w:p>
    <w:p w14:paraId="399C60DC">
      <w:pPr>
        <w:pStyle w:val="32"/>
        <w:rPr>
          <w:rFonts w:hint="eastAsia" w:ascii="宋体" w:eastAsia="宋体"/>
          <w:color w:val="auto"/>
          <w:highlight w:val="none"/>
        </w:rPr>
      </w:pPr>
    </w:p>
    <w:p w14:paraId="7510F6C6">
      <w:pPr>
        <w:pStyle w:val="32"/>
        <w:rPr>
          <w:rFonts w:hint="eastAsia" w:ascii="宋体" w:eastAsia="宋体"/>
          <w:color w:val="auto"/>
          <w:highlight w:val="none"/>
        </w:rPr>
      </w:pPr>
    </w:p>
    <w:p w14:paraId="494D54FF">
      <w:pPr>
        <w:pStyle w:val="32"/>
        <w:rPr>
          <w:rFonts w:hint="eastAsia" w:ascii="宋体" w:eastAsia="宋体"/>
          <w:color w:val="auto"/>
          <w:highlight w:val="none"/>
        </w:rPr>
      </w:pPr>
    </w:p>
    <w:p w14:paraId="515466EC">
      <w:pPr>
        <w:pStyle w:val="32"/>
        <w:rPr>
          <w:rFonts w:hint="eastAsia" w:ascii="宋体" w:eastAsia="宋体"/>
          <w:color w:val="auto"/>
          <w:highlight w:val="none"/>
        </w:rPr>
      </w:pPr>
    </w:p>
    <w:p w14:paraId="6FBA7909">
      <w:pPr>
        <w:pStyle w:val="32"/>
        <w:rPr>
          <w:rFonts w:hint="eastAsia" w:ascii="宋体" w:eastAsia="宋体"/>
          <w:color w:val="auto"/>
          <w:highlight w:val="none"/>
        </w:rPr>
      </w:pPr>
    </w:p>
    <w:p w14:paraId="6B882E3D">
      <w:pPr>
        <w:pStyle w:val="32"/>
        <w:rPr>
          <w:rFonts w:hint="eastAsia" w:ascii="宋体" w:eastAsia="宋体"/>
          <w:color w:val="auto"/>
          <w:highlight w:val="none"/>
        </w:rPr>
      </w:pPr>
    </w:p>
    <w:p w14:paraId="7396762E">
      <w:pPr>
        <w:pStyle w:val="32"/>
        <w:rPr>
          <w:rFonts w:hint="eastAsia" w:ascii="宋体" w:eastAsia="宋体"/>
          <w:color w:val="auto"/>
          <w:highlight w:val="none"/>
        </w:rPr>
      </w:pPr>
    </w:p>
    <w:p w14:paraId="2272DBB0">
      <w:pPr>
        <w:pStyle w:val="32"/>
        <w:rPr>
          <w:rFonts w:hint="eastAsia" w:ascii="宋体" w:eastAsia="宋体"/>
          <w:color w:val="auto"/>
          <w:highlight w:val="none"/>
        </w:rPr>
      </w:pPr>
    </w:p>
    <w:p w14:paraId="6C2EA1C1">
      <w:pPr>
        <w:pStyle w:val="32"/>
        <w:rPr>
          <w:rFonts w:hint="eastAsia" w:ascii="宋体" w:eastAsia="宋体"/>
          <w:color w:val="auto"/>
          <w:highlight w:val="none"/>
        </w:rPr>
      </w:pPr>
    </w:p>
    <w:p w14:paraId="56F3601D">
      <w:pPr>
        <w:pStyle w:val="32"/>
        <w:rPr>
          <w:rFonts w:hint="eastAsia" w:ascii="宋体" w:eastAsia="宋体"/>
          <w:color w:val="auto"/>
          <w:highlight w:val="none"/>
        </w:rPr>
      </w:pPr>
    </w:p>
    <w:bookmarkEnd w:id="146"/>
    <w:bookmarkEnd w:id="147"/>
    <w:p w14:paraId="60351C9A">
      <w:pPr>
        <w:pStyle w:val="3"/>
        <w:rPr>
          <w:rFonts w:hint="eastAsia" w:ascii="宋体" w:eastAsia="宋体"/>
          <w:color w:val="auto"/>
          <w:highlight w:val="none"/>
        </w:rPr>
      </w:pPr>
      <w:bookmarkStart w:id="148" w:name="_Toc22595"/>
      <w:bookmarkStart w:id="149" w:name="_Toc27406"/>
      <w:bookmarkStart w:id="150" w:name="_Toc8475"/>
      <w:bookmarkStart w:id="151" w:name="_Toc17798"/>
      <w:bookmarkStart w:id="152" w:name="_Toc30704"/>
      <w:bookmarkStart w:id="153" w:name="_Toc8125"/>
      <w:bookmarkStart w:id="154" w:name="_Toc27158"/>
      <w:bookmarkStart w:id="155" w:name="_Toc2939"/>
      <w:bookmarkStart w:id="156" w:name="_Toc12568"/>
      <w:bookmarkStart w:id="157" w:name="_Toc21721"/>
      <w:r>
        <w:rPr>
          <w:rFonts w:hint="eastAsia" w:ascii="宋体" w:eastAsia="宋体"/>
          <w:color w:val="auto"/>
          <w:highlight w:val="none"/>
        </w:rPr>
        <w:t>第三章  合同条款</w:t>
      </w:r>
      <w:bookmarkEnd w:id="148"/>
      <w:bookmarkEnd w:id="149"/>
      <w:bookmarkEnd w:id="150"/>
      <w:bookmarkEnd w:id="151"/>
      <w:bookmarkEnd w:id="152"/>
      <w:bookmarkEnd w:id="153"/>
      <w:bookmarkEnd w:id="154"/>
      <w:bookmarkEnd w:id="155"/>
      <w:bookmarkEnd w:id="156"/>
      <w:bookmarkEnd w:id="157"/>
    </w:p>
    <w:p w14:paraId="44014C45">
      <w:pPr>
        <w:pStyle w:val="2"/>
        <w:jc w:val="center"/>
        <w:rPr>
          <w:rFonts w:hint="eastAsia" w:ascii="仿宋_GB2312" w:hAnsi="宋体" w:eastAsia="仿宋_GB2312" w:cs="宋体"/>
          <w:color w:val="auto"/>
          <w:sz w:val="24"/>
          <w:szCs w:val="24"/>
          <w:highlight w:val="none"/>
          <w:lang w:val="en-US" w:eastAsia="zh-CN"/>
        </w:rPr>
      </w:pPr>
      <w:bookmarkStart w:id="158" w:name="_Toc19987"/>
      <w:bookmarkStart w:id="159" w:name="_Toc15253"/>
      <w:bookmarkStart w:id="160" w:name="_Toc27821"/>
      <w:bookmarkStart w:id="161" w:name="_Toc13217"/>
      <w:bookmarkStart w:id="162" w:name="_Toc5442"/>
      <w:bookmarkStart w:id="163" w:name="_Toc14057"/>
      <w:bookmarkStart w:id="164" w:name="_Toc16137"/>
      <w:bookmarkStart w:id="165" w:name="_Toc85854822"/>
      <w:bookmarkStart w:id="166" w:name="_Toc101777645"/>
      <w:r>
        <w:rPr>
          <w:rFonts w:hint="eastAsia" w:ascii="仿宋_GB2312" w:hAnsi="宋体" w:eastAsia="仿宋_GB2312" w:cs="宋体"/>
          <w:color w:val="auto"/>
          <w:sz w:val="24"/>
          <w:szCs w:val="24"/>
          <w:highlight w:val="none"/>
          <w:lang w:val="en-US" w:eastAsia="zh-CN"/>
        </w:rPr>
        <w:t>(另册)</w:t>
      </w:r>
    </w:p>
    <w:p w14:paraId="4E4B2E5D">
      <w:pPr>
        <w:pStyle w:val="2"/>
        <w:jc w:val="center"/>
        <w:rPr>
          <w:rFonts w:hint="eastAsia"/>
          <w:color w:val="auto"/>
          <w:highlight w:val="none"/>
        </w:rPr>
      </w:pPr>
      <w:r>
        <w:rPr>
          <w:rFonts w:hint="eastAsia"/>
          <w:color w:val="auto"/>
          <w:highlight w:val="none"/>
        </w:rPr>
        <w:br w:type="page"/>
      </w:r>
      <w:r>
        <w:rPr>
          <w:rFonts w:hint="eastAsia"/>
          <w:color w:val="auto"/>
          <w:highlight w:val="none"/>
        </w:rPr>
        <w:t>第四章  投标文件格式</w:t>
      </w:r>
      <w:bookmarkEnd w:id="158"/>
      <w:bookmarkEnd w:id="159"/>
      <w:bookmarkEnd w:id="160"/>
      <w:bookmarkEnd w:id="161"/>
      <w:bookmarkEnd w:id="162"/>
      <w:bookmarkEnd w:id="163"/>
      <w:bookmarkEnd w:id="164"/>
    </w:p>
    <w:p w14:paraId="03D1B177">
      <w:pPr>
        <w:pStyle w:val="32"/>
        <w:spacing w:after="0" w:line="360" w:lineRule="auto"/>
        <w:ind w:firstLine="480" w:firstLineChars="200"/>
        <w:rPr>
          <w:rFonts w:hint="eastAsia" w:ascii="宋体" w:hAnsi="宋体" w:eastAsia="宋体"/>
          <w:color w:val="auto"/>
          <w:sz w:val="24"/>
          <w:szCs w:val="24"/>
          <w:highlight w:val="none"/>
        </w:rPr>
      </w:pPr>
    </w:p>
    <w:p w14:paraId="7E1C5F5B">
      <w:pPr>
        <w:pStyle w:val="32"/>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投标人应按以下规定的格式及要求编制投标文件，如电子投标文件没有按招标文件规定的格式及要求编制，因其所引起系统无法检索、读取电子投标文件中的数据时，其后果将由投标人承担。本格式及要求规定适用于电子评标项目的投标文件的编制。</w:t>
      </w:r>
    </w:p>
    <w:p w14:paraId="286C987F">
      <w:pPr>
        <w:pStyle w:val="32"/>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1.1《广州园林绿化工程施工招标投标书》是投标文件的重要组成部分，其内容是投标人开标信息的主要来源，投标人应准确填写《广州园林绿化工程施工招标投标书》的相关内容。</w:t>
      </w:r>
    </w:p>
    <w:p w14:paraId="272512AC">
      <w:pPr>
        <w:pStyle w:val="32"/>
        <w:spacing w:after="0" w:line="360" w:lineRule="auto"/>
        <w:ind w:firstLine="480" w:firstLineChars="200"/>
        <w:rPr>
          <w:rFonts w:ascii="宋体" w:hAnsi="宋体" w:eastAsia="宋体"/>
          <w:bCs/>
          <w:color w:val="auto"/>
          <w:sz w:val="24"/>
          <w:szCs w:val="24"/>
          <w:highlight w:val="none"/>
        </w:rPr>
      </w:pPr>
      <w:r>
        <w:rPr>
          <w:rFonts w:hint="eastAsia" w:ascii="宋体" w:hAnsi="宋体" w:eastAsia="宋体"/>
          <w:color w:val="auto"/>
          <w:sz w:val="24"/>
          <w:szCs w:val="24"/>
          <w:highlight w:val="none"/>
        </w:rPr>
        <w:t>1.2</w:t>
      </w:r>
      <w:r>
        <w:rPr>
          <w:rFonts w:hint="eastAsia" w:ascii="宋体" w:hAnsi="宋体" w:eastAsia="宋体"/>
          <w:bCs/>
          <w:color w:val="auto"/>
          <w:sz w:val="24"/>
          <w:szCs w:val="24"/>
          <w:highlight w:val="none"/>
        </w:rPr>
        <w:t>工程量清单报价表应符合广东省《建设工程造价文件数据交换标准（电子评标部分）》的有关规定，《广州园林绿化工程施工招标投标书》使用广州公共资源交易</w:t>
      </w:r>
      <w:r>
        <w:rPr>
          <w:rFonts w:hint="eastAsia" w:ascii="宋体" w:hAnsi="宋体" w:eastAsia="宋体"/>
          <w:bCs/>
          <w:color w:val="auto"/>
          <w:sz w:val="24"/>
          <w:szCs w:val="24"/>
          <w:highlight w:val="none"/>
          <w:lang w:eastAsia="zh-CN"/>
        </w:rPr>
        <w:t>平台</w:t>
      </w:r>
      <w:r>
        <w:rPr>
          <w:rFonts w:hint="eastAsia" w:ascii="宋体" w:hAnsi="宋体" w:eastAsia="宋体"/>
          <w:bCs/>
          <w:color w:val="auto"/>
          <w:sz w:val="24"/>
          <w:szCs w:val="24"/>
          <w:highlight w:val="none"/>
        </w:rPr>
        <w:t>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14:paraId="23AC7CA8">
      <w:pPr>
        <w:pStyle w:val="32"/>
        <w:spacing w:after="0" w:line="360" w:lineRule="auto"/>
        <w:ind w:firstLine="480" w:firstLineChars="200"/>
        <w:rPr>
          <w:rFonts w:hint="eastAsia" w:ascii="宋体" w:hAnsi="宋体" w:eastAsia="宋体"/>
          <w:bCs/>
          <w:strike/>
          <w:color w:val="auto"/>
          <w:sz w:val="24"/>
          <w:szCs w:val="24"/>
          <w:highlight w:val="none"/>
        </w:rPr>
      </w:pPr>
      <w:r>
        <w:rPr>
          <w:rFonts w:hint="eastAsia" w:ascii="宋体" w:hAnsi="宋体" w:eastAsia="宋体"/>
          <w:bCs/>
          <w:strike/>
          <w:color w:val="auto"/>
          <w:sz w:val="24"/>
          <w:szCs w:val="24"/>
          <w:highlight w:val="none"/>
        </w:rPr>
        <w:t>1.3投标人为联合体投标时，应按以下规定填写：</w:t>
      </w:r>
    </w:p>
    <w:p w14:paraId="0AF3F1EB">
      <w:pPr>
        <w:pStyle w:val="32"/>
        <w:spacing w:after="0" w:line="360" w:lineRule="auto"/>
        <w:ind w:firstLine="480" w:firstLineChars="200"/>
        <w:rPr>
          <w:rFonts w:hint="eastAsia" w:ascii="宋体" w:hAnsi="宋体" w:eastAsia="宋体"/>
          <w:bCs/>
          <w:strike/>
          <w:color w:val="auto"/>
          <w:sz w:val="24"/>
          <w:szCs w:val="24"/>
          <w:highlight w:val="none"/>
        </w:rPr>
      </w:pPr>
      <w:r>
        <w:rPr>
          <w:rFonts w:hint="eastAsia" w:ascii="宋体" w:hAnsi="宋体" w:eastAsia="宋体"/>
          <w:bCs/>
          <w:strike/>
          <w:color w:val="auto"/>
          <w:sz w:val="24"/>
          <w:szCs w:val="24"/>
          <w:highlight w:val="none"/>
        </w:rPr>
        <w:t>联合体投标的，除《联合体投标协议》必须由联合体各方按要求签字或盖章外，其他资料可由联合体主办方签字或盖章，“投标人”应填写联合体各方的单位全称【格式：（主）XX公司；（成）XX公司】。法定代表人证明书及法定代表人授权书可由联合体主办方出具。</w:t>
      </w:r>
    </w:p>
    <w:p w14:paraId="54C4218E">
      <w:pPr>
        <w:pStyle w:val="32"/>
        <w:spacing w:after="0" w:line="360" w:lineRule="auto"/>
        <w:ind w:firstLine="480" w:firstLineChars="200"/>
        <w:rPr>
          <w:rFonts w:ascii="宋体" w:hAnsi="宋体" w:eastAsia="宋体"/>
          <w:strike/>
          <w:color w:val="auto"/>
          <w:sz w:val="24"/>
          <w:szCs w:val="24"/>
          <w:highlight w:val="none"/>
        </w:rPr>
      </w:pPr>
      <w:r>
        <w:rPr>
          <w:rFonts w:hint="eastAsia" w:ascii="宋体" w:hAnsi="宋体" w:eastAsia="宋体"/>
          <w:bCs/>
          <w:strike/>
          <w:color w:val="auto"/>
          <w:sz w:val="24"/>
          <w:szCs w:val="24"/>
          <w:highlight w:val="none"/>
        </w:rPr>
        <w:t>联合体投标的，在编制工程量清单时应只填写联合体主办方单位全称，且要求填写的全称与广州公共资源交易</w:t>
      </w:r>
      <w:r>
        <w:rPr>
          <w:rFonts w:hint="eastAsia" w:ascii="宋体" w:hAnsi="宋体" w:eastAsia="宋体"/>
          <w:bCs/>
          <w:strike/>
          <w:color w:val="auto"/>
          <w:sz w:val="24"/>
          <w:szCs w:val="24"/>
          <w:highlight w:val="none"/>
          <w:lang w:eastAsia="zh-CN"/>
        </w:rPr>
        <w:t>平台</w:t>
      </w:r>
      <w:r>
        <w:rPr>
          <w:rFonts w:hint="eastAsia" w:ascii="宋体" w:hAnsi="宋体" w:eastAsia="宋体"/>
          <w:bCs/>
          <w:strike/>
          <w:color w:val="auto"/>
          <w:sz w:val="24"/>
          <w:szCs w:val="24"/>
          <w:highlight w:val="none"/>
        </w:rPr>
        <w:t>企业库登记名称完全一致。</w:t>
      </w:r>
    </w:p>
    <w:p w14:paraId="1502BD6E">
      <w:pPr>
        <w:outlineLvl w:val="2"/>
        <w:rPr>
          <w:rFonts w:ascii="宋体" w:hAnsi="宋体" w:eastAsia="宋体"/>
          <w:color w:val="auto"/>
          <w:highlight w:val="none"/>
        </w:rPr>
      </w:pPr>
      <w:r>
        <w:rPr>
          <w:rFonts w:ascii="宋体" w:hAnsi="宋体" w:eastAsia="宋体"/>
          <w:color w:val="auto"/>
          <w:highlight w:val="none"/>
        </w:rPr>
        <w:br w:type="page"/>
      </w:r>
      <w:bookmarkStart w:id="167" w:name="_Toc24238"/>
      <w:bookmarkStart w:id="168" w:name="_Toc26865"/>
      <w:bookmarkStart w:id="169" w:name="_Toc31563"/>
      <w:bookmarkStart w:id="170" w:name="_Toc23204"/>
      <w:bookmarkStart w:id="171" w:name="_Toc18466"/>
      <w:bookmarkStart w:id="172" w:name="_Toc18646"/>
      <w:bookmarkStart w:id="173" w:name="_Toc23381"/>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13</w:t>
      </w:r>
      <w:r>
        <w:rPr>
          <w:rFonts w:hint="eastAsia" w:ascii="宋体" w:hAnsi="宋体" w:eastAsia="宋体"/>
          <w:color w:val="auto"/>
          <w:sz w:val="24"/>
          <w:szCs w:val="24"/>
          <w:highlight w:val="none"/>
        </w:rPr>
        <w:t xml:space="preserve"> 投标函</w:t>
      </w:r>
      <w:bookmarkEnd w:id="167"/>
      <w:bookmarkEnd w:id="168"/>
      <w:bookmarkEnd w:id="169"/>
      <w:bookmarkEnd w:id="170"/>
      <w:bookmarkEnd w:id="171"/>
      <w:bookmarkEnd w:id="172"/>
      <w:bookmarkEnd w:id="173"/>
    </w:p>
    <w:p w14:paraId="7875C3DA">
      <w:pPr>
        <w:pStyle w:val="32"/>
        <w:spacing w:after="0" w:line="440" w:lineRule="exact"/>
        <w:ind w:firstLine="0"/>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 xml:space="preserve">投  </w:t>
      </w:r>
      <w:r>
        <w:rPr>
          <w:rFonts w:hint="eastAsia" w:ascii="宋体" w:hAnsi="宋体" w:eastAsia="宋体" w:cs="宋体"/>
          <w:b/>
          <w:color w:val="auto"/>
          <w:sz w:val="36"/>
          <w:szCs w:val="36"/>
          <w:highlight w:val="none"/>
        </w:rPr>
        <w:t>标</w:t>
      </w:r>
      <w:r>
        <w:rPr>
          <w:rFonts w:hint="eastAsia" w:ascii="宋体" w:hAnsi="宋体" w:eastAsia="宋体"/>
          <w:b/>
          <w:color w:val="auto"/>
          <w:sz w:val="36"/>
          <w:szCs w:val="36"/>
          <w:highlight w:val="none"/>
        </w:rPr>
        <w:t xml:space="preserve">  函</w:t>
      </w:r>
    </w:p>
    <w:p w14:paraId="34A51AE7">
      <w:pPr>
        <w:pStyle w:val="32"/>
        <w:spacing w:after="0" w:line="440" w:lineRule="exact"/>
        <w:ind w:firstLine="0"/>
        <w:jc w:val="center"/>
        <w:rPr>
          <w:rFonts w:ascii="宋体" w:hAnsi="宋体" w:eastAsia="宋体"/>
          <w:b/>
          <w:color w:val="auto"/>
          <w:sz w:val="36"/>
          <w:szCs w:val="36"/>
          <w:highlight w:val="none"/>
        </w:rPr>
      </w:pPr>
    </w:p>
    <w:p w14:paraId="33DB00D4">
      <w:pPr>
        <w:spacing w:line="440" w:lineRule="exact"/>
        <w:rPr>
          <w:rFonts w:ascii="宋体" w:hAnsi="宋体" w:eastAsia="宋体"/>
          <w:b/>
          <w:color w:val="auto"/>
          <w:sz w:val="24"/>
          <w:szCs w:val="24"/>
          <w:highlight w:val="none"/>
        </w:rPr>
      </w:pPr>
      <w:r>
        <w:rPr>
          <w:rFonts w:hint="eastAsia" w:ascii="宋体" w:hAnsi="宋体" w:eastAsia="宋体"/>
          <w:b/>
          <w:color w:val="auto"/>
          <w:sz w:val="24"/>
          <w:szCs w:val="24"/>
          <w:highlight w:val="none"/>
        </w:rPr>
        <w:t>致：</w:t>
      </w:r>
      <w:r>
        <w:rPr>
          <w:rFonts w:hint="eastAsia" w:ascii="宋体" w:hAnsi="宋体" w:eastAsia="宋体"/>
          <w:b/>
          <w:color w:val="auto"/>
          <w:sz w:val="24"/>
          <w:szCs w:val="24"/>
          <w:highlight w:val="none"/>
          <w:u w:val="single"/>
        </w:rPr>
        <w:t xml:space="preserve">(招标人名称)                              </w:t>
      </w:r>
    </w:p>
    <w:p w14:paraId="2E5626D0">
      <w:pPr>
        <w:spacing w:line="4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根据已收到贵方的项目编号为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工程的招标文件，并已详细审核了全部招标文件及有关附件。</w:t>
      </w:r>
    </w:p>
    <w:p w14:paraId="05A9312B">
      <w:pPr>
        <w:spacing w:line="4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4033097E">
      <w:pPr>
        <w:numPr>
          <w:ilvl w:val="0"/>
          <w:numId w:val="4"/>
          <w:numberingChange w:id="0" w:author="作者" w:date="2020-08-20T14:18:00Z" w:original="%1:1:0:．"/>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愿以经济标中的投标报价并按上述合同条款、标准和技术规范、图纸、工程量清单等的要求承包上述工程的施工、竣工并修补其任何缺陷。</w:t>
      </w:r>
    </w:p>
    <w:p w14:paraId="2D3F6D7E">
      <w:pPr>
        <w:numPr>
          <w:ilvl w:val="0"/>
          <w:numId w:val="4"/>
          <w:numberingChange w:id="1" w:author="作者" w:date="2020-08-20T14:18:00Z" w:original="%1:2:0:．"/>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我方同意所递交的投标文件在投标须知规定的投标有效期内有效，在此期间内我方的投标有可能中标，我方将受此约束。如果在投标有效期内撤销投标或放弃中标资格，我方的投标保证金将不予退还，给贵方造成的损失超过我方投标保证金金额的，贵方还有权要求我方对超过部分进行赔偿。</w:t>
      </w:r>
    </w:p>
    <w:p w14:paraId="1F777713">
      <w:pPr>
        <w:numPr>
          <w:ilvl w:val="0"/>
          <w:numId w:val="4"/>
          <w:numberingChange w:id="2" w:author="作者" w:date="2020-08-20T14:18:00Z" w:original="%1:3:0:．"/>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我方理解贵方将不受必须接受你们所收到的最低标价或其它任何投标文件的约束。</w:t>
      </w:r>
    </w:p>
    <w:p w14:paraId="3257A4AB">
      <w:pPr>
        <w:numPr>
          <w:ilvl w:val="0"/>
          <w:numId w:val="4"/>
          <w:numberingChange w:id="3" w:author="作者" w:date="2020-08-20T14:18:00Z" w:original="%1:4:0:．"/>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我方已知晓招标文件中载明的评标和定标条款，并接受按定标方法评审的定标结果。如我方成为本项目中标候选人，我方同意并授权招标人将我方投标文件</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部分进行公开。</w:t>
      </w:r>
    </w:p>
    <w:p w14:paraId="69DCF351">
      <w:pPr>
        <w:numPr>
          <w:ilvl w:val="0"/>
          <w:numId w:val="4"/>
          <w:numberingChange w:id="4" w:author="作者" w:date="2020-08-20T14:18:00Z" w:original="%1:5:0:．"/>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如果我方中标，我方保证按招标文件中规定的工期，在</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日历天内完成并移交本工程，质量标准达到招标文件中的要求。</w:t>
      </w:r>
    </w:p>
    <w:p w14:paraId="6FB20FC7">
      <w:pPr>
        <w:numPr>
          <w:ilvl w:val="0"/>
          <w:numId w:val="4"/>
          <w:numberingChange w:id="5" w:author="作者" w:date="2020-08-20T14:18:00Z" w:original="%1:6:0:．"/>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如果我方中标，我方将递交按招标文件规定且招标人认可的履约保函。</w:t>
      </w:r>
    </w:p>
    <w:p w14:paraId="46C18EEF">
      <w:pPr>
        <w:numPr>
          <w:ilvl w:val="0"/>
          <w:numId w:val="4"/>
          <w:numberingChange w:id="6" w:author="作者" w:date="2020-08-20T14:18:00Z" w:original="%1:7:0:．"/>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除非另外达成协议并生效，贵方的中标通知书和本投标文件将成为约束双方的合同文件的组成部分。</w:t>
      </w:r>
    </w:p>
    <w:p w14:paraId="0EB92E36">
      <w:pPr>
        <w:numPr>
          <w:ilvl w:val="0"/>
          <w:numId w:val="4"/>
          <w:numberingChange w:id="7" w:author="作者" w:date="2020-08-20T14:18:00Z" w:original="%1:8:0:．"/>
        </w:numPr>
        <w:spacing w:line="42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如果我方中标，我方将实行项目经理负责制，并按投标文件配备项目管理班子。如未经招标人同意更换项目班子成员，招标人有权取消我公司的中标资格或单方面终止合同，由此造成的违约责任由我公司承担。</w:t>
      </w:r>
    </w:p>
    <w:p w14:paraId="1BC13E3C">
      <w:pPr>
        <w:spacing w:line="420" w:lineRule="exact"/>
        <w:rPr>
          <w:rFonts w:hint="eastAsia" w:ascii="宋体" w:hAnsi="宋体" w:eastAsia="宋体"/>
          <w:color w:val="auto"/>
          <w:sz w:val="24"/>
          <w:szCs w:val="24"/>
          <w:highlight w:val="none"/>
        </w:rPr>
      </w:pPr>
    </w:p>
    <w:p w14:paraId="25D1834A">
      <w:pPr>
        <w:spacing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法定代表人：（签名或盖章）</w:t>
      </w:r>
    </w:p>
    <w:p w14:paraId="63A3DCAE">
      <w:pPr>
        <w:spacing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投标人：（盖章）                               </w:t>
      </w:r>
    </w:p>
    <w:p w14:paraId="0AAB163D">
      <w:pPr>
        <w:spacing w:line="420" w:lineRule="exact"/>
        <w:ind w:firstLine="5760" w:firstLineChars="24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日期：</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407266C3">
      <w:pPr>
        <w:autoSpaceDE w:val="0"/>
        <w:autoSpaceDN w:val="0"/>
        <w:adjustRightInd w:val="0"/>
        <w:spacing w:line="360" w:lineRule="auto"/>
        <w:jc w:val="both"/>
        <w:rPr>
          <w:rFonts w:hint="eastAsia" w:ascii="宋体" w:hAnsi="宋体" w:eastAsia="宋体" w:cs="宋体"/>
          <w:b/>
          <w:bCs/>
          <w:color w:val="auto"/>
          <w:sz w:val="44"/>
          <w:szCs w:val="44"/>
          <w:highlight w:val="none"/>
          <w:lang w:val="zh-CN"/>
        </w:rPr>
      </w:pPr>
    </w:p>
    <w:p w14:paraId="34551BAD">
      <w:pPr>
        <w:autoSpaceDE w:val="0"/>
        <w:autoSpaceDN w:val="0"/>
        <w:adjustRightInd w:val="0"/>
        <w:spacing w:line="360" w:lineRule="auto"/>
        <w:jc w:val="center"/>
        <w:rPr>
          <w:rFonts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lang w:val="zh-CN"/>
        </w:rPr>
        <w:t>广州园林绿化工程施工招标投标书</w:t>
      </w:r>
    </w:p>
    <w:p w14:paraId="2820BFE0">
      <w:pPr>
        <w:autoSpaceDE w:val="0"/>
        <w:autoSpaceDN w:val="0"/>
        <w:adjustRightInd w:val="0"/>
        <w:spacing w:line="360" w:lineRule="auto"/>
        <w:jc w:val="center"/>
        <w:rPr>
          <w:rFonts w:ascii="宋体" w:hAnsi="宋体" w:eastAsia="宋体"/>
          <w:b/>
          <w:bCs/>
          <w:color w:val="auto"/>
          <w:sz w:val="52"/>
          <w:szCs w:val="52"/>
          <w:highlight w:val="none"/>
        </w:rPr>
      </w:pPr>
      <w:r>
        <w:rPr>
          <w:rFonts w:hint="eastAsia" w:ascii="宋体" w:hAnsi="宋体" w:eastAsia="宋体" w:cs="宋体"/>
          <w:b/>
          <w:color w:val="auto"/>
          <w:sz w:val="24"/>
          <w:szCs w:val="24"/>
          <w:highlight w:val="none"/>
          <w:lang w:val="zh-CN"/>
        </w:rPr>
        <w:t xml:space="preserve">                                              投标日期：   年  月  日</w:t>
      </w:r>
    </w:p>
    <w:tbl>
      <w:tblPr>
        <w:tblStyle w:val="34"/>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4"/>
        <w:gridCol w:w="6035"/>
      </w:tblGrid>
      <w:tr w14:paraId="6902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noWrap w:val="0"/>
            <w:vAlign w:val="center"/>
          </w:tcPr>
          <w:p w14:paraId="54A1EC89">
            <w:pPr>
              <w:autoSpaceDE w:val="0"/>
              <w:autoSpaceDN w:val="0"/>
              <w:adjustRightInd w:val="0"/>
              <w:jc w:val="center"/>
              <w:rPr>
                <w:rFonts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工 程 名 称</w:t>
            </w:r>
          </w:p>
        </w:tc>
        <w:tc>
          <w:tcPr>
            <w:tcW w:w="6035" w:type="dxa"/>
            <w:tcBorders>
              <w:top w:val="single" w:color="auto" w:sz="4" w:space="0"/>
              <w:left w:val="single" w:color="auto" w:sz="4" w:space="0"/>
              <w:bottom w:val="single" w:color="auto" w:sz="4" w:space="0"/>
              <w:right w:val="single" w:color="auto" w:sz="4" w:space="0"/>
            </w:tcBorders>
            <w:noWrap w:val="0"/>
            <w:vAlign w:val="top"/>
          </w:tcPr>
          <w:p w14:paraId="7426CA83">
            <w:pPr>
              <w:autoSpaceDE w:val="0"/>
              <w:autoSpaceDN w:val="0"/>
              <w:adjustRightInd w:val="0"/>
              <w:rPr>
                <w:rFonts w:ascii="宋体" w:hAnsi="宋体" w:eastAsia="宋体" w:cs="宋体"/>
                <w:b/>
                <w:bCs/>
                <w:color w:val="auto"/>
                <w:sz w:val="24"/>
                <w:szCs w:val="24"/>
                <w:highlight w:val="none"/>
                <w:lang w:val="zh-CN"/>
              </w:rPr>
            </w:pPr>
          </w:p>
        </w:tc>
      </w:tr>
      <w:tr w14:paraId="77E3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44" w:type="dxa"/>
            <w:vMerge w:val="restart"/>
            <w:tcBorders>
              <w:top w:val="single" w:color="auto" w:sz="4" w:space="0"/>
              <w:left w:val="single" w:color="auto" w:sz="4" w:space="0"/>
              <w:bottom w:val="single" w:color="auto" w:sz="4" w:space="0"/>
              <w:right w:val="single" w:color="auto" w:sz="4" w:space="0"/>
            </w:tcBorders>
            <w:noWrap w:val="0"/>
            <w:vAlign w:val="center"/>
          </w:tcPr>
          <w:p w14:paraId="2C313FFE">
            <w:pPr>
              <w:autoSpaceDE w:val="0"/>
              <w:autoSpaceDN w:val="0"/>
              <w:adjustRightInd w:val="0"/>
              <w:jc w:val="center"/>
              <w:rPr>
                <w:rFonts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投标报价（元）</w:t>
            </w:r>
          </w:p>
        </w:tc>
        <w:tc>
          <w:tcPr>
            <w:tcW w:w="6035" w:type="dxa"/>
            <w:tcBorders>
              <w:top w:val="single" w:color="auto" w:sz="4" w:space="0"/>
              <w:left w:val="single" w:color="auto" w:sz="4" w:space="0"/>
              <w:bottom w:val="single" w:color="auto" w:sz="4" w:space="0"/>
              <w:right w:val="single" w:color="auto" w:sz="4" w:space="0"/>
            </w:tcBorders>
            <w:noWrap w:val="0"/>
            <w:vAlign w:val="center"/>
          </w:tcPr>
          <w:p w14:paraId="689751DC">
            <w:pPr>
              <w:autoSpaceDE w:val="0"/>
              <w:autoSpaceDN w:val="0"/>
              <w:adjustRightInd w:val="0"/>
              <w:rPr>
                <w:rFonts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大写：</w:t>
            </w:r>
          </w:p>
        </w:tc>
      </w:tr>
      <w:tr w14:paraId="23EA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44" w:type="dxa"/>
            <w:vMerge w:val="continue"/>
            <w:tcBorders>
              <w:top w:val="single" w:color="auto" w:sz="4" w:space="0"/>
              <w:left w:val="single" w:color="auto" w:sz="4" w:space="0"/>
              <w:bottom w:val="single" w:color="auto" w:sz="4" w:space="0"/>
              <w:right w:val="single" w:color="auto" w:sz="4" w:space="0"/>
            </w:tcBorders>
            <w:noWrap w:val="0"/>
            <w:vAlign w:val="center"/>
          </w:tcPr>
          <w:p w14:paraId="0A0DDBC2">
            <w:pPr>
              <w:widowControl/>
              <w:jc w:val="center"/>
              <w:rPr>
                <w:rFonts w:ascii="宋体" w:hAnsi="宋体" w:eastAsia="宋体" w:cs="宋体"/>
                <w:b/>
                <w:bCs/>
                <w:color w:val="auto"/>
                <w:sz w:val="24"/>
                <w:szCs w:val="24"/>
                <w:highlight w:val="none"/>
                <w:lang w:val="zh-CN"/>
              </w:rPr>
            </w:pPr>
          </w:p>
        </w:tc>
        <w:tc>
          <w:tcPr>
            <w:tcW w:w="6035" w:type="dxa"/>
            <w:tcBorders>
              <w:top w:val="single" w:color="auto" w:sz="4" w:space="0"/>
              <w:left w:val="single" w:color="auto" w:sz="4" w:space="0"/>
              <w:bottom w:val="single" w:color="auto" w:sz="4" w:space="0"/>
              <w:right w:val="single" w:color="auto" w:sz="4" w:space="0"/>
            </w:tcBorders>
            <w:noWrap w:val="0"/>
            <w:vAlign w:val="center"/>
          </w:tcPr>
          <w:p w14:paraId="3C26E3B0">
            <w:pPr>
              <w:autoSpaceDE w:val="0"/>
              <w:autoSpaceDN w:val="0"/>
              <w:adjustRightInd w:val="0"/>
              <w:rPr>
                <w:rFonts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小写：</w:t>
            </w:r>
          </w:p>
        </w:tc>
      </w:tr>
      <w:tr w14:paraId="412B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44" w:type="dxa"/>
            <w:vMerge w:val="restart"/>
            <w:tcBorders>
              <w:top w:val="single" w:color="auto" w:sz="4" w:space="0"/>
              <w:left w:val="single" w:color="auto" w:sz="4" w:space="0"/>
              <w:bottom w:val="single" w:color="auto" w:sz="4" w:space="0"/>
              <w:right w:val="single" w:color="auto" w:sz="4" w:space="0"/>
            </w:tcBorders>
            <w:noWrap w:val="0"/>
            <w:vAlign w:val="center"/>
          </w:tcPr>
          <w:p w14:paraId="00ECFD48">
            <w:pPr>
              <w:autoSpaceDE w:val="0"/>
              <w:autoSpaceDN w:val="0"/>
              <w:adjustRightInd w:val="0"/>
              <w:jc w:val="center"/>
              <w:rPr>
                <w:rFonts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其中：</w:t>
            </w:r>
            <w:r>
              <w:rPr>
                <w:rFonts w:hint="eastAsia" w:ascii="宋体" w:hAnsi="宋体" w:eastAsia="宋体" w:cs="宋体"/>
                <w:b/>
                <w:bCs/>
                <w:color w:val="auto"/>
                <w:sz w:val="24"/>
                <w:szCs w:val="24"/>
                <w:highlight w:val="none"/>
                <w:lang w:val="zh-CN"/>
              </w:rPr>
              <w:t>人工费</w:t>
            </w:r>
            <w:r>
              <w:rPr>
                <w:rFonts w:hint="eastAsia" w:ascii="宋体" w:hAnsi="宋体" w:eastAsia="宋体" w:cs="宋体"/>
                <w:b/>
                <w:color w:val="auto"/>
                <w:sz w:val="24"/>
                <w:szCs w:val="24"/>
                <w:highlight w:val="none"/>
                <w:lang w:val="zh-CN"/>
              </w:rPr>
              <w:t>（元）</w:t>
            </w:r>
          </w:p>
        </w:tc>
        <w:tc>
          <w:tcPr>
            <w:tcW w:w="6035" w:type="dxa"/>
            <w:tcBorders>
              <w:top w:val="single" w:color="auto" w:sz="4" w:space="0"/>
              <w:left w:val="single" w:color="auto" w:sz="4" w:space="0"/>
              <w:bottom w:val="single" w:color="auto" w:sz="4" w:space="0"/>
              <w:right w:val="single" w:color="auto" w:sz="4" w:space="0"/>
            </w:tcBorders>
            <w:noWrap w:val="0"/>
            <w:vAlign w:val="center"/>
          </w:tcPr>
          <w:p w14:paraId="5EC595F5">
            <w:pPr>
              <w:autoSpaceDE w:val="0"/>
              <w:autoSpaceDN w:val="0"/>
              <w:adjustRightInd w:val="0"/>
              <w:rPr>
                <w:rFonts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大写：</w:t>
            </w:r>
          </w:p>
        </w:tc>
      </w:tr>
      <w:tr w14:paraId="0F42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44" w:type="dxa"/>
            <w:vMerge w:val="continue"/>
            <w:tcBorders>
              <w:top w:val="single" w:color="auto" w:sz="4" w:space="0"/>
              <w:left w:val="single" w:color="auto" w:sz="4" w:space="0"/>
              <w:bottom w:val="single" w:color="auto" w:sz="4" w:space="0"/>
              <w:right w:val="single" w:color="auto" w:sz="4" w:space="0"/>
            </w:tcBorders>
            <w:noWrap w:val="0"/>
            <w:vAlign w:val="center"/>
          </w:tcPr>
          <w:p w14:paraId="51FD0472">
            <w:pPr>
              <w:widowControl/>
              <w:jc w:val="center"/>
              <w:rPr>
                <w:rFonts w:ascii="宋体" w:hAnsi="宋体" w:eastAsia="宋体" w:cs="宋体"/>
                <w:b/>
                <w:bCs/>
                <w:color w:val="auto"/>
                <w:sz w:val="24"/>
                <w:szCs w:val="24"/>
                <w:highlight w:val="none"/>
                <w:lang w:val="zh-CN"/>
              </w:rPr>
            </w:pPr>
          </w:p>
        </w:tc>
        <w:tc>
          <w:tcPr>
            <w:tcW w:w="6035" w:type="dxa"/>
            <w:tcBorders>
              <w:top w:val="single" w:color="auto" w:sz="4" w:space="0"/>
              <w:left w:val="single" w:color="auto" w:sz="4" w:space="0"/>
              <w:bottom w:val="single" w:color="auto" w:sz="4" w:space="0"/>
              <w:right w:val="single" w:color="auto" w:sz="4" w:space="0"/>
            </w:tcBorders>
            <w:noWrap w:val="0"/>
            <w:vAlign w:val="center"/>
          </w:tcPr>
          <w:p w14:paraId="4DD9A502">
            <w:pPr>
              <w:autoSpaceDE w:val="0"/>
              <w:autoSpaceDN w:val="0"/>
              <w:adjustRightInd w:val="0"/>
              <w:rPr>
                <w:rFonts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小写：</w:t>
            </w:r>
          </w:p>
        </w:tc>
      </w:tr>
      <w:tr w14:paraId="1151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44" w:type="dxa"/>
            <w:vMerge w:val="restart"/>
            <w:tcBorders>
              <w:top w:val="single" w:color="auto" w:sz="4" w:space="0"/>
              <w:left w:val="single" w:color="auto" w:sz="4" w:space="0"/>
              <w:right w:val="single" w:color="auto" w:sz="4" w:space="0"/>
            </w:tcBorders>
            <w:noWrap w:val="0"/>
            <w:vAlign w:val="center"/>
          </w:tcPr>
          <w:p w14:paraId="605CBCC6">
            <w:pPr>
              <w:widowControl/>
              <w:ind w:firstLine="118" w:firstLineChars="49"/>
              <w:jc w:val="center"/>
              <w:rPr>
                <w:rFonts w:hint="eastAsia" w:ascii="宋体" w:hAnsi="宋体" w:eastAsia="宋体" w:cs="宋体"/>
                <w:b/>
                <w:color w:val="auto"/>
                <w:sz w:val="24"/>
                <w:szCs w:val="24"/>
                <w:highlight w:val="none"/>
                <w:lang w:val="zh-CN"/>
              </w:rPr>
            </w:pPr>
            <w:r>
              <w:rPr>
                <w:rFonts w:hint="eastAsia" w:ascii="宋体" w:hAnsi="宋体" w:eastAsia="宋体" w:cs="宋体"/>
                <w:b/>
                <w:bCs/>
                <w:color w:val="auto"/>
                <w:sz w:val="24"/>
                <w:szCs w:val="24"/>
                <w:highlight w:val="none"/>
                <w:lang w:val="zh-CN"/>
              </w:rPr>
              <w:t>其中：</w:t>
            </w:r>
            <w:r>
              <w:rPr>
                <w:rFonts w:hint="eastAsia" w:ascii="宋体" w:hAnsi="宋体" w:eastAsia="宋体" w:cs="宋体"/>
                <w:b/>
                <w:color w:val="auto"/>
                <w:sz w:val="24"/>
                <w:szCs w:val="24"/>
                <w:highlight w:val="none"/>
                <w:lang w:val="zh-CN"/>
              </w:rPr>
              <w:t>绿色施工安全防护</w:t>
            </w:r>
          </w:p>
          <w:p w14:paraId="6FC4DB99">
            <w:pPr>
              <w:widowControl/>
              <w:ind w:firstLine="118" w:firstLineChars="49"/>
              <w:jc w:val="center"/>
              <w:rPr>
                <w:rFonts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措施费</w:t>
            </w:r>
            <w:r>
              <w:rPr>
                <w:rFonts w:hint="eastAsia" w:ascii="宋体" w:hAnsi="宋体" w:eastAsia="宋体" w:cs="宋体"/>
                <w:b/>
                <w:bCs/>
                <w:color w:val="auto"/>
                <w:sz w:val="24"/>
                <w:szCs w:val="24"/>
                <w:highlight w:val="none"/>
                <w:lang w:val="zh-CN"/>
              </w:rPr>
              <w:t>（元）</w:t>
            </w:r>
          </w:p>
        </w:tc>
        <w:tc>
          <w:tcPr>
            <w:tcW w:w="6035" w:type="dxa"/>
            <w:tcBorders>
              <w:top w:val="single" w:color="auto" w:sz="4" w:space="0"/>
              <w:left w:val="single" w:color="auto" w:sz="4" w:space="0"/>
              <w:bottom w:val="single" w:color="auto" w:sz="4" w:space="0"/>
              <w:right w:val="single" w:color="auto" w:sz="4" w:space="0"/>
            </w:tcBorders>
            <w:noWrap w:val="0"/>
            <w:vAlign w:val="center"/>
          </w:tcPr>
          <w:p w14:paraId="0DC41C0F">
            <w:pPr>
              <w:autoSpaceDE w:val="0"/>
              <w:autoSpaceDN w:val="0"/>
              <w:adjustRightInd w:val="0"/>
              <w:rPr>
                <w:rFonts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大写：</w:t>
            </w:r>
          </w:p>
        </w:tc>
      </w:tr>
      <w:tr w14:paraId="4CF5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44" w:type="dxa"/>
            <w:vMerge w:val="continue"/>
            <w:tcBorders>
              <w:left w:val="single" w:color="auto" w:sz="4" w:space="0"/>
              <w:bottom w:val="single" w:color="auto" w:sz="4" w:space="0"/>
              <w:right w:val="single" w:color="auto" w:sz="4" w:space="0"/>
            </w:tcBorders>
            <w:noWrap w:val="0"/>
            <w:vAlign w:val="center"/>
          </w:tcPr>
          <w:p w14:paraId="5A7BBE9F">
            <w:pPr>
              <w:widowControl/>
              <w:jc w:val="center"/>
              <w:rPr>
                <w:rFonts w:ascii="宋体" w:hAnsi="宋体" w:eastAsia="宋体" w:cs="宋体"/>
                <w:b/>
                <w:bCs/>
                <w:color w:val="auto"/>
                <w:sz w:val="24"/>
                <w:szCs w:val="24"/>
                <w:highlight w:val="none"/>
                <w:lang w:val="zh-CN"/>
              </w:rPr>
            </w:pPr>
          </w:p>
        </w:tc>
        <w:tc>
          <w:tcPr>
            <w:tcW w:w="6035" w:type="dxa"/>
            <w:tcBorders>
              <w:top w:val="single" w:color="auto" w:sz="4" w:space="0"/>
              <w:left w:val="single" w:color="auto" w:sz="4" w:space="0"/>
              <w:bottom w:val="single" w:color="auto" w:sz="4" w:space="0"/>
              <w:right w:val="single" w:color="auto" w:sz="4" w:space="0"/>
            </w:tcBorders>
            <w:noWrap w:val="0"/>
            <w:vAlign w:val="center"/>
          </w:tcPr>
          <w:p w14:paraId="6CF3BC8C">
            <w:pPr>
              <w:autoSpaceDE w:val="0"/>
              <w:autoSpaceDN w:val="0"/>
              <w:adjustRightInd w:val="0"/>
              <w:rPr>
                <w:rFonts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小写：</w:t>
            </w:r>
          </w:p>
        </w:tc>
      </w:tr>
      <w:tr w14:paraId="3E24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noWrap w:val="0"/>
            <w:vAlign w:val="center"/>
          </w:tcPr>
          <w:p w14:paraId="6C0FA0DB">
            <w:pPr>
              <w:jc w:val="center"/>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投 标 总 工 期</w:t>
            </w:r>
          </w:p>
        </w:tc>
        <w:tc>
          <w:tcPr>
            <w:tcW w:w="6035" w:type="dxa"/>
            <w:tcBorders>
              <w:top w:val="single" w:color="auto" w:sz="4" w:space="0"/>
              <w:left w:val="single" w:color="auto" w:sz="4" w:space="0"/>
              <w:bottom w:val="single" w:color="auto" w:sz="4" w:space="0"/>
              <w:right w:val="single" w:color="auto" w:sz="4" w:space="0"/>
            </w:tcBorders>
            <w:noWrap w:val="0"/>
            <w:vAlign w:val="top"/>
          </w:tcPr>
          <w:p w14:paraId="4AFEAEC9">
            <w:pPr>
              <w:autoSpaceDE w:val="0"/>
              <w:autoSpaceDN w:val="0"/>
              <w:adjustRightInd w:val="0"/>
              <w:rPr>
                <w:rFonts w:ascii="宋体" w:hAnsi="宋体" w:eastAsia="宋体" w:cs="宋体"/>
                <w:b/>
                <w:bCs/>
                <w:color w:val="auto"/>
                <w:sz w:val="24"/>
                <w:szCs w:val="24"/>
                <w:highlight w:val="none"/>
                <w:lang w:val="zh-CN"/>
              </w:rPr>
            </w:pPr>
          </w:p>
        </w:tc>
      </w:tr>
      <w:tr w14:paraId="7AB3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noWrap w:val="0"/>
            <w:vAlign w:val="center"/>
          </w:tcPr>
          <w:p w14:paraId="1F6C329A">
            <w:pPr>
              <w:jc w:val="center"/>
              <w:rPr>
                <w:rFonts w:ascii="宋体" w:hAnsi="宋体" w:eastAsia="宋体"/>
                <w:b/>
                <w:color w:val="auto"/>
                <w:sz w:val="24"/>
                <w:szCs w:val="24"/>
                <w:highlight w:val="none"/>
              </w:rPr>
            </w:pPr>
            <w:r>
              <w:rPr>
                <w:rFonts w:hint="eastAsia" w:ascii="宋体" w:hAnsi="宋体" w:eastAsia="宋体" w:cs="宋体"/>
                <w:b/>
                <w:color w:val="auto"/>
                <w:sz w:val="24"/>
                <w:szCs w:val="24"/>
                <w:highlight w:val="none"/>
                <w:lang w:val="zh-CN"/>
              </w:rPr>
              <w:t>工 程 质 量 标 准</w:t>
            </w:r>
          </w:p>
        </w:tc>
        <w:tc>
          <w:tcPr>
            <w:tcW w:w="6035" w:type="dxa"/>
            <w:tcBorders>
              <w:top w:val="single" w:color="auto" w:sz="4" w:space="0"/>
              <w:left w:val="single" w:color="auto" w:sz="4" w:space="0"/>
              <w:bottom w:val="single" w:color="auto" w:sz="4" w:space="0"/>
              <w:right w:val="single" w:color="auto" w:sz="4" w:space="0"/>
            </w:tcBorders>
            <w:noWrap w:val="0"/>
            <w:vAlign w:val="top"/>
          </w:tcPr>
          <w:p w14:paraId="171BBB52">
            <w:pPr>
              <w:autoSpaceDE w:val="0"/>
              <w:autoSpaceDN w:val="0"/>
              <w:adjustRightInd w:val="0"/>
              <w:rPr>
                <w:rFonts w:ascii="宋体" w:hAnsi="宋体" w:eastAsia="宋体" w:cs="宋体"/>
                <w:b/>
                <w:bCs/>
                <w:color w:val="auto"/>
                <w:sz w:val="24"/>
                <w:szCs w:val="24"/>
                <w:highlight w:val="none"/>
                <w:lang w:val="zh-CN"/>
              </w:rPr>
            </w:pPr>
          </w:p>
        </w:tc>
      </w:tr>
      <w:tr w14:paraId="5711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noWrap w:val="0"/>
            <w:vAlign w:val="center"/>
          </w:tcPr>
          <w:p w14:paraId="17DD8623">
            <w:pPr>
              <w:autoSpaceDE w:val="0"/>
              <w:autoSpaceDN w:val="0"/>
              <w:adjustRightInd w:val="0"/>
              <w:jc w:val="center"/>
              <w:rPr>
                <w:rFonts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保 修 期 限</w:t>
            </w:r>
          </w:p>
        </w:tc>
        <w:tc>
          <w:tcPr>
            <w:tcW w:w="6035" w:type="dxa"/>
            <w:tcBorders>
              <w:top w:val="single" w:color="auto" w:sz="4" w:space="0"/>
              <w:left w:val="single" w:color="auto" w:sz="4" w:space="0"/>
              <w:bottom w:val="single" w:color="auto" w:sz="4" w:space="0"/>
              <w:right w:val="single" w:color="auto" w:sz="4" w:space="0"/>
            </w:tcBorders>
            <w:noWrap w:val="0"/>
            <w:vAlign w:val="top"/>
          </w:tcPr>
          <w:p w14:paraId="2D5DE2B0">
            <w:pPr>
              <w:autoSpaceDE w:val="0"/>
              <w:autoSpaceDN w:val="0"/>
              <w:adjustRightInd w:val="0"/>
              <w:rPr>
                <w:rFonts w:ascii="宋体" w:hAnsi="宋体" w:eastAsia="宋体" w:cs="宋体"/>
                <w:b/>
                <w:bCs/>
                <w:color w:val="auto"/>
                <w:sz w:val="24"/>
                <w:szCs w:val="24"/>
                <w:highlight w:val="none"/>
                <w:lang w:val="zh-CN"/>
              </w:rPr>
            </w:pPr>
          </w:p>
        </w:tc>
      </w:tr>
    </w:tbl>
    <w:p w14:paraId="7A69F293">
      <w:pPr>
        <w:autoSpaceDE w:val="0"/>
        <w:autoSpaceDN w:val="0"/>
        <w:adjustRightInd w:val="0"/>
        <w:rPr>
          <w:rFonts w:ascii="宋体" w:hAnsi="宋体" w:eastAsia="宋体" w:cs="宋体"/>
          <w:color w:val="auto"/>
          <w:szCs w:val="21"/>
          <w:highlight w:val="none"/>
          <w:lang w:val="zh-CN"/>
        </w:rPr>
      </w:pPr>
    </w:p>
    <w:p w14:paraId="2E8F915F">
      <w:pPr>
        <w:autoSpaceDE w:val="0"/>
        <w:autoSpaceDN w:val="0"/>
        <w:adjustRightInd w:val="0"/>
        <w:rPr>
          <w:rFonts w:hint="eastAsia" w:ascii="宋体" w:hAnsi="宋体" w:eastAsia="宋体" w:cs="宋体"/>
          <w:color w:val="auto"/>
          <w:szCs w:val="21"/>
          <w:highlight w:val="none"/>
          <w:lang w:val="zh-CN"/>
        </w:rPr>
      </w:pPr>
    </w:p>
    <w:p w14:paraId="53B9E846">
      <w:pPr>
        <w:autoSpaceDE w:val="0"/>
        <w:autoSpaceDN w:val="0"/>
        <w:adjustRightInd w:val="0"/>
        <w:ind w:firstLine="420" w:firstLineChars="200"/>
        <w:rPr>
          <w:rFonts w:ascii="宋体" w:hAnsi="宋体" w:eastAsia="宋体"/>
          <w:color w:val="auto"/>
          <w:highlight w:val="none"/>
        </w:rPr>
      </w:pPr>
      <w:r>
        <w:rPr>
          <w:rFonts w:hint="eastAsia" w:ascii="宋体" w:hAnsi="宋体" w:eastAsia="宋体" w:cs="宋体"/>
          <w:color w:val="auto"/>
          <w:szCs w:val="21"/>
          <w:highlight w:val="none"/>
          <w:lang w:val="zh-CN"/>
        </w:rPr>
        <w:t>注：本投标书由投标文件管理软件生成，投标人可直接在上面填写相关内容。</w:t>
      </w:r>
    </w:p>
    <w:p w14:paraId="08081B6A">
      <w:pPr>
        <w:rPr>
          <w:rFonts w:hint="eastAsia" w:ascii="宋体" w:hAnsi="宋体" w:eastAsia="宋体"/>
          <w:b/>
          <w:color w:val="auto"/>
          <w:sz w:val="36"/>
          <w:szCs w:val="36"/>
          <w:highlight w:val="none"/>
        </w:rPr>
      </w:pPr>
    </w:p>
    <w:p w14:paraId="696AEE1C">
      <w:pPr>
        <w:rPr>
          <w:rFonts w:hint="eastAsia" w:ascii="宋体" w:hAnsi="宋体" w:eastAsia="宋体"/>
          <w:b/>
          <w:color w:val="auto"/>
          <w:sz w:val="36"/>
          <w:szCs w:val="36"/>
          <w:highlight w:val="none"/>
        </w:rPr>
      </w:pPr>
    </w:p>
    <w:p w14:paraId="62C1EF8B">
      <w:pPr>
        <w:rPr>
          <w:rFonts w:hint="eastAsia" w:ascii="宋体" w:hAnsi="宋体" w:eastAsia="宋体"/>
          <w:b/>
          <w:color w:val="auto"/>
          <w:sz w:val="36"/>
          <w:szCs w:val="36"/>
          <w:highlight w:val="none"/>
        </w:rPr>
      </w:pPr>
    </w:p>
    <w:p w14:paraId="4314C15A">
      <w:pPr>
        <w:rPr>
          <w:rFonts w:hint="eastAsia" w:ascii="宋体" w:hAnsi="宋体" w:eastAsia="宋体"/>
          <w:b/>
          <w:color w:val="auto"/>
          <w:sz w:val="36"/>
          <w:szCs w:val="36"/>
          <w:highlight w:val="none"/>
        </w:rPr>
      </w:pPr>
    </w:p>
    <w:p w14:paraId="65E6C218">
      <w:pPr>
        <w:rPr>
          <w:rFonts w:hint="eastAsia" w:ascii="宋体" w:hAnsi="宋体" w:eastAsia="宋体"/>
          <w:b/>
          <w:color w:val="auto"/>
          <w:sz w:val="36"/>
          <w:szCs w:val="36"/>
          <w:highlight w:val="none"/>
        </w:rPr>
      </w:pPr>
    </w:p>
    <w:p w14:paraId="67C122EA">
      <w:pPr>
        <w:rPr>
          <w:rFonts w:hint="eastAsia" w:ascii="宋体" w:hAnsi="宋体" w:eastAsia="宋体"/>
          <w:b/>
          <w:color w:val="auto"/>
          <w:sz w:val="36"/>
          <w:szCs w:val="36"/>
          <w:highlight w:val="none"/>
        </w:rPr>
      </w:pPr>
    </w:p>
    <w:p w14:paraId="4DEC5066">
      <w:pPr>
        <w:rPr>
          <w:rFonts w:hint="eastAsia" w:ascii="宋体" w:hAnsi="宋体" w:eastAsia="宋体"/>
          <w:b/>
          <w:color w:val="auto"/>
          <w:sz w:val="36"/>
          <w:szCs w:val="36"/>
          <w:highlight w:val="none"/>
        </w:rPr>
      </w:pPr>
    </w:p>
    <w:p w14:paraId="482CA033">
      <w:pPr>
        <w:rPr>
          <w:rFonts w:hint="eastAsia" w:ascii="宋体" w:hAnsi="宋体" w:eastAsia="宋体"/>
          <w:b/>
          <w:color w:val="auto"/>
          <w:sz w:val="36"/>
          <w:szCs w:val="36"/>
          <w:highlight w:val="none"/>
        </w:rPr>
      </w:pPr>
    </w:p>
    <w:p w14:paraId="18D664F3">
      <w:pPr>
        <w:rPr>
          <w:rFonts w:hint="eastAsia" w:ascii="宋体" w:hAnsi="宋体" w:eastAsia="宋体"/>
          <w:b/>
          <w:color w:val="auto"/>
          <w:sz w:val="36"/>
          <w:szCs w:val="36"/>
          <w:highlight w:val="none"/>
        </w:rPr>
      </w:pPr>
    </w:p>
    <w:p w14:paraId="22D0796C">
      <w:pPr>
        <w:jc w:val="both"/>
        <w:rPr>
          <w:rFonts w:hint="eastAsia" w:ascii="宋体" w:hAnsi="宋体" w:eastAsia="宋体"/>
          <w:b/>
          <w:color w:val="auto"/>
          <w:sz w:val="36"/>
          <w:szCs w:val="36"/>
          <w:highlight w:val="none"/>
        </w:rPr>
      </w:pPr>
    </w:p>
    <w:p w14:paraId="74E9DE4F">
      <w:pPr>
        <w:jc w:val="center"/>
        <w:rPr>
          <w:rFonts w:ascii="宋体" w:hAnsi="宋体" w:eastAsia="宋体"/>
          <w:b/>
          <w:color w:val="auto"/>
          <w:sz w:val="36"/>
          <w:szCs w:val="36"/>
          <w:highlight w:val="none"/>
        </w:rPr>
      </w:pPr>
      <w:r>
        <w:rPr>
          <w:rFonts w:hint="eastAsia" w:ascii="宋体" w:hAnsi="宋体" w:eastAsia="宋体"/>
          <w:b/>
          <w:color w:val="auto"/>
          <w:sz w:val="36"/>
          <w:szCs w:val="36"/>
          <w:highlight w:val="none"/>
        </w:rPr>
        <w:t>响应招标文件所附</w:t>
      </w:r>
      <w:r>
        <w:rPr>
          <w:rFonts w:hint="eastAsia" w:ascii="宋体" w:hAnsi="宋体" w:eastAsia="宋体"/>
          <w:b/>
          <w:bCs w:val="0"/>
          <w:color w:val="auto"/>
          <w:sz w:val="36"/>
          <w:szCs w:val="36"/>
          <w:highlight w:val="none"/>
          <w:u w:val="single"/>
        </w:rPr>
        <w:t>施工组织设计要点</w:t>
      </w:r>
      <w:r>
        <w:rPr>
          <w:rFonts w:hint="eastAsia" w:ascii="宋体" w:hAnsi="宋体" w:eastAsia="宋体"/>
          <w:b/>
          <w:color w:val="auto"/>
          <w:sz w:val="36"/>
          <w:szCs w:val="36"/>
          <w:highlight w:val="none"/>
        </w:rPr>
        <w:t>承诺书</w:t>
      </w:r>
    </w:p>
    <w:p w14:paraId="3E34C7A4">
      <w:pPr>
        <w:spacing w:line="360" w:lineRule="auto"/>
        <w:rPr>
          <w:rFonts w:ascii="宋体" w:hAnsi="宋体" w:eastAsia="宋体"/>
          <w:color w:val="auto"/>
          <w:highlight w:val="none"/>
        </w:rPr>
      </w:pPr>
    </w:p>
    <w:p w14:paraId="6DA95A2E">
      <w:pPr>
        <w:spacing w:line="360" w:lineRule="auto"/>
        <w:rPr>
          <w:rFonts w:ascii="宋体" w:hAnsi="宋体" w:eastAsia="宋体"/>
          <w:color w:val="auto"/>
          <w:highlight w:val="none"/>
        </w:rPr>
      </w:pPr>
    </w:p>
    <w:p w14:paraId="2007F6A3">
      <w:pPr>
        <w:spacing w:line="360" w:lineRule="auto"/>
        <w:rPr>
          <w:rFonts w:ascii="宋体" w:hAnsi="宋体" w:eastAsia="宋体"/>
          <w:color w:val="auto"/>
          <w:sz w:val="24"/>
          <w:highlight w:val="none"/>
        </w:rPr>
      </w:pPr>
    </w:p>
    <w:p w14:paraId="4E4985B0">
      <w:pPr>
        <w:spacing w:line="480" w:lineRule="auto"/>
        <w:rPr>
          <w:rFonts w:ascii="宋体" w:hAnsi="宋体" w:eastAsia="宋体"/>
          <w:color w:val="auto"/>
          <w:sz w:val="24"/>
          <w:highlight w:val="none"/>
          <w:u w:val="single"/>
        </w:rPr>
      </w:pPr>
      <w:r>
        <w:rPr>
          <w:rFonts w:hint="eastAsia" w:ascii="宋体" w:hAnsi="宋体" w:eastAsia="宋体"/>
          <w:color w:val="auto"/>
          <w:sz w:val="24"/>
          <w:highlight w:val="none"/>
          <w:u w:val="single"/>
        </w:rPr>
        <w:t xml:space="preserve">          （招标人）</w:t>
      </w:r>
      <w:r>
        <w:rPr>
          <w:rFonts w:hint="eastAsia" w:ascii="宋体" w:hAnsi="宋体" w:eastAsia="宋体"/>
          <w:color w:val="auto"/>
          <w:sz w:val="24"/>
          <w:highlight w:val="none"/>
        </w:rPr>
        <w:t>：</w:t>
      </w:r>
    </w:p>
    <w:p w14:paraId="49849EA8">
      <w:pPr>
        <w:spacing w:line="48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我方承诺，如中标承建</w:t>
      </w:r>
      <w:r>
        <w:rPr>
          <w:rFonts w:hint="eastAsia" w:ascii="宋体" w:hAnsi="宋体" w:eastAsia="宋体"/>
          <w:color w:val="auto"/>
          <w:sz w:val="24"/>
          <w:highlight w:val="none"/>
          <w:u w:val="single"/>
        </w:rPr>
        <w:t xml:space="preserve">         (项目名称)</w:t>
      </w:r>
      <w:r>
        <w:rPr>
          <w:rFonts w:hint="eastAsia" w:ascii="宋体" w:hAnsi="宋体" w:eastAsia="宋体"/>
          <w:color w:val="auto"/>
          <w:sz w:val="24"/>
          <w:highlight w:val="none"/>
        </w:rPr>
        <w:t>，将按招标文件所附的本工程</w:t>
      </w:r>
      <w:r>
        <w:rPr>
          <w:rFonts w:hint="eastAsia" w:ascii="宋体" w:hAnsi="宋体" w:eastAsia="宋体"/>
          <w:color w:val="auto"/>
          <w:sz w:val="24"/>
          <w:highlight w:val="none"/>
          <w:u w:val="single"/>
        </w:rPr>
        <w:t xml:space="preserve">施工组织设计要点  </w:t>
      </w:r>
      <w:r>
        <w:rPr>
          <w:rFonts w:hint="eastAsia" w:ascii="宋体" w:hAnsi="宋体" w:eastAsia="宋体"/>
          <w:color w:val="auto"/>
          <w:sz w:val="24"/>
          <w:highlight w:val="none"/>
        </w:rPr>
        <w:t>进行响应的基础上自行组织施工。并承诺在中标后按招标文件所附的</w:t>
      </w:r>
      <w:r>
        <w:rPr>
          <w:rFonts w:hint="eastAsia" w:ascii="宋体" w:hAnsi="宋体" w:eastAsia="宋体"/>
          <w:color w:val="auto"/>
          <w:sz w:val="24"/>
          <w:highlight w:val="none"/>
          <w:u w:val="single"/>
        </w:rPr>
        <w:t>施工组织设计要点</w:t>
      </w:r>
      <w:r>
        <w:rPr>
          <w:rFonts w:hint="eastAsia" w:ascii="宋体" w:hAnsi="宋体" w:eastAsia="宋体"/>
          <w:color w:val="auto"/>
          <w:sz w:val="24"/>
          <w:highlight w:val="none"/>
        </w:rPr>
        <w:t>基础上编制详细的施工组织设计，并报经监理单位和建设单位审批后实施。</w:t>
      </w:r>
    </w:p>
    <w:p w14:paraId="4B248CA5">
      <w:pPr>
        <w:spacing w:line="360" w:lineRule="auto"/>
        <w:rPr>
          <w:rFonts w:ascii="宋体" w:hAnsi="宋体" w:eastAsia="宋体"/>
          <w:color w:val="auto"/>
          <w:sz w:val="24"/>
          <w:highlight w:val="none"/>
        </w:rPr>
      </w:pPr>
    </w:p>
    <w:p w14:paraId="1661FBB1">
      <w:pPr>
        <w:spacing w:line="360" w:lineRule="auto"/>
        <w:rPr>
          <w:rFonts w:ascii="宋体" w:hAnsi="宋体" w:eastAsia="宋体"/>
          <w:color w:val="auto"/>
          <w:sz w:val="24"/>
          <w:highlight w:val="none"/>
        </w:rPr>
      </w:pPr>
    </w:p>
    <w:p w14:paraId="68B0C1A5">
      <w:pPr>
        <w:spacing w:line="360" w:lineRule="auto"/>
        <w:rPr>
          <w:rFonts w:ascii="宋体" w:hAnsi="宋体" w:eastAsia="宋体"/>
          <w:color w:val="auto"/>
          <w:sz w:val="24"/>
          <w:highlight w:val="none"/>
        </w:rPr>
      </w:pPr>
    </w:p>
    <w:p w14:paraId="06A2D250">
      <w:pPr>
        <w:spacing w:line="360" w:lineRule="auto"/>
        <w:rPr>
          <w:rFonts w:ascii="宋体" w:hAnsi="宋体" w:eastAsia="宋体"/>
          <w:color w:val="auto"/>
          <w:sz w:val="24"/>
          <w:highlight w:val="none"/>
        </w:rPr>
      </w:pPr>
    </w:p>
    <w:p w14:paraId="34F2CB1D">
      <w:pPr>
        <w:spacing w:line="360" w:lineRule="auto"/>
        <w:rPr>
          <w:rFonts w:hint="eastAsia" w:ascii="宋体" w:hAnsi="宋体" w:eastAsia="宋体"/>
          <w:color w:val="auto"/>
          <w:sz w:val="24"/>
          <w:highlight w:val="none"/>
        </w:rPr>
      </w:pPr>
    </w:p>
    <w:p w14:paraId="7B15B9D9">
      <w:pPr>
        <w:spacing w:line="360" w:lineRule="auto"/>
        <w:rPr>
          <w:rFonts w:ascii="宋体" w:hAnsi="宋体" w:eastAsia="宋体"/>
          <w:color w:val="auto"/>
          <w:sz w:val="24"/>
          <w:highlight w:val="none"/>
        </w:rPr>
      </w:pPr>
    </w:p>
    <w:p w14:paraId="7D37DDD3">
      <w:pPr>
        <w:spacing w:line="360" w:lineRule="auto"/>
        <w:ind w:firstLine="3480" w:firstLineChars="1450"/>
        <w:rPr>
          <w:rFonts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7D85A403">
      <w:pPr>
        <w:wordWrap w:val="0"/>
        <w:spacing w:line="360" w:lineRule="auto"/>
        <w:ind w:right="90"/>
        <w:jc w:val="center"/>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                           法定代表人或其委托代理人：</w:t>
      </w:r>
      <w:r>
        <w:rPr>
          <w:rFonts w:hint="eastAsia" w:ascii="宋体" w:hAnsi="宋体" w:eastAsia="宋体"/>
          <w:color w:val="auto"/>
          <w:sz w:val="24"/>
          <w:szCs w:val="24"/>
          <w:highlight w:val="none"/>
          <w:u w:val="single"/>
        </w:rPr>
        <w:t xml:space="preserve">                  </w:t>
      </w:r>
    </w:p>
    <w:p w14:paraId="3274A94C">
      <w:pPr>
        <w:spacing w:line="360" w:lineRule="auto"/>
        <w:ind w:firstLine="5880" w:firstLineChars="2450"/>
        <w:rPr>
          <w:rFonts w:ascii="宋体" w:hAnsi="宋体" w:eastAsia="宋体"/>
          <w:color w:val="auto"/>
          <w:sz w:val="24"/>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35E70BF3">
      <w:pPr>
        <w:tabs>
          <w:tab w:val="left" w:pos="720"/>
        </w:tabs>
        <w:snapToGrid w:val="0"/>
        <w:spacing w:line="360" w:lineRule="auto"/>
        <w:jc w:val="center"/>
        <w:rPr>
          <w:rFonts w:ascii="宋体" w:hAnsi="宋体" w:eastAsia="宋体"/>
          <w:b/>
          <w:color w:val="auto"/>
          <w:sz w:val="32"/>
          <w:szCs w:val="32"/>
          <w:highlight w:val="none"/>
        </w:rPr>
      </w:pPr>
    </w:p>
    <w:p w14:paraId="3CEF8948">
      <w:pPr>
        <w:tabs>
          <w:tab w:val="left" w:pos="720"/>
        </w:tabs>
        <w:snapToGrid w:val="0"/>
        <w:spacing w:line="360" w:lineRule="auto"/>
        <w:jc w:val="center"/>
        <w:rPr>
          <w:rFonts w:ascii="宋体" w:hAnsi="宋体" w:eastAsia="宋体"/>
          <w:b/>
          <w:color w:val="auto"/>
          <w:sz w:val="32"/>
          <w:szCs w:val="32"/>
          <w:highlight w:val="none"/>
        </w:rPr>
      </w:pPr>
    </w:p>
    <w:p w14:paraId="74BA2218">
      <w:pPr>
        <w:tabs>
          <w:tab w:val="left" w:pos="720"/>
        </w:tabs>
        <w:snapToGrid w:val="0"/>
        <w:spacing w:line="360" w:lineRule="auto"/>
        <w:jc w:val="center"/>
        <w:rPr>
          <w:rFonts w:ascii="宋体" w:hAnsi="宋体" w:eastAsia="宋体"/>
          <w:b/>
          <w:color w:val="auto"/>
          <w:sz w:val="32"/>
          <w:szCs w:val="32"/>
          <w:highlight w:val="none"/>
        </w:rPr>
      </w:pPr>
    </w:p>
    <w:p w14:paraId="1A1A7659">
      <w:pPr>
        <w:tabs>
          <w:tab w:val="left" w:pos="720"/>
        </w:tabs>
        <w:snapToGrid w:val="0"/>
        <w:spacing w:line="360" w:lineRule="auto"/>
        <w:jc w:val="center"/>
        <w:rPr>
          <w:rFonts w:ascii="宋体" w:hAnsi="宋体" w:eastAsia="宋体"/>
          <w:b/>
          <w:color w:val="auto"/>
          <w:sz w:val="32"/>
          <w:szCs w:val="32"/>
          <w:highlight w:val="none"/>
        </w:rPr>
      </w:pPr>
    </w:p>
    <w:p w14:paraId="5C321E49">
      <w:pPr>
        <w:tabs>
          <w:tab w:val="left" w:pos="720"/>
        </w:tabs>
        <w:snapToGrid w:val="0"/>
        <w:spacing w:line="360" w:lineRule="auto"/>
        <w:jc w:val="center"/>
        <w:rPr>
          <w:rFonts w:ascii="宋体" w:hAnsi="宋体" w:eastAsia="宋体"/>
          <w:b/>
          <w:color w:val="auto"/>
          <w:sz w:val="32"/>
          <w:szCs w:val="32"/>
          <w:highlight w:val="none"/>
        </w:rPr>
      </w:pPr>
    </w:p>
    <w:p w14:paraId="1C1BC724">
      <w:pPr>
        <w:pStyle w:val="32"/>
        <w:spacing w:after="0" w:line="360" w:lineRule="auto"/>
        <w:ind w:firstLine="0"/>
        <w:jc w:val="center"/>
        <w:rPr>
          <w:rFonts w:hint="eastAsia" w:ascii="宋体" w:hAnsi="宋体" w:eastAsia="宋体"/>
          <w:b/>
          <w:color w:val="auto"/>
          <w:sz w:val="36"/>
          <w:szCs w:val="36"/>
          <w:highlight w:val="none"/>
        </w:rPr>
      </w:pPr>
    </w:p>
    <w:p w14:paraId="2F4F959F">
      <w:pPr>
        <w:pStyle w:val="32"/>
        <w:spacing w:after="0" w:line="360" w:lineRule="auto"/>
        <w:ind w:firstLine="0"/>
        <w:jc w:val="center"/>
        <w:rPr>
          <w:rFonts w:hint="eastAsia" w:ascii="宋体" w:hAnsi="宋体" w:eastAsia="宋体"/>
          <w:b/>
          <w:color w:val="auto"/>
          <w:sz w:val="36"/>
          <w:szCs w:val="36"/>
          <w:highlight w:val="none"/>
        </w:rPr>
      </w:pPr>
    </w:p>
    <w:p w14:paraId="71CF312C">
      <w:pP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br w:type="page"/>
      </w:r>
    </w:p>
    <w:p w14:paraId="0A739767">
      <w:pPr>
        <w:pStyle w:val="32"/>
        <w:spacing w:after="0" w:line="360" w:lineRule="auto"/>
        <w:ind w:firstLine="0"/>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对投标文件编制的承诺</w:t>
      </w:r>
    </w:p>
    <w:p w14:paraId="018A1AB0">
      <w:pPr>
        <w:pStyle w:val="32"/>
        <w:spacing w:after="0" w:line="360" w:lineRule="auto"/>
        <w:ind w:firstLine="0"/>
        <w:jc w:val="center"/>
        <w:rPr>
          <w:rFonts w:hint="eastAsia" w:ascii="宋体" w:hAnsi="宋体" w:eastAsia="宋体"/>
          <w:color w:val="auto"/>
          <w:sz w:val="36"/>
          <w:szCs w:val="36"/>
          <w:highlight w:val="none"/>
        </w:rPr>
      </w:pPr>
    </w:p>
    <w:p w14:paraId="3B1B17FF">
      <w:pPr>
        <w:pStyle w:val="32"/>
        <w:spacing w:after="0" w:line="360" w:lineRule="auto"/>
        <w:ind w:left="-2" w:leftChars="-1"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本公司授权</w:t>
      </w:r>
      <w:r>
        <w:rPr>
          <w:rFonts w:hint="eastAsia" w:ascii="宋体" w:hAnsi="宋体" w:eastAsia="宋体"/>
          <w:color w:val="auto"/>
          <w:sz w:val="24"/>
          <w:szCs w:val="24"/>
          <w:highlight w:val="none"/>
          <w:u w:val="single"/>
        </w:rPr>
        <w:t xml:space="preserve">         （身份证号：               ）</w:t>
      </w:r>
      <w:r>
        <w:rPr>
          <w:rFonts w:hint="eastAsia" w:ascii="宋体" w:hAnsi="宋体" w:eastAsia="宋体"/>
          <w:color w:val="auto"/>
          <w:sz w:val="24"/>
          <w:szCs w:val="24"/>
          <w:highlight w:val="none"/>
        </w:rPr>
        <w:t>负责对投标文件的编制及内容进行解释、说明，并承诺以下事项：</w:t>
      </w:r>
    </w:p>
    <w:p w14:paraId="0472FC70">
      <w:pPr>
        <w:pStyle w:val="32"/>
        <w:spacing w:after="0" w:line="360" w:lineRule="auto"/>
        <w:ind w:left="-2" w:leftChars="-1"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1.被授权人清楚投标文件编制的具体情况，包括技术方案文件、工程量清单、以及投标文件的加密打包的理解；</w:t>
      </w:r>
    </w:p>
    <w:p w14:paraId="7A273B9C">
      <w:pPr>
        <w:pStyle w:val="32"/>
        <w:spacing w:after="0" w:line="360" w:lineRule="auto"/>
        <w:ind w:left="-2" w:leftChars="-1"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2.在本项目开标至评标结束前，努力确保被授权人在项目评标所在地附近；</w:t>
      </w:r>
    </w:p>
    <w:p w14:paraId="19001A86">
      <w:pPr>
        <w:pStyle w:val="32"/>
        <w:spacing w:after="0" w:line="360" w:lineRule="auto"/>
        <w:ind w:left="-2" w:leftChars="-1"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3.从评标委员会要求澄清起2小时内，被授权人应如实地书面澄清。</w:t>
      </w:r>
    </w:p>
    <w:p w14:paraId="13CF0FC9">
      <w:pPr>
        <w:pStyle w:val="32"/>
        <w:spacing w:after="0" w:line="360" w:lineRule="auto"/>
        <w:ind w:left="-2" w:leftChars="-1"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如由于上述情形之一无法进行澄清的，我公司默认评标委员会作出的评审结论。</w:t>
      </w:r>
    </w:p>
    <w:p w14:paraId="33B1B552">
      <w:pPr>
        <w:pStyle w:val="32"/>
        <w:spacing w:after="0" w:line="360" w:lineRule="auto"/>
        <w:ind w:firstLine="360" w:firstLineChars="1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17CC33A2">
      <w:pPr>
        <w:pStyle w:val="32"/>
        <w:spacing w:after="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附件：1.《投标文件编制人员名单》</w:t>
      </w:r>
    </w:p>
    <w:p w14:paraId="37965217">
      <w:pPr>
        <w:pStyle w:val="32"/>
        <w:spacing w:after="0" w:line="360" w:lineRule="auto"/>
        <w:ind w:firstLine="1200" w:firstLineChars="5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2.《投标文件编制情况》</w:t>
      </w:r>
    </w:p>
    <w:p w14:paraId="30C5B3F3">
      <w:pPr>
        <w:pStyle w:val="32"/>
        <w:spacing w:after="0" w:line="360" w:lineRule="auto"/>
        <w:ind w:firstLine="1200" w:firstLineChars="500"/>
        <w:rPr>
          <w:rFonts w:hint="eastAsia" w:ascii="宋体" w:hAnsi="宋体" w:eastAsia="宋体"/>
          <w:color w:val="auto"/>
          <w:sz w:val="24"/>
          <w:szCs w:val="24"/>
          <w:highlight w:val="none"/>
        </w:rPr>
      </w:pPr>
    </w:p>
    <w:p w14:paraId="3E9BC997">
      <w:pPr>
        <w:wordWrap w:val="0"/>
        <w:spacing w:line="360" w:lineRule="auto"/>
        <w:ind w:right="90" w:firstLine="3840" w:firstLineChars="16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投标人（盖章）：</w:t>
      </w:r>
      <w:r>
        <w:rPr>
          <w:rFonts w:hint="eastAsia" w:ascii="宋体" w:hAnsi="宋体" w:eastAsia="宋体"/>
          <w:color w:val="auto"/>
          <w:sz w:val="24"/>
          <w:szCs w:val="24"/>
          <w:highlight w:val="none"/>
          <w:u w:val="single"/>
        </w:rPr>
        <w:t xml:space="preserve">                            </w:t>
      </w:r>
    </w:p>
    <w:p w14:paraId="5F08B554">
      <w:pPr>
        <w:wordWrap w:val="0"/>
        <w:spacing w:line="360" w:lineRule="auto"/>
        <w:ind w:right="90"/>
        <w:jc w:val="righ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 法定代表人或其委托代理人：</w:t>
      </w:r>
      <w:r>
        <w:rPr>
          <w:rFonts w:hint="eastAsia" w:ascii="宋体" w:hAnsi="宋体" w:eastAsia="宋体"/>
          <w:color w:val="auto"/>
          <w:sz w:val="24"/>
          <w:szCs w:val="24"/>
          <w:highlight w:val="none"/>
          <w:u w:val="single"/>
        </w:rPr>
        <w:t xml:space="preserve">                  </w:t>
      </w:r>
    </w:p>
    <w:p w14:paraId="24AB63F4">
      <w:pPr>
        <w:spacing w:line="360" w:lineRule="auto"/>
        <w:ind w:right="90" w:firstLine="333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日期：</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4EFE4396">
      <w:pPr>
        <w:pStyle w:val="32"/>
        <w:spacing w:after="0" w:line="360" w:lineRule="auto"/>
        <w:ind w:firstLine="723"/>
        <w:jc w:val="center"/>
        <w:rPr>
          <w:rFonts w:hint="eastAsia" w:ascii="宋体" w:hAnsi="宋体" w:eastAsia="宋体"/>
          <w:b/>
          <w:color w:val="auto"/>
          <w:sz w:val="36"/>
          <w:szCs w:val="36"/>
          <w:highlight w:val="none"/>
        </w:rPr>
      </w:pPr>
    </w:p>
    <w:p w14:paraId="48A23C44">
      <w:pPr>
        <w:pStyle w:val="32"/>
        <w:spacing w:after="0" w:line="360" w:lineRule="auto"/>
        <w:ind w:firstLine="723"/>
        <w:jc w:val="center"/>
        <w:rPr>
          <w:rFonts w:hint="eastAsia" w:ascii="宋体" w:hAnsi="宋体" w:eastAsia="宋体"/>
          <w:b/>
          <w:color w:val="auto"/>
          <w:sz w:val="36"/>
          <w:szCs w:val="36"/>
          <w:highlight w:val="none"/>
        </w:rPr>
      </w:pPr>
    </w:p>
    <w:p w14:paraId="6E6C9D3D">
      <w:pPr>
        <w:pStyle w:val="32"/>
        <w:spacing w:after="0" w:line="360" w:lineRule="auto"/>
        <w:ind w:firstLine="723"/>
        <w:jc w:val="center"/>
        <w:rPr>
          <w:rFonts w:hint="eastAsia" w:ascii="宋体" w:hAnsi="宋体" w:eastAsia="宋体"/>
          <w:b/>
          <w:color w:val="auto"/>
          <w:sz w:val="36"/>
          <w:szCs w:val="36"/>
          <w:highlight w:val="none"/>
        </w:rPr>
      </w:pPr>
    </w:p>
    <w:p w14:paraId="43CD888A">
      <w:pPr>
        <w:pStyle w:val="32"/>
        <w:spacing w:after="0" w:line="360" w:lineRule="auto"/>
        <w:ind w:firstLine="723"/>
        <w:jc w:val="center"/>
        <w:rPr>
          <w:rFonts w:hint="eastAsia" w:ascii="宋体" w:hAnsi="宋体" w:eastAsia="宋体"/>
          <w:b/>
          <w:color w:val="auto"/>
          <w:sz w:val="36"/>
          <w:szCs w:val="36"/>
          <w:highlight w:val="none"/>
        </w:rPr>
      </w:pPr>
    </w:p>
    <w:p w14:paraId="6FC09F14">
      <w:pPr>
        <w:pStyle w:val="32"/>
        <w:spacing w:after="0" w:line="360" w:lineRule="auto"/>
        <w:ind w:firstLine="723"/>
        <w:jc w:val="center"/>
        <w:rPr>
          <w:rFonts w:hint="eastAsia" w:ascii="宋体" w:hAnsi="宋体" w:eastAsia="宋体"/>
          <w:b/>
          <w:color w:val="auto"/>
          <w:sz w:val="36"/>
          <w:szCs w:val="36"/>
          <w:highlight w:val="none"/>
        </w:rPr>
      </w:pPr>
    </w:p>
    <w:p w14:paraId="78FD9E14">
      <w:pPr>
        <w:pStyle w:val="32"/>
        <w:spacing w:after="0" w:line="360" w:lineRule="auto"/>
        <w:ind w:firstLine="723"/>
        <w:jc w:val="center"/>
        <w:rPr>
          <w:rFonts w:hint="eastAsia" w:ascii="宋体" w:hAnsi="宋体" w:eastAsia="宋体"/>
          <w:b/>
          <w:color w:val="auto"/>
          <w:sz w:val="36"/>
          <w:szCs w:val="36"/>
          <w:highlight w:val="none"/>
        </w:rPr>
      </w:pPr>
    </w:p>
    <w:p w14:paraId="32AA8699">
      <w:pPr>
        <w:pStyle w:val="32"/>
        <w:spacing w:after="0" w:line="360" w:lineRule="auto"/>
        <w:ind w:left="0" w:leftChars="0" w:firstLine="0" w:firstLineChars="0"/>
        <w:jc w:val="both"/>
        <w:rPr>
          <w:rFonts w:hint="eastAsia" w:ascii="宋体" w:hAnsi="宋体" w:eastAsia="宋体"/>
          <w:b/>
          <w:color w:val="auto"/>
          <w:sz w:val="36"/>
          <w:szCs w:val="36"/>
          <w:highlight w:val="none"/>
        </w:rPr>
      </w:pPr>
    </w:p>
    <w:p w14:paraId="75B710F2">
      <w:pP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br w:type="page"/>
      </w:r>
    </w:p>
    <w:p w14:paraId="1A8D5F0E">
      <w:pPr>
        <w:pStyle w:val="32"/>
        <w:spacing w:after="0" w:line="360" w:lineRule="auto"/>
        <w:ind w:firstLine="360"/>
        <w:jc w:val="center"/>
        <w:rPr>
          <w:rFonts w:hint="eastAsia" w:ascii="宋体" w:hAnsi="宋体" w:eastAsia="宋体"/>
          <w:color w:val="auto"/>
          <w:sz w:val="24"/>
          <w:szCs w:val="24"/>
          <w:highlight w:val="none"/>
        </w:rPr>
      </w:pPr>
      <w:r>
        <w:rPr>
          <w:rFonts w:hint="eastAsia" w:ascii="宋体" w:hAnsi="宋体" w:eastAsia="宋体"/>
          <w:b/>
          <w:color w:val="auto"/>
          <w:sz w:val="36"/>
          <w:szCs w:val="36"/>
          <w:highlight w:val="none"/>
        </w:rPr>
        <w:t>投标文件编制人员名单</w:t>
      </w:r>
    </w:p>
    <w:tbl>
      <w:tblPr>
        <w:tblStyle w:val="34"/>
        <w:tblW w:w="0" w:type="auto"/>
        <w:tblInd w:w="0" w:type="dxa"/>
        <w:tblLayout w:type="fixed"/>
        <w:tblCellMar>
          <w:top w:w="0" w:type="dxa"/>
          <w:left w:w="108" w:type="dxa"/>
          <w:bottom w:w="0" w:type="dxa"/>
          <w:right w:w="108" w:type="dxa"/>
        </w:tblCellMar>
      </w:tblPr>
      <w:tblGrid>
        <w:gridCol w:w="1249"/>
        <w:gridCol w:w="1453"/>
        <w:gridCol w:w="2486"/>
        <w:gridCol w:w="2383"/>
        <w:gridCol w:w="1609"/>
      </w:tblGrid>
      <w:tr w14:paraId="2E67B0E1">
        <w:tblPrEx>
          <w:tblCellMar>
            <w:top w:w="0" w:type="dxa"/>
            <w:left w:w="108" w:type="dxa"/>
            <w:bottom w:w="0" w:type="dxa"/>
            <w:right w:w="108" w:type="dxa"/>
          </w:tblCellMar>
        </w:tblPrEx>
        <w:trPr>
          <w:trHeight w:val="318" w:hRule="atLeast"/>
        </w:trPr>
        <w:tc>
          <w:tcPr>
            <w:tcW w:w="9180" w:type="dxa"/>
            <w:gridSpan w:val="5"/>
            <w:tcBorders>
              <w:top w:val="single" w:color="auto" w:sz="4" w:space="0"/>
              <w:left w:val="single" w:color="auto" w:sz="4" w:space="0"/>
              <w:bottom w:val="single" w:color="auto" w:sz="4" w:space="0"/>
              <w:right w:val="single" w:color="auto" w:sz="4" w:space="0"/>
            </w:tcBorders>
            <w:noWrap w:val="0"/>
            <w:vAlign w:val="center"/>
          </w:tcPr>
          <w:p w14:paraId="07029509">
            <w:pPr>
              <w:tabs>
                <w:tab w:val="left" w:pos="720"/>
              </w:tabs>
              <w:snapToGrid w:val="0"/>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投标人名称：</w:t>
            </w:r>
          </w:p>
        </w:tc>
      </w:tr>
      <w:tr w14:paraId="7A0CB90A">
        <w:tblPrEx>
          <w:tblCellMar>
            <w:top w:w="0" w:type="dxa"/>
            <w:left w:w="108" w:type="dxa"/>
            <w:bottom w:w="0" w:type="dxa"/>
            <w:right w:w="108" w:type="dxa"/>
          </w:tblCellMar>
        </w:tblPrEx>
        <w:trPr>
          <w:trHeight w:val="212"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5B738353">
            <w:pPr>
              <w:tabs>
                <w:tab w:val="left" w:pos="720"/>
              </w:tabs>
              <w:snapToGrid w:val="0"/>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姓名</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10069377">
            <w:pPr>
              <w:tabs>
                <w:tab w:val="left" w:pos="720"/>
              </w:tabs>
              <w:snapToGrid w:val="0"/>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职务</w:t>
            </w:r>
          </w:p>
        </w:tc>
        <w:tc>
          <w:tcPr>
            <w:tcW w:w="2486" w:type="dxa"/>
            <w:tcBorders>
              <w:top w:val="single" w:color="auto" w:sz="4" w:space="0"/>
              <w:left w:val="single" w:color="auto" w:sz="4" w:space="0"/>
              <w:bottom w:val="single" w:color="auto" w:sz="4" w:space="0"/>
              <w:right w:val="single" w:color="auto" w:sz="4" w:space="0"/>
            </w:tcBorders>
            <w:noWrap w:val="0"/>
            <w:vAlign w:val="center"/>
          </w:tcPr>
          <w:p w14:paraId="2506C356">
            <w:pPr>
              <w:tabs>
                <w:tab w:val="left" w:pos="720"/>
              </w:tabs>
              <w:snapToGrid w:val="0"/>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所承担工作</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210AAD38">
            <w:pPr>
              <w:tabs>
                <w:tab w:val="left" w:pos="720"/>
              </w:tabs>
              <w:snapToGrid w:val="0"/>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身份证号码</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AFC2EA8">
            <w:pPr>
              <w:tabs>
                <w:tab w:val="left" w:pos="720"/>
              </w:tabs>
              <w:snapToGrid w:val="0"/>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本人签名栏</w:t>
            </w:r>
          </w:p>
        </w:tc>
      </w:tr>
      <w:tr w14:paraId="07FD4192">
        <w:tblPrEx>
          <w:tblCellMar>
            <w:top w:w="0" w:type="dxa"/>
            <w:left w:w="108" w:type="dxa"/>
            <w:bottom w:w="0" w:type="dxa"/>
            <w:right w:w="108" w:type="dxa"/>
          </w:tblCellMar>
        </w:tblPrEx>
        <w:trPr>
          <w:trHeight w:val="58"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3BBF0292">
            <w:pPr>
              <w:tabs>
                <w:tab w:val="left" w:pos="720"/>
              </w:tabs>
              <w:snapToGrid w:val="0"/>
              <w:spacing w:line="360" w:lineRule="auto"/>
              <w:jc w:val="center"/>
              <w:rPr>
                <w:rFonts w:ascii="宋体" w:hAnsi="宋体" w:eastAsia="宋体"/>
                <w:color w:val="auto"/>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5DE0BA8B">
            <w:pPr>
              <w:tabs>
                <w:tab w:val="left" w:pos="720"/>
              </w:tabs>
              <w:snapToGrid w:val="0"/>
              <w:spacing w:line="360" w:lineRule="auto"/>
              <w:jc w:val="center"/>
              <w:rPr>
                <w:rFonts w:ascii="宋体" w:hAnsi="宋体" w:eastAsia="宋体"/>
                <w:color w:val="auto"/>
                <w:sz w:val="24"/>
                <w:szCs w:val="24"/>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14:paraId="1988E647">
            <w:pPr>
              <w:tabs>
                <w:tab w:val="left" w:pos="720"/>
              </w:tabs>
              <w:snapToGrid w:val="0"/>
              <w:spacing w:line="360" w:lineRule="auto"/>
              <w:jc w:val="center"/>
              <w:rPr>
                <w:rFonts w:ascii="宋体" w:hAnsi="宋体" w:eastAsia="宋体"/>
                <w:color w:val="auto"/>
                <w:sz w:val="24"/>
                <w:szCs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15017CDE">
            <w:pPr>
              <w:tabs>
                <w:tab w:val="left" w:pos="720"/>
              </w:tabs>
              <w:snapToGrid w:val="0"/>
              <w:spacing w:line="360" w:lineRule="auto"/>
              <w:jc w:val="center"/>
              <w:rPr>
                <w:rFonts w:ascii="宋体" w:hAnsi="宋体" w:eastAsia="宋体"/>
                <w:color w:val="auto"/>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151C13">
            <w:pPr>
              <w:tabs>
                <w:tab w:val="left" w:pos="720"/>
              </w:tabs>
              <w:snapToGrid w:val="0"/>
              <w:spacing w:line="360" w:lineRule="auto"/>
              <w:jc w:val="center"/>
              <w:rPr>
                <w:rFonts w:ascii="宋体" w:hAnsi="宋体" w:eastAsia="宋体"/>
                <w:color w:val="auto"/>
                <w:sz w:val="24"/>
                <w:szCs w:val="24"/>
                <w:highlight w:val="none"/>
              </w:rPr>
            </w:pPr>
          </w:p>
        </w:tc>
      </w:tr>
      <w:tr w14:paraId="20DACB77">
        <w:tblPrEx>
          <w:tblCellMar>
            <w:top w:w="0" w:type="dxa"/>
            <w:left w:w="108" w:type="dxa"/>
            <w:bottom w:w="0" w:type="dxa"/>
            <w:right w:w="108" w:type="dxa"/>
          </w:tblCellMar>
        </w:tblPrEx>
        <w:trPr>
          <w:trHeight w:val="162"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2C153D53">
            <w:pPr>
              <w:tabs>
                <w:tab w:val="left" w:pos="720"/>
              </w:tabs>
              <w:snapToGrid w:val="0"/>
              <w:spacing w:line="360" w:lineRule="auto"/>
              <w:jc w:val="center"/>
              <w:rPr>
                <w:rFonts w:ascii="宋体" w:hAnsi="宋体" w:eastAsia="宋体"/>
                <w:color w:val="auto"/>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0C9CD03B">
            <w:pPr>
              <w:tabs>
                <w:tab w:val="left" w:pos="720"/>
              </w:tabs>
              <w:snapToGrid w:val="0"/>
              <w:spacing w:line="360" w:lineRule="auto"/>
              <w:jc w:val="center"/>
              <w:rPr>
                <w:rFonts w:ascii="宋体" w:hAnsi="宋体" w:eastAsia="宋体"/>
                <w:color w:val="auto"/>
                <w:sz w:val="24"/>
                <w:szCs w:val="24"/>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14:paraId="6CF2DF02">
            <w:pPr>
              <w:tabs>
                <w:tab w:val="left" w:pos="720"/>
              </w:tabs>
              <w:snapToGrid w:val="0"/>
              <w:spacing w:line="360" w:lineRule="auto"/>
              <w:jc w:val="center"/>
              <w:rPr>
                <w:rFonts w:ascii="宋体" w:hAnsi="宋体" w:eastAsia="宋体"/>
                <w:color w:val="auto"/>
                <w:sz w:val="24"/>
                <w:szCs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7921FA7D">
            <w:pPr>
              <w:tabs>
                <w:tab w:val="left" w:pos="720"/>
              </w:tabs>
              <w:snapToGrid w:val="0"/>
              <w:spacing w:line="360" w:lineRule="auto"/>
              <w:jc w:val="center"/>
              <w:rPr>
                <w:rFonts w:ascii="宋体" w:hAnsi="宋体" w:eastAsia="宋体"/>
                <w:color w:val="auto"/>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8FEE21C">
            <w:pPr>
              <w:tabs>
                <w:tab w:val="left" w:pos="720"/>
              </w:tabs>
              <w:snapToGrid w:val="0"/>
              <w:spacing w:line="360" w:lineRule="auto"/>
              <w:jc w:val="center"/>
              <w:rPr>
                <w:rFonts w:ascii="宋体" w:hAnsi="宋体" w:eastAsia="宋体"/>
                <w:color w:val="auto"/>
                <w:sz w:val="24"/>
                <w:szCs w:val="24"/>
                <w:highlight w:val="none"/>
              </w:rPr>
            </w:pPr>
          </w:p>
        </w:tc>
      </w:tr>
      <w:tr w14:paraId="1CD3074D">
        <w:tblPrEx>
          <w:tblCellMar>
            <w:top w:w="0" w:type="dxa"/>
            <w:left w:w="108" w:type="dxa"/>
            <w:bottom w:w="0" w:type="dxa"/>
            <w:right w:w="108" w:type="dxa"/>
          </w:tblCellMar>
        </w:tblPrEx>
        <w:trPr>
          <w:trHeight w:val="123"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2DF8ED25">
            <w:pPr>
              <w:tabs>
                <w:tab w:val="left" w:pos="720"/>
              </w:tabs>
              <w:snapToGrid w:val="0"/>
              <w:spacing w:line="360" w:lineRule="auto"/>
              <w:jc w:val="center"/>
              <w:rPr>
                <w:rFonts w:ascii="宋体" w:hAnsi="宋体" w:eastAsia="宋体"/>
                <w:color w:val="auto"/>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618501D4">
            <w:pPr>
              <w:tabs>
                <w:tab w:val="left" w:pos="720"/>
              </w:tabs>
              <w:snapToGrid w:val="0"/>
              <w:spacing w:line="360" w:lineRule="auto"/>
              <w:jc w:val="center"/>
              <w:rPr>
                <w:rFonts w:ascii="宋体" w:hAnsi="宋体" w:eastAsia="宋体"/>
                <w:color w:val="auto"/>
                <w:sz w:val="24"/>
                <w:szCs w:val="24"/>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14:paraId="4712217D">
            <w:pPr>
              <w:tabs>
                <w:tab w:val="left" w:pos="720"/>
              </w:tabs>
              <w:snapToGrid w:val="0"/>
              <w:spacing w:line="360" w:lineRule="auto"/>
              <w:jc w:val="center"/>
              <w:rPr>
                <w:rFonts w:ascii="宋体" w:hAnsi="宋体" w:eastAsia="宋体"/>
                <w:color w:val="auto"/>
                <w:sz w:val="24"/>
                <w:szCs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040CDCAD">
            <w:pPr>
              <w:tabs>
                <w:tab w:val="left" w:pos="720"/>
              </w:tabs>
              <w:snapToGrid w:val="0"/>
              <w:spacing w:line="360" w:lineRule="auto"/>
              <w:jc w:val="center"/>
              <w:rPr>
                <w:rFonts w:ascii="宋体" w:hAnsi="宋体" w:eastAsia="宋体"/>
                <w:color w:val="auto"/>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F56F7CF">
            <w:pPr>
              <w:tabs>
                <w:tab w:val="left" w:pos="720"/>
              </w:tabs>
              <w:snapToGrid w:val="0"/>
              <w:spacing w:line="360" w:lineRule="auto"/>
              <w:jc w:val="center"/>
              <w:rPr>
                <w:rFonts w:ascii="宋体" w:hAnsi="宋体" w:eastAsia="宋体"/>
                <w:color w:val="auto"/>
                <w:sz w:val="24"/>
                <w:szCs w:val="24"/>
                <w:highlight w:val="none"/>
              </w:rPr>
            </w:pPr>
          </w:p>
        </w:tc>
      </w:tr>
    </w:tbl>
    <w:p w14:paraId="738CD5B8">
      <w:pPr>
        <w:tabs>
          <w:tab w:val="left" w:pos="720"/>
        </w:tabs>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编制负责人：                          解释负责人：</w:t>
      </w:r>
    </w:p>
    <w:p w14:paraId="30E87CFE">
      <w:pPr>
        <w:pStyle w:val="32"/>
        <w:spacing w:after="0" w:line="360" w:lineRule="auto"/>
        <w:ind w:left="-2" w:leftChars="-1"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b/>
          <w:color w:val="auto"/>
          <w:sz w:val="24"/>
          <w:szCs w:val="24"/>
          <w:highlight w:val="none"/>
        </w:rPr>
        <w:t>1.</w:t>
      </w:r>
      <w:r>
        <w:rPr>
          <w:rFonts w:hint="eastAsia" w:ascii="宋体" w:hAnsi="宋体" w:eastAsia="宋体"/>
          <w:color w:val="auto"/>
          <w:sz w:val="24"/>
          <w:szCs w:val="24"/>
          <w:highlight w:val="none"/>
        </w:rPr>
        <w:t>参与编制标书所有人员名单应包括编制各种专业工程量清单投标报价、负责清样校对、负责加密打包、负责上传、负责密封、负责打印及复印等所有人员在内的人员名单。</w:t>
      </w:r>
    </w:p>
    <w:p w14:paraId="68D6AB45">
      <w:pPr>
        <w:pStyle w:val="32"/>
        <w:spacing w:after="0" w:line="360" w:lineRule="auto"/>
        <w:ind w:firstLine="482" w:firstLineChars="200"/>
        <w:jc w:val="left"/>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 xml:space="preserve">2. </w:t>
      </w:r>
      <w:r>
        <w:rPr>
          <w:rFonts w:hint="eastAsia" w:ascii="宋体" w:hAnsi="宋体" w:eastAsia="宋体"/>
          <w:color w:val="auto"/>
          <w:sz w:val="24"/>
          <w:szCs w:val="24"/>
          <w:highlight w:val="none"/>
        </w:rPr>
        <w:t>上述人员可以兼任</w:t>
      </w:r>
      <w:r>
        <w:rPr>
          <w:rFonts w:hint="eastAsia" w:ascii="宋体" w:hAnsi="宋体" w:eastAsia="宋体"/>
          <w:b/>
          <w:color w:val="auto"/>
          <w:sz w:val="24"/>
          <w:szCs w:val="24"/>
          <w:highlight w:val="none"/>
        </w:rPr>
        <w:t>。</w:t>
      </w:r>
    </w:p>
    <w:p w14:paraId="438EAD9E">
      <w:pPr>
        <w:pStyle w:val="32"/>
        <w:spacing w:after="0" w:line="360" w:lineRule="auto"/>
        <w:ind w:firstLine="0"/>
        <w:jc w:val="center"/>
        <w:rPr>
          <w:rFonts w:hint="eastAsia" w:ascii="宋体" w:hAnsi="宋体" w:eastAsia="宋体"/>
          <w:b/>
          <w:color w:val="auto"/>
          <w:sz w:val="36"/>
          <w:szCs w:val="36"/>
          <w:highlight w:val="none"/>
        </w:rPr>
      </w:pPr>
    </w:p>
    <w:p w14:paraId="5B9500B8">
      <w:pPr>
        <w:pStyle w:val="32"/>
        <w:spacing w:after="0" w:line="360" w:lineRule="auto"/>
        <w:ind w:firstLine="360"/>
        <w:jc w:val="center"/>
        <w:rPr>
          <w:rFonts w:hint="eastAsia" w:ascii="宋体" w:hAnsi="宋体" w:eastAsia="宋体"/>
          <w:color w:val="auto"/>
          <w:sz w:val="24"/>
          <w:szCs w:val="24"/>
          <w:highlight w:val="none"/>
        </w:rPr>
      </w:pPr>
      <w:r>
        <w:rPr>
          <w:rFonts w:hint="eastAsia" w:ascii="宋体" w:hAnsi="宋体" w:eastAsia="宋体"/>
          <w:b/>
          <w:color w:val="auto"/>
          <w:sz w:val="36"/>
          <w:szCs w:val="36"/>
          <w:highlight w:val="none"/>
        </w:rPr>
        <w:t>投标文件编制情况</w:t>
      </w:r>
    </w:p>
    <w:p w14:paraId="600FC4FA">
      <w:pPr>
        <w:pStyle w:val="32"/>
        <w:spacing w:after="0"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1.投标文件报价编制方式: □自行编制的，编制的负责人：</w:t>
      </w:r>
      <w:r>
        <w:rPr>
          <w:rFonts w:hint="eastAsia" w:ascii="宋体" w:hAnsi="宋体" w:eastAsia="宋体"/>
          <w:color w:val="auto"/>
          <w:sz w:val="24"/>
          <w:szCs w:val="24"/>
          <w:highlight w:val="none"/>
          <w:u w:val="single"/>
        </w:rPr>
        <w:t xml:space="preserve"> （盖造价工程师执业专用章或全国建设工程造价员章，执业单位应与投标人一致） </w:t>
      </w:r>
      <w:r>
        <w:rPr>
          <w:rFonts w:hint="eastAsia" w:ascii="宋体" w:hAnsi="宋体" w:eastAsia="宋体"/>
          <w:color w:val="auto"/>
          <w:sz w:val="24"/>
          <w:szCs w:val="24"/>
          <w:highlight w:val="none"/>
        </w:rPr>
        <w:t>。□委托编制的，受委托单位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，编制的负责人：</w:t>
      </w:r>
      <w:r>
        <w:rPr>
          <w:rFonts w:hint="eastAsia" w:ascii="宋体" w:hAnsi="宋体" w:eastAsia="宋体"/>
          <w:color w:val="auto"/>
          <w:sz w:val="24"/>
          <w:szCs w:val="24"/>
          <w:highlight w:val="none"/>
          <w:u w:val="single"/>
        </w:rPr>
        <w:t xml:space="preserve"> （盖造价工程师执业专用章或全国建设工程造价员章，执业单位应与受委托单位一致） </w:t>
      </w:r>
      <w:r>
        <w:rPr>
          <w:rFonts w:hint="eastAsia" w:ascii="宋体" w:hAnsi="宋体" w:eastAsia="宋体"/>
          <w:color w:val="auto"/>
          <w:sz w:val="24"/>
          <w:szCs w:val="24"/>
          <w:highlight w:val="none"/>
        </w:rPr>
        <w:t>。</w:t>
      </w:r>
    </w:p>
    <w:p w14:paraId="210BCFD4">
      <w:pPr>
        <w:pStyle w:val="32"/>
        <w:spacing w:after="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2.投标报价（是□ / 否□）根据招标人提供的最高投标限价清单综合单价进行编制（招标人未提供最高投标限价清单综合单价的，直接勾选否）；</w:t>
      </w:r>
    </w:p>
    <w:p w14:paraId="007F917A">
      <w:pPr>
        <w:pStyle w:val="32"/>
        <w:spacing w:after="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3.投标报价的分部分项工程量清单综合单价沿用最高投标限价工程量清单综合单价比例</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%(最高投标限价分部分项工程量清单项目数的总数作分母，沿用最高投标限价分部分项工程量综合单价的项目数作分子)。</w:t>
      </w:r>
    </w:p>
    <w:p w14:paraId="0C3FE9C8">
      <w:pPr>
        <w:pStyle w:val="32"/>
        <w:spacing w:after="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4.投标文件加密打包的电脑情况</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137"/>
        <w:gridCol w:w="2170"/>
        <w:gridCol w:w="2232"/>
      </w:tblGrid>
      <w:tr w14:paraId="1527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noWrap w:val="0"/>
            <w:vAlign w:val="center"/>
          </w:tcPr>
          <w:p w14:paraId="2374C6C7">
            <w:pPr>
              <w:pStyle w:val="32"/>
              <w:spacing w:after="0" w:line="360" w:lineRule="auto"/>
              <w:ind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投标文件加密打包的电脑</w:t>
            </w:r>
          </w:p>
        </w:tc>
        <w:tc>
          <w:tcPr>
            <w:tcW w:w="2137" w:type="dxa"/>
            <w:noWrap w:val="0"/>
            <w:vAlign w:val="center"/>
          </w:tcPr>
          <w:p w14:paraId="68A7D650">
            <w:pPr>
              <w:pStyle w:val="32"/>
              <w:spacing w:after="0" w:line="360" w:lineRule="auto"/>
              <w:ind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自有    □</w:t>
            </w:r>
          </w:p>
        </w:tc>
        <w:tc>
          <w:tcPr>
            <w:tcW w:w="2170" w:type="dxa"/>
            <w:noWrap w:val="0"/>
            <w:vAlign w:val="center"/>
          </w:tcPr>
          <w:p w14:paraId="79D0F986">
            <w:pPr>
              <w:pStyle w:val="32"/>
              <w:spacing w:after="0" w:line="360" w:lineRule="auto"/>
              <w:ind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外包    □</w:t>
            </w:r>
          </w:p>
        </w:tc>
        <w:tc>
          <w:tcPr>
            <w:tcW w:w="2232" w:type="dxa"/>
            <w:noWrap w:val="0"/>
            <w:vAlign w:val="center"/>
          </w:tcPr>
          <w:p w14:paraId="2DBD4914">
            <w:pPr>
              <w:pStyle w:val="32"/>
              <w:spacing w:after="0" w:line="360" w:lineRule="auto"/>
              <w:ind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其他    □</w:t>
            </w:r>
          </w:p>
        </w:tc>
      </w:tr>
      <w:tr w14:paraId="476F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943" w:type="dxa"/>
            <w:noWrap w:val="0"/>
            <w:vAlign w:val="center"/>
          </w:tcPr>
          <w:p w14:paraId="00C08FAE">
            <w:pPr>
              <w:pStyle w:val="32"/>
              <w:spacing w:after="0" w:line="360" w:lineRule="auto"/>
              <w:ind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电脑类型</w:t>
            </w:r>
          </w:p>
        </w:tc>
        <w:tc>
          <w:tcPr>
            <w:tcW w:w="6539" w:type="dxa"/>
            <w:gridSpan w:val="3"/>
            <w:noWrap w:val="0"/>
            <w:vAlign w:val="center"/>
          </w:tcPr>
          <w:p w14:paraId="6E59EBF8">
            <w:pPr>
              <w:pStyle w:val="32"/>
              <w:spacing w:after="0" w:line="360" w:lineRule="auto"/>
              <w:ind w:firstLine="0"/>
              <w:jc w:val="center"/>
              <w:rPr>
                <w:rFonts w:hint="eastAsia" w:ascii="宋体" w:hAnsi="宋体" w:eastAsia="宋体"/>
                <w:color w:val="auto"/>
                <w:sz w:val="24"/>
                <w:szCs w:val="24"/>
                <w:highlight w:val="none"/>
              </w:rPr>
            </w:pPr>
          </w:p>
        </w:tc>
      </w:tr>
      <w:tr w14:paraId="6043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noWrap w:val="0"/>
            <w:vAlign w:val="center"/>
          </w:tcPr>
          <w:p w14:paraId="20E73D55">
            <w:pPr>
              <w:pStyle w:val="32"/>
              <w:spacing w:after="0" w:line="360" w:lineRule="auto"/>
              <w:ind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电脑所属单位</w:t>
            </w:r>
          </w:p>
        </w:tc>
        <w:tc>
          <w:tcPr>
            <w:tcW w:w="6539" w:type="dxa"/>
            <w:gridSpan w:val="3"/>
            <w:noWrap w:val="0"/>
            <w:vAlign w:val="center"/>
          </w:tcPr>
          <w:p w14:paraId="3D6383E5">
            <w:pPr>
              <w:pStyle w:val="32"/>
              <w:spacing w:after="0" w:line="360" w:lineRule="auto"/>
              <w:ind w:firstLine="0"/>
              <w:jc w:val="center"/>
              <w:rPr>
                <w:rFonts w:hint="eastAsia" w:ascii="宋体" w:hAnsi="宋体" w:eastAsia="宋体"/>
                <w:color w:val="auto"/>
                <w:sz w:val="24"/>
                <w:szCs w:val="24"/>
                <w:highlight w:val="none"/>
              </w:rPr>
            </w:pPr>
          </w:p>
        </w:tc>
      </w:tr>
      <w:tr w14:paraId="05F2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noWrap w:val="0"/>
            <w:vAlign w:val="center"/>
          </w:tcPr>
          <w:p w14:paraId="2DC8B2B0">
            <w:pPr>
              <w:pStyle w:val="32"/>
              <w:spacing w:after="0" w:line="360" w:lineRule="auto"/>
              <w:ind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电脑所在地址</w:t>
            </w:r>
          </w:p>
        </w:tc>
        <w:tc>
          <w:tcPr>
            <w:tcW w:w="6539" w:type="dxa"/>
            <w:gridSpan w:val="3"/>
            <w:noWrap w:val="0"/>
            <w:vAlign w:val="center"/>
          </w:tcPr>
          <w:p w14:paraId="505EA8D6">
            <w:pPr>
              <w:pStyle w:val="32"/>
              <w:spacing w:after="0" w:line="360" w:lineRule="auto"/>
              <w:ind w:firstLine="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（如××市××区(县) ××街（路）××号××大厦××房）</w:t>
            </w:r>
          </w:p>
        </w:tc>
      </w:tr>
    </w:tbl>
    <w:p w14:paraId="62FC2CE5">
      <w:pPr>
        <w:spacing w:line="420" w:lineRule="exact"/>
        <w:outlineLvl w:val="2"/>
        <w:rPr>
          <w:rFonts w:hint="eastAsia" w:ascii="宋体" w:hAnsi="宋体" w:eastAsia="宋体"/>
          <w:b/>
          <w:color w:val="auto"/>
          <w:sz w:val="36"/>
          <w:szCs w:val="36"/>
          <w:highlight w:val="none"/>
        </w:rPr>
      </w:pPr>
      <w:r>
        <w:rPr>
          <w:rFonts w:ascii="宋体" w:hAnsi="宋体" w:eastAsia="宋体"/>
          <w:color w:val="auto"/>
          <w:sz w:val="24"/>
          <w:szCs w:val="24"/>
          <w:highlight w:val="none"/>
        </w:rPr>
        <w:br w:type="page"/>
      </w:r>
      <w:bookmarkStart w:id="174" w:name="_Toc31385"/>
      <w:bookmarkStart w:id="175" w:name="_Toc17823"/>
      <w:bookmarkStart w:id="176" w:name="_Toc1263"/>
      <w:bookmarkStart w:id="177" w:name="_Toc1565"/>
      <w:bookmarkStart w:id="178" w:name="_Toc29987"/>
      <w:bookmarkStart w:id="179" w:name="_Toc31826"/>
      <w:bookmarkStart w:id="180" w:name="_Toc14674"/>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14</w:t>
      </w:r>
      <w:r>
        <w:rPr>
          <w:rFonts w:hint="eastAsia" w:ascii="宋体" w:hAnsi="宋体" w:eastAsia="宋体"/>
          <w:color w:val="auto"/>
          <w:sz w:val="24"/>
          <w:szCs w:val="24"/>
          <w:highlight w:val="none"/>
        </w:rPr>
        <w:t xml:space="preserve"> 投标人声明</w:t>
      </w:r>
      <w:bookmarkEnd w:id="174"/>
      <w:bookmarkEnd w:id="175"/>
      <w:bookmarkEnd w:id="176"/>
      <w:bookmarkEnd w:id="177"/>
      <w:bookmarkEnd w:id="178"/>
      <w:bookmarkEnd w:id="179"/>
      <w:bookmarkEnd w:id="180"/>
    </w:p>
    <w:p w14:paraId="23077CA1">
      <w:pPr>
        <w:spacing w:line="420" w:lineRule="exact"/>
        <w:jc w:val="center"/>
        <w:rPr>
          <w:rFonts w:hint="eastAsia" w:ascii="宋体" w:hAnsi="宋体" w:eastAsia="宋体"/>
          <w:b/>
          <w:color w:val="auto"/>
          <w:sz w:val="36"/>
          <w:szCs w:val="36"/>
          <w:highlight w:val="none"/>
        </w:rPr>
      </w:pPr>
    </w:p>
    <w:p w14:paraId="6234B897">
      <w:pPr>
        <w:spacing w:line="420" w:lineRule="exact"/>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投标</w:t>
      </w:r>
      <w:r>
        <w:rPr>
          <w:rFonts w:hint="eastAsia" w:ascii="宋体" w:hAnsi="宋体" w:eastAsia="宋体"/>
          <w:b/>
          <w:color w:val="auto"/>
          <w:kern w:val="0"/>
          <w:sz w:val="36"/>
          <w:szCs w:val="36"/>
          <w:highlight w:val="none"/>
        </w:rPr>
        <w:t>人</w:t>
      </w:r>
      <w:r>
        <w:rPr>
          <w:rFonts w:hint="eastAsia" w:ascii="宋体" w:hAnsi="宋体" w:eastAsia="宋体"/>
          <w:b/>
          <w:color w:val="auto"/>
          <w:sz w:val="36"/>
          <w:szCs w:val="36"/>
          <w:highlight w:val="none"/>
        </w:rPr>
        <w:t>声明</w:t>
      </w:r>
    </w:p>
    <w:p w14:paraId="51366995">
      <w:pPr>
        <w:spacing w:line="420" w:lineRule="exact"/>
        <w:jc w:val="center"/>
        <w:rPr>
          <w:rFonts w:ascii="宋体" w:hAnsi="宋体" w:eastAsia="宋体"/>
          <w:b/>
          <w:color w:val="auto"/>
          <w:sz w:val="36"/>
          <w:szCs w:val="36"/>
          <w:highlight w:val="none"/>
        </w:rPr>
      </w:pPr>
    </w:p>
    <w:p w14:paraId="0473F38D">
      <w:pPr>
        <w:pStyle w:val="74"/>
        <w:ind w:firstLine="0"/>
        <w:rPr>
          <w:rFonts w:ascii="宋体" w:hAnsi="宋体"/>
          <w:color w:val="auto"/>
          <w:sz w:val="28"/>
          <w:szCs w:val="28"/>
          <w:highlight w:val="none"/>
        </w:rPr>
      </w:pPr>
      <w:r>
        <w:rPr>
          <w:rFonts w:hint="eastAsia" w:ascii="宋体" w:hAnsi="宋体" w:cs="Times New Roman"/>
          <w:color w:val="auto"/>
          <w:sz w:val="28"/>
          <w:szCs w:val="28"/>
          <w:highlight w:val="none"/>
          <w:lang w:eastAsia="zh-CN"/>
        </w:rPr>
        <w:t>广州市规划和自然资源局白云区分局</w:t>
      </w:r>
      <w:r>
        <w:rPr>
          <w:rFonts w:hint="eastAsia" w:ascii="宋体" w:hAnsi="宋体" w:cs="Times New Roman"/>
          <w:color w:val="auto"/>
          <w:sz w:val="28"/>
          <w:szCs w:val="28"/>
          <w:highlight w:val="none"/>
        </w:rPr>
        <w:t>、</w:t>
      </w:r>
      <w:r>
        <w:rPr>
          <w:rFonts w:hint="eastAsia" w:ascii="宋体" w:hAnsi="宋体"/>
          <w:color w:val="auto"/>
          <w:sz w:val="28"/>
          <w:szCs w:val="28"/>
          <w:highlight w:val="none"/>
        </w:rPr>
        <w:t>本招标项目招标人：</w:t>
      </w:r>
    </w:p>
    <w:p w14:paraId="25894BE1">
      <w:pPr>
        <w:pStyle w:val="74"/>
        <w:ind w:firstLine="560" w:firstLineChars="200"/>
        <w:rPr>
          <w:rFonts w:ascii="宋体" w:hAnsi="宋体"/>
          <w:color w:val="auto"/>
          <w:sz w:val="28"/>
          <w:szCs w:val="28"/>
          <w:highlight w:val="none"/>
        </w:rPr>
      </w:pPr>
      <w:r>
        <w:rPr>
          <w:rFonts w:hint="eastAsia" w:ascii="宋体" w:hAnsi="宋体"/>
          <w:color w:val="auto"/>
          <w:sz w:val="28"/>
          <w:szCs w:val="28"/>
          <w:highlight w:val="none"/>
        </w:rPr>
        <w:t>本公司就参加</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投标工作，作出郑重声明：</w:t>
      </w:r>
    </w:p>
    <w:p w14:paraId="71910A5B">
      <w:pPr>
        <w:pStyle w:val="74"/>
        <w:numPr>
          <w:ilvl w:val="0"/>
          <w:numId w:val="0"/>
        </w:numPr>
        <w:ind w:firstLine="560" w:firstLineChars="200"/>
        <w:rPr>
          <w:rFonts w:hint="eastAsia"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一、本公司保证本次投标活动所提供的材料都是真实的；在广州公共资源交易平台企业库登记的一切信息都是真实的、在有效期内的。如我司成为本项目中标候选人，我公司同意并授权招标人将我司投标文件的人员、业绩、奖项等资料进行公开。</w:t>
      </w:r>
    </w:p>
    <w:p w14:paraId="7C1EF15B">
      <w:pPr>
        <w:pStyle w:val="74"/>
        <w:numPr>
          <w:ilvl w:val="0"/>
          <w:numId w:val="0"/>
        </w:numPr>
        <w:ind w:firstLine="560" w:firstLineChars="200"/>
        <w:rPr>
          <w:rFonts w:ascii="宋体" w:hAnsi="宋体"/>
          <w:color w:val="auto"/>
          <w:sz w:val="28"/>
          <w:szCs w:val="28"/>
          <w:highlight w:val="none"/>
        </w:rPr>
      </w:pPr>
      <w:r>
        <w:rPr>
          <w:rFonts w:hint="eastAsia" w:ascii="宋体" w:hAnsi="宋体"/>
          <w:color w:val="auto"/>
          <w:sz w:val="28"/>
          <w:szCs w:val="28"/>
          <w:highlight w:val="none"/>
        </w:rPr>
        <w:t>二、资格审查前，本公司在广州公共资源交易</w:t>
      </w:r>
      <w:r>
        <w:rPr>
          <w:rFonts w:hint="eastAsia" w:ascii="宋体" w:hAnsi="宋体"/>
          <w:color w:val="auto"/>
          <w:sz w:val="28"/>
          <w:szCs w:val="28"/>
          <w:highlight w:val="none"/>
          <w:lang w:eastAsia="zh-CN"/>
        </w:rPr>
        <w:t>平台</w:t>
      </w:r>
      <w:r>
        <w:rPr>
          <w:rFonts w:hint="eastAsia" w:ascii="宋体" w:hAnsi="宋体"/>
          <w:color w:val="auto"/>
          <w:sz w:val="28"/>
          <w:szCs w:val="28"/>
          <w:highlight w:val="none"/>
        </w:rPr>
        <w:t>已办理企业信息登记及拟担任本工程项目负责人是本企业信息登记中的在册人员。</w:t>
      </w:r>
    </w:p>
    <w:p w14:paraId="4075C73C">
      <w:pPr>
        <w:pStyle w:val="74"/>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三、本公司拟委派</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担任本工程的项目负责人，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担任本工程的技术负责人。</w:t>
      </w:r>
    </w:p>
    <w:p w14:paraId="3D08D096">
      <w:pPr>
        <w:pStyle w:val="74"/>
        <w:ind w:firstLine="560" w:firstLineChars="200"/>
        <w:rPr>
          <w:rFonts w:ascii="宋体" w:hAnsi="宋体"/>
          <w:color w:val="auto"/>
          <w:sz w:val="28"/>
          <w:szCs w:val="28"/>
          <w:highlight w:val="none"/>
        </w:rPr>
      </w:pPr>
      <w:r>
        <w:rPr>
          <w:rFonts w:hint="eastAsia" w:ascii="宋体" w:hAnsi="宋体"/>
          <w:color w:val="auto"/>
          <w:sz w:val="28"/>
          <w:szCs w:val="28"/>
          <w:highlight w:val="none"/>
        </w:rPr>
        <w:t>四、本公司保证在本项目投标中不与其他单位围标、串标，不出让投标资格，不向招标人或评标委员会成员行贿。</w:t>
      </w:r>
    </w:p>
    <w:p w14:paraId="0A2C027B">
      <w:pPr>
        <w:pStyle w:val="74"/>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五、本公司没有处于被责令停业的状态；没有处于被建设行政主管部门取消投标资格的处罚期内；没有处于财产被接管、冻结、破产的状态；在投标资格审查截止日期前</w:t>
      </w:r>
      <w:r>
        <w:rPr>
          <w:rFonts w:hint="eastAsia" w:ascii="宋体" w:hAnsi="宋体"/>
          <w:color w:val="auto"/>
          <w:sz w:val="28"/>
          <w:szCs w:val="28"/>
          <w:highlight w:val="none"/>
          <w:lang w:eastAsia="zh-CN"/>
        </w:rPr>
        <w:t>三</w:t>
      </w:r>
      <w:r>
        <w:rPr>
          <w:rFonts w:hint="eastAsia" w:ascii="宋体" w:hAnsi="宋体"/>
          <w:color w:val="auto"/>
          <w:sz w:val="28"/>
          <w:szCs w:val="28"/>
          <w:highlight w:val="none"/>
        </w:rPr>
        <w:t>年内没有建设行政主管部门、城市园林绿化行业主管部门已书面认定的重大工程质量问题；本公司或公司法定代表人、拟委派的项目负责人在近三年内没有行贿犯罪行为；本公司没有被人民法院列入失信被执行人名单。</w:t>
      </w:r>
    </w:p>
    <w:p w14:paraId="10B50EB3">
      <w:pPr>
        <w:pStyle w:val="74"/>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本公司不存在《全国失信惩戒措施基础清单》惩戒内容为“在一定期限内依法取消参加依法必须进行招标的项目的投标资格”的情形</w:t>
      </w:r>
      <w:r>
        <w:rPr>
          <w:rFonts w:hint="eastAsia" w:ascii="宋体" w:hAnsi="宋体"/>
          <w:color w:val="auto"/>
          <w:sz w:val="28"/>
          <w:szCs w:val="28"/>
          <w:highlight w:val="none"/>
          <w:lang w:eastAsia="zh-CN"/>
        </w:rPr>
        <w:t>：串通投标或以行贿的手段谋取中标，且情节严重的投标人；以他人名义投标或者以其他方式弄虚作假，骗取中标，且情节严重的投标人；不按照与招标人订立的合同履行义务，且情节严重的中标人；被列入拖欠农民工工资失信联合惩戒对象名单的主体</w:t>
      </w:r>
      <w:r>
        <w:rPr>
          <w:rFonts w:hint="eastAsia" w:ascii="宋体" w:hAnsi="宋体"/>
          <w:color w:val="auto"/>
          <w:sz w:val="28"/>
          <w:szCs w:val="28"/>
          <w:highlight w:val="none"/>
        </w:rPr>
        <w:t>。</w:t>
      </w:r>
    </w:p>
    <w:p w14:paraId="0F5E84BC">
      <w:pPr>
        <w:pStyle w:val="74"/>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六、本公司拟委派专职安全员兼任本工程的工地余泥渣土运输与排放管理员，严格遵守建设工程余泥渣土运输与排放管理制度，执行“一不准进、三不准出”规定。选择合法的余泥渣土运输单位及排放点。</w:t>
      </w:r>
    </w:p>
    <w:p w14:paraId="4D94FB30">
      <w:pPr>
        <w:pStyle w:val="74"/>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七、本公司及其有隶属关系的机构没有参加本项目的设计、前期工作、招标文件编写、监理工作；本公司与承担本招标项目监理业务的单位没有隶属关系或其他利害关系。 </w:t>
      </w:r>
    </w:p>
    <w:p w14:paraId="762D89DA">
      <w:pPr>
        <w:pStyle w:val="74"/>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八、本公司保证本项目拟派的项目负责人和</w:t>
      </w:r>
      <w:r>
        <w:rPr>
          <w:rFonts w:hint="eastAsia" w:ascii="宋体" w:hAnsi="宋体"/>
          <w:color w:val="auto"/>
          <w:sz w:val="28"/>
          <w:szCs w:val="28"/>
          <w:highlight w:val="none"/>
          <w:lang w:eastAsia="zh-CN"/>
        </w:rPr>
        <w:t>专职</w:t>
      </w:r>
      <w:r>
        <w:rPr>
          <w:rFonts w:hint="eastAsia" w:ascii="宋体" w:hAnsi="宋体"/>
          <w:color w:val="auto"/>
          <w:sz w:val="28"/>
          <w:szCs w:val="28"/>
          <w:highlight w:val="none"/>
        </w:rPr>
        <w:t>安全员没有在其他在建项目中任职。</w:t>
      </w:r>
    </w:p>
    <w:p w14:paraId="1537F42D">
      <w:pPr>
        <w:pStyle w:val="74"/>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九、本公司保证本项目投标文件编制、解释负责人按招标文件规定完成评标委员会提出的澄清要求（如有）。</w:t>
      </w:r>
    </w:p>
    <w:p w14:paraId="6D46095F">
      <w:pPr>
        <w:pStyle w:val="74"/>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十、我司同意并授权招标人将我司响应招标文件要求的资格能力条件等信息进行公示。</w:t>
      </w:r>
    </w:p>
    <w:p w14:paraId="7B33D970">
      <w:pPr>
        <w:pStyle w:val="74"/>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本公司违反上述保证，或本声明陈述与事实不符，经查实，本公司愿意接受公开通报，记录不良行为，承担由此带来的法律后果，并愿意停止参加广州市行政区域内的招标投标活动三个月。其中，本声明陈述与事实不符的，属于弄虚作假骗取中标，将依法接受监管部门的处罚。</w:t>
      </w:r>
    </w:p>
    <w:p w14:paraId="60C66A82">
      <w:pPr>
        <w:pStyle w:val="74"/>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特此声明</w:t>
      </w:r>
    </w:p>
    <w:p w14:paraId="73F44956">
      <w:pPr>
        <w:pStyle w:val="74"/>
        <w:ind w:firstLine="560" w:firstLineChars="200"/>
        <w:rPr>
          <w:rFonts w:hint="eastAsia" w:ascii="宋体" w:hAnsi="宋体"/>
          <w:color w:val="auto"/>
          <w:sz w:val="28"/>
          <w:szCs w:val="28"/>
          <w:highlight w:val="none"/>
        </w:rPr>
      </w:pPr>
    </w:p>
    <w:p w14:paraId="26F686B4">
      <w:pPr>
        <w:pStyle w:val="74"/>
        <w:ind w:right="140"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法定代表人签字：                       投标人：（盖章）           </w:t>
      </w:r>
    </w:p>
    <w:p w14:paraId="188D5070">
      <w:pPr>
        <w:pStyle w:val="74"/>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项目负责人签字：                       </w:t>
      </w:r>
    </w:p>
    <w:p w14:paraId="7241E20C">
      <w:pPr>
        <w:pStyle w:val="74"/>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技术负责人签字：                         </w:t>
      </w:r>
    </w:p>
    <w:p w14:paraId="600C6386">
      <w:pPr>
        <w:widowControl/>
        <w:spacing w:line="420" w:lineRule="exact"/>
        <w:jc w:val="left"/>
        <w:rPr>
          <w:rFonts w:ascii="宋体" w:hAnsi="宋体" w:eastAsia="宋体"/>
          <w:color w:val="auto"/>
          <w:kern w:val="0"/>
          <w:sz w:val="24"/>
          <w:szCs w:val="24"/>
          <w:highlight w:val="none"/>
        </w:rPr>
        <w:sectPr>
          <w:headerReference r:id="rId18" w:type="default"/>
          <w:footerReference r:id="rId19" w:type="default"/>
          <w:endnotePr>
            <w:numFmt w:val="decimal"/>
          </w:endnotePr>
          <w:pgSz w:w="11850" w:h="16783"/>
          <w:pgMar w:top="1440" w:right="1418" w:bottom="1440" w:left="1418" w:header="851" w:footer="907" w:gutter="0"/>
          <w:pgNumType w:fmt="decimal"/>
          <w:cols w:space="720" w:num="1"/>
        </w:sectPr>
      </w:pPr>
      <w:r>
        <w:rPr>
          <w:rFonts w:hint="eastAsia" w:ascii="宋体" w:hAnsi="宋体"/>
          <w:color w:val="auto"/>
          <w:sz w:val="28"/>
          <w:szCs w:val="28"/>
          <w:highlight w:val="none"/>
        </w:rPr>
        <w:t xml:space="preserve">                                           </w:t>
      </w:r>
      <w:r>
        <w:rPr>
          <w:rFonts w:hint="eastAsia" w:ascii="宋体" w:hAnsi="宋体" w:eastAsia="仿宋_GB2312"/>
          <w:color w:val="auto"/>
          <w:kern w:val="0"/>
          <w:sz w:val="28"/>
          <w:szCs w:val="28"/>
          <w:highlight w:val="none"/>
        </w:rPr>
        <w:t>年   月   日</w:t>
      </w:r>
    </w:p>
    <w:p w14:paraId="38110456">
      <w:pPr>
        <w:outlineLvl w:val="2"/>
        <w:rPr>
          <w:rFonts w:ascii="宋体" w:hAnsi="宋体" w:eastAsia="宋体"/>
          <w:color w:val="auto"/>
          <w:sz w:val="24"/>
          <w:szCs w:val="24"/>
          <w:highlight w:val="none"/>
        </w:rPr>
      </w:pPr>
      <w:bookmarkStart w:id="181" w:name="_Toc4231"/>
      <w:bookmarkStart w:id="182" w:name="_Toc20671"/>
      <w:bookmarkStart w:id="183" w:name="_Toc31234"/>
      <w:bookmarkStart w:id="184" w:name="_Toc26771"/>
      <w:bookmarkStart w:id="185" w:name="_Toc14047"/>
      <w:bookmarkStart w:id="186" w:name="_Toc24034"/>
      <w:bookmarkStart w:id="187" w:name="_Toc10089"/>
      <w:bookmarkStart w:id="188" w:name="_Toc152045791"/>
      <w:bookmarkStart w:id="189" w:name="_Toc247514283"/>
      <w:bookmarkStart w:id="190" w:name="_Toc507162845"/>
      <w:bookmarkStart w:id="191" w:name="_Toc144974860"/>
      <w:bookmarkStart w:id="192" w:name="_Toc300835213"/>
      <w:bookmarkStart w:id="193" w:name="_Toc152042580"/>
      <w:bookmarkStart w:id="194" w:name="_Toc247527831"/>
      <w:bookmarkStart w:id="195" w:name="_Toc507590785"/>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15</w:t>
      </w:r>
      <w:r>
        <w:rPr>
          <w:rFonts w:hint="eastAsia" w:ascii="宋体" w:hAnsi="宋体" w:eastAsia="宋体"/>
          <w:color w:val="auto"/>
          <w:sz w:val="24"/>
          <w:szCs w:val="24"/>
          <w:highlight w:val="none"/>
        </w:rPr>
        <w:t xml:space="preserve"> 法人代表证明书及法定代表人授权书</w:t>
      </w:r>
      <w:bookmarkEnd w:id="181"/>
      <w:bookmarkEnd w:id="182"/>
      <w:bookmarkEnd w:id="183"/>
      <w:bookmarkEnd w:id="184"/>
      <w:bookmarkEnd w:id="185"/>
      <w:bookmarkEnd w:id="186"/>
      <w:bookmarkEnd w:id="187"/>
    </w:p>
    <w:p w14:paraId="3642E11B">
      <w:pPr>
        <w:adjustRightInd w:val="0"/>
        <w:snapToGrid w:val="0"/>
        <w:spacing w:line="360" w:lineRule="auto"/>
        <w:jc w:val="center"/>
        <w:rPr>
          <w:rFonts w:hint="eastAsia" w:ascii="宋体" w:hAnsi="宋体"/>
          <w:b/>
          <w:color w:val="auto"/>
          <w:sz w:val="32"/>
          <w:highlight w:val="none"/>
        </w:rPr>
      </w:pPr>
    </w:p>
    <w:p w14:paraId="3A6B94C9">
      <w:pPr>
        <w:adjustRightInd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法定代表人证明</w:t>
      </w:r>
      <w:bookmarkEnd w:id="188"/>
      <w:bookmarkEnd w:id="189"/>
      <w:bookmarkEnd w:id="190"/>
      <w:bookmarkEnd w:id="191"/>
      <w:bookmarkEnd w:id="192"/>
      <w:bookmarkEnd w:id="193"/>
      <w:bookmarkEnd w:id="194"/>
      <w:bookmarkEnd w:id="195"/>
      <w:r>
        <w:rPr>
          <w:rFonts w:hint="eastAsia" w:ascii="宋体" w:hAnsi="宋体" w:eastAsia="宋体" w:cs="宋体"/>
          <w:b/>
          <w:color w:val="auto"/>
          <w:sz w:val="32"/>
          <w:highlight w:val="none"/>
        </w:rPr>
        <w:t>书</w:t>
      </w:r>
    </w:p>
    <w:p w14:paraId="266D0B11">
      <w:pPr>
        <w:adjustRightInd w:val="0"/>
        <w:snapToGrid w:val="0"/>
        <w:spacing w:line="360" w:lineRule="auto"/>
        <w:ind w:firstLine="400" w:firstLineChars="200"/>
        <w:rPr>
          <w:rFonts w:hint="eastAsia" w:ascii="宋体" w:hAnsi="宋体" w:eastAsia="宋体" w:cs="宋体"/>
          <w:color w:val="auto"/>
          <w:sz w:val="20"/>
          <w:highlight w:val="none"/>
        </w:rPr>
      </w:pPr>
    </w:p>
    <w:p w14:paraId="62F3F6F5">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311DCEDE">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职务，为我单位法定代表人，特此证明。</w:t>
      </w:r>
    </w:p>
    <w:p w14:paraId="1C14EA0C">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有效期限：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E18E3C3">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01BE578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29DFFB0">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企业统一社会信用代码：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，企业类型：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6F5CF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4F821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14:paraId="2FDB328F">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6A8AE4B0">
      <w:pPr>
        <w:adjustRightInd w:val="0"/>
        <w:snapToGrid w:val="0"/>
        <w:spacing w:line="360" w:lineRule="auto"/>
        <w:rPr>
          <w:rFonts w:hint="eastAsia" w:ascii="宋体" w:hAnsi="宋体" w:eastAsia="宋体" w:cs="宋体"/>
          <w:color w:val="auto"/>
          <w:sz w:val="24"/>
          <w:szCs w:val="24"/>
          <w:highlight w:val="none"/>
        </w:rPr>
      </w:pPr>
    </w:p>
    <w:p w14:paraId="7B4D2BEA">
      <w:pPr>
        <w:adjustRightInd w:val="0"/>
        <w:snapToGrid w:val="0"/>
        <w:spacing w:line="360" w:lineRule="auto"/>
        <w:rPr>
          <w:rFonts w:hint="eastAsia" w:ascii="宋体" w:hAnsi="宋体" w:eastAsia="宋体" w:cs="宋体"/>
          <w:color w:val="auto"/>
          <w:sz w:val="24"/>
          <w:szCs w:val="24"/>
          <w:highlight w:val="none"/>
        </w:rPr>
      </w:pPr>
    </w:p>
    <w:p w14:paraId="2D40D3B9">
      <w:pPr>
        <w:adjustRightInd w:val="0"/>
        <w:snapToGrid w:val="0"/>
        <w:spacing w:line="360" w:lineRule="auto"/>
        <w:rPr>
          <w:rFonts w:hint="eastAsia" w:ascii="宋体" w:hAnsi="宋体" w:eastAsia="宋体" w:cs="宋体"/>
          <w:color w:val="auto"/>
          <w:sz w:val="24"/>
          <w:szCs w:val="24"/>
          <w:highlight w:val="none"/>
        </w:rPr>
      </w:pPr>
    </w:p>
    <w:p w14:paraId="7268AF63">
      <w:pPr>
        <w:adjustRightInd w:val="0"/>
        <w:snapToGrid w:val="0"/>
        <w:spacing w:line="360" w:lineRule="auto"/>
        <w:rPr>
          <w:rFonts w:hint="eastAsia" w:ascii="宋体" w:hAnsi="宋体" w:eastAsia="宋体" w:cs="宋体"/>
          <w:color w:val="auto"/>
          <w:sz w:val="24"/>
          <w:szCs w:val="24"/>
          <w:highlight w:val="none"/>
        </w:rPr>
      </w:pPr>
    </w:p>
    <w:p w14:paraId="2D7B204B">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投标人：（盖章）</w:t>
      </w:r>
      <w:r>
        <w:rPr>
          <w:rFonts w:hint="eastAsia" w:ascii="宋体" w:hAnsi="宋体" w:eastAsia="宋体" w:cs="宋体"/>
          <w:color w:val="auto"/>
          <w:sz w:val="24"/>
          <w:szCs w:val="24"/>
          <w:highlight w:val="none"/>
          <w:u w:val="single"/>
        </w:rPr>
        <w:t xml:space="preserve">                               </w:t>
      </w:r>
    </w:p>
    <w:p w14:paraId="0065A36D">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p>
    <w:p w14:paraId="67D5769E">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p>
    <w:p w14:paraId="5DFCB05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0CA7FA0">
      <w:pPr>
        <w:adjustRightInd w:val="0"/>
        <w:snapToGrid w:val="0"/>
        <w:spacing w:line="360" w:lineRule="auto"/>
        <w:ind w:firstLine="480" w:firstLineChars="200"/>
        <w:jc w:val="center"/>
        <w:rPr>
          <w:rFonts w:hint="eastAsia" w:ascii="宋体" w:hAnsi="宋体" w:eastAsia="宋体" w:cs="宋体"/>
          <w:color w:val="auto"/>
          <w:sz w:val="24"/>
          <w:szCs w:val="24"/>
          <w:highlight w:val="none"/>
          <w:u w:val="single"/>
        </w:rPr>
      </w:pPr>
    </w:p>
    <w:p w14:paraId="5892C312">
      <w:pPr>
        <w:adjustRightInd w:val="0"/>
        <w:snapToGri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br w:type="page"/>
      </w:r>
      <w:bookmarkStart w:id="196" w:name="_Toc507590786"/>
      <w:bookmarkStart w:id="197" w:name="_Toc247527832"/>
      <w:bookmarkStart w:id="198" w:name="_Toc144974861"/>
      <w:bookmarkStart w:id="199" w:name="_Toc247514284"/>
      <w:bookmarkStart w:id="200" w:name="_Toc507162846"/>
      <w:bookmarkStart w:id="201" w:name="_Toc300835214"/>
      <w:bookmarkStart w:id="202" w:name="_Toc152042581"/>
      <w:bookmarkStart w:id="203" w:name="_Toc152045792"/>
    </w:p>
    <w:p w14:paraId="535BA981">
      <w:pPr>
        <w:adjustRightInd w:val="0"/>
        <w:snapToGrid w:val="0"/>
        <w:spacing w:line="360" w:lineRule="auto"/>
        <w:ind w:firstLine="643" w:firstLineChars="20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法定代表人授权书</w:t>
      </w:r>
      <w:bookmarkEnd w:id="196"/>
      <w:bookmarkEnd w:id="197"/>
      <w:bookmarkEnd w:id="198"/>
      <w:bookmarkEnd w:id="199"/>
      <w:bookmarkEnd w:id="200"/>
      <w:bookmarkEnd w:id="201"/>
      <w:bookmarkEnd w:id="202"/>
      <w:bookmarkEnd w:id="203"/>
    </w:p>
    <w:p w14:paraId="33A166F6">
      <w:pPr>
        <w:adjustRightInd w:val="0"/>
        <w:snapToGrid w:val="0"/>
        <w:spacing w:line="360" w:lineRule="auto"/>
        <w:ind w:firstLine="480" w:firstLineChars="200"/>
        <w:rPr>
          <w:rFonts w:hint="eastAsia" w:ascii="宋体" w:hAnsi="宋体" w:eastAsia="宋体" w:cs="宋体"/>
          <w:color w:val="auto"/>
          <w:sz w:val="24"/>
          <w:highlight w:val="none"/>
        </w:rPr>
      </w:pPr>
    </w:p>
    <w:p w14:paraId="1BBAFCD4">
      <w:pPr>
        <w:topLinePunct/>
        <w:adjustRightInd w:val="0"/>
        <w:snapToGrid w:val="0"/>
        <w:spacing w:line="360" w:lineRule="auto"/>
        <w:ind w:firstLine="480" w:firstLineChars="200"/>
        <w:rPr>
          <w:rFonts w:hint="eastAsia" w:ascii="宋体" w:hAnsi="宋体" w:eastAsia="宋体" w:cs="宋体"/>
          <w:color w:val="auto"/>
          <w:sz w:val="24"/>
          <w:highlight w:val="none"/>
        </w:rPr>
      </w:pPr>
    </w:p>
    <w:p w14:paraId="4781FA36">
      <w:pPr>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rPr>
        <w:t>（姓名）为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rPr>
        <w:t>（投标人名称）的法定代表人，现授</w:t>
      </w:r>
    </w:p>
    <w:p w14:paraId="7B214219">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（姓名）为我方委托代理人。委托代理人根据授权，以我方名义签署、澄清、说明、补正、递交、撤回、修改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（项目名称）投标文件，并处理有关事宜，其法律后果由我方承担。委托代理人无转委托权。</w:t>
      </w:r>
    </w:p>
    <w:p w14:paraId="3156C5F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有效期限：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3B2DE29">
      <w:pPr>
        <w:adjustRightInd w:val="0"/>
        <w:snapToGrid w:val="0"/>
        <w:spacing w:line="360" w:lineRule="auto"/>
        <w:rPr>
          <w:rFonts w:hint="eastAsia" w:ascii="宋体" w:hAnsi="宋体" w:eastAsia="宋体" w:cs="宋体"/>
          <w:color w:val="auto"/>
          <w:sz w:val="24"/>
          <w:highlight w:val="none"/>
        </w:rPr>
      </w:pPr>
    </w:p>
    <w:p w14:paraId="69F0487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C3EF27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附：委托代理人身份证复印件</w:t>
      </w:r>
    </w:p>
    <w:p w14:paraId="739EB998">
      <w:pPr>
        <w:adjustRightInd w:val="0"/>
        <w:snapToGrid w:val="0"/>
        <w:spacing w:line="360" w:lineRule="auto"/>
        <w:rPr>
          <w:rFonts w:hint="eastAsia" w:ascii="宋体" w:hAnsi="宋体" w:eastAsia="宋体" w:cs="宋体"/>
          <w:color w:val="auto"/>
          <w:sz w:val="24"/>
          <w:highlight w:val="none"/>
        </w:rPr>
      </w:pPr>
    </w:p>
    <w:p w14:paraId="49DEA7C6">
      <w:pPr>
        <w:adjustRightInd w:val="0"/>
        <w:snapToGrid w:val="0"/>
        <w:spacing w:line="360" w:lineRule="auto"/>
        <w:rPr>
          <w:rFonts w:hint="eastAsia" w:ascii="宋体" w:hAnsi="宋体" w:eastAsia="宋体" w:cs="宋体"/>
          <w:color w:val="auto"/>
          <w:sz w:val="24"/>
          <w:highlight w:val="none"/>
        </w:rPr>
      </w:pPr>
    </w:p>
    <w:p w14:paraId="376EBCCA">
      <w:pPr>
        <w:adjustRightInd w:val="0"/>
        <w:snapToGrid w:val="0"/>
        <w:spacing w:line="360" w:lineRule="auto"/>
        <w:rPr>
          <w:rFonts w:hint="eastAsia" w:ascii="宋体" w:hAnsi="宋体" w:eastAsia="宋体" w:cs="宋体"/>
          <w:color w:val="auto"/>
          <w:sz w:val="24"/>
          <w:highlight w:val="none"/>
        </w:rPr>
      </w:pPr>
    </w:p>
    <w:p w14:paraId="67C51A36">
      <w:pPr>
        <w:adjustRightInd w:val="0"/>
        <w:snapToGrid w:val="0"/>
        <w:spacing w:line="360" w:lineRule="auto"/>
        <w:rPr>
          <w:rFonts w:hint="eastAsia" w:ascii="宋体" w:hAnsi="宋体" w:eastAsia="宋体" w:cs="宋体"/>
          <w:color w:val="auto"/>
          <w:sz w:val="24"/>
          <w:highlight w:val="none"/>
        </w:rPr>
      </w:pPr>
    </w:p>
    <w:p w14:paraId="57D2382C">
      <w:pPr>
        <w:adjustRightInd w:val="0"/>
        <w:snapToGrid w:val="0"/>
        <w:spacing w:line="360" w:lineRule="auto"/>
        <w:rPr>
          <w:rFonts w:hint="eastAsia" w:ascii="宋体" w:hAnsi="宋体" w:eastAsia="宋体" w:cs="宋体"/>
          <w:color w:val="auto"/>
          <w:sz w:val="24"/>
          <w:highlight w:val="none"/>
        </w:rPr>
      </w:pPr>
    </w:p>
    <w:p w14:paraId="14E5731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投标人：（盖章）</w:t>
      </w:r>
      <w:r>
        <w:rPr>
          <w:rFonts w:hint="eastAsia" w:ascii="宋体" w:hAnsi="宋体" w:eastAsia="宋体" w:cs="宋体"/>
          <w:color w:val="auto"/>
          <w:sz w:val="24"/>
          <w:highlight w:val="none"/>
          <w:u w:val="single"/>
        </w:rPr>
        <w:t xml:space="preserve">                                           </w:t>
      </w:r>
    </w:p>
    <w:p w14:paraId="30969A3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p>
    <w:p w14:paraId="63C530D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委托代理人：（签字或盖章）</w:t>
      </w:r>
      <w:r>
        <w:rPr>
          <w:rFonts w:hint="eastAsia" w:ascii="宋体" w:hAnsi="宋体" w:eastAsia="宋体" w:cs="宋体"/>
          <w:color w:val="auto"/>
          <w:sz w:val="24"/>
          <w:highlight w:val="none"/>
          <w:u w:val="single"/>
        </w:rPr>
        <w:t xml:space="preserve">                                 </w:t>
      </w:r>
    </w:p>
    <w:p w14:paraId="21093DEA">
      <w:pPr>
        <w:adjustRightInd w:val="0"/>
        <w:snapToGrid w:val="0"/>
        <w:spacing w:line="360" w:lineRule="auto"/>
        <w:ind w:firstLine="480" w:firstLineChars="200"/>
        <w:rPr>
          <w:rFonts w:hint="eastAsia" w:ascii="宋体" w:hAnsi="宋体" w:eastAsia="宋体" w:cs="宋体"/>
          <w:color w:val="auto"/>
          <w:sz w:val="24"/>
          <w:highlight w:val="none"/>
        </w:rPr>
      </w:pPr>
    </w:p>
    <w:p w14:paraId="5E1B2193">
      <w:pPr>
        <w:adjustRightInd w:val="0"/>
        <w:snapToGrid w:val="0"/>
        <w:spacing w:line="360" w:lineRule="auto"/>
        <w:ind w:firstLine="480" w:firstLineChars="200"/>
        <w:rPr>
          <w:rFonts w:hint="eastAsia" w:ascii="宋体" w:hAnsi="宋体" w:eastAsia="宋体" w:cs="宋体"/>
          <w:color w:val="auto"/>
          <w:sz w:val="24"/>
          <w:highlight w:val="none"/>
        </w:rPr>
      </w:pPr>
    </w:p>
    <w:p w14:paraId="2F8060DE">
      <w:pPr>
        <w:adjustRightInd w:val="0"/>
        <w:snapToGrid w:val="0"/>
        <w:spacing w:line="360" w:lineRule="auto"/>
        <w:ind w:firstLine="480" w:firstLineChars="200"/>
        <w:rPr>
          <w:rFonts w:hint="eastAsia" w:ascii="宋体" w:hAnsi="宋体" w:eastAsia="宋体" w:cs="宋体"/>
          <w:color w:val="auto"/>
          <w:sz w:val="24"/>
          <w:highlight w:val="none"/>
        </w:rPr>
      </w:pPr>
    </w:p>
    <w:p w14:paraId="2B142B65">
      <w:pPr>
        <w:adjustRightInd w:val="0"/>
        <w:snapToGrid w:val="0"/>
        <w:spacing w:line="360" w:lineRule="auto"/>
        <w:ind w:firstLine="4320" w:firstLineChars="18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1A80222">
      <w:pPr>
        <w:pStyle w:val="32"/>
        <w:rPr>
          <w:rFonts w:hint="eastAsia"/>
          <w:color w:val="auto"/>
          <w:highlight w:val="none"/>
        </w:rPr>
        <w:sectPr>
          <w:pgSz w:w="11850" w:h="16783"/>
          <w:pgMar w:top="1417" w:right="1290" w:bottom="1417" w:left="1290" w:header="851" w:footer="992" w:gutter="0"/>
          <w:pgNumType w:fmt="decimal"/>
          <w:cols w:space="720" w:num="1"/>
          <w:docGrid w:type="lines" w:linePitch="312" w:charSpace="0"/>
        </w:sectPr>
      </w:pPr>
    </w:p>
    <w:p w14:paraId="51644B06">
      <w:pPr>
        <w:outlineLvl w:val="2"/>
        <w:rPr>
          <w:rFonts w:hint="eastAsia" w:ascii="宋体" w:hAnsi="宋体" w:eastAsia="宋体" w:cs="宋体"/>
          <w:color w:val="auto"/>
          <w:sz w:val="24"/>
          <w:szCs w:val="24"/>
          <w:highlight w:val="none"/>
        </w:rPr>
      </w:pPr>
      <w:bookmarkStart w:id="204" w:name="_第五章__技术条件（工程建设标准）"/>
      <w:bookmarkEnd w:id="204"/>
      <w:bookmarkStart w:id="205" w:name="_Toc27883"/>
      <w:bookmarkStart w:id="206" w:name="_Toc19497"/>
      <w:bookmarkStart w:id="207" w:name="_Toc24517"/>
      <w:bookmarkStart w:id="208" w:name="_Toc30014"/>
      <w:bookmarkStart w:id="209" w:name="_Toc26218"/>
      <w:bookmarkStart w:id="210" w:name="_Toc25823"/>
      <w:bookmarkStart w:id="211" w:name="_Toc3717"/>
      <w:bookmarkStart w:id="212" w:name="_Toc31891"/>
      <w:bookmarkStart w:id="213" w:name="_Toc6556"/>
      <w:bookmarkStart w:id="214" w:name="_Toc8666"/>
      <w:bookmarkStart w:id="215" w:name="_Toc262229176"/>
      <w:bookmarkStart w:id="216" w:name="_Toc23174"/>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项目经理部组成人员配备表</w:t>
      </w:r>
      <w:bookmarkEnd w:id="205"/>
    </w:p>
    <w:p w14:paraId="13D91E9B">
      <w:pPr>
        <w:adjustRightInd w:val="0"/>
        <w:snapToGrid w:val="0"/>
        <w:spacing w:line="360" w:lineRule="auto"/>
        <w:jc w:val="center"/>
        <w:rPr>
          <w:rFonts w:hint="eastAsia" w:ascii="宋体" w:hAnsi="宋体" w:eastAsia="宋体" w:cs="宋体"/>
          <w:b/>
          <w:color w:val="auto"/>
          <w:sz w:val="32"/>
          <w:szCs w:val="22"/>
          <w:highlight w:val="none"/>
        </w:rPr>
      </w:pPr>
    </w:p>
    <w:p w14:paraId="7AD8A3A1">
      <w:pPr>
        <w:adjustRightInd w:val="0"/>
        <w:snapToGrid w:val="0"/>
        <w:spacing w:line="360" w:lineRule="auto"/>
        <w:jc w:val="center"/>
        <w:rPr>
          <w:rFonts w:hint="eastAsia" w:ascii="宋体" w:hAnsi="宋体" w:eastAsia="宋体" w:cs="宋体"/>
          <w:b/>
          <w:color w:val="auto"/>
          <w:sz w:val="32"/>
          <w:szCs w:val="22"/>
          <w:highlight w:val="none"/>
        </w:rPr>
      </w:pPr>
      <w:r>
        <w:rPr>
          <w:rFonts w:hint="eastAsia" w:ascii="宋体" w:hAnsi="宋体" w:eastAsia="宋体" w:cs="宋体"/>
          <w:b/>
          <w:color w:val="auto"/>
          <w:sz w:val="32"/>
          <w:szCs w:val="22"/>
          <w:highlight w:val="none"/>
        </w:rPr>
        <w:t>项目经理部组成人员配备表</w:t>
      </w:r>
    </w:p>
    <w:tbl>
      <w:tblPr>
        <w:tblStyle w:val="34"/>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397"/>
        <w:gridCol w:w="397"/>
        <w:gridCol w:w="397"/>
        <w:gridCol w:w="790"/>
        <w:gridCol w:w="1717"/>
        <w:gridCol w:w="954"/>
        <w:gridCol w:w="723"/>
        <w:gridCol w:w="2141"/>
        <w:gridCol w:w="843"/>
      </w:tblGrid>
      <w:tr w14:paraId="2316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blHeader/>
        </w:trPr>
        <w:tc>
          <w:tcPr>
            <w:tcW w:w="398" w:type="dxa"/>
            <w:noWrap w:val="0"/>
            <w:vAlign w:val="center"/>
          </w:tcPr>
          <w:p w14:paraId="05DA801E">
            <w:pPr>
              <w:widowControl/>
              <w:spacing w:after="200"/>
              <w:jc w:val="center"/>
              <w:rPr>
                <w:rFonts w:hint="eastAsia" w:ascii="宋体" w:hAnsi="宋体" w:eastAsia="宋体" w:cs="宋体"/>
                <w:b/>
                <w:color w:val="auto"/>
                <w:kern w:val="0"/>
                <w:szCs w:val="21"/>
                <w:highlight w:val="none"/>
                <w:lang w:eastAsia="en-US" w:bidi="en-US"/>
              </w:rPr>
            </w:pPr>
            <w:r>
              <w:rPr>
                <w:rFonts w:hint="eastAsia" w:ascii="宋体" w:hAnsi="宋体" w:eastAsia="宋体" w:cs="宋体"/>
                <w:b/>
                <w:color w:val="auto"/>
                <w:kern w:val="0"/>
                <w:szCs w:val="21"/>
                <w:highlight w:val="none"/>
                <w:lang w:eastAsia="en-US" w:bidi="en-US"/>
              </w:rPr>
              <w:t>序号</w:t>
            </w:r>
          </w:p>
        </w:tc>
        <w:tc>
          <w:tcPr>
            <w:tcW w:w="397" w:type="dxa"/>
            <w:noWrap w:val="0"/>
            <w:vAlign w:val="center"/>
          </w:tcPr>
          <w:p w14:paraId="55BD4C34">
            <w:pPr>
              <w:widowControl/>
              <w:spacing w:after="200"/>
              <w:jc w:val="center"/>
              <w:rPr>
                <w:rFonts w:hint="eastAsia" w:ascii="宋体" w:hAnsi="宋体" w:eastAsia="宋体" w:cs="宋体"/>
                <w:b/>
                <w:color w:val="auto"/>
                <w:kern w:val="0"/>
                <w:szCs w:val="21"/>
                <w:highlight w:val="none"/>
                <w:lang w:eastAsia="en-US" w:bidi="en-US"/>
              </w:rPr>
            </w:pPr>
            <w:r>
              <w:rPr>
                <w:rFonts w:hint="eastAsia" w:ascii="宋体" w:hAnsi="宋体" w:eastAsia="宋体" w:cs="宋体"/>
                <w:b/>
                <w:color w:val="auto"/>
                <w:kern w:val="0"/>
                <w:szCs w:val="21"/>
                <w:highlight w:val="none"/>
                <w:lang w:eastAsia="en-US" w:bidi="en-US"/>
              </w:rPr>
              <w:t>姓名</w:t>
            </w:r>
          </w:p>
        </w:tc>
        <w:tc>
          <w:tcPr>
            <w:tcW w:w="397" w:type="dxa"/>
            <w:noWrap w:val="0"/>
            <w:vAlign w:val="center"/>
          </w:tcPr>
          <w:p w14:paraId="5D988C10">
            <w:pPr>
              <w:widowControl/>
              <w:spacing w:after="200"/>
              <w:jc w:val="center"/>
              <w:rPr>
                <w:rFonts w:hint="eastAsia" w:ascii="宋体" w:hAnsi="宋体" w:eastAsia="宋体" w:cs="宋体"/>
                <w:b/>
                <w:color w:val="auto"/>
                <w:kern w:val="0"/>
                <w:szCs w:val="21"/>
                <w:highlight w:val="none"/>
                <w:lang w:eastAsia="en-US" w:bidi="en-US"/>
              </w:rPr>
            </w:pPr>
            <w:r>
              <w:rPr>
                <w:rFonts w:hint="eastAsia" w:ascii="宋体" w:hAnsi="宋体" w:eastAsia="宋体" w:cs="宋体"/>
                <w:b/>
                <w:color w:val="auto"/>
                <w:kern w:val="0"/>
                <w:szCs w:val="21"/>
                <w:highlight w:val="none"/>
                <w:lang w:eastAsia="en-US" w:bidi="en-US"/>
              </w:rPr>
              <w:t>年龄</w:t>
            </w:r>
          </w:p>
        </w:tc>
        <w:tc>
          <w:tcPr>
            <w:tcW w:w="397" w:type="dxa"/>
            <w:noWrap w:val="0"/>
            <w:vAlign w:val="center"/>
          </w:tcPr>
          <w:p w14:paraId="34491BF3">
            <w:pPr>
              <w:widowControl/>
              <w:spacing w:after="200"/>
              <w:jc w:val="center"/>
              <w:rPr>
                <w:rFonts w:hint="eastAsia" w:ascii="宋体" w:hAnsi="宋体" w:eastAsia="宋体" w:cs="宋体"/>
                <w:b/>
                <w:color w:val="auto"/>
                <w:kern w:val="0"/>
                <w:szCs w:val="21"/>
                <w:highlight w:val="none"/>
                <w:lang w:eastAsia="en-US" w:bidi="en-US"/>
              </w:rPr>
            </w:pPr>
            <w:r>
              <w:rPr>
                <w:rFonts w:hint="eastAsia" w:ascii="宋体" w:hAnsi="宋体" w:eastAsia="宋体" w:cs="宋体"/>
                <w:b/>
                <w:color w:val="auto"/>
                <w:kern w:val="0"/>
                <w:szCs w:val="21"/>
                <w:highlight w:val="none"/>
                <w:lang w:eastAsia="en-US" w:bidi="en-US"/>
              </w:rPr>
              <w:t>职称</w:t>
            </w:r>
          </w:p>
        </w:tc>
        <w:tc>
          <w:tcPr>
            <w:tcW w:w="790" w:type="dxa"/>
            <w:noWrap w:val="0"/>
            <w:vAlign w:val="center"/>
          </w:tcPr>
          <w:p w14:paraId="437B67D8">
            <w:pPr>
              <w:widowControl/>
              <w:spacing w:after="200"/>
              <w:jc w:val="center"/>
              <w:rPr>
                <w:rFonts w:hint="eastAsia" w:ascii="宋体" w:hAnsi="宋体" w:eastAsia="宋体" w:cs="宋体"/>
                <w:b/>
                <w:color w:val="auto"/>
                <w:kern w:val="0"/>
                <w:szCs w:val="21"/>
                <w:highlight w:val="none"/>
                <w:lang w:eastAsia="en-US" w:bidi="en-US"/>
              </w:rPr>
            </w:pPr>
            <w:r>
              <w:rPr>
                <w:rFonts w:hint="eastAsia" w:ascii="宋体" w:hAnsi="宋体" w:eastAsia="宋体" w:cs="宋体"/>
                <w:b/>
                <w:color w:val="auto"/>
                <w:kern w:val="0"/>
                <w:szCs w:val="21"/>
                <w:highlight w:val="none"/>
                <w:lang w:eastAsia="en-US" w:bidi="en-US"/>
              </w:rPr>
              <w:t>原任职务</w:t>
            </w:r>
          </w:p>
        </w:tc>
        <w:tc>
          <w:tcPr>
            <w:tcW w:w="1717" w:type="dxa"/>
            <w:noWrap w:val="0"/>
            <w:vAlign w:val="center"/>
          </w:tcPr>
          <w:p w14:paraId="0776E0BE">
            <w:pPr>
              <w:widowControl/>
              <w:spacing w:after="200"/>
              <w:jc w:val="center"/>
              <w:rPr>
                <w:rFonts w:hint="eastAsia" w:ascii="宋体" w:hAnsi="宋体" w:eastAsia="宋体" w:cs="宋体"/>
                <w:b/>
                <w:color w:val="auto"/>
                <w:kern w:val="0"/>
                <w:szCs w:val="21"/>
                <w:highlight w:val="none"/>
                <w:lang w:eastAsia="en-US" w:bidi="en-US"/>
              </w:rPr>
            </w:pPr>
            <w:r>
              <w:rPr>
                <w:rFonts w:hint="eastAsia" w:ascii="宋体" w:hAnsi="宋体" w:eastAsia="宋体" w:cs="宋体"/>
                <w:b/>
                <w:color w:val="auto"/>
                <w:kern w:val="0"/>
                <w:szCs w:val="21"/>
                <w:highlight w:val="none"/>
                <w:lang w:eastAsia="en-US" w:bidi="en-US"/>
              </w:rPr>
              <w:t>在本项目任职</w:t>
            </w:r>
          </w:p>
        </w:tc>
        <w:tc>
          <w:tcPr>
            <w:tcW w:w="954" w:type="dxa"/>
            <w:noWrap w:val="0"/>
            <w:vAlign w:val="center"/>
          </w:tcPr>
          <w:p w14:paraId="3284B02E">
            <w:pPr>
              <w:widowControl/>
              <w:spacing w:after="200"/>
              <w:jc w:val="center"/>
              <w:rPr>
                <w:rFonts w:hint="eastAsia" w:ascii="宋体" w:hAnsi="宋体" w:eastAsia="宋体" w:cs="宋体"/>
                <w:b/>
                <w:color w:val="auto"/>
                <w:kern w:val="0"/>
                <w:szCs w:val="21"/>
                <w:highlight w:val="none"/>
                <w:lang w:eastAsia="en-US" w:bidi="en-US"/>
              </w:rPr>
            </w:pPr>
            <w:r>
              <w:rPr>
                <w:rFonts w:hint="eastAsia" w:ascii="宋体" w:hAnsi="宋体" w:eastAsia="宋体" w:cs="宋体"/>
                <w:b/>
                <w:color w:val="auto"/>
                <w:kern w:val="0"/>
                <w:szCs w:val="21"/>
                <w:highlight w:val="none"/>
                <w:lang w:eastAsia="en-US" w:bidi="en-US"/>
              </w:rPr>
              <w:t>身份证号码</w:t>
            </w:r>
          </w:p>
        </w:tc>
        <w:tc>
          <w:tcPr>
            <w:tcW w:w="723" w:type="dxa"/>
            <w:noWrap w:val="0"/>
            <w:vAlign w:val="center"/>
          </w:tcPr>
          <w:p w14:paraId="674DF726">
            <w:pPr>
              <w:widowControl/>
              <w:spacing w:after="200"/>
              <w:jc w:val="center"/>
              <w:rPr>
                <w:rFonts w:hint="eastAsia" w:ascii="宋体" w:hAnsi="宋体" w:eastAsia="宋体" w:cs="宋体"/>
                <w:b/>
                <w:color w:val="auto"/>
                <w:kern w:val="0"/>
                <w:szCs w:val="21"/>
                <w:highlight w:val="none"/>
                <w:lang w:eastAsia="en-US" w:bidi="en-US"/>
              </w:rPr>
            </w:pPr>
            <w:r>
              <w:rPr>
                <w:rFonts w:hint="eastAsia" w:ascii="宋体" w:hAnsi="宋体" w:eastAsia="宋体" w:cs="宋体"/>
                <w:b/>
                <w:color w:val="auto"/>
                <w:kern w:val="0"/>
                <w:szCs w:val="21"/>
                <w:highlight w:val="none"/>
                <w:lang w:eastAsia="en-US" w:bidi="en-US"/>
              </w:rPr>
              <w:t>数量</w:t>
            </w:r>
          </w:p>
        </w:tc>
        <w:tc>
          <w:tcPr>
            <w:tcW w:w="2141" w:type="dxa"/>
            <w:noWrap w:val="0"/>
            <w:vAlign w:val="center"/>
          </w:tcPr>
          <w:p w14:paraId="029E8A2D">
            <w:pPr>
              <w:widowControl/>
              <w:spacing w:after="200"/>
              <w:jc w:val="center"/>
              <w:rPr>
                <w:rFonts w:hint="eastAsia" w:ascii="宋体" w:hAnsi="宋体" w:eastAsia="宋体" w:cs="宋体"/>
                <w:b/>
                <w:color w:val="auto"/>
                <w:kern w:val="0"/>
                <w:szCs w:val="21"/>
                <w:highlight w:val="none"/>
                <w:lang w:eastAsia="en-US" w:bidi="en-US"/>
              </w:rPr>
            </w:pPr>
            <w:r>
              <w:rPr>
                <w:rFonts w:hint="eastAsia" w:ascii="宋体" w:hAnsi="宋体" w:eastAsia="宋体" w:cs="宋体"/>
                <w:b/>
                <w:color w:val="auto"/>
                <w:kern w:val="0"/>
                <w:szCs w:val="21"/>
                <w:highlight w:val="none"/>
                <w:lang w:eastAsia="en-US" w:bidi="en-US"/>
              </w:rPr>
              <w:t>资</w:t>
            </w:r>
            <w:r>
              <w:rPr>
                <w:rFonts w:hint="eastAsia" w:ascii="宋体" w:hAnsi="宋体" w:eastAsia="宋体" w:cs="宋体"/>
                <w:b/>
                <w:color w:val="auto"/>
                <w:kern w:val="0"/>
                <w:szCs w:val="21"/>
                <w:highlight w:val="none"/>
                <w:lang w:bidi="en-US"/>
              </w:rPr>
              <w:t>质</w:t>
            </w:r>
            <w:r>
              <w:rPr>
                <w:rFonts w:hint="eastAsia" w:ascii="宋体" w:hAnsi="宋体" w:eastAsia="宋体" w:cs="宋体"/>
                <w:b/>
                <w:color w:val="auto"/>
                <w:kern w:val="0"/>
                <w:szCs w:val="21"/>
                <w:highlight w:val="none"/>
                <w:lang w:eastAsia="en-US" w:bidi="en-US"/>
              </w:rPr>
              <w:t>情况</w:t>
            </w:r>
          </w:p>
        </w:tc>
        <w:tc>
          <w:tcPr>
            <w:tcW w:w="843" w:type="dxa"/>
            <w:noWrap w:val="0"/>
            <w:vAlign w:val="center"/>
          </w:tcPr>
          <w:p w14:paraId="641C2C06">
            <w:pPr>
              <w:widowControl/>
              <w:spacing w:after="200"/>
              <w:jc w:val="center"/>
              <w:rPr>
                <w:rFonts w:hint="eastAsia" w:ascii="宋体" w:hAnsi="宋体" w:eastAsia="宋体" w:cs="宋体"/>
                <w:b/>
                <w:color w:val="auto"/>
                <w:kern w:val="0"/>
                <w:szCs w:val="21"/>
                <w:highlight w:val="none"/>
                <w:lang w:bidi="en-US"/>
              </w:rPr>
            </w:pPr>
            <w:r>
              <w:rPr>
                <w:rFonts w:hint="eastAsia" w:ascii="宋体" w:hAnsi="宋体" w:eastAsia="宋体" w:cs="宋体"/>
                <w:b/>
                <w:color w:val="auto"/>
                <w:kern w:val="0"/>
                <w:szCs w:val="21"/>
                <w:highlight w:val="none"/>
                <w:lang w:eastAsia="en-US" w:bidi="en-US"/>
              </w:rPr>
              <w:t>备注</w:t>
            </w:r>
          </w:p>
        </w:tc>
      </w:tr>
      <w:tr w14:paraId="610D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98" w:type="dxa"/>
            <w:noWrap w:val="0"/>
            <w:vAlign w:val="center"/>
          </w:tcPr>
          <w:p w14:paraId="15DCD73F">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397" w:type="dxa"/>
            <w:noWrap w:val="0"/>
            <w:vAlign w:val="center"/>
          </w:tcPr>
          <w:p w14:paraId="1C947BD6">
            <w:pPr>
              <w:widowControl/>
              <w:jc w:val="center"/>
              <w:rPr>
                <w:rFonts w:hint="eastAsia" w:ascii="宋体" w:hAnsi="宋体" w:eastAsia="宋体" w:cs="宋体"/>
                <w:color w:val="auto"/>
                <w:kern w:val="0"/>
                <w:szCs w:val="21"/>
                <w:highlight w:val="none"/>
              </w:rPr>
            </w:pPr>
          </w:p>
        </w:tc>
        <w:tc>
          <w:tcPr>
            <w:tcW w:w="397" w:type="dxa"/>
            <w:noWrap w:val="0"/>
            <w:vAlign w:val="center"/>
          </w:tcPr>
          <w:p w14:paraId="3F9BD078">
            <w:pPr>
              <w:widowControl/>
              <w:jc w:val="center"/>
              <w:rPr>
                <w:rFonts w:hint="eastAsia" w:ascii="宋体" w:hAnsi="宋体" w:eastAsia="宋体" w:cs="宋体"/>
                <w:color w:val="auto"/>
                <w:szCs w:val="21"/>
                <w:highlight w:val="none"/>
              </w:rPr>
            </w:pPr>
          </w:p>
        </w:tc>
        <w:tc>
          <w:tcPr>
            <w:tcW w:w="397" w:type="dxa"/>
            <w:noWrap w:val="0"/>
            <w:vAlign w:val="center"/>
          </w:tcPr>
          <w:p w14:paraId="6FC2614C">
            <w:pPr>
              <w:widowControl/>
              <w:jc w:val="center"/>
              <w:rPr>
                <w:rFonts w:hint="eastAsia" w:ascii="宋体" w:hAnsi="宋体" w:eastAsia="宋体" w:cs="宋体"/>
                <w:color w:val="auto"/>
                <w:kern w:val="0"/>
                <w:szCs w:val="21"/>
                <w:highlight w:val="none"/>
              </w:rPr>
            </w:pPr>
          </w:p>
        </w:tc>
        <w:tc>
          <w:tcPr>
            <w:tcW w:w="790" w:type="dxa"/>
            <w:noWrap w:val="0"/>
            <w:vAlign w:val="center"/>
          </w:tcPr>
          <w:p w14:paraId="438FD7BE">
            <w:pPr>
              <w:widowControl/>
              <w:jc w:val="center"/>
              <w:rPr>
                <w:rFonts w:hint="eastAsia" w:ascii="宋体" w:hAnsi="宋体" w:eastAsia="宋体" w:cs="宋体"/>
                <w:color w:val="auto"/>
                <w:kern w:val="0"/>
                <w:szCs w:val="21"/>
                <w:highlight w:val="none"/>
                <w:lang w:eastAsia="en-US" w:bidi="en-US"/>
              </w:rPr>
            </w:pPr>
          </w:p>
        </w:tc>
        <w:tc>
          <w:tcPr>
            <w:tcW w:w="1717" w:type="dxa"/>
            <w:noWrap w:val="0"/>
            <w:vAlign w:val="center"/>
          </w:tcPr>
          <w:p w14:paraId="16C4E2D3">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954" w:type="dxa"/>
            <w:noWrap w:val="0"/>
            <w:vAlign w:val="center"/>
          </w:tcPr>
          <w:p w14:paraId="53D9AD10">
            <w:pPr>
              <w:widowControl/>
              <w:jc w:val="center"/>
              <w:rPr>
                <w:rFonts w:hint="eastAsia" w:ascii="宋体" w:hAnsi="宋体" w:eastAsia="宋体" w:cs="宋体"/>
                <w:color w:val="auto"/>
                <w:szCs w:val="21"/>
                <w:highlight w:val="none"/>
              </w:rPr>
            </w:pPr>
          </w:p>
        </w:tc>
        <w:tc>
          <w:tcPr>
            <w:tcW w:w="723" w:type="dxa"/>
            <w:noWrap w:val="0"/>
            <w:vAlign w:val="center"/>
          </w:tcPr>
          <w:p w14:paraId="713D5434">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41" w:type="dxa"/>
            <w:noWrap w:val="0"/>
            <w:vAlign w:val="center"/>
          </w:tcPr>
          <w:p w14:paraId="63591013">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按招标公告要求</w:t>
            </w:r>
          </w:p>
        </w:tc>
        <w:tc>
          <w:tcPr>
            <w:tcW w:w="843" w:type="dxa"/>
            <w:noWrap w:val="0"/>
            <w:vAlign w:val="center"/>
          </w:tcPr>
          <w:p w14:paraId="3E45095A">
            <w:pPr>
              <w:widowControl/>
              <w:jc w:val="center"/>
              <w:rPr>
                <w:rFonts w:hint="eastAsia" w:ascii="宋体" w:hAnsi="宋体" w:eastAsia="宋体" w:cs="宋体"/>
                <w:color w:val="auto"/>
                <w:szCs w:val="21"/>
                <w:highlight w:val="none"/>
              </w:rPr>
            </w:pPr>
          </w:p>
        </w:tc>
      </w:tr>
      <w:tr w14:paraId="0740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98" w:type="dxa"/>
            <w:noWrap w:val="0"/>
            <w:vAlign w:val="center"/>
          </w:tcPr>
          <w:p w14:paraId="77AB5DA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397" w:type="dxa"/>
            <w:noWrap w:val="0"/>
            <w:vAlign w:val="center"/>
          </w:tcPr>
          <w:p w14:paraId="7D9513B6">
            <w:pPr>
              <w:widowControl/>
              <w:jc w:val="center"/>
              <w:rPr>
                <w:rFonts w:hint="eastAsia" w:ascii="宋体" w:hAnsi="宋体" w:eastAsia="宋体" w:cs="宋体"/>
                <w:color w:val="auto"/>
                <w:kern w:val="0"/>
                <w:szCs w:val="21"/>
                <w:highlight w:val="none"/>
              </w:rPr>
            </w:pPr>
          </w:p>
        </w:tc>
        <w:tc>
          <w:tcPr>
            <w:tcW w:w="397" w:type="dxa"/>
            <w:noWrap w:val="0"/>
            <w:vAlign w:val="center"/>
          </w:tcPr>
          <w:p w14:paraId="2B352BF2">
            <w:pPr>
              <w:widowControl/>
              <w:jc w:val="center"/>
              <w:rPr>
                <w:rFonts w:hint="eastAsia" w:ascii="宋体" w:hAnsi="宋体" w:eastAsia="宋体" w:cs="宋体"/>
                <w:color w:val="auto"/>
                <w:szCs w:val="21"/>
                <w:highlight w:val="none"/>
              </w:rPr>
            </w:pPr>
          </w:p>
        </w:tc>
        <w:tc>
          <w:tcPr>
            <w:tcW w:w="397" w:type="dxa"/>
            <w:noWrap w:val="0"/>
            <w:vAlign w:val="center"/>
          </w:tcPr>
          <w:p w14:paraId="73F4ED6E">
            <w:pPr>
              <w:widowControl/>
              <w:jc w:val="center"/>
              <w:rPr>
                <w:rFonts w:hint="eastAsia" w:ascii="宋体" w:hAnsi="宋体" w:eastAsia="宋体" w:cs="宋体"/>
                <w:color w:val="auto"/>
                <w:kern w:val="0"/>
                <w:szCs w:val="21"/>
                <w:highlight w:val="none"/>
              </w:rPr>
            </w:pPr>
          </w:p>
        </w:tc>
        <w:tc>
          <w:tcPr>
            <w:tcW w:w="790" w:type="dxa"/>
            <w:noWrap w:val="0"/>
            <w:vAlign w:val="center"/>
          </w:tcPr>
          <w:p w14:paraId="1F46C9F4">
            <w:pPr>
              <w:widowControl/>
              <w:jc w:val="center"/>
              <w:rPr>
                <w:rFonts w:hint="eastAsia" w:ascii="宋体" w:hAnsi="宋体" w:eastAsia="宋体" w:cs="宋体"/>
                <w:color w:val="auto"/>
                <w:kern w:val="0"/>
                <w:szCs w:val="21"/>
                <w:highlight w:val="none"/>
                <w:lang w:eastAsia="en-US" w:bidi="en-US"/>
              </w:rPr>
            </w:pPr>
          </w:p>
        </w:tc>
        <w:tc>
          <w:tcPr>
            <w:tcW w:w="1717" w:type="dxa"/>
            <w:noWrap w:val="0"/>
            <w:vAlign w:val="center"/>
          </w:tcPr>
          <w:p w14:paraId="43CEF33E">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954" w:type="dxa"/>
            <w:noWrap w:val="0"/>
            <w:vAlign w:val="center"/>
          </w:tcPr>
          <w:p w14:paraId="0AA0E17D">
            <w:pPr>
              <w:widowControl/>
              <w:jc w:val="center"/>
              <w:rPr>
                <w:rFonts w:hint="eastAsia" w:ascii="宋体" w:hAnsi="宋体" w:eastAsia="宋体" w:cs="宋体"/>
                <w:color w:val="auto"/>
                <w:szCs w:val="21"/>
                <w:highlight w:val="none"/>
              </w:rPr>
            </w:pPr>
          </w:p>
        </w:tc>
        <w:tc>
          <w:tcPr>
            <w:tcW w:w="723" w:type="dxa"/>
            <w:noWrap w:val="0"/>
            <w:vAlign w:val="center"/>
          </w:tcPr>
          <w:p w14:paraId="41AD30A5">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41" w:type="dxa"/>
            <w:noWrap w:val="0"/>
            <w:vAlign w:val="center"/>
          </w:tcPr>
          <w:p w14:paraId="2E13A141">
            <w:pPr>
              <w:widowControl/>
              <w:jc w:val="center"/>
              <w:rPr>
                <w:rFonts w:hint="eastAsia"/>
                <w:color w:val="auto"/>
                <w:highlight w:val="none"/>
              </w:rPr>
            </w:pPr>
          </w:p>
        </w:tc>
        <w:tc>
          <w:tcPr>
            <w:tcW w:w="843" w:type="dxa"/>
            <w:noWrap w:val="0"/>
            <w:vAlign w:val="center"/>
          </w:tcPr>
          <w:p w14:paraId="0F81AD25">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须提供职称证</w:t>
            </w:r>
          </w:p>
        </w:tc>
      </w:tr>
      <w:tr w14:paraId="555A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98" w:type="dxa"/>
            <w:noWrap w:val="0"/>
            <w:vAlign w:val="center"/>
          </w:tcPr>
          <w:p w14:paraId="5450611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397" w:type="dxa"/>
            <w:noWrap w:val="0"/>
            <w:vAlign w:val="center"/>
          </w:tcPr>
          <w:p w14:paraId="3FB8E65E">
            <w:pPr>
              <w:widowControl/>
              <w:jc w:val="center"/>
              <w:rPr>
                <w:rFonts w:hint="eastAsia" w:ascii="宋体" w:hAnsi="宋体" w:eastAsia="宋体" w:cs="宋体"/>
                <w:color w:val="auto"/>
                <w:kern w:val="0"/>
                <w:szCs w:val="21"/>
                <w:highlight w:val="none"/>
              </w:rPr>
            </w:pPr>
          </w:p>
        </w:tc>
        <w:tc>
          <w:tcPr>
            <w:tcW w:w="397" w:type="dxa"/>
            <w:noWrap w:val="0"/>
            <w:vAlign w:val="center"/>
          </w:tcPr>
          <w:p w14:paraId="6A516CAA">
            <w:pPr>
              <w:widowControl/>
              <w:jc w:val="center"/>
              <w:rPr>
                <w:rFonts w:hint="eastAsia" w:ascii="宋体" w:hAnsi="宋体" w:eastAsia="宋体" w:cs="宋体"/>
                <w:color w:val="auto"/>
                <w:szCs w:val="21"/>
                <w:highlight w:val="none"/>
              </w:rPr>
            </w:pPr>
          </w:p>
        </w:tc>
        <w:tc>
          <w:tcPr>
            <w:tcW w:w="397" w:type="dxa"/>
            <w:noWrap w:val="0"/>
            <w:vAlign w:val="center"/>
          </w:tcPr>
          <w:p w14:paraId="5A57EB79">
            <w:pPr>
              <w:widowControl/>
              <w:jc w:val="center"/>
              <w:rPr>
                <w:rFonts w:hint="eastAsia" w:ascii="宋体" w:hAnsi="宋体" w:eastAsia="宋体" w:cs="宋体"/>
                <w:color w:val="auto"/>
                <w:kern w:val="0"/>
                <w:szCs w:val="21"/>
                <w:highlight w:val="none"/>
              </w:rPr>
            </w:pPr>
          </w:p>
        </w:tc>
        <w:tc>
          <w:tcPr>
            <w:tcW w:w="790" w:type="dxa"/>
            <w:noWrap w:val="0"/>
            <w:vAlign w:val="center"/>
          </w:tcPr>
          <w:p w14:paraId="7A125FEF">
            <w:pPr>
              <w:widowControl/>
              <w:jc w:val="center"/>
              <w:rPr>
                <w:rFonts w:hint="eastAsia" w:ascii="宋体" w:hAnsi="宋体" w:eastAsia="宋体" w:cs="宋体"/>
                <w:color w:val="auto"/>
                <w:kern w:val="0"/>
                <w:szCs w:val="21"/>
                <w:highlight w:val="none"/>
                <w:lang w:eastAsia="en-US" w:bidi="en-US"/>
              </w:rPr>
            </w:pPr>
          </w:p>
        </w:tc>
        <w:tc>
          <w:tcPr>
            <w:tcW w:w="1717" w:type="dxa"/>
            <w:noWrap w:val="0"/>
            <w:vAlign w:val="center"/>
          </w:tcPr>
          <w:p w14:paraId="033A0519">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专职安全员</w:t>
            </w:r>
          </w:p>
        </w:tc>
        <w:tc>
          <w:tcPr>
            <w:tcW w:w="954" w:type="dxa"/>
            <w:noWrap w:val="0"/>
            <w:vAlign w:val="center"/>
          </w:tcPr>
          <w:p w14:paraId="33C4F8FC">
            <w:pPr>
              <w:widowControl/>
              <w:jc w:val="center"/>
              <w:rPr>
                <w:rFonts w:hint="eastAsia" w:ascii="宋体" w:hAnsi="宋体" w:eastAsia="宋体" w:cs="宋体"/>
                <w:color w:val="auto"/>
                <w:szCs w:val="21"/>
                <w:highlight w:val="none"/>
              </w:rPr>
            </w:pPr>
          </w:p>
        </w:tc>
        <w:tc>
          <w:tcPr>
            <w:tcW w:w="723" w:type="dxa"/>
            <w:noWrap w:val="0"/>
            <w:vAlign w:val="center"/>
          </w:tcPr>
          <w:p w14:paraId="3312395F">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41" w:type="dxa"/>
            <w:noWrap w:val="0"/>
            <w:vAlign w:val="center"/>
          </w:tcPr>
          <w:p w14:paraId="021C2F7F">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按招标公告要求</w:t>
            </w:r>
          </w:p>
        </w:tc>
        <w:tc>
          <w:tcPr>
            <w:tcW w:w="843" w:type="dxa"/>
            <w:noWrap w:val="0"/>
            <w:vAlign w:val="center"/>
          </w:tcPr>
          <w:p w14:paraId="1447BCEC">
            <w:pPr>
              <w:widowControl/>
              <w:jc w:val="center"/>
              <w:rPr>
                <w:rFonts w:hint="eastAsia" w:ascii="宋体" w:hAnsi="宋体" w:eastAsia="宋体" w:cs="宋体"/>
                <w:color w:val="auto"/>
                <w:szCs w:val="21"/>
                <w:highlight w:val="none"/>
              </w:rPr>
            </w:pPr>
          </w:p>
        </w:tc>
      </w:tr>
      <w:tr w14:paraId="6189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98" w:type="dxa"/>
            <w:noWrap w:val="0"/>
            <w:vAlign w:val="center"/>
          </w:tcPr>
          <w:p w14:paraId="2F1D97C4">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397" w:type="dxa"/>
            <w:noWrap w:val="0"/>
            <w:vAlign w:val="center"/>
          </w:tcPr>
          <w:p w14:paraId="687AB8A0">
            <w:pPr>
              <w:widowControl/>
              <w:jc w:val="center"/>
              <w:rPr>
                <w:rFonts w:hint="eastAsia" w:ascii="宋体" w:hAnsi="宋体" w:eastAsia="宋体" w:cs="宋体"/>
                <w:color w:val="auto"/>
                <w:kern w:val="0"/>
                <w:szCs w:val="21"/>
                <w:highlight w:val="none"/>
              </w:rPr>
            </w:pPr>
          </w:p>
        </w:tc>
        <w:tc>
          <w:tcPr>
            <w:tcW w:w="397" w:type="dxa"/>
            <w:noWrap w:val="0"/>
            <w:vAlign w:val="center"/>
          </w:tcPr>
          <w:p w14:paraId="70CB7D61">
            <w:pPr>
              <w:widowControl/>
              <w:jc w:val="center"/>
              <w:rPr>
                <w:rFonts w:hint="eastAsia" w:ascii="宋体" w:hAnsi="宋体" w:eastAsia="宋体" w:cs="宋体"/>
                <w:color w:val="auto"/>
                <w:kern w:val="0"/>
                <w:szCs w:val="21"/>
                <w:highlight w:val="none"/>
              </w:rPr>
            </w:pPr>
          </w:p>
        </w:tc>
        <w:tc>
          <w:tcPr>
            <w:tcW w:w="397" w:type="dxa"/>
            <w:noWrap w:val="0"/>
            <w:vAlign w:val="center"/>
          </w:tcPr>
          <w:p w14:paraId="07213CD0">
            <w:pPr>
              <w:widowControl/>
              <w:jc w:val="center"/>
              <w:rPr>
                <w:rFonts w:hint="eastAsia" w:ascii="宋体" w:hAnsi="宋体" w:eastAsia="宋体" w:cs="宋体"/>
                <w:color w:val="auto"/>
                <w:kern w:val="0"/>
                <w:szCs w:val="21"/>
                <w:highlight w:val="none"/>
              </w:rPr>
            </w:pPr>
          </w:p>
        </w:tc>
        <w:tc>
          <w:tcPr>
            <w:tcW w:w="790" w:type="dxa"/>
            <w:noWrap w:val="0"/>
            <w:vAlign w:val="center"/>
          </w:tcPr>
          <w:p w14:paraId="61D34B02">
            <w:pPr>
              <w:widowControl/>
              <w:jc w:val="center"/>
              <w:rPr>
                <w:rFonts w:hint="eastAsia" w:ascii="宋体" w:hAnsi="宋体" w:eastAsia="宋体" w:cs="宋体"/>
                <w:color w:val="auto"/>
                <w:kern w:val="0"/>
                <w:szCs w:val="21"/>
                <w:highlight w:val="none"/>
                <w:lang w:eastAsia="en-US" w:bidi="en-US"/>
              </w:rPr>
            </w:pPr>
          </w:p>
        </w:tc>
        <w:tc>
          <w:tcPr>
            <w:tcW w:w="1717" w:type="dxa"/>
            <w:noWrap w:val="0"/>
            <w:vAlign w:val="center"/>
          </w:tcPr>
          <w:p w14:paraId="19AEC8E9">
            <w:pPr>
              <w:widowControl/>
              <w:jc w:val="center"/>
              <w:rPr>
                <w:rFonts w:hint="eastAsia" w:ascii="宋体" w:hAnsi="宋体" w:eastAsia="宋体" w:cs="宋体"/>
                <w:color w:val="auto"/>
                <w:szCs w:val="21"/>
                <w:highlight w:val="none"/>
              </w:rPr>
            </w:pPr>
          </w:p>
        </w:tc>
        <w:tc>
          <w:tcPr>
            <w:tcW w:w="954" w:type="dxa"/>
            <w:noWrap w:val="0"/>
            <w:vAlign w:val="center"/>
          </w:tcPr>
          <w:p w14:paraId="5F1EBC95">
            <w:pPr>
              <w:widowControl/>
              <w:jc w:val="center"/>
              <w:rPr>
                <w:rFonts w:hint="eastAsia" w:ascii="宋体" w:hAnsi="宋体" w:eastAsia="宋体" w:cs="宋体"/>
                <w:color w:val="auto"/>
                <w:szCs w:val="21"/>
                <w:highlight w:val="none"/>
              </w:rPr>
            </w:pPr>
          </w:p>
        </w:tc>
        <w:tc>
          <w:tcPr>
            <w:tcW w:w="723" w:type="dxa"/>
            <w:noWrap w:val="0"/>
            <w:vAlign w:val="center"/>
          </w:tcPr>
          <w:p w14:paraId="397F9E19">
            <w:pPr>
              <w:widowControl/>
              <w:jc w:val="center"/>
              <w:rPr>
                <w:rFonts w:hint="default" w:ascii="宋体" w:hAnsi="宋体" w:eastAsia="宋体" w:cs="宋体"/>
                <w:color w:val="auto"/>
                <w:szCs w:val="21"/>
                <w:highlight w:val="none"/>
                <w:lang w:val="en-US" w:eastAsia="zh-CN"/>
              </w:rPr>
            </w:pPr>
          </w:p>
        </w:tc>
        <w:tc>
          <w:tcPr>
            <w:tcW w:w="2141" w:type="dxa"/>
            <w:noWrap w:val="0"/>
            <w:vAlign w:val="center"/>
          </w:tcPr>
          <w:p w14:paraId="7FCFF5DD">
            <w:pPr>
              <w:widowControl/>
              <w:jc w:val="center"/>
              <w:rPr>
                <w:rFonts w:hint="eastAsia" w:ascii="宋体" w:hAnsi="宋体" w:eastAsia="宋体" w:cs="宋体"/>
                <w:color w:val="auto"/>
                <w:szCs w:val="21"/>
                <w:highlight w:val="none"/>
              </w:rPr>
            </w:pPr>
          </w:p>
        </w:tc>
        <w:tc>
          <w:tcPr>
            <w:tcW w:w="843" w:type="dxa"/>
            <w:noWrap w:val="0"/>
            <w:vAlign w:val="center"/>
          </w:tcPr>
          <w:p w14:paraId="1EF6EF84">
            <w:pPr>
              <w:widowControl/>
              <w:jc w:val="center"/>
              <w:rPr>
                <w:rFonts w:hint="eastAsia" w:ascii="宋体" w:hAnsi="宋体" w:eastAsia="宋体" w:cs="宋体"/>
                <w:color w:val="auto"/>
                <w:szCs w:val="21"/>
                <w:highlight w:val="none"/>
              </w:rPr>
            </w:pPr>
          </w:p>
        </w:tc>
      </w:tr>
      <w:tr w14:paraId="34F3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98" w:type="dxa"/>
            <w:noWrap w:val="0"/>
            <w:vAlign w:val="center"/>
          </w:tcPr>
          <w:p w14:paraId="577F179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397" w:type="dxa"/>
            <w:noWrap w:val="0"/>
            <w:vAlign w:val="center"/>
          </w:tcPr>
          <w:p w14:paraId="125DC314">
            <w:pPr>
              <w:widowControl/>
              <w:jc w:val="center"/>
              <w:rPr>
                <w:rFonts w:hint="eastAsia" w:ascii="宋体" w:hAnsi="宋体" w:eastAsia="宋体" w:cs="宋体"/>
                <w:color w:val="auto"/>
                <w:kern w:val="0"/>
                <w:szCs w:val="21"/>
                <w:highlight w:val="none"/>
              </w:rPr>
            </w:pPr>
          </w:p>
        </w:tc>
        <w:tc>
          <w:tcPr>
            <w:tcW w:w="397" w:type="dxa"/>
            <w:noWrap w:val="0"/>
            <w:vAlign w:val="center"/>
          </w:tcPr>
          <w:p w14:paraId="58A3DEE5">
            <w:pPr>
              <w:widowControl/>
              <w:jc w:val="center"/>
              <w:rPr>
                <w:rFonts w:hint="eastAsia" w:ascii="宋体" w:hAnsi="宋体" w:eastAsia="宋体" w:cs="宋体"/>
                <w:color w:val="auto"/>
                <w:kern w:val="0"/>
                <w:szCs w:val="21"/>
                <w:highlight w:val="none"/>
              </w:rPr>
            </w:pPr>
          </w:p>
        </w:tc>
        <w:tc>
          <w:tcPr>
            <w:tcW w:w="397" w:type="dxa"/>
            <w:noWrap w:val="0"/>
            <w:vAlign w:val="center"/>
          </w:tcPr>
          <w:p w14:paraId="115F6096">
            <w:pPr>
              <w:widowControl/>
              <w:jc w:val="center"/>
              <w:rPr>
                <w:rFonts w:hint="eastAsia" w:ascii="宋体" w:hAnsi="宋体" w:eastAsia="宋体" w:cs="宋体"/>
                <w:color w:val="auto"/>
                <w:kern w:val="0"/>
                <w:szCs w:val="21"/>
                <w:highlight w:val="none"/>
              </w:rPr>
            </w:pPr>
          </w:p>
        </w:tc>
        <w:tc>
          <w:tcPr>
            <w:tcW w:w="790" w:type="dxa"/>
            <w:noWrap w:val="0"/>
            <w:vAlign w:val="center"/>
          </w:tcPr>
          <w:p w14:paraId="7368D629">
            <w:pPr>
              <w:widowControl/>
              <w:jc w:val="center"/>
              <w:rPr>
                <w:rFonts w:hint="eastAsia" w:ascii="宋体" w:hAnsi="宋体" w:eastAsia="宋体" w:cs="宋体"/>
                <w:color w:val="auto"/>
                <w:kern w:val="0"/>
                <w:szCs w:val="21"/>
                <w:highlight w:val="none"/>
                <w:lang w:eastAsia="en-US" w:bidi="en-US"/>
              </w:rPr>
            </w:pPr>
          </w:p>
        </w:tc>
        <w:tc>
          <w:tcPr>
            <w:tcW w:w="1717" w:type="dxa"/>
            <w:noWrap w:val="0"/>
            <w:vAlign w:val="center"/>
          </w:tcPr>
          <w:p w14:paraId="48C99335">
            <w:pPr>
              <w:widowControl/>
              <w:jc w:val="center"/>
              <w:rPr>
                <w:rFonts w:hint="eastAsia" w:ascii="宋体" w:hAnsi="宋体" w:eastAsia="宋体" w:cs="宋体"/>
                <w:color w:val="auto"/>
                <w:szCs w:val="21"/>
                <w:highlight w:val="none"/>
              </w:rPr>
            </w:pPr>
          </w:p>
        </w:tc>
        <w:tc>
          <w:tcPr>
            <w:tcW w:w="954" w:type="dxa"/>
            <w:noWrap w:val="0"/>
            <w:vAlign w:val="center"/>
          </w:tcPr>
          <w:p w14:paraId="42C9D581">
            <w:pPr>
              <w:widowControl/>
              <w:jc w:val="center"/>
              <w:rPr>
                <w:rFonts w:hint="eastAsia" w:ascii="宋体" w:hAnsi="宋体" w:eastAsia="宋体" w:cs="宋体"/>
                <w:color w:val="auto"/>
                <w:szCs w:val="21"/>
                <w:highlight w:val="none"/>
              </w:rPr>
            </w:pPr>
          </w:p>
        </w:tc>
        <w:tc>
          <w:tcPr>
            <w:tcW w:w="723" w:type="dxa"/>
            <w:noWrap w:val="0"/>
            <w:vAlign w:val="center"/>
          </w:tcPr>
          <w:p w14:paraId="6EEF5627">
            <w:pPr>
              <w:widowControl/>
              <w:jc w:val="center"/>
              <w:rPr>
                <w:rFonts w:hint="default" w:ascii="宋体" w:hAnsi="宋体" w:eastAsia="宋体" w:cs="宋体"/>
                <w:color w:val="auto"/>
                <w:szCs w:val="21"/>
                <w:highlight w:val="none"/>
                <w:lang w:val="en-US" w:eastAsia="zh-CN"/>
              </w:rPr>
            </w:pPr>
          </w:p>
        </w:tc>
        <w:tc>
          <w:tcPr>
            <w:tcW w:w="2141" w:type="dxa"/>
            <w:noWrap w:val="0"/>
            <w:vAlign w:val="center"/>
          </w:tcPr>
          <w:p w14:paraId="57AF063F">
            <w:pPr>
              <w:widowControl/>
              <w:jc w:val="center"/>
              <w:rPr>
                <w:rFonts w:hint="eastAsia" w:ascii="宋体" w:hAnsi="宋体" w:eastAsia="宋体" w:cs="宋体"/>
                <w:color w:val="auto"/>
                <w:szCs w:val="21"/>
                <w:highlight w:val="none"/>
              </w:rPr>
            </w:pPr>
          </w:p>
        </w:tc>
        <w:tc>
          <w:tcPr>
            <w:tcW w:w="843" w:type="dxa"/>
            <w:noWrap w:val="0"/>
            <w:vAlign w:val="center"/>
          </w:tcPr>
          <w:p w14:paraId="13463E10">
            <w:pPr>
              <w:widowControl/>
              <w:jc w:val="center"/>
              <w:rPr>
                <w:rFonts w:hint="eastAsia" w:ascii="宋体" w:hAnsi="宋体" w:eastAsia="宋体" w:cs="宋体"/>
                <w:color w:val="auto"/>
                <w:szCs w:val="21"/>
                <w:highlight w:val="none"/>
              </w:rPr>
            </w:pPr>
          </w:p>
        </w:tc>
      </w:tr>
      <w:tr w14:paraId="5570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8" w:type="dxa"/>
            <w:noWrap w:val="0"/>
            <w:vAlign w:val="center"/>
          </w:tcPr>
          <w:p w14:paraId="3D3ED70A">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397" w:type="dxa"/>
            <w:noWrap w:val="0"/>
            <w:vAlign w:val="center"/>
          </w:tcPr>
          <w:p w14:paraId="26B67B30">
            <w:pPr>
              <w:widowControl/>
              <w:jc w:val="center"/>
              <w:rPr>
                <w:rFonts w:hint="eastAsia" w:ascii="宋体" w:hAnsi="宋体" w:eastAsia="宋体" w:cs="宋体"/>
                <w:color w:val="auto"/>
                <w:kern w:val="0"/>
                <w:szCs w:val="21"/>
                <w:highlight w:val="none"/>
              </w:rPr>
            </w:pPr>
          </w:p>
        </w:tc>
        <w:tc>
          <w:tcPr>
            <w:tcW w:w="397" w:type="dxa"/>
            <w:noWrap w:val="0"/>
            <w:vAlign w:val="center"/>
          </w:tcPr>
          <w:p w14:paraId="24A36761">
            <w:pPr>
              <w:widowControl/>
              <w:jc w:val="center"/>
              <w:rPr>
                <w:rFonts w:hint="eastAsia" w:ascii="宋体" w:hAnsi="宋体" w:eastAsia="宋体" w:cs="宋体"/>
                <w:color w:val="auto"/>
                <w:szCs w:val="21"/>
                <w:highlight w:val="none"/>
              </w:rPr>
            </w:pPr>
          </w:p>
        </w:tc>
        <w:tc>
          <w:tcPr>
            <w:tcW w:w="397" w:type="dxa"/>
            <w:noWrap w:val="0"/>
            <w:vAlign w:val="center"/>
          </w:tcPr>
          <w:p w14:paraId="51AF8E14">
            <w:pPr>
              <w:widowControl/>
              <w:jc w:val="center"/>
              <w:rPr>
                <w:rFonts w:hint="eastAsia" w:ascii="宋体" w:hAnsi="宋体" w:eastAsia="宋体" w:cs="宋体"/>
                <w:color w:val="auto"/>
                <w:kern w:val="0"/>
                <w:szCs w:val="21"/>
                <w:highlight w:val="none"/>
              </w:rPr>
            </w:pPr>
          </w:p>
        </w:tc>
        <w:tc>
          <w:tcPr>
            <w:tcW w:w="790" w:type="dxa"/>
            <w:noWrap w:val="0"/>
            <w:vAlign w:val="center"/>
          </w:tcPr>
          <w:p w14:paraId="2A1AE8E7">
            <w:pPr>
              <w:widowControl/>
              <w:jc w:val="center"/>
              <w:rPr>
                <w:rFonts w:hint="eastAsia" w:ascii="宋体" w:hAnsi="宋体" w:eastAsia="宋体" w:cs="宋体"/>
                <w:color w:val="auto"/>
                <w:kern w:val="0"/>
                <w:szCs w:val="21"/>
                <w:highlight w:val="none"/>
                <w:lang w:eastAsia="en-US" w:bidi="en-US"/>
              </w:rPr>
            </w:pPr>
          </w:p>
        </w:tc>
        <w:tc>
          <w:tcPr>
            <w:tcW w:w="1717" w:type="dxa"/>
            <w:noWrap w:val="0"/>
            <w:vAlign w:val="center"/>
          </w:tcPr>
          <w:p w14:paraId="2756FDA3">
            <w:pPr>
              <w:widowControl/>
              <w:jc w:val="center"/>
              <w:rPr>
                <w:rFonts w:hint="eastAsia" w:ascii="宋体" w:hAnsi="宋体" w:eastAsia="宋体" w:cs="宋体"/>
                <w:color w:val="auto"/>
                <w:szCs w:val="21"/>
                <w:highlight w:val="none"/>
              </w:rPr>
            </w:pPr>
          </w:p>
        </w:tc>
        <w:tc>
          <w:tcPr>
            <w:tcW w:w="954" w:type="dxa"/>
            <w:noWrap w:val="0"/>
            <w:vAlign w:val="center"/>
          </w:tcPr>
          <w:p w14:paraId="2C97FB60">
            <w:pPr>
              <w:widowControl/>
              <w:jc w:val="center"/>
              <w:rPr>
                <w:rFonts w:hint="eastAsia" w:ascii="宋体" w:hAnsi="宋体" w:eastAsia="宋体" w:cs="宋体"/>
                <w:color w:val="auto"/>
                <w:szCs w:val="21"/>
                <w:highlight w:val="none"/>
              </w:rPr>
            </w:pPr>
          </w:p>
        </w:tc>
        <w:tc>
          <w:tcPr>
            <w:tcW w:w="723" w:type="dxa"/>
            <w:noWrap w:val="0"/>
            <w:vAlign w:val="center"/>
          </w:tcPr>
          <w:p w14:paraId="3081BC24">
            <w:pPr>
              <w:widowControl/>
              <w:jc w:val="center"/>
              <w:rPr>
                <w:rFonts w:hint="eastAsia" w:ascii="宋体" w:hAnsi="宋体" w:eastAsia="宋体" w:cs="宋体"/>
                <w:color w:val="auto"/>
                <w:szCs w:val="21"/>
                <w:highlight w:val="none"/>
                <w:lang w:val="en-US" w:eastAsia="zh-CN"/>
              </w:rPr>
            </w:pPr>
          </w:p>
        </w:tc>
        <w:tc>
          <w:tcPr>
            <w:tcW w:w="2141" w:type="dxa"/>
            <w:noWrap w:val="0"/>
            <w:vAlign w:val="center"/>
          </w:tcPr>
          <w:p w14:paraId="356BA263">
            <w:pPr>
              <w:widowControl/>
              <w:jc w:val="center"/>
              <w:rPr>
                <w:rFonts w:hint="eastAsia" w:ascii="宋体" w:hAnsi="宋体" w:eastAsia="宋体" w:cs="宋体"/>
                <w:color w:val="auto"/>
                <w:szCs w:val="21"/>
                <w:highlight w:val="none"/>
              </w:rPr>
            </w:pPr>
          </w:p>
        </w:tc>
        <w:tc>
          <w:tcPr>
            <w:tcW w:w="843" w:type="dxa"/>
            <w:noWrap w:val="0"/>
            <w:vAlign w:val="center"/>
          </w:tcPr>
          <w:p w14:paraId="122C5878">
            <w:pPr>
              <w:widowControl/>
              <w:jc w:val="center"/>
              <w:rPr>
                <w:rFonts w:hint="eastAsia" w:ascii="宋体" w:hAnsi="宋体" w:eastAsia="宋体" w:cs="宋体"/>
                <w:color w:val="auto"/>
                <w:szCs w:val="21"/>
                <w:highlight w:val="none"/>
              </w:rPr>
            </w:pPr>
          </w:p>
        </w:tc>
      </w:tr>
      <w:tr w14:paraId="2317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98" w:type="dxa"/>
            <w:noWrap w:val="0"/>
            <w:vAlign w:val="center"/>
          </w:tcPr>
          <w:p w14:paraId="3059874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397" w:type="dxa"/>
            <w:noWrap w:val="0"/>
            <w:vAlign w:val="center"/>
          </w:tcPr>
          <w:p w14:paraId="7BF9E43B">
            <w:pPr>
              <w:widowControl/>
              <w:jc w:val="center"/>
              <w:rPr>
                <w:rFonts w:hint="eastAsia" w:ascii="宋体" w:hAnsi="宋体" w:eastAsia="宋体" w:cs="宋体"/>
                <w:color w:val="auto"/>
                <w:kern w:val="0"/>
                <w:szCs w:val="21"/>
                <w:highlight w:val="none"/>
              </w:rPr>
            </w:pPr>
          </w:p>
        </w:tc>
        <w:tc>
          <w:tcPr>
            <w:tcW w:w="397" w:type="dxa"/>
            <w:noWrap w:val="0"/>
            <w:vAlign w:val="center"/>
          </w:tcPr>
          <w:p w14:paraId="6D8E0A2A">
            <w:pPr>
              <w:widowControl/>
              <w:jc w:val="center"/>
              <w:rPr>
                <w:rFonts w:hint="eastAsia" w:ascii="宋体" w:hAnsi="宋体" w:eastAsia="宋体" w:cs="宋体"/>
                <w:color w:val="auto"/>
                <w:szCs w:val="21"/>
                <w:highlight w:val="none"/>
              </w:rPr>
            </w:pPr>
          </w:p>
        </w:tc>
        <w:tc>
          <w:tcPr>
            <w:tcW w:w="397" w:type="dxa"/>
            <w:noWrap w:val="0"/>
            <w:vAlign w:val="center"/>
          </w:tcPr>
          <w:p w14:paraId="5D98C4E9">
            <w:pPr>
              <w:widowControl/>
              <w:jc w:val="center"/>
              <w:rPr>
                <w:rFonts w:hint="eastAsia" w:ascii="宋体" w:hAnsi="宋体" w:eastAsia="宋体" w:cs="宋体"/>
                <w:color w:val="auto"/>
                <w:kern w:val="0"/>
                <w:szCs w:val="21"/>
                <w:highlight w:val="none"/>
              </w:rPr>
            </w:pPr>
          </w:p>
        </w:tc>
        <w:tc>
          <w:tcPr>
            <w:tcW w:w="790" w:type="dxa"/>
            <w:noWrap w:val="0"/>
            <w:vAlign w:val="center"/>
          </w:tcPr>
          <w:p w14:paraId="519F7215">
            <w:pPr>
              <w:widowControl/>
              <w:jc w:val="center"/>
              <w:rPr>
                <w:rFonts w:hint="eastAsia" w:ascii="宋体" w:hAnsi="宋体" w:eastAsia="宋体" w:cs="宋体"/>
                <w:color w:val="auto"/>
                <w:kern w:val="0"/>
                <w:szCs w:val="21"/>
                <w:highlight w:val="none"/>
                <w:lang w:eastAsia="en-US" w:bidi="en-US"/>
              </w:rPr>
            </w:pPr>
          </w:p>
        </w:tc>
        <w:tc>
          <w:tcPr>
            <w:tcW w:w="1717" w:type="dxa"/>
            <w:noWrap w:val="0"/>
            <w:vAlign w:val="center"/>
          </w:tcPr>
          <w:p w14:paraId="4321BDDC">
            <w:pPr>
              <w:widowControl/>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954" w:type="dxa"/>
            <w:noWrap w:val="0"/>
            <w:vAlign w:val="center"/>
          </w:tcPr>
          <w:p w14:paraId="4E1424FC">
            <w:pPr>
              <w:widowControl/>
              <w:jc w:val="center"/>
              <w:rPr>
                <w:rFonts w:hint="eastAsia" w:ascii="宋体" w:hAnsi="宋体" w:eastAsia="宋体" w:cs="宋体"/>
                <w:color w:val="auto"/>
                <w:szCs w:val="21"/>
                <w:highlight w:val="none"/>
              </w:rPr>
            </w:pPr>
          </w:p>
        </w:tc>
        <w:tc>
          <w:tcPr>
            <w:tcW w:w="723" w:type="dxa"/>
            <w:noWrap w:val="0"/>
            <w:vAlign w:val="center"/>
          </w:tcPr>
          <w:p w14:paraId="66EC1D84">
            <w:pPr>
              <w:widowControl/>
              <w:jc w:val="center"/>
              <w:rPr>
                <w:rFonts w:hint="eastAsia" w:ascii="宋体" w:hAnsi="宋体" w:eastAsia="宋体" w:cs="宋体"/>
                <w:color w:val="auto"/>
                <w:szCs w:val="21"/>
                <w:highlight w:val="none"/>
              </w:rPr>
            </w:pPr>
          </w:p>
        </w:tc>
        <w:tc>
          <w:tcPr>
            <w:tcW w:w="2141" w:type="dxa"/>
            <w:noWrap w:val="0"/>
            <w:vAlign w:val="center"/>
          </w:tcPr>
          <w:p w14:paraId="2177BE18">
            <w:pPr>
              <w:widowControl/>
              <w:jc w:val="center"/>
              <w:rPr>
                <w:rFonts w:hint="eastAsia" w:ascii="宋体" w:hAnsi="宋体" w:eastAsia="宋体" w:cs="宋体"/>
                <w:color w:val="auto"/>
                <w:szCs w:val="21"/>
                <w:highlight w:val="none"/>
              </w:rPr>
            </w:pPr>
          </w:p>
        </w:tc>
        <w:tc>
          <w:tcPr>
            <w:tcW w:w="843" w:type="dxa"/>
            <w:noWrap w:val="0"/>
            <w:vAlign w:val="center"/>
          </w:tcPr>
          <w:p w14:paraId="422CC3C0">
            <w:pPr>
              <w:widowControl/>
              <w:jc w:val="center"/>
              <w:rPr>
                <w:rFonts w:hint="eastAsia" w:ascii="宋体" w:hAnsi="宋体" w:eastAsia="宋体" w:cs="宋体"/>
                <w:color w:val="auto"/>
                <w:szCs w:val="21"/>
                <w:highlight w:val="none"/>
              </w:rPr>
            </w:pPr>
          </w:p>
        </w:tc>
      </w:tr>
      <w:tr w14:paraId="5710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98" w:type="dxa"/>
            <w:noWrap w:val="0"/>
            <w:vAlign w:val="center"/>
          </w:tcPr>
          <w:p w14:paraId="6E05D472">
            <w:pPr>
              <w:widowControl/>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397" w:type="dxa"/>
            <w:noWrap w:val="0"/>
            <w:vAlign w:val="center"/>
          </w:tcPr>
          <w:p w14:paraId="19E30FAA">
            <w:pPr>
              <w:widowControl/>
              <w:jc w:val="center"/>
              <w:rPr>
                <w:rFonts w:hint="eastAsia" w:ascii="宋体" w:hAnsi="宋体" w:eastAsia="宋体" w:cs="宋体"/>
                <w:color w:val="auto"/>
                <w:kern w:val="0"/>
                <w:szCs w:val="21"/>
                <w:highlight w:val="none"/>
              </w:rPr>
            </w:pPr>
          </w:p>
        </w:tc>
        <w:tc>
          <w:tcPr>
            <w:tcW w:w="397" w:type="dxa"/>
            <w:noWrap w:val="0"/>
            <w:vAlign w:val="center"/>
          </w:tcPr>
          <w:p w14:paraId="45E96430">
            <w:pPr>
              <w:widowControl/>
              <w:jc w:val="center"/>
              <w:rPr>
                <w:rFonts w:hint="eastAsia" w:ascii="宋体" w:hAnsi="宋体" w:eastAsia="宋体" w:cs="宋体"/>
                <w:color w:val="auto"/>
                <w:szCs w:val="21"/>
                <w:highlight w:val="none"/>
              </w:rPr>
            </w:pPr>
          </w:p>
        </w:tc>
        <w:tc>
          <w:tcPr>
            <w:tcW w:w="397" w:type="dxa"/>
            <w:noWrap w:val="0"/>
            <w:vAlign w:val="center"/>
          </w:tcPr>
          <w:p w14:paraId="0DDFF5BB">
            <w:pPr>
              <w:widowControl/>
              <w:jc w:val="center"/>
              <w:rPr>
                <w:rFonts w:hint="eastAsia" w:ascii="宋体" w:hAnsi="宋体" w:eastAsia="宋体" w:cs="宋体"/>
                <w:color w:val="auto"/>
                <w:kern w:val="0"/>
                <w:szCs w:val="21"/>
                <w:highlight w:val="none"/>
              </w:rPr>
            </w:pPr>
          </w:p>
        </w:tc>
        <w:tc>
          <w:tcPr>
            <w:tcW w:w="790" w:type="dxa"/>
            <w:noWrap w:val="0"/>
            <w:vAlign w:val="center"/>
          </w:tcPr>
          <w:p w14:paraId="7AB9CD7E">
            <w:pPr>
              <w:widowControl/>
              <w:jc w:val="center"/>
              <w:rPr>
                <w:rFonts w:hint="eastAsia" w:ascii="宋体" w:hAnsi="宋体" w:eastAsia="宋体" w:cs="宋体"/>
                <w:color w:val="auto"/>
                <w:kern w:val="0"/>
                <w:szCs w:val="21"/>
                <w:highlight w:val="none"/>
                <w:lang w:eastAsia="en-US" w:bidi="en-US"/>
              </w:rPr>
            </w:pPr>
          </w:p>
        </w:tc>
        <w:tc>
          <w:tcPr>
            <w:tcW w:w="1717" w:type="dxa"/>
            <w:noWrap w:val="0"/>
            <w:vAlign w:val="center"/>
          </w:tcPr>
          <w:p w14:paraId="118C3C90">
            <w:pPr>
              <w:widowControl/>
              <w:jc w:val="center"/>
              <w:rPr>
                <w:rFonts w:hint="eastAsia" w:ascii="宋体" w:hAnsi="宋体" w:eastAsia="宋体" w:cs="宋体"/>
                <w:color w:val="auto"/>
                <w:szCs w:val="21"/>
                <w:highlight w:val="none"/>
              </w:rPr>
            </w:pPr>
          </w:p>
        </w:tc>
        <w:tc>
          <w:tcPr>
            <w:tcW w:w="954" w:type="dxa"/>
            <w:noWrap w:val="0"/>
            <w:vAlign w:val="center"/>
          </w:tcPr>
          <w:p w14:paraId="3055DCBF">
            <w:pPr>
              <w:widowControl/>
              <w:jc w:val="center"/>
              <w:rPr>
                <w:rFonts w:hint="eastAsia" w:ascii="宋体" w:hAnsi="宋体" w:eastAsia="宋体" w:cs="宋体"/>
                <w:color w:val="auto"/>
                <w:szCs w:val="21"/>
                <w:highlight w:val="none"/>
              </w:rPr>
            </w:pPr>
          </w:p>
        </w:tc>
        <w:tc>
          <w:tcPr>
            <w:tcW w:w="723" w:type="dxa"/>
            <w:noWrap w:val="0"/>
            <w:vAlign w:val="center"/>
          </w:tcPr>
          <w:p w14:paraId="55BDE51A">
            <w:pPr>
              <w:widowControl/>
              <w:jc w:val="center"/>
              <w:rPr>
                <w:rFonts w:hint="eastAsia" w:ascii="宋体" w:hAnsi="宋体" w:eastAsia="宋体" w:cs="宋体"/>
                <w:color w:val="auto"/>
                <w:szCs w:val="21"/>
                <w:highlight w:val="none"/>
              </w:rPr>
            </w:pPr>
          </w:p>
        </w:tc>
        <w:tc>
          <w:tcPr>
            <w:tcW w:w="2141" w:type="dxa"/>
            <w:noWrap w:val="0"/>
            <w:vAlign w:val="center"/>
          </w:tcPr>
          <w:p w14:paraId="2104B7A7">
            <w:pPr>
              <w:widowControl/>
              <w:jc w:val="center"/>
              <w:rPr>
                <w:rFonts w:hint="eastAsia" w:ascii="宋体" w:hAnsi="宋体" w:eastAsia="宋体" w:cs="宋体"/>
                <w:color w:val="auto"/>
                <w:szCs w:val="21"/>
                <w:highlight w:val="none"/>
              </w:rPr>
            </w:pPr>
          </w:p>
        </w:tc>
        <w:tc>
          <w:tcPr>
            <w:tcW w:w="843" w:type="dxa"/>
            <w:noWrap w:val="0"/>
            <w:vAlign w:val="center"/>
          </w:tcPr>
          <w:p w14:paraId="3A5AF5B9">
            <w:pPr>
              <w:widowControl/>
              <w:jc w:val="center"/>
              <w:rPr>
                <w:rFonts w:hint="eastAsia" w:ascii="宋体" w:hAnsi="宋体" w:eastAsia="宋体" w:cs="宋体"/>
                <w:color w:val="auto"/>
                <w:szCs w:val="21"/>
                <w:highlight w:val="none"/>
              </w:rPr>
            </w:pPr>
          </w:p>
        </w:tc>
      </w:tr>
      <w:tr w14:paraId="2DA1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050" w:type="dxa"/>
            <w:gridSpan w:val="7"/>
            <w:noWrap w:val="0"/>
            <w:vAlign w:val="center"/>
          </w:tcPr>
          <w:p w14:paraId="3554CE42">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723" w:type="dxa"/>
            <w:noWrap w:val="0"/>
            <w:vAlign w:val="center"/>
          </w:tcPr>
          <w:p w14:paraId="7B789715">
            <w:pPr>
              <w:widowControl/>
              <w:jc w:val="center"/>
              <w:rPr>
                <w:rFonts w:hint="eastAsia" w:ascii="宋体" w:hAnsi="宋体" w:eastAsia="宋体" w:cs="宋体"/>
                <w:color w:val="auto"/>
                <w:szCs w:val="21"/>
                <w:highlight w:val="none"/>
              </w:rPr>
            </w:pPr>
          </w:p>
        </w:tc>
        <w:tc>
          <w:tcPr>
            <w:tcW w:w="2141" w:type="dxa"/>
            <w:noWrap w:val="0"/>
            <w:vAlign w:val="center"/>
          </w:tcPr>
          <w:p w14:paraId="305FD7B8">
            <w:pPr>
              <w:widowControl/>
              <w:jc w:val="center"/>
              <w:rPr>
                <w:rFonts w:hint="eastAsia" w:ascii="宋体" w:hAnsi="宋体" w:eastAsia="宋体" w:cs="宋体"/>
                <w:color w:val="auto"/>
                <w:szCs w:val="21"/>
                <w:highlight w:val="none"/>
              </w:rPr>
            </w:pPr>
          </w:p>
        </w:tc>
        <w:tc>
          <w:tcPr>
            <w:tcW w:w="843" w:type="dxa"/>
            <w:noWrap w:val="0"/>
            <w:vAlign w:val="center"/>
          </w:tcPr>
          <w:p w14:paraId="6FBE827F">
            <w:pPr>
              <w:widowControl/>
              <w:jc w:val="center"/>
              <w:rPr>
                <w:rFonts w:hint="eastAsia" w:ascii="宋体" w:hAnsi="宋体" w:eastAsia="宋体" w:cs="宋体"/>
                <w:color w:val="auto"/>
                <w:szCs w:val="21"/>
                <w:highlight w:val="none"/>
              </w:rPr>
            </w:pPr>
          </w:p>
        </w:tc>
      </w:tr>
    </w:tbl>
    <w:p w14:paraId="31E6ED98">
      <w:pPr>
        <w:widowControl/>
        <w:topLinePunct/>
        <w:adjustRightInd w:val="0"/>
        <w:snapToGrid w:val="0"/>
        <w:spacing w:line="360" w:lineRule="auto"/>
        <w:jc w:val="left"/>
        <w:rPr>
          <w:rFonts w:hint="eastAsia" w:ascii="宋体" w:hAnsi="宋体" w:eastAsia="宋体" w:cs="宋体"/>
          <w:bCs/>
          <w:color w:val="auto"/>
          <w:highlight w:val="none"/>
        </w:rPr>
      </w:pPr>
      <w:r>
        <w:rPr>
          <w:rFonts w:hint="eastAsia" w:ascii="宋体" w:hAnsi="宋体" w:eastAsia="宋体" w:cs="宋体"/>
          <w:snapToGrid w:val="0"/>
          <w:color w:val="auto"/>
          <w:szCs w:val="21"/>
          <w:highlight w:val="none"/>
        </w:rPr>
        <w:t xml:space="preserve">注： </w:t>
      </w:r>
      <w:r>
        <w:rPr>
          <w:rFonts w:hint="eastAsia" w:ascii="宋体" w:hAnsi="宋体" w:eastAsia="宋体" w:cs="宋体"/>
          <w:bCs/>
          <w:color w:val="auto"/>
          <w:highlight w:val="none"/>
        </w:rPr>
        <w:t>1、本表“投入主要人员”应根据招标文件“技术部分（项目实施能力）审查评分表”的要求进行配备。</w:t>
      </w:r>
    </w:p>
    <w:p w14:paraId="42099895">
      <w:pPr>
        <w:widowControl/>
        <w:topLinePunct/>
        <w:adjustRightInd w:val="0"/>
        <w:snapToGrid w:val="0"/>
        <w:spacing w:line="360" w:lineRule="auto"/>
        <w:jc w:val="left"/>
        <w:rPr>
          <w:rFonts w:hint="eastAsia" w:ascii="宋体" w:hAnsi="宋体" w:eastAsia="宋体" w:cs="宋体"/>
          <w:bCs/>
          <w:color w:val="auto"/>
          <w:szCs w:val="22"/>
          <w:highlight w:val="none"/>
        </w:rPr>
      </w:pPr>
      <w:r>
        <w:rPr>
          <w:rFonts w:hint="eastAsia" w:ascii="宋体" w:hAnsi="宋体" w:eastAsia="宋体" w:cs="宋体"/>
          <w:bCs/>
          <w:color w:val="auto"/>
          <w:highlight w:val="none"/>
        </w:rPr>
        <w:t>2、本表“投入主要人员”须提供的证明文件原价扫描件详见上表备注要求，并按附件</w:t>
      </w:r>
      <w:r>
        <w:rPr>
          <w:rFonts w:hint="eastAsia" w:ascii="宋体" w:hAnsi="宋体" w:eastAsia="宋体" w:cs="宋体"/>
          <w:bCs/>
          <w:color w:val="auto"/>
          <w:highlight w:val="none"/>
          <w:lang w:val="en-US" w:eastAsia="zh-CN"/>
        </w:rPr>
        <w:t>17</w:t>
      </w:r>
      <w:r>
        <w:rPr>
          <w:rFonts w:hint="eastAsia" w:ascii="宋体" w:hAnsi="宋体" w:eastAsia="宋体" w:cs="宋体"/>
          <w:bCs/>
          <w:color w:val="auto"/>
          <w:highlight w:val="none"/>
        </w:rPr>
        <w:t>填写简历表以</w:t>
      </w:r>
      <w:r>
        <w:rPr>
          <w:rFonts w:hint="eastAsia" w:ascii="宋体" w:hAnsi="宋体" w:eastAsia="宋体" w:cs="宋体"/>
          <w:bCs/>
          <w:color w:val="auto"/>
          <w:szCs w:val="22"/>
          <w:highlight w:val="none"/>
        </w:rPr>
        <w:t>及提供投标截止时间前一个月（202</w:t>
      </w:r>
      <w:r>
        <w:rPr>
          <w:rFonts w:hint="eastAsia" w:ascii="宋体" w:hAnsi="宋体" w:eastAsia="宋体" w:cs="宋体"/>
          <w:bCs/>
          <w:color w:val="auto"/>
          <w:szCs w:val="22"/>
          <w:highlight w:val="none"/>
          <w:lang w:val="en-US" w:eastAsia="zh-CN"/>
        </w:rPr>
        <w:t>5</w:t>
      </w:r>
      <w:r>
        <w:rPr>
          <w:rFonts w:hint="eastAsia" w:ascii="宋体" w:hAnsi="宋体" w:eastAsia="宋体" w:cs="宋体"/>
          <w:bCs/>
          <w:color w:val="auto"/>
          <w:szCs w:val="22"/>
          <w:highlight w:val="none"/>
        </w:rPr>
        <w:t>年</w:t>
      </w:r>
      <w:r>
        <w:rPr>
          <w:rFonts w:hint="eastAsia" w:ascii="宋体" w:hAnsi="宋体" w:eastAsia="宋体" w:cs="宋体"/>
          <w:bCs/>
          <w:color w:val="auto"/>
          <w:szCs w:val="22"/>
          <w:highlight w:val="none"/>
          <w:lang w:val="en-US" w:eastAsia="zh-CN"/>
        </w:rPr>
        <w:t>10</w:t>
      </w:r>
      <w:bookmarkStart w:id="261" w:name="_GoBack"/>
      <w:bookmarkEnd w:id="261"/>
      <w:r>
        <w:rPr>
          <w:rFonts w:hint="eastAsia" w:ascii="宋体" w:hAnsi="宋体" w:eastAsia="宋体" w:cs="宋体"/>
          <w:bCs/>
          <w:color w:val="auto"/>
          <w:szCs w:val="22"/>
          <w:highlight w:val="none"/>
        </w:rPr>
        <w:t>月）在本单位缴纳社保的证明原件扫描件，若为退休人员则需提供相关的退休证明及投标人企业返聘证明材料原件扫描件。投入人员工作经验以毕业证签发日期为准。</w:t>
      </w:r>
    </w:p>
    <w:p w14:paraId="3F6D4E70">
      <w:pPr>
        <w:widowControl/>
        <w:topLinePunct/>
        <w:adjustRightInd w:val="0"/>
        <w:snapToGrid w:val="0"/>
        <w:spacing w:line="360" w:lineRule="auto"/>
        <w:jc w:val="left"/>
        <w:rPr>
          <w:rFonts w:hint="eastAsia" w:ascii="宋体" w:hAnsi="宋体" w:eastAsia="宋体" w:cs="宋体"/>
          <w:bCs/>
          <w:color w:val="auto"/>
          <w:szCs w:val="22"/>
          <w:highlight w:val="none"/>
        </w:rPr>
      </w:pPr>
      <w:r>
        <w:rPr>
          <w:rFonts w:hint="eastAsia" w:ascii="宋体" w:hAnsi="宋体" w:eastAsia="宋体" w:cs="宋体"/>
          <w:bCs/>
          <w:color w:val="auto"/>
          <w:szCs w:val="22"/>
          <w:highlight w:val="none"/>
        </w:rPr>
        <w:t>3、本表投标人可根据企业自身及项目实际情况自行增加人员配置。</w:t>
      </w:r>
    </w:p>
    <w:p w14:paraId="25ACED45">
      <w:pPr>
        <w:keepNext w:val="0"/>
        <w:keepLines w:val="0"/>
        <w:pageBreakBefore w:val="0"/>
        <w:widowControl/>
        <w:kinsoku/>
        <w:wordWrap/>
        <w:overflowPunct/>
        <w:topLinePunct/>
        <w:autoSpaceDE/>
        <w:autoSpaceDN/>
        <w:bidi w:val="0"/>
        <w:adjustRightInd w:val="0"/>
        <w:snapToGrid w:val="0"/>
        <w:spacing w:line="240" w:lineRule="auto"/>
        <w:jc w:val="left"/>
        <w:textAlignment w:val="auto"/>
        <w:rPr>
          <w:rFonts w:hint="eastAsia" w:ascii="宋体" w:hAnsi="宋体" w:eastAsia="宋体" w:cs="宋体"/>
          <w:bCs/>
          <w:color w:val="auto"/>
          <w:szCs w:val="22"/>
          <w:highlight w:val="none"/>
        </w:rPr>
      </w:pPr>
      <w:r>
        <w:rPr>
          <w:rFonts w:hint="eastAsia" w:ascii="宋体" w:hAnsi="宋体" w:eastAsia="宋体" w:cs="宋体"/>
          <w:bCs/>
          <w:color w:val="auto"/>
          <w:szCs w:val="22"/>
          <w:highlight w:val="none"/>
        </w:rPr>
        <w:t>4、拟投入的项目部人员，未经招标人同意，中标后不得更换，否则按合同约定承担违约责任。</w:t>
      </w:r>
    </w:p>
    <w:p w14:paraId="20BA363A">
      <w:pPr>
        <w:keepNext w:val="0"/>
        <w:keepLines w:val="0"/>
        <w:pageBreakBefore w:val="0"/>
        <w:widowControl/>
        <w:kinsoku/>
        <w:wordWrap/>
        <w:overflowPunct/>
        <w:topLinePunct/>
        <w:autoSpaceDE/>
        <w:autoSpaceDN/>
        <w:bidi w:val="0"/>
        <w:adjustRightInd w:val="0"/>
        <w:snapToGrid w:val="0"/>
        <w:spacing w:after="200" w:line="240" w:lineRule="auto"/>
        <w:ind w:firstLine="3596" w:firstLineChars="1450"/>
        <w:jc w:val="left"/>
        <w:textAlignment w:val="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投标人：　　（盖章）</w:t>
      </w:r>
    </w:p>
    <w:p w14:paraId="3364F981">
      <w:pPr>
        <w:keepNext w:val="0"/>
        <w:keepLines w:val="0"/>
        <w:pageBreakBefore w:val="0"/>
        <w:widowControl/>
        <w:kinsoku/>
        <w:wordWrap/>
        <w:overflowPunct/>
        <w:topLinePunct/>
        <w:autoSpaceDE/>
        <w:autoSpaceDN/>
        <w:bidi w:val="0"/>
        <w:adjustRightInd w:val="0"/>
        <w:snapToGrid w:val="0"/>
        <w:spacing w:after="200" w:line="240" w:lineRule="auto"/>
        <w:ind w:firstLine="3596" w:firstLineChars="1450"/>
        <w:jc w:val="left"/>
        <w:textAlignment w:val="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法定代表人或授权代理人(签字或盖章)：</w:t>
      </w:r>
    </w:p>
    <w:p w14:paraId="70E943EF">
      <w:pPr>
        <w:keepNext w:val="0"/>
        <w:keepLines w:val="0"/>
        <w:pageBreakBefore w:val="0"/>
        <w:kinsoku/>
        <w:wordWrap/>
        <w:overflowPunct/>
        <w:autoSpaceDE/>
        <w:autoSpaceDN/>
        <w:bidi w:val="0"/>
        <w:spacing w:line="240" w:lineRule="auto"/>
        <w:ind w:firstLine="3600" w:firstLineChars="1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13E59070">
      <w:pPr>
        <w:widowControl/>
        <w:topLinePunct/>
        <w:adjustRightInd w:val="0"/>
        <w:snapToGrid w:val="0"/>
        <w:spacing w:after="200"/>
        <w:jc w:val="left"/>
        <w:outlineLvl w:val="9"/>
        <w:rPr>
          <w:rFonts w:hint="eastAsia" w:ascii="宋体" w:hAnsi="宋体" w:eastAsia="宋体" w:cs="宋体"/>
          <w:color w:val="auto"/>
          <w:sz w:val="24"/>
          <w:szCs w:val="24"/>
          <w:highlight w:val="none"/>
        </w:rPr>
      </w:pPr>
    </w:p>
    <w:p w14:paraId="6EF6BDB0">
      <w:pPr>
        <w:widowControl/>
        <w:topLinePunct/>
        <w:adjustRightInd w:val="0"/>
        <w:snapToGrid w:val="0"/>
        <w:spacing w:after="200"/>
        <w:jc w:val="left"/>
        <w:outlineLvl w:val="9"/>
        <w:rPr>
          <w:rFonts w:hint="eastAsia" w:ascii="宋体" w:hAnsi="宋体" w:eastAsia="宋体" w:cs="宋体"/>
          <w:color w:val="auto"/>
          <w:sz w:val="24"/>
          <w:szCs w:val="24"/>
          <w:highlight w:val="none"/>
        </w:rPr>
      </w:pPr>
    </w:p>
    <w:p w14:paraId="1AA82DFE">
      <w:pPr>
        <w:widowControl/>
        <w:topLinePunct/>
        <w:adjustRightInd w:val="0"/>
        <w:snapToGrid w:val="0"/>
        <w:spacing w:after="200"/>
        <w:jc w:val="left"/>
        <w:outlineLvl w:val="9"/>
        <w:rPr>
          <w:rFonts w:hint="eastAsia" w:ascii="宋体" w:hAnsi="宋体" w:eastAsia="宋体" w:cs="宋体"/>
          <w:color w:val="auto"/>
          <w:sz w:val="24"/>
          <w:szCs w:val="24"/>
          <w:highlight w:val="none"/>
        </w:rPr>
      </w:pPr>
    </w:p>
    <w:p w14:paraId="768762FB">
      <w:pPr>
        <w:pStyle w:val="20"/>
        <w:rPr>
          <w:rFonts w:hint="eastAsia"/>
          <w:color w:val="auto"/>
          <w:highlight w:val="none"/>
        </w:rPr>
      </w:pPr>
    </w:p>
    <w:p w14:paraId="375BBC7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F65C25B">
      <w:pPr>
        <w:widowControl/>
        <w:topLinePunct/>
        <w:adjustRightInd w:val="0"/>
        <w:snapToGrid w:val="0"/>
        <w:spacing w:after="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主要人员简历表</w:t>
      </w:r>
    </w:p>
    <w:p w14:paraId="588485EE">
      <w:pPr>
        <w:adjustRightInd w:val="0"/>
        <w:snapToGrid w:val="0"/>
        <w:spacing w:line="360" w:lineRule="auto"/>
        <w:jc w:val="center"/>
        <w:outlineLvl w:val="9"/>
        <w:rPr>
          <w:rFonts w:hint="eastAsia" w:ascii="宋体" w:hAnsi="宋体" w:eastAsia="宋体" w:cs="宋体"/>
          <w:b/>
          <w:color w:val="auto"/>
          <w:sz w:val="32"/>
          <w:szCs w:val="22"/>
          <w:highlight w:val="none"/>
        </w:rPr>
      </w:pPr>
      <w:bookmarkStart w:id="217" w:name="_Toc1277"/>
      <w:bookmarkStart w:id="218" w:name="_Toc15449"/>
      <w:r>
        <w:rPr>
          <w:rFonts w:hint="eastAsia" w:ascii="宋体" w:hAnsi="宋体" w:eastAsia="宋体" w:cs="宋体"/>
          <w:b/>
          <w:color w:val="auto"/>
          <w:sz w:val="32"/>
          <w:szCs w:val="22"/>
          <w:highlight w:val="none"/>
        </w:rPr>
        <w:t>主要人员简历表</w:t>
      </w:r>
      <w:bookmarkEnd w:id="217"/>
      <w:bookmarkEnd w:id="218"/>
    </w:p>
    <w:tbl>
      <w:tblPr>
        <w:tblStyle w:val="34"/>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21"/>
        <w:gridCol w:w="1441"/>
        <w:gridCol w:w="519"/>
        <w:gridCol w:w="925"/>
        <w:gridCol w:w="352"/>
        <w:gridCol w:w="1310"/>
        <w:gridCol w:w="275"/>
        <w:gridCol w:w="1102"/>
        <w:gridCol w:w="64"/>
        <w:gridCol w:w="1445"/>
      </w:tblGrid>
      <w:tr w14:paraId="4BF5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422" w:type="dxa"/>
            <w:noWrap w:val="0"/>
            <w:vAlign w:val="center"/>
          </w:tcPr>
          <w:p w14:paraId="36B1EB3C">
            <w:pPr>
              <w:widowControl/>
              <w:spacing w:after="200" w:line="276" w:lineRule="auto"/>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姓名</w:t>
            </w:r>
          </w:p>
        </w:tc>
        <w:tc>
          <w:tcPr>
            <w:tcW w:w="1981" w:type="dxa"/>
            <w:gridSpan w:val="3"/>
            <w:noWrap w:val="0"/>
            <w:vAlign w:val="center"/>
          </w:tcPr>
          <w:p w14:paraId="5856D6C9">
            <w:pPr>
              <w:keepNext/>
              <w:keepLines/>
              <w:widowControl/>
              <w:topLinePunct/>
              <w:adjustRightInd w:val="0"/>
              <w:snapToGrid w:val="0"/>
              <w:spacing w:before="120" w:after="120" w:line="360" w:lineRule="auto"/>
              <w:jc w:val="center"/>
              <w:rPr>
                <w:rFonts w:hint="eastAsia" w:ascii="宋体" w:hAnsi="宋体" w:eastAsia="宋体" w:cs="宋体"/>
                <w:b/>
                <w:snapToGrid w:val="0"/>
                <w:color w:val="auto"/>
                <w:spacing w:val="4"/>
                <w:sz w:val="24"/>
                <w:szCs w:val="24"/>
                <w:highlight w:val="none"/>
                <w:lang w:bidi="en-US"/>
              </w:rPr>
            </w:pPr>
          </w:p>
        </w:tc>
        <w:tc>
          <w:tcPr>
            <w:tcW w:w="1277" w:type="dxa"/>
            <w:gridSpan w:val="2"/>
            <w:noWrap w:val="0"/>
            <w:vAlign w:val="center"/>
          </w:tcPr>
          <w:p w14:paraId="3212C734">
            <w:pPr>
              <w:widowControl/>
              <w:spacing w:after="200" w:line="276" w:lineRule="auto"/>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性别</w:t>
            </w:r>
          </w:p>
        </w:tc>
        <w:tc>
          <w:tcPr>
            <w:tcW w:w="1585" w:type="dxa"/>
            <w:gridSpan w:val="2"/>
            <w:noWrap w:val="0"/>
            <w:vAlign w:val="center"/>
          </w:tcPr>
          <w:p w14:paraId="55B6FF60">
            <w:pPr>
              <w:keepNext/>
              <w:keepLines/>
              <w:widowControl/>
              <w:topLinePunct/>
              <w:adjustRightInd w:val="0"/>
              <w:snapToGrid w:val="0"/>
              <w:spacing w:before="120" w:after="120" w:line="360" w:lineRule="auto"/>
              <w:jc w:val="center"/>
              <w:rPr>
                <w:rFonts w:hint="eastAsia" w:ascii="宋体" w:hAnsi="宋体" w:eastAsia="宋体" w:cs="宋体"/>
                <w:b/>
                <w:snapToGrid w:val="0"/>
                <w:color w:val="auto"/>
                <w:spacing w:val="4"/>
                <w:sz w:val="24"/>
                <w:szCs w:val="24"/>
                <w:highlight w:val="none"/>
                <w:lang w:bidi="en-US"/>
              </w:rPr>
            </w:pPr>
          </w:p>
        </w:tc>
        <w:tc>
          <w:tcPr>
            <w:tcW w:w="1102" w:type="dxa"/>
            <w:noWrap w:val="0"/>
            <w:vAlign w:val="center"/>
          </w:tcPr>
          <w:p w14:paraId="6D614D36">
            <w:pPr>
              <w:widowControl/>
              <w:spacing w:after="200" w:line="276" w:lineRule="auto"/>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年龄</w:t>
            </w:r>
          </w:p>
        </w:tc>
        <w:tc>
          <w:tcPr>
            <w:tcW w:w="1509" w:type="dxa"/>
            <w:gridSpan w:val="2"/>
            <w:noWrap w:val="0"/>
            <w:vAlign w:val="center"/>
          </w:tcPr>
          <w:p w14:paraId="1A2A4FFF">
            <w:pPr>
              <w:keepNext/>
              <w:keepLines/>
              <w:widowControl/>
              <w:topLinePunct/>
              <w:adjustRightInd w:val="0"/>
              <w:snapToGrid w:val="0"/>
              <w:spacing w:before="120" w:after="120" w:line="360" w:lineRule="auto"/>
              <w:jc w:val="center"/>
              <w:rPr>
                <w:rFonts w:hint="eastAsia" w:ascii="宋体" w:hAnsi="宋体" w:eastAsia="宋体" w:cs="宋体"/>
                <w:b/>
                <w:snapToGrid w:val="0"/>
                <w:color w:val="auto"/>
                <w:spacing w:val="4"/>
                <w:sz w:val="24"/>
                <w:szCs w:val="24"/>
                <w:highlight w:val="none"/>
                <w:lang w:bidi="en-US"/>
              </w:rPr>
            </w:pPr>
          </w:p>
        </w:tc>
      </w:tr>
      <w:tr w14:paraId="4B98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22" w:type="dxa"/>
            <w:noWrap w:val="0"/>
            <w:vAlign w:val="center"/>
          </w:tcPr>
          <w:p w14:paraId="76A13D9A">
            <w:pPr>
              <w:widowControl/>
              <w:spacing w:after="200" w:line="276" w:lineRule="auto"/>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bCs/>
                <w:color w:val="auto"/>
                <w:kern w:val="0"/>
                <w:sz w:val="24"/>
                <w:szCs w:val="24"/>
                <w:highlight w:val="none"/>
                <w:lang w:eastAsia="en-US" w:bidi="en-US"/>
              </w:rPr>
              <w:t>身份证号码</w:t>
            </w:r>
          </w:p>
        </w:tc>
        <w:tc>
          <w:tcPr>
            <w:tcW w:w="7454" w:type="dxa"/>
            <w:gridSpan w:val="10"/>
            <w:noWrap w:val="0"/>
            <w:vAlign w:val="center"/>
          </w:tcPr>
          <w:p w14:paraId="25D01C3E">
            <w:pPr>
              <w:widowControl/>
              <w:topLinePunct/>
              <w:adjustRightInd w:val="0"/>
              <w:snapToGrid w:val="0"/>
              <w:spacing w:after="200" w:line="360" w:lineRule="auto"/>
              <w:jc w:val="center"/>
              <w:rPr>
                <w:rFonts w:hint="eastAsia" w:ascii="宋体" w:hAnsi="宋体" w:eastAsia="宋体" w:cs="宋体"/>
                <w:b/>
                <w:snapToGrid w:val="0"/>
                <w:color w:val="auto"/>
                <w:spacing w:val="4"/>
                <w:sz w:val="24"/>
                <w:szCs w:val="24"/>
                <w:highlight w:val="none"/>
                <w:lang w:bidi="en-US"/>
              </w:rPr>
            </w:pPr>
          </w:p>
        </w:tc>
      </w:tr>
      <w:tr w14:paraId="3C74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22" w:type="dxa"/>
            <w:noWrap w:val="0"/>
            <w:vAlign w:val="center"/>
          </w:tcPr>
          <w:p w14:paraId="55EFD042">
            <w:pPr>
              <w:widowControl/>
              <w:spacing w:after="200" w:line="276" w:lineRule="auto"/>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职务</w:t>
            </w:r>
          </w:p>
        </w:tc>
        <w:tc>
          <w:tcPr>
            <w:tcW w:w="1981" w:type="dxa"/>
            <w:gridSpan w:val="3"/>
            <w:noWrap w:val="0"/>
            <w:vAlign w:val="center"/>
          </w:tcPr>
          <w:p w14:paraId="55E620A9">
            <w:pPr>
              <w:keepNext/>
              <w:keepLines/>
              <w:widowControl/>
              <w:topLinePunct/>
              <w:adjustRightInd w:val="0"/>
              <w:snapToGrid w:val="0"/>
              <w:spacing w:before="120" w:after="120" w:line="360" w:lineRule="auto"/>
              <w:jc w:val="center"/>
              <w:rPr>
                <w:rFonts w:hint="eastAsia" w:ascii="宋体" w:hAnsi="宋体" w:eastAsia="宋体" w:cs="宋体"/>
                <w:b/>
                <w:snapToGrid w:val="0"/>
                <w:color w:val="auto"/>
                <w:spacing w:val="4"/>
                <w:sz w:val="24"/>
                <w:szCs w:val="24"/>
                <w:highlight w:val="none"/>
                <w:lang w:bidi="en-US"/>
              </w:rPr>
            </w:pPr>
          </w:p>
        </w:tc>
        <w:tc>
          <w:tcPr>
            <w:tcW w:w="1277" w:type="dxa"/>
            <w:gridSpan w:val="2"/>
            <w:noWrap w:val="0"/>
            <w:vAlign w:val="center"/>
          </w:tcPr>
          <w:p w14:paraId="383BEB6C">
            <w:pPr>
              <w:widowControl/>
              <w:spacing w:after="200" w:line="276" w:lineRule="auto"/>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职称</w:t>
            </w:r>
          </w:p>
        </w:tc>
        <w:tc>
          <w:tcPr>
            <w:tcW w:w="1585" w:type="dxa"/>
            <w:gridSpan w:val="2"/>
            <w:noWrap w:val="0"/>
            <w:vAlign w:val="center"/>
          </w:tcPr>
          <w:p w14:paraId="729DE485">
            <w:pPr>
              <w:keepNext/>
              <w:keepLines/>
              <w:widowControl/>
              <w:topLinePunct/>
              <w:adjustRightInd w:val="0"/>
              <w:snapToGrid w:val="0"/>
              <w:spacing w:before="120" w:after="120" w:line="360" w:lineRule="auto"/>
              <w:jc w:val="center"/>
              <w:rPr>
                <w:rFonts w:hint="eastAsia" w:ascii="宋体" w:hAnsi="宋体" w:eastAsia="宋体" w:cs="宋体"/>
                <w:b/>
                <w:snapToGrid w:val="0"/>
                <w:color w:val="auto"/>
                <w:spacing w:val="4"/>
                <w:sz w:val="24"/>
                <w:szCs w:val="24"/>
                <w:highlight w:val="none"/>
                <w:lang w:bidi="en-US"/>
              </w:rPr>
            </w:pPr>
          </w:p>
        </w:tc>
        <w:tc>
          <w:tcPr>
            <w:tcW w:w="1102" w:type="dxa"/>
            <w:noWrap w:val="0"/>
            <w:vAlign w:val="center"/>
          </w:tcPr>
          <w:p w14:paraId="05EA4F09">
            <w:pPr>
              <w:widowControl/>
              <w:spacing w:after="200" w:line="276" w:lineRule="auto"/>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学历</w:t>
            </w:r>
          </w:p>
        </w:tc>
        <w:tc>
          <w:tcPr>
            <w:tcW w:w="1509" w:type="dxa"/>
            <w:gridSpan w:val="2"/>
            <w:noWrap w:val="0"/>
            <w:vAlign w:val="center"/>
          </w:tcPr>
          <w:p w14:paraId="26D560F0">
            <w:pPr>
              <w:keepNext/>
              <w:keepLines/>
              <w:widowControl/>
              <w:topLinePunct/>
              <w:adjustRightInd w:val="0"/>
              <w:snapToGrid w:val="0"/>
              <w:spacing w:before="120" w:after="120" w:line="360" w:lineRule="auto"/>
              <w:jc w:val="center"/>
              <w:rPr>
                <w:rFonts w:hint="eastAsia" w:ascii="宋体" w:hAnsi="宋体" w:eastAsia="宋体" w:cs="宋体"/>
                <w:b/>
                <w:snapToGrid w:val="0"/>
                <w:color w:val="auto"/>
                <w:spacing w:val="4"/>
                <w:sz w:val="24"/>
                <w:szCs w:val="24"/>
                <w:highlight w:val="none"/>
                <w:lang w:bidi="en-US"/>
              </w:rPr>
            </w:pPr>
          </w:p>
        </w:tc>
      </w:tr>
      <w:tr w14:paraId="6487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422" w:type="dxa"/>
            <w:noWrap w:val="0"/>
            <w:vAlign w:val="center"/>
          </w:tcPr>
          <w:p w14:paraId="18AE83A5">
            <w:pPr>
              <w:widowControl/>
              <w:spacing w:after="200" w:line="276" w:lineRule="auto"/>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参加工作</w:t>
            </w:r>
          </w:p>
          <w:p w14:paraId="1E1DAA07">
            <w:pPr>
              <w:widowControl/>
              <w:spacing w:after="200" w:line="276" w:lineRule="auto"/>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时间</w:t>
            </w:r>
          </w:p>
        </w:tc>
        <w:tc>
          <w:tcPr>
            <w:tcW w:w="1981" w:type="dxa"/>
            <w:gridSpan w:val="3"/>
            <w:noWrap w:val="0"/>
            <w:vAlign w:val="center"/>
          </w:tcPr>
          <w:p w14:paraId="690D759F">
            <w:pPr>
              <w:keepNext/>
              <w:keepLines/>
              <w:widowControl/>
              <w:topLinePunct/>
              <w:adjustRightInd w:val="0"/>
              <w:snapToGrid w:val="0"/>
              <w:spacing w:before="120" w:after="120" w:line="360" w:lineRule="auto"/>
              <w:jc w:val="center"/>
              <w:rPr>
                <w:rFonts w:hint="eastAsia" w:ascii="宋体" w:hAnsi="宋体" w:eastAsia="宋体" w:cs="宋体"/>
                <w:b/>
                <w:snapToGrid w:val="0"/>
                <w:color w:val="auto"/>
                <w:spacing w:val="4"/>
                <w:sz w:val="24"/>
                <w:szCs w:val="24"/>
                <w:highlight w:val="none"/>
                <w:lang w:bidi="en-US"/>
              </w:rPr>
            </w:pPr>
          </w:p>
        </w:tc>
        <w:tc>
          <w:tcPr>
            <w:tcW w:w="1277" w:type="dxa"/>
            <w:gridSpan w:val="2"/>
            <w:noWrap w:val="0"/>
            <w:vAlign w:val="center"/>
          </w:tcPr>
          <w:p w14:paraId="2516C7C8">
            <w:pPr>
              <w:widowControl/>
              <w:topLinePunct/>
              <w:adjustRightInd w:val="0"/>
              <w:snapToGrid w:val="0"/>
              <w:spacing w:after="200" w:line="360" w:lineRule="auto"/>
              <w:jc w:val="center"/>
              <w:rPr>
                <w:rFonts w:hint="eastAsia" w:ascii="宋体" w:hAnsi="宋体" w:eastAsia="宋体" w:cs="宋体"/>
                <w:b/>
                <w:snapToGrid w:val="0"/>
                <w:color w:val="auto"/>
                <w:spacing w:val="4"/>
                <w:sz w:val="24"/>
                <w:szCs w:val="24"/>
                <w:highlight w:val="none"/>
                <w:lang w:bidi="en-US"/>
              </w:rPr>
            </w:pPr>
            <w:r>
              <w:rPr>
                <w:rFonts w:hint="eastAsia" w:ascii="宋体" w:hAnsi="宋体" w:eastAsia="宋体" w:cs="宋体"/>
                <w:b/>
                <w:snapToGrid w:val="0"/>
                <w:color w:val="auto"/>
                <w:spacing w:val="4"/>
                <w:sz w:val="24"/>
                <w:szCs w:val="24"/>
                <w:highlight w:val="none"/>
                <w:lang w:bidi="en-US"/>
              </w:rPr>
              <w:t>担任相应职务年限</w:t>
            </w:r>
          </w:p>
        </w:tc>
        <w:tc>
          <w:tcPr>
            <w:tcW w:w="4196" w:type="dxa"/>
            <w:gridSpan w:val="5"/>
            <w:noWrap w:val="0"/>
            <w:vAlign w:val="center"/>
          </w:tcPr>
          <w:p w14:paraId="1DB6B4DD">
            <w:pPr>
              <w:keepNext/>
              <w:keepLines/>
              <w:widowControl/>
              <w:topLinePunct/>
              <w:adjustRightInd w:val="0"/>
              <w:snapToGrid w:val="0"/>
              <w:spacing w:before="120" w:after="120" w:line="360" w:lineRule="auto"/>
              <w:jc w:val="center"/>
              <w:rPr>
                <w:rFonts w:hint="eastAsia" w:ascii="宋体" w:hAnsi="宋体" w:eastAsia="宋体" w:cs="宋体"/>
                <w:b/>
                <w:snapToGrid w:val="0"/>
                <w:color w:val="auto"/>
                <w:spacing w:val="4"/>
                <w:sz w:val="24"/>
                <w:szCs w:val="24"/>
                <w:highlight w:val="none"/>
                <w:lang w:bidi="en-US"/>
              </w:rPr>
            </w:pPr>
          </w:p>
        </w:tc>
      </w:tr>
      <w:tr w14:paraId="2DBE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422" w:type="dxa"/>
            <w:noWrap w:val="0"/>
            <w:vAlign w:val="center"/>
          </w:tcPr>
          <w:p w14:paraId="7E30D84E">
            <w:pPr>
              <w:widowControl/>
              <w:spacing w:after="200" w:line="276" w:lineRule="auto"/>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资格证书号</w:t>
            </w:r>
          </w:p>
        </w:tc>
        <w:tc>
          <w:tcPr>
            <w:tcW w:w="7454" w:type="dxa"/>
            <w:gridSpan w:val="10"/>
            <w:noWrap w:val="0"/>
            <w:vAlign w:val="center"/>
          </w:tcPr>
          <w:p w14:paraId="117FDDA0">
            <w:pPr>
              <w:keepNext/>
              <w:keepLines/>
              <w:widowControl/>
              <w:topLinePunct/>
              <w:adjustRightInd w:val="0"/>
              <w:snapToGrid w:val="0"/>
              <w:spacing w:before="120" w:after="120" w:line="360" w:lineRule="auto"/>
              <w:jc w:val="center"/>
              <w:rPr>
                <w:rFonts w:hint="eastAsia" w:ascii="宋体" w:hAnsi="宋体" w:eastAsia="宋体" w:cs="宋体"/>
                <w:b/>
                <w:snapToGrid w:val="0"/>
                <w:color w:val="auto"/>
                <w:spacing w:val="4"/>
                <w:sz w:val="24"/>
                <w:szCs w:val="24"/>
                <w:highlight w:val="none"/>
                <w:lang w:bidi="en-US"/>
              </w:rPr>
            </w:pPr>
          </w:p>
        </w:tc>
      </w:tr>
      <w:tr w14:paraId="094D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876" w:type="dxa"/>
            <w:gridSpan w:val="11"/>
            <w:noWrap w:val="0"/>
            <w:vAlign w:val="center"/>
          </w:tcPr>
          <w:p w14:paraId="746F802E">
            <w:pPr>
              <w:widowControl/>
              <w:topLinePunct/>
              <w:adjustRightInd w:val="0"/>
              <w:snapToGrid w:val="0"/>
              <w:spacing w:after="200" w:line="360" w:lineRule="auto"/>
              <w:jc w:val="center"/>
              <w:rPr>
                <w:rFonts w:hint="eastAsia" w:ascii="宋体" w:hAnsi="宋体" w:eastAsia="宋体" w:cs="宋体"/>
                <w:b/>
                <w:snapToGrid w:val="0"/>
                <w:color w:val="auto"/>
                <w:spacing w:val="4"/>
                <w:sz w:val="24"/>
                <w:szCs w:val="24"/>
                <w:highlight w:val="none"/>
                <w:lang w:bidi="en-US"/>
              </w:rPr>
            </w:pPr>
            <w:r>
              <w:rPr>
                <w:rFonts w:hint="eastAsia" w:ascii="宋体" w:hAnsi="宋体" w:eastAsia="宋体" w:cs="宋体"/>
                <w:b/>
                <w:snapToGrid w:val="0"/>
                <w:color w:val="auto"/>
                <w:spacing w:val="4"/>
                <w:sz w:val="24"/>
                <w:szCs w:val="24"/>
                <w:highlight w:val="none"/>
                <w:lang w:bidi="en-US"/>
              </w:rPr>
              <w:t>业绩简介</w:t>
            </w:r>
          </w:p>
        </w:tc>
      </w:tr>
      <w:tr w14:paraId="2C07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443" w:type="dxa"/>
            <w:gridSpan w:val="2"/>
            <w:noWrap w:val="0"/>
            <w:vAlign w:val="center"/>
          </w:tcPr>
          <w:p w14:paraId="6F18E2FF">
            <w:pPr>
              <w:widowControl/>
              <w:spacing w:after="200" w:line="276" w:lineRule="auto"/>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建设单位</w:t>
            </w:r>
          </w:p>
        </w:tc>
        <w:tc>
          <w:tcPr>
            <w:tcW w:w="1441" w:type="dxa"/>
            <w:noWrap w:val="0"/>
            <w:vAlign w:val="center"/>
          </w:tcPr>
          <w:p w14:paraId="0A67D4AF">
            <w:pPr>
              <w:widowControl/>
              <w:spacing w:after="200" w:line="276" w:lineRule="auto"/>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项目名称</w:t>
            </w:r>
          </w:p>
        </w:tc>
        <w:tc>
          <w:tcPr>
            <w:tcW w:w="1444" w:type="dxa"/>
            <w:gridSpan w:val="2"/>
            <w:noWrap w:val="0"/>
            <w:vAlign w:val="center"/>
          </w:tcPr>
          <w:p w14:paraId="41C48EF6">
            <w:pPr>
              <w:widowControl/>
              <w:spacing w:after="200" w:line="276" w:lineRule="auto"/>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建设规模</w:t>
            </w:r>
          </w:p>
        </w:tc>
        <w:tc>
          <w:tcPr>
            <w:tcW w:w="1662" w:type="dxa"/>
            <w:gridSpan w:val="2"/>
            <w:noWrap w:val="0"/>
            <w:vAlign w:val="center"/>
          </w:tcPr>
          <w:p w14:paraId="42D50657">
            <w:pPr>
              <w:widowControl/>
              <w:spacing w:after="200" w:line="276" w:lineRule="auto"/>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开、竣工日期</w:t>
            </w:r>
          </w:p>
        </w:tc>
        <w:tc>
          <w:tcPr>
            <w:tcW w:w="1441" w:type="dxa"/>
            <w:gridSpan w:val="3"/>
            <w:noWrap w:val="0"/>
            <w:vAlign w:val="center"/>
          </w:tcPr>
          <w:p w14:paraId="4FFD964E">
            <w:pPr>
              <w:widowControl/>
              <w:spacing w:after="200" w:line="276" w:lineRule="auto"/>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在建或已完</w:t>
            </w:r>
          </w:p>
        </w:tc>
        <w:tc>
          <w:tcPr>
            <w:tcW w:w="1445" w:type="dxa"/>
            <w:noWrap w:val="0"/>
            <w:vAlign w:val="center"/>
          </w:tcPr>
          <w:p w14:paraId="349678A6">
            <w:pPr>
              <w:widowControl/>
              <w:spacing w:after="200" w:line="276" w:lineRule="auto"/>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工程质量</w:t>
            </w:r>
          </w:p>
        </w:tc>
      </w:tr>
      <w:tr w14:paraId="7E35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43" w:type="dxa"/>
            <w:gridSpan w:val="2"/>
            <w:noWrap w:val="0"/>
            <w:vAlign w:val="center"/>
          </w:tcPr>
          <w:p w14:paraId="0A6AAFB4">
            <w:pPr>
              <w:widowControl/>
              <w:topLinePunct/>
              <w:adjustRightInd w:val="0"/>
              <w:snapToGrid w:val="0"/>
              <w:spacing w:after="200" w:line="360" w:lineRule="auto"/>
              <w:jc w:val="center"/>
              <w:rPr>
                <w:rFonts w:hint="eastAsia" w:ascii="宋体" w:hAnsi="宋体" w:eastAsia="宋体" w:cs="宋体"/>
                <w:b/>
                <w:snapToGrid w:val="0"/>
                <w:color w:val="auto"/>
                <w:spacing w:val="4"/>
                <w:sz w:val="24"/>
                <w:szCs w:val="24"/>
                <w:highlight w:val="none"/>
                <w:lang w:bidi="en-US"/>
              </w:rPr>
            </w:pPr>
          </w:p>
        </w:tc>
        <w:tc>
          <w:tcPr>
            <w:tcW w:w="1441" w:type="dxa"/>
            <w:noWrap w:val="0"/>
            <w:vAlign w:val="center"/>
          </w:tcPr>
          <w:p w14:paraId="4577424C">
            <w:pPr>
              <w:widowControl/>
              <w:topLinePunct/>
              <w:adjustRightInd w:val="0"/>
              <w:snapToGrid w:val="0"/>
              <w:spacing w:after="200" w:line="360" w:lineRule="auto"/>
              <w:jc w:val="center"/>
              <w:rPr>
                <w:rFonts w:hint="eastAsia" w:ascii="宋体" w:hAnsi="宋体" w:eastAsia="宋体" w:cs="宋体"/>
                <w:b/>
                <w:snapToGrid w:val="0"/>
                <w:color w:val="auto"/>
                <w:spacing w:val="4"/>
                <w:sz w:val="24"/>
                <w:szCs w:val="24"/>
                <w:highlight w:val="none"/>
                <w:lang w:bidi="en-US"/>
              </w:rPr>
            </w:pPr>
          </w:p>
        </w:tc>
        <w:tc>
          <w:tcPr>
            <w:tcW w:w="1444" w:type="dxa"/>
            <w:gridSpan w:val="2"/>
            <w:noWrap w:val="0"/>
            <w:vAlign w:val="center"/>
          </w:tcPr>
          <w:p w14:paraId="08DF7C4D">
            <w:pPr>
              <w:widowControl/>
              <w:topLinePunct/>
              <w:adjustRightInd w:val="0"/>
              <w:snapToGrid w:val="0"/>
              <w:spacing w:after="200" w:line="360" w:lineRule="auto"/>
              <w:jc w:val="center"/>
              <w:rPr>
                <w:rFonts w:hint="eastAsia" w:ascii="宋体" w:hAnsi="宋体" w:eastAsia="宋体" w:cs="宋体"/>
                <w:b/>
                <w:snapToGrid w:val="0"/>
                <w:color w:val="auto"/>
                <w:spacing w:val="4"/>
                <w:sz w:val="24"/>
                <w:szCs w:val="24"/>
                <w:highlight w:val="none"/>
                <w:lang w:bidi="en-US"/>
              </w:rPr>
            </w:pPr>
          </w:p>
        </w:tc>
        <w:tc>
          <w:tcPr>
            <w:tcW w:w="1662" w:type="dxa"/>
            <w:gridSpan w:val="2"/>
            <w:noWrap w:val="0"/>
            <w:vAlign w:val="center"/>
          </w:tcPr>
          <w:p w14:paraId="2C3F78C4">
            <w:pPr>
              <w:widowControl/>
              <w:topLinePunct/>
              <w:adjustRightInd w:val="0"/>
              <w:snapToGrid w:val="0"/>
              <w:spacing w:after="200" w:line="360" w:lineRule="auto"/>
              <w:jc w:val="center"/>
              <w:rPr>
                <w:rFonts w:hint="eastAsia" w:ascii="宋体" w:hAnsi="宋体" w:eastAsia="宋体" w:cs="宋体"/>
                <w:b/>
                <w:snapToGrid w:val="0"/>
                <w:color w:val="auto"/>
                <w:spacing w:val="4"/>
                <w:sz w:val="24"/>
                <w:szCs w:val="24"/>
                <w:highlight w:val="none"/>
                <w:lang w:bidi="en-US"/>
              </w:rPr>
            </w:pPr>
          </w:p>
        </w:tc>
        <w:tc>
          <w:tcPr>
            <w:tcW w:w="1441" w:type="dxa"/>
            <w:gridSpan w:val="3"/>
            <w:noWrap w:val="0"/>
            <w:vAlign w:val="center"/>
          </w:tcPr>
          <w:p w14:paraId="3E4ED05A">
            <w:pPr>
              <w:widowControl/>
              <w:topLinePunct/>
              <w:adjustRightInd w:val="0"/>
              <w:snapToGrid w:val="0"/>
              <w:spacing w:after="200" w:line="360" w:lineRule="auto"/>
              <w:jc w:val="center"/>
              <w:rPr>
                <w:rFonts w:hint="eastAsia" w:ascii="宋体" w:hAnsi="宋体" w:eastAsia="宋体" w:cs="宋体"/>
                <w:b/>
                <w:snapToGrid w:val="0"/>
                <w:color w:val="auto"/>
                <w:spacing w:val="4"/>
                <w:sz w:val="24"/>
                <w:szCs w:val="24"/>
                <w:highlight w:val="none"/>
                <w:lang w:bidi="en-US"/>
              </w:rPr>
            </w:pPr>
          </w:p>
        </w:tc>
        <w:tc>
          <w:tcPr>
            <w:tcW w:w="1445" w:type="dxa"/>
            <w:noWrap w:val="0"/>
            <w:vAlign w:val="center"/>
          </w:tcPr>
          <w:p w14:paraId="34A20B1A">
            <w:pPr>
              <w:widowControl/>
              <w:topLinePunct/>
              <w:adjustRightInd w:val="0"/>
              <w:snapToGrid w:val="0"/>
              <w:spacing w:after="200" w:line="360" w:lineRule="auto"/>
              <w:jc w:val="center"/>
              <w:rPr>
                <w:rFonts w:hint="eastAsia" w:ascii="宋体" w:hAnsi="宋体" w:eastAsia="宋体" w:cs="宋体"/>
                <w:b/>
                <w:snapToGrid w:val="0"/>
                <w:color w:val="auto"/>
                <w:spacing w:val="4"/>
                <w:sz w:val="24"/>
                <w:szCs w:val="24"/>
                <w:highlight w:val="none"/>
                <w:lang w:bidi="en-US"/>
              </w:rPr>
            </w:pPr>
          </w:p>
        </w:tc>
      </w:tr>
      <w:tr w14:paraId="7F4D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43" w:type="dxa"/>
            <w:gridSpan w:val="2"/>
            <w:noWrap w:val="0"/>
            <w:vAlign w:val="center"/>
          </w:tcPr>
          <w:p w14:paraId="37F2AA3F">
            <w:pPr>
              <w:widowControl/>
              <w:topLinePunct/>
              <w:adjustRightInd w:val="0"/>
              <w:snapToGrid w:val="0"/>
              <w:spacing w:after="200" w:line="360" w:lineRule="auto"/>
              <w:jc w:val="center"/>
              <w:rPr>
                <w:rFonts w:hint="eastAsia" w:ascii="宋体" w:hAnsi="宋体" w:eastAsia="宋体" w:cs="宋体"/>
                <w:snapToGrid w:val="0"/>
                <w:color w:val="auto"/>
                <w:spacing w:val="4"/>
                <w:sz w:val="24"/>
                <w:szCs w:val="24"/>
                <w:highlight w:val="none"/>
                <w:lang w:bidi="en-US"/>
              </w:rPr>
            </w:pPr>
          </w:p>
        </w:tc>
        <w:tc>
          <w:tcPr>
            <w:tcW w:w="1441" w:type="dxa"/>
            <w:noWrap w:val="0"/>
            <w:vAlign w:val="center"/>
          </w:tcPr>
          <w:p w14:paraId="45E201DD">
            <w:pPr>
              <w:widowControl/>
              <w:topLinePunct/>
              <w:adjustRightInd w:val="0"/>
              <w:snapToGrid w:val="0"/>
              <w:spacing w:after="200" w:line="360" w:lineRule="auto"/>
              <w:jc w:val="center"/>
              <w:rPr>
                <w:rFonts w:hint="eastAsia" w:ascii="宋体" w:hAnsi="宋体" w:eastAsia="宋体" w:cs="宋体"/>
                <w:snapToGrid w:val="0"/>
                <w:color w:val="auto"/>
                <w:spacing w:val="4"/>
                <w:sz w:val="24"/>
                <w:szCs w:val="24"/>
                <w:highlight w:val="none"/>
                <w:lang w:bidi="en-US"/>
              </w:rPr>
            </w:pPr>
          </w:p>
        </w:tc>
        <w:tc>
          <w:tcPr>
            <w:tcW w:w="1444" w:type="dxa"/>
            <w:gridSpan w:val="2"/>
            <w:noWrap w:val="0"/>
            <w:vAlign w:val="center"/>
          </w:tcPr>
          <w:p w14:paraId="23FBFD4A">
            <w:pPr>
              <w:widowControl/>
              <w:topLinePunct/>
              <w:adjustRightInd w:val="0"/>
              <w:snapToGrid w:val="0"/>
              <w:spacing w:after="200" w:line="360" w:lineRule="auto"/>
              <w:jc w:val="center"/>
              <w:rPr>
                <w:rFonts w:hint="eastAsia" w:ascii="宋体" w:hAnsi="宋体" w:eastAsia="宋体" w:cs="宋体"/>
                <w:snapToGrid w:val="0"/>
                <w:color w:val="auto"/>
                <w:spacing w:val="4"/>
                <w:sz w:val="24"/>
                <w:szCs w:val="24"/>
                <w:highlight w:val="none"/>
                <w:lang w:bidi="en-US"/>
              </w:rPr>
            </w:pPr>
          </w:p>
        </w:tc>
        <w:tc>
          <w:tcPr>
            <w:tcW w:w="1662" w:type="dxa"/>
            <w:gridSpan w:val="2"/>
            <w:noWrap w:val="0"/>
            <w:vAlign w:val="center"/>
          </w:tcPr>
          <w:p w14:paraId="190421C5">
            <w:pPr>
              <w:widowControl/>
              <w:topLinePunct/>
              <w:adjustRightInd w:val="0"/>
              <w:snapToGrid w:val="0"/>
              <w:spacing w:after="200" w:line="360" w:lineRule="auto"/>
              <w:jc w:val="center"/>
              <w:rPr>
                <w:rFonts w:hint="eastAsia" w:ascii="宋体" w:hAnsi="宋体" w:eastAsia="宋体" w:cs="宋体"/>
                <w:snapToGrid w:val="0"/>
                <w:color w:val="auto"/>
                <w:spacing w:val="4"/>
                <w:sz w:val="24"/>
                <w:szCs w:val="24"/>
                <w:highlight w:val="none"/>
                <w:lang w:bidi="en-US"/>
              </w:rPr>
            </w:pPr>
          </w:p>
        </w:tc>
        <w:tc>
          <w:tcPr>
            <w:tcW w:w="1441" w:type="dxa"/>
            <w:gridSpan w:val="3"/>
            <w:noWrap w:val="0"/>
            <w:vAlign w:val="center"/>
          </w:tcPr>
          <w:p w14:paraId="58E11021">
            <w:pPr>
              <w:widowControl/>
              <w:topLinePunct/>
              <w:adjustRightInd w:val="0"/>
              <w:snapToGrid w:val="0"/>
              <w:spacing w:after="200" w:line="360" w:lineRule="auto"/>
              <w:jc w:val="center"/>
              <w:rPr>
                <w:rFonts w:hint="eastAsia" w:ascii="宋体" w:hAnsi="宋体" w:eastAsia="宋体" w:cs="宋体"/>
                <w:snapToGrid w:val="0"/>
                <w:color w:val="auto"/>
                <w:spacing w:val="4"/>
                <w:sz w:val="24"/>
                <w:szCs w:val="24"/>
                <w:highlight w:val="none"/>
                <w:lang w:bidi="en-US"/>
              </w:rPr>
            </w:pPr>
          </w:p>
        </w:tc>
        <w:tc>
          <w:tcPr>
            <w:tcW w:w="1445" w:type="dxa"/>
            <w:noWrap w:val="0"/>
            <w:vAlign w:val="center"/>
          </w:tcPr>
          <w:p w14:paraId="29CD3AEA">
            <w:pPr>
              <w:widowControl/>
              <w:topLinePunct/>
              <w:adjustRightInd w:val="0"/>
              <w:snapToGrid w:val="0"/>
              <w:spacing w:after="200" w:line="360" w:lineRule="auto"/>
              <w:jc w:val="center"/>
              <w:rPr>
                <w:rFonts w:hint="eastAsia" w:ascii="宋体" w:hAnsi="宋体" w:eastAsia="宋体" w:cs="宋体"/>
                <w:snapToGrid w:val="0"/>
                <w:color w:val="auto"/>
                <w:spacing w:val="4"/>
                <w:sz w:val="24"/>
                <w:szCs w:val="24"/>
                <w:highlight w:val="none"/>
                <w:lang w:bidi="en-US"/>
              </w:rPr>
            </w:pPr>
          </w:p>
        </w:tc>
      </w:tr>
    </w:tbl>
    <w:p w14:paraId="51979D89">
      <w:pPr>
        <w:ind w:firstLine="551" w:firstLineChars="196"/>
        <w:rPr>
          <w:rFonts w:hint="eastAsia" w:ascii="宋体" w:hAnsi="宋体" w:eastAsia="宋体" w:cs="宋体"/>
          <w:b/>
          <w:bCs/>
          <w:color w:val="auto"/>
          <w:sz w:val="28"/>
          <w:szCs w:val="28"/>
          <w:highlight w:val="none"/>
        </w:rPr>
      </w:pPr>
    </w:p>
    <w:p w14:paraId="0AB7A320">
      <w:pPr>
        <w:widowControl/>
        <w:topLinePunct/>
        <w:adjustRightInd w:val="0"/>
        <w:snapToGrid w:val="0"/>
        <w:spacing w:after="200" w:line="360" w:lineRule="auto"/>
        <w:ind w:firstLine="198" w:firstLineChars="80"/>
        <w:jc w:val="left"/>
        <w:rPr>
          <w:rFonts w:hint="eastAsia" w:ascii="宋体" w:hAnsi="宋体" w:eastAsia="宋体" w:cs="宋体"/>
          <w:color w:val="auto"/>
          <w:spacing w:val="4"/>
          <w:kern w:val="0"/>
          <w:sz w:val="24"/>
          <w:szCs w:val="24"/>
          <w:highlight w:val="none"/>
        </w:rPr>
      </w:pPr>
    </w:p>
    <w:p w14:paraId="5164C546">
      <w:pPr>
        <w:widowControl/>
        <w:topLinePunct/>
        <w:adjustRightInd w:val="0"/>
        <w:snapToGrid w:val="0"/>
        <w:spacing w:after="200" w:line="360" w:lineRule="auto"/>
        <w:ind w:firstLine="3596" w:firstLineChars="145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投标人：　　（盖章）</w:t>
      </w:r>
    </w:p>
    <w:p w14:paraId="633763B4">
      <w:pPr>
        <w:widowControl/>
        <w:topLinePunct/>
        <w:adjustRightInd w:val="0"/>
        <w:snapToGrid w:val="0"/>
        <w:spacing w:after="200" w:line="360" w:lineRule="auto"/>
        <w:ind w:firstLine="3596" w:firstLineChars="145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法定代表人或授权代理人(签字或盖章)：</w:t>
      </w:r>
    </w:p>
    <w:p w14:paraId="080FB508">
      <w:pPr>
        <w:jc w:val="center"/>
        <w:rPr>
          <w:rFonts w:hint="eastAsia" w:ascii="宋体" w:hAnsi="宋体" w:eastAsia="宋体" w:cs="宋体"/>
          <w:color w:val="auto"/>
          <w:highlight w:val="none"/>
        </w:rPr>
      </w:pPr>
      <w:r>
        <w:rPr>
          <w:rFonts w:hint="eastAsia" w:ascii="宋体" w:hAnsi="宋体" w:eastAsia="宋体" w:cs="宋体"/>
          <w:color w:val="auto"/>
          <w:spacing w:val="4"/>
          <w:kern w:val="0"/>
          <w:sz w:val="24"/>
          <w:szCs w:val="24"/>
          <w:highlight w:val="none"/>
        </w:rPr>
        <w:t xml:space="preserve">          </w:t>
      </w:r>
      <w:r>
        <w:rPr>
          <w:rFonts w:hint="eastAsia" w:ascii="宋体" w:hAnsi="宋体" w:eastAsia="宋体" w:cs="宋体"/>
          <w:color w:val="auto"/>
          <w:spacing w:val="4"/>
          <w:kern w:val="0"/>
          <w:sz w:val="24"/>
          <w:szCs w:val="24"/>
          <w:highlight w:val="none"/>
          <w:lang w:val="en-US" w:eastAsia="zh-CN"/>
        </w:rPr>
        <w:t xml:space="preserve">         </w:t>
      </w:r>
      <w:r>
        <w:rPr>
          <w:rFonts w:hint="eastAsia" w:ascii="宋体" w:hAnsi="宋体" w:eastAsia="宋体" w:cs="宋体"/>
          <w:color w:val="auto"/>
          <w:spacing w:val="4"/>
          <w:kern w:val="0"/>
          <w:sz w:val="24"/>
          <w:szCs w:val="24"/>
          <w:highlight w:val="none"/>
        </w:rPr>
        <w:t>日   期：    年    月    日</w:t>
      </w:r>
    </w:p>
    <w:p w14:paraId="6238C754">
      <w:pPr>
        <w:pStyle w:val="3"/>
        <w:rPr>
          <w:rFonts w:hint="eastAsia" w:ascii="宋体" w:eastAsia="宋体"/>
          <w:b w:val="0"/>
          <w:color w:val="auto"/>
          <w:highlight w:val="none"/>
        </w:rPr>
      </w:pPr>
    </w:p>
    <w:p w14:paraId="528BA7DB">
      <w:pPr>
        <w:pStyle w:val="7"/>
        <w:rPr>
          <w:rFonts w:hint="eastAsia" w:ascii="宋体" w:eastAsia="宋体"/>
          <w:b/>
          <w:color w:val="auto"/>
          <w:highlight w:val="none"/>
        </w:rPr>
      </w:pPr>
    </w:p>
    <w:p w14:paraId="26F56D84">
      <w:pPr>
        <w:pStyle w:val="43"/>
        <w:rPr>
          <w:rFonts w:hint="eastAsia" w:ascii="宋体" w:eastAsia="宋体"/>
          <w:b/>
          <w:color w:val="auto"/>
          <w:highlight w:val="none"/>
        </w:rPr>
      </w:pPr>
    </w:p>
    <w:p w14:paraId="52C454EC">
      <w:pPr>
        <w:pStyle w:val="43"/>
        <w:rPr>
          <w:rFonts w:hint="eastAsia" w:ascii="宋体" w:eastAsia="宋体"/>
          <w:b/>
          <w:color w:val="auto"/>
          <w:highlight w:val="none"/>
        </w:rPr>
      </w:pPr>
    </w:p>
    <w:p w14:paraId="18D2BDA4">
      <w:pPr>
        <w:pStyle w:val="43"/>
        <w:rPr>
          <w:rFonts w:hint="eastAsia" w:ascii="宋体" w:eastAsia="宋体"/>
          <w:b/>
          <w:color w:val="auto"/>
          <w:highlight w:val="none"/>
        </w:rPr>
      </w:pPr>
    </w:p>
    <w:p w14:paraId="0DD682EF">
      <w:pPr>
        <w:pStyle w:val="43"/>
        <w:rPr>
          <w:rFonts w:hint="eastAsia" w:ascii="宋体" w:eastAsia="宋体"/>
          <w:b/>
          <w:color w:val="auto"/>
          <w:highlight w:val="none"/>
        </w:rPr>
      </w:pPr>
    </w:p>
    <w:p w14:paraId="6DE297C2">
      <w:pPr>
        <w:pStyle w:val="43"/>
        <w:rPr>
          <w:rFonts w:hint="eastAsia" w:ascii="宋体" w:eastAsia="宋体"/>
          <w:b/>
          <w:color w:val="auto"/>
          <w:highlight w:val="none"/>
        </w:rPr>
      </w:pPr>
    </w:p>
    <w:p w14:paraId="02FFF02B">
      <w:pPr>
        <w:rPr>
          <w:rFonts w:hint="default" w:ascii="宋体" w:hAnsi="宋体" w:eastAsia="宋体"/>
          <w:strike w:val="0"/>
          <w:dstrike w:val="0"/>
          <w:color w:val="auto"/>
          <w:highlight w:val="none"/>
          <w:lang w:val="en-US" w:eastAsia="zh-CN"/>
        </w:rPr>
      </w:pPr>
      <w:r>
        <w:rPr>
          <w:rFonts w:hint="eastAsia" w:ascii="宋体" w:hAnsi="宋体" w:eastAsia="宋体"/>
          <w:strike w:val="0"/>
          <w:dstrike w:val="0"/>
          <w:color w:val="auto"/>
          <w:highlight w:val="none"/>
          <w:lang w:val="en-US" w:eastAsia="zh-CN"/>
        </w:rPr>
        <w:t>附件18</w:t>
      </w:r>
    </w:p>
    <w:p w14:paraId="418CEC67">
      <w:pPr>
        <w:shd w:val="clear" w:color="auto" w:fill="auto"/>
        <w:autoSpaceDE w:val="0"/>
        <w:autoSpaceDN w:val="0"/>
        <w:adjustRightInd w:val="0"/>
        <w:spacing w:line="360" w:lineRule="auto"/>
        <w:jc w:val="center"/>
        <w:rPr>
          <w:rFonts w:hint="eastAsia" w:ascii="宋体" w:hAnsi="宋体" w:eastAsia="宋体" w:cs="宋体"/>
          <w:b/>
          <w:strike w:val="0"/>
          <w:dstrike w:val="0"/>
          <w:color w:val="auto"/>
          <w:sz w:val="28"/>
          <w:szCs w:val="28"/>
          <w:highlight w:val="none"/>
        </w:rPr>
      </w:pPr>
      <w:r>
        <w:rPr>
          <w:rFonts w:hint="eastAsia" w:ascii="宋体" w:hAnsi="宋体" w:eastAsia="宋体" w:cs="宋体"/>
          <w:b/>
          <w:strike w:val="0"/>
          <w:dstrike w:val="0"/>
          <w:color w:val="auto"/>
          <w:sz w:val="28"/>
          <w:szCs w:val="28"/>
          <w:highlight w:val="none"/>
        </w:rPr>
        <w:t>拟投入本工程施工的主要机械设备配备表</w:t>
      </w:r>
    </w:p>
    <w:tbl>
      <w:tblPr>
        <w:tblStyle w:val="34"/>
        <w:tblW w:w="83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4"/>
        <w:gridCol w:w="2727"/>
        <w:gridCol w:w="1933"/>
        <w:gridCol w:w="1488"/>
        <w:gridCol w:w="1475"/>
      </w:tblGrid>
      <w:tr w14:paraId="55A6A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7"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E400B2F">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r>
              <w:rPr>
                <w:rFonts w:hint="eastAsia" w:ascii="宋体" w:hAnsi="宋体" w:eastAsia="宋体" w:cs="宋体"/>
                <w:strike w:val="0"/>
                <w:dstrike w:val="0"/>
                <w:color w:val="auto"/>
                <w:szCs w:val="21"/>
                <w:highlight w:val="none"/>
              </w:rPr>
              <w:t>序</w:t>
            </w:r>
          </w:p>
          <w:p w14:paraId="58F63449">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r>
              <w:rPr>
                <w:rFonts w:hint="eastAsia" w:ascii="宋体" w:hAnsi="宋体" w:eastAsia="宋体" w:cs="宋体"/>
                <w:strike w:val="0"/>
                <w:dstrike w:val="0"/>
                <w:color w:val="auto"/>
                <w:szCs w:val="21"/>
                <w:highlight w:val="none"/>
              </w:rPr>
              <w:t>号</w:t>
            </w:r>
          </w:p>
        </w:tc>
        <w:tc>
          <w:tcPr>
            <w:tcW w:w="2727" w:type="dxa"/>
            <w:tcBorders>
              <w:top w:val="single" w:color="auto" w:sz="4" w:space="0"/>
              <w:left w:val="single" w:color="auto" w:sz="4" w:space="0"/>
              <w:bottom w:val="single" w:color="auto" w:sz="4" w:space="0"/>
              <w:right w:val="single" w:color="auto" w:sz="4" w:space="0"/>
            </w:tcBorders>
            <w:noWrap w:val="0"/>
            <w:vAlign w:val="center"/>
          </w:tcPr>
          <w:p w14:paraId="782434A8">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r>
              <w:rPr>
                <w:rFonts w:hint="eastAsia" w:ascii="宋体" w:hAnsi="宋体" w:eastAsia="宋体" w:cs="宋体"/>
                <w:strike w:val="0"/>
                <w:dstrike w:val="0"/>
                <w:color w:val="auto"/>
                <w:szCs w:val="21"/>
                <w:highlight w:val="none"/>
              </w:rPr>
              <w:t>设备名称</w:t>
            </w:r>
          </w:p>
        </w:tc>
        <w:tc>
          <w:tcPr>
            <w:tcW w:w="1933" w:type="dxa"/>
            <w:tcBorders>
              <w:top w:val="single" w:color="auto" w:sz="4" w:space="0"/>
              <w:left w:val="single" w:color="auto" w:sz="4" w:space="0"/>
              <w:bottom w:val="single" w:color="auto" w:sz="4" w:space="0"/>
              <w:right w:val="single" w:color="auto" w:sz="4" w:space="0"/>
            </w:tcBorders>
            <w:noWrap w:val="0"/>
            <w:vAlign w:val="center"/>
          </w:tcPr>
          <w:p w14:paraId="7B822037">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r>
              <w:rPr>
                <w:rFonts w:hint="eastAsia" w:ascii="宋体" w:hAnsi="宋体" w:eastAsia="宋体" w:cs="宋体"/>
                <w:strike w:val="0"/>
                <w:dstrike w:val="0"/>
                <w:color w:val="auto"/>
                <w:szCs w:val="21"/>
                <w:highlight w:val="none"/>
              </w:rPr>
              <w:t>投入总数量</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594A1F4">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r>
              <w:rPr>
                <w:rFonts w:hint="eastAsia" w:ascii="宋体" w:hAnsi="宋体" w:eastAsia="宋体" w:cs="宋体"/>
                <w:strike w:val="0"/>
                <w:dstrike w:val="0"/>
                <w:color w:val="auto"/>
                <w:szCs w:val="21"/>
                <w:highlight w:val="none"/>
              </w:rPr>
              <w:t>来源</w:t>
            </w:r>
          </w:p>
          <w:p w14:paraId="618F3664">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r>
              <w:rPr>
                <w:rFonts w:hint="eastAsia" w:ascii="宋体" w:hAnsi="宋体" w:eastAsia="宋体" w:cs="宋体"/>
                <w:strike w:val="0"/>
                <w:dstrike w:val="0"/>
                <w:color w:val="auto"/>
                <w:szCs w:val="21"/>
                <w:highlight w:val="none"/>
              </w:rPr>
              <w:t>(自有或</w:t>
            </w:r>
          </w:p>
          <w:p w14:paraId="569A679A">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r>
              <w:rPr>
                <w:rFonts w:hint="eastAsia" w:ascii="宋体" w:hAnsi="宋体" w:eastAsia="宋体" w:cs="宋体"/>
                <w:strike w:val="0"/>
                <w:dstrike w:val="0"/>
                <w:color w:val="auto"/>
                <w:szCs w:val="21"/>
                <w:highlight w:val="none"/>
              </w:rPr>
              <w:t>租赁及租赁期)</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2E888783">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r>
              <w:rPr>
                <w:rFonts w:hint="eastAsia" w:ascii="宋体" w:hAnsi="宋体" w:eastAsia="宋体" w:cs="宋体"/>
                <w:strike w:val="0"/>
                <w:dstrike w:val="0"/>
                <w:color w:val="auto"/>
                <w:szCs w:val="21"/>
                <w:highlight w:val="none"/>
              </w:rPr>
              <w:t>备注</w:t>
            </w:r>
          </w:p>
        </w:tc>
      </w:tr>
      <w:tr w14:paraId="409A2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4"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39EB527">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2727" w:type="dxa"/>
            <w:tcBorders>
              <w:top w:val="single" w:color="auto" w:sz="4" w:space="0"/>
              <w:left w:val="single" w:color="auto" w:sz="4" w:space="0"/>
              <w:bottom w:val="single" w:color="auto" w:sz="4" w:space="0"/>
              <w:right w:val="single" w:color="auto" w:sz="4" w:space="0"/>
            </w:tcBorders>
            <w:noWrap w:val="0"/>
            <w:vAlign w:val="center"/>
          </w:tcPr>
          <w:p w14:paraId="449B7941">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14:paraId="6E88D2E0">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ACF950E">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46C1B546">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r>
      <w:tr w14:paraId="7AB96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4"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8C9B05C">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2727" w:type="dxa"/>
            <w:tcBorders>
              <w:top w:val="single" w:color="auto" w:sz="4" w:space="0"/>
              <w:left w:val="single" w:color="auto" w:sz="4" w:space="0"/>
              <w:bottom w:val="single" w:color="auto" w:sz="4" w:space="0"/>
              <w:right w:val="single" w:color="auto" w:sz="4" w:space="0"/>
            </w:tcBorders>
            <w:noWrap w:val="0"/>
            <w:vAlign w:val="center"/>
          </w:tcPr>
          <w:p w14:paraId="6E63D99D">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14:paraId="459892F8">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845468C">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277841FA">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r>
      <w:tr w14:paraId="42725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4"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AE081C4">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2727" w:type="dxa"/>
            <w:tcBorders>
              <w:top w:val="single" w:color="auto" w:sz="4" w:space="0"/>
              <w:left w:val="single" w:color="auto" w:sz="4" w:space="0"/>
              <w:bottom w:val="single" w:color="auto" w:sz="4" w:space="0"/>
              <w:right w:val="single" w:color="auto" w:sz="4" w:space="0"/>
            </w:tcBorders>
            <w:noWrap w:val="0"/>
            <w:vAlign w:val="center"/>
          </w:tcPr>
          <w:p w14:paraId="52FA42E2">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14:paraId="2712D12D">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5B1ABDF">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47579134">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r>
      <w:tr w14:paraId="72B79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4"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D9654BC">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2727" w:type="dxa"/>
            <w:tcBorders>
              <w:top w:val="single" w:color="auto" w:sz="4" w:space="0"/>
              <w:left w:val="single" w:color="auto" w:sz="4" w:space="0"/>
              <w:bottom w:val="single" w:color="auto" w:sz="4" w:space="0"/>
              <w:right w:val="single" w:color="auto" w:sz="4" w:space="0"/>
            </w:tcBorders>
            <w:noWrap w:val="0"/>
            <w:vAlign w:val="center"/>
          </w:tcPr>
          <w:p w14:paraId="7B40E6CD">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14:paraId="6790D689">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71D12C5">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1DAA171">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r>
      <w:tr w14:paraId="43D28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4"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AAEA2F3">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2727" w:type="dxa"/>
            <w:tcBorders>
              <w:top w:val="single" w:color="auto" w:sz="4" w:space="0"/>
              <w:left w:val="single" w:color="auto" w:sz="4" w:space="0"/>
              <w:bottom w:val="single" w:color="auto" w:sz="4" w:space="0"/>
              <w:right w:val="single" w:color="auto" w:sz="4" w:space="0"/>
            </w:tcBorders>
            <w:noWrap w:val="0"/>
            <w:vAlign w:val="center"/>
          </w:tcPr>
          <w:p w14:paraId="696F0DEA">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14:paraId="02B1E24D">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179D266">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c>
          <w:tcPr>
            <w:tcW w:w="1475" w:type="dxa"/>
            <w:tcBorders>
              <w:top w:val="single" w:color="auto" w:sz="4" w:space="0"/>
              <w:left w:val="single" w:color="auto" w:sz="4" w:space="0"/>
              <w:right w:val="single" w:color="auto" w:sz="4" w:space="0"/>
            </w:tcBorders>
            <w:noWrap w:val="0"/>
            <w:vAlign w:val="center"/>
          </w:tcPr>
          <w:p w14:paraId="773625CA">
            <w:pPr>
              <w:shd w:val="clear" w:color="auto" w:fill="auto"/>
              <w:spacing w:line="240" w:lineRule="exact"/>
              <w:jc w:val="center"/>
              <w:textAlignment w:val="center"/>
              <w:rPr>
                <w:rFonts w:hint="eastAsia" w:ascii="宋体" w:hAnsi="宋体" w:eastAsia="宋体" w:cs="宋体"/>
                <w:strike w:val="0"/>
                <w:dstrike w:val="0"/>
                <w:color w:val="auto"/>
                <w:szCs w:val="21"/>
                <w:highlight w:val="none"/>
              </w:rPr>
            </w:pPr>
          </w:p>
        </w:tc>
      </w:tr>
    </w:tbl>
    <w:p w14:paraId="76088F4E">
      <w:pPr>
        <w:shd w:val="clear" w:color="auto" w:fill="auto"/>
        <w:tabs>
          <w:tab w:val="left" w:pos="720"/>
        </w:tabs>
        <w:snapToGrid w:val="0"/>
        <w:spacing w:line="360" w:lineRule="auto"/>
        <w:rPr>
          <w:rFonts w:hint="eastAsia" w:ascii="宋体" w:hAnsi="宋体" w:eastAsia="宋体" w:cs="宋体"/>
          <w:strike w:val="0"/>
          <w:dstrike w:val="0"/>
          <w:color w:val="auto"/>
          <w:szCs w:val="22"/>
          <w:highlight w:val="none"/>
        </w:rPr>
      </w:pPr>
    </w:p>
    <w:p w14:paraId="49426BAD">
      <w:pPr>
        <w:widowControl w:val="0"/>
        <w:shd w:val="clear" w:color="auto" w:fill="auto"/>
        <w:tabs>
          <w:tab w:val="left" w:pos="720"/>
        </w:tabs>
        <w:wordWrap/>
        <w:adjustRightInd/>
        <w:snapToGrid w:val="0"/>
        <w:spacing w:line="360" w:lineRule="auto"/>
        <w:ind w:left="0" w:leftChars="0" w:right="0" w:firstLine="422" w:firstLineChars="200"/>
        <w:jc w:val="both"/>
        <w:textAlignment w:val="auto"/>
        <w:outlineLvl w:val="9"/>
        <w:rPr>
          <w:rFonts w:hint="eastAsia" w:ascii="宋体" w:hAnsi="宋体" w:eastAsia="宋体" w:cs="宋体"/>
          <w:b/>
          <w:bCs/>
          <w:strike w:val="0"/>
          <w:dstrike w:val="0"/>
          <w:color w:val="auto"/>
          <w:spacing w:val="4"/>
          <w:kern w:val="0"/>
          <w:szCs w:val="21"/>
          <w:highlight w:val="none"/>
        </w:rPr>
      </w:pPr>
      <w:r>
        <w:rPr>
          <w:rFonts w:hint="eastAsia" w:ascii="宋体" w:hAnsi="宋体" w:eastAsia="宋体" w:cs="宋体"/>
          <w:b/>
          <w:bCs/>
          <w:strike w:val="0"/>
          <w:dstrike w:val="0"/>
          <w:color w:val="auto"/>
          <w:szCs w:val="22"/>
          <w:highlight w:val="none"/>
        </w:rPr>
        <w:t>注：</w:t>
      </w:r>
      <w:r>
        <w:rPr>
          <w:rFonts w:hint="eastAsia" w:ascii="宋体" w:hAnsi="宋体" w:eastAsia="宋体" w:cs="宋体"/>
          <w:b/>
          <w:bCs/>
          <w:strike w:val="0"/>
          <w:dstrike w:val="0"/>
          <w:color w:val="auto"/>
          <w:szCs w:val="22"/>
          <w:highlight w:val="none"/>
          <w:lang w:val="en-US" w:eastAsia="zh-CN"/>
        </w:rPr>
        <w:t>1.</w:t>
      </w:r>
      <w:r>
        <w:rPr>
          <w:rFonts w:hint="eastAsia" w:ascii="宋体" w:hAnsi="宋体" w:eastAsia="宋体" w:cs="宋体"/>
          <w:b/>
          <w:bCs/>
          <w:strike w:val="0"/>
          <w:dstrike w:val="0"/>
          <w:color w:val="auto"/>
          <w:szCs w:val="22"/>
          <w:highlight w:val="none"/>
        </w:rPr>
        <w:t>本表根据招标文件要求并结合投标人的自身实际填写，</w:t>
      </w:r>
      <w:r>
        <w:rPr>
          <w:rFonts w:hint="eastAsia" w:ascii="宋体" w:hAnsi="宋体" w:eastAsia="宋体" w:cs="宋体"/>
          <w:b/>
          <w:bCs/>
          <w:strike w:val="0"/>
          <w:dstrike w:val="0"/>
          <w:color w:val="auto"/>
          <w:spacing w:val="4"/>
          <w:kern w:val="0"/>
          <w:szCs w:val="21"/>
          <w:highlight w:val="none"/>
        </w:rPr>
        <w:t>一旦中标，要求全部到位，否则按合同约定承担违约责任。</w:t>
      </w:r>
    </w:p>
    <w:p w14:paraId="7F2316C0">
      <w:pPr>
        <w:widowControl w:val="0"/>
        <w:shd w:val="clear" w:color="auto" w:fill="auto"/>
        <w:tabs>
          <w:tab w:val="left" w:pos="720"/>
        </w:tabs>
        <w:wordWrap/>
        <w:adjustRightInd/>
        <w:snapToGrid w:val="0"/>
        <w:spacing w:line="360" w:lineRule="auto"/>
        <w:ind w:left="0" w:leftChars="0" w:right="0" w:firstLine="436" w:firstLineChars="200"/>
        <w:jc w:val="both"/>
        <w:textAlignment w:val="auto"/>
        <w:outlineLvl w:val="9"/>
        <w:rPr>
          <w:rFonts w:hint="eastAsia" w:ascii="宋体" w:hAnsi="宋体" w:eastAsia="宋体" w:cs="宋体"/>
          <w:b w:val="0"/>
          <w:bCs w:val="0"/>
          <w:strike w:val="0"/>
          <w:dstrike w:val="0"/>
          <w:color w:val="auto"/>
          <w:szCs w:val="21"/>
          <w:highlight w:val="none"/>
        </w:rPr>
      </w:pPr>
      <w:r>
        <w:rPr>
          <w:rFonts w:hint="eastAsia" w:ascii="宋体" w:hAnsi="宋体" w:eastAsia="宋体" w:cs="宋体"/>
          <w:b w:val="0"/>
          <w:bCs w:val="0"/>
          <w:strike w:val="0"/>
          <w:dstrike w:val="0"/>
          <w:color w:val="auto"/>
          <w:spacing w:val="4"/>
          <w:kern w:val="0"/>
          <w:szCs w:val="21"/>
          <w:highlight w:val="none"/>
          <w:lang w:val="en-US" w:eastAsia="zh-CN"/>
        </w:rPr>
        <w:t>2.</w:t>
      </w:r>
      <w:r>
        <w:rPr>
          <w:rFonts w:hint="eastAsia" w:ascii="宋体" w:hAnsi="宋体" w:eastAsia="宋体" w:cs="宋体"/>
          <w:b w:val="0"/>
          <w:bCs w:val="0"/>
          <w:strike w:val="0"/>
          <w:dstrike w:val="0"/>
          <w:color w:val="auto"/>
          <w:spacing w:val="4"/>
          <w:kern w:val="0"/>
          <w:szCs w:val="21"/>
          <w:highlight w:val="none"/>
        </w:rPr>
        <w:t>投标人应根据招标文件《技术部分（项目实施能力）审查评分表》相应评审项目及评审内容的要求，填报用于本项目的机械设备并加盖公章。</w:t>
      </w:r>
    </w:p>
    <w:p w14:paraId="785BC127">
      <w:pPr>
        <w:shd w:val="clear" w:color="auto" w:fill="auto"/>
        <w:ind w:right="-130" w:rightChars="-62"/>
        <w:rPr>
          <w:rFonts w:hint="eastAsia" w:ascii="宋体" w:hAnsi="宋体" w:eastAsia="宋体" w:cs="宋体"/>
          <w:strike w:val="0"/>
          <w:dstrike w:val="0"/>
          <w:color w:val="auto"/>
          <w:szCs w:val="22"/>
          <w:highlight w:val="none"/>
        </w:rPr>
      </w:pPr>
    </w:p>
    <w:p w14:paraId="3C9148C2">
      <w:pPr>
        <w:shd w:val="clear" w:color="auto" w:fill="auto"/>
        <w:topLinePunct/>
        <w:adjustRightInd w:val="0"/>
        <w:snapToGrid w:val="0"/>
        <w:spacing w:line="360" w:lineRule="auto"/>
        <w:ind w:firstLine="3161" w:firstLineChars="1450"/>
        <w:rPr>
          <w:rFonts w:hint="eastAsia" w:ascii="宋体" w:hAnsi="宋体" w:eastAsia="宋体" w:cs="宋体"/>
          <w:strike w:val="0"/>
          <w:dstrike w:val="0"/>
          <w:snapToGrid w:val="0"/>
          <w:color w:val="auto"/>
          <w:spacing w:val="4"/>
          <w:kern w:val="0"/>
          <w:szCs w:val="21"/>
          <w:highlight w:val="none"/>
        </w:rPr>
      </w:pPr>
    </w:p>
    <w:p w14:paraId="0A8376CA">
      <w:pPr>
        <w:shd w:val="clear" w:color="auto" w:fill="auto"/>
        <w:topLinePunct/>
        <w:adjustRightInd w:val="0"/>
        <w:snapToGrid w:val="0"/>
        <w:spacing w:line="360" w:lineRule="auto"/>
        <w:ind w:firstLine="3161" w:firstLineChars="1450"/>
        <w:rPr>
          <w:rFonts w:hint="eastAsia" w:ascii="宋体" w:hAnsi="宋体" w:eastAsia="宋体" w:cs="宋体"/>
          <w:strike w:val="0"/>
          <w:dstrike w:val="0"/>
          <w:snapToGrid w:val="0"/>
          <w:color w:val="auto"/>
          <w:spacing w:val="4"/>
          <w:kern w:val="0"/>
          <w:szCs w:val="21"/>
          <w:highlight w:val="none"/>
        </w:rPr>
      </w:pPr>
      <w:r>
        <w:rPr>
          <w:rFonts w:hint="eastAsia" w:ascii="宋体" w:hAnsi="宋体" w:eastAsia="宋体" w:cs="宋体"/>
          <w:strike w:val="0"/>
          <w:dstrike w:val="0"/>
          <w:snapToGrid w:val="0"/>
          <w:color w:val="auto"/>
          <w:spacing w:val="4"/>
          <w:kern w:val="0"/>
          <w:szCs w:val="21"/>
          <w:highlight w:val="none"/>
        </w:rPr>
        <w:t>投标人：　　（盖章）</w:t>
      </w:r>
    </w:p>
    <w:p w14:paraId="3BF563DF">
      <w:pPr>
        <w:shd w:val="clear" w:color="auto" w:fill="auto"/>
        <w:topLinePunct/>
        <w:adjustRightInd w:val="0"/>
        <w:snapToGrid w:val="0"/>
        <w:spacing w:line="360" w:lineRule="auto"/>
        <w:ind w:firstLine="3161" w:firstLineChars="1450"/>
        <w:rPr>
          <w:rFonts w:hint="eastAsia" w:ascii="宋体" w:hAnsi="宋体" w:eastAsia="宋体" w:cs="宋体"/>
          <w:strike w:val="0"/>
          <w:dstrike w:val="0"/>
          <w:snapToGrid w:val="0"/>
          <w:color w:val="auto"/>
          <w:spacing w:val="4"/>
          <w:kern w:val="0"/>
          <w:szCs w:val="21"/>
          <w:highlight w:val="none"/>
        </w:rPr>
      </w:pPr>
      <w:r>
        <w:rPr>
          <w:rFonts w:hint="eastAsia" w:ascii="宋体" w:hAnsi="宋体" w:eastAsia="宋体" w:cs="宋体"/>
          <w:strike w:val="0"/>
          <w:dstrike w:val="0"/>
          <w:snapToGrid w:val="0"/>
          <w:color w:val="auto"/>
          <w:spacing w:val="4"/>
          <w:kern w:val="0"/>
          <w:szCs w:val="21"/>
          <w:highlight w:val="none"/>
        </w:rPr>
        <w:t>法定代表人或授权代理人（签字或盖章）：</w:t>
      </w:r>
    </w:p>
    <w:p w14:paraId="10BCF826">
      <w:pPr>
        <w:shd w:val="clear" w:color="auto" w:fill="auto"/>
        <w:topLinePunct/>
        <w:adjustRightInd w:val="0"/>
        <w:snapToGrid w:val="0"/>
        <w:spacing w:line="360" w:lineRule="auto"/>
        <w:ind w:firstLine="3161" w:firstLineChars="1450"/>
        <w:rPr>
          <w:rFonts w:hint="eastAsia" w:ascii="宋体" w:hAnsi="宋体" w:eastAsia="宋体" w:cs="宋体"/>
          <w:strike w:val="0"/>
          <w:dstrike w:val="0"/>
          <w:snapToGrid w:val="0"/>
          <w:color w:val="auto"/>
          <w:spacing w:val="4"/>
          <w:kern w:val="0"/>
          <w:szCs w:val="21"/>
          <w:highlight w:val="none"/>
        </w:rPr>
      </w:pPr>
      <w:r>
        <w:rPr>
          <w:rFonts w:hint="eastAsia" w:ascii="宋体" w:hAnsi="宋体" w:eastAsia="宋体" w:cs="宋体"/>
          <w:strike w:val="0"/>
          <w:dstrike w:val="0"/>
          <w:snapToGrid w:val="0"/>
          <w:color w:val="auto"/>
          <w:spacing w:val="4"/>
          <w:kern w:val="0"/>
          <w:szCs w:val="21"/>
          <w:highlight w:val="none"/>
        </w:rPr>
        <w:t>日期：  年  月  日</w:t>
      </w:r>
    </w:p>
    <w:p w14:paraId="5E7C14DD">
      <w:pPr>
        <w:pStyle w:val="3"/>
        <w:rPr>
          <w:rFonts w:hint="eastAsia" w:ascii="宋体" w:eastAsia="宋体"/>
          <w:b w:val="0"/>
          <w:color w:val="auto"/>
          <w:highlight w:val="none"/>
        </w:rPr>
      </w:pPr>
    </w:p>
    <w:p w14:paraId="657D10D0">
      <w:pPr>
        <w:rPr>
          <w:rFonts w:hint="eastAsia" w:ascii="宋体" w:eastAsia="宋体"/>
          <w:b/>
          <w:color w:val="auto"/>
          <w:highlight w:val="none"/>
        </w:rPr>
      </w:pPr>
      <w:r>
        <w:rPr>
          <w:rFonts w:hint="eastAsia" w:ascii="宋体" w:eastAsia="宋体"/>
          <w:b/>
          <w:color w:val="auto"/>
          <w:highlight w:val="none"/>
        </w:rPr>
        <w:br w:type="page"/>
      </w:r>
    </w:p>
    <w:p w14:paraId="05606D24">
      <w:pPr>
        <w:rPr>
          <w:rFonts w:hint="eastAsia" w:ascii="宋体" w:hAnsi="宋体" w:eastAsia="宋体" w:cs="Times New Roman"/>
          <w:strike w:val="0"/>
          <w:dstrike w:val="0"/>
          <w:color w:val="auto"/>
          <w:highlight w:val="none"/>
          <w:lang w:val="en-US" w:eastAsia="zh-CN"/>
        </w:rPr>
      </w:pPr>
      <w:r>
        <w:rPr>
          <w:rFonts w:hint="eastAsia" w:ascii="宋体" w:hAnsi="宋体" w:eastAsia="宋体" w:cs="Times New Roman"/>
          <w:strike w:val="0"/>
          <w:dstrike w:val="0"/>
          <w:color w:val="auto"/>
          <w:highlight w:val="none"/>
          <w:lang w:val="en-US" w:eastAsia="zh-CN"/>
        </w:rPr>
        <w:t xml:space="preserve">附件19 </w:t>
      </w:r>
    </w:p>
    <w:p w14:paraId="786F36F3">
      <w:pPr>
        <w:pStyle w:val="16"/>
        <w:tabs>
          <w:tab w:val="left" w:pos="1282"/>
        </w:tabs>
        <w:kinsoku w:val="0"/>
        <w:overflowPunct w:val="0"/>
        <w:spacing w:before="55"/>
        <w:ind w:left="401"/>
        <w:jc w:val="center"/>
        <w:rPr>
          <w:rFonts w:hint="eastAsia" w:ascii="宋体" w:hAnsi="宋体" w:eastAsia="宋体" w:cs="宋体"/>
          <w:b/>
          <w:bCs/>
          <w:color w:val="auto"/>
          <w:spacing w:val="2"/>
          <w:position w:val="-1"/>
          <w:sz w:val="28"/>
          <w:szCs w:val="28"/>
          <w:highlight w:val="none"/>
        </w:rPr>
      </w:pPr>
      <w:r>
        <w:rPr>
          <w:rFonts w:hint="eastAsia" w:ascii="宋体" w:hAnsi="宋体" w:eastAsia="宋体" w:cs="宋体"/>
          <w:b/>
          <w:bCs/>
          <w:color w:val="auto"/>
          <w:spacing w:val="2"/>
          <w:position w:val="-1"/>
          <w:sz w:val="28"/>
          <w:szCs w:val="28"/>
          <w:highlight w:val="none"/>
        </w:rPr>
        <w:t>中小企业声明函</w:t>
      </w:r>
    </w:p>
    <w:p w14:paraId="01076D59">
      <w:pPr>
        <w:pStyle w:val="16"/>
        <w:kinsoku w:val="0"/>
        <w:overflowPunct w:val="0"/>
        <w:spacing w:before="12"/>
        <w:rPr>
          <w:rFonts w:hint="eastAsia" w:ascii="宋体" w:hAnsi="宋体" w:eastAsia="宋体" w:cs="宋体"/>
          <w:color w:val="auto"/>
          <w:sz w:val="26"/>
          <w:szCs w:val="26"/>
          <w:highlight w:val="none"/>
        </w:rPr>
      </w:pPr>
    </w:p>
    <w:p w14:paraId="654A4C92">
      <w:pPr>
        <w:pStyle w:val="16"/>
        <w:tabs>
          <w:tab w:val="left" w:pos="1981"/>
          <w:tab w:val="left" w:pos="3555"/>
        </w:tabs>
        <w:kinsoku w:val="0"/>
        <w:overflowPunct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ab/>
      </w:r>
      <w:r>
        <w:rPr>
          <w:rFonts w:hint="eastAsia" w:ascii="宋体" w:hAnsi="宋体" w:eastAsia="宋体" w:cs="宋体"/>
          <w:color w:val="auto"/>
          <w:w w:val="95"/>
          <w:sz w:val="21"/>
          <w:szCs w:val="21"/>
          <w:highlight w:val="none"/>
          <w:u w:val="single"/>
        </w:rPr>
        <w:t>（招标人）</w:t>
      </w:r>
      <w:r>
        <w:rPr>
          <w:rFonts w:hint="eastAsia" w:ascii="宋体" w:hAnsi="宋体" w:eastAsia="宋体" w:cs="宋体"/>
          <w:color w:val="auto"/>
          <w:sz w:val="21"/>
          <w:szCs w:val="21"/>
          <w:highlight w:val="none"/>
          <w:u w:val="single"/>
        </w:rPr>
        <w:tab/>
      </w:r>
    </w:p>
    <w:p w14:paraId="46D33B82">
      <w:pPr>
        <w:pStyle w:val="16"/>
        <w:kinsoku w:val="0"/>
        <w:overflowPunct w:val="0"/>
        <w:spacing w:after="0" w:line="360" w:lineRule="auto"/>
        <w:ind w:right="216" w:firstLine="400"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本公司郑重声明，根据《政府采购促进中小企业发展管理办法》</w:t>
      </w:r>
      <w:r>
        <w:rPr>
          <w:rFonts w:hint="eastAsia" w:ascii="宋体" w:hAnsi="宋体" w:eastAsia="宋体" w:cs="宋体"/>
          <w:color w:val="auto"/>
          <w:sz w:val="21"/>
          <w:szCs w:val="21"/>
          <w:highlight w:val="none"/>
        </w:rPr>
        <w:t>（财库﹝2020﹞46</w:t>
      </w:r>
      <w:r>
        <w:rPr>
          <w:rFonts w:hint="eastAsia" w:ascii="宋体" w:hAnsi="宋体" w:eastAsia="宋体" w:cs="宋体"/>
          <w:color w:val="auto"/>
          <w:spacing w:val="-35"/>
          <w:sz w:val="21"/>
          <w:szCs w:val="21"/>
          <w:highlight w:val="none"/>
        </w:rPr>
        <w:t>号</w:t>
      </w:r>
      <w:r>
        <w:rPr>
          <w:rFonts w:hint="eastAsia" w:ascii="宋体" w:hAnsi="宋体" w:eastAsia="宋体" w:cs="宋体"/>
          <w:color w:val="auto"/>
          <w:sz w:val="21"/>
          <w:szCs w:val="21"/>
          <w:highlight w:val="none"/>
        </w:rPr>
        <w:t>）的规定，本公司参加</w:t>
      </w:r>
      <w:r>
        <w:rPr>
          <w:rFonts w:hint="eastAsia" w:ascii="宋体" w:hAnsi="宋体" w:eastAsia="宋体" w:cs="宋体"/>
          <w:color w:val="auto"/>
          <w:sz w:val="21"/>
          <w:szCs w:val="21"/>
          <w:highlight w:val="none"/>
          <w:u w:val="single"/>
        </w:rPr>
        <w:t>（招标人）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招标活动，工程的施工单位全部为符合政策要求的中小企业。相关企业（含签订分包意向协议的中小企业）的具体情况如下：</w:t>
      </w:r>
    </w:p>
    <w:p w14:paraId="448D7D12">
      <w:pPr>
        <w:pStyle w:val="16"/>
        <w:tabs>
          <w:tab w:val="left" w:pos="2190"/>
          <w:tab w:val="left" w:pos="7935"/>
        </w:tabs>
        <w:kinsoku w:val="0"/>
        <w:overflowPunct w:val="0"/>
        <w:spacing w:after="0" w:line="360" w:lineRule="auto"/>
        <w:ind w:right="318"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w:t>
      </w:r>
      <w:r>
        <w:rPr>
          <w:rFonts w:hint="eastAsia" w:ascii="宋体" w:hAnsi="宋体" w:eastAsia="宋体" w:cs="宋体"/>
          <w:color w:val="auto"/>
          <w:spacing w:val="2"/>
          <w:sz w:val="21"/>
          <w:szCs w:val="21"/>
          <w:highlight w:val="none"/>
          <w:u w:val="single"/>
        </w:rPr>
        <w:t>标</w:t>
      </w:r>
      <w:r>
        <w:rPr>
          <w:rFonts w:hint="eastAsia" w:ascii="宋体" w:hAnsi="宋体" w:eastAsia="宋体" w:cs="宋体"/>
          <w:color w:val="auto"/>
          <w:sz w:val="21"/>
          <w:szCs w:val="21"/>
          <w:highlight w:val="none"/>
          <w:u w:val="single"/>
        </w:rPr>
        <w:t>的名</w:t>
      </w:r>
      <w:r>
        <w:rPr>
          <w:rFonts w:hint="eastAsia" w:ascii="宋体" w:hAnsi="宋体" w:eastAsia="宋体" w:cs="宋体"/>
          <w:color w:val="auto"/>
          <w:spacing w:val="2"/>
          <w:sz w:val="21"/>
          <w:szCs w:val="21"/>
          <w:highlight w:val="none"/>
          <w:u w:val="single"/>
        </w:rPr>
        <w:t>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属</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建筑业</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承</w:t>
      </w:r>
      <w:r>
        <w:rPr>
          <w:rFonts w:hint="eastAsia" w:ascii="宋体" w:hAnsi="宋体" w:eastAsia="宋体" w:cs="宋体"/>
          <w:color w:val="auto"/>
          <w:sz w:val="21"/>
          <w:szCs w:val="21"/>
          <w:highlight w:val="none"/>
        </w:rPr>
        <w:t>建（承</w:t>
      </w:r>
      <w:r>
        <w:rPr>
          <w:rFonts w:hint="eastAsia" w:ascii="宋体" w:hAnsi="宋体" w:eastAsia="宋体" w:cs="宋体"/>
          <w:color w:val="auto"/>
          <w:spacing w:val="2"/>
          <w:sz w:val="21"/>
          <w:szCs w:val="21"/>
          <w:highlight w:val="none"/>
        </w:rPr>
        <w:t>接</w:t>
      </w:r>
      <w:r>
        <w:rPr>
          <w:rFonts w:hint="eastAsia" w:ascii="宋体" w:hAnsi="宋体" w:eastAsia="宋体" w:cs="宋体"/>
          <w:color w:val="auto"/>
          <w:sz w:val="21"/>
          <w:szCs w:val="21"/>
          <w:highlight w:val="none"/>
        </w:rPr>
        <w:t>）企</w:t>
      </w:r>
      <w:r>
        <w:rPr>
          <w:rFonts w:hint="eastAsia" w:ascii="宋体" w:hAnsi="宋体" w:eastAsia="宋体" w:cs="宋体"/>
          <w:color w:val="auto"/>
          <w:spacing w:val="2"/>
          <w:sz w:val="21"/>
          <w:szCs w:val="21"/>
          <w:highlight w:val="none"/>
        </w:rPr>
        <w:t>业</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w:t>
      </w:r>
      <w:r>
        <w:rPr>
          <w:rFonts w:hint="eastAsia" w:ascii="宋体" w:hAnsi="宋体" w:eastAsia="宋体" w:cs="宋体"/>
          <w:color w:val="auto"/>
          <w:spacing w:val="2"/>
          <w:sz w:val="21"/>
          <w:szCs w:val="21"/>
          <w:highlight w:val="none"/>
          <w:u w:val="single"/>
        </w:rPr>
        <w:t>企</w:t>
      </w:r>
      <w:r>
        <w:rPr>
          <w:rFonts w:hint="eastAsia" w:ascii="宋体" w:hAnsi="宋体" w:eastAsia="宋体" w:cs="宋体"/>
          <w:color w:val="auto"/>
          <w:sz w:val="21"/>
          <w:szCs w:val="21"/>
          <w:highlight w:val="none"/>
          <w:u w:val="single"/>
        </w:rPr>
        <w:t>业名</w:t>
      </w:r>
      <w:r>
        <w:rPr>
          <w:rFonts w:hint="eastAsia" w:ascii="宋体" w:hAnsi="宋体" w:eastAsia="宋体" w:cs="宋体"/>
          <w:color w:val="auto"/>
          <w:spacing w:val="2"/>
          <w:sz w:val="21"/>
          <w:szCs w:val="21"/>
          <w:highlight w:val="none"/>
          <w:u w:val="single"/>
        </w:rPr>
        <w:t>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从</w:t>
      </w:r>
      <w:r>
        <w:rPr>
          <w:rFonts w:hint="eastAsia" w:ascii="宋体" w:hAnsi="宋体" w:eastAsia="宋体" w:cs="宋体"/>
          <w:color w:val="auto"/>
          <w:sz w:val="21"/>
          <w:szCs w:val="21"/>
          <w:highlight w:val="none"/>
        </w:rPr>
        <w:t>业人员</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营业收入为万元</w:t>
      </w:r>
      <w:r>
        <w:rPr>
          <w:rFonts w:hint="eastAsia" w:ascii="宋体" w:hAnsi="宋体" w:eastAsia="宋体" w:cs="宋体"/>
          <w:color w:val="auto"/>
          <w:spacing w:val="-1"/>
          <w:w w:val="99"/>
          <w:sz w:val="21"/>
          <w:szCs w:val="21"/>
          <w:highlight w:val="none"/>
        </w:rPr>
        <w:t>，</w:t>
      </w:r>
      <w:r>
        <w:rPr>
          <w:rFonts w:hint="eastAsia" w:ascii="宋体" w:hAnsi="宋体" w:eastAsia="宋体" w:cs="宋体"/>
          <w:color w:val="auto"/>
          <w:sz w:val="21"/>
          <w:szCs w:val="21"/>
          <w:highlight w:val="none"/>
        </w:rPr>
        <w:t>资产总额为万元</w:t>
      </w:r>
      <w:r>
        <w:rPr>
          <w:rFonts w:hint="eastAsia" w:ascii="宋体" w:hAnsi="宋体" w:eastAsia="宋体" w:cs="宋体"/>
          <w:color w:val="auto"/>
          <w:spacing w:val="-1"/>
          <w:w w:val="99"/>
          <w:sz w:val="21"/>
          <w:szCs w:val="21"/>
          <w:highlight w:val="none"/>
        </w:rPr>
        <w:t>，</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（小型企业、微型企业）</w:t>
      </w:r>
      <w:r>
        <w:rPr>
          <w:rFonts w:hint="eastAsia" w:ascii="宋体" w:hAnsi="宋体" w:eastAsia="宋体" w:cs="宋体"/>
          <w:color w:val="auto"/>
          <w:w w:val="99"/>
          <w:sz w:val="21"/>
          <w:szCs w:val="21"/>
          <w:highlight w:val="none"/>
        </w:rPr>
        <w:t>；</w:t>
      </w:r>
      <w:r>
        <w:rPr>
          <w:rFonts w:hint="eastAsia" w:ascii="宋体" w:hAnsi="宋体" w:eastAsia="宋体" w:cs="宋体"/>
          <w:color w:val="auto"/>
          <w:sz w:val="21"/>
          <w:szCs w:val="21"/>
          <w:highlight w:val="none"/>
        </w:rPr>
        <w:t>在本项目中拟承担工作，在本项目的合同份额占合同总金额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335FF20">
      <w:pPr>
        <w:pStyle w:val="16"/>
        <w:kinsoku w:val="0"/>
        <w:overflowPunct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w:t>
      </w:r>
      <w:r>
        <w:rPr>
          <w:rFonts w:hint="eastAsia" w:ascii="宋体" w:hAnsi="宋体" w:eastAsia="宋体" w:cs="宋体"/>
          <w:color w:val="auto"/>
          <w:spacing w:val="2"/>
          <w:sz w:val="21"/>
          <w:szCs w:val="21"/>
          <w:highlight w:val="none"/>
          <w:u w:val="single"/>
        </w:rPr>
        <w:t>标</w:t>
      </w:r>
      <w:r>
        <w:rPr>
          <w:rFonts w:hint="eastAsia" w:ascii="宋体" w:hAnsi="宋体" w:eastAsia="宋体" w:cs="宋体"/>
          <w:color w:val="auto"/>
          <w:sz w:val="21"/>
          <w:szCs w:val="21"/>
          <w:highlight w:val="none"/>
          <w:u w:val="single"/>
        </w:rPr>
        <w:t>的名</w:t>
      </w:r>
      <w:r>
        <w:rPr>
          <w:rFonts w:hint="eastAsia" w:ascii="宋体" w:hAnsi="宋体" w:eastAsia="宋体" w:cs="宋体"/>
          <w:color w:val="auto"/>
          <w:spacing w:val="2"/>
          <w:sz w:val="21"/>
          <w:szCs w:val="21"/>
          <w:highlight w:val="none"/>
          <w:u w:val="single"/>
        </w:rPr>
        <w:t>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属</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建筑业</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承</w:t>
      </w:r>
      <w:r>
        <w:rPr>
          <w:rFonts w:hint="eastAsia" w:ascii="宋体" w:hAnsi="宋体" w:eastAsia="宋体" w:cs="宋体"/>
          <w:color w:val="auto"/>
          <w:sz w:val="21"/>
          <w:szCs w:val="21"/>
          <w:highlight w:val="none"/>
        </w:rPr>
        <w:t>建（承</w:t>
      </w:r>
      <w:r>
        <w:rPr>
          <w:rFonts w:hint="eastAsia" w:ascii="宋体" w:hAnsi="宋体" w:eastAsia="宋体" w:cs="宋体"/>
          <w:color w:val="auto"/>
          <w:spacing w:val="2"/>
          <w:sz w:val="21"/>
          <w:szCs w:val="21"/>
          <w:highlight w:val="none"/>
        </w:rPr>
        <w:t>接</w:t>
      </w:r>
      <w:r>
        <w:rPr>
          <w:rFonts w:hint="eastAsia" w:ascii="宋体" w:hAnsi="宋体" w:eastAsia="宋体" w:cs="宋体"/>
          <w:color w:val="auto"/>
          <w:sz w:val="21"/>
          <w:szCs w:val="21"/>
          <w:highlight w:val="none"/>
        </w:rPr>
        <w:t>）企</w:t>
      </w:r>
      <w:r>
        <w:rPr>
          <w:rFonts w:hint="eastAsia" w:ascii="宋体" w:hAnsi="宋体" w:eastAsia="宋体" w:cs="宋体"/>
          <w:color w:val="auto"/>
          <w:spacing w:val="2"/>
          <w:sz w:val="21"/>
          <w:szCs w:val="21"/>
          <w:highlight w:val="none"/>
        </w:rPr>
        <w:t>业</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w:t>
      </w:r>
      <w:r>
        <w:rPr>
          <w:rFonts w:hint="eastAsia" w:ascii="宋体" w:hAnsi="宋体" w:eastAsia="宋体" w:cs="宋体"/>
          <w:color w:val="auto"/>
          <w:spacing w:val="2"/>
          <w:sz w:val="21"/>
          <w:szCs w:val="21"/>
          <w:highlight w:val="none"/>
          <w:u w:val="single"/>
        </w:rPr>
        <w:t>企</w:t>
      </w:r>
      <w:r>
        <w:rPr>
          <w:rFonts w:hint="eastAsia" w:ascii="宋体" w:hAnsi="宋体" w:eastAsia="宋体" w:cs="宋体"/>
          <w:color w:val="auto"/>
          <w:sz w:val="21"/>
          <w:szCs w:val="21"/>
          <w:highlight w:val="none"/>
          <w:u w:val="single"/>
        </w:rPr>
        <w:t>业名</w:t>
      </w:r>
      <w:r>
        <w:rPr>
          <w:rFonts w:hint="eastAsia" w:ascii="宋体" w:hAnsi="宋体" w:eastAsia="宋体" w:cs="宋体"/>
          <w:color w:val="auto"/>
          <w:spacing w:val="2"/>
          <w:sz w:val="21"/>
          <w:szCs w:val="21"/>
          <w:highlight w:val="none"/>
          <w:u w:val="single"/>
        </w:rPr>
        <w:t>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从</w:t>
      </w:r>
      <w:r>
        <w:rPr>
          <w:rFonts w:hint="eastAsia" w:ascii="宋体" w:hAnsi="宋体" w:eastAsia="宋体" w:cs="宋体"/>
          <w:color w:val="auto"/>
          <w:sz w:val="21"/>
          <w:szCs w:val="21"/>
          <w:highlight w:val="none"/>
        </w:rPr>
        <w:t>业人员</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营业收入为万元</w:t>
      </w:r>
      <w:r>
        <w:rPr>
          <w:rFonts w:hint="eastAsia" w:ascii="宋体" w:hAnsi="宋体" w:eastAsia="宋体" w:cs="宋体"/>
          <w:color w:val="auto"/>
          <w:spacing w:val="-1"/>
          <w:w w:val="99"/>
          <w:sz w:val="21"/>
          <w:szCs w:val="21"/>
          <w:highlight w:val="none"/>
        </w:rPr>
        <w:t>，</w:t>
      </w:r>
      <w:r>
        <w:rPr>
          <w:rFonts w:hint="eastAsia" w:ascii="宋体" w:hAnsi="宋体" w:eastAsia="宋体" w:cs="宋体"/>
          <w:color w:val="auto"/>
          <w:sz w:val="21"/>
          <w:szCs w:val="21"/>
          <w:highlight w:val="none"/>
        </w:rPr>
        <w:t>资产总额为万元</w:t>
      </w:r>
      <w:r>
        <w:rPr>
          <w:rFonts w:hint="eastAsia" w:ascii="宋体" w:hAnsi="宋体" w:eastAsia="宋体" w:cs="宋体"/>
          <w:color w:val="auto"/>
          <w:spacing w:val="-1"/>
          <w:w w:val="99"/>
          <w:sz w:val="21"/>
          <w:szCs w:val="21"/>
          <w:highlight w:val="none"/>
        </w:rPr>
        <w:t>，</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（小型企业、微型企业）</w:t>
      </w:r>
      <w:r>
        <w:rPr>
          <w:rFonts w:hint="eastAsia" w:ascii="宋体" w:hAnsi="宋体" w:eastAsia="宋体" w:cs="宋体"/>
          <w:color w:val="auto"/>
          <w:w w:val="99"/>
          <w:sz w:val="21"/>
          <w:szCs w:val="21"/>
          <w:highlight w:val="none"/>
        </w:rPr>
        <w:t>；</w:t>
      </w:r>
      <w:r>
        <w:rPr>
          <w:rFonts w:hint="eastAsia" w:ascii="宋体" w:hAnsi="宋体" w:eastAsia="宋体" w:cs="宋体"/>
          <w:color w:val="auto"/>
          <w:sz w:val="21"/>
          <w:szCs w:val="21"/>
          <w:highlight w:val="none"/>
        </w:rPr>
        <w:t>在本项目中拟承担工作，在本项目的合同份额占合同总金额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979F5B">
      <w:pPr>
        <w:pStyle w:val="16"/>
        <w:kinsoku w:val="0"/>
        <w:overflowPunct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20E64ECF">
      <w:pPr>
        <w:pStyle w:val="16"/>
        <w:kinsoku w:val="0"/>
        <w:overflowPunct w:val="0"/>
        <w:spacing w:after="0" w:line="360" w:lineRule="auto"/>
        <w:ind w:right="32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292C249F">
      <w:pPr>
        <w:pStyle w:val="16"/>
        <w:kinsoku w:val="0"/>
        <w:overflowPunct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071D078A">
      <w:pPr>
        <w:pStyle w:val="79"/>
        <w:widowControl/>
        <w:shd w:val="clear" w:color="auto" w:fill="FFFFFF"/>
        <w:spacing w:line="360" w:lineRule="auto"/>
        <w:ind w:firstLine="3780"/>
        <w:rPr>
          <w:rFonts w:hint="eastAsia" w:ascii="宋体" w:hAnsi="宋体" w:eastAsia="宋体" w:cs="宋体"/>
          <w:color w:val="auto"/>
          <w:kern w:val="0"/>
          <w:sz w:val="21"/>
          <w:szCs w:val="21"/>
          <w:highlight w:val="none"/>
        </w:rPr>
      </w:pPr>
    </w:p>
    <w:p w14:paraId="0CF5D796">
      <w:pPr>
        <w:pStyle w:val="79"/>
        <w:widowControl/>
        <w:shd w:val="clear" w:color="auto" w:fill="FFFFFF"/>
        <w:spacing w:line="360" w:lineRule="auto"/>
        <w:ind w:firstLine="3832" w:firstLineChars="18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rPr>
        <w:t>（盖章）</w:t>
      </w:r>
    </w:p>
    <w:p w14:paraId="49C1B27B">
      <w:pPr>
        <w:pStyle w:val="79"/>
        <w:widowControl/>
        <w:shd w:val="clear" w:color="auto" w:fill="FFFFFF"/>
        <w:spacing w:line="360" w:lineRule="auto"/>
        <w:ind w:right="1440"/>
        <w:jc w:val="center"/>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年  月  日</w:t>
      </w:r>
    </w:p>
    <w:p w14:paraId="766B17DC">
      <w:pPr>
        <w:autoSpaceDE w:val="0"/>
        <w:autoSpaceDN w:val="0"/>
        <w:adjustRightInd w:val="0"/>
        <w:snapToGrid w:val="0"/>
        <w:spacing w:line="360" w:lineRule="auto"/>
        <w:ind w:right="-68"/>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备注：1.从业人员、营业收入、资产总额填报上一年度数据，无上一年度数据的新成立企业可不填报。</w:t>
      </w:r>
    </w:p>
    <w:p w14:paraId="66BC0F9A">
      <w:pPr>
        <w:autoSpaceDE w:val="0"/>
        <w:autoSpaceDN w:val="0"/>
        <w:adjustRightInd w:val="0"/>
        <w:snapToGrid w:val="0"/>
        <w:spacing w:line="360" w:lineRule="auto"/>
        <w:ind w:right="-68"/>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投标人可参考《广东省财政厅关于进一步规范政府采购活动中落实促进中小企业发展政策的通知（粤财采购〔2024〕11号）》（http://czt.gd.gov.cn/zfcg/content/post_4497011.html）、《广州市政府采购中心关于规范填写《中小企业声明函》的温馨提示》（集团公告 - 详情页  https://www.gzggzy.cn/jtgg/1001279.jhtml）填写，《中小企业声明函》由参加招投标活动的投标人出具。</w:t>
      </w:r>
    </w:p>
    <w:p w14:paraId="53A2A18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3.投标人应当自行核实是否属于小微企业，并认真填写《中小企业声明函》，若有虚假将追究其责任。</w:t>
      </w:r>
    </w:p>
    <w:p w14:paraId="29C8A7B7">
      <w:pPr>
        <w:rPr>
          <w:rFonts w:hint="eastAsia" w:ascii="宋体" w:hAnsi="宋体" w:eastAsia="宋体" w:cs="宋体"/>
          <w:b/>
          <w:bCs/>
          <w:color w:val="auto"/>
          <w:sz w:val="28"/>
          <w:szCs w:val="28"/>
          <w:highlight w:val="none"/>
        </w:rPr>
      </w:pPr>
      <w:r>
        <w:rPr>
          <w:rFonts w:ascii="宋体" w:hAnsi="宋体" w:eastAsia="宋体" w:cs="宋体"/>
          <w:color w:val="auto"/>
          <w:sz w:val="24"/>
          <w:szCs w:val="24"/>
          <w:highlight w:val="none"/>
          <w:u w:val="single"/>
        </w:rPr>
        <w:br w:type="page"/>
      </w:r>
      <w:r>
        <w:rPr>
          <w:rFonts w:hint="eastAsia" w:ascii="宋体" w:hAnsi="宋体" w:eastAsia="宋体" w:cs="Times New Roman"/>
          <w:strike w:val="0"/>
          <w:dstrike w:val="0"/>
          <w:color w:val="auto"/>
          <w:highlight w:val="none"/>
          <w:lang w:val="en-US" w:eastAsia="zh-CN"/>
        </w:rPr>
        <w:t xml:space="preserve">附件20 </w:t>
      </w:r>
    </w:p>
    <w:p w14:paraId="03CB127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分包意向协议书</w:t>
      </w:r>
    </w:p>
    <w:p w14:paraId="232A67FF">
      <w:pPr>
        <w:spacing w:line="360" w:lineRule="auto"/>
        <w:rPr>
          <w:rFonts w:hint="eastAsia" w:ascii="宋体" w:hAnsi="宋体" w:eastAsia="宋体" w:cs="宋体"/>
          <w:color w:val="auto"/>
          <w:kern w:val="10"/>
          <w:szCs w:val="21"/>
          <w:highlight w:val="none"/>
        </w:rPr>
      </w:pPr>
    </w:p>
    <w:p w14:paraId="7E4B4026">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kern w:val="10"/>
          <w:szCs w:val="21"/>
          <w:highlight w:val="none"/>
        </w:rPr>
        <w:t>立约方：</w:t>
      </w:r>
      <w:r>
        <w:rPr>
          <w:rFonts w:hint="eastAsia" w:ascii="宋体" w:hAnsi="宋体" w:eastAsia="宋体" w:cs="宋体"/>
          <w:color w:val="auto"/>
          <w:szCs w:val="21"/>
          <w:highlight w:val="none"/>
          <w:u w:val="single"/>
        </w:rPr>
        <w:t>（甲公司全称）</w:t>
      </w:r>
    </w:p>
    <w:p w14:paraId="1CDE10EC">
      <w:pPr>
        <w:spacing w:line="360" w:lineRule="auto"/>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（乙公司全称）</w:t>
      </w:r>
    </w:p>
    <w:p w14:paraId="340C0E2D">
      <w:pPr>
        <w:spacing w:line="360" w:lineRule="auto"/>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（……公司全称）</w:t>
      </w:r>
    </w:p>
    <w:p w14:paraId="2EDA4F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（甲公司全称）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（乙公司全称）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（……公司全称）</w:t>
      </w:r>
      <w:r>
        <w:rPr>
          <w:rFonts w:hint="eastAsia" w:ascii="宋体" w:hAnsi="宋体" w:eastAsia="宋体" w:cs="宋体"/>
          <w:color w:val="auto"/>
          <w:kern w:val="0"/>
          <w:szCs w:val="21"/>
          <w:highlight w:val="none"/>
        </w:rPr>
        <w:t>自愿达成分包意向，参加</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rPr>
        <w:t>的投标活动。</w:t>
      </w:r>
      <w:r>
        <w:rPr>
          <w:rFonts w:hint="eastAsia" w:ascii="宋体" w:hAnsi="宋体" w:eastAsia="宋体" w:cs="宋体"/>
          <w:color w:val="auto"/>
          <w:szCs w:val="21"/>
          <w:highlight w:val="none"/>
        </w:rPr>
        <w:t>经各方充分协商一致，就</w:t>
      </w:r>
      <w:r>
        <w:rPr>
          <w:rFonts w:hint="eastAsia" w:ascii="宋体" w:hAnsi="宋体" w:eastAsia="宋体" w:cs="宋体"/>
          <w:color w:val="auto"/>
          <w:kern w:val="10"/>
          <w:szCs w:val="21"/>
          <w:highlight w:val="none"/>
        </w:rPr>
        <w:t>项目的</w:t>
      </w:r>
      <w:r>
        <w:rPr>
          <w:rFonts w:hint="eastAsia" w:ascii="宋体" w:hAnsi="宋体" w:eastAsia="宋体" w:cs="宋体"/>
          <w:color w:val="auto"/>
          <w:kern w:val="0"/>
          <w:szCs w:val="21"/>
          <w:highlight w:val="none"/>
        </w:rPr>
        <w:t>投标</w:t>
      </w:r>
      <w:r>
        <w:rPr>
          <w:rFonts w:hint="eastAsia" w:ascii="宋体" w:hAnsi="宋体" w:eastAsia="宋体" w:cs="宋体"/>
          <w:color w:val="auto"/>
          <w:kern w:val="10"/>
          <w:szCs w:val="21"/>
          <w:highlight w:val="none"/>
        </w:rPr>
        <w:t>和合同实施阶段的有关事务协商一致</w:t>
      </w:r>
      <w:r>
        <w:rPr>
          <w:rFonts w:hint="eastAsia" w:ascii="宋体" w:hAnsi="宋体" w:eastAsia="宋体" w:cs="宋体"/>
          <w:color w:val="auto"/>
          <w:kern w:val="0"/>
          <w:szCs w:val="21"/>
          <w:highlight w:val="none"/>
        </w:rPr>
        <w:t>订立意向如下</w:t>
      </w:r>
      <w:r>
        <w:rPr>
          <w:rFonts w:hint="eastAsia" w:ascii="宋体" w:hAnsi="宋体" w:eastAsia="宋体" w:cs="宋体"/>
          <w:color w:val="auto"/>
          <w:szCs w:val="21"/>
          <w:highlight w:val="none"/>
        </w:rPr>
        <w:t>：</w:t>
      </w:r>
    </w:p>
    <w:p w14:paraId="324E4E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一、分包意向各方关系</w:t>
      </w:r>
    </w:p>
    <w:p w14:paraId="33B6D2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（甲公司全称）为投标人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（乙公司全称）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（……公司全称）</w:t>
      </w:r>
      <w:r>
        <w:rPr>
          <w:rFonts w:hint="eastAsia" w:ascii="宋体" w:hAnsi="宋体" w:eastAsia="宋体" w:cs="宋体"/>
          <w:color w:val="auto"/>
          <w:szCs w:val="21"/>
          <w:highlight w:val="none"/>
        </w:rPr>
        <w:t>为分包意向单位，</w:t>
      </w:r>
      <w:r>
        <w:rPr>
          <w:rFonts w:hint="eastAsia" w:ascii="宋体" w:hAnsi="宋体" w:eastAsia="宋体" w:cs="宋体"/>
          <w:color w:val="auto"/>
          <w:kern w:val="0"/>
          <w:szCs w:val="21"/>
          <w:highlight w:val="none"/>
          <w:u w:val="single"/>
        </w:rPr>
        <w:t>（甲公司全称）</w:t>
      </w:r>
      <w:r>
        <w:rPr>
          <w:rFonts w:hint="eastAsia" w:ascii="宋体" w:hAnsi="宋体" w:eastAsia="宋体" w:cs="宋体"/>
          <w:color w:val="auto"/>
          <w:szCs w:val="21"/>
          <w:highlight w:val="none"/>
        </w:rPr>
        <w:t>以投标人的身份参加本项目的</w:t>
      </w:r>
      <w:r>
        <w:rPr>
          <w:rFonts w:hint="eastAsia" w:ascii="宋体" w:hAnsi="宋体" w:eastAsia="宋体" w:cs="宋体"/>
          <w:color w:val="auto"/>
          <w:kern w:val="0"/>
          <w:szCs w:val="21"/>
          <w:highlight w:val="none"/>
        </w:rPr>
        <w:t>投标</w:t>
      </w:r>
      <w:r>
        <w:rPr>
          <w:rFonts w:hint="eastAsia" w:ascii="宋体" w:hAnsi="宋体" w:eastAsia="宋体" w:cs="宋体"/>
          <w:color w:val="auto"/>
          <w:szCs w:val="21"/>
          <w:highlight w:val="none"/>
        </w:rPr>
        <w:t>。若中标，</w:t>
      </w:r>
      <w:r>
        <w:rPr>
          <w:rFonts w:hint="eastAsia" w:ascii="宋体" w:hAnsi="宋体" w:eastAsia="宋体" w:cs="宋体"/>
          <w:color w:val="auto"/>
          <w:kern w:val="0"/>
          <w:szCs w:val="21"/>
          <w:highlight w:val="none"/>
          <w:u w:val="single"/>
        </w:rPr>
        <w:t>（甲公司全称）与</w:t>
      </w:r>
      <w:r>
        <w:rPr>
          <w:rFonts w:hint="eastAsia" w:ascii="宋体" w:hAnsi="宋体" w:eastAsia="宋体" w:cs="宋体"/>
          <w:color w:val="auto"/>
          <w:szCs w:val="21"/>
          <w:highlight w:val="none"/>
          <w:u w:val="single"/>
        </w:rPr>
        <w:t>招标人</w:t>
      </w:r>
      <w:r>
        <w:rPr>
          <w:rFonts w:hint="eastAsia" w:ascii="宋体" w:hAnsi="宋体" w:eastAsia="宋体" w:cs="宋体"/>
          <w:color w:val="auto"/>
          <w:szCs w:val="21"/>
          <w:highlight w:val="none"/>
        </w:rPr>
        <w:t>签订建设工程施工合同。承接分包意向的各单位与</w:t>
      </w:r>
      <w:r>
        <w:rPr>
          <w:rFonts w:hint="eastAsia" w:ascii="宋体" w:hAnsi="宋体" w:eastAsia="宋体" w:cs="宋体"/>
          <w:color w:val="auto"/>
          <w:szCs w:val="21"/>
          <w:highlight w:val="none"/>
          <w:u w:val="single"/>
        </w:rPr>
        <w:t>（</w:t>
      </w:r>
      <w:r>
        <w:rPr>
          <w:rFonts w:hint="eastAsia" w:ascii="宋体" w:hAnsi="宋体" w:eastAsia="宋体" w:cs="宋体"/>
          <w:color w:val="auto"/>
          <w:kern w:val="0"/>
          <w:szCs w:val="21"/>
          <w:highlight w:val="none"/>
          <w:u w:val="single"/>
        </w:rPr>
        <w:t>甲公司全称</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签订分包合同。</w:t>
      </w:r>
      <w:r>
        <w:rPr>
          <w:rFonts w:hint="eastAsia" w:ascii="宋体" w:hAnsi="宋体" w:eastAsia="宋体" w:cs="宋体"/>
          <w:color w:val="auto"/>
          <w:kern w:val="0"/>
          <w:szCs w:val="21"/>
          <w:highlight w:val="none"/>
          <w:u w:val="single"/>
        </w:rPr>
        <w:t>（甲公司全称）</w:t>
      </w:r>
      <w:r>
        <w:rPr>
          <w:rFonts w:hint="eastAsia" w:ascii="宋体" w:hAnsi="宋体" w:eastAsia="宋体" w:cs="宋体"/>
          <w:color w:val="auto"/>
          <w:szCs w:val="21"/>
          <w:highlight w:val="none"/>
        </w:rPr>
        <w:t>就招标项目和分包项目向招标人负责，分包单位就分包项目承担责任。</w:t>
      </w:r>
    </w:p>
    <w:p w14:paraId="319BA5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二、有关事项约定如下：</w:t>
      </w:r>
    </w:p>
    <w:p w14:paraId="52753F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1.如中标，分包单位分别与</w:t>
      </w:r>
      <w:r>
        <w:rPr>
          <w:rFonts w:hint="eastAsia" w:ascii="宋体" w:hAnsi="宋体" w:eastAsia="宋体" w:cs="宋体"/>
          <w:color w:val="auto"/>
          <w:szCs w:val="21"/>
          <w:highlight w:val="none"/>
          <w:u w:val="single"/>
        </w:rPr>
        <w:t>（</w:t>
      </w:r>
      <w:r>
        <w:rPr>
          <w:rFonts w:hint="eastAsia" w:ascii="宋体" w:hAnsi="宋体" w:eastAsia="宋体" w:cs="宋体"/>
          <w:color w:val="auto"/>
          <w:kern w:val="0"/>
          <w:szCs w:val="21"/>
          <w:highlight w:val="none"/>
          <w:u w:val="single"/>
        </w:rPr>
        <w:t>甲公司全称</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签订合同书，并就中标项目分包部分承担法律责任；</w:t>
      </w:r>
    </w:p>
    <w:p w14:paraId="7A034D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2.分包意向单位1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乙</w:t>
      </w:r>
      <w:r>
        <w:rPr>
          <w:rFonts w:hint="eastAsia" w:ascii="宋体" w:hAnsi="宋体" w:eastAsia="宋体" w:cs="宋体"/>
          <w:color w:val="auto"/>
          <w:szCs w:val="21"/>
          <w:highlight w:val="none"/>
          <w:u w:val="single"/>
        </w:rPr>
        <w:t xml:space="preserve">公司全称） </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（请填写：大型、中型、小型、微型）</w:t>
      </w:r>
      <w:r>
        <w:rPr>
          <w:rFonts w:hint="eastAsia" w:ascii="宋体" w:hAnsi="宋体" w:eastAsia="宋体" w:cs="宋体"/>
          <w:color w:val="auto"/>
          <w:szCs w:val="21"/>
          <w:highlight w:val="none"/>
        </w:rPr>
        <w:t>企业，将承担适宜分包部分</w:t>
      </w:r>
      <w:r>
        <w:rPr>
          <w:rFonts w:hint="eastAsia" w:ascii="宋体" w:hAnsi="宋体" w:eastAsia="宋体" w:cs="宋体"/>
          <w:color w:val="auto"/>
          <w:szCs w:val="21"/>
          <w:highlight w:val="none"/>
          <w:u w:val="single"/>
        </w:rPr>
        <w:t xml:space="preserve"> （具体分包内容）</w:t>
      </w:r>
      <w:r>
        <w:rPr>
          <w:rFonts w:hint="eastAsia" w:ascii="宋体" w:hAnsi="宋体" w:eastAsia="宋体" w:cs="宋体"/>
          <w:color w:val="auto"/>
          <w:szCs w:val="21"/>
          <w:highlight w:val="none"/>
        </w:rPr>
        <w:t>占合同总金额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%的工作内容。</w:t>
      </w:r>
    </w:p>
    <w:p w14:paraId="7A671C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3.分包意向单位2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szCs w:val="21"/>
          <w:highlight w:val="none"/>
          <w:u w:val="single"/>
        </w:rPr>
        <w:t>公司全称）</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（请填写：大型、中型、小型、微型）</w:t>
      </w:r>
      <w:r>
        <w:rPr>
          <w:rFonts w:hint="eastAsia" w:ascii="宋体" w:hAnsi="宋体" w:eastAsia="宋体" w:cs="宋体"/>
          <w:color w:val="auto"/>
          <w:szCs w:val="21"/>
          <w:highlight w:val="none"/>
        </w:rPr>
        <w:t>企业，将承担适宜分包部分</w:t>
      </w:r>
      <w:r>
        <w:rPr>
          <w:rFonts w:hint="eastAsia" w:ascii="宋体" w:hAnsi="宋体" w:eastAsia="宋体" w:cs="宋体"/>
          <w:color w:val="auto"/>
          <w:szCs w:val="21"/>
          <w:highlight w:val="none"/>
          <w:u w:val="single"/>
        </w:rPr>
        <w:t>（具体分包内容）占</w:t>
      </w:r>
      <w:r>
        <w:rPr>
          <w:rFonts w:hint="eastAsia" w:ascii="宋体" w:hAnsi="宋体" w:eastAsia="宋体" w:cs="宋体"/>
          <w:color w:val="auto"/>
          <w:szCs w:val="21"/>
          <w:highlight w:val="none"/>
        </w:rPr>
        <w:t>合同总金额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%的工作内容。</w:t>
      </w:r>
    </w:p>
    <w:p w14:paraId="0CA519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51833E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三、接受分包的企业与投标人之间的关系：</w:t>
      </w:r>
    </w:p>
    <w:p w14:paraId="1F8097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1.分包意向单位1</w:t>
      </w:r>
      <w:r>
        <w:rPr>
          <w:rFonts w:hint="eastAsia" w:ascii="宋体" w:hAnsi="宋体" w:eastAsia="宋体" w:cs="宋体"/>
          <w:color w:val="auto"/>
          <w:szCs w:val="21"/>
          <w:highlight w:val="none"/>
          <w:u w:val="single"/>
        </w:rPr>
        <w:t xml:space="preserve"> （公司全称）</w:t>
      </w:r>
      <w:r>
        <w:rPr>
          <w:rFonts w:hint="eastAsia" w:ascii="宋体" w:hAnsi="宋体" w:eastAsia="宋体" w:cs="宋体"/>
          <w:color w:val="auto"/>
          <w:szCs w:val="21"/>
          <w:highlight w:val="none"/>
        </w:rPr>
        <w:t>与投标人之间</w:t>
      </w:r>
      <w:r>
        <w:rPr>
          <w:rFonts w:hint="eastAsia" w:ascii="宋体" w:hAnsi="宋体" w:eastAsia="宋体" w:cs="宋体"/>
          <w:color w:val="auto"/>
          <w:szCs w:val="21"/>
          <w:highlight w:val="none"/>
          <w:u w:val="single"/>
        </w:rPr>
        <w:t>（请填写：是否存在）</w:t>
      </w:r>
      <w:r>
        <w:rPr>
          <w:rFonts w:hint="eastAsia" w:ascii="宋体" w:hAnsi="宋体" w:eastAsia="宋体" w:cs="宋体"/>
          <w:color w:val="auto"/>
          <w:szCs w:val="21"/>
          <w:highlight w:val="none"/>
        </w:rPr>
        <w:t>直接控股、管理关系的情形。</w:t>
      </w:r>
    </w:p>
    <w:p w14:paraId="3915A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2.分包意向单位2</w:t>
      </w:r>
      <w:r>
        <w:rPr>
          <w:rFonts w:hint="eastAsia" w:ascii="宋体" w:hAnsi="宋体" w:eastAsia="宋体" w:cs="宋体"/>
          <w:color w:val="auto"/>
          <w:szCs w:val="21"/>
          <w:highlight w:val="none"/>
          <w:u w:val="single"/>
        </w:rPr>
        <w:t xml:space="preserve"> （公司全称）</w:t>
      </w:r>
      <w:r>
        <w:rPr>
          <w:rFonts w:hint="eastAsia" w:ascii="宋体" w:hAnsi="宋体" w:eastAsia="宋体" w:cs="宋体"/>
          <w:color w:val="auto"/>
          <w:szCs w:val="21"/>
          <w:highlight w:val="none"/>
        </w:rPr>
        <w:t>与投标人之间</w:t>
      </w:r>
      <w:r>
        <w:rPr>
          <w:rFonts w:hint="eastAsia" w:ascii="宋体" w:hAnsi="宋体" w:eastAsia="宋体" w:cs="宋体"/>
          <w:color w:val="auto"/>
          <w:szCs w:val="21"/>
          <w:highlight w:val="none"/>
          <w:u w:val="single"/>
        </w:rPr>
        <w:t>（请填写：是否存在）</w:t>
      </w:r>
      <w:r>
        <w:rPr>
          <w:rFonts w:hint="eastAsia" w:ascii="宋体" w:hAnsi="宋体" w:eastAsia="宋体" w:cs="宋体"/>
          <w:color w:val="auto"/>
          <w:szCs w:val="21"/>
          <w:highlight w:val="none"/>
        </w:rPr>
        <w:t>直接控股、管理关系的情形。</w:t>
      </w:r>
    </w:p>
    <w:p w14:paraId="3A4C1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383C8C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四、如因违约过失责任而导致招标人经济损失或被索赔时，</w:t>
      </w:r>
      <w:r>
        <w:rPr>
          <w:rFonts w:hint="eastAsia" w:ascii="宋体" w:hAnsi="宋体" w:eastAsia="宋体" w:cs="宋体"/>
          <w:color w:val="auto"/>
          <w:szCs w:val="21"/>
          <w:highlight w:val="none"/>
          <w:u w:val="single"/>
        </w:rPr>
        <w:t>（</w:t>
      </w:r>
      <w:r>
        <w:rPr>
          <w:rFonts w:hint="eastAsia" w:ascii="宋体" w:hAnsi="宋体" w:eastAsia="宋体" w:cs="宋体"/>
          <w:color w:val="auto"/>
          <w:kern w:val="0"/>
          <w:szCs w:val="21"/>
          <w:highlight w:val="none"/>
          <w:u w:val="single"/>
        </w:rPr>
        <w:t>甲公司全称</w:t>
      </w:r>
      <w:r>
        <w:rPr>
          <w:rFonts w:hint="eastAsia" w:ascii="宋体" w:hAnsi="宋体" w:eastAsia="宋体" w:cs="宋体"/>
          <w:color w:val="auto"/>
          <w:szCs w:val="21"/>
          <w:highlight w:val="none"/>
          <w:u w:val="single"/>
        </w:rPr>
        <w:t>）</w:t>
      </w:r>
      <w:r>
        <w:rPr>
          <w:rFonts w:hint="eastAsia" w:ascii="宋体" w:hAnsi="宋体" w:eastAsia="宋体" w:cs="宋体"/>
          <w:color w:val="auto"/>
          <w:kern w:val="0"/>
          <w:szCs w:val="21"/>
          <w:highlight w:val="none"/>
        </w:rPr>
        <w:t>同意无条件优先清偿招标人的一切债务和经济赔偿。</w:t>
      </w:r>
    </w:p>
    <w:p w14:paraId="2743877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五、如中标，分包意向单位不得以任何理由提出终止本意向协议。</w:t>
      </w:r>
    </w:p>
    <w:p w14:paraId="0F6922A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六、如中标，分包意向单位确定后，不得擅自变更。</w:t>
      </w:r>
    </w:p>
    <w:p w14:paraId="550B369E">
      <w:pPr>
        <w:spacing w:line="360" w:lineRule="auto"/>
        <w:ind w:left="23" w:leftChars="11"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七、</w:t>
      </w:r>
      <w:r>
        <w:rPr>
          <w:rFonts w:hint="eastAsia" w:ascii="宋体" w:hAnsi="宋体" w:eastAsia="宋体" w:cs="宋体"/>
          <w:color w:val="auto"/>
          <w:szCs w:val="21"/>
          <w:highlight w:val="none"/>
        </w:rPr>
        <w:t>本意向书在</w:t>
      </w:r>
      <w:r>
        <w:rPr>
          <w:rFonts w:hint="eastAsia" w:ascii="宋体" w:hAnsi="宋体" w:eastAsia="宋体" w:cs="宋体"/>
          <w:color w:val="auto"/>
          <w:kern w:val="0"/>
          <w:szCs w:val="21"/>
          <w:highlight w:val="none"/>
        </w:rPr>
        <w:t>自签署之日起生效，</w:t>
      </w:r>
      <w:r>
        <w:rPr>
          <w:rFonts w:hint="eastAsia" w:ascii="宋体" w:hAnsi="宋体" w:eastAsia="宋体" w:cs="宋体"/>
          <w:color w:val="auto"/>
          <w:szCs w:val="21"/>
          <w:highlight w:val="none"/>
        </w:rPr>
        <w:t>有效期内有效，如获中标资格，有效期延续至合同履行完毕之日。</w:t>
      </w:r>
    </w:p>
    <w:p w14:paraId="0EDA1B8C">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AB9B35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甲公司全称：（盖章） </w:t>
      </w:r>
      <w:r>
        <w:rPr>
          <w:rFonts w:hint="eastAsia" w:ascii="宋体" w:hAnsi="宋体" w:eastAsia="宋体" w:cs="宋体"/>
          <w:color w:val="auto"/>
          <w:kern w:val="0"/>
          <w:szCs w:val="21"/>
          <w:highlight w:val="none"/>
        </w:rPr>
        <w:tab/>
      </w:r>
    </w:p>
    <w:p w14:paraId="7E2A830C">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法定代表人（签字或</w:t>
      </w:r>
      <w:r>
        <w:rPr>
          <w:rFonts w:hint="eastAsia" w:ascii="宋体" w:hAnsi="宋体" w:eastAsia="宋体" w:cs="宋体"/>
          <w:color w:val="auto"/>
          <w:szCs w:val="21"/>
          <w:highlight w:val="none"/>
        </w:rPr>
        <w:t>盖章</w:t>
      </w:r>
      <w:r>
        <w:rPr>
          <w:rFonts w:hint="eastAsia" w:ascii="宋体" w:hAnsi="宋体" w:eastAsia="宋体" w:cs="宋体"/>
          <w:color w:val="auto"/>
          <w:kern w:val="0"/>
          <w:szCs w:val="21"/>
          <w:highlight w:val="none"/>
        </w:rPr>
        <w:t>）</w:t>
      </w:r>
    </w:p>
    <w:p w14:paraId="6EDD556C">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年  月  日</w:t>
      </w:r>
      <w:r>
        <w:rPr>
          <w:rFonts w:hint="eastAsia" w:ascii="宋体" w:hAnsi="宋体" w:eastAsia="宋体" w:cs="宋体"/>
          <w:color w:val="auto"/>
          <w:kern w:val="0"/>
          <w:szCs w:val="21"/>
          <w:highlight w:val="none"/>
        </w:rPr>
        <w:tab/>
      </w:r>
    </w:p>
    <w:p w14:paraId="0830F4F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5FCD8D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乙公司全称：（盖章）</w:t>
      </w:r>
      <w:r>
        <w:rPr>
          <w:rFonts w:hint="eastAsia" w:ascii="宋体" w:hAnsi="宋体" w:eastAsia="宋体" w:cs="宋体"/>
          <w:color w:val="auto"/>
          <w:kern w:val="0"/>
          <w:szCs w:val="21"/>
          <w:highlight w:val="none"/>
        </w:rPr>
        <w:tab/>
      </w:r>
    </w:p>
    <w:p w14:paraId="0FB973EE">
      <w:pPr>
        <w:spacing w:line="360" w:lineRule="auto"/>
        <w:ind w:left="617" w:hanging="617" w:hangingChars="294"/>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法定代表人（签字或</w:t>
      </w:r>
      <w:r>
        <w:rPr>
          <w:rFonts w:hint="eastAsia" w:ascii="宋体" w:hAnsi="宋体" w:eastAsia="宋体" w:cs="宋体"/>
          <w:color w:val="auto"/>
          <w:szCs w:val="21"/>
          <w:highlight w:val="none"/>
        </w:rPr>
        <w:t>盖章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ab/>
      </w:r>
    </w:p>
    <w:p w14:paraId="258D9D19">
      <w:pPr>
        <w:widowControl/>
        <w:spacing w:line="360" w:lineRule="auto"/>
        <w:ind w:firstLine="40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r>
        <w:rPr>
          <w:rFonts w:hint="eastAsia" w:ascii="宋体" w:hAnsi="宋体" w:eastAsia="宋体" w:cs="宋体"/>
          <w:color w:val="auto"/>
          <w:kern w:val="0"/>
          <w:szCs w:val="21"/>
          <w:highlight w:val="none"/>
        </w:rPr>
        <w:tab/>
      </w:r>
    </w:p>
    <w:p w14:paraId="0938EBEC">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AF934A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……公司全称（盖章）</w:t>
      </w:r>
    </w:p>
    <w:p w14:paraId="0F5BAF3A">
      <w:pPr>
        <w:spacing w:line="360" w:lineRule="auto"/>
        <w:ind w:left="617" w:hanging="617" w:hangingChars="29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法定代表人：（签字或</w:t>
      </w:r>
      <w:r>
        <w:rPr>
          <w:rFonts w:hint="eastAsia" w:ascii="宋体" w:hAnsi="宋体" w:eastAsia="宋体" w:cs="宋体"/>
          <w:color w:val="auto"/>
          <w:szCs w:val="21"/>
          <w:highlight w:val="none"/>
        </w:rPr>
        <w:t>盖章</w:t>
      </w:r>
      <w:r>
        <w:rPr>
          <w:rFonts w:hint="eastAsia" w:ascii="宋体" w:hAnsi="宋体" w:eastAsia="宋体" w:cs="宋体"/>
          <w:color w:val="auto"/>
          <w:kern w:val="0"/>
          <w:szCs w:val="21"/>
          <w:highlight w:val="none"/>
        </w:rPr>
        <w:t>）</w:t>
      </w:r>
    </w:p>
    <w:p w14:paraId="245493FB">
      <w:pPr>
        <w:spacing w:line="360" w:lineRule="auto"/>
        <w:ind w:left="617" w:hanging="617" w:hangingChars="294"/>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 xml:space="preserve">  年  月  日</w:t>
      </w:r>
    </w:p>
    <w:p w14:paraId="2BD75E18">
      <w:pPr>
        <w:spacing w:line="360" w:lineRule="auto"/>
        <w:ind w:left="620" w:hanging="620" w:hangingChars="29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p>
    <w:p w14:paraId="0A05F8E9">
      <w:pPr>
        <w:spacing w:line="360" w:lineRule="auto"/>
        <w:ind w:left="620" w:hanging="620" w:hangingChars="29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注：1．各方成员应在本意向书上共同盖章确认。</w:t>
      </w:r>
    </w:p>
    <w:p w14:paraId="3F9DCAA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Cs w:val="21"/>
          <w:highlight w:val="none"/>
        </w:rPr>
        <w:t>2．本意向书内容将作为签订合同的附件之一。</w:t>
      </w:r>
    </w:p>
    <w:p w14:paraId="5A394064">
      <w:pPr>
        <w:rPr>
          <w:rFonts w:hint="eastAsia"/>
          <w:color w:val="auto"/>
          <w:highlight w:val="none"/>
        </w:rPr>
      </w:pPr>
    </w:p>
    <w:p w14:paraId="115FDCA2">
      <w:pPr>
        <w:pStyle w:val="43"/>
        <w:rPr>
          <w:rFonts w:hint="eastAsia" w:ascii="宋体" w:eastAsia="宋体"/>
          <w:b/>
          <w:color w:val="auto"/>
          <w:highlight w:val="none"/>
        </w:rPr>
      </w:pPr>
    </w:p>
    <w:p w14:paraId="3ABE5385">
      <w:pPr>
        <w:pStyle w:val="43"/>
        <w:rPr>
          <w:rFonts w:hint="eastAsia" w:ascii="宋体" w:eastAsia="宋体"/>
          <w:b/>
          <w:color w:val="auto"/>
          <w:highlight w:val="none"/>
        </w:rPr>
      </w:pPr>
    </w:p>
    <w:p w14:paraId="59BC8CEA">
      <w:pPr>
        <w:pStyle w:val="43"/>
        <w:rPr>
          <w:rFonts w:hint="eastAsia" w:ascii="宋体" w:eastAsia="宋体"/>
          <w:b/>
          <w:color w:val="auto"/>
          <w:highlight w:val="none"/>
        </w:rPr>
      </w:pPr>
    </w:p>
    <w:p w14:paraId="1735B12F">
      <w:pPr>
        <w:rPr>
          <w:rFonts w:hint="eastAsia" w:ascii="宋体" w:eastAsia="宋体"/>
          <w:b w:val="0"/>
          <w:color w:val="auto"/>
          <w:highlight w:val="none"/>
        </w:rPr>
      </w:pPr>
      <w:bookmarkStart w:id="219" w:name="_Toc16219"/>
      <w:r>
        <w:rPr>
          <w:rFonts w:hint="eastAsia" w:ascii="宋体" w:eastAsia="宋体"/>
          <w:b w:val="0"/>
          <w:color w:val="auto"/>
          <w:highlight w:val="none"/>
        </w:rPr>
        <w:br w:type="page"/>
      </w:r>
    </w:p>
    <w:p w14:paraId="677F83F0">
      <w:pPr>
        <w:rPr>
          <w:rFonts w:hint="default" w:ascii="宋体" w:hAnsi="宋体" w:eastAsia="宋体" w:cs="宋体"/>
          <w:b/>
          <w:bCs/>
          <w:color w:val="auto"/>
          <w:sz w:val="28"/>
          <w:szCs w:val="28"/>
          <w:highlight w:val="none"/>
          <w:lang w:val="en-US"/>
        </w:rPr>
      </w:pPr>
      <w:r>
        <w:rPr>
          <w:rFonts w:hint="eastAsia" w:ascii="宋体" w:hAnsi="宋体" w:eastAsia="宋体" w:cs="Times New Roman"/>
          <w:strike w:val="0"/>
          <w:dstrike w:val="0"/>
          <w:color w:val="auto"/>
          <w:highlight w:val="none"/>
          <w:lang w:val="en-US" w:eastAsia="zh-CN"/>
        </w:rPr>
        <w:t>附件21</w:t>
      </w:r>
    </w:p>
    <w:p w14:paraId="43B7AF09">
      <w:pPr>
        <w:autoSpaceDE w:val="0"/>
        <w:autoSpaceDN w:val="0"/>
        <w:adjustRightInd w:val="0"/>
        <w:spacing w:line="360" w:lineRule="auto"/>
        <w:jc w:val="center"/>
        <w:rPr>
          <w:rFonts w:ascii="宋体" w:hAnsi="宋体" w:eastAsia="宋体" w:cs="宋体"/>
          <w:b/>
          <w:color w:val="auto"/>
          <w:sz w:val="32"/>
          <w:szCs w:val="32"/>
          <w:highlight w:val="none"/>
        </w:rPr>
      </w:pPr>
      <w:r>
        <w:rPr>
          <w:rFonts w:hint="eastAsia" w:ascii="宋体" w:hAnsi="宋体" w:eastAsia="宋体" w:cs="宋体"/>
          <w:b/>
          <w:bCs/>
          <w:color w:val="auto"/>
          <w:sz w:val="28"/>
          <w:szCs w:val="28"/>
          <w:highlight w:val="none"/>
        </w:rPr>
        <w:t>监狱企业证明文件（如有）</w:t>
      </w:r>
    </w:p>
    <w:p w14:paraId="26E0262D">
      <w:pPr>
        <w:widowControl/>
        <w:spacing w:line="360" w:lineRule="auto"/>
        <w:ind w:firstLine="480"/>
        <w:jc w:val="left"/>
        <w:rPr>
          <w:rFonts w:ascii="宋体" w:hAnsi="宋体" w:eastAsia="宋体" w:cs="宋体"/>
          <w:bCs/>
          <w:color w:val="auto"/>
          <w:kern w:val="0"/>
          <w:sz w:val="20"/>
          <w:szCs w:val="20"/>
          <w:highlight w:val="none"/>
        </w:rPr>
      </w:pPr>
    </w:p>
    <w:p w14:paraId="7E9B8F3C">
      <w:pPr>
        <w:widowControl/>
        <w:spacing w:line="360" w:lineRule="auto"/>
        <w:ind w:firstLine="480"/>
        <w:jc w:val="left"/>
        <w:rPr>
          <w:rFonts w:ascii="宋体" w:hAnsi="宋体" w:eastAsia="宋体" w:cs="宋体"/>
          <w:bCs/>
          <w:color w:val="auto"/>
          <w:kern w:val="0"/>
          <w:sz w:val="20"/>
          <w:szCs w:val="20"/>
          <w:highlight w:val="none"/>
        </w:rPr>
      </w:pPr>
    </w:p>
    <w:p w14:paraId="3BC514D0">
      <w:pPr>
        <w:widowControl/>
        <w:spacing w:line="360" w:lineRule="auto"/>
        <w:ind w:firstLine="480"/>
        <w:jc w:val="left"/>
        <w:rPr>
          <w:rFonts w:ascii="宋体" w:hAnsi="宋体" w:eastAsia="宋体" w:cs="宋体"/>
          <w:bCs/>
          <w:color w:val="auto"/>
          <w:kern w:val="0"/>
          <w:sz w:val="20"/>
          <w:szCs w:val="20"/>
          <w:highlight w:val="none"/>
        </w:rPr>
      </w:pPr>
    </w:p>
    <w:p w14:paraId="40921A16">
      <w:pPr>
        <w:widowControl/>
        <w:spacing w:line="360" w:lineRule="auto"/>
        <w:ind w:firstLine="480"/>
        <w:jc w:val="left"/>
        <w:rPr>
          <w:rFonts w:ascii="宋体" w:hAnsi="宋体" w:eastAsia="宋体" w:cs="宋体"/>
          <w:bCs/>
          <w:color w:val="auto"/>
          <w:kern w:val="0"/>
          <w:sz w:val="20"/>
          <w:szCs w:val="20"/>
          <w:highlight w:val="none"/>
        </w:rPr>
      </w:pPr>
    </w:p>
    <w:p w14:paraId="01AABFD1">
      <w:pPr>
        <w:widowControl/>
        <w:spacing w:line="360" w:lineRule="auto"/>
        <w:ind w:firstLine="480"/>
        <w:jc w:val="left"/>
        <w:rPr>
          <w:rFonts w:ascii="宋体" w:hAnsi="宋体" w:eastAsia="宋体" w:cs="宋体"/>
          <w:bCs/>
          <w:color w:val="auto"/>
          <w:kern w:val="0"/>
          <w:sz w:val="20"/>
          <w:szCs w:val="20"/>
          <w:highlight w:val="none"/>
        </w:rPr>
      </w:pPr>
    </w:p>
    <w:p w14:paraId="3434CD5D">
      <w:pPr>
        <w:widowControl/>
        <w:spacing w:line="360" w:lineRule="auto"/>
        <w:ind w:firstLine="480"/>
        <w:jc w:val="left"/>
        <w:rPr>
          <w:rFonts w:ascii="宋体" w:hAnsi="宋体" w:eastAsia="宋体" w:cs="宋体"/>
          <w:bCs/>
          <w:color w:val="auto"/>
          <w:kern w:val="0"/>
          <w:sz w:val="20"/>
          <w:szCs w:val="20"/>
          <w:highlight w:val="none"/>
        </w:rPr>
      </w:pPr>
    </w:p>
    <w:p w14:paraId="4744F2A6">
      <w:pPr>
        <w:widowControl/>
        <w:spacing w:line="360" w:lineRule="auto"/>
        <w:ind w:firstLine="480"/>
        <w:jc w:val="left"/>
        <w:rPr>
          <w:rFonts w:ascii="宋体" w:hAnsi="宋体" w:eastAsia="宋体" w:cs="宋体"/>
          <w:bCs/>
          <w:color w:val="auto"/>
          <w:kern w:val="0"/>
          <w:sz w:val="20"/>
          <w:szCs w:val="20"/>
          <w:highlight w:val="none"/>
        </w:rPr>
      </w:pPr>
    </w:p>
    <w:p w14:paraId="24AC3F07">
      <w:pPr>
        <w:widowControl/>
        <w:spacing w:line="360" w:lineRule="auto"/>
        <w:ind w:firstLine="480"/>
        <w:jc w:val="left"/>
        <w:rPr>
          <w:rFonts w:ascii="宋体" w:hAnsi="宋体" w:eastAsia="宋体" w:cs="宋体"/>
          <w:bCs/>
          <w:color w:val="auto"/>
          <w:kern w:val="0"/>
          <w:sz w:val="20"/>
          <w:szCs w:val="20"/>
          <w:highlight w:val="none"/>
        </w:rPr>
      </w:pPr>
    </w:p>
    <w:p w14:paraId="30046B43">
      <w:pPr>
        <w:widowControl/>
        <w:spacing w:line="360" w:lineRule="auto"/>
        <w:ind w:firstLine="480"/>
        <w:jc w:val="left"/>
        <w:rPr>
          <w:rFonts w:ascii="宋体" w:hAnsi="宋体" w:eastAsia="宋体" w:cs="宋体"/>
          <w:bCs/>
          <w:color w:val="auto"/>
          <w:kern w:val="0"/>
          <w:sz w:val="20"/>
          <w:szCs w:val="20"/>
          <w:highlight w:val="none"/>
        </w:rPr>
      </w:pPr>
    </w:p>
    <w:p w14:paraId="6B8F8549">
      <w:pPr>
        <w:widowControl/>
        <w:spacing w:line="360" w:lineRule="auto"/>
        <w:ind w:firstLine="480"/>
        <w:jc w:val="left"/>
        <w:rPr>
          <w:rFonts w:ascii="宋体" w:hAnsi="宋体" w:eastAsia="宋体" w:cs="宋体"/>
          <w:bCs/>
          <w:color w:val="auto"/>
          <w:kern w:val="0"/>
          <w:sz w:val="20"/>
          <w:szCs w:val="20"/>
          <w:highlight w:val="none"/>
        </w:rPr>
      </w:pPr>
    </w:p>
    <w:p w14:paraId="06CC6658">
      <w:pPr>
        <w:widowControl/>
        <w:spacing w:line="360" w:lineRule="auto"/>
        <w:jc w:val="left"/>
        <w:rPr>
          <w:rFonts w:ascii="宋体" w:hAnsi="宋体" w:eastAsia="宋体" w:cs="宋体"/>
          <w:bCs/>
          <w:color w:val="auto"/>
          <w:kern w:val="0"/>
          <w:sz w:val="20"/>
          <w:szCs w:val="20"/>
          <w:highlight w:val="none"/>
        </w:rPr>
      </w:pPr>
    </w:p>
    <w:p w14:paraId="214B44DD">
      <w:pPr>
        <w:widowControl/>
        <w:spacing w:line="360" w:lineRule="auto"/>
        <w:ind w:firstLine="480"/>
        <w:jc w:val="left"/>
        <w:rPr>
          <w:rFonts w:ascii="宋体" w:hAnsi="宋体" w:eastAsia="宋体" w:cs="宋体"/>
          <w:bCs/>
          <w:color w:val="auto"/>
          <w:kern w:val="0"/>
          <w:sz w:val="20"/>
          <w:szCs w:val="20"/>
          <w:highlight w:val="none"/>
        </w:rPr>
      </w:pPr>
    </w:p>
    <w:p w14:paraId="5715E8A4">
      <w:pPr>
        <w:widowControl/>
        <w:spacing w:line="360" w:lineRule="auto"/>
        <w:ind w:firstLine="0"/>
        <w:jc w:val="left"/>
        <w:rPr>
          <w:rFonts w:ascii="宋体" w:hAnsi="宋体" w:eastAsia="宋体" w:cs="宋体"/>
          <w:bCs/>
          <w:color w:val="auto"/>
          <w:kern w:val="0"/>
          <w:sz w:val="20"/>
          <w:szCs w:val="20"/>
          <w:highlight w:val="none"/>
        </w:rPr>
      </w:pPr>
    </w:p>
    <w:p w14:paraId="244BD27E">
      <w:pPr>
        <w:widowControl/>
        <w:spacing w:line="360" w:lineRule="auto"/>
        <w:ind w:firstLine="480"/>
        <w:jc w:val="left"/>
        <w:rPr>
          <w:rFonts w:ascii="宋体" w:hAnsi="宋体" w:eastAsia="宋体" w:cs="宋体"/>
          <w:bCs/>
          <w:color w:val="auto"/>
          <w:kern w:val="0"/>
          <w:sz w:val="20"/>
          <w:szCs w:val="20"/>
          <w:highlight w:val="none"/>
        </w:rPr>
      </w:pPr>
    </w:p>
    <w:p w14:paraId="3F9B946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0C74130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b/>
          <w:color w:val="auto"/>
          <w:sz w:val="21"/>
          <w:szCs w:val="21"/>
          <w:highlight w:val="none"/>
        </w:rPr>
      </w:pPr>
      <w:r>
        <w:rPr>
          <w:rFonts w:ascii="宋体" w:hAnsi="宋体" w:eastAsia="宋体" w:cs="宋体"/>
          <w:b/>
          <w:color w:val="auto"/>
          <w:sz w:val="21"/>
          <w:szCs w:val="21"/>
          <w:highlight w:val="none"/>
        </w:rPr>
        <w:t>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4E9EC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b/>
          <w:color w:val="auto"/>
          <w:sz w:val="21"/>
          <w:szCs w:val="21"/>
          <w:highlight w:val="none"/>
        </w:rPr>
      </w:pPr>
      <w:r>
        <w:rPr>
          <w:rFonts w:ascii="宋体" w:hAnsi="宋体" w:eastAsia="宋体" w:cs="宋体"/>
          <w:b/>
          <w:color w:val="auto"/>
          <w:sz w:val="21"/>
          <w:szCs w:val="21"/>
          <w:highlight w:val="none"/>
        </w:rPr>
        <w:t>2、监狱企业参与投标的，需提供由省级以上监狱管理局、戒毒管理局（含新疆生产建设兵团）出具的属于监狱企业的证明文件。监狱企业视同小微企业，无需再提供《中小企业声明函》。</w:t>
      </w:r>
    </w:p>
    <w:p w14:paraId="29DD29D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b/>
          <w:color w:val="auto"/>
          <w:sz w:val="21"/>
          <w:szCs w:val="21"/>
          <w:highlight w:val="none"/>
        </w:rPr>
      </w:pPr>
      <w:r>
        <w:rPr>
          <w:rFonts w:ascii="宋体" w:hAnsi="宋体" w:eastAsia="宋体" w:cs="宋体"/>
          <w:b/>
          <w:color w:val="auto"/>
          <w:sz w:val="21"/>
          <w:szCs w:val="21"/>
          <w:highlight w:val="none"/>
        </w:rPr>
        <w:t>3、如非监狱企业，不需要提供证明文件。</w:t>
      </w:r>
    </w:p>
    <w:p w14:paraId="7E57D00F">
      <w:pPr>
        <w:topLinePunct/>
        <w:adjustRightInd w:val="0"/>
        <w:snapToGrid w:val="0"/>
        <w:spacing w:line="360" w:lineRule="auto"/>
        <w:ind w:firstLine="0" w:firstLineChars="0"/>
        <w:rPr>
          <w:rFonts w:hint="eastAsia" w:ascii="宋体" w:hAnsi="宋体" w:eastAsia="宋体" w:cs="宋体"/>
          <w:b/>
          <w:bCs/>
          <w:color w:val="auto"/>
          <w:sz w:val="28"/>
          <w:szCs w:val="28"/>
          <w:highlight w:val="none"/>
        </w:rPr>
        <w:sectPr>
          <w:pgSz w:w="11850" w:h="16783"/>
          <w:pgMar w:top="1440" w:right="1080" w:bottom="1440" w:left="1080" w:header="851" w:footer="992" w:gutter="0"/>
          <w:cols w:space="720" w:num="1"/>
          <w:docGrid w:type="lines" w:linePitch="312" w:charSpace="0"/>
        </w:sectPr>
      </w:pPr>
    </w:p>
    <w:p w14:paraId="3BC31C62">
      <w:pPr>
        <w:topLinePunct/>
        <w:adjustRightInd w:val="0"/>
        <w:snapToGrid w:val="0"/>
        <w:spacing w:line="360" w:lineRule="auto"/>
        <w:ind w:firstLine="0" w:firstLineChars="0"/>
        <w:rPr>
          <w:rFonts w:hint="eastAsia" w:ascii="宋体" w:hAnsi="宋体" w:eastAsia="宋体" w:cs="宋体"/>
          <w:snapToGrid w:val="0"/>
          <w:color w:val="auto"/>
          <w:spacing w:val="4"/>
          <w:kern w:val="0"/>
          <w:sz w:val="28"/>
          <w:szCs w:val="28"/>
          <w:highlight w:val="none"/>
        </w:rPr>
      </w:pPr>
      <w:r>
        <w:rPr>
          <w:rFonts w:hint="eastAsia" w:ascii="宋体" w:hAnsi="宋体" w:eastAsia="宋体" w:cs="Times New Roman"/>
          <w:strike w:val="0"/>
          <w:dstrike w:val="0"/>
          <w:color w:val="auto"/>
          <w:highlight w:val="none"/>
          <w:lang w:val="en-US" w:eastAsia="zh-CN"/>
        </w:rPr>
        <w:t xml:space="preserve">附件22 </w:t>
      </w:r>
      <w:r>
        <w:rPr>
          <w:rFonts w:hint="eastAsia" w:ascii="宋体" w:hAnsi="宋体" w:eastAsia="宋体" w:cs="宋体"/>
          <w:b/>
          <w:bCs/>
          <w:color w:val="auto"/>
          <w:sz w:val="28"/>
          <w:szCs w:val="28"/>
          <w:highlight w:val="none"/>
          <w:lang w:val="en-US" w:eastAsia="zh-CN"/>
        </w:rPr>
        <w:t xml:space="preserve"> </w:t>
      </w:r>
    </w:p>
    <w:p w14:paraId="01160D88">
      <w:pPr>
        <w:pStyle w:val="33"/>
        <w:rPr>
          <w:rFonts w:hint="eastAsia" w:ascii="宋体" w:hAnsi="宋体" w:eastAsia="宋体" w:cs="宋体"/>
          <w:snapToGrid w:val="0"/>
          <w:color w:val="auto"/>
          <w:spacing w:val="4"/>
          <w:kern w:val="0"/>
          <w:sz w:val="28"/>
          <w:szCs w:val="28"/>
          <w:highlight w:val="none"/>
        </w:rPr>
      </w:pPr>
    </w:p>
    <w:p w14:paraId="6650EDD9">
      <w:pPr>
        <w:tabs>
          <w:tab w:val="left" w:pos="720"/>
        </w:tabs>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残疾人福利性单位声明函（如有）</w:t>
      </w:r>
    </w:p>
    <w:p w14:paraId="3C667DC0">
      <w:pPr>
        <w:widowControl/>
        <w:spacing w:line="360" w:lineRule="auto"/>
        <w:jc w:val="left"/>
        <w:rPr>
          <w:rFonts w:ascii="宋体" w:hAnsi="宋体" w:eastAsia="宋体" w:cs="宋体"/>
          <w:color w:val="auto"/>
          <w:kern w:val="0"/>
          <w:sz w:val="24"/>
          <w:szCs w:val="20"/>
          <w:highlight w:val="none"/>
          <w:lang w:eastAsia="zh-Hans"/>
        </w:rPr>
      </w:pPr>
    </w:p>
    <w:p w14:paraId="619F6A7A">
      <w:pPr>
        <w:widowControl/>
        <w:spacing w:line="360" w:lineRule="auto"/>
        <w:jc w:val="left"/>
        <w:rPr>
          <w:rFonts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Hans"/>
        </w:rPr>
        <w:t>致：</w:t>
      </w:r>
      <w:r>
        <w:rPr>
          <w:rFonts w:hint="eastAsia" w:ascii="宋体" w:hAnsi="宋体" w:eastAsia="宋体" w:cs="宋体"/>
          <w:color w:val="auto"/>
          <w:kern w:val="0"/>
          <w:sz w:val="21"/>
          <w:szCs w:val="21"/>
          <w:highlight w:val="none"/>
          <w:u w:val="single"/>
          <w:lang w:eastAsia="zh-Hans"/>
        </w:rPr>
        <w:t xml:space="preserve">        （招标人）</w:t>
      </w:r>
      <w:r>
        <w:rPr>
          <w:rFonts w:hint="eastAsia" w:ascii="宋体" w:hAnsi="宋体" w:eastAsia="宋体" w:cs="宋体"/>
          <w:color w:val="auto"/>
          <w:kern w:val="0"/>
          <w:sz w:val="21"/>
          <w:szCs w:val="21"/>
          <w:highlight w:val="none"/>
          <w:u w:val="single"/>
        </w:rPr>
        <w:t xml:space="preserve">         </w:t>
      </w:r>
    </w:p>
    <w:p w14:paraId="79B10B41">
      <w:pPr>
        <w:widowControl/>
        <w:spacing w:line="360" w:lineRule="auto"/>
        <w:ind w:firstLine="420" w:firstLineChars="200"/>
        <w:jc w:val="left"/>
        <w:rPr>
          <w:rFonts w:ascii="宋体" w:hAnsi="宋体" w:eastAsia="宋体" w:cs="宋体"/>
          <w:color w:val="auto"/>
          <w:kern w:val="0"/>
          <w:sz w:val="21"/>
          <w:szCs w:val="21"/>
          <w:highlight w:val="none"/>
          <w:lang w:eastAsia="zh-Hans"/>
        </w:rPr>
      </w:pPr>
      <w:r>
        <w:rPr>
          <w:rFonts w:ascii="宋体" w:hAnsi="宋体" w:eastAsia="宋体" w:cs="宋体"/>
          <w:color w:val="auto"/>
          <w:kern w:val="0"/>
          <w:sz w:val="21"/>
          <w:szCs w:val="21"/>
          <w:highlight w:val="none"/>
          <w:lang w:eastAsia="zh-Hans"/>
        </w:rPr>
        <w:t>本单位郑重声明，根据《财政部 民政部 中国残疾人联合会关于促进残疾人就业政府采购政策的通知》</w:t>
      </w:r>
      <w:r>
        <w:rPr>
          <w:rFonts w:hint="eastAsia" w:ascii="宋体" w:hAnsi="宋体" w:eastAsia="宋体" w:cs="宋体"/>
          <w:color w:val="auto"/>
          <w:kern w:val="0"/>
          <w:sz w:val="21"/>
          <w:szCs w:val="21"/>
          <w:highlight w:val="none"/>
          <w:lang w:eastAsia="zh-Hans"/>
        </w:rPr>
        <w:t>（财库〔2017〕141号）</w:t>
      </w:r>
      <w:r>
        <w:rPr>
          <w:rFonts w:ascii="宋体" w:hAnsi="宋体" w:eastAsia="宋体" w:cs="宋体"/>
          <w:color w:val="auto"/>
          <w:kern w:val="0"/>
          <w:sz w:val="21"/>
          <w:szCs w:val="21"/>
          <w:highlight w:val="none"/>
          <w:lang w:eastAsia="zh-Hans"/>
        </w:rPr>
        <w:t>的规定，本单位为符合条件的残疾人福利性单位，且本单位参加</w:t>
      </w:r>
      <w:r>
        <w:rPr>
          <w:rFonts w:hint="eastAsia" w:ascii="宋体" w:hAnsi="宋体" w:eastAsia="宋体" w:cs="宋体"/>
          <w:color w:val="auto"/>
          <w:kern w:val="0"/>
          <w:sz w:val="21"/>
          <w:szCs w:val="21"/>
          <w:highlight w:val="none"/>
          <w:u w:val="single"/>
          <w:lang w:eastAsia="zh-Hans"/>
        </w:rPr>
        <w:t xml:space="preserve">      （招标人）</w:t>
      </w:r>
      <w:r>
        <w:rPr>
          <w:rFonts w:hint="eastAsia" w:ascii="宋体" w:hAnsi="宋体" w:eastAsia="宋体" w:cs="宋体"/>
          <w:color w:val="auto"/>
          <w:kern w:val="0"/>
          <w:sz w:val="21"/>
          <w:szCs w:val="21"/>
          <w:highlight w:val="none"/>
          <w:u w:val="single"/>
        </w:rPr>
        <w:t xml:space="preserve">      </w:t>
      </w:r>
      <w:r>
        <w:rPr>
          <w:rFonts w:ascii="宋体" w:hAnsi="宋体" w:eastAsia="宋体" w:cs="宋体"/>
          <w:color w:val="auto"/>
          <w:kern w:val="0"/>
          <w:sz w:val="21"/>
          <w:szCs w:val="21"/>
          <w:highlight w:val="none"/>
          <w:lang w:eastAsia="zh-Hans"/>
        </w:rPr>
        <w:t>单位的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Hans"/>
        </w:rPr>
        <w:t>（</w:t>
      </w:r>
      <w:r>
        <w:rPr>
          <w:rFonts w:hint="eastAsia" w:ascii="宋体" w:hAnsi="宋体" w:eastAsia="宋体" w:cs="宋体"/>
          <w:color w:val="auto"/>
          <w:kern w:val="0"/>
          <w:sz w:val="21"/>
          <w:szCs w:val="21"/>
          <w:highlight w:val="none"/>
          <w:u w:val="single"/>
        </w:rPr>
        <w:t>项目名称</w:t>
      </w:r>
      <w:r>
        <w:rPr>
          <w:rFonts w:hint="eastAsia" w:ascii="宋体" w:hAnsi="宋体" w:eastAsia="宋体" w:cs="宋体"/>
          <w:color w:val="auto"/>
          <w:kern w:val="0"/>
          <w:sz w:val="21"/>
          <w:szCs w:val="21"/>
          <w:highlight w:val="none"/>
          <w:u w:val="single"/>
          <w:lang w:eastAsia="zh-Hans"/>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项目招标</w:t>
      </w:r>
      <w:r>
        <w:rPr>
          <w:rFonts w:ascii="宋体" w:hAnsi="宋体" w:eastAsia="宋体" w:cs="宋体"/>
          <w:color w:val="auto"/>
          <w:kern w:val="0"/>
          <w:sz w:val="21"/>
          <w:szCs w:val="21"/>
          <w:highlight w:val="none"/>
          <w:lang w:eastAsia="zh-Hans"/>
        </w:rPr>
        <w:t>活动</w:t>
      </w:r>
      <w:r>
        <w:rPr>
          <w:rFonts w:hint="eastAsia" w:ascii="宋体" w:hAnsi="宋体" w:eastAsia="宋体" w:cs="宋体"/>
          <w:color w:val="auto"/>
          <w:kern w:val="0"/>
          <w:sz w:val="21"/>
          <w:szCs w:val="21"/>
          <w:highlight w:val="none"/>
        </w:rPr>
        <w:t>，</w:t>
      </w:r>
      <w:r>
        <w:rPr>
          <w:rFonts w:ascii="宋体" w:hAnsi="宋体" w:eastAsia="宋体" w:cs="宋体"/>
          <w:color w:val="auto"/>
          <w:kern w:val="0"/>
          <w:sz w:val="21"/>
          <w:szCs w:val="21"/>
          <w:highlight w:val="none"/>
          <w:lang w:eastAsia="zh-Hans"/>
        </w:rPr>
        <w:t>由本单位承担工程。</w:t>
      </w:r>
    </w:p>
    <w:p w14:paraId="0966C299">
      <w:pPr>
        <w:widowControl/>
        <w:spacing w:line="360" w:lineRule="auto"/>
        <w:ind w:firstLine="420" w:firstLineChars="200"/>
        <w:jc w:val="left"/>
        <w:rPr>
          <w:rFonts w:ascii="宋体" w:hAnsi="宋体" w:eastAsia="宋体" w:cs="宋体"/>
          <w:color w:val="auto"/>
          <w:kern w:val="0"/>
          <w:sz w:val="21"/>
          <w:szCs w:val="21"/>
          <w:highlight w:val="none"/>
          <w:lang w:eastAsia="zh-Hans"/>
        </w:rPr>
      </w:pPr>
      <w:r>
        <w:rPr>
          <w:rFonts w:ascii="宋体" w:hAnsi="宋体" w:eastAsia="宋体" w:cs="宋体"/>
          <w:color w:val="auto"/>
          <w:sz w:val="21"/>
          <w:szCs w:val="21"/>
          <w:highlight w:val="none"/>
        </w:rPr>
        <w:t>本单位对上述声明的真实性负责。如有虚假，将依法承担相应责任。</w:t>
      </w:r>
    </w:p>
    <w:p w14:paraId="45380D29">
      <w:pPr>
        <w:spacing w:line="360" w:lineRule="auto"/>
        <w:rPr>
          <w:rFonts w:ascii="宋体" w:hAnsi="宋体" w:eastAsia="宋体" w:cs="宋体"/>
          <w:color w:val="auto"/>
          <w:sz w:val="21"/>
          <w:szCs w:val="21"/>
          <w:highlight w:val="none"/>
        </w:rPr>
      </w:pPr>
    </w:p>
    <w:p w14:paraId="343E58AD">
      <w:pPr>
        <w:spacing w:line="360" w:lineRule="auto"/>
        <w:rPr>
          <w:rFonts w:ascii="宋体" w:hAnsi="宋体" w:eastAsia="宋体" w:cs="宋体"/>
          <w:color w:val="auto"/>
          <w:sz w:val="21"/>
          <w:szCs w:val="21"/>
          <w:highlight w:val="none"/>
        </w:rPr>
      </w:pPr>
    </w:p>
    <w:p w14:paraId="051D9DBC">
      <w:pPr>
        <w:keepNext w:val="0"/>
        <w:keepLines w:val="0"/>
        <w:pageBreakBefore w:val="0"/>
        <w:widowControl w:val="0"/>
        <w:kinsoku/>
        <w:wordWrap/>
        <w:overflowPunct/>
        <w:topLinePunct/>
        <w:autoSpaceDE/>
        <w:autoSpaceDN/>
        <w:bidi w:val="0"/>
        <w:adjustRightInd/>
        <w:snapToGrid/>
        <w:spacing w:line="360" w:lineRule="auto"/>
        <w:ind w:firstLine="2616" w:firstLineChars="1200"/>
        <w:textAlignment w:val="auto"/>
        <w:rPr>
          <w:rFonts w:ascii="宋体" w:hAnsi="宋体" w:eastAsia="宋体" w:cs="宋体"/>
          <w:snapToGrid w:val="0"/>
          <w:color w:val="auto"/>
          <w:spacing w:val="4"/>
          <w:kern w:val="0"/>
          <w:sz w:val="21"/>
          <w:szCs w:val="21"/>
          <w:highlight w:val="none"/>
        </w:rPr>
      </w:pPr>
      <w:r>
        <w:rPr>
          <w:rFonts w:hint="eastAsia" w:ascii="宋体" w:hAnsi="宋体" w:eastAsia="宋体" w:cs="宋体"/>
          <w:snapToGrid w:val="0"/>
          <w:color w:val="auto"/>
          <w:spacing w:val="4"/>
          <w:kern w:val="0"/>
          <w:sz w:val="21"/>
          <w:szCs w:val="21"/>
          <w:highlight w:val="none"/>
        </w:rPr>
        <w:t xml:space="preserve">投 标 </w:t>
      </w:r>
      <w:r>
        <w:rPr>
          <w:rFonts w:ascii="宋体" w:hAnsi="宋体" w:eastAsia="宋体" w:cs="宋体"/>
          <w:snapToGrid w:val="0"/>
          <w:color w:val="auto"/>
          <w:spacing w:val="4"/>
          <w:kern w:val="0"/>
          <w:sz w:val="21"/>
          <w:szCs w:val="21"/>
          <w:highlight w:val="none"/>
        </w:rPr>
        <w:t>人</w:t>
      </w:r>
      <w:r>
        <w:rPr>
          <w:rFonts w:hint="eastAsia" w:ascii="宋体" w:hAnsi="宋体" w:eastAsia="宋体" w:cs="宋体"/>
          <w:snapToGrid w:val="0"/>
          <w:color w:val="auto"/>
          <w:spacing w:val="4"/>
          <w:kern w:val="0"/>
          <w:sz w:val="21"/>
          <w:szCs w:val="21"/>
          <w:highlight w:val="none"/>
        </w:rPr>
        <w:t>：</w:t>
      </w:r>
    </w:p>
    <w:p w14:paraId="4F73EC2D">
      <w:pPr>
        <w:keepNext w:val="0"/>
        <w:keepLines w:val="0"/>
        <w:pageBreakBefore w:val="0"/>
        <w:widowControl w:val="0"/>
        <w:kinsoku/>
        <w:wordWrap/>
        <w:overflowPunct/>
        <w:autoSpaceDE/>
        <w:autoSpaceDN/>
        <w:bidi w:val="0"/>
        <w:adjustRightInd/>
        <w:snapToGrid/>
        <w:spacing w:line="360" w:lineRule="auto"/>
        <w:ind w:firstLine="2616" w:firstLineChars="1200"/>
        <w:textAlignment w:val="auto"/>
        <w:rPr>
          <w:rFonts w:ascii="宋体" w:hAnsi="宋体" w:eastAsia="宋体" w:cs="宋体"/>
          <w:b/>
          <w:bCs/>
          <w:color w:val="auto"/>
          <w:sz w:val="21"/>
          <w:szCs w:val="21"/>
          <w:highlight w:val="none"/>
        </w:rPr>
      </w:pPr>
      <w:r>
        <w:rPr>
          <w:rFonts w:hint="eastAsia" w:ascii="宋体" w:hAnsi="宋体" w:eastAsia="宋体" w:cs="宋体"/>
          <w:snapToGrid w:val="0"/>
          <w:color w:val="auto"/>
          <w:spacing w:val="4"/>
          <w:kern w:val="0"/>
          <w:sz w:val="21"/>
          <w:szCs w:val="21"/>
          <w:highlight w:val="none"/>
        </w:rPr>
        <w:t>日</w:t>
      </w:r>
      <w:r>
        <w:rPr>
          <w:rFonts w:ascii="宋体" w:hAnsi="宋体" w:eastAsia="宋体" w:cs="宋体"/>
          <w:snapToGrid w:val="0"/>
          <w:color w:val="auto"/>
          <w:spacing w:val="4"/>
          <w:kern w:val="0"/>
          <w:sz w:val="21"/>
          <w:szCs w:val="21"/>
          <w:highlight w:val="none"/>
        </w:rPr>
        <w:t>期：    年    月    日</w:t>
      </w:r>
    </w:p>
    <w:p w14:paraId="4048D8D5">
      <w:pPr>
        <w:spacing w:line="360" w:lineRule="auto"/>
        <w:jc w:val="left"/>
        <w:rPr>
          <w:rFonts w:ascii="宋体" w:hAnsi="宋体" w:eastAsia="宋体" w:cs="宋体"/>
          <w:b/>
          <w:bCs/>
          <w:color w:val="auto"/>
          <w:sz w:val="21"/>
          <w:szCs w:val="21"/>
          <w:highlight w:val="none"/>
        </w:rPr>
      </w:pPr>
    </w:p>
    <w:p w14:paraId="32EDE705">
      <w:pPr>
        <w:spacing w:line="360" w:lineRule="auto"/>
        <w:jc w:val="left"/>
        <w:rPr>
          <w:rFonts w:ascii="宋体" w:hAnsi="宋体" w:eastAsia="宋体" w:cs="宋体"/>
          <w:b/>
          <w:bCs/>
          <w:color w:val="auto"/>
          <w:sz w:val="21"/>
          <w:szCs w:val="21"/>
          <w:highlight w:val="none"/>
        </w:rPr>
      </w:pPr>
    </w:p>
    <w:p w14:paraId="40EBEEF3">
      <w:pPr>
        <w:spacing w:line="360" w:lineRule="auto"/>
        <w:jc w:val="left"/>
        <w:rPr>
          <w:rFonts w:ascii="宋体" w:hAnsi="宋体" w:eastAsia="宋体" w:cs="宋体"/>
          <w:b/>
          <w:bCs/>
          <w:color w:val="auto"/>
          <w:sz w:val="21"/>
          <w:szCs w:val="21"/>
          <w:highlight w:val="none"/>
        </w:rPr>
      </w:pPr>
    </w:p>
    <w:p w14:paraId="3838D96B">
      <w:pPr>
        <w:spacing w:line="360" w:lineRule="auto"/>
        <w:jc w:val="left"/>
        <w:rPr>
          <w:rFonts w:ascii="宋体" w:hAnsi="宋体" w:eastAsia="宋体" w:cs="宋体"/>
          <w:b/>
          <w:bCs/>
          <w:color w:val="auto"/>
          <w:sz w:val="21"/>
          <w:szCs w:val="21"/>
          <w:highlight w:val="none"/>
        </w:rPr>
      </w:pPr>
    </w:p>
    <w:p w14:paraId="1C46F9B5">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1E85C19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1、残疾人福利性单位声明函（如有）适用于残疾人福利性单位参加招投标活动的。本函未填写的视作未做声明。如不适用，本格式不需要提供。</w:t>
      </w:r>
    </w:p>
    <w:p w14:paraId="2DB56106">
      <w:pPr>
        <w:pStyle w:val="3"/>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2、残疾人福利性单位视同小微企业，无需再提供《中小企业声明函》。</w:t>
      </w:r>
    </w:p>
    <w:p w14:paraId="72C734AD">
      <w:pPr>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br w:type="page"/>
      </w:r>
    </w:p>
    <w:p w14:paraId="4AD391E6">
      <w:pPr>
        <w:pStyle w:val="3"/>
        <w:rPr>
          <w:rFonts w:ascii="宋体" w:eastAsia="宋体"/>
          <w:b w:val="0"/>
          <w:color w:val="auto"/>
          <w:highlight w:val="none"/>
        </w:rPr>
      </w:pPr>
      <w:r>
        <w:rPr>
          <w:rFonts w:hint="eastAsia" w:ascii="宋体" w:eastAsia="宋体"/>
          <w:b w:val="0"/>
          <w:color w:val="auto"/>
          <w:highlight w:val="none"/>
        </w:rPr>
        <w:t>第五章  技术条件（工程建设标准）</w:t>
      </w:r>
      <w:bookmarkEnd w:id="206"/>
      <w:bookmarkEnd w:id="207"/>
      <w:bookmarkEnd w:id="208"/>
      <w:bookmarkEnd w:id="209"/>
      <w:bookmarkEnd w:id="210"/>
      <w:bookmarkEnd w:id="211"/>
      <w:bookmarkEnd w:id="212"/>
      <w:bookmarkEnd w:id="213"/>
      <w:bookmarkEnd w:id="214"/>
      <w:bookmarkEnd w:id="215"/>
      <w:bookmarkEnd w:id="216"/>
      <w:bookmarkEnd w:id="219"/>
    </w:p>
    <w:p w14:paraId="7F5D3BE0">
      <w:pPr>
        <w:rPr>
          <w:rFonts w:ascii="宋体" w:hAnsi="宋体" w:eastAsia="宋体"/>
          <w:color w:val="auto"/>
          <w:sz w:val="24"/>
          <w:szCs w:val="24"/>
          <w:highlight w:val="none"/>
        </w:rPr>
      </w:pPr>
    </w:p>
    <w:p w14:paraId="26A400C9">
      <w:pPr>
        <w:pStyle w:val="2"/>
        <w:jc w:val="center"/>
        <w:rPr>
          <w:rFonts w:hint="eastAsia" w:eastAsia="宋体"/>
          <w:strike w:val="0"/>
          <w:dstrike w:val="0"/>
          <w:color w:val="auto"/>
          <w:highlight w:val="none"/>
        </w:rPr>
      </w:pPr>
      <w:bookmarkStart w:id="220" w:name="_Toc9249"/>
      <w:r>
        <w:rPr>
          <w:rFonts w:hint="eastAsia"/>
          <w:color w:val="auto"/>
          <w:sz w:val="24"/>
          <w:szCs w:val="24"/>
          <w:highlight w:val="none"/>
          <w:lang w:val="en-US" w:eastAsia="zh-CN"/>
        </w:rPr>
        <w:t>（注：按国家、广东省、广州市园林绿化工程建设及验收标准执行。）</w:t>
      </w:r>
      <w:bookmarkEnd w:id="220"/>
    </w:p>
    <w:p w14:paraId="37166E10">
      <w:pPr>
        <w:rPr>
          <w:rFonts w:ascii="宋体" w:hAnsi="宋体" w:eastAsia="宋体"/>
          <w:color w:val="auto"/>
          <w:highlight w:val="none"/>
        </w:rPr>
      </w:pPr>
    </w:p>
    <w:p w14:paraId="7F2421D3">
      <w:pPr>
        <w:pStyle w:val="3"/>
        <w:rPr>
          <w:rFonts w:hint="eastAsia" w:ascii="宋体" w:eastAsia="宋体"/>
          <w:b w:val="0"/>
          <w:color w:val="auto"/>
          <w:highlight w:val="none"/>
        </w:rPr>
      </w:pPr>
      <w:bookmarkStart w:id="221" w:name="_第六章__图纸及勘察资料"/>
      <w:bookmarkEnd w:id="221"/>
      <w:bookmarkStart w:id="222" w:name="_Toc1405"/>
      <w:bookmarkStart w:id="223" w:name="_Toc13459"/>
      <w:bookmarkStart w:id="224" w:name="_Toc24765"/>
      <w:bookmarkStart w:id="225" w:name="_Toc10021"/>
      <w:bookmarkStart w:id="226" w:name="_Toc31137"/>
      <w:bookmarkStart w:id="227" w:name="_Toc262229177"/>
      <w:bookmarkStart w:id="228" w:name="_Toc21559"/>
      <w:bookmarkStart w:id="229" w:name="_Toc13214"/>
      <w:bookmarkStart w:id="230" w:name="_Toc23083"/>
      <w:bookmarkStart w:id="231" w:name="_Toc27338"/>
      <w:bookmarkStart w:id="232" w:name="_Toc13226"/>
    </w:p>
    <w:p w14:paraId="0998A21F">
      <w:pPr>
        <w:pStyle w:val="7"/>
        <w:rPr>
          <w:rFonts w:hint="eastAsia" w:ascii="宋体" w:eastAsia="宋体"/>
          <w:b/>
          <w:color w:val="auto"/>
          <w:highlight w:val="none"/>
        </w:rPr>
      </w:pPr>
    </w:p>
    <w:p w14:paraId="035CED24">
      <w:pPr>
        <w:pStyle w:val="43"/>
        <w:rPr>
          <w:rFonts w:hint="eastAsia" w:ascii="宋体" w:eastAsia="宋体"/>
          <w:b/>
          <w:color w:val="auto"/>
          <w:highlight w:val="none"/>
        </w:rPr>
      </w:pPr>
    </w:p>
    <w:p w14:paraId="11D41DDE">
      <w:pPr>
        <w:pStyle w:val="43"/>
        <w:rPr>
          <w:rFonts w:hint="eastAsia" w:ascii="宋体" w:eastAsia="宋体"/>
          <w:b/>
          <w:color w:val="auto"/>
          <w:highlight w:val="none"/>
        </w:rPr>
      </w:pPr>
    </w:p>
    <w:p w14:paraId="0FD510B4">
      <w:pPr>
        <w:pStyle w:val="43"/>
        <w:rPr>
          <w:rFonts w:hint="eastAsia" w:ascii="宋体" w:eastAsia="宋体"/>
          <w:b/>
          <w:color w:val="auto"/>
          <w:highlight w:val="none"/>
        </w:rPr>
      </w:pPr>
    </w:p>
    <w:p w14:paraId="0F5191AC">
      <w:pPr>
        <w:pStyle w:val="43"/>
        <w:rPr>
          <w:rFonts w:hint="eastAsia" w:ascii="宋体" w:eastAsia="宋体"/>
          <w:b/>
          <w:color w:val="auto"/>
          <w:highlight w:val="none"/>
        </w:rPr>
      </w:pPr>
    </w:p>
    <w:p w14:paraId="4CF1B60C">
      <w:pPr>
        <w:pStyle w:val="43"/>
        <w:rPr>
          <w:rFonts w:hint="eastAsia" w:ascii="宋体" w:eastAsia="宋体"/>
          <w:b/>
          <w:color w:val="auto"/>
          <w:highlight w:val="none"/>
        </w:rPr>
      </w:pPr>
    </w:p>
    <w:p w14:paraId="45458EE6">
      <w:pPr>
        <w:pStyle w:val="43"/>
        <w:rPr>
          <w:rFonts w:hint="eastAsia" w:ascii="宋体" w:eastAsia="宋体"/>
          <w:b/>
          <w:color w:val="auto"/>
          <w:highlight w:val="none"/>
        </w:rPr>
      </w:pPr>
    </w:p>
    <w:p w14:paraId="3BC8502C">
      <w:pPr>
        <w:pStyle w:val="3"/>
        <w:rPr>
          <w:rFonts w:ascii="宋体" w:eastAsia="宋体"/>
          <w:b w:val="0"/>
          <w:color w:val="auto"/>
          <w:highlight w:val="none"/>
        </w:rPr>
      </w:pPr>
      <w:bookmarkStart w:id="233" w:name="_Toc30139"/>
      <w:r>
        <w:rPr>
          <w:rFonts w:hint="eastAsia" w:ascii="宋体" w:eastAsia="宋体"/>
          <w:b w:val="0"/>
          <w:color w:val="auto"/>
          <w:highlight w:val="none"/>
        </w:rPr>
        <w:t>第六章  图纸及勘察资料</w:t>
      </w:r>
      <w:bookmarkEnd w:id="222"/>
      <w:bookmarkEnd w:id="223"/>
      <w:bookmarkEnd w:id="224"/>
      <w:bookmarkEnd w:id="225"/>
      <w:bookmarkEnd w:id="226"/>
      <w:bookmarkEnd w:id="227"/>
      <w:bookmarkEnd w:id="228"/>
      <w:bookmarkEnd w:id="229"/>
      <w:bookmarkEnd w:id="230"/>
      <w:bookmarkEnd w:id="231"/>
      <w:bookmarkEnd w:id="232"/>
      <w:bookmarkEnd w:id="233"/>
    </w:p>
    <w:p w14:paraId="1168F05D">
      <w:pPr>
        <w:pStyle w:val="2"/>
        <w:jc w:val="center"/>
        <w:rPr>
          <w:rFonts w:hint="eastAsia" w:ascii="仿宋_GB2312" w:hAnsi="宋体" w:eastAsia="仿宋_GB2312" w:cs="宋体"/>
          <w:color w:val="auto"/>
          <w:sz w:val="24"/>
          <w:szCs w:val="24"/>
          <w:highlight w:val="none"/>
        </w:rPr>
      </w:pPr>
    </w:p>
    <w:p w14:paraId="06268A46">
      <w:pPr>
        <w:pStyle w:val="2"/>
        <w:jc w:val="center"/>
        <w:rPr>
          <w:rFonts w:hint="eastAsia" w:ascii="仿宋_GB2312" w:hAnsi="宋体" w:eastAsia="仿宋_GB2312" w:cs="宋体"/>
          <w:b/>
          <w:color w:val="auto"/>
          <w:sz w:val="24"/>
          <w:szCs w:val="24"/>
          <w:highlight w:val="none"/>
          <w:lang w:eastAsia="zh-CN"/>
        </w:rPr>
      </w:pPr>
      <w:bookmarkStart w:id="234" w:name="_Toc1182"/>
      <w:r>
        <w:rPr>
          <w:rFonts w:hint="eastAsia" w:ascii="仿宋_GB2312" w:hAnsi="宋体" w:eastAsia="仿宋_GB2312" w:cs="宋体"/>
          <w:color w:val="auto"/>
          <w:sz w:val="24"/>
          <w:szCs w:val="24"/>
          <w:highlight w:val="none"/>
          <w:lang w:val="en-US" w:eastAsia="zh-CN"/>
        </w:rPr>
        <w:t>(</w:t>
      </w:r>
      <w:r>
        <w:rPr>
          <w:rFonts w:hint="eastAsia" w:ascii="仿宋_GB2312" w:hAnsi="宋体" w:eastAsia="仿宋_GB2312" w:cs="宋体"/>
          <w:color w:val="auto"/>
          <w:sz w:val="24"/>
          <w:szCs w:val="24"/>
          <w:highlight w:val="none"/>
        </w:rPr>
        <w:t>另册</w:t>
      </w:r>
      <w:r>
        <w:rPr>
          <w:rFonts w:hint="eastAsia" w:ascii="仿宋_GB2312" w:hAnsi="宋体" w:eastAsia="仿宋_GB2312" w:cs="宋体"/>
          <w:color w:val="auto"/>
          <w:sz w:val="24"/>
          <w:szCs w:val="24"/>
          <w:highlight w:val="none"/>
          <w:lang w:val="en-US" w:eastAsia="zh-CN"/>
        </w:rPr>
        <w:t>)</w:t>
      </w:r>
      <w:bookmarkEnd w:id="234"/>
    </w:p>
    <w:p w14:paraId="6C05CF60">
      <w:pPr>
        <w:rPr>
          <w:rFonts w:ascii="宋体" w:hAnsi="宋体" w:eastAsia="宋体"/>
          <w:color w:val="auto"/>
          <w:highlight w:val="none"/>
        </w:rPr>
      </w:pPr>
    </w:p>
    <w:p w14:paraId="5862A2A2">
      <w:pPr>
        <w:pStyle w:val="32"/>
        <w:ind w:firstLine="0"/>
        <w:rPr>
          <w:rFonts w:ascii="宋体" w:hAnsi="宋体" w:eastAsia="宋体"/>
          <w:color w:val="auto"/>
          <w:highlight w:val="none"/>
        </w:rPr>
      </w:pPr>
    </w:p>
    <w:p w14:paraId="7801F7A8">
      <w:pPr>
        <w:pStyle w:val="32"/>
        <w:ind w:firstLine="0"/>
        <w:rPr>
          <w:rFonts w:ascii="宋体" w:hAnsi="宋体" w:eastAsia="宋体"/>
          <w:color w:val="auto"/>
          <w:highlight w:val="none"/>
        </w:rPr>
      </w:pPr>
    </w:p>
    <w:p w14:paraId="3F996F37">
      <w:pPr>
        <w:pStyle w:val="32"/>
        <w:ind w:firstLine="0"/>
        <w:rPr>
          <w:rFonts w:ascii="宋体" w:hAnsi="宋体" w:eastAsia="宋体"/>
          <w:color w:val="auto"/>
          <w:highlight w:val="none"/>
        </w:rPr>
      </w:pPr>
    </w:p>
    <w:p w14:paraId="37B06AC2">
      <w:pPr>
        <w:pStyle w:val="32"/>
        <w:ind w:firstLine="0"/>
        <w:rPr>
          <w:rFonts w:ascii="宋体" w:hAnsi="宋体" w:eastAsia="宋体"/>
          <w:color w:val="auto"/>
          <w:highlight w:val="none"/>
        </w:rPr>
      </w:pPr>
      <w:r>
        <w:rPr>
          <w:rFonts w:ascii="宋体" w:hAnsi="宋体" w:eastAsia="宋体"/>
          <w:color w:val="auto"/>
          <w:highlight w:val="none"/>
        </w:rPr>
        <w:br w:type="page"/>
      </w:r>
    </w:p>
    <w:p w14:paraId="33AA514D">
      <w:pPr>
        <w:pStyle w:val="3"/>
        <w:rPr>
          <w:rFonts w:ascii="宋体" w:eastAsia="宋体"/>
          <w:b w:val="0"/>
          <w:color w:val="auto"/>
          <w:highlight w:val="none"/>
        </w:rPr>
      </w:pPr>
      <w:bookmarkStart w:id="235" w:name="_第七章__工程量清单"/>
      <w:bookmarkEnd w:id="235"/>
      <w:bookmarkStart w:id="236" w:name="_Toc12762"/>
      <w:bookmarkStart w:id="237" w:name="_Toc16019"/>
      <w:bookmarkStart w:id="238" w:name="_Toc6709"/>
      <w:bookmarkStart w:id="239" w:name="_Toc655"/>
      <w:bookmarkStart w:id="240" w:name="_Toc8369"/>
      <w:bookmarkStart w:id="241" w:name="_Toc6799"/>
      <w:bookmarkStart w:id="242" w:name="_Toc262229178"/>
      <w:bookmarkStart w:id="243" w:name="_Toc7393"/>
      <w:bookmarkStart w:id="244" w:name="_Toc6561"/>
      <w:bookmarkStart w:id="245" w:name="_Toc15102"/>
      <w:bookmarkStart w:id="246" w:name="_Toc22633"/>
      <w:bookmarkStart w:id="247" w:name="_Toc11895"/>
      <w:r>
        <w:rPr>
          <w:rFonts w:hint="eastAsia" w:ascii="宋体" w:eastAsia="宋体"/>
          <w:b w:val="0"/>
          <w:color w:val="auto"/>
          <w:highlight w:val="none"/>
        </w:rPr>
        <w:t>第七章  工程量清单</w:t>
      </w:r>
      <w:bookmarkEnd w:id="236"/>
      <w:bookmarkEnd w:id="237"/>
      <w:bookmarkEnd w:id="238"/>
      <w:bookmarkEnd w:id="239"/>
      <w:bookmarkEnd w:id="240"/>
      <w:bookmarkEnd w:id="241"/>
      <w:bookmarkEnd w:id="242"/>
      <w:bookmarkEnd w:id="243"/>
      <w:bookmarkEnd w:id="244"/>
      <w:bookmarkEnd w:id="245"/>
      <w:bookmarkEnd w:id="246"/>
      <w:bookmarkEnd w:id="247"/>
    </w:p>
    <w:p w14:paraId="088125BF">
      <w:pPr>
        <w:rPr>
          <w:rFonts w:ascii="宋体" w:hAnsi="宋体" w:eastAsia="宋体"/>
          <w:color w:val="auto"/>
          <w:sz w:val="24"/>
          <w:szCs w:val="24"/>
          <w:highlight w:val="none"/>
        </w:rPr>
      </w:pPr>
    </w:p>
    <w:p w14:paraId="7355F9BB">
      <w:pPr>
        <w:pStyle w:val="2"/>
        <w:jc w:val="center"/>
        <w:rPr>
          <w:rFonts w:hint="eastAsia" w:ascii="仿宋_GB2312" w:hAnsi="宋体" w:eastAsia="仿宋_GB2312" w:cs="宋体"/>
          <w:color w:val="auto"/>
          <w:sz w:val="24"/>
          <w:szCs w:val="24"/>
          <w:highlight w:val="none"/>
          <w:lang w:val="en-US" w:eastAsia="zh-CN"/>
        </w:rPr>
      </w:pPr>
      <w:bookmarkStart w:id="248" w:name="_Toc10205"/>
      <w:r>
        <w:rPr>
          <w:rFonts w:hint="eastAsia" w:ascii="仿宋_GB2312" w:hAnsi="宋体" w:eastAsia="仿宋_GB2312" w:cs="宋体"/>
          <w:color w:val="auto"/>
          <w:sz w:val="24"/>
          <w:szCs w:val="24"/>
          <w:highlight w:val="none"/>
          <w:lang w:val="en-US" w:eastAsia="zh-CN"/>
        </w:rPr>
        <w:t>(另册)</w:t>
      </w:r>
      <w:bookmarkEnd w:id="248"/>
    </w:p>
    <w:p w14:paraId="2F772037">
      <w:pPr>
        <w:jc w:val="center"/>
        <w:outlineLvl w:val="1"/>
        <w:rPr>
          <w:rFonts w:hint="eastAsia" w:ascii="宋体" w:eastAsia="宋体"/>
          <w:b/>
          <w:color w:val="auto"/>
          <w:highlight w:val="none"/>
        </w:rPr>
      </w:pPr>
      <w:bookmarkStart w:id="249" w:name="_最高投标限价"/>
      <w:bookmarkEnd w:id="249"/>
      <w:r>
        <w:rPr>
          <w:rFonts w:ascii="宋体" w:eastAsia="宋体"/>
          <w:color w:val="auto"/>
          <w:highlight w:val="none"/>
        </w:rPr>
        <w:br w:type="page"/>
      </w:r>
      <w:bookmarkStart w:id="250" w:name="_Toc15813"/>
      <w:bookmarkStart w:id="251" w:name="_Toc22863"/>
      <w:bookmarkStart w:id="252" w:name="_Toc23743"/>
      <w:bookmarkStart w:id="253" w:name="_Toc10897"/>
      <w:bookmarkStart w:id="254" w:name="_Toc9946"/>
      <w:bookmarkStart w:id="255" w:name="_Toc6519"/>
      <w:bookmarkStart w:id="256" w:name="_Toc17533"/>
      <w:bookmarkStart w:id="257" w:name="_Toc133"/>
      <w:bookmarkStart w:id="258" w:name="_Toc3215"/>
      <w:bookmarkStart w:id="259" w:name="_Toc9645"/>
      <w:bookmarkStart w:id="260" w:name="_Toc13396"/>
      <w:r>
        <w:rPr>
          <w:rFonts w:hint="eastAsia" w:ascii="宋体" w:hAnsi="宋体" w:eastAsia="宋体" w:cs="宋体"/>
          <w:b/>
          <w:bCs/>
          <w:color w:val="auto"/>
          <w:sz w:val="30"/>
          <w:szCs w:val="30"/>
          <w:highlight w:val="none"/>
        </w:rPr>
        <w:t>第八章</w:t>
      </w:r>
      <w:r>
        <w:rPr>
          <w:rFonts w:hint="eastAsia" w:ascii="宋体" w:hAnsi="宋体" w:eastAsia="宋体" w:cs="宋体"/>
          <w:color w:val="auto"/>
          <w:sz w:val="30"/>
          <w:szCs w:val="30"/>
          <w:highlight w:val="none"/>
        </w:rPr>
        <w:t xml:space="preserve">  </w:t>
      </w:r>
      <w:r>
        <w:rPr>
          <w:rFonts w:hint="eastAsia" w:ascii="宋体" w:hAnsi="宋体" w:eastAsia="宋体" w:cs="宋体"/>
          <w:b/>
          <w:color w:val="auto"/>
          <w:sz w:val="30"/>
          <w:szCs w:val="30"/>
          <w:highlight w:val="none"/>
        </w:rPr>
        <w:t>最高投标限价</w:t>
      </w:r>
      <w:bookmarkEnd w:id="250"/>
      <w:bookmarkEnd w:id="251"/>
      <w:bookmarkEnd w:id="252"/>
      <w:bookmarkEnd w:id="253"/>
      <w:bookmarkEnd w:id="254"/>
      <w:bookmarkEnd w:id="255"/>
      <w:bookmarkEnd w:id="256"/>
      <w:bookmarkEnd w:id="257"/>
      <w:bookmarkEnd w:id="258"/>
      <w:bookmarkEnd w:id="259"/>
      <w:bookmarkEnd w:id="260"/>
    </w:p>
    <w:p w14:paraId="426D143E">
      <w:pPr>
        <w:pStyle w:val="32"/>
        <w:rPr>
          <w:color w:val="auto"/>
          <w:highlight w:val="none"/>
        </w:rPr>
      </w:pPr>
    </w:p>
    <w:bookmarkEnd w:id="165"/>
    <w:bookmarkEnd w:id="166"/>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9"/>
      </w:tblGrid>
      <w:tr w14:paraId="5545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7" w:hRule="atLeast"/>
        </w:trPr>
        <w:tc>
          <w:tcPr>
            <w:tcW w:w="8889" w:type="dxa"/>
            <w:noWrap w:val="0"/>
            <w:vAlign w:val="top"/>
          </w:tcPr>
          <w:p w14:paraId="5AF46C7D">
            <w:pPr>
              <w:spacing w:line="600" w:lineRule="exact"/>
              <w:jc w:val="center"/>
              <w:rPr>
                <w:rFonts w:hint="eastAsia" w:ascii="宋体" w:hAnsi="宋体" w:eastAsia="宋体" w:cs="宋体"/>
                <w:b/>
                <w:color w:val="333333"/>
                <w:spacing w:val="60"/>
                <w:sz w:val="44"/>
                <w:szCs w:val="44"/>
              </w:rPr>
            </w:pPr>
            <w:r>
              <w:rPr>
                <w:rFonts w:hint="eastAsia" w:ascii="宋体" w:hAnsi="宋体" w:eastAsia="宋体" w:cs="宋体"/>
                <w:b/>
                <w:color w:val="333333"/>
                <w:spacing w:val="60"/>
                <w:sz w:val="44"/>
                <w:szCs w:val="44"/>
              </w:rPr>
              <w:t>最高投标限价公布函</w:t>
            </w:r>
          </w:p>
          <w:p w14:paraId="0DFC0B54">
            <w:pPr>
              <w:spacing w:line="360" w:lineRule="auto"/>
              <w:rPr>
                <w:rFonts w:hint="eastAsia" w:ascii="宋体" w:hAnsi="宋体" w:eastAsia="宋体" w:cs="宋体"/>
                <w:b/>
                <w:color w:val="333333"/>
                <w:spacing w:val="60"/>
                <w:sz w:val="44"/>
                <w:szCs w:val="44"/>
              </w:rPr>
            </w:pPr>
          </w:p>
          <w:p w14:paraId="285EA488">
            <w:pPr>
              <w:spacing w:line="480" w:lineRule="auto"/>
              <w:rPr>
                <w:rFonts w:hint="eastAsia" w:asciiTheme="minorEastAsia" w:hAnsiTheme="minorEastAsia" w:eastAsiaTheme="minorEastAsia" w:cstheme="minorEastAsia"/>
                <w:color w:val="333333"/>
                <w:sz w:val="24"/>
                <w:szCs w:val="24"/>
                <w:lang w:val="en-US"/>
              </w:rPr>
            </w:pPr>
            <w:r>
              <w:rPr>
                <w:rFonts w:hint="eastAsia" w:asciiTheme="minorEastAsia" w:hAnsiTheme="minorEastAsia" w:eastAsiaTheme="minorEastAsia" w:cstheme="minorEastAsia"/>
                <w:color w:val="333333"/>
                <w:sz w:val="24"/>
                <w:szCs w:val="24"/>
              </w:rPr>
              <w:t>工程名称：</w:t>
            </w:r>
            <w:r>
              <w:rPr>
                <w:rFonts w:hint="eastAsia" w:asciiTheme="minorEastAsia" w:hAnsiTheme="minorEastAsia" w:eastAsiaTheme="minorEastAsia" w:cstheme="minorEastAsia"/>
                <w:b w:val="0"/>
                <w:bCs w:val="0"/>
                <w:sz w:val="24"/>
                <w:szCs w:val="24"/>
                <w:u w:val="single"/>
                <w:lang w:val="en-US" w:eastAsia="zh-CN"/>
              </w:rPr>
              <w:t xml:space="preserve">太和镇健身徒步路径建设工程   </w:t>
            </w:r>
          </w:p>
          <w:p w14:paraId="2EBAD84F">
            <w:pPr>
              <w:spacing w:line="480" w:lineRule="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最高投标限价（元）：</w:t>
            </w:r>
            <w:r>
              <w:rPr>
                <w:rFonts w:hint="eastAsia" w:asciiTheme="minorEastAsia" w:hAnsiTheme="minorEastAsia" w:eastAsiaTheme="minorEastAsia" w:cstheme="minorEastAsia"/>
                <w:color w:val="333333"/>
                <w:sz w:val="24"/>
                <w:szCs w:val="24"/>
                <w:u w:val="single"/>
                <w:lang w:val="en-US" w:eastAsia="zh-CN"/>
              </w:rPr>
              <w:t>6,989,626.58</w:t>
            </w:r>
            <w:r>
              <w:rPr>
                <w:rFonts w:hint="eastAsia" w:asciiTheme="minorEastAsia" w:hAnsiTheme="minorEastAsia" w:eastAsiaTheme="minorEastAsia" w:cstheme="minorEastAsia"/>
                <w:color w:val="333333"/>
                <w:sz w:val="24"/>
                <w:szCs w:val="24"/>
                <w:u w:val="single"/>
              </w:rPr>
              <w:t xml:space="preserve">                   </w:t>
            </w:r>
          </w:p>
          <w:p w14:paraId="743494CD">
            <w:pPr>
              <w:spacing w:line="480" w:lineRule="auto"/>
              <w:ind w:firstLine="480" w:firstLineChars="200"/>
              <w:rPr>
                <w:rFonts w:hint="eastAsia" w:asciiTheme="minorEastAsia" w:hAnsiTheme="minorEastAsia" w:eastAsiaTheme="minorEastAsia" w:cstheme="minorEastAsia"/>
                <w:color w:val="333333"/>
                <w:sz w:val="24"/>
                <w:szCs w:val="24"/>
                <w:u w:val="single"/>
              </w:rPr>
            </w:pPr>
            <w:r>
              <w:rPr>
                <w:rFonts w:hint="eastAsia" w:asciiTheme="minorEastAsia" w:hAnsiTheme="minorEastAsia" w:eastAsiaTheme="minorEastAsia" w:cstheme="minorEastAsia"/>
                <w:color w:val="333333"/>
                <w:sz w:val="24"/>
                <w:szCs w:val="24"/>
              </w:rPr>
              <w:t>分部分项工程费（元）：</w:t>
            </w:r>
            <w:r>
              <w:rPr>
                <w:rFonts w:hint="eastAsia" w:asciiTheme="minorEastAsia" w:hAnsiTheme="minorEastAsia" w:eastAsiaTheme="minorEastAsia" w:cstheme="minorEastAsia"/>
                <w:color w:val="333333"/>
                <w:sz w:val="24"/>
                <w:szCs w:val="24"/>
                <w:u w:val="single"/>
                <w:lang w:val="en-US" w:eastAsia="zh-CN"/>
              </w:rPr>
              <w:t>4,887,974.3</w:t>
            </w:r>
            <w:r>
              <w:rPr>
                <w:rFonts w:hint="eastAsia" w:asciiTheme="minorEastAsia" w:hAnsiTheme="minorEastAsia" w:eastAsiaTheme="minorEastAsia" w:cstheme="minorEastAsia"/>
                <w:color w:val="333333"/>
                <w:sz w:val="24"/>
                <w:szCs w:val="24"/>
                <w:u w:val="single"/>
              </w:rPr>
              <w:t xml:space="preserve">              </w:t>
            </w:r>
          </w:p>
          <w:p w14:paraId="04C704BD">
            <w:pPr>
              <w:spacing w:line="480" w:lineRule="auto"/>
              <w:ind w:firstLine="480" w:firstLineChars="200"/>
              <w:rPr>
                <w:rFonts w:hint="eastAsia" w:asciiTheme="minorEastAsia" w:hAnsiTheme="minorEastAsia" w:eastAsiaTheme="minorEastAsia" w:cstheme="minorEastAsia"/>
                <w:color w:val="333333"/>
                <w:sz w:val="24"/>
                <w:szCs w:val="24"/>
                <w:u w:val="single"/>
              </w:rPr>
            </w:pPr>
            <w:r>
              <w:rPr>
                <w:rFonts w:hint="eastAsia" w:asciiTheme="minorEastAsia" w:hAnsiTheme="minorEastAsia" w:eastAsiaTheme="minorEastAsia" w:cstheme="minorEastAsia"/>
                <w:color w:val="333333"/>
                <w:sz w:val="24"/>
                <w:szCs w:val="24"/>
              </w:rPr>
              <w:t>措施项目费（元）：</w:t>
            </w:r>
            <w:r>
              <w:rPr>
                <w:rFonts w:hint="eastAsia" w:asciiTheme="minorEastAsia" w:hAnsiTheme="minorEastAsia" w:eastAsiaTheme="minorEastAsia" w:cstheme="minorEastAsia"/>
                <w:color w:val="333333"/>
                <w:sz w:val="24"/>
                <w:szCs w:val="24"/>
                <w:u w:val="single"/>
                <w:lang w:val="en-US" w:eastAsia="zh-CN"/>
              </w:rPr>
              <w:t>948,830.97</w:t>
            </w:r>
            <w:r>
              <w:rPr>
                <w:rFonts w:hint="eastAsia" w:asciiTheme="minorEastAsia" w:hAnsiTheme="minorEastAsia" w:eastAsiaTheme="minorEastAsia" w:cstheme="minorEastAsia"/>
                <w:color w:val="333333"/>
                <w:sz w:val="24"/>
                <w:szCs w:val="24"/>
                <w:u w:val="single"/>
              </w:rPr>
              <w:t xml:space="preserve">                     </w:t>
            </w:r>
          </w:p>
          <w:p w14:paraId="5F759B3F">
            <w:pPr>
              <w:spacing w:line="480" w:lineRule="auto"/>
              <w:ind w:firstLine="720" w:firstLineChars="30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其中绿色施工安全防护措施费（元）：</w:t>
            </w:r>
            <w:r>
              <w:rPr>
                <w:rFonts w:hint="eastAsia" w:asciiTheme="minorEastAsia" w:hAnsiTheme="minorEastAsia" w:eastAsiaTheme="minorEastAsia" w:cstheme="minorEastAsia"/>
                <w:color w:val="333333"/>
                <w:sz w:val="24"/>
                <w:szCs w:val="24"/>
                <w:u w:val="single"/>
                <w:lang w:val="en-US" w:eastAsia="zh-CN"/>
              </w:rPr>
              <w:t xml:space="preserve">190,466.41 </w:t>
            </w:r>
            <w:r>
              <w:rPr>
                <w:rFonts w:hint="eastAsia" w:asciiTheme="minorEastAsia" w:hAnsiTheme="minorEastAsia" w:eastAsiaTheme="minorEastAsia" w:cstheme="minorEastAsia"/>
                <w:color w:val="333333"/>
                <w:sz w:val="24"/>
                <w:szCs w:val="24"/>
              </w:rPr>
              <w:t>其中，</w:t>
            </w:r>
            <w:r>
              <w:rPr>
                <w:rFonts w:hint="eastAsia" w:asciiTheme="minorEastAsia" w:hAnsiTheme="minorEastAsia" w:eastAsiaTheme="minorEastAsia" w:cstheme="minorEastAsia"/>
                <w:color w:val="333333"/>
                <w:sz w:val="24"/>
                <w:szCs w:val="24"/>
                <w:lang w:val="en-US" w:eastAsia="zh-CN"/>
              </w:rPr>
              <w:t>园建</w:t>
            </w:r>
            <w:r>
              <w:rPr>
                <w:rFonts w:hint="eastAsia" w:asciiTheme="minorEastAsia" w:hAnsiTheme="minorEastAsia" w:eastAsiaTheme="minorEastAsia" w:cstheme="minorEastAsia"/>
                <w:color w:val="333333"/>
                <w:sz w:val="24"/>
                <w:szCs w:val="24"/>
                <w:lang w:eastAsia="zh-CN"/>
              </w:rPr>
              <w:t>工程</w:t>
            </w:r>
            <w:r>
              <w:rPr>
                <w:rFonts w:hint="eastAsia" w:asciiTheme="minorEastAsia" w:hAnsiTheme="minorEastAsia" w:eastAsiaTheme="minorEastAsia" w:cstheme="minorEastAsia"/>
                <w:color w:val="333333"/>
                <w:sz w:val="24"/>
                <w:szCs w:val="24"/>
              </w:rPr>
              <w:t>：</w:t>
            </w:r>
            <w:r>
              <w:rPr>
                <w:rFonts w:hint="eastAsia" w:asciiTheme="minorEastAsia" w:hAnsiTheme="minorEastAsia" w:eastAsiaTheme="minorEastAsia" w:cstheme="minorEastAsia"/>
                <w:color w:val="333333"/>
                <w:sz w:val="24"/>
                <w:szCs w:val="24"/>
                <w:u w:val="single"/>
              </w:rPr>
              <w:t>189</w:t>
            </w:r>
            <w:r>
              <w:rPr>
                <w:rFonts w:hint="eastAsia" w:asciiTheme="minorEastAsia" w:hAnsiTheme="minorEastAsia" w:eastAsiaTheme="minorEastAsia" w:cstheme="minorEastAsia"/>
                <w:color w:val="333333"/>
                <w:sz w:val="24"/>
                <w:szCs w:val="24"/>
                <w:u w:val="single"/>
                <w:lang w:eastAsia="zh-CN"/>
              </w:rPr>
              <w:t>，</w:t>
            </w:r>
            <w:r>
              <w:rPr>
                <w:rFonts w:hint="eastAsia" w:asciiTheme="minorEastAsia" w:hAnsiTheme="minorEastAsia" w:eastAsiaTheme="minorEastAsia" w:cstheme="minorEastAsia"/>
                <w:color w:val="333333"/>
                <w:sz w:val="24"/>
                <w:szCs w:val="24"/>
                <w:u w:val="single"/>
              </w:rPr>
              <w:t>295.89元</w:t>
            </w:r>
            <w:r>
              <w:rPr>
                <w:rFonts w:hint="eastAsia" w:asciiTheme="minorEastAsia" w:hAnsiTheme="minorEastAsia" w:eastAsiaTheme="minorEastAsia" w:cstheme="minorEastAsia"/>
                <w:color w:val="333333"/>
                <w:sz w:val="24"/>
                <w:szCs w:val="24"/>
              </w:rPr>
              <w:t>；</w:t>
            </w:r>
            <w:r>
              <w:rPr>
                <w:rFonts w:hint="eastAsia" w:asciiTheme="minorEastAsia" w:hAnsiTheme="minorEastAsia" w:eastAsiaTheme="minorEastAsia" w:cstheme="minorEastAsia"/>
                <w:color w:val="333333"/>
                <w:sz w:val="24"/>
                <w:szCs w:val="24"/>
                <w:lang w:val="en-US" w:eastAsia="zh-CN"/>
              </w:rPr>
              <w:t>安装</w:t>
            </w:r>
            <w:r>
              <w:rPr>
                <w:rFonts w:hint="eastAsia" w:asciiTheme="minorEastAsia" w:hAnsiTheme="minorEastAsia" w:eastAsiaTheme="minorEastAsia" w:cstheme="minorEastAsia"/>
                <w:color w:val="333333"/>
                <w:sz w:val="24"/>
                <w:szCs w:val="24"/>
                <w:lang w:eastAsia="zh-CN"/>
              </w:rPr>
              <w:t>工程</w:t>
            </w:r>
            <w:r>
              <w:rPr>
                <w:rFonts w:hint="eastAsia" w:asciiTheme="minorEastAsia" w:hAnsiTheme="minorEastAsia" w:eastAsiaTheme="minorEastAsia" w:cstheme="minorEastAsia"/>
                <w:color w:val="333333"/>
                <w:sz w:val="24"/>
                <w:szCs w:val="24"/>
              </w:rPr>
              <w:t>：</w:t>
            </w:r>
            <w:r>
              <w:rPr>
                <w:rFonts w:hint="eastAsia" w:asciiTheme="minorEastAsia" w:hAnsiTheme="minorEastAsia" w:eastAsiaTheme="minorEastAsia" w:cstheme="minorEastAsia"/>
                <w:color w:val="333333"/>
                <w:sz w:val="24"/>
                <w:szCs w:val="24"/>
                <w:u w:val="single"/>
              </w:rPr>
              <w:t>1</w:t>
            </w:r>
            <w:r>
              <w:rPr>
                <w:rFonts w:hint="eastAsia" w:asciiTheme="minorEastAsia" w:hAnsiTheme="minorEastAsia" w:eastAsiaTheme="minorEastAsia" w:cstheme="minorEastAsia"/>
                <w:color w:val="333333"/>
                <w:sz w:val="24"/>
                <w:szCs w:val="24"/>
                <w:u w:val="single"/>
                <w:lang w:val="en-US" w:eastAsia="zh-CN"/>
              </w:rPr>
              <w:t>,</w:t>
            </w:r>
            <w:r>
              <w:rPr>
                <w:rFonts w:hint="eastAsia" w:asciiTheme="minorEastAsia" w:hAnsiTheme="minorEastAsia" w:eastAsiaTheme="minorEastAsia" w:cstheme="minorEastAsia"/>
                <w:color w:val="333333"/>
                <w:sz w:val="24"/>
                <w:szCs w:val="24"/>
                <w:u w:val="single"/>
              </w:rPr>
              <w:t>170.52元</w:t>
            </w:r>
            <w:r>
              <w:rPr>
                <w:rFonts w:hint="eastAsia" w:asciiTheme="minorEastAsia" w:hAnsiTheme="minorEastAsia" w:eastAsiaTheme="minorEastAsia" w:cstheme="minorEastAsia"/>
                <w:color w:val="333333"/>
                <w:sz w:val="24"/>
                <w:szCs w:val="24"/>
                <w:lang w:eastAsia="zh-CN"/>
              </w:rPr>
              <w:t>；</w:t>
            </w:r>
          </w:p>
          <w:p w14:paraId="7BBEC7FA">
            <w:pPr>
              <w:spacing w:line="480" w:lineRule="auto"/>
              <w:ind w:firstLine="720" w:firstLineChars="300"/>
              <w:rPr>
                <w:rFonts w:hint="eastAsia" w:asciiTheme="minorEastAsia" w:hAnsiTheme="minorEastAsia" w:eastAsiaTheme="minorEastAsia" w:cstheme="minorEastAsia"/>
                <w:color w:val="333333"/>
                <w:sz w:val="24"/>
                <w:szCs w:val="24"/>
                <w:u w:val="single"/>
              </w:rPr>
            </w:pPr>
            <w:r>
              <w:rPr>
                <w:rFonts w:hint="eastAsia" w:asciiTheme="minorEastAsia" w:hAnsiTheme="minorEastAsia" w:eastAsiaTheme="minorEastAsia" w:cstheme="minorEastAsia"/>
                <w:color w:val="333333"/>
                <w:sz w:val="24"/>
                <w:szCs w:val="24"/>
              </w:rPr>
              <w:t>其他项目费（元）：</w:t>
            </w:r>
            <w:r>
              <w:rPr>
                <w:rFonts w:hint="eastAsia" w:asciiTheme="minorEastAsia" w:hAnsiTheme="minorEastAsia" w:eastAsiaTheme="minorEastAsia" w:cstheme="minorEastAsia"/>
                <w:color w:val="333333"/>
                <w:sz w:val="24"/>
                <w:szCs w:val="24"/>
                <w:u w:val="single"/>
              </w:rPr>
              <w:t>575</w:t>
            </w:r>
            <w:r>
              <w:rPr>
                <w:rFonts w:hint="eastAsia" w:asciiTheme="minorEastAsia" w:hAnsiTheme="minorEastAsia" w:eastAsiaTheme="minorEastAsia" w:cstheme="minorEastAsia"/>
                <w:color w:val="333333"/>
                <w:sz w:val="24"/>
                <w:szCs w:val="24"/>
                <w:u w:val="single"/>
                <w:lang w:val="en-US" w:eastAsia="zh-CN"/>
              </w:rPr>
              <w:t>,</w:t>
            </w:r>
            <w:r>
              <w:rPr>
                <w:rFonts w:hint="eastAsia" w:asciiTheme="minorEastAsia" w:hAnsiTheme="minorEastAsia" w:eastAsiaTheme="minorEastAsia" w:cstheme="minorEastAsia"/>
                <w:color w:val="333333"/>
                <w:sz w:val="24"/>
                <w:szCs w:val="24"/>
                <w:u w:val="single"/>
              </w:rPr>
              <w:t xml:space="preserve">696.18                       </w:t>
            </w:r>
          </w:p>
          <w:p w14:paraId="08301800">
            <w:pPr>
              <w:spacing w:line="480" w:lineRule="auto"/>
              <w:ind w:firstLine="720" w:firstLineChars="30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其中暂列金额（元）：</w:t>
            </w:r>
            <w:r>
              <w:rPr>
                <w:rFonts w:hint="eastAsia" w:asciiTheme="minorEastAsia" w:hAnsiTheme="minorEastAsia" w:eastAsiaTheme="minorEastAsia" w:cstheme="minorEastAsia"/>
                <w:color w:val="333333"/>
                <w:sz w:val="24"/>
                <w:szCs w:val="24"/>
                <w:u w:val="single"/>
                <w:lang w:val="en-US" w:eastAsia="zh-CN"/>
              </w:rPr>
              <w:t>488,797.43</w:t>
            </w:r>
            <w:r>
              <w:rPr>
                <w:rFonts w:hint="eastAsia" w:asciiTheme="minorEastAsia" w:hAnsiTheme="minorEastAsia" w:eastAsiaTheme="minorEastAsia" w:cstheme="minorEastAsia"/>
                <w:color w:val="333333"/>
                <w:sz w:val="24"/>
                <w:szCs w:val="24"/>
                <w:u w:val="single"/>
              </w:rPr>
              <w:t xml:space="preserve"> </w:t>
            </w:r>
            <w:r>
              <w:rPr>
                <w:rFonts w:hint="eastAsia" w:asciiTheme="minorEastAsia" w:hAnsiTheme="minorEastAsia" w:eastAsiaTheme="minorEastAsia" w:cstheme="minorEastAsia"/>
                <w:color w:val="333333"/>
                <w:sz w:val="24"/>
                <w:szCs w:val="24"/>
              </w:rPr>
              <w:t>中，</w:t>
            </w:r>
            <w:r>
              <w:rPr>
                <w:rFonts w:hint="eastAsia" w:asciiTheme="minorEastAsia" w:hAnsiTheme="minorEastAsia" w:eastAsiaTheme="minorEastAsia" w:cstheme="minorEastAsia"/>
                <w:color w:val="333333"/>
                <w:sz w:val="24"/>
                <w:szCs w:val="24"/>
                <w:lang w:val="en-US" w:eastAsia="zh-CN"/>
              </w:rPr>
              <w:t>园建</w:t>
            </w:r>
            <w:r>
              <w:rPr>
                <w:rFonts w:hint="eastAsia" w:asciiTheme="minorEastAsia" w:hAnsiTheme="minorEastAsia" w:eastAsiaTheme="minorEastAsia" w:cstheme="minorEastAsia"/>
                <w:color w:val="333333"/>
                <w:sz w:val="24"/>
                <w:szCs w:val="24"/>
                <w:lang w:eastAsia="zh-CN"/>
              </w:rPr>
              <w:t>工程</w:t>
            </w:r>
            <w:r>
              <w:rPr>
                <w:rFonts w:hint="eastAsia" w:asciiTheme="minorEastAsia" w:hAnsiTheme="minorEastAsia" w:eastAsiaTheme="minorEastAsia" w:cstheme="minorEastAsia"/>
                <w:color w:val="333333"/>
                <w:sz w:val="24"/>
                <w:szCs w:val="24"/>
              </w:rPr>
              <w:t>：</w:t>
            </w:r>
            <w:r>
              <w:rPr>
                <w:rFonts w:hint="eastAsia" w:asciiTheme="minorEastAsia" w:hAnsiTheme="minorEastAsia" w:eastAsiaTheme="minorEastAsia" w:cstheme="minorEastAsia"/>
                <w:color w:val="333333"/>
                <w:sz w:val="24"/>
                <w:szCs w:val="24"/>
                <w:u w:val="single"/>
              </w:rPr>
              <w:t>487</w:t>
            </w:r>
            <w:r>
              <w:rPr>
                <w:rFonts w:hint="eastAsia" w:asciiTheme="minorEastAsia" w:hAnsiTheme="minorEastAsia" w:eastAsiaTheme="minorEastAsia" w:cstheme="minorEastAsia"/>
                <w:color w:val="333333"/>
                <w:sz w:val="24"/>
                <w:szCs w:val="24"/>
                <w:u w:val="single"/>
                <w:lang w:val="en-US" w:eastAsia="zh-CN"/>
              </w:rPr>
              <w:t>,</w:t>
            </w:r>
            <w:r>
              <w:rPr>
                <w:rFonts w:hint="eastAsia" w:asciiTheme="minorEastAsia" w:hAnsiTheme="minorEastAsia" w:eastAsiaTheme="minorEastAsia" w:cstheme="minorEastAsia"/>
                <w:color w:val="333333"/>
                <w:sz w:val="24"/>
                <w:szCs w:val="24"/>
                <w:u w:val="single"/>
              </w:rPr>
              <w:t>655.24元</w:t>
            </w:r>
            <w:r>
              <w:rPr>
                <w:rFonts w:hint="eastAsia" w:asciiTheme="minorEastAsia" w:hAnsiTheme="minorEastAsia" w:eastAsiaTheme="minorEastAsia" w:cstheme="minorEastAsia"/>
                <w:color w:val="333333"/>
                <w:sz w:val="24"/>
                <w:szCs w:val="24"/>
              </w:rPr>
              <w:t>；</w:t>
            </w:r>
            <w:r>
              <w:rPr>
                <w:rFonts w:hint="eastAsia" w:asciiTheme="minorEastAsia" w:hAnsiTheme="minorEastAsia" w:eastAsiaTheme="minorEastAsia" w:cstheme="minorEastAsia"/>
                <w:color w:val="333333"/>
                <w:sz w:val="24"/>
                <w:szCs w:val="24"/>
                <w:lang w:val="en-US" w:eastAsia="zh-CN"/>
              </w:rPr>
              <w:t>安装</w:t>
            </w:r>
            <w:r>
              <w:rPr>
                <w:rFonts w:hint="eastAsia" w:asciiTheme="minorEastAsia" w:hAnsiTheme="minorEastAsia" w:eastAsiaTheme="minorEastAsia" w:cstheme="minorEastAsia"/>
                <w:color w:val="333333"/>
                <w:sz w:val="24"/>
                <w:szCs w:val="24"/>
                <w:lang w:eastAsia="zh-CN"/>
              </w:rPr>
              <w:t>工程</w:t>
            </w:r>
            <w:r>
              <w:rPr>
                <w:rFonts w:hint="eastAsia" w:asciiTheme="minorEastAsia" w:hAnsiTheme="minorEastAsia" w:eastAsiaTheme="minorEastAsia" w:cstheme="minorEastAsia"/>
                <w:color w:val="333333"/>
                <w:sz w:val="24"/>
                <w:szCs w:val="24"/>
              </w:rPr>
              <w:t>：</w:t>
            </w:r>
            <w:r>
              <w:rPr>
                <w:rFonts w:hint="eastAsia" w:asciiTheme="minorEastAsia" w:hAnsiTheme="minorEastAsia" w:eastAsiaTheme="minorEastAsia" w:cstheme="minorEastAsia"/>
                <w:color w:val="333333"/>
                <w:sz w:val="24"/>
                <w:szCs w:val="24"/>
                <w:u w:val="single"/>
              </w:rPr>
              <w:t>1</w:t>
            </w:r>
            <w:r>
              <w:rPr>
                <w:rFonts w:hint="eastAsia" w:asciiTheme="minorEastAsia" w:hAnsiTheme="minorEastAsia" w:eastAsiaTheme="minorEastAsia" w:cstheme="minorEastAsia"/>
                <w:color w:val="333333"/>
                <w:sz w:val="24"/>
                <w:szCs w:val="24"/>
                <w:u w:val="single"/>
                <w:lang w:val="en-US" w:eastAsia="zh-CN"/>
              </w:rPr>
              <w:t>,</w:t>
            </w:r>
            <w:r>
              <w:rPr>
                <w:rFonts w:hint="eastAsia" w:asciiTheme="minorEastAsia" w:hAnsiTheme="minorEastAsia" w:eastAsiaTheme="minorEastAsia" w:cstheme="minorEastAsia"/>
                <w:color w:val="333333"/>
                <w:sz w:val="24"/>
                <w:szCs w:val="24"/>
                <w:u w:val="single"/>
              </w:rPr>
              <w:t>142.19元</w:t>
            </w:r>
            <w:r>
              <w:rPr>
                <w:rFonts w:hint="eastAsia" w:asciiTheme="minorEastAsia" w:hAnsiTheme="minorEastAsia" w:eastAsiaTheme="minorEastAsia" w:cstheme="minorEastAsia"/>
                <w:color w:val="333333"/>
                <w:sz w:val="24"/>
                <w:szCs w:val="24"/>
                <w:lang w:eastAsia="zh-CN"/>
              </w:rPr>
              <w:t>；</w:t>
            </w:r>
          </w:p>
          <w:p w14:paraId="28B6F648">
            <w:pPr>
              <w:spacing w:line="480" w:lineRule="auto"/>
              <w:ind w:firstLine="960" w:firstLineChars="400"/>
              <w:rPr>
                <w:rFonts w:hint="eastAsia" w:asciiTheme="minorEastAsia" w:hAnsiTheme="minorEastAsia" w:eastAsiaTheme="minorEastAsia" w:cstheme="minorEastAsia"/>
                <w:color w:val="333333"/>
                <w:sz w:val="24"/>
                <w:szCs w:val="24"/>
              </w:rPr>
            </w:pPr>
          </w:p>
          <w:p w14:paraId="287B8C2B">
            <w:pPr>
              <w:spacing w:line="480" w:lineRule="auto"/>
              <w:ind w:firstLine="480" w:firstLineChars="200"/>
              <w:rPr>
                <w:rFonts w:hint="eastAsia" w:asciiTheme="minorEastAsia" w:hAnsiTheme="minorEastAsia" w:eastAsiaTheme="minorEastAsia" w:cstheme="minorEastAsia"/>
                <w:color w:val="333333"/>
                <w:sz w:val="24"/>
                <w:szCs w:val="24"/>
                <w:u w:val="single"/>
              </w:rPr>
            </w:pPr>
            <w:r>
              <w:rPr>
                <w:rFonts w:hint="eastAsia" w:asciiTheme="minorEastAsia" w:hAnsiTheme="minorEastAsia" w:eastAsiaTheme="minorEastAsia" w:cstheme="minorEastAsia"/>
                <w:color w:val="333333"/>
                <w:sz w:val="24"/>
                <w:szCs w:val="24"/>
              </w:rPr>
              <w:t>规费（元）：</w:t>
            </w:r>
            <w:r>
              <w:rPr>
                <w:rFonts w:hint="eastAsia" w:asciiTheme="minorEastAsia" w:hAnsiTheme="minorEastAsia" w:eastAsiaTheme="minorEastAsia" w:cstheme="minorEastAsia"/>
                <w:color w:val="333333"/>
                <w:sz w:val="24"/>
                <w:szCs w:val="24"/>
                <w:u w:val="single"/>
                <w:lang w:val="en-US" w:eastAsia="zh-CN"/>
              </w:rPr>
              <w:t>/</w:t>
            </w:r>
            <w:r>
              <w:rPr>
                <w:rFonts w:hint="eastAsia" w:asciiTheme="minorEastAsia" w:hAnsiTheme="minorEastAsia" w:eastAsiaTheme="minorEastAsia" w:cstheme="minorEastAsia"/>
                <w:color w:val="333333"/>
                <w:sz w:val="24"/>
                <w:szCs w:val="24"/>
                <w:u w:val="single"/>
              </w:rPr>
              <w:t xml:space="preserve">                                 </w:t>
            </w:r>
          </w:p>
          <w:p w14:paraId="5D2B70C6">
            <w:pPr>
              <w:spacing w:line="480" w:lineRule="auto"/>
              <w:ind w:firstLine="480" w:firstLineChars="200"/>
              <w:rPr>
                <w:rFonts w:hint="eastAsia" w:asciiTheme="minorEastAsia" w:hAnsiTheme="minorEastAsia" w:eastAsiaTheme="minorEastAsia" w:cstheme="minorEastAsia"/>
                <w:color w:val="333333"/>
                <w:sz w:val="24"/>
                <w:szCs w:val="24"/>
                <w:u w:val="single"/>
              </w:rPr>
            </w:pPr>
            <w:r>
              <w:rPr>
                <w:rFonts w:hint="eastAsia" w:asciiTheme="minorEastAsia" w:hAnsiTheme="minorEastAsia" w:eastAsiaTheme="minorEastAsia" w:cstheme="minorEastAsia"/>
                <w:color w:val="333333"/>
                <w:sz w:val="24"/>
                <w:szCs w:val="24"/>
              </w:rPr>
              <w:t>税金（元）：</w:t>
            </w:r>
            <w:r>
              <w:rPr>
                <w:rFonts w:hint="eastAsia" w:asciiTheme="minorEastAsia" w:hAnsiTheme="minorEastAsia" w:eastAsiaTheme="minorEastAsia" w:cstheme="minorEastAsia"/>
                <w:color w:val="333333"/>
                <w:sz w:val="24"/>
                <w:szCs w:val="24"/>
                <w:u w:val="single"/>
              </w:rPr>
              <w:t>577</w:t>
            </w:r>
            <w:r>
              <w:rPr>
                <w:rFonts w:hint="eastAsia" w:asciiTheme="minorEastAsia" w:hAnsiTheme="minorEastAsia" w:eastAsiaTheme="minorEastAsia" w:cstheme="minorEastAsia"/>
                <w:color w:val="333333"/>
                <w:sz w:val="24"/>
                <w:szCs w:val="24"/>
                <w:u w:val="single"/>
                <w:lang w:val="en-US" w:eastAsia="zh-CN"/>
              </w:rPr>
              <w:t>,</w:t>
            </w:r>
            <w:r>
              <w:rPr>
                <w:rFonts w:hint="eastAsia" w:asciiTheme="minorEastAsia" w:hAnsiTheme="minorEastAsia" w:eastAsiaTheme="minorEastAsia" w:cstheme="minorEastAsia"/>
                <w:color w:val="333333"/>
                <w:sz w:val="24"/>
                <w:szCs w:val="24"/>
                <w:u w:val="single"/>
              </w:rPr>
              <w:t xml:space="preserve">125.13                        </w:t>
            </w:r>
          </w:p>
          <w:p w14:paraId="34B017CB">
            <w:pPr>
              <w:widowControl/>
              <w:spacing w:before="75" w:after="75" w:line="480" w:lineRule="auto"/>
              <w:ind w:firstLine="960" w:firstLineChars="4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对公开招标工程，</w:t>
            </w:r>
            <w:r>
              <w:rPr>
                <w:rFonts w:hint="eastAsia" w:asciiTheme="minorEastAsia" w:hAnsiTheme="minorEastAsia" w:eastAsiaTheme="minorEastAsia" w:cstheme="minorEastAsia"/>
                <w:color w:val="333333"/>
                <w:sz w:val="24"/>
                <w:szCs w:val="24"/>
              </w:rPr>
              <w:t>投标人须按照公布的绿色施工安全防护措施费、</w:t>
            </w:r>
            <w:r>
              <w:rPr>
                <w:rFonts w:hint="eastAsia" w:asciiTheme="minorEastAsia" w:hAnsiTheme="minorEastAsia" w:eastAsiaTheme="minorEastAsia" w:cstheme="minorEastAsia"/>
                <w:kern w:val="0"/>
                <w:sz w:val="24"/>
                <w:szCs w:val="24"/>
              </w:rPr>
              <w:t>暂</w:t>
            </w:r>
          </w:p>
          <w:p w14:paraId="09071841">
            <w:pPr>
              <w:widowControl/>
              <w:spacing w:before="75" w:after="75" w:line="48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列金额报价。</w:t>
            </w:r>
          </w:p>
          <w:p w14:paraId="6D6CB3C2">
            <w:pPr>
              <w:widowControl/>
              <w:spacing w:before="75" w:after="75" w:line="480" w:lineRule="auto"/>
              <w:ind w:firstLine="480" w:firstLineChars="200"/>
              <w:jc w:val="left"/>
              <w:rPr>
                <w:rFonts w:hint="eastAsia" w:ascii="宋体" w:hAnsi="宋体" w:eastAsia="宋体" w:cs="宋体"/>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w:t>
            </w:r>
            <w:r>
              <w:rPr>
                <w:rFonts w:hint="eastAsia" w:ascii="宋体" w:hAnsi="宋体" w:eastAsia="宋体" w:cs="宋体"/>
                <w:kern w:val="0"/>
                <w:sz w:val="24"/>
                <w:szCs w:val="24"/>
                <w:lang w:val="en-US" w:eastAsia="zh-CN"/>
              </w:rPr>
              <w:t xml:space="preserve">       编制单位（盖章）</w:t>
            </w:r>
          </w:p>
          <w:p w14:paraId="3014C046">
            <w:pPr>
              <w:widowControl/>
              <w:spacing w:before="75" w:after="75" w:line="480" w:lineRule="auto"/>
              <w:ind w:firstLine="480" w:firstLineChars="200"/>
              <w:jc w:val="left"/>
              <w:rPr>
                <w:rFonts w:hint="eastAsia" w:ascii="宋体" w:hAnsi="宋体" w:eastAsia="宋体" w:cs="宋体"/>
                <w:b/>
                <w:color w:val="333333"/>
                <w:spacing w:val="6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color w:val="333333"/>
                <w:sz w:val="24"/>
                <w:szCs w:val="24"/>
              </w:rPr>
              <w:t>招标单位（盖章）</w:t>
            </w:r>
            <w:r>
              <w:rPr>
                <w:rFonts w:hint="eastAsia" w:ascii="宋体" w:hAnsi="宋体" w:eastAsia="宋体" w:cs="宋体"/>
                <w:b/>
                <w:color w:val="333333"/>
                <w:spacing w:val="60"/>
                <w:sz w:val="24"/>
                <w:szCs w:val="24"/>
              </w:rPr>
              <w:t xml:space="preserve">              </w:t>
            </w:r>
          </w:p>
          <w:p w14:paraId="6BBC8270">
            <w:pPr>
              <w:widowControl/>
              <w:spacing w:before="75" w:after="75" w:line="480" w:lineRule="auto"/>
              <w:ind w:firstLine="5520" w:firstLineChars="2300"/>
              <w:jc w:val="left"/>
              <w:rPr>
                <w:rFonts w:hint="eastAsia" w:ascii="宋体" w:hAnsi="宋体" w:eastAsia="宋体" w:cs="宋体"/>
                <w:b/>
                <w:color w:val="333333"/>
                <w:spacing w:val="60"/>
                <w:sz w:val="44"/>
                <w:szCs w:val="4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 xml:space="preserve">                              </w:t>
            </w:r>
          </w:p>
        </w:tc>
      </w:tr>
    </w:tbl>
    <w:p w14:paraId="5A951AA3">
      <w:pPr>
        <w:pStyle w:val="20"/>
        <w:jc w:val="center"/>
        <w:rPr>
          <w:rFonts w:hint="eastAsia" w:eastAsia="宋体"/>
          <w:b/>
          <w:bCs/>
          <w:color w:val="auto"/>
          <w:highlight w:val="none"/>
          <w:lang w:eastAsia="zh-CN"/>
        </w:rPr>
      </w:pPr>
    </w:p>
    <w:sectPr>
      <w:pgSz w:w="11850" w:h="16783"/>
      <w:pgMar w:top="1417" w:right="1290" w:bottom="1417" w:left="129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5B0FB">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3035" cy="17526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53035" cy="175260"/>
                      </a:xfrm>
                      <a:prstGeom prst="rect">
                        <a:avLst/>
                      </a:prstGeom>
                      <a:noFill/>
                      <a:ln>
                        <a:noFill/>
                      </a:ln>
                    </wps:spPr>
                    <wps:txbx>
                      <w:txbxContent>
                        <w:p w14:paraId="70CA89A4">
                          <w:pPr>
                            <w:pStyle w:val="24"/>
                            <w:rPr>
                              <w:rStyle w:val="39"/>
                              <w:sz w:val="21"/>
                              <w:szCs w:val="21"/>
                            </w:rPr>
                          </w:pPr>
                          <w:r>
                            <w:rPr>
                              <w:sz w:val="21"/>
                              <w:szCs w:val="21"/>
                            </w:rPr>
                            <w:fldChar w:fldCharType="begin"/>
                          </w:r>
                          <w:r>
                            <w:rPr>
                              <w:rStyle w:val="39"/>
                              <w:sz w:val="21"/>
                              <w:szCs w:val="21"/>
                            </w:rPr>
                            <w:instrText xml:space="preserve">PAGE  </w:instrText>
                          </w:r>
                          <w:r>
                            <w:rPr>
                              <w:sz w:val="21"/>
                              <w:szCs w:val="21"/>
                            </w:rPr>
                            <w:fldChar w:fldCharType="separate"/>
                          </w:r>
                          <w:r>
                            <w:rPr>
                              <w:rStyle w:val="39"/>
                              <w:sz w:val="21"/>
                              <w:szCs w:val="21"/>
                            </w:rPr>
                            <w:t>56</w:t>
                          </w:r>
                          <w:r>
                            <w:rPr>
                              <w:sz w:val="21"/>
                              <w:szCs w:val="21"/>
                            </w:rPr>
                            <w:fldChar w:fldCharType="end"/>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3.8pt;width:12.05pt;mso-position-horizontal:center;mso-position-horizontal-relative:margin;mso-wrap-style:none;z-index:251659264;mso-width-relative:page;mso-height-relative:page;" filled="f" stroked="f" coordsize="21600,21600" o:gfxdata="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4tKjR0QAAAAMBAAAP&#10;AAAAAAAAAAEAIAAAACIAAABkcnMvZG93bnJldi54bWxQSwECFAAUAAAACACHTuJAGb1xaOYBAAC/&#10;AwAADgAAAAAAAAABACAAAAAgAQAAZHJzL2Uyb0RvYy54bWxQSwUGAAAAAAYABgBZAQAAeAUAAAAA&#10;">
              <v:fill on="f" focussize="0,0"/>
              <v:stroke on="f"/>
              <v:imagedata o:title=""/>
              <o:lock v:ext="edit" aspectratio="f"/>
              <v:textbox inset="0mm,0mm,0mm,0mm" style="mso-fit-shape-to-text:t;">
                <w:txbxContent>
                  <w:p w14:paraId="70CA89A4">
                    <w:pPr>
                      <w:pStyle w:val="24"/>
                      <w:rPr>
                        <w:rStyle w:val="39"/>
                        <w:sz w:val="21"/>
                        <w:szCs w:val="21"/>
                      </w:rPr>
                    </w:pPr>
                    <w:r>
                      <w:rPr>
                        <w:sz w:val="21"/>
                        <w:szCs w:val="21"/>
                      </w:rPr>
                      <w:fldChar w:fldCharType="begin"/>
                    </w:r>
                    <w:r>
                      <w:rPr>
                        <w:rStyle w:val="39"/>
                        <w:sz w:val="21"/>
                        <w:szCs w:val="21"/>
                      </w:rPr>
                      <w:instrText xml:space="preserve">PAGE  </w:instrText>
                    </w:r>
                    <w:r>
                      <w:rPr>
                        <w:sz w:val="21"/>
                        <w:szCs w:val="21"/>
                      </w:rPr>
                      <w:fldChar w:fldCharType="separate"/>
                    </w:r>
                    <w:r>
                      <w:rPr>
                        <w:rStyle w:val="39"/>
                        <w:sz w:val="21"/>
                        <w:szCs w:val="21"/>
                      </w:rPr>
                      <w:t>56</w:t>
                    </w:r>
                    <w:r>
                      <w:rPr>
                        <w:sz w:val="21"/>
                        <w:szCs w:val="21"/>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0FF9B">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78D7CF">
                          <w:pPr>
                            <w:pStyle w:val="24"/>
                            <w:jc w:val="center"/>
                          </w:pPr>
                          <w:r>
                            <w:fldChar w:fldCharType="begin"/>
                          </w:r>
                          <w:r>
                            <w:instrText xml:space="preserve"> PAGE   \* MERGEFORMAT </w:instrText>
                          </w:r>
                          <w:r>
                            <w:fldChar w:fldCharType="separate"/>
                          </w:r>
                          <w:r>
                            <w:rPr>
                              <w:lang w:val="zh-CN"/>
                            </w:rPr>
                            <w:t>45</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be8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sbe8cBAACZAwAADgAAAAAAAAABACAAAAAeAQAAZHJzL2Uyb0RvYy54&#10;bWxQSwUGAAAAAAYABgBZAQAAVwUAAAAA&#10;">
              <v:fill on="f" focussize="0,0"/>
              <v:stroke on="f"/>
              <v:imagedata o:title=""/>
              <o:lock v:ext="edit" aspectratio="f"/>
              <v:textbox inset="0mm,0mm,0mm,0mm" style="mso-fit-shape-to-text:t;">
                <w:txbxContent>
                  <w:p w14:paraId="7178D7CF">
                    <w:pPr>
                      <w:pStyle w:val="24"/>
                      <w:jc w:val="center"/>
                    </w:pPr>
                    <w:r>
                      <w:fldChar w:fldCharType="begin"/>
                    </w:r>
                    <w:r>
                      <w:instrText xml:space="preserve"> PAGE   \* MERGEFORMAT </w:instrText>
                    </w:r>
                    <w:r>
                      <w:fldChar w:fldCharType="separate"/>
                    </w:r>
                    <w:r>
                      <w:rPr>
                        <w:lang w:val="zh-CN"/>
                      </w:rPr>
                      <w:t>45</w:t>
                    </w:r>
                    <w:r>
                      <w:fldChar w:fldCharType="end"/>
                    </w:r>
                  </w:p>
                </w:txbxContent>
              </v:textbox>
            </v:shape>
          </w:pict>
        </mc:Fallback>
      </mc:AlternateContent>
    </w:r>
  </w:p>
  <w:p w14:paraId="0C8094BE">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122E8">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CD0E">
    <w:pPr>
      <w:pStyle w:val="2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53035" cy="17526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53035" cy="175260"/>
                      </a:xfrm>
                      <a:prstGeom prst="rect">
                        <a:avLst/>
                      </a:prstGeom>
                      <a:noFill/>
                      <a:ln>
                        <a:noFill/>
                      </a:ln>
                    </wps:spPr>
                    <wps:txbx>
                      <w:txbxContent>
                        <w:p w14:paraId="60275732">
                          <w:pPr>
                            <w:pStyle w:val="24"/>
                            <w:rPr>
                              <w:rStyle w:val="39"/>
                              <w:sz w:val="21"/>
                              <w:szCs w:val="21"/>
                            </w:rPr>
                          </w:pPr>
                          <w:r>
                            <w:rPr>
                              <w:sz w:val="21"/>
                              <w:szCs w:val="21"/>
                            </w:rPr>
                            <w:fldChar w:fldCharType="begin"/>
                          </w:r>
                          <w:r>
                            <w:rPr>
                              <w:rStyle w:val="39"/>
                              <w:sz w:val="21"/>
                              <w:szCs w:val="21"/>
                            </w:rPr>
                            <w:instrText xml:space="preserve">PAGE  </w:instrText>
                          </w:r>
                          <w:r>
                            <w:rPr>
                              <w:sz w:val="21"/>
                              <w:szCs w:val="21"/>
                            </w:rPr>
                            <w:fldChar w:fldCharType="separate"/>
                          </w:r>
                          <w:r>
                            <w:rPr>
                              <w:rStyle w:val="39"/>
                              <w:sz w:val="21"/>
                              <w:szCs w:val="21"/>
                            </w:rPr>
                            <w:t>56</w:t>
                          </w:r>
                          <w:r>
                            <w:rPr>
                              <w:sz w:val="21"/>
                              <w:szCs w:val="21"/>
                            </w:rPr>
                            <w:fldChar w:fldCharType="end"/>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3.8pt;width:12.05pt;mso-position-horizontal:center;mso-position-horizontal-relative:margin;mso-wrap-style:none;z-index:251662336;mso-width-relative:page;mso-height-relative:page;" filled="f" stroked="f" coordsize="21600,21600" o:gfxdata="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4tKjR0QAAAAMBAAAP&#10;AAAAAAAAAAEAIAAAACIAAABkcnMvZG93bnJldi54bWxQSwECFAAUAAAACACHTuJAOdjQDeYBAAC/&#10;AwAADgAAAAAAAAABACAAAAAgAQAAZHJzL2Uyb0RvYy54bWxQSwUGAAAAAAYABgBZAQAAeAUAAAAA&#10;">
              <v:fill on="f" focussize="0,0"/>
              <v:stroke on="f"/>
              <v:imagedata o:title=""/>
              <o:lock v:ext="edit" aspectratio="f"/>
              <v:textbox inset="0mm,0mm,0mm,0mm" style="mso-fit-shape-to-text:t;">
                <w:txbxContent>
                  <w:p w14:paraId="60275732">
                    <w:pPr>
                      <w:pStyle w:val="24"/>
                      <w:rPr>
                        <w:rStyle w:val="39"/>
                        <w:sz w:val="21"/>
                        <w:szCs w:val="21"/>
                      </w:rPr>
                    </w:pPr>
                    <w:r>
                      <w:rPr>
                        <w:sz w:val="21"/>
                        <w:szCs w:val="21"/>
                      </w:rPr>
                      <w:fldChar w:fldCharType="begin"/>
                    </w:r>
                    <w:r>
                      <w:rPr>
                        <w:rStyle w:val="39"/>
                        <w:sz w:val="21"/>
                        <w:szCs w:val="21"/>
                      </w:rPr>
                      <w:instrText xml:space="preserve">PAGE  </w:instrText>
                    </w:r>
                    <w:r>
                      <w:rPr>
                        <w:sz w:val="21"/>
                        <w:szCs w:val="21"/>
                      </w:rPr>
                      <w:fldChar w:fldCharType="separate"/>
                    </w:r>
                    <w:r>
                      <w:rPr>
                        <w:rStyle w:val="39"/>
                        <w:sz w:val="21"/>
                        <w:szCs w:val="21"/>
                      </w:rPr>
                      <w:t>56</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C3F33">
    <w:pPr>
      <w:pStyle w:val="2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33F226">
                          <w:pPr>
                            <w:pStyle w:val="24"/>
                          </w:pPr>
                          <w:r>
                            <w:fldChar w:fldCharType="begin"/>
                          </w:r>
                          <w:r>
                            <w:instrText xml:space="preserve"> PAGE  \* MERGEFORMAT </w:instrText>
                          </w:r>
                          <w:r>
                            <w:fldChar w:fldCharType="separate"/>
                          </w:r>
                          <w:r>
                            <w:t>46</w:t>
                          </w:r>
                          <w: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szsad4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LZM+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GzOxp3gEAAL8DAAAOAAAAAAAA&#10;AAEAIAAAAB4BAABkcnMvZTJvRG9jLnhtbFBLBQYAAAAABgAGAFkBAABuBQAAAAA=&#10;">
              <v:fill on="f" focussize="0,0"/>
              <v:stroke on="f"/>
              <v:imagedata o:title=""/>
              <o:lock v:ext="edit" aspectratio="f"/>
              <v:textbox inset="0mm,0mm,0mm,0mm" style="mso-fit-shape-to-text:t;">
                <w:txbxContent>
                  <w:p w14:paraId="3E33F226">
                    <w:pPr>
                      <w:pStyle w:val="2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76074">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53035" cy="17526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53035" cy="175260"/>
                      </a:xfrm>
                      <a:prstGeom prst="rect">
                        <a:avLst/>
                      </a:prstGeom>
                      <a:noFill/>
                      <a:ln>
                        <a:noFill/>
                      </a:ln>
                    </wps:spPr>
                    <wps:txbx>
                      <w:txbxContent>
                        <w:p w14:paraId="4656D35F">
                          <w:pPr>
                            <w:pStyle w:val="24"/>
                            <w:rPr>
                              <w:rStyle w:val="39"/>
                              <w:sz w:val="21"/>
                              <w:szCs w:val="21"/>
                            </w:rPr>
                          </w:pPr>
                          <w:r>
                            <w:rPr>
                              <w:sz w:val="21"/>
                              <w:szCs w:val="21"/>
                            </w:rPr>
                            <w:fldChar w:fldCharType="begin"/>
                          </w:r>
                          <w:r>
                            <w:rPr>
                              <w:rStyle w:val="39"/>
                              <w:sz w:val="21"/>
                              <w:szCs w:val="21"/>
                            </w:rPr>
                            <w:instrText xml:space="preserve">PAGE  </w:instrText>
                          </w:r>
                          <w:r>
                            <w:rPr>
                              <w:sz w:val="21"/>
                              <w:szCs w:val="21"/>
                            </w:rPr>
                            <w:fldChar w:fldCharType="separate"/>
                          </w:r>
                          <w:r>
                            <w:rPr>
                              <w:rStyle w:val="39"/>
                              <w:sz w:val="21"/>
                              <w:szCs w:val="21"/>
                            </w:rPr>
                            <w:t>56</w:t>
                          </w:r>
                          <w:r>
                            <w:rPr>
                              <w:sz w:val="21"/>
                              <w:szCs w:val="21"/>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3.8pt;width:12.05pt;mso-position-horizontal:center;mso-position-horizontal-relative:margin;mso-wrap-style:none;z-index:251661312;mso-width-relative:page;mso-height-relative:page;" filled="f" stroked="f" coordsize="21600,21600" o:gfxdata="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tKjR0QAAAAMBAAAPAAAAAAAAAAEAIAAAACIAAABkcnMv&#10;ZG93bnJldi54bWxQSwECFAAUAAAACACHTuJA1PX2iNEBAACaAwAADgAAAAAAAAABACAAAAAgAQAA&#10;ZHJzL2Uyb0RvYy54bWxQSwUGAAAAAAYABgBZAQAAYwUAAAAA&#10;">
              <v:fill on="f" focussize="0,0"/>
              <v:stroke on="f"/>
              <v:imagedata o:title=""/>
              <o:lock v:ext="edit" aspectratio="f"/>
              <v:textbox inset="0mm,0mm,0mm,0mm" style="mso-fit-shape-to-text:t;">
                <w:txbxContent>
                  <w:p w14:paraId="4656D35F">
                    <w:pPr>
                      <w:pStyle w:val="24"/>
                      <w:rPr>
                        <w:rStyle w:val="39"/>
                        <w:sz w:val="21"/>
                        <w:szCs w:val="21"/>
                      </w:rPr>
                    </w:pPr>
                    <w:r>
                      <w:rPr>
                        <w:sz w:val="21"/>
                        <w:szCs w:val="21"/>
                      </w:rPr>
                      <w:fldChar w:fldCharType="begin"/>
                    </w:r>
                    <w:r>
                      <w:rPr>
                        <w:rStyle w:val="39"/>
                        <w:sz w:val="21"/>
                        <w:szCs w:val="21"/>
                      </w:rPr>
                      <w:instrText xml:space="preserve">PAGE  </w:instrText>
                    </w:r>
                    <w:r>
                      <w:rPr>
                        <w:sz w:val="21"/>
                        <w:szCs w:val="21"/>
                      </w:rPr>
                      <w:fldChar w:fldCharType="separate"/>
                    </w:r>
                    <w:r>
                      <w:rPr>
                        <w:rStyle w:val="39"/>
                        <w:sz w:val="21"/>
                        <w:szCs w:val="21"/>
                      </w:rPr>
                      <w:t>56</w:t>
                    </w:r>
                    <w:r>
                      <w:rPr>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FD88D">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747B6">
    <w:pPr>
      <w:pStyle w:val="2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53035" cy="17526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53035" cy="175260"/>
                      </a:xfrm>
                      <a:prstGeom prst="rect">
                        <a:avLst/>
                      </a:prstGeom>
                      <a:noFill/>
                      <a:ln>
                        <a:noFill/>
                      </a:ln>
                    </wps:spPr>
                    <wps:txbx>
                      <w:txbxContent>
                        <w:p w14:paraId="2656BBD8">
                          <w:pPr>
                            <w:pStyle w:val="24"/>
                            <w:rPr>
                              <w:rStyle w:val="39"/>
                              <w:sz w:val="21"/>
                              <w:szCs w:val="21"/>
                            </w:rPr>
                          </w:pPr>
                          <w:r>
                            <w:rPr>
                              <w:sz w:val="21"/>
                              <w:szCs w:val="21"/>
                            </w:rPr>
                            <w:fldChar w:fldCharType="begin"/>
                          </w:r>
                          <w:r>
                            <w:rPr>
                              <w:rStyle w:val="39"/>
                              <w:sz w:val="21"/>
                              <w:szCs w:val="21"/>
                            </w:rPr>
                            <w:instrText xml:space="preserve">PAGE  </w:instrText>
                          </w:r>
                          <w:r>
                            <w:rPr>
                              <w:sz w:val="21"/>
                              <w:szCs w:val="21"/>
                            </w:rPr>
                            <w:fldChar w:fldCharType="separate"/>
                          </w:r>
                          <w:r>
                            <w:rPr>
                              <w:rStyle w:val="39"/>
                              <w:sz w:val="21"/>
                              <w:szCs w:val="21"/>
                            </w:rPr>
                            <w:t>56</w:t>
                          </w:r>
                          <w:r>
                            <w:rPr>
                              <w:sz w:val="21"/>
                              <w:szCs w:val="21"/>
                            </w:rPr>
                            <w:fldChar w:fldCharType="end"/>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3.8pt;width:12.05pt;mso-position-horizontal:center;mso-position-horizontal-relative:margin;mso-wrap-style:none;z-index:251665408;mso-width-relative:page;mso-height-relative:page;" filled="f" stroked="f" coordsize="21600,21600" o:gfxdata="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i0qNHRAAAAAwEAAA8A&#10;AAAAAAAAAQAgAAAAIgAAAGRycy9kb3ducmV2LnhtbFBLAQIUABQAAAAIAIdO4kDZBLAu5QEAAL8D&#10;AAAOAAAAAAAAAAEAIAAAACABAABkcnMvZTJvRG9jLnhtbFBLBQYAAAAABgAGAFkBAAB3BQAAAAA=&#10;">
              <v:fill on="f" focussize="0,0"/>
              <v:stroke on="f"/>
              <v:imagedata o:title=""/>
              <o:lock v:ext="edit" aspectratio="f"/>
              <v:textbox inset="0mm,0mm,0mm,0mm" style="mso-fit-shape-to-text:t;">
                <w:txbxContent>
                  <w:p w14:paraId="2656BBD8">
                    <w:pPr>
                      <w:pStyle w:val="24"/>
                      <w:rPr>
                        <w:rStyle w:val="39"/>
                        <w:sz w:val="21"/>
                        <w:szCs w:val="21"/>
                      </w:rPr>
                    </w:pPr>
                    <w:r>
                      <w:rPr>
                        <w:sz w:val="21"/>
                        <w:szCs w:val="21"/>
                      </w:rPr>
                      <w:fldChar w:fldCharType="begin"/>
                    </w:r>
                    <w:r>
                      <w:rPr>
                        <w:rStyle w:val="39"/>
                        <w:sz w:val="21"/>
                        <w:szCs w:val="21"/>
                      </w:rPr>
                      <w:instrText xml:space="preserve">PAGE  </w:instrText>
                    </w:r>
                    <w:r>
                      <w:rPr>
                        <w:sz w:val="21"/>
                        <w:szCs w:val="21"/>
                      </w:rPr>
                      <w:fldChar w:fldCharType="separate"/>
                    </w:r>
                    <w:r>
                      <w:rPr>
                        <w:rStyle w:val="39"/>
                        <w:sz w:val="21"/>
                        <w:szCs w:val="21"/>
                      </w:rPr>
                      <w:t>56</w:t>
                    </w:r>
                    <w:r>
                      <w:rPr>
                        <w:sz w:val="21"/>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FE2B3">
    <w:pPr>
      <w:pStyle w:val="2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034366">
                          <w:pPr>
                            <w:pStyle w:val="24"/>
                          </w:pPr>
                          <w:r>
                            <w:fldChar w:fldCharType="begin"/>
                          </w:r>
                          <w:r>
                            <w:instrText xml:space="preserve"> PAGE  \* MERGEFORMAT </w:instrText>
                          </w:r>
                          <w:r>
                            <w:fldChar w:fldCharType="separate"/>
                          </w:r>
                          <w:r>
                            <w:t>50</w:t>
                          </w:r>
                          <w:r>
                            <w:fldChar w:fldCharType="end"/>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rFyj9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rT2J2wNPDz92/nH7/OP7+y&#10;5XXSp/exorR7T4k4vIaBtmb2R3Im2kMbbPoTIUZxUvd0UVcNyGS6tFquViWFJMXmA+EXD9d9iPhG&#10;gWXJqHmg8WVVxfFdxDF1TknVHNxpY/IIjfvLQZjJU6Texx6ThcNumAjtoDkRH3oHVKeD8IWznrag&#10;5o6WnjPz1pHIaWFmI8zGbjaEk3Sx5sjZaN7iuFgHH/S+y6uWmor+1QGp00wgtTHWnrqjuWYJph1M&#10;i/PnOWc9vL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isXKP3gEAAL8DAAAOAAAAAAAA&#10;AAEAIAAAAB4BAABkcnMvZTJvRG9jLnhtbFBLBQYAAAAABgAGAFkBAABuBQAAAAA=&#10;">
              <v:fill on="f" focussize="0,0"/>
              <v:stroke on="f"/>
              <v:imagedata o:title=""/>
              <o:lock v:ext="edit" aspectratio="f"/>
              <v:textbox inset="0mm,0mm,0mm,0mm" style="mso-fit-shape-to-text:t;">
                <w:txbxContent>
                  <w:p w14:paraId="70034366">
                    <w:pPr>
                      <w:pStyle w:val="2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B0ABB">
    <w:pPr>
      <w:pStyle w:val="2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53035" cy="17526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53035" cy="175260"/>
                      </a:xfrm>
                      <a:prstGeom prst="rect">
                        <a:avLst/>
                      </a:prstGeom>
                      <a:noFill/>
                      <a:ln>
                        <a:noFill/>
                      </a:ln>
                    </wps:spPr>
                    <wps:txbx>
                      <w:txbxContent>
                        <w:p w14:paraId="599298CE">
                          <w:pPr>
                            <w:pStyle w:val="24"/>
                            <w:rPr>
                              <w:rStyle w:val="39"/>
                              <w:sz w:val="21"/>
                              <w:szCs w:val="21"/>
                            </w:rPr>
                          </w:pPr>
                          <w:r>
                            <w:rPr>
                              <w:sz w:val="21"/>
                              <w:szCs w:val="21"/>
                            </w:rPr>
                            <w:fldChar w:fldCharType="begin"/>
                          </w:r>
                          <w:r>
                            <w:rPr>
                              <w:rStyle w:val="39"/>
                              <w:sz w:val="21"/>
                              <w:szCs w:val="21"/>
                            </w:rPr>
                            <w:instrText xml:space="preserve">PAGE  </w:instrText>
                          </w:r>
                          <w:r>
                            <w:rPr>
                              <w:sz w:val="21"/>
                              <w:szCs w:val="21"/>
                            </w:rPr>
                            <w:fldChar w:fldCharType="separate"/>
                          </w:r>
                          <w:r>
                            <w:rPr>
                              <w:rStyle w:val="39"/>
                              <w:sz w:val="21"/>
                              <w:szCs w:val="21"/>
                            </w:rPr>
                            <w:t>56</w:t>
                          </w:r>
                          <w:r>
                            <w:rPr>
                              <w:sz w:val="21"/>
                              <w:szCs w:val="21"/>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3.8pt;width:12.05pt;mso-position-horizontal:center;mso-position-horizontal-relative:margin;mso-wrap-style:none;z-index:251664384;mso-width-relative:page;mso-height-relative:page;" filled="f" stroked="f" coordsize="21600,21600" o:gfxdata="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tKjR0QAAAAMBAAAPAAAAAAAAAAEAIAAAACIAAABkcnMv&#10;ZG93bnJldi54bWxQSwECFAAUAAAACACHTuJAW0Xa3tEBAACaAwAADgAAAAAAAAABACAAAAAgAQAA&#10;ZHJzL2Uyb0RvYy54bWxQSwUGAAAAAAYABgBZAQAAYwUAAAAA&#10;">
              <v:fill on="f" focussize="0,0"/>
              <v:stroke on="f"/>
              <v:imagedata o:title=""/>
              <o:lock v:ext="edit" aspectratio="f"/>
              <v:textbox inset="0mm,0mm,0mm,0mm" style="mso-fit-shape-to-text:t;">
                <w:txbxContent>
                  <w:p w14:paraId="599298CE">
                    <w:pPr>
                      <w:pStyle w:val="24"/>
                      <w:rPr>
                        <w:rStyle w:val="39"/>
                        <w:sz w:val="21"/>
                        <w:szCs w:val="21"/>
                      </w:rPr>
                    </w:pPr>
                    <w:r>
                      <w:rPr>
                        <w:sz w:val="21"/>
                        <w:szCs w:val="21"/>
                      </w:rPr>
                      <w:fldChar w:fldCharType="begin"/>
                    </w:r>
                    <w:r>
                      <w:rPr>
                        <w:rStyle w:val="39"/>
                        <w:sz w:val="21"/>
                        <w:szCs w:val="21"/>
                      </w:rPr>
                      <w:instrText xml:space="preserve">PAGE  </w:instrText>
                    </w:r>
                    <w:r>
                      <w:rPr>
                        <w:sz w:val="21"/>
                        <w:szCs w:val="21"/>
                      </w:rPr>
                      <w:fldChar w:fldCharType="separate"/>
                    </w:r>
                    <w:r>
                      <w:rPr>
                        <w:rStyle w:val="39"/>
                        <w:sz w:val="21"/>
                        <w:szCs w:val="21"/>
                      </w:rPr>
                      <w:t>56</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E0F5">
    <w:pPr>
      <w:pStyle w:val="25"/>
      <w:pBdr>
        <w:bottom w:val="none" w:color="auto" w:sz="0" w:space="0"/>
      </w:pBdr>
      <w:jc w:val="center"/>
      <w:rPr>
        <w:rFonts w:hint="eastAsia" w:ascii="宋体" w:hAnsi="宋体" w:eastAsia="宋体" w:cs="宋体"/>
        <w:sz w:val="20"/>
        <w:szCs w:val="20"/>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52122">
    <w:pPr>
      <w:pStyle w:val="25"/>
      <w:pBdr>
        <w:bottom w:val="none" w:color="auto" w:sz="0" w:space="0"/>
      </w:pBdr>
      <w:jc w:val="left"/>
      <w:rPr>
        <w:rFonts w:hint="eastAsia" w:ascii="宋体" w:hAnsi="宋体" w:eastAsia="宋体" w:cs="宋体"/>
        <w:sz w:val="20"/>
        <w:szCs w:val="20"/>
        <w:lang w:val="en-US" w:eastAsia="zh-CN"/>
      </w:rPr>
    </w:pPr>
  </w:p>
  <w:p w14:paraId="77E8FBB1">
    <w:pPr>
      <w:pStyle w:val="25"/>
      <w:pBdr>
        <w:bottom w:val="none" w:color="auto" w:sz="0" w:space="0"/>
      </w:pBdr>
      <w:jc w:val="center"/>
      <w:rPr>
        <w:rFonts w:hint="eastAsia" w:ascii="宋体" w:hAnsi="宋体" w:eastAsia="宋体" w:cs="宋体"/>
        <w:sz w:val="20"/>
        <w:szCs w:val="20"/>
        <w:lang w:val="en-US" w:eastAsia="zh-CN"/>
      </w:rPr>
    </w:pPr>
  </w:p>
  <w:p w14:paraId="63051FDA">
    <w:pPr>
      <w:pStyle w:val="25"/>
      <w:pBdr>
        <w:bottom w:val="none" w:color="auto" w:sz="0" w:space="0"/>
      </w:pBdr>
      <w:jc w:val="center"/>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5916F">
    <w:pPr>
      <w:pStyle w:val="25"/>
      <w:pBdr>
        <w:bottom w:val="none" w:color="auto" w:sz="0" w:space="0"/>
      </w:pBdr>
      <w:jc w:val="center"/>
      <w:rPr>
        <w:rFonts w:hint="eastAsia" w:ascii="宋体" w:hAnsi="宋体" w:eastAsia="宋体" w:cs="宋体"/>
        <w:sz w:val="20"/>
        <w:szCs w:val="20"/>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FB3CC">
    <w:pPr>
      <w:pStyle w:val="25"/>
      <w:pBdr>
        <w:bottom w:val="none" w:color="auto" w:sz="0" w:space="0"/>
      </w:pBdr>
      <w:jc w:val="center"/>
      <w:rPr>
        <w:rFonts w:hint="eastAsia" w:ascii="宋体" w:hAnsi="宋体" w:eastAsia="宋体" w:cs="宋体"/>
        <w:sz w:val="20"/>
        <w:szCs w:val="20"/>
        <w:lang w:val="en-US" w:eastAsia="zh-CN"/>
      </w:rPr>
    </w:pPr>
  </w:p>
  <w:p w14:paraId="749FBDBB">
    <w:pPr>
      <w:pStyle w:val="25"/>
      <w:pBdr>
        <w:bottom w:val="none" w:color="auto" w:sz="0" w:space="0"/>
      </w:pBdr>
      <w:jc w:val="center"/>
      <w:rPr>
        <w:rFonts w:hint="default" w:eastAsia="楷体_GB2312"/>
        <w:sz w:val="20"/>
        <w:szCs w:val="20"/>
        <w:lang w:val="en-US" w:eastAsia="zh-CN"/>
      </w:rPr>
    </w:pPr>
    <w:r>
      <w:rPr>
        <w:rFonts w:hint="eastAsia" w:ascii="宋体" w:hAnsi="宋体" w:eastAsia="宋体" w:cs="宋体"/>
        <w:sz w:val="20"/>
        <w:szCs w:val="20"/>
        <w:lang w:val="en-US" w:eastAsia="zh-CN"/>
      </w:rPr>
      <w:t>招标项目名称</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1774C">
    <w:pPr>
      <w:pStyle w:val="25"/>
      <w:pBdr>
        <w:bottom w:val="none" w:color="auto" w:sz="0" w:space="0"/>
      </w:pBdr>
      <w:jc w:val="left"/>
      <w:rPr>
        <w:rFonts w:hint="eastAsia" w:ascii="宋体" w:hAnsi="宋体" w:eastAsia="宋体" w:cs="宋体"/>
        <w:sz w:val="20"/>
        <w:szCs w:val="20"/>
        <w:lang w:val="en-US" w:eastAsia="zh-CN"/>
      </w:rPr>
    </w:pPr>
  </w:p>
  <w:p w14:paraId="11F65F2C">
    <w:pPr>
      <w:pStyle w:val="25"/>
      <w:pBdr>
        <w:bottom w:val="none" w:color="auto" w:sz="0" w:space="0"/>
      </w:pBdr>
      <w:jc w:val="left"/>
      <w:rPr>
        <w:rFonts w:hint="eastAsia" w:ascii="宋体" w:hAnsi="宋体" w:eastAsia="宋体" w:cs="宋体"/>
        <w:sz w:val="20"/>
        <w:szCs w:val="20"/>
        <w:lang w:val="en-US" w:eastAsia="zh-CN"/>
      </w:rPr>
    </w:pPr>
  </w:p>
  <w:p w14:paraId="7C8096B9">
    <w:pPr>
      <w:pStyle w:val="25"/>
      <w:pBdr>
        <w:bottom w:val="none" w:color="auto" w:sz="0" w:space="0"/>
      </w:pBd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招标项目名称</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036C9">
    <w:pPr>
      <w:pStyle w:val="25"/>
      <w:pBdr>
        <w:bottom w:val="none" w:color="auto" w:sz="0" w:space="0"/>
      </w:pBdr>
      <w:jc w:val="center"/>
      <w:rPr>
        <w:rFonts w:hint="eastAsia" w:ascii="宋体" w:hAnsi="宋体" w:eastAsia="宋体" w:cs="宋体"/>
        <w:sz w:val="20"/>
        <w:szCs w:val="20"/>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1E82E">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3D092"/>
    <w:multiLevelType w:val="singleLevel"/>
    <w:tmpl w:val="8A73D092"/>
    <w:lvl w:ilvl="0" w:tentative="0">
      <w:start w:val="1"/>
      <w:numFmt w:val="decimal"/>
      <w:lvlText w:val="%1."/>
      <w:lvlJc w:val="left"/>
      <w:pPr>
        <w:tabs>
          <w:tab w:val="left" w:pos="312"/>
        </w:tabs>
      </w:pPr>
    </w:lvl>
  </w:abstractNum>
  <w:abstractNum w:abstractNumId="1">
    <w:nsid w:val="AD9040EA"/>
    <w:multiLevelType w:val="singleLevel"/>
    <w:tmpl w:val="AD9040EA"/>
    <w:lvl w:ilvl="0" w:tentative="0">
      <w:start w:val="1"/>
      <w:numFmt w:val="decimal"/>
      <w:suff w:val="nothing"/>
      <w:lvlText w:val="%1．"/>
      <w:lvlJc w:val="left"/>
      <w:pPr>
        <w:ind w:left="0" w:firstLine="400"/>
      </w:pPr>
      <w:rPr>
        <w:rFonts w:hint="default"/>
      </w:rPr>
    </w:lvl>
  </w:abstractNum>
  <w:abstractNum w:abstractNumId="2">
    <w:nsid w:val="186AF2B1"/>
    <w:multiLevelType w:val="singleLevel"/>
    <w:tmpl w:val="186AF2B1"/>
    <w:lvl w:ilvl="0" w:tentative="0">
      <w:start w:val="1"/>
      <w:numFmt w:val="decimal"/>
      <w:suff w:val="nothing"/>
      <w:lvlText w:val="（%1）"/>
      <w:lvlJc w:val="left"/>
    </w:lvl>
  </w:abstractNum>
  <w:abstractNum w:abstractNumId="3">
    <w:nsid w:val="279B00BB"/>
    <w:multiLevelType w:val="singleLevel"/>
    <w:tmpl w:val="279B00BB"/>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ZTM3NTFiYjUxMjIzODFhNTJmMjg5MzUzZjllMWQifQ=="/>
    <w:docVar w:name="KGWebUrl" w:val="http://10.194.156.30:80/missive/officeProcess.do?method=officeProcess"/>
  </w:docVars>
  <w:rsids>
    <w:rsidRoot w:val="00172A27"/>
    <w:rsid w:val="0000058D"/>
    <w:rsid w:val="000010E7"/>
    <w:rsid w:val="000031E7"/>
    <w:rsid w:val="00005DB6"/>
    <w:rsid w:val="0001030A"/>
    <w:rsid w:val="00013F20"/>
    <w:rsid w:val="00014F59"/>
    <w:rsid w:val="00017813"/>
    <w:rsid w:val="00017CF1"/>
    <w:rsid w:val="00021BF6"/>
    <w:rsid w:val="0002482D"/>
    <w:rsid w:val="00026448"/>
    <w:rsid w:val="0003137C"/>
    <w:rsid w:val="000318CE"/>
    <w:rsid w:val="00033326"/>
    <w:rsid w:val="00034BF8"/>
    <w:rsid w:val="0003534B"/>
    <w:rsid w:val="00036324"/>
    <w:rsid w:val="00037444"/>
    <w:rsid w:val="00043EBB"/>
    <w:rsid w:val="00045E05"/>
    <w:rsid w:val="00045E7A"/>
    <w:rsid w:val="00046D59"/>
    <w:rsid w:val="000512C6"/>
    <w:rsid w:val="0005256C"/>
    <w:rsid w:val="0005399E"/>
    <w:rsid w:val="00062520"/>
    <w:rsid w:val="00062B1B"/>
    <w:rsid w:val="00065677"/>
    <w:rsid w:val="00065A08"/>
    <w:rsid w:val="00070035"/>
    <w:rsid w:val="00072306"/>
    <w:rsid w:val="00072DDB"/>
    <w:rsid w:val="0007357A"/>
    <w:rsid w:val="0007451A"/>
    <w:rsid w:val="0007734E"/>
    <w:rsid w:val="000804ED"/>
    <w:rsid w:val="000814F1"/>
    <w:rsid w:val="00086042"/>
    <w:rsid w:val="000871CE"/>
    <w:rsid w:val="00093FA7"/>
    <w:rsid w:val="000A0AFF"/>
    <w:rsid w:val="000A1BD1"/>
    <w:rsid w:val="000B7FC1"/>
    <w:rsid w:val="000C04AF"/>
    <w:rsid w:val="000C1BEE"/>
    <w:rsid w:val="000C5632"/>
    <w:rsid w:val="000C5AC7"/>
    <w:rsid w:val="000D31E9"/>
    <w:rsid w:val="000E12D7"/>
    <w:rsid w:val="000E1CB8"/>
    <w:rsid w:val="000E348F"/>
    <w:rsid w:val="000E4B36"/>
    <w:rsid w:val="000E71AA"/>
    <w:rsid w:val="000F12E6"/>
    <w:rsid w:val="000F72C6"/>
    <w:rsid w:val="00101FA2"/>
    <w:rsid w:val="00104B86"/>
    <w:rsid w:val="00107E82"/>
    <w:rsid w:val="00110AA4"/>
    <w:rsid w:val="00110BDF"/>
    <w:rsid w:val="001123DA"/>
    <w:rsid w:val="001132DC"/>
    <w:rsid w:val="001144C6"/>
    <w:rsid w:val="001173FE"/>
    <w:rsid w:val="00120309"/>
    <w:rsid w:val="0012048E"/>
    <w:rsid w:val="00121B54"/>
    <w:rsid w:val="00130E80"/>
    <w:rsid w:val="001327E3"/>
    <w:rsid w:val="0013681D"/>
    <w:rsid w:val="00136908"/>
    <w:rsid w:val="00140AB6"/>
    <w:rsid w:val="001428F1"/>
    <w:rsid w:val="001508A1"/>
    <w:rsid w:val="001535CB"/>
    <w:rsid w:val="00153E19"/>
    <w:rsid w:val="001553B4"/>
    <w:rsid w:val="0016434D"/>
    <w:rsid w:val="00171BF1"/>
    <w:rsid w:val="00171DD9"/>
    <w:rsid w:val="00173DD8"/>
    <w:rsid w:val="001763D6"/>
    <w:rsid w:val="00180A29"/>
    <w:rsid w:val="00181FF1"/>
    <w:rsid w:val="001838BF"/>
    <w:rsid w:val="00184E75"/>
    <w:rsid w:val="001936F8"/>
    <w:rsid w:val="001972D0"/>
    <w:rsid w:val="00197F66"/>
    <w:rsid w:val="001A0541"/>
    <w:rsid w:val="001B11C7"/>
    <w:rsid w:val="001B1E29"/>
    <w:rsid w:val="001B1EEA"/>
    <w:rsid w:val="001B3698"/>
    <w:rsid w:val="001B6A3C"/>
    <w:rsid w:val="001B787A"/>
    <w:rsid w:val="001C0ED4"/>
    <w:rsid w:val="001C135F"/>
    <w:rsid w:val="001C22FC"/>
    <w:rsid w:val="001C689A"/>
    <w:rsid w:val="001C74BC"/>
    <w:rsid w:val="001D2531"/>
    <w:rsid w:val="001D2B03"/>
    <w:rsid w:val="001D4ABD"/>
    <w:rsid w:val="001D735C"/>
    <w:rsid w:val="001E092D"/>
    <w:rsid w:val="001E2657"/>
    <w:rsid w:val="001E380B"/>
    <w:rsid w:val="001E510E"/>
    <w:rsid w:val="001F1B21"/>
    <w:rsid w:val="001F1BEA"/>
    <w:rsid w:val="001F3AB7"/>
    <w:rsid w:val="001F3CAB"/>
    <w:rsid w:val="001F5E77"/>
    <w:rsid w:val="001F6F68"/>
    <w:rsid w:val="001F7FFE"/>
    <w:rsid w:val="00201789"/>
    <w:rsid w:val="002063B5"/>
    <w:rsid w:val="00217789"/>
    <w:rsid w:val="00221350"/>
    <w:rsid w:val="002220C7"/>
    <w:rsid w:val="00222928"/>
    <w:rsid w:val="00222A1F"/>
    <w:rsid w:val="0022600B"/>
    <w:rsid w:val="00231706"/>
    <w:rsid w:val="00234C62"/>
    <w:rsid w:val="002377F9"/>
    <w:rsid w:val="00240B16"/>
    <w:rsid w:val="00241C89"/>
    <w:rsid w:val="00245916"/>
    <w:rsid w:val="002479EF"/>
    <w:rsid w:val="0025013A"/>
    <w:rsid w:val="002507F6"/>
    <w:rsid w:val="00252394"/>
    <w:rsid w:val="00260724"/>
    <w:rsid w:val="002608D6"/>
    <w:rsid w:val="00265752"/>
    <w:rsid w:val="00267953"/>
    <w:rsid w:val="00267E44"/>
    <w:rsid w:val="0027208E"/>
    <w:rsid w:val="0027489A"/>
    <w:rsid w:val="0027564E"/>
    <w:rsid w:val="00276191"/>
    <w:rsid w:val="00276561"/>
    <w:rsid w:val="00276FCD"/>
    <w:rsid w:val="00277A4E"/>
    <w:rsid w:val="00281370"/>
    <w:rsid w:val="00281AA8"/>
    <w:rsid w:val="0028344D"/>
    <w:rsid w:val="00287D9F"/>
    <w:rsid w:val="002A494B"/>
    <w:rsid w:val="002A4A1A"/>
    <w:rsid w:val="002A7151"/>
    <w:rsid w:val="002B23D9"/>
    <w:rsid w:val="002B395A"/>
    <w:rsid w:val="002B66B9"/>
    <w:rsid w:val="002C23E2"/>
    <w:rsid w:val="002C408F"/>
    <w:rsid w:val="002C44A2"/>
    <w:rsid w:val="002D6E6F"/>
    <w:rsid w:val="002E12B3"/>
    <w:rsid w:val="002E1D7C"/>
    <w:rsid w:val="002E4F4A"/>
    <w:rsid w:val="002F1C25"/>
    <w:rsid w:val="002F4EEF"/>
    <w:rsid w:val="002F617A"/>
    <w:rsid w:val="002F7341"/>
    <w:rsid w:val="003034D3"/>
    <w:rsid w:val="00304923"/>
    <w:rsid w:val="00311B11"/>
    <w:rsid w:val="0031472C"/>
    <w:rsid w:val="0031684E"/>
    <w:rsid w:val="0032278C"/>
    <w:rsid w:val="00322EBB"/>
    <w:rsid w:val="00323601"/>
    <w:rsid w:val="0032554F"/>
    <w:rsid w:val="00325B4F"/>
    <w:rsid w:val="00325C13"/>
    <w:rsid w:val="00327883"/>
    <w:rsid w:val="00331AB6"/>
    <w:rsid w:val="00331D17"/>
    <w:rsid w:val="003349B9"/>
    <w:rsid w:val="00334A96"/>
    <w:rsid w:val="00340012"/>
    <w:rsid w:val="00341462"/>
    <w:rsid w:val="003438A1"/>
    <w:rsid w:val="003457D9"/>
    <w:rsid w:val="003524D9"/>
    <w:rsid w:val="00355A38"/>
    <w:rsid w:val="00355E43"/>
    <w:rsid w:val="00365A6A"/>
    <w:rsid w:val="00371499"/>
    <w:rsid w:val="00376FFF"/>
    <w:rsid w:val="00377BD0"/>
    <w:rsid w:val="003803FB"/>
    <w:rsid w:val="00391D1F"/>
    <w:rsid w:val="00396E3B"/>
    <w:rsid w:val="00397AE3"/>
    <w:rsid w:val="003A419B"/>
    <w:rsid w:val="003A471E"/>
    <w:rsid w:val="003A4C16"/>
    <w:rsid w:val="003A5039"/>
    <w:rsid w:val="003A6D95"/>
    <w:rsid w:val="003A7DE8"/>
    <w:rsid w:val="003B02C9"/>
    <w:rsid w:val="003B3166"/>
    <w:rsid w:val="003B3928"/>
    <w:rsid w:val="003B513D"/>
    <w:rsid w:val="003B772A"/>
    <w:rsid w:val="003C0ADF"/>
    <w:rsid w:val="003C13E6"/>
    <w:rsid w:val="003D0311"/>
    <w:rsid w:val="003D2118"/>
    <w:rsid w:val="003D590A"/>
    <w:rsid w:val="003D7BBC"/>
    <w:rsid w:val="003E2698"/>
    <w:rsid w:val="003E3BAF"/>
    <w:rsid w:val="003E4403"/>
    <w:rsid w:val="003F01CD"/>
    <w:rsid w:val="003F1163"/>
    <w:rsid w:val="003F3072"/>
    <w:rsid w:val="003F6883"/>
    <w:rsid w:val="00401147"/>
    <w:rsid w:val="00401223"/>
    <w:rsid w:val="00402A7D"/>
    <w:rsid w:val="00406C88"/>
    <w:rsid w:val="0041038E"/>
    <w:rsid w:val="004103FD"/>
    <w:rsid w:val="00412BA2"/>
    <w:rsid w:val="00413894"/>
    <w:rsid w:val="00413D05"/>
    <w:rsid w:val="004146F9"/>
    <w:rsid w:val="00414A14"/>
    <w:rsid w:val="00423CA4"/>
    <w:rsid w:val="00424BFD"/>
    <w:rsid w:val="00431696"/>
    <w:rsid w:val="00431C99"/>
    <w:rsid w:val="00433C03"/>
    <w:rsid w:val="004349EE"/>
    <w:rsid w:val="004353A3"/>
    <w:rsid w:val="00437522"/>
    <w:rsid w:val="00440D36"/>
    <w:rsid w:val="00441F7C"/>
    <w:rsid w:val="004451DD"/>
    <w:rsid w:val="00446BAE"/>
    <w:rsid w:val="00453DE8"/>
    <w:rsid w:val="0045558D"/>
    <w:rsid w:val="00462BA4"/>
    <w:rsid w:val="0046327D"/>
    <w:rsid w:val="004656CC"/>
    <w:rsid w:val="00467CC5"/>
    <w:rsid w:val="00467D06"/>
    <w:rsid w:val="00470A6B"/>
    <w:rsid w:val="00472126"/>
    <w:rsid w:val="004737C1"/>
    <w:rsid w:val="00473A2F"/>
    <w:rsid w:val="00474C4B"/>
    <w:rsid w:val="00475013"/>
    <w:rsid w:val="0048249E"/>
    <w:rsid w:val="00484993"/>
    <w:rsid w:val="00487CE4"/>
    <w:rsid w:val="00493450"/>
    <w:rsid w:val="00497C17"/>
    <w:rsid w:val="004A0F32"/>
    <w:rsid w:val="004A71CE"/>
    <w:rsid w:val="004A76D2"/>
    <w:rsid w:val="004A7CBF"/>
    <w:rsid w:val="004B158E"/>
    <w:rsid w:val="004B25C0"/>
    <w:rsid w:val="004B3E2E"/>
    <w:rsid w:val="004E2857"/>
    <w:rsid w:val="004E549F"/>
    <w:rsid w:val="004E54AE"/>
    <w:rsid w:val="004F1C46"/>
    <w:rsid w:val="004F224C"/>
    <w:rsid w:val="004F3198"/>
    <w:rsid w:val="00501BCB"/>
    <w:rsid w:val="005041D6"/>
    <w:rsid w:val="00507C67"/>
    <w:rsid w:val="0051193F"/>
    <w:rsid w:val="00516D41"/>
    <w:rsid w:val="00517C5A"/>
    <w:rsid w:val="005201F6"/>
    <w:rsid w:val="00523A58"/>
    <w:rsid w:val="00524DE2"/>
    <w:rsid w:val="0052505F"/>
    <w:rsid w:val="005253D4"/>
    <w:rsid w:val="005263F4"/>
    <w:rsid w:val="00531136"/>
    <w:rsid w:val="00531383"/>
    <w:rsid w:val="0053200B"/>
    <w:rsid w:val="00532A4F"/>
    <w:rsid w:val="00535981"/>
    <w:rsid w:val="00535E25"/>
    <w:rsid w:val="00536740"/>
    <w:rsid w:val="00541B33"/>
    <w:rsid w:val="005457D2"/>
    <w:rsid w:val="00552C31"/>
    <w:rsid w:val="00554389"/>
    <w:rsid w:val="00560244"/>
    <w:rsid w:val="00560917"/>
    <w:rsid w:val="005640B5"/>
    <w:rsid w:val="00564CE4"/>
    <w:rsid w:val="00567C11"/>
    <w:rsid w:val="00567C8A"/>
    <w:rsid w:val="005725E0"/>
    <w:rsid w:val="00573B7D"/>
    <w:rsid w:val="0058274B"/>
    <w:rsid w:val="00582808"/>
    <w:rsid w:val="00582C36"/>
    <w:rsid w:val="00586A26"/>
    <w:rsid w:val="00586EF7"/>
    <w:rsid w:val="00591DC9"/>
    <w:rsid w:val="00597154"/>
    <w:rsid w:val="005B19D6"/>
    <w:rsid w:val="005B5898"/>
    <w:rsid w:val="005B67E2"/>
    <w:rsid w:val="005C011E"/>
    <w:rsid w:val="005C0C43"/>
    <w:rsid w:val="005C2C06"/>
    <w:rsid w:val="005C40E3"/>
    <w:rsid w:val="005C5CAD"/>
    <w:rsid w:val="005C6759"/>
    <w:rsid w:val="005C73B1"/>
    <w:rsid w:val="005C7F4F"/>
    <w:rsid w:val="005C7F94"/>
    <w:rsid w:val="005D06B1"/>
    <w:rsid w:val="005D2251"/>
    <w:rsid w:val="005E392A"/>
    <w:rsid w:val="005E39C1"/>
    <w:rsid w:val="005F0AE1"/>
    <w:rsid w:val="005F4037"/>
    <w:rsid w:val="005F4BA9"/>
    <w:rsid w:val="00603112"/>
    <w:rsid w:val="0060352A"/>
    <w:rsid w:val="00603D45"/>
    <w:rsid w:val="006043A0"/>
    <w:rsid w:val="006059B5"/>
    <w:rsid w:val="00606472"/>
    <w:rsid w:val="006074F4"/>
    <w:rsid w:val="00610C79"/>
    <w:rsid w:val="006152CA"/>
    <w:rsid w:val="00616D9D"/>
    <w:rsid w:val="0061710B"/>
    <w:rsid w:val="00620E72"/>
    <w:rsid w:val="0062392F"/>
    <w:rsid w:val="00624640"/>
    <w:rsid w:val="006271B0"/>
    <w:rsid w:val="00632D42"/>
    <w:rsid w:val="0063341C"/>
    <w:rsid w:val="006339C8"/>
    <w:rsid w:val="00634EF4"/>
    <w:rsid w:val="00636B53"/>
    <w:rsid w:val="00637F69"/>
    <w:rsid w:val="0064234B"/>
    <w:rsid w:val="0064514D"/>
    <w:rsid w:val="00646788"/>
    <w:rsid w:val="006478BD"/>
    <w:rsid w:val="006500F5"/>
    <w:rsid w:val="0065416B"/>
    <w:rsid w:val="00654824"/>
    <w:rsid w:val="00654AED"/>
    <w:rsid w:val="00655EA1"/>
    <w:rsid w:val="00655FF0"/>
    <w:rsid w:val="00660DC1"/>
    <w:rsid w:val="0066125D"/>
    <w:rsid w:val="00665475"/>
    <w:rsid w:val="006657E0"/>
    <w:rsid w:val="006713F6"/>
    <w:rsid w:val="00673799"/>
    <w:rsid w:val="006771F1"/>
    <w:rsid w:val="00677B0C"/>
    <w:rsid w:val="00681452"/>
    <w:rsid w:val="00681A69"/>
    <w:rsid w:val="00683434"/>
    <w:rsid w:val="0068382E"/>
    <w:rsid w:val="0068409D"/>
    <w:rsid w:val="00684D93"/>
    <w:rsid w:val="00686AC0"/>
    <w:rsid w:val="00686F0B"/>
    <w:rsid w:val="00690C4B"/>
    <w:rsid w:val="00692E6F"/>
    <w:rsid w:val="00693965"/>
    <w:rsid w:val="006951FF"/>
    <w:rsid w:val="00696741"/>
    <w:rsid w:val="00696D48"/>
    <w:rsid w:val="006A224A"/>
    <w:rsid w:val="006A4124"/>
    <w:rsid w:val="006A68D1"/>
    <w:rsid w:val="006B1F1B"/>
    <w:rsid w:val="006B2399"/>
    <w:rsid w:val="006B277C"/>
    <w:rsid w:val="006B44C3"/>
    <w:rsid w:val="006B4737"/>
    <w:rsid w:val="006B5CD2"/>
    <w:rsid w:val="006B6D5D"/>
    <w:rsid w:val="006B72CA"/>
    <w:rsid w:val="006C687E"/>
    <w:rsid w:val="006C7B02"/>
    <w:rsid w:val="006D41BA"/>
    <w:rsid w:val="006D4433"/>
    <w:rsid w:val="006D581E"/>
    <w:rsid w:val="006D63E3"/>
    <w:rsid w:val="006E189B"/>
    <w:rsid w:val="006E7C0C"/>
    <w:rsid w:val="006F107E"/>
    <w:rsid w:val="006F1458"/>
    <w:rsid w:val="006F2877"/>
    <w:rsid w:val="006F2FCF"/>
    <w:rsid w:val="006F34AA"/>
    <w:rsid w:val="006F3899"/>
    <w:rsid w:val="006F3F63"/>
    <w:rsid w:val="006F406C"/>
    <w:rsid w:val="0070084B"/>
    <w:rsid w:val="00705B23"/>
    <w:rsid w:val="007062CB"/>
    <w:rsid w:val="007109D1"/>
    <w:rsid w:val="0071142B"/>
    <w:rsid w:val="00712AAD"/>
    <w:rsid w:val="00717696"/>
    <w:rsid w:val="007237B8"/>
    <w:rsid w:val="00723947"/>
    <w:rsid w:val="00727B6F"/>
    <w:rsid w:val="0073176B"/>
    <w:rsid w:val="007320E6"/>
    <w:rsid w:val="00732443"/>
    <w:rsid w:val="00732DD8"/>
    <w:rsid w:val="0073380C"/>
    <w:rsid w:val="0073456A"/>
    <w:rsid w:val="00741ADD"/>
    <w:rsid w:val="0074688F"/>
    <w:rsid w:val="007556F1"/>
    <w:rsid w:val="00760CAE"/>
    <w:rsid w:val="007668C8"/>
    <w:rsid w:val="00770EA7"/>
    <w:rsid w:val="00773492"/>
    <w:rsid w:val="00773D4D"/>
    <w:rsid w:val="00774A1D"/>
    <w:rsid w:val="00774A49"/>
    <w:rsid w:val="00782CFF"/>
    <w:rsid w:val="00783C95"/>
    <w:rsid w:val="007865D4"/>
    <w:rsid w:val="007945BB"/>
    <w:rsid w:val="00794C60"/>
    <w:rsid w:val="007968D3"/>
    <w:rsid w:val="00796A62"/>
    <w:rsid w:val="007A0E13"/>
    <w:rsid w:val="007A1D06"/>
    <w:rsid w:val="007A1DDA"/>
    <w:rsid w:val="007A3E06"/>
    <w:rsid w:val="007A49B0"/>
    <w:rsid w:val="007A6F47"/>
    <w:rsid w:val="007B2D3E"/>
    <w:rsid w:val="007B425B"/>
    <w:rsid w:val="007B4796"/>
    <w:rsid w:val="007B706C"/>
    <w:rsid w:val="007C6FF1"/>
    <w:rsid w:val="007D1C94"/>
    <w:rsid w:val="007D64F0"/>
    <w:rsid w:val="007E1C7E"/>
    <w:rsid w:val="007F1737"/>
    <w:rsid w:val="007F22F2"/>
    <w:rsid w:val="007F4D81"/>
    <w:rsid w:val="007F6530"/>
    <w:rsid w:val="007F6F96"/>
    <w:rsid w:val="007F7702"/>
    <w:rsid w:val="00803121"/>
    <w:rsid w:val="00807080"/>
    <w:rsid w:val="008103B0"/>
    <w:rsid w:val="00810675"/>
    <w:rsid w:val="00813969"/>
    <w:rsid w:val="00814B89"/>
    <w:rsid w:val="00815D0B"/>
    <w:rsid w:val="00820F64"/>
    <w:rsid w:val="008210D4"/>
    <w:rsid w:val="0082404F"/>
    <w:rsid w:val="00824BA1"/>
    <w:rsid w:val="0083155C"/>
    <w:rsid w:val="008356E4"/>
    <w:rsid w:val="008361CE"/>
    <w:rsid w:val="008363D3"/>
    <w:rsid w:val="00844E5F"/>
    <w:rsid w:val="008472FB"/>
    <w:rsid w:val="00847A76"/>
    <w:rsid w:val="00847F59"/>
    <w:rsid w:val="00852B55"/>
    <w:rsid w:val="008534B2"/>
    <w:rsid w:val="00861047"/>
    <w:rsid w:val="008622F2"/>
    <w:rsid w:val="008633B1"/>
    <w:rsid w:val="00864525"/>
    <w:rsid w:val="00867E51"/>
    <w:rsid w:val="00870AE6"/>
    <w:rsid w:val="0087186E"/>
    <w:rsid w:val="00874D0A"/>
    <w:rsid w:val="008775B2"/>
    <w:rsid w:val="00877ED9"/>
    <w:rsid w:val="00892097"/>
    <w:rsid w:val="00892B3D"/>
    <w:rsid w:val="008934A4"/>
    <w:rsid w:val="00893DBD"/>
    <w:rsid w:val="00895254"/>
    <w:rsid w:val="008A1658"/>
    <w:rsid w:val="008A64CE"/>
    <w:rsid w:val="008A7646"/>
    <w:rsid w:val="008B157E"/>
    <w:rsid w:val="008B3AE0"/>
    <w:rsid w:val="008C1796"/>
    <w:rsid w:val="008C2889"/>
    <w:rsid w:val="008C2EE1"/>
    <w:rsid w:val="008C4E5A"/>
    <w:rsid w:val="008C7F3E"/>
    <w:rsid w:val="008D0B2F"/>
    <w:rsid w:val="008D0ED6"/>
    <w:rsid w:val="008D1923"/>
    <w:rsid w:val="008D2294"/>
    <w:rsid w:val="008D4855"/>
    <w:rsid w:val="008D697E"/>
    <w:rsid w:val="008E02EE"/>
    <w:rsid w:val="008E18A6"/>
    <w:rsid w:val="008E31D0"/>
    <w:rsid w:val="008F1E94"/>
    <w:rsid w:val="008F41A5"/>
    <w:rsid w:val="008F434F"/>
    <w:rsid w:val="008F4DDE"/>
    <w:rsid w:val="008F53E1"/>
    <w:rsid w:val="008F6DAE"/>
    <w:rsid w:val="009007B7"/>
    <w:rsid w:val="009029C4"/>
    <w:rsid w:val="009116D2"/>
    <w:rsid w:val="009163D6"/>
    <w:rsid w:val="0091719A"/>
    <w:rsid w:val="00920F9A"/>
    <w:rsid w:val="009215DD"/>
    <w:rsid w:val="00923DBA"/>
    <w:rsid w:val="00924926"/>
    <w:rsid w:val="009251E2"/>
    <w:rsid w:val="009268C8"/>
    <w:rsid w:val="00930787"/>
    <w:rsid w:val="00931190"/>
    <w:rsid w:val="0093264A"/>
    <w:rsid w:val="00932A6A"/>
    <w:rsid w:val="00934182"/>
    <w:rsid w:val="00934BFF"/>
    <w:rsid w:val="009404F3"/>
    <w:rsid w:val="009420CC"/>
    <w:rsid w:val="009426A1"/>
    <w:rsid w:val="00946008"/>
    <w:rsid w:val="0094765C"/>
    <w:rsid w:val="009512F8"/>
    <w:rsid w:val="00956066"/>
    <w:rsid w:val="00956C34"/>
    <w:rsid w:val="009641DF"/>
    <w:rsid w:val="009650D6"/>
    <w:rsid w:val="00965EE9"/>
    <w:rsid w:val="00966B02"/>
    <w:rsid w:val="009710E6"/>
    <w:rsid w:val="00971BC8"/>
    <w:rsid w:val="009730FF"/>
    <w:rsid w:val="00973C13"/>
    <w:rsid w:val="00974E4C"/>
    <w:rsid w:val="00977651"/>
    <w:rsid w:val="00981E33"/>
    <w:rsid w:val="00983246"/>
    <w:rsid w:val="00983B08"/>
    <w:rsid w:val="00985282"/>
    <w:rsid w:val="00987804"/>
    <w:rsid w:val="009901A5"/>
    <w:rsid w:val="00990A87"/>
    <w:rsid w:val="00996CA4"/>
    <w:rsid w:val="00996FB5"/>
    <w:rsid w:val="009A147D"/>
    <w:rsid w:val="009A288D"/>
    <w:rsid w:val="009A3219"/>
    <w:rsid w:val="009A7109"/>
    <w:rsid w:val="009B0356"/>
    <w:rsid w:val="009B101F"/>
    <w:rsid w:val="009B2660"/>
    <w:rsid w:val="009B7859"/>
    <w:rsid w:val="009C01D2"/>
    <w:rsid w:val="009C0A7E"/>
    <w:rsid w:val="009C16E7"/>
    <w:rsid w:val="009C75A7"/>
    <w:rsid w:val="009D0AF7"/>
    <w:rsid w:val="009D1177"/>
    <w:rsid w:val="009D3E5D"/>
    <w:rsid w:val="009D7E74"/>
    <w:rsid w:val="009E0438"/>
    <w:rsid w:val="009E0873"/>
    <w:rsid w:val="009E08A2"/>
    <w:rsid w:val="009E12F7"/>
    <w:rsid w:val="009E1821"/>
    <w:rsid w:val="009F2E3A"/>
    <w:rsid w:val="009F356E"/>
    <w:rsid w:val="009F3E34"/>
    <w:rsid w:val="009F697F"/>
    <w:rsid w:val="00A01C80"/>
    <w:rsid w:val="00A049CF"/>
    <w:rsid w:val="00A05514"/>
    <w:rsid w:val="00A057A0"/>
    <w:rsid w:val="00A05960"/>
    <w:rsid w:val="00A0755D"/>
    <w:rsid w:val="00A10B1C"/>
    <w:rsid w:val="00A117D2"/>
    <w:rsid w:val="00A129C4"/>
    <w:rsid w:val="00A12A69"/>
    <w:rsid w:val="00A1599A"/>
    <w:rsid w:val="00A16918"/>
    <w:rsid w:val="00A16951"/>
    <w:rsid w:val="00A16B65"/>
    <w:rsid w:val="00A20BFA"/>
    <w:rsid w:val="00A231C8"/>
    <w:rsid w:val="00A23BD5"/>
    <w:rsid w:val="00A2494D"/>
    <w:rsid w:val="00A26E3C"/>
    <w:rsid w:val="00A34317"/>
    <w:rsid w:val="00A37DCA"/>
    <w:rsid w:val="00A37F52"/>
    <w:rsid w:val="00A414D9"/>
    <w:rsid w:val="00A43199"/>
    <w:rsid w:val="00A45077"/>
    <w:rsid w:val="00A473AA"/>
    <w:rsid w:val="00A56BF1"/>
    <w:rsid w:val="00A632CC"/>
    <w:rsid w:val="00A6372D"/>
    <w:rsid w:val="00A64233"/>
    <w:rsid w:val="00A65C73"/>
    <w:rsid w:val="00A7497B"/>
    <w:rsid w:val="00A75669"/>
    <w:rsid w:val="00A75C20"/>
    <w:rsid w:val="00A7634D"/>
    <w:rsid w:val="00A80734"/>
    <w:rsid w:val="00A81291"/>
    <w:rsid w:val="00A81B0E"/>
    <w:rsid w:val="00A8227D"/>
    <w:rsid w:val="00A847BB"/>
    <w:rsid w:val="00A967FF"/>
    <w:rsid w:val="00A9683A"/>
    <w:rsid w:val="00AA20E2"/>
    <w:rsid w:val="00AA3CB9"/>
    <w:rsid w:val="00AA4BFE"/>
    <w:rsid w:val="00AA64A1"/>
    <w:rsid w:val="00AB0157"/>
    <w:rsid w:val="00AB259A"/>
    <w:rsid w:val="00AB343C"/>
    <w:rsid w:val="00AB7AA0"/>
    <w:rsid w:val="00AC0000"/>
    <w:rsid w:val="00AC089B"/>
    <w:rsid w:val="00AC4E63"/>
    <w:rsid w:val="00AC7CDA"/>
    <w:rsid w:val="00AD0BD9"/>
    <w:rsid w:val="00AD1120"/>
    <w:rsid w:val="00AD2C8A"/>
    <w:rsid w:val="00AD46B4"/>
    <w:rsid w:val="00AD59E4"/>
    <w:rsid w:val="00AE02FD"/>
    <w:rsid w:val="00AE4703"/>
    <w:rsid w:val="00AE47B6"/>
    <w:rsid w:val="00AE78C6"/>
    <w:rsid w:val="00AF29FD"/>
    <w:rsid w:val="00AF557B"/>
    <w:rsid w:val="00AF704B"/>
    <w:rsid w:val="00B00E56"/>
    <w:rsid w:val="00B025F3"/>
    <w:rsid w:val="00B077C4"/>
    <w:rsid w:val="00B106C2"/>
    <w:rsid w:val="00B117FA"/>
    <w:rsid w:val="00B127A7"/>
    <w:rsid w:val="00B13841"/>
    <w:rsid w:val="00B14FF5"/>
    <w:rsid w:val="00B15E12"/>
    <w:rsid w:val="00B21DD2"/>
    <w:rsid w:val="00B276D5"/>
    <w:rsid w:val="00B35381"/>
    <w:rsid w:val="00B35727"/>
    <w:rsid w:val="00B368DA"/>
    <w:rsid w:val="00B36B68"/>
    <w:rsid w:val="00B37ABF"/>
    <w:rsid w:val="00B40A64"/>
    <w:rsid w:val="00B470D2"/>
    <w:rsid w:val="00B54147"/>
    <w:rsid w:val="00B553EF"/>
    <w:rsid w:val="00B57106"/>
    <w:rsid w:val="00B61E5F"/>
    <w:rsid w:val="00B62CE7"/>
    <w:rsid w:val="00B65A45"/>
    <w:rsid w:val="00B7055E"/>
    <w:rsid w:val="00B70749"/>
    <w:rsid w:val="00B73039"/>
    <w:rsid w:val="00B73867"/>
    <w:rsid w:val="00B8506B"/>
    <w:rsid w:val="00B87EF9"/>
    <w:rsid w:val="00B90B20"/>
    <w:rsid w:val="00B93590"/>
    <w:rsid w:val="00BA0178"/>
    <w:rsid w:val="00BA603B"/>
    <w:rsid w:val="00BA6CB6"/>
    <w:rsid w:val="00BA747C"/>
    <w:rsid w:val="00BA7AA1"/>
    <w:rsid w:val="00BB0F74"/>
    <w:rsid w:val="00BB1D05"/>
    <w:rsid w:val="00BB7082"/>
    <w:rsid w:val="00BB7618"/>
    <w:rsid w:val="00BB7EBC"/>
    <w:rsid w:val="00BC27D9"/>
    <w:rsid w:val="00BC2C48"/>
    <w:rsid w:val="00BC3159"/>
    <w:rsid w:val="00BC37C1"/>
    <w:rsid w:val="00BC3C4D"/>
    <w:rsid w:val="00BD3786"/>
    <w:rsid w:val="00BD42E0"/>
    <w:rsid w:val="00BD5CED"/>
    <w:rsid w:val="00BD6E27"/>
    <w:rsid w:val="00BE4C44"/>
    <w:rsid w:val="00BE64C0"/>
    <w:rsid w:val="00BF5256"/>
    <w:rsid w:val="00C00872"/>
    <w:rsid w:val="00C011D6"/>
    <w:rsid w:val="00C01A65"/>
    <w:rsid w:val="00C119FE"/>
    <w:rsid w:val="00C14117"/>
    <w:rsid w:val="00C1655E"/>
    <w:rsid w:val="00C16B54"/>
    <w:rsid w:val="00C23673"/>
    <w:rsid w:val="00C26B23"/>
    <w:rsid w:val="00C26BF1"/>
    <w:rsid w:val="00C30D31"/>
    <w:rsid w:val="00C3420B"/>
    <w:rsid w:val="00C40110"/>
    <w:rsid w:val="00C40E0E"/>
    <w:rsid w:val="00C41953"/>
    <w:rsid w:val="00C4500B"/>
    <w:rsid w:val="00C50862"/>
    <w:rsid w:val="00C53DD0"/>
    <w:rsid w:val="00C56808"/>
    <w:rsid w:val="00C56AD3"/>
    <w:rsid w:val="00C620B4"/>
    <w:rsid w:val="00C64027"/>
    <w:rsid w:val="00C72BF8"/>
    <w:rsid w:val="00C85384"/>
    <w:rsid w:val="00C903F4"/>
    <w:rsid w:val="00C945EF"/>
    <w:rsid w:val="00C97469"/>
    <w:rsid w:val="00C97F51"/>
    <w:rsid w:val="00CA298E"/>
    <w:rsid w:val="00CA50C9"/>
    <w:rsid w:val="00CB1E86"/>
    <w:rsid w:val="00CB4288"/>
    <w:rsid w:val="00CB7C29"/>
    <w:rsid w:val="00CC376B"/>
    <w:rsid w:val="00CC5D07"/>
    <w:rsid w:val="00CD4AD8"/>
    <w:rsid w:val="00CD4F93"/>
    <w:rsid w:val="00CD5070"/>
    <w:rsid w:val="00CD6A9E"/>
    <w:rsid w:val="00CD70B4"/>
    <w:rsid w:val="00CD7DDA"/>
    <w:rsid w:val="00CE123A"/>
    <w:rsid w:val="00CE2123"/>
    <w:rsid w:val="00CE2E69"/>
    <w:rsid w:val="00CE75DC"/>
    <w:rsid w:val="00CE7DA9"/>
    <w:rsid w:val="00CF2DEB"/>
    <w:rsid w:val="00CF78B4"/>
    <w:rsid w:val="00D052BA"/>
    <w:rsid w:val="00D071B9"/>
    <w:rsid w:val="00D11357"/>
    <w:rsid w:val="00D121B6"/>
    <w:rsid w:val="00D12999"/>
    <w:rsid w:val="00D14224"/>
    <w:rsid w:val="00D15934"/>
    <w:rsid w:val="00D15C0C"/>
    <w:rsid w:val="00D22AAF"/>
    <w:rsid w:val="00D23166"/>
    <w:rsid w:val="00D25FA2"/>
    <w:rsid w:val="00D27083"/>
    <w:rsid w:val="00D278BB"/>
    <w:rsid w:val="00D30542"/>
    <w:rsid w:val="00D30959"/>
    <w:rsid w:val="00D3366A"/>
    <w:rsid w:val="00D338E6"/>
    <w:rsid w:val="00D33FAE"/>
    <w:rsid w:val="00D34AC8"/>
    <w:rsid w:val="00D360E2"/>
    <w:rsid w:val="00D40CA1"/>
    <w:rsid w:val="00D4405D"/>
    <w:rsid w:val="00D46452"/>
    <w:rsid w:val="00D55E6C"/>
    <w:rsid w:val="00D567D9"/>
    <w:rsid w:val="00D576AC"/>
    <w:rsid w:val="00D57E57"/>
    <w:rsid w:val="00D62709"/>
    <w:rsid w:val="00D63581"/>
    <w:rsid w:val="00D642FF"/>
    <w:rsid w:val="00D749B2"/>
    <w:rsid w:val="00D80AB0"/>
    <w:rsid w:val="00D84BB9"/>
    <w:rsid w:val="00D85428"/>
    <w:rsid w:val="00D906A3"/>
    <w:rsid w:val="00D91634"/>
    <w:rsid w:val="00D93972"/>
    <w:rsid w:val="00D93B7C"/>
    <w:rsid w:val="00D93DEE"/>
    <w:rsid w:val="00D9696D"/>
    <w:rsid w:val="00D96D67"/>
    <w:rsid w:val="00DA35CD"/>
    <w:rsid w:val="00DA56AB"/>
    <w:rsid w:val="00DA5C31"/>
    <w:rsid w:val="00DB56DE"/>
    <w:rsid w:val="00DB63F1"/>
    <w:rsid w:val="00DB64B7"/>
    <w:rsid w:val="00DC0570"/>
    <w:rsid w:val="00DC1719"/>
    <w:rsid w:val="00DC1E7C"/>
    <w:rsid w:val="00DC360A"/>
    <w:rsid w:val="00DC4030"/>
    <w:rsid w:val="00DC554A"/>
    <w:rsid w:val="00DD06E0"/>
    <w:rsid w:val="00DD16EE"/>
    <w:rsid w:val="00DD5C48"/>
    <w:rsid w:val="00DE2508"/>
    <w:rsid w:val="00DE38B1"/>
    <w:rsid w:val="00DF1038"/>
    <w:rsid w:val="00DF12E8"/>
    <w:rsid w:val="00DF2E52"/>
    <w:rsid w:val="00E00E81"/>
    <w:rsid w:val="00E01393"/>
    <w:rsid w:val="00E01BF9"/>
    <w:rsid w:val="00E03AF5"/>
    <w:rsid w:val="00E04820"/>
    <w:rsid w:val="00E060C2"/>
    <w:rsid w:val="00E0767A"/>
    <w:rsid w:val="00E10F37"/>
    <w:rsid w:val="00E11371"/>
    <w:rsid w:val="00E13832"/>
    <w:rsid w:val="00E15CD0"/>
    <w:rsid w:val="00E167C7"/>
    <w:rsid w:val="00E16AA9"/>
    <w:rsid w:val="00E17A2B"/>
    <w:rsid w:val="00E20707"/>
    <w:rsid w:val="00E23B6A"/>
    <w:rsid w:val="00E23F2E"/>
    <w:rsid w:val="00E25AC4"/>
    <w:rsid w:val="00E27069"/>
    <w:rsid w:val="00E3189E"/>
    <w:rsid w:val="00E32AF0"/>
    <w:rsid w:val="00E43701"/>
    <w:rsid w:val="00E43DBF"/>
    <w:rsid w:val="00E45A27"/>
    <w:rsid w:val="00E463A7"/>
    <w:rsid w:val="00E46E19"/>
    <w:rsid w:val="00E50D52"/>
    <w:rsid w:val="00E53DA0"/>
    <w:rsid w:val="00E57BA1"/>
    <w:rsid w:val="00E640DF"/>
    <w:rsid w:val="00E651B5"/>
    <w:rsid w:val="00E6712E"/>
    <w:rsid w:val="00E70B8D"/>
    <w:rsid w:val="00E714E8"/>
    <w:rsid w:val="00E72E54"/>
    <w:rsid w:val="00E77B17"/>
    <w:rsid w:val="00E8012E"/>
    <w:rsid w:val="00E804A8"/>
    <w:rsid w:val="00E81E36"/>
    <w:rsid w:val="00E938EC"/>
    <w:rsid w:val="00E94595"/>
    <w:rsid w:val="00E94E4B"/>
    <w:rsid w:val="00EA4EEE"/>
    <w:rsid w:val="00EA7141"/>
    <w:rsid w:val="00EB1D33"/>
    <w:rsid w:val="00EB2964"/>
    <w:rsid w:val="00EB4A15"/>
    <w:rsid w:val="00EB635D"/>
    <w:rsid w:val="00EB7ED5"/>
    <w:rsid w:val="00EC1E46"/>
    <w:rsid w:val="00EC3837"/>
    <w:rsid w:val="00EC496A"/>
    <w:rsid w:val="00ED16E5"/>
    <w:rsid w:val="00ED3094"/>
    <w:rsid w:val="00ED4CDF"/>
    <w:rsid w:val="00EE0BC5"/>
    <w:rsid w:val="00EE0BF3"/>
    <w:rsid w:val="00EE161C"/>
    <w:rsid w:val="00EF1988"/>
    <w:rsid w:val="00EF2DA9"/>
    <w:rsid w:val="00EF3133"/>
    <w:rsid w:val="00EF4BE0"/>
    <w:rsid w:val="00EF57EB"/>
    <w:rsid w:val="00EF75C1"/>
    <w:rsid w:val="00EF7BA4"/>
    <w:rsid w:val="00F076AC"/>
    <w:rsid w:val="00F10363"/>
    <w:rsid w:val="00F112E3"/>
    <w:rsid w:val="00F11806"/>
    <w:rsid w:val="00F12B92"/>
    <w:rsid w:val="00F12E7D"/>
    <w:rsid w:val="00F132B7"/>
    <w:rsid w:val="00F15691"/>
    <w:rsid w:val="00F21277"/>
    <w:rsid w:val="00F213B4"/>
    <w:rsid w:val="00F21B8A"/>
    <w:rsid w:val="00F26B62"/>
    <w:rsid w:val="00F26C87"/>
    <w:rsid w:val="00F302C8"/>
    <w:rsid w:val="00F33BAB"/>
    <w:rsid w:val="00F340B9"/>
    <w:rsid w:val="00F35E4C"/>
    <w:rsid w:val="00F37773"/>
    <w:rsid w:val="00F415B4"/>
    <w:rsid w:val="00F45D6A"/>
    <w:rsid w:val="00F46B5E"/>
    <w:rsid w:val="00F50702"/>
    <w:rsid w:val="00F50D7D"/>
    <w:rsid w:val="00F51352"/>
    <w:rsid w:val="00F54FF6"/>
    <w:rsid w:val="00F558E4"/>
    <w:rsid w:val="00F5669D"/>
    <w:rsid w:val="00F616A5"/>
    <w:rsid w:val="00F62E2B"/>
    <w:rsid w:val="00F63549"/>
    <w:rsid w:val="00F65152"/>
    <w:rsid w:val="00F6584B"/>
    <w:rsid w:val="00F67DCF"/>
    <w:rsid w:val="00F67F37"/>
    <w:rsid w:val="00F713AF"/>
    <w:rsid w:val="00F72707"/>
    <w:rsid w:val="00F769ED"/>
    <w:rsid w:val="00F7796A"/>
    <w:rsid w:val="00F77B68"/>
    <w:rsid w:val="00F80097"/>
    <w:rsid w:val="00F80AC2"/>
    <w:rsid w:val="00F81656"/>
    <w:rsid w:val="00F818EC"/>
    <w:rsid w:val="00F81BBC"/>
    <w:rsid w:val="00F84601"/>
    <w:rsid w:val="00F91734"/>
    <w:rsid w:val="00F92124"/>
    <w:rsid w:val="00FA1020"/>
    <w:rsid w:val="00FA2B05"/>
    <w:rsid w:val="00FA2C8E"/>
    <w:rsid w:val="00FA50B2"/>
    <w:rsid w:val="00FA5A69"/>
    <w:rsid w:val="00FA60FA"/>
    <w:rsid w:val="00FB3015"/>
    <w:rsid w:val="00FB3AED"/>
    <w:rsid w:val="00FB6D81"/>
    <w:rsid w:val="00FC0133"/>
    <w:rsid w:val="00FC43C9"/>
    <w:rsid w:val="00FC622F"/>
    <w:rsid w:val="00FC6FAA"/>
    <w:rsid w:val="00FD0423"/>
    <w:rsid w:val="00FD3254"/>
    <w:rsid w:val="00FD41C1"/>
    <w:rsid w:val="00FD45CE"/>
    <w:rsid w:val="00FD6771"/>
    <w:rsid w:val="00FE2A3E"/>
    <w:rsid w:val="00FE3AA1"/>
    <w:rsid w:val="00FE3D34"/>
    <w:rsid w:val="00FF1D69"/>
    <w:rsid w:val="01354654"/>
    <w:rsid w:val="01414761"/>
    <w:rsid w:val="01441B43"/>
    <w:rsid w:val="01507D34"/>
    <w:rsid w:val="0172376C"/>
    <w:rsid w:val="01820C63"/>
    <w:rsid w:val="01B5784B"/>
    <w:rsid w:val="01BA3842"/>
    <w:rsid w:val="01EF43BB"/>
    <w:rsid w:val="02036E6A"/>
    <w:rsid w:val="02204B8A"/>
    <w:rsid w:val="023A157F"/>
    <w:rsid w:val="02630AF6"/>
    <w:rsid w:val="0277301A"/>
    <w:rsid w:val="02810BEB"/>
    <w:rsid w:val="03011177"/>
    <w:rsid w:val="03125417"/>
    <w:rsid w:val="037931DA"/>
    <w:rsid w:val="039340B3"/>
    <w:rsid w:val="03A40BEF"/>
    <w:rsid w:val="03B11A9D"/>
    <w:rsid w:val="03B96EA9"/>
    <w:rsid w:val="03BC1726"/>
    <w:rsid w:val="03C709F3"/>
    <w:rsid w:val="03D822D4"/>
    <w:rsid w:val="03DB79C3"/>
    <w:rsid w:val="03E93FC8"/>
    <w:rsid w:val="03F4380B"/>
    <w:rsid w:val="04172B1E"/>
    <w:rsid w:val="042B2FA1"/>
    <w:rsid w:val="042C7BB8"/>
    <w:rsid w:val="04387DBA"/>
    <w:rsid w:val="04403060"/>
    <w:rsid w:val="04604903"/>
    <w:rsid w:val="047964C9"/>
    <w:rsid w:val="047B02C2"/>
    <w:rsid w:val="048E7561"/>
    <w:rsid w:val="04AC7E38"/>
    <w:rsid w:val="04CB4F8D"/>
    <w:rsid w:val="04D32990"/>
    <w:rsid w:val="04FD623C"/>
    <w:rsid w:val="05030325"/>
    <w:rsid w:val="0503297D"/>
    <w:rsid w:val="05253B7D"/>
    <w:rsid w:val="052671F9"/>
    <w:rsid w:val="0529310A"/>
    <w:rsid w:val="0540127F"/>
    <w:rsid w:val="05444DBA"/>
    <w:rsid w:val="054F7A88"/>
    <w:rsid w:val="057369E6"/>
    <w:rsid w:val="058240B5"/>
    <w:rsid w:val="058B2628"/>
    <w:rsid w:val="05A61E0A"/>
    <w:rsid w:val="05BE6B75"/>
    <w:rsid w:val="061A35E3"/>
    <w:rsid w:val="06476AA6"/>
    <w:rsid w:val="06667595"/>
    <w:rsid w:val="066F069C"/>
    <w:rsid w:val="068410A8"/>
    <w:rsid w:val="06A15E1D"/>
    <w:rsid w:val="06CC1D02"/>
    <w:rsid w:val="06D15B4F"/>
    <w:rsid w:val="06EA361A"/>
    <w:rsid w:val="06FF35AE"/>
    <w:rsid w:val="07100225"/>
    <w:rsid w:val="071D6C3C"/>
    <w:rsid w:val="072A2FCD"/>
    <w:rsid w:val="073E676A"/>
    <w:rsid w:val="078A53C1"/>
    <w:rsid w:val="079863F6"/>
    <w:rsid w:val="07AF3077"/>
    <w:rsid w:val="07B92C3C"/>
    <w:rsid w:val="07C32EB7"/>
    <w:rsid w:val="07CC4F34"/>
    <w:rsid w:val="07D840D4"/>
    <w:rsid w:val="07E133AF"/>
    <w:rsid w:val="0802270B"/>
    <w:rsid w:val="08130D4D"/>
    <w:rsid w:val="08271A57"/>
    <w:rsid w:val="08286305"/>
    <w:rsid w:val="08606438"/>
    <w:rsid w:val="08807182"/>
    <w:rsid w:val="0888354E"/>
    <w:rsid w:val="0893189C"/>
    <w:rsid w:val="08C077E7"/>
    <w:rsid w:val="08E200ED"/>
    <w:rsid w:val="08E5026E"/>
    <w:rsid w:val="09111B4C"/>
    <w:rsid w:val="09166D2B"/>
    <w:rsid w:val="09296DA9"/>
    <w:rsid w:val="09423F69"/>
    <w:rsid w:val="094E1538"/>
    <w:rsid w:val="097E290C"/>
    <w:rsid w:val="09C26991"/>
    <w:rsid w:val="09D354AA"/>
    <w:rsid w:val="0A136E47"/>
    <w:rsid w:val="0A2455EB"/>
    <w:rsid w:val="0A2F0FD7"/>
    <w:rsid w:val="0A583DC3"/>
    <w:rsid w:val="0A5E0D66"/>
    <w:rsid w:val="0A6238E9"/>
    <w:rsid w:val="0A726C5A"/>
    <w:rsid w:val="0AA43604"/>
    <w:rsid w:val="0AA7306A"/>
    <w:rsid w:val="0AB17097"/>
    <w:rsid w:val="0B0A3673"/>
    <w:rsid w:val="0B0B04A3"/>
    <w:rsid w:val="0B822538"/>
    <w:rsid w:val="0B862A5B"/>
    <w:rsid w:val="0B8D0CBE"/>
    <w:rsid w:val="0BC414DD"/>
    <w:rsid w:val="0BF26811"/>
    <w:rsid w:val="0C0B7447"/>
    <w:rsid w:val="0C2C4385"/>
    <w:rsid w:val="0C2F0B8D"/>
    <w:rsid w:val="0C3A41CA"/>
    <w:rsid w:val="0C3B6140"/>
    <w:rsid w:val="0C54025E"/>
    <w:rsid w:val="0C8765DB"/>
    <w:rsid w:val="0CC778D6"/>
    <w:rsid w:val="0CD317E1"/>
    <w:rsid w:val="0CDB4E9C"/>
    <w:rsid w:val="0CDD4579"/>
    <w:rsid w:val="0CE92B8F"/>
    <w:rsid w:val="0D051AEA"/>
    <w:rsid w:val="0D0B7276"/>
    <w:rsid w:val="0D3E3C1C"/>
    <w:rsid w:val="0D542EEE"/>
    <w:rsid w:val="0D7D520B"/>
    <w:rsid w:val="0DCE1532"/>
    <w:rsid w:val="0DDB664A"/>
    <w:rsid w:val="0DF2626F"/>
    <w:rsid w:val="0DFC6D88"/>
    <w:rsid w:val="0E071619"/>
    <w:rsid w:val="0E1B1880"/>
    <w:rsid w:val="0E3137D5"/>
    <w:rsid w:val="0E452476"/>
    <w:rsid w:val="0E583695"/>
    <w:rsid w:val="0E647BC8"/>
    <w:rsid w:val="0E6E115D"/>
    <w:rsid w:val="0E714EDC"/>
    <w:rsid w:val="0E837D5C"/>
    <w:rsid w:val="0E9D75C4"/>
    <w:rsid w:val="0EA53794"/>
    <w:rsid w:val="0ECC307F"/>
    <w:rsid w:val="0ED777E6"/>
    <w:rsid w:val="0EDE2047"/>
    <w:rsid w:val="0F025E5A"/>
    <w:rsid w:val="0F0A07F9"/>
    <w:rsid w:val="0F16142F"/>
    <w:rsid w:val="0F2130DE"/>
    <w:rsid w:val="0F2B146F"/>
    <w:rsid w:val="0F50024D"/>
    <w:rsid w:val="0F65237A"/>
    <w:rsid w:val="0F876579"/>
    <w:rsid w:val="0FA82D43"/>
    <w:rsid w:val="0FAC219A"/>
    <w:rsid w:val="0FB10B31"/>
    <w:rsid w:val="0FC126D0"/>
    <w:rsid w:val="0FCF2C16"/>
    <w:rsid w:val="0FD70D4B"/>
    <w:rsid w:val="0FEA3E2B"/>
    <w:rsid w:val="0FF024B1"/>
    <w:rsid w:val="102474C2"/>
    <w:rsid w:val="1025078D"/>
    <w:rsid w:val="102615C8"/>
    <w:rsid w:val="1037708C"/>
    <w:rsid w:val="104344BA"/>
    <w:rsid w:val="10516717"/>
    <w:rsid w:val="10774D14"/>
    <w:rsid w:val="10794F0E"/>
    <w:rsid w:val="10925C42"/>
    <w:rsid w:val="10B8644B"/>
    <w:rsid w:val="10BD6382"/>
    <w:rsid w:val="10C932C1"/>
    <w:rsid w:val="10CE5F26"/>
    <w:rsid w:val="10D473F3"/>
    <w:rsid w:val="10DB7473"/>
    <w:rsid w:val="10DE59BD"/>
    <w:rsid w:val="10E0388D"/>
    <w:rsid w:val="10E33F15"/>
    <w:rsid w:val="112278CE"/>
    <w:rsid w:val="114003DA"/>
    <w:rsid w:val="115C7CA4"/>
    <w:rsid w:val="12225D8A"/>
    <w:rsid w:val="12313CE5"/>
    <w:rsid w:val="123815F2"/>
    <w:rsid w:val="123D05AD"/>
    <w:rsid w:val="12583071"/>
    <w:rsid w:val="128F3370"/>
    <w:rsid w:val="12C23955"/>
    <w:rsid w:val="12C61FDA"/>
    <w:rsid w:val="12DD2CBE"/>
    <w:rsid w:val="12E5461B"/>
    <w:rsid w:val="12F450A8"/>
    <w:rsid w:val="12F8731A"/>
    <w:rsid w:val="12FB4BDC"/>
    <w:rsid w:val="1302690C"/>
    <w:rsid w:val="133F4A19"/>
    <w:rsid w:val="13445130"/>
    <w:rsid w:val="13491B10"/>
    <w:rsid w:val="1359284E"/>
    <w:rsid w:val="136874F8"/>
    <w:rsid w:val="13C756D9"/>
    <w:rsid w:val="13EB653A"/>
    <w:rsid w:val="13F56E49"/>
    <w:rsid w:val="140D4073"/>
    <w:rsid w:val="14246068"/>
    <w:rsid w:val="14305FC3"/>
    <w:rsid w:val="14672C7A"/>
    <w:rsid w:val="14A26068"/>
    <w:rsid w:val="14BE2C8C"/>
    <w:rsid w:val="14EA3EDE"/>
    <w:rsid w:val="14EB099B"/>
    <w:rsid w:val="14F52C04"/>
    <w:rsid w:val="1525719B"/>
    <w:rsid w:val="1543091A"/>
    <w:rsid w:val="154A777B"/>
    <w:rsid w:val="1552040A"/>
    <w:rsid w:val="155725D5"/>
    <w:rsid w:val="15632263"/>
    <w:rsid w:val="15711A3E"/>
    <w:rsid w:val="15840859"/>
    <w:rsid w:val="15C725C7"/>
    <w:rsid w:val="15F1793A"/>
    <w:rsid w:val="16100A20"/>
    <w:rsid w:val="16111507"/>
    <w:rsid w:val="1648769E"/>
    <w:rsid w:val="1673023A"/>
    <w:rsid w:val="16B25520"/>
    <w:rsid w:val="16B80213"/>
    <w:rsid w:val="16C51787"/>
    <w:rsid w:val="16ED11B4"/>
    <w:rsid w:val="170434C3"/>
    <w:rsid w:val="17103863"/>
    <w:rsid w:val="172175C9"/>
    <w:rsid w:val="1727784B"/>
    <w:rsid w:val="17561B3E"/>
    <w:rsid w:val="176B0966"/>
    <w:rsid w:val="178C0474"/>
    <w:rsid w:val="17913E14"/>
    <w:rsid w:val="179D539B"/>
    <w:rsid w:val="179F7375"/>
    <w:rsid w:val="17B45158"/>
    <w:rsid w:val="17BA2B98"/>
    <w:rsid w:val="17D13CA1"/>
    <w:rsid w:val="17D7362C"/>
    <w:rsid w:val="17E97583"/>
    <w:rsid w:val="18037974"/>
    <w:rsid w:val="1839770E"/>
    <w:rsid w:val="188869A7"/>
    <w:rsid w:val="189701E7"/>
    <w:rsid w:val="189E7B72"/>
    <w:rsid w:val="18D638C4"/>
    <w:rsid w:val="18F11B7B"/>
    <w:rsid w:val="18F14B32"/>
    <w:rsid w:val="19083C40"/>
    <w:rsid w:val="191E4EC2"/>
    <w:rsid w:val="19615405"/>
    <w:rsid w:val="198A0A74"/>
    <w:rsid w:val="199B0586"/>
    <w:rsid w:val="19BA37C2"/>
    <w:rsid w:val="19C72AD7"/>
    <w:rsid w:val="19CE52F5"/>
    <w:rsid w:val="1A0D104E"/>
    <w:rsid w:val="1A1B6B97"/>
    <w:rsid w:val="1A1C3866"/>
    <w:rsid w:val="1A20130E"/>
    <w:rsid w:val="1A203C99"/>
    <w:rsid w:val="1A254EFF"/>
    <w:rsid w:val="1A2650A0"/>
    <w:rsid w:val="1A302507"/>
    <w:rsid w:val="1A4B6652"/>
    <w:rsid w:val="1A664784"/>
    <w:rsid w:val="1A7224D3"/>
    <w:rsid w:val="1AAC0005"/>
    <w:rsid w:val="1ABD78D2"/>
    <w:rsid w:val="1ADD5EA3"/>
    <w:rsid w:val="1AF070C2"/>
    <w:rsid w:val="1B0375D0"/>
    <w:rsid w:val="1B0A1376"/>
    <w:rsid w:val="1B283468"/>
    <w:rsid w:val="1B4545CD"/>
    <w:rsid w:val="1B6437FD"/>
    <w:rsid w:val="1B957DA7"/>
    <w:rsid w:val="1BA937BD"/>
    <w:rsid w:val="1BBF5CF0"/>
    <w:rsid w:val="1BCF2EAD"/>
    <w:rsid w:val="1C1E3926"/>
    <w:rsid w:val="1C2328AC"/>
    <w:rsid w:val="1C2416D5"/>
    <w:rsid w:val="1C5B194E"/>
    <w:rsid w:val="1C962555"/>
    <w:rsid w:val="1CB637B0"/>
    <w:rsid w:val="1CE50C59"/>
    <w:rsid w:val="1CEA6A3B"/>
    <w:rsid w:val="1D3541AB"/>
    <w:rsid w:val="1D4172F6"/>
    <w:rsid w:val="1D4D49A3"/>
    <w:rsid w:val="1D5C09B3"/>
    <w:rsid w:val="1D652049"/>
    <w:rsid w:val="1D6F4EA1"/>
    <w:rsid w:val="1D7A0A19"/>
    <w:rsid w:val="1D7D5518"/>
    <w:rsid w:val="1D884F5D"/>
    <w:rsid w:val="1D9061D3"/>
    <w:rsid w:val="1DB72D4D"/>
    <w:rsid w:val="1DD22C36"/>
    <w:rsid w:val="1DE77269"/>
    <w:rsid w:val="1E247A10"/>
    <w:rsid w:val="1E3A0160"/>
    <w:rsid w:val="1E403EBB"/>
    <w:rsid w:val="1E6B105E"/>
    <w:rsid w:val="1E8073E4"/>
    <w:rsid w:val="1ECD58C2"/>
    <w:rsid w:val="1ED27D23"/>
    <w:rsid w:val="1F163FA4"/>
    <w:rsid w:val="1F3307E6"/>
    <w:rsid w:val="1F4F6FE5"/>
    <w:rsid w:val="1F5949BE"/>
    <w:rsid w:val="1F603109"/>
    <w:rsid w:val="1F91019B"/>
    <w:rsid w:val="1F94485C"/>
    <w:rsid w:val="1FA215F4"/>
    <w:rsid w:val="1FCE33EF"/>
    <w:rsid w:val="1FE56182"/>
    <w:rsid w:val="204C0CA1"/>
    <w:rsid w:val="2093697E"/>
    <w:rsid w:val="20B20B1E"/>
    <w:rsid w:val="20BD62EF"/>
    <w:rsid w:val="20C4671B"/>
    <w:rsid w:val="20C96E58"/>
    <w:rsid w:val="20F02081"/>
    <w:rsid w:val="210C6647"/>
    <w:rsid w:val="211749D8"/>
    <w:rsid w:val="2118245A"/>
    <w:rsid w:val="21197B7C"/>
    <w:rsid w:val="21200C27"/>
    <w:rsid w:val="213308BF"/>
    <w:rsid w:val="213D35A7"/>
    <w:rsid w:val="21805301"/>
    <w:rsid w:val="21907259"/>
    <w:rsid w:val="21AF5D6F"/>
    <w:rsid w:val="21C34AF1"/>
    <w:rsid w:val="21F86683"/>
    <w:rsid w:val="220563EE"/>
    <w:rsid w:val="22386104"/>
    <w:rsid w:val="22621177"/>
    <w:rsid w:val="22727213"/>
    <w:rsid w:val="227277B5"/>
    <w:rsid w:val="22865EB4"/>
    <w:rsid w:val="22F61C57"/>
    <w:rsid w:val="230D6DB1"/>
    <w:rsid w:val="235B390E"/>
    <w:rsid w:val="23835B9B"/>
    <w:rsid w:val="23AF00FE"/>
    <w:rsid w:val="23CE654F"/>
    <w:rsid w:val="23D17E42"/>
    <w:rsid w:val="23E869F5"/>
    <w:rsid w:val="23FF2410"/>
    <w:rsid w:val="24031BC9"/>
    <w:rsid w:val="242A4162"/>
    <w:rsid w:val="243F5C57"/>
    <w:rsid w:val="24420388"/>
    <w:rsid w:val="24515215"/>
    <w:rsid w:val="2491720E"/>
    <w:rsid w:val="24931370"/>
    <w:rsid w:val="24AA04FE"/>
    <w:rsid w:val="24E14E59"/>
    <w:rsid w:val="24E25D13"/>
    <w:rsid w:val="24E76918"/>
    <w:rsid w:val="25274CF1"/>
    <w:rsid w:val="25334819"/>
    <w:rsid w:val="256E5682"/>
    <w:rsid w:val="25787A5E"/>
    <w:rsid w:val="25954510"/>
    <w:rsid w:val="25C6541C"/>
    <w:rsid w:val="264755DA"/>
    <w:rsid w:val="26511F1A"/>
    <w:rsid w:val="266713EC"/>
    <w:rsid w:val="266F679F"/>
    <w:rsid w:val="26866741"/>
    <w:rsid w:val="269615A2"/>
    <w:rsid w:val="26B073A9"/>
    <w:rsid w:val="26B25E07"/>
    <w:rsid w:val="26C25BA1"/>
    <w:rsid w:val="26DC3A36"/>
    <w:rsid w:val="26F25493"/>
    <w:rsid w:val="271401EE"/>
    <w:rsid w:val="271B68B7"/>
    <w:rsid w:val="274A6102"/>
    <w:rsid w:val="27703E15"/>
    <w:rsid w:val="27754CC6"/>
    <w:rsid w:val="278621C5"/>
    <w:rsid w:val="27926901"/>
    <w:rsid w:val="27B53233"/>
    <w:rsid w:val="27BA76BA"/>
    <w:rsid w:val="27BC557B"/>
    <w:rsid w:val="27C03C80"/>
    <w:rsid w:val="27C24AC7"/>
    <w:rsid w:val="27C55A4B"/>
    <w:rsid w:val="27DA47CD"/>
    <w:rsid w:val="27F540AD"/>
    <w:rsid w:val="28295770"/>
    <w:rsid w:val="283C77D9"/>
    <w:rsid w:val="2840342E"/>
    <w:rsid w:val="28837103"/>
    <w:rsid w:val="28B121D1"/>
    <w:rsid w:val="28B43012"/>
    <w:rsid w:val="28FB31CF"/>
    <w:rsid w:val="292A6617"/>
    <w:rsid w:val="2965707A"/>
    <w:rsid w:val="29BA7957"/>
    <w:rsid w:val="29BB5E17"/>
    <w:rsid w:val="29C40D94"/>
    <w:rsid w:val="29CA193C"/>
    <w:rsid w:val="29D335AD"/>
    <w:rsid w:val="29E04D25"/>
    <w:rsid w:val="29EE1740"/>
    <w:rsid w:val="2A0113B1"/>
    <w:rsid w:val="2A065EBD"/>
    <w:rsid w:val="2A2446B6"/>
    <w:rsid w:val="2A462267"/>
    <w:rsid w:val="2A78117A"/>
    <w:rsid w:val="2AAF6413"/>
    <w:rsid w:val="2AB770A3"/>
    <w:rsid w:val="2ABA36C9"/>
    <w:rsid w:val="2ACF41CB"/>
    <w:rsid w:val="2B3A767C"/>
    <w:rsid w:val="2B8B6447"/>
    <w:rsid w:val="2B9D3E9D"/>
    <w:rsid w:val="2BA73E61"/>
    <w:rsid w:val="2BBF5FC4"/>
    <w:rsid w:val="2BC11D11"/>
    <w:rsid w:val="2BD00704"/>
    <w:rsid w:val="2BD9146A"/>
    <w:rsid w:val="2BDC1404"/>
    <w:rsid w:val="2BEF4EFD"/>
    <w:rsid w:val="2C0525C8"/>
    <w:rsid w:val="2C1E78EF"/>
    <w:rsid w:val="2C344011"/>
    <w:rsid w:val="2C351CE7"/>
    <w:rsid w:val="2C573705"/>
    <w:rsid w:val="2C5F1E84"/>
    <w:rsid w:val="2C885F3B"/>
    <w:rsid w:val="2C906BB6"/>
    <w:rsid w:val="2CF30BCC"/>
    <w:rsid w:val="2D275BA3"/>
    <w:rsid w:val="2D3E0C62"/>
    <w:rsid w:val="2D5C42E2"/>
    <w:rsid w:val="2D9E48E8"/>
    <w:rsid w:val="2DE91A5F"/>
    <w:rsid w:val="2DF64D62"/>
    <w:rsid w:val="2E1754AB"/>
    <w:rsid w:val="2E1B3EB1"/>
    <w:rsid w:val="2E3C18F2"/>
    <w:rsid w:val="2E623329"/>
    <w:rsid w:val="2E822AE8"/>
    <w:rsid w:val="2EA3102F"/>
    <w:rsid w:val="2EB45A11"/>
    <w:rsid w:val="2F062BB5"/>
    <w:rsid w:val="2F2E2B75"/>
    <w:rsid w:val="2F3A303A"/>
    <w:rsid w:val="2F594BBE"/>
    <w:rsid w:val="2F7223FD"/>
    <w:rsid w:val="2F7B592D"/>
    <w:rsid w:val="2F7B6206"/>
    <w:rsid w:val="2F821223"/>
    <w:rsid w:val="2F9115F5"/>
    <w:rsid w:val="2FDF7015"/>
    <w:rsid w:val="30093C61"/>
    <w:rsid w:val="301306B6"/>
    <w:rsid w:val="304903DA"/>
    <w:rsid w:val="3069538B"/>
    <w:rsid w:val="30AF1C4A"/>
    <w:rsid w:val="30B654E5"/>
    <w:rsid w:val="30C94509"/>
    <w:rsid w:val="30F15BD9"/>
    <w:rsid w:val="312241A9"/>
    <w:rsid w:val="313F767F"/>
    <w:rsid w:val="319B3DCE"/>
    <w:rsid w:val="31A57EEC"/>
    <w:rsid w:val="31B132D1"/>
    <w:rsid w:val="31B7673F"/>
    <w:rsid w:val="31BC0B24"/>
    <w:rsid w:val="31D077C5"/>
    <w:rsid w:val="31D20A99"/>
    <w:rsid w:val="320A2037"/>
    <w:rsid w:val="322B7D70"/>
    <w:rsid w:val="32655A8C"/>
    <w:rsid w:val="327D700D"/>
    <w:rsid w:val="32BF3101"/>
    <w:rsid w:val="32D8387B"/>
    <w:rsid w:val="32DE5227"/>
    <w:rsid w:val="331F61ED"/>
    <w:rsid w:val="33234BF4"/>
    <w:rsid w:val="33432249"/>
    <w:rsid w:val="33462A7E"/>
    <w:rsid w:val="3392051B"/>
    <w:rsid w:val="33BB3E6D"/>
    <w:rsid w:val="33DA4A28"/>
    <w:rsid w:val="33DC6528"/>
    <w:rsid w:val="33E42162"/>
    <w:rsid w:val="33E54CB2"/>
    <w:rsid w:val="3408276A"/>
    <w:rsid w:val="340E38F4"/>
    <w:rsid w:val="340F0E39"/>
    <w:rsid w:val="34401B48"/>
    <w:rsid w:val="345059F6"/>
    <w:rsid w:val="34530EFB"/>
    <w:rsid w:val="349F55AD"/>
    <w:rsid w:val="34AE259B"/>
    <w:rsid w:val="34C20E1D"/>
    <w:rsid w:val="34D3740C"/>
    <w:rsid w:val="34DC19C6"/>
    <w:rsid w:val="34DC77C8"/>
    <w:rsid w:val="34ED1C61"/>
    <w:rsid w:val="352E6DB0"/>
    <w:rsid w:val="353D2714"/>
    <w:rsid w:val="35486AF7"/>
    <w:rsid w:val="35A2048B"/>
    <w:rsid w:val="35AB26DA"/>
    <w:rsid w:val="35B43C28"/>
    <w:rsid w:val="35BA6C19"/>
    <w:rsid w:val="35E567AF"/>
    <w:rsid w:val="35FD3123"/>
    <w:rsid w:val="36300FF2"/>
    <w:rsid w:val="36584736"/>
    <w:rsid w:val="3669647A"/>
    <w:rsid w:val="36750F69"/>
    <w:rsid w:val="36755A2E"/>
    <w:rsid w:val="36892190"/>
    <w:rsid w:val="36CC3145"/>
    <w:rsid w:val="36D1697E"/>
    <w:rsid w:val="36D63E90"/>
    <w:rsid w:val="36E36FD5"/>
    <w:rsid w:val="36E8556C"/>
    <w:rsid w:val="36FC1783"/>
    <w:rsid w:val="37061582"/>
    <w:rsid w:val="370633C9"/>
    <w:rsid w:val="3743343A"/>
    <w:rsid w:val="37571879"/>
    <w:rsid w:val="37A201CE"/>
    <w:rsid w:val="37CB0D94"/>
    <w:rsid w:val="37EF5B31"/>
    <w:rsid w:val="38145D11"/>
    <w:rsid w:val="38391304"/>
    <w:rsid w:val="38416C32"/>
    <w:rsid w:val="386C67CB"/>
    <w:rsid w:val="388310A7"/>
    <w:rsid w:val="38871187"/>
    <w:rsid w:val="388C1EBB"/>
    <w:rsid w:val="38B16AFE"/>
    <w:rsid w:val="38B826AD"/>
    <w:rsid w:val="393E22F3"/>
    <w:rsid w:val="397A08C3"/>
    <w:rsid w:val="398F70CE"/>
    <w:rsid w:val="39C84C2F"/>
    <w:rsid w:val="39D6012C"/>
    <w:rsid w:val="39DA2C12"/>
    <w:rsid w:val="39E211D3"/>
    <w:rsid w:val="39EA3484"/>
    <w:rsid w:val="39F257E0"/>
    <w:rsid w:val="3A310075"/>
    <w:rsid w:val="3A391852"/>
    <w:rsid w:val="3A4066FA"/>
    <w:rsid w:val="3A412028"/>
    <w:rsid w:val="3A4716F5"/>
    <w:rsid w:val="3A47230E"/>
    <w:rsid w:val="3A56028F"/>
    <w:rsid w:val="3A7022ED"/>
    <w:rsid w:val="3AAC736D"/>
    <w:rsid w:val="3ABF1DD9"/>
    <w:rsid w:val="3AC006C5"/>
    <w:rsid w:val="3AC51CEC"/>
    <w:rsid w:val="3AF67FC7"/>
    <w:rsid w:val="3B106559"/>
    <w:rsid w:val="3B211D87"/>
    <w:rsid w:val="3B567627"/>
    <w:rsid w:val="3B5B0FF1"/>
    <w:rsid w:val="3B615A89"/>
    <w:rsid w:val="3B633094"/>
    <w:rsid w:val="3B653AFE"/>
    <w:rsid w:val="3B7D4569"/>
    <w:rsid w:val="3BA921B4"/>
    <w:rsid w:val="3BB13F7E"/>
    <w:rsid w:val="3BC82FCD"/>
    <w:rsid w:val="3BCB6071"/>
    <w:rsid w:val="3C743CBC"/>
    <w:rsid w:val="3C961C72"/>
    <w:rsid w:val="3CA00003"/>
    <w:rsid w:val="3CA3527B"/>
    <w:rsid w:val="3CAE0592"/>
    <w:rsid w:val="3CAF003F"/>
    <w:rsid w:val="3CB86ADB"/>
    <w:rsid w:val="3CE31D71"/>
    <w:rsid w:val="3CF708F5"/>
    <w:rsid w:val="3D2557E1"/>
    <w:rsid w:val="3D2B37EA"/>
    <w:rsid w:val="3D394CFE"/>
    <w:rsid w:val="3D677DCC"/>
    <w:rsid w:val="3D8040BD"/>
    <w:rsid w:val="3DC23D50"/>
    <w:rsid w:val="3E0C2AD8"/>
    <w:rsid w:val="3E2C18F1"/>
    <w:rsid w:val="3E322758"/>
    <w:rsid w:val="3E3955EC"/>
    <w:rsid w:val="3E57209A"/>
    <w:rsid w:val="3E821852"/>
    <w:rsid w:val="3EC376C8"/>
    <w:rsid w:val="3F5D6272"/>
    <w:rsid w:val="3FA702FB"/>
    <w:rsid w:val="40385F17"/>
    <w:rsid w:val="404D430C"/>
    <w:rsid w:val="40A130E2"/>
    <w:rsid w:val="40A64E90"/>
    <w:rsid w:val="40BA2742"/>
    <w:rsid w:val="40CE708D"/>
    <w:rsid w:val="40D36BDB"/>
    <w:rsid w:val="41030C0F"/>
    <w:rsid w:val="41586FC1"/>
    <w:rsid w:val="415A1619"/>
    <w:rsid w:val="417F1BED"/>
    <w:rsid w:val="41855360"/>
    <w:rsid w:val="41930BFC"/>
    <w:rsid w:val="41980AAB"/>
    <w:rsid w:val="419C74B1"/>
    <w:rsid w:val="41BE03CD"/>
    <w:rsid w:val="42153B5A"/>
    <w:rsid w:val="42181D89"/>
    <w:rsid w:val="424933F7"/>
    <w:rsid w:val="42542ADB"/>
    <w:rsid w:val="426A6C05"/>
    <w:rsid w:val="426E4E56"/>
    <w:rsid w:val="429B7606"/>
    <w:rsid w:val="42AB766E"/>
    <w:rsid w:val="42AD63C0"/>
    <w:rsid w:val="42F25864"/>
    <w:rsid w:val="42F731D7"/>
    <w:rsid w:val="43023E42"/>
    <w:rsid w:val="430B644F"/>
    <w:rsid w:val="433D6A32"/>
    <w:rsid w:val="433F63F9"/>
    <w:rsid w:val="43855F92"/>
    <w:rsid w:val="439165E3"/>
    <w:rsid w:val="4395506D"/>
    <w:rsid w:val="43D91E40"/>
    <w:rsid w:val="43DB57E2"/>
    <w:rsid w:val="43E53449"/>
    <w:rsid w:val="441D6561"/>
    <w:rsid w:val="44252C8B"/>
    <w:rsid w:val="44433F0D"/>
    <w:rsid w:val="44670C49"/>
    <w:rsid w:val="44966813"/>
    <w:rsid w:val="44AE34B6"/>
    <w:rsid w:val="44BE7757"/>
    <w:rsid w:val="44CE5F45"/>
    <w:rsid w:val="44D818E8"/>
    <w:rsid w:val="44E170D1"/>
    <w:rsid w:val="450A2157"/>
    <w:rsid w:val="450C4C96"/>
    <w:rsid w:val="453A44D5"/>
    <w:rsid w:val="45427478"/>
    <w:rsid w:val="45462836"/>
    <w:rsid w:val="45631DE6"/>
    <w:rsid w:val="4585361F"/>
    <w:rsid w:val="458C222C"/>
    <w:rsid w:val="45C82360"/>
    <w:rsid w:val="45CF791E"/>
    <w:rsid w:val="45E723BF"/>
    <w:rsid w:val="46021816"/>
    <w:rsid w:val="46077070"/>
    <w:rsid w:val="463A6D1E"/>
    <w:rsid w:val="466B60C3"/>
    <w:rsid w:val="4673639D"/>
    <w:rsid w:val="468B7152"/>
    <w:rsid w:val="46AD3BFD"/>
    <w:rsid w:val="46BE1992"/>
    <w:rsid w:val="46DA6A27"/>
    <w:rsid w:val="46E04731"/>
    <w:rsid w:val="46F2494D"/>
    <w:rsid w:val="46F43B72"/>
    <w:rsid w:val="471226FF"/>
    <w:rsid w:val="47251A46"/>
    <w:rsid w:val="473D70ED"/>
    <w:rsid w:val="47613E2A"/>
    <w:rsid w:val="47664AA5"/>
    <w:rsid w:val="476B0AC4"/>
    <w:rsid w:val="47706643"/>
    <w:rsid w:val="479A6F50"/>
    <w:rsid w:val="479B2D0A"/>
    <w:rsid w:val="479D72CD"/>
    <w:rsid w:val="47B70FB5"/>
    <w:rsid w:val="47CE11DB"/>
    <w:rsid w:val="47D72409"/>
    <w:rsid w:val="47E0217A"/>
    <w:rsid w:val="47E0741C"/>
    <w:rsid w:val="48087ABB"/>
    <w:rsid w:val="48412169"/>
    <w:rsid w:val="485D2DC8"/>
    <w:rsid w:val="486214C7"/>
    <w:rsid w:val="48656BF1"/>
    <w:rsid w:val="48921EEF"/>
    <w:rsid w:val="489354A0"/>
    <w:rsid w:val="48A429B8"/>
    <w:rsid w:val="48AD483A"/>
    <w:rsid w:val="48B5307C"/>
    <w:rsid w:val="48C133AE"/>
    <w:rsid w:val="48F2555D"/>
    <w:rsid w:val="49247319"/>
    <w:rsid w:val="492B43F9"/>
    <w:rsid w:val="4932704C"/>
    <w:rsid w:val="4943425A"/>
    <w:rsid w:val="49577094"/>
    <w:rsid w:val="4957769F"/>
    <w:rsid w:val="49590F55"/>
    <w:rsid w:val="496D0A77"/>
    <w:rsid w:val="496D671E"/>
    <w:rsid w:val="49C26355"/>
    <w:rsid w:val="49C51095"/>
    <w:rsid w:val="49CF096E"/>
    <w:rsid w:val="4A7E29B0"/>
    <w:rsid w:val="4A811448"/>
    <w:rsid w:val="4AAF68BC"/>
    <w:rsid w:val="4AD27F4E"/>
    <w:rsid w:val="4AF57209"/>
    <w:rsid w:val="4B6420E8"/>
    <w:rsid w:val="4B6E076E"/>
    <w:rsid w:val="4B717BD9"/>
    <w:rsid w:val="4B726AE4"/>
    <w:rsid w:val="4BE1398E"/>
    <w:rsid w:val="4BFF76BB"/>
    <w:rsid w:val="4C1238F6"/>
    <w:rsid w:val="4C151BB3"/>
    <w:rsid w:val="4C1A646C"/>
    <w:rsid w:val="4C2729E6"/>
    <w:rsid w:val="4C2B0C0D"/>
    <w:rsid w:val="4C373098"/>
    <w:rsid w:val="4C4F6C11"/>
    <w:rsid w:val="4C6C226D"/>
    <w:rsid w:val="4C763D3D"/>
    <w:rsid w:val="4C845DC8"/>
    <w:rsid w:val="4CA25878"/>
    <w:rsid w:val="4CA326DF"/>
    <w:rsid w:val="4CA706AC"/>
    <w:rsid w:val="4CBA1EEE"/>
    <w:rsid w:val="4CD82C22"/>
    <w:rsid w:val="4CE7543A"/>
    <w:rsid w:val="4CFA6659"/>
    <w:rsid w:val="4D021D02"/>
    <w:rsid w:val="4D023A66"/>
    <w:rsid w:val="4D0C0970"/>
    <w:rsid w:val="4D171BE3"/>
    <w:rsid w:val="4D352FEF"/>
    <w:rsid w:val="4D4F451A"/>
    <w:rsid w:val="4D7A4F40"/>
    <w:rsid w:val="4DD84D52"/>
    <w:rsid w:val="4DEC1465"/>
    <w:rsid w:val="4E283848"/>
    <w:rsid w:val="4E2D3FAF"/>
    <w:rsid w:val="4E7C7A4F"/>
    <w:rsid w:val="4E8C3B18"/>
    <w:rsid w:val="4E9948B8"/>
    <w:rsid w:val="4EBC715B"/>
    <w:rsid w:val="4EC86D5A"/>
    <w:rsid w:val="4ED748E6"/>
    <w:rsid w:val="4F2651C2"/>
    <w:rsid w:val="4F2B2DCB"/>
    <w:rsid w:val="4F391107"/>
    <w:rsid w:val="4F416B96"/>
    <w:rsid w:val="4F494B2F"/>
    <w:rsid w:val="4F4D5814"/>
    <w:rsid w:val="4F72536A"/>
    <w:rsid w:val="4F75285F"/>
    <w:rsid w:val="4F77150C"/>
    <w:rsid w:val="4F7F3DFA"/>
    <w:rsid w:val="4FA60C51"/>
    <w:rsid w:val="4FB85258"/>
    <w:rsid w:val="4FC5456E"/>
    <w:rsid w:val="4FDD5DBA"/>
    <w:rsid w:val="4FE1234B"/>
    <w:rsid w:val="50082A59"/>
    <w:rsid w:val="5013686C"/>
    <w:rsid w:val="50205B81"/>
    <w:rsid w:val="505C4CD8"/>
    <w:rsid w:val="507B323C"/>
    <w:rsid w:val="508828AC"/>
    <w:rsid w:val="50A436C1"/>
    <w:rsid w:val="50A4615B"/>
    <w:rsid w:val="50AF4AC5"/>
    <w:rsid w:val="50D756B0"/>
    <w:rsid w:val="50EA06FB"/>
    <w:rsid w:val="50F1653E"/>
    <w:rsid w:val="510E2781"/>
    <w:rsid w:val="5117649A"/>
    <w:rsid w:val="511D5085"/>
    <w:rsid w:val="512C357A"/>
    <w:rsid w:val="514B566F"/>
    <w:rsid w:val="51505FAA"/>
    <w:rsid w:val="515336D8"/>
    <w:rsid w:val="515B7E88"/>
    <w:rsid w:val="5171736A"/>
    <w:rsid w:val="5179160D"/>
    <w:rsid w:val="51AB5688"/>
    <w:rsid w:val="51AC05E2"/>
    <w:rsid w:val="51DA61D7"/>
    <w:rsid w:val="51EC47F3"/>
    <w:rsid w:val="51F6669B"/>
    <w:rsid w:val="5206185F"/>
    <w:rsid w:val="52102E2E"/>
    <w:rsid w:val="5214633A"/>
    <w:rsid w:val="52426240"/>
    <w:rsid w:val="526B4A53"/>
    <w:rsid w:val="527D2F06"/>
    <w:rsid w:val="52A340DC"/>
    <w:rsid w:val="52A7770B"/>
    <w:rsid w:val="52AC274C"/>
    <w:rsid w:val="52D86399"/>
    <w:rsid w:val="52EC2711"/>
    <w:rsid w:val="52ED68A1"/>
    <w:rsid w:val="5329430A"/>
    <w:rsid w:val="532D3606"/>
    <w:rsid w:val="53396E96"/>
    <w:rsid w:val="53425D0D"/>
    <w:rsid w:val="534C36DF"/>
    <w:rsid w:val="535440E6"/>
    <w:rsid w:val="53803A05"/>
    <w:rsid w:val="53AD43B2"/>
    <w:rsid w:val="53BC775D"/>
    <w:rsid w:val="53F555CD"/>
    <w:rsid w:val="53FC5C4A"/>
    <w:rsid w:val="53FF00DB"/>
    <w:rsid w:val="541323C8"/>
    <w:rsid w:val="542418BE"/>
    <w:rsid w:val="543041CE"/>
    <w:rsid w:val="54355F2D"/>
    <w:rsid w:val="54590988"/>
    <w:rsid w:val="54814E14"/>
    <w:rsid w:val="54851639"/>
    <w:rsid w:val="549D1AF1"/>
    <w:rsid w:val="54A73102"/>
    <w:rsid w:val="54AB0F83"/>
    <w:rsid w:val="54C676CF"/>
    <w:rsid w:val="54D13EE2"/>
    <w:rsid w:val="54F51066"/>
    <w:rsid w:val="55292147"/>
    <w:rsid w:val="554E5025"/>
    <w:rsid w:val="557C2E05"/>
    <w:rsid w:val="559D089E"/>
    <w:rsid w:val="55BB22B6"/>
    <w:rsid w:val="56024028"/>
    <w:rsid w:val="56077688"/>
    <w:rsid w:val="5609009E"/>
    <w:rsid w:val="560F686F"/>
    <w:rsid w:val="561921DF"/>
    <w:rsid w:val="5650660D"/>
    <w:rsid w:val="566E0E96"/>
    <w:rsid w:val="56A07FA4"/>
    <w:rsid w:val="56A603BA"/>
    <w:rsid w:val="56B83573"/>
    <w:rsid w:val="56D60CDE"/>
    <w:rsid w:val="56E70D03"/>
    <w:rsid w:val="56EE4DEF"/>
    <w:rsid w:val="57212282"/>
    <w:rsid w:val="57354985"/>
    <w:rsid w:val="575532BC"/>
    <w:rsid w:val="57597E5D"/>
    <w:rsid w:val="578B1C7E"/>
    <w:rsid w:val="578F3D41"/>
    <w:rsid w:val="57951482"/>
    <w:rsid w:val="57971EC0"/>
    <w:rsid w:val="579837FE"/>
    <w:rsid w:val="57B0688B"/>
    <w:rsid w:val="57D16C87"/>
    <w:rsid w:val="57EA5DF6"/>
    <w:rsid w:val="580D3B0A"/>
    <w:rsid w:val="580D63BD"/>
    <w:rsid w:val="58340ED0"/>
    <w:rsid w:val="583C53D3"/>
    <w:rsid w:val="58661294"/>
    <w:rsid w:val="58673110"/>
    <w:rsid w:val="587D777F"/>
    <w:rsid w:val="58AE4F0C"/>
    <w:rsid w:val="58C637EB"/>
    <w:rsid w:val="58C85294"/>
    <w:rsid w:val="58CD51AB"/>
    <w:rsid w:val="58F246FB"/>
    <w:rsid w:val="58F400ED"/>
    <w:rsid w:val="591F4593"/>
    <w:rsid w:val="595F6856"/>
    <w:rsid w:val="59746A1E"/>
    <w:rsid w:val="599A5E0E"/>
    <w:rsid w:val="59A76C0F"/>
    <w:rsid w:val="59CF4F42"/>
    <w:rsid w:val="59E051FD"/>
    <w:rsid w:val="59FD00B1"/>
    <w:rsid w:val="5A22286F"/>
    <w:rsid w:val="5A3543EB"/>
    <w:rsid w:val="5A5020B9"/>
    <w:rsid w:val="5A5A66F6"/>
    <w:rsid w:val="5AA7634B"/>
    <w:rsid w:val="5AB03C98"/>
    <w:rsid w:val="5AEC7D39"/>
    <w:rsid w:val="5B385084"/>
    <w:rsid w:val="5B693FD0"/>
    <w:rsid w:val="5B6C4B1F"/>
    <w:rsid w:val="5B722EEF"/>
    <w:rsid w:val="5B7C4AB2"/>
    <w:rsid w:val="5B8930BB"/>
    <w:rsid w:val="5BDD36B9"/>
    <w:rsid w:val="5BE57F51"/>
    <w:rsid w:val="5C247F2E"/>
    <w:rsid w:val="5C297741"/>
    <w:rsid w:val="5C2B3F1E"/>
    <w:rsid w:val="5C387834"/>
    <w:rsid w:val="5C497267"/>
    <w:rsid w:val="5C650F7B"/>
    <w:rsid w:val="5C72159C"/>
    <w:rsid w:val="5C722A23"/>
    <w:rsid w:val="5CAD707D"/>
    <w:rsid w:val="5CC62AC2"/>
    <w:rsid w:val="5CC70544"/>
    <w:rsid w:val="5CE0366C"/>
    <w:rsid w:val="5CE926A8"/>
    <w:rsid w:val="5CF5176E"/>
    <w:rsid w:val="5D1B0E72"/>
    <w:rsid w:val="5D1F428F"/>
    <w:rsid w:val="5D26470C"/>
    <w:rsid w:val="5D2C42B6"/>
    <w:rsid w:val="5D396EF8"/>
    <w:rsid w:val="5D4C6F49"/>
    <w:rsid w:val="5D721DBF"/>
    <w:rsid w:val="5D8865F2"/>
    <w:rsid w:val="5D947398"/>
    <w:rsid w:val="5D972281"/>
    <w:rsid w:val="5DB012C9"/>
    <w:rsid w:val="5DD63F84"/>
    <w:rsid w:val="5DFF36AB"/>
    <w:rsid w:val="5E014DC8"/>
    <w:rsid w:val="5E215B9F"/>
    <w:rsid w:val="5E3B77AB"/>
    <w:rsid w:val="5E6A7757"/>
    <w:rsid w:val="5E743630"/>
    <w:rsid w:val="5E805317"/>
    <w:rsid w:val="5E9B404D"/>
    <w:rsid w:val="5E9F7FE0"/>
    <w:rsid w:val="5ED363DD"/>
    <w:rsid w:val="5EF5140C"/>
    <w:rsid w:val="5EF940A9"/>
    <w:rsid w:val="5F737229"/>
    <w:rsid w:val="5F7420CC"/>
    <w:rsid w:val="5F8374C3"/>
    <w:rsid w:val="5F921CDC"/>
    <w:rsid w:val="5F9B2C2D"/>
    <w:rsid w:val="5FCB739A"/>
    <w:rsid w:val="5FD7420C"/>
    <w:rsid w:val="5FE91B31"/>
    <w:rsid w:val="600F3461"/>
    <w:rsid w:val="6014572D"/>
    <w:rsid w:val="601B093B"/>
    <w:rsid w:val="601F20A6"/>
    <w:rsid w:val="60285A00"/>
    <w:rsid w:val="60642034"/>
    <w:rsid w:val="6099689B"/>
    <w:rsid w:val="609D5027"/>
    <w:rsid w:val="60A973A8"/>
    <w:rsid w:val="60B947F7"/>
    <w:rsid w:val="60C93F57"/>
    <w:rsid w:val="60D64A70"/>
    <w:rsid w:val="60DA7AE1"/>
    <w:rsid w:val="61312681"/>
    <w:rsid w:val="613B6814"/>
    <w:rsid w:val="614538A0"/>
    <w:rsid w:val="61474825"/>
    <w:rsid w:val="61533CF4"/>
    <w:rsid w:val="618F2A1B"/>
    <w:rsid w:val="61E8463D"/>
    <w:rsid w:val="61F66976"/>
    <w:rsid w:val="622B5DD2"/>
    <w:rsid w:val="625476E2"/>
    <w:rsid w:val="62F11E84"/>
    <w:rsid w:val="63186C07"/>
    <w:rsid w:val="63243CE6"/>
    <w:rsid w:val="6332564A"/>
    <w:rsid w:val="63362884"/>
    <w:rsid w:val="634A2A4C"/>
    <w:rsid w:val="63623C1B"/>
    <w:rsid w:val="63697617"/>
    <w:rsid w:val="636B1878"/>
    <w:rsid w:val="63C95BC1"/>
    <w:rsid w:val="63E65B0C"/>
    <w:rsid w:val="63F63A4B"/>
    <w:rsid w:val="64002820"/>
    <w:rsid w:val="641F05B0"/>
    <w:rsid w:val="64592EAE"/>
    <w:rsid w:val="646A5F0B"/>
    <w:rsid w:val="64956FC4"/>
    <w:rsid w:val="64B26E3D"/>
    <w:rsid w:val="64B84FA0"/>
    <w:rsid w:val="64F02128"/>
    <w:rsid w:val="64F532A5"/>
    <w:rsid w:val="65151063"/>
    <w:rsid w:val="65362218"/>
    <w:rsid w:val="653D3533"/>
    <w:rsid w:val="65511BFE"/>
    <w:rsid w:val="658B0030"/>
    <w:rsid w:val="658C1FA6"/>
    <w:rsid w:val="658C582A"/>
    <w:rsid w:val="6617798C"/>
    <w:rsid w:val="661E1367"/>
    <w:rsid w:val="66257383"/>
    <w:rsid w:val="662C704C"/>
    <w:rsid w:val="664C75FB"/>
    <w:rsid w:val="665B4BFD"/>
    <w:rsid w:val="66773B49"/>
    <w:rsid w:val="668734C3"/>
    <w:rsid w:val="66880613"/>
    <w:rsid w:val="669D0C89"/>
    <w:rsid w:val="66BD5E37"/>
    <w:rsid w:val="66CD05B8"/>
    <w:rsid w:val="66D45883"/>
    <w:rsid w:val="66E34C2B"/>
    <w:rsid w:val="66E36FA4"/>
    <w:rsid w:val="6718001F"/>
    <w:rsid w:val="6719761A"/>
    <w:rsid w:val="671D34DF"/>
    <w:rsid w:val="67277785"/>
    <w:rsid w:val="672B68B4"/>
    <w:rsid w:val="673D2B3B"/>
    <w:rsid w:val="67547394"/>
    <w:rsid w:val="675A0CE5"/>
    <w:rsid w:val="67F25F98"/>
    <w:rsid w:val="67FE00FF"/>
    <w:rsid w:val="680F1327"/>
    <w:rsid w:val="68326D82"/>
    <w:rsid w:val="68351F05"/>
    <w:rsid w:val="6854771B"/>
    <w:rsid w:val="68654C52"/>
    <w:rsid w:val="686A2301"/>
    <w:rsid w:val="68802106"/>
    <w:rsid w:val="688D6B47"/>
    <w:rsid w:val="6890131A"/>
    <w:rsid w:val="68B10009"/>
    <w:rsid w:val="68D10BE0"/>
    <w:rsid w:val="68D50789"/>
    <w:rsid w:val="68DA0494"/>
    <w:rsid w:val="68FE51D1"/>
    <w:rsid w:val="6901358E"/>
    <w:rsid w:val="695F3F42"/>
    <w:rsid w:val="696C5805"/>
    <w:rsid w:val="69992912"/>
    <w:rsid w:val="69A72D09"/>
    <w:rsid w:val="69C92243"/>
    <w:rsid w:val="69EE06C6"/>
    <w:rsid w:val="69F256DE"/>
    <w:rsid w:val="69FE07B7"/>
    <w:rsid w:val="6A146F17"/>
    <w:rsid w:val="6A366C80"/>
    <w:rsid w:val="6A6A1EA4"/>
    <w:rsid w:val="6A8D0893"/>
    <w:rsid w:val="6A9F3D41"/>
    <w:rsid w:val="6AA16952"/>
    <w:rsid w:val="6AC128B3"/>
    <w:rsid w:val="6AE17565"/>
    <w:rsid w:val="6AE217D8"/>
    <w:rsid w:val="6AF362D7"/>
    <w:rsid w:val="6B103D5C"/>
    <w:rsid w:val="6B1F5138"/>
    <w:rsid w:val="6B58740A"/>
    <w:rsid w:val="6B600DDB"/>
    <w:rsid w:val="6B84248A"/>
    <w:rsid w:val="6BCE02FB"/>
    <w:rsid w:val="6BD15F74"/>
    <w:rsid w:val="6C1E6AA7"/>
    <w:rsid w:val="6C2F1B45"/>
    <w:rsid w:val="6CB716E9"/>
    <w:rsid w:val="6CBF03BF"/>
    <w:rsid w:val="6CD70031"/>
    <w:rsid w:val="6CD843E1"/>
    <w:rsid w:val="6CDD1929"/>
    <w:rsid w:val="6CEF517F"/>
    <w:rsid w:val="6D4E66F1"/>
    <w:rsid w:val="6D5124C8"/>
    <w:rsid w:val="6D561DB9"/>
    <w:rsid w:val="6D954C42"/>
    <w:rsid w:val="6DA113EF"/>
    <w:rsid w:val="6DA210AF"/>
    <w:rsid w:val="6DB95CF3"/>
    <w:rsid w:val="6DC45495"/>
    <w:rsid w:val="6E136ABD"/>
    <w:rsid w:val="6E253734"/>
    <w:rsid w:val="6E724F8D"/>
    <w:rsid w:val="6EDB78C8"/>
    <w:rsid w:val="6EDE6AF0"/>
    <w:rsid w:val="6EF3320D"/>
    <w:rsid w:val="6F0923D5"/>
    <w:rsid w:val="6F197D89"/>
    <w:rsid w:val="6F3F40F8"/>
    <w:rsid w:val="6F460A9E"/>
    <w:rsid w:val="6F7B7C73"/>
    <w:rsid w:val="6F7E364C"/>
    <w:rsid w:val="6FCF76FD"/>
    <w:rsid w:val="6FD42F82"/>
    <w:rsid w:val="6FDD67EF"/>
    <w:rsid w:val="6FE31078"/>
    <w:rsid w:val="6FFB7C54"/>
    <w:rsid w:val="705A0AF2"/>
    <w:rsid w:val="706332D7"/>
    <w:rsid w:val="70647BF1"/>
    <w:rsid w:val="706A5169"/>
    <w:rsid w:val="7077188D"/>
    <w:rsid w:val="70953C43"/>
    <w:rsid w:val="70993852"/>
    <w:rsid w:val="70AD3868"/>
    <w:rsid w:val="70B40C75"/>
    <w:rsid w:val="70B57F05"/>
    <w:rsid w:val="70BA6401"/>
    <w:rsid w:val="70DD5B9B"/>
    <w:rsid w:val="70E26535"/>
    <w:rsid w:val="70E82BBF"/>
    <w:rsid w:val="70ED27BC"/>
    <w:rsid w:val="70FE78C8"/>
    <w:rsid w:val="711E4B2B"/>
    <w:rsid w:val="71411B5D"/>
    <w:rsid w:val="71493675"/>
    <w:rsid w:val="71511DF8"/>
    <w:rsid w:val="71735FA3"/>
    <w:rsid w:val="7199445C"/>
    <w:rsid w:val="71BD5B68"/>
    <w:rsid w:val="71C3382C"/>
    <w:rsid w:val="71DB64D8"/>
    <w:rsid w:val="71F009FC"/>
    <w:rsid w:val="71FC1DED"/>
    <w:rsid w:val="71FC4895"/>
    <w:rsid w:val="721B033F"/>
    <w:rsid w:val="725E322F"/>
    <w:rsid w:val="72A02D9E"/>
    <w:rsid w:val="72A64CA8"/>
    <w:rsid w:val="72BC259C"/>
    <w:rsid w:val="72BF30ED"/>
    <w:rsid w:val="72C03FC3"/>
    <w:rsid w:val="72DD798B"/>
    <w:rsid w:val="72E67C90"/>
    <w:rsid w:val="731A2481"/>
    <w:rsid w:val="731D6ABC"/>
    <w:rsid w:val="735A21CD"/>
    <w:rsid w:val="73667C95"/>
    <w:rsid w:val="73A84566"/>
    <w:rsid w:val="73B1562E"/>
    <w:rsid w:val="73BF049C"/>
    <w:rsid w:val="73E4425B"/>
    <w:rsid w:val="73EB4CE7"/>
    <w:rsid w:val="740003DC"/>
    <w:rsid w:val="74092B56"/>
    <w:rsid w:val="740C518F"/>
    <w:rsid w:val="740D040F"/>
    <w:rsid w:val="74572CB5"/>
    <w:rsid w:val="746E6A1C"/>
    <w:rsid w:val="74856785"/>
    <w:rsid w:val="74A87232"/>
    <w:rsid w:val="74BA79C4"/>
    <w:rsid w:val="74BE199C"/>
    <w:rsid w:val="74CC27DE"/>
    <w:rsid w:val="74D670E7"/>
    <w:rsid w:val="74E74088"/>
    <w:rsid w:val="74E9737D"/>
    <w:rsid w:val="74FF6341"/>
    <w:rsid w:val="75063912"/>
    <w:rsid w:val="751D54BA"/>
    <w:rsid w:val="752B4646"/>
    <w:rsid w:val="752D1C30"/>
    <w:rsid w:val="7564352A"/>
    <w:rsid w:val="757921C7"/>
    <w:rsid w:val="75B82FB1"/>
    <w:rsid w:val="75C42647"/>
    <w:rsid w:val="75E502B3"/>
    <w:rsid w:val="765C3ABF"/>
    <w:rsid w:val="765D53F3"/>
    <w:rsid w:val="7665053A"/>
    <w:rsid w:val="76656405"/>
    <w:rsid w:val="766619F4"/>
    <w:rsid w:val="76667632"/>
    <w:rsid w:val="76887FC1"/>
    <w:rsid w:val="76C94CBA"/>
    <w:rsid w:val="76CB604C"/>
    <w:rsid w:val="76CC75F6"/>
    <w:rsid w:val="76E7282F"/>
    <w:rsid w:val="770470FC"/>
    <w:rsid w:val="772165ED"/>
    <w:rsid w:val="774B6D5B"/>
    <w:rsid w:val="776677F4"/>
    <w:rsid w:val="77835A9F"/>
    <w:rsid w:val="778744A6"/>
    <w:rsid w:val="77A13343"/>
    <w:rsid w:val="77CA6C9F"/>
    <w:rsid w:val="77CB0E80"/>
    <w:rsid w:val="77DC19B1"/>
    <w:rsid w:val="77DF7C7A"/>
    <w:rsid w:val="77F04CC6"/>
    <w:rsid w:val="78181816"/>
    <w:rsid w:val="781D3E1F"/>
    <w:rsid w:val="78204141"/>
    <w:rsid w:val="783C141E"/>
    <w:rsid w:val="783C3DD7"/>
    <w:rsid w:val="783D126A"/>
    <w:rsid w:val="783D3FD4"/>
    <w:rsid w:val="78AE3726"/>
    <w:rsid w:val="78B26191"/>
    <w:rsid w:val="790D55A6"/>
    <w:rsid w:val="79327D64"/>
    <w:rsid w:val="794E3E11"/>
    <w:rsid w:val="79707045"/>
    <w:rsid w:val="797178FD"/>
    <w:rsid w:val="79A50121"/>
    <w:rsid w:val="79B15BA7"/>
    <w:rsid w:val="79E827D4"/>
    <w:rsid w:val="79ED2696"/>
    <w:rsid w:val="7A2B3800"/>
    <w:rsid w:val="7A2F618F"/>
    <w:rsid w:val="7A44639F"/>
    <w:rsid w:val="7A497AF6"/>
    <w:rsid w:val="7A497EFD"/>
    <w:rsid w:val="7A533B74"/>
    <w:rsid w:val="7A9C044F"/>
    <w:rsid w:val="7AA11240"/>
    <w:rsid w:val="7AA271E4"/>
    <w:rsid w:val="7AB46DE1"/>
    <w:rsid w:val="7ABF0BA2"/>
    <w:rsid w:val="7AD3168F"/>
    <w:rsid w:val="7AE02FCF"/>
    <w:rsid w:val="7AF82054"/>
    <w:rsid w:val="7B1C0819"/>
    <w:rsid w:val="7B257601"/>
    <w:rsid w:val="7B411E39"/>
    <w:rsid w:val="7B56EB8D"/>
    <w:rsid w:val="7B6A05E6"/>
    <w:rsid w:val="7B6B0909"/>
    <w:rsid w:val="7B6E74DB"/>
    <w:rsid w:val="7B7C4579"/>
    <w:rsid w:val="7BB1107D"/>
    <w:rsid w:val="7BC57D1D"/>
    <w:rsid w:val="7BF0032A"/>
    <w:rsid w:val="7BF97273"/>
    <w:rsid w:val="7BFFC4BF"/>
    <w:rsid w:val="7C022030"/>
    <w:rsid w:val="7C273F4C"/>
    <w:rsid w:val="7C6E4CB3"/>
    <w:rsid w:val="7C7236B9"/>
    <w:rsid w:val="7C940194"/>
    <w:rsid w:val="7C9B6FCC"/>
    <w:rsid w:val="7CA03670"/>
    <w:rsid w:val="7CBD02B6"/>
    <w:rsid w:val="7CD47EDB"/>
    <w:rsid w:val="7CD91CE4"/>
    <w:rsid w:val="7CE24040"/>
    <w:rsid w:val="7D1C60D1"/>
    <w:rsid w:val="7D206B1A"/>
    <w:rsid w:val="7D3E3AB1"/>
    <w:rsid w:val="7D493C2B"/>
    <w:rsid w:val="7D4D68A0"/>
    <w:rsid w:val="7D527F3F"/>
    <w:rsid w:val="7D5A4178"/>
    <w:rsid w:val="7D772F67"/>
    <w:rsid w:val="7D7A65B0"/>
    <w:rsid w:val="7D8F2CD0"/>
    <w:rsid w:val="7D9F2E27"/>
    <w:rsid w:val="7D9F460E"/>
    <w:rsid w:val="7DA40CED"/>
    <w:rsid w:val="7DA71E7E"/>
    <w:rsid w:val="7DF42372"/>
    <w:rsid w:val="7DFB1EBB"/>
    <w:rsid w:val="7DFF2EA7"/>
    <w:rsid w:val="7E006343"/>
    <w:rsid w:val="7E05604E"/>
    <w:rsid w:val="7E0F43DF"/>
    <w:rsid w:val="7E294F89"/>
    <w:rsid w:val="7E7452CC"/>
    <w:rsid w:val="7E766F8B"/>
    <w:rsid w:val="7E8D2AAF"/>
    <w:rsid w:val="7F0F3267"/>
    <w:rsid w:val="7F342EBD"/>
    <w:rsid w:val="7F346740"/>
    <w:rsid w:val="7F5150FD"/>
    <w:rsid w:val="7F7D4900"/>
    <w:rsid w:val="7FA172D0"/>
    <w:rsid w:val="7FA52EA3"/>
    <w:rsid w:val="7FC82A99"/>
    <w:rsid w:val="7FCA46B5"/>
    <w:rsid w:val="7FD839CB"/>
    <w:rsid w:val="B376CD53"/>
    <w:rsid w:val="B83FD4BF"/>
    <w:rsid w:val="BDFF8FD6"/>
    <w:rsid w:val="DF5F8359"/>
    <w:rsid w:val="F1FFBA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1"/>
      <w:lang w:val="en-US" w:eastAsia="zh-CN" w:bidi="ar-SA"/>
    </w:rPr>
  </w:style>
  <w:style w:type="paragraph" w:styleId="2">
    <w:name w:val="heading 1"/>
    <w:basedOn w:val="1"/>
    <w:next w:val="1"/>
    <w:link w:val="44"/>
    <w:qFormat/>
    <w:uiPriority w:val="0"/>
    <w:pPr>
      <w:keepNext/>
      <w:keepLines/>
      <w:spacing w:after="120" w:afterLines="0" w:line="360" w:lineRule="auto"/>
      <w:outlineLvl w:val="0"/>
    </w:pPr>
    <w:rPr>
      <w:rFonts w:ascii="仿宋_GB2312" w:hAnsi="宋体" w:eastAsia="仿宋_GB2312" w:cs="宋体"/>
      <w:b/>
      <w:bCs/>
      <w:sz w:val="30"/>
      <w:szCs w:val="30"/>
    </w:rPr>
  </w:style>
  <w:style w:type="paragraph" w:styleId="3">
    <w:name w:val="heading 2"/>
    <w:basedOn w:val="1"/>
    <w:next w:val="1"/>
    <w:link w:val="45"/>
    <w:qFormat/>
    <w:uiPriority w:val="0"/>
    <w:pPr>
      <w:keepNext/>
      <w:keepLines/>
      <w:spacing w:before="240" w:beforeLines="0" w:after="120" w:afterLines="0" w:line="360" w:lineRule="auto"/>
      <w:jc w:val="center"/>
      <w:outlineLvl w:val="1"/>
    </w:pPr>
    <w:rPr>
      <w:rFonts w:ascii="仿宋_GB2312" w:hAnsi="宋体" w:eastAsia="仿宋_GB2312" w:cs="宋体"/>
      <w:b/>
      <w:sz w:val="30"/>
      <w:szCs w:val="30"/>
    </w:rPr>
  </w:style>
  <w:style w:type="paragraph" w:styleId="4">
    <w:name w:val="heading 3"/>
    <w:basedOn w:val="1"/>
    <w:next w:val="1"/>
    <w:link w:val="46"/>
    <w:qFormat/>
    <w:uiPriority w:val="0"/>
    <w:pPr>
      <w:keepNext/>
      <w:keepLines/>
      <w:spacing w:before="156" w:beforeLines="50" w:line="360" w:lineRule="auto"/>
      <w:jc w:val="center"/>
      <w:outlineLvl w:val="2"/>
    </w:pPr>
    <w:rPr>
      <w:rFonts w:ascii="仿宋_GB2312" w:hAnsi="宋体" w:eastAsia="仿宋_GB2312" w:cs="宋体"/>
      <w:b/>
      <w:sz w:val="30"/>
      <w:szCs w:val="30"/>
    </w:rPr>
  </w:style>
  <w:style w:type="paragraph" w:styleId="5">
    <w:name w:val="heading 4"/>
    <w:basedOn w:val="1"/>
    <w:next w:val="1"/>
    <w:link w:val="47"/>
    <w:qFormat/>
    <w:uiPriority w:val="0"/>
    <w:pPr>
      <w:ind w:left="3124" w:hanging="284"/>
      <w:outlineLvl w:val="3"/>
    </w:pPr>
    <w:rPr>
      <w:rFonts w:ascii="Arial" w:hAnsi="Arial" w:eastAsia="仿宋_GB2312" w:cs="Times New Roman"/>
      <w:sz w:val="30"/>
      <w:szCs w:val="30"/>
    </w:rPr>
  </w:style>
  <w:style w:type="paragraph" w:styleId="6">
    <w:name w:val="heading 5"/>
    <w:basedOn w:val="5"/>
    <w:next w:val="7"/>
    <w:link w:val="48"/>
    <w:qFormat/>
    <w:uiPriority w:val="0"/>
    <w:pPr>
      <w:spacing w:line="240" w:lineRule="exact"/>
      <w:ind w:left="3124"/>
      <w:outlineLvl w:val="4"/>
    </w:pPr>
    <w:rPr>
      <w:rFonts w:ascii="Arial" w:hAnsi="Arial" w:eastAsia="仿宋_GB2312" w:cs="Times New Roman"/>
      <w:sz w:val="30"/>
      <w:szCs w:val="30"/>
    </w:rPr>
  </w:style>
  <w:style w:type="paragraph" w:styleId="8">
    <w:name w:val="heading 6"/>
    <w:basedOn w:val="1"/>
    <w:next w:val="1"/>
    <w:link w:val="49"/>
    <w:qFormat/>
    <w:uiPriority w:val="0"/>
    <w:pPr>
      <w:keepNext/>
      <w:keepLines/>
      <w:spacing w:before="240" w:after="64" w:line="312" w:lineRule="auto"/>
      <w:outlineLvl w:val="5"/>
    </w:pPr>
    <w:rPr>
      <w:rFonts w:ascii="Arial" w:hAnsi="Arial" w:eastAsia="黑体" w:cs="Times New Roman"/>
      <w:b/>
      <w:bCs/>
      <w:sz w:val="24"/>
      <w:szCs w:val="24"/>
    </w:rPr>
  </w:style>
  <w:style w:type="paragraph" w:styleId="9">
    <w:name w:val="heading 7"/>
    <w:basedOn w:val="1"/>
    <w:next w:val="7"/>
    <w:link w:val="50"/>
    <w:qFormat/>
    <w:uiPriority w:val="0"/>
    <w:pPr>
      <w:keepNext/>
      <w:keepLines/>
      <w:spacing w:before="240" w:after="64" w:line="312" w:lineRule="auto"/>
      <w:outlineLvl w:val="6"/>
    </w:pPr>
    <w:rPr>
      <w:rFonts w:ascii="Times New Roman" w:hAnsi="Times New Roman" w:eastAsia="楷体_GB2312" w:cs="Times New Roman"/>
      <w:b/>
      <w:sz w:val="24"/>
      <w:szCs w:val="20"/>
    </w:rPr>
  </w:style>
  <w:style w:type="paragraph" w:styleId="10">
    <w:name w:val="heading 8"/>
    <w:basedOn w:val="1"/>
    <w:next w:val="7"/>
    <w:link w:val="51"/>
    <w:qFormat/>
    <w:uiPriority w:val="0"/>
    <w:pPr>
      <w:keepNext/>
      <w:keepLines/>
      <w:spacing w:before="240" w:after="64" w:line="312" w:lineRule="auto"/>
      <w:outlineLvl w:val="7"/>
    </w:pPr>
    <w:rPr>
      <w:rFonts w:ascii="Arial" w:hAnsi="Arial" w:eastAsia="黑体" w:cs="Times New Roman"/>
      <w:sz w:val="24"/>
      <w:szCs w:val="20"/>
    </w:rPr>
  </w:style>
  <w:style w:type="paragraph" w:styleId="11">
    <w:name w:val="heading 9"/>
    <w:basedOn w:val="1"/>
    <w:next w:val="7"/>
    <w:link w:val="52"/>
    <w:qFormat/>
    <w:uiPriority w:val="0"/>
    <w:pPr>
      <w:keepNext/>
      <w:keepLines/>
      <w:spacing w:before="240" w:after="64" w:line="312" w:lineRule="auto"/>
      <w:outlineLvl w:val="8"/>
    </w:pPr>
    <w:rPr>
      <w:rFonts w:ascii="Arial" w:hAnsi="Arial" w:eastAsia="黑体" w:cs="Times New Roman"/>
      <w:szCs w:val="20"/>
    </w:rPr>
  </w:style>
  <w:style w:type="character" w:default="1" w:styleId="36">
    <w:name w:val="Default Paragraph Font"/>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ind w:firstLine="420"/>
    </w:pPr>
  </w:style>
  <w:style w:type="paragraph" w:styleId="12">
    <w:name w:val="Document Map"/>
    <w:basedOn w:val="1"/>
    <w:link w:val="53"/>
    <w:qFormat/>
    <w:uiPriority w:val="0"/>
    <w:pPr>
      <w:shd w:val="clear" w:color="auto" w:fill="000080"/>
    </w:pPr>
    <w:rPr>
      <w:rFonts w:ascii="Times New Roman" w:hAnsi="Times New Roman" w:eastAsia="楷体_GB2312" w:cs="Times New Roman"/>
      <w:szCs w:val="20"/>
      <w:shd w:val="clear" w:color="auto" w:fill="000080"/>
    </w:rPr>
  </w:style>
  <w:style w:type="paragraph" w:styleId="13">
    <w:name w:val="toa heading"/>
    <w:basedOn w:val="1"/>
    <w:next w:val="1"/>
    <w:qFormat/>
    <w:uiPriority w:val="0"/>
    <w:pPr>
      <w:spacing w:before="120"/>
    </w:pPr>
    <w:rPr>
      <w:rFonts w:ascii="Arial" w:hAnsi="Arial"/>
      <w:sz w:val="24"/>
    </w:rPr>
  </w:style>
  <w:style w:type="paragraph" w:styleId="14">
    <w:name w:val="annotation text"/>
    <w:basedOn w:val="1"/>
    <w:link w:val="54"/>
    <w:qFormat/>
    <w:uiPriority w:val="0"/>
    <w:pPr>
      <w:jc w:val="left"/>
    </w:pPr>
    <w:rPr>
      <w:rFonts w:ascii="Times New Roman" w:hAnsi="Times New Roman" w:eastAsia="楷体_GB2312" w:cs="Times New Roman"/>
      <w:szCs w:val="20"/>
    </w:rPr>
  </w:style>
  <w:style w:type="paragraph" w:styleId="15">
    <w:name w:val="Body Text 3"/>
    <w:basedOn w:val="1"/>
    <w:qFormat/>
    <w:uiPriority w:val="0"/>
    <w:rPr>
      <w:rFonts w:ascii="宋体" w:hAnsi="Calibri" w:eastAsia="宋体" w:cs="Times New Roman"/>
      <w:kern w:val="2"/>
      <w:sz w:val="24"/>
      <w:lang w:val="en-US" w:eastAsia="zh-CN" w:bidi="ar-SA"/>
    </w:rPr>
  </w:style>
  <w:style w:type="paragraph" w:styleId="16">
    <w:name w:val="Body Text"/>
    <w:basedOn w:val="1"/>
    <w:link w:val="55"/>
    <w:qFormat/>
    <w:uiPriority w:val="0"/>
    <w:pPr>
      <w:spacing w:after="120" w:afterLines="0"/>
    </w:pPr>
    <w:rPr>
      <w:rFonts w:ascii="Times New Roman" w:hAnsi="Times New Roman" w:eastAsia="楷体_GB2312" w:cs="Times New Roman"/>
      <w:szCs w:val="20"/>
    </w:rPr>
  </w:style>
  <w:style w:type="paragraph" w:styleId="17">
    <w:name w:val="Body Text Indent"/>
    <w:basedOn w:val="1"/>
    <w:next w:val="18"/>
    <w:qFormat/>
    <w:uiPriority w:val="0"/>
    <w:pPr>
      <w:ind w:firstLine="600" w:firstLineChars="200"/>
    </w:pPr>
    <w:rPr>
      <w:rFonts w:ascii="宋体" w:hAnsi="Times New Roman"/>
      <w:sz w:val="30"/>
      <w:szCs w:val="20"/>
    </w:rPr>
  </w:style>
  <w:style w:type="paragraph" w:styleId="18">
    <w:name w:val="envelope return"/>
    <w:basedOn w:val="1"/>
    <w:qFormat/>
    <w:uiPriority w:val="0"/>
    <w:pPr>
      <w:snapToGrid w:val="0"/>
    </w:pPr>
    <w:rPr>
      <w:rFonts w:ascii="Arial" w:hAnsi="Arial"/>
    </w:rPr>
  </w:style>
  <w:style w:type="paragraph" w:styleId="19">
    <w:name w:val="toc 3"/>
    <w:basedOn w:val="1"/>
    <w:next w:val="1"/>
    <w:qFormat/>
    <w:uiPriority w:val="0"/>
    <w:pPr>
      <w:ind w:left="840" w:leftChars="400"/>
    </w:pPr>
  </w:style>
  <w:style w:type="paragraph" w:styleId="20">
    <w:name w:val="Plain Text"/>
    <w:basedOn w:val="1"/>
    <w:next w:val="1"/>
    <w:link w:val="57"/>
    <w:qFormat/>
    <w:uiPriority w:val="0"/>
    <w:rPr>
      <w:rFonts w:ascii="宋体" w:hAnsi="Courier New" w:eastAsia="楷体_GB2312"/>
      <w:szCs w:val="24"/>
    </w:rPr>
  </w:style>
  <w:style w:type="paragraph" w:styleId="21">
    <w:name w:val="Date"/>
    <w:basedOn w:val="1"/>
    <w:next w:val="1"/>
    <w:link w:val="58"/>
    <w:qFormat/>
    <w:uiPriority w:val="0"/>
    <w:rPr>
      <w:rFonts w:ascii="Times New Roman" w:hAnsi="Times New Roman" w:eastAsia="楷体_GB2312" w:cs="Times New Roman"/>
      <w:szCs w:val="20"/>
    </w:rPr>
  </w:style>
  <w:style w:type="paragraph" w:styleId="22">
    <w:name w:val="endnote text"/>
    <w:basedOn w:val="1"/>
    <w:link w:val="59"/>
    <w:qFormat/>
    <w:uiPriority w:val="0"/>
    <w:pPr>
      <w:snapToGrid w:val="0"/>
      <w:jc w:val="left"/>
    </w:pPr>
    <w:rPr>
      <w:rFonts w:ascii="宋体" w:hAnsi="宋体"/>
      <w:szCs w:val="24"/>
    </w:rPr>
  </w:style>
  <w:style w:type="paragraph" w:styleId="23">
    <w:name w:val="Balloon Text"/>
    <w:basedOn w:val="1"/>
    <w:link w:val="60"/>
    <w:qFormat/>
    <w:uiPriority w:val="0"/>
    <w:rPr>
      <w:rFonts w:ascii="Times New Roman" w:hAnsi="Times New Roman" w:eastAsia="楷体_GB2312" w:cs="Times New Roman"/>
      <w:sz w:val="18"/>
      <w:szCs w:val="18"/>
    </w:rPr>
  </w:style>
  <w:style w:type="paragraph" w:styleId="24">
    <w:name w:val="footer"/>
    <w:basedOn w:val="1"/>
    <w:link w:val="61"/>
    <w:qFormat/>
    <w:uiPriority w:val="0"/>
    <w:pPr>
      <w:tabs>
        <w:tab w:val="center" w:pos="4153"/>
        <w:tab w:val="right" w:pos="8306"/>
      </w:tabs>
      <w:snapToGrid w:val="0"/>
      <w:jc w:val="left"/>
    </w:pPr>
    <w:rPr>
      <w:rFonts w:ascii="Times New Roman" w:hAnsi="Times New Roman" w:eastAsia="楷体_GB2312" w:cs="Times New Roman"/>
      <w:sz w:val="18"/>
      <w:szCs w:val="18"/>
    </w:rPr>
  </w:style>
  <w:style w:type="paragraph" w:styleId="25">
    <w:name w:val="header"/>
    <w:basedOn w:val="1"/>
    <w:link w:val="62"/>
    <w:qFormat/>
    <w:uiPriority w:val="0"/>
    <w:pPr>
      <w:pBdr>
        <w:bottom w:val="single" w:color="auto" w:sz="6" w:space="1"/>
      </w:pBdr>
      <w:tabs>
        <w:tab w:val="center" w:pos="4153"/>
        <w:tab w:val="right" w:pos="8306"/>
      </w:tabs>
      <w:snapToGrid w:val="0"/>
      <w:jc w:val="center"/>
    </w:pPr>
    <w:rPr>
      <w:rFonts w:ascii="Times New Roman" w:hAnsi="Times New Roman" w:eastAsia="楷体_GB2312" w:cs="Times New Roman"/>
      <w:sz w:val="18"/>
      <w:szCs w:val="18"/>
    </w:rPr>
  </w:style>
  <w:style w:type="paragraph" w:styleId="26">
    <w:name w:val="toc 1"/>
    <w:basedOn w:val="1"/>
    <w:next w:val="1"/>
    <w:qFormat/>
    <w:uiPriority w:val="0"/>
    <w:pPr>
      <w:tabs>
        <w:tab w:val="right" w:leader="dot" w:pos="8493"/>
      </w:tabs>
      <w:adjustRightInd w:val="0"/>
      <w:spacing w:line="360" w:lineRule="auto"/>
      <w:jc w:val="left"/>
    </w:pPr>
    <w:rPr>
      <w:rFonts w:ascii="宋体" w:hAnsi="宋体"/>
      <w:b/>
      <w:caps/>
      <w:kern w:val="0"/>
      <w:sz w:val="24"/>
      <w:szCs w:val="32"/>
    </w:rPr>
  </w:style>
  <w:style w:type="paragraph" w:styleId="27">
    <w:name w:val="toc 2"/>
    <w:basedOn w:val="1"/>
    <w:next w:val="1"/>
    <w:qFormat/>
    <w:uiPriority w:val="0"/>
    <w:pPr>
      <w:tabs>
        <w:tab w:val="right" w:leader="dot" w:pos="9060"/>
      </w:tabs>
      <w:snapToGrid w:val="0"/>
      <w:spacing w:line="360" w:lineRule="auto"/>
      <w:jc w:val="left"/>
    </w:pPr>
    <w:rPr>
      <w:sz w:val="24"/>
      <w:szCs w:val="24"/>
    </w:rPr>
  </w:style>
  <w:style w:type="paragraph" w:styleId="28">
    <w:name w:val="Body Text 2"/>
    <w:basedOn w:val="1"/>
    <w:link w:val="63"/>
    <w:qFormat/>
    <w:uiPriority w:val="0"/>
    <w:rPr>
      <w:rFonts w:ascii="宋体" w:hAnsi="宋体" w:eastAsia="楷体_GB2312" w:cs="Times New Roman"/>
      <w:szCs w:val="24"/>
      <w:u w:val="single"/>
    </w:rPr>
  </w:style>
  <w:style w:type="paragraph" w:styleId="29">
    <w:name w:val="index 1"/>
    <w:basedOn w:val="1"/>
    <w:next w:val="1"/>
    <w:qFormat/>
    <w:uiPriority w:val="0"/>
    <w:rPr>
      <w:szCs w:val="24"/>
    </w:rPr>
  </w:style>
  <w:style w:type="paragraph" w:styleId="30">
    <w:name w:val="Title"/>
    <w:basedOn w:val="1"/>
    <w:next w:val="1"/>
    <w:link w:val="56"/>
    <w:qFormat/>
    <w:uiPriority w:val="0"/>
    <w:pPr>
      <w:spacing w:before="120" w:beforeLines="0" w:after="60" w:afterLines="0"/>
      <w:jc w:val="center"/>
    </w:pPr>
    <w:rPr>
      <w:rFonts w:ascii="Arial" w:hAnsi="Arial" w:eastAsia="楷体_GB2312" w:cs="Times New Roman"/>
      <w:b/>
      <w:sz w:val="44"/>
      <w:szCs w:val="20"/>
    </w:rPr>
  </w:style>
  <w:style w:type="paragraph" w:styleId="31">
    <w:name w:val="annotation subject"/>
    <w:basedOn w:val="14"/>
    <w:next w:val="14"/>
    <w:link w:val="64"/>
    <w:qFormat/>
    <w:uiPriority w:val="0"/>
    <w:rPr>
      <w:b/>
      <w:bCs/>
    </w:rPr>
  </w:style>
  <w:style w:type="paragraph" w:styleId="32">
    <w:name w:val="Body Text First Indent"/>
    <w:basedOn w:val="16"/>
    <w:link w:val="65"/>
    <w:qFormat/>
    <w:uiPriority w:val="0"/>
    <w:pPr>
      <w:ind w:firstLine="420"/>
    </w:pPr>
  </w:style>
  <w:style w:type="paragraph" w:styleId="33">
    <w:name w:val="Body Text First Indent 2"/>
    <w:basedOn w:val="17"/>
    <w:unhideWhenUsed/>
    <w:qFormat/>
    <w:uiPriority w:val="0"/>
    <w:pPr>
      <w:ind w:firstLine="420" w:firstLineChars="200"/>
    </w:pPr>
    <w:rPr>
      <w:sz w:val="21"/>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rFonts w:eastAsia="宋体"/>
      <w:b/>
      <w:bCs/>
      <w:kern w:val="2"/>
      <w:sz w:val="24"/>
      <w:szCs w:val="24"/>
      <w:lang w:val="en-US" w:eastAsia="zh-CN" w:bidi="ar-SA"/>
    </w:rPr>
  </w:style>
  <w:style w:type="character" w:styleId="38">
    <w:name w:val="endnote reference"/>
    <w:basedOn w:val="36"/>
    <w:qFormat/>
    <w:uiPriority w:val="0"/>
    <w:rPr>
      <w:rFonts w:eastAsia="宋体"/>
      <w:kern w:val="2"/>
      <w:sz w:val="24"/>
      <w:szCs w:val="24"/>
      <w:vertAlign w:val="superscript"/>
      <w:lang w:val="en-US" w:eastAsia="zh-CN" w:bidi="ar-SA"/>
    </w:rPr>
  </w:style>
  <w:style w:type="character" w:styleId="39">
    <w:name w:val="page number"/>
    <w:basedOn w:val="36"/>
    <w:qFormat/>
    <w:uiPriority w:val="0"/>
    <w:rPr>
      <w:rFonts w:eastAsia="宋体"/>
      <w:kern w:val="2"/>
      <w:sz w:val="24"/>
      <w:szCs w:val="24"/>
      <w:lang w:val="en-US" w:eastAsia="zh-CN" w:bidi="ar-SA"/>
    </w:rPr>
  </w:style>
  <w:style w:type="character" w:styleId="40">
    <w:name w:val="FollowedHyperlink"/>
    <w:basedOn w:val="36"/>
    <w:qFormat/>
    <w:uiPriority w:val="0"/>
    <w:rPr>
      <w:color w:val="800080"/>
      <w:u w:val="single"/>
    </w:rPr>
  </w:style>
  <w:style w:type="character" w:styleId="41">
    <w:name w:val="Hyperlink"/>
    <w:basedOn w:val="36"/>
    <w:qFormat/>
    <w:uiPriority w:val="0"/>
    <w:rPr>
      <w:rFonts w:eastAsia="宋体"/>
      <w:color w:val="0000FF"/>
      <w:kern w:val="2"/>
      <w:sz w:val="24"/>
      <w:szCs w:val="24"/>
      <w:u w:val="single"/>
      <w:lang w:val="en-US" w:eastAsia="zh-CN" w:bidi="ar-SA"/>
    </w:rPr>
  </w:style>
  <w:style w:type="character" w:styleId="42">
    <w:name w:val="annotation reference"/>
    <w:basedOn w:val="36"/>
    <w:qFormat/>
    <w:uiPriority w:val="0"/>
    <w:rPr>
      <w:rFonts w:eastAsia="宋体"/>
      <w:kern w:val="2"/>
      <w:sz w:val="21"/>
      <w:szCs w:val="21"/>
      <w:lang w:val="en-US" w:eastAsia="zh-CN" w:bidi="ar-SA"/>
    </w:rPr>
  </w:style>
  <w:style w:type="paragraph" w:customStyle="1" w:styleId="4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4">
    <w:name w:val="标题 1 Char"/>
    <w:basedOn w:val="36"/>
    <w:link w:val="2"/>
    <w:qFormat/>
    <w:uiPriority w:val="0"/>
    <w:rPr>
      <w:rFonts w:ascii="仿宋_GB2312" w:hAnsi="宋体" w:eastAsia="仿宋_GB2312" w:cs="宋体"/>
      <w:b/>
      <w:bCs/>
      <w:sz w:val="30"/>
      <w:szCs w:val="30"/>
    </w:rPr>
  </w:style>
  <w:style w:type="character" w:customStyle="1" w:styleId="45">
    <w:name w:val="标题 2 Char"/>
    <w:basedOn w:val="36"/>
    <w:link w:val="3"/>
    <w:qFormat/>
    <w:uiPriority w:val="0"/>
    <w:rPr>
      <w:rFonts w:ascii="仿宋_GB2312" w:hAnsi="宋体" w:eastAsia="仿宋_GB2312" w:cs="宋体"/>
      <w:b/>
      <w:sz w:val="30"/>
      <w:szCs w:val="30"/>
    </w:rPr>
  </w:style>
  <w:style w:type="character" w:customStyle="1" w:styleId="46">
    <w:name w:val="标题 3 Char"/>
    <w:basedOn w:val="36"/>
    <w:link w:val="4"/>
    <w:qFormat/>
    <w:uiPriority w:val="0"/>
    <w:rPr>
      <w:rFonts w:ascii="仿宋_GB2312" w:hAnsi="宋体" w:eastAsia="仿宋_GB2312" w:cs="宋体"/>
      <w:b/>
      <w:sz w:val="30"/>
      <w:szCs w:val="30"/>
    </w:rPr>
  </w:style>
  <w:style w:type="character" w:customStyle="1" w:styleId="47">
    <w:name w:val="标题 4 Char"/>
    <w:basedOn w:val="36"/>
    <w:link w:val="5"/>
    <w:qFormat/>
    <w:uiPriority w:val="0"/>
    <w:rPr>
      <w:rFonts w:ascii="Arial" w:hAnsi="Arial" w:eastAsia="仿宋_GB2312"/>
      <w:b/>
      <w:kern w:val="2"/>
      <w:sz w:val="30"/>
      <w:szCs w:val="30"/>
      <w:lang w:val="en-US" w:eastAsia="zh-CN" w:bidi="ar-SA"/>
    </w:rPr>
  </w:style>
  <w:style w:type="character" w:customStyle="1" w:styleId="48">
    <w:name w:val="标题 5 Char"/>
    <w:basedOn w:val="36"/>
    <w:link w:val="6"/>
    <w:qFormat/>
    <w:uiPriority w:val="0"/>
    <w:rPr>
      <w:rFonts w:ascii="Arial" w:hAnsi="Arial" w:eastAsia="仿宋_GB2312" w:cs="Times New Roman"/>
      <w:sz w:val="30"/>
      <w:szCs w:val="30"/>
    </w:rPr>
  </w:style>
  <w:style w:type="character" w:customStyle="1" w:styleId="49">
    <w:name w:val="标题 6 Char"/>
    <w:basedOn w:val="36"/>
    <w:link w:val="8"/>
    <w:qFormat/>
    <w:uiPriority w:val="0"/>
    <w:rPr>
      <w:rFonts w:ascii="Arial" w:hAnsi="Arial" w:eastAsia="黑体"/>
      <w:b/>
      <w:bCs/>
      <w:kern w:val="2"/>
      <w:sz w:val="24"/>
      <w:szCs w:val="24"/>
      <w:lang w:val="en-US" w:eastAsia="zh-CN" w:bidi="ar-SA"/>
    </w:rPr>
  </w:style>
  <w:style w:type="character" w:customStyle="1" w:styleId="50">
    <w:name w:val="标题 7 Char"/>
    <w:basedOn w:val="36"/>
    <w:link w:val="9"/>
    <w:qFormat/>
    <w:uiPriority w:val="0"/>
    <w:rPr>
      <w:rFonts w:eastAsia="楷体_GB2312"/>
      <w:b/>
      <w:kern w:val="2"/>
      <w:sz w:val="24"/>
      <w:lang w:val="en-US" w:eastAsia="zh-CN" w:bidi="ar-SA"/>
    </w:rPr>
  </w:style>
  <w:style w:type="character" w:customStyle="1" w:styleId="51">
    <w:name w:val="标题 8 Char"/>
    <w:basedOn w:val="36"/>
    <w:link w:val="10"/>
    <w:qFormat/>
    <w:uiPriority w:val="0"/>
    <w:rPr>
      <w:rFonts w:ascii="Arial" w:hAnsi="Arial" w:eastAsia="黑体"/>
      <w:kern w:val="2"/>
      <w:sz w:val="24"/>
      <w:lang w:val="en-US" w:eastAsia="zh-CN" w:bidi="ar-SA"/>
    </w:rPr>
  </w:style>
  <w:style w:type="character" w:customStyle="1" w:styleId="52">
    <w:name w:val="标题 9 Char"/>
    <w:basedOn w:val="36"/>
    <w:link w:val="11"/>
    <w:qFormat/>
    <w:uiPriority w:val="0"/>
    <w:rPr>
      <w:rFonts w:ascii="Arial" w:hAnsi="Arial" w:eastAsia="黑体"/>
      <w:kern w:val="2"/>
      <w:sz w:val="21"/>
      <w:lang w:val="en-US" w:eastAsia="zh-CN" w:bidi="ar-SA"/>
    </w:rPr>
  </w:style>
  <w:style w:type="character" w:customStyle="1" w:styleId="53">
    <w:name w:val="文档结构图 Char"/>
    <w:basedOn w:val="36"/>
    <w:link w:val="12"/>
    <w:qFormat/>
    <w:uiPriority w:val="0"/>
    <w:rPr>
      <w:rFonts w:ascii="Times New Roman" w:hAnsi="Times New Roman" w:eastAsia="楷体_GB2312" w:cs="Times New Roman"/>
      <w:szCs w:val="20"/>
      <w:shd w:val="clear" w:color="auto" w:fill="000080"/>
    </w:rPr>
  </w:style>
  <w:style w:type="character" w:customStyle="1" w:styleId="54">
    <w:name w:val="批注文字 Char"/>
    <w:basedOn w:val="36"/>
    <w:link w:val="14"/>
    <w:qFormat/>
    <w:uiPriority w:val="0"/>
    <w:rPr>
      <w:rFonts w:ascii="Times New Roman" w:hAnsi="Times New Roman" w:eastAsia="楷体_GB2312" w:cs="Times New Roman"/>
      <w:szCs w:val="20"/>
    </w:rPr>
  </w:style>
  <w:style w:type="character" w:customStyle="1" w:styleId="55">
    <w:name w:val="正文文本 Char"/>
    <w:basedOn w:val="36"/>
    <w:link w:val="16"/>
    <w:qFormat/>
    <w:uiPriority w:val="0"/>
    <w:rPr>
      <w:rFonts w:ascii="Times New Roman" w:hAnsi="Times New Roman" w:eastAsia="楷体_GB2312" w:cs="Times New Roman"/>
      <w:szCs w:val="20"/>
    </w:rPr>
  </w:style>
  <w:style w:type="character" w:customStyle="1" w:styleId="56">
    <w:name w:val="标题 Char"/>
    <w:basedOn w:val="36"/>
    <w:link w:val="30"/>
    <w:qFormat/>
    <w:uiPriority w:val="0"/>
    <w:rPr>
      <w:rFonts w:ascii="Arial" w:hAnsi="Arial" w:eastAsia="楷体_GB2312" w:cs="Times New Roman"/>
      <w:b/>
      <w:sz w:val="44"/>
      <w:szCs w:val="20"/>
    </w:rPr>
  </w:style>
  <w:style w:type="character" w:customStyle="1" w:styleId="57">
    <w:name w:val="纯文本 Char"/>
    <w:basedOn w:val="36"/>
    <w:link w:val="20"/>
    <w:qFormat/>
    <w:uiPriority w:val="0"/>
    <w:rPr>
      <w:rFonts w:ascii="宋体" w:hAnsi="Courier New" w:eastAsia="楷体_GB2312"/>
      <w:szCs w:val="24"/>
    </w:rPr>
  </w:style>
  <w:style w:type="character" w:customStyle="1" w:styleId="58">
    <w:name w:val="日期 Char"/>
    <w:basedOn w:val="36"/>
    <w:link w:val="21"/>
    <w:qFormat/>
    <w:uiPriority w:val="0"/>
    <w:rPr>
      <w:rFonts w:ascii="Times New Roman" w:hAnsi="Times New Roman" w:eastAsia="楷体_GB2312" w:cs="Times New Roman"/>
      <w:szCs w:val="20"/>
    </w:rPr>
  </w:style>
  <w:style w:type="character" w:customStyle="1" w:styleId="59">
    <w:name w:val="尾注文本 Char"/>
    <w:basedOn w:val="36"/>
    <w:link w:val="22"/>
    <w:qFormat/>
    <w:uiPriority w:val="0"/>
    <w:rPr>
      <w:rFonts w:ascii="宋体" w:hAnsi="宋体"/>
      <w:szCs w:val="24"/>
    </w:rPr>
  </w:style>
  <w:style w:type="character" w:customStyle="1" w:styleId="60">
    <w:name w:val="批注框文本 Char"/>
    <w:basedOn w:val="36"/>
    <w:link w:val="23"/>
    <w:qFormat/>
    <w:uiPriority w:val="0"/>
    <w:rPr>
      <w:rFonts w:ascii="Times New Roman" w:hAnsi="Times New Roman" w:eastAsia="楷体_GB2312" w:cs="Times New Roman"/>
      <w:sz w:val="18"/>
      <w:szCs w:val="18"/>
    </w:rPr>
  </w:style>
  <w:style w:type="character" w:customStyle="1" w:styleId="61">
    <w:name w:val="页脚 Char"/>
    <w:basedOn w:val="36"/>
    <w:link w:val="24"/>
    <w:qFormat/>
    <w:uiPriority w:val="0"/>
    <w:rPr>
      <w:rFonts w:ascii="Times New Roman" w:hAnsi="Times New Roman" w:eastAsia="楷体_GB2312" w:cs="Times New Roman"/>
      <w:sz w:val="18"/>
      <w:szCs w:val="18"/>
    </w:rPr>
  </w:style>
  <w:style w:type="character" w:customStyle="1" w:styleId="62">
    <w:name w:val="页眉 Char"/>
    <w:basedOn w:val="36"/>
    <w:link w:val="25"/>
    <w:qFormat/>
    <w:uiPriority w:val="0"/>
    <w:rPr>
      <w:rFonts w:ascii="Times New Roman" w:hAnsi="Times New Roman" w:eastAsia="楷体_GB2312" w:cs="Times New Roman"/>
      <w:sz w:val="18"/>
      <w:szCs w:val="18"/>
    </w:rPr>
  </w:style>
  <w:style w:type="character" w:customStyle="1" w:styleId="63">
    <w:name w:val="正文文本 2 Char"/>
    <w:basedOn w:val="36"/>
    <w:link w:val="28"/>
    <w:qFormat/>
    <w:uiPriority w:val="0"/>
    <w:rPr>
      <w:rFonts w:ascii="宋体" w:hAnsi="宋体" w:eastAsia="楷体_GB2312" w:cs="Times New Roman"/>
      <w:szCs w:val="24"/>
      <w:u w:val="single"/>
    </w:rPr>
  </w:style>
  <w:style w:type="character" w:customStyle="1" w:styleId="64">
    <w:name w:val="批注主题 Char"/>
    <w:basedOn w:val="54"/>
    <w:link w:val="31"/>
    <w:qFormat/>
    <w:uiPriority w:val="0"/>
    <w:rPr>
      <w:b/>
      <w:bCs/>
    </w:rPr>
  </w:style>
  <w:style w:type="character" w:customStyle="1" w:styleId="65">
    <w:name w:val="正文首行缩进 Char"/>
    <w:basedOn w:val="55"/>
    <w:link w:val="32"/>
    <w:qFormat/>
    <w:uiPriority w:val="0"/>
  </w:style>
  <w:style w:type="character" w:customStyle="1" w:styleId="66">
    <w:name w:val="纯文本 Char1"/>
    <w:basedOn w:val="36"/>
    <w:qFormat/>
    <w:uiPriority w:val="0"/>
    <w:rPr>
      <w:rFonts w:ascii="宋体" w:hAnsi="Courier New" w:eastAsia="宋体" w:cs="Courier New"/>
      <w:szCs w:val="21"/>
    </w:rPr>
  </w:style>
  <w:style w:type="character" w:customStyle="1" w:styleId="67">
    <w:name w:val="尾注文本 Char1"/>
    <w:basedOn w:val="36"/>
    <w:qFormat/>
    <w:uiPriority w:val="0"/>
    <w:rPr>
      <w:rFonts w:ascii="Times New Roman" w:hAnsi="Times New Roman" w:eastAsia="楷体_GB2312" w:cs="Times New Roman"/>
      <w:szCs w:val="20"/>
    </w:rPr>
  </w:style>
  <w:style w:type="paragraph" w:customStyle="1" w:styleId="68">
    <w:name w:val=" Char"/>
    <w:basedOn w:val="1"/>
    <w:qFormat/>
    <w:uiPriority w:val="0"/>
    <w:pPr>
      <w:ind w:left="567" w:hanging="279"/>
    </w:pPr>
  </w:style>
  <w:style w:type="paragraph" w:customStyle="1" w:styleId="69">
    <w:name w:val="常用"/>
    <w:basedOn w:val="1"/>
    <w:next w:val="16"/>
    <w:qFormat/>
    <w:uiPriority w:val="0"/>
    <w:pPr>
      <w:spacing w:line="240" w:lineRule="auto"/>
      <w:jc w:val="left"/>
    </w:pPr>
    <w:rPr>
      <w:rFonts w:eastAsia="宋体"/>
      <w:sz w:val="24"/>
    </w:rPr>
  </w:style>
  <w:style w:type="paragraph" w:customStyle="1" w:styleId="70">
    <w:name w:val="Char"/>
    <w:basedOn w:val="1"/>
    <w:qFormat/>
    <w:uiPriority w:val="0"/>
    <w:pPr>
      <w:ind w:left="567" w:hanging="279"/>
    </w:pPr>
    <w:rPr>
      <w:rFonts w:eastAsia="宋体"/>
      <w:sz w:val="24"/>
      <w:szCs w:val="24"/>
    </w:rPr>
  </w:style>
  <w:style w:type="paragraph" w:customStyle="1" w:styleId="71">
    <w:name w:val="Char Char Char"/>
    <w:basedOn w:val="1"/>
    <w:qFormat/>
    <w:uiPriority w:val="0"/>
    <w:rPr>
      <w:rFonts w:eastAsia="宋体"/>
    </w:rPr>
  </w:style>
  <w:style w:type="paragraph" w:customStyle="1" w:styleId="72">
    <w:name w:val="样式2"/>
    <w:basedOn w:val="1"/>
    <w:qFormat/>
    <w:uiPriority w:val="0"/>
  </w:style>
  <w:style w:type="paragraph" w:customStyle="1" w:styleId="73">
    <w:name w:val="Char Char Char1 Char"/>
    <w:basedOn w:val="12"/>
    <w:qFormat/>
    <w:uiPriority w:val="0"/>
    <w:rPr>
      <w:rFonts w:ascii="Tahoma" w:hAnsi="Tahoma" w:eastAsia="宋体"/>
      <w:sz w:val="24"/>
      <w:szCs w:val="24"/>
    </w:rPr>
  </w:style>
  <w:style w:type="paragraph" w:customStyle="1" w:styleId="7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5">
    <w:name w:val="_Style 4"/>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4"/>
    </w:rPr>
  </w:style>
  <w:style w:type="paragraph" w:customStyle="1" w:styleId="7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8">
    <w:name w:val="List Paragraph"/>
    <w:basedOn w:val="1"/>
    <w:unhideWhenUsed/>
    <w:qFormat/>
    <w:uiPriority w:val="99"/>
    <w:pPr>
      <w:ind w:firstLine="420" w:firstLineChars="200"/>
    </w:pPr>
  </w:style>
  <w:style w:type="paragraph" w:customStyle="1" w:styleId="79">
    <w:name w:val="正文_1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81</Pages>
  <Words>13312</Words>
  <Characters>14078</Characters>
  <Lines>377</Lines>
  <Paragraphs>106</Paragraphs>
  <TotalTime>97</TotalTime>
  <ScaleCrop>false</ScaleCrop>
  <LinksUpToDate>false</LinksUpToDate>
  <CharactersWithSpaces>14590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2020-08-21T14:19:00Z</dcterms:created>
  <cp:lastPrinted>2024-10-24T06:53:00Z</cp:lastPrinted>
  <dcterms:modified xsi:type="dcterms:W3CDTF">2025-10-13T03:44:11Z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05F36313149247918F5BF5E425189D56_13</vt:lpwstr>
  </property>
  <property fmtid="{D5CDD505-2E9C-101B-9397-08002B2CF9AE}" pid="4" name="KSOTemplateDocerSaveRecord">
    <vt:lpwstr>eyJoZGlkIjoiZjNmYTFkY2M4NWM0YjM0ZjFmZWQyOTIzMmQ4NzQxNzciLCJ1c2VySWQiOiIxMjI5NDUzODM5In0=</vt:lpwstr>
  </property>
</Properties>
</file>