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7797F">
      <w:pPr>
        <w:pStyle w:val="19"/>
        <w:rPr>
          <w:rFonts w:ascii="宋体" w:hAnsi="宋体" w:cs="宋体"/>
          <w:sz w:val="44"/>
          <w:szCs w:val="44"/>
        </w:rPr>
      </w:pPr>
    </w:p>
    <w:p w14:paraId="77ECC703">
      <w:pPr>
        <w:pStyle w:val="20"/>
        <w:ind w:left="420" w:firstLine="420"/>
        <w:rPr>
          <w:rFonts w:ascii="宋体" w:hAnsi="宋体" w:cs="宋体"/>
        </w:rPr>
      </w:pPr>
    </w:p>
    <w:p w14:paraId="519BC20A">
      <w:pPr>
        <w:pStyle w:val="19"/>
        <w:rPr>
          <w:rFonts w:ascii="宋体" w:hAnsi="宋体" w:cs="宋体"/>
          <w:sz w:val="44"/>
          <w:szCs w:val="44"/>
        </w:rPr>
      </w:pPr>
    </w:p>
    <w:p w14:paraId="5F6FCE86">
      <w:pPr>
        <w:jc w:val="center"/>
        <w:rPr>
          <w:rFonts w:ascii="宋体" w:hAnsi="宋体" w:cs="宋体"/>
          <w:sz w:val="32"/>
          <w:szCs w:val="32"/>
        </w:rPr>
      </w:pPr>
      <w:r>
        <w:rPr>
          <w:rFonts w:hint="eastAsia" w:ascii="宋体" w:hAnsi="宋体" w:cs="宋体"/>
          <w:sz w:val="44"/>
          <w:szCs w:val="44"/>
          <w:u w:val="single"/>
        </w:rPr>
        <w:t>中山大学附属第一医院病房改造建设及能力提升项目监理服务</w:t>
      </w:r>
    </w:p>
    <w:p w14:paraId="5F52E32A">
      <w:pPr>
        <w:jc w:val="center"/>
        <w:rPr>
          <w:rFonts w:ascii="宋体" w:hAnsi="宋体" w:cs="宋体"/>
          <w:sz w:val="32"/>
          <w:szCs w:val="32"/>
        </w:rPr>
      </w:pPr>
    </w:p>
    <w:p w14:paraId="09E19F19">
      <w:pPr>
        <w:spacing w:line="400" w:lineRule="exact"/>
        <w:rPr>
          <w:rFonts w:ascii="宋体" w:hAnsi="宋体" w:cs="宋体"/>
        </w:rPr>
      </w:pPr>
    </w:p>
    <w:p w14:paraId="2FA13795">
      <w:pPr>
        <w:pStyle w:val="19"/>
        <w:rPr>
          <w:rFonts w:ascii="宋体" w:hAnsi="宋体" w:cs="宋体"/>
        </w:rPr>
      </w:pPr>
    </w:p>
    <w:p w14:paraId="56DE1D21">
      <w:pPr>
        <w:rPr>
          <w:rFonts w:ascii="宋体" w:hAnsi="宋体" w:cs="宋体"/>
        </w:rPr>
      </w:pPr>
    </w:p>
    <w:p w14:paraId="22105834">
      <w:pPr>
        <w:rPr>
          <w:rFonts w:ascii="宋体" w:hAnsi="宋体" w:cs="宋体"/>
          <w:sz w:val="28"/>
        </w:rPr>
      </w:pPr>
    </w:p>
    <w:p w14:paraId="681474DE">
      <w:pPr>
        <w:rPr>
          <w:rFonts w:ascii="宋体" w:hAnsi="宋体" w:cs="宋体"/>
          <w:sz w:val="28"/>
        </w:rPr>
      </w:pPr>
    </w:p>
    <w:p w14:paraId="73D44867">
      <w:pPr>
        <w:rPr>
          <w:rFonts w:ascii="宋体" w:hAnsi="宋体" w:cs="宋体"/>
          <w:sz w:val="28"/>
        </w:rPr>
      </w:pPr>
    </w:p>
    <w:p w14:paraId="31EA9CDE">
      <w:pPr>
        <w:rPr>
          <w:rFonts w:ascii="宋体" w:hAnsi="宋体" w:cs="宋体"/>
          <w:sz w:val="28"/>
        </w:rPr>
      </w:pPr>
    </w:p>
    <w:p w14:paraId="1090B775">
      <w:pPr>
        <w:jc w:val="center"/>
        <w:rPr>
          <w:rFonts w:ascii="宋体" w:hAnsi="宋体" w:cs="宋体"/>
          <w:sz w:val="72"/>
          <w:szCs w:val="72"/>
        </w:rPr>
      </w:pPr>
      <w:r>
        <w:rPr>
          <w:rFonts w:hint="eastAsia" w:ascii="宋体" w:hAnsi="宋体" w:cs="宋体"/>
          <w:sz w:val="72"/>
          <w:szCs w:val="72"/>
        </w:rPr>
        <w:t>招标文件</w:t>
      </w:r>
    </w:p>
    <w:p w14:paraId="1ADACFEF">
      <w:pPr>
        <w:rPr>
          <w:rFonts w:ascii="宋体" w:hAnsi="宋体" w:cs="宋体"/>
        </w:rPr>
      </w:pPr>
    </w:p>
    <w:p w14:paraId="5767C1CA">
      <w:pPr>
        <w:rPr>
          <w:rFonts w:ascii="宋体" w:hAnsi="宋体" w:cs="宋体"/>
        </w:rPr>
      </w:pPr>
    </w:p>
    <w:p w14:paraId="4282448A">
      <w:pPr>
        <w:rPr>
          <w:rFonts w:ascii="宋体" w:hAnsi="宋体" w:cs="宋体"/>
        </w:rPr>
      </w:pPr>
    </w:p>
    <w:p w14:paraId="1A8C3A07">
      <w:pPr>
        <w:rPr>
          <w:rFonts w:ascii="宋体" w:hAnsi="宋体" w:cs="宋体"/>
        </w:rPr>
      </w:pPr>
    </w:p>
    <w:p w14:paraId="109AD47F">
      <w:pPr>
        <w:rPr>
          <w:rFonts w:ascii="宋体" w:hAnsi="宋体" w:cs="宋体"/>
        </w:rPr>
      </w:pPr>
    </w:p>
    <w:p w14:paraId="1ED6B739">
      <w:pPr>
        <w:rPr>
          <w:rFonts w:ascii="宋体" w:hAnsi="宋体" w:cs="宋体"/>
        </w:rPr>
      </w:pPr>
    </w:p>
    <w:p w14:paraId="2E3FCA31">
      <w:pPr>
        <w:rPr>
          <w:rFonts w:ascii="宋体" w:hAnsi="宋体" w:cs="宋体"/>
        </w:rPr>
      </w:pPr>
    </w:p>
    <w:p w14:paraId="603C9463">
      <w:pPr>
        <w:rPr>
          <w:rFonts w:ascii="宋体" w:hAnsi="宋体" w:cs="宋体"/>
        </w:rPr>
      </w:pPr>
    </w:p>
    <w:p w14:paraId="0F158AF6">
      <w:pPr>
        <w:pStyle w:val="9"/>
        <w:rPr>
          <w:rFonts w:ascii="宋体" w:hAnsi="宋体" w:cs="宋体"/>
        </w:rPr>
      </w:pPr>
    </w:p>
    <w:p w14:paraId="4880AF8C">
      <w:pPr>
        <w:rPr>
          <w:rFonts w:ascii="宋体" w:hAnsi="宋体" w:cs="宋体"/>
        </w:rPr>
      </w:pPr>
    </w:p>
    <w:p w14:paraId="0BDB5FD6">
      <w:pPr>
        <w:pStyle w:val="9"/>
        <w:rPr>
          <w:rFonts w:ascii="宋体" w:hAnsi="宋体" w:cs="宋体"/>
        </w:rPr>
      </w:pPr>
    </w:p>
    <w:p w14:paraId="79F83D46">
      <w:pPr>
        <w:pStyle w:val="9"/>
        <w:rPr>
          <w:rFonts w:ascii="宋体" w:hAnsi="宋体" w:cs="宋体"/>
        </w:rPr>
      </w:pPr>
    </w:p>
    <w:p w14:paraId="4353B0E6">
      <w:pPr>
        <w:spacing w:line="360" w:lineRule="auto"/>
        <w:rPr>
          <w:rFonts w:ascii="宋体" w:hAnsi="宋体" w:cs="宋体"/>
        </w:rPr>
      </w:pPr>
    </w:p>
    <w:p w14:paraId="7CB634CD">
      <w:pPr>
        <w:spacing w:line="360" w:lineRule="auto"/>
        <w:ind w:firstLine="1400" w:firstLineChars="500"/>
        <w:jc w:val="left"/>
        <w:rPr>
          <w:rFonts w:ascii="宋体" w:hAnsi="宋体" w:cs="宋体"/>
          <w:sz w:val="28"/>
          <w:u w:val="single"/>
        </w:rPr>
      </w:pPr>
      <w:r>
        <w:rPr>
          <w:rFonts w:hint="eastAsia" w:ascii="宋体" w:hAnsi="宋体" w:cs="宋体"/>
          <w:sz w:val="28"/>
        </w:rPr>
        <w:t>招 标 人：</w:t>
      </w:r>
      <w:r>
        <w:rPr>
          <w:rFonts w:hint="eastAsia" w:ascii="宋体" w:hAnsi="宋体" w:cs="宋体"/>
          <w:sz w:val="28"/>
          <w:u w:val="single"/>
        </w:rPr>
        <w:t xml:space="preserve">中山大学附属第一医院 </w:t>
      </w:r>
    </w:p>
    <w:p w14:paraId="7514A716">
      <w:pPr>
        <w:spacing w:line="360" w:lineRule="auto"/>
        <w:ind w:firstLine="1400" w:firstLineChars="500"/>
        <w:jc w:val="left"/>
        <w:rPr>
          <w:rFonts w:ascii="宋体" w:hAnsi="宋体" w:cs="宋体"/>
          <w:sz w:val="24"/>
          <w:szCs w:val="24"/>
          <w:u w:val="single"/>
        </w:rPr>
      </w:pPr>
      <w:r>
        <w:rPr>
          <w:rFonts w:hint="eastAsia" w:ascii="宋体" w:hAnsi="宋体" w:cs="宋体"/>
          <w:sz w:val="28"/>
        </w:rPr>
        <w:t>招标代理：</w:t>
      </w:r>
      <w:r>
        <w:rPr>
          <w:rFonts w:hint="eastAsia" w:ascii="宋体" w:hAnsi="宋体" w:cs="宋体"/>
          <w:sz w:val="28"/>
          <w:u w:val="single"/>
        </w:rPr>
        <w:t>广州中经招标有限公司</w:t>
      </w:r>
    </w:p>
    <w:p w14:paraId="345AF8B2">
      <w:pPr>
        <w:spacing w:line="360" w:lineRule="auto"/>
        <w:ind w:firstLine="1400" w:firstLineChars="500"/>
        <w:rPr>
          <w:rFonts w:ascii="宋体" w:hAnsi="宋体" w:cs="宋体"/>
          <w:b/>
        </w:rPr>
      </w:pPr>
      <w:r>
        <w:rPr>
          <w:rFonts w:hint="eastAsia" w:ascii="宋体" w:hAnsi="宋体" w:cs="宋体"/>
          <w:sz w:val="28"/>
        </w:rPr>
        <w:t>日    期：</w:t>
      </w:r>
      <w:r>
        <w:rPr>
          <w:rFonts w:hint="eastAsia" w:ascii="宋体" w:hAnsi="宋体" w:cs="宋体"/>
          <w:sz w:val="28"/>
          <w:szCs w:val="28"/>
          <w:u w:val="single"/>
        </w:rPr>
        <w:t>2025</w:t>
      </w:r>
      <w:r>
        <w:rPr>
          <w:rFonts w:hint="eastAsia" w:ascii="宋体" w:hAnsi="宋体" w:cs="宋体"/>
          <w:sz w:val="28"/>
          <w:szCs w:val="28"/>
        </w:rPr>
        <w:t>年</w:t>
      </w:r>
      <w:bookmarkStart w:id="0" w:name="_Toc152045511"/>
      <w:bookmarkStart w:id="1" w:name="_Toc144974479"/>
      <w:bookmarkStart w:id="2" w:name="_Toc152042287"/>
      <w:r>
        <w:rPr>
          <w:rFonts w:hint="eastAsia" w:ascii="宋体" w:hAnsi="宋体" w:cs="宋体"/>
          <w:sz w:val="28"/>
          <w:szCs w:val="28"/>
          <w:u w:val="single"/>
          <w:lang w:val="en-US" w:eastAsia="zh-CN"/>
        </w:rPr>
        <w:t>10</w:t>
      </w:r>
      <w:r>
        <w:rPr>
          <w:rFonts w:hint="eastAsia" w:ascii="宋体" w:hAnsi="宋体" w:cs="宋体"/>
          <w:sz w:val="28"/>
          <w:szCs w:val="28"/>
        </w:rPr>
        <w:t>月</w:t>
      </w:r>
    </w:p>
    <w:p w14:paraId="21038854">
      <w:pPr>
        <w:spacing w:line="360" w:lineRule="auto"/>
        <w:ind w:firstLine="472" w:firstLineChars="224"/>
        <w:jc w:val="center"/>
        <w:rPr>
          <w:rFonts w:ascii="宋体" w:hAnsi="宋体" w:cs="宋体"/>
          <w:bCs/>
          <w:sz w:val="52"/>
        </w:rPr>
      </w:pPr>
      <w:r>
        <w:rPr>
          <w:rFonts w:hint="eastAsia" w:ascii="宋体" w:hAnsi="宋体" w:cs="宋体"/>
          <w:b/>
          <w:lang w:val="zh-CN"/>
        </w:rPr>
        <w:br w:type="page"/>
      </w:r>
      <w:bookmarkStart w:id="3" w:name="_Toc154921241"/>
      <w:bookmarkStart w:id="4" w:name="_Toc154922225"/>
      <w:r>
        <w:rPr>
          <w:rFonts w:hint="eastAsia" w:ascii="宋体" w:hAnsi="宋体" w:cs="宋体"/>
          <w:bCs/>
          <w:sz w:val="52"/>
        </w:rPr>
        <w:t>重要提示</w:t>
      </w:r>
    </w:p>
    <w:p w14:paraId="1F91B2D1">
      <w:pPr>
        <w:spacing w:line="360" w:lineRule="auto"/>
        <w:ind w:firstLine="537" w:firstLineChars="224"/>
        <w:jc w:val="center"/>
        <w:rPr>
          <w:rFonts w:ascii="宋体" w:hAnsi="宋体" w:cs="宋体"/>
          <w:bCs/>
          <w:sz w:val="24"/>
        </w:rPr>
      </w:pPr>
    </w:p>
    <w:p w14:paraId="3385CD86">
      <w:pPr>
        <w:spacing w:line="360" w:lineRule="auto"/>
        <w:ind w:firstLine="120" w:firstLineChars="50"/>
        <w:rPr>
          <w:rFonts w:ascii="宋体" w:hAnsi="宋体" w:cs="宋体"/>
          <w:sz w:val="24"/>
        </w:rPr>
      </w:pPr>
      <w:r>
        <w:rPr>
          <w:rFonts w:hint="eastAsia" w:ascii="宋体" w:hAnsi="宋体" w:cs="宋体"/>
          <w:sz w:val="24"/>
        </w:rPr>
        <w:t>本项目实施电子招投标，投标人应先认真阅读《建设工程全流程电子化项目操作指南（适用于投标人）》。</w:t>
      </w:r>
    </w:p>
    <w:p w14:paraId="2F2A601A">
      <w:pPr>
        <w:spacing w:line="360" w:lineRule="auto"/>
        <w:ind w:firstLine="480" w:firstLineChars="200"/>
        <w:rPr>
          <w:rFonts w:ascii="宋体" w:hAnsi="宋体" w:cs="宋体"/>
          <w:sz w:val="24"/>
        </w:rPr>
      </w:pPr>
    </w:p>
    <w:bookmarkEnd w:id="3"/>
    <w:bookmarkEnd w:id="4"/>
    <w:p w14:paraId="07B597CC">
      <w:pPr>
        <w:pStyle w:val="27"/>
        <w:keepNext w:val="0"/>
        <w:keepLines w:val="0"/>
        <w:widowControl w:val="0"/>
        <w:jc w:val="center"/>
        <w:rPr>
          <w:rFonts w:ascii="宋体" w:hAnsi="宋体" w:cs="宋体"/>
          <w:b w:val="0"/>
          <w:color w:val="auto"/>
          <w:lang w:val="zh-CN"/>
        </w:rPr>
      </w:pPr>
    </w:p>
    <w:p w14:paraId="5C8D121F">
      <w:pPr>
        <w:spacing w:line="360" w:lineRule="auto"/>
        <w:rPr>
          <w:rFonts w:ascii="宋体" w:hAnsi="宋体" w:cs="宋体"/>
          <w:b/>
          <w:lang w:val="zh-CN"/>
        </w:rPr>
      </w:pPr>
    </w:p>
    <w:p w14:paraId="2AFD2520">
      <w:pPr>
        <w:spacing w:line="360" w:lineRule="auto"/>
        <w:rPr>
          <w:rFonts w:ascii="宋体" w:hAnsi="宋体" w:cs="宋体"/>
          <w:b/>
          <w:lang w:val="zh-CN"/>
        </w:rPr>
      </w:pPr>
    </w:p>
    <w:p w14:paraId="4C860BC0">
      <w:pPr>
        <w:spacing w:line="360" w:lineRule="auto"/>
        <w:rPr>
          <w:rFonts w:ascii="宋体" w:hAnsi="宋体" w:cs="宋体"/>
          <w:b/>
          <w:lang w:val="zh-CN"/>
        </w:rPr>
      </w:pPr>
    </w:p>
    <w:p w14:paraId="4D7D9765">
      <w:pPr>
        <w:spacing w:line="360" w:lineRule="auto"/>
        <w:rPr>
          <w:rFonts w:ascii="宋体" w:hAnsi="宋体" w:cs="宋体"/>
          <w:b/>
          <w:lang w:val="zh-CN"/>
        </w:rPr>
      </w:pPr>
    </w:p>
    <w:p w14:paraId="6625E4F1">
      <w:pPr>
        <w:spacing w:line="360" w:lineRule="auto"/>
        <w:rPr>
          <w:rFonts w:ascii="宋体" w:hAnsi="宋体" w:cs="宋体"/>
          <w:b/>
          <w:lang w:val="zh-CN"/>
        </w:rPr>
      </w:pPr>
    </w:p>
    <w:p w14:paraId="56CCD6ED">
      <w:pPr>
        <w:spacing w:line="360" w:lineRule="auto"/>
        <w:rPr>
          <w:rFonts w:ascii="宋体" w:hAnsi="宋体" w:cs="宋体"/>
          <w:b/>
          <w:lang w:val="zh-CN"/>
        </w:rPr>
      </w:pPr>
    </w:p>
    <w:p w14:paraId="0B5E3916">
      <w:pPr>
        <w:spacing w:line="360" w:lineRule="auto"/>
        <w:rPr>
          <w:rFonts w:ascii="宋体" w:hAnsi="宋体" w:cs="宋体"/>
          <w:b/>
          <w:lang w:val="zh-CN"/>
        </w:rPr>
      </w:pPr>
    </w:p>
    <w:p w14:paraId="38C0C58D">
      <w:pPr>
        <w:spacing w:line="360" w:lineRule="auto"/>
        <w:rPr>
          <w:rFonts w:ascii="宋体" w:hAnsi="宋体" w:cs="宋体"/>
          <w:b/>
          <w:lang w:val="zh-CN"/>
        </w:rPr>
      </w:pPr>
    </w:p>
    <w:p w14:paraId="566793C7">
      <w:pPr>
        <w:spacing w:line="360" w:lineRule="auto"/>
        <w:rPr>
          <w:rFonts w:ascii="宋体" w:hAnsi="宋体" w:cs="宋体"/>
          <w:b/>
          <w:lang w:val="zh-CN"/>
        </w:rPr>
      </w:pPr>
    </w:p>
    <w:p w14:paraId="5E9D262A">
      <w:pPr>
        <w:spacing w:line="360" w:lineRule="auto"/>
        <w:rPr>
          <w:rFonts w:ascii="宋体" w:hAnsi="宋体" w:cs="宋体"/>
          <w:b/>
          <w:lang w:val="zh-CN"/>
        </w:rPr>
      </w:pPr>
    </w:p>
    <w:p w14:paraId="4DCDF02D">
      <w:pPr>
        <w:pStyle w:val="27"/>
        <w:keepNext w:val="0"/>
        <w:keepLines w:val="0"/>
        <w:widowControl w:val="0"/>
        <w:jc w:val="center"/>
        <w:rPr>
          <w:rFonts w:ascii="宋体" w:hAnsi="宋体" w:cs="宋体"/>
          <w:b w:val="0"/>
          <w:color w:val="auto"/>
        </w:rPr>
      </w:pPr>
      <w:bookmarkStart w:id="5" w:name="_Toc28477"/>
      <w:bookmarkStart w:id="6" w:name="_Toc20406"/>
      <w:bookmarkStart w:id="7" w:name="_Toc14873"/>
      <w:bookmarkStart w:id="8" w:name="_Toc7246"/>
      <w:bookmarkStart w:id="9" w:name="_Toc23761"/>
      <w:r>
        <w:rPr>
          <w:rFonts w:hint="eastAsia" w:ascii="宋体" w:hAnsi="宋体" w:cs="宋体"/>
          <w:b w:val="0"/>
          <w:color w:val="auto"/>
          <w:lang w:val="zh-CN"/>
        </w:rPr>
        <w:br w:type="page"/>
      </w:r>
      <w:bookmarkStart w:id="10" w:name="_Toc10128"/>
      <w:bookmarkStart w:id="11" w:name="_Toc8583"/>
      <w:bookmarkStart w:id="12" w:name="_Toc30045"/>
      <w:bookmarkStart w:id="13" w:name="_Toc32327"/>
      <w:bookmarkStart w:id="14" w:name="_Toc8556"/>
      <w:bookmarkStart w:id="15" w:name="_Toc23260"/>
      <w:bookmarkStart w:id="16" w:name="_Toc2297"/>
      <w:bookmarkStart w:id="17" w:name="_Toc4888"/>
      <w:bookmarkStart w:id="18" w:name="_Toc22862"/>
      <w:r>
        <w:rPr>
          <w:rFonts w:hint="eastAsia" w:ascii="宋体" w:hAnsi="宋体" w:cs="宋体"/>
          <w:b w:val="0"/>
          <w:color w:val="auto"/>
          <w:lang w:val="zh-CN"/>
        </w:rPr>
        <w:t>目  录</w:t>
      </w:r>
      <w:bookmarkEnd w:id="5"/>
      <w:bookmarkEnd w:id="6"/>
      <w:bookmarkEnd w:id="7"/>
      <w:bookmarkEnd w:id="8"/>
      <w:bookmarkEnd w:id="9"/>
      <w:bookmarkEnd w:id="10"/>
      <w:bookmarkEnd w:id="11"/>
      <w:bookmarkEnd w:id="12"/>
      <w:bookmarkEnd w:id="13"/>
      <w:bookmarkEnd w:id="14"/>
      <w:bookmarkEnd w:id="15"/>
      <w:bookmarkEnd w:id="16"/>
      <w:bookmarkEnd w:id="17"/>
      <w:bookmarkEnd w:id="18"/>
    </w:p>
    <w:p w14:paraId="7083BCCC">
      <w:pPr>
        <w:pStyle w:val="15"/>
        <w:tabs>
          <w:tab w:val="right" w:leader="dot" w:pos="8630"/>
        </w:tabs>
        <w:jc w:val="center"/>
        <w:rPr>
          <w:rFonts w:ascii="宋体" w:hAnsi="宋体" w:cs="宋体"/>
        </w:rPr>
      </w:pPr>
    </w:p>
    <w:p w14:paraId="08EEBEC5">
      <w:pPr>
        <w:pStyle w:val="15"/>
        <w:tabs>
          <w:tab w:val="right" w:leader="dot" w:pos="9360"/>
        </w:tabs>
        <w:rPr>
          <w:rFonts w:ascii="宋体" w:hAnsi="宋体" w:cs="宋体"/>
        </w:rPr>
      </w:pPr>
      <w:r>
        <w:rPr>
          <w:rFonts w:hint="eastAsia" w:ascii="宋体" w:hAnsi="宋体" w:cs="宋体"/>
        </w:rPr>
        <w:fldChar w:fldCharType="begin"/>
      </w:r>
      <w:r>
        <w:rPr>
          <w:rFonts w:hint="eastAsia" w:ascii="宋体" w:hAnsi="宋体" w:cs="宋体"/>
        </w:rPr>
        <w:instrText xml:space="preserve">TOC \o "1-3" \h \u </w:instrText>
      </w:r>
      <w:r>
        <w:rPr>
          <w:rFonts w:hint="eastAsia" w:ascii="宋体" w:hAnsi="宋体" w:cs="宋体"/>
        </w:rPr>
        <w:fldChar w:fldCharType="separate"/>
      </w:r>
      <w:r>
        <w:fldChar w:fldCharType="begin"/>
      </w:r>
      <w:r>
        <w:instrText xml:space="preserve"> HYPERLINK \l "_Toc7034" </w:instrText>
      </w:r>
      <w:r>
        <w:fldChar w:fldCharType="separate"/>
      </w:r>
      <w:r>
        <w:rPr>
          <w:rFonts w:hint="eastAsia" w:ascii="宋体" w:hAnsi="宋体" w:cs="宋体"/>
        </w:rPr>
        <w:t>第一卷</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_Toc7034 \h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14:paraId="4A194B55">
      <w:pPr>
        <w:pStyle w:val="15"/>
        <w:tabs>
          <w:tab w:val="right" w:leader="dot" w:pos="9360"/>
        </w:tabs>
        <w:rPr>
          <w:rFonts w:ascii="宋体" w:hAnsi="宋体" w:cs="宋体"/>
        </w:rPr>
      </w:pPr>
      <w:r>
        <w:fldChar w:fldCharType="begin"/>
      </w:r>
      <w:r>
        <w:instrText xml:space="preserve"> HYPERLINK \l "_Toc28199" </w:instrText>
      </w:r>
      <w:r>
        <w:fldChar w:fldCharType="separate"/>
      </w:r>
      <w:r>
        <w:rPr>
          <w:rFonts w:hint="eastAsia" w:ascii="宋体" w:hAnsi="宋体" w:cs="宋体"/>
        </w:rPr>
        <w:t>第一章招标公告</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_Toc28199 \h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14:paraId="476BC575">
      <w:pPr>
        <w:pStyle w:val="15"/>
        <w:tabs>
          <w:tab w:val="right" w:leader="dot" w:pos="9360"/>
        </w:tabs>
        <w:rPr>
          <w:rFonts w:ascii="宋体" w:hAnsi="宋体" w:cs="宋体"/>
        </w:rPr>
      </w:pPr>
      <w:r>
        <w:fldChar w:fldCharType="begin"/>
      </w:r>
      <w:r>
        <w:instrText xml:space="preserve"> HYPERLINK \l "_Toc31922" </w:instrText>
      </w:r>
      <w:r>
        <w:fldChar w:fldCharType="separate"/>
      </w:r>
      <w:r>
        <w:rPr>
          <w:rFonts w:hint="eastAsia" w:ascii="宋体" w:hAnsi="宋体" w:cs="宋体"/>
        </w:rPr>
        <w:t>第二章投标人须知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_Toc31922 \h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14:paraId="0C830195">
      <w:pPr>
        <w:pStyle w:val="15"/>
        <w:tabs>
          <w:tab w:val="right" w:leader="dot" w:pos="9360"/>
        </w:tabs>
        <w:rPr>
          <w:rFonts w:ascii="宋体" w:hAnsi="宋体" w:cs="宋体"/>
        </w:rPr>
      </w:pPr>
      <w:r>
        <w:fldChar w:fldCharType="begin"/>
      </w:r>
      <w:r>
        <w:instrText xml:space="preserve"> HYPERLINK \l "_Toc15" </w:instrText>
      </w:r>
      <w:r>
        <w:fldChar w:fldCharType="separate"/>
      </w:r>
      <w:r>
        <w:rPr>
          <w:rFonts w:hint="eastAsia" w:ascii="宋体" w:hAnsi="宋体" w:cs="宋体"/>
        </w:rPr>
        <w:t>投标人须知前附表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_Toc15 \h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14:paraId="18E07012">
      <w:pPr>
        <w:pStyle w:val="15"/>
        <w:tabs>
          <w:tab w:val="right" w:leader="dot" w:pos="9360"/>
        </w:tabs>
        <w:rPr>
          <w:rFonts w:ascii="宋体" w:hAnsi="宋体" w:cs="宋体"/>
        </w:rPr>
      </w:pPr>
      <w:r>
        <w:fldChar w:fldCharType="begin"/>
      </w:r>
      <w:r>
        <w:instrText xml:space="preserve"> HYPERLINK \l "_Toc24816" </w:instrText>
      </w:r>
      <w:r>
        <w:fldChar w:fldCharType="separate"/>
      </w:r>
      <w:r>
        <w:rPr>
          <w:rFonts w:hint="eastAsia" w:ascii="宋体" w:hAnsi="宋体" w:cs="宋体"/>
        </w:rPr>
        <w:t>1.  总则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_Toc24816 \h </w:instrText>
      </w:r>
      <w:r>
        <w:rPr>
          <w:rFonts w:hint="eastAsia" w:ascii="宋体" w:hAnsi="宋体" w:cs="宋体"/>
        </w:rPr>
        <w:fldChar w:fldCharType="separate"/>
      </w:r>
      <w:r>
        <w:rPr>
          <w:rFonts w:hint="eastAsia" w:ascii="宋体" w:hAnsi="宋体" w:cs="宋体"/>
        </w:rPr>
        <w:t>16</w:t>
      </w:r>
      <w:r>
        <w:rPr>
          <w:rFonts w:hint="eastAsia" w:ascii="宋体" w:hAnsi="宋体" w:cs="宋体"/>
        </w:rPr>
        <w:fldChar w:fldCharType="end"/>
      </w:r>
      <w:r>
        <w:rPr>
          <w:rFonts w:hint="eastAsia" w:ascii="宋体" w:hAnsi="宋体" w:cs="宋体"/>
        </w:rPr>
        <w:fldChar w:fldCharType="end"/>
      </w:r>
    </w:p>
    <w:p w14:paraId="75382C31">
      <w:pPr>
        <w:pStyle w:val="15"/>
        <w:tabs>
          <w:tab w:val="right" w:leader="dot" w:pos="9360"/>
        </w:tabs>
        <w:rPr>
          <w:rFonts w:ascii="宋体" w:hAnsi="宋体" w:cs="宋体"/>
        </w:rPr>
      </w:pPr>
      <w:r>
        <w:fldChar w:fldCharType="begin"/>
      </w:r>
      <w:r>
        <w:instrText xml:space="preserve"> HYPERLINK \l "_Toc21907" </w:instrText>
      </w:r>
      <w:r>
        <w:fldChar w:fldCharType="separate"/>
      </w:r>
      <w:r>
        <w:rPr>
          <w:rFonts w:hint="eastAsia" w:ascii="宋体" w:hAnsi="宋体" w:cs="宋体"/>
        </w:rPr>
        <w:t>2.  招标文件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_Toc21907 \h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cs="宋体"/>
        </w:rPr>
        <w:fldChar w:fldCharType="end"/>
      </w:r>
    </w:p>
    <w:p w14:paraId="070442D9">
      <w:pPr>
        <w:pStyle w:val="15"/>
        <w:tabs>
          <w:tab w:val="right" w:leader="dot" w:pos="9360"/>
        </w:tabs>
        <w:rPr>
          <w:rFonts w:ascii="宋体" w:hAnsi="宋体" w:cs="宋体"/>
        </w:rPr>
      </w:pPr>
      <w:r>
        <w:fldChar w:fldCharType="begin"/>
      </w:r>
      <w:r>
        <w:instrText xml:space="preserve"> HYPERLINK \l "_Toc26950" </w:instrText>
      </w:r>
      <w:r>
        <w:fldChar w:fldCharType="separate"/>
      </w:r>
      <w:r>
        <w:rPr>
          <w:rFonts w:hint="eastAsia" w:ascii="宋体" w:hAnsi="宋体" w:cs="宋体"/>
        </w:rPr>
        <w:t>3.  投标文件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_Toc26950 \h </w:instrText>
      </w:r>
      <w:r>
        <w:rPr>
          <w:rFonts w:hint="eastAsia" w:ascii="宋体" w:hAnsi="宋体" w:cs="宋体"/>
        </w:rPr>
        <w:fldChar w:fldCharType="separate"/>
      </w:r>
      <w:r>
        <w:rPr>
          <w:rFonts w:hint="eastAsia" w:ascii="宋体" w:hAnsi="宋体" w:cs="宋体"/>
        </w:rPr>
        <w:t>20</w:t>
      </w:r>
      <w:r>
        <w:rPr>
          <w:rFonts w:hint="eastAsia" w:ascii="宋体" w:hAnsi="宋体" w:cs="宋体"/>
        </w:rPr>
        <w:fldChar w:fldCharType="end"/>
      </w:r>
      <w:r>
        <w:rPr>
          <w:rFonts w:hint="eastAsia" w:ascii="宋体" w:hAnsi="宋体" w:cs="宋体"/>
        </w:rPr>
        <w:fldChar w:fldCharType="end"/>
      </w:r>
    </w:p>
    <w:p w14:paraId="498539CD">
      <w:pPr>
        <w:pStyle w:val="15"/>
        <w:tabs>
          <w:tab w:val="right" w:leader="dot" w:pos="9360"/>
        </w:tabs>
        <w:rPr>
          <w:rFonts w:ascii="宋体" w:hAnsi="宋体" w:cs="宋体"/>
        </w:rPr>
      </w:pPr>
      <w:r>
        <w:fldChar w:fldCharType="begin"/>
      </w:r>
      <w:r>
        <w:instrText xml:space="preserve"> HYPERLINK \l "_Toc29452" </w:instrText>
      </w:r>
      <w:r>
        <w:fldChar w:fldCharType="separate"/>
      </w:r>
      <w:r>
        <w:rPr>
          <w:rFonts w:hint="eastAsia" w:ascii="宋体" w:hAnsi="宋体" w:cs="宋体"/>
        </w:rPr>
        <w:t>4.  投标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_Toc29452 \h </w:instrText>
      </w:r>
      <w:r>
        <w:rPr>
          <w:rFonts w:hint="eastAsia" w:ascii="宋体" w:hAnsi="宋体" w:cs="宋体"/>
        </w:rPr>
        <w:fldChar w:fldCharType="separate"/>
      </w:r>
      <w:r>
        <w:rPr>
          <w:rFonts w:hint="eastAsia" w:ascii="宋体" w:hAnsi="宋体" w:cs="宋体"/>
        </w:rPr>
        <w:t>24</w:t>
      </w:r>
      <w:r>
        <w:rPr>
          <w:rFonts w:hint="eastAsia" w:ascii="宋体" w:hAnsi="宋体" w:cs="宋体"/>
        </w:rPr>
        <w:fldChar w:fldCharType="end"/>
      </w:r>
      <w:r>
        <w:rPr>
          <w:rFonts w:hint="eastAsia" w:ascii="宋体" w:hAnsi="宋体" w:cs="宋体"/>
        </w:rPr>
        <w:fldChar w:fldCharType="end"/>
      </w:r>
    </w:p>
    <w:p w14:paraId="17074571">
      <w:pPr>
        <w:pStyle w:val="15"/>
        <w:tabs>
          <w:tab w:val="right" w:leader="dot" w:pos="9360"/>
        </w:tabs>
        <w:rPr>
          <w:rFonts w:ascii="宋体" w:hAnsi="宋体" w:cs="宋体"/>
        </w:rPr>
      </w:pPr>
      <w:r>
        <w:fldChar w:fldCharType="begin"/>
      </w:r>
      <w:r>
        <w:instrText xml:space="preserve"> HYPERLINK \l "_Toc31242" </w:instrText>
      </w:r>
      <w:r>
        <w:fldChar w:fldCharType="separate"/>
      </w:r>
      <w:r>
        <w:rPr>
          <w:rFonts w:hint="eastAsia" w:ascii="宋体" w:hAnsi="宋体" w:cs="宋体"/>
        </w:rPr>
        <w:t>5.  开标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_Toc31242 \h </w:instrText>
      </w:r>
      <w:r>
        <w:rPr>
          <w:rFonts w:hint="eastAsia" w:ascii="宋体" w:hAnsi="宋体" w:cs="宋体"/>
        </w:rPr>
        <w:fldChar w:fldCharType="separate"/>
      </w:r>
      <w:r>
        <w:rPr>
          <w:rFonts w:hint="eastAsia" w:ascii="宋体" w:hAnsi="宋体" w:cs="宋体"/>
        </w:rPr>
        <w:t>25</w:t>
      </w:r>
      <w:r>
        <w:rPr>
          <w:rFonts w:hint="eastAsia" w:ascii="宋体" w:hAnsi="宋体" w:cs="宋体"/>
        </w:rPr>
        <w:fldChar w:fldCharType="end"/>
      </w:r>
      <w:r>
        <w:rPr>
          <w:rFonts w:hint="eastAsia" w:ascii="宋体" w:hAnsi="宋体" w:cs="宋体"/>
        </w:rPr>
        <w:fldChar w:fldCharType="end"/>
      </w:r>
    </w:p>
    <w:p w14:paraId="0CFFBCF9">
      <w:pPr>
        <w:pStyle w:val="15"/>
        <w:tabs>
          <w:tab w:val="right" w:leader="dot" w:pos="9360"/>
        </w:tabs>
        <w:rPr>
          <w:rFonts w:ascii="宋体" w:hAnsi="宋体" w:cs="宋体"/>
        </w:rPr>
      </w:pPr>
      <w:r>
        <w:fldChar w:fldCharType="begin"/>
      </w:r>
      <w:r>
        <w:instrText xml:space="preserve"> HYPERLINK \l "_Toc24399" </w:instrText>
      </w:r>
      <w:r>
        <w:fldChar w:fldCharType="separate"/>
      </w:r>
      <w:r>
        <w:rPr>
          <w:rFonts w:hint="eastAsia" w:ascii="宋体" w:hAnsi="宋体" w:cs="宋体"/>
        </w:rPr>
        <w:t>6.  评标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_Toc24399 \h </w:instrText>
      </w:r>
      <w:r>
        <w:rPr>
          <w:rFonts w:hint="eastAsia" w:ascii="宋体" w:hAnsi="宋体" w:cs="宋体"/>
        </w:rPr>
        <w:fldChar w:fldCharType="separate"/>
      </w:r>
      <w:r>
        <w:rPr>
          <w:rFonts w:hint="eastAsia" w:ascii="宋体" w:hAnsi="宋体" w:cs="宋体"/>
        </w:rPr>
        <w:t>26</w:t>
      </w:r>
      <w:r>
        <w:rPr>
          <w:rFonts w:hint="eastAsia" w:ascii="宋体" w:hAnsi="宋体" w:cs="宋体"/>
        </w:rPr>
        <w:fldChar w:fldCharType="end"/>
      </w:r>
      <w:r>
        <w:rPr>
          <w:rFonts w:hint="eastAsia" w:ascii="宋体" w:hAnsi="宋体" w:cs="宋体"/>
        </w:rPr>
        <w:fldChar w:fldCharType="end"/>
      </w:r>
    </w:p>
    <w:p w14:paraId="4A01436B">
      <w:pPr>
        <w:pStyle w:val="15"/>
        <w:tabs>
          <w:tab w:val="right" w:leader="dot" w:pos="9360"/>
        </w:tabs>
        <w:rPr>
          <w:rFonts w:ascii="宋体" w:hAnsi="宋体" w:cs="宋体"/>
        </w:rPr>
      </w:pPr>
      <w:r>
        <w:fldChar w:fldCharType="begin"/>
      </w:r>
      <w:r>
        <w:instrText xml:space="preserve"> HYPERLINK \l "_Toc19250" </w:instrText>
      </w:r>
      <w:r>
        <w:fldChar w:fldCharType="separate"/>
      </w:r>
      <w:r>
        <w:rPr>
          <w:rFonts w:hint="eastAsia" w:ascii="宋体" w:hAnsi="宋体" w:cs="宋体"/>
        </w:rPr>
        <w:t>7.  合同授予</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_Toc19250 \h </w:instrText>
      </w:r>
      <w:r>
        <w:rPr>
          <w:rFonts w:hint="eastAsia" w:ascii="宋体" w:hAnsi="宋体" w:cs="宋体"/>
        </w:rPr>
        <w:fldChar w:fldCharType="separate"/>
      </w:r>
      <w:r>
        <w:rPr>
          <w:rFonts w:hint="eastAsia" w:ascii="宋体" w:hAnsi="宋体" w:cs="宋体"/>
        </w:rPr>
        <w:t>27</w:t>
      </w:r>
      <w:r>
        <w:rPr>
          <w:rFonts w:hint="eastAsia" w:ascii="宋体" w:hAnsi="宋体" w:cs="宋体"/>
        </w:rPr>
        <w:fldChar w:fldCharType="end"/>
      </w:r>
      <w:r>
        <w:rPr>
          <w:rFonts w:hint="eastAsia" w:ascii="宋体" w:hAnsi="宋体" w:cs="宋体"/>
        </w:rPr>
        <w:fldChar w:fldCharType="end"/>
      </w:r>
    </w:p>
    <w:p w14:paraId="2D844B18">
      <w:pPr>
        <w:pStyle w:val="15"/>
        <w:tabs>
          <w:tab w:val="right" w:leader="dot" w:pos="9360"/>
        </w:tabs>
        <w:rPr>
          <w:rFonts w:ascii="宋体" w:hAnsi="宋体" w:cs="宋体"/>
        </w:rPr>
      </w:pPr>
      <w:r>
        <w:fldChar w:fldCharType="begin"/>
      </w:r>
      <w:r>
        <w:instrText xml:space="preserve"> HYPERLINK \l "_Toc21800" </w:instrText>
      </w:r>
      <w:r>
        <w:fldChar w:fldCharType="separate"/>
      </w:r>
      <w:r>
        <w:rPr>
          <w:rFonts w:hint="eastAsia" w:ascii="宋体" w:hAnsi="宋体" w:cs="宋体"/>
        </w:rPr>
        <w:t>8.  纪律和监督</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_Toc21800 \h </w:instrText>
      </w:r>
      <w:r>
        <w:rPr>
          <w:rFonts w:hint="eastAsia" w:ascii="宋体" w:hAnsi="宋体" w:cs="宋体"/>
        </w:rPr>
        <w:fldChar w:fldCharType="separate"/>
      </w:r>
      <w:r>
        <w:rPr>
          <w:rFonts w:hint="eastAsia" w:ascii="宋体" w:hAnsi="宋体" w:cs="宋体"/>
        </w:rPr>
        <w:t>28</w:t>
      </w:r>
      <w:r>
        <w:rPr>
          <w:rFonts w:hint="eastAsia" w:ascii="宋体" w:hAnsi="宋体" w:cs="宋体"/>
        </w:rPr>
        <w:fldChar w:fldCharType="end"/>
      </w:r>
      <w:r>
        <w:rPr>
          <w:rFonts w:hint="eastAsia" w:ascii="宋体" w:hAnsi="宋体" w:cs="宋体"/>
        </w:rPr>
        <w:fldChar w:fldCharType="end"/>
      </w:r>
    </w:p>
    <w:p w14:paraId="4741AEC9">
      <w:pPr>
        <w:pStyle w:val="15"/>
        <w:tabs>
          <w:tab w:val="right" w:leader="dot" w:pos="9360"/>
        </w:tabs>
        <w:rPr>
          <w:rFonts w:ascii="宋体" w:hAnsi="宋体" w:cs="宋体"/>
        </w:rPr>
      </w:pPr>
      <w:r>
        <w:fldChar w:fldCharType="begin"/>
      </w:r>
      <w:r>
        <w:instrText xml:space="preserve"> HYPERLINK \l "_Toc11354" </w:instrText>
      </w:r>
      <w:r>
        <w:fldChar w:fldCharType="separate"/>
      </w:r>
      <w:r>
        <w:rPr>
          <w:rFonts w:hint="eastAsia" w:ascii="宋体" w:hAnsi="宋体" w:cs="宋体"/>
        </w:rPr>
        <w:t>9.  是否采用电子招标投标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_Toc11354 \h </w:instrText>
      </w:r>
      <w:r>
        <w:rPr>
          <w:rFonts w:hint="eastAsia" w:ascii="宋体" w:hAnsi="宋体" w:cs="宋体"/>
        </w:rPr>
        <w:fldChar w:fldCharType="separate"/>
      </w:r>
      <w:r>
        <w:rPr>
          <w:rFonts w:hint="eastAsia" w:ascii="宋体" w:hAnsi="宋体" w:cs="宋体"/>
        </w:rPr>
        <w:t>29</w:t>
      </w:r>
      <w:r>
        <w:rPr>
          <w:rFonts w:hint="eastAsia" w:ascii="宋体" w:hAnsi="宋体" w:cs="宋体"/>
        </w:rPr>
        <w:fldChar w:fldCharType="end"/>
      </w:r>
      <w:r>
        <w:rPr>
          <w:rFonts w:hint="eastAsia" w:ascii="宋体" w:hAnsi="宋体" w:cs="宋体"/>
        </w:rPr>
        <w:fldChar w:fldCharType="end"/>
      </w:r>
    </w:p>
    <w:p w14:paraId="3DDB3168">
      <w:pPr>
        <w:pStyle w:val="15"/>
        <w:tabs>
          <w:tab w:val="right" w:leader="dot" w:pos="9360"/>
        </w:tabs>
        <w:rPr>
          <w:rFonts w:ascii="宋体" w:hAnsi="宋体" w:cs="宋体"/>
        </w:rPr>
      </w:pPr>
      <w:r>
        <w:fldChar w:fldCharType="begin"/>
      </w:r>
      <w:r>
        <w:instrText xml:space="preserve"> HYPERLINK \l "_Toc28087" </w:instrText>
      </w:r>
      <w:r>
        <w:fldChar w:fldCharType="separate"/>
      </w:r>
      <w:r>
        <w:rPr>
          <w:rFonts w:hint="eastAsia" w:ascii="宋体" w:hAnsi="宋体" w:cs="宋体"/>
        </w:rPr>
        <w:t>10.  需要补充的其他内容</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_Toc28087 \h </w:instrText>
      </w:r>
      <w:r>
        <w:rPr>
          <w:rFonts w:hint="eastAsia" w:ascii="宋体" w:hAnsi="宋体" w:cs="宋体"/>
        </w:rPr>
        <w:fldChar w:fldCharType="separate"/>
      </w:r>
      <w:r>
        <w:rPr>
          <w:rFonts w:hint="eastAsia" w:ascii="宋体" w:hAnsi="宋体" w:cs="宋体"/>
        </w:rPr>
        <w:t>29</w:t>
      </w:r>
      <w:r>
        <w:rPr>
          <w:rFonts w:hint="eastAsia" w:ascii="宋体" w:hAnsi="宋体" w:cs="宋体"/>
        </w:rPr>
        <w:fldChar w:fldCharType="end"/>
      </w:r>
      <w:r>
        <w:rPr>
          <w:rFonts w:hint="eastAsia" w:ascii="宋体" w:hAnsi="宋体" w:cs="宋体"/>
        </w:rPr>
        <w:fldChar w:fldCharType="end"/>
      </w:r>
    </w:p>
    <w:p w14:paraId="1D033B33">
      <w:pPr>
        <w:pStyle w:val="15"/>
        <w:tabs>
          <w:tab w:val="right" w:leader="dot" w:pos="9360"/>
        </w:tabs>
        <w:rPr>
          <w:rFonts w:ascii="宋体" w:hAnsi="宋体" w:cs="宋体"/>
        </w:rPr>
      </w:pPr>
      <w:r>
        <w:fldChar w:fldCharType="begin"/>
      </w:r>
      <w:r>
        <w:instrText xml:space="preserve"> HYPERLINK \l "_Toc8755" </w:instrText>
      </w:r>
      <w:r>
        <w:fldChar w:fldCharType="separate"/>
      </w:r>
      <w:r>
        <w:rPr>
          <w:rFonts w:hint="eastAsia" w:ascii="宋体" w:hAnsi="宋体" w:cs="宋体"/>
        </w:rPr>
        <w:t>附件一：评标委员会成员声明</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_Toc8755 \h </w:instrText>
      </w:r>
      <w:r>
        <w:rPr>
          <w:rFonts w:hint="eastAsia" w:ascii="宋体" w:hAnsi="宋体" w:cs="宋体"/>
        </w:rPr>
        <w:fldChar w:fldCharType="separate"/>
      </w:r>
      <w:r>
        <w:rPr>
          <w:rFonts w:hint="eastAsia" w:ascii="宋体" w:hAnsi="宋体" w:cs="宋体"/>
        </w:rPr>
        <w:t>31</w:t>
      </w:r>
      <w:r>
        <w:rPr>
          <w:rFonts w:hint="eastAsia" w:ascii="宋体" w:hAnsi="宋体" w:cs="宋体"/>
        </w:rPr>
        <w:fldChar w:fldCharType="end"/>
      </w:r>
      <w:r>
        <w:rPr>
          <w:rFonts w:hint="eastAsia" w:ascii="宋体" w:hAnsi="宋体" w:cs="宋体"/>
        </w:rPr>
        <w:fldChar w:fldCharType="end"/>
      </w:r>
    </w:p>
    <w:p w14:paraId="2002D3E5">
      <w:pPr>
        <w:pStyle w:val="15"/>
        <w:tabs>
          <w:tab w:val="right" w:leader="dot" w:pos="9360"/>
        </w:tabs>
        <w:rPr>
          <w:rFonts w:ascii="宋体" w:hAnsi="宋体" w:cs="宋体"/>
        </w:rPr>
      </w:pPr>
      <w:r>
        <w:fldChar w:fldCharType="begin"/>
      </w:r>
      <w:r>
        <w:instrText xml:space="preserve"> HYPERLINK \l "_Toc8755" </w:instrText>
      </w:r>
      <w:r>
        <w:fldChar w:fldCharType="separate"/>
      </w:r>
      <w:r>
        <w:rPr>
          <w:rFonts w:hint="eastAsia" w:ascii="宋体" w:hAnsi="宋体" w:cs="宋体"/>
        </w:rPr>
        <w:t>附件二：开标记录表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_Toc8755 \h </w:instrText>
      </w:r>
      <w:r>
        <w:rPr>
          <w:rFonts w:hint="eastAsia" w:ascii="宋体" w:hAnsi="宋体" w:cs="宋体"/>
        </w:rPr>
        <w:fldChar w:fldCharType="separate"/>
      </w:r>
      <w:r>
        <w:rPr>
          <w:rFonts w:hint="eastAsia" w:ascii="宋体" w:hAnsi="宋体" w:cs="宋体"/>
        </w:rPr>
        <w:t>31</w:t>
      </w:r>
      <w:r>
        <w:rPr>
          <w:rFonts w:hint="eastAsia" w:ascii="宋体" w:hAnsi="宋体" w:cs="宋体"/>
        </w:rPr>
        <w:fldChar w:fldCharType="end"/>
      </w:r>
      <w:r>
        <w:rPr>
          <w:rFonts w:hint="eastAsia" w:ascii="宋体" w:hAnsi="宋体" w:cs="宋体"/>
        </w:rPr>
        <w:fldChar w:fldCharType="end"/>
      </w:r>
    </w:p>
    <w:p w14:paraId="2787ACCB">
      <w:pPr>
        <w:pStyle w:val="15"/>
        <w:tabs>
          <w:tab w:val="right" w:leader="dot" w:pos="9360"/>
        </w:tabs>
        <w:rPr>
          <w:rFonts w:ascii="宋体" w:hAnsi="宋体" w:cs="宋体"/>
        </w:rPr>
      </w:pPr>
      <w:r>
        <w:fldChar w:fldCharType="begin"/>
      </w:r>
      <w:r>
        <w:instrText xml:space="preserve"> HYPERLINK \l "_Toc29369" </w:instrText>
      </w:r>
      <w:r>
        <w:fldChar w:fldCharType="separate"/>
      </w:r>
      <w:r>
        <w:rPr>
          <w:rFonts w:hint="eastAsia" w:ascii="宋体" w:hAnsi="宋体" w:cs="宋体"/>
        </w:rPr>
        <w:t>附件三：确认通知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_Toc29369 \h </w:instrText>
      </w:r>
      <w:r>
        <w:rPr>
          <w:rFonts w:hint="eastAsia" w:ascii="宋体" w:hAnsi="宋体" w:cs="宋体"/>
        </w:rPr>
        <w:fldChar w:fldCharType="separate"/>
      </w:r>
      <w:r>
        <w:rPr>
          <w:rFonts w:hint="eastAsia" w:ascii="宋体" w:hAnsi="宋体" w:cs="宋体"/>
        </w:rPr>
        <w:t>32</w:t>
      </w:r>
      <w:r>
        <w:rPr>
          <w:rFonts w:hint="eastAsia" w:ascii="宋体" w:hAnsi="宋体" w:cs="宋体"/>
        </w:rPr>
        <w:fldChar w:fldCharType="end"/>
      </w:r>
      <w:r>
        <w:rPr>
          <w:rFonts w:hint="eastAsia" w:ascii="宋体" w:hAnsi="宋体" w:cs="宋体"/>
        </w:rPr>
        <w:fldChar w:fldCharType="end"/>
      </w:r>
    </w:p>
    <w:p w14:paraId="1AFCAEDB">
      <w:pPr>
        <w:pStyle w:val="15"/>
        <w:tabs>
          <w:tab w:val="right" w:leader="dot" w:pos="9360"/>
        </w:tabs>
        <w:rPr>
          <w:rFonts w:ascii="宋体" w:hAnsi="宋体" w:cs="宋体"/>
        </w:rPr>
      </w:pPr>
      <w:r>
        <w:fldChar w:fldCharType="begin"/>
      </w:r>
      <w:r>
        <w:instrText xml:space="preserve"> HYPERLINK \l "_Toc28714" </w:instrText>
      </w:r>
      <w:r>
        <w:fldChar w:fldCharType="separate"/>
      </w:r>
      <w:r>
        <w:rPr>
          <w:rFonts w:hint="eastAsia" w:ascii="宋体" w:hAnsi="宋体" w:cs="宋体"/>
        </w:rPr>
        <w:t>附件四：问题的澄清（按广州交易集团有限公司（广州公共资源交易中心）问题澄清格式）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_Toc28714 \h </w:instrText>
      </w:r>
      <w:r>
        <w:rPr>
          <w:rFonts w:hint="eastAsia" w:ascii="宋体" w:hAnsi="宋体" w:cs="宋体"/>
        </w:rPr>
        <w:fldChar w:fldCharType="separate"/>
      </w:r>
      <w:r>
        <w:rPr>
          <w:rFonts w:hint="eastAsia" w:ascii="宋体" w:hAnsi="宋体" w:cs="宋体"/>
        </w:rPr>
        <w:t>32</w:t>
      </w:r>
      <w:r>
        <w:rPr>
          <w:rFonts w:hint="eastAsia" w:ascii="宋体" w:hAnsi="宋体" w:cs="宋体"/>
        </w:rPr>
        <w:fldChar w:fldCharType="end"/>
      </w:r>
      <w:r>
        <w:rPr>
          <w:rFonts w:hint="eastAsia" w:ascii="宋体" w:hAnsi="宋体" w:cs="宋体"/>
        </w:rPr>
        <w:fldChar w:fldCharType="end"/>
      </w:r>
    </w:p>
    <w:p w14:paraId="6ACCC97E">
      <w:pPr>
        <w:pStyle w:val="15"/>
        <w:tabs>
          <w:tab w:val="right" w:leader="dot" w:pos="9360"/>
        </w:tabs>
        <w:rPr>
          <w:rFonts w:ascii="宋体" w:hAnsi="宋体" w:cs="宋体"/>
        </w:rPr>
      </w:pPr>
      <w:r>
        <w:fldChar w:fldCharType="begin"/>
      </w:r>
      <w:r>
        <w:instrText xml:space="preserve"> HYPERLINK \l "_Toc16379" </w:instrText>
      </w:r>
      <w:r>
        <w:fldChar w:fldCharType="separate"/>
      </w:r>
      <w:r>
        <w:rPr>
          <w:rFonts w:hint="eastAsia" w:ascii="宋体" w:hAnsi="宋体" w:cs="宋体"/>
        </w:rPr>
        <w:t>附件五：中标通知书（按广州交易集团有限公司（广州公共资源交易中心）中标通知书格式）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_Toc16379 \h </w:instrText>
      </w:r>
      <w:r>
        <w:rPr>
          <w:rFonts w:hint="eastAsia" w:ascii="宋体" w:hAnsi="宋体" w:cs="宋体"/>
        </w:rPr>
        <w:fldChar w:fldCharType="separate"/>
      </w:r>
      <w:r>
        <w:rPr>
          <w:rFonts w:hint="eastAsia" w:ascii="宋体" w:hAnsi="宋体" w:cs="宋体"/>
        </w:rPr>
        <w:t>32</w:t>
      </w:r>
      <w:r>
        <w:rPr>
          <w:rFonts w:hint="eastAsia" w:ascii="宋体" w:hAnsi="宋体" w:cs="宋体"/>
        </w:rPr>
        <w:fldChar w:fldCharType="end"/>
      </w:r>
      <w:r>
        <w:rPr>
          <w:rFonts w:hint="eastAsia" w:ascii="宋体" w:hAnsi="宋体" w:cs="宋体"/>
        </w:rPr>
        <w:fldChar w:fldCharType="end"/>
      </w:r>
    </w:p>
    <w:p w14:paraId="4D5AE0FB">
      <w:pPr>
        <w:pStyle w:val="15"/>
        <w:tabs>
          <w:tab w:val="right" w:leader="dot" w:pos="9360"/>
        </w:tabs>
        <w:rPr>
          <w:rFonts w:ascii="宋体" w:hAnsi="宋体" w:cs="宋体"/>
        </w:rPr>
      </w:pPr>
      <w:r>
        <w:fldChar w:fldCharType="begin"/>
      </w:r>
      <w:r>
        <w:instrText xml:space="preserve"> HYPERLINK \l "_Toc30858" </w:instrText>
      </w:r>
      <w:r>
        <w:fldChar w:fldCharType="separate"/>
      </w:r>
      <w:r>
        <w:rPr>
          <w:rFonts w:hint="eastAsia" w:ascii="宋体" w:hAnsi="宋体" w:cs="宋体"/>
        </w:rPr>
        <w:t>第三章评标办法（综合评估法）</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_Toc30858 \h </w:instrText>
      </w:r>
      <w:r>
        <w:rPr>
          <w:rFonts w:hint="eastAsia" w:ascii="宋体" w:hAnsi="宋体" w:cs="宋体"/>
        </w:rPr>
        <w:fldChar w:fldCharType="separate"/>
      </w:r>
      <w:r>
        <w:rPr>
          <w:rFonts w:hint="eastAsia" w:ascii="宋体" w:hAnsi="宋体" w:cs="宋体"/>
        </w:rPr>
        <w:t>33</w:t>
      </w:r>
      <w:r>
        <w:rPr>
          <w:rFonts w:hint="eastAsia" w:ascii="宋体" w:hAnsi="宋体" w:cs="宋体"/>
        </w:rPr>
        <w:fldChar w:fldCharType="end"/>
      </w:r>
      <w:r>
        <w:rPr>
          <w:rFonts w:hint="eastAsia" w:ascii="宋体" w:hAnsi="宋体" w:cs="宋体"/>
        </w:rPr>
        <w:fldChar w:fldCharType="end"/>
      </w:r>
    </w:p>
    <w:p w14:paraId="3275E0EA">
      <w:pPr>
        <w:pStyle w:val="15"/>
        <w:tabs>
          <w:tab w:val="right" w:leader="dot" w:pos="9360"/>
        </w:tabs>
        <w:rPr>
          <w:rFonts w:ascii="宋体" w:hAnsi="宋体" w:cs="宋体"/>
        </w:rPr>
      </w:pPr>
      <w:r>
        <w:fldChar w:fldCharType="begin"/>
      </w:r>
      <w:r>
        <w:instrText xml:space="preserve"> HYPERLINK \l "_Toc5517" </w:instrText>
      </w:r>
      <w:r>
        <w:fldChar w:fldCharType="separate"/>
      </w:r>
      <w:r>
        <w:rPr>
          <w:rFonts w:hint="eastAsia" w:ascii="宋体" w:hAnsi="宋体" w:cs="宋体"/>
        </w:rPr>
        <w:t>1.  评标方法</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_Toc5517 \h </w:instrText>
      </w:r>
      <w:r>
        <w:rPr>
          <w:rFonts w:hint="eastAsia" w:ascii="宋体" w:hAnsi="宋体" w:cs="宋体"/>
        </w:rPr>
        <w:fldChar w:fldCharType="separate"/>
      </w:r>
      <w:r>
        <w:rPr>
          <w:rFonts w:hint="eastAsia" w:ascii="宋体" w:hAnsi="宋体" w:cs="宋体"/>
        </w:rPr>
        <w:t>41</w:t>
      </w:r>
      <w:r>
        <w:rPr>
          <w:rFonts w:hint="eastAsia" w:ascii="宋体" w:hAnsi="宋体" w:cs="宋体"/>
        </w:rPr>
        <w:fldChar w:fldCharType="end"/>
      </w:r>
      <w:r>
        <w:rPr>
          <w:rFonts w:hint="eastAsia" w:ascii="宋体" w:hAnsi="宋体" w:cs="宋体"/>
        </w:rPr>
        <w:fldChar w:fldCharType="end"/>
      </w:r>
    </w:p>
    <w:p w14:paraId="6F4241C7">
      <w:pPr>
        <w:pStyle w:val="15"/>
        <w:tabs>
          <w:tab w:val="right" w:leader="dot" w:pos="9360"/>
        </w:tabs>
        <w:rPr>
          <w:rFonts w:ascii="宋体" w:hAnsi="宋体" w:cs="宋体"/>
        </w:rPr>
      </w:pPr>
      <w:r>
        <w:fldChar w:fldCharType="begin"/>
      </w:r>
      <w:r>
        <w:instrText xml:space="preserve"> HYPERLINK \l "_Toc28259" </w:instrText>
      </w:r>
      <w:r>
        <w:fldChar w:fldCharType="separate"/>
      </w:r>
      <w:r>
        <w:rPr>
          <w:rFonts w:hint="eastAsia" w:ascii="宋体" w:hAnsi="宋体" w:cs="宋体"/>
        </w:rPr>
        <w:t>2.  评审标准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_Toc28259 \h </w:instrText>
      </w:r>
      <w:r>
        <w:rPr>
          <w:rFonts w:hint="eastAsia" w:ascii="宋体" w:hAnsi="宋体" w:cs="宋体"/>
        </w:rPr>
        <w:fldChar w:fldCharType="separate"/>
      </w:r>
      <w:r>
        <w:rPr>
          <w:rFonts w:hint="eastAsia" w:ascii="宋体" w:hAnsi="宋体" w:cs="宋体"/>
        </w:rPr>
        <w:t>41</w:t>
      </w:r>
      <w:r>
        <w:rPr>
          <w:rFonts w:hint="eastAsia" w:ascii="宋体" w:hAnsi="宋体" w:cs="宋体"/>
        </w:rPr>
        <w:fldChar w:fldCharType="end"/>
      </w:r>
      <w:r>
        <w:rPr>
          <w:rFonts w:hint="eastAsia" w:ascii="宋体" w:hAnsi="宋体" w:cs="宋体"/>
        </w:rPr>
        <w:fldChar w:fldCharType="end"/>
      </w:r>
    </w:p>
    <w:p w14:paraId="5BE26827">
      <w:pPr>
        <w:pStyle w:val="15"/>
        <w:tabs>
          <w:tab w:val="right" w:leader="dot" w:pos="9360"/>
        </w:tabs>
        <w:rPr>
          <w:rFonts w:ascii="宋体" w:hAnsi="宋体" w:cs="宋体"/>
        </w:rPr>
      </w:pPr>
      <w:r>
        <w:fldChar w:fldCharType="begin"/>
      </w:r>
      <w:r>
        <w:instrText xml:space="preserve"> HYPERLINK \l "_Toc2162" </w:instrText>
      </w:r>
      <w:r>
        <w:fldChar w:fldCharType="separate"/>
      </w:r>
      <w:r>
        <w:rPr>
          <w:rFonts w:hint="eastAsia" w:ascii="宋体" w:hAnsi="宋体" w:cs="宋体"/>
        </w:rPr>
        <w:t>3.  评标程序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_Toc2162 \h </w:instrText>
      </w:r>
      <w:r>
        <w:rPr>
          <w:rFonts w:hint="eastAsia" w:ascii="宋体" w:hAnsi="宋体" w:cs="宋体"/>
        </w:rPr>
        <w:fldChar w:fldCharType="separate"/>
      </w:r>
      <w:r>
        <w:rPr>
          <w:rFonts w:hint="eastAsia" w:ascii="宋体" w:hAnsi="宋体" w:cs="宋体"/>
        </w:rPr>
        <w:t>41</w:t>
      </w:r>
      <w:r>
        <w:rPr>
          <w:rFonts w:hint="eastAsia" w:ascii="宋体" w:hAnsi="宋体" w:cs="宋体"/>
        </w:rPr>
        <w:fldChar w:fldCharType="end"/>
      </w:r>
      <w:r>
        <w:rPr>
          <w:rFonts w:hint="eastAsia" w:ascii="宋体" w:hAnsi="宋体" w:cs="宋体"/>
        </w:rPr>
        <w:fldChar w:fldCharType="end"/>
      </w:r>
    </w:p>
    <w:p w14:paraId="17C2798F">
      <w:pPr>
        <w:pStyle w:val="15"/>
        <w:tabs>
          <w:tab w:val="right" w:leader="dot" w:pos="9360"/>
        </w:tabs>
        <w:rPr>
          <w:rFonts w:ascii="宋体" w:hAnsi="宋体" w:cs="宋体"/>
        </w:rPr>
      </w:pPr>
      <w:r>
        <w:fldChar w:fldCharType="begin"/>
      </w:r>
      <w:r>
        <w:instrText xml:space="preserve"> HYPERLINK \l "_Toc28671" </w:instrText>
      </w:r>
      <w:r>
        <w:fldChar w:fldCharType="separate"/>
      </w:r>
      <w:r>
        <w:rPr>
          <w:rFonts w:hint="eastAsia" w:ascii="宋体" w:hAnsi="宋体" w:cs="宋体"/>
        </w:rPr>
        <w:t>第四章 合同条款及格式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_Toc28671 \h </w:instrText>
      </w:r>
      <w:r>
        <w:rPr>
          <w:rFonts w:hint="eastAsia" w:ascii="宋体" w:hAnsi="宋体" w:cs="宋体"/>
        </w:rPr>
        <w:fldChar w:fldCharType="separate"/>
      </w:r>
      <w:r>
        <w:rPr>
          <w:rFonts w:hint="eastAsia" w:ascii="宋体" w:hAnsi="宋体" w:cs="宋体"/>
        </w:rPr>
        <w:t>44</w:t>
      </w:r>
      <w:r>
        <w:rPr>
          <w:rFonts w:hint="eastAsia" w:ascii="宋体" w:hAnsi="宋体" w:cs="宋体"/>
        </w:rPr>
        <w:fldChar w:fldCharType="end"/>
      </w:r>
      <w:r>
        <w:rPr>
          <w:rFonts w:hint="eastAsia" w:ascii="宋体" w:hAnsi="宋体" w:cs="宋体"/>
        </w:rPr>
        <w:fldChar w:fldCharType="end"/>
      </w:r>
    </w:p>
    <w:p w14:paraId="1ABE312D">
      <w:pPr>
        <w:pStyle w:val="15"/>
        <w:tabs>
          <w:tab w:val="right" w:leader="dot" w:pos="9360"/>
        </w:tabs>
        <w:rPr>
          <w:rFonts w:ascii="宋体" w:hAnsi="宋体" w:cs="宋体"/>
        </w:rPr>
      </w:pPr>
      <w:r>
        <w:fldChar w:fldCharType="begin"/>
      </w:r>
      <w:r>
        <w:instrText xml:space="preserve"> HYPERLINK \l "_Toc28123" </w:instrText>
      </w:r>
      <w:r>
        <w:fldChar w:fldCharType="separate"/>
      </w:r>
      <w:r>
        <w:rPr>
          <w:rFonts w:hint="eastAsia" w:ascii="宋体" w:hAnsi="宋体" w:cs="宋体"/>
        </w:rPr>
        <w:t>第二卷</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_Toc28123 \h </w:instrText>
      </w:r>
      <w:r>
        <w:rPr>
          <w:rFonts w:hint="eastAsia" w:ascii="宋体" w:hAnsi="宋体" w:cs="宋体"/>
        </w:rPr>
        <w:fldChar w:fldCharType="separate"/>
      </w:r>
      <w:r>
        <w:rPr>
          <w:rFonts w:hint="eastAsia" w:ascii="宋体" w:hAnsi="宋体" w:cs="宋体"/>
        </w:rPr>
        <w:t>45</w:t>
      </w:r>
      <w:r>
        <w:rPr>
          <w:rFonts w:hint="eastAsia" w:ascii="宋体" w:hAnsi="宋体" w:cs="宋体"/>
        </w:rPr>
        <w:fldChar w:fldCharType="end"/>
      </w:r>
      <w:r>
        <w:rPr>
          <w:rFonts w:hint="eastAsia" w:ascii="宋体" w:hAnsi="宋体" w:cs="宋体"/>
        </w:rPr>
        <w:fldChar w:fldCharType="end"/>
      </w:r>
    </w:p>
    <w:p w14:paraId="0D71571B">
      <w:pPr>
        <w:pStyle w:val="15"/>
        <w:tabs>
          <w:tab w:val="right" w:leader="dot" w:pos="9360"/>
        </w:tabs>
        <w:rPr>
          <w:rFonts w:ascii="宋体" w:hAnsi="宋体" w:cs="宋体"/>
        </w:rPr>
      </w:pPr>
      <w:r>
        <w:fldChar w:fldCharType="begin"/>
      </w:r>
      <w:r>
        <w:instrText xml:space="preserve"> HYPERLINK \l "_Toc5550" </w:instrText>
      </w:r>
      <w:r>
        <w:fldChar w:fldCharType="separate"/>
      </w:r>
      <w:r>
        <w:rPr>
          <w:rFonts w:hint="eastAsia" w:ascii="宋体" w:hAnsi="宋体" w:cs="宋体"/>
        </w:rPr>
        <w:t>第五章 委托人要求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_Toc5550 \h </w:instrText>
      </w:r>
      <w:r>
        <w:rPr>
          <w:rFonts w:hint="eastAsia" w:ascii="宋体" w:hAnsi="宋体" w:cs="宋体"/>
        </w:rPr>
        <w:fldChar w:fldCharType="separate"/>
      </w:r>
      <w:r>
        <w:rPr>
          <w:rFonts w:hint="eastAsia" w:ascii="宋体" w:hAnsi="宋体" w:cs="宋体"/>
        </w:rPr>
        <w:t>45</w:t>
      </w:r>
      <w:r>
        <w:rPr>
          <w:rFonts w:hint="eastAsia" w:ascii="宋体" w:hAnsi="宋体" w:cs="宋体"/>
        </w:rPr>
        <w:fldChar w:fldCharType="end"/>
      </w:r>
      <w:r>
        <w:rPr>
          <w:rFonts w:hint="eastAsia" w:ascii="宋体" w:hAnsi="宋体" w:cs="宋体"/>
        </w:rPr>
        <w:fldChar w:fldCharType="end"/>
      </w:r>
    </w:p>
    <w:p w14:paraId="50274C6C">
      <w:pPr>
        <w:pStyle w:val="15"/>
        <w:tabs>
          <w:tab w:val="right" w:leader="dot" w:pos="9360"/>
        </w:tabs>
        <w:rPr>
          <w:rFonts w:ascii="宋体" w:hAnsi="宋体" w:cs="宋体"/>
        </w:rPr>
      </w:pPr>
      <w:r>
        <w:fldChar w:fldCharType="begin"/>
      </w:r>
      <w:r>
        <w:instrText xml:space="preserve"> HYPERLINK \l "_Toc475" </w:instrText>
      </w:r>
      <w:r>
        <w:fldChar w:fldCharType="separate"/>
      </w:r>
      <w:r>
        <w:rPr>
          <w:rFonts w:hint="eastAsia" w:ascii="宋体" w:hAnsi="宋体" w:cs="宋体"/>
        </w:rPr>
        <w:t>第三卷</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_Toc475 \h </w:instrText>
      </w:r>
      <w:r>
        <w:rPr>
          <w:rFonts w:hint="eastAsia" w:ascii="宋体" w:hAnsi="宋体" w:cs="宋体"/>
        </w:rPr>
        <w:fldChar w:fldCharType="separate"/>
      </w:r>
      <w:r>
        <w:rPr>
          <w:rFonts w:hint="eastAsia" w:ascii="宋体" w:hAnsi="宋体" w:cs="宋体"/>
        </w:rPr>
        <w:t>50</w:t>
      </w:r>
      <w:r>
        <w:rPr>
          <w:rFonts w:hint="eastAsia" w:ascii="宋体" w:hAnsi="宋体" w:cs="宋体"/>
        </w:rPr>
        <w:fldChar w:fldCharType="end"/>
      </w:r>
      <w:r>
        <w:rPr>
          <w:rFonts w:hint="eastAsia" w:ascii="宋体" w:hAnsi="宋体" w:cs="宋体"/>
        </w:rPr>
        <w:fldChar w:fldCharType="end"/>
      </w:r>
    </w:p>
    <w:p w14:paraId="0EABAC1F">
      <w:pPr>
        <w:pStyle w:val="15"/>
        <w:tabs>
          <w:tab w:val="right" w:leader="dot" w:pos="9360"/>
        </w:tabs>
        <w:rPr>
          <w:rFonts w:ascii="宋体" w:hAnsi="宋体" w:cs="宋体"/>
        </w:rPr>
      </w:pPr>
      <w:r>
        <w:fldChar w:fldCharType="begin"/>
      </w:r>
      <w:r>
        <w:instrText xml:space="preserve"> HYPERLINK \l "_Toc1299" </w:instrText>
      </w:r>
      <w:r>
        <w:fldChar w:fldCharType="separate"/>
      </w:r>
      <w:r>
        <w:rPr>
          <w:rFonts w:hint="eastAsia" w:ascii="宋体" w:hAnsi="宋体" w:cs="宋体"/>
        </w:rPr>
        <w:t>第六章投标文件格式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_Toc1299 \h </w:instrText>
      </w:r>
      <w:r>
        <w:rPr>
          <w:rFonts w:hint="eastAsia" w:ascii="宋体" w:hAnsi="宋体" w:cs="宋体"/>
        </w:rPr>
        <w:fldChar w:fldCharType="separate"/>
      </w:r>
      <w:r>
        <w:rPr>
          <w:rFonts w:hint="eastAsia" w:ascii="宋体" w:hAnsi="宋体" w:cs="宋体"/>
        </w:rPr>
        <w:t>50</w:t>
      </w:r>
      <w:r>
        <w:rPr>
          <w:rFonts w:hint="eastAsia" w:ascii="宋体" w:hAnsi="宋体" w:cs="宋体"/>
        </w:rPr>
        <w:fldChar w:fldCharType="end"/>
      </w:r>
      <w:r>
        <w:rPr>
          <w:rFonts w:hint="eastAsia" w:ascii="宋体" w:hAnsi="宋体" w:cs="宋体"/>
        </w:rPr>
        <w:fldChar w:fldCharType="end"/>
      </w:r>
    </w:p>
    <w:p w14:paraId="6AF6CF6A">
      <w:pPr>
        <w:pStyle w:val="15"/>
        <w:tabs>
          <w:tab w:val="right" w:leader="dot" w:pos="9360"/>
        </w:tabs>
        <w:rPr>
          <w:rFonts w:ascii="宋体" w:hAnsi="宋体" w:cs="宋体"/>
        </w:rPr>
      </w:pPr>
      <w:r>
        <w:fldChar w:fldCharType="begin"/>
      </w:r>
      <w:r>
        <w:instrText xml:space="preserve"> HYPERLINK \l "_Toc17922" </w:instrText>
      </w:r>
      <w:r>
        <w:fldChar w:fldCharType="separate"/>
      </w:r>
      <w:r>
        <w:rPr>
          <w:rFonts w:hint="eastAsia" w:ascii="宋体" w:hAnsi="宋体" w:cs="宋体"/>
        </w:rPr>
        <w:t>目录</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_Toc17922 \h </w:instrText>
      </w:r>
      <w:r>
        <w:rPr>
          <w:rFonts w:hint="eastAsia" w:ascii="宋体" w:hAnsi="宋体" w:cs="宋体"/>
        </w:rPr>
        <w:fldChar w:fldCharType="separate"/>
      </w:r>
      <w:r>
        <w:rPr>
          <w:rFonts w:hint="eastAsia" w:ascii="宋体" w:hAnsi="宋体" w:cs="宋体"/>
        </w:rPr>
        <w:t>52</w:t>
      </w:r>
      <w:r>
        <w:rPr>
          <w:rFonts w:hint="eastAsia" w:ascii="宋体" w:hAnsi="宋体" w:cs="宋体"/>
        </w:rPr>
        <w:fldChar w:fldCharType="end"/>
      </w:r>
      <w:r>
        <w:rPr>
          <w:rFonts w:hint="eastAsia" w:ascii="宋体" w:hAnsi="宋体" w:cs="宋体"/>
        </w:rPr>
        <w:fldChar w:fldCharType="end"/>
      </w:r>
    </w:p>
    <w:p w14:paraId="19801184">
      <w:pPr>
        <w:pStyle w:val="15"/>
        <w:tabs>
          <w:tab w:val="right" w:leader="dot" w:pos="9360"/>
        </w:tabs>
        <w:rPr>
          <w:rFonts w:ascii="宋体" w:hAnsi="宋体" w:cs="宋体"/>
        </w:rPr>
      </w:pPr>
      <w:r>
        <w:fldChar w:fldCharType="begin"/>
      </w:r>
      <w:r>
        <w:instrText xml:space="preserve"> HYPERLINK \l "_Toc13596" </w:instrText>
      </w:r>
      <w:r>
        <w:fldChar w:fldCharType="separate"/>
      </w:r>
      <w:r>
        <w:rPr>
          <w:rFonts w:hint="eastAsia" w:ascii="宋体" w:hAnsi="宋体" w:cs="宋体"/>
        </w:rPr>
        <w:t>一、投标函及投标函附录</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_Toc13596 \h </w:instrText>
      </w:r>
      <w:r>
        <w:rPr>
          <w:rFonts w:hint="eastAsia" w:ascii="宋体" w:hAnsi="宋体" w:cs="宋体"/>
        </w:rPr>
        <w:fldChar w:fldCharType="separate"/>
      </w:r>
      <w:r>
        <w:rPr>
          <w:rFonts w:hint="eastAsia" w:ascii="宋体" w:hAnsi="宋体" w:cs="宋体"/>
        </w:rPr>
        <w:t>53</w:t>
      </w:r>
      <w:r>
        <w:rPr>
          <w:rFonts w:hint="eastAsia" w:ascii="宋体" w:hAnsi="宋体" w:cs="宋体"/>
        </w:rPr>
        <w:fldChar w:fldCharType="end"/>
      </w:r>
      <w:r>
        <w:rPr>
          <w:rFonts w:hint="eastAsia" w:ascii="宋体" w:hAnsi="宋体" w:cs="宋体"/>
        </w:rPr>
        <w:fldChar w:fldCharType="end"/>
      </w:r>
    </w:p>
    <w:p w14:paraId="612CC01B">
      <w:pPr>
        <w:pStyle w:val="15"/>
        <w:tabs>
          <w:tab w:val="right" w:leader="dot" w:pos="9360"/>
        </w:tabs>
        <w:rPr>
          <w:rFonts w:ascii="宋体" w:hAnsi="宋体" w:cs="宋体"/>
        </w:rPr>
      </w:pPr>
      <w:r>
        <w:fldChar w:fldCharType="begin"/>
      </w:r>
      <w:r>
        <w:instrText xml:space="preserve"> HYPERLINK \l "_Toc23822" </w:instrText>
      </w:r>
      <w:r>
        <w:fldChar w:fldCharType="separate"/>
      </w:r>
      <w:r>
        <w:rPr>
          <w:rFonts w:hint="eastAsia" w:ascii="宋体" w:hAnsi="宋体" w:cs="宋体"/>
        </w:rPr>
        <w:t>（一）投标函</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_Toc23822 \h </w:instrText>
      </w:r>
      <w:r>
        <w:rPr>
          <w:rFonts w:hint="eastAsia" w:ascii="宋体" w:hAnsi="宋体" w:cs="宋体"/>
        </w:rPr>
        <w:fldChar w:fldCharType="separate"/>
      </w:r>
      <w:r>
        <w:rPr>
          <w:rFonts w:hint="eastAsia" w:ascii="宋体" w:hAnsi="宋体" w:cs="宋体"/>
        </w:rPr>
        <w:t>53</w:t>
      </w:r>
      <w:r>
        <w:rPr>
          <w:rFonts w:hint="eastAsia" w:ascii="宋体" w:hAnsi="宋体" w:cs="宋体"/>
        </w:rPr>
        <w:fldChar w:fldCharType="end"/>
      </w:r>
      <w:r>
        <w:rPr>
          <w:rFonts w:hint="eastAsia" w:ascii="宋体" w:hAnsi="宋体" w:cs="宋体"/>
        </w:rPr>
        <w:fldChar w:fldCharType="end"/>
      </w:r>
    </w:p>
    <w:p w14:paraId="0CD2ACC5">
      <w:pPr>
        <w:pStyle w:val="15"/>
        <w:tabs>
          <w:tab w:val="right" w:leader="dot" w:pos="9360"/>
        </w:tabs>
        <w:rPr>
          <w:rFonts w:ascii="宋体" w:hAnsi="宋体" w:cs="宋体"/>
        </w:rPr>
      </w:pPr>
      <w:r>
        <w:fldChar w:fldCharType="begin"/>
      </w:r>
      <w:r>
        <w:instrText xml:space="preserve"> HYPERLINK \l "_Toc9389" </w:instrText>
      </w:r>
      <w:r>
        <w:fldChar w:fldCharType="separate"/>
      </w:r>
      <w:r>
        <w:rPr>
          <w:rFonts w:hint="eastAsia" w:ascii="宋体" w:hAnsi="宋体" w:cs="宋体"/>
        </w:rPr>
        <w:t>（二）投标函附录</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_Toc9389 \h </w:instrText>
      </w:r>
      <w:r>
        <w:rPr>
          <w:rFonts w:hint="eastAsia" w:ascii="宋体" w:hAnsi="宋体" w:cs="宋体"/>
        </w:rPr>
        <w:fldChar w:fldCharType="separate"/>
      </w:r>
      <w:r>
        <w:rPr>
          <w:rFonts w:hint="eastAsia" w:ascii="宋体" w:hAnsi="宋体" w:cs="宋体"/>
        </w:rPr>
        <w:t>54</w:t>
      </w:r>
      <w:r>
        <w:rPr>
          <w:rFonts w:hint="eastAsia" w:ascii="宋体" w:hAnsi="宋体" w:cs="宋体"/>
        </w:rPr>
        <w:fldChar w:fldCharType="end"/>
      </w:r>
      <w:r>
        <w:rPr>
          <w:rFonts w:hint="eastAsia" w:ascii="宋体" w:hAnsi="宋体" w:cs="宋体"/>
        </w:rPr>
        <w:fldChar w:fldCharType="end"/>
      </w:r>
    </w:p>
    <w:p w14:paraId="093AB6B2">
      <w:pPr>
        <w:pStyle w:val="15"/>
        <w:tabs>
          <w:tab w:val="right" w:leader="dot" w:pos="9360"/>
        </w:tabs>
        <w:rPr>
          <w:rFonts w:ascii="宋体" w:hAnsi="宋体" w:cs="宋体"/>
        </w:rPr>
      </w:pPr>
      <w:r>
        <w:fldChar w:fldCharType="begin"/>
      </w:r>
      <w:r>
        <w:instrText xml:space="preserve"> HYPERLINK \l "_Toc9389" </w:instrText>
      </w:r>
      <w:r>
        <w:fldChar w:fldCharType="separate"/>
      </w:r>
      <w:r>
        <w:rPr>
          <w:rFonts w:hint="eastAsia" w:ascii="宋体" w:hAnsi="宋体" w:cs="宋体"/>
        </w:rPr>
        <w:t>（三）声明函</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_Toc9389 \h </w:instrText>
      </w:r>
      <w:r>
        <w:rPr>
          <w:rFonts w:hint="eastAsia" w:ascii="宋体" w:hAnsi="宋体" w:cs="宋体"/>
        </w:rPr>
        <w:fldChar w:fldCharType="separate"/>
      </w:r>
      <w:r>
        <w:rPr>
          <w:rFonts w:hint="eastAsia" w:ascii="宋体" w:hAnsi="宋体" w:cs="宋体"/>
        </w:rPr>
        <w:t>55</w:t>
      </w:r>
      <w:r>
        <w:rPr>
          <w:rFonts w:hint="eastAsia" w:ascii="宋体" w:hAnsi="宋体" w:cs="宋体"/>
        </w:rPr>
        <w:fldChar w:fldCharType="end"/>
      </w:r>
      <w:r>
        <w:rPr>
          <w:rFonts w:hint="eastAsia" w:ascii="宋体" w:hAnsi="宋体" w:cs="宋体"/>
        </w:rPr>
        <w:fldChar w:fldCharType="end"/>
      </w:r>
    </w:p>
    <w:p w14:paraId="2C7F75D3">
      <w:pPr>
        <w:pStyle w:val="15"/>
        <w:tabs>
          <w:tab w:val="right" w:leader="dot" w:pos="9360"/>
        </w:tabs>
        <w:rPr>
          <w:rFonts w:ascii="宋体" w:hAnsi="宋体" w:cs="宋体"/>
        </w:rPr>
      </w:pPr>
      <w:r>
        <w:fldChar w:fldCharType="begin"/>
      </w:r>
      <w:r>
        <w:instrText xml:space="preserve"> HYPERLINK \l "_Toc29150" </w:instrText>
      </w:r>
      <w:r>
        <w:fldChar w:fldCharType="separate"/>
      </w:r>
      <w:r>
        <w:rPr>
          <w:rFonts w:hint="eastAsia" w:ascii="宋体" w:hAnsi="宋体" w:cs="宋体"/>
        </w:rPr>
        <w:t>二、法定代表人身份证明</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_Toc29150 \h </w:instrText>
      </w:r>
      <w:r>
        <w:rPr>
          <w:rFonts w:hint="eastAsia" w:ascii="宋体" w:hAnsi="宋体" w:cs="宋体"/>
        </w:rPr>
        <w:fldChar w:fldCharType="separate"/>
      </w:r>
      <w:r>
        <w:rPr>
          <w:rFonts w:hint="eastAsia" w:ascii="宋体" w:hAnsi="宋体" w:cs="宋体"/>
        </w:rPr>
        <w:t>56</w:t>
      </w:r>
      <w:r>
        <w:rPr>
          <w:rFonts w:hint="eastAsia" w:ascii="宋体" w:hAnsi="宋体" w:cs="宋体"/>
        </w:rPr>
        <w:fldChar w:fldCharType="end"/>
      </w:r>
      <w:r>
        <w:rPr>
          <w:rFonts w:hint="eastAsia" w:ascii="宋体" w:hAnsi="宋体" w:cs="宋体"/>
        </w:rPr>
        <w:fldChar w:fldCharType="end"/>
      </w:r>
    </w:p>
    <w:p w14:paraId="30D7EB1B">
      <w:pPr>
        <w:pStyle w:val="15"/>
        <w:tabs>
          <w:tab w:val="right" w:leader="dot" w:pos="9360"/>
        </w:tabs>
        <w:rPr>
          <w:rFonts w:ascii="宋体" w:hAnsi="宋体" w:cs="宋体"/>
        </w:rPr>
      </w:pPr>
      <w:r>
        <w:fldChar w:fldCharType="begin"/>
      </w:r>
      <w:r>
        <w:instrText xml:space="preserve"> HYPERLINK \l "_Toc14031" </w:instrText>
      </w:r>
      <w:r>
        <w:fldChar w:fldCharType="separate"/>
      </w:r>
      <w:r>
        <w:rPr>
          <w:rFonts w:hint="eastAsia" w:ascii="宋体" w:hAnsi="宋体" w:cs="宋体"/>
        </w:rPr>
        <w:t>二、授权委托书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_Toc14031 \h </w:instrText>
      </w:r>
      <w:r>
        <w:rPr>
          <w:rFonts w:hint="eastAsia" w:ascii="宋体" w:hAnsi="宋体" w:cs="宋体"/>
        </w:rPr>
        <w:fldChar w:fldCharType="separate"/>
      </w:r>
      <w:r>
        <w:rPr>
          <w:rFonts w:hint="eastAsia" w:ascii="宋体" w:hAnsi="宋体" w:cs="宋体"/>
        </w:rPr>
        <w:t>57</w:t>
      </w:r>
      <w:r>
        <w:rPr>
          <w:rFonts w:hint="eastAsia" w:ascii="宋体" w:hAnsi="宋体" w:cs="宋体"/>
        </w:rPr>
        <w:fldChar w:fldCharType="end"/>
      </w:r>
      <w:r>
        <w:rPr>
          <w:rFonts w:hint="eastAsia" w:ascii="宋体" w:hAnsi="宋体" w:cs="宋体"/>
        </w:rPr>
        <w:fldChar w:fldCharType="end"/>
      </w:r>
    </w:p>
    <w:p w14:paraId="66634146">
      <w:pPr>
        <w:pStyle w:val="15"/>
        <w:tabs>
          <w:tab w:val="right" w:leader="dot" w:pos="9360"/>
        </w:tabs>
        <w:rPr>
          <w:rFonts w:ascii="宋体" w:hAnsi="宋体" w:cs="宋体"/>
        </w:rPr>
      </w:pPr>
      <w:r>
        <w:fldChar w:fldCharType="begin"/>
      </w:r>
      <w:r>
        <w:instrText xml:space="preserve"> HYPERLINK \l "_Toc22624" </w:instrText>
      </w:r>
      <w:r>
        <w:fldChar w:fldCharType="separate"/>
      </w:r>
      <w:r>
        <w:rPr>
          <w:rFonts w:hint="eastAsia" w:ascii="宋体" w:hAnsi="宋体" w:cs="宋体"/>
        </w:rPr>
        <w:t>三、监理报酬清单</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_Toc22624 \h </w:instrText>
      </w:r>
      <w:r>
        <w:rPr>
          <w:rFonts w:hint="eastAsia" w:ascii="宋体" w:hAnsi="宋体" w:cs="宋体"/>
        </w:rPr>
        <w:fldChar w:fldCharType="separate"/>
      </w:r>
      <w:r>
        <w:rPr>
          <w:rFonts w:hint="eastAsia" w:ascii="宋体" w:hAnsi="宋体" w:cs="宋体"/>
        </w:rPr>
        <w:t>58</w:t>
      </w:r>
      <w:r>
        <w:rPr>
          <w:rFonts w:hint="eastAsia" w:ascii="宋体" w:hAnsi="宋体" w:cs="宋体"/>
        </w:rPr>
        <w:fldChar w:fldCharType="end"/>
      </w:r>
      <w:r>
        <w:rPr>
          <w:rFonts w:hint="eastAsia" w:ascii="宋体" w:hAnsi="宋体" w:cs="宋体"/>
        </w:rPr>
        <w:fldChar w:fldCharType="end"/>
      </w:r>
    </w:p>
    <w:p w14:paraId="08CC0BCD">
      <w:pPr>
        <w:pStyle w:val="15"/>
        <w:tabs>
          <w:tab w:val="right" w:leader="dot" w:pos="9360"/>
        </w:tabs>
        <w:rPr>
          <w:rFonts w:ascii="宋体" w:hAnsi="宋体" w:cs="宋体"/>
        </w:rPr>
      </w:pPr>
      <w:r>
        <w:fldChar w:fldCharType="begin"/>
      </w:r>
      <w:r>
        <w:instrText xml:space="preserve"> HYPERLINK \l "_Toc183" </w:instrText>
      </w:r>
      <w:r>
        <w:fldChar w:fldCharType="separate"/>
      </w:r>
      <w:r>
        <w:rPr>
          <w:rFonts w:hint="eastAsia" w:ascii="宋体" w:hAnsi="宋体" w:cs="宋体"/>
        </w:rPr>
        <w:t>四、资格审查资料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_Toc183 \h </w:instrText>
      </w:r>
      <w:r>
        <w:rPr>
          <w:rFonts w:hint="eastAsia" w:ascii="宋体" w:hAnsi="宋体" w:cs="宋体"/>
        </w:rPr>
        <w:fldChar w:fldCharType="separate"/>
      </w:r>
      <w:r>
        <w:rPr>
          <w:rFonts w:hint="eastAsia" w:ascii="宋体" w:hAnsi="宋体" w:cs="宋体"/>
        </w:rPr>
        <w:t>59</w:t>
      </w:r>
      <w:r>
        <w:rPr>
          <w:rFonts w:hint="eastAsia" w:ascii="宋体" w:hAnsi="宋体" w:cs="宋体"/>
        </w:rPr>
        <w:fldChar w:fldCharType="end"/>
      </w:r>
      <w:r>
        <w:rPr>
          <w:rFonts w:hint="eastAsia" w:ascii="宋体" w:hAnsi="宋体" w:cs="宋体"/>
        </w:rPr>
        <w:fldChar w:fldCharType="end"/>
      </w:r>
    </w:p>
    <w:p w14:paraId="16ED6422">
      <w:pPr>
        <w:pStyle w:val="15"/>
        <w:tabs>
          <w:tab w:val="right" w:leader="dot" w:pos="9360"/>
        </w:tabs>
        <w:rPr>
          <w:rFonts w:ascii="宋体" w:hAnsi="宋体" w:cs="宋体"/>
        </w:rPr>
      </w:pPr>
      <w:r>
        <w:fldChar w:fldCharType="begin"/>
      </w:r>
      <w:r>
        <w:instrText xml:space="preserve"> HYPERLINK \l "_Toc1538" </w:instrText>
      </w:r>
      <w:r>
        <w:fldChar w:fldCharType="separate"/>
      </w:r>
      <w:r>
        <w:rPr>
          <w:rFonts w:hint="eastAsia" w:ascii="宋体" w:hAnsi="宋体" w:cs="宋体"/>
        </w:rPr>
        <w:t>（一）投标人基本情况表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_Toc1538 \h </w:instrText>
      </w:r>
      <w:r>
        <w:rPr>
          <w:rFonts w:hint="eastAsia" w:ascii="宋体" w:hAnsi="宋体" w:cs="宋体"/>
        </w:rPr>
        <w:fldChar w:fldCharType="separate"/>
      </w:r>
      <w:r>
        <w:rPr>
          <w:rFonts w:hint="eastAsia" w:ascii="宋体" w:hAnsi="宋体" w:cs="宋体"/>
        </w:rPr>
        <w:t>59</w:t>
      </w:r>
      <w:r>
        <w:rPr>
          <w:rFonts w:hint="eastAsia" w:ascii="宋体" w:hAnsi="宋体" w:cs="宋体"/>
        </w:rPr>
        <w:fldChar w:fldCharType="end"/>
      </w:r>
      <w:r>
        <w:rPr>
          <w:rFonts w:hint="eastAsia" w:ascii="宋体" w:hAnsi="宋体" w:cs="宋体"/>
        </w:rPr>
        <w:fldChar w:fldCharType="end"/>
      </w:r>
    </w:p>
    <w:p w14:paraId="2C2729B8">
      <w:pPr>
        <w:pStyle w:val="15"/>
        <w:tabs>
          <w:tab w:val="right" w:leader="dot" w:pos="9360"/>
        </w:tabs>
        <w:rPr>
          <w:rFonts w:ascii="宋体" w:hAnsi="宋体" w:cs="宋体"/>
        </w:rPr>
      </w:pPr>
      <w:r>
        <w:fldChar w:fldCharType="begin"/>
      </w:r>
      <w:r>
        <w:instrText xml:space="preserve"> HYPERLINK \l "_Toc19169" </w:instrText>
      </w:r>
      <w:r>
        <w:fldChar w:fldCharType="separate"/>
      </w:r>
      <w:r>
        <w:rPr>
          <w:rFonts w:hint="eastAsia" w:ascii="宋体" w:hAnsi="宋体" w:cs="宋体"/>
        </w:rPr>
        <w:t>（二）近年完成的类似项目情况表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_Toc19169 \h </w:instrText>
      </w:r>
      <w:r>
        <w:rPr>
          <w:rFonts w:hint="eastAsia" w:ascii="宋体" w:hAnsi="宋体" w:cs="宋体"/>
        </w:rPr>
        <w:fldChar w:fldCharType="separate"/>
      </w:r>
      <w:r>
        <w:rPr>
          <w:rFonts w:hint="eastAsia" w:ascii="宋体" w:hAnsi="宋体" w:cs="宋体"/>
        </w:rPr>
        <w:t>60</w:t>
      </w:r>
      <w:r>
        <w:rPr>
          <w:rFonts w:hint="eastAsia" w:ascii="宋体" w:hAnsi="宋体" w:cs="宋体"/>
        </w:rPr>
        <w:fldChar w:fldCharType="end"/>
      </w:r>
      <w:r>
        <w:rPr>
          <w:rFonts w:hint="eastAsia" w:ascii="宋体" w:hAnsi="宋体" w:cs="宋体"/>
        </w:rPr>
        <w:fldChar w:fldCharType="end"/>
      </w:r>
    </w:p>
    <w:p w14:paraId="7578489D">
      <w:pPr>
        <w:pStyle w:val="15"/>
        <w:tabs>
          <w:tab w:val="right" w:leader="dot" w:pos="9360"/>
        </w:tabs>
        <w:rPr>
          <w:rFonts w:ascii="宋体" w:hAnsi="宋体" w:cs="宋体"/>
        </w:rPr>
      </w:pPr>
      <w:r>
        <w:fldChar w:fldCharType="begin"/>
      </w:r>
      <w:r>
        <w:instrText xml:space="preserve"> HYPERLINK \l "_Toc20213" </w:instrText>
      </w:r>
      <w:r>
        <w:fldChar w:fldCharType="separate"/>
      </w:r>
      <w:r>
        <w:rPr>
          <w:rFonts w:hint="eastAsia" w:ascii="宋体" w:hAnsi="宋体" w:cs="宋体"/>
        </w:rPr>
        <w:t>（三）近年发生的诉讼及仲裁情况</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_Toc20213 \h </w:instrText>
      </w:r>
      <w:r>
        <w:rPr>
          <w:rFonts w:hint="eastAsia" w:ascii="宋体" w:hAnsi="宋体" w:cs="宋体"/>
        </w:rPr>
        <w:fldChar w:fldCharType="separate"/>
      </w:r>
      <w:r>
        <w:rPr>
          <w:rFonts w:hint="eastAsia" w:ascii="宋体" w:hAnsi="宋体" w:cs="宋体"/>
        </w:rPr>
        <w:t>61</w:t>
      </w:r>
      <w:r>
        <w:rPr>
          <w:rFonts w:hint="eastAsia" w:ascii="宋体" w:hAnsi="宋体" w:cs="宋体"/>
        </w:rPr>
        <w:fldChar w:fldCharType="end"/>
      </w:r>
      <w:r>
        <w:rPr>
          <w:rFonts w:hint="eastAsia" w:ascii="宋体" w:hAnsi="宋体" w:cs="宋体"/>
        </w:rPr>
        <w:fldChar w:fldCharType="end"/>
      </w:r>
    </w:p>
    <w:p w14:paraId="2286A7E6">
      <w:pPr>
        <w:pStyle w:val="15"/>
        <w:tabs>
          <w:tab w:val="right" w:leader="dot" w:pos="9360"/>
        </w:tabs>
        <w:rPr>
          <w:rFonts w:ascii="宋体" w:hAnsi="宋体" w:cs="宋体"/>
        </w:rPr>
      </w:pPr>
      <w:r>
        <w:fldChar w:fldCharType="begin"/>
      </w:r>
      <w:r>
        <w:instrText xml:space="preserve"> HYPERLINK \l "_Toc6099" </w:instrText>
      </w:r>
      <w:r>
        <w:fldChar w:fldCharType="separate"/>
      </w:r>
      <w:r>
        <w:rPr>
          <w:rFonts w:hint="eastAsia" w:ascii="宋体" w:hAnsi="宋体" w:cs="宋体"/>
        </w:rPr>
        <w:t>（四）监理项目管理团队人员信息表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_Toc6099 \h </w:instrText>
      </w:r>
      <w:r>
        <w:rPr>
          <w:rFonts w:hint="eastAsia" w:ascii="宋体" w:hAnsi="宋体" w:cs="宋体"/>
        </w:rPr>
        <w:fldChar w:fldCharType="separate"/>
      </w:r>
      <w:r>
        <w:rPr>
          <w:rFonts w:hint="eastAsia" w:ascii="宋体" w:hAnsi="宋体" w:cs="宋体"/>
        </w:rPr>
        <w:t>62</w:t>
      </w:r>
      <w:r>
        <w:rPr>
          <w:rFonts w:hint="eastAsia" w:ascii="宋体" w:hAnsi="宋体" w:cs="宋体"/>
        </w:rPr>
        <w:fldChar w:fldCharType="end"/>
      </w:r>
      <w:r>
        <w:rPr>
          <w:rFonts w:hint="eastAsia" w:ascii="宋体" w:hAnsi="宋体" w:cs="宋体"/>
        </w:rPr>
        <w:fldChar w:fldCharType="end"/>
      </w:r>
    </w:p>
    <w:p w14:paraId="22E3D595">
      <w:pPr>
        <w:pStyle w:val="15"/>
        <w:tabs>
          <w:tab w:val="right" w:leader="dot" w:pos="9360"/>
        </w:tabs>
        <w:rPr>
          <w:rFonts w:ascii="宋体" w:hAnsi="宋体" w:cs="宋体"/>
        </w:rPr>
      </w:pPr>
      <w:r>
        <w:fldChar w:fldCharType="begin"/>
      </w:r>
      <w:r>
        <w:instrText xml:space="preserve"> HYPERLINK \l "_Toc5719" </w:instrText>
      </w:r>
      <w:r>
        <w:fldChar w:fldCharType="separate"/>
      </w:r>
      <w:r>
        <w:rPr>
          <w:rFonts w:hint="eastAsia" w:ascii="宋体" w:hAnsi="宋体" w:cs="宋体"/>
        </w:rPr>
        <w:t>（五）主要人员（项目总监）简历表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_Toc5719 \h </w:instrText>
      </w:r>
      <w:r>
        <w:rPr>
          <w:rFonts w:hint="eastAsia" w:ascii="宋体" w:hAnsi="宋体" w:cs="宋体"/>
        </w:rPr>
        <w:fldChar w:fldCharType="separate"/>
      </w:r>
      <w:r>
        <w:rPr>
          <w:rFonts w:hint="eastAsia" w:ascii="宋体" w:hAnsi="宋体" w:cs="宋体"/>
        </w:rPr>
        <w:t>64</w:t>
      </w:r>
      <w:r>
        <w:rPr>
          <w:rFonts w:hint="eastAsia" w:ascii="宋体" w:hAnsi="宋体" w:cs="宋体"/>
        </w:rPr>
        <w:fldChar w:fldCharType="end"/>
      </w:r>
      <w:r>
        <w:rPr>
          <w:rFonts w:hint="eastAsia" w:ascii="宋体" w:hAnsi="宋体" w:cs="宋体"/>
        </w:rPr>
        <w:fldChar w:fldCharType="end"/>
      </w:r>
    </w:p>
    <w:p w14:paraId="1985835B">
      <w:pPr>
        <w:pStyle w:val="15"/>
        <w:tabs>
          <w:tab w:val="right" w:leader="dot" w:pos="9360"/>
        </w:tabs>
        <w:rPr>
          <w:rFonts w:ascii="宋体" w:hAnsi="宋体" w:cs="宋体"/>
        </w:rPr>
      </w:pPr>
      <w:r>
        <w:fldChar w:fldCharType="begin"/>
      </w:r>
      <w:r>
        <w:instrText xml:space="preserve"> HYPERLINK \l "_Toc17953" </w:instrText>
      </w:r>
      <w:r>
        <w:fldChar w:fldCharType="separate"/>
      </w:r>
      <w:r>
        <w:rPr>
          <w:rFonts w:hint="eastAsia" w:ascii="宋体" w:hAnsi="宋体" w:cs="宋体"/>
        </w:rPr>
        <w:t>（六）拟投入本项目的主要试验检测仪器设备表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_Toc17953 \h </w:instrText>
      </w:r>
      <w:r>
        <w:rPr>
          <w:rFonts w:hint="eastAsia" w:ascii="宋体" w:hAnsi="宋体" w:cs="宋体"/>
        </w:rPr>
        <w:fldChar w:fldCharType="separate"/>
      </w:r>
      <w:r>
        <w:rPr>
          <w:rFonts w:hint="eastAsia" w:ascii="宋体" w:hAnsi="宋体" w:cs="宋体"/>
        </w:rPr>
        <w:t>65</w:t>
      </w:r>
      <w:r>
        <w:rPr>
          <w:rFonts w:hint="eastAsia" w:ascii="宋体" w:hAnsi="宋体" w:cs="宋体"/>
        </w:rPr>
        <w:fldChar w:fldCharType="end"/>
      </w:r>
      <w:r>
        <w:rPr>
          <w:rFonts w:hint="eastAsia" w:ascii="宋体" w:hAnsi="宋体" w:cs="宋体"/>
        </w:rPr>
        <w:fldChar w:fldCharType="end"/>
      </w:r>
    </w:p>
    <w:p w14:paraId="320D05D0">
      <w:pPr>
        <w:pStyle w:val="15"/>
        <w:tabs>
          <w:tab w:val="right" w:leader="dot" w:pos="9360"/>
        </w:tabs>
        <w:rPr>
          <w:rFonts w:ascii="宋体" w:hAnsi="宋体" w:cs="宋体"/>
        </w:rPr>
      </w:pPr>
      <w:r>
        <w:fldChar w:fldCharType="begin"/>
      </w:r>
      <w:r>
        <w:instrText xml:space="preserve"> HYPERLINK \l "_Toc20656" </w:instrText>
      </w:r>
      <w:r>
        <w:fldChar w:fldCharType="separate"/>
      </w:r>
      <w:r>
        <w:rPr>
          <w:rFonts w:hint="eastAsia" w:ascii="宋体" w:hAnsi="宋体" w:cs="宋体"/>
        </w:rPr>
        <w:t>（七）投标人声明格式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_Toc20656 \h </w:instrText>
      </w:r>
      <w:r>
        <w:rPr>
          <w:rFonts w:hint="eastAsia" w:ascii="宋体" w:hAnsi="宋体" w:cs="宋体"/>
        </w:rPr>
        <w:fldChar w:fldCharType="separate"/>
      </w:r>
      <w:r>
        <w:rPr>
          <w:rFonts w:hint="eastAsia" w:ascii="宋体" w:hAnsi="宋体" w:cs="宋体"/>
        </w:rPr>
        <w:t>67</w:t>
      </w:r>
      <w:r>
        <w:rPr>
          <w:rFonts w:hint="eastAsia" w:ascii="宋体" w:hAnsi="宋体" w:cs="宋体"/>
        </w:rPr>
        <w:fldChar w:fldCharType="end"/>
      </w:r>
      <w:r>
        <w:rPr>
          <w:rFonts w:hint="eastAsia" w:ascii="宋体" w:hAnsi="宋体" w:cs="宋体"/>
        </w:rPr>
        <w:fldChar w:fldCharType="end"/>
      </w:r>
    </w:p>
    <w:p w14:paraId="38A4C88A">
      <w:pPr>
        <w:pStyle w:val="15"/>
        <w:tabs>
          <w:tab w:val="right" w:leader="dot" w:pos="9360"/>
        </w:tabs>
        <w:rPr>
          <w:rFonts w:ascii="宋体" w:hAnsi="宋体" w:cs="宋体"/>
        </w:rPr>
      </w:pPr>
      <w:r>
        <w:fldChar w:fldCharType="begin"/>
      </w:r>
      <w:r>
        <w:instrText xml:space="preserve"> HYPERLINK \l "_Toc20332" </w:instrText>
      </w:r>
      <w:r>
        <w:fldChar w:fldCharType="separate"/>
      </w:r>
      <w:r>
        <w:rPr>
          <w:rFonts w:hint="eastAsia" w:ascii="宋体" w:hAnsi="宋体" w:cs="宋体"/>
        </w:rPr>
        <w:t>五、监理大纲</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_Toc20332 \h </w:instrText>
      </w:r>
      <w:r>
        <w:rPr>
          <w:rFonts w:hint="eastAsia" w:ascii="宋体" w:hAnsi="宋体" w:cs="宋体"/>
        </w:rPr>
        <w:fldChar w:fldCharType="separate"/>
      </w:r>
      <w:r>
        <w:rPr>
          <w:rFonts w:hint="eastAsia" w:ascii="宋体" w:hAnsi="宋体" w:cs="宋体"/>
        </w:rPr>
        <w:t>68</w:t>
      </w:r>
      <w:r>
        <w:rPr>
          <w:rFonts w:hint="eastAsia" w:ascii="宋体" w:hAnsi="宋体" w:cs="宋体"/>
        </w:rPr>
        <w:fldChar w:fldCharType="end"/>
      </w:r>
      <w:r>
        <w:rPr>
          <w:rFonts w:hint="eastAsia" w:ascii="宋体" w:hAnsi="宋体" w:cs="宋体"/>
        </w:rPr>
        <w:fldChar w:fldCharType="end"/>
      </w:r>
    </w:p>
    <w:p w14:paraId="24AE3704">
      <w:pPr>
        <w:pStyle w:val="15"/>
        <w:tabs>
          <w:tab w:val="right" w:leader="dot" w:pos="9360"/>
        </w:tabs>
        <w:rPr>
          <w:rFonts w:ascii="宋体" w:hAnsi="宋体" w:cs="宋体"/>
        </w:rPr>
      </w:pPr>
      <w:r>
        <w:fldChar w:fldCharType="begin"/>
      </w:r>
      <w:r>
        <w:instrText xml:space="preserve"> HYPERLINK \l "_Toc29553" </w:instrText>
      </w:r>
      <w:r>
        <w:fldChar w:fldCharType="separate"/>
      </w:r>
      <w:r>
        <w:rPr>
          <w:rFonts w:hint="eastAsia" w:ascii="宋体" w:hAnsi="宋体" w:cs="宋体"/>
        </w:rPr>
        <w:t>六、投标人提交履约担保承诺书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_Toc29553 \h </w:instrText>
      </w:r>
      <w:r>
        <w:rPr>
          <w:rFonts w:hint="eastAsia" w:ascii="宋体" w:hAnsi="宋体" w:cs="宋体"/>
        </w:rPr>
        <w:fldChar w:fldCharType="separate"/>
      </w:r>
      <w:r>
        <w:rPr>
          <w:rFonts w:hint="eastAsia" w:ascii="宋体" w:hAnsi="宋体" w:cs="宋体"/>
        </w:rPr>
        <w:t>69</w:t>
      </w:r>
      <w:r>
        <w:rPr>
          <w:rFonts w:hint="eastAsia" w:ascii="宋体" w:hAnsi="宋体" w:cs="宋体"/>
        </w:rPr>
        <w:fldChar w:fldCharType="end"/>
      </w:r>
      <w:r>
        <w:rPr>
          <w:rFonts w:hint="eastAsia" w:ascii="宋体" w:hAnsi="宋体" w:cs="宋体"/>
        </w:rPr>
        <w:fldChar w:fldCharType="end"/>
      </w:r>
    </w:p>
    <w:p w14:paraId="4A8168F9">
      <w:pPr>
        <w:pStyle w:val="15"/>
        <w:tabs>
          <w:tab w:val="right" w:leader="dot" w:pos="9360"/>
        </w:tabs>
        <w:rPr>
          <w:rFonts w:ascii="宋体" w:hAnsi="宋体" w:cs="宋体"/>
        </w:rPr>
      </w:pPr>
      <w:r>
        <w:fldChar w:fldCharType="begin"/>
      </w:r>
      <w:r>
        <w:instrText xml:space="preserve"> HYPERLINK \l "_Toc29802" </w:instrText>
      </w:r>
      <w:r>
        <w:fldChar w:fldCharType="separate"/>
      </w:r>
      <w:r>
        <w:rPr>
          <w:rFonts w:hint="eastAsia" w:ascii="宋体" w:hAnsi="宋体" w:cs="宋体"/>
        </w:rPr>
        <w:t>七、投标承诺书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_Toc29802 \h </w:instrText>
      </w:r>
      <w:r>
        <w:rPr>
          <w:rFonts w:hint="eastAsia" w:ascii="宋体" w:hAnsi="宋体" w:cs="宋体"/>
        </w:rPr>
        <w:fldChar w:fldCharType="separate"/>
      </w:r>
      <w:r>
        <w:rPr>
          <w:rFonts w:hint="eastAsia" w:ascii="宋体" w:hAnsi="宋体" w:cs="宋体"/>
        </w:rPr>
        <w:t>70</w:t>
      </w:r>
      <w:r>
        <w:rPr>
          <w:rFonts w:hint="eastAsia" w:ascii="宋体" w:hAnsi="宋体" w:cs="宋体"/>
        </w:rPr>
        <w:fldChar w:fldCharType="end"/>
      </w:r>
      <w:r>
        <w:rPr>
          <w:rFonts w:hint="eastAsia" w:ascii="宋体" w:hAnsi="宋体" w:cs="宋体"/>
        </w:rPr>
        <w:fldChar w:fldCharType="end"/>
      </w:r>
    </w:p>
    <w:p w14:paraId="61A4EE19">
      <w:pPr>
        <w:pStyle w:val="15"/>
        <w:tabs>
          <w:tab w:val="right" w:leader="dot" w:pos="9360"/>
        </w:tabs>
        <w:rPr>
          <w:rFonts w:ascii="宋体" w:hAnsi="宋体" w:cs="宋体"/>
        </w:rPr>
      </w:pPr>
      <w:r>
        <w:fldChar w:fldCharType="begin"/>
      </w:r>
      <w:r>
        <w:instrText xml:space="preserve"> HYPERLINK \l "_Toc340" </w:instrText>
      </w:r>
      <w:r>
        <w:fldChar w:fldCharType="separate"/>
      </w:r>
      <w:r>
        <w:rPr>
          <w:rFonts w:hint="eastAsia" w:ascii="宋体" w:hAnsi="宋体" w:cs="宋体"/>
        </w:rPr>
        <w:t>八、其他资料</w:t>
      </w:r>
      <w:r>
        <w:rPr>
          <w:rFonts w:hint="eastAsia" w:ascii="宋体" w:hAnsi="宋体" w:cs="宋体"/>
        </w:rPr>
        <w:tab/>
      </w:r>
      <w:r>
        <w:rPr>
          <w:rFonts w:hint="eastAsia" w:ascii="宋体" w:hAnsi="宋体" w:cs="宋体"/>
        </w:rPr>
        <w:fldChar w:fldCharType="end"/>
      </w:r>
      <w:r>
        <w:rPr>
          <w:rFonts w:hint="eastAsia" w:ascii="宋体" w:hAnsi="宋体" w:cs="宋体"/>
        </w:rPr>
        <w:t>72</w:t>
      </w:r>
    </w:p>
    <w:p w14:paraId="0F4F2687">
      <w:pPr>
        <w:rPr>
          <w:rFonts w:ascii="宋体" w:hAnsi="宋体" w:cs="宋体"/>
        </w:rPr>
      </w:pPr>
      <w:r>
        <w:rPr>
          <w:rFonts w:hint="eastAsia" w:ascii="宋体" w:hAnsi="宋体" w:cs="宋体"/>
        </w:rPr>
        <w:fldChar w:fldCharType="end"/>
      </w:r>
    </w:p>
    <w:p w14:paraId="6A85BCAB">
      <w:pPr>
        <w:pStyle w:val="3"/>
        <w:keepNext w:val="0"/>
        <w:keepLines w:val="0"/>
        <w:spacing w:line="240" w:lineRule="auto"/>
        <w:jc w:val="center"/>
        <w:rPr>
          <w:rFonts w:ascii="宋体" w:hAnsi="宋体" w:cs="宋体"/>
        </w:rPr>
      </w:pPr>
      <w:bookmarkStart w:id="19" w:name="_Toc511557024"/>
      <w:bookmarkStart w:id="20" w:name="_Toc14966880"/>
      <w:bookmarkStart w:id="21" w:name="_Toc22426"/>
      <w:bookmarkStart w:id="22" w:name="_Toc13588"/>
      <w:bookmarkStart w:id="23" w:name="_Toc9535"/>
      <w:r>
        <w:rPr>
          <w:rFonts w:hint="eastAsia" w:ascii="宋体" w:hAnsi="宋体" w:cs="宋体"/>
        </w:rPr>
        <w:br w:type="page"/>
      </w:r>
      <w:bookmarkStart w:id="24" w:name="_Toc19514"/>
      <w:bookmarkStart w:id="25" w:name="_Toc17072"/>
      <w:bookmarkStart w:id="26" w:name="_Toc11839"/>
      <w:bookmarkStart w:id="27" w:name="_Toc7034"/>
      <w:bookmarkStart w:id="28" w:name="_Toc13885"/>
      <w:bookmarkStart w:id="29" w:name="_Toc16513"/>
      <w:bookmarkStart w:id="30" w:name="_Toc584"/>
      <w:bookmarkStart w:id="31" w:name="_Toc5321"/>
      <w:bookmarkStart w:id="32" w:name="_Toc26327"/>
      <w:bookmarkStart w:id="33" w:name="_Toc12505"/>
      <w:bookmarkStart w:id="34" w:name="_Toc11576"/>
      <w:bookmarkStart w:id="35" w:name="_Toc2949"/>
      <w:r>
        <w:rPr>
          <w:rFonts w:hint="eastAsia" w:ascii="宋体" w:hAnsi="宋体" w:cs="宋体"/>
        </w:rPr>
        <w:t>第</w:t>
      </w:r>
      <w:bookmarkEnd w:id="0"/>
      <w:bookmarkEnd w:id="1"/>
      <w:bookmarkEnd w:id="2"/>
      <w:bookmarkEnd w:id="19"/>
      <w:r>
        <w:rPr>
          <w:rFonts w:hint="eastAsia" w:ascii="宋体" w:hAnsi="宋体" w:cs="宋体"/>
        </w:rPr>
        <w:t>一卷</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27A3CBBB">
      <w:pPr>
        <w:pStyle w:val="3"/>
        <w:keepNext w:val="0"/>
        <w:keepLines w:val="0"/>
        <w:spacing w:line="240" w:lineRule="auto"/>
        <w:jc w:val="center"/>
        <w:rPr>
          <w:rFonts w:ascii="宋体" w:hAnsi="宋体" w:cs="宋体"/>
        </w:rPr>
      </w:pPr>
      <w:bookmarkStart w:id="36" w:name="_Toc8367"/>
      <w:bookmarkStart w:id="37" w:name="_Toc27146"/>
      <w:bookmarkStart w:id="38" w:name="_Toc15381"/>
      <w:bookmarkStart w:id="39" w:name="_Toc10886"/>
      <w:bookmarkStart w:id="40" w:name="_Toc14872"/>
      <w:bookmarkStart w:id="41" w:name="_Toc7737"/>
      <w:bookmarkStart w:id="42" w:name="_Toc4065"/>
      <w:bookmarkStart w:id="43" w:name="_Toc15765"/>
      <w:bookmarkStart w:id="44" w:name="_Toc16465"/>
      <w:bookmarkStart w:id="45" w:name="_Toc31202"/>
      <w:bookmarkStart w:id="46" w:name="_Toc14966881"/>
      <w:bookmarkStart w:id="47" w:name="_Toc28795"/>
      <w:bookmarkStart w:id="48" w:name="_Toc15816"/>
      <w:bookmarkStart w:id="49" w:name="_Toc15249"/>
      <w:bookmarkStart w:id="50" w:name="_Toc27254"/>
      <w:bookmarkStart w:id="51" w:name="_Toc28199"/>
      <w:r>
        <w:rPr>
          <w:rFonts w:hint="eastAsia" w:ascii="宋体" w:hAnsi="宋体" w:cs="宋体"/>
        </w:rPr>
        <w:t>第一章招标公告</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51CB9615">
      <w:pPr>
        <w:spacing w:line="440" w:lineRule="exact"/>
        <w:jc w:val="center"/>
        <w:rPr>
          <w:rFonts w:ascii="宋体" w:hAnsi="宋体" w:cs="宋体"/>
          <w:sz w:val="36"/>
          <w:szCs w:val="32"/>
        </w:rPr>
      </w:pPr>
      <w:r>
        <w:rPr>
          <w:rFonts w:hint="eastAsia" w:ascii="宋体" w:hAnsi="宋体" w:cs="宋体"/>
          <w:sz w:val="36"/>
          <w:szCs w:val="32"/>
        </w:rPr>
        <w:t>中山大学附属第一医院病房改造建设及能力提升项目监理服务招标公告</w:t>
      </w:r>
    </w:p>
    <w:p w14:paraId="0A49729B">
      <w:pPr>
        <w:spacing w:line="440" w:lineRule="exact"/>
        <w:jc w:val="center"/>
        <w:rPr>
          <w:rFonts w:ascii="宋体" w:hAnsi="宋体" w:cs="宋体"/>
          <w:sz w:val="20"/>
        </w:rPr>
      </w:pPr>
    </w:p>
    <w:p w14:paraId="3EBE6905">
      <w:pPr>
        <w:pStyle w:val="4"/>
        <w:keepNext w:val="0"/>
        <w:keepLines w:val="0"/>
        <w:spacing w:before="0" w:after="0" w:line="360" w:lineRule="auto"/>
        <w:rPr>
          <w:rFonts w:ascii="宋体" w:hAnsi="宋体" w:eastAsia="宋体" w:cs="宋体"/>
        </w:rPr>
      </w:pPr>
      <w:bookmarkStart w:id="52" w:name="_Toc511557025"/>
      <w:bookmarkStart w:id="53" w:name="_Toc514099623"/>
      <w:r>
        <w:rPr>
          <w:rFonts w:hint="eastAsia" w:ascii="宋体" w:hAnsi="宋体" w:eastAsia="宋体" w:cs="宋体"/>
        </w:rPr>
        <w:t>1. 招标条件</w:t>
      </w:r>
      <w:bookmarkEnd w:id="52"/>
      <w:bookmarkEnd w:id="53"/>
    </w:p>
    <w:p w14:paraId="29CFADF3">
      <w:pPr>
        <w:spacing w:line="360" w:lineRule="auto"/>
        <w:ind w:firstLine="480" w:firstLineChars="200"/>
        <w:rPr>
          <w:rFonts w:ascii="宋体" w:hAnsi="宋体" w:cs="宋体"/>
          <w:sz w:val="24"/>
          <w:szCs w:val="24"/>
          <w:u w:val="single"/>
        </w:rPr>
      </w:pPr>
      <w:r>
        <w:rPr>
          <w:rFonts w:hint="eastAsia" w:ascii="宋体" w:hAnsi="宋体" w:cs="宋体"/>
          <w:sz w:val="24"/>
          <w:szCs w:val="24"/>
        </w:rPr>
        <w:t>本招标项目</w:t>
      </w:r>
      <w:r>
        <w:rPr>
          <w:rFonts w:hint="eastAsia" w:ascii="宋体" w:hAnsi="宋体" w:cs="宋体"/>
          <w:sz w:val="24"/>
          <w:szCs w:val="24"/>
          <w:u w:val="single"/>
        </w:rPr>
        <w:t>中山大学附属第一医院病房改造建设及能力提升项目监理服务</w:t>
      </w:r>
      <w:r>
        <w:rPr>
          <w:rFonts w:hint="eastAsia" w:ascii="宋体" w:hAnsi="宋体" w:cs="宋体"/>
          <w:sz w:val="24"/>
          <w:szCs w:val="24"/>
        </w:rPr>
        <w:t>由</w:t>
      </w:r>
      <w:r>
        <w:rPr>
          <w:rFonts w:hint="eastAsia" w:ascii="宋体" w:hAnsi="宋体" w:cs="宋体"/>
          <w:kern w:val="0"/>
          <w:sz w:val="24"/>
        </w:rPr>
        <w:t>国家卫生健康委以</w:t>
      </w:r>
      <w:r>
        <w:rPr>
          <w:rFonts w:hint="eastAsia" w:ascii="宋体" w:hAnsi="宋体" w:cs="宋体"/>
          <w:kern w:val="0"/>
          <w:sz w:val="24"/>
          <w:u w:val="single"/>
        </w:rPr>
        <w:t>（G-2024-75-国卫规划函〔2024〕122号）</w:t>
      </w:r>
      <w:r>
        <w:rPr>
          <w:rFonts w:hint="eastAsia" w:ascii="宋体" w:hAnsi="宋体" w:cs="宋体"/>
          <w:sz w:val="24"/>
        </w:rPr>
        <w:t>批准建设</w:t>
      </w:r>
      <w:r>
        <w:rPr>
          <w:rFonts w:hint="eastAsia" w:ascii="宋体" w:hAnsi="宋体" w:cs="宋体"/>
          <w:sz w:val="24"/>
          <w:szCs w:val="24"/>
        </w:rPr>
        <w:t>，</w:t>
      </w:r>
      <w:r>
        <w:rPr>
          <w:rFonts w:hint="eastAsia" w:ascii="宋体" w:hAnsi="宋体" w:cs="宋体"/>
          <w:color w:val="000000"/>
          <w:sz w:val="24"/>
        </w:rPr>
        <w:t>项目业主为</w:t>
      </w:r>
      <w:r>
        <w:rPr>
          <w:rFonts w:hint="eastAsia" w:ascii="宋体" w:hAnsi="宋体" w:cs="宋体"/>
          <w:color w:val="000000"/>
          <w:sz w:val="24"/>
          <w:u w:val="single"/>
        </w:rPr>
        <w:t>中山大学附属第一医院</w:t>
      </w:r>
      <w:r>
        <w:rPr>
          <w:rFonts w:hint="eastAsia" w:ascii="宋体" w:hAnsi="宋体" w:cs="宋体"/>
          <w:color w:val="000000"/>
          <w:sz w:val="24"/>
        </w:rPr>
        <w:t>，</w:t>
      </w:r>
      <w:r>
        <w:rPr>
          <w:rFonts w:hint="eastAsia" w:ascii="宋体" w:hAnsi="宋体" w:cs="宋体"/>
          <w:color w:val="000000"/>
          <w:sz w:val="24"/>
          <w:u w:val="single"/>
        </w:rPr>
        <w:t>项目资金来源为财政资金。</w:t>
      </w:r>
      <w:r>
        <w:rPr>
          <w:rFonts w:hint="eastAsia" w:ascii="宋体" w:hAnsi="宋体" w:cs="宋体"/>
          <w:sz w:val="24"/>
          <w:szCs w:val="24"/>
        </w:rPr>
        <w:t>招标人为</w:t>
      </w:r>
      <w:r>
        <w:rPr>
          <w:rFonts w:hint="eastAsia" w:ascii="宋体" w:hAnsi="宋体" w:cs="宋体"/>
          <w:sz w:val="24"/>
          <w:szCs w:val="24"/>
          <w:u w:val="single"/>
        </w:rPr>
        <w:t>中山大学附属第一医院</w:t>
      </w:r>
      <w:r>
        <w:rPr>
          <w:rFonts w:hint="eastAsia" w:ascii="宋体" w:hAnsi="宋体" w:cs="宋体"/>
          <w:sz w:val="24"/>
          <w:szCs w:val="24"/>
        </w:rPr>
        <w:t>。项目已具备招标条件，现对该项目的</w:t>
      </w:r>
      <w:r>
        <w:rPr>
          <w:rFonts w:hint="eastAsia" w:ascii="宋体" w:hAnsi="宋体" w:cs="宋体"/>
          <w:sz w:val="24"/>
          <w:szCs w:val="24"/>
          <w:u w:val="single"/>
        </w:rPr>
        <w:t>施工监理</w:t>
      </w:r>
      <w:r>
        <w:rPr>
          <w:rFonts w:hint="eastAsia" w:ascii="宋体" w:hAnsi="宋体" w:cs="宋体"/>
          <w:sz w:val="24"/>
          <w:szCs w:val="24"/>
        </w:rPr>
        <w:t>进行公开招标。</w:t>
      </w:r>
    </w:p>
    <w:p w14:paraId="1F51018C">
      <w:pPr>
        <w:pStyle w:val="4"/>
        <w:keepNext w:val="0"/>
        <w:keepLines w:val="0"/>
        <w:spacing w:before="0" w:after="0" w:line="360" w:lineRule="auto"/>
        <w:rPr>
          <w:rFonts w:ascii="宋体" w:hAnsi="宋体" w:eastAsia="宋体" w:cs="宋体"/>
        </w:rPr>
      </w:pPr>
      <w:bookmarkStart w:id="54" w:name="_Toc514099624"/>
      <w:bookmarkStart w:id="55" w:name="_Toc511557026"/>
      <w:r>
        <w:rPr>
          <w:rFonts w:hint="eastAsia" w:ascii="宋体" w:hAnsi="宋体" w:eastAsia="宋体" w:cs="宋体"/>
        </w:rPr>
        <w:t>2. 项目概况与招标范围</w:t>
      </w:r>
      <w:bookmarkEnd w:id="54"/>
      <w:bookmarkEnd w:id="55"/>
    </w:p>
    <w:p w14:paraId="01B5092B">
      <w:pPr>
        <w:tabs>
          <w:tab w:val="left" w:pos="7513"/>
        </w:tabs>
        <w:spacing w:line="360" w:lineRule="auto"/>
        <w:ind w:firstLine="424" w:firstLineChars="177"/>
        <w:rPr>
          <w:rFonts w:ascii="宋体" w:hAnsi="宋体" w:cs="宋体"/>
          <w:sz w:val="24"/>
          <w:szCs w:val="24"/>
        </w:rPr>
      </w:pPr>
      <w:r>
        <w:rPr>
          <w:rFonts w:hint="eastAsia" w:ascii="宋体" w:hAnsi="宋体" w:cs="宋体"/>
          <w:sz w:val="24"/>
          <w:szCs w:val="24"/>
        </w:rPr>
        <w:t>2.1招标项目概况</w:t>
      </w:r>
    </w:p>
    <w:p w14:paraId="192D57AB">
      <w:pPr>
        <w:tabs>
          <w:tab w:val="left" w:pos="7513"/>
        </w:tabs>
        <w:spacing w:line="360" w:lineRule="auto"/>
        <w:ind w:firstLine="424" w:firstLineChars="177"/>
        <w:rPr>
          <w:rFonts w:ascii="宋体" w:hAnsi="宋体" w:cs="宋体"/>
          <w:sz w:val="24"/>
          <w:szCs w:val="24"/>
          <w:u w:val="single"/>
        </w:rPr>
      </w:pPr>
      <w:r>
        <w:rPr>
          <w:rFonts w:hint="eastAsia" w:ascii="宋体" w:hAnsi="宋体" w:cs="宋体"/>
          <w:sz w:val="24"/>
          <w:szCs w:val="24"/>
        </w:rPr>
        <w:t>2.1.1招标项目名称：</w:t>
      </w:r>
      <w:r>
        <w:rPr>
          <w:rFonts w:hint="eastAsia" w:ascii="宋体" w:hAnsi="宋体" w:cs="宋体"/>
          <w:sz w:val="24"/>
          <w:szCs w:val="24"/>
          <w:u w:val="single"/>
        </w:rPr>
        <w:t>中山大学附属第一医院病房改造建设及能力提升项目监理服务</w:t>
      </w:r>
    </w:p>
    <w:p w14:paraId="7B88F291">
      <w:pPr>
        <w:adjustRightInd w:val="0"/>
        <w:spacing w:line="360" w:lineRule="auto"/>
        <w:ind w:firstLine="420" w:firstLineChars="175"/>
        <w:jc w:val="left"/>
        <w:rPr>
          <w:rFonts w:ascii="宋体" w:hAnsi="宋体" w:cs="宋体"/>
          <w:sz w:val="24"/>
          <w:szCs w:val="24"/>
          <w:u w:val="single"/>
        </w:rPr>
      </w:pPr>
      <w:r>
        <w:rPr>
          <w:rFonts w:hint="eastAsia" w:ascii="宋体" w:hAnsi="宋体" w:cs="宋体"/>
          <w:sz w:val="24"/>
          <w:szCs w:val="24"/>
        </w:rPr>
        <w:t>2.1.2工程建设地点：</w:t>
      </w:r>
      <w:r>
        <w:rPr>
          <w:rFonts w:hint="eastAsia" w:ascii="宋体" w:hAnsi="宋体" w:cs="宋体"/>
          <w:sz w:val="24"/>
          <w:szCs w:val="24"/>
          <w:u w:val="single"/>
        </w:rPr>
        <w:t>广州市越秀区中山二路58号</w:t>
      </w:r>
    </w:p>
    <w:p w14:paraId="4FCEA567">
      <w:pPr>
        <w:adjustRightInd w:val="0"/>
        <w:spacing w:line="360" w:lineRule="auto"/>
        <w:ind w:firstLine="420" w:firstLineChars="175"/>
        <w:jc w:val="left"/>
        <w:rPr>
          <w:rFonts w:ascii="宋体" w:hAnsi="宋体" w:cs="宋体"/>
          <w:color w:val="000000"/>
          <w:sz w:val="24"/>
          <w:szCs w:val="24"/>
        </w:rPr>
      </w:pPr>
      <w:r>
        <w:rPr>
          <w:rFonts w:hint="eastAsia" w:ascii="宋体" w:hAnsi="宋体" w:cs="宋体"/>
          <w:sz w:val="24"/>
          <w:szCs w:val="24"/>
        </w:rPr>
        <w:t>2.1.3工程建设规模</w:t>
      </w:r>
      <w:r>
        <w:rPr>
          <w:rFonts w:hint="eastAsia" w:ascii="宋体" w:hAnsi="宋体" w:cs="宋体"/>
          <w:color w:val="000000"/>
          <w:sz w:val="24"/>
          <w:szCs w:val="24"/>
        </w:rPr>
        <w:t>：</w:t>
      </w:r>
      <w:r>
        <w:rPr>
          <w:rFonts w:hint="eastAsia" w:ascii="宋体" w:hAnsi="宋体" w:cs="宋体"/>
          <w:color w:val="000000"/>
          <w:sz w:val="24"/>
          <w:szCs w:val="24"/>
          <w:u w:val="single"/>
        </w:rPr>
        <w:t>医院总用地面积约为59334.419㎡，最大建筑高度约98.5m。项目包含医疗设备腾挪以及医疗系统的升级改造等，属于技术复杂型项目。</w:t>
      </w:r>
    </w:p>
    <w:p w14:paraId="45AC3CA8">
      <w:pPr>
        <w:adjustRightInd w:val="0"/>
        <w:spacing w:line="360" w:lineRule="auto"/>
        <w:ind w:firstLine="420" w:firstLineChars="175"/>
        <w:jc w:val="left"/>
        <w:rPr>
          <w:rFonts w:ascii="宋体" w:hAnsi="宋体" w:cs="宋体"/>
          <w:color w:val="000000"/>
          <w:sz w:val="24"/>
          <w:szCs w:val="24"/>
        </w:rPr>
      </w:pPr>
      <w:r>
        <w:rPr>
          <w:rFonts w:hint="eastAsia" w:ascii="宋体" w:hAnsi="宋体" w:cs="宋体"/>
          <w:color w:val="000000"/>
          <w:sz w:val="24"/>
          <w:szCs w:val="24"/>
          <w:u w:val="single"/>
        </w:rPr>
        <w:t>本工程项目总投资2.43亿元（其中建筑安装工程费2.05亿元），改造面积8.64万平方米，改造床位572张，主要改造内容为1号楼，9个3人间、11个多人间病房以及原产房区域改造为8个单人间、46个2-3人间，以及卫生间改造，并进行机电改造、中央空调冷源机房节能/采暖升级改造、消防改造、气动物流系统扩容升级改造。5号楼21个2-3人间、5个多人间病房改造为3个单人间、25个2-3人间以及卫生间改造，并进行机电改造、消防改造、气动物流系统扩容升级改造。6号楼12个双人间、19个多人间病房改造为8个单人间、34个2-3人间，以及卫生间改造，并进行机电改造、中央空调冷源机房节能/采暖升级改造、消防改造。8号楼9个单人间、83个2-3人间、4个多人间病房改造为9个单人间、86个2-3人间、1个多人间病房及卫生间改造，并进行机电改造、消防改造、气动物流系统扩容升级改造、防水改造、结构加固、外立面修补、更换2部电梯。</w:t>
      </w:r>
    </w:p>
    <w:p w14:paraId="7B9FC382">
      <w:pPr>
        <w:adjustRightInd w:val="0"/>
        <w:spacing w:line="360" w:lineRule="auto"/>
        <w:ind w:firstLine="420" w:firstLineChars="175"/>
        <w:jc w:val="left"/>
        <w:rPr>
          <w:rFonts w:ascii="宋体" w:hAnsi="宋体" w:cs="宋体"/>
          <w:sz w:val="24"/>
          <w:szCs w:val="24"/>
          <w:u w:val="single"/>
        </w:rPr>
      </w:pPr>
      <w:r>
        <w:rPr>
          <w:rFonts w:hint="eastAsia" w:ascii="宋体" w:hAnsi="宋体" w:cs="宋体"/>
          <w:sz w:val="24"/>
        </w:rPr>
        <w:t xml:space="preserve">2.1.4 </w:t>
      </w:r>
      <w:bookmarkStart w:id="56" w:name="_Hlk35723109"/>
      <w:r>
        <w:rPr>
          <w:rFonts w:hint="eastAsia" w:ascii="宋体" w:hAnsi="宋体" w:cs="宋体"/>
          <w:sz w:val="24"/>
        </w:rPr>
        <w:t>工程总投资：</w:t>
      </w:r>
      <w:r>
        <w:rPr>
          <w:rFonts w:hint="eastAsia" w:ascii="宋体" w:hAnsi="宋体" w:cs="宋体"/>
          <w:color w:val="000000"/>
          <w:sz w:val="24"/>
          <w:szCs w:val="24"/>
          <w:u w:val="single"/>
        </w:rPr>
        <w:t>本工程项目总投资2.43亿元（其中建筑安装工程费2.05亿元）</w:t>
      </w:r>
      <w:r>
        <w:rPr>
          <w:rFonts w:hint="eastAsia" w:ascii="宋体" w:hAnsi="宋体" w:cs="宋体"/>
          <w:sz w:val="24"/>
          <w:szCs w:val="24"/>
          <w:u w:val="single"/>
        </w:rPr>
        <w:t>。</w:t>
      </w:r>
      <w:bookmarkEnd w:id="56"/>
    </w:p>
    <w:p w14:paraId="3B1C4132">
      <w:pPr>
        <w:tabs>
          <w:tab w:val="left" w:pos="7513"/>
        </w:tabs>
        <w:spacing w:line="360" w:lineRule="auto"/>
        <w:ind w:firstLine="360" w:firstLineChars="150"/>
        <w:rPr>
          <w:rFonts w:ascii="宋体" w:hAnsi="宋体" w:cs="宋体"/>
          <w:sz w:val="24"/>
          <w:szCs w:val="24"/>
        </w:rPr>
      </w:pPr>
      <w:r>
        <w:rPr>
          <w:rFonts w:hint="eastAsia" w:ascii="宋体" w:hAnsi="宋体" w:cs="宋体"/>
          <w:sz w:val="24"/>
          <w:szCs w:val="24"/>
        </w:rPr>
        <w:t>2.2招标范围：</w:t>
      </w:r>
    </w:p>
    <w:p w14:paraId="45FDF574">
      <w:pPr>
        <w:tabs>
          <w:tab w:val="left" w:pos="7513"/>
        </w:tabs>
        <w:spacing w:line="360" w:lineRule="auto"/>
        <w:ind w:firstLine="480" w:firstLineChars="200"/>
        <w:rPr>
          <w:rFonts w:ascii="宋体" w:hAnsi="宋体" w:cs="宋体"/>
          <w:sz w:val="24"/>
          <w:szCs w:val="24"/>
          <w:u w:val="single"/>
        </w:rPr>
      </w:pPr>
      <w:r>
        <w:rPr>
          <w:rFonts w:hint="eastAsia" w:ascii="宋体" w:hAnsi="宋体" w:cs="宋体"/>
          <w:sz w:val="24"/>
          <w:szCs w:val="24"/>
        </w:rPr>
        <w:t>2.2.1标段划分：</w:t>
      </w:r>
      <w:r>
        <w:rPr>
          <w:rFonts w:hint="eastAsia" w:ascii="宋体" w:hAnsi="宋体" w:cs="宋体"/>
          <w:sz w:val="24"/>
          <w:szCs w:val="24"/>
          <w:u w:val="single"/>
        </w:rPr>
        <w:t>本项目设1个标段。</w:t>
      </w:r>
    </w:p>
    <w:p w14:paraId="3ABE3843">
      <w:pPr>
        <w:tabs>
          <w:tab w:val="left" w:pos="7513"/>
        </w:tabs>
        <w:spacing w:line="360" w:lineRule="auto"/>
        <w:ind w:firstLine="480" w:firstLineChars="200"/>
        <w:rPr>
          <w:rFonts w:ascii="宋体" w:hAnsi="宋体" w:cs="宋体"/>
          <w:sz w:val="24"/>
          <w:szCs w:val="24"/>
        </w:rPr>
      </w:pPr>
      <w:r>
        <w:rPr>
          <w:rFonts w:hint="eastAsia" w:ascii="宋体" w:hAnsi="宋体" w:cs="宋体"/>
          <w:sz w:val="24"/>
          <w:szCs w:val="24"/>
        </w:rPr>
        <w:t>2.2.2监理范围：</w:t>
      </w:r>
    </w:p>
    <w:p w14:paraId="2E812301">
      <w:pPr>
        <w:pStyle w:val="9"/>
        <w:spacing w:after="0" w:line="360" w:lineRule="auto"/>
        <w:ind w:firstLine="480" w:firstLineChars="200"/>
        <w:rPr>
          <w:rFonts w:ascii="宋体" w:hAnsi="宋体" w:cs="宋体"/>
          <w:sz w:val="24"/>
          <w:szCs w:val="24"/>
          <w:u w:val="single"/>
        </w:rPr>
      </w:pPr>
      <w:r>
        <w:rPr>
          <w:rFonts w:hint="eastAsia" w:ascii="宋体" w:hAnsi="宋体" w:cs="宋体"/>
          <w:sz w:val="24"/>
          <w:szCs w:val="24"/>
          <w:u w:val="single"/>
        </w:rPr>
        <w:t>本项目监理服务负责本项目立项（含可研）范围所有工程（造价编控服务、施工图技术审查服务除外）内容设计阶段、施工准备阶段、施工阶段、工程收尾阶段（包括竣工验收、整改、工程移交及工程结算）及工程质量保修期阶段的质量控制、安全生产监督管理、投资控制、进度控制、合同管理、信息收集管理、组织协调等全过程监理工作（含项目管理）工作，包括但不限于：</w:t>
      </w:r>
    </w:p>
    <w:p w14:paraId="2B28ADD6">
      <w:pPr>
        <w:pStyle w:val="9"/>
        <w:spacing w:after="0" w:line="360" w:lineRule="auto"/>
        <w:ind w:firstLine="480" w:firstLineChars="200"/>
        <w:rPr>
          <w:rFonts w:ascii="宋体" w:hAnsi="宋体" w:cs="宋体"/>
          <w:sz w:val="24"/>
          <w:szCs w:val="24"/>
          <w:u w:val="single"/>
        </w:rPr>
      </w:pPr>
      <w:r>
        <w:rPr>
          <w:rFonts w:hint="eastAsia" w:ascii="宋体" w:hAnsi="宋体" w:cs="宋体"/>
          <w:sz w:val="24"/>
          <w:szCs w:val="24"/>
          <w:u w:val="single"/>
        </w:rPr>
        <w:fldChar w:fldCharType="begin"/>
      </w:r>
      <w:r>
        <w:rPr>
          <w:rFonts w:hint="eastAsia" w:ascii="宋体" w:hAnsi="宋体" w:cs="宋体"/>
          <w:sz w:val="24"/>
          <w:szCs w:val="24"/>
          <w:u w:val="single"/>
        </w:rPr>
        <w:instrText xml:space="preserve"> = 1 \* GB3 </w:instrText>
      </w:r>
      <w:r>
        <w:rPr>
          <w:rFonts w:hint="eastAsia" w:ascii="宋体" w:hAnsi="宋体" w:cs="宋体"/>
          <w:sz w:val="24"/>
          <w:szCs w:val="24"/>
          <w:u w:val="single"/>
        </w:rPr>
        <w:fldChar w:fldCharType="separate"/>
      </w:r>
      <w:r>
        <w:rPr>
          <w:rFonts w:hint="eastAsia" w:ascii="宋体" w:hAnsi="宋体" w:cs="宋体"/>
          <w:sz w:val="24"/>
          <w:szCs w:val="24"/>
          <w:u w:val="single"/>
        </w:rPr>
        <w:t>①</w:t>
      </w:r>
      <w:r>
        <w:rPr>
          <w:rFonts w:hint="eastAsia" w:ascii="宋体" w:hAnsi="宋体" w:cs="宋体"/>
          <w:sz w:val="24"/>
          <w:szCs w:val="24"/>
          <w:u w:val="single"/>
        </w:rPr>
        <w:fldChar w:fldCharType="end"/>
      </w:r>
      <w:r>
        <w:rPr>
          <w:rFonts w:hint="eastAsia" w:ascii="宋体" w:hAnsi="宋体" w:cs="宋体"/>
          <w:sz w:val="24"/>
          <w:szCs w:val="24"/>
          <w:u w:val="single"/>
        </w:rPr>
        <w:t>计划及统筹管理：统筹及协调项目各层面、各参建单位、各项工作的关系；编制项目总控计划，经委托人审定后，跟踪项目总控计划实时情况；如计划出现偏差，分析偏差原因，提出解决方案报委托人审批，</w:t>
      </w:r>
      <w:r>
        <w:rPr>
          <w:rFonts w:hint="eastAsia"/>
          <w:sz w:val="24"/>
        </w:rPr>
        <w:t>并根据委托人批准的意见监督落实。</w:t>
      </w:r>
    </w:p>
    <w:p w14:paraId="52A1C7BA">
      <w:pPr>
        <w:pStyle w:val="9"/>
        <w:spacing w:after="0" w:line="360" w:lineRule="auto"/>
        <w:ind w:firstLine="480" w:firstLineChars="200"/>
        <w:rPr>
          <w:rFonts w:ascii="宋体" w:hAnsi="宋体" w:cs="宋体"/>
          <w:sz w:val="24"/>
          <w:szCs w:val="24"/>
          <w:u w:val="single"/>
        </w:rPr>
      </w:pPr>
      <w:r>
        <w:rPr>
          <w:rFonts w:hint="eastAsia" w:ascii="宋体" w:hAnsi="宋体" w:cs="宋体"/>
          <w:sz w:val="24"/>
          <w:szCs w:val="24"/>
          <w:u w:val="single"/>
        </w:rPr>
        <w:fldChar w:fldCharType="begin"/>
      </w:r>
      <w:r>
        <w:rPr>
          <w:rFonts w:hint="eastAsia" w:ascii="宋体" w:hAnsi="宋体" w:cs="宋体"/>
          <w:sz w:val="24"/>
          <w:szCs w:val="24"/>
          <w:u w:val="single"/>
        </w:rPr>
        <w:instrText xml:space="preserve"> = 2 \* GB3 </w:instrText>
      </w:r>
      <w:r>
        <w:rPr>
          <w:rFonts w:hint="eastAsia" w:ascii="宋体" w:hAnsi="宋体" w:cs="宋体"/>
          <w:sz w:val="24"/>
          <w:szCs w:val="24"/>
          <w:u w:val="single"/>
        </w:rPr>
        <w:fldChar w:fldCharType="separate"/>
      </w:r>
      <w:r>
        <w:rPr>
          <w:rFonts w:hint="eastAsia" w:ascii="宋体" w:hAnsi="宋体" w:cs="宋体"/>
          <w:sz w:val="24"/>
          <w:szCs w:val="24"/>
          <w:u w:val="single"/>
        </w:rPr>
        <w:t>②</w:t>
      </w:r>
      <w:r>
        <w:rPr>
          <w:rFonts w:hint="eastAsia" w:ascii="宋体" w:hAnsi="宋体" w:cs="宋体"/>
          <w:sz w:val="24"/>
          <w:szCs w:val="24"/>
          <w:u w:val="single"/>
        </w:rPr>
        <w:fldChar w:fldCharType="end"/>
      </w:r>
      <w:r>
        <w:rPr>
          <w:rFonts w:hint="eastAsia" w:ascii="宋体" w:hAnsi="宋体" w:cs="宋体"/>
          <w:sz w:val="24"/>
          <w:szCs w:val="24"/>
          <w:u w:val="single"/>
        </w:rPr>
        <w:t>配合委托人组织施工总承包单位完成工程开工及验收所需的各项报监、报建、报验手续（必要时）。</w:t>
      </w:r>
    </w:p>
    <w:p w14:paraId="6212FF30">
      <w:pPr>
        <w:spacing w:line="360" w:lineRule="auto"/>
        <w:ind w:firstLine="480" w:firstLineChars="200"/>
        <w:jc w:val="left"/>
        <w:rPr>
          <w:sz w:val="24"/>
        </w:rPr>
      </w:pPr>
      <w:r>
        <w:rPr>
          <w:rFonts w:hint="eastAsia" w:ascii="宋体" w:hAnsi="宋体" w:cs="宋体"/>
          <w:sz w:val="24"/>
          <w:szCs w:val="24"/>
          <w:u w:val="single"/>
        </w:rPr>
        <w:t>③对工程设计质量、进度、投资控制、合同、信息管理等进行全过程管理，协助委托人制定设计管理工作各项制度，明确设计管理的工作目标、管理模式、管理方法等，使工程项目建设达到预期的质量、工期和经济目标；参与设计方案评审或专家论证会，提供相关优化意见，跟踪方案设计优化意见的落实及修改情况，并跟进设计工作进度</w:t>
      </w:r>
      <w:r>
        <w:rPr>
          <w:rFonts w:hint="eastAsia"/>
          <w:sz w:val="24"/>
        </w:rPr>
        <w:t>，定期向委托人提交设计管理专项报告。</w:t>
      </w:r>
    </w:p>
    <w:p w14:paraId="50B24645">
      <w:pPr>
        <w:pStyle w:val="9"/>
        <w:spacing w:after="0" w:line="360" w:lineRule="auto"/>
        <w:ind w:firstLine="480" w:firstLineChars="200"/>
        <w:rPr>
          <w:rFonts w:ascii="宋体" w:hAnsi="宋体" w:cs="宋体"/>
          <w:sz w:val="24"/>
          <w:szCs w:val="24"/>
          <w:u w:val="single"/>
        </w:rPr>
      </w:pPr>
      <w:r>
        <w:rPr>
          <w:rFonts w:hint="eastAsia" w:ascii="宋体" w:hAnsi="宋体" w:cs="宋体"/>
          <w:sz w:val="24"/>
          <w:szCs w:val="24"/>
          <w:u w:val="single"/>
        </w:rPr>
        <w:t>④按委托人的要求提前进场参与开工前期的准备和筹划工作，协助委托人制定各项工程管理办法及制度。</w:t>
      </w:r>
    </w:p>
    <w:p w14:paraId="623EA306">
      <w:pPr>
        <w:pStyle w:val="9"/>
        <w:spacing w:after="0" w:line="360" w:lineRule="auto"/>
        <w:ind w:firstLine="480" w:firstLineChars="200"/>
        <w:rPr>
          <w:rFonts w:ascii="宋体" w:hAnsi="宋体" w:cs="宋体"/>
          <w:sz w:val="24"/>
          <w:szCs w:val="24"/>
          <w:u w:val="single"/>
        </w:rPr>
      </w:pPr>
      <w:r>
        <w:rPr>
          <w:rFonts w:hint="eastAsia" w:ascii="宋体" w:hAnsi="宋体" w:cs="宋体"/>
          <w:sz w:val="24"/>
          <w:szCs w:val="24"/>
          <w:u w:val="single"/>
        </w:rPr>
        <w:t>⑤为工程建设各项内容实施提供监理（含项目管理）服务，包括但不限于以下内容：原建筑物拆除工程、勘察工程（如有）、超前钻（如有）工程旁站监理，施工准备阶段、施工阶段、工程收尾阶段（包括但不限于竣工验收、整改、工程移交、工程结算等）、工程质量保修阶段的质量控制、职业健康安全及环境监督管理、投资控制、进度控制、合同管理、信息管理、组织协调、设备监造以及协调委托人和工程建设有关各方的工作关系等。</w:t>
      </w:r>
    </w:p>
    <w:p w14:paraId="180114D8">
      <w:pPr>
        <w:pStyle w:val="9"/>
        <w:spacing w:after="0" w:line="360" w:lineRule="auto"/>
        <w:ind w:firstLine="480" w:firstLineChars="200"/>
        <w:rPr>
          <w:rFonts w:ascii="宋体" w:hAnsi="宋体" w:cs="宋体"/>
          <w:sz w:val="24"/>
          <w:szCs w:val="24"/>
          <w:u w:val="single"/>
        </w:rPr>
      </w:pPr>
      <w:r>
        <w:rPr>
          <w:rFonts w:hint="eastAsia" w:ascii="宋体" w:hAnsi="宋体" w:cs="宋体"/>
          <w:sz w:val="24"/>
          <w:szCs w:val="24"/>
          <w:u w:val="single"/>
        </w:rPr>
        <w:t>⑥督促并检查施工总承包单位运用BIM技术完成相关工作（包括各专业模型创建及深化、管线综合、场地布置模拟、材料设备工程量统计等）并收集相关应用成果；督促施工总承包单位在项目不同阶段基于各BIM模型进行可视化交底、施工；监督施工总承包单位对BIM模型进行实时更新与维护，准确反映施工实际情况；根据项目实际进度等情况制定BIM实施计划并实时调整，为项目部署BIM工作和制定BIM工作决策向委托人提供建议和参考。监督施工总承包单位在安全文明施工和智慧工地充分应用BIM技术。协助委托人对BIM应用成果进行验收；督促施工总承包单位按要求提交模型、资料等，并负责归档。</w:t>
      </w:r>
    </w:p>
    <w:p w14:paraId="7C895903">
      <w:pPr>
        <w:tabs>
          <w:tab w:val="left" w:pos="7513"/>
        </w:tabs>
        <w:spacing w:line="360" w:lineRule="auto"/>
        <w:ind w:firstLine="480" w:firstLineChars="200"/>
        <w:rPr>
          <w:rFonts w:ascii="宋体" w:hAnsi="宋体" w:cs="宋体"/>
          <w:sz w:val="24"/>
          <w:szCs w:val="24"/>
        </w:rPr>
      </w:pPr>
      <w:r>
        <w:rPr>
          <w:rFonts w:hint="eastAsia" w:ascii="宋体" w:hAnsi="宋体" w:cs="宋体"/>
          <w:sz w:val="24"/>
          <w:szCs w:val="24"/>
        </w:rPr>
        <w:t>2.2.3监理服务期：</w:t>
      </w:r>
    </w:p>
    <w:p w14:paraId="3C28D149">
      <w:pPr>
        <w:topLinePunct/>
        <w:adjustRightInd w:val="0"/>
        <w:snapToGrid w:val="0"/>
        <w:spacing w:line="360" w:lineRule="auto"/>
        <w:ind w:firstLine="496" w:firstLineChars="200"/>
        <w:rPr>
          <w:rFonts w:ascii="宋体" w:hAnsi="宋体" w:cs="宋体"/>
          <w:snapToGrid w:val="0"/>
          <w:spacing w:val="4"/>
          <w:kern w:val="0"/>
          <w:sz w:val="24"/>
          <w:u w:val="single"/>
        </w:rPr>
      </w:pPr>
      <w:r>
        <w:rPr>
          <w:rFonts w:hint="eastAsia" w:ascii="宋体" w:hAnsi="宋体" w:cs="宋体"/>
          <w:snapToGrid w:val="0"/>
          <w:spacing w:val="4"/>
          <w:kern w:val="0"/>
          <w:sz w:val="24"/>
          <w:u w:val="single"/>
        </w:rPr>
        <w:t>监理（含项目管理）服务期从监理人完成合同签订后或参加由委托人组织的进场会开始起算，至本项目工程质量保修期届满且项目竣工结算完成时止，包括项目的设计阶段、施工准备阶段、施工阶段、工程收尾阶段、竣工结算阶段、工程交付阶段等全过程监理（含项目管理）服务。</w:t>
      </w:r>
    </w:p>
    <w:p w14:paraId="1B4B306D">
      <w:pPr>
        <w:pStyle w:val="2"/>
        <w:spacing w:line="360" w:lineRule="auto"/>
        <w:ind w:firstLine="496" w:firstLineChars="200"/>
        <w:rPr>
          <w:rFonts w:ascii="宋体" w:hAnsi="宋体" w:cs="宋体"/>
          <w:snapToGrid w:val="0"/>
          <w:spacing w:val="4"/>
          <w:sz w:val="24"/>
          <w:szCs w:val="22"/>
          <w:u w:val="single"/>
        </w:rPr>
      </w:pPr>
      <w:r>
        <w:rPr>
          <w:rFonts w:hint="eastAsia" w:ascii="宋体" w:hAnsi="宋体" w:cs="宋体"/>
          <w:snapToGrid w:val="0"/>
          <w:spacing w:val="4"/>
          <w:sz w:val="24"/>
          <w:szCs w:val="22"/>
          <w:u w:val="single"/>
        </w:rPr>
        <w:t>监理服务期内，监理人的项目总监、总监代表、专业监理工程师、专职安全员、资料员须在工程现场开展监理服务工作。</w:t>
      </w:r>
    </w:p>
    <w:p w14:paraId="04F1A77A">
      <w:pPr>
        <w:tabs>
          <w:tab w:val="left" w:pos="7513"/>
        </w:tabs>
        <w:spacing w:line="360" w:lineRule="auto"/>
        <w:ind w:firstLine="480" w:firstLineChars="200"/>
        <w:rPr>
          <w:rFonts w:ascii="宋体" w:hAnsi="宋体" w:cs="宋体"/>
          <w:sz w:val="24"/>
          <w:szCs w:val="24"/>
        </w:rPr>
      </w:pPr>
      <w:r>
        <w:rPr>
          <w:rFonts w:hint="eastAsia" w:ascii="宋体" w:hAnsi="宋体" w:cs="宋体"/>
          <w:sz w:val="24"/>
          <w:szCs w:val="24"/>
        </w:rPr>
        <w:t>2.2.4监理服务费最高投标限价：</w:t>
      </w:r>
      <w:bookmarkStart w:id="983" w:name="_GoBack"/>
      <w:r>
        <w:rPr>
          <w:rFonts w:hint="eastAsia" w:ascii="宋体" w:hAnsi="宋体" w:cs="宋体"/>
          <w:sz w:val="24"/>
          <w:szCs w:val="24"/>
          <w:u w:val="single"/>
        </w:rPr>
        <w:t>3</w:t>
      </w:r>
      <w:r>
        <w:rPr>
          <w:rFonts w:ascii="宋体" w:hAnsi="宋体" w:cs="宋体"/>
          <w:sz w:val="24"/>
          <w:szCs w:val="24"/>
          <w:u w:val="single"/>
        </w:rPr>
        <w:t>4</w:t>
      </w:r>
      <w:r>
        <w:rPr>
          <w:rFonts w:hint="eastAsia" w:ascii="宋体" w:hAnsi="宋体" w:cs="宋体"/>
          <w:sz w:val="24"/>
          <w:szCs w:val="24"/>
          <w:u w:val="single"/>
        </w:rPr>
        <w:t>1.</w:t>
      </w:r>
      <w:r>
        <w:rPr>
          <w:rFonts w:ascii="宋体" w:hAnsi="宋体" w:cs="宋体"/>
          <w:sz w:val="24"/>
          <w:szCs w:val="24"/>
          <w:u w:val="single"/>
        </w:rPr>
        <w:t>43</w:t>
      </w:r>
      <w:bookmarkEnd w:id="983"/>
      <w:r>
        <w:rPr>
          <w:rFonts w:hint="eastAsia" w:ascii="宋体" w:hAnsi="宋体" w:cs="宋体"/>
          <w:color w:val="000000"/>
          <w:sz w:val="24"/>
          <w:szCs w:val="24"/>
          <w:u w:val="single"/>
        </w:rPr>
        <w:t>万元</w:t>
      </w:r>
      <w:r>
        <w:rPr>
          <w:rFonts w:hint="eastAsia" w:ascii="宋体" w:hAnsi="宋体" w:cs="宋体"/>
          <w:sz w:val="24"/>
          <w:szCs w:val="24"/>
        </w:rPr>
        <w:t>。</w:t>
      </w:r>
    </w:p>
    <w:p w14:paraId="45B2B183">
      <w:pPr>
        <w:pStyle w:val="4"/>
        <w:keepNext w:val="0"/>
        <w:keepLines w:val="0"/>
        <w:spacing w:before="0" w:after="0" w:line="360" w:lineRule="auto"/>
        <w:rPr>
          <w:rFonts w:ascii="宋体" w:hAnsi="宋体" w:eastAsia="宋体" w:cs="宋体"/>
        </w:rPr>
      </w:pPr>
      <w:bookmarkStart w:id="57" w:name="_Toc514099625"/>
      <w:bookmarkStart w:id="58" w:name="_Toc511557027"/>
      <w:r>
        <w:rPr>
          <w:rFonts w:hint="eastAsia" w:ascii="宋体" w:hAnsi="宋体" w:eastAsia="宋体" w:cs="宋体"/>
        </w:rPr>
        <w:t>3. 投标人资格要求</w:t>
      </w:r>
      <w:bookmarkEnd w:id="57"/>
      <w:bookmarkEnd w:id="58"/>
    </w:p>
    <w:p w14:paraId="7350BF49">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3.1投标人须具备建设行政主管部门颁发工程监理综合资质或房屋建筑工程监理专业甲级资质。香港企业参加投标的，须在广东省住房和城乡建设主管部门备案且备案的业务范围满足本项目招标文件要求。</w:t>
      </w:r>
    </w:p>
    <w:p w14:paraId="7BC74568">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注：</w:t>
      </w:r>
    </w:p>
    <w:p w14:paraId="26BEAA95">
      <w:pPr>
        <w:spacing w:line="360" w:lineRule="auto"/>
        <w:rPr>
          <w:rFonts w:ascii="宋体" w:hAnsi="宋体" w:cs="宋体"/>
          <w:kern w:val="0"/>
          <w:sz w:val="24"/>
          <w:szCs w:val="24"/>
          <w:u w:val="single"/>
        </w:rPr>
      </w:pPr>
      <w:r>
        <w:rPr>
          <w:rFonts w:hint="eastAsia" w:ascii="宋体" w:hAnsi="宋体" w:cs="宋体"/>
          <w:kern w:val="0"/>
          <w:sz w:val="24"/>
          <w:szCs w:val="24"/>
          <w:u w:val="single"/>
        </w:rPr>
        <w:t>依据《广东省住房和城乡建设厅关于印发香港工程建设咨询企业和专业人士在粤港澳大湾区内地城市开业执业试点管理暂行办法的通知》（粤建规范〔2020〕1号）规定。</w:t>
      </w:r>
    </w:p>
    <w:p w14:paraId="7BA2DD15">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2）工程监理企业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房城乡建设部办公厅关于做好有关建设工程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规定执行。</w:t>
      </w:r>
    </w:p>
    <w:p w14:paraId="32086F5B">
      <w:pPr>
        <w:spacing w:line="360" w:lineRule="auto"/>
        <w:ind w:firstLine="480" w:firstLineChars="200"/>
        <w:rPr>
          <w:rFonts w:ascii="宋体" w:hAnsi="宋体" w:cs="宋体"/>
          <w:sz w:val="24"/>
          <w:szCs w:val="24"/>
        </w:rPr>
      </w:pPr>
      <w:r>
        <w:rPr>
          <w:rFonts w:hint="eastAsia" w:ascii="宋体" w:hAnsi="宋体" w:cs="宋体"/>
          <w:sz w:val="24"/>
          <w:szCs w:val="24"/>
        </w:rPr>
        <w:t>3.2 本次招标</w:t>
      </w:r>
      <w:r>
        <w:rPr>
          <w:rFonts w:hint="eastAsia" w:ascii="宋体" w:hAnsi="宋体" w:cs="宋体"/>
          <w:sz w:val="24"/>
          <w:szCs w:val="24"/>
          <w:u w:val="single"/>
        </w:rPr>
        <w:t>不接受</w:t>
      </w:r>
      <w:r>
        <w:rPr>
          <w:rFonts w:hint="eastAsia" w:ascii="宋体" w:hAnsi="宋体" w:cs="宋体"/>
          <w:sz w:val="24"/>
          <w:szCs w:val="24"/>
        </w:rPr>
        <w:t>联合体投标。</w:t>
      </w:r>
    </w:p>
    <w:p w14:paraId="08A4D24D">
      <w:pPr>
        <w:spacing w:line="360" w:lineRule="auto"/>
        <w:ind w:firstLine="480" w:firstLineChars="200"/>
        <w:rPr>
          <w:rFonts w:ascii="宋体" w:hAnsi="宋体" w:cs="宋体"/>
          <w:color w:val="000000"/>
          <w:kern w:val="0"/>
          <w:sz w:val="24"/>
        </w:rPr>
      </w:pPr>
      <w:r>
        <w:rPr>
          <w:rFonts w:hint="eastAsia" w:ascii="宋体" w:hAnsi="宋体" w:cs="宋体"/>
          <w:sz w:val="24"/>
          <w:szCs w:val="24"/>
        </w:rPr>
        <w:t>3.3拟派总监理工程师须具备建设部2006年4月1日后颁发的中华人民共和国</w:t>
      </w:r>
      <w:r>
        <w:rPr>
          <w:rFonts w:hint="eastAsia" w:ascii="宋体" w:hAnsi="宋体" w:cs="宋体"/>
          <w:sz w:val="24"/>
          <w:szCs w:val="24"/>
          <w:u w:val="single"/>
        </w:rPr>
        <w:t>注册监理工程师</w:t>
      </w:r>
      <w:r>
        <w:rPr>
          <w:rFonts w:hint="eastAsia" w:ascii="宋体" w:hAnsi="宋体" w:cs="宋体"/>
          <w:sz w:val="24"/>
          <w:szCs w:val="24"/>
        </w:rPr>
        <w:t>注册执业证书，且其注册证书专业为</w:t>
      </w:r>
      <w:r>
        <w:rPr>
          <w:rFonts w:hint="eastAsia" w:ascii="宋体" w:hAnsi="宋体" w:cs="宋体"/>
          <w:kern w:val="0"/>
          <w:sz w:val="24"/>
          <w:u w:val="single"/>
        </w:rPr>
        <w:t>房屋建筑工程</w:t>
      </w:r>
      <w:r>
        <w:rPr>
          <w:rFonts w:hint="eastAsia" w:ascii="宋体" w:hAnsi="宋体" w:cs="宋体"/>
          <w:sz w:val="24"/>
          <w:szCs w:val="24"/>
          <w:u w:val="single"/>
        </w:rPr>
        <w:t>（注册执业单位为本公司，注册企业以注册监理工程师注册执业证书上的注册单位为准,</w:t>
      </w:r>
      <w:r>
        <w:rPr>
          <w:rFonts w:hint="eastAsia" w:ascii="宋体" w:hAnsi="宋体" w:cs="宋体"/>
          <w:u w:val="single"/>
        </w:rPr>
        <w:t xml:space="preserve"> </w:t>
      </w:r>
      <w:r>
        <w:rPr>
          <w:rFonts w:hint="eastAsia" w:ascii="宋体" w:hAnsi="宋体" w:cs="宋体"/>
          <w:sz w:val="24"/>
          <w:szCs w:val="24"/>
          <w:u w:val="single"/>
        </w:rPr>
        <w:t>拟派总监理工程师注册执业专业以注册执业证书上的注册专业为准），</w:t>
      </w:r>
      <w:r>
        <w:rPr>
          <w:rFonts w:hint="eastAsia" w:ascii="宋体" w:hAnsi="宋体" w:cs="宋体"/>
          <w:sz w:val="24"/>
          <w:szCs w:val="24"/>
        </w:rPr>
        <w:t>并具有</w:t>
      </w:r>
      <w:r>
        <w:rPr>
          <w:rFonts w:hint="eastAsia" w:ascii="宋体" w:hAnsi="宋体" w:cs="宋体"/>
          <w:snapToGrid w:val="0"/>
          <w:spacing w:val="4"/>
          <w:kern w:val="0"/>
          <w:sz w:val="24"/>
          <w:u w:val="single"/>
          <w:lang w:val="zh-CN"/>
        </w:rPr>
        <w:t>工程类副高级（或以上）技术职称</w:t>
      </w:r>
      <w:r>
        <w:rPr>
          <w:rFonts w:hint="eastAsia" w:ascii="宋体" w:hAnsi="宋体" w:cs="宋体"/>
          <w:sz w:val="24"/>
          <w:szCs w:val="24"/>
          <w:u w:val="single"/>
        </w:rPr>
        <w:t>。或在广东省住房和城乡建设主管部门备案且备案的资格满足本项目总监理工程师的资格要求的香港专业人士</w:t>
      </w:r>
      <w:r>
        <w:rPr>
          <w:rFonts w:hint="eastAsia" w:ascii="宋体" w:hAnsi="宋体" w:cs="宋体"/>
          <w:color w:val="000000"/>
          <w:sz w:val="24"/>
          <w:szCs w:val="24"/>
          <w:u w:val="single"/>
        </w:rPr>
        <w:t>。</w:t>
      </w:r>
    </w:p>
    <w:p w14:paraId="36247817">
      <w:pPr>
        <w:spacing w:line="360" w:lineRule="auto"/>
        <w:ind w:firstLine="480" w:firstLineChars="200"/>
        <w:rPr>
          <w:rFonts w:ascii="宋体" w:hAnsi="宋体" w:cs="宋体"/>
          <w:sz w:val="24"/>
          <w:szCs w:val="24"/>
          <w:u w:val="single"/>
        </w:rPr>
      </w:pPr>
      <w:r>
        <w:rPr>
          <w:rFonts w:hint="eastAsia" w:ascii="宋体" w:hAnsi="宋体" w:cs="宋体"/>
          <w:kern w:val="0"/>
          <w:sz w:val="24"/>
          <w:u w:val="single"/>
        </w:rPr>
        <w:t>注：依据《广东省住房和城乡建设厅关于印发香港工程建设咨询企业和专业人士在粤港澳大湾区内地城市开业执业试点管理暂行办法的通知》（粤建规范</w:t>
      </w:r>
      <w:r>
        <w:rPr>
          <w:rFonts w:hint="eastAsia" w:ascii="宋体" w:hAnsi="宋体" w:cs="宋体"/>
          <w:kern w:val="0"/>
          <w:sz w:val="24"/>
          <w:szCs w:val="24"/>
          <w:u w:val="single"/>
        </w:rPr>
        <w:t>〔2020〕</w:t>
      </w:r>
      <w:r>
        <w:rPr>
          <w:rFonts w:hint="eastAsia" w:ascii="宋体" w:hAnsi="宋体" w:cs="宋体"/>
          <w:kern w:val="0"/>
          <w:sz w:val="24"/>
          <w:u w:val="single"/>
        </w:rPr>
        <w:t>1号）规定。</w:t>
      </w:r>
    </w:p>
    <w:p w14:paraId="301FD2F6">
      <w:pPr>
        <w:spacing w:line="360" w:lineRule="auto"/>
        <w:ind w:firstLine="480" w:firstLineChars="200"/>
        <w:rPr>
          <w:rFonts w:ascii="宋体" w:hAnsi="宋体" w:cs="宋体"/>
          <w:sz w:val="24"/>
          <w:szCs w:val="24"/>
        </w:rPr>
      </w:pPr>
      <w:r>
        <w:rPr>
          <w:rFonts w:hint="eastAsia" w:ascii="宋体" w:hAnsi="宋体" w:cs="宋体"/>
          <w:sz w:val="24"/>
          <w:szCs w:val="24"/>
        </w:rPr>
        <w:t>3.4 其他要求：</w:t>
      </w:r>
    </w:p>
    <w:p w14:paraId="4FED0195">
      <w:pPr>
        <w:spacing w:line="360" w:lineRule="auto"/>
        <w:ind w:firstLine="480" w:firstLineChars="200"/>
        <w:rPr>
          <w:rFonts w:ascii="宋体" w:hAnsi="宋体" w:cs="宋体"/>
          <w:sz w:val="24"/>
          <w:szCs w:val="24"/>
          <w:u w:val="single"/>
        </w:rPr>
      </w:pPr>
      <w:bookmarkStart w:id="59" w:name="_Toc514099626"/>
      <w:bookmarkStart w:id="60" w:name="_Toc511557028"/>
      <w:r>
        <w:rPr>
          <w:rFonts w:hint="eastAsia" w:ascii="宋体" w:hAnsi="宋体" w:cs="宋体"/>
          <w:sz w:val="24"/>
          <w:szCs w:val="24"/>
          <w:u w:val="single"/>
        </w:rPr>
        <w:t>① 投标人参加投标的意思表达清楚，投标人代表被授权有效。</w:t>
      </w:r>
    </w:p>
    <w:p w14:paraId="52627F47">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② 投标人均具有独立法人资格，持有有效的工商行政（市场监督）管理部门核发的法人营业执照，按国家法律经营。</w:t>
      </w:r>
    </w:p>
    <w:p w14:paraId="27B9B1F1">
      <w:pPr>
        <w:spacing w:line="360" w:lineRule="auto"/>
        <w:ind w:firstLine="480" w:firstLineChars="200"/>
        <w:rPr>
          <w:rFonts w:ascii="宋体" w:hAnsi="宋体" w:cs="宋体"/>
          <w:kern w:val="0"/>
          <w:sz w:val="24"/>
          <w:u w:val="single"/>
        </w:rPr>
      </w:pPr>
      <w:r>
        <w:rPr>
          <w:rFonts w:hint="eastAsia" w:ascii="宋体" w:hAnsi="宋体" w:cs="宋体"/>
          <w:kern w:val="0"/>
          <w:sz w:val="24"/>
          <w:u w:val="single"/>
        </w:rPr>
        <w:t>③投标人已按规定格式签名盖章《投标人声明》（详见招标公告附件一）。</w:t>
      </w:r>
    </w:p>
    <w:p w14:paraId="19EC3AA7">
      <w:pPr>
        <w:spacing w:line="360" w:lineRule="auto"/>
        <w:ind w:firstLine="480" w:firstLineChars="200"/>
        <w:rPr>
          <w:rFonts w:ascii="宋体" w:hAnsi="宋体" w:cs="宋体"/>
          <w:kern w:val="0"/>
          <w:sz w:val="24"/>
          <w:u w:val="single"/>
        </w:rPr>
      </w:pPr>
      <w:r>
        <w:rPr>
          <w:rFonts w:hint="eastAsia" w:ascii="宋体" w:hAnsi="宋体" w:cs="宋体"/>
          <w:kern w:val="0"/>
          <w:sz w:val="24"/>
          <w:u w:val="single"/>
        </w:rPr>
        <w:t>④资格审查</w:t>
      </w:r>
      <w:r>
        <w:rPr>
          <w:rFonts w:hint="eastAsia" w:ascii="宋体" w:hAnsi="宋体" w:cs="宋体"/>
          <w:sz w:val="24"/>
          <w:u w:val="single"/>
        </w:rPr>
        <w:t>前，投标人须在广州市住建行业信用管理平台建立了企业信用档案及拟担任本工程总监理工程师须是本企业信用档案中的在册人员</w:t>
      </w:r>
      <w:r>
        <w:rPr>
          <w:rFonts w:hint="eastAsia" w:ascii="宋体" w:hAnsi="宋体" w:cs="宋体"/>
          <w:kern w:val="0"/>
          <w:sz w:val="24"/>
          <w:u w:val="single"/>
        </w:rPr>
        <w:t>。企业信用档案取自投标截止时间投标人在信用管理平台的信息，投标人无需提交相关资料，若招标人延长递交投标文件截止时间的，信用档案信息的评审时点也相应延长。注：（信用档案办理详见《广州市住建行业信用管理平台监理企业信息录入指引》</w:t>
      </w:r>
      <w:r>
        <w:fldChar w:fldCharType="begin"/>
      </w:r>
      <w:r>
        <w:instrText xml:space="preserve"> HYPERLINK "http://zfcj.gz.gov.cn/zwgk/zsdwxxgkzl/gzsjzyglfwzx/bszy/content/post_8073953.html" </w:instrText>
      </w:r>
      <w:r>
        <w:fldChar w:fldCharType="separate"/>
      </w:r>
      <w:r>
        <w:rPr>
          <w:rStyle w:val="25"/>
          <w:rFonts w:hint="eastAsia" w:ascii="宋体" w:hAnsi="宋体" w:cs="宋体"/>
          <w:color w:val="auto"/>
          <w:kern w:val="0"/>
          <w:sz w:val="24"/>
        </w:rPr>
        <w:t>http://zfcj.gz.gov.cn/zwgk/zsdwxxgkzl/gzsjzyglfwzx/bszy/content/post_8073953.html</w:t>
      </w:r>
      <w:r>
        <w:rPr>
          <w:rStyle w:val="25"/>
          <w:rFonts w:hint="eastAsia" w:ascii="宋体" w:hAnsi="宋体" w:cs="宋体"/>
          <w:color w:val="auto"/>
          <w:kern w:val="0"/>
          <w:sz w:val="24"/>
        </w:rPr>
        <w:fldChar w:fldCharType="end"/>
      </w:r>
      <w:r>
        <w:rPr>
          <w:rFonts w:hint="eastAsia" w:ascii="宋体" w:hAnsi="宋体" w:cs="宋体"/>
          <w:kern w:val="0"/>
          <w:sz w:val="24"/>
          <w:u w:val="single"/>
        </w:rPr>
        <w:t>）</w:t>
      </w:r>
    </w:p>
    <w:p w14:paraId="1692D2D1">
      <w:pPr>
        <w:pStyle w:val="17"/>
        <w:spacing w:line="360" w:lineRule="auto"/>
        <w:ind w:firstLine="480" w:firstLineChars="200"/>
        <w:jc w:val="both"/>
        <w:rPr>
          <w:kern w:val="2"/>
          <w:szCs w:val="24"/>
          <w:u w:val="single"/>
        </w:rPr>
      </w:pPr>
      <w:r>
        <w:rPr>
          <w:rFonts w:hint="eastAsia"/>
          <w:kern w:val="2"/>
          <w:szCs w:val="24"/>
          <w:u w:val="single"/>
        </w:rPr>
        <w:t>⑤未被列入拖欠农民工工资失信联合惩戒对象名单。（投标人无需提供资料，按资格评审时广州交易集团有限公司（广州公共资源交易中心）交易系统比对的结果进行评审）。</w:t>
      </w:r>
    </w:p>
    <w:p w14:paraId="19AE4D9B">
      <w:pPr>
        <w:spacing w:line="360" w:lineRule="auto"/>
        <w:ind w:firstLine="480" w:firstLineChars="200"/>
        <w:rPr>
          <w:rFonts w:ascii="宋体" w:hAnsi="宋体" w:cs="宋体"/>
          <w:kern w:val="0"/>
          <w:sz w:val="24"/>
        </w:rPr>
      </w:pPr>
      <w:r>
        <w:rPr>
          <w:rFonts w:hint="eastAsia" w:ascii="宋体" w:hAnsi="宋体" w:cs="宋体"/>
          <w:kern w:val="0"/>
          <w:sz w:val="24"/>
          <w:u w:val="single"/>
        </w:rPr>
        <w:t>注：未在招标公告第三条单列的投标人资格要求条件，不作为资审不合格的依据。</w:t>
      </w:r>
    </w:p>
    <w:p w14:paraId="4EE3F731">
      <w:pPr>
        <w:pStyle w:val="4"/>
        <w:keepNext w:val="0"/>
        <w:keepLines w:val="0"/>
        <w:spacing w:before="0" w:after="0" w:line="360" w:lineRule="auto"/>
        <w:rPr>
          <w:rFonts w:ascii="宋体" w:hAnsi="宋体" w:eastAsia="宋体" w:cs="宋体"/>
        </w:rPr>
      </w:pPr>
      <w:r>
        <w:rPr>
          <w:rFonts w:hint="eastAsia" w:ascii="宋体" w:hAnsi="宋体" w:eastAsia="宋体" w:cs="宋体"/>
        </w:rPr>
        <w:t>4. 招标文件的获取</w:t>
      </w:r>
      <w:bookmarkEnd w:id="59"/>
      <w:bookmarkEnd w:id="60"/>
    </w:p>
    <w:p w14:paraId="1A8F025F">
      <w:pPr>
        <w:widowControl/>
        <w:spacing w:line="360" w:lineRule="auto"/>
        <w:ind w:firstLine="537" w:firstLineChars="224"/>
        <w:rPr>
          <w:rFonts w:ascii="宋体" w:hAnsi="宋体" w:cs="宋体"/>
          <w:sz w:val="24"/>
          <w:szCs w:val="24"/>
        </w:rPr>
      </w:pPr>
      <w:bookmarkStart w:id="61" w:name="_Toc514099627"/>
      <w:bookmarkStart w:id="62" w:name="_Toc511557029"/>
      <w:r>
        <w:rPr>
          <w:rFonts w:hint="eastAsia" w:ascii="宋体" w:hAnsi="宋体" w:cs="宋体"/>
          <w:sz w:val="24"/>
          <w:szCs w:val="24"/>
        </w:rPr>
        <w:t>4.1凡有意参加投标者，请于2025年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rPr>
        <w:t>分至2025年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rPr>
        <w:t>分(北京时间，下同)，登录广州交易集团有限公司（广州公共资源交易中心）官网</w:t>
      </w:r>
      <w:r>
        <w:rPr>
          <w:rFonts w:hint="eastAsia" w:ascii="宋体" w:hAnsi="宋体" w:cs="宋体"/>
          <w:sz w:val="24"/>
          <w:szCs w:val="24"/>
          <w:u w:val="single"/>
        </w:rPr>
        <w:t>（网址：http://www.gzggzy.cn）下载电子招标文件</w:t>
      </w:r>
      <w:r>
        <w:rPr>
          <w:rFonts w:hint="eastAsia" w:ascii="宋体" w:hAnsi="宋体" w:cs="宋体"/>
          <w:sz w:val="24"/>
          <w:szCs w:val="24"/>
        </w:rPr>
        <w:t>。</w:t>
      </w:r>
    </w:p>
    <w:p w14:paraId="7B5ABBBE">
      <w:pPr>
        <w:widowControl/>
        <w:spacing w:line="360" w:lineRule="auto"/>
        <w:ind w:firstLine="537" w:firstLineChars="224"/>
        <w:jc w:val="left"/>
        <w:rPr>
          <w:rFonts w:ascii="宋体" w:hAnsi="宋体" w:cs="宋体"/>
          <w:sz w:val="24"/>
          <w:szCs w:val="24"/>
        </w:rPr>
      </w:pPr>
      <w:r>
        <w:rPr>
          <w:rFonts w:hint="eastAsia" w:ascii="宋体" w:hAnsi="宋体" w:cs="宋体"/>
          <w:sz w:val="24"/>
          <w:szCs w:val="24"/>
        </w:rPr>
        <w:t>4.2本项目设立投标登记环节，采取广州交易集团有限公司（广州公共资源交易中心）网上投标登记方式进行投标登记，不接受现场投标登记（参加投标登记之前，投标人应查询本企业在广州交易集团有限公司（广州公共资源交易中心）的信息登记的状态，确保一切信息都是真实的、在有效期内的，以免出现相关信息不能被使用。上述情况有可能导致投标信息无法录入广州交易集团有限公司（广州公共资源交易中心）信息系统。如出现上述情况，投标人有可能失去投标机会，因其可能所引起的一切后果由投标人承担。电子招投标操作流程详见广州交易集团有限公司（广州公共资源交易中心）网站发布的最新版操作指引）。</w:t>
      </w:r>
    </w:p>
    <w:p w14:paraId="62E161EE">
      <w:pPr>
        <w:widowControl/>
        <w:spacing w:line="360" w:lineRule="auto"/>
        <w:ind w:firstLine="537" w:firstLineChars="224"/>
        <w:jc w:val="left"/>
        <w:rPr>
          <w:rFonts w:ascii="宋体" w:hAnsi="宋体" w:cs="宋体"/>
          <w:sz w:val="24"/>
          <w:szCs w:val="24"/>
        </w:rPr>
      </w:pPr>
      <w:r>
        <w:rPr>
          <w:rFonts w:hint="eastAsia" w:ascii="宋体" w:hAnsi="宋体" w:cs="宋体"/>
          <w:sz w:val="24"/>
          <w:szCs w:val="24"/>
        </w:rPr>
        <w:t>4.2.1 投标登记时间：2025年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rPr>
        <w:t>分至2025年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rPr>
        <w:t>分。</w:t>
      </w:r>
    </w:p>
    <w:p w14:paraId="7B76D5AD">
      <w:pPr>
        <w:widowControl/>
        <w:spacing w:line="360" w:lineRule="auto"/>
        <w:ind w:firstLine="537" w:firstLineChars="224"/>
        <w:jc w:val="left"/>
        <w:rPr>
          <w:rFonts w:ascii="宋体" w:hAnsi="宋体" w:cs="宋体"/>
          <w:sz w:val="24"/>
          <w:szCs w:val="24"/>
        </w:rPr>
      </w:pPr>
      <w:r>
        <w:rPr>
          <w:rFonts w:hint="eastAsia" w:ascii="宋体" w:hAnsi="宋体" w:cs="宋体"/>
          <w:sz w:val="24"/>
          <w:szCs w:val="24"/>
        </w:rPr>
        <w:t>4.3 本项目采用</w:t>
      </w:r>
      <w:r>
        <w:rPr>
          <w:rFonts w:hint="eastAsia" w:ascii="宋体" w:hAnsi="宋体" w:cs="宋体"/>
          <w:sz w:val="24"/>
          <w:szCs w:val="24"/>
          <w:u w:val="single"/>
        </w:rPr>
        <w:t>资格后审</w:t>
      </w:r>
      <w:r>
        <w:rPr>
          <w:rFonts w:hint="eastAsia" w:ascii="宋体" w:hAnsi="宋体" w:cs="宋体"/>
          <w:sz w:val="24"/>
          <w:szCs w:val="24"/>
        </w:rPr>
        <w:t>方式。</w:t>
      </w:r>
    </w:p>
    <w:p w14:paraId="18F05578">
      <w:pPr>
        <w:widowControl/>
        <w:spacing w:line="360" w:lineRule="auto"/>
        <w:ind w:firstLine="537" w:firstLineChars="224"/>
        <w:jc w:val="left"/>
        <w:rPr>
          <w:rFonts w:ascii="宋体" w:hAnsi="宋体" w:cs="宋体"/>
          <w:sz w:val="24"/>
          <w:szCs w:val="24"/>
        </w:rPr>
      </w:pPr>
      <w:r>
        <w:rPr>
          <w:rFonts w:hint="eastAsia" w:ascii="宋体" w:hAnsi="宋体" w:cs="宋体"/>
          <w:sz w:val="24"/>
          <w:szCs w:val="24"/>
        </w:rPr>
        <w:t>注：（1）电子招投标操作流程详见广州交易集团有限公司（广州公共资源交易中心）网站发布的最新版操作指引。</w:t>
      </w:r>
    </w:p>
    <w:p w14:paraId="570BADBD">
      <w:pPr>
        <w:widowControl/>
        <w:numPr>
          <w:ilvl w:val="0"/>
          <w:numId w:val="1"/>
        </w:numPr>
        <w:spacing w:line="360" w:lineRule="auto"/>
        <w:ind w:firstLine="537" w:firstLineChars="224"/>
        <w:jc w:val="left"/>
        <w:rPr>
          <w:rFonts w:ascii="宋体" w:hAnsi="宋体" w:cs="宋体"/>
          <w:sz w:val="24"/>
          <w:szCs w:val="24"/>
        </w:rPr>
      </w:pPr>
      <w:r>
        <w:rPr>
          <w:rFonts w:hint="eastAsia" w:ascii="宋体" w:hAnsi="宋体" w:cs="宋体"/>
          <w:sz w:val="24"/>
          <w:szCs w:val="24"/>
        </w:rPr>
        <w:t>本公告发布之日起开始投标登记，并从发本公告发布之日起开始计算备标时间。</w:t>
      </w:r>
    </w:p>
    <w:p w14:paraId="761520FF">
      <w:pPr>
        <w:wordWrap w:val="0"/>
        <w:spacing w:line="360" w:lineRule="auto"/>
        <w:ind w:firstLine="480" w:firstLineChars="200"/>
        <w:rPr>
          <w:rFonts w:ascii="宋体" w:hAnsi="宋体" w:cs="宋体"/>
          <w:sz w:val="24"/>
          <w:szCs w:val="24"/>
        </w:rPr>
      </w:pPr>
      <w:r>
        <w:rPr>
          <w:rFonts w:hint="eastAsia" w:ascii="宋体" w:hAnsi="宋体" w:cs="宋体"/>
          <w:sz w:val="24"/>
          <w:szCs w:val="24"/>
        </w:rPr>
        <w:t>4.4 潜在投标人或利害关系人对本招标公告及招标内容异议的，应当在投标截止时间10日前向招标人书面提出。</w:t>
      </w:r>
    </w:p>
    <w:p w14:paraId="239FC1B6">
      <w:pPr>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异议受理部门：</w:t>
      </w:r>
      <w:r>
        <w:rPr>
          <w:rFonts w:hint="eastAsia" w:ascii="宋体" w:hAnsi="宋体" w:cs="宋体"/>
          <w:sz w:val="24"/>
          <w:u w:val="single"/>
        </w:rPr>
        <w:t>中山大学附属第一医院</w:t>
      </w:r>
    </w:p>
    <w:p w14:paraId="42D72C53">
      <w:pPr>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异议受理电话：</w:t>
      </w:r>
      <w:r>
        <w:rPr>
          <w:rFonts w:hint="eastAsia" w:ascii="宋体" w:hAnsi="宋体" w:cs="宋体"/>
          <w:sz w:val="24"/>
          <w:u w:val="single"/>
        </w:rPr>
        <w:t>020-8760834</w:t>
      </w:r>
      <w:r>
        <w:rPr>
          <w:rFonts w:ascii="宋体" w:hAnsi="宋体" w:cs="宋体"/>
          <w:sz w:val="24"/>
          <w:u w:val="single"/>
        </w:rPr>
        <w:t>5</w:t>
      </w:r>
    </w:p>
    <w:p w14:paraId="53CC3163">
      <w:pPr>
        <w:spacing w:line="360" w:lineRule="auto"/>
        <w:ind w:firstLine="480" w:firstLineChars="200"/>
        <w:rPr>
          <w:rFonts w:ascii="宋体" w:hAnsi="宋体" w:cs="宋体"/>
          <w:sz w:val="24"/>
          <w:szCs w:val="24"/>
          <w:u w:val="single"/>
        </w:rPr>
      </w:pPr>
      <w:r>
        <w:rPr>
          <w:rFonts w:hint="eastAsia" w:ascii="宋体" w:hAnsi="宋体" w:cs="宋体"/>
          <w:sz w:val="24"/>
          <w:szCs w:val="24"/>
        </w:rPr>
        <w:t>地址：</w:t>
      </w:r>
      <w:r>
        <w:rPr>
          <w:rFonts w:hint="eastAsia" w:ascii="宋体" w:hAnsi="宋体" w:cs="宋体"/>
          <w:sz w:val="24"/>
          <w:u w:val="single"/>
        </w:rPr>
        <w:t>广州市越秀区中山二路58号</w:t>
      </w:r>
    </w:p>
    <w:p w14:paraId="5B8F7682">
      <w:pPr>
        <w:widowControl/>
        <w:tabs>
          <w:tab w:val="left" w:pos="7513"/>
        </w:tabs>
        <w:spacing w:line="360" w:lineRule="auto"/>
        <w:ind w:firstLine="480" w:firstLineChars="200"/>
        <w:jc w:val="left"/>
        <w:rPr>
          <w:rFonts w:ascii="宋体" w:hAnsi="宋体" w:cs="宋体"/>
          <w:sz w:val="24"/>
          <w:szCs w:val="24"/>
          <w:u w:val="single"/>
        </w:rPr>
      </w:pPr>
      <w:r>
        <w:rPr>
          <w:rFonts w:hint="eastAsia" w:ascii="宋体" w:hAnsi="宋体" w:cs="宋体"/>
          <w:sz w:val="24"/>
          <w:szCs w:val="24"/>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29C2475F">
      <w:pPr>
        <w:widowControl/>
        <w:spacing w:line="360" w:lineRule="auto"/>
        <w:rPr>
          <w:rFonts w:ascii="宋体" w:hAnsi="宋体" w:cs="宋体"/>
          <w:b/>
          <w:kern w:val="0"/>
          <w:sz w:val="32"/>
          <w:szCs w:val="20"/>
        </w:rPr>
      </w:pPr>
      <w:r>
        <w:rPr>
          <w:rFonts w:hint="eastAsia" w:ascii="宋体" w:hAnsi="宋体" w:cs="宋体"/>
          <w:b/>
          <w:kern w:val="0"/>
          <w:sz w:val="32"/>
          <w:szCs w:val="20"/>
        </w:rPr>
        <w:t>5. 投标文件的递交</w:t>
      </w:r>
      <w:bookmarkEnd w:id="61"/>
      <w:bookmarkEnd w:id="62"/>
      <w:bookmarkStart w:id="63" w:name="_Toc511557030"/>
      <w:bookmarkStart w:id="64" w:name="_Toc514099628"/>
    </w:p>
    <w:p w14:paraId="1D38E1CE">
      <w:pPr>
        <w:widowControl/>
        <w:spacing w:line="360" w:lineRule="auto"/>
        <w:ind w:firstLine="537" w:firstLineChars="224"/>
        <w:jc w:val="left"/>
        <w:rPr>
          <w:rFonts w:ascii="宋体" w:hAnsi="宋体" w:cs="宋体"/>
          <w:sz w:val="24"/>
          <w:szCs w:val="24"/>
        </w:rPr>
      </w:pPr>
      <w:r>
        <w:rPr>
          <w:rFonts w:hint="eastAsia" w:ascii="宋体" w:hAnsi="宋体" w:cs="宋体"/>
          <w:sz w:val="24"/>
          <w:szCs w:val="24"/>
        </w:rPr>
        <w:t>5.1 发布招标公告时间（含本日）：2025年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rPr>
        <w:t>分至2025年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rPr>
        <w:t>分。</w:t>
      </w:r>
    </w:p>
    <w:p w14:paraId="2A3B4A98">
      <w:pPr>
        <w:widowControl/>
        <w:spacing w:line="360" w:lineRule="auto"/>
        <w:ind w:firstLine="537" w:firstLineChars="224"/>
        <w:jc w:val="left"/>
        <w:rPr>
          <w:rFonts w:ascii="宋体" w:hAnsi="宋体" w:cs="宋体"/>
          <w:sz w:val="24"/>
          <w:szCs w:val="24"/>
        </w:rPr>
      </w:pPr>
      <w:r>
        <w:rPr>
          <w:rFonts w:hint="eastAsia" w:ascii="宋体" w:hAnsi="宋体" w:cs="宋体"/>
          <w:sz w:val="24"/>
          <w:szCs w:val="24"/>
        </w:rPr>
        <w:t>注：发布招标公告的时间为招标公告发出之日起至递交投标文件截止时间止。</w:t>
      </w:r>
    </w:p>
    <w:p w14:paraId="3FA969E2">
      <w:pPr>
        <w:widowControl/>
        <w:spacing w:line="360" w:lineRule="auto"/>
        <w:ind w:firstLine="537" w:firstLineChars="224"/>
        <w:rPr>
          <w:rFonts w:ascii="宋体" w:hAnsi="宋体" w:cs="宋体"/>
          <w:sz w:val="24"/>
          <w:szCs w:val="24"/>
        </w:rPr>
      </w:pPr>
      <w:r>
        <w:rPr>
          <w:rFonts w:hint="eastAsia" w:ascii="宋体" w:hAnsi="宋体" w:cs="宋体"/>
          <w:sz w:val="24"/>
          <w:szCs w:val="24"/>
        </w:rPr>
        <w:t>5.2 递交电子投标文件时间：2025年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rPr>
        <w:t>分至2025年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rPr>
        <w:t>分。投标人通过广州交易集团有限公司（广州公共资源交易中心）交易平台递交电子投标文件。投标人应在递交投标文件截止时间前，登录广州交易集团有限公司（广州公共资源交易中心）网站交易平台网站办理网上投标登记手续。按照交易平台关于全流程电子化项目的相关指南进行操作。详见：广州交易集团有限公司（广州公共资源交易中心）网站首页-服务指南。</w:t>
      </w:r>
    </w:p>
    <w:p w14:paraId="614FD393">
      <w:pPr>
        <w:widowControl/>
        <w:spacing w:line="360" w:lineRule="auto"/>
        <w:ind w:firstLine="537" w:firstLineChars="224"/>
        <w:jc w:val="left"/>
        <w:rPr>
          <w:rFonts w:ascii="宋体" w:hAnsi="宋体" w:cs="宋体"/>
          <w:sz w:val="24"/>
          <w:szCs w:val="24"/>
        </w:rPr>
      </w:pPr>
      <w:r>
        <w:rPr>
          <w:rFonts w:hint="eastAsia" w:ascii="宋体" w:hAnsi="宋体" w:cs="宋体"/>
          <w:sz w:val="24"/>
          <w:szCs w:val="24"/>
        </w:rPr>
        <w:t>5.3递交备用投标文件电子光盘时间为：2025年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rPr>
        <w:t>分至2025年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rPr>
        <w:t>分；地点：广州交易集团有限公司（广州公共资源交易中心）（天润路333号）</w:t>
      </w:r>
      <w:r>
        <w:rPr>
          <w:rFonts w:hint="eastAsia" w:ascii="宋体" w:hAnsi="宋体" w:cs="宋体"/>
          <w:sz w:val="24"/>
          <w:u w:val="single"/>
        </w:rPr>
        <w:t>指定开标室</w:t>
      </w:r>
      <w:r>
        <w:rPr>
          <w:rFonts w:hint="eastAsia" w:ascii="宋体" w:hAnsi="宋体" w:cs="宋体"/>
          <w:sz w:val="24"/>
          <w:szCs w:val="24"/>
        </w:rPr>
        <w:t>。（电子光盘需按规定封装。投标人在将数据刻录到光盘之后，投标前自行检查文件是否可以读取）。</w:t>
      </w:r>
    </w:p>
    <w:p w14:paraId="4E748B63">
      <w:pPr>
        <w:widowControl/>
        <w:spacing w:line="360" w:lineRule="auto"/>
        <w:ind w:firstLine="537" w:firstLineChars="224"/>
        <w:jc w:val="left"/>
        <w:rPr>
          <w:rFonts w:ascii="宋体" w:hAnsi="宋体" w:cs="宋体"/>
          <w:sz w:val="24"/>
          <w:szCs w:val="24"/>
        </w:rPr>
      </w:pPr>
      <w:r>
        <w:rPr>
          <w:rFonts w:hint="eastAsia" w:ascii="宋体" w:hAnsi="宋体" w:cs="宋体"/>
          <w:sz w:val="24"/>
          <w:szCs w:val="24"/>
        </w:rPr>
        <w:t>5.4 逾期送达的投标文件，电子招标投标交易平台将予以拒收。逾期未上传成功的电子投标文件，招标人拒绝接收。逾期或未在指定地点递交投标文件光盘的,招标人拒绝接收其投标文件光盘。</w:t>
      </w:r>
    </w:p>
    <w:p w14:paraId="68143EC3">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5.5 开标时间：2025年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rPr>
        <w:t>分。地点：广州交易集团有限公司（广州公共资源交易中心）（天润路333号）</w:t>
      </w:r>
      <w:r>
        <w:rPr>
          <w:rFonts w:hint="eastAsia" w:ascii="宋体" w:hAnsi="宋体" w:cs="宋体"/>
          <w:sz w:val="24"/>
          <w:u w:val="single"/>
        </w:rPr>
        <w:t>指定开标室</w:t>
      </w:r>
      <w:r>
        <w:rPr>
          <w:rFonts w:hint="eastAsia" w:ascii="宋体" w:hAnsi="宋体" w:cs="宋体"/>
          <w:sz w:val="24"/>
          <w:szCs w:val="24"/>
        </w:rPr>
        <w:t>。</w:t>
      </w:r>
    </w:p>
    <w:p w14:paraId="6BB8AAF6">
      <w:pPr>
        <w:widowControl/>
        <w:spacing w:line="360" w:lineRule="auto"/>
        <w:ind w:firstLine="537" w:firstLineChars="224"/>
        <w:jc w:val="left"/>
        <w:rPr>
          <w:rFonts w:ascii="宋体" w:hAnsi="宋体" w:cs="宋体"/>
        </w:rPr>
      </w:pPr>
      <w:r>
        <w:rPr>
          <w:rFonts w:hint="eastAsia" w:ascii="宋体" w:hAnsi="宋体" w:cs="宋体"/>
          <w:sz w:val="24"/>
          <w:szCs w:val="24"/>
        </w:rPr>
        <w:t>5.6 递交投标文件截止时间及开标时间是否有变化，请密切留意</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网站中的相关信息。递交投标文件截止时间后，投标文件评审时间因故推迟的，相关资审信息仍以原递交投标文件截止时间的信息为准。本项目各项投标活动具体可通过</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网站查询具体的时间和场地安排。</w:t>
      </w:r>
    </w:p>
    <w:p w14:paraId="26837D54">
      <w:pPr>
        <w:pStyle w:val="4"/>
        <w:keepNext w:val="0"/>
        <w:keepLines w:val="0"/>
        <w:spacing w:before="0" w:after="0" w:line="360" w:lineRule="auto"/>
        <w:rPr>
          <w:rFonts w:ascii="宋体" w:hAnsi="宋体" w:eastAsia="宋体" w:cs="宋体"/>
        </w:rPr>
      </w:pPr>
      <w:r>
        <w:rPr>
          <w:rFonts w:hint="eastAsia" w:ascii="宋体" w:hAnsi="宋体" w:eastAsia="宋体" w:cs="宋体"/>
        </w:rPr>
        <w:t>6. 发布公告的媒介</w:t>
      </w:r>
      <w:bookmarkEnd w:id="63"/>
      <w:bookmarkEnd w:id="64"/>
    </w:p>
    <w:p w14:paraId="1D6BD0F7">
      <w:pPr>
        <w:spacing w:line="360" w:lineRule="auto"/>
        <w:ind w:firstLine="480" w:firstLineChars="200"/>
        <w:rPr>
          <w:rFonts w:ascii="宋体" w:hAnsi="宋体" w:cs="宋体"/>
          <w:sz w:val="24"/>
          <w:szCs w:val="24"/>
        </w:rPr>
      </w:pPr>
      <w:r>
        <w:rPr>
          <w:rFonts w:hint="eastAsia" w:ascii="宋体" w:hAnsi="宋体" w:cs="宋体"/>
          <w:sz w:val="24"/>
          <w:szCs w:val="24"/>
        </w:rPr>
        <w:t>本次招标公告同时在广州交易集团有限公司（广州公共资源交易中心）官网</w:t>
      </w:r>
      <w:r>
        <w:rPr>
          <w:rFonts w:hint="eastAsia" w:ascii="宋体" w:hAnsi="宋体" w:cs="宋体"/>
          <w:sz w:val="24"/>
          <w:szCs w:val="24"/>
          <w:u w:val="single"/>
        </w:rPr>
        <w:t>（网址：http://www.gzggzy.cn）、广东省招标投标监管网（网址：https://zbtb.gd.gov.cn/）和中国招标投标公共服务平台（网址：http://www.cebpubservice.com/）发布，本公告的修改、补充，在广州交易集团有限公司（广州公共资源交易中心）官网</w:t>
      </w:r>
      <w:r>
        <w:rPr>
          <w:rFonts w:hint="eastAsia" w:ascii="宋体" w:hAnsi="宋体" w:cs="宋体"/>
          <w:sz w:val="24"/>
          <w:szCs w:val="24"/>
        </w:rPr>
        <w:t>发布。</w:t>
      </w:r>
    </w:p>
    <w:p w14:paraId="4C3C5837">
      <w:pPr>
        <w:adjustRightInd w:val="0"/>
        <w:snapToGrid w:val="0"/>
        <w:spacing w:line="360" w:lineRule="auto"/>
        <w:ind w:firstLine="600" w:firstLineChars="250"/>
        <w:rPr>
          <w:rFonts w:ascii="宋体" w:hAnsi="宋体" w:cs="宋体"/>
          <w:kern w:val="0"/>
          <w:sz w:val="24"/>
          <w:u w:val="single"/>
        </w:rPr>
      </w:pPr>
      <w:r>
        <w:rPr>
          <w:rFonts w:hint="eastAsia" w:ascii="宋体" w:hAnsi="宋体" w:cs="宋体"/>
          <w:kern w:val="0"/>
          <w:sz w:val="24"/>
          <w:u w:val="single"/>
        </w:rPr>
        <w:t>在规定的投标登记期间，如投标登记并获取招标文件的投标人不足3家时，招标人依法重新组织招标。</w:t>
      </w:r>
    </w:p>
    <w:p w14:paraId="42111092">
      <w:pPr>
        <w:pStyle w:val="4"/>
        <w:keepNext w:val="0"/>
        <w:keepLines w:val="0"/>
        <w:spacing w:before="0" w:after="0" w:line="360" w:lineRule="auto"/>
        <w:rPr>
          <w:rFonts w:ascii="宋体" w:hAnsi="宋体" w:eastAsia="宋体" w:cs="宋体"/>
          <w:kern w:val="0"/>
        </w:rPr>
      </w:pPr>
      <w:r>
        <w:rPr>
          <w:rFonts w:hint="eastAsia" w:ascii="宋体" w:hAnsi="宋体" w:eastAsia="宋体" w:cs="宋体"/>
          <w:kern w:val="0"/>
        </w:rPr>
        <w:t>7. 特别提示</w:t>
      </w:r>
    </w:p>
    <w:p w14:paraId="23B57BAB">
      <w:pPr>
        <w:adjustRightInd w:val="0"/>
        <w:snapToGrid w:val="0"/>
        <w:spacing w:line="360" w:lineRule="auto"/>
        <w:ind w:firstLine="480" w:firstLineChars="200"/>
        <w:rPr>
          <w:rFonts w:ascii="宋体" w:hAnsi="宋体" w:cs="宋体"/>
          <w:kern w:val="0"/>
          <w:sz w:val="24"/>
          <w:u w:val="single"/>
        </w:rPr>
      </w:pPr>
      <w:r>
        <w:rPr>
          <w:rFonts w:hint="eastAsia" w:ascii="宋体" w:hAnsi="宋体" w:cs="宋体"/>
          <w:kern w:val="0"/>
          <w:sz w:val="24"/>
          <w:u w:val="single"/>
        </w:rPr>
        <w:t>投标人在本项目招标人的工程项目中存在下列行为的，将被拒绝一年内参与招标人后续工程投标。（注：拒绝投标时限由招标人视严重程度确定，最低三个月起，自招标人发出通知之日起计）：</w:t>
      </w:r>
    </w:p>
    <w:p w14:paraId="045625AB">
      <w:pPr>
        <w:adjustRightInd w:val="0"/>
        <w:snapToGrid w:val="0"/>
        <w:spacing w:line="360" w:lineRule="auto"/>
        <w:ind w:firstLine="600" w:firstLineChars="250"/>
        <w:rPr>
          <w:rFonts w:ascii="宋体" w:hAnsi="宋体" w:cs="宋体"/>
          <w:kern w:val="0"/>
          <w:sz w:val="24"/>
          <w:u w:val="single"/>
        </w:rPr>
      </w:pPr>
      <w:r>
        <w:rPr>
          <w:rFonts w:hint="eastAsia" w:ascii="宋体" w:hAnsi="宋体" w:cs="宋体"/>
          <w:kern w:val="0"/>
          <w:sz w:val="24"/>
          <w:u w:val="single"/>
        </w:rPr>
        <w:t>（一）将中标工程转包或者违法分包的；</w:t>
      </w:r>
    </w:p>
    <w:p w14:paraId="77EFBCBA">
      <w:pPr>
        <w:adjustRightInd w:val="0"/>
        <w:snapToGrid w:val="0"/>
        <w:spacing w:line="360" w:lineRule="auto"/>
        <w:ind w:firstLine="600" w:firstLineChars="250"/>
        <w:rPr>
          <w:rFonts w:ascii="宋体" w:hAnsi="宋体" w:cs="宋体"/>
          <w:kern w:val="0"/>
          <w:sz w:val="24"/>
          <w:u w:val="single"/>
        </w:rPr>
      </w:pPr>
      <w:r>
        <w:rPr>
          <w:rFonts w:hint="eastAsia" w:ascii="宋体" w:hAnsi="宋体" w:cs="宋体"/>
          <w:kern w:val="0"/>
          <w:sz w:val="24"/>
          <w:u w:val="single"/>
        </w:rPr>
        <w:t>（二）存在围标或串通投标情形的；</w:t>
      </w:r>
    </w:p>
    <w:p w14:paraId="432820D5">
      <w:pPr>
        <w:adjustRightInd w:val="0"/>
        <w:snapToGrid w:val="0"/>
        <w:spacing w:line="360" w:lineRule="auto"/>
        <w:ind w:firstLine="600" w:firstLineChars="250"/>
        <w:rPr>
          <w:rFonts w:ascii="宋体" w:hAnsi="宋体" w:cs="宋体"/>
          <w:kern w:val="0"/>
          <w:sz w:val="24"/>
          <w:u w:val="single"/>
        </w:rPr>
      </w:pPr>
      <w:r>
        <w:rPr>
          <w:rFonts w:hint="eastAsia" w:ascii="宋体" w:hAnsi="宋体" w:cs="宋体"/>
          <w:kern w:val="0"/>
          <w:sz w:val="24"/>
          <w:u w:val="single"/>
        </w:rPr>
        <w:t>（三）存在弄虚作假骗取中标、行贿情形的；</w:t>
      </w:r>
    </w:p>
    <w:p w14:paraId="75806F8E">
      <w:pPr>
        <w:adjustRightInd w:val="0"/>
        <w:snapToGrid w:val="0"/>
        <w:spacing w:line="360" w:lineRule="auto"/>
        <w:ind w:firstLine="600" w:firstLineChars="250"/>
        <w:rPr>
          <w:rFonts w:ascii="宋体" w:hAnsi="宋体" w:cs="宋体"/>
          <w:kern w:val="0"/>
          <w:sz w:val="24"/>
          <w:u w:val="single"/>
        </w:rPr>
      </w:pPr>
      <w:r>
        <w:rPr>
          <w:rFonts w:hint="eastAsia" w:ascii="宋体" w:hAnsi="宋体" w:cs="宋体"/>
          <w:kern w:val="0"/>
          <w:sz w:val="24"/>
          <w:u w:val="single"/>
        </w:rPr>
        <w:t>（四）在中标工程中不执行质量、安全生产相关规定，造成质量或安全事故的；</w:t>
      </w:r>
    </w:p>
    <w:p w14:paraId="5B44952B">
      <w:pPr>
        <w:adjustRightInd w:val="0"/>
        <w:snapToGrid w:val="0"/>
        <w:spacing w:line="360" w:lineRule="auto"/>
        <w:ind w:firstLine="600" w:firstLineChars="250"/>
        <w:rPr>
          <w:rFonts w:ascii="宋体" w:hAnsi="宋体" w:cs="宋体"/>
          <w:kern w:val="0"/>
          <w:sz w:val="24"/>
          <w:u w:val="single"/>
        </w:rPr>
      </w:pPr>
      <w:r>
        <w:rPr>
          <w:rFonts w:hint="eastAsia" w:ascii="宋体" w:hAnsi="宋体" w:cs="宋体"/>
          <w:kern w:val="0"/>
          <w:sz w:val="24"/>
          <w:u w:val="single"/>
        </w:rPr>
        <w:t>（五）未按照国家、省、市有关建筑施工实名制管理和工人工资支付分帐管理的规定执行，被行政监管部门处罚的；</w:t>
      </w:r>
    </w:p>
    <w:p w14:paraId="711B72C0">
      <w:pPr>
        <w:adjustRightInd w:val="0"/>
        <w:snapToGrid w:val="0"/>
        <w:spacing w:line="360" w:lineRule="auto"/>
        <w:ind w:firstLine="600" w:firstLineChars="250"/>
        <w:rPr>
          <w:rFonts w:ascii="宋体" w:hAnsi="宋体" w:cs="宋体"/>
          <w:kern w:val="0"/>
          <w:sz w:val="24"/>
          <w:u w:val="single"/>
        </w:rPr>
      </w:pPr>
      <w:r>
        <w:rPr>
          <w:rFonts w:hint="eastAsia" w:ascii="宋体" w:hAnsi="宋体" w:cs="宋体"/>
          <w:kern w:val="0"/>
          <w:sz w:val="24"/>
          <w:u w:val="single"/>
        </w:rPr>
        <w:t>（六）由于承包人原因拖欠农民工工资的；</w:t>
      </w:r>
    </w:p>
    <w:p w14:paraId="450E31AD">
      <w:pPr>
        <w:adjustRightInd w:val="0"/>
        <w:snapToGrid w:val="0"/>
        <w:spacing w:line="360" w:lineRule="auto"/>
        <w:ind w:firstLine="600" w:firstLineChars="250"/>
        <w:rPr>
          <w:rFonts w:ascii="宋体" w:hAnsi="宋体" w:cs="宋体"/>
          <w:kern w:val="0"/>
          <w:sz w:val="24"/>
          <w:u w:val="single"/>
        </w:rPr>
      </w:pPr>
      <w:r>
        <w:rPr>
          <w:rFonts w:hint="eastAsia" w:ascii="宋体" w:hAnsi="宋体" w:cs="宋体"/>
          <w:kern w:val="0"/>
          <w:sz w:val="24"/>
          <w:u w:val="single"/>
        </w:rPr>
        <w:t>（七）承包人因合同履行过错行为被生效法律文书认定承担违约或侵权责任的；</w:t>
      </w:r>
    </w:p>
    <w:p w14:paraId="4C94927D">
      <w:pPr>
        <w:adjustRightInd w:val="0"/>
        <w:snapToGrid w:val="0"/>
        <w:spacing w:line="360" w:lineRule="auto"/>
        <w:ind w:firstLine="600" w:firstLineChars="250"/>
        <w:rPr>
          <w:rFonts w:ascii="宋体" w:hAnsi="宋体" w:cs="宋体"/>
          <w:kern w:val="0"/>
          <w:sz w:val="24"/>
          <w:u w:val="single"/>
        </w:rPr>
      </w:pPr>
      <w:r>
        <w:rPr>
          <w:rFonts w:hint="eastAsia" w:ascii="宋体" w:hAnsi="宋体" w:cs="宋体"/>
          <w:kern w:val="0"/>
          <w:sz w:val="24"/>
          <w:u w:val="single"/>
        </w:rPr>
        <w:t>（八）承包人如出现更换总监理工程师的情况，发包人有权视情况认为存在不诚信行为或不充分履约行为的。</w:t>
      </w:r>
    </w:p>
    <w:p w14:paraId="7AC49AAD">
      <w:pPr>
        <w:adjustRightInd w:val="0"/>
        <w:snapToGrid w:val="0"/>
        <w:spacing w:line="360" w:lineRule="auto"/>
        <w:ind w:firstLine="600" w:firstLineChars="250"/>
        <w:rPr>
          <w:rFonts w:ascii="宋体" w:hAnsi="宋体" w:cs="宋体"/>
          <w:kern w:val="0"/>
          <w:sz w:val="24"/>
          <w:u w:val="single"/>
        </w:rPr>
      </w:pPr>
    </w:p>
    <w:p w14:paraId="636ED3CF">
      <w:pPr>
        <w:pStyle w:val="4"/>
        <w:keepNext w:val="0"/>
        <w:keepLines w:val="0"/>
        <w:spacing w:before="0" w:after="0" w:line="360" w:lineRule="auto"/>
        <w:rPr>
          <w:rFonts w:ascii="宋体" w:hAnsi="宋体" w:eastAsia="宋体" w:cs="宋体"/>
        </w:rPr>
      </w:pPr>
      <w:r>
        <w:rPr>
          <w:rFonts w:hint="eastAsia" w:ascii="宋体" w:hAnsi="宋体" w:eastAsia="宋体" w:cs="宋体"/>
          <w:kern w:val="0"/>
        </w:rPr>
        <w:t>8</w:t>
      </w:r>
      <w:r>
        <w:rPr>
          <w:rFonts w:hint="eastAsia" w:ascii="宋体" w:hAnsi="宋体" w:eastAsia="宋体" w:cs="宋体"/>
        </w:rPr>
        <w:t>. 联系方式</w:t>
      </w:r>
    </w:p>
    <w:p w14:paraId="2DC09ADF">
      <w:pPr>
        <w:topLinePunct/>
        <w:spacing w:line="360" w:lineRule="auto"/>
        <w:ind w:left="120" w:right="360" w:hanging="120" w:hangingChars="50"/>
        <w:jc w:val="left"/>
        <w:rPr>
          <w:rFonts w:ascii="宋体" w:hAnsi="宋体" w:cs="宋体"/>
          <w:sz w:val="24"/>
          <w:szCs w:val="24"/>
        </w:rPr>
      </w:pPr>
      <w:r>
        <w:rPr>
          <w:rFonts w:hint="eastAsia" w:ascii="宋体" w:hAnsi="宋体" w:cs="宋体"/>
          <w:sz w:val="24"/>
          <w:szCs w:val="24"/>
        </w:rPr>
        <w:t>招标人名称：</w:t>
      </w:r>
      <w:r>
        <w:rPr>
          <w:rFonts w:hint="eastAsia" w:ascii="宋体" w:hAnsi="宋体" w:cs="宋体"/>
          <w:sz w:val="24"/>
          <w:u w:val="single"/>
        </w:rPr>
        <w:t>中山大学附属第一医院</w:t>
      </w:r>
    </w:p>
    <w:p w14:paraId="51021B5A">
      <w:pPr>
        <w:topLinePunct/>
        <w:spacing w:line="360" w:lineRule="auto"/>
        <w:ind w:left="120" w:right="360" w:hanging="120" w:hangingChars="50"/>
        <w:jc w:val="left"/>
        <w:rPr>
          <w:rFonts w:ascii="宋体" w:hAnsi="宋体" w:cs="宋体"/>
          <w:sz w:val="24"/>
          <w:szCs w:val="24"/>
        </w:rPr>
      </w:pPr>
      <w:r>
        <w:rPr>
          <w:rFonts w:hint="eastAsia" w:ascii="宋体" w:hAnsi="宋体" w:cs="宋体"/>
          <w:sz w:val="24"/>
          <w:szCs w:val="24"/>
        </w:rPr>
        <w:t>邮政编码、地址：</w:t>
      </w:r>
      <w:r>
        <w:rPr>
          <w:rFonts w:hint="eastAsia" w:ascii="宋体" w:hAnsi="宋体" w:cs="宋体"/>
          <w:sz w:val="24"/>
          <w:szCs w:val="24"/>
          <w:u w:val="single"/>
        </w:rPr>
        <w:t>510000、</w:t>
      </w:r>
      <w:r>
        <w:rPr>
          <w:rFonts w:hint="eastAsia" w:ascii="宋体" w:hAnsi="宋体" w:cs="宋体"/>
          <w:sz w:val="24"/>
          <w:u w:val="single"/>
        </w:rPr>
        <w:t>广州市越秀区中山二路58号</w:t>
      </w:r>
    </w:p>
    <w:p w14:paraId="58E02A54">
      <w:pPr>
        <w:topLinePunct/>
        <w:spacing w:line="360" w:lineRule="auto"/>
        <w:ind w:left="7198" w:right="480" w:hanging="7197" w:hangingChars="2999"/>
        <w:jc w:val="left"/>
        <w:rPr>
          <w:rFonts w:ascii="宋体" w:hAnsi="宋体" w:cs="宋体"/>
          <w:sz w:val="24"/>
          <w:szCs w:val="24"/>
          <w:u w:val="single"/>
        </w:rPr>
      </w:pPr>
      <w:r>
        <w:rPr>
          <w:rFonts w:hint="eastAsia" w:ascii="宋体" w:hAnsi="宋体" w:cs="宋体"/>
          <w:sz w:val="24"/>
          <w:szCs w:val="24"/>
        </w:rPr>
        <w:t>联 系 人：</w:t>
      </w:r>
      <w:r>
        <w:rPr>
          <w:rFonts w:hint="eastAsia" w:ascii="宋体" w:hAnsi="宋体" w:cs="宋体"/>
          <w:sz w:val="24"/>
          <w:u w:val="single"/>
        </w:rPr>
        <w:t>余老师</w:t>
      </w:r>
      <w:r>
        <w:rPr>
          <w:rFonts w:hint="eastAsia" w:ascii="宋体" w:hAnsi="宋体" w:cs="宋体"/>
          <w:sz w:val="24"/>
          <w:szCs w:val="24"/>
        </w:rPr>
        <w:t xml:space="preserve">      电    话：</w:t>
      </w:r>
      <w:r>
        <w:rPr>
          <w:rFonts w:hint="eastAsia" w:ascii="宋体" w:hAnsi="宋体" w:cs="宋体"/>
          <w:sz w:val="24"/>
          <w:u w:val="single"/>
        </w:rPr>
        <w:t>020-8760834</w:t>
      </w:r>
      <w:r>
        <w:rPr>
          <w:rFonts w:ascii="宋体" w:hAnsi="宋体" w:cs="宋体"/>
          <w:sz w:val="24"/>
          <w:u w:val="single"/>
        </w:rPr>
        <w:t>5</w:t>
      </w:r>
      <w:r>
        <w:rPr>
          <w:rFonts w:hint="eastAsia" w:ascii="宋体" w:hAnsi="宋体" w:cs="宋体"/>
          <w:sz w:val="24"/>
          <w:szCs w:val="24"/>
          <w:u w:val="single"/>
        </w:rPr>
        <w:t xml:space="preserve"> </w:t>
      </w:r>
    </w:p>
    <w:p w14:paraId="2AC4C22B">
      <w:pPr>
        <w:spacing w:line="360" w:lineRule="auto"/>
        <w:ind w:right="360"/>
        <w:jc w:val="left"/>
        <w:rPr>
          <w:rFonts w:ascii="宋体" w:hAnsi="宋体" w:cs="宋体"/>
          <w:sz w:val="24"/>
          <w:szCs w:val="24"/>
        </w:rPr>
      </w:pPr>
    </w:p>
    <w:p w14:paraId="5959A371">
      <w:pPr>
        <w:spacing w:line="360" w:lineRule="auto"/>
        <w:ind w:right="360"/>
        <w:jc w:val="left"/>
        <w:rPr>
          <w:rFonts w:ascii="宋体" w:hAnsi="宋体" w:cs="宋体"/>
          <w:sz w:val="24"/>
          <w:szCs w:val="24"/>
        </w:rPr>
      </w:pPr>
      <w:r>
        <w:rPr>
          <w:rFonts w:hint="eastAsia" w:ascii="宋体" w:hAnsi="宋体" w:cs="宋体"/>
          <w:sz w:val="24"/>
          <w:szCs w:val="24"/>
        </w:rPr>
        <w:t>招标代理机构：</w:t>
      </w:r>
      <w:r>
        <w:rPr>
          <w:rFonts w:hint="eastAsia" w:ascii="宋体" w:hAnsi="宋体" w:cs="宋体"/>
          <w:sz w:val="24"/>
          <w:szCs w:val="24"/>
          <w:u w:val="single"/>
        </w:rPr>
        <w:t>广州中经招标有限公司</w:t>
      </w:r>
    </w:p>
    <w:p w14:paraId="5EE00C40">
      <w:pPr>
        <w:topLinePunct/>
        <w:spacing w:line="360" w:lineRule="auto"/>
        <w:jc w:val="left"/>
        <w:rPr>
          <w:rFonts w:ascii="宋体" w:hAnsi="宋体" w:cs="宋体"/>
          <w:sz w:val="24"/>
          <w:szCs w:val="24"/>
          <w:u w:val="single"/>
        </w:rPr>
      </w:pPr>
      <w:r>
        <w:rPr>
          <w:rFonts w:hint="eastAsia" w:ascii="宋体" w:hAnsi="宋体" w:cs="宋体"/>
          <w:sz w:val="24"/>
          <w:szCs w:val="24"/>
        </w:rPr>
        <w:t>邮政编码、地址：</w:t>
      </w:r>
      <w:r>
        <w:rPr>
          <w:rFonts w:hint="eastAsia" w:ascii="宋体" w:hAnsi="宋体" w:cs="宋体"/>
          <w:sz w:val="24"/>
          <w:szCs w:val="24"/>
          <w:u w:val="single"/>
        </w:rPr>
        <w:t>510000、广州市越秀区寺右一马路18号泰恒大厦14楼1409室</w:t>
      </w:r>
    </w:p>
    <w:p w14:paraId="5442EA29">
      <w:pPr>
        <w:topLinePunct/>
        <w:spacing w:line="360" w:lineRule="auto"/>
        <w:ind w:left="7486" w:hanging="7485" w:hangingChars="3119"/>
        <w:jc w:val="left"/>
        <w:rPr>
          <w:rFonts w:ascii="宋体" w:hAnsi="宋体" w:cs="宋体"/>
          <w:sz w:val="24"/>
          <w:szCs w:val="24"/>
          <w:u w:val="single"/>
        </w:rPr>
      </w:pPr>
      <w:r>
        <w:rPr>
          <w:rFonts w:hint="eastAsia" w:ascii="宋体" w:hAnsi="宋体" w:cs="宋体"/>
          <w:sz w:val="24"/>
          <w:szCs w:val="24"/>
        </w:rPr>
        <w:t>联 系 人：</w:t>
      </w:r>
      <w:r>
        <w:rPr>
          <w:rFonts w:hint="eastAsia" w:ascii="宋体" w:hAnsi="宋体" w:cs="宋体"/>
          <w:sz w:val="24"/>
          <w:szCs w:val="24"/>
          <w:u w:val="single"/>
        </w:rPr>
        <w:t>何工</w:t>
      </w:r>
      <w:r>
        <w:rPr>
          <w:rFonts w:hint="eastAsia" w:ascii="宋体" w:hAnsi="宋体" w:cs="宋体"/>
          <w:sz w:val="24"/>
          <w:szCs w:val="24"/>
        </w:rPr>
        <w:t xml:space="preserve">   电    话：</w:t>
      </w:r>
      <w:r>
        <w:rPr>
          <w:rFonts w:hint="eastAsia" w:ascii="宋体" w:hAnsi="宋体" w:cs="宋体"/>
          <w:sz w:val="24"/>
          <w:u w:val="single"/>
        </w:rPr>
        <w:t>18002215950</w:t>
      </w:r>
    </w:p>
    <w:p w14:paraId="261E0ADA">
      <w:pPr>
        <w:spacing w:line="360" w:lineRule="auto"/>
        <w:rPr>
          <w:rFonts w:ascii="宋体" w:hAnsi="宋体" w:cs="宋体"/>
          <w:sz w:val="24"/>
        </w:rPr>
      </w:pPr>
    </w:p>
    <w:p w14:paraId="69930C82">
      <w:pPr>
        <w:spacing w:line="360" w:lineRule="auto"/>
        <w:ind w:right="360"/>
        <w:jc w:val="left"/>
        <w:rPr>
          <w:rFonts w:ascii="宋体" w:hAnsi="宋体" w:cs="宋体"/>
          <w:sz w:val="24"/>
          <w:szCs w:val="24"/>
        </w:rPr>
      </w:pPr>
    </w:p>
    <w:p w14:paraId="4953C3B9">
      <w:pPr>
        <w:topLinePunct/>
        <w:spacing w:line="360" w:lineRule="auto"/>
        <w:ind w:left="120" w:right="360" w:hanging="120" w:hangingChars="50"/>
        <w:jc w:val="left"/>
        <w:rPr>
          <w:rFonts w:ascii="宋体" w:hAnsi="宋体" w:cs="宋体"/>
          <w:sz w:val="24"/>
          <w:szCs w:val="24"/>
        </w:rPr>
      </w:pPr>
      <w:r>
        <w:rPr>
          <w:rFonts w:hint="eastAsia" w:ascii="宋体" w:hAnsi="宋体" w:cs="宋体"/>
          <w:sz w:val="24"/>
          <w:szCs w:val="24"/>
        </w:rPr>
        <w:t>异议受理部门：</w:t>
      </w:r>
      <w:r>
        <w:rPr>
          <w:rFonts w:hint="eastAsia" w:ascii="宋体" w:hAnsi="宋体" w:cs="宋体"/>
          <w:sz w:val="24"/>
          <w:u w:val="single"/>
        </w:rPr>
        <w:t>中山大学附属第一医院</w:t>
      </w:r>
    </w:p>
    <w:p w14:paraId="2D886AA6">
      <w:pPr>
        <w:topLinePunct/>
        <w:spacing w:line="360" w:lineRule="auto"/>
        <w:ind w:left="120" w:right="360" w:hanging="120" w:hangingChars="50"/>
        <w:jc w:val="left"/>
        <w:rPr>
          <w:rFonts w:ascii="宋体" w:hAnsi="宋体" w:cs="宋体"/>
          <w:sz w:val="24"/>
          <w:szCs w:val="24"/>
        </w:rPr>
      </w:pPr>
      <w:r>
        <w:rPr>
          <w:rFonts w:hint="eastAsia" w:ascii="宋体" w:hAnsi="宋体" w:cs="宋体"/>
          <w:sz w:val="24"/>
          <w:szCs w:val="24"/>
        </w:rPr>
        <w:t>邮政编码、地址：</w:t>
      </w:r>
      <w:r>
        <w:rPr>
          <w:rFonts w:hint="eastAsia" w:ascii="宋体" w:hAnsi="宋体" w:cs="宋体"/>
          <w:sz w:val="24"/>
          <w:szCs w:val="24"/>
          <w:u w:val="single"/>
        </w:rPr>
        <w:t>510000、</w:t>
      </w:r>
      <w:r>
        <w:rPr>
          <w:rFonts w:hint="eastAsia" w:ascii="宋体" w:hAnsi="宋体" w:cs="宋体"/>
          <w:sz w:val="24"/>
          <w:u w:val="single"/>
        </w:rPr>
        <w:t>广州市越秀区中山二路58号</w:t>
      </w:r>
    </w:p>
    <w:p w14:paraId="65701EFF">
      <w:pPr>
        <w:topLinePunct/>
        <w:spacing w:line="360" w:lineRule="auto"/>
        <w:ind w:left="7198" w:right="480" w:hanging="7197" w:hangingChars="2999"/>
        <w:jc w:val="left"/>
        <w:rPr>
          <w:rFonts w:ascii="宋体" w:hAnsi="宋体" w:cs="宋体"/>
          <w:sz w:val="24"/>
          <w:szCs w:val="24"/>
        </w:rPr>
      </w:pPr>
      <w:r>
        <w:rPr>
          <w:rFonts w:hint="eastAsia" w:ascii="宋体" w:hAnsi="宋体" w:cs="宋体"/>
          <w:sz w:val="24"/>
          <w:szCs w:val="24"/>
        </w:rPr>
        <w:t>联 系 人：</w:t>
      </w:r>
      <w:r>
        <w:rPr>
          <w:rFonts w:hint="eastAsia" w:ascii="宋体" w:hAnsi="宋体" w:cs="宋体"/>
          <w:sz w:val="24"/>
          <w:u w:val="single"/>
        </w:rPr>
        <w:t>余老师</w:t>
      </w:r>
      <w:r>
        <w:rPr>
          <w:rFonts w:hint="eastAsia" w:ascii="宋体" w:hAnsi="宋体" w:cs="宋体"/>
          <w:sz w:val="24"/>
          <w:szCs w:val="24"/>
        </w:rPr>
        <w:t xml:space="preserve">    电    话：</w:t>
      </w:r>
      <w:r>
        <w:rPr>
          <w:rFonts w:hint="eastAsia" w:ascii="宋体" w:hAnsi="宋体" w:cs="宋体"/>
          <w:sz w:val="24"/>
          <w:u w:val="single"/>
        </w:rPr>
        <w:t>020-8760834</w:t>
      </w:r>
      <w:r>
        <w:rPr>
          <w:rFonts w:ascii="宋体" w:hAnsi="宋体" w:cs="宋体"/>
          <w:sz w:val="24"/>
          <w:u w:val="single"/>
        </w:rPr>
        <w:t>5</w:t>
      </w:r>
      <w:r>
        <w:rPr>
          <w:rFonts w:hint="eastAsia" w:ascii="宋体" w:hAnsi="宋体" w:cs="宋体"/>
          <w:sz w:val="24"/>
          <w:szCs w:val="24"/>
          <w:u w:val="single"/>
        </w:rPr>
        <w:t xml:space="preserve"> </w:t>
      </w:r>
    </w:p>
    <w:p w14:paraId="1961FB6C">
      <w:pPr>
        <w:spacing w:line="360" w:lineRule="auto"/>
        <w:rPr>
          <w:rFonts w:ascii="宋体" w:hAnsi="宋体" w:cs="宋体"/>
          <w:sz w:val="24"/>
          <w:u w:val="single"/>
        </w:rPr>
      </w:pPr>
      <w:r>
        <w:rPr>
          <w:rFonts w:hint="eastAsia" w:ascii="宋体" w:hAnsi="宋体" w:cs="宋体"/>
          <w:sz w:val="24"/>
        </w:rPr>
        <w:t>电子邮箱：</w:t>
      </w:r>
      <w:r>
        <w:rPr>
          <w:rFonts w:hint="eastAsia" w:ascii="宋体" w:hAnsi="宋体" w:cs="宋体"/>
          <w:sz w:val="24"/>
          <w:u w:val="single"/>
        </w:rPr>
        <w:t xml:space="preserve">  /  </w:t>
      </w:r>
    </w:p>
    <w:p w14:paraId="5EF72F75">
      <w:pPr>
        <w:pStyle w:val="9"/>
        <w:rPr>
          <w:rFonts w:ascii="宋体" w:hAnsi="宋体" w:cs="宋体"/>
        </w:rPr>
      </w:pPr>
    </w:p>
    <w:p w14:paraId="4BE47172">
      <w:pPr>
        <w:topLinePunct/>
        <w:spacing w:line="360" w:lineRule="auto"/>
        <w:jc w:val="left"/>
        <w:rPr>
          <w:rFonts w:ascii="宋体" w:hAnsi="宋体" w:cs="宋体"/>
          <w:sz w:val="24"/>
          <w:szCs w:val="24"/>
        </w:rPr>
      </w:pPr>
      <w:r>
        <w:rPr>
          <w:rFonts w:hint="eastAsia" w:ascii="宋体" w:hAnsi="宋体" w:cs="宋体"/>
          <w:sz w:val="24"/>
          <w:szCs w:val="24"/>
        </w:rPr>
        <w:t>招标管理机构名称：</w:t>
      </w:r>
      <w:r>
        <w:rPr>
          <w:rFonts w:hint="eastAsia" w:ascii="宋体" w:hAnsi="宋体" w:cs="宋体"/>
          <w:sz w:val="24"/>
          <w:szCs w:val="24"/>
          <w:u w:val="single"/>
        </w:rPr>
        <w:t>广州市建设工程招标管理办公室</w:t>
      </w:r>
    </w:p>
    <w:p w14:paraId="15E1095E">
      <w:pPr>
        <w:topLinePunct/>
        <w:spacing w:line="360" w:lineRule="auto"/>
        <w:jc w:val="left"/>
        <w:rPr>
          <w:rFonts w:ascii="宋体" w:hAnsi="宋体" w:cs="宋体"/>
          <w:sz w:val="24"/>
          <w:szCs w:val="24"/>
        </w:rPr>
      </w:pPr>
      <w:r>
        <w:rPr>
          <w:rFonts w:hint="eastAsia" w:ascii="宋体" w:hAnsi="宋体" w:cs="宋体"/>
          <w:sz w:val="24"/>
          <w:szCs w:val="24"/>
        </w:rPr>
        <w:t>监管电话：</w:t>
      </w:r>
      <w:r>
        <w:rPr>
          <w:rFonts w:hint="eastAsia" w:ascii="宋体" w:hAnsi="宋体" w:cs="宋体"/>
          <w:sz w:val="24"/>
          <w:szCs w:val="24"/>
          <w:u w:val="single"/>
        </w:rPr>
        <w:t>020-28866214</w:t>
      </w:r>
    </w:p>
    <w:p w14:paraId="753124A6">
      <w:pPr>
        <w:topLinePunct/>
        <w:spacing w:line="360" w:lineRule="auto"/>
        <w:jc w:val="left"/>
        <w:rPr>
          <w:rFonts w:ascii="宋体" w:hAnsi="宋体" w:cs="宋体"/>
          <w:sz w:val="24"/>
          <w:szCs w:val="24"/>
          <w:u w:val="single"/>
        </w:rPr>
      </w:pPr>
      <w:r>
        <w:rPr>
          <w:rFonts w:hint="eastAsia" w:ascii="宋体" w:hAnsi="宋体" w:cs="宋体"/>
          <w:sz w:val="24"/>
          <w:szCs w:val="24"/>
        </w:rPr>
        <w:t>邮政编码、地址：</w:t>
      </w:r>
      <w:r>
        <w:rPr>
          <w:rFonts w:hint="eastAsia" w:ascii="宋体" w:hAnsi="宋体" w:cs="宋体"/>
          <w:sz w:val="24"/>
          <w:szCs w:val="24"/>
          <w:u w:val="single"/>
        </w:rPr>
        <w:t>510000、广州市天河区天润路333号3楼</w:t>
      </w:r>
    </w:p>
    <w:p w14:paraId="7957FBC6">
      <w:pPr>
        <w:pStyle w:val="9"/>
        <w:rPr>
          <w:rFonts w:ascii="宋体" w:hAnsi="宋体" w:cs="宋体"/>
          <w:sz w:val="24"/>
          <w:szCs w:val="24"/>
        </w:rPr>
      </w:pPr>
      <w:r>
        <w:rPr>
          <w:rFonts w:hint="eastAsia" w:ascii="宋体" w:hAnsi="宋体" w:cs="宋体"/>
          <w:sz w:val="24"/>
          <w:szCs w:val="24"/>
          <w:u w:val="single"/>
        </w:rPr>
        <w:br w:type="page"/>
      </w:r>
      <w:r>
        <w:rPr>
          <w:rFonts w:hint="eastAsia" w:ascii="宋体" w:hAnsi="宋体" w:cs="宋体"/>
          <w:sz w:val="24"/>
          <w:szCs w:val="24"/>
        </w:rPr>
        <w:t>附件一</w:t>
      </w:r>
    </w:p>
    <w:p w14:paraId="3F62C45B">
      <w:pPr>
        <w:widowControl/>
        <w:snapToGrid w:val="0"/>
        <w:spacing w:before="260" w:after="260"/>
        <w:ind w:right="384" w:firstLine="3345" w:firstLineChars="1190"/>
        <w:rPr>
          <w:rFonts w:ascii="宋体" w:hAnsi="宋体"/>
          <w:b/>
          <w:bCs/>
          <w:kern w:val="0"/>
          <w:sz w:val="28"/>
          <w:szCs w:val="28"/>
        </w:rPr>
      </w:pPr>
      <w:r>
        <w:rPr>
          <w:rFonts w:hint="eastAsia" w:ascii="宋体" w:hAnsi="宋体"/>
          <w:b/>
          <w:bCs/>
          <w:kern w:val="0"/>
          <w:sz w:val="28"/>
          <w:szCs w:val="28"/>
        </w:rPr>
        <w:t>投标人声明</w:t>
      </w:r>
    </w:p>
    <w:p w14:paraId="4B13A06A">
      <w:pPr>
        <w:pStyle w:val="31"/>
        <w:ind w:firstLine="0"/>
        <w:rPr>
          <w:rFonts w:ascii="宋体" w:hAnsi="宋体" w:eastAsia="宋体" w:cs="宋体"/>
          <w:color w:val="auto"/>
          <w:sz w:val="24"/>
          <w:szCs w:val="24"/>
        </w:rPr>
      </w:pPr>
      <w:r>
        <w:rPr>
          <w:rFonts w:hint="eastAsia" w:ascii="宋体" w:hAnsi="宋体" w:eastAsia="宋体" w:cs="宋体"/>
          <w:color w:val="auto"/>
          <w:sz w:val="24"/>
          <w:szCs w:val="24"/>
        </w:rPr>
        <w:t>广州市住房和城乡建设局、中山大学附属第一医院及广州市建设工程招标管理办公室：</w:t>
      </w:r>
    </w:p>
    <w:p w14:paraId="4AFDD5AE">
      <w:pPr>
        <w:pStyle w:val="31"/>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本公司就参加中山大学附属第一医院病房改造建设及能力提升项目监理服务项目</w:t>
      </w:r>
      <w:r>
        <w:rPr>
          <w:rFonts w:ascii="宋体" w:hAnsi="宋体" w:eastAsia="宋体" w:cs="宋体"/>
          <w:color w:val="auto"/>
          <w:sz w:val="24"/>
          <w:szCs w:val="24"/>
        </w:rPr>
        <w:t>投标工作，作出郑重声明：</w:t>
      </w:r>
    </w:p>
    <w:p w14:paraId="06FB3F85">
      <w:pPr>
        <w:widowControl/>
        <w:snapToGrid w:val="0"/>
        <w:spacing w:line="420" w:lineRule="exact"/>
        <w:ind w:firstLine="480" w:firstLineChars="200"/>
        <w:rPr>
          <w:rFonts w:ascii="宋体" w:hAnsi="宋体" w:cs="宋体"/>
          <w:sz w:val="24"/>
          <w:szCs w:val="24"/>
        </w:rPr>
      </w:pPr>
      <w:r>
        <w:rPr>
          <w:rFonts w:hint="eastAsia" w:ascii="宋体" w:hAnsi="宋体" w:cs="宋体"/>
          <w:sz w:val="24"/>
          <w:szCs w:val="24"/>
        </w:rPr>
        <w:t>一、本公司保证投标登记材料及其后提供的一切材料都是真实的。如我司成为本项目中标候选人，我司同意并授权招标人将我司投标文件商务部分的人员、业绩、奖项等资料进行公开。</w:t>
      </w:r>
    </w:p>
    <w:p w14:paraId="6FC0737B">
      <w:pPr>
        <w:widowControl/>
        <w:snapToGrid w:val="0"/>
        <w:spacing w:line="420" w:lineRule="exact"/>
        <w:ind w:firstLine="480" w:firstLineChars="200"/>
        <w:rPr>
          <w:rFonts w:ascii="宋体" w:hAnsi="宋体" w:cs="宋体"/>
          <w:sz w:val="24"/>
          <w:szCs w:val="24"/>
        </w:rPr>
      </w:pPr>
      <w:r>
        <w:rPr>
          <w:rFonts w:hint="eastAsia" w:ascii="宋体" w:hAnsi="宋体" w:cs="宋体"/>
          <w:sz w:val="24"/>
          <w:szCs w:val="24"/>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14:paraId="451B2F4B">
      <w:pPr>
        <w:widowControl/>
        <w:snapToGrid w:val="0"/>
        <w:spacing w:line="420" w:lineRule="exact"/>
        <w:ind w:firstLine="480" w:firstLineChars="200"/>
        <w:rPr>
          <w:rFonts w:ascii="宋体" w:hAnsi="宋体" w:cs="宋体"/>
          <w:sz w:val="24"/>
          <w:szCs w:val="24"/>
        </w:rPr>
      </w:pPr>
      <w:r>
        <w:rPr>
          <w:rFonts w:hint="eastAsia" w:ascii="宋体" w:hAnsi="宋体" w:cs="宋体"/>
          <w:sz w:val="24"/>
          <w:szCs w:val="24"/>
        </w:rPr>
        <w:t>三、本公司不存在招标文件第二章投标人须知第1.4.3项所规定的任何一种情形。</w:t>
      </w:r>
    </w:p>
    <w:p w14:paraId="3EF22298">
      <w:pPr>
        <w:widowControl/>
        <w:snapToGrid w:val="0"/>
        <w:spacing w:line="420" w:lineRule="exact"/>
        <w:ind w:firstLine="480" w:firstLineChars="200"/>
        <w:rPr>
          <w:rFonts w:ascii="宋体" w:hAnsi="宋体" w:cs="宋体"/>
          <w:sz w:val="24"/>
          <w:szCs w:val="24"/>
        </w:rPr>
      </w:pPr>
      <w:r>
        <w:rPr>
          <w:rFonts w:hint="eastAsia" w:ascii="宋体" w:hAnsi="宋体" w:cs="宋体"/>
          <w:sz w:val="24"/>
          <w:szCs w:val="24"/>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14:paraId="6A25EC98">
      <w:pPr>
        <w:widowControl/>
        <w:snapToGrid w:val="0"/>
        <w:spacing w:line="420" w:lineRule="exact"/>
        <w:ind w:firstLine="480" w:firstLineChars="200"/>
        <w:rPr>
          <w:rFonts w:ascii="宋体" w:hAnsi="宋体" w:cs="宋体"/>
          <w:sz w:val="24"/>
          <w:szCs w:val="24"/>
        </w:rPr>
      </w:pPr>
      <w:r>
        <w:rPr>
          <w:rFonts w:hint="eastAsia" w:ascii="宋体" w:hAnsi="宋体" w:cs="宋体"/>
          <w:sz w:val="24"/>
          <w:szCs w:val="24"/>
        </w:rPr>
        <w:t>五、本公司承诺，中标后严格执行安全生产相关管理规定。</w:t>
      </w:r>
    </w:p>
    <w:p w14:paraId="4BF27915">
      <w:pPr>
        <w:widowControl/>
        <w:snapToGrid w:val="0"/>
        <w:spacing w:line="420" w:lineRule="exact"/>
        <w:ind w:firstLine="480" w:firstLineChars="200"/>
        <w:rPr>
          <w:rFonts w:ascii="宋体" w:hAnsi="宋体" w:cs="宋体"/>
          <w:sz w:val="24"/>
          <w:szCs w:val="24"/>
        </w:rPr>
      </w:pPr>
      <w:r>
        <w:rPr>
          <w:rFonts w:hint="eastAsia" w:ascii="宋体" w:hAnsi="宋体" w:cs="宋体"/>
          <w:sz w:val="24"/>
          <w:szCs w:val="24"/>
        </w:rPr>
        <w:t>六、与本公司单位负责人为同一人或者与本公司存在控股、管理关系的其他单位包括：</w:t>
      </w:r>
      <w:r>
        <w:rPr>
          <w:rFonts w:hint="eastAsia" w:ascii="宋体" w:hAnsi="宋体" w:cs="宋体"/>
          <w:sz w:val="24"/>
          <w:szCs w:val="24"/>
          <w:u w:val="single"/>
        </w:rPr>
        <w:t xml:space="preserve">             </w:t>
      </w:r>
      <w:r>
        <w:rPr>
          <w:rFonts w:hint="eastAsia" w:ascii="宋体" w:hAnsi="宋体" w:cs="宋体"/>
          <w:sz w:val="24"/>
          <w:szCs w:val="24"/>
        </w:rPr>
        <w:t>。（注：本条由投标人如实填写，如有，应列出全部满足招标公告资质要求的相关单位的名称；如无，则填写“无”。）</w:t>
      </w:r>
    </w:p>
    <w:p w14:paraId="301BE9C1">
      <w:pPr>
        <w:widowControl/>
        <w:snapToGrid w:val="0"/>
        <w:spacing w:line="420" w:lineRule="exact"/>
        <w:ind w:firstLine="480" w:firstLineChars="200"/>
        <w:rPr>
          <w:rFonts w:ascii="宋体" w:hAnsi="宋体" w:cs="宋体"/>
          <w:sz w:val="24"/>
          <w:szCs w:val="24"/>
        </w:rPr>
      </w:pPr>
      <w:r>
        <w:rPr>
          <w:rFonts w:hint="eastAsia" w:ascii="宋体" w:hAnsi="宋体" w:cs="宋体"/>
          <w:sz w:val="24"/>
          <w:szCs w:val="24"/>
        </w:rPr>
        <w:t>本公司违反上述承诺，或本声明陈述与事实不符，经查实，本公司愿意接受公开通报，愿意按照《广州市建筑市场信用管理办法》（穗建规字﹝2019﹞16号）的规定被记录为失信信息，承担由此带来的法律后果，并自愿停止参加广州市行政辖区内的招标投标活动三个月。</w:t>
      </w:r>
    </w:p>
    <w:p w14:paraId="39E363C3">
      <w:pPr>
        <w:widowControl/>
        <w:shd w:val="clear" w:color="auto" w:fill="FFFFFF"/>
        <w:spacing w:line="420" w:lineRule="exact"/>
        <w:ind w:firstLine="480" w:firstLineChars="200"/>
        <w:rPr>
          <w:rFonts w:ascii="宋体" w:hAnsi="宋体" w:cs="宋体"/>
          <w:sz w:val="24"/>
          <w:szCs w:val="24"/>
        </w:rPr>
      </w:pPr>
      <w:r>
        <w:rPr>
          <w:rFonts w:hint="eastAsia" w:ascii="宋体" w:hAnsi="宋体" w:cs="宋体"/>
          <w:sz w:val="24"/>
          <w:szCs w:val="24"/>
        </w:rPr>
        <w:t>特此声明。</w:t>
      </w:r>
    </w:p>
    <w:p w14:paraId="6376F0BA">
      <w:pPr>
        <w:snapToGrid w:val="0"/>
        <w:spacing w:line="240" w:lineRule="exact"/>
        <w:ind w:firstLine="4320" w:firstLineChars="1800"/>
        <w:rPr>
          <w:rFonts w:ascii="宋体" w:hAnsi="宋体" w:cs="宋体"/>
          <w:sz w:val="24"/>
          <w:szCs w:val="24"/>
        </w:rPr>
      </w:pPr>
      <w:r>
        <w:rPr>
          <w:rFonts w:hint="eastAsia" w:ascii="宋体" w:hAnsi="宋体" w:cs="宋体"/>
          <w:sz w:val="24"/>
          <w:szCs w:val="24"/>
        </w:rPr>
        <w:t>声明企业：            (企业公章)</w:t>
      </w:r>
    </w:p>
    <w:p w14:paraId="64FDF4F2">
      <w:pPr>
        <w:snapToGrid w:val="0"/>
        <w:spacing w:line="240" w:lineRule="exact"/>
        <w:ind w:firstLine="4320" w:firstLineChars="1800"/>
        <w:rPr>
          <w:rFonts w:ascii="宋体" w:hAnsi="宋体" w:cs="宋体"/>
          <w:sz w:val="24"/>
          <w:szCs w:val="24"/>
        </w:rPr>
      </w:pPr>
      <w:r>
        <w:rPr>
          <w:rFonts w:hint="eastAsia" w:ascii="宋体" w:hAnsi="宋体" w:cs="宋体"/>
          <w:sz w:val="24"/>
          <w:szCs w:val="24"/>
        </w:rPr>
        <w:t>总监理工程师：         （签字）</w:t>
      </w:r>
    </w:p>
    <w:p w14:paraId="7DAADEE6">
      <w:pPr>
        <w:snapToGrid w:val="0"/>
        <w:spacing w:line="240" w:lineRule="exact"/>
        <w:ind w:firstLine="4320" w:firstLineChars="1800"/>
        <w:rPr>
          <w:rFonts w:ascii="宋体" w:hAnsi="宋体" w:cs="宋体"/>
          <w:sz w:val="24"/>
          <w:szCs w:val="24"/>
        </w:rPr>
      </w:pPr>
      <w:r>
        <w:rPr>
          <w:rFonts w:hint="eastAsia" w:ascii="宋体" w:hAnsi="宋体" w:cs="宋体"/>
          <w:sz w:val="24"/>
          <w:szCs w:val="24"/>
        </w:rPr>
        <w:t>法定代表人（签字或盖章）：</w:t>
      </w:r>
    </w:p>
    <w:p w14:paraId="1F36087B">
      <w:pPr>
        <w:snapToGrid w:val="0"/>
        <w:spacing w:line="240" w:lineRule="exact"/>
        <w:ind w:firstLine="5092" w:firstLineChars="2122"/>
        <w:rPr>
          <w:rFonts w:ascii="宋体" w:hAnsi="宋体" w:cs="宋体"/>
          <w:sz w:val="24"/>
          <w:szCs w:val="24"/>
        </w:rPr>
      </w:pPr>
      <w:r>
        <w:rPr>
          <w:rFonts w:hint="eastAsia" w:ascii="宋体" w:hAnsi="宋体" w:cs="宋体"/>
          <w:sz w:val="24"/>
          <w:szCs w:val="24"/>
        </w:rPr>
        <w:t>年   月   日</w:t>
      </w:r>
    </w:p>
    <w:p w14:paraId="76F011F3">
      <w:pPr>
        <w:topLinePunct/>
        <w:spacing w:line="360" w:lineRule="auto"/>
        <w:jc w:val="left"/>
        <w:rPr>
          <w:rFonts w:ascii="宋体" w:hAnsi="宋体" w:cs="宋体"/>
          <w:sz w:val="24"/>
          <w:szCs w:val="24"/>
          <w:u w:val="single"/>
        </w:rPr>
      </w:pPr>
    </w:p>
    <w:p w14:paraId="72ED8B1D">
      <w:pPr>
        <w:pStyle w:val="3"/>
        <w:keepNext w:val="0"/>
        <w:keepLines w:val="0"/>
        <w:spacing w:before="0" w:after="0" w:line="360" w:lineRule="auto"/>
        <w:jc w:val="center"/>
        <w:rPr>
          <w:rFonts w:ascii="宋体" w:hAnsi="宋体" w:cs="宋体"/>
        </w:rPr>
      </w:pPr>
      <w:bookmarkStart w:id="65" w:name="_Toc152045525"/>
      <w:bookmarkEnd w:id="65"/>
      <w:bookmarkStart w:id="66" w:name="_Toc300834941"/>
      <w:bookmarkEnd w:id="66"/>
      <w:bookmarkStart w:id="67" w:name="_Toc247513946"/>
      <w:bookmarkEnd w:id="67"/>
      <w:bookmarkStart w:id="68" w:name="_Toc19794"/>
      <w:bookmarkEnd w:id="68"/>
      <w:bookmarkStart w:id="69" w:name="_Toc247527547"/>
      <w:bookmarkEnd w:id="69"/>
      <w:bookmarkStart w:id="70" w:name="_Toc384308205"/>
      <w:bookmarkEnd w:id="70"/>
      <w:bookmarkStart w:id="71" w:name="_Toc247527549"/>
      <w:bookmarkEnd w:id="71"/>
      <w:bookmarkStart w:id="72" w:name="_Toc144974493"/>
      <w:bookmarkEnd w:id="72"/>
      <w:bookmarkStart w:id="73" w:name="_Toc14865"/>
      <w:bookmarkEnd w:id="73"/>
      <w:bookmarkStart w:id="74" w:name="_Toc300834943"/>
      <w:bookmarkEnd w:id="74"/>
      <w:bookmarkStart w:id="75" w:name="_Toc352691469"/>
      <w:bookmarkEnd w:id="75"/>
      <w:bookmarkStart w:id="76" w:name="_Toc144974491"/>
      <w:bookmarkEnd w:id="76"/>
      <w:bookmarkStart w:id="77" w:name="_Toc352691467"/>
      <w:bookmarkEnd w:id="77"/>
      <w:bookmarkStart w:id="78" w:name="_Toc361508578"/>
      <w:bookmarkEnd w:id="78"/>
      <w:bookmarkStart w:id="79" w:name="_Toc152042299"/>
      <w:bookmarkEnd w:id="79"/>
      <w:bookmarkStart w:id="80" w:name="_Toc369531509"/>
      <w:bookmarkEnd w:id="80"/>
      <w:bookmarkStart w:id="81" w:name="_Toc369531511"/>
      <w:bookmarkEnd w:id="81"/>
      <w:bookmarkStart w:id="82" w:name="_Toc361508580"/>
      <w:bookmarkEnd w:id="82"/>
      <w:bookmarkStart w:id="83" w:name="_Toc384308203"/>
      <w:bookmarkEnd w:id="83"/>
      <w:bookmarkStart w:id="84" w:name="_Toc152045523"/>
      <w:bookmarkEnd w:id="84"/>
      <w:bookmarkStart w:id="85" w:name="_Toc247513948"/>
      <w:bookmarkEnd w:id="85"/>
      <w:bookmarkStart w:id="86" w:name="_Toc152042301"/>
      <w:bookmarkEnd w:id="86"/>
      <w:r>
        <w:rPr>
          <w:rFonts w:hint="eastAsia" w:ascii="宋体" w:hAnsi="宋体" w:cs="宋体"/>
        </w:rPr>
        <w:br w:type="page"/>
      </w:r>
      <w:bookmarkStart w:id="87" w:name="_Toc29474"/>
      <w:bookmarkStart w:id="88" w:name="_Toc29533"/>
      <w:bookmarkStart w:id="89" w:name="_Toc26805"/>
      <w:bookmarkStart w:id="90" w:name="_Toc560"/>
      <w:bookmarkStart w:id="91" w:name="_Toc12924"/>
      <w:bookmarkStart w:id="92" w:name="_Toc30878"/>
      <w:bookmarkStart w:id="93" w:name="_Toc30803"/>
      <w:bookmarkStart w:id="94" w:name="_Toc29742"/>
      <w:bookmarkStart w:id="95" w:name="_Toc24631"/>
      <w:bookmarkStart w:id="96" w:name="_Toc31922"/>
      <w:bookmarkStart w:id="97" w:name="_Toc22014"/>
      <w:bookmarkStart w:id="98" w:name="_Toc30572"/>
      <w:bookmarkStart w:id="99" w:name="_Toc8589"/>
      <w:bookmarkStart w:id="100" w:name="_Toc14966882"/>
      <w:bookmarkStart w:id="101" w:name="_Toc11580"/>
      <w:bookmarkStart w:id="102" w:name="_Toc18882"/>
      <w:r>
        <w:rPr>
          <w:rFonts w:hint="eastAsia" w:ascii="宋体" w:hAnsi="宋体" w:cs="宋体"/>
        </w:rPr>
        <w:t>第二章投标人须知</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1DFED0D9">
      <w:pPr>
        <w:pStyle w:val="4"/>
        <w:keepNext w:val="0"/>
        <w:keepLines w:val="0"/>
        <w:spacing w:before="0" w:after="0" w:line="360" w:lineRule="auto"/>
        <w:jc w:val="center"/>
        <w:rPr>
          <w:rFonts w:ascii="宋体" w:hAnsi="宋体" w:eastAsia="宋体" w:cs="宋体"/>
        </w:rPr>
      </w:pPr>
      <w:bookmarkStart w:id="103" w:name="_Toc12735"/>
      <w:bookmarkStart w:id="104" w:name="_Toc11007"/>
      <w:bookmarkStart w:id="105" w:name="_Toc20335"/>
      <w:bookmarkStart w:id="106" w:name="_Toc12894"/>
      <w:bookmarkStart w:id="107" w:name="_Toc29311"/>
      <w:bookmarkStart w:id="108" w:name="_Toc10928"/>
      <w:bookmarkStart w:id="109" w:name="_Toc6195"/>
      <w:bookmarkStart w:id="110" w:name="_Toc31898"/>
      <w:bookmarkStart w:id="111" w:name="_Toc14886"/>
      <w:bookmarkStart w:id="112" w:name="_Toc14265"/>
      <w:bookmarkStart w:id="113" w:name="_Toc14966883"/>
      <w:bookmarkStart w:id="114" w:name="_Toc15"/>
      <w:bookmarkStart w:id="115" w:name="_Toc22087"/>
      <w:bookmarkStart w:id="116" w:name="_Toc31038"/>
      <w:bookmarkStart w:id="117" w:name="_Toc11344"/>
      <w:bookmarkStart w:id="118" w:name="_Toc18463"/>
      <w:r>
        <w:rPr>
          <w:rFonts w:hint="eastAsia" w:ascii="宋体" w:hAnsi="宋体" w:eastAsia="宋体" w:cs="宋体"/>
        </w:rPr>
        <w:t>投标人须知前附表</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tbl>
      <w:tblPr>
        <w:tblStyle w:val="21"/>
        <w:tblW w:w="960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01"/>
        <w:gridCol w:w="2409"/>
        <w:gridCol w:w="6096"/>
      </w:tblGrid>
      <w:tr w14:paraId="55CE65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blHeader/>
        </w:trPr>
        <w:tc>
          <w:tcPr>
            <w:tcW w:w="1101" w:type="dxa"/>
            <w:tcBorders>
              <w:top w:val="single" w:color="auto" w:sz="4" w:space="0"/>
            </w:tcBorders>
            <w:vAlign w:val="center"/>
          </w:tcPr>
          <w:p w14:paraId="539ECB4E">
            <w:pPr>
              <w:snapToGrid w:val="0"/>
              <w:jc w:val="center"/>
              <w:rPr>
                <w:rFonts w:ascii="宋体" w:hAnsi="宋体" w:cs="宋体"/>
                <w:b/>
                <w:sz w:val="24"/>
                <w:szCs w:val="24"/>
              </w:rPr>
            </w:pPr>
            <w:r>
              <w:rPr>
                <w:rFonts w:hint="eastAsia" w:ascii="宋体" w:hAnsi="宋体" w:cs="宋体"/>
                <w:b/>
                <w:sz w:val="24"/>
                <w:szCs w:val="24"/>
              </w:rPr>
              <w:t>条款号</w:t>
            </w:r>
          </w:p>
        </w:tc>
        <w:tc>
          <w:tcPr>
            <w:tcW w:w="2409" w:type="dxa"/>
            <w:tcBorders>
              <w:top w:val="single" w:color="auto" w:sz="4" w:space="0"/>
            </w:tcBorders>
            <w:vAlign w:val="center"/>
          </w:tcPr>
          <w:p w14:paraId="0DEA4B34">
            <w:pPr>
              <w:snapToGrid w:val="0"/>
              <w:jc w:val="center"/>
              <w:rPr>
                <w:rFonts w:ascii="宋体" w:hAnsi="宋体" w:cs="宋体"/>
                <w:b/>
                <w:sz w:val="24"/>
                <w:szCs w:val="24"/>
              </w:rPr>
            </w:pPr>
            <w:r>
              <w:rPr>
                <w:rFonts w:hint="eastAsia" w:ascii="宋体" w:hAnsi="宋体" w:cs="宋体"/>
                <w:b/>
                <w:sz w:val="24"/>
                <w:szCs w:val="24"/>
              </w:rPr>
              <w:t>条款名称</w:t>
            </w:r>
          </w:p>
        </w:tc>
        <w:tc>
          <w:tcPr>
            <w:tcW w:w="6096" w:type="dxa"/>
            <w:tcBorders>
              <w:top w:val="single" w:color="auto" w:sz="4" w:space="0"/>
            </w:tcBorders>
            <w:vAlign w:val="center"/>
          </w:tcPr>
          <w:p w14:paraId="7053B186">
            <w:pPr>
              <w:snapToGrid w:val="0"/>
              <w:jc w:val="center"/>
              <w:rPr>
                <w:rFonts w:ascii="宋体" w:hAnsi="宋体" w:cs="宋体"/>
                <w:b/>
                <w:sz w:val="24"/>
                <w:szCs w:val="24"/>
              </w:rPr>
            </w:pPr>
            <w:r>
              <w:rPr>
                <w:rFonts w:hint="eastAsia" w:ascii="宋体" w:hAnsi="宋体" w:cs="宋体"/>
                <w:b/>
                <w:sz w:val="24"/>
                <w:szCs w:val="24"/>
              </w:rPr>
              <w:t>编列内容</w:t>
            </w:r>
          </w:p>
        </w:tc>
      </w:tr>
      <w:tr w14:paraId="68D458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31" w:hRule="atLeast"/>
        </w:trPr>
        <w:tc>
          <w:tcPr>
            <w:tcW w:w="1101" w:type="dxa"/>
            <w:vAlign w:val="center"/>
          </w:tcPr>
          <w:p w14:paraId="6A0F46F4">
            <w:pPr>
              <w:snapToGrid w:val="0"/>
              <w:jc w:val="center"/>
              <w:rPr>
                <w:rFonts w:ascii="宋体" w:hAnsi="宋体" w:cs="宋体"/>
                <w:sz w:val="24"/>
                <w:szCs w:val="24"/>
              </w:rPr>
            </w:pPr>
            <w:r>
              <w:rPr>
                <w:rFonts w:hint="eastAsia" w:ascii="宋体" w:hAnsi="宋体" w:cs="宋体"/>
                <w:sz w:val="24"/>
                <w:szCs w:val="24"/>
              </w:rPr>
              <w:t>1.1.2</w:t>
            </w:r>
          </w:p>
        </w:tc>
        <w:tc>
          <w:tcPr>
            <w:tcW w:w="2409" w:type="dxa"/>
            <w:vAlign w:val="center"/>
          </w:tcPr>
          <w:p w14:paraId="6721DE66">
            <w:pPr>
              <w:snapToGrid w:val="0"/>
              <w:jc w:val="center"/>
              <w:rPr>
                <w:rFonts w:ascii="宋体" w:hAnsi="宋体" w:cs="宋体"/>
                <w:sz w:val="24"/>
                <w:szCs w:val="24"/>
              </w:rPr>
            </w:pPr>
            <w:r>
              <w:rPr>
                <w:rFonts w:hint="eastAsia" w:ascii="宋体" w:hAnsi="宋体" w:cs="宋体"/>
                <w:sz w:val="24"/>
                <w:szCs w:val="24"/>
              </w:rPr>
              <w:t>招标人</w:t>
            </w:r>
          </w:p>
        </w:tc>
        <w:tc>
          <w:tcPr>
            <w:tcW w:w="6096" w:type="dxa"/>
            <w:vAlign w:val="center"/>
          </w:tcPr>
          <w:p w14:paraId="195DCE24">
            <w:pPr>
              <w:snapToGrid w:val="0"/>
              <w:spacing w:line="276" w:lineRule="auto"/>
              <w:ind w:left="720" w:hanging="720" w:hangingChars="300"/>
              <w:rPr>
                <w:rFonts w:ascii="宋体" w:hAnsi="宋体" w:cs="宋体"/>
                <w:sz w:val="24"/>
                <w:szCs w:val="24"/>
              </w:rPr>
            </w:pPr>
            <w:r>
              <w:rPr>
                <w:rFonts w:hint="eastAsia" w:ascii="宋体" w:hAnsi="宋体" w:cs="宋体"/>
                <w:sz w:val="24"/>
                <w:szCs w:val="24"/>
              </w:rPr>
              <w:t>名称：</w:t>
            </w:r>
            <w:r>
              <w:rPr>
                <w:rFonts w:hint="eastAsia" w:ascii="宋体" w:hAnsi="宋体" w:cs="宋体"/>
                <w:sz w:val="24"/>
                <w:szCs w:val="24"/>
                <w:u w:val="single"/>
              </w:rPr>
              <w:t>中山大学附属第一医院</w:t>
            </w:r>
          </w:p>
          <w:p w14:paraId="3EBA01D0">
            <w:pPr>
              <w:snapToGrid w:val="0"/>
              <w:spacing w:line="276" w:lineRule="auto"/>
              <w:ind w:left="720" w:hanging="720" w:hangingChars="300"/>
              <w:rPr>
                <w:rFonts w:ascii="宋体" w:hAnsi="宋体" w:cs="宋体"/>
                <w:sz w:val="24"/>
                <w:szCs w:val="24"/>
              </w:rPr>
            </w:pPr>
            <w:r>
              <w:rPr>
                <w:rFonts w:hint="eastAsia" w:ascii="宋体" w:hAnsi="宋体" w:cs="宋体"/>
                <w:sz w:val="24"/>
                <w:szCs w:val="24"/>
              </w:rPr>
              <w:t>地址：</w:t>
            </w:r>
            <w:r>
              <w:rPr>
                <w:rFonts w:hint="eastAsia" w:ascii="宋体" w:hAnsi="宋体" w:cs="宋体"/>
                <w:sz w:val="24"/>
                <w:u w:val="single"/>
              </w:rPr>
              <w:t>广州市越秀区中山二路58号</w:t>
            </w:r>
          </w:p>
          <w:p w14:paraId="00E44E06">
            <w:pPr>
              <w:snapToGrid w:val="0"/>
              <w:spacing w:line="276" w:lineRule="auto"/>
              <w:ind w:left="720" w:hanging="720" w:hangingChars="300"/>
              <w:rPr>
                <w:rFonts w:ascii="宋体" w:hAnsi="宋体" w:cs="宋体"/>
                <w:sz w:val="24"/>
                <w:szCs w:val="24"/>
              </w:rPr>
            </w:pPr>
            <w:r>
              <w:rPr>
                <w:rFonts w:hint="eastAsia" w:ascii="宋体" w:hAnsi="宋体" w:cs="宋体"/>
                <w:sz w:val="24"/>
                <w:szCs w:val="24"/>
              </w:rPr>
              <w:t>联系人：</w:t>
            </w:r>
            <w:r>
              <w:rPr>
                <w:rFonts w:hint="eastAsia" w:ascii="宋体" w:hAnsi="宋体" w:cs="宋体"/>
                <w:sz w:val="24"/>
                <w:u w:val="single"/>
              </w:rPr>
              <w:t>余老师</w:t>
            </w:r>
            <w:r>
              <w:rPr>
                <w:rFonts w:hint="eastAsia" w:ascii="宋体" w:hAnsi="宋体" w:cs="宋体"/>
                <w:sz w:val="24"/>
                <w:szCs w:val="24"/>
                <w:u w:val="single"/>
              </w:rPr>
              <w:t xml:space="preserve"> </w:t>
            </w:r>
          </w:p>
          <w:p w14:paraId="5191FE44">
            <w:pPr>
              <w:snapToGrid w:val="0"/>
              <w:spacing w:line="276" w:lineRule="auto"/>
              <w:rPr>
                <w:rFonts w:ascii="宋体" w:hAnsi="宋体" w:cs="宋体"/>
                <w:sz w:val="24"/>
                <w:szCs w:val="24"/>
                <w:u w:val="single"/>
              </w:rPr>
            </w:pPr>
            <w:r>
              <w:rPr>
                <w:rFonts w:hint="eastAsia" w:ascii="宋体" w:hAnsi="宋体" w:cs="宋体"/>
                <w:sz w:val="24"/>
                <w:szCs w:val="24"/>
              </w:rPr>
              <w:t>电话：</w:t>
            </w:r>
            <w:r>
              <w:rPr>
                <w:rFonts w:hint="eastAsia" w:ascii="宋体" w:hAnsi="宋体" w:cs="宋体"/>
                <w:sz w:val="24"/>
                <w:u w:val="single"/>
              </w:rPr>
              <w:t>020-8760834</w:t>
            </w:r>
            <w:r>
              <w:rPr>
                <w:rFonts w:ascii="宋体" w:hAnsi="宋体" w:cs="宋体"/>
                <w:sz w:val="24"/>
                <w:u w:val="single"/>
              </w:rPr>
              <w:t>5</w:t>
            </w:r>
            <w:r>
              <w:rPr>
                <w:rFonts w:hint="eastAsia" w:ascii="宋体" w:hAnsi="宋体" w:cs="宋体"/>
                <w:sz w:val="24"/>
                <w:szCs w:val="24"/>
                <w:u w:val="single"/>
              </w:rPr>
              <w:t xml:space="preserve">  </w:t>
            </w:r>
          </w:p>
        </w:tc>
      </w:tr>
      <w:tr w14:paraId="0126F3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31" w:hRule="atLeast"/>
        </w:trPr>
        <w:tc>
          <w:tcPr>
            <w:tcW w:w="1101" w:type="dxa"/>
            <w:vAlign w:val="center"/>
          </w:tcPr>
          <w:p w14:paraId="355373ED">
            <w:pPr>
              <w:snapToGrid w:val="0"/>
              <w:jc w:val="center"/>
              <w:rPr>
                <w:rFonts w:ascii="宋体" w:hAnsi="宋体" w:cs="宋体"/>
                <w:sz w:val="24"/>
                <w:szCs w:val="24"/>
              </w:rPr>
            </w:pPr>
            <w:r>
              <w:rPr>
                <w:rFonts w:hint="eastAsia" w:ascii="宋体" w:hAnsi="宋体" w:cs="宋体"/>
                <w:sz w:val="24"/>
                <w:szCs w:val="24"/>
              </w:rPr>
              <w:t>1.1.3</w:t>
            </w:r>
          </w:p>
        </w:tc>
        <w:tc>
          <w:tcPr>
            <w:tcW w:w="2409" w:type="dxa"/>
            <w:vAlign w:val="center"/>
          </w:tcPr>
          <w:p w14:paraId="5D930DA2">
            <w:pPr>
              <w:snapToGrid w:val="0"/>
              <w:jc w:val="center"/>
              <w:rPr>
                <w:rFonts w:ascii="宋体" w:hAnsi="宋体" w:cs="宋体"/>
                <w:sz w:val="24"/>
                <w:szCs w:val="24"/>
              </w:rPr>
            </w:pPr>
            <w:r>
              <w:rPr>
                <w:rFonts w:hint="eastAsia" w:ascii="宋体" w:hAnsi="宋体" w:cs="宋体"/>
                <w:sz w:val="24"/>
                <w:szCs w:val="24"/>
              </w:rPr>
              <w:t>招标代理机构</w:t>
            </w:r>
          </w:p>
        </w:tc>
        <w:tc>
          <w:tcPr>
            <w:tcW w:w="6096" w:type="dxa"/>
            <w:vAlign w:val="center"/>
          </w:tcPr>
          <w:p w14:paraId="6D7EE514">
            <w:pPr>
              <w:snapToGrid w:val="0"/>
              <w:spacing w:line="276" w:lineRule="auto"/>
              <w:rPr>
                <w:rFonts w:ascii="宋体" w:hAnsi="宋体" w:cs="宋体"/>
                <w:sz w:val="24"/>
                <w:szCs w:val="24"/>
                <w:u w:val="single"/>
              </w:rPr>
            </w:pPr>
            <w:r>
              <w:rPr>
                <w:rFonts w:hint="eastAsia" w:ascii="宋体" w:hAnsi="宋体" w:cs="宋体"/>
                <w:sz w:val="24"/>
                <w:szCs w:val="24"/>
              </w:rPr>
              <w:t>名称：</w:t>
            </w:r>
            <w:r>
              <w:rPr>
                <w:rFonts w:hint="eastAsia" w:ascii="宋体" w:hAnsi="宋体" w:cs="宋体"/>
                <w:sz w:val="24"/>
                <w:szCs w:val="24"/>
                <w:u w:val="single"/>
              </w:rPr>
              <w:t>广州中经招标有限公司</w:t>
            </w:r>
          </w:p>
          <w:p w14:paraId="38271951">
            <w:pPr>
              <w:spacing w:line="276" w:lineRule="auto"/>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广州市越秀区寺右一马路18号泰恒大厦14楼1409室</w:t>
            </w:r>
          </w:p>
          <w:p w14:paraId="4F030560">
            <w:pPr>
              <w:snapToGrid w:val="0"/>
              <w:spacing w:line="276" w:lineRule="auto"/>
              <w:rPr>
                <w:rFonts w:ascii="宋体" w:hAnsi="宋体" w:cs="宋体"/>
                <w:sz w:val="24"/>
                <w:szCs w:val="24"/>
                <w:u w:val="single"/>
              </w:rPr>
            </w:pPr>
            <w:r>
              <w:rPr>
                <w:rFonts w:hint="eastAsia" w:ascii="宋体" w:hAnsi="宋体" w:cs="宋体"/>
                <w:sz w:val="24"/>
                <w:szCs w:val="24"/>
              </w:rPr>
              <w:t>联系人：</w:t>
            </w:r>
            <w:r>
              <w:rPr>
                <w:rFonts w:hint="eastAsia" w:ascii="宋体" w:hAnsi="宋体" w:cs="宋体"/>
                <w:sz w:val="24"/>
                <w:szCs w:val="24"/>
                <w:u w:val="single"/>
              </w:rPr>
              <w:t>何工</w:t>
            </w:r>
          </w:p>
          <w:p w14:paraId="41F2229F">
            <w:pPr>
              <w:spacing w:line="276" w:lineRule="auto"/>
              <w:rPr>
                <w:rFonts w:ascii="宋体" w:hAnsi="宋体" w:cs="宋体"/>
                <w:sz w:val="24"/>
                <w:szCs w:val="24"/>
              </w:rPr>
            </w:pPr>
            <w:r>
              <w:rPr>
                <w:rFonts w:hint="eastAsia" w:ascii="宋体" w:hAnsi="宋体" w:cs="宋体"/>
                <w:sz w:val="24"/>
                <w:szCs w:val="24"/>
              </w:rPr>
              <w:t>电 话：</w:t>
            </w:r>
            <w:r>
              <w:rPr>
                <w:rFonts w:hint="eastAsia" w:ascii="宋体" w:hAnsi="宋体" w:cs="宋体"/>
                <w:sz w:val="24"/>
                <w:szCs w:val="24"/>
                <w:u w:val="single"/>
              </w:rPr>
              <w:t>18002215950</w:t>
            </w:r>
          </w:p>
        </w:tc>
      </w:tr>
      <w:tr w14:paraId="5F11C2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Align w:val="center"/>
          </w:tcPr>
          <w:p w14:paraId="4E47D40D">
            <w:pPr>
              <w:snapToGrid w:val="0"/>
              <w:jc w:val="center"/>
              <w:rPr>
                <w:rFonts w:ascii="宋体" w:hAnsi="宋体" w:cs="宋体"/>
                <w:sz w:val="24"/>
                <w:szCs w:val="24"/>
              </w:rPr>
            </w:pPr>
            <w:r>
              <w:rPr>
                <w:rFonts w:hint="eastAsia" w:ascii="宋体" w:hAnsi="宋体" w:cs="宋体"/>
                <w:sz w:val="24"/>
                <w:szCs w:val="24"/>
              </w:rPr>
              <w:t>1.1.4</w:t>
            </w:r>
          </w:p>
        </w:tc>
        <w:tc>
          <w:tcPr>
            <w:tcW w:w="2409" w:type="dxa"/>
            <w:vAlign w:val="center"/>
          </w:tcPr>
          <w:p w14:paraId="349EE0C0">
            <w:pPr>
              <w:snapToGrid w:val="0"/>
              <w:jc w:val="center"/>
              <w:rPr>
                <w:rFonts w:ascii="宋体" w:hAnsi="宋体" w:cs="宋体"/>
                <w:sz w:val="24"/>
                <w:szCs w:val="24"/>
              </w:rPr>
            </w:pPr>
            <w:r>
              <w:rPr>
                <w:rFonts w:hint="eastAsia" w:ascii="宋体" w:hAnsi="宋体" w:cs="宋体"/>
                <w:sz w:val="24"/>
                <w:szCs w:val="24"/>
              </w:rPr>
              <w:t>招标项目名称</w:t>
            </w:r>
          </w:p>
        </w:tc>
        <w:tc>
          <w:tcPr>
            <w:tcW w:w="6096" w:type="dxa"/>
            <w:vAlign w:val="center"/>
          </w:tcPr>
          <w:p w14:paraId="4E20E583">
            <w:pPr>
              <w:snapToGrid w:val="0"/>
              <w:rPr>
                <w:rFonts w:ascii="宋体" w:hAnsi="宋体" w:cs="宋体"/>
                <w:sz w:val="24"/>
                <w:szCs w:val="24"/>
              </w:rPr>
            </w:pPr>
            <w:r>
              <w:rPr>
                <w:rFonts w:hint="eastAsia" w:ascii="宋体" w:hAnsi="宋体" w:cs="宋体"/>
                <w:sz w:val="24"/>
                <w:szCs w:val="24"/>
              </w:rPr>
              <w:t>中山大学附属第一医院病房改造建设及能力提升项目监理服务</w:t>
            </w:r>
          </w:p>
        </w:tc>
      </w:tr>
      <w:tr w14:paraId="123A84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Align w:val="center"/>
          </w:tcPr>
          <w:p w14:paraId="4760C37B">
            <w:pPr>
              <w:snapToGrid w:val="0"/>
              <w:jc w:val="center"/>
              <w:rPr>
                <w:rFonts w:ascii="宋体" w:hAnsi="宋体" w:cs="宋体"/>
                <w:sz w:val="24"/>
                <w:szCs w:val="24"/>
              </w:rPr>
            </w:pPr>
            <w:r>
              <w:rPr>
                <w:rFonts w:hint="eastAsia" w:ascii="宋体" w:hAnsi="宋体" w:cs="宋体"/>
                <w:sz w:val="24"/>
                <w:szCs w:val="24"/>
              </w:rPr>
              <w:t>1.1.5</w:t>
            </w:r>
          </w:p>
        </w:tc>
        <w:tc>
          <w:tcPr>
            <w:tcW w:w="2409" w:type="dxa"/>
            <w:vAlign w:val="center"/>
          </w:tcPr>
          <w:p w14:paraId="66382AFC">
            <w:pPr>
              <w:snapToGrid w:val="0"/>
              <w:jc w:val="center"/>
              <w:rPr>
                <w:rFonts w:ascii="宋体" w:hAnsi="宋体" w:cs="宋体"/>
                <w:sz w:val="24"/>
                <w:szCs w:val="24"/>
              </w:rPr>
            </w:pPr>
            <w:r>
              <w:rPr>
                <w:rFonts w:hint="eastAsia" w:ascii="宋体" w:hAnsi="宋体" w:cs="宋体"/>
                <w:sz w:val="24"/>
                <w:szCs w:val="24"/>
              </w:rPr>
              <w:t>项目建设地点</w:t>
            </w:r>
          </w:p>
        </w:tc>
        <w:tc>
          <w:tcPr>
            <w:tcW w:w="6096" w:type="dxa"/>
            <w:vAlign w:val="center"/>
          </w:tcPr>
          <w:p w14:paraId="13D5F591">
            <w:pPr>
              <w:snapToGrid w:val="0"/>
              <w:jc w:val="left"/>
              <w:rPr>
                <w:rFonts w:ascii="宋体" w:hAnsi="宋体" w:cs="宋体"/>
                <w:sz w:val="24"/>
                <w:szCs w:val="24"/>
              </w:rPr>
            </w:pPr>
            <w:r>
              <w:rPr>
                <w:rFonts w:hint="eastAsia" w:ascii="宋体" w:hAnsi="宋体" w:cs="宋体"/>
                <w:sz w:val="24"/>
                <w:szCs w:val="24"/>
              </w:rPr>
              <w:t>详见招标公告</w:t>
            </w:r>
          </w:p>
        </w:tc>
      </w:tr>
      <w:tr w14:paraId="78EFD3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101" w:type="dxa"/>
            <w:vAlign w:val="center"/>
          </w:tcPr>
          <w:p w14:paraId="69F4783D">
            <w:pPr>
              <w:snapToGrid w:val="0"/>
              <w:jc w:val="center"/>
              <w:rPr>
                <w:rFonts w:ascii="宋体" w:hAnsi="宋体" w:cs="宋体"/>
                <w:sz w:val="24"/>
                <w:szCs w:val="24"/>
              </w:rPr>
            </w:pPr>
            <w:r>
              <w:rPr>
                <w:rFonts w:hint="eastAsia" w:ascii="宋体" w:hAnsi="宋体" w:cs="宋体"/>
                <w:sz w:val="24"/>
                <w:szCs w:val="24"/>
              </w:rPr>
              <w:t>1.1.6</w:t>
            </w:r>
          </w:p>
        </w:tc>
        <w:tc>
          <w:tcPr>
            <w:tcW w:w="2409" w:type="dxa"/>
            <w:vAlign w:val="center"/>
          </w:tcPr>
          <w:p w14:paraId="62B5AC8D">
            <w:pPr>
              <w:snapToGrid w:val="0"/>
              <w:jc w:val="center"/>
              <w:rPr>
                <w:rFonts w:ascii="宋体" w:hAnsi="宋体" w:cs="宋体"/>
                <w:sz w:val="24"/>
                <w:szCs w:val="24"/>
              </w:rPr>
            </w:pPr>
            <w:r>
              <w:rPr>
                <w:rFonts w:hint="eastAsia" w:ascii="宋体" w:hAnsi="宋体" w:cs="宋体"/>
                <w:sz w:val="24"/>
                <w:szCs w:val="24"/>
              </w:rPr>
              <w:t>项目建设规模</w:t>
            </w:r>
          </w:p>
        </w:tc>
        <w:tc>
          <w:tcPr>
            <w:tcW w:w="6096" w:type="dxa"/>
            <w:vAlign w:val="center"/>
          </w:tcPr>
          <w:p w14:paraId="6EA988BE">
            <w:pPr>
              <w:snapToGrid w:val="0"/>
              <w:ind w:right="106"/>
              <w:rPr>
                <w:rFonts w:ascii="宋体" w:hAnsi="宋体" w:cs="宋体"/>
                <w:sz w:val="24"/>
                <w:szCs w:val="24"/>
              </w:rPr>
            </w:pPr>
            <w:r>
              <w:rPr>
                <w:rFonts w:hint="eastAsia" w:ascii="宋体" w:hAnsi="宋体" w:cs="宋体"/>
                <w:sz w:val="24"/>
                <w:szCs w:val="24"/>
              </w:rPr>
              <w:t>详见招标公告</w:t>
            </w:r>
          </w:p>
        </w:tc>
      </w:tr>
      <w:tr w14:paraId="4E1BCC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6" w:hRule="atLeast"/>
        </w:trPr>
        <w:tc>
          <w:tcPr>
            <w:tcW w:w="1101" w:type="dxa"/>
            <w:vAlign w:val="center"/>
          </w:tcPr>
          <w:p w14:paraId="23A376C9">
            <w:pPr>
              <w:snapToGrid w:val="0"/>
              <w:jc w:val="center"/>
              <w:rPr>
                <w:rFonts w:ascii="宋体" w:hAnsi="宋体" w:cs="宋体"/>
                <w:sz w:val="24"/>
                <w:szCs w:val="24"/>
              </w:rPr>
            </w:pPr>
            <w:r>
              <w:rPr>
                <w:rFonts w:hint="eastAsia" w:ascii="宋体" w:hAnsi="宋体" w:cs="宋体"/>
                <w:sz w:val="24"/>
                <w:szCs w:val="24"/>
              </w:rPr>
              <w:t>1.1.7</w:t>
            </w:r>
          </w:p>
        </w:tc>
        <w:tc>
          <w:tcPr>
            <w:tcW w:w="2409" w:type="dxa"/>
            <w:vAlign w:val="center"/>
          </w:tcPr>
          <w:p w14:paraId="5110BE95">
            <w:pPr>
              <w:snapToGrid w:val="0"/>
              <w:jc w:val="center"/>
              <w:rPr>
                <w:rFonts w:ascii="宋体" w:hAnsi="宋体" w:cs="宋体"/>
                <w:sz w:val="24"/>
                <w:szCs w:val="24"/>
              </w:rPr>
            </w:pPr>
            <w:r>
              <w:rPr>
                <w:rFonts w:hint="eastAsia" w:ascii="宋体" w:hAnsi="宋体" w:cs="宋体"/>
                <w:sz w:val="24"/>
                <w:szCs w:val="24"/>
              </w:rPr>
              <w:t>工程项目施工预计开工日期和建设周期</w:t>
            </w:r>
          </w:p>
        </w:tc>
        <w:tc>
          <w:tcPr>
            <w:tcW w:w="6096" w:type="dxa"/>
            <w:vAlign w:val="center"/>
          </w:tcPr>
          <w:p w14:paraId="0A6C3180">
            <w:pPr>
              <w:rPr>
                <w:rFonts w:ascii="宋体" w:hAnsi="宋体" w:cs="宋体"/>
                <w:sz w:val="24"/>
              </w:rPr>
            </w:pPr>
            <w:r>
              <w:rPr>
                <w:rFonts w:hint="eastAsia" w:ascii="宋体" w:hAnsi="宋体" w:cs="宋体"/>
                <w:sz w:val="24"/>
              </w:rPr>
              <w:t>工程项目施工预计开工日期：开工时间以甲方通知为准；</w:t>
            </w:r>
          </w:p>
          <w:p w14:paraId="73B3A708">
            <w:pPr>
              <w:rPr>
                <w:rFonts w:ascii="宋体" w:hAnsi="宋体" w:cs="宋体"/>
              </w:rPr>
            </w:pPr>
            <w:r>
              <w:rPr>
                <w:rFonts w:hint="eastAsia" w:ascii="宋体" w:hAnsi="宋体" w:cs="宋体"/>
                <w:sz w:val="24"/>
              </w:rPr>
              <w:t>施工阶段：</w:t>
            </w:r>
            <w:r>
              <w:rPr>
                <w:rFonts w:hint="eastAsia" w:ascii="宋体" w:hAnsi="宋体" w:cs="宋体"/>
                <w:sz w:val="24"/>
                <w:u w:val="single"/>
              </w:rPr>
              <w:t xml:space="preserve"> 约760 </w:t>
            </w:r>
            <w:r>
              <w:rPr>
                <w:rFonts w:hint="eastAsia" w:ascii="宋体" w:hAnsi="宋体" w:cs="宋体"/>
                <w:sz w:val="24"/>
              </w:rPr>
              <w:t>日历天（从下达开工令起至项目竣工验收合格止）。</w:t>
            </w:r>
          </w:p>
        </w:tc>
      </w:tr>
      <w:tr w14:paraId="5CC8D6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1101" w:type="dxa"/>
            <w:vAlign w:val="center"/>
          </w:tcPr>
          <w:p w14:paraId="1B75A8C1">
            <w:pPr>
              <w:snapToGrid w:val="0"/>
              <w:jc w:val="center"/>
              <w:rPr>
                <w:rFonts w:ascii="宋体" w:hAnsi="宋体" w:cs="宋体"/>
                <w:sz w:val="24"/>
                <w:szCs w:val="24"/>
              </w:rPr>
            </w:pPr>
            <w:r>
              <w:rPr>
                <w:rFonts w:hint="eastAsia" w:ascii="宋体" w:hAnsi="宋体" w:cs="宋体"/>
                <w:sz w:val="24"/>
                <w:szCs w:val="24"/>
              </w:rPr>
              <w:t>1.1.8</w:t>
            </w:r>
          </w:p>
        </w:tc>
        <w:tc>
          <w:tcPr>
            <w:tcW w:w="2409" w:type="dxa"/>
            <w:vAlign w:val="center"/>
          </w:tcPr>
          <w:p w14:paraId="0BD7C0FE">
            <w:pPr>
              <w:snapToGrid w:val="0"/>
              <w:jc w:val="center"/>
              <w:rPr>
                <w:rFonts w:ascii="宋体" w:hAnsi="宋体" w:cs="宋体"/>
                <w:sz w:val="24"/>
                <w:szCs w:val="24"/>
              </w:rPr>
            </w:pPr>
            <w:r>
              <w:rPr>
                <w:rFonts w:hint="eastAsia" w:ascii="宋体" w:hAnsi="宋体" w:cs="宋体"/>
                <w:sz w:val="24"/>
                <w:szCs w:val="24"/>
              </w:rPr>
              <w:t>建筑安装工程费/工程概算</w:t>
            </w:r>
          </w:p>
        </w:tc>
        <w:tc>
          <w:tcPr>
            <w:tcW w:w="6096" w:type="dxa"/>
            <w:vAlign w:val="center"/>
          </w:tcPr>
          <w:p w14:paraId="6F1391AF">
            <w:pPr>
              <w:snapToGrid w:val="0"/>
              <w:jc w:val="left"/>
              <w:rPr>
                <w:rFonts w:ascii="宋体" w:hAnsi="宋体" w:cs="宋体"/>
                <w:sz w:val="24"/>
                <w:szCs w:val="24"/>
              </w:rPr>
            </w:pPr>
            <w:r>
              <w:rPr>
                <w:rFonts w:hint="eastAsia" w:ascii="宋体" w:hAnsi="宋体" w:cs="宋体"/>
                <w:sz w:val="24"/>
                <w:szCs w:val="24"/>
              </w:rPr>
              <w:t>详见招标公告</w:t>
            </w:r>
          </w:p>
        </w:tc>
      </w:tr>
      <w:tr w14:paraId="6DFA8A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6" w:hRule="atLeast"/>
        </w:trPr>
        <w:tc>
          <w:tcPr>
            <w:tcW w:w="1101" w:type="dxa"/>
            <w:vAlign w:val="center"/>
          </w:tcPr>
          <w:p w14:paraId="1FD4AE4A">
            <w:pPr>
              <w:snapToGrid w:val="0"/>
              <w:jc w:val="center"/>
              <w:rPr>
                <w:rFonts w:ascii="宋体" w:hAnsi="宋体" w:cs="宋体"/>
                <w:sz w:val="24"/>
                <w:szCs w:val="24"/>
              </w:rPr>
            </w:pPr>
            <w:r>
              <w:rPr>
                <w:rFonts w:hint="eastAsia" w:ascii="宋体" w:hAnsi="宋体" w:cs="宋体"/>
                <w:sz w:val="24"/>
                <w:szCs w:val="24"/>
              </w:rPr>
              <w:t>1.2.1</w:t>
            </w:r>
          </w:p>
        </w:tc>
        <w:tc>
          <w:tcPr>
            <w:tcW w:w="2409" w:type="dxa"/>
            <w:vAlign w:val="center"/>
          </w:tcPr>
          <w:p w14:paraId="3D2F1411">
            <w:pPr>
              <w:snapToGrid w:val="0"/>
              <w:jc w:val="center"/>
              <w:rPr>
                <w:rFonts w:ascii="宋体" w:hAnsi="宋体" w:cs="宋体"/>
                <w:sz w:val="24"/>
                <w:szCs w:val="24"/>
              </w:rPr>
            </w:pPr>
            <w:r>
              <w:rPr>
                <w:rFonts w:hint="eastAsia" w:ascii="宋体" w:hAnsi="宋体" w:cs="宋体"/>
                <w:sz w:val="24"/>
                <w:szCs w:val="24"/>
              </w:rPr>
              <w:t>资金来源及比例</w:t>
            </w:r>
          </w:p>
        </w:tc>
        <w:tc>
          <w:tcPr>
            <w:tcW w:w="6096" w:type="dxa"/>
            <w:vAlign w:val="center"/>
          </w:tcPr>
          <w:p w14:paraId="52219915">
            <w:pPr>
              <w:snapToGrid w:val="0"/>
              <w:jc w:val="left"/>
              <w:rPr>
                <w:rFonts w:ascii="宋体" w:hAnsi="宋体" w:cs="宋体"/>
                <w:sz w:val="24"/>
                <w:szCs w:val="24"/>
              </w:rPr>
            </w:pPr>
            <w:r>
              <w:rPr>
                <w:rFonts w:hint="eastAsia" w:ascii="宋体" w:hAnsi="宋体" w:cs="宋体"/>
                <w:sz w:val="24"/>
                <w:szCs w:val="24"/>
              </w:rPr>
              <w:t>详见招标公告</w:t>
            </w:r>
          </w:p>
        </w:tc>
      </w:tr>
      <w:tr w14:paraId="3618A3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6" w:hRule="atLeast"/>
        </w:trPr>
        <w:tc>
          <w:tcPr>
            <w:tcW w:w="1101" w:type="dxa"/>
            <w:vAlign w:val="center"/>
          </w:tcPr>
          <w:p w14:paraId="3F9A82BA">
            <w:pPr>
              <w:snapToGrid w:val="0"/>
              <w:jc w:val="center"/>
              <w:rPr>
                <w:rFonts w:ascii="宋体" w:hAnsi="宋体" w:cs="宋体"/>
                <w:sz w:val="24"/>
                <w:szCs w:val="24"/>
              </w:rPr>
            </w:pPr>
            <w:r>
              <w:rPr>
                <w:rFonts w:hint="eastAsia" w:ascii="宋体" w:hAnsi="宋体" w:cs="宋体"/>
                <w:sz w:val="24"/>
                <w:szCs w:val="24"/>
              </w:rPr>
              <w:t>1.2.2</w:t>
            </w:r>
          </w:p>
        </w:tc>
        <w:tc>
          <w:tcPr>
            <w:tcW w:w="2409" w:type="dxa"/>
            <w:vAlign w:val="center"/>
          </w:tcPr>
          <w:p w14:paraId="2595DFEE">
            <w:pPr>
              <w:snapToGrid w:val="0"/>
              <w:jc w:val="center"/>
              <w:rPr>
                <w:rFonts w:ascii="宋体" w:hAnsi="宋体" w:cs="宋体"/>
                <w:sz w:val="24"/>
                <w:szCs w:val="24"/>
              </w:rPr>
            </w:pPr>
            <w:r>
              <w:rPr>
                <w:rFonts w:hint="eastAsia" w:ascii="宋体" w:hAnsi="宋体" w:cs="宋体"/>
                <w:sz w:val="24"/>
                <w:szCs w:val="24"/>
              </w:rPr>
              <w:t>资金落实情况</w:t>
            </w:r>
          </w:p>
        </w:tc>
        <w:tc>
          <w:tcPr>
            <w:tcW w:w="6096" w:type="dxa"/>
            <w:vAlign w:val="center"/>
          </w:tcPr>
          <w:p w14:paraId="01BC7672">
            <w:pPr>
              <w:snapToGrid w:val="0"/>
              <w:jc w:val="left"/>
              <w:rPr>
                <w:rFonts w:ascii="宋体" w:hAnsi="宋体" w:cs="宋体"/>
                <w:sz w:val="24"/>
                <w:szCs w:val="24"/>
              </w:rPr>
            </w:pPr>
            <w:r>
              <w:rPr>
                <w:rFonts w:hint="eastAsia" w:ascii="宋体" w:hAnsi="宋体" w:cs="宋体"/>
                <w:sz w:val="24"/>
                <w:szCs w:val="24"/>
                <w:u w:val="single"/>
              </w:rPr>
              <w:t>已落实</w:t>
            </w:r>
          </w:p>
        </w:tc>
      </w:tr>
      <w:tr w14:paraId="0C27F1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trPr>
        <w:tc>
          <w:tcPr>
            <w:tcW w:w="1101" w:type="dxa"/>
            <w:vAlign w:val="center"/>
          </w:tcPr>
          <w:p w14:paraId="6A4E8FEF">
            <w:pPr>
              <w:snapToGrid w:val="0"/>
              <w:jc w:val="center"/>
              <w:rPr>
                <w:rFonts w:ascii="宋体" w:hAnsi="宋体" w:cs="宋体"/>
                <w:sz w:val="24"/>
                <w:szCs w:val="24"/>
              </w:rPr>
            </w:pPr>
            <w:r>
              <w:rPr>
                <w:rFonts w:hint="eastAsia" w:ascii="宋体" w:hAnsi="宋体" w:cs="宋体"/>
                <w:sz w:val="24"/>
                <w:szCs w:val="24"/>
              </w:rPr>
              <w:t>1.3.1</w:t>
            </w:r>
          </w:p>
        </w:tc>
        <w:tc>
          <w:tcPr>
            <w:tcW w:w="2409" w:type="dxa"/>
            <w:vAlign w:val="center"/>
          </w:tcPr>
          <w:p w14:paraId="62F4A17C">
            <w:pPr>
              <w:snapToGrid w:val="0"/>
              <w:jc w:val="center"/>
              <w:rPr>
                <w:rFonts w:ascii="宋体" w:hAnsi="宋体" w:cs="宋体"/>
                <w:sz w:val="24"/>
                <w:szCs w:val="24"/>
              </w:rPr>
            </w:pPr>
            <w:r>
              <w:rPr>
                <w:rFonts w:hint="eastAsia" w:ascii="宋体" w:hAnsi="宋体" w:cs="宋体"/>
                <w:sz w:val="24"/>
                <w:szCs w:val="24"/>
              </w:rPr>
              <w:t>招标范围</w:t>
            </w:r>
          </w:p>
        </w:tc>
        <w:tc>
          <w:tcPr>
            <w:tcW w:w="6096" w:type="dxa"/>
            <w:vAlign w:val="center"/>
          </w:tcPr>
          <w:p w14:paraId="5DE3EDD5">
            <w:pPr>
              <w:snapToGrid w:val="0"/>
              <w:ind w:right="106"/>
              <w:rPr>
                <w:rFonts w:ascii="宋体" w:hAnsi="宋体" w:cs="宋体"/>
                <w:sz w:val="24"/>
                <w:szCs w:val="24"/>
              </w:rPr>
            </w:pPr>
            <w:r>
              <w:rPr>
                <w:rFonts w:hint="eastAsia" w:ascii="宋体" w:hAnsi="宋体" w:cs="宋体"/>
                <w:sz w:val="24"/>
                <w:szCs w:val="24"/>
              </w:rPr>
              <w:t>详见招标公告</w:t>
            </w:r>
          </w:p>
        </w:tc>
      </w:tr>
      <w:tr w14:paraId="7C4A95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1101" w:type="dxa"/>
            <w:vAlign w:val="center"/>
          </w:tcPr>
          <w:p w14:paraId="73731A42">
            <w:pPr>
              <w:snapToGrid w:val="0"/>
              <w:jc w:val="center"/>
              <w:rPr>
                <w:rFonts w:ascii="宋体" w:hAnsi="宋体" w:cs="宋体"/>
                <w:sz w:val="24"/>
                <w:szCs w:val="24"/>
              </w:rPr>
            </w:pPr>
            <w:r>
              <w:rPr>
                <w:rFonts w:hint="eastAsia" w:ascii="宋体" w:hAnsi="宋体" w:cs="宋体"/>
                <w:sz w:val="24"/>
                <w:szCs w:val="24"/>
              </w:rPr>
              <w:t>1.3.2</w:t>
            </w:r>
          </w:p>
        </w:tc>
        <w:tc>
          <w:tcPr>
            <w:tcW w:w="2409" w:type="dxa"/>
            <w:vAlign w:val="center"/>
          </w:tcPr>
          <w:p w14:paraId="21C3544F">
            <w:pPr>
              <w:snapToGrid w:val="0"/>
              <w:jc w:val="center"/>
              <w:rPr>
                <w:rFonts w:ascii="宋体" w:hAnsi="宋体" w:cs="宋体"/>
                <w:sz w:val="24"/>
                <w:szCs w:val="24"/>
              </w:rPr>
            </w:pPr>
            <w:r>
              <w:rPr>
                <w:rFonts w:hint="eastAsia" w:ascii="宋体" w:hAnsi="宋体" w:cs="宋体"/>
                <w:sz w:val="24"/>
                <w:szCs w:val="24"/>
              </w:rPr>
              <w:t>监理服务期限</w:t>
            </w:r>
          </w:p>
        </w:tc>
        <w:tc>
          <w:tcPr>
            <w:tcW w:w="6096" w:type="dxa"/>
            <w:vAlign w:val="center"/>
          </w:tcPr>
          <w:p w14:paraId="5D8617C4">
            <w:pPr>
              <w:snapToGrid w:val="0"/>
              <w:ind w:right="106"/>
              <w:rPr>
                <w:rFonts w:ascii="宋体" w:hAnsi="宋体" w:cs="宋体"/>
                <w:sz w:val="24"/>
                <w:szCs w:val="24"/>
              </w:rPr>
            </w:pPr>
            <w:r>
              <w:rPr>
                <w:rFonts w:hint="eastAsia" w:ascii="宋体" w:hAnsi="宋体" w:cs="宋体"/>
                <w:sz w:val="24"/>
                <w:szCs w:val="24"/>
              </w:rPr>
              <w:t>详见招标公告</w:t>
            </w:r>
          </w:p>
        </w:tc>
      </w:tr>
      <w:tr w14:paraId="15DDFE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101" w:type="dxa"/>
            <w:vAlign w:val="center"/>
          </w:tcPr>
          <w:p w14:paraId="5454D936">
            <w:pPr>
              <w:snapToGrid w:val="0"/>
              <w:jc w:val="center"/>
              <w:rPr>
                <w:rFonts w:ascii="宋体" w:hAnsi="宋体" w:cs="宋体"/>
                <w:sz w:val="24"/>
                <w:szCs w:val="24"/>
              </w:rPr>
            </w:pPr>
            <w:r>
              <w:rPr>
                <w:rFonts w:hint="eastAsia" w:ascii="宋体" w:hAnsi="宋体" w:cs="宋体"/>
                <w:sz w:val="24"/>
                <w:szCs w:val="24"/>
              </w:rPr>
              <w:t>1.3.3</w:t>
            </w:r>
          </w:p>
        </w:tc>
        <w:tc>
          <w:tcPr>
            <w:tcW w:w="2409" w:type="dxa"/>
            <w:vAlign w:val="center"/>
          </w:tcPr>
          <w:p w14:paraId="561DC482">
            <w:pPr>
              <w:snapToGrid w:val="0"/>
              <w:jc w:val="center"/>
              <w:rPr>
                <w:rFonts w:ascii="宋体" w:hAnsi="宋体" w:cs="宋体"/>
                <w:sz w:val="24"/>
                <w:szCs w:val="24"/>
              </w:rPr>
            </w:pPr>
            <w:r>
              <w:rPr>
                <w:rFonts w:hint="eastAsia" w:ascii="宋体" w:hAnsi="宋体" w:cs="宋体"/>
                <w:sz w:val="24"/>
                <w:szCs w:val="24"/>
              </w:rPr>
              <w:t>质量标准</w:t>
            </w:r>
          </w:p>
        </w:tc>
        <w:tc>
          <w:tcPr>
            <w:tcW w:w="6096" w:type="dxa"/>
            <w:vAlign w:val="center"/>
          </w:tcPr>
          <w:p w14:paraId="4F088B8A">
            <w:pPr>
              <w:snapToGrid w:val="0"/>
              <w:spacing w:line="276" w:lineRule="auto"/>
              <w:ind w:right="106"/>
              <w:jc w:val="left"/>
              <w:rPr>
                <w:rFonts w:ascii="宋体" w:hAnsi="宋体" w:cs="宋体"/>
                <w:szCs w:val="24"/>
              </w:rPr>
            </w:pPr>
            <w:r>
              <w:rPr>
                <w:rFonts w:hint="eastAsia" w:ascii="宋体" w:hAnsi="宋体" w:cs="宋体"/>
                <w:sz w:val="24"/>
                <w:szCs w:val="24"/>
              </w:rPr>
              <w:t>按照国家最新颁布《建筑工程施工质量验收统一标准》及相应配套的各专业验收规范，一次验收合格。</w:t>
            </w:r>
          </w:p>
        </w:tc>
      </w:tr>
      <w:tr w14:paraId="1A7934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8" w:hRule="atLeast"/>
        </w:trPr>
        <w:tc>
          <w:tcPr>
            <w:tcW w:w="1101" w:type="dxa"/>
            <w:vAlign w:val="center"/>
          </w:tcPr>
          <w:p w14:paraId="007C5E9E">
            <w:pPr>
              <w:snapToGrid w:val="0"/>
              <w:jc w:val="center"/>
              <w:rPr>
                <w:rFonts w:ascii="宋体" w:hAnsi="宋体" w:cs="宋体"/>
                <w:sz w:val="24"/>
                <w:szCs w:val="24"/>
              </w:rPr>
            </w:pPr>
            <w:r>
              <w:rPr>
                <w:rFonts w:hint="eastAsia" w:ascii="宋体" w:hAnsi="宋体" w:cs="宋体"/>
                <w:sz w:val="24"/>
                <w:szCs w:val="24"/>
              </w:rPr>
              <w:t>1.4.1</w:t>
            </w:r>
          </w:p>
        </w:tc>
        <w:tc>
          <w:tcPr>
            <w:tcW w:w="2409" w:type="dxa"/>
            <w:vAlign w:val="center"/>
          </w:tcPr>
          <w:p w14:paraId="3E4687A0">
            <w:pPr>
              <w:snapToGrid w:val="0"/>
              <w:jc w:val="center"/>
              <w:rPr>
                <w:rFonts w:ascii="宋体" w:hAnsi="宋体" w:cs="宋体"/>
                <w:sz w:val="24"/>
                <w:szCs w:val="24"/>
              </w:rPr>
            </w:pPr>
            <w:r>
              <w:rPr>
                <w:rFonts w:hint="eastAsia" w:ascii="宋体" w:hAnsi="宋体" w:cs="宋体"/>
                <w:sz w:val="24"/>
                <w:szCs w:val="24"/>
              </w:rPr>
              <w:t>投标人资质条件、能力、信誉</w:t>
            </w:r>
          </w:p>
        </w:tc>
        <w:tc>
          <w:tcPr>
            <w:tcW w:w="6096" w:type="dxa"/>
            <w:vAlign w:val="center"/>
          </w:tcPr>
          <w:p w14:paraId="32CDCFC2">
            <w:pPr>
              <w:snapToGrid w:val="0"/>
              <w:spacing w:line="276" w:lineRule="auto"/>
              <w:rPr>
                <w:rFonts w:ascii="宋体" w:hAnsi="宋体" w:cs="宋体"/>
                <w:sz w:val="24"/>
                <w:szCs w:val="24"/>
              </w:rPr>
            </w:pPr>
            <w:r>
              <w:rPr>
                <w:rFonts w:hint="eastAsia" w:ascii="宋体" w:hAnsi="宋体" w:cs="宋体"/>
                <w:sz w:val="24"/>
                <w:szCs w:val="24"/>
              </w:rPr>
              <w:t>（1）资质要求：</w:t>
            </w:r>
            <w:r>
              <w:rPr>
                <w:rFonts w:hint="eastAsia" w:ascii="宋体" w:hAnsi="宋体" w:cs="宋体"/>
                <w:sz w:val="24"/>
                <w:szCs w:val="24"/>
                <w:u w:val="single"/>
              </w:rPr>
              <w:t>见招标公告投标人资格要求。</w:t>
            </w:r>
          </w:p>
          <w:p w14:paraId="1CA8011F">
            <w:pPr>
              <w:snapToGrid w:val="0"/>
              <w:spacing w:line="276" w:lineRule="auto"/>
              <w:rPr>
                <w:rFonts w:ascii="宋体" w:hAnsi="宋体" w:cs="宋体"/>
                <w:sz w:val="24"/>
                <w:szCs w:val="24"/>
              </w:rPr>
            </w:pPr>
            <w:r>
              <w:rPr>
                <w:rFonts w:hint="eastAsia" w:ascii="宋体" w:hAnsi="宋体" w:cs="宋体"/>
                <w:sz w:val="24"/>
                <w:szCs w:val="24"/>
              </w:rPr>
              <w:t>（2）财务要求：</w:t>
            </w:r>
            <w:r>
              <w:rPr>
                <w:rFonts w:hint="eastAsia" w:ascii="宋体" w:hAnsi="宋体" w:cs="宋体"/>
                <w:sz w:val="24"/>
                <w:szCs w:val="24"/>
                <w:u w:val="single"/>
              </w:rPr>
              <w:t>/</w:t>
            </w:r>
          </w:p>
          <w:p w14:paraId="743FCC37">
            <w:pPr>
              <w:snapToGrid w:val="0"/>
              <w:spacing w:line="276" w:lineRule="auto"/>
              <w:rPr>
                <w:rFonts w:ascii="宋体" w:hAnsi="宋体" w:cs="宋体"/>
                <w:sz w:val="24"/>
                <w:szCs w:val="24"/>
              </w:rPr>
            </w:pPr>
            <w:r>
              <w:rPr>
                <w:rFonts w:hint="eastAsia" w:ascii="宋体" w:hAnsi="宋体" w:cs="宋体"/>
                <w:sz w:val="24"/>
                <w:szCs w:val="24"/>
              </w:rPr>
              <w:t>（3）业绩要求：</w:t>
            </w:r>
            <w:r>
              <w:rPr>
                <w:rFonts w:hint="eastAsia" w:ascii="宋体" w:hAnsi="宋体" w:cs="宋体"/>
                <w:sz w:val="24"/>
                <w:szCs w:val="24"/>
                <w:u w:val="single"/>
              </w:rPr>
              <w:t>/</w:t>
            </w:r>
          </w:p>
          <w:p w14:paraId="4E8A3E89">
            <w:pPr>
              <w:snapToGrid w:val="0"/>
              <w:spacing w:line="276" w:lineRule="auto"/>
              <w:rPr>
                <w:rFonts w:ascii="宋体" w:hAnsi="宋体" w:cs="宋体"/>
                <w:sz w:val="24"/>
                <w:szCs w:val="24"/>
              </w:rPr>
            </w:pPr>
            <w:r>
              <w:rPr>
                <w:rFonts w:hint="eastAsia" w:ascii="宋体" w:hAnsi="宋体" w:cs="宋体"/>
                <w:sz w:val="24"/>
                <w:szCs w:val="24"/>
              </w:rPr>
              <w:t>（4）信誉要求：</w:t>
            </w:r>
            <w:r>
              <w:rPr>
                <w:rFonts w:hint="eastAsia" w:ascii="宋体" w:hAnsi="宋体" w:cs="宋体"/>
                <w:sz w:val="24"/>
                <w:szCs w:val="24"/>
                <w:u w:val="single"/>
              </w:rPr>
              <w:t>/</w:t>
            </w:r>
          </w:p>
          <w:p w14:paraId="288DDE9E">
            <w:pPr>
              <w:snapToGrid w:val="0"/>
              <w:spacing w:line="276" w:lineRule="auto"/>
              <w:rPr>
                <w:rFonts w:ascii="宋体" w:hAnsi="宋体" w:cs="宋体"/>
                <w:sz w:val="24"/>
                <w:szCs w:val="24"/>
              </w:rPr>
            </w:pPr>
            <w:r>
              <w:rPr>
                <w:rFonts w:hint="eastAsia" w:ascii="宋体" w:hAnsi="宋体" w:cs="宋体"/>
                <w:sz w:val="24"/>
                <w:szCs w:val="24"/>
              </w:rPr>
              <w:t>（5）总监理工程师的资格要求：</w:t>
            </w:r>
            <w:r>
              <w:rPr>
                <w:rFonts w:hint="eastAsia" w:ascii="宋体" w:hAnsi="宋体" w:cs="宋体"/>
                <w:sz w:val="24"/>
                <w:szCs w:val="24"/>
                <w:u w:val="single"/>
              </w:rPr>
              <w:t>见招标公告投标人资格要求</w:t>
            </w:r>
            <w:r>
              <w:rPr>
                <w:rFonts w:hint="eastAsia" w:ascii="宋体" w:hAnsi="宋体" w:cs="宋体"/>
                <w:sz w:val="24"/>
                <w:szCs w:val="24"/>
              </w:rPr>
              <w:t>。</w:t>
            </w:r>
          </w:p>
          <w:p w14:paraId="65A22CDC">
            <w:pPr>
              <w:snapToGrid w:val="0"/>
              <w:spacing w:line="276" w:lineRule="auto"/>
              <w:rPr>
                <w:rFonts w:ascii="宋体" w:hAnsi="宋体" w:cs="宋体"/>
                <w:sz w:val="24"/>
                <w:szCs w:val="24"/>
              </w:rPr>
            </w:pPr>
            <w:r>
              <w:rPr>
                <w:rFonts w:hint="eastAsia" w:ascii="宋体" w:hAnsi="宋体" w:cs="宋体"/>
                <w:sz w:val="24"/>
                <w:szCs w:val="24"/>
              </w:rPr>
              <w:t>（6）其他主要人员要求：</w:t>
            </w:r>
            <w:r>
              <w:rPr>
                <w:rFonts w:hint="eastAsia" w:ascii="宋体" w:hAnsi="宋体" w:cs="宋体"/>
                <w:sz w:val="24"/>
                <w:szCs w:val="24"/>
                <w:u w:val="single"/>
              </w:rPr>
              <w:t>/</w:t>
            </w:r>
            <w:r>
              <w:rPr>
                <w:rFonts w:hint="eastAsia" w:ascii="宋体" w:hAnsi="宋体" w:cs="宋体"/>
                <w:sz w:val="24"/>
                <w:szCs w:val="24"/>
              </w:rPr>
              <w:t>。</w:t>
            </w:r>
          </w:p>
          <w:p w14:paraId="199FEF7B">
            <w:pPr>
              <w:snapToGrid w:val="0"/>
              <w:spacing w:line="276" w:lineRule="auto"/>
              <w:rPr>
                <w:rFonts w:ascii="宋体" w:hAnsi="宋体" w:cs="宋体"/>
                <w:sz w:val="24"/>
                <w:szCs w:val="24"/>
              </w:rPr>
            </w:pPr>
            <w:r>
              <w:rPr>
                <w:rFonts w:hint="eastAsia" w:ascii="宋体" w:hAnsi="宋体" w:cs="宋体"/>
                <w:sz w:val="24"/>
                <w:szCs w:val="24"/>
              </w:rPr>
              <w:t>（7）试验检测仪器设备要求：</w:t>
            </w:r>
            <w:r>
              <w:rPr>
                <w:rFonts w:hint="eastAsia" w:ascii="宋体" w:hAnsi="宋体" w:cs="宋体"/>
                <w:sz w:val="24"/>
                <w:szCs w:val="24"/>
                <w:u w:val="single"/>
              </w:rPr>
              <w:t>/。</w:t>
            </w:r>
          </w:p>
          <w:p w14:paraId="27B30951">
            <w:pPr>
              <w:snapToGrid w:val="0"/>
              <w:spacing w:line="276" w:lineRule="auto"/>
              <w:rPr>
                <w:rFonts w:ascii="宋体" w:hAnsi="宋体" w:cs="宋体"/>
                <w:sz w:val="24"/>
                <w:szCs w:val="24"/>
              </w:rPr>
            </w:pPr>
            <w:r>
              <w:rPr>
                <w:rFonts w:hint="eastAsia" w:ascii="宋体" w:hAnsi="宋体" w:cs="宋体"/>
                <w:sz w:val="24"/>
                <w:szCs w:val="24"/>
              </w:rPr>
              <w:t>（8）其他要求：</w:t>
            </w:r>
            <w:r>
              <w:rPr>
                <w:rFonts w:hint="eastAsia" w:ascii="宋体" w:hAnsi="宋体" w:cs="宋体"/>
                <w:sz w:val="24"/>
                <w:szCs w:val="24"/>
                <w:u w:val="single"/>
              </w:rPr>
              <w:t>见招标公告投标人资格要求。</w:t>
            </w:r>
          </w:p>
        </w:tc>
      </w:tr>
      <w:tr w14:paraId="529932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4" w:hRule="atLeast"/>
        </w:trPr>
        <w:tc>
          <w:tcPr>
            <w:tcW w:w="1101" w:type="dxa"/>
            <w:vAlign w:val="center"/>
          </w:tcPr>
          <w:p w14:paraId="36EA93A8">
            <w:pPr>
              <w:snapToGrid w:val="0"/>
              <w:jc w:val="center"/>
              <w:rPr>
                <w:rFonts w:ascii="宋体" w:hAnsi="宋体" w:cs="宋体"/>
                <w:sz w:val="24"/>
                <w:szCs w:val="24"/>
              </w:rPr>
            </w:pPr>
            <w:r>
              <w:rPr>
                <w:rFonts w:hint="eastAsia" w:ascii="宋体" w:hAnsi="宋体" w:cs="宋体"/>
                <w:sz w:val="24"/>
                <w:szCs w:val="24"/>
              </w:rPr>
              <w:t>1.4.2</w:t>
            </w:r>
          </w:p>
        </w:tc>
        <w:tc>
          <w:tcPr>
            <w:tcW w:w="2409" w:type="dxa"/>
            <w:vAlign w:val="center"/>
          </w:tcPr>
          <w:p w14:paraId="602F53F2">
            <w:pPr>
              <w:snapToGrid w:val="0"/>
              <w:jc w:val="center"/>
              <w:rPr>
                <w:rFonts w:ascii="宋体" w:hAnsi="宋体" w:cs="宋体"/>
                <w:sz w:val="24"/>
                <w:szCs w:val="24"/>
              </w:rPr>
            </w:pPr>
            <w:r>
              <w:rPr>
                <w:rFonts w:hint="eastAsia" w:ascii="宋体" w:hAnsi="宋体" w:cs="宋体"/>
                <w:sz w:val="24"/>
                <w:szCs w:val="24"/>
              </w:rPr>
              <w:t>是否接受联合体投标</w:t>
            </w:r>
          </w:p>
        </w:tc>
        <w:tc>
          <w:tcPr>
            <w:tcW w:w="6096" w:type="dxa"/>
            <w:vAlign w:val="center"/>
          </w:tcPr>
          <w:p w14:paraId="12B4426F">
            <w:pPr>
              <w:snapToGrid w:val="0"/>
              <w:spacing w:line="276" w:lineRule="auto"/>
              <w:ind w:right="-238"/>
              <w:rPr>
                <w:rFonts w:ascii="宋体" w:hAnsi="宋体" w:cs="宋体"/>
                <w:sz w:val="24"/>
                <w:szCs w:val="24"/>
              </w:rPr>
            </w:pPr>
            <w:r>
              <w:rPr>
                <w:rFonts w:hint="eastAsia" w:ascii="宋体" w:hAnsi="宋体" w:cs="宋体"/>
                <w:spacing w:val="-1"/>
                <w:sz w:val="18"/>
                <w:szCs w:val="24"/>
                <w:bdr w:val="single" w:color="auto" w:sz="4" w:space="0"/>
              </w:rPr>
              <w:t>√</w:t>
            </w:r>
            <w:r>
              <w:rPr>
                <w:rFonts w:hint="eastAsia" w:ascii="宋体" w:hAnsi="宋体" w:cs="宋体"/>
                <w:position w:val="3"/>
                <w:sz w:val="24"/>
                <w:szCs w:val="24"/>
              </w:rPr>
              <w:t>不接受</w:t>
            </w:r>
          </w:p>
          <w:p w14:paraId="286555CC">
            <w:pPr>
              <w:snapToGrid w:val="0"/>
              <w:spacing w:line="276" w:lineRule="auto"/>
              <w:rPr>
                <w:rFonts w:ascii="宋体" w:hAnsi="宋体" w:cs="宋体"/>
                <w:sz w:val="24"/>
                <w:szCs w:val="24"/>
              </w:rPr>
            </w:pPr>
            <w:r>
              <w:rPr>
                <w:rFonts w:hint="eastAsia" w:ascii="宋体" w:hAnsi="宋体" w:cs="宋体"/>
                <w:sz w:val="24"/>
                <w:szCs w:val="24"/>
              </w:rPr>
              <w:t>□接受，应满足下列要求：</w:t>
            </w:r>
            <w:r>
              <w:rPr>
                <w:rFonts w:hint="eastAsia" w:ascii="宋体" w:hAnsi="宋体" w:cs="宋体"/>
                <w:sz w:val="24"/>
                <w:szCs w:val="24"/>
                <w:u w:val="single"/>
              </w:rPr>
              <w:t xml:space="preserve">  /  </w:t>
            </w:r>
          </w:p>
        </w:tc>
      </w:tr>
      <w:tr w14:paraId="140C4A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1101" w:type="dxa"/>
            <w:vAlign w:val="center"/>
          </w:tcPr>
          <w:p w14:paraId="5A3EA515">
            <w:pPr>
              <w:snapToGrid w:val="0"/>
              <w:jc w:val="center"/>
              <w:rPr>
                <w:rFonts w:ascii="宋体" w:hAnsi="宋体" w:cs="宋体"/>
                <w:sz w:val="24"/>
                <w:szCs w:val="24"/>
              </w:rPr>
            </w:pPr>
            <w:r>
              <w:rPr>
                <w:rFonts w:hint="eastAsia" w:ascii="宋体" w:hAnsi="宋体" w:cs="宋体"/>
                <w:sz w:val="24"/>
                <w:szCs w:val="24"/>
              </w:rPr>
              <w:t>1.4.3</w:t>
            </w:r>
          </w:p>
        </w:tc>
        <w:tc>
          <w:tcPr>
            <w:tcW w:w="2409" w:type="dxa"/>
            <w:vAlign w:val="center"/>
          </w:tcPr>
          <w:p w14:paraId="305002D4">
            <w:pPr>
              <w:snapToGrid w:val="0"/>
              <w:jc w:val="center"/>
              <w:rPr>
                <w:rFonts w:ascii="宋体" w:hAnsi="宋体" w:cs="宋体"/>
                <w:sz w:val="24"/>
                <w:szCs w:val="24"/>
              </w:rPr>
            </w:pPr>
            <w:r>
              <w:rPr>
                <w:rFonts w:hint="eastAsia" w:ascii="宋体" w:hAnsi="宋体" w:cs="宋体"/>
                <w:sz w:val="24"/>
                <w:szCs w:val="24"/>
              </w:rPr>
              <w:t>投标人不得存在的其他情形</w:t>
            </w:r>
          </w:p>
        </w:tc>
        <w:tc>
          <w:tcPr>
            <w:tcW w:w="6096" w:type="dxa"/>
            <w:vAlign w:val="center"/>
          </w:tcPr>
          <w:p w14:paraId="08893D96">
            <w:pPr>
              <w:topLinePunct/>
              <w:snapToGrid w:val="0"/>
              <w:spacing w:line="276" w:lineRule="auto"/>
              <w:rPr>
                <w:rFonts w:ascii="宋体" w:hAnsi="宋体" w:cs="宋体"/>
                <w:sz w:val="24"/>
                <w:szCs w:val="24"/>
                <w:u w:val="single"/>
              </w:rPr>
            </w:pPr>
            <w:r>
              <w:rPr>
                <w:rFonts w:hint="eastAsia" w:ascii="宋体" w:hAnsi="宋体" w:cs="宋体"/>
                <w:sz w:val="24"/>
                <w:szCs w:val="24"/>
                <w:u w:val="single"/>
              </w:rPr>
              <w:t>/</w:t>
            </w:r>
          </w:p>
        </w:tc>
      </w:tr>
      <w:tr w14:paraId="35DBEC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trPr>
        <w:tc>
          <w:tcPr>
            <w:tcW w:w="1101" w:type="dxa"/>
            <w:vAlign w:val="center"/>
          </w:tcPr>
          <w:p w14:paraId="368B6F9F">
            <w:pPr>
              <w:snapToGrid w:val="0"/>
              <w:jc w:val="center"/>
              <w:rPr>
                <w:rFonts w:ascii="宋体" w:hAnsi="宋体" w:cs="宋体"/>
                <w:sz w:val="24"/>
                <w:szCs w:val="24"/>
              </w:rPr>
            </w:pPr>
            <w:r>
              <w:rPr>
                <w:rFonts w:hint="eastAsia" w:ascii="宋体" w:hAnsi="宋体" w:cs="宋体"/>
                <w:sz w:val="24"/>
                <w:szCs w:val="24"/>
              </w:rPr>
              <w:t>1.9.1</w:t>
            </w:r>
          </w:p>
        </w:tc>
        <w:tc>
          <w:tcPr>
            <w:tcW w:w="2409" w:type="dxa"/>
            <w:vAlign w:val="center"/>
          </w:tcPr>
          <w:p w14:paraId="1E460613">
            <w:pPr>
              <w:snapToGrid w:val="0"/>
              <w:jc w:val="center"/>
              <w:rPr>
                <w:rFonts w:ascii="宋体" w:hAnsi="宋体" w:cs="宋体"/>
                <w:sz w:val="24"/>
                <w:szCs w:val="24"/>
              </w:rPr>
            </w:pPr>
            <w:r>
              <w:rPr>
                <w:rFonts w:hint="eastAsia" w:ascii="宋体" w:hAnsi="宋体" w:cs="宋体"/>
                <w:sz w:val="24"/>
                <w:szCs w:val="24"/>
              </w:rPr>
              <w:t>踏勘现场</w:t>
            </w:r>
          </w:p>
        </w:tc>
        <w:tc>
          <w:tcPr>
            <w:tcW w:w="6096" w:type="dxa"/>
            <w:vAlign w:val="center"/>
          </w:tcPr>
          <w:p w14:paraId="7F63BC2C">
            <w:pPr>
              <w:pStyle w:val="8"/>
              <w:topLinePunct/>
              <w:snapToGrid w:val="0"/>
              <w:spacing w:line="276" w:lineRule="auto"/>
              <w:rPr>
                <w:rFonts w:ascii="宋体" w:hAnsi="宋体" w:cs="宋体"/>
                <w:kern w:val="2"/>
                <w:sz w:val="24"/>
                <w:szCs w:val="24"/>
              </w:rPr>
            </w:pPr>
            <w:r>
              <w:rPr>
                <w:rFonts w:hint="eastAsia" w:ascii="宋体" w:hAnsi="宋体" w:cs="宋体"/>
                <w:spacing w:val="-1"/>
                <w:sz w:val="18"/>
                <w:szCs w:val="24"/>
                <w:bdr w:val="single" w:color="auto" w:sz="4" w:space="0"/>
              </w:rPr>
              <w:t>√</w:t>
            </w:r>
            <w:r>
              <w:rPr>
                <w:rFonts w:hint="eastAsia" w:ascii="宋体" w:hAnsi="宋体" w:cs="宋体"/>
                <w:kern w:val="2"/>
                <w:sz w:val="24"/>
                <w:szCs w:val="24"/>
              </w:rPr>
              <w:t>不组织，</w:t>
            </w:r>
            <w:r>
              <w:rPr>
                <w:rFonts w:hint="eastAsia" w:ascii="宋体" w:hAnsi="宋体" w:cs="宋体"/>
                <w:kern w:val="2"/>
                <w:sz w:val="24"/>
                <w:szCs w:val="24"/>
                <w:u w:val="single"/>
              </w:rPr>
              <w:t>由投标人自行现场考察。</w:t>
            </w:r>
          </w:p>
          <w:p w14:paraId="3036E9CF">
            <w:pPr>
              <w:pStyle w:val="8"/>
              <w:topLinePunct/>
              <w:snapToGrid w:val="0"/>
              <w:spacing w:line="276" w:lineRule="auto"/>
              <w:rPr>
                <w:rFonts w:ascii="宋体" w:hAnsi="宋体" w:cs="宋体"/>
                <w:kern w:val="2"/>
                <w:sz w:val="24"/>
                <w:szCs w:val="24"/>
              </w:rPr>
            </w:pPr>
            <w:r>
              <w:rPr>
                <w:rFonts w:hint="eastAsia" w:ascii="宋体" w:hAnsi="宋体" w:cs="宋体"/>
                <w:kern w:val="2"/>
                <w:sz w:val="24"/>
                <w:szCs w:val="24"/>
              </w:rPr>
              <w:t>□组织，踏勘时间：</w:t>
            </w:r>
            <w:r>
              <w:rPr>
                <w:rFonts w:hint="eastAsia" w:ascii="宋体" w:hAnsi="宋体" w:cs="宋体"/>
                <w:kern w:val="2"/>
                <w:sz w:val="24"/>
                <w:szCs w:val="24"/>
                <w:u w:val="single"/>
              </w:rPr>
              <w:t>/</w:t>
            </w:r>
          </w:p>
          <w:p w14:paraId="45B46D8F">
            <w:pPr>
              <w:pStyle w:val="8"/>
              <w:topLinePunct/>
              <w:snapToGrid w:val="0"/>
              <w:spacing w:line="276" w:lineRule="auto"/>
              <w:ind w:firstLine="960" w:firstLineChars="400"/>
              <w:rPr>
                <w:rFonts w:ascii="宋体" w:hAnsi="宋体" w:cs="宋体"/>
                <w:kern w:val="2"/>
                <w:sz w:val="24"/>
                <w:szCs w:val="24"/>
              </w:rPr>
            </w:pPr>
            <w:r>
              <w:rPr>
                <w:rFonts w:hint="eastAsia" w:ascii="宋体" w:hAnsi="宋体" w:cs="宋体"/>
                <w:kern w:val="2"/>
                <w:sz w:val="24"/>
                <w:szCs w:val="24"/>
              </w:rPr>
              <w:t>踏勘集中地点：</w:t>
            </w:r>
            <w:r>
              <w:rPr>
                <w:rFonts w:hint="eastAsia" w:ascii="宋体" w:hAnsi="宋体" w:cs="宋体"/>
                <w:kern w:val="2"/>
                <w:sz w:val="24"/>
                <w:szCs w:val="24"/>
                <w:u w:val="single"/>
              </w:rPr>
              <w:t>/</w:t>
            </w:r>
          </w:p>
        </w:tc>
      </w:tr>
      <w:tr w14:paraId="6F1F73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5" w:hRule="atLeast"/>
        </w:trPr>
        <w:tc>
          <w:tcPr>
            <w:tcW w:w="1101" w:type="dxa"/>
            <w:vAlign w:val="center"/>
          </w:tcPr>
          <w:p w14:paraId="50FD8387">
            <w:pPr>
              <w:snapToGrid w:val="0"/>
              <w:jc w:val="center"/>
              <w:rPr>
                <w:rFonts w:ascii="宋体" w:hAnsi="宋体" w:cs="宋体"/>
                <w:sz w:val="24"/>
                <w:szCs w:val="24"/>
              </w:rPr>
            </w:pPr>
            <w:r>
              <w:rPr>
                <w:rFonts w:hint="eastAsia" w:ascii="宋体" w:hAnsi="宋体" w:cs="宋体"/>
                <w:sz w:val="24"/>
                <w:szCs w:val="24"/>
              </w:rPr>
              <w:t>1.10.1</w:t>
            </w:r>
          </w:p>
        </w:tc>
        <w:tc>
          <w:tcPr>
            <w:tcW w:w="2409" w:type="dxa"/>
            <w:vAlign w:val="center"/>
          </w:tcPr>
          <w:p w14:paraId="28ABA2F8">
            <w:pPr>
              <w:snapToGrid w:val="0"/>
              <w:jc w:val="center"/>
              <w:rPr>
                <w:rFonts w:ascii="宋体" w:hAnsi="宋体" w:cs="宋体"/>
                <w:sz w:val="24"/>
                <w:szCs w:val="24"/>
              </w:rPr>
            </w:pPr>
            <w:r>
              <w:rPr>
                <w:rFonts w:hint="eastAsia" w:ascii="宋体" w:hAnsi="宋体" w:cs="宋体"/>
                <w:sz w:val="24"/>
                <w:szCs w:val="24"/>
              </w:rPr>
              <w:t>投标预备会</w:t>
            </w:r>
          </w:p>
        </w:tc>
        <w:tc>
          <w:tcPr>
            <w:tcW w:w="6096" w:type="dxa"/>
            <w:vAlign w:val="center"/>
          </w:tcPr>
          <w:p w14:paraId="5B97BE29">
            <w:pPr>
              <w:pStyle w:val="8"/>
              <w:topLinePunct/>
              <w:snapToGrid w:val="0"/>
              <w:spacing w:line="276" w:lineRule="auto"/>
              <w:rPr>
                <w:rFonts w:ascii="宋体" w:hAnsi="宋体" w:cs="宋体"/>
                <w:kern w:val="2"/>
                <w:sz w:val="24"/>
                <w:szCs w:val="24"/>
              </w:rPr>
            </w:pPr>
            <w:r>
              <w:rPr>
                <w:rFonts w:hint="eastAsia" w:ascii="宋体" w:hAnsi="宋体" w:cs="宋体"/>
                <w:spacing w:val="-1"/>
                <w:sz w:val="18"/>
                <w:szCs w:val="24"/>
                <w:bdr w:val="single" w:color="auto" w:sz="4" w:space="0"/>
              </w:rPr>
              <w:t>√</w:t>
            </w:r>
            <w:r>
              <w:rPr>
                <w:rFonts w:hint="eastAsia" w:ascii="宋体" w:hAnsi="宋体" w:cs="宋体"/>
                <w:kern w:val="2"/>
                <w:sz w:val="24"/>
                <w:szCs w:val="24"/>
              </w:rPr>
              <w:t>不召开</w:t>
            </w:r>
          </w:p>
          <w:p w14:paraId="67672254">
            <w:pPr>
              <w:snapToGrid w:val="0"/>
              <w:spacing w:line="276" w:lineRule="auto"/>
              <w:rPr>
                <w:rFonts w:ascii="宋体" w:hAnsi="宋体" w:cs="宋体"/>
                <w:sz w:val="24"/>
                <w:szCs w:val="24"/>
              </w:rPr>
            </w:pPr>
            <w:r>
              <w:rPr>
                <w:rFonts w:hint="eastAsia" w:ascii="宋体" w:hAnsi="宋体" w:cs="宋体"/>
                <w:sz w:val="24"/>
                <w:szCs w:val="24"/>
              </w:rPr>
              <w:t>□召开，召开时间：</w:t>
            </w:r>
            <w:r>
              <w:rPr>
                <w:rFonts w:hint="eastAsia" w:ascii="宋体" w:hAnsi="宋体" w:cs="宋体"/>
                <w:sz w:val="24"/>
                <w:szCs w:val="24"/>
                <w:u w:val="single"/>
              </w:rPr>
              <w:t xml:space="preserve"> / </w:t>
            </w:r>
          </w:p>
          <w:p w14:paraId="7A9CDEE2">
            <w:pPr>
              <w:snapToGrid w:val="0"/>
              <w:spacing w:line="276" w:lineRule="auto"/>
              <w:ind w:firstLine="960" w:firstLineChars="400"/>
              <w:rPr>
                <w:rFonts w:ascii="宋体" w:hAnsi="宋体" w:cs="宋体"/>
                <w:sz w:val="24"/>
                <w:szCs w:val="24"/>
              </w:rPr>
            </w:pPr>
            <w:r>
              <w:rPr>
                <w:rFonts w:hint="eastAsia" w:ascii="宋体" w:hAnsi="宋体" w:cs="宋体"/>
                <w:sz w:val="24"/>
                <w:szCs w:val="24"/>
              </w:rPr>
              <w:t>召开地点：</w:t>
            </w:r>
            <w:r>
              <w:rPr>
                <w:rFonts w:hint="eastAsia" w:ascii="宋体" w:hAnsi="宋体" w:cs="宋体"/>
                <w:sz w:val="24"/>
                <w:szCs w:val="24"/>
                <w:u w:val="single"/>
              </w:rPr>
              <w:t xml:space="preserve"> / </w:t>
            </w:r>
          </w:p>
        </w:tc>
      </w:tr>
      <w:tr w14:paraId="15B225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trPr>
        <w:tc>
          <w:tcPr>
            <w:tcW w:w="1101" w:type="dxa"/>
            <w:vMerge w:val="restart"/>
            <w:vAlign w:val="center"/>
          </w:tcPr>
          <w:p w14:paraId="2496F35E">
            <w:pPr>
              <w:snapToGrid w:val="0"/>
              <w:jc w:val="center"/>
              <w:rPr>
                <w:rFonts w:ascii="宋体" w:hAnsi="宋体" w:cs="宋体"/>
                <w:sz w:val="24"/>
                <w:szCs w:val="24"/>
              </w:rPr>
            </w:pPr>
            <w:r>
              <w:rPr>
                <w:rFonts w:hint="eastAsia" w:ascii="宋体" w:hAnsi="宋体" w:cs="宋体"/>
                <w:sz w:val="24"/>
                <w:szCs w:val="24"/>
              </w:rPr>
              <w:t>1.10.2</w:t>
            </w:r>
          </w:p>
        </w:tc>
        <w:tc>
          <w:tcPr>
            <w:tcW w:w="2409" w:type="dxa"/>
            <w:vMerge w:val="restart"/>
            <w:vAlign w:val="center"/>
          </w:tcPr>
          <w:p w14:paraId="4E031F03">
            <w:pPr>
              <w:snapToGrid w:val="0"/>
              <w:jc w:val="center"/>
              <w:rPr>
                <w:rFonts w:ascii="宋体" w:hAnsi="宋体" w:cs="宋体"/>
                <w:sz w:val="24"/>
                <w:szCs w:val="24"/>
              </w:rPr>
            </w:pPr>
            <w:r>
              <w:rPr>
                <w:rFonts w:hint="eastAsia" w:ascii="宋体" w:hAnsi="宋体" w:cs="宋体"/>
                <w:sz w:val="24"/>
                <w:szCs w:val="24"/>
              </w:rPr>
              <w:t>投标人在投标预备会前提出问题</w:t>
            </w:r>
          </w:p>
        </w:tc>
        <w:tc>
          <w:tcPr>
            <w:tcW w:w="6096" w:type="dxa"/>
            <w:vAlign w:val="center"/>
          </w:tcPr>
          <w:p w14:paraId="68C982F7">
            <w:pPr>
              <w:snapToGrid w:val="0"/>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 xml:space="preserve"> / </w:t>
            </w:r>
          </w:p>
        </w:tc>
      </w:tr>
      <w:tr w14:paraId="3A54A5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1101" w:type="dxa"/>
            <w:vMerge w:val="continue"/>
            <w:vAlign w:val="center"/>
          </w:tcPr>
          <w:p w14:paraId="6E55B5A7">
            <w:pPr>
              <w:snapToGrid w:val="0"/>
              <w:jc w:val="center"/>
              <w:rPr>
                <w:rFonts w:ascii="宋体" w:hAnsi="宋体" w:cs="宋体"/>
                <w:sz w:val="24"/>
                <w:szCs w:val="24"/>
              </w:rPr>
            </w:pPr>
          </w:p>
        </w:tc>
        <w:tc>
          <w:tcPr>
            <w:tcW w:w="2409" w:type="dxa"/>
            <w:vMerge w:val="continue"/>
            <w:vAlign w:val="center"/>
          </w:tcPr>
          <w:p w14:paraId="6926C82B">
            <w:pPr>
              <w:snapToGrid w:val="0"/>
              <w:jc w:val="center"/>
              <w:rPr>
                <w:rFonts w:ascii="宋体" w:hAnsi="宋体" w:cs="宋体"/>
                <w:sz w:val="24"/>
                <w:szCs w:val="24"/>
              </w:rPr>
            </w:pPr>
          </w:p>
        </w:tc>
        <w:tc>
          <w:tcPr>
            <w:tcW w:w="6096" w:type="dxa"/>
            <w:vAlign w:val="center"/>
          </w:tcPr>
          <w:p w14:paraId="0FDA073F">
            <w:pPr>
              <w:snapToGrid w:val="0"/>
              <w:rPr>
                <w:rFonts w:ascii="宋体" w:hAnsi="宋体" w:cs="宋体"/>
                <w:sz w:val="24"/>
                <w:szCs w:val="24"/>
              </w:rPr>
            </w:pPr>
            <w:r>
              <w:rPr>
                <w:rFonts w:hint="eastAsia" w:ascii="宋体" w:hAnsi="宋体" w:cs="宋体"/>
                <w:sz w:val="24"/>
                <w:szCs w:val="24"/>
              </w:rPr>
              <w:t>形式：</w:t>
            </w:r>
            <w:r>
              <w:rPr>
                <w:rFonts w:hint="eastAsia" w:ascii="宋体" w:hAnsi="宋体" w:cs="宋体"/>
                <w:sz w:val="24"/>
                <w:szCs w:val="24"/>
                <w:u w:val="single"/>
              </w:rPr>
              <w:t xml:space="preserve"> / </w:t>
            </w:r>
          </w:p>
        </w:tc>
      </w:tr>
      <w:tr w14:paraId="329600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101" w:type="dxa"/>
            <w:vAlign w:val="center"/>
          </w:tcPr>
          <w:p w14:paraId="5C5A05A8">
            <w:pPr>
              <w:snapToGrid w:val="0"/>
              <w:jc w:val="center"/>
              <w:rPr>
                <w:rFonts w:ascii="宋体" w:hAnsi="宋体" w:cs="宋体"/>
                <w:sz w:val="24"/>
                <w:szCs w:val="24"/>
              </w:rPr>
            </w:pPr>
            <w:r>
              <w:rPr>
                <w:rFonts w:hint="eastAsia" w:ascii="宋体" w:hAnsi="宋体" w:cs="宋体"/>
                <w:sz w:val="24"/>
                <w:szCs w:val="24"/>
              </w:rPr>
              <w:t>1.10.3</w:t>
            </w:r>
          </w:p>
        </w:tc>
        <w:tc>
          <w:tcPr>
            <w:tcW w:w="2409" w:type="dxa"/>
            <w:vAlign w:val="center"/>
          </w:tcPr>
          <w:p w14:paraId="0497E270">
            <w:pPr>
              <w:snapToGrid w:val="0"/>
              <w:jc w:val="center"/>
              <w:rPr>
                <w:rFonts w:ascii="宋体" w:hAnsi="宋体" w:cs="宋体"/>
                <w:sz w:val="24"/>
                <w:szCs w:val="24"/>
              </w:rPr>
            </w:pPr>
            <w:r>
              <w:rPr>
                <w:rFonts w:hint="eastAsia" w:ascii="宋体" w:hAnsi="宋体" w:cs="宋体"/>
                <w:sz w:val="24"/>
                <w:szCs w:val="24"/>
              </w:rPr>
              <w:t>招标文件澄清发出的形式</w:t>
            </w:r>
          </w:p>
        </w:tc>
        <w:tc>
          <w:tcPr>
            <w:tcW w:w="6096" w:type="dxa"/>
            <w:vAlign w:val="center"/>
          </w:tcPr>
          <w:p w14:paraId="51D6A573">
            <w:pPr>
              <w:snapToGrid w:val="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 xml:space="preserve"> </w:t>
            </w:r>
          </w:p>
        </w:tc>
      </w:tr>
      <w:tr w14:paraId="235522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6" w:hRule="atLeast"/>
        </w:trPr>
        <w:tc>
          <w:tcPr>
            <w:tcW w:w="1101" w:type="dxa"/>
            <w:vAlign w:val="center"/>
          </w:tcPr>
          <w:p w14:paraId="3F9FD78C">
            <w:pPr>
              <w:snapToGrid w:val="0"/>
              <w:jc w:val="center"/>
              <w:rPr>
                <w:rFonts w:ascii="宋体" w:hAnsi="宋体" w:cs="宋体"/>
                <w:sz w:val="24"/>
                <w:szCs w:val="24"/>
              </w:rPr>
            </w:pPr>
            <w:r>
              <w:rPr>
                <w:rFonts w:hint="eastAsia" w:ascii="宋体" w:hAnsi="宋体" w:cs="宋体"/>
                <w:sz w:val="24"/>
                <w:szCs w:val="24"/>
              </w:rPr>
              <w:t>1.12.1</w:t>
            </w:r>
          </w:p>
        </w:tc>
        <w:tc>
          <w:tcPr>
            <w:tcW w:w="2409" w:type="dxa"/>
            <w:vAlign w:val="center"/>
          </w:tcPr>
          <w:p w14:paraId="721CE3C8">
            <w:pPr>
              <w:snapToGrid w:val="0"/>
              <w:jc w:val="center"/>
              <w:rPr>
                <w:rFonts w:ascii="宋体" w:hAnsi="宋体" w:cs="宋体"/>
                <w:sz w:val="24"/>
                <w:szCs w:val="24"/>
              </w:rPr>
            </w:pPr>
            <w:r>
              <w:rPr>
                <w:rFonts w:hint="eastAsia" w:ascii="宋体" w:hAnsi="宋体" w:cs="宋体"/>
                <w:sz w:val="24"/>
                <w:szCs w:val="24"/>
              </w:rPr>
              <w:t>实质性要求和条件</w:t>
            </w:r>
          </w:p>
        </w:tc>
        <w:tc>
          <w:tcPr>
            <w:tcW w:w="6096" w:type="dxa"/>
            <w:vAlign w:val="center"/>
          </w:tcPr>
          <w:p w14:paraId="595B6C43">
            <w:pPr>
              <w:pStyle w:val="8"/>
              <w:topLinePunct/>
              <w:snapToGrid w:val="0"/>
              <w:rPr>
                <w:rFonts w:ascii="宋体" w:hAnsi="宋体" w:cs="宋体"/>
                <w:kern w:val="2"/>
                <w:sz w:val="24"/>
                <w:szCs w:val="24"/>
              </w:rPr>
            </w:pPr>
            <w:r>
              <w:rPr>
                <w:rFonts w:hint="eastAsia" w:ascii="宋体" w:hAnsi="宋体" w:cs="宋体"/>
                <w:kern w:val="2"/>
                <w:sz w:val="24"/>
                <w:szCs w:val="24"/>
              </w:rPr>
              <w:t>/</w:t>
            </w:r>
          </w:p>
        </w:tc>
      </w:tr>
      <w:tr w14:paraId="781992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1101" w:type="dxa"/>
            <w:vAlign w:val="center"/>
          </w:tcPr>
          <w:p w14:paraId="1427D1BB">
            <w:pPr>
              <w:snapToGrid w:val="0"/>
              <w:jc w:val="center"/>
              <w:rPr>
                <w:rFonts w:ascii="宋体" w:hAnsi="宋体" w:cs="宋体"/>
                <w:sz w:val="24"/>
                <w:szCs w:val="24"/>
              </w:rPr>
            </w:pPr>
            <w:r>
              <w:rPr>
                <w:rFonts w:hint="eastAsia" w:ascii="宋体" w:hAnsi="宋体" w:cs="宋体"/>
                <w:sz w:val="24"/>
                <w:szCs w:val="24"/>
              </w:rPr>
              <w:t>1.12.3</w:t>
            </w:r>
          </w:p>
        </w:tc>
        <w:tc>
          <w:tcPr>
            <w:tcW w:w="2409" w:type="dxa"/>
            <w:vAlign w:val="center"/>
          </w:tcPr>
          <w:p w14:paraId="56A5AB0E">
            <w:pPr>
              <w:snapToGrid w:val="0"/>
              <w:jc w:val="center"/>
              <w:rPr>
                <w:rFonts w:ascii="宋体" w:hAnsi="宋体" w:cs="宋体"/>
                <w:sz w:val="24"/>
                <w:szCs w:val="24"/>
              </w:rPr>
            </w:pPr>
            <w:r>
              <w:rPr>
                <w:rFonts w:hint="eastAsia" w:ascii="宋体" w:hAnsi="宋体" w:cs="宋体"/>
                <w:sz w:val="24"/>
                <w:szCs w:val="24"/>
              </w:rPr>
              <w:t>偏差</w:t>
            </w:r>
          </w:p>
        </w:tc>
        <w:tc>
          <w:tcPr>
            <w:tcW w:w="6096" w:type="dxa"/>
          </w:tcPr>
          <w:p w14:paraId="2CA013CD">
            <w:pPr>
              <w:snapToGrid w:val="0"/>
              <w:spacing w:line="276" w:lineRule="auto"/>
              <w:rPr>
                <w:rFonts w:ascii="宋体" w:hAnsi="宋体" w:cs="宋体"/>
                <w:sz w:val="24"/>
                <w:szCs w:val="24"/>
              </w:rPr>
            </w:pPr>
            <w:r>
              <w:rPr>
                <w:rFonts w:hint="eastAsia" w:ascii="宋体" w:hAnsi="宋体" w:cs="宋体"/>
                <w:spacing w:val="-1"/>
                <w:sz w:val="18"/>
                <w:szCs w:val="24"/>
                <w:bdr w:val="single" w:color="auto" w:sz="4" w:space="0"/>
              </w:rPr>
              <w:t>√</w:t>
            </w:r>
            <w:r>
              <w:rPr>
                <w:rFonts w:hint="eastAsia" w:ascii="宋体" w:hAnsi="宋体" w:cs="宋体"/>
                <w:sz w:val="24"/>
                <w:szCs w:val="24"/>
              </w:rPr>
              <w:t>不允许</w:t>
            </w:r>
          </w:p>
          <w:p w14:paraId="14245F8A">
            <w:pPr>
              <w:pStyle w:val="8"/>
              <w:topLinePunct/>
              <w:snapToGrid w:val="0"/>
              <w:spacing w:line="276" w:lineRule="auto"/>
              <w:rPr>
                <w:rFonts w:ascii="宋体" w:hAnsi="宋体" w:cs="宋体"/>
                <w:kern w:val="2"/>
                <w:sz w:val="24"/>
                <w:szCs w:val="24"/>
              </w:rPr>
            </w:pPr>
            <w:r>
              <w:rPr>
                <w:rFonts w:hint="eastAsia" w:ascii="宋体" w:hAnsi="宋体" w:cs="宋体"/>
                <w:kern w:val="2"/>
                <w:sz w:val="24"/>
                <w:szCs w:val="24"/>
              </w:rPr>
              <w:t>□允许，偏差范围：</w:t>
            </w:r>
            <w:r>
              <w:rPr>
                <w:rFonts w:hint="eastAsia" w:ascii="宋体" w:hAnsi="宋体" w:cs="宋体"/>
                <w:kern w:val="2"/>
                <w:sz w:val="24"/>
                <w:szCs w:val="24"/>
                <w:u w:val="single"/>
              </w:rPr>
              <w:t>/</w:t>
            </w:r>
          </w:p>
          <w:p w14:paraId="5271F039">
            <w:pPr>
              <w:pStyle w:val="8"/>
              <w:topLinePunct/>
              <w:snapToGrid w:val="0"/>
              <w:spacing w:line="276" w:lineRule="auto"/>
              <w:ind w:firstLine="840" w:firstLineChars="350"/>
              <w:rPr>
                <w:rFonts w:ascii="宋体" w:hAnsi="宋体" w:cs="宋体"/>
                <w:kern w:val="2"/>
                <w:sz w:val="24"/>
                <w:szCs w:val="24"/>
              </w:rPr>
            </w:pPr>
            <w:r>
              <w:rPr>
                <w:rFonts w:hint="eastAsia" w:ascii="宋体" w:hAnsi="宋体" w:cs="宋体"/>
                <w:kern w:val="2"/>
                <w:sz w:val="24"/>
                <w:szCs w:val="24"/>
              </w:rPr>
              <w:t>偏差幅度：</w:t>
            </w:r>
            <w:r>
              <w:rPr>
                <w:rFonts w:hint="eastAsia" w:ascii="宋体" w:hAnsi="宋体" w:cs="宋体"/>
                <w:kern w:val="2"/>
                <w:sz w:val="24"/>
                <w:szCs w:val="24"/>
                <w:u w:val="single"/>
              </w:rPr>
              <w:t>/</w:t>
            </w:r>
          </w:p>
        </w:tc>
      </w:tr>
      <w:tr w14:paraId="28A1AB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01" w:type="dxa"/>
            <w:vAlign w:val="center"/>
          </w:tcPr>
          <w:p w14:paraId="080E546A">
            <w:pPr>
              <w:snapToGrid w:val="0"/>
              <w:jc w:val="center"/>
              <w:rPr>
                <w:rFonts w:ascii="宋体" w:hAnsi="宋体" w:cs="宋体"/>
                <w:sz w:val="24"/>
                <w:szCs w:val="24"/>
              </w:rPr>
            </w:pPr>
            <w:r>
              <w:rPr>
                <w:rFonts w:hint="eastAsia" w:ascii="宋体" w:hAnsi="宋体" w:cs="宋体"/>
                <w:sz w:val="24"/>
                <w:szCs w:val="24"/>
              </w:rPr>
              <w:t>2.1</w:t>
            </w:r>
          </w:p>
        </w:tc>
        <w:tc>
          <w:tcPr>
            <w:tcW w:w="2409" w:type="dxa"/>
            <w:vAlign w:val="center"/>
          </w:tcPr>
          <w:p w14:paraId="28C92214">
            <w:pPr>
              <w:snapToGrid w:val="0"/>
              <w:jc w:val="center"/>
              <w:rPr>
                <w:rFonts w:ascii="宋体" w:hAnsi="宋体" w:cs="宋体"/>
                <w:sz w:val="24"/>
                <w:szCs w:val="24"/>
              </w:rPr>
            </w:pPr>
            <w:r>
              <w:rPr>
                <w:rFonts w:hint="eastAsia" w:ascii="宋体" w:hAnsi="宋体" w:cs="宋体"/>
                <w:sz w:val="24"/>
                <w:szCs w:val="24"/>
              </w:rPr>
              <w:t>构成招标文件的其他资料</w:t>
            </w:r>
          </w:p>
        </w:tc>
        <w:tc>
          <w:tcPr>
            <w:tcW w:w="6096" w:type="dxa"/>
            <w:vAlign w:val="center"/>
          </w:tcPr>
          <w:p w14:paraId="472D1C40">
            <w:pPr>
              <w:snapToGrid w:val="0"/>
              <w:rPr>
                <w:rFonts w:ascii="宋体" w:hAnsi="宋体" w:cs="宋体"/>
                <w:sz w:val="24"/>
                <w:szCs w:val="24"/>
              </w:rPr>
            </w:pPr>
            <w:r>
              <w:rPr>
                <w:rFonts w:hint="eastAsia" w:ascii="宋体" w:hAnsi="宋体" w:cs="宋体"/>
                <w:sz w:val="24"/>
                <w:szCs w:val="24"/>
                <w:u w:val="single"/>
              </w:rPr>
              <w:t xml:space="preserve"> / </w:t>
            </w:r>
          </w:p>
        </w:tc>
      </w:tr>
      <w:tr w14:paraId="494062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Merge w:val="restart"/>
            <w:vAlign w:val="center"/>
          </w:tcPr>
          <w:p w14:paraId="5D4D736B">
            <w:pPr>
              <w:snapToGrid w:val="0"/>
              <w:jc w:val="center"/>
              <w:rPr>
                <w:rFonts w:ascii="宋体" w:hAnsi="宋体" w:cs="宋体"/>
                <w:sz w:val="24"/>
                <w:szCs w:val="24"/>
              </w:rPr>
            </w:pPr>
            <w:r>
              <w:rPr>
                <w:rFonts w:hint="eastAsia" w:ascii="宋体" w:hAnsi="宋体" w:cs="宋体"/>
                <w:sz w:val="24"/>
                <w:szCs w:val="24"/>
              </w:rPr>
              <w:t>2.2.1</w:t>
            </w:r>
          </w:p>
        </w:tc>
        <w:tc>
          <w:tcPr>
            <w:tcW w:w="2409" w:type="dxa"/>
            <w:vMerge w:val="restart"/>
            <w:vAlign w:val="center"/>
          </w:tcPr>
          <w:p w14:paraId="7F51C548">
            <w:pPr>
              <w:snapToGrid w:val="0"/>
              <w:jc w:val="center"/>
              <w:rPr>
                <w:rFonts w:ascii="宋体" w:hAnsi="宋体" w:cs="宋体"/>
                <w:sz w:val="24"/>
                <w:szCs w:val="24"/>
              </w:rPr>
            </w:pPr>
            <w:r>
              <w:rPr>
                <w:rFonts w:hint="eastAsia" w:ascii="宋体" w:hAnsi="宋体" w:cs="宋体"/>
                <w:sz w:val="24"/>
                <w:szCs w:val="24"/>
              </w:rPr>
              <w:t>投标人要求澄清招标文件</w:t>
            </w:r>
          </w:p>
        </w:tc>
        <w:tc>
          <w:tcPr>
            <w:tcW w:w="6096" w:type="dxa"/>
            <w:vAlign w:val="center"/>
          </w:tcPr>
          <w:p w14:paraId="7F0A4D32">
            <w:pPr>
              <w:snapToGrid w:val="0"/>
              <w:spacing w:line="276" w:lineRule="auto"/>
              <w:rPr>
                <w:rFonts w:ascii="宋体" w:hAnsi="宋体" w:cs="宋体"/>
                <w:sz w:val="24"/>
                <w:szCs w:val="24"/>
              </w:rPr>
            </w:pPr>
            <w:r>
              <w:rPr>
                <w:rFonts w:hint="eastAsia" w:ascii="宋体" w:hAnsi="宋体" w:cs="宋体"/>
                <w:sz w:val="24"/>
                <w:szCs w:val="24"/>
              </w:rPr>
              <w:t>时间：在提交投标文件截止时间18天前提出。</w:t>
            </w:r>
          </w:p>
        </w:tc>
      </w:tr>
      <w:tr w14:paraId="5386CA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1" w:hRule="atLeast"/>
        </w:trPr>
        <w:tc>
          <w:tcPr>
            <w:tcW w:w="1101" w:type="dxa"/>
            <w:vMerge w:val="continue"/>
            <w:vAlign w:val="center"/>
          </w:tcPr>
          <w:p w14:paraId="4616C697">
            <w:pPr>
              <w:snapToGrid w:val="0"/>
              <w:jc w:val="center"/>
              <w:rPr>
                <w:rFonts w:ascii="宋体" w:hAnsi="宋体" w:cs="宋体"/>
                <w:sz w:val="24"/>
                <w:szCs w:val="24"/>
              </w:rPr>
            </w:pPr>
          </w:p>
        </w:tc>
        <w:tc>
          <w:tcPr>
            <w:tcW w:w="2409" w:type="dxa"/>
            <w:vMerge w:val="continue"/>
            <w:vAlign w:val="center"/>
          </w:tcPr>
          <w:p w14:paraId="72CD61B9">
            <w:pPr>
              <w:snapToGrid w:val="0"/>
              <w:jc w:val="center"/>
              <w:rPr>
                <w:rFonts w:ascii="宋体" w:hAnsi="宋体" w:cs="宋体"/>
                <w:sz w:val="24"/>
                <w:szCs w:val="24"/>
              </w:rPr>
            </w:pPr>
          </w:p>
        </w:tc>
        <w:tc>
          <w:tcPr>
            <w:tcW w:w="6096" w:type="dxa"/>
            <w:vAlign w:val="center"/>
          </w:tcPr>
          <w:p w14:paraId="4C2AF25D">
            <w:pPr>
              <w:spacing w:line="276" w:lineRule="auto"/>
              <w:jc w:val="left"/>
              <w:rPr>
                <w:rFonts w:ascii="宋体" w:hAnsi="宋体" w:cs="宋体"/>
                <w:sz w:val="24"/>
                <w:szCs w:val="24"/>
              </w:rPr>
            </w:pPr>
            <w:r>
              <w:rPr>
                <w:rFonts w:hint="eastAsia" w:ascii="宋体" w:hAnsi="宋体" w:cs="宋体"/>
                <w:sz w:val="24"/>
                <w:szCs w:val="24"/>
              </w:rPr>
              <w:t>形式：1.招标答疑采用网上答疑方式进行。投标人若对招标文件有疑问的，可在规定的时间内通过广州交易集团有限公司（广州公共资源交易中心）网站登录系统进入提问区域将问题提交给招标人或招标代理人，提交问题时一律不得署名。具体操作方法详见</w:t>
            </w:r>
            <w:r>
              <w:rPr>
                <w:rFonts w:hint="eastAsia" w:ascii="宋体" w:hAnsi="宋体" w:cs="宋体"/>
                <w:sz w:val="24"/>
                <w:szCs w:val="24"/>
                <w:u w:val="single"/>
              </w:rPr>
              <w:t>广州交易集团有限公司（广州公共资源交易中心）网站发布的《建设工程全流程电子化项目操作指南（适用于投标人）》</w:t>
            </w:r>
            <w:r>
              <w:rPr>
                <w:rFonts w:hint="eastAsia" w:ascii="宋体" w:hAnsi="宋体" w:cs="宋体"/>
                <w:sz w:val="24"/>
                <w:szCs w:val="24"/>
              </w:rPr>
              <w:t>。</w:t>
            </w:r>
          </w:p>
          <w:p w14:paraId="26A0B2E0">
            <w:pPr>
              <w:spacing w:line="276" w:lineRule="auto"/>
              <w:rPr>
                <w:rFonts w:ascii="宋体" w:hAnsi="宋体" w:cs="宋体"/>
                <w:sz w:val="24"/>
                <w:szCs w:val="24"/>
              </w:rPr>
            </w:pPr>
            <w:r>
              <w:rPr>
                <w:rFonts w:hint="eastAsia" w:ascii="宋体" w:hAnsi="宋体" w:cs="宋体"/>
                <w:sz w:val="24"/>
                <w:szCs w:val="24"/>
              </w:rPr>
              <w:t>2.投标人应在规定时间停止质疑。招标人应在投标截止时间15日前解答投标人对招标文件提出的疑问，形成答疑纪要，并在广州交易集团有限公司（广州公共资源交易中心）网站发布。</w:t>
            </w:r>
          </w:p>
          <w:p w14:paraId="7DFB1416">
            <w:pPr>
              <w:spacing w:line="276" w:lineRule="auto"/>
              <w:rPr>
                <w:rFonts w:ascii="宋体" w:hAnsi="宋体" w:cs="宋体"/>
                <w:sz w:val="24"/>
                <w:szCs w:val="24"/>
              </w:rPr>
            </w:pPr>
            <w:r>
              <w:rPr>
                <w:rFonts w:hint="eastAsia" w:ascii="宋体" w:hAnsi="宋体" w:cs="宋体"/>
                <w:sz w:val="24"/>
                <w:szCs w:val="24"/>
              </w:rPr>
              <w:t>3.答疑纪要一经在广州交易集团有限公司（广州公共资源交易中心）网站发布，视作已发放给所有投标人。</w:t>
            </w:r>
          </w:p>
          <w:p w14:paraId="243E9298">
            <w:pPr>
              <w:spacing w:line="276" w:lineRule="auto"/>
              <w:rPr>
                <w:rFonts w:ascii="宋体" w:hAnsi="宋体" w:cs="宋体"/>
                <w:sz w:val="24"/>
                <w:szCs w:val="24"/>
              </w:rPr>
            </w:pPr>
            <w:r>
              <w:rPr>
                <w:rFonts w:hint="eastAsia" w:ascii="宋体" w:hAnsi="宋体" w:cs="宋体"/>
                <w:sz w:val="24"/>
                <w:szCs w:val="24"/>
              </w:rPr>
              <w:t>4.答疑纪要为招标文件的一部分。投标人可在广州公资源交易中心网站浏览、下载答疑纪要。</w:t>
            </w:r>
          </w:p>
          <w:p w14:paraId="0F8A9BC7">
            <w:pPr>
              <w:spacing w:line="276" w:lineRule="auto"/>
              <w:rPr>
                <w:rFonts w:ascii="宋体" w:hAnsi="宋体" w:cs="宋体"/>
                <w:b/>
                <w:bCs/>
              </w:rPr>
            </w:pPr>
            <w:r>
              <w:rPr>
                <w:rFonts w:hint="eastAsia" w:ascii="宋体" w:hAnsi="宋体" w:cs="宋体"/>
                <w:b/>
                <w:bCs/>
                <w:sz w:val="24"/>
                <w:szCs w:val="24"/>
              </w:rPr>
              <w:t>具体操作详见广州交易集团有限公司（广州公共资源交易中心）网站发布的最新版操作指引。</w:t>
            </w:r>
          </w:p>
        </w:tc>
      </w:tr>
      <w:tr w14:paraId="199BCD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9" w:hRule="atLeast"/>
        </w:trPr>
        <w:tc>
          <w:tcPr>
            <w:tcW w:w="1101" w:type="dxa"/>
            <w:vAlign w:val="center"/>
          </w:tcPr>
          <w:p w14:paraId="75138CF4">
            <w:pPr>
              <w:snapToGrid w:val="0"/>
              <w:jc w:val="center"/>
              <w:rPr>
                <w:rFonts w:ascii="宋体" w:hAnsi="宋体" w:cs="宋体"/>
                <w:sz w:val="24"/>
                <w:szCs w:val="24"/>
              </w:rPr>
            </w:pPr>
            <w:r>
              <w:rPr>
                <w:rFonts w:hint="eastAsia" w:ascii="宋体" w:hAnsi="宋体" w:cs="宋体"/>
                <w:sz w:val="24"/>
                <w:szCs w:val="24"/>
              </w:rPr>
              <w:t>2.2.2</w:t>
            </w:r>
          </w:p>
        </w:tc>
        <w:tc>
          <w:tcPr>
            <w:tcW w:w="2409" w:type="dxa"/>
            <w:vAlign w:val="center"/>
          </w:tcPr>
          <w:p w14:paraId="0A136188">
            <w:pPr>
              <w:snapToGrid w:val="0"/>
              <w:jc w:val="center"/>
              <w:rPr>
                <w:rFonts w:ascii="宋体" w:hAnsi="宋体" w:cs="宋体"/>
                <w:sz w:val="24"/>
                <w:szCs w:val="24"/>
              </w:rPr>
            </w:pPr>
            <w:r>
              <w:rPr>
                <w:rFonts w:hint="eastAsia" w:ascii="宋体" w:hAnsi="宋体" w:cs="宋体"/>
                <w:sz w:val="24"/>
                <w:szCs w:val="24"/>
              </w:rPr>
              <w:t>招标文件澄清发出的形式</w:t>
            </w:r>
          </w:p>
        </w:tc>
        <w:tc>
          <w:tcPr>
            <w:tcW w:w="6096" w:type="dxa"/>
            <w:vAlign w:val="center"/>
          </w:tcPr>
          <w:p w14:paraId="24915FAC">
            <w:pPr>
              <w:snapToGrid w:val="0"/>
              <w:spacing w:line="276" w:lineRule="auto"/>
              <w:rPr>
                <w:rFonts w:ascii="宋体" w:hAnsi="宋体" w:cs="宋体"/>
                <w:sz w:val="24"/>
                <w:szCs w:val="24"/>
              </w:rPr>
            </w:pPr>
            <w:r>
              <w:rPr>
                <w:rFonts w:hint="eastAsia" w:ascii="宋体" w:hAnsi="宋体" w:cs="宋体"/>
                <w:sz w:val="24"/>
                <w:szCs w:val="24"/>
              </w:rPr>
              <w:t>发出时间：投标截止时间15日前</w:t>
            </w:r>
          </w:p>
          <w:p w14:paraId="781004F9">
            <w:pPr>
              <w:snapToGrid w:val="0"/>
              <w:spacing w:line="276" w:lineRule="auto"/>
              <w:rPr>
                <w:rFonts w:ascii="宋体" w:hAnsi="宋体" w:cs="宋体"/>
                <w:sz w:val="24"/>
                <w:szCs w:val="24"/>
              </w:rPr>
            </w:pPr>
            <w:r>
              <w:rPr>
                <w:rFonts w:hint="eastAsia" w:ascii="宋体" w:hAnsi="宋体" w:cs="宋体"/>
                <w:sz w:val="24"/>
                <w:szCs w:val="24"/>
              </w:rPr>
              <w:t>发出形式：在广州交易集团有限公司（广州公共资源交易中心）网站通过</w:t>
            </w:r>
            <w:r>
              <w:rPr>
                <w:rFonts w:hint="eastAsia" w:ascii="宋体" w:hAnsi="宋体" w:cs="宋体"/>
                <w:sz w:val="24"/>
                <w:szCs w:val="24"/>
                <w:u w:val="single"/>
              </w:rPr>
              <w:t>“项目查询（日程安排、答疑纪要）”</w:t>
            </w:r>
            <w:r>
              <w:rPr>
                <w:rFonts w:hint="eastAsia" w:ascii="宋体" w:hAnsi="宋体" w:cs="宋体"/>
                <w:sz w:val="24"/>
                <w:szCs w:val="24"/>
              </w:rPr>
              <w:t>专区公开发布。</w:t>
            </w:r>
          </w:p>
        </w:tc>
      </w:tr>
      <w:tr w14:paraId="6D2C13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6" w:hRule="atLeast"/>
        </w:trPr>
        <w:tc>
          <w:tcPr>
            <w:tcW w:w="1101" w:type="dxa"/>
            <w:vMerge w:val="restart"/>
            <w:vAlign w:val="center"/>
          </w:tcPr>
          <w:p w14:paraId="091C0A67">
            <w:pPr>
              <w:snapToGrid w:val="0"/>
              <w:jc w:val="center"/>
              <w:rPr>
                <w:rFonts w:ascii="宋体" w:hAnsi="宋体" w:cs="宋体"/>
                <w:sz w:val="24"/>
                <w:szCs w:val="24"/>
              </w:rPr>
            </w:pPr>
            <w:r>
              <w:rPr>
                <w:rFonts w:hint="eastAsia" w:ascii="宋体" w:hAnsi="宋体" w:cs="宋体"/>
                <w:sz w:val="24"/>
                <w:szCs w:val="24"/>
              </w:rPr>
              <w:t>2.2.3</w:t>
            </w:r>
          </w:p>
        </w:tc>
        <w:tc>
          <w:tcPr>
            <w:tcW w:w="2409" w:type="dxa"/>
            <w:vMerge w:val="restart"/>
            <w:vAlign w:val="center"/>
          </w:tcPr>
          <w:p w14:paraId="13C7C1F9">
            <w:pPr>
              <w:snapToGrid w:val="0"/>
              <w:jc w:val="center"/>
              <w:rPr>
                <w:rFonts w:ascii="宋体" w:hAnsi="宋体" w:cs="宋体"/>
                <w:sz w:val="24"/>
                <w:szCs w:val="24"/>
              </w:rPr>
            </w:pPr>
            <w:r>
              <w:rPr>
                <w:rFonts w:hint="eastAsia" w:ascii="宋体" w:hAnsi="宋体" w:cs="宋体"/>
                <w:sz w:val="24"/>
                <w:szCs w:val="24"/>
              </w:rPr>
              <w:t>投标人确认收到招标文件澄清</w:t>
            </w:r>
          </w:p>
        </w:tc>
        <w:tc>
          <w:tcPr>
            <w:tcW w:w="6096" w:type="dxa"/>
            <w:vAlign w:val="center"/>
          </w:tcPr>
          <w:p w14:paraId="71693BE7">
            <w:pPr>
              <w:spacing w:line="440" w:lineRule="exact"/>
              <w:rPr>
                <w:rFonts w:ascii="宋体" w:hAnsi="宋体" w:cs="宋体"/>
                <w:sz w:val="24"/>
                <w:szCs w:val="24"/>
              </w:rPr>
            </w:pPr>
            <w:r>
              <w:rPr>
                <w:rFonts w:hint="eastAsia" w:ascii="宋体" w:hAnsi="宋体" w:cs="宋体"/>
                <w:sz w:val="24"/>
                <w:szCs w:val="24"/>
              </w:rPr>
              <w:t>时间：发出即视作收到</w:t>
            </w:r>
          </w:p>
        </w:tc>
      </w:tr>
      <w:tr w14:paraId="65FE16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3" w:hRule="atLeast"/>
        </w:trPr>
        <w:tc>
          <w:tcPr>
            <w:tcW w:w="1101" w:type="dxa"/>
            <w:vMerge w:val="continue"/>
            <w:vAlign w:val="center"/>
          </w:tcPr>
          <w:p w14:paraId="4F05C450">
            <w:pPr>
              <w:snapToGrid w:val="0"/>
              <w:jc w:val="center"/>
              <w:rPr>
                <w:rFonts w:ascii="宋体" w:hAnsi="宋体" w:cs="宋体"/>
                <w:sz w:val="24"/>
                <w:szCs w:val="24"/>
              </w:rPr>
            </w:pPr>
          </w:p>
        </w:tc>
        <w:tc>
          <w:tcPr>
            <w:tcW w:w="2409" w:type="dxa"/>
            <w:vMerge w:val="continue"/>
            <w:vAlign w:val="center"/>
          </w:tcPr>
          <w:p w14:paraId="2B492115">
            <w:pPr>
              <w:snapToGrid w:val="0"/>
              <w:jc w:val="center"/>
              <w:rPr>
                <w:rFonts w:ascii="宋体" w:hAnsi="宋体" w:cs="宋体"/>
                <w:sz w:val="24"/>
                <w:szCs w:val="24"/>
              </w:rPr>
            </w:pPr>
          </w:p>
        </w:tc>
        <w:tc>
          <w:tcPr>
            <w:tcW w:w="6096" w:type="dxa"/>
            <w:vAlign w:val="center"/>
          </w:tcPr>
          <w:p w14:paraId="2F86EB50">
            <w:pPr>
              <w:spacing w:line="276" w:lineRule="auto"/>
              <w:rPr>
                <w:rFonts w:ascii="宋体" w:hAnsi="宋体" w:cs="宋体"/>
                <w:sz w:val="24"/>
                <w:szCs w:val="24"/>
              </w:rPr>
            </w:pPr>
            <w:r>
              <w:rPr>
                <w:rFonts w:hint="eastAsia" w:ascii="宋体" w:hAnsi="宋体" w:cs="宋体"/>
                <w:sz w:val="24"/>
                <w:szCs w:val="24"/>
              </w:rPr>
              <w:t>形式：招标文件澄清（招标答疑纪要）一经在广州交易集团有限公司（广州公共资源交易中心）网站发布，视作已发放给所有投标人。</w:t>
            </w:r>
          </w:p>
        </w:tc>
      </w:tr>
      <w:tr w14:paraId="4CD1F6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1101" w:type="dxa"/>
            <w:vAlign w:val="center"/>
          </w:tcPr>
          <w:p w14:paraId="5FC0A621">
            <w:pPr>
              <w:snapToGrid w:val="0"/>
              <w:jc w:val="center"/>
              <w:rPr>
                <w:rFonts w:ascii="宋体" w:hAnsi="宋体" w:cs="宋体"/>
                <w:sz w:val="24"/>
                <w:szCs w:val="24"/>
              </w:rPr>
            </w:pPr>
            <w:r>
              <w:rPr>
                <w:rFonts w:hint="eastAsia" w:ascii="宋体" w:hAnsi="宋体" w:cs="宋体"/>
                <w:sz w:val="24"/>
                <w:szCs w:val="24"/>
              </w:rPr>
              <w:t>2.3.1</w:t>
            </w:r>
          </w:p>
        </w:tc>
        <w:tc>
          <w:tcPr>
            <w:tcW w:w="2409" w:type="dxa"/>
            <w:vAlign w:val="center"/>
          </w:tcPr>
          <w:p w14:paraId="7CB22B82">
            <w:pPr>
              <w:snapToGrid w:val="0"/>
              <w:jc w:val="center"/>
              <w:rPr>
                <w:rFonts w:ascii="宋体" w:hAnsi="宋体" w:cs="宋体"/>
                <w:sz w:val="24"/>
                <w:szCs w:val="24"/>
              </w:rPr>
            </w:pPr>
            <w:r>
              <w:rPr>
                <w:rFonts w:hint="eastAsia" w:ascii="宋体" w:hAnsi="宋体" w:cs="宋体"/>
                <w:sz w:val="24"/>
                <w:szCs w:val="24"/>
              </w:rPr>
              <w:t>招标文件修改发出的形式</w:t>
            </w:r>
          </w:p>
        </w:tc>
        <w:tc>
          <w:tcPr>
            <w:tcW w:w="6096" w:type="dxa"/>
            <w:vAlign w:val="center"/>
          </w:tcPr>
          <w:p w14:paraId="5A3C0D2A">
            <w:pPr>
              <w:snapToGrid w:val="0"/>
              <w:spacing w:line="276" w:lineRule="auto"/>
              <w:rPr>
                <w:rFonts w:ascii="宋体" w:hAnsi="宋体" w:cs="宋体"/>
                <w:sz w:val="24"/>
                <w:szCs w:val="24"/>
              </w:rPr>
            </w:pPr>
            <w:r>
              <w:rPr>
                <w:rFonts w:hint="eastAsia" w:ascii="宋体" w:hAnsi="宋体" w:cs="宋体"/>
                <w:sz w:val="24"/>
                <w:szCs w:val="24"/>
              </w:rPr>
              <w:t>以补充公告或项目答疑澄清的方式在广州交易集团有限公司（广州公共资源交易中心）网站发布</w:t>
            </w:r>
          </w:p>
        </w:tc>
      </w:tr>
      <w:tr w14:paraId="6DBAA1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trPr>
        <w:tc>
          <w:tcPr>
            <w:tcW w:w="1101" w:type="dxa"/>
            <w:vMerge w:val="restart"/>
            <w:vAlign w:val="center"/>
          </w:tcPr>
          <w:p w14:paraId="2DF10C56">
            <w:pPr>
              <w:snapToGrid w:val="0"/>
              <w:jc w:val="center"/>
              <w:rPr>
                <w:rFonts w:ascii="宋体" w:hAnsi="宋体" w:cs="宋体"/>
                <w:sz w:val="24"/>
                <w:szCs w:val="24"/>
              </w:rPr>
            </w:pPr>
            <w:r>
              <w:rPr>
                <w:rFonts w:hint="eastAsia" w:ascii="宋体" w:hAnsi="宋体" w:cs="宋体"/>
                <w:sz w:val="24"/>
                <w:szCs w:val="24"/>
              </w:rPr>
              <w:t>2.3.2</w:t>
            </w:r>
          </w:p>
        </w:tc>
        <w:tc>
          <w:tcPr>
            <w:tcW w:w="2409" w:type="dxa"/>
            <w:vMerge w:val="restart"/>
            <w:vAlign w:val="center"/>
          </w:tcPr>
          <w:p w14:paraId="13730FA5">
            <w:pPr>
              <w:snapToGrid w:val="0"/>
              <w:jc w:val="center"/>
              <w:rPr>
                <w:rFonts w:ascii="宋体" w:hAnsi="宋体" w:cs="宋体"/>
                <w:sz w:val="24"/>
                <w:szCs w:val="24"/>
              </w:rPr>
            </w:pPr>
            <w:r>
              <w:rPr>
                <w:rFonts w:hint="eastAsia" w:ascii="宋体" w:hAnsi="宋体" w:cs="宋体"/>
                <w:sz w:val="24"/>
                <w:szCs w:val="24"/>
              </w:rPr>
              <w:t>投标人确认收到招标文件修改</w:t>
            </w:r>
          </w:p>
        </w:tc>
        <w:tc>
          <w:tcPr>
            <w:tcW w:w="6096" w:type="dxa"/>
            <w:vAlign w:val="center"/>
          </w:tcPr>
          <w:p w14:paraId="402BDC99">
            <w:pPr>
              <w:spacing w:line="440" w:lineRule="exact"/>
              <w:rPr>
                <w:rFonts w:ascii="宋体" w:hAnsi="宋体" w:cs="宋体"/>
                <w:sz w:val="24"/>
                <w:szCs w:val="24"/>
              </w:rPr>
            </w:pPr>
            <w:r>
              <w:rPr>
                <w:rFonts w:hint="eastAsia" w:ascii="宋体" w:hAnsi="宋体" w:cs="宋体"/>
                <w:sz w:val="24"/>
                <w:szCs w:val="24"/>
              </w:rPr>
              <w:t>时间：发出即视作收到</w:t>
            </w:r>
          </w:p>
        </w:tc>
      </w:tr>
      <w:tr w14:paraId="22B0CB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Merge w:val="continue"/>
            <w:vAlign w:val="center"/>
          </w:tcPr>
          <w:p w14:paraId="2BC4A777">
            <w:pPr>
              <w:snapToGrid w:val="0"/>
              <w:jc w:val="center"/>
              <w:rPr>
                <w:rFonts w:ascii="宋体" w:hAnsi="宋体" w:cs="宋体"/>
                <w:sz w:val="24"/>
                <w:szCs w:val="24"/>
              </w:rPr>
            </w:pPr>
          </w:p>
        </w:tc>
        <w:tc>
          <w:tcPr>
            <w:tcW w:w="2409" w:type="dxa"/>
            <w:vMerge w:val="continue"/>
            <w:vAlign w:val="center"/>
          </w:tcPr>
          <w:p w14:paraId="32593B80">
            <w:pPr>
              <w:snapToGrid w:val="0"/>
              <w:jc w:val="center"/>
              <w:rPr>
                <w:rFonts w:ascii="宋体" w:hAnsi="宋体" w:cs="宋体"/>
                <w:sz w:val="24"/>
                <w:szCs w:val="24"/>
              </w:rPr>
            </w:pPr>
          </w:p>
        </w:tc>
        <w:tc>
          <w:tcPr>
            <w:tcW w:w="6096" w:type="dxa"/>
            <w:vAlign w:val="center"/>
          </w:tcPr>
          <w:p w14:paraId="244C6AFA">
            <w:pPr>
              <w:spacing w:line="276" w:lineRule="auto"/>
              <w:rPr>
                <w:rFonts w:ascii="宋体" w:hAnsi="宋体" w:cs="宋体"/>
                <w:sz w:val="24"/>
                <w:szCs w:val="24"/>
              </w:rPr>
            </w:pPr>
            <w:r>
              <w:rPr>
                <w:rFonts w:hint="eastAsia" w:ascii="宋体" w:hAnsi="宋体" w:cs="宋体"/>
                <w:sz w:val="24"/>
                <w:szCs w:val="24"/>
              </w:rPr>
              <w:t>形式：招标文件修改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p>
        </w:tc>
      </w:tr>
      <w:tr w14:paraId="2A0614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1101" w:type="dxa"/>
            <w:vAlign w:val="center"/>
          </w:tcPr>
          <w:p w14:paraId="73803B38">
            <w:pPr>
              <w:snapToGrid w:val="0"/>
              <w:jc w:val="center"/>
              <w:rPr>
                <w:rFonts w:ascii="宋体" w:hAnsi="宋体" w:cs="宋体"/>
                <w:sz w:val="24"/>
                <w:szCs w:val="24"/>
              </w:rPr>
            </w:pPr>
            <w:r>
              <w:rPr>
                <w:rFonts w:hint="eastAsia" w:ascii="宋体" w:hAnsi="宋体" w:cs="宋体"/>
                <w:sz w:val="24"/>
                <w:szCs w:val="24"/>
              </w:rPr>
              <w:t>3.1.1</w:t>
            </w:r>
          </w:p>
        </w:tc>
        <w:tc>
          <w:tcPr>
            <w:tcW w:w="2409" w:type="dxa"/>
            <w:vAlign w:val="center"/>
          </w:tcPr>
          <w:p w14:paraId="196CD6D8">
            <w:pPr>
              <w:snapToGrid w:val="0"/>
              <w:jc w:val="center"/>
              <w:rPr>
                <w:rFonts w:ascii="宋体" w:hAnsi="宋体" w:cs="宋体"/>
                <w:sz w:val="24"/>
                <w:szCs w:val="24"/>
              </w:rPr>
            </w:pPr>
            <w:r>
              <w:rPr>
                <w:rFonts w:hint="eastAsia" w:ascii="宋体" w:hAnsi="宋体" w:cs="宋体"/>
                <w:sz w:val="24"/>
                <w:szCs w:val="24"/>
              </w:rPr>
              <w:t>构成投标文件的其他资料</w:t>
            </w:r>
          </w:p>
        </w:tc>
        <w:tc>
          <w:tcPr>
            <w:tcW w:w="6096" w:type="dxa"/>
            <w:vAlign w:val="center"/>
          </w:tcPr>
          <w:p w14:paraId="7F7AEDEA">
            <w:pPr>
              <w:snapToGrid w:val="0"/>
              <w:spacing w:line="276" w:lineRule="auto"/>
              <w:rPr>
                <w:rFonts w:ascii="宋体" w:hAnsi="宋体" w:cs="宋体"/>
                <w:sz w:val="24"/>
                <w:szCs w:val="24"/>
              </w:rPr>
            </w:pPr>
            <w:r>
              <w:rPr>
                <w:rFonts w:hint="eastAsia" w:ascii="宋体" w:hAnsi="宋体" w:cs="宋体"/>
                <w:sz w:val="24"/>
                <w:szCs w:val="24"/>
              </w:rPr>
              <w:t>满足本项目评审要求的其他资料等投标人认为需要提供的资料。</w:t>
            </w:r>
          </w:p>
        </w:tc>
      </w:tr>
      <w:tr w14:paraId="01A15B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Align w:val="center"/>
          </w:tcPr>
          <w:p w14:paraId="465AF04C">
            <w:pPr>
              <w:snapToGrid w:val="0"/>
              <w:jc w:val="center"/>
              <w:rPr>
                <w:rFonts w:ascii="宋体" w:hAnsi="宋体" w:cs="宋体"/>
                <w:sz w:val="24"/>
                <w:szCs w:val="24"/>
              </w:rPr>
            </w:pPr>
            <w:r>
              <w:rPr>
                <w:rFonts w:hint="eastAsia" w:ascii="宋体" w:hAnsi="宋体" w:cs="宋体"/>
                <w:sz w:val="24"/>
                <w:szCs w:val="24"/>
              </w:rPr>
              <w:t>3.2.1</w:t>
            </w:r>
          </w:p>
        </w:tc>
        <w:tc>
          <w:tcPr>
            <w:tcW w:w="2409" w:type="dxa"/>
            <w:vAlign w:val="center"/>
          </w:tcPr>
          <w:p w14:paraId="29C16C2D">
            <w:pPr>
              <w:snapToGrid w:val="0"/>
              <w:jc w:val="center"/>
              <w:rPr>
                <w:rFonts w:ascii="宋体" w:hAnsi="宋体" w:cs="宋体"/>
                <w:sz w:val="24"/>
                <w:szCs w:val="24"/>
              </w:rPr>
            </w:pPr>
            <w:r>
              <w:rPr>
                <w:rFonts w:hint="eastAsia" w:ascii="宋体" w:hAnsi="宋体" w:cs="宋体"/>
                <w:sz w:val="24"/>
                <w:szCs w:val="24"/>
              </w:rPr>
              <w:t>增值税税金的计算方法</w:t>
            </w:r>
          </w:p>
        </w:tc>
        <w:tc>
          <w:tcPr>
            <w:tcW w:w="6096" w:type="dxa"/>
            <w:vAlign w:val="center"/>
          </w:tcPr>
          <w:p w14:paraId="7C5FC8A5">
            <w:pPr>
              <w:snapToGrid w:val="0"/>
              <w:rPr>
                <w:rFonts w:ascii="宋体" w:hAnsi="宋体" w:cs="宋体"/>
                <w:sz w:val="24"/>
                <w:szCs w:val="24"/>
              </w:rPr>
            </w:pPr>
            <w:r>
              <w:rPr>
                <w:rFonts w:hint="eastAsia" w:ascii="宋体" w:hAnsi="宋体" w:cs="宋体"/>
                <w:sz w:val="24"/>
                <w:szCs w:val="24"/>
              </w:rPr>
              <w:t>按国家税务机关的规定执行。</w:t>
            </w:r>
          </w:p>
        </w:tc>
      </w:tr>
      <w:tr w14:paraId="3EBBA2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Align w:val="center"/>
          </w:tcPr>
          <w:p w14:paraId="262DE367">
            <w:pPr>
              <w:snapToGrid w:val="0"/>
              <w:jc w:val="center"/>
              <w:rPr>
                <w:rFonts w:ascii="宋体" w:hAnsi="宋体" w:cs="宋体"/>
                <w:sz w:val="24"/>
                <w:szCs w:val="24"/>
              </w:rPr>
            </w:pPr>
            <w:r>
              <w:rPr>
                <w:rFonts w:hint="eastAsia" w:ascii="宋体" w:hAnsi="宋体" w:cs="宋体"/>
                <w:sz w:val="24"/>
                <w:szCs w:val="24"/>
              </w:rPr>
              <w:t>3.2.3</w:t>
            </w:r>
          </w:p>
        </w:tc>
        <w:tc>
          <w:tcPr>
            <w:tcW w:w="2409" w:type="dxa"/>
            <w:vAlign w:val="center"/>
          </w:tcPr>
          <w:p w14:paraId="4979A150">
            <w:pPr>
              <w:snapToGrid w:val="0"/>
              <w:jc w:val="center"/>
              <w:rPr>
                <w:rFonts w:ascii="宋体" w:hAnsi="宋体" w:cs="宋体"/>
                <w:sz w:val="24"/>
                <w:szCs w:val="24"/>
              </w:rPr>
            </w:pPr>
            <w:r>
              <w:rPr>
                <w:rFonts w:hint="eastAsia" w:ascii="宋体" w:hAnsi="宋体" w:cs="宋体"/>
                <w:sz w:val="24"/>
                <w:szCs w:val="24"/>
              </w:rPr>
              <w:t>报价方式</w:t>
            </w:r>
          </w:p>
        </w:tc>
        <w:tc>
          <w:tcPr>
            <w:tcW w:w="6096" w:type="dxa"/>
            <w:vAlign w:val="center"/>
          </w:tcPr>
          <w:p w14:paraId="5A2E568F">
            <w:pPr>
              <w:snapToGrid w:val="0"/>
              <w:spacing w:line="276" w:lineRule="auto"/>
              <w:rPr>
                <w:rFonts w:ascii="宋体" w:hAnsi="宋体" w:cs="宋体"/>
                <w:sz w:val="24"/>
                <w:szCs w:val="24"/>
              </w:rPr>
            </w:pPr>
            <w:r>
              <w:rPr>
                <w:rFonts w:hint="eastAsia" w:ascii="宋体" w:hAnsi="宋体" w:cs="宋体"/>
                <w:sz w:val="24"/>
                <w:szCs w:val="24"/>
              </w:rPr>
              <w:t>自行报价（以元为单位，精确到小数位后2位）。投标报价不得高于最高投标限价，由投标人根据招标文件要求以及企业自身情况填写报价。结算方式：按合同约定执行。</w:t>
            </w:r>
          </w:p>
        </w:tc>
      </w:tr>
      <w:tr w14:paraId="645833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1101" w:type="dxa"/>
            <w:vAlign w:val="center"/>
          </w:tcPr>
          <w:p w14:paraId="3F44174D">
            <w:pPr>
              <w:snapToGrid w:val="0"/>
              <w:jc w:val="center"/>
              <w:rPr>
                <w:rFonts w:ascii="宋体" w:hAnsi="宋体" w:cs="宋体"/>
                <w:sz w:val="24"/>
                <w:szCs w:val="24"/>
              </w:rPr>
            </w:pPr>
            <w:r>
              <w:rPr>
                <w:rFonts w:hint="eastAsia" w:ascii="宋体" w:hAnsi="宋体" w:cs="宋体"/>
                <w:sz w:val="24"/>
                <w:szCs w:val="24"/>
              </w:rPr>
              <w:t>3.2.4</w:t>
            </w:r>
          </w:p>
        </w:tc>
        <w:tc>
          <w:tcPr>
            <w:tcW w:w="2409" w:type="dxa"/>
            <w:vAlign w:val="center"/>
          </w:tcPr>
          <w:p w14:paraId="323EAB42">
            <w:pPr>
              <w:snapToGrid w:val="0"/>
              <w:jc w:val="center"/>
              <w:rPr>
                <w:rFonts w:ascii="宋体" w:hAnsi="宋体" w:cs="宋体"/>
                <w:sz w:val="24"/>
                <w:szCs w:val="24"/>
              </w:rPr>
            </w:pPr>
            <w:r>
              <w:rPr>
                <w:rFonts w:hint="eastAsia" w:ascii="宋体" w:hAnsi="宋体" w:cs="宋体"/>
                <w:sz w:val="24"/>
                <w:szCs w:val="24"/>
              </w:rPr>
              <w:t>最高投标限价</w:t>
            </w:r>
          </w:p>
        </w:tc>
        <w:tc>
          <w:tcPr>
            <w:tcW w:w="6096" w:type="dxa"/>
            <w:vAlign w:val="center"/>
          </w:tcPr>
          <w:p w14:paraId="293CC4FD">
            <w:pPr>
              <w:snapToGrid w:val="0"/>
              <w:spacing w:line="276" w:lineRule="auto"/>
              <w:rPr>
                <w:rFonts w:ascii="宋体" w:hAnsi="宋体" w:cs="宋体"/>
                <w:sz w:val="24"/>
                <w:szCs w:val="24"/>
              </w:rPr>
            </w:pPr>
            <w:r>
              <w:rPr>
                <w:rFonts w:hint="eastAsia" w:ascii="宋体" w:hAnsi="宋体" w:cs="宋体"/>
                <w:sz w:val="24"/>
                <w:szCs w:val="24"/>
              </w:rPr>
              <w:t>□无</w:t>
            </w:r>
          </w:p>
          <w:p w14:paraId="1B5DF8BA">
            <w:pPr>
              <w:spacing w:line="276" w:lineRule="auto"/>
              <w:jc w:val="left"/>
              <w:rPr>
                <w:rFonts w:ascii="宋体" w:hAnsi="宋体" w:cs="宋体"/>
                <w:sz w:val="24"/>
                <w:szCs w:val="24"/>
                <w:u w:val="single"/>
              </w:rPr>
            </w:pPr>
            <w:r>
              <w:rPr>
                <w:rFonts w:hint="eastAsia" w:ascii="宋体" w:hAnsi="宋体" w:cs="宋体"/>
                <w:spacing w:val="-1"/>
                <w:sz w:val="18"/>
                <w:szCs w:val="24"/>
                <w:bdr w:val="single" w:color="auto" w:sz="4" w:space="0"/>
              </w:rPr>
              <w:t>√</w:t>
            </w:r>
            <w:r>
              <w:rPr>
                <w:rFonts w:hint="eastAsia" w:ascii="宋体" w:hAnsi="宋体" w:cs="宋体"/>
                <w:sz w:val="24"/>
                <w:szCs w:val="24"/>
              </w:rPr>
              <w:t>有，最高投标限价（总价）：</w:t>
            </w:r>
            <w:r>
              <w:rPr>
                <w:rFonts w:ascii="宋体" w:hAnsi="宋体" w:cs="宋体"/>
                <w:sz w:val="24"/>
                <w:szCs w:val="24"/>
                <w:u w:val="single"/>
              </w:rPr>
              <w:t>3414300</w:t>
            </w:r>
            <w:r>
              <w:rPr>
                <w:rFonts w:hint="eastAsia" w:ascii="宋体" w:hAnsi="宋体" w:cs="宋体"/>
                <w:sz w:val="24"/>
                <w:szCs w:val="24"/>
              </w:rPr>
              <w:t>元</w:t>
            </w:r>
            <w:r>
              <w:rPr>
                <w:rFonts w:hint="eastAsia" w:ascii="宋体" w:hAnsi="宋体" w:cs="宋体"/>
                <w:sz w:val="24"/>
                <w:szCs w:val="24"/>
                <w:u w:val="single"/>
              </w:rPr>
              <w:t>（即招标控制价）</w:t>
            </w:r>
          </w:p>
          <w:p w14:paraId="7F1BB0BD">
            <w:pPr>
              <w:spacing w:line="276" w:lineRule="auto"/>
              <w:jc w:val="left"/>
              <w:rPr>
                <w:rFonts w:ascii="宋体" w:hAnsi="宋体" w:cs="宋体"/>
                <w:szCs w:val="21"/>
              </w:rPr>
            </w:pPr>
            <w:r>
              <w:rPr>
                <w:rFonts w:hint="eastAsia" w:ascii="宋体" w:hAnsi="宋体" w:cs="宋体"/>
                <w:sz w:val="24"/>
                <w:szCs w:val="24"/>
              </w:rPr>
              <w:t>注：投标报价不得超过项目的最高投标限价。</w:t>
            </w:r>
          </w:p>
        </w:tc>
      </w:tr>
      <w:tr w14:paraId="152A16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76" w:hRule="atLeast"/>
        </w:trPr>
        <w:tc>
          <w:tcPr>
            <w:tcW w:w="1101" w:type="dxa"/>
            <w:vAlign w:val="center"/>
          </w:tcPr>
          <w:p w14:paraId="26B12523">
            <w:pPr>
              <w:snapToGrid w:val="0"/>
              <w:jc w:val="center"/>
              <w:rPr>
                <w:rFonts w:ascii="宋体" w:hAnsi="宋体" w:cs="宋体"/>
                <w:sz w:val="24"/>
                <w:szCs w:val="24"/>
              </w:rPr>
            </w:pPr>
            <w:r>
              <w:rPr>
                <w:rFonts w:hint="eastAsia" w:ascii="宋体" w:hAnsi="宋体" w:cs="宋体"/>
                <w:sz w:val="24"/>
                <w:szCs w:val="24"/>
              </w:rPr>
              <w:t>3.2.5</w:t>
            </w:r>
          </w:p>
        </w:tc>
        <w:tc>
          <w:tcPr>
            <w:tcW w:w="2409" w:type="dxa"/>
            <w:vAlign w:val="center"/>
          </w:tcPr>
          <w:p w14:paraId="74EA81FC">
            <w:pPr>
              <w:snapToGrid w:val="0"/>
              <w:jc w:val="center"/>
              <w:rPr>
                <w:rFonts w:ascii="宋体" w:hAnsi="宋体" w:cs="宋体"/>
                <w:sz w:val="24"/>
                <w:szCs w:val="24"/>
              </w:rPr>
            </w:pPr>
            <w:r>
              <w:rPr>
                <w:rFonts w:hint="eastAsia" w:ascii="宋体" w:hAnsi="宋体" w:cs="宋体"/>
                <w:sz w:val="24"/>
                <w:szCs w:val="24"/>
              </w:rPr>
              <w:t>投标报价的其他要求</w:t>
            </w:r>
          </w:p>
        </w:tc>
        <w:tc>
          <w:tcPr>
            <w:tcW w:w="6096" w:type="dxa"/>
            <w:vAlign w:val="center"/>
          </w:tcPr>
          <w:p w14:paraId="63898B51">
            <w:pPr>
              <w:spacing w:line="276" w:lineRule="auto"/>
              <w:rPr>
                <w:rFonts w:ascii="宋体" w:hAnsi="宋体" w:cs="宋体"/>
                <w:sz w:val="24"/>
                <w:szCs w:val="24"/>
              </w:rPr>
            </w:pPr>
            <w:r>
              <w:rPr>
                <w:rFonts w:hint="eastAsia" w:ascii="宋体" w:hAnsi="宋体" w:cs="宋体"/>
                <w:sz w:val="24"/>
                <w:szCs w:val="24"/>
              </w:rPr>
              <w:t>投标报价超过最高投标限价的投标文件将被否决其投标。投标人的报价，应是其按第五章“委托人要求”完成监理工作的所有费用，凡在本项目合同中提及即与监理服务有关的一切费用均含在监理酬金中，具体包括人员工资、福利、社保、办公费用（资料费、电脑、打印机、复印机等办公设备及耗材费）、受托人为监理本项目使用的设备和设施费用、交通差旅费用、餐费、管理费、利润、税金等一切费用。</w:t>
            </w:r>
          </w:p>
          <w:p w14:paraId="2EB29C7C">
            <w:pPr>
              <w:snapToGrid w:val="0"/>
              <w:spacing w:line="276" w:lineRule="auto"/>
              <w:rPr>
                <w:rFonts w:ascii="宋体" w:hAnsi="宋体" w:cs="宋体"/>
                <w:sz w:val="24"/>
                <w:szCs w:val="24"/>
              </w:rPr>
            </w:pPr>
            <w:r>
              <w:rPr>
                <w:rFonts w:hint="eastAsia" w:ascii="宋体" w:hAnsi="宋体" w:cs="宋体"/>
                <w:sz w:val="24"/>
                <w:szCs w:val="24"/>
              </w:rPr>
              <w:t>投标人必须详细审阅全部招标文件及招标相关资料,充分考虑职责和义务,全面地理解招标文件对投标报价的要求,并按招标人提出的条件及内容进行报价。</w:t>
            </w:r>
          </w:p>
        </w:tc>
      </w:tr>
      <w:tr w14:paraId="01D751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Align w:val="center"/>
          </w:tcPr>
          <w:p w14:paraId="0AB82F41">
            <w:pPr>
              <w:snapToGrid w:val="0"/>
              <w:jc w:val="center"/>
              <w:rPr>
                <w:rFonts w:ascii="宋体" w:hAnsi="宋体" w:cs="宋体"/>
                <w:sz w:val="24"/>
                <w:szCs w:val="24"/>
              </w:rPr>
            </w:pPr>
            <w:r>
              <w:rPr>
                <w:rFonts w:hint="eastAsia" w:ascii="宋体" w:hAnsi="宋体" w:cs="宋体"/>
                <w:sz w:val="24"/>
                <w:szCs w:val="24"/>
              </w:rPr>
              <w:t>3.3.1</w:t>
            </w:r>
          </w:p>
        </w:tc>
        <w:tc>
          <w:tcPr>
            <w:tcW w:w="2409" w:type="dxa"/>
            <w:vAlign w:val="center"/>
          </w:tcPr>
          <w:p w14:paraId="56F9801E">
            <w:pPr>
              <w:snapToGrid w:val="0"/>
              <w:jc w:val="center"/>
              <w:rPr>
                <w:rFonts w:ascii="宋体" w:hAnsi="宋体" w:cs="宋体"/>
                <w:sz w:val="24"/>
                <w:szCs w:val="24"/>
              </w:rPr>
            </w:pPr>
            <w:r>
              <w:rPr>
                <w:rFonts w:hint="eastAsia" w:ascii="宋体" w:hAnsi="宋体" w:cs="宋体"/>
                <w:sz w:val="24"/>
                <w:szCs w:val="24"/>
              </w:rPr>
              <w:t>投标有效期</w:t>
            </w:r>
          </w:p>
        </w:tc>
        <w:tc>
          <w:tcPr>
            <w:tcW w:w="6096" w:type="dxa"/>
            <w:vAlign w:val="center"/>
          </w:tcPr>
          <w:p w14:paraId="3CB4DEE2">
            <w:pPr>
              <w:snapToGrid w:val="0"/>
              <w:rPr>
                <w:rFonts w:ascii="宋体" w:hAnsi="宋体" w:cs="宋体"/>
                <w:sz w:val="24"/>
                <w:szCs w:val="24"/>
              </w:rPr>
            </w:pPr>
            <w:bookmarkStart w:id="119" w:name="_Toc384308207"/>
            <w:bookmarkStart w:id="120" w:name="_Toc300834946"/>
            <w:bookmarkStart w:id="121" w:name="_Toc1789"/>
            <w:bookmarkStart w:id="122" w:name="_Toc352691470"/>
            <w:bookmarkStart w:id="123" w:name="_Toc369531512"/>
            <w:bookmarkStart w:id="124" w:name="_Toc361508582"/>
            <w:r>
              <w:rPr>
                <w:rFonts w:hint="eastAsia" w:ascii="宋体" w:hAnsi="宋体" w:cs="宋体"/>
                <w:sz w:val="24"/>
                <w:szCs w:val="24"/>
                <w:u w:val="single"/>
              </w:rPr>
              <w:t>120</w:t>
            </w:r>
            <w:r>
              <w:rPr>
                <w:rFonts w:hint="eastAsia" w:ascii="宋体" w:hAnsi="宋体" w:cs="宋体"/>
                <w:sz w:val="24"/>
                <w:szCs w:val="24"/>
              </w:rPr>
              <w:t>日历天（从投标截止之日算起）。</w:t>
            </w:r>
          </w:p>
        </w:tc>
      </w:tr>
      <w:bookmarkEnd w:id="119"/>
      <w:bookmarkEnd w:id="120"/>
      <w:bookmarkEnd w:id="121"/>
      <w:bookmarkEnd w:id="122"/>
      <w:bookmarkEnd w:id="123"/>
      <w:bookmarkEnd w:id="124"/>
      <w:tr w14:paraId="46B1D9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36" w:hRule="atLeast"/>
        </w:trPr>
        <w:tc>
          <w:tcPr>
            <w:tcW w:w="1101" w:type="dxa"/>
            <w:vAlign w:val="center"/>
          </w:tcPr>
          <w:p w14:paraId="3C672D4E">
            <w:pPr>
              <w:snapToGrid w:val="0"/>
              <w:jc w:val="center"/>
              <w:rPr>
                <w:rFonts w:ascii="宋体" w:hAnsi="宋体" w:cs="宋体"/>
                <w:sz w:val="24"/>
                <w:szCs w:val="24"/>
              </w:rPr>
            </w:pPr>
            <w:r>
              <w:rPr>
                <w:rFonts w:hint="eastAsia" w:ascii="宋体" w:hAnsi="宋体" w:cs="宋体"/>
                <w:sz w:val="24"/>
                <w:szCs w:val="24"/>
              </w:rPr>
              <w:t>3.4.1</w:t>
            </w:r>
          </w:p>
        </w:tc>
        <w:tc>
          <w:tcPr>
            <w:tcW w:w="2409" w:type="dxa"/>
            <w:vAlign w:val="center"/>
          </w:tcPr>
          <w:p w14:paraId="5D41CFEB">
            <w:pPr>
              <w:snapToGrid w:val="0"/>
              <w:jc w:val="center"/>
              <w:rPr>
                <w:rFonts w:ascii="宋体" w:hAnsi="宋体" w:cs="宋体"/>
                <w:sz w:val="24"/>
                <w:szCs w:val="24"/>
              </w:rPr>
            </w:pPr>
            <w:r>
              <w:rPr>
                <w:rFonts w:hint="eastAsia" w:ascii="宋体" w:hAnsi="宋体" w:cs="宋体"/>
                <w:sz w:val="24"/>
                <w:szCs w:val="24"/>
              </w:rPr>
              <w:t>投标保证金</w:t>
            </w:r>
          </w:p>
        </w:tc>
        <w:tc>
          <w:tcPr>
            <w:tcW w:w="6096" w:type="dxa"/>
            <w:vAlign w:val="center"/>
          </w:tcPr>
          <w:p w14:paraId="40D25F42">
            <w:pPr>
              <w:pStyle w:val="8"/>
              <w:topLinePunct/>
              <w:spacing w:line="400" w:lineRule="exact"/>
              <w:rPr>
                <w:rFonts w:ascii="宋体" w:hAnsi="宋体" w:cs="宋体"/>
                <w:kern w:val="2"/>
                <w:sz w:val="24"/>
                <w:szCs w:val="24"/>
              </w:rPr>
            </w:pPr>
            <w:r>
              <w:rPr>
                <w:rFonts w:hint="eastAsia" w:ascii="宋体" w:hAnsi="宋体" w:cs="宋体"/>
                <w:kern w:val="2"/>
                <w:sz w:val="24"/>
                <w:szCs w:val="24"/>
              </w:rPr>
              <w:t>是否要求投标人递交投标保证金：</w:t>
            </w:r>
          </w:p>
          <w:p w14:paraId="619D4E9A">
            <w:pPr>
              <w:pStyle w:val="8"/>
              <w:topLinePunct/>
              <w:spacing w:line="400" w:lineRule="exact"/>
              <w:rPr>
                <w:rFonts w:ascii="宋体" w:hAnsi="宋体" w:cs="宋体"/>
                <w:kern w:val="2"/>
                <w:sz w:val="24"/>
                <w:szCs w:val="24"/>
              </w:rPr>
            </w:pPr>
            <w:r>
              <w:rPr>
                <w:rFonts w:hint="eastAsia" w:ascii="宋体" w:hAnsi="宋体" w:cs="宋体"/>
                <w:spacing w:val="-1"/>
                <w:sz w:val="18"/>
                <w:szCs w:val="24"/>
                <w:bdr w:val="single" w:color="auto" w:sz="4" w:space="0"/>
              </w:rPr>
              <w:t>√</w:t>
            </w:r>
            <w:r>
              <w:rPr>
                <w:rFonts w:hint="eastAsia" w:ascii="宋体" w:hAnsi="宋体" w:cs="宋体"/>
                <w:kern w:val="2"/>
                <w:sz w:val="24"/>
                <w:szCs w:val="24"/>
              </w:rPr>
              <w:t>不要求递交投标保证金。</w:t>
            </w:r>
          </w:p>
          <w:p w14:paraId="6ADD4BCD">
            <w:pPr>
              <w:pStyle w:val="8"/>
              <w:topLinePunct/>
              <w:spacing w:line="400" w:lineRule="exact"/>
              <w:rPr>
                <w:rFonts w:ascii="宋体" w:hAnsi="宋体" w:cs="宋体"/>
                <w:kern w:val="2"/>
                <w:sz w:val="24"/>
                <w:szCs w:val="24"/>
              </w:rPr>
            </w:pPr>
            <w:r>
              <w:rPr>
                <w:rFonts w:hint="eastAsia" w:ascii="宋体" w:hAnsi="宋体" w:cs="宋体"/>
                <w:kern w:val="2"/>
                <w:sz w:val="24"/>
                <w:szCs w:val="24"/>
              </w:rPr>
              <w:t>□要求，投标保证金的金额：</w:t>
            </w:r>
            <w:r>
              <w:rPr>
                <w:rFonts w:hint="eastAsia" w:ascii="宋体" w:hAnsi="宋体" w:cs="宋体"/>
                <w:kern w:val="2"/>
                <w:sz w:val="24"/>
                <w:szCs w:val="24"/>
                <w:u w:val="single"/>
              </w:rPr>
              <w:t xml:space="preserve">/ </w:t>
            </w:r>
          </w:p>
        </w:tc>
      </w:tr>
      <w:tr w14:paraId="2BA399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1101" w:type="dxa"/>
            <w:vAlign w:val="center"/>
          </w:tcPr>
          <w:p w14:paraId="2FFF6D11">
            <w:pPr>
              <w:snapToGrid w:val="0"/>
              <w:jc w:val="center"/>
              <w:rPr>
                <w:rFonts w:ascii="宋体" w:hAnsi="宋体" w:cs="宋体"/>
                <w:sz w:val="24"/>
                <w:szCs w:val="24"/>
              </w:rPr>
            </w:pPr>
            <w:r>
              <w:rPr>
                <w:rFonts w:hint="eastAsia" w:ascii="宋体" w:hAnsi="宋体" w:cs="宋体"/>
                <w:sz w:val="24"/>
                <w:szCs w:val="24"/>
              </w:rPr>
              <w:t>3.4.4</w:t>
            </w:r>
          </w:p>
        </w:tc>
        <w:tc>
          <w:tcPr>
            <w:tcW w:w="2409" w:type="dxa"/>
            <w:vAlign w:val="center"/>
          </w:tcPr>
          <w:p w14:paraId="7507FC17">
            <w:pPr>
              <w:snapToGrid w:val="0"/>
              <w:jc w:val="center"/>
              <w:rPr>
                <w:rFonts w:ascii="宋体" w:hAnsi="宋体" w:cs="宋体"/>
                <w:sz w:val="24"/>
                <w:szCs w:val="24"/>
              </w:rPr>
            </w:pPr>
            <w:r>
              <w:rPr>
                <w:rFonts w:hint="eastAsia" w:ascii="宋体" w:hAnsi="宋体" w:cs="宋体"/>
                <w:sz w:val="24"/>
                <w:szCs w:val="24"/>
              </w:rPr>
              <w:t>其他可以不予退还投标保证金的情形</w:t>
            </w:r>
          </w:p>
        </w:tc>
        <w:tc>
          <w:tcPr>
            <w:tcW w:w="6096" w:type="dxa"/>
            <w:vAlign w:val="center"/>
          </w:tcPr>
          <w:p w14:paraId="4E5EF32B">
            <w:pPr>
              <w:snapToGrid w:val="0"/>
              <w:rPr>
                <w:rFonts w:ascii="宋体" w:hAnsi="宋体" w:cs="宋体"/>
                <w:sz w:val="24"/>
                <w:szCs w:val="24"/>
              </w:rPr>
            </w:pPr>
            <w:r>
              <w:rPr>
                <w:rFonts w:hint="eastAsia" w:ascii="宋体" w:hAnsi="宋体" w:cs="宋体"/>
                <w:sz w:val="24"/>
                <w:szCs w:val="24"/>
                <w:u w:val="single"/>
              </w:rPr>
              <w:t>/</w:t>
            </w:r>
          </w:p>
        </w:tc>
      </w:tr>
      <w:tr w14:paraId="6A4D3F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1101" w:type="dxa"/>
            <w:vAlign w:val="center"/>
          </w:tcPr>
          <w:p w14:paraId="3E3EFEA4">
            <w:pPr>
              <w:snapToGrid w:val="0"/>
              <w:jc w:val="center"/>
              <w:rPr>
                <w:rFonts w:ascii="宋体" w:hAnsi="宋体" w:cs="宋体"/>
                <w:sz w:val="24"/>
                <w:szCs w:val="24"/>
              </w:rPr>
            </w:pPr>
            <w:r>
              <w:rPr>
                <w:rFonts w:hint="eastAsia" w:ascii="宋体" w:hAnsi="宋体" w:cs="宋体"/>
                <w:sz w:val="24"/>
                <w:szCs w:val="24"/>
              </w:rPr>
              <w:t>3.5</w:t>
            </w:r>
          </w:p>
        </w:tc>
        <w:tc>
          <w:tcPr>
            <w:tcW w:w="2409" w:type="dxa"/>
            <w:vAlign w:val="center"/>
          </w:tcPr>
          <w:p w14:paraId="11BBB777">
            <w:pPr>
              <w:snapToGrid w:val="0"/>
              <w:jc w:val="center"/>
              <w:rPr>
                <w:rFonts w:ascii="宋体" w:hAnsi="宋体" w:cs="宋体"/>
                <w:sz w:val="24"/>
                <w:szCs w:val="24"/>
              </w:rPr>
            </w:pPr>
            <w:r>
              <w:rPr>
                <w:rFonts w:hint="eastAsia" w:ascii="宋体" w:hAnsi="宋体" w:cs="宋体"/>
                <w:sz w:val="24"/>
                <w:szCs w:val="24"/>
              </w:rPr>
              <w:t>资格审查资料的特殊要求</w:t>
            </w:r>
          </w:p>
        </w:tc>
        <w:tc>
          <w:tcPr>
            <w:tcW w:w="6096" w:type="dxa"/>
            <w:vAlign w:val="center"/>
          </w:tcPr>
          <w:p w14:paraId="697A1A8F">
            <w:pPr>
              <w:pStyle w:val="8"/>
              <w:topLinePunct/>
              <w:snapToGrid w:val="0"/>
              <w:spacing w:line="276" w:lineRule="auto"/>
              <w:rPr>
                <w:rFonts w:ascii="宋体" w:hAnsi="宋体" w:cs="宋体"/>
                <w:spacing w:val="-1"/>
                <w:kern w:val="2"/>
                <w:sz w:val="24"/>
                <w:szCs w:val="24"/>
              </w:rPr>
            </w:pPr>
            <w:r>
              <w:rPr>
                <w:rFonts w:hint="eastAsia" w:ascii="宋体" w:hAnsi="宋体" w:cs="宋体"/>
                <w:spacing w:val="-1"/>
                <w:kern w:val="2"/>
                <w:sz w:val="24"/>
                <w:szCs w:val="24"/>
              </w:rPr>
              <w:t>☑无</w:t>
            </w:r>
          </w:p>
          <w:p w14:paraId="0C59C0FC">
            <w:pPr>
              <w:snapToGrid w:val="0"/>
              <w:spacing w:line="276" w:lineRule="auto"/>
              <w:rPr>
                <w:rFonts w:ascii="宋体" w:hAnsi="宋体" w:cs="宋体"/>
                <w:sz w:val="24"/>
                <w:szCs w:val="24"/>
              </w:rPr>
            </w:pPr>
            <w:r>
              <w:rPr>
                <w:rFonts w:hint="eastAsia" w:ascii="宋体" w:hAnsi="宋体" w:cs="宋体"/>
                <w:spacing w:val="-1"/>
                <w:sz w:val="24"/>
                <w:szCs w:val="24"/>
              </w:rPr>
              <w:t>□有，具体要求： /</w:t>
            </w:r>
          </w:p>
        </w:tc>
      </w:tr>
      <w:tr w14:paraId="688264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1101" w:type="dxa"/>
            <w:vAlign w:val="center"/>
          </w:tcPr>
          <w:p w14:paraId="308F43FB">
            <w:pPr>
              <w:snapToGrid w:val="0"/>
              <w:jc w:val="center"/>
              <w:rPr>
                <w:rFonts w:ascii="宋体" w:hAnsi="宋体" w:cs="宋体"/>
                <w:sz w:val="24"/>
                <w:szCs w:val="24"/>
              </w:rPr>
            </w:pPr>
            <w:r>
              <w:rPr>
                <w:rFonts w:hint="eastAsia" w:ascii="宋体" w:hAnsi="宋体" w:cs="宋体"/>
                <w:sz w:val="24"/>
                <w:szCs w:val="24"/>
              </w:rPr>
              <w:t>3.5.2</w:t>
            </w:r>
          </w:p>
        </w:tc>
        <w:tc>
          <w:tcPr>
            <w:tcW w:w="2409" w:type="dxa"/>
            <w:vAlign w:val="center"/>
          </w:tcPr>
          <w:p w14:paraId="032FC004">
            <w:pPr>
              <w:snapToGrid w:val="0"/>
              <w:jc w:val="center"/>
              <w:rPr>
                <w:rFonts w:ascii="宋体" w:hAnsi="宋体" w:cs="宋体"/>
                <w:sz w:val="24"/>
                <w:szCs w:val="24"/>
              </w:rPr>
            </w:pPr>
            <w:r>
              <w:rPr>
                <w:rFonts w:hint="eastAsia" w:ascii="宋体" w:hAnsi="宋体" w:cs="宋体"/>
                <w:sz w:val="24"/>
                <w:szCs w:val="24"/>
              </w:rPr>
              <w:t>近年财务状况的年份要求</w:t>
            </w:r>
          </w:p>
        </w:tc>
        <w:tc>
          <w:tcPr>
            <w:tcW w:w="6096" w:type="dxa"/>
            <w:vAlign w:val="center"/>
          </w:tcPr>
          <w:p w14:paraId="59E60609">
            <w:pPr>
              <w:snapToGrid w:val="0"/>
              <w:ind w:firstLine="240" w:firstLineChars="100"/>
              <w:rPr>
                <w:rFonts w:ascii="宋体" w:hAnsi="宋体" w:cs="宋体"/>
                <w:sz w:val="24"/>
                <w:szCs w:val="24"/>
                <w:u w:val="single"/>
              </w:rPr>
            </w:pPr>
            <w:r>
              <w:rPr>
                <w:rFonts w:hint="eastAsia" w:ascii="宋体" w:hAnsi="宋体" w:cs="宋体"/>
                <w:sz w:val="24"/>
                <w:szCs w:val="24"/>
                <w:u w:val="single"/>
              </w:rPr>
              <w:t>/</w:t>
            </w:r>
          </w:p>
        </w:tc>
      </w:tr>
      <w:tr w14:paraId="305FB8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101" w:type="dxa"/>
            <w:vAlign w:val="center"/>
          </w:tcPr>
          <w:p w14:paraId="6D4472CD">
            <w:pPr>
              <w:snapToGrid w:val="0"/>
              <w:jc w:val="center"/>
              <w:rPr>
                <w:rFonts w:ascii="宋体" w:hAnsi="宋体" w:cs="宋体"/>
                <w:sz w:val="24"/>
                <w:szCs w:val="24"/>
              </w:rPr>
            </w:pPr>
            <w:r>
              <w:rPr>
                <w:rFonts w:hint="eastAsia" w:ascii="宋体" w:hAnsi="宋体" w:cs="宋体"/>
                <w:sz w:val="24"/>
                <w:szCs w:val="24"/>
              </w:rPr>
              <w:t>3.5.3</w:t>
            </w:r>
          </w:p>
        </w:tc>
        <w:tc>
          <w:tcPr>
            <w:tcW w:w="2409" w:type="dxa"/>
            <w:vAlign w:val="center"/>
          </w:tcPr>
          <w:p w14:paraId="75F511E3">
            <w:pPr>
              <w:snapToGrid w:val="0"/>
              <w:jc w:val="center"/>
              <w:rPr>
                <w:rFonts w:ascii="宋体" w:hAnsi="宋体" w:cs="宋体"/>
                <w:sz w:val="24"/>
                <w:szCs w:val="24"/>
              </w:rPr>
            </w:pPr>
            <w:r>
              <w:rPr>
                <w:rFonts w:hint="eastAsia" w:ascii="宋体" w:hAnsi="宋体" w:cs="宋体"/>
                <w:sz w:val="24"/>
                <w:szCs w:val="24"/>
              </w:rPr>
              <w:t>近年完成的类似项目情况的时间要求</w:t>
            </w:r>
          </w:p>
        </w:tc>
        <w:tc>
          <w:tcPr>
            <w:tcW w:w="6096" w:type="dxa"/>
            <w:vAlign w:val="center"/>
          </w:tcPr>
          <w:p w14:paraId="55BC3590">
            <w:pPr>
              <w:spacing w:line="440" w:lineRule="exact"/>
              <w:ind w:firstLine="120" w:firstLineChars="50"/>
              <w:rPr>
                <w:rFonts w:ascii="宋体" w:hAnsi="宋体" w:cs="宋体"/>
                <w:sz w:val="24"/>
                <w:szCs w:val="24"/>
              </w:rPr>
            </w:pPr>
            <w:r>
              <w:rPr>
                <w:rFonts w:hint="eastAsia" w:ascii="宋体" w:hAnsi="宋体" w:cs="宋体"/>
                <w:sz w:val="24"/>
                <w:szCs w:val="24"/>
                <w:u w:val="single"/>
              </w:rPr>
              <w:t>/</w:t>
            </w:r>
          </w:p>
        </w:tc>
      </w:tr>
      <w:tr w14:paraId="59AFF2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1101" w:type="dxa"/>
            <w:vAlign w:val="center"/>
          </w:tcPr>
          <w:p w14:paraId="63282D52">
            <w:pPr>
              <w:snapToGrid w:val="0"/>
              <w:jc w:val="center"/>
              <w:rPr>
                <w:rFonts w:ascii="宋体" w:hAnsi="宋体" w:cs="宋体"/>
                <w:sz w:val="24"/>
                <w:szCs w:val="24"/>
              </w:rPr>
            </w:pPr>
            <w:r>
              <w:rPr>
                <w:rFonts w:hint="eastAsia" w:ascii="宋体" w:hAnsi="宋体" w:cs="宋体"/>
                <w:sz w:val="24"/>
                <w:szCs w:val="24"/>
              </w:rPr>
              <w:t>3.5.5</w:t>
            </w:r>
          </w:p>
        </w:tc>
        <w:tc>
          <w:tcPr>
            <w:tcW w:w="2409" w:type="dxa"/>
            <w:vAlign w:val="center"/>
          </w:tcPr>
          <w:p w14:paraId="175F8061">
            <w:pPr>
              <w:snapToGrid w:val="0"/>
              <w:jc w:val="center"/>
              <w:rPr>
                <w:rFonts w:ascii="宋体" w:hAnsi="宋体" w:cs="宋体"/>
                <w:sz w:val="24"/>
                <w:szCs w:val="24"/>
              </w:rPr>
            </w:pPr>
            <w:r>
              <w:rPr>
                <w:rFonts w:hint="eastAsia" w:ascii="宋体" w:hAnsi="宋体" w:cs="宋体"/>
                <w:sz w:val="24"/>
                <w:szCs w:val="24"/>
              </w:rPr>
              <w:t>近年发生的诉讼及仲裁情况的时间要求</w:t>
            </w:r>
          </w:p>
        </w:tc>
        <w:tc>
          <w:tcPr>
            <w:tcW w:w="6096" w:type="dxa"/>
            <w:vAlign w:val="center"/>
          </w:tcPr>
          <w:p w14:paraId="45CCB7B2">
            <w:pPr>
              <w:snapToGrid w:val="0"/>
              <w:ind w:firstLine="120" w:firstLineChars="50"/>
              <w:rPr>
                <w:rFonts w:ascii="宋体" w:hAnsi="宋体" w:cs="宋体"/>
                <w:sz w:val="24"/>
                <w:szCs w:val="24"/>
              </w:rPr>
            </w:pPr>
            <w:r>
              <w:rPr>
                <w:rFonts w:hint="eastAsia" w:ascii="宋体" w:hAnsi="宋体" w:cs="宋体"/>
                <w:sz w:val="24"/>
                <w:szCs w:val="24"/>
                <w:u w:val="single"/>
              </w:rPr>
              <w:t>/</w:t>
            </w:r>
          </w:p>
        </w:tc>
      </w:tr>
      <w:tr w14:paraId="7ECADB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1101" w:type="dxa"/>
            <w:vAlign w:val="center"/>
          </w:tcPr>
          <w:p w14:paraId="4E031CE2">
            <w:pPr>
              <w:snapToGrid w:val="0"/>
              <w:jc w:val="center"/>
              <w:rPr>
                <w:rFonts w:ascii="宋体" w:hAnsi="宋体" w:cs="宋体"/>
                <w:sz w:val="24"/>
                <w:szCs w:val="24"/>
              </w:rPr>
            </w:pPr>
            <w:r>
              <w:rPr>
                <w:rFonts w:hint="eastAsia" w:ascii="宋体" w:hAnsi="宋体" w:cs="宋体"/>
                <w:sz w:val="24"/>
                <w:szCs w:val="24"/>
              </w:rPr>
              <w:t>3.6.1</w:t>
            </w:r>
          </w:p>
        </w:tc>
        <w:tc>
          <w:tcPr>
            <w:tcW w:w="2409" w:type="dxa"/>
            <w:vAlign w:val="center"/>
          </w:tcPr>
          <w:p w14:paraId="6877E596">
            <w:pPr>
              <w:snapToGrid w:val="0"/>
              <w:jc w:val="center"/>
              <w:rPr>
                <w:rFonts w:ascii="宋体" w:hAnsi="宋体" w:cs="宋体"/>
                <w:sz w:val="24"/>
                <w:szCs w:val="24"/>
              </w:rPr>
            </w:pPr>
            <w:r>
              <w:rPr>
                <w:rFonts w:hint="eastAsia" w:ascii="宋体" w:hAnsi="宋体" w:cs="宋体"/>
                <w:sz w:val="24"/>
                <w:szCs w:val="24"/>
              </w:rPr>
              <w:t>是否允许递交备选投标方案</w:t>
            </w:r>
          </w:p>
        </w:tc>
        <w:tc>
          <w:tcPr>
            <w:tcW w:w="6096" w:type="dxa"/>
            <w:vAlign w:val="center"/>
          </w:tcPr>
          <w:p w14:paraId="5AAFA360">
            <w:pPr>
              <w:pStyle w:val="8"/>
              <w:topLinePunct/>
              <w:snapToGrid w:val="0"/>
              <w:rPr>
                <w:rFonts w:ascii="宋体" w:hAnsi="宋体" w:cs="宋体"/>
                <w:kern w:val="2"/>
                <w:sz w:val="24"/>
                <w:szCs w:val="24"/>
              </w:rPr>
            </w:pPr>
            <w:r>
              <w:rPr>
                <w:rFonts w:hint="eastAsia" w:ascii="宋体" w:hAnsi="宋体" w:cs="宋体"/>
                <w:spacing w:val="-1"/>
                <w:sz w:val="18"/>
                <w:szCs w:val="24"/>
                <w:bdr w:val="single" w:color="auto" w:sz="4" w:space="0"/>
              </w:rPr>
              <w:t>√</w:t>
            </w:r>
            <w:r>
              <w:rPr>
                <w:rFonts w:hint="eastAsia" w:ascii="宋体" w:hAnsi="宋体" w:cs="宋体"/>
                <w:kern w:val="2"/>
                <w:sz w:val="24"/>
                <w:szCs w:val="24"/>
              </w:rPr>
              <w:t>不允许</w:t>
            </w:r>
          </w:p>
          <w:p w14:paraId="1F1B8BB2">
            <w:pPr>
              <w:snapToGrid w:val="0"/>
              <w:rPr>
                <w:rFonts w:ascii="宋体" w:hAnsi="宋体" w:cs="宋体"/>
                <w:sz w:val="24"/>
                <w:szCs w:val="24"/>
              </w:rPr>
            </w:pPr>
            <w:r>
              <w:rPr>
                <w:rFonts w:hint="eastAsia" w:ascii="宋体" w:hAnsi="宋体" w:cs="宋体"/>
                <w:sz w:val="24"/>
                <w:szCs w:val="24"/>
              </w:rPr>
              <w:t>□允许</w:t>
            </w:r>
          </w:p>
        </w:tc>
      </w:tr>
      <w:tr w14:paraId="52D586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51" w:hRule="atLeast"/>
        </w:trPr>
        <w:tc>
          <w:tcPr>
            <w:tcW w:w="1101" w:type="dxa"/>
            <w:vAlign w:val="center"/>
          </w:tcPr>
          <w:p w14:paraId="475DDF92">
            <w:pPr>
              <w:snapToGrid w:val="0"/>
              <w:jc w:val="center"/>
              <w:rPr>
                <w:rFonts w:ascii="宋体" w:hAnsi="宋体" w:cs="宋体"/>
                <w:sz w:val="24"/>
                <w:szCs w:val="24"/>
              </w:rPr>
            </w:pPr>
            <w:r>
              <w:rPr>
                <w:rFonts w:hint="eastAsia" w:ascii="宋体" w:hAnsi="宋体" w:cs="宋体"/>
                <w:sz w:val="24"/>
                <w:szCs w:val="24"/>
              </w:rPr>
              <w:t>3.7.3 A</w:t>
            </w:r>
          </w:p>
          <w:p w14:paraId="7756B722">
            <w:pPr>
              <w:snapToGrid w:val="0"/>
              <w:jc w:val="center"/>
              <w:rPr>
                <w:rFonts w:ascii="宋体" w:hAnsi="宋体" w:cs="宋体"/>
                <w:sz w:val="24"/>
                <w:szCs w:val="24"/>
              </w:rPr>
            </w:pPr>
            <w:r>
              <w:rPr>
                <w:rFonts w:hint="eastAsia" w:ascii="宋体" w:hAnsi="宋体" w:cs="宋体"/>
                <w:sz w:val="24"/>
                <w:szCs w:val="24"/>
              </w:rPr>
              <w:t>（1）</w:t>
            </w:r>
          </w:p>
        </w:tc>
        <w:tc>
          <w:tcPr>
            <w:tcW w:w="2409" w:type="dxa"/>
            <w:vAlign w:val="center"/>
          </w:tcPr>
          <w:p w14:paraId="54BC7E0C">
            <w:pPr>
              <w:snapToGrid w:val="0"/>
              <w:jc w:val="left"/>
              <w:rPr>
                <w:rFonts w:ascii="宋体" w:hAnsi="宋体" w:cs="宋体"/>
                <w:sz w:val="24"/>
                <w:szCs w:val="24"/>
              </w:rPr>
            </w:pPr>
            <w:r>
              <w:rPr>
                <w:rFonts w:hint="eastAsia" w:ascii="宋体" w:hAnsi="宋体" w:cs="宋体"/>
                <w:sz w:val="24"/>
                <w:szCs w:val="24"/>
              </w:rPr>
              <w:t>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tc>
        <w:tc>
          <w:tcPr>
            <w:tcW w:w="6096" w:type="dxa"/>
            <w:vAlign w:val="center"/>
          </w:tcPr>
          <w:p w14:paraId="5E3C855F">
            <w:pPr>
              <w:snapToGrid w:val="0"/>
              <w:jc w:val="left"/>
              <w:rPr>
                <w:rFonts w:ascii="宋体" w:hAnsi="宋体" w:cs="宋体"/>
                <w:sz w:val="24"/>
                <w:szCs w:val="24"/>
                <w:u w:val="single"/>
              </w:rPr>
            </w:pPr>
            <w:r>
              <w:rPr>
                <w:rFonts w:hint="eastAsia" w:ascii="宋体" w:hAnsi="宋体" w:cs="宋体"/>
                <w:sz w:val="24"/>
                <w:szCs w:val="24"/>
                <w:u w:val="single"/>
              </w:rPr>
              <w:t>本项目不适用。</w:t>
            </w:r>
          </w:p>
        </w:tc>
      </w:tr>
      <w:tr w14:paraId="5D5E3D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6" w:hRule="atLeast"/>
        </w:trPr>
        <w:tc>
          <w:tcPr>
            <w:tcW w:w="1101" w:type="dxa"/>
            <w:vAlign w:val="center"/>
          </w:tcPr>
          <w:p w14:paraId="649F232D">
            <w:pPr>
              <w:snapToGrid w:val="0"/>
              <w:jc w:val="center"/>
              <w:rPr>
                <w:rFonts w:ascii="宋体" w:hAnsi="宋体" w:cs="宋体"/>
                <w:sz w:val="24"/>
                <w:szCs w:val="24"/>
              </w:rPr>
            </w:pPr>
            <w:r>
              <w:rPr>
                <w:rFonts w:hint="eastAsia" w:ascii="宋体" w:hAnsi="宋体" w:cs="宋体"/>
                <w:sz w:val="24"/>
                <w:szCs w:val="24"/>
              </w:rPr>
              <w:t>3.7.3 A</w:t>
            </w:r>
          </w:p>
          <w:p w14:paraId="481574BA">
            <w:pPr>
              <w:snapToGrid w:val="0"/>
              <w:jc w:val="center"/>
              <w:rPr>
                <w:rFonts w:ascii="宋体" w:hAnsi="宋体" w:cs="宋体"/>
                <w:sz w:val="24"/>
                <w:szCs w:val="24"/>
              </w:rPr>
            </w:pPr>
            <w:r>
              <w:rPr>
                <w:rFonts w:hint="eastAsia" w:ascii="宋体" w:hAnsi="宋体" w:cs="宋体"/>
                <w:sz w:val="24"/>
                <w:szCs w:val="24"/>
              </w:rPr>
              <w:t>（2）</w:t>
            </w:r>
          </w:p>
        </w:tc>
        <w:tc>
          <w:tcPr>
            <w:tcW w:w="2409" w:type="dxa"/>
            <w:vAlign w:val="center"/>
          </w:tcPr>
          <w:p w14:paraId="7A2BD550">
            <w:pPr>
              <w:snapToGrid w:val="0"/>
              <w:jc w:val="center"/>
              <w:rPr>
                <w:rFonts w:ascii="宋体" w:hAnsi="宋体" w:cs="宋体"/>
                <w:sz w:val="24"/>
                <w:szCs w:val="24"/>
              </w:rPr>
            </w:pPr>
            <w:r>
              <w:rPr>
                <w:rFonts w:hint="eastAsia" w:ascii="宋体" w:hAnsi="宋体" w:cs="宋体"/>
                <w:sz w:val="24"/>
                <w:szCs w:val="24"/>
              </w:rPr>
              <w:t>投标文件副本份数及其他要求</w:t>
            </w:r>
          </w:p>
        </w:tc>
        <w:tc>
          <w:tcPr>
            <w:tcW w:w="6096" w:type="dxa"/>
            <w:vAlign w:val="center"/>
          </w:tcPr>
          <w:p w14:paraId="7EA364C8">
            <w:pPr>
              <w:snapToGrid w:val="0"/>
              <w:jc w:val="left"/>
              <w:rPr>
                <w:rFonts w:ascii="宋体" w:hAnsi="宋体" w:cs="宋体"/>
                <w:sz w:val="24"/>
                <w:szCs w:val="24"/>
              </w:rPr>
            </w:pPr>
            <w:r>
              <w:rPr>
                <w:rFonts w:hint="eastAsia" w:ascii="宋体" w:hAnsi="宋体" w:cs="宋体"/>
                <w:sz w:val="24"/>
                <w:szCs w:val="24"/>
                <w:u w:val="single"/>
              </w:rPr>
              <w:t>本项目不适用。</w:t>
            </w:r>
          </w:p>
        </w:tc>
      </w:tr>
      <w:tr w14:paraId="155AE5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0" w:hRule="atLeast"/>
        </w:trPr>
        <w:tc>
          <w:tcPr>
            <w:tcW w:w="1101" w:type="dxa"/>
            <w:vAlign w:val="center"/>
          </w:tcPr>
          <w:p w14:paraId="03618093">
            <w:pPr>
              <w:snapToGrid w:val="0"/>
              <w:jc w:val="center"/>
              <w:rPr>
                <w:rFonts w:ascii="宋体" w:hAnsi="宋体" w:cs="宋体"/>
                <w:sz w:val="24"/>
                <w:szCs w:val="24"/>
              </w:rPr>
            </w:pPr>
            <w:r>
              <w:rPr>
                <w:rFonts w:hint="eastAsia" w:ascii="宋体" w:hAnsi="宋体" w:cs="宋体"/>
                <w:sz w:val="24"/>
                <w:szCs w:val="24"/>
              </w:rPr>
              <w:t>3.7.3A（3）</w:t>
            </w:r>
          </w:p>
        </w:tc>
        <w:tc>
          <w:tcPr>
            <w:tcW w:w="2409" w:type="dxa"/>
            <w:vAlign w:val="center"/>
          </w:tcPr>
          <w:p w14:paraId="4E8E2838">
            <w:pPr>
              <w:snapToGrid w:val="0"/>
              <w:jc w:val="center"/>
              <w:rPr>
                <w:rFonts w:ascii="宋体" w:hAnsi="宋体" w:cs="宋体"/>
                <w:sz w:val="24"/>
                <w:szCs w:val="24"/>
              </w:rPr>
            </w:pPr>
            <w:r>
              <w:rPr>
                <w:rFonts w:hint="eastAsia" w:ascii="宋体" w:hAnsi="宋体" w:cs="宋体"/>
                <w:sz w:val="24"/>
                <w:szCs w:val="24"/>
              </w:rPr>
              <w:t>投标文件是否需分册装订</w:t>
            </w:r>
          </w:p>
        </w:tc>
        <w:tc>
          <w:tcPr>
            <w:tcW w:w="6096" w:type="dxa"/>
            <w:vAlign w:val="center"/>
          </w:tcPr>
          <w:p w14:paraId="3EA9DB9D">
            <w:pPr>
              <w:snapToGrid w:val="0"/>
              <w:rPr>
                <w:rFonts w:ascii="宋体" w:hAnsi="宋体" w:cs="宋体"/>
                <w:sz w:val="24"/>
                <w:szCs w:val="24"/>
              </w:rPr>
            </w:pPr>
            <w:r>
              <w:rPr>
                <w:rFonts w:hint="eastAsia" w:ascii="宋体" w:hAnsi="宋体" w:cs="宋体"/>
                <w:sz w:val="24"/>
                <w:szCs w:val="24"/>
                <w:u w:val="single"/>
              </w:rPr>
              <w:t>本项目不适用。</w:t>
            </w:r>
          </w:p>
        </w:tc>
      </w:tr>
      <w:tr w14:paraId="1343B1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5" w:hRule="atLeast"/>
        </w:trPr>
        <w:tc>
          <w:tcPr>
            <w:tcW w:w="1101" w:type="dxa"/>
            <w:vAlign w:val="center"/>
          </w:tcPr>
          <w:p w14:paraId="5B2D2781">
            <w:pPr>
              <w:snapToGrid w:val="0"/>
              <w:jc w:val="center"/>
              <w:rPr>
                <w:rFonts w:ascii="宋体" w:hAnsi="宋体" w:cs="宋体"/>
                <w:sz w:val="24"/>
                <w:szCs w:val="24"/>
              </w:rPr>
            </w:pPr>
            <w:r>
              <w:rPr>
                <w:rFonts w:hint="eastAsia" w:ascii="宋体" w:hAnsi="宋体" w:cs="宋体"/>
                <w:sz w:val="24"/>
                <w:szCs w:val="24"/>
              </w:rPr>
              <w:t>3.7.3（B）</w:t>
            </w:r>
          </w:p>
        </w:tc>
        <w:tc>
          <w:tcPr>
            <w:tcW w:w="2409" w:type="dxa"/>
            <w:vAlign w:val="center"/>
          </w:tcPr>
          <w:p w14:paraId="6E516C82">
            <w:pPr>
              <w:snapToGrid w:val="0"/>
              <w:jc w:val="center"/>
              <w:rPr>
                <w:rFonts w:ascii="宋体" w:hAnsi="宋体" w:cs="宋体"/>
                <w:sz w:val="24"/>
                <w:szCs w:val="24"/>
              </w:rPr>
            </w:pPr>
            <w:r>
              <w:rPr>
                <w:rFonts w:hint="eastAsia" w:ascii="宋体" w:hAnsi="宋体" w:cs="宋体"/>
                <w:sz w:val="24"/>
                <w:szCs w:val="24"/>
              </w:rPr>
              <w:t>投标文件所附证书证件要求</w:t>
            </w:r>
          </w:p>
        </w:tc>
        <w:tc>
          <w:tcPr>
            <w:tcW w:w="6096" w:type="dxa"/>
            <w:vAlign w:val="center"/>
          </w:tcPr>
          <w:p w14:paraId="44BC9F9A">
            <w:pPr>
              <w:snapToGrid w:val="0"/>
              <w:spacing w:line="276" w:lineRule="auto"/>
              <w:rPr>
                <w:rFonts w:ascii="宋体" w:hAnsi="宋体" w:cs="宋体"/>
                <w:sz w:val="24"/>
                <w:szCs w:val="24"/>
                <w:u w:val="single"/>
              </w:rPr>
            </w:pPr>
            <w:r>
              <w:rPr>
                <w:rFonts w:hint="eastAsia" w:ascii="宋体" w:hAnsi="宋体" w:cs="宋体"/>
                <w:sz w:val="24"/>
                <w:szCs w:val="24"/>
                <w:u w:val="single"/>
              </w:rPr>
              <w:t>证书证件需为原件清晰扫描件，并采用单位数字证书，按照招标文件要求在相应位置加盖电子印章。</w:t>
            </w:r>
          </w:p>
        </w:tc>
      </w:tr>
      <w:tr w14:paraId="492448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Align w:val="center"/>
          </w:tcPr>
          <w:p w14:paraId="270A1EE2">
            <w:pPr>
              <w:snapToGrid w:val="0"/>
              <w:jc w:val="center"/>
              <w:rPr>
                <w:rFonts w:ascii="宋体" w:hAnsi="宋体" w:cs="宋体"/>
                <w:sz w:val="24"/>
                <w:szCs w:val="24"/>
              </w:rPr>
            </w:pPr>
            <w:r>
              <w:rPr>
                <w:rFonts w:hint="eastAsia" w:ascii="宋体" w:hAnsi="宋体" w:cs="宋体"/>
                <w:sz w:val="24"/>
                <w:szCs w:val="24"/>
              </w:rPr>
              <w:t>3.7.3（B）</w:t>
            </w:r>
          </w:p>
        </w:tc>
        <w:tc>
          <w:tcPr>
            <w:tcW w:w="2409" w:type="dxa"/>
            <w:vAlign w:val="center"/>
          </w:tcPr>
          <w:p w14:paraId="4A4F8A29">
            <w:pPr>
              <w:snapToGrid w:val="0"/>
              <w:jc w:val="center"/>
              <w:rPr>
                <w:rFonts w:ascii="宋体" w:hAnsi="宋体" w:cs="宋体"/>
                <w:sz w:val="24"/>
                <w:szCs w:val="24"/>
              </w:rPr>
            </w:pPr>
            <w:r>
              <w:rPr>
                <w:rFonts w:hint="eastAsia" w:ascii="宋体" w:hAnsi="宋体" w:cs="宋体"/>
                <w:sz w:val="24"/>
                <w:szCs w:val="24"/>
              </w:rPr>
              <w:t>投标文件签字或盖章要求</w:t>
            </w:r>
          </w:p>
        </w:tc>
        <w:tc>
          <w:tcPr>
            <w:tcW w:w="6096" w:type="dxa"/>
            <w:vAlign w:val="center"/>
          </w:tcPr>
          <w:p w14:paraId="68741A5D">
            <w:pPr>
              <w:pStyle w:val="8"/>
              <w:topLinePunct/>
              <w:snapToGrid w:val="0"/>
              <w:spacing w:line="276" w:lineRule="auto"/>
              <w:jc w:val="left"/>
              <w:rPr>
                <w:rFonts w:ascii="宋体" w:hAnsi="宋体" w:cs="宋体"/>
                <w:kern w:val="2"/>
                <w:sz w:val="24"/>
                <w:szCs w:val="24"/>
                <w:u w:val="single"/>
              </w:rPr>
            </w:pPr>
            <w:r>
              <w:rPr>
                <w:rFonts w:hint="eastAsia" w:ascii="宋体" w:hAnsi="宋体" w:cs="宋体"/>
                <w:kern w:val="2"/>
                <w:sz w:val="24"/>
                <w:szCs w:val="24"/>
                <w:u w:val="single"/>
              </w:rPr>
              <w:t>投标文件全部采用电子文档，投标文件所附证书证件均为原件</w:t>
            </w:r>
            <w:r>
              <w:rPr>
                <w:rFonts w:hint="eastAsia" w:ascii="宋体" w:hAnsi="宋体" w:cs="宋体"/>
                <w:sz w:val="24"/>
                <w:szCs w:val="24"/>
                <w:u w:val="single"/>
              </w:rPr>
              <w:t>清晰</w:t>
            </w:r>
            <w:r>
              <w:rPr>
                <w:rFonts w:hint="eastAsia" w:ascii="宋体" w:hAnsi="宋体" w:cs="宋体"/>
                <w:kern w:val="2"/>
                <w:sz w:val="24"/>
                <w:szCs w:val="24"/>
                <w:u w:val="single"/>
              </w:rPr>
              <w:t>扫描件，并采用单位数字证书，按招标文件要求在相应位置加盖电子印章。投标文件中需个人签字或盖章的，应手签后扫描上传。具体操作详见附件《建设工程全流程电子化项目操作指南（适用于投标人）》。</w:t>
            </w:r>
          </w:p>
        </w:tc>
      </w:tr>
      <w:tr w14:paraId="4ABC1C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Align w:val="center"/>
          </w:tcPr>
          <w:p w14:paraId="100FE3C8">
            <w:pPr>
              <w:snapToGrid w:val="0"/>
              <w:jc w:val="center"/>
              <w:rPr>
                <w:rFonts w:ascii="宋体" w:hAnsi="宋体" w:cs="宋体"/>
                <w:sz w:val="24"/>
                <w:szCs w:val="24"/>
              </w:rPr>
            </w:pPr>
            <w:r>
              <w:rPr>
                <w:rFonts w:hint="eastAsia" w:ascii="宋体" w:hAnsi="宋体" w:cs="宋体"/>
                <w:sz w:val="24"/>
                <w:szCs w:val="24"/>
              </w:rPr>
              <w:t>4.1.1（A）</w:t>
            </w:r>
          </w:p>
        </w:tc>
        <w:tc>
          <w:tcPr>
            <w:tcW w:w="2409" w:type="dxa"/>
            <w:vAlign w:val="center"/>
          </w:tcPr>
          <w:p w14:paraId="4CA21E09">
            <w:pPr>
              <w:snapToGrid w:val="0"/>
              <w:jc w:val="center"/>
              <w:rPr>
                <w:rFonts w:ascii="宋体" w:hAnsi="宋体" w:cs="宋体"/>
                <w:sz w:val="24"/>
                <w:szCs w:val="24"/>
              </w:rPr>
            </w:pPr>
            <w:r>
              <w:rPr>
                <w:rFonts w:hint="eastAsia" w:ascii="宋体" w:hAnsi="宋体" w:cs="宋体"/>
                <w:sz w:val="24"/>
                <w:szCs w:val="24"/>
              </w:rPr>
              <w:t>投标文件密封包装</w:t>
            </w:r>
          </w:p>
        </w:tc>
        <w:tc>
          <w:tcPr>
            <w:tcW w:w="6096" w:type="dxa"/>
            <w:vAlign w:val="center"/>
          </w:tcPr>
          <w:p w14:paraId="026729D2">
            <w:pPr>
              <w:pStyle w:val="8"/>
              <w:topLinePunct/>
              <w:snapToGrid w:val="0"/>
              <w:rPr>
                <w:rFonts w:ascii="宋体" w:hAnsi="宋体" w:cs="宋体"/>
                <w:kern w:val="2"/>
                <w:sz w:val="24"/>
                <w:szCs w:val="24"/>
                <w:u w:val="single"/>
              </w:rPr>
            </w:pPr>
            <w:r>
              <w:rPr>
                <w:rFonts w:hint="eastAsia" w:ascii="宋体" w:hAnsi="宋体" w:cs="宋体"/>
                <w:kern w:val="2"/>
                <w:sz w:val="24"/>
                <w:szCs w:val="24"/>
                <w:u w:val="single"/>
              </w:rPr>
              <w:t>本项目不适用。</w:t>
            </w:r>
          </w:p>
        </w:tc>
      </w:tr>
      <w:tr w14:paraId="49CC08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Align w:val="center"/>
          </w:tcPr>
          <w:p w14:paraId="2D8B2D7B">
            <w:pPr>
              <w:snapToGrid w:val="0"/>
              <w:jc w:val="center"/>
              <w:rPr>
                <w:rFonts w:ascii="宋体" w:hAnsi="宋体" w:cs="宋体"/>
                <w:sz w:val="24"/>
                <w:szCs w:val="24"/>
              </w:rPr>
            </w:pPr>
            <w:r>
              <w:rPr>
                <w:rFonts w:hint="eastAsia" w:ascii="宋体" w:hAnsi="宋体" w:cs="宋体"/>
                <w:sz w:val="24"/>
                <w:szCs w:val="24"/>
              </w:rPr>
              <w:t>4.1.1（B）</w:t>
            </w:r>
          </w:p>
        </w:tc>
        <w:tc>
          <w:tcPr>
            <w:tcW w:w="2409" w:type="dxa"/>
            <w:vAlign w:val="center"/>
          </w:tcPr>
          <w:p w14:paraId="4F5C8D5E">
            <w:pPr>
              <w:snapToGrid w:val="0"/>
              <w:jc w:val="center"/>
              <w:rPr>
                <w:rFonts w:ascii="宋体" w:hAnsi="宋体" w:cs="宋体"/>
                <w:sz w:val="24"/>
                <w:szCs w:val="24"/>
              </w:rPr>
            </w:pPr>
            <w:r>
              <w:rPr>
                <w:rFonts w:hint="eastAsia" w:ascii="宋体" w:hAnsi="宋体" w:cs="宋体"/>
                <w:sz w:val="24"/>
                <w:szCs w:val="24"/>
              </w:rPr>
              <w:t>投标文件加密要求</w:t>
            </w:r>
          </w:p>
        </w:tc>
        <w:tc>
          <w:tcPr>
            <w:tcW w:w="6096" w:type="dxa"/>
            <w:vAlign w:val="center"/>
          </w:tcPr>
          <w:p w14:paraId="2CA82624">
            <w:pPr>
              <w:pStyle w:val="8"/>
              <w:topLinePunct/>
              <w:snapToGrid w:val="0"/>
              <w:spacing w:line="276" w:lineRule="auto"/>
              <w:jc w:val="left"/>
              <w:rPr>
                <w:rFonts w:ascii="宋体" w:hAnsi="宋体" w:cs="宋体"/>
                <w:kern w:val="2"/>
                <w:sz w:val="24"/>
                <w:szCs w:val="24"/>
                <w:u w:val="single"/>
              </w:rPr>
            </w:pPr>
            <w:r>
              <w:rPr>
                <w:rFonts w:hint="eastAsia" w:ascii="宋体" w:hAnsi="宋体" w:cs="宋体"/>
                <w:kern w:val="2"/>
                <w:sz w:val="24"/>
                <w:szCs w:val="24"/>
                <w:u w:val="single"/>
              </w:rPr>
              <w:t>网上递交的电子投标文件须进行加密。具体操作详见《建设工程全流程电子化项目操作指南（适用于投标人）》。</w:t>
            </w:r>
          </w:p>
        </w:tc>
      </w:tr>
      <w:tr w14:paraId="2C1D0B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4" w:hRule="atLeast"/>
        </w:trPr>
        <w:tc>
          <w:tcPr>
            <w:tcW w:w="1101" w:type="dxa"/>
            <w:vAlign w:val="center"/>
          </w:tcPr>
          <w:p w14:paraId="336ECCAD">
            <w:pPr>
              <w:snapToGrid w:val="0"/>
              <w:jc w:val="center"/>
              <w:rPr>
                <w:rFonts w:ascii="宋体" w:hAnsi="宋体" w:cs="宋体"/>
                <w:sz w:val="24"/>
                <w:szCs w:val="24"/>
              </w:rPr>
            </w:pPr>
            <w:r>
              <w:rPr>
                <w:rFonts w:hint="eastAsia" w:ascii="宋体" w:hAnsi="宋体" w:cs="宋体"/>
                <w:sz w:val="24"/>
                <w:szCs w:val="24"/>
              </w:rPr>
              <w:t>4.1.2</w:t>
            </w:r>
          </w:p>
        </w:tc>
        <w:tc>
          <w:tcPr>
            <w:tcW w:w="2409" w:type="dxa"/>
            <w:vAlign w:val="center"/>
          </w:tcPr>
          <w:p w14:paraId="3CAEC8D6">
            <w:pPr>
              <w:snapToGrid w:val="0"/>
              <w:jc w:val="center"/>
              <w:rPr>
                <w:rFonts w:ascii="宋体" w:hAnsi="宋体" w:cs="宋体"/>
                <w:sz w:val="24"/>
                <w:szCs w:val="24"/>
              </w:rPr>
            </w:pPr>
            <w:r>
              <w:rPr>
                <w:rFonts w:hint="eastAsia" w:ascii="宋体" w:hAnsi="宋体" w:cs="宋体"/>
                <w:sz w:val="24"/>
                <w:szCs w:val="24"/>
              </w:rPr>
              <w:t>封套上应载明的信息</w:t>
            </w:r>
          </w:p>
        </w:tc>
        <w:tc>
          <w:tcPr>
            <w:tcW w:w="6096" w:type="dxa"/>
            <w:vAlign w:val="center"/>
          </w:tcPr>
          <w:p w14:paraId="185B983B">
            <w:pPr>
              <w:pStyle w:val="8"/>
              <w:topLinePunct/>
              <w:snapToGrid w:val="0"/>
              <w:rPr>
                <w:rFonts w:ascii="宋体" w:hAnsi="宋体" w:cs="宋体"/>
                <w:kern w:val="2"/>
                <w:sz w:val="24"/>
                <w:szCs w:val="24"/>
              </w:rPr>
            </w:pPr>
            <w:r>
              <w:rPr>
                <w:rFonts w:hint="eastAsia" w:ascii="宋体" w:hAnsi="宋体" w:cs="宋体"/>
                <w:kern w:val="2"/>
                <w:sz w:val="24"/>
                <w:szCs w:val="24"/>
              </w:rPr>
              <w:t>如有提交投标文件光盘备用，封套上应注明如下信息：</w:t>
            </w:r>
          </w:p>
          <w:p w14:paraId="0CEBC4C9">
            <w:pPr>
              <w:pStyle w:val="8"/>
              <w:topLinePunct/>
              <w:spacing w:line="400" w:lineRule="exact"/>
              <w:rPr>
                <w:rFonts w:ascii="宋体" w:hAnsi="宋体" w:cs="宋体"/>
                <w:kern w:val="2"/>
                <w:sz w:val="24"/>
                <w:szCs w:val="24"/>
              </w:rPr>
            </w:pPr>
            <w:r>
              <w:rPr>
                <w:rFonts w:hint="eastAsia" w:ascii="宋体" w:hAnsi="宋体" w:cs="宋体"/>
                <w:kern w:val="2"/>
                <w:sz w:val="24"/>
                <w:szCs w:val="24"/>
              </w:rPr>
              <w:t>招标人名称：</w:t>
            </w:r>
          </w:p>
          <w:p w14:paraId="4BE91315">
            <w:pPr>
              <w:pStyle w:val="8"/>
              <w:topLinePunct/>
              <w:spacing w:line="400" w:lineRule="exact"/>
              <w:rPr>
                <w:rFonts w:ascii="宋体" w:hAnsi="宋体" w:cs="宋体"/>
                <w:kern w:val="2"/>
                <w:sz w:val="24"/>
                <w:szCs w:val="24"/>
              </w:rPr>
            </w:pPr>
            <w:r>
              <w:rPr>
                <w:rFonts w:hint="eastAsia" w:ascii="宋体" w:hAnsi="宋体" w:cs="宋体"/>
                <w:kern w:val="2"/>
                <w:sz w:val="24"/>
                <w:szCs w:val="24"/>
              </w:rPr>
              <w:t>招标人地址：</w:t>
            </w:r>
          </w:p>
          <w:p w14:paraId="478DF215">
            <w:pPr>
              <w:pStyle w:val="8"/>
              <w:topLinePunct/>
              <w:spacing w:line="400" w:lineRule="exact"/>
              <w:rPr>
                <w:rFonts w:ascii="宋体" w:hAnsi="宋体" w:cs="宋体"/>
                <w:kern w:val="2"/>
                <w:sz w:val="24"/>
                <w:szCs w:val="24"/>
              </w:rPr>
            </w:pPr>
            <w:r>
              <w:rPr>
                <w:rFonts w:hint="eastAsia" w:ascii="宋体" w:hAnsi="宋体" w:cs="宋体"/>
                <w:kern w:val="2"/>
                <w:sz w:val="24"/>
                <w:szCs w:val="24"/>
                <w:u w:val="single"/>
              </w:rPr>
              <w:t xml:space="preserve">          </w:t>
            </w:r>
            <w:r>
              <w:rPr>
                <w:rFonts w:hint="eastAsia" w:ascii="宋体" w:hAnsi="宋体" w:cs="宋体"/>
                <w:kern w:val="2"/>
                <w:sz w:val="24"/>
                <w:szCs w:val="24"/>
              </w:rPr>
              <w:t>（项目名称）投标文件</w:t>
            </w:r>
          </w:p>
          <w:p w14:paraId="2B8CE739">
            <w:pPr>
              <w:pStyle w:val="8"/>
              <w:topLinePunct/>
              <w:spacing w:line="400" w:lineRule="exact"/>
              <w:rPr>
                <w:rFonts w:ascii="宋体" w:hAnsi="宋体" w:cs="宋体"/>
                <w:kern w:val="2"/>
                <w:sz w:val="24"/>
                <w:szCs w:val="24"/>
              </w:rPr>
            </w:pPr>
            <w:r>
              <w:rPr>
                <w:rFonts w:hint="eastAsia" w:ascii="宋体" w:hAnsi="宋体" w:cs="宋体"/>
                <w:kern w:val="2"/>
                <w:sz w:val="24"/>
                <w:szCs w:val="24"/>
              </w:rPr>
              <w:t>招标项目编号：</w:t>
            </w:r>
          </w:p>
          <w:p w14:paraId="578F3625">
            <w:pPr>
              <w:pStyle w:val="8"/>
              <w:topLinePunct/>
              <w:snapToGrid w:val="0"/>
              <w:rPr>
                <w:rFonts w:ascii="宋体" w:hAnsi="宋体" w:cs="宋体"/>
                <w:kern w:val="2"/>
                <w:sz w:val="24"/>
                <w:szCs w:val="24"/>
              </w:rPr>
            </w:pPr>
            <w:r>
              <w:rPr>
                <w:rFonts w:hint="eastAsia" w:ascii="宋体" w:hAnsi="宋体" w:cs="宋体"/>
                <w:kern w:val="2"/>
                <w:sz w:val="24"/>
                <w:szCs w:val="24"/>
              </w:rPr>
              <w:t>在</w:t>
            </w:r>
            <w:r>
              <w:rPr>
                <w:rFonts w:hint="eastAsia" w:ascii="宋体" w:hAnsi="宋体" w:cs="宋体"/>
                <w:kern w:val="2"/>
                <w:sz w:val="24"/>
                <w:szCs w:val="24"/>
                <w:u w:val="single"/>
              </w:rPr>
              <w:t xml:space="preserve">    </w:t>
            </w:r>
            <w:r>
              <w:rPr>
                <w:rFonts w:hint="eastAsia" w:ascii="宋体" w:hAnsi="宋体" w:cs="宋体"/>
                <w:kern w:val="2"/>
                <w:sz w:val="24"/>
                <w:szCs w:val="24"/>
              </w:rPr>
              <w:t>年</w:t>
            </w:r>
            <w:r>
              <w:rPr>
                <w:rFonts w:hint="eastAsia" w:ascii="宋体" w:hAnsi="宋体" w:cs="宋体"/>
                <w:kern w:val="2"/>
                <w:sz w:val="24"/>
                <w:szCs w:val="24"/>
                <w:u w:val="single"/>
              </w:rPr>
              <w:t xml:space="preserve">    </w:t>
            </w:r>
            <w:r>
              <w:rPr>
                <w:rFonts w:hint="eastAsia" w:ascii="宋体" w:hAnsi="宋体" w:cs="宋体"/>
                <w:kern w:val="2"/>
                <w:sz w:val="24"/>
                <w:szCs w:val="24"/>
              </w:rPr>
              <w:t>月</w:t>
            </w:r>
            <w:r>
              <w:rPr>
                <w:rFonts w:hint="eastAsia" w:ascii="宋体" w:hAnsi="宋体" w:cs="宋体"/>
                <w:kern w:val="2"/>
                <w:sz w:val="24"/>
                <w:szCs w:val="24"/>
                <w:u w:val="single"/>
              </w:rPr>
              <w:t xml:space="preserve">    </w:t>
            </w:r>
            <w:r>
              <w:rPr>
                <w:rFonts w:hint="eastAsia" w:ascii="宋体" w:hAnsi="宋体" w:cs="宋体"/>
                <w:kern w:val="2"/>
                <w:sz w:val="24"/>
                <w:szCs w:val="24"/>
              </w:rPr>
              <w:t>日</w:t>
            </w:r>
            <w:r>
              <w:rPr>
                <w:rFonts w:hint="eastAsia" w:ascii="宋体" w:hAnsi="宋体" w:cs="宋体"/>
                <w:kern w:val="2"/>
                <w:sz w:val="24"/>
                <w:szCs w:val="24"/>
                <w:u w:val="single"/>
              </w:rPr>
              <w:t xml:space="preserve">    </w:t>
            </w:r>
            <w:r>
              <w:rPr>
                <w:rFonts w:hint="eastAsia" w:ascii="宋体" w:hAnsi="宋体" w:cs="宋体"/>
                <w:kern w:val="2"/>
                <w:sz w:val="24"/>
                <w:szCs w:val="24"/>
              </w:rPr>
              <w:t>时前不得开启</w:t>
            </w:r>
          </w:p>
        </w:tc>
      </w:tr>
      <w:tr w14:paraId="6933B0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Align w:val="center"/>
          </w:tcPr>
          <w:p w14:paraId="714A24DC">
            <w:pPr>
              <w:snapToGrid w:val="0"/>
              <w:jc w:val="center"/>
              <w:rPr>
                <w:rFonts w:ascii="宋体" w:hAnsi="宋体" w:cs="宋体"/>
                <w:sz w:val="24"/>
                <w:szCs w:val="24"/>
              </w:rPr>
            </w:pPr>
            <w:r>
              <w:rPr>
                <w:rFonts w:hint="eastAsia" w:ascii="宋体" w:hAnsi="宋体" w:cs="宋体"/>
                <w:sz w:val="24"/>
                <w:szCs w:val="24"/>
              </w:rPr>
              <w:t>4.2.1</w:t>
            </w:r>
          </w:p>
        </w:tc>
        <w:tc>
          <w:tcPr>
            <w:tcW w:w="2409" w:type="dxa"/>
            <w:vAlign w:val="center"/>
          </w:tcPr>
          <w:p w14:paraId="4474F499">
            <w:pPr>
              <w:snapToGrid w:val="0"/>
              <w:jc w:val="center"/>
              <w:rPr>
                <w:rFonts w:ascii="宋体" w:hAnsi="宋体" w:cs="宋体"/>
                <w:sz w:val="24"/>
                <w:szCs w:val="24"/>
              </w:rPr>
            </w:pPr>
            <w:r>
              <w:rPr>
                <w:rFonts w:hint="eastAsia" w:ascii="宋体" w:hAnsi="宋体" w:cs="宋体"/>
                <w:sz w:val="24"/>
                <w:szCs w:val="24"/>
              </w:rPr>
              <w:t>投标截止时间</w:t>
            </w:r>
          </w:p>
        </w:tc>
        <w:tc>
          <w:tcPr>
            <w:tcW w:w="6096" w:type="dxa"/>
            <w:vAlign w:val="center"/>
          </w:tcPr>
          <w:p w14:paraId="55D861FB">
            <w:pPr>
              <w:snapToGrid w:val="0"/>
              <w:rPr>
                <w:rFonts w:ascii="宋体" w:hAnsi="宋体" w:cs="宋体"/>
                <w:sz w:val="24"/>
                <w:szCs w:val="24"/>
              </w:rPr>
            </w:pPr>
            <w:r>
              <w:rPr>
                <w:rFonts w:hint="eastAsia" w:ascii="宋体" w:hAnsi="宋体" w:cs="宋体"/>
                <w:sz w:val="24"/>
                <w:szCs w:val="24"/>
                <w:u w:val="single"/>
              </w:rPr>
              <w:t xml:space="preserve"> 2025</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时   分 （北京时间）</w:t>
            </w:r>
          </w:p>
        </w:tc>
      </w:tr>
      <w:tr w14:paraId="44B8D5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6" w:hRule="atLeast"/>
        </w:trPr>
        <w:tc>
          <w:tcPr>
            <w:tcW w:w="1101" w:type="dxa"/>
            <w:vAlign w:val="center"/>
          </w:tcPr>
          <w:p w14:paraId="7EFB8272">
            <w:pPr>
              <w:snapToGrid w:val="0"/>
              <w:jc w:val="center"/>
              <w:rPr>
                <w:rFonts w:ascii="宋体" w:hAnsi="宋体" w:cs="宋体"/>
                <w:sz w:val="24"/>
                <w:szCs w:val="24"/>
              </w:rPr>
            </w:pPr>
            <w:r>
              <w:rPr>
                <w:rFonts w:hint="eastAsia" w:ascii="宋体" w:hAnsi="宋体" w:cs="宋体"/>
                <w:sz w:val="24"/>
                <w:szCs w:val="24"/>
              </w:rPr>
              <w:t>4.2.2（A）</w:t>
            </w:r>
          </w:p>
        </w:tc>
        <w:tc>
          <w:tcPr>
            <w:tcW w:w="2409" w:type="dxa"/>
            <w:vAlign w:val="center"/>
          </w:tcPr>
          <w:p w14:paraId="11C83B2A">
            <w:pPr>
              <w:snapToGrid w:val="0"/>
              <w:jc w:val="center"/>
              <w:rPr>
                <w:rFonts w:ascii="宋体" w:hAnsi="宋体" w:cs="宋体"/>
                <w:sz w:val="24"/>
                <w:szCs w:val="24"/>
              </w:rPr>
            </w:pPr>
            <w:r>
              <w:rPr>
                <w:rFonts w:hint="eastAsia" w:ascii="宋体" w:hAnsi="宋体" w:cs="宋体"/>
                <w:sz w:val="24"/>
                <w:szCs w:val="24"/>
              </w:rPr>
              <w:t>递交投标文件地点</w:t>
            </w:r>
          </w:p>
        </w:tc>
        <w:tc>
          <w:tcPr>
            <w:tcW w:w="6096" w:type="dxa"/>
            <w:vAlign w:val="center"/>
          </w:tcPr>
          <w:p w14:paraId="49927587">
            <w:pPr>
              <w:snapToGrid w:val="0"/>
              <w:spacing w:line="276" w:lineRule="auto"/>
              <w:rPr>
                <w:rFonts w:ascii="宋体" w:hAnsi="宋体" w:cs="宋体"/>
                <w:sz w:val="24"/>
                <w:szCs w:val="24"/>
                <w:u w:val="single"/>
              </w:rPr>
            </w:pPr>
            <w:r>
              <w:rPr>
                <w:rFonts w:hint="eastAsia" w:ascii="宋体" w:hAnsi="宋体" w:cs="宋体"/>
                <w:sz w:val="24"/>
                <w:szCs w:val="24"/>
                <w:u w:val="single"/>
              </w:rPr>
              <w:t xml:space="preserve">1.递交方式：网上递交投标文件 </w:t>
            </w:r>
          </w:p>
          <w:p w14:paraId="12B38986">
            <w:pPr>
              <w:snapToGrid w:val="0"/>
              <w:spacing w:line="276" w:lineRule="auto"/>
              <w:rPr>
                <w:rFonts w:ascii="宋体" w:hAnsi="宋体" w:cs="宋体"/>
                <w:sz w:val="24"/>
                <w:szCs w:val="24"/>
                <w:u w:val="single"/>
              </w:rPr>
            </w:pPr>
            <w:r>
              <w:rPr>
                <w:rFonts w:hint="eastAsia" w:ascii="宋体" w:hAnsi="宋体" w:cs="宋体"/>
                <w:sz w:val="24"/>
                <w:szCs w:val="24"/>
                <w:u w:val="single"/>
              </w:rPr>
              <w:t xml:space="preserve">2.地点：广州交易集团有限公司（广州公共资源交易中心）网站。 </w:t>
            </w:r>
          </w:p>
          <w:p w14:paraId="0CAF861E">
            <w:pPr>
              <w:snapToGrid w:val="0"/>
              <w:spacing w:line="276" w:lineRule="auto"/>
              <w:rPr>
                <w:rFonts w:ascii="宋体" w:hAnsi="宋体" w:cs="宋体"/>
                <w:sz w:val="24"/>
                <w:szCs w:val="24"/>
              </w:rPr>
            </w:pPr>
            <w:r>
              <w:rPr>
                <w:rFonts w:hint="eastAsia" w:ascii="宋体" w:hAnsi="宋体" w:cs="宋体"/>
                <w:sz w:val="24"/>
                <w:szCs w:val="24"/>
                <w:u w:val="single"/>
              </w:rPr>
              <w:t>3.上述时间及地点是否有改变，请密切留意本招标项目的招标答疑纪要的相关信息，具体时间及场地安排请各投标人密切留意广州交易集团有限公司（广州公共资源交易中心）公布本项目的日程安排，投标人可登录广州交易集团有限公司（广州公共资源交易中心）网站首页，点击“交易业务-建设工程”专栏中的“项目查询（日程安排、答疑纪要）”，输入项目编号或项目名称查询最新信息。</w:t>
            </w:r>
          </w:p>
        </w:tc>
      </w:tr>
      <w:tr w14:paraId="13443A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1101" w:type="dxa"/>
            <w:vAlign w:val="center"/>
          </w:tcPr>
          <w:p w14:paraId="01DE0790">
            <w:pPr>
              <w:snapToGrid w:val="0"/>
              <w:jc w:val="center"/>
              <w:rPr>
                <w:rFonts w:ascii="宋体" w:hAnsi="宋体" w:cs="宋体"/>
                <w:sz w:val="24"/>
                <w:szCs w:val="24"/>
              </w:rPr>
            </w:pPr>
            <w:r>
              <w:rPr>
                <w:rFonts w:hint="eastAsia" w:ascii="宋体" w:hAnsi="宋体" w:cs="宋体"/>
                <w:sz w:val="24"/>
                <w:szCs w:val="24"/>
              </w:rPr>
              <w:t>4.2.3</w:t>
            </w:r>
          </w:p>
        </w:tc>
        <w:tc>
          <w:tcPr>
            <w:tcW w:w="2409" w:type="dxa"/>
            <w:vAlign w:val="center"/>
          </w:tcPr>
          <w:p w14:paraId="3DD4CA52">
            <w:pPr>
              <w:snapToGrid w:val="0"/>
              <w:jc w:val="center"/>
              <w:rPr>
                <w:rFonts w:ascii="宋体" w:hAnsi="宋体" w:cs="宋体"/>
                <w:sz w:val="24"/>
                <w:szCs w:val="24"/>
              </w:rPr>
            </w:pPr>
            <w:r>
              <w:rPr>
                <w:rFonts w:hint="eastAsia" w:ascii="宋体" w:hAnsi="宋体" w:cs="宋体"/>
                <w:sz w:val="24"/>
                <w:szCs w:val="24"/>
              </w:rPr>
              <w:t>投标文件是否退还</w:t>
            </w:r>
          </w:p>
        </w:tc>
        <w:tc>
          <w:tcPr>
            <w:tcW w:w="6096" w:type="dxa"/>
            <w:vAlign w:val="center"/>
          </w:tcPr>
          <w:p w14:paraId="27628FAC">
            <w:pPr>
              <w:pStyle w:val="8"/>
              <w:topLinePunct/>
              <w:snapToGrid w:val="0"/>
              <w:rPr>
                <w:rFonts w:ascii="宋体" w:hAnsi="宋体" w:cs="宋体"/>
                <w:kern w:val="2"/>
                <w:sz w:val="24"/>
                <w:szCs w:val="24"/>
              </w:rPr>
            </w:pPr>
            <w:r>
              <w:rPr>
                <w:rFonts w:hint="eastAsia" w:ascii="宋体" w:hAnsi="宋体" w:cs="宋体"/>
                <w:spacing w:val="-1"/>
                <w:sz w:val="18"/>
                <w:szCs w:val="18"/>
                <w:bdr w:val="single" w:color="auto" w:sz="4" w:space="0"/>
              </w:rPr>
              <w:t>√</w:t>
            </w:r>
            <w:r>
              <w:rPr>
                <w:rFonts w:hint="eastAsia" w:ascii="宋体" w:hAnsi="宋体" w:cs="宋体"/>
                <w:kern w:val="2"/>
                <w:sz w:val="24"/>
                <w:szCs w:val="24"/>
              </w:rPr>
              <w:t>否</w:t>
            </w:r>
          </w:p>
          <w:p w14:paraId="0B2E88D6">
            <w:pPr>
              <w:pStyle w:val="8"/>
              <w:topLinePunct/>
              <w:snapToGrid w:val="0"/>
              <w:rPr>
                <w:rFonts w:ascii="宋体" w:hAnsi="宋体" w:cs="宋体"/>
                <w:kern w:val="2"/>
                <w:sz w:val="24"/>
                <w:szCs w:val="24"/>
              </w:rPr>
            </w:pPr>
            <w:r>
              <w:rPr>
                <w:rFonts w:hint="eastAsia" w:ascii="宋体" w:hAnsi="宋体" w:cs="宋体"/>
                <w:kern w:val="2"/>
                <w:sz w:val="24"/>
                <w:szCs w:val="24"/>
              </w:rPr>
              <w:t>□是，退还时间：</w:t>
            </w:r>
          </w:p>
        </w:tc>
      </w:tr>
      <w:tr w14:paraId="0928B6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1101" w:type="dxa"/>
            <w:vAlign w:val="center"/>
          </w:tcPr>
          <w:p w14:paraId="3B959759">
            <w:pPr>
              <w:snapToGrid w:val="0"/>
              <w:jc w:val="center"/>
              <w:rPr>
                <w:rFonts w:ascii="宋体" w:hAnsi="宋体" w:cs="宋体"/>
                <w:sz w:val="24"/>
                <w:szCs w:val="24"/>
              </w:rPr>
            </w:pPr>
            <w:r>
              <w:rPr>
                <w:rFonts w:hint="eastAsia" w:ascii="宋体" w:hAnsi="宋体" w:cs="宋体"/>
                <w:sz w:val="24"/>
                <w:szCs w:val="24"/>
              </w:rPr>
              <w:t>5.1（A）</w:t>
            </w:r>
          </w:p>
        </w:tc>
        <w:tc>
          <w:tcPr>
            <w:tcW w:w="2409" w:type="dxa"/>
            <w:vAlign w:val="center"/>
          </w:tcPr>
          <w:p w14:paraId="74DC17D5">
            <w:pPr>
              <w:snapToGrid w:val="0"/>
              <w:jc w:val="center"/>
              <w:rPr>
                <w:rFonts w:ascii="宋体" w:hAnsi="宋体" w:cs="宋体"/>
                <w:sz w:val="24"/>
                <w:szCs w:val="24"/>
              </w:rPr>
            </w:pPr>
            <w:r>
              <w:rPr>
                <w:rFonts w:hint="eastAsia" w:ascii="宋体" w:hAnsi="宋体" w:cs="宋体"/>
                <w:sz w:val="24"/>
                <w:szCs w:val="24"/>
              </w:rPr>
              <w:t>开标时间和地点</w:t>
            </w:r>
          </w:p>
        </w:tc>
        <w:tc>
          <w:tcPr>
            <w:tcW w:w="6096" w:type="dxa"/>
            <w:vAlign w:val="center"/>
          </w:tcPr>
          <w:p w14:paraId="3A8B32CD">
            <w:pPr>
              <w:snapToGrid w:val="0"/>
              <w:rPr>
                <w:rFonts w:ascii="宋体" w:hAnsi="宋体" w:cs="宋体"/>
                <w:sz w:val="24"/>
                <w:szCs w:val="24"/>
              </w:rPr>
            </w:pPr>
            <w:r>
              <w:rPr>
                <w:rFonts w:hint="eastAsia" w:ascii="宋体" w:hAnsi="宋体" w:cs="宋体"/>
                <w:sz w:val="24"/>
                <w:szCs w:val="24"/>
                <w:u w:val="single"/>
              </w:rPr>
              <w:t>本项目不适用。</w:t>
            </w:r>
          </w:p>
        </w:tc>
      </w:tr>
      <w:tr w14:paraId="0D2CBA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3" w:hRule="atLeast"/>
        </w:trPr>
        <w:tc>
          <w:tcPr>
            <w:tcW w:w="1101" w:type="dxa"/>
            <w:vAlign w:val="center"/>
          </w:tcPr>
          <w:p w14:paraId="79DBA598">
            <w:pPr>
              <w:snapToGrid w:val="0"/>
              <w:jc w:val="center"/>
              <w:rPr>
                <w:rFonts w:ascii="宋体" w:hAnsi="宋体" w:cs="宋体"/>
                <w:sz w:val="24"/>
                <w:szCs w:val="24"/>
              </w:rPr>
            </w:pPr>
            <w:r>
              <w:rPr>
                <w:rFonts w:hint="eastAsia" w:ascii="宋体" w:hAnsi="宋体" w:cs="宋体"/>
                <w:sz w:val="24"/>
                <w:szCs w:val="24"/>
              </w:rPr>
              <w:t>5.1（B）</w:t>
            </w:r>
          </w:p>
        </w:tc>
        <w:tc>
          <w:tcPr>
            <w:tcW w:w="2409" w:type="dxa"/>
            <w:vAlign w:val="center"/>
          </w:tcPr>
          <w:p w14:paraId="7A6CB8DE">
            <w:pPr>
              <w:snapToGrid w:val="0"/>
              <w:jc w:val="center"/>
              <w:rPr>
                <w:rFonts w:ascii="宋体" w:hAnsi="宋体" w:cs="宋体"/>
                <w:sz w:val="24"/>
                <w:szCs w:val="24"/>
              </w:rPr>
            </w:pPr>
            <w:r>
              <w:rPr>
                <w:rFonts w:hint="eastAsia" w:ascii="宋体" w:hAnsi="宋体" w:cs="宋体"/>
                <w:sz w:val="24"/>
                <w:szCs w:val="24"/>
              </w:rPr>
              <w:t>开标时间和地点</w:t>
            </w:r>
          </w:p>
        </w:tc>
        <w:tc>
          <w:tcPr>
            <w:tcW w:w="6096" w:type="dxa"/>
            <w:vAlign w:val="center"/>
          </w:tcPr>
          <w:p w14:paraId="37FD1835">
            <w:pPr>
              <w:snapToGrid w:val="0"/>
              <w:spacing w:line="276" w:lineRule="auto"/>
              <w:rPr>
                <w:rFonts w:ascii="宋体" w:hAnsi="宋体" w:cs="宋体"/>
                <w:sz w:val="24"/>
                <w:szCs w:val="24"/>
              </w:rPr>
            </w:pPr>
            <w:r>
              <w:rPr>
                <w:rFonts w:hint="eastAsia" w:ascii="宋体" w:hAnsi="宋体" w:cs="宋体"/>
                <w:sz w:val="24"/>
                <w:szCs w:val="24"/>
              </w:rPr>
              <w:t>开标时间：同投标截止时间</w:t>
            </w:r>
          </w:p>
          <w:p w14:paraId="039670F7">
            <w:pPr>
              <w:snapToGrid w:val="0"/>
              <w:spacing w:line="276" w:lineRule="auto"/>
              <w:rPr>
                <w:rFonts w:ascii="宋体" w:hAnsi="宋体" w:cs="宋体"/>
                <w:sz w:val="24"/>
                <w:szCs w:val="24"/>
              </w:rPr>
            </w:pPr>
            <w:r>
              <w:rPr>
                <w:rFonts w:hint="eastAsia" w:ascii="宋体" w:hAnsi="宋体" w:cs="宋体"/>
                <w:sz w:val="24"/>
                <w:szCs w:val="24"/>
              </w:rPr>
              <w:t>开标地点：广州交易集团有限公司（广州公共资源交易中心）指定开标室；</w:t>
            </w:r>
          </w:p>
          <w:p w14:paraId="3D7860B0">
            <w:pPr>
              <w:snapToGrid w:val="0"/>
              <w:spacing w:line="276" w:lineRule="auto"/>
              <w:rPr>
                <w:rFonts w:ascii="宋体" w:hAnsi="宋体" w:cs="宋体"/>
                <w:sz w:val="24"/>
                <w:szCs w:val="24"/>
              </w:rPr>
            </w:pPr>
            <w:r>
              <w:rPr>
                <w:rFonts w:hint="eastAsia" w:ascii="宋体" w:hAnsi="宋体" w:cs="宋体"/>
                <w:sz w:val="24"/>
                <w:szCs w:val="24"/>
              </w:rPr>
              <w:t>具体时间、地点可以到广州交易集团有限公司（广州公共资源交易中心）网站的项目查询(日程安排、答疑纪要)中输入本项目编号或项目名称进行查询。</w:t>
            </w:r>
          </w:p>
          <w:p w14:paraId="4E22192D">
            <w:pPr>
              <w:snapToGrid w:val="0"/>
              <w:spacing w:line="276" w:lineRule="auto"/>
              <w:rPr>
                <w:rFonts w:ascii="宋体" w:hAnsi="宋体" w:cs="宋体"/>
                <w:sz w:val="24"/>
                <w:szCs w:val="24"/>
              </w:rPr>
            </w:pPr>
            <w:r>
              <w:rPr>
                <w:rFonts w:hint="eastAsia" w:ascii="宋体" w:hAnsi="宋体" w:cs="宋体"/>
                <w:sz w:val="24"/>
                <w:szCs w:val="24"/>
              </w:rPr>
              <w:t>投标人也可选择参加在线开标，具体按照交易平台相关指南进行操作。详见：广州公共资源交易中心网站（http://www.gzggzy.cn）服务指南栏目。</w:t>
            </w:r>
          </w:p>
        </w:tc>
      </w:tr>
      <w:tr w14:paraId="06EBDF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Align w:val="center"/>
          </w:tcPr>
          <w:p w14:paraId="07E86600">
            <w:pPr>
              <w:snapToGrid w:val="0"/>
              <w:jc w:val="center"/>
              <w:rPr>
                <w:rFonts w:ascii="宋体" w:hAnsi="宋体" w:cs="宋体"/>
                <w:sz w:val="24"/>
                <w:szCs w:val="24"/>
              </w:rPr>
            </w:pPr>
            <w:r>
              <w:rPr>
                <w:rFonts w:hint="eastAsia" w:ascii="宋体" w:hAnsi="宋体" w:cs="宋体"/>
                <w:sz w:val="24"/>
                <w:szCs w:val="24"/>
              </w:rPr>
              <w:t>5.2（4）（A）</w:t>
            </w:r>
          </w:p>
        </w:tc>
        <w:tc>
          <w:tcPr>
            <w:tcW w:w="2409" w:type="dxa"/>
            <w:vAlign w:val="center"/>
          </w:tcPr>
          <w:p w14:paraId="799DB2DD">
            <w:pPr>
              <w:snapToGrid w:val="0"/>
              <w:jc w:val="center"/>
              <w:rPr>
                <w:rFonts w:ascii="宋体" w:hAnsi="宋体" w:cs="宋体"/>
                <w:sz w:val="24"/>
                <w:szCs w:val="24"/>
              </w:rPr>
            </w:pPr>
            <w:r>
              <w:rPr>
                <w:rFonts w:hint="eastAsia" w:ascii="宋体" w:hAnsi="宋体" w:cs="宋体"/>
                <w:sz w:val="24"/>
                <w:szCs w:val="24"/>
              </w:rPr>
              <w:t>开标程序</w:t>
            </w:r>
          </w:p>
        </w:tc>
        <w:tc>
          <w:tcPr>
            <w:tcW w:w="6096" w:type="dxa"/>
            <w:vAlign w:val="center"/>
          </w:tcPr>
          <w:p w14:paraId="31E3B036">
            <w:pPr>
              <w:snapToGrid w:val="0"/>
              <w:rPr>
                <w:rFonts w:ascii="宋体" w:hAnsi="宋体" w:cs="宋体"/>
                <w:sz w:val="24"/>
                <w:szCs w:val="24"/>
              </w:rPr>
            </w:pPr>
            <w:r>
              <w:rPr>
                <w:rFonts w:hint="eastAsia" w:ascii="宋体" w:hAnsi="宋体" w:cs="宋体"/>
                <w:sz w:val="24"/>
                <w:szCs w:val="24"/>
                <w:u w:val="single"/>
              </w:rPr>
              <w:t>本项目不适用。</w:t>
            </w:r>
          </w:p>
        </w:tc>
      </w:tr>
      <w:tr w14:paraId="3BA286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Align w:val="center"/>
          </w:tcPr>
          <w:p w14:paraId="21D91B51">
            <w:pPr>
              <w:snapToGrid w:val="0"/>
              <w:jc w:val="center"/>
              <w:rPr>
                <w:rFonts w:ascii="宋体" w:hAnsi="宋体" w:cs="宋体"/>
                <w:sz w:val="24"/>
                <w:szCs w:val="24"/>
              </w:rPr>
            </w:pPr>
            <w:r>
              <w:rPr>
                <w:rFonts w:hint="eastAsia" w:ascii="宋体" w:hAnsi="宋体" w:cs="宋体"/>
                <w:sz w:val="24"/>
                <w:szCs w:val="24"/>
              </w:rPr>
              <w:t>5.2（5）（A）</w:t>
            </w:r>
          </w:p>
        </w:tc>
        <w:tc>
          <w:tcPr>
            <w:tcW w:w="2409" w:type="dxa"/>
            <w:vAlign w:val="center"/>
          </w:tcPr>
          <w:p w14:paraId="20F9B63D">
            <w:pPr>
              <w:snapToGrid w:val="0"/>
              <w:jc w:val="center"/>
              <w:rPr>
                <w:rFonts w:ascii="宋体" w:hAnsi="宋体" w:cs="宋体"/>
                <w:sz w:val="24"/>
                <w:szCs w:val="24"/>
              </w:rPr>
            </w:pPr>
            <w:r>
              <w:rPr>
                <w:rFonts w:hint="eastAsia" w:ascii="宋体" w:hAnsi="宋体" w:cs="宋体"/>
                <w:sz w:val="24"/>
                <w:szCs w:val="24"/>
              </w:rPr>
              <w:t>开标程序</w:t>
            </w:r>
          </w:p>
        </w:tc>
        <w:tc>
          <w:tcPr>
            <w:tcW w:w="6096" w:type="dxa"/>
            <w:vAlign w:val="center"/>
          </w:tcPr>
          <w:p w14:paraId="26D10466">
            <w:pPr>
              <w:snapToGrid w:val="0"/>
              <w:rPr>
                <w:rFonts w:ascii="宋体" w:hAnsi="宋体" w:cs="宋体"/>
                <w:sz w:val="24"/>
                <w:szCs w:val="24"/>
                <w:u w:val="single"/>
              </w:rPr>
            </w:pPr>
            <w:r>
              <w:rPr>
                <w:rFonts w:hint="eastAsia" w:ascii="宋体" w:hAnsi="宋体" w:cs="宋体"/>
                <w:sz w:val="24"/>
                <w:szCs w:val="24"/>
                <w:u w:val="single"/>
              </w:rPr>
              <w:t>本项目不适用。</w:t>
            </w:r>
          </w:p>
        </w:tc>
      </w:tr>
      <w:tr w14:paraId="687E58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Align w:val="center"/>
          </w:tcPr>
          <w:p w14:paraId="650B3D50">
            <w:pPr>
              <w:snapToGrid w:val="0"/>
              <w:jc w:val="center"/>
              <w:rPr>
                <w:rFonts w:ascii="宋体" w:hAnsi="宋体" w:cs="宋体"/>
                <w:sz w:val="24"/>
                <w:szCs w:val="24"/>
              </w:rPr>
            </w:pPr>
            <w:r>
              <w:rPr>
                <w:rFonts w:hint="eastAsia" w:ascii="宋体" w:hAnsi="宋体" w:cs="宋体"/>
                <w:sz w:val="24"/>
                <w:szCs w:val="24"/>
              </w:rPr>
              <w:t>5.2（B）</w:t>
            </w:r>
          </w:p>
        </w:tc>
        <w:tc>
          <w:tcPr>
            <w:tcW w:w="2409" w:type="dxa"/>
            <w:vAlign w:val="center"/>
          </w:tcPr>
          <w:p w14:paraId="7B3C17BA">
            <w:pPr>
              <w:snapToGrid w:val="0"/>
              <w:jc w:val="center"/>
              <w:rPr>
                <w:rFonts w:ascii="宋体" w:hAnsi="宋体" w:cs="宋体"/>
                <w:sz w:val="24"/>
                <w:szCs w:val="24"/>
              </w:rPr>
            </w:pPr>
            <w:r>
              <w:rPr>
                <w:rFonts w:hint="eastAsia" w:ascii="宋体" w:hAnsi="宋体" w:cs="宋体"/>
                <w:sz w:val="24"/>
                <w:szCs w:val="24"/>
              </w:rPr>
              <w:t>开标程序</w:t>
            </w:r>
          </w:p>
        </w:tc>
        <w:tc>
          <w:tcPr>
            <w:tcW w:w="6096" w:type="dxa"/>
            <w:vAlign w:val="center"/>
          </w:tcPr>
          <w:p w14:paraId="4B672977">
            <w:pPr>
              <w:snapToGrid w:val="0"/>
              <w:spacing w:line="276" w:lineRule="auto"/>
              <w:rPr>
                <w:rFonts w:ascii="宋体" w:hAnsi="宋体" w:cs="宋体"/>
                <w:sz w:val="24"/>
                <w:szCs w:val="24"/>
                <w:u w:val="single"/>
              </w:rPr>
            </w:pPr>
            <w:r>
              <w:rPr>
                <w:rFonts w:hint="eastAsia" w:ascii="宋体" w:hAnsi="宋体" w:cs="宋体"/>
                <w:sz w:val="24"/>
                <w:szCs w:val="24"/>
                <w:u w:val="single"/>
              </w:rPr>
              <w:t>5.2.1主持人按下列程序进行开标：</w:t>
            </w:r>
          </w:p>
          <w:p w14:paraId="4FAE8D7A">
            <w:pPr>
              <w:snapToGrid w:val="0"/>
              <w:spacing w:line="276" w:lineRule="auto"/>
              <w:rPr>
                <w:rFonts w:ascii="宋体" w:hAnsi="宋体" w:cs="宋体"/>
                <w:sz w:val="24"/>
                <w:szCs w:val="24"/>
                <w:u w:val="single"/>
              </w:rPr>
            </w:pPr>
            <w:r>
              <w:rPr>
                <w:rFonts w:hint="eastAsia" w:ascii="宋体" w:hAnsi="宋体" w:cs="宋体"/>
                <w:sz w:val="24"/>
                <w:szCs w:val="24"/>
                <w:u w:val="single"/>
              </w:rPr>
              <w:t>（1）宣布开标纪律；</w:t>
            </w:r>
          </w:p>
          <w:p w14:paraId="76765397">
            <w:pPr>
              <w:snapToGrid w:val="0"/>
              <w:spacing w:line="276" w:lineRule="auto"/>
              <w:rPr>
                <w:rFonts w:ascii="宋体" w:hAnsi="宋体" w:cs="宋体"/>
                <w:sz w:val="24"/>
                <w:szCs w:val="24"/>
                <w:u w:val="single"/>
              </w:rPr>
            </w:pPr>
            <w:r>
              <w:rPr>
                <w:rFonts w:hint="eastAsia" w:ascii="宋体" w:hAnsi="宋体" w:cs="宋体"/>
                <w:sz w:val="24"/>
                <w:szCs w:val="24"/>
                <w:u w:val="single"/>
              </w:rPr>
              <w:t>（2）（B）投标人通过电子招标投标交易平台对已递交的电子投标文件进行解密(投标人只用执行一次解密）；</w:t>
            </w:r>
          </w:p>
          <w:p w14:paraId="3471B2A1">
            <w:pPr>
              <w:snapToGrid w:val="0"/>
              <w:spacing w:line="276" w:lineRule="auto"/>
              <w:rPr>
                <w:rFonts w:ascii="宋体" w:hAnsi="宋体" w:cs="宋体"/>
                <w:sz w:val="24"/>
                <w:szCs w:val="24"/>
                <w:u w:val="single"/>
              </w:rPr>
            </w:pPr>
            <w:r>
              <w:rPr>
                <w:rFonts w:hint="eastAsia" w:ascii="宋体" w:hAnsi="宋体" w:cs="宋体"/>
                <w:sz w:val="24"/>
                <w:szCs w:val="24"/>
                <w:u w:val="single"/>
              </w:rPr>
              <w:t>（3）公布在投标截止时间前递交投标文件的投标人名称；</w:t>
            </w:r>
          </w:p>
          <w:p w14:paraId="08DE9E30">
            <w:pPr>
              <w:snapToGrid w:val="0"/>
              <w:spacing w:line="276" w:lineRule="auto"/>
              <w:rPr>
                <w:rFonts w:ascii="宋体" w:hAnsi="宋体" w:cs="宋体"/>
                <w:sz w:val="24"/>
                <w:szCs w:val="24"/>
                <w:u w:val="single"/>
              </w:rPr>
            </w:pPr>
            <w:r>
              <w:rPr>
                <w:rFonts w:hint="eastAsia" w:ascii="宋体" w:hAnsi="宋体" w:cs="宋体"/>
                <w:sz w:val="24"/>
                <w:szCs w:val="24"/>
                <w:u w:val="single"/>
              </w:rPr>
              <w:t>（4）招标人进行解密，解密完成后，公布招标项目名称、投标人名称、投标报价、监理服务期限及其他内容，并记录在案；</w:t>
            </w:r>
          </w:p>
          <w:p w14:paraId="5F6746CA">
            <w:pPr>
              <w:snapToGrid w:val="0"/>
              <w:spacing w:line="276" w:lineRule="auto"/>
              <w:rPr>
                <w:rFonts w:ascii="宋体" w:hAnsi="宋体" w:cs="宋体"/>
                <w:sz w:val="24"/>
                <w:szCs w:val="24"/>
                <w:u w:val="single"/>
              </w:rPr>
            </w:pPr>
            <w:r>
              <w:rPr>
                <w:rFonts w:hint="eastAsia" w:ascii="宋体" w:hAnsi="宋体" w:cs="宋体"/>
                <w:sz w:val="24"/>
                <w:szCs w:val="24"/>
                <w:u w:val="single"/>
              </w:rPr>
              <w:t>（5）（B）投标人代表、招标人代表、监标人、记录人等有关人员在开标记录上签字确认；若有关人员不签字的，不影响开标程序；</w:t>
            </w:r>
          </w:p>
          <w:p w14:paraId="1813ABCC">
            <w:pPr>
              <w:snapToGrid w:val="0"/>
              <w:spacing w:line="276" w:lineRule="auto"/>
              <w:rPr>
                <w:rFonts w:ascii="宋体" w:hAnsi="宋体" w:cs="宋体"/>
                <w:sz w:val="24"/>
                <w:szCs w:val="24"/>
                <w:u w:val="single"/>
              </w:rPr>
            </w:pPr>
            <w:r>
              <w:rPr>
                <w:rFonts w:hint="eastAsia" w:ascii="宋体" w:hAnsi="宋体" w:cs="宋体"/>
                <w:sz w:val="24"/>
                <w:szCs w:val="24"/>
                <w:u w:val="single"/>
              </w:rPr>
              <w:t>（6）开标结束。</w:t>
            </w:r>
          </w:p>
          <w:p w14:paraId="45B2609D">
            <w:pPr>
              <w:snapToGrid w:val="0"/>
              <w:spacing w:line="276" w:lineRule="auto"/>
              <w:rPr>
                <w:rFonts w:ascii="宋体" w:hAnsi="宋体" w:cs="宋体"/>
                <w:sz w:val="24"/>
                <w:szCs w:val="24"/>
                <w:u w:val="single"/>
              </w:rPr>
            </w:pPr>
            <w:r>
              <w:rPr>
                <w:rFonts w:hint="eastAsia" w:ascii="宋体" w:hAnsi="宋体" w:cs="宋体"/>
                <w:sz w:val="24"/>
                <w:szCs w:val="24"/>
                <w:u w:val="single"/>
              </w:rPr>
              <w:t>5.2.2投标截止时间前未完成投标文件传输的或因投标人之外的原因造成投标文件未解密的或未在投标截止时间后一小时解密的，视为投标人其撤回投标文件。因投标人原因造成投标文件未解密的，视为撤销其投标文件。</w:t>
            </w:r>
          </w:p>
          <w:p w14:paraId="67314704">
            <w:pPr>
              <w:snapToGrid w:val="0"/>
              <w:spacing w:line="276" w:lineRule="auto"/>
              <w:rPr>
                <w:rFonts w:ascii="宋体" w:hAnsi="宋体" w:cs="宋体"/>
                <w:sz w:val="24"/>
                <w:szCs w:val="24"/>
                <w:u w:val="single"/>
              </w:rPr>
            </w:pPr>
            <w:r>
              <w:rPr>
                <w:rFonts w:hint="eastAsia" w:ascii="宋体" w:hAnsi="宋体" w:cs="宋体"/>
                <w:sz w:val="24"/>
                <w:szCs w:val="24"/>
                <w:u w:val="single"/>
              </w:rPr>
              <w:t>5.2.3开标时，两个（含两个）以上的投标人加密打包投标文件电脑机器特征码一致的，不参与下一程序，并由评标委员会否决其投标。</w:t>
            </w:r>
          </w:p>
        </w:tc>
      </w:tr>
      <w:tr w14:paraId="655DEA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Align w:val="center"/>
          </w:tcPr>
          <w:p w14:paraId="5213C7C8">
            <w:pPr>
              <w:jc w:val="center"/>
              <w:rPr>
                <w:rFonts w:ascii="宋体" w:hAnsi="宋体" w:cs="宋体"/>
                <w:sz w:val="24"/>
                <w:szCs w:val="24"/>
              </w:rPr>
            </w:pPr>
            <w:r>
              <w:rPr>
                <w:rFonts w:hint="eastAsia" w:ascii="宋体" w:hAnsi="宋体" w:cs="宋体"/>
                <w:sz w:val="24"/>
                <w:szCs w:val="24"/>
              </w:rPr>
              <w:t>5.3</w:t>
            </w:r>
          </w:p>
        </w:tc>
        <w:tc>
          <w:tcPr>
            <w:tcW w:w="2409" w:type="dxa"/>
            <w:vAlign w:val="center"/>
          </w:tcPr>
          <w:p w14:paraId="5BE4309A">
            <w:pPr>
              <w:jc w:val="center"/>
              <w:rPr>
                <w:rFonts w:ascii="宋体" w:hAnsi="宋体" w:cs="宋体"/>
                <w:sz w:val="24"/>
                <w:szCs w:val="24"/>
              </w:rPr>
            </w:pPr>
            <w:r>
              <w:rPr>
                <w:rFonts w:hint="eastAsia" w:ascii="宋体" w:hAnsi="宋体" w:cs="宋体"/>
                <w:sz w:val="24"/>
                <w:szCs w:val="24"/>
              </w:rPr>
              <w:t>开标异议</w:t>
            </w:r>
          </w:p>
        </w:tc>
        <w:tc>
          <w:tcPr>
            <w:tcW w:w="6096" w:type="dxa"/>
            <w:vAlign w:val="center"/>
          </w:tcPr>
          <w:p w14:paraId="5C2961D4">
            <w:pPr>
              <w:snapToGrid w:val="0"/>
              <w:rPr>
                <w:rFonts w:ascii="宋体" w:hAnsi="宋体" w:cs="宋体"/>
                <w:sz w:val="24"/>
                <w:szCs w:val="24"/>
              </w:rPr>
            </w:pPr>
            <w:r>
              <w:rPr>
                <w:rFonts w:hint="eastAsia" w:ascii="宋体" w:hAnsi="宋体" w:cs="宋体"/>
                <w:sz w:val="24"/>
                <w:szCs w:val="24"/>
              </w:rPr>
              <w:t>如参加现场开标的投标人对开标结果有异议的，应当在开标现场提出，该投标人代表须同时出示本人身份证原件，招标人应当当场作出答复，并制作记录。</w:t>
            </w:r>
          </w:p>
          <w:p w14:paraId="3A9AF2B5">
            <w:pPr>
              <w:snapToGrid w:val="0"/>
              <w:rPr>
                <w:rFonts w:ascii="宋体" w:hAnsi="宋体" w:cs="宋体"/>
                <w:sz w:val="24"/>
                <w:szCs w:val="24"/>
              </w:rPr>
            </w:pPr>
            <w:r>
              <w:rPr>
                <w:rFonts w:hint="eastAsia" w:ascii="宋体" w:hAnsi="宋体" w:cs="宋体"/>
                <w:sz w:val="24"/>
                <w:szCs w:val="24"/>
              </w:rPr>
              <w:t>如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tc>
      </w:tr>
      <w:tr w14:paraId="23DE09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trPr>
        <w:tc>
          <w:tcPr>
            <w:tcW w:w="1101" w:type="dxa"/>
            <w:vAlign w:val="center"/>
          </w:tcPr>
          <w:p w14:paraId="5F050379">
            <w:pPr>
              <w:snapToGrid w:val="0"/>
              <w:jc w:val="center"/>
              <w:rPr>
                <w:rFonts w:ascii="宋体" w:hAnsi="宋体" w:cs="宋体"/>
                <w:sz w:val="24"/>
                <w:szCs w:val="24"/>
              </w:rPr>
            </w:pPr>
            <w:r>
              <w:rPr>
                <w:rFonts w:hint="eastAsia" w:ascii="宋体" w:hAnsi="宋体" w:cs="宋体"/>
                <w:sz w:val="24"/>
                <w:szCs w:val="24"/>
              </w:rPr>
              <w:t>6.1.1</w:t>
            </w:r>
          </w:p>
        </w:tc>
        <w:tc>
          <w:tcPr>
            <w:tcW w:w="2409" w:type="dxa"/>
            <w:vAlign w:val="center"/>
          </w:tcPr>
          <w:p w14:paraId="5E632CB8">
            <w:pPr>
              <w:snapToGrid w:val="0"/>
              <w:jc w:val="center"/>
              <w:rPr>
                <w:rFonts w:ascii="宋体" w:hAnsi="宋体" w:cs="宋体"/>
                <w:sz w:val="24"/>
                <w:szCs w:val="24"/>
              </w:rPr>
            </w:pPr>
            <w:r>
              <w:rPr>
                <w:rFonts w:hint="eastAsia" w:ascii="宋体" w:hAnsi="宋体" w:cs="宋体"/>
                <w:sz w:val="24"/>
                <w:szCs w:val="24"/>
              </w:rPr>
              <w:t>评标委员会的组建</w:t>
            </w:r>
          </w:p>
        </w:tc>
        <w:tc>
          <w:tcPr>
            <w:tcW w:w="6096" w:type="dxa"/>
            <w:vAlign w:val="center"/>
          </w:tcPr>
          <w:p w14:paraId="1DB78109">
            <w:pPr>
              <w:snapToGrid w:val="0"/>
              <w:rPr>
                <w:rFonts w:ascii="宋体" w:hAnsi="宋体" w:cs="宋体"/>
                <w:sz w:val="24"/>
                <w:szCs w:val="24"/>
              </w:rPr>
            </w:pPr>
            <w:r>
              <w:rPr>
                <w:rFonts w:hint="eastAsia" w:ascii="宋体" w:hAnsi="宋体" w:cs="宋体"/>
                <w:sz w:val="24"/>
                <w:szCs w:val="24"/>
              </w:rPr>
              <w:t>评标委员会依法组建。</w:t>
            </w:r>
          </w:p>
        </w:tc>
      </w:tr>
      <w:tr w14:paraId="10CD53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1101" w:type="dxa"/>
            <w:vAlign w:val="center"/>
          </w:tcPr>
          <w:p w14:paraId="18145FBF">
            <w:pPr>
              <w:snapToGrid w:val="0"/>
              <w:jc w:val="center"/>
              <w:rPr>
                <w:rFonts w:ascii="宋体" w:hAnsi="宋体" w:cs="宋体"/>
                <w:sz w:val="24"/>
                <w:szCs w:val="24"/>
              </w:rPr>
            </w:pPr>
            <w:r>
              <w:rPr>
                <w:rFonts w:hint="eastAsia" w:ascii="宋体" w:hAnsi="宋体" w:cs="宋体"/>
                <w:sz w:val="24"/>
                <w:szCs w:val="24"/>
              </w:rPr>
              <w:t>6.3.2</w:t>
            </w:r>
          </w:p>
        </w:tc>
        <w:tc>
          <w:tcPr>
            <w:tcW w:w="2409" w:type="dxa"/>
            <w:vAlign w:val="center"/>
          </w:tcPr>
          <w:p w14:paraId="60A9D0EA">
            <w:pPr>
              <w:snapToGrid w:val="0"/>
              <w:jc w:val="center"/>
              <w:rPr>
                <w:rFonts w:ascii="宋体" w:hAnsi="宋体" w:cs="宋体"/>
                <w:sz w:val="24"/>
                <w:szCs w:val="24"/>
              </w:rPr>
            </w:pPr>
            <w:r>
              <w:rPr>
                <w:rFonts w:hint="eastAsia" w:ascii="宋体" w:hAnsi="宋体" w:cs="宋体"/>
                <w:sz w:val="24"/>
                <w:szCs w:val="24"/>
              </w:rPr>
              <w:t>评标委员会推荐中标候选人的人数</w:t>
            </w:r>
          </w:p>
        </w:tc>
        <w:tc>
          <w:tcPr>
            <w:tcW w:w="6096" w:type="dxa"/>
            <w:vAlign w:val="center"/>
          </w:tcPr>
          <w:p w14:paraId="6DC0997D">
            <w:pPr>
              <w:snapToGrid w:val="0"/>
              <w:rPr>
                <w:rFonts w:ascii="宋体" w:hAnsi="宋体" w:cs="宋体"/>
                <w:sz w:val="24"/>
                <w:szCs w:val="24"/>
              </w:rPr>
            </w:pPr>
            <w:r>
              <w:rPr>
                <w:rFonts w:hint="eastAsia" w:ascii="宋体" w:hAnsi="宋体" w:cs="宋体"/>
                <w:sz w:val="24"/>
                <w:szCs w:val="24"/>
              </w:rPr>
              <w:t>推荐中标候选人</w:t>
            </w:r>
            <w:r>
              <w:rPr>
                <w:rFonts w:hint="eastAsia" w:ascii="宋体" w:hAnsi="宋体" w:cs="宋体"/>
                <w:sz w:val="24"/>
                <w:szCs w:val="24"/>
                <w:u w:val="single"/>
              </w:rPr>
              <w:t>3名</w:t>
            </w:r>
          </w:p>
        </w:tc>
      </w:tr>
      <w:tr w14:paraId="30F42D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1101" w:type="dxa"/>
            <w:vAlign w:val="center"/>
          </w:tcPr>
          <w:p w14:paraId="300D639C">
            <w:pPr>
              <w:snapToGrid w:val="0"/>
              <w:jc w:val="center"/>
              <w:rPr>
                <w:rFonts w:ascii="宋体" w:hAnsi="宋体" w:cs="宋体"/>
                <w:sz w:val="24"/>
                <w:szCs w:val="24"/>
              </w:rPr>
            </w:pPr>
            <w:r>
              <w:rPr>
                <w:rFonts w:hint="eastAsia" w:ascii="宋体" w:hAnsi="宋体" w:cs="宋体"/>
                <w:sz w:val="24"/>
                <w:szCs w:val="24"/>
              </w:rPr>
              <w:t>7.1</w:t>
            </w:r>
          </w:p>
        </w:tc>
        <w:tc>
          <w:tcPr>
            <w:tcW w:w="2409" w:type="dxa"/>
            <w:vAlign w:val="center"/>
          </w:tcPr>
          <w:p w14:paraId="0CB32CA5">
            <w:pPr>
              <w:snapToGrid w:val="0"/>
              <w:jc w:val="center"/>
              <w:rPr>
                <w:rFonts w:ascii="宋体" w:hAnsi="宋体" w:cs="宋体"/>
                <w:sz w:val="24"/>
                <w:szCs w:val="24"/>
              </w:rPr>
            </w:pPr>
            <w:r>
              <w:rPr>
                <w:rFonts w:hint="eastAsia" w:ascii="宋体" w:hAnsi="宋体" w:cs="宋体"/>
                <w:sz w:val="24"/>
                <w:szCs w:val="24"/>
              </w:rPr>
              <w:t>中标候选人公示媒介及期限</w:t>
            </w:r>
          </w:p>
        </w:tc>
        <w:tc>
          <w:tcPr>
            <w:tcW w:w="6096" w:type="dxa"/>
            <w:vAlign w:val="center"/>
          </w:tcPr>
          <w:p w14:paraId="50C468AB">
            <w:pPr>
              <w:spacing w:line="440" w:lineRule="exact"/>
              <w:rPr>
                <w:rFonts w:ascii="宋体" w:hAnsi="宋体" w:cs="宋体"/>
                <w:sz w:val="24"/>
                <w:szCs w:val="24"/>
              </w:rPr>
            </w:pPr>
            <w:r>
              <w:rPr>
                <w:rFonts w:hint="eastAsia" w:ascii="宋体" w:hAnsi="宋体" w:cs="宋体"/>
                <w:sz w:val="24"/>
                <w:szCs w:val="24"/>
              </w:rPr>
              <w:t>公示媒介：</w:t>
            </w:r>
            <w:r>
              <w:rPr>
                <w:rFonts w:hint="eastAsia" w:ascii="宋体" w:hAnsi="宋体" w:cs="宋体"/>
                <w:sz w:val="24"/>
                <w:szCs w:val="24"/>
                <w:u w:val="single"/>
              </w:rPr>
              <w:t>中国招标投标公共服务平台、广东省招标投标监管网、广州交易集团有限公司（广州公共资源交易中心）官网</w:t>
            </w:r>
          </w:p>
          <w:p w14:paraId="19F040D7">
            <w:pPr>
              <w:snapToGrid w:val="0"/>
              <w:ind w:right="106"/>
              <w:rPr>
                <w:rFonts w:ascii="宋体" w:hAnsi="宋体" w:cs="宋体"/>
                <w:sz w:val="24"/>
                <w:szCs w:val="24"/>
              </w:rPr>
            </w:pPr>
            <w:r>
              <w:rPr>
                <w:rFonts w:hint="eastAsia" w:ascii="宋体" w:hAnsi="宋体" w:cs="宋体"/>
                <w:sz w:val="24"/>
                <w:szCs w:val="24"/>
              </w:rPr>
              <w:t>公示期限：</w:t>
            </w:r>
            <w:r>
              <w:rPr>
                <w:rFonts w:hint="eastAsia" w:ascii="宋体" w:hAnsi="宋体" w:cs="宋体"/>
                <w:sz w:val="24"/>
                <w:szCs w:val="24"/>
                <w:u w:val="single"/>
              </w:rPr>
              <w:t>3</w:t>
            </w:r>
            <w:r>
              <w:rPr>
                <w:rFonts w:hint="eastAsia" w:ascii="宋体" w:hAnsi="宋体" w:cs="宋体"/>
                <w:sz w:val="24"/>
                <w:szCs w:val="24"/>
              </w:rPr>
              <w:t>日</w:t>
            </w:r>
          </w:p>
        </w:tc>
      </w:tr>
      <w:tr w14:paraId="007816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trPr>
        <w:tc>
          <w:tcPr>
            <w:tcW w:w="1101" w:type="dxa"/>
            <w:vAlign w:val="center"/>
          </w:tcPr>
          <w:p w14:paraId="2294C0AA">
            <w:pPr>
              <w:snapToGrid w:val="0"/>
              <w:jc w:val="center"/>
              <w:rPr>
                <w:rFonts w:ascii="宋体" w:hAnsi="宋体" w:cs="宋体"/>
                <w:sz w:val="24"/>
                <w:szCs w:val="24"/>
              </w:rPr>
            </w:pPr>
            <w:r>
              <w:rPr>
                <w:rFonts w:hint="eastAsia" w:ascii="宋体" w:hAnsi="宋体" w:cs="宋体"/>
                <w:sz w:val="24"/>
                <w:szCs w:val="24"/>
              </w:rPr>
              <w:t>7.4</w:t>
            </w:r>
          </w:p>
        </w:tc>
        <w:tc>
          <w:tcPr>
            <w:tcW w:w="2409" w:type="dxa"/>
            <w:vAlign w:val="center"/>
          </w:tcPr>
          <w:p w14:paraId="3FB0025D">
            <w:pPr>
              <w:snapToGrid w:val="0"/>
              <w:jc w:val="center"/>
              <w:rPr>
                <w:rFonts w:ascii="宋体" w:hAnsi="宋体" w:cs="宋体"/>
                <w:sz w:val="24"/>
                <w:szCs w:val="24"/>
              </w:rPr>
            </w:pPr>
            <w:r>
              <w:rPr>
                <w:rFonts w:hint="eastAsia" w:ascii="宋体" w:hAnsi="宋体" w:cs="宋体"/>
                <w:sz w:val="24"/>
                <w:szCs w:val="24"/>
              </w:rPr>
              <w:t>是否授权评标委员会确定中标人</w:t>
            </w:r>
          </w:p>
        </w:tc>
        <w:tc>
          <w:tcPr>
            <w:tcW w:w="6096" w:type="dxa"/>
            <w:vAlign w:val="center"/>
          </w:tcPr>
          <w:p w14:paraId="5E5783FF">
            <w:pPr>
              <w:snapToGrid w:val="0"/>
              <w:rPr>
                <w:rFonts w:ascii="宋体" w:hAnsi="宋体" w:cs="宋体"/>
                <w:sz w:val="24"/>
                <w:szCs w:val="24"/>
              </w:rPr>
            </w:pPr>
            <w:r>
              <w:rPr>
                <w:rFonts w:hint="eastAsia" w:ascii="宋体" w:hAnsi="宋体" w:cs="宋体"/>
                <w:sz w:val="24"/>
                <w:szCs w:val="24"/>
              </w:rPr>
              <w:t>□是</w:t>
            </w:r>
          </w:p>
          <w:p w14:paraId="5E6FC226">
            <w:pPr>
              <w:snapToGrid w:val="0"/>
              <w:rPr>
                <w:rFonts w:ascii="宋体" w:hAnsi="宋体" w:cs="宋体"/>
                <w:sz w:val="24"/>
                <w:szCs w:val="24"/>
              </w:rPr>
            </w:pPr>
            <w:r>
              <w:rPr>
                <w:rFonts w:hint="eastAsia" w:ascii="宋体" w:hAnsi="宋体" w:cs="宋体"/>
                <w:spacing w:val="-1"/>
                <w:sz w:val="18"/>
                <w:szCs w:val="24"/>
                <w:bdr w:val="single" w:color="auto" w:sz="4" w:space="0"/>
              </w:rPr>
              <w:t>√</w:t>
            </w:r>
            <w:r>
              <w:rPr>
                <w:rFonts w:hint="eastAsia" w:ascii="宋体" w:hAnsi="宋体" w:cs="宋体"/>
                <w:sz w:val="24"/>
                <w:szCs w:val="24"/>
              </w:rPr>
              <w:t>否</w:t>
            </w:r>
          </w:p>
        </w:tc>
      </w:tr>
      <w:tr w14:paraId="27FF14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76" w:hRule="atLeast"/>
        </w:trPr>
        <w:tc>
          <w:tcPr>
            <w:tcW w:w="1101" w:type="dxa"/>
            <w:vAlign w:val="center"/>
          </w:tcPr>
          <w:p w14:paraId="1A155EBE">
            <w:pPr>
              <w:snapToGrid w:val="0"/>
              <w:jc w:val="center"/>
              <w:rPr>
                <w:rFonts w:ascii="宋体" w:hAnsi="宋体" w:cs="宋体"/>
                <w:sz w:val="24"/>
                <w:szCs w:val="24"/>
              </w:rPr>
            </w:pPr>
            <w:r>
              <w:rPr>
                <w:rFonts w:hint="eastAsia" w:ascii="宋体" w:hAnsi="宋体" w:cs="宋体"/>
                <w:sz w:val="24"/>
                <w:szCs w:val="24"/>
              </w:rPr>
              <w:t>7.6.1</w:t>
            </w:r>
          </w:p>
        </w:tc>
        <w:tc>
          <w:tcPr>
            <w:tcW w:w="2409" w:type="dxa"/>
            <w:vAlign w:val="center"/>
          </w:tcPr>
          <w:p w14:paraId="40E0592B">
            <w:pPr>
              <w:snapToGrid w:val="0"/>
              <w:jc w:val="center"/>
              <w:rPr>
                <w:rFonts w:ascii="宋体" w:hAnsi="宋体" w:cs="宋体"/>
                <w:sz w:val="24"/>
                <w:szCs w:val="24"/>
              </w:rPr>
            </w:pPr>
            <w:r>
              <w:rPr>
                <w:rFonts w:hint="eastAsia" w:ascii="宋体" w:hAnsi="宋体" w:cs="宋体"/>
                <w:sz w:val="24"/>
                <w:szCs w:val="24"/>
              </w:rPr>
              <w:t>履约保证金</w:t>
            </w:r>
          </w:p>
        </w:tc>
        <w:tc>
          <w:tcPr>
            <w:tcW w:w="6096" w:type="dxa"/>
            <w:vAlign w:val="center"/>
          </w:tcPr>
          <w:p w14:paraId="79C9AA29">
            <w:pPr>
              <w:pStyle w:val="8"/>
              <w:topLinePunct/>
              <w:spacing w:line="400" w:lineRule="exact"/>
              <w:rPr>
                <w:rFonts w:ascii="宋体" w:hAnsi="宋体" w:cs="宋体"/>
                <w:kern w:val="2"/>
                <w:sz w:val="24"/>
                <w:szCs w:val="24"/>
              </w:rPr>
            </w:pPr>
            <w:r>
              <w:rPr>
                <w:rFonts w:hint="eastAsia" w:ascii="宋体" w:hAnsi="宋体" w:cs="宋体"/>
                <w:kern w:val="2"/>
                <w:sz w:val="24"/>
                <w:szCs w:val="24"/>
              </w:rPr>
              <w:t>是否要求中标人提交履约保证金：</w:t>
            </w:r>
          </w:p>
          <w:p w14:paraId="4891DFD4">
            <w:pPr>
              <w:pStyle w:val="8"/>
              <w:topLinePunct/>
              <w:spacing w:line="400" w:lineRule="exact"/>
              <w:rPr>
                <w:rFonts w:ascii="宋体" w:hAnsi="宋体" w:cs="宋体"/>
                <w:kern w:val="2"/>
                <w:sz w:val="24"/>
                <w:szCs w:val="24"/>
                <w:u w:val="single"/>
              </w:rPr>
            </w:pPr>
            <w:r>
              <w:rPr>
                <w:rFonts w:hint="eastAsia" w:ascii="宋体" w:hAnsi="宋体" w:cs="宋体"/>
                <w:spacing w:val="-1"/>
                <w:sz w:val="18"/>
                <w:szCs w:val="24"/>
                <w:bdr w:val="single" w:color="auto" w:sz="4" w:space="0"/>
              </w:rPr>
              <w:t>√</w:t>
            </w:r>
            <w:r>
              <w:rPr>
                <w:rFonts w:hint="eastAsia" w:ascii="宋体" w:hAnsi="宋体" w:cs="宋体"/>
                <w:kern w:val="2"/>
                <w:sz w:val="24"/>
                <w:szCs w:val="24"/>
              </w:rPr>
              <w:t>要求，</w:t>
            </w:r>
            <w:r>
              <w:rPr>
                <w:rFonts w:hint="eastAsia" w:ascii="宋体" w:hAnsi="宋体" w:cs="宋体"/>
                <w:kern w:val="2"/>
                <w:sz w:val="24"/>
                <w:szCs w:val="24"/>
                <w:u w:val="single"/>
              </w:rPr>
              <w:t>履约担保的形式：以合同约定为准。</w:t>
            </w:r>
          </w:p>
          <w:p w14:paraId="1F44A873">
            <w:pPr>
              <w:pStyle w:val="8"/>
              <w:topLinePunct/>
              <w:snapToGrid w:val="0"/>
              <w:rPr>
                <w:rFonts w:ascii="宋体" w:hAnsi="宋体" w:cs="宋体"/>
                <w:kern w:val="2"/>
                <w:sz w:val="24"/>
                <w:szCs w:val="24"/>
              </w:rPr>
            </w:pPr>
            <w:r>
              <w:rPr>
                <w:rFonts w:hint="eastAsia" w:ascii="宋体" w:hAnsi="宋体" w:cs="宋体"/>
                <w:kern w:val="2"/>
                <w:sz w:val="24"/>
                <w:szCs w:val="24"/>
                <w:u w:val="single"/>
              </w:rPr>
              <w:t>履约担保的金额：中标人提供的履约保证金为中标价款的10%。</w:t>
            </w:r>
            <w:r>
              <w:rPr>
                <w:rFonts w:hint="eastAsia" w:ascii="宋体" w:hAnsi="宋体" w:cs="宋体"/>
                <w:sz w:val="24"/>
                <w:szCs w:val="24"/>
                <w:u w:val="single"/>
              </w:rPr>
              <w:t>中标人</w:t>
            </w:r>
            <w:r>
              <w:rPr>
                <w:rFonts w:hint="eastAsia" w:ascii="宋体" w:hAnsi="宋体" w:cs="宋体"/>
                <w:kern w:val="2"/>
                <w:sz w:val="24"/>
                <w:szCs w:val="24"/>
                <w:u w:val="single"/>
              </w:rPr>
              <w:t>在签订合同协议书7天内，应向发包人提交履约担保。</w:t>
            </w:r>
          </w:p>
        </w:tc>
      </w:tr>
      <w:tr w14:paraId="5169F9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trPr>
        <w:tc>
          <w:tcPr>
            <w:tcW w:w="1101" w:type="dxa"/>
            <w:vAlign w:val="center"/>
          </w:tcPr>
          <w:p w14:paraId="7FCFB733">
            <w:pPr>
              <w:snapToGrid w:val="0"/>
              <w:jc w:val="center"/>
              <w:rPr>
                <w:rFonts w:ascii="宋体" w:hAnsi="宋体" w:cs="宋体"/>
                <w:sz w:val="24"/>
                <w:szCs w:val="24"/>
              </w:rPr>
            </w:pPr>
            <w:r>
              <w:rPr>
                <w:rFonts w:hint="eastAsia" w:ascii="宋体" w:hAnsi="宋体" w:cs="宋体"/>
                <w:sz w:val="24"/>
                <w:szCs w:val="24"/>
              </w:rPr>
              <w:t>9</w:t>
            </w:r>
          </w:p>
        </w:tc>
        <w:tc>
          <w:tcPr>
            <w:tcW w:w="2409" w:type="dxa"/>
            <w:vAlign w:val="center"/>
          </w:tcPr>
          <w:p w14:paraId="5EB40EB8">
            <w:pPr>
              <w:snapToGrid w:val="0"/>
              <w:jc w:val="center"/>
              <w:rPr>
                <w:rFonts w:ascii="宋体" w:hAnsi="宋体" w:cs="宋体"/>
                <w:sz w:val="24"/>
                <w:szCs w:val="24"/>
              </w:rPr>
            </w:pPr>
            <w:r>
              <w:rPr>
                <w:rFonts w:hint="eastAsia" w:ascii="宋体" w:hAnsi="宋体" w:cs="宋体"/>
                <w:sz w:val="24"/>
                <w:szCs w:val="24"/>
              </w:rPr>
              <w:t>是否采用电子招标投标</w:t>
            </w:r>
          </w:p>
        </w:tc>
        <w:tc>
          <w:tcPr>
            <w:tcW w:w="6096" w:type="dxa"/>
            <w:vAlign w:val="center"/>
          </w:tcPr>
          <w:p w14:paraId="3CA597F7">
            <w:pPr>
              <w:spacing w:line="276" w:lineRule="auto"/>
              <w:rPr>
                <w:rFonts w:ascii="宋体" w:hAnsi="宋体" w:cs="宋体"/>
                <w:sz w:val="24"/>
                <w:szCs w:val="24"/>
              </w:rPr>
            </w:pPr>
            <w:r>
              <w:rPr>
                <w:rFonts w:hint="eastAsia" w:ascii="宋体" w:hAnsi="宋体" w:cs="宋体"/>
                <w:sz w:val="24"/>
                <w:szCs w:val="24"/>
              </w:rPr>
              <w:t>□否</w:t>
            </w:r>
          </w:p>
          <w:p w14:paraId="37C3A085">
            <w:pPr>
              <w:spacing w:line="276" w:lineRule="auto"/>
              <w:rPr>
                <w:rFonts w:ascii="宋体" w:hAnsi="宋体" w:cs="宋体"/>
                <w:sz w:val="24"/>
                <w:szCs w:val="24"/>
              </w:rPr>
            </w:pPr>
            <w:r>
              <w:rPr>
                <w:rFonts w:hint="eastAsia" w:ascii="宋体" w:hAnsi="宋体" w:cs="宋体"/>
                <w:spacing w:val="-1"/>
                <w:sz w:val="18"/>
                <w:szCs w:val="24"/>
                <w:bdr w:val="single" w:color="auto" w:sz="4" w:space="0"/>
              </w:rPr>
              <w:t>√</w:t>
            </w:r>
            <w:r>
              <w:rPr>
                <w:rFonts w:hint="eastAsia" w:ascii="宋体" w:hAnsi="宋体" w:cs="宋体"/>
                <w:sz w:val="24"/>
                <w:szCs w:val="24"/>
              </w:rPr>
              <w:t>是，具体要求：</w:t>
            </w:r>
          </w:p>
          <w:p w14:paraId="66F1D439">
            <w:pPr>
              <w:spacing w:line="276" w:lineRule="auto"/>
              <w:jc w:val="left"/>
              <w:rPr>
                <w:rFonts w:ascii="宋体" w:hAnsi="宋体" w:cs="宋体"/>
                <w:sz w:val="24"/>
                <w:szCs w:val="24"/>
              </w:rPr>
            </w:pPr>
            <w:r>
              <w:rPr>
                <w:rFonts w:hint="eastAsia" w:ascii="宋体" w:hAnsi="宋体" w:cs="宋体"/>
                <w:sz w:val="24"/>
                <w:szCs w:val="24"/>
              </w:rPr>
              <w:t>1.具体操作详见</w:t>
            </w:r>
            <w:r>
              <w:rPr>
                <w:rFonts w:hint="eastAsia" w:ascii="宋体" w:hAnsi="宋体" w:cs="宋体"/>
                <w:sz w:val="24"/>
                <w:szCs w:val="24"/>
                <w:u w:val="single"/>
              </w:rPr>
              <w:t>广州交易集团有限公司（广州公共资源交易中心）网站发布的《建设工程全流程电子化项目操作指南（适用于投标人）》</w:t>
            </w:r>
            <w:r>
              <w:rPr>
                <w:rFonts w:hint="eastAsia" w:ascii="宋体" w:hAnsi="宋体" w:cs="宋体"/>
                <w:sz w:val="24"/>
                <w:szCs w:val="24"/>
              </w:rPr>
              <w:t>。</w:t>
            </w:r>
          </w:p>
          <w:p w14:paraId="66677A9A">
            <w:pPr>
              <w:spacing w:line="276" w:lineRule="auto"/>
              <w:rPr>
                <w:rFonts w:ascii="宋体" w:hAnsi="宋体" w:cs="宋体"/>
                <w:sz w:val="24"/>
                <w:szCs w:val="24"/>
              </w:rPr>
            </w:pPr>
            <w:r>
              <w:rPr>
                <w:rFonts w:hint="eastAsia" w:ascii="宋体" w:hAnsi="宋体" w:cs="宋体"/>
                <w:sz w:val="24"/>
                <w:szCs w:val="24"/>
              </w:rPr>
              <w:t>2.提交投标文件光盘备用</w:t>
            </w:r>
          </w:p>
          <w:p w14:paraId="2AD7555E">
            <w:pPr>
              <w:spacing w:line="276" w:lineRule="auto"/>
              <w:rPr>
                <w:rFonts w:ascii="宋体" w:hAnsi="宋体" w:cs="宋体"/>
                <w:sz w:val="24"/>
                <w:szCs w:val="24"/>
              </w:rPr>
            </w:pPr>
            <w:r>
              <w:rPr>
                <w:rFonts w:hint="eastAsia" w:ascii="宋体" w:hAnsi="宋体" w:cs="宋体"/>
                <w:sz w:val="24"/>
                <w:szCs w:val="24"/>
              </w:rPr>
              <w:t>投标人将按</w:t>
            </w:r>
            <w:r>
              <w:rPr>
                <w:rFonts w:hint="eastAsia" w:ascii="宋体" w:hAnsi="宋体" w:cs="宋体"/>
                <w:sz w:val="24"/>
                <w:szCs w:val="24"/>
                <w:u w:val="single"/>
              </w:rPr>
              <w:t>《建设工程全流程电子化项目操作指南（适用于投标人）》</w:t>
            </w:r>
            <w:r>
              <w:rPr>
                <w:rFonts w:hint="eastAsia" w:ascii="宋体" w:hAnsi="宋体" w:cs="宋体"/>
                <w:sz w:val="24"/>
                <w:szCs w:val="24"/>
              </w:rPr>
              <w:t>的操作方法制作的非加密的电子投标文件刻入光盘（1份），在规定的时间、地点提交备用。刻录好的投标文件光盘密封在密封袋中，并在封口处加盖投标人单位公章。密封袋上应写明的内容见投标人须知前附表要求4.1.2递交的投标文件（光盘）不得加密。光盘（投标文件）无法读取或导入的，则视为未提交备用投标文件光盘。如果投标人没有按规定通过交易平台网上递交电子投标文件的，不再接受提交的光盘。</w:t>
            </w:r>
          </w:p>
          <w:p w14:paraId="21F2AE73">
            <w:pPr>
              <w:spacing w:line="276" w:lineRule="auto"/>
              <w:rPr>
                <w:rFonts w:ascii="宋体" w:hAnsi="宋体" w:cs="宋体"/>
                <w:sz w:val="24"/>
                <w:szCs w:val="24"/>
              </w:rPr>
            </w:pPr>
            <w:r>
              <w:rPr>
                <w:rFonts w:hint="eastAsia" w:ascii="宋体" w:hAnsi="宋体" w:cs="宋体"/>
                <w:sz w:val="24"/>
                <w:szCs w:val="24"/>
              </w:rPr>
              <w:t xml:space="preserve"> 3.补救方案</w:t>
            </w:r>
          </w:p>
          <w:p w14:paraId="761B2733">
            <w:pPr>
              <w:spacing w:line="276" w:lineRule="auto"/>
              <w:rPr>
                <w:rFonts w:ascii="宋体" w:hAnsi="宋体" w:cs="宋体"/>
                <w:sz w:val="24"/>
                <w:szCs w:val="24"/>
              </w:rPr>
            </w:pPr>
            <w:r>
              <w:rPr>
                <w:rFonts w:hint="eastAsia" w:ascii="宋体" w:hAnsi="宋体" w:cs="宋体"/>
                <w:sz w:val="24"/>
                <w:szCs w:val="24"/>
              </w:rPr>
              <w:t>（1）投标文件解密失败的补救方案：</w:t>
            </w:r>
          </w:p>
          <w:p w14:paraId="0ABBBCED">
            <w:pPr>
              <w:spacing w:line="276" w:lineRule="auto"/>
              <w:rPr>
                <w:rFonts w:ascii="宋体" w:hAnsi="宋体" w:cs="宋体"/>
                <w:sz w:val="24"/>
                <w:szCs w:val="24"/>
              </w:rPr>
            </w:pPr>
            <w:r>
              <w:rPr>
                <w:rFonts w:hint="eastAsia" w:ascii="宋体" w:hAnsi="宋体" w:cs="宋体"/>
                <w:sz w:val="24"/>
                <w:szCs w:val="24"/>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5F4B8B11">
            <w:pPr>
              <w:spacing w:line="276" w:lineRule="auto"/>
              <w:rPr>
                <w:rFonts w:ascii="宋体" w:hAnsi="宋体" w:cs="宋体"/>
                <w:sz w:val="24"/>
                <w:szCs w:val="24"/>
              </w:rPr>
            </w:pPr>
            <w:r>
              <w:rPr>
                <w:rFonts w:hint="eastAsia" w:ascii="宋体" w:hAnsi="宋体" w:cs="宋体"/>
                <w:sz w:val="24"/>
                <w:szCs w:val="24"/>
              </w:rPr>
              <w:t>（2）评标时突发情况的补救方案</w:t>
            </w:r>
          </w:p>
          <w:p w14:paraId="7022E324">
            <w:pPr>
              <w:spacing w:line="276" w:lineRule="auto"/>
              <w:rPr>
                <w:rFonts w:ascii="宋体" w:hAnsi="宋体" w:cs="宋体"/>
                <w:sz w:val="24"/>
                <w:szCs w:val="24"/>
              </w:rPr>
            </w:pPr>
            <w:r>
              <w:rPr>
                <w:rFonts w:hint="eastAsia" w:ascii="宋体" w:hAnsi="宋体" w:cs="宋体"/>
                <w:sz w:val="24"/>
                <w:szCs w:val="24"/>
              </w:rPr>
              <w:t>若遇不可抗力发生（如：网络瘫痪、服务器损坏、交易系统故障短期无法恢复等因素），由评标委员会开启现场递交的全部投标文件光盘，并按光盘内容进行评审。</w:t>
            </w:r>
          </w:p>
          <w:p w14:paraId="0570BF5D">
            <w:pPr>
              <w:spacing w:line="276" w:lineRule="auto"/>
              <w:rPr>
                <w:rFonts w:ascii="宋体" w:hAnsi="宋体" w:cs="宋体"/>
                <w:sz w:val="24"/>
                <w:szCs w:val="24"/>
              </w:rPr>
            </w:pPr>
            <w:r>
              <w:rPr>
                <w:rFonts w:hint="eastAsia" w:ascii="宋体" w:hAnsi="宋体" w:cs="宋体"/>
                <w:sz w:val="24"/>
                <w:szCs w:val="24"/>
              </w:rPr>
              <w:t>（3）除发生上述情况外，开标评标均以投标人通过交易平台网上递交的电子投标文件为准。</w:t>
            </w:r>
          </w:p>
        </w:tc>
      </w:tr>
      <w:tr w14:paraId="6BE0B1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1101" w:type="dxa"/>
            <w:vAlign w:val="center"/>
          </w:tcPr>
          <w:p w14:paraId="69A1DF7A">
            <w:pPr>
              <w:snapToGrid w:val="0"/>
              <w:jc w:val="center"/>
              <w:rPr>
                <w:rFonts w:ascii="宋体" w:hAnsi="宋体" w:cs="宋体"/>
                <w:sz w:val="24"/>
                <w:szCs w:val="24"/>
              </w:rPr>
            </w:pPr>
            <w:r>
              <w:rPr>
                <w:rFonts w:hint="eastAsia" w:ascii="宋体" w:hAnsi="宋体" w:cs="宋体"/>
                <w:sz w:val="24"/>
                <w:szCs w:val="24"/>
              </w:rPr>
              <w:t>10</w:t>
            </w:r>
          </w:p>
        </w:tc>
        <w:tc>
          <w:tcPr>
            <w:tcW w:w="8505" w:type="dxa"/>
            <w:gridSpan w:val="2"/>
            <w:vAlign w:val="center"/>
          </w:tcPr>
          <w:p w14:paraId="020744A2">
            <w:pPr>
              <w:snapToGrid w:val="0"/>
              <w:rPr>
                <w:rFonts w:ascii="宋体" w:hAnsi="宋体" w:cs="宋体"/>
                <w:sz w:val="24"/>
                <w:szCs w:val="24"/>
              </w:rPr>
            </w:pPr>
            <w:r>
              <w:rPr>
                <w:rFonts w:hint="eastAsia" w:ascii="宋体" w:hAnsi="宋体" w:cs="宋体"/>
                <w:sz w:val="24"/>
                <w:szCs w:val="24"/>
              </w:rPr>
              <w:t>需要补充的其他内容</w:t>
            </w:r>
          </w:p>
        </w:tc>
      </w:tr>
      <w:tr w14:paraId="6DE5C5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1101" w:type="dxa"/>
            <w:vAlign w:val="center"/>
          </w:tcPr>
          <w:p w14:paraId="25FCB926">
            <w:pPr>
              <w:snapToGrid w:val="0"/>
              <w:jc w:val="center"/>
              <w:rPr>
                <w:rFonts w:ascii="宋体" w:hAnsi="宋体" w:cs="宋体"/>
                <w:sz w:val="24"/>
                <w:szCs w:val="24"/>
              </w:rPr>
            </w:pPr>
            <w:r>
              <w:rPr>
                <w:rFonts w:hint="eastAsia" w:ascii="宋体" w:hAnsi="宋体" w:cs="宋体"/>
                <w:sz w:val="24"/>
                <w:szCs w:val="24"/>
              </w:rPr>
              <w:t>10.1</w:t>
            </w:r>
          </w:p>
        </w:tc>
        <w:tc>
          <w:tcPr>
            <w:tcW w:w="2409" w:type="dxa"/>
            <w:vAlign w:val="center"/>
          </w:tcPr>
          <w:p w14:paraId="6B57A990">
            <w:pPr>
              <w:snapToGrid w:val="0"/>
              <w:jc w:val="center"/>
              <w:rPr>
                <w:rFonts w:ascii="宋体" w:hAnsi="宋体" w:cs="宋体"/>
                <w:sz w:val="24"/>
                <w:szCs w:val="24"/>
              </w:rPr>
            </w:pPr>
            <w:r>
              <w:rPr>
                <w:rFonts w:hint="eastAsia" w:ascii="宋体" w:hAnsi="宋体" w:cs="宋体"/>
                <w:sz w:val="24"/>
                <w:szCs w:val="24"/>
              </w:rPr>
              <w:t>特别提醒</w:t>
            </w:r>
          </w:p>
        </w:tc>
        <w:tc>
          <w:tcPr>
            <w:tcW w:w="6096" w:type="dxa"/>
            <w:vAlign w:val="center"/>
          </w:tcPr>
          <w:p w14:paraId="1D10F373">
            <w:pPr>
              <w:widowControl/>
              <w:numPr>
                <w:ilvl w:val="0"/>
                <w:numId w:val="2"/>
              </w:numPr>
              <w:shd w:val="clear" w:color="auto" w:fill="FFFFFF"/>
              <w:spacing w:line="276" w:lineRule="auto"/>
              <w:jc w:val="left"/>
              <w:rPr>
                <w:rFonts w:ascii="宋体" w:hAnsi="宋体" w:cs="宋体"/>
                <w:kern w:val="0"/>
                <w:sz w:val="24"/>
                <w:szCs w:val="24"/>
              </w:rPr>
            </w:pPr>
            <w:r>
              <w:rPr>
                <w:rFonts w:hint="eastAsia" w:ascii="宋体" w:hAnsi="宋体" w:cs="宋体"/>
                <w:kern w:val="0"/>
                <w:sz w:val="24"/>
                <w:szCs w:val="24"/>
              </w:rPr>
              <w:t>投标人在本项目招标人的工程项目中存在下列行为的，将被拒绝1年内参与我单位后续工程投标。（注：拒绝投标时限由招标人视严重程度确定，最低三个月起，自招标人发出通知之日起计）：</w:t>
            </w:r>
          </w:p>
          <w:p w14:paraId="2E583940">
            <w:pPr>
              <w:widowControl/>
              <w:shd w:val="clear" w:color="auto" w:fill="FFFFFF"/>
              <w:spacing w:line="276" w:lineRule="auto"/>
              <w:jc w:val="left"/>
              <w:rPr>
                <w:rFonts w:ascii="宋体" w:hAnsi="宋体" w:cs="宋体"/>
                <w:kern w:val="0"/>
                <w:sz w:val="24"/>
                <w:szCs w:val="24"/>
              </w:rPr>
            </w:pPr>
            <w:r>
              <w:rPr>
                <w:rFonts w:hint="eastAsia" w:ascii="宋体" w:hAnsi="宋体" w:cs="宋体"/>
                <w:kern w:val="0"/>
                <w:sz w:val="24"/>
                <w:szCs w:val="24"/>
              </w:rPr>
              <w:t>（一）将中标工程转包或者违法分包的；</w:t>
            </w:r>
          </w:p>
          <w:p w14:paraId="0999281E">
            <w:pPr>
              <w:widowControl/>
              <w:shd w:val="clear" w:color="auto" w:fill="FFFFFF"/>
              <w:spacing w:line="276" w:lineRule="auto"/>
              <w:jc w:val="left"/>
              <w:rPr>
                <w:rFonts w:ascii="宋体" w:hAnsi="宋体" w:cs="宋体"/>
                <w:kern w:val="0"/>
                <w:sz w:val="24"/>
                <w:szCs w:val="24"/>
              </w:rPr>
            </w:pPr>
            <w:r>
              <w:rPr>
                <w:rFonts w:hint="eastAsia" w:ascii="宋体" w:hAnsi="宋体" w:cs="宋体"/>
                <w:kern w:val="0"/>
                <w:sz w:val="24"/>
                <w:szCs w:val="24"/>
              </w:rPr>
              <w:t>（二）存在围标或串通投标情形的；</w:t>
            </w:r>
          </w:p>
          <w:p w14:paraId="53A4AE89">
            <w:pPr>
              <w:widowControl/>
              <w:shd w:val="clear" w:color="auto" w:fill="FFFFFF"/>
              <w:spacing w:line="276" w:lineRule="auto"/>
              <w:jc w:val="left"/>
              <w:rPr>
                <w:rFonts w:ascii="宋体" w:hAnsi="宋体" w:cs="宋体"/>
                <w:kern w:val="0"/>
                <w:sz w:val="24"/>
                <w:szCs w:val="24"/>
              </w:rPr>
            </w:pPr>
            <w:r>
              <w:rPr>
                <w:rFonts w:hint="eastAsia" w:ascii="宋体" w:hAnsi="宋体" w:cs="宋体"/>
                <w:kern w:val="0"/>
                <w:sz w:val="24"/>
                <w:szCs w:val="24"/>
              </w:rPr>
              <w:t>（三）存在弄虚作假骗取中标、行贿情形的；</w:t>
            </w:r>
          </w:p>
          <w:p w14:paraId="6FC89AFA">
            <w:pPr>
              <w:widowControl/>
              <w:shd w:val="clear" w:color="auto" w:fill="FFFFFF"/>
              <w:spacing w:line="276" w:lineRule="auto"/>
              <w:jc w:val="left"/>
              <w:rPr>
                <w:rFonts w:ascii="宋体" w:hAnsi="宋体" w:cs="宋体"/>
                <w:kern w:val="0"/>
                <w:sz w:val="24"/>
                <w:szCs w:val="24"/>
              </w:rPr>
            </w:pPr>
            <w:r>
              <w:rPr>
                <w:rFonts w:hint="eastAsia" w:ascii="宋体" w:hAnsi="宋体" w:cs="宋体"/>
                <w:kern w:val="0"/>
                <w:sz w:val="24"/>
                <w:szCs w:val="24"/>
              </w:rPr>
              <w:t>（四）在中标工程中不执行质量、安全生产相关规定，造成质量或安全事故的；</w:t>
            </w:r>
          </w:p>
          <w:p w14:paraId="7DEE6785">
            <w:pPr>
              <w:widowControl/>
              <w:shd w:val="clear" w:color="auto" w:fill="FFFFFF"/>
              <w:spacing w:line="276" w:lineRule="auto"/>
              <w:jc w:val="left"/>
              <w:rPr>
                <w:rFonts w:ascii="宋体" w:hAnsi="宋体" w:cs="宋体"/>
                <w:kern w:val="0"/>
                <w:sz w:val="24"/>
                <w:szCs w:val="24"/>
              </w:rPr>
            </w:pPr>
            <w:r>
              <w:rPr>
                <w:rFonts w:hint="eastAsia" w:ascii="宋体" w:hAnsi="宋体" w:cs="宋体"/>
                <w:kern w:val="0"/>
                <w:sz w:val="24"/>
                <w:szCs w:val="24"/>
              </w:rPr>
              <w:t>（五）未按照国家、省、市有关建筑施工实名制管理和工人工资支付分帐管理的规定执行，被行政监管部门处罚的；</w:t>
            </w:r>
          </w:p>
          <w:p w14:paraId="3E065F83">
            <w:pPr>
              <w:widowControl/>
              <w:shd w:val="clear" w:color="auto" w:fill="FFFFFF"/>
              <w:spacing w:line="276" w:lineRule="auto"/>
              <w:jc w:val="left"/>
              <w:rPr>
                <w:rFonts w:ascii="宋体" w:hAnsi="宋体" w:cs="宋体"/>
                <w:kern w:val="0"/>
                <w:sz w:val="24"/>
                <w:szCs w:val="24"/>
              </w:rPr>
            </w:pPr>
            <w:r>
              <w:rPr>
                <w:rFonts w:hint="eastAsia" w:ascii="宋体" w:hAnsi="宋体" w:cs="宋体"/>
                <w:kern w:val="0"/>
                <w:sz w:val="24"/>
                <w:szCs w:val="24"/>
              </w:rPr>
              <w:t>（六）由于承包人原因拖欠农民工工资的；</w:t>
            </w:r>
          </w:p>
          <w:p w14:paraId="158B0AB8">
            <w:pPr>
              <w:widowControl/>
              <w:shd w:val="clear" w:color="auto" w:fill="FFFFFF"/>
              <w:spacing w:line="276" w:lineRule="auto"/>
              <w:jc w:val="left"/>
              <w:rPr>
                <w:rFonts w:ascii="宋体" w:hAnsi="宋体" w:cs="宋体"/>
                <w:kern w:val="0"/>
                <w:sz w:val="24"/>
                <w:szCs w:val="24"/>
              </w:rPr>
            </w:pPr>
            <w:r>
              <w:rPr>
                <w:rFonts w:hint="eastAsia" w:ascii="宋体" w:hAnsi="宋体" w:cs="宋体"/>
                <w:kern w:val="0"/>
                <w:sz w:val="24"/>
                <w:szCs w:val="24"/>
              </w:rPr>
              <w:t>（七）承包人因合同履行过错行为被生效法律文书认定承担违约或侵权责任的；</w:t>
            </w:r>
          </w:p>
          <w:p w14:paraId="1226FE6D">
            <w:pPr>
              <w:widowControl/>
              <w:shd w:val="clear" w:color="auto" w:fill="FFFFFF"/>
              <w:spacing w:line="276" w:lineRule="auto"/>
              <w:jc w:val="left"/>
              <w:rPr>
                <w:rFonts w:ascii="宋体" w:hAnsi="宋体" w:cs="宋体"/>
                <w:kern w:val="0"/>
                <w:sz w:val="24"/>
                <w:szCs w:val="24"/>
              </w:rPr>
            </w:pPr>
            <w:r>
              <w:rPr>
                <w:rFonts w:hint="eastAsia" w:ascii="宋体" w:hAnsi="宋体" w:cs="宋体"/>
                <w:kern w:val="0"/>
                <w:sz w:val="24"/>
                <w:szCs w:val="24"/>
              </w:rPr>
              <w:t>（八）承包人如出现更换总监理工程师的情况，发包人有权视情况认为存在不诚信行为或不充分履约行为的。</w:t>
            </w:r>
          </w:p>
          <w:p w14:paraId="7CFB5D4E">
            <w:pPr>
              <w:widowControl/>
              <w:shd w:val="clear" w:color="auto" w:fill="FFFFFF"/>
              <w:spacing w:line="276" w:lineRule="auto"/>
              <w:jc w:val="left"/>
              <w:rPr>
                <w:rFonts w:ascii="宋体" w:hAnsi="宋体" w:cs="宋体"/>
                <w:kern w:val="0"/>
                <w:sz w:val="24"/>
                <w:szCs w:val="24"/>
              </w:rPr>
            </w:pPr>
            <w:r>
              <w:rPr>
                <w:rFonts w:hint="eastAsia" w:ascii="宋体" w:hAnsi="宋体" w:cs="宋体"/>
                <w:kern w:val="0"/>
                <w:sz w:val="24"/>
                <w:szCs w:val="24"/>
              </w:rPr>
              <w:t>2、投标人有下列情形的，将自愿接受：通报批评，记录不良行为，列入黑名单，并暂停企业参加省属代建项目招投标活动一年。造成当次招标流标等严重后果的，列入黑名单，并暂停企业参加省属代建项目招投标活动二年。</w:t>
            </w:r>
          </w:p>
          <w:p w14:paraId="52378500">
            <w:pPr>
              <w:widowControl/>
              <w:shd w:val="clear" w:color="auto" w:fill="FFFFFF"/>
              <w:spacing w:line="276" w:lineRule="auto"/>
              <w:jc w:val="left"/>
              <w:rPr>
                <w:rFonts w:ascii="宋体" w:hAnsi="宋体" w:cs="宋体"/>
                <w:kern w:val="0"/>
                <w:sz w:val="24"/>
                <w:szCs w:val="24"/>
              </w:rPr>
            </w:pPr>
            <w:r>
              <w:rPr>
                <w:rFonts w:hint="eastAsia" w:ascii="宋体" w:hAnsi="宋体" w:cs="宋体"/>
                <w:kern w:val="0"/>
                <w:sz w:val="24"/>
                <w:szCs w:val="24"/>
              </w:rPr>
              <w:t>（1）投标人在规定的投标有效期内撤销或修改其投标文件；</w:t>
            </w:r>
          </w:p>
          <w:p w14:paraId="36F64105">
            <w:pPr>
              <w:widowControl/>
              <w:shd w:val="clear" w:color="auto" w:fill="FFFFFF"/>
              <w:spacing w:line="276" w:lineRule="auto"/>
              <w:jc w:val="left"/>
              <w:rPr>
                <w:rFonts w:ascii="宋体" w:hAnsi="宋体" w:cs="宋体"/>
                <w:kern w:val="0"/>
                <w:sz w:val="24"/>
                <w:szCs w:val="24"/>
              </w:rPr>
            </w:pPr>
            <w:r>
              <w:rPr>
                <w:rFonts w:hint="eastAsia" w:ascii="宋体" w:hAnsi="宋体" w:cs="宋体"/>
                <w:kern w:val="0"/>
                <w:sz w:val="24"/>
                <w:szCs w:val="24"/>
              </w:rPr>
              <w:t>（2）投标人提供了虚假的证明材料；</w:t>
            </w:r>
          </w:p>
          <w:p w14:paraId="20292580">
            <w:pPr>
              <w:widowControl/>
              <w:shd w:val="clear" w:color="auto" w:fill="FFFFFF"/>
              <w:spacing w:line="276" w:lineRule="auto"/>
              <w:jc w:val="left"/>
              <w:rPr>
                <w:rFonts w:ascii="宋体" w:hAnsi="宋体" w:cs="宋体"/>
                <w:kern w:val="0"/>
                <w:sz w:val="24"/>
                <w:szCs w:val="24"/>
              </w:rPr>
            </w:pPr>
            <w:r>
              <w:rPr>
                <w:rFonts w:hint="eastAsia" w:ascii="宋体" w:hAnsi="宋体" w:cs="宋体"/>
                <w:kern w:val="0"/>
                <w:sz w:val="24"/>
                <w:szCs w:val="24"/>
              </w:rPr>
              <w:t>（3）中标候选人放弃中标；</w:t>
            </w:r>
          </w:p>
          <w:p w14:paraId="65905A51">
            <w:pPr>
              <w:widowControl/>
              <w:shd w:val="clear" w:color="auto" w:fill="FFFFFF"/>
              <w:spacing w:line="276" w:lineRule="auto"/>
              <w:jc w:val="left"/>
              <w:rPr>
                <w:rFonts w:ascii="宋体" w:hAnsi="宋体" w:cs="宋体"/>
                <w:kern w:val="0"/>
                <w:sz w:val="24"/>
                <w:szCs w:val="24"/>
              </w:rPr>
            </w:pPr>
            <w:r>
              <w:rPr>
                <w:rFonts w:hint="eastAsia" w:ascii="宋体" w:hAnsi="宋体" w:cs="宋体"/>
                <w:kern w:val="0"/>
                <w:sz w:val="24"/>
                <w:szCs w:val="24"/>
              </w:rPr>
              <w:t>（4）中标人在收到中标通知书后，无正当理由拒签合同或未按招标文件规定提交履约担保。</w:t>
            </w:r>
          </w:p>
        </w:tc>
      </w:tr>
      <w:tr w14:paraId="664065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101" w:type="dxa"/>
            <w:vAlign w:val="center"/>
          </w:tcPr>
          <w:p w14:paraId="22E2CE73">
            <w:pPr>
              <w:snapToGrid w:val="0"/>
              <w:jc w:val="center"/>
              <w:rPr>
                <w:rFonts w:ascii="宋体" w:hAnsi="宋体" w:cs="宋体"/>
                <w:sz w:val="24"/>
                <w:szCs w:val="24"/>
              </w:rPr>
            </w:pPr>
            <w:r>
              <w:rPr>
                <w:rFonts w:hint="eastAsia" w:ascii="宋体" w:hAnsi="宋体" w:cs="宋体"/>
                <w:sz w:val="24"/>
                <w:szCs w:val="24"/>
              </w:rPr>
              <w:t>10.2</w:t>
            </w:r>
          </w:p>
        </w:tc>
        <w:tc>
          <w:tcPr>
            <w:tcW w:w="2409" w:type="dxa"/>
            <w:vAlign w:val="center"/>
          </w:tcPr>
          <w:p w14:paraId="7216DE6D">
            <w:pPr>
              <w:widowControl/>
              <w:shd w:val="clear" w:color="auto" w:fill="FFFFFF"/>
              <w:adjustRightInd w:val="0"/>
              <w:jc w:val="center"/>
              <w:rPr>
                <w:rFonts w:ascii="宋体" w:hAnsi="宋体" w:cs="宋体"/>
                <w:sz w:val="24"/>
                <w:szCs w:val="24"/>
              </w:rPr>
            </w:pPr>
            <w:r>
              <w:rPr>
                <w:rFonts w:hint="eastAsia" w:ascii="宋体" w:hAnsi="宋体" w:cs="宋体"/>
                <w:sz w:val="24"/>
                <w:szCs w:val="24"/>
              </w:rPr>
              <w:t>送达</w:t>
            </w:r>
          </w:p>
        </w:tc>
        <w:tc>
          <w:tcPr>
            <w:tcW w:w="6096" w:type="dxa"/>
            <w:vAlign w:val="center"/>
          </w:tcPr>
          <w:p w14:paraId="725FF4D4">
            <w:pPr>
              <w:spacing w:line="276" w:lineRule="auto"/>
              <w:ind w:left="1"/>
              <w:rPr>
                <w:rFonts w:ascii="宋体" w:hAnsi="宋体" w:cs="宋体"/>
                <w:sz w:val="24"/>
                <w:szCs w:val="24"/>
              </w:rPr>
            </w:pPr>
            <w:r>
              <w:rPr>
                <w:rFonts w:hint="eastAsia" w:ascii="宋体" w:hAnsi="宋体" w:cs="宋体"/>
                <w:sz w:val="24"/>
                <w:szCs w:val="24"/>
              </w:rPr>
              <w:t>《投诉处理决定书》和《行政处理决定书》在广州市住房和城乡建设局网站上公布的，视为送达其他与决定书有关的当事人。</w:t>
            </w:r>
          </w:p>
        </w:tc>
      </w:tr>
      <w:tr w14:paraId="32E04E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101" w:type="dxa"/>
            <w:vAlign w:val="center"/>
          </w:tcPr>
          <w:p w14:paraId="4F7BE1D1">
            <w:pPr>
              <w:snapToGrid w:val="0"/>
              <w:jc w:val="center"/>
              <w:rPr>
                <w:rFonts w:ascii="宋体" w:hAnsi="宋体" w:cs="宋体"/>
                <w:sz w:val="24"/>
                <w:szCs w:val="24"/>
              </w:rPr>
            </w:pPr>
            <w:r>
              <w:rPr>
                <w:rFonts w:hint="eastAsia" w:ascii="宋体" w:hAnsi="宋体" w:cs="宋体"/>
                <w:sz w:val="24"/>
                <w:szCs w:val="24"/>
              </w:rPr>
              <w:t>10.3</w:t>
            </w:r>
          </w:p>
        </w:tc>
        <w:tc>
          <w:tcPr>
            <w:tcW w:w="2409" w:type="dxa"/>
            <w:vAlign w:val="center"/>
          </w:tcPr>
          <w:p w14:paraId="5E92DF66">
            <w:pPr>
              <w:widowControl/>
              <w:shd w:val="clear" w:color="auto" w:fill="FFFFFF"/>
              <w:adjustRightInd w:val="0"/>
              <w:jc w:val="center"/>
              <w:rPr>
                <w:rFonts w:ascii="宋体" w:hAnsi="宋体" w:cs="宋体"/>
                <w:sz w:val="24"/>
                <w:szCs w:val="24"/>
              </w:rPr>
            </w:pPr>
            <w:r>
              <w:rPr>
                <w:rFonts w:hint="eastAsia" w:ascii="宋体" w:hAnsi="宋体" w:cs="宋体"/>
                <w:sz w:val="24"/>
                <w:szCs w:val="24"/>
              </w:rPr>
              <w:t>招标失败的情形</w:t>
            </w:r>
          </w:p>
        </w:tc>
        <w:tc>
          <w:tcPr>
            <w:tcW w:w="6096" w:type="dxa"/>
            <w:vAlign w:val="center"/>
          </w:tcPr>
          <w:p w14:paraId="4391290A">
            <w:pPr>
              <w:widowControl/>
              <w:shd w:val="clear" w:color="auto" w:fill="FFFFFF"/>
              <w:spacing w:line="276" w:lineRule="auto"/>
              <w:jc w:val="left"/>
              <w:rPr>
                <w:rFonts w:ascii="宋体" w:hAnsi="宋体" w:cs="宋体"/>
                <w:kern w:val="0"/>
                <w:sz w:val="24"/>
                <w:szCs w:val="24"/>
              </w:rPr>
            </w:pPr>
            <w:r>
              <w:rPr>
                <w:rFonts w:hint="eastAsia" w:ascii="宋体" w:hAnsi="宋体" w:cs="宋体"/>
                <w:kern w:val="0"/>
                <w:sz w:val="24"/>
                <w:szCs w:val="24"/>
              </w:rPr>
              <w:t>本项目采用资格后审方式，资格审查与评标同时进行，通过形式评审、资格审查、响应性评审的投标申请人不足3名时为招标失败。招标人分析招标失败原因，修正招标方案，报有关管理部门核准后，重新组织招标。</w:t>
            </w:r>
          </w:p>
        </w:tc>
      </w:tr>
      <w:tr w14:paraId="49FD30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101" w:type="dxa"/>
            <w:vAlign w:val="center"/>
          </w:tcPr>
          <w:p w14:paraId="622DBE15">
            <w:pPr>
              <w:snapToGrid w:val="0"/>
              <w:jc w:val="center"/>
              <w:rPr>
                <w:rFonts w:ascii="宋体" w:hAnsi="宋体" w:cs="宋体"/>
                <w:sz w:val="24"/>
                <w:szCs w:val="24"/>
              </w:rPr>
            </w:pPr>
            <w:r>
              <w:rPr>
                <w:rFonts w:hint="eastAsia" w:ascii="宋体" w:hAnsi="宋体" w:cs="宋体"/>
                <w:sz w:val="24"/>
                <w:szCs w:val="24"/>
              </w:rPr>
              <w:t>10.4</w:t>
            </w:r>
          </w:p>
        </w:tc>
        <w:tc>
          <w:tcPr>
            <w:tcW w:w="2409" w:type="dxa"/>
            <w:vAlign w:val="center"/>
          </w:tcPr>
          <w:p w14:paraId="0FE20998">
            <w:pPr>
              <w:widowControl/>
              <w:shd w:val="clear" w:color="auto" w:fill="FFFFFF"/>
              <w:adjustRightInd w:val="0"/>
              <w:jc w:val="center"/>
              <w:rPr>
                <w:rFonts w:ascii="宋体" w:hAnsi="宋体" w:cs="宋体"/>
                <w:sz w:val="24"/>
                <w:szCs w:val="24"/>
              </w:rPr>
            </w:pPr>
            <w:r>
              <w:rPr>
                <w:rFonts w:hint="eastAsia" w:ascii="宋体" w:hAnsi="宋体" w:cs="宋体"/>
                <w:sz w:val="24"/>
                <w:szCs w:val="24"/>
              </w:rPr>
              <w:t>第一中标候选人放弃中标资格情形</w:t>
            </w:r>
          </w:p>
        </w:tc>
        <w:tc>
          <w:tcPr>
            <w:tcW w:w="6096" w:type="dxa"/>
            <w:vAlign w:val="center"/>
          </w:tcPr>
          <w:p w14:paraId="6D96B726">
            <w:pPr>
              <w:ind w:left="1"/>
              <w:jc w:val="left"/>
              <w:rPr>
                <w:rFonts w:ascii="宋体" w:hAnsi="宋体" w:cs="宋体"/>
                <w:sz w:val="24"/>
                <w:szCs w:val="24"/>
                <w:u w:val="single"/>
              </w:rPr>
            </w:pPr>
            <w:r>
              <w:rPr>
                <w:rFonts w:hint="eastAsia" w:ascii="宋体" w:hAnsi="宋体" w:cs="宋体"/>
                <w:sz w:val="24"/>
                <w:szCs w:val="24"/>
                <w:u w:val="single"/>
              </w:rPr>
              <w:t>排名第一的中标候选人放弃中标、因不可抗力不能履行合同、不按照招标文件要求提交履约保证金，或者被查实存在影响中标结果的违法行为等情形，不符合中标条件的，招标人可以按照招标文件第三章第3.4.1款确定的推荐中标候选人原则依次确定其他中标候选人为中标人，也可以重新招标。</w:t>
            </w:r>
          </w:p>
        </w:tc>
      </w:tr>
      <w:tr w14:paraId="462459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101" w:type="dxa"/>
            <w:vAlign w:val="center"/>
          </w:tcPr>
          <w:p w14:paraId="112A5219">
            <w:pPr>
              <w:snapToGrid w:val="0"/>
              <w:jc w:val="center"/>
              <w:rPr>
                <w:rFonts w:ascii="宋体" w:hAnsi="宋体" w:cs="宋体"/>
                <w:sz w:val="24"/>
                <w:szCs w:val="24"/>
              </w:rPr>
            </w:pPr>
            <w:r>
              <w:rPr>
                <w:rFonts w:hint="eastAsia" w:ascii="宋体" w:hAnsi="宋体" w:cs="宋体"/>
                <w:sz w:val="24"/>
                <w:szCs w:val="24"/>
              </w:rPr>
              <w:t>10.5</w:t>
            </w:r>
          </w:p>
        </w:tc>
        <w:tc>
          <w:tcPr>
            <w:tcW w:w="2409" w:type="dxa"/>
            <w:vAlign w:val="center"/>
          </w:tcPr>
          <w:p w14:paraId="1F9C52F7">
            <w:pPr>
              <w:widowControl/>
              <w:shd w:val="clear" w:color="auto" w:fill="FFFFFF"/>
              <w:adjustRightInd w:val="0"/>
              <w:jc w:val="center"/>
              <w:rPr>
                <w:rFonts w:ascii="宋体" w:hAnsi="宋体" w:cs="宋体"/>
                <w:sz w:val="24"/>
                <w:szCs w:val="24"/>
              </w:rPr>
            </w:pPr>
            <w:r>
              <w:rPr>
                <w:rFonts w:hint="eastAsia" w:ascii="宋体" w:hAnsi="宋体" w:cs="宋体"/>
                <w:sz w:val="24"/>
                <w:szCs w:val="24"/>
              </w:rPr>
              <w:t>中标候选人公示要求</w:t>
            </w:r>
          </w:p>
        </w:tc>
        <w:tc>
          <w:tcPr>
            <w:tcW w:w="6096" w:type="dxa"/>
            <w:vAlign w:val="center"/>
          </w:tcPr>
          <w:p w14:paraId="4B2784F4">
            <w:pPr>
              <w:spacing w:line="276" w:lineRule="auto"/>
              <w:ind w:left="1"/>
              <w:jc w:val="left"/>
              <w:rPr>
                <w:rFonts w:ascii="宋体" w:hAnsi="宋体" w:cs="宋体"/>
                <w:sz w:val="24"/>
                <w:szCs w:val="24"/>
                <w:u w:val="single"/>
              </w:rPr>
            </w:pPr>
            <w:r>
              <w:rPr>
                <w:rFonts w:hint="eastAsia" w:ascii="宋体" w:hAnsi="宋体" w:cs="宋体"/>
                <w:sz w:val="24"/>
                <w:szCs w:val="24"/>
              </w:rPr>
              <w:t>在产生中标候选人后，招标人将中标候选人的投标文件商务部分的电子版（报价清单、方案等涉及商业秘密的内容除外）在广州交易集团有限公司（广州公共资源交易中心）网站、广东省招标投标监管网公开。</w:t>
            </w:r>
          </w:p>
        </w:tc>
      </w:tr>
      <w:tr w14:paraId="2966FF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101" w:type="dxa"/>
            <w:vAlign w:val="center"/>
          </w:tcPr>
          <w:p w14:paraId="7B88CF04">
            <w:pPr>
              <w:snapToGrid w:val="0"/>
              <w:jc w:val="center"/>
              <w:rPr>
                <w:rFonts w:ascii="宋体" w:hAnsi="宋体" w:cs="宋体"/>
                <w:sz w:val="24"/>
                <w:szCs w:val="24"/>
              </w:rPr>
            </w:pPr>
            <w:r>
              <w:rPr>
                <w:rFonts w:hint="eastAsia" w:ascii="宋体" w:hAnsi="宋体" w:cs="宋体"/>
                <w:sz w:val="24"/>
                <w:szCs w:val="24"/>
              </w:rPr>
              <w:t>10.6</w:t>
            </w:r>
          </w:p>
        </w:tc>
        <w:tc>
          <w:tcPr>
            <w:tcW w:w="2409" w:type="dxa"/>
            <w:vAlign w:val="center"/>
          </w:tcPr>
          <w:p w14:paraId="4A7AD3C6">
            <w:pPr>
              <w:widowControl/>
              <w:shd w:val="clear" w:color="auto" w:fill="FFFFFF"/>
              <w:adjustRightInd w:val="0"/>
              <w:jc w:val="center"/>
              <w:rPr>
                <w:rFonts w:ascii="宋体" w:hAnsi="宋体" w:cs="宋体"/>
                <w:sz w:val="24"/>
                <w:szCs w:val="24"/>
              </w:rPr>
            </w:pPr>
            <w:r>
              <w:rPr>
                <w:rFonts w:hint="eastAsia" w:ascii="宋体" w:hAnsi="宋体" w:cs="宋体"/>
                <w:sz w:val="24"/>
                <w:szCs w:val="24"/>
              </w:rPr>
              <w:t>否决投标条款</w:t>
            </w:r>
          </w:p>
        </w:tc>
        <w:tc>
          <w:tcPr>
            <w:tcW w:w="6096" w:type="dxa"/>
            <w:vAlign w:val="center"/>
          </w:tcPr>
          <w:p w14:paraId="651B2E91">
            <w:pPr>
              <w:widowControl/>
              <w:spacing w:line="276" w:lineRule="auto"/>
              <w:jc w:val="left"/>
              <w:rPr>
                <w:rFonts w:ascii="宋体" w:hAnsi="宋体" w:cs="宋体"/>
                <w:sz w:val="24"/>
                <w:szCs w:val="24"/>
                <w:u w:val="single"/>
              </w:rPr>
            </w:pPr>
            <w:r>
              <w:rPr>
                <w:rFonts w:hint="eastAsia" w:ascii="宋体" w:hAnsi="宋体" w:cs="宋体"/>
                <w:sz w:val="24"/>
                <w:szCs w:val="24"/>
                <w:u w:val="single"/>
                <w:lang w:bidi="ar"/>
              </w:rPr>
              <w:t>否决投标条款：</w:t>
            </w:r>
          </w:p>
          <w:p w14:paraId="5ED65022">
            <w:pPr>
              <w:widowControl/>
              <w:spacing w:line="276" w:lineRule="auto"/>
              <w:jc w:val="left"/>
              <w:rPr>
                <w:rFonts w:ascii="宋体" w:hAnsi="宋体" w:cs="宋体"/>
                <w:sz w:val="24"/>
                <w:szCs w:val="24"/>
                <w:u w:val="single"/>
              </w:rPr>
            </w:pPr>
            <w:r>
              <w:rPr>
                <w:rFonts w:hint="eastAsia" w:ascii="宋体" w:hAnsi="宋体" w:cs="宋体"/>
                <w:sz w:val="24"/>
                <w:szCs w:val="24"/>
                <w:u w:val="single"/>
                <w:lang w:bidi="ar"/>
              </w:rPr>
              <w:t>1、在投标截止期后逾期或未在广州交易集团有限公司（广州公共资源交易中心）数字交易平台（http://www.gzggzy.cn）递交电子投标文件的，电子招标投标交易平台将拒绝接收其投标文件。</w:t>
            </w:r>
          </w:p>
          <w:p w14:paraId="5ECD11ED">
            <w:pPr>
              <w:widowControl/>
              <w:spacing w:line="276" w:lineRule="auto"/>
              <w:jc w:val="left"/>
              <w:rPr>
                <w:rFonts w:ascii="宋体" w:hAnsi="宋体" w:cs="宋体"/>
                <w:sz w:val="24"/>
                <w:szCs w:val="24"/>
                <w:u w:val="single"/>
              </w:rPr>
            </w:pPr>
            <w:r>
              <w:rPr>
                <w:rFonts w:hint="eastAsia" w:ascii="宋体" w:hAnsi="宋体" w:cs="宋体"/>
                <w:sz w:val="24"/>
                <w:szCs w:val="24"/>
                <w:u w:val="single"/>
                <w:lang w:bidi="ar"/>
              </w:rPr>
              <w:t>2、投标人未按投标文件要求提供附件或未按要求加盖电子印章及签名的，经评标委员会认定后，其投标文件将被否决。</w:t>
            </w:r>
          </w:p>
          <w:p w14:paraId="7C358850">
            <w:pPr>
              <w:widowControl/>
              <w:spacing w:line="276" w:lineRule="auto"/>
              <w:jc w:val="left"/>
              <w:rPr>
                <w:rFonts w:ascii="宋体" w:hAnsi="宋体" w:cs="宋体"/>
                <w:sz w:val="24"/>
                <w:szCs w:val="24"/>
                <w:u w:val="single"/>
              </w:rPr>
            </w:pPr>
            <w:r>
              <w:rPr>
                <w:rFonts w:hint="eastAsia" w:ascii="宋体" w:hAnsi="宋体" w:cs="宋体"/>
                <w:sz w:val="24"/>
                <w:szCs w:val="24"/>
                <w:u w:val="single"/>
                <w:lang w:bidi="ar"/>
              </w:rPr>
              <w:t>3、投标文件中投标报价高于投标最高限价的，其投标文件将被否决。</w:t>
            </w:r>
          </w:p>
          <w:p w14:paraId="2CBB4F63">
            <w:pPr>
              <w:widowControl/>
              <w:spacing w:line="276" w:lineRule="auto"/>
              <w:jc w:val="left"/>
              <w:rPr>
                <w:rFonts w:ascii="宋体" w:hAnsi="宋体" w:cs="宋体"/>
                <w:sz w:val="24"/>
                <w:szCs w:val="24"/>
                <w:u w:val="single"/>
              </w:rPr>
            </w:pPr>
            <w:r>
              <w:rPr>
                <w:rFonts w:hint="eastAsia" w:ascii="宋体" w:hAnsi="宋体" w:cs="宋体"/>
                <w:sz w:val="24"/>
                <w:szCs w:val="24"/>
                <w:u w:val="single"/>
                <w:lang w:bidi="ar"/>
              </w:rPr>
              <w:t>4、按投标报价的算术校核原则及方法调整或修正投标文件的投标报价，调整后的投标报价对投标人起约束作用。如果投标人不接受修正后的报价，则取消其中标资格。</w:t>
            </w:r>
          </w:p>
          <w:p w14:paraId="28E15937">
            <w:pPr>
              <w:widowControl/>
              <w:spacing w:line="276" w:lineRule="auto"/>
              <w:jc w:val="left"/>
              <w:rPr>
                <w:rFonts w:ascii="宋体" w:hAnsi="宋体" w:cs="宋体"/>
                <w:sz w:val="24"/>
                <w:szCs w:val="24"/>
                <w:u w:val="single"/>
              </w:rPr>
            </w:pPr>
            <w:r>
              <w:rPr>
                <w:rFonts w:hint="eastAsia" w:ascii="宋体" w:hAnsi="宋体" w:cs="宋体"/>
                <w:sz w:val="24"/>
                <w:szCs w:val="24"/>
                <w:u w:val="single"/>
                <w:lang w:bidi="ar"/>
              </w:rPr>
              <w:t>5、资审合格后，投标人的资格发生变化而不满足投标人合格条件，在发出中标通知书前，资格问题仍未解决的，招标人将取消其中标资格。</w:t>
            </w:r>
          </w:p>
          <w:p w14:paraId="68285B0F">
            <w:pPr>
              <w:widowControl/>
              <w:spacing w:line="276" w:lineRule="auto"/>
              <w:jc w:val="left"/>
              <w:rPr>
                <w:rFonts w:ascii="宋体" w:hAnsi="宋体" w:cs="宋体"/>
                <w:sz w:val="24"/>
                <w:szCs w:val="24"/>
                <w:u w:val="single"/>
              </w:rPr>
            </w:pPr>
            <w:r>
              <w:rPr>
                <w:rFonts w:hint="eastAsia" w:ascii="宋体" w:hAnsi="宋体" w:cs="宋体"/>
                <w:sz w:val="24"/>
                <w:szCs w:val="24"/>
                <w:u w:val="single"/>
                <w:lang w:bidi="ar"/>
              </w:rPr>
              <w:t>6、投标人如在本项目中存在串通投标、弄虚作假、行贿情形的，中标无效，该投标人将被招标人列入黑名单并限制其投标。行政监督部门将对其违法行为进行政处罚并通报。</w:t>
            </w:r>
          </w:p>
          <w:p w14:paraId="6F3A449C">
            <w:pPr>
              <w:spacing w:line="276" w:lineRule="auto"/>
              <w:ind w:left="1"/>
              <w:jc w:val="left"/>
              <w:rPr>
                <w:rFonts w:ascii="宋体" w:hAnsi="宋体" w:cs="宋体"/>
                <w:kern w:val="0"/>
                <w:sz w:val="24"/>
                <w:szCs w:val="24"/>
                <w:u w:val="single"/>
              </w:rPr>
            </w:pPr>
            <w:r>
              <w:rPr>
                <w:rFonts w:hint="eastAsia" w:ascii="宋体" w:hAnsi="宋体" w:cs="宋体"/>
                <w:sz w:val="24"/>
                <w:szCs w:val="24"/>
                <w:u w:val="single"/>
                <w:lang w:bidi="ar"/>
              </w:rPr>
              <w:t>7、投标文件符合列于《评标办法前附表》“形式评审标准”“资格评审标准”“响应性评审标准”中所有情形的，为有效投标文件。任一情形不符合均为无效投标文件，经评标委员会认定后，其投标文件将被否决。</w:t>
            </w:r>
          </w:p>
        </w:tc>
      </w:tr>
      <w:tr w14:paraId="1F1A23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101" w:type="dxa"/>
            <w:vAlign w:val="center"/>
          </w:tcPr>
          <w:p w14:paraId="6F6B2BA5">
            <w:pPr>
              <w:snapToGrid w:val="0"/>
              <w:jc w:val="center"/>
              <w:rPr>
                <w:rFonts w:ascii="宋体" w:hAnsi="宋体" w:cs="宋体"/>
                <w:sz w:val="24"/>
                <w:szCs w:val="24"/>
              </w:rPr>
            </w:pPr>
            <w:r>
              <w:rPr>
                <w:rFonts w:hint="eastAsia" w:ascii="宋体" w:hAnsi="宋体" w:cs="宋体"/>
                <w:sz w:val="24"/>
                <w:szCs w:val="24"/>
              </w:rPr>
              <w:t>10.7</w:t>
            </w:r>
          </w:p>
        </w:tc>
        <w:tc>
          <w:tcPr>
            <w:tcW w:w="2409" w:type="dxa"/>
            <w:vAlign w:val="center"/>
          </w:tcPr>
          <w:p w14:paraId="7D7641B0">
            <w:pPr>
              <w:widowControl/>
              <w:shd w:val="clear" w:color="auto" w:fill="FFFFFF"/>
              <w:adjustRightInd w:val="0"/>
              <w:jc w:val="center"/>
              <w:rPr>
                <w:rFonts w:ascii="宋体" w:hAnsi="宋体" w:cs="宋体"/>
                <w:sz w:val="24"/>
                <w:szCs w:val="24"/>
              </w:rPr>
            </w:pPr>
            <w:r>
              <w:rPr>
                <w:rFonts w:hint="eastAsia" w:ascii="宋体" w:hAnsi="宋体" w:cs="宋体"/>
                <w:sz w:val="24"/>
                <w:szCs w:val="24"/>
                <w:lang w:bidi="ar"/>
              </w:rPr>
              <w:t>提交纸质投标文件要求</w:t>
            </w:r>
          </w:p>
        </w:tc>
        <w:tc>
          <w:tcPr>
            <w:tcW w:w="6096" w:type="dxa"/>
            <w:vAlign w:val="center"/>
          </w:tcPr>
          <w:p w14:paraId="3CC2FABE">
            <w:pPr>
              <w:spacing w:line="276" w:lineRule="auto"/>
              <w:ind w:left="1"/>
              <w:jc w:val="left"/>
              <w:rPr>
                <w:rFonts w:ascii="宋体" w:hAnsi="宋体" w:cs="宋体"/>
                <w:kern w:val="0"/>
                <w:sz w:val="24"/>
                <w:szCs w:val="24"/>
                <w:u w:val="single"/>
              </w:rPr>
            </w:pPr>
            <w:r>
              <w:rPr>
                <w:rFonts w:hint="eastAsia" w:ascii="宋体" w:hAnsi="宋体" w:cs="宋体"/>
                <w:sz w:val="24"/>
                <w:szCs w:val="24"/>
              </w:rPr>
              <w:t>在中标公示结束后5个工作日内，第一名中标候选人向招标人提交与在广州交易集团有限公司（广州公共资源交易中心）系统上传投标文件内容相同的已盖章的纸质版投标文件一正三副；第二名中标候选人、第三名中标候选人分别向招标人提交与在广州交易集团有限公司（广州公共资源交易中心）系统上传投标文件内容相同的已盖章的纸质版投标文件正本一份。</w:t>
            </w:r>
          </w:p>
        </w:tc>
      </w:tr>
      <w:tr w14:paraId="220D3E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101" w:type="dxa"/>
            <w:tcBorders>
              <w:bottom w:val="single" w:color="auto" w:sz="4" w:space="0"/>
            </w:tcBorders>
            <w:vAlign w:val="center"/>
          </w:tcPr>
          <w:p w14:paraId="48E28582">
            <w:pPr>
              <w:snapToGrid w:val="0"/>
              <w:jc w:val="center"/>
              <w:rPr>
                <w:rFonts w:ascii="宋体" w:hAnsi="宋体" w:cs="宋体"/>
                <w:sz w:val="24"/>
                <w:szCs w:val="24"/>
              </w:rPr>
            </w:pPr>
            <w:r>
              <w:rPr>
                <w:rFonts w:hint="eastAsia" w:ascii="宋体" w:hAnsi="宋体" w:cs="宋体"/>
                <w:sz w:val="24"/>
                <w:szCs w:val="24"/>
              </w:rPr>
              <w:t>10.8</w:t>
            </w:r>
          </w:p>
        </w:tc>
        <w:tc>
          <w:tcPr>
            <w:tcW w:w="2409" w:type="dxa"/>
            <w:tcBorders>
              <w:bottom w:val="single" w:color="auto" w:sz="4" w:space="0"/>
            </w:tcBorders>
            <w:vAlign w:val="center"/>
          </w:tcPr>
          <w:p w14:paraId="3528B0B5">
            <w:pPr>
              <w:widowControl/>
              <w:shd w:val="clear" w:color="auto" w:fill="FFFFFF"/>
              <w:adjustRightInd w:val="0"/>
              <w:jc w:val="center"/>
              <w:rPr>
                <w:rFonts w:ascii="宋体" w:hAnsi="宋体" w:cs="宋体"/>
                <w:sz w:val="24"/>
                <w:szCs w:val="24"/>
              </w:rPr>
            </w:pPr>
            <w:r>
              <w:rPr>
                <w:rFonts w:hint="eastAsia" w:ascii="宋体" w:hAnsi="宋体" w:cs="宋体"/>
                <w:sz w:val="24"/>
                <w:szCs w:val="24"/>
                <w:lang w:bidi="ar"/>
              </w:rPr>
              <w:t>其他费用</w:t>
            </w:r>
          </w:p>
        </w:tc>
        <w:tc>
          <w:tcPr>
            <w:tcW w:w="6096" w:type="dxa"/>
            <w:tcBorders>
              <w:bottom w:val="single" w:color="auto" w:sz="4" w:space="0"/>
            </w:tcBorders>
            <w:vAlign w:val="center"/>
          </w:tcPr>
          <w:p w14:paraId="750FD97B">
            <w:pPr>
              <w:spacing w:line="276" w:lineRule="auto"/>
              <w:ind w:left="1"/>
              <w:jc w:val="left"/>
              <w:rPr>
                <w:rFonts w:ascii="宋体" w:hAnsi="宋体" w:cs="宋体"/>
                <w:kern w:val="0"/>
                <w:sz w:val="24"/>
                <w:szCs w:val="24"/>
                <w:u w:val="single"/>
              </w:rPr>
            </w:pPr>
            <w:r>
              <w:rPr>
                <w:rFonts w:hint="eastAsia" w:ascii="宋体" w:hAnsi="宋体" w:cs="宋体"/>
                <w:kern w:val="0"/>
                <w:sz w:val="24"/>
                <w:szCs w:val="24"/>
                <w:u w:val="single"/>
              </w:rPr>
              <w:t>（1）交易服务费：中标人缴纳广州交易集团有限公司交易服务费，由广州交易集团有限公司向中标人开具增值税发票，其费用包含在中标人投标报价中，招标人不另行支付。</w:t>
            </w:r>
          </w:p>
          <w:p w14:paraId="7C1739B1">
            <w:pPr>
              <w:spacing w:line="276" w:lineRule="auto"/>
              <w:ind w:left="1"/>
              <w:jc w:val="left"/>
              <w:rPr>
                <w:rFonts w:ascii="宋体" w:hAnsi="宋体" w:cs="宋体"/>
                <w:kern w:val="0"/>
                <w:sz w:val="24"/>
                <w:szCs w:val="24"/>
                <w:u w:val="single"/>
              </w:rPr>
            </w:pPr>
            <w:r>
              <w:rPr>
                <w:rFonts w:hint="eastAsia" w:ascii="宋体" w:hAnsi="宋体" w:cs="宋体"/>
                <w:kern w:val="0"/>
                <w:sz w:val="24"/>
                <w:szCs w:val="24"/>
                <w:u w:val="single"/>
              </w:rPr>
              <w:t>（2）招标代理费：本招标项目的招标代理服务费由中标人向招标代理单位一次性支付。（招标代理服务费依照《国家计委关于印发〈招标代理服务收费管理暂行办法〉的通知》（计价格[2002]1980号）的计费标准下浮20%收取）</w:t>
            </w:r>
          </w:p>
        </w:tc>
      </w:tr>
      <w:tr w14:paraId="2FA9DE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101" w:type="dxa"/>
            <w:tcBorders>
              <w:bottom w:val="single" w:color="auto" w:sz="4" w:space="0"/>
            </w:tcBorders>
            <w:vAlign w:val="center"/>
          </w:tcPr>
          <w:p w14:paraId="712F0FEB">
            <w:pPr>
              <w:snapToGrid w:val="0"/>
              <w:jc w:val="center"/>
              <w:rPr>
                <w:rFonts w:ascii="宋体" w:hAnsi="宋体" w:cs="宋体"/>
                <w:sz w:val="24"/>
                <w:szCs w:val="24"/>
              </w:rPr>
            </w:pPr>
            <w:bookmarkStart w:id="125" w:name="_Toc19031"/>
            <w:bookmarkStart w:id="126" w:name="_Toc3478"/>
            <w:bookmarkStart w:id="127" w:name="_Toc8518"/>
            <w:bookmarkStart w:id="128" w:name="_Toc9210"/>
            <w:bookmarkStart w:id="129" w:name="_Toc21842"/>
            <w:bookmarkStart w:id="130" w:name="_Toc14101"/>
            <w:bookmarkStart w:id="131" w:name="_Toc2919"/>
            <w:bookmarkStart w:id="132" w:name="_Toc2167"/>
            <w:bookmarkStart w:id="133" w:name="_Toc28752"/>
            <w:bookmarkStart w:id="134" w:name="_Toc27827"/>
            <w:bookmarkStart w:id="135" w:name="_Toc18166"/>
            <w:bookmarkStart w:id="136" w:name="_Toc29232"/>
            <w:bookmarkStart w:id="137" w:name="_Toc30311"/>
            <w:r>
              <w:rPr>
                <w:rFonts w:hint="eastAsia" w:ascii="宋体" w:hAnsi="宋体" w:cs="宋体"/>
                <w:sz w:val="24"/>
                <w:szCs w:val="24"/>
              </w:rPr>
              <w:t>10.9</w:t>
            </w:r>
          </w:p>
        </w:tc>
        <w:tc>
          <w:tcPr>
            <w:tcW w:w="2409" w:type="dxa"/>
            <w:tcBorders>
              <w:bottom w:val="single" w:color="auto" w:sz="4" w:space="0"/>
            </w:tcBorders>
            <w:vAlign w:val="center"/>
          </w:tcPr>
          <w:p w14:paraId="35829538">
            <w:pPr>
              <w:widowControl/>
              <w:shd w:val="clear" w:color="auto" w:fill="FFFFFF"/>
              <w:adjustRightInd w:val="0"/>
              <w:jc w:val="center"/>
              <w:rPr>
                <w:rFonts w:ascii="宋体" w:hAnsi="宋体" w:cs="宋体"/>
                <w:sz w:val="24"/>
                <w:szCs w:val="24"/>
                <w:lang w:bidi="ar"/>
              </w:rPr>
            </w:pPr>
            <w:r>
              <w:rPr>
                <w:rFonts w:hint="eastAsia" w:ascii="宋体" w:hAnsi="宋体" w:cs="宋体"/>
                <w:sz w:val="24"/>
                <w:szCs w:val="24"/>
                <w:lang w:bidi="ar"/>
              </w:rPr>
              <w:t>监理大纲</w:t>
            </w:r>
          </w:p>
        </w:tc>
        <w:tc>
          <w:tcPr>
            <w:tcW w:w="6096" w:type="dxa"/>
            <w:tcBorders>
              <w:bottom w:val="single" w:color="auto" w:sz="4" w:space="0"/>
            </w:tcBorders>
            <w:vAlign w:val="center"/>
          </w:tcPr>
          <w:p w14:paraId="6DA36014">
            <w:pPr>
              <w:spacing w:line="276" w:lineRule="auto"/>
              <w:ind w:left="1"/>
              <w:jc w:val="left"/>
              <w:rPr>
                <w:rFonts w:ascii="宋体" w:hAnsi="宋体" w:cs="宋体"/>
                <w:sz w:val="24"/>
                <w:szCs w:val="24"/>
                <w:u w:val="single"/>
                <w:lang w:bidi="ar"/>
              </w:rPr>
            </w:pPr>
            <w:r>
              <w:rPr>
                <w:rFonts w:hint="eastAsia" w:ascii="宋体" w:hAnsi="宋体" w:cs="宋体"/>
                <w:spacing w:val="-6"/>
                <w:sz w:val="24"/>
                <w:szCs w:val="24"/>
              </w:rPr>
              <w:t>投标人编制监理大纲应按照招标文件要求，并针对本项目的特点及重点、难点进行编制，监理大纲应突出重点，标准、规范中已有的内容无需赘述，一般篇幅不宜超过800页，超过部分不予评审。</w:t>
            </w:r>
          </w:p>
        </w:tc>
      </w:tr>
    </w:tbl>
    <w:p w14:paraId="22BDF29E">
      <w:pPr>
        <w:spacing w:before="140" w:line="360" w:lineRule="auto"/>
        <w:outlineLvl w:val="0"/>
        <w:rPr>
          <w:rFonts w:ascii="宋体" w:hAnsi="宋体" w:cs="宋体"/>
          <w:sz w:val="31"/>
          <w:szCs w:val="31"/>
        </w:rPr>
      </w:pPr>
      <w:r>
        <w:rPr>
          <w:rFonts w:hint="eastAsia" w:ascii="宋体" w:hAnsi="宋体" w:cs="宋体"/>
          <w:b/>
          <w:bCs/>
          <w:spacing w:val="2"/>
          <w:sz w:val="31"/>
          <w:szCs w:val="31"/>
        </w:rPr>
        <w:br w:type="page"/>
      </w:r>
      <w:bookmarkStart w:id="138" w:name="_Toc24816"/>
      <w:r>
        <w:rPr>
          <w:rFonts w:hint="eastAsia" w:ascii="宋体" w:hAnsi="宋体" w:cs="宋体"/>
          <w:b/>
          <w:bCs/>
          <w:spacing w:val="2"/>
          <w:sz w:val="31"/>
          <w:szCs w:val="31"/>
        </w:rPr>
        <w:t>1.</w:t>
      </w:r>
      <w:r>
        <w:rPr>
          <w:rFonts w:hint="eastAsia" w:ascii="宋体" w:hAnsi="宋体" w:cs="宋体"/>
          <w:spacing w:val="2"/>
          <w:sz w:val="31"/>
          <w:szCs w:val="31"/>
        </w:rPr>
        <w:t xml:space="preserve">  总则</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6C1151B1">
      <w:pPr>
        <w:spacing w:before="91" w:line="360" w:lineRule="auto"/>
        <w:ind w:left="160"/>
        <w:rPr>
          <w:rFonts w:ascii="宋体" w:hAnsi="宋体" w:cs="宋体"/>
          <w:sz w:val="28"/>
          <w:szCs w:val="28"/>
        </w:rPr>
      </w:pPr>
      <w:r>
        <w:rPr>
          <w:rFonts w:hint="eastAsia" w:ascii="宋体" w:hAnsi="宋体" w:cs="宋体"/>
          <w:spacing w:val="-4"/>
          <w:sz w:val="28"/>
          <w:szCs w:val="28"/>
        </w:rPr>
        <w:t xml:space="preserve">1.1 </w:t>
      </w:r>
      <w:r>
        <w:rPr>
          <w:rFonts w:hint="eastAsia" w:ascii="宋体" w:hAnsi="宋体" w:cs="宋体"/>
          <w:spacing w:val="-2"/>
          <w:sz w:val="28"/>
          <w:szCs w:val="28"/>
        </w:rPr>
        <w:t xml:space="preserve"> 招标项目概况</w:t>
      </w:r>
    </w:p>
    <w:p w14:paraId="6F77D947">
      <w:pPr>
        <w:spacing w:before="68" w:line="351" w:lineRule="auto"/>
        <w:ind w:right="2" w:firstLine="435"/>
        <w:rPr>
          <w:rFonts w:ascii="宋体" w:hAnsi="宋体" w:cs="宋体"/>
          <w:szCs w:val="21"/>
        </w:rPr>
      </w:pPr>
      <w:r>
        <w:rPr>
          <w:rFonts w:hint="eastAsia" w:ascii="宋体" w:hAnsi="宋体" w:cs="宋体"/>
          <w:spacing w:val="-10"/>
          <w:szCs w:val="21"/>
        </w:rPr>
        <w:t xml:space="preserve">1.1.1 </w:t>
      </w:r>
      <w:r>
        <w:rPr>
          <w:rFonts w:hint="eastAsia" w:ascii="宋体" w:hAnsi="宋体" w:cs="宋体"/>
          <w:spacing w:val="-9"/>
          <w:szCs w:val="21"/>
        </w:rPr>
        <w:t>根</w:t>
      </w:r>
      <w:r>
        <w:rPr>
          <w:rFonts w:hint="eastAsia" w:ascii="宋体" w:hAnsi="宋体" w:cs="宋体"/>
          <w:spacing w:val="-5"/>
          <w:szCs w:val="21"/>
        </w:rPr>
        <w:t>据《中华人民共和国招标投标法》、《中华人民共和国招标投标法实施条例》等有关</w:t>
      </w:r>
      <w:r>
        <w:rPr>
          <w:rFonts w:hint="eastAsia" w:ascii="宋体" w:hAnsi="宋体" w:cs="宋体"/>
          <w:szCs w:val="21"/>
        </w:rPr>
        <w:t xml:space="preserve"> </w:t>
      </w:r>
      <w:r>
        <w:rPr>
          <w:rFonts w:hint="eastAsia" w:ascii="宋体" w:hAnsi="宋体" w:cs="宋体"/>
          <w:spacing w:val="-6"/>
          <w:szCs w:val="21"/>
        </w:rPr>
        <w:t>法</w:t>
      </w:r>
      <w:r>
        <w:rPr>
          <w:rFonts w:hint="eastAsia" w:ascii="宋体" w:hAnsi="宋体" w:cs="宋体"/>
          <w:spacing w:val="-3"/>
          <w:szCs w:val="21"/>
        </w:rPr>
        <w:t>律、法规和规章的规定，本招标项目已具备招标条件， 现对监理进行招标。</w:t>
      </w:r>
    </w:p>
    <w:p w14:paraId="63D75ADF">
      <w:pPr>
        <w:spacing w:line="219" w:lineRule="auto"/>
        <w:ind w:left="435"/>
        <w:rPr>
          <w:rFonts w:ascii="宋体" w:hAnsi="宋体" w:cs="宋体"/>
          <w:szCs w:val="21"/>
        </w:rPr>
      </w:pPr>
      <w:r>
        <w:rPr>
          <w:rFonts w:hint="eastAsia" w:ascii="宋体" w:hAnsi="宋体" w:cs="宋体"/>
          <w:spacing w:val="-12"/>
          <w:szCs w:val="21"/>
        </w:rPr>
        <w:t>1</w:t>
      </w:r>
      <w:r>
        <w:rPr>
          <w:rFonts w:hint="eastAsia" w:ascii="宋体" w:hAnsi="宋体" w:cs="宋体"/>
          <w:spacing w:val="-10"/>
          <w:szCs w:val="21"/>
        </w:rPr>
        <w:t>.</w:t>
      </w:r>
      <w:r>
        <w:rPr>
          <w:rFonts w:hint="eastAsia" w:ascii="宋体" w:hAnsi="宋体" w:cs="宋体"/>
          <w:spacing w:val="-6"/>
          <w:szCs w:val="21"/>
        </w:rPr>
        <w:t>1.2  招标人：见投标人须知前附表。</w:t>
      </w:r>
    </w:p>
    <w:p w14:paraId="57C6145F">
      <w:pPr>
        <w:spacing w:before="151" w:line="220" w:lineRule="auto"/>
        <w:ind w:left="435"/>
        <w:rPr>
          <w:rFonts w:ascii="宋体" w:hAnsi="宋体" w:cs="宋体"/>
          <w:szCs w:val="21"/>
        </w:rPr>
      </w:pPr>
      <w:r>
        <w:rPr>
          <w:rFonts w:hint="eastAsia" w:ascii="宋体" w:hAnsi="宋体" w:cs="宋体"/>
          <w:spacing w:val="-1"/>
          <w:szCs w:val="21"/>
        </w:rPr>
        <w:t>1.1.3  招标代理机构：见投标人须知前附</w:t>
      </w:r>
      <w:r>
        <w:rPr>
          <w:rFonts w:hint="eastAsia" w:ascii="宋体" w:hAnsi="宋体" w:cs="宋体"/>
          <w:szCs w:val="21"/>
        </w:rPr>
        <w:t>表。</w:t>
      </w:r>
    </w:p>
    <w:p w14:paraId="650867E9">
      <w:pPr>
        <w:spacing w:before="148" w:line="220" w:lineRule="auto"/>
        <w:ind w:left="435"/>
        <w:rPr>
          <w:rFonts w:ascii="宋体" w:hAnsi="宋体" w:cs="宋体"/>
          <w:szCs w:val="21"/>
        </w:rPr>
      </w:pPr>
      <w:r>
        <w:rPr>
          <w:rFonts w:hint="eastAsia" w:ascii="宋体" w:hAnsi="宋体" w:cs="宋体"/>
          <w:spacing w:val="-1"/>
          <w:szCs w:val="21"/>
        </w:rPr>
        <w:t>1.1.4  招标项目名称：见投标人须知前附</w:t>
      </w:r>
      <w:r>
        <w:rPr>
          <w:rFonts w:hint="eastAsia" w:ascii="宋体" w:hAnsi="宋体" w:cs="宋体"/>
          <w:szCs w:val="21"/>
        </w:rPr>
        <w:t>表。</w:t>
      </w:r>
    </w:p>
    <w:p w14:paraId="0E8748F6">
      <w:pPr>
        <w:spacing w:before="150" w:line="220" w:lineRule="auto"/>
        <w:ind w:left="435"/>
        <w:rPr>
          <w:rFonts w:ascii="宋体" w:hAnsi="宋体" w:cs="宋体"/>
          <w:szCs w:val="21"/>
        </w:rPr>
      </w:pPr>
      <w:r>
        <w:rPr>
          <w:rFonts w:hint="eastAsia" w:ascii="宋体" w:hAnsi="宋体" w:cs="宋体"/>
          <w:spacing w:val="-1"/>
          <w:szCs w:val="21"/>
        </w:rPr>
        <w:t>1.1.5  项目建设地点：见投标人须知前附</w:t>
      </w:r>
      <w:r>
        <w:rPr>
          <w:rFonts w:hint="eastAsia" w:ascii="宋体" w:hAnsi="宋体" w:cs="宋体"/>
          <w:szCs w:val="21"/>
        </w:rPr>
        <w:t>表。</w:t>
      </w:r>
    </w:p>
    <w:p w14:paraId="7706CDBF">
      <w:pPr>
        <w:spacing w:before="151" w:line="220" w:lineRule="auto"/>
        <w:ind w:left="435"/>
        <w:rPr>
          <w:rFonts w:ascii="宋体" w:hAnsi="宋体" w:cs="宋体"/>
          <w:szCs w:val="21"/>
        </w:rPr>
      </w:pPr>
      <w:r>
        <w:rPr>
          <w:rFonts w:hint="eastAsia" w:ascii="宋体" w:hAnsi="宋体" w:cs="宋体"/>
          <w:spacing w:val="-1"/>
          <w:szCs w:val="21"/>
        </w:rPr>
        <w:t>1.1.6  项目建设规模：见投标人须知前附</w:t>
      </w:r>
      <w:r>
        <w:rPr>
          <w:rFonts w:hint="eastAsia" w:ascii="宋体" w:hAnsi="宋体" w:cs="宋体"/>
          <w:szCs w:val="21"/>
        </w:rPr>
        <w:t>表。</w:t>
      </w:r>
    </w:p>
    <w:p w14:paraId="5B10040F">
      <w:pPr>
        <w:spacing w:before="148" w:line="220" w:lineRule="auto"/>
        <w:ind w:left="435"/>
        <w:rPr>
          <w:rFonts w:ascii="宋体" w:hAnsi="宋体" w:cs="宋体"/>
          <w:szCs w:val="21"/>
        </w:rPr>
      </w:pPr>
      <w:r>
        <w:rPr>
          <w:rFonts w:hint="eastAsia" w:ascii="宋体" w:hAnsi="宋体" w:cs="宋体"/>
          <w:spacing w:val="-6"/>
          <w:szCs w:val="21"/>
        </w:rPr>
        <w:t>1.1.7</w:t>
      </w:r>
      <w:r>
        <w:rPr>
          <w:rFonts w:hint="eastAsia" w:ascii="宋体" w:hAnsi="宋体" w:cs="宋体"/>
          <w:spacing w:val="-5"/>
          <w:szCs w:val="21"/>
        </w:rPr>
        <w:t xml:space="preserve"> </w:t>
      </w:r>
      <w:r>
        <w:rPr>
          <w:rFonts w:hint="eastAsia" w:ascii="宋体" w:hAnsi="宋体" w:cs="宋体"/>
          <w:spacing w:val="-3"/>
          <w:szCs w:val="21"/>
        </w:rPr>
        <w:t xml:space="preserve"> 工程项目施工预计开工日期和建设周期： 见投标人须知前附表。</w:t>
      </w:r>
    </w:p>
    <w:p w14:paraId="10788E0A">
      <w:pPr>
        <w:spacing w:before="151" w:line="234" w:lineRule="auto"/>
        <w:ind w:left="435"/>
        <w:rPr>
          <w:rFonts w:ascii="宋体" w:hAnsi="宋体" w:cs="宋体"/>
          <w:szCs w:val="21"/>
        </w:rPr>
      </w:pPr>
      <w:bookmarkStart w:id="139" w:name="_bookmark23"/>
      <w:bookmarkEnd w:id="139"/>
      <w:r>
        <w:rPr>
          <w:rFonts w:hint="eastAsia" w:ascii="宋体" w:hAnsi="宋体" w:cs="宋体"/>
          <w:spacing w:val="-2"/>
          <w:szCs w:val="21"/>
        </w:rPr>
        <w:t>1.1.8  建筑安</w:t>
      </w:r>
      <w:r>
        <w:rPr>
          <w:rFonts w:hint="eastAsia" w:ascii="宋体" w:hAnsi="宋体" w:cs="宋体"/>
          <w:spacing w:val="-1"/>
          <w:szCs w:val="21"/>
        </w:rPr>
        <w:t>装工程费/工程概算：见投标人须知前附表。</w:t>
      </w:r>
    </w:p>
    <w:p w14:paraId="7BEDE042">
      <w:pPr>
        <w:spacing w:before="295" w:line="360" w:lineRule="auto"/>
        <w:ind w:left="160"/>
        <w:rPr>
          <w:rFonts w:ascii="宋体" w:hAnsi="宋体" w:cs="宋体"/>
          <w:sz w:val="28"/>
          <w:szCs w:val="28"/>
        </w:rPr>
      </w:pPr>
      <w:r>
        <w:rPr>
          <w:rFonts w:hint="eastAsia" w:ascii="宋体" w:hAnsi="宋体" w:cs="宋体"/>
          <w:spacing w:val="-2"/>
          <w:sz w:val="28"/>
          <w:szCs w:val="28"/>
        </w:rPr>
        <w:t>1.2  招标项目的资</w:t>
      </w:r>
      <w:r>
        <w:rPr>
          <w:rFonts w:hint="eastAsia" w:ascii="宋体" w:hAnsi="宋体" w:cs="宋体"/>
          <w:spacing w:val="-1"/>
          <w:sz w:val="28"/>
          <w:szCs w:val="28"/>
        </w:rPr>
        <w:t>金来源和落实情况</w:t>
      </w:r>
    </w:p>
    <w:p w14:paraId="6FC140E1">
      <w:pPr>
        <w:spacing w:before="69" w:line="360" w:lineRule="auto"/>
        <w:ind w:left="435"/>
        <w:rPr>
          <w:rFonts w:ascii="宋体" w:hAnsi="宋体" w:cs="宋体"/>
          <w:szCs w:val="21"/>
        </w:rPr>
      </w:pPr>
      <w:r>
        <w:rPr>
          <w:rFonts w:hint="eastAsia" w:ascii="宋体" w:hAnsi="宋体" w:cs="宋体"/>
          <w:spacing w:val="-10"/>
          <w:szCs w:val="21"/>
        </w:rPr>
        <w:t>1.</w:t>
      </w:r>
      <w:r>
        <w:rPr>
          <w:rFonts w:hint="eastAsia" w:ascii="宋体" w:hAnsi="宋体" w:cs="宋体"/>
          <w:spacing w:val="-7"/>
          <w:szCs w:val="21"/>
        </w:rPr>
        <w:t>2</w:t>
      </w:r>
      <w:r>
        <w:rPr>
          <w:rFonts w:hint="eastAsia" w:ascii="宋体" w:hAnsi="宋体" w:cs="宋体"/>
          <w:spacing w:val="-5"/>
          <w:szCs w:val="21"/>
        </w:rPr>
        <w:t>.1  资金来源及比例： 见投标人须知前附表。</w:t>
      </w:r>
    </w:p>
    <w:p w14:paraId="63E2F025">
      <w:pPr>
        <w:spacing w:before="148" w:line="220" w:lineRule="auto"/>
        <w:ind w:left="435"/>
        <w:rPr>
          <w:rFonts w:ascii="宋体" w:hAnsi="宋体" w:cs="宋体"/>
          <w:szCs w:val="21"/>
        </w:rPr>
      </w:pPr>
      <w:bookmarkStart w:id="140" w:name="_bookmark24"/>
      <w:bookmarkEnd w:id="140"/>
      <w:r>
        <w:rPr>
          <w:rFonts w:hint="eastAsia" w:ascii="宋体" w:hAnsi="宋体" w:cs="宋体"/>
          <w:spacing w:val="-1"/>
          <w:szCs w:val="21"/>
        </w:rPr>
        <w:t>1.2.2  资金落实情况：见投标人须知前附</w:t>
      </w:r>
      <w:r>
        <w:rPr>
          <w:rFonts w:hint="eastAsia" w:ascii="宋体" w:hAnsi="宋体" w:cs="宋体"/>
          <w:szCs w:val="21"/>
        </w:rPr>
        <w:t>表。</w:t>
      </w:r>
    </w:p>
    <w:p w14:paraId="1423B7C0">
      <w:pPr>
        <w:spacing w:before="311" w:line="360" w:lineRule="auto"/>
        <w:ind w:left="160"/>
        <w:rPr>
          <w:rFonts w:ascii="宋体" w:hAnsi="宋体" w:cs="宋体"/>
          <w:sz w:val="28"/>
          <w:szCs w:val="28"/>
        </w:rPr>
      </w:pPr>
      <w:r>
        <w:rPr>
          <w:rFonts w:hint="eastAsia" w:ascii="宋体" w:hAnsi="宋体" w:cs="宋体"/>
          <w:spacing w:val="-2"/>
          <w:sz w:val="28"/>
          <w:szCs w:val="28"/>
        </w:rPr>
        <w:t>1.3 招标范围、监理</w:t>
      </w:r>
      <w:r>
        <w:rPr>
          <w:rFonts w:hint="eastAsia" w:ascii="宋体" w:hAnsi="宋体" w:cs="宋体"/>
          <w:spacing w:val="-1"/>
          <w:sz w:val="28"/>
          <w:szCs w:val="28"/>
        </w:rPr>
        <w:t>服务期限和质量标准</w:t>
      </w:r>
    </w:p>
    <w:p w14:paraId="394D0157">
      <w:pPr>
        <w:spacing w:before="70" w:line="360" w:lineRule="auto"/>
        <w:ind w:left="435"/>
        <w:rPr>
          <w:rFonts w:ascii="宋体" w:hAnsi="宋体" w:cs="宋体"/>
          <w:szCs w:val="21"/>
        </w:rPr>
      </w:pPr>
      <w:r>
        <w:rPr>
          <w:rFonts w:hint="eastAsia" w:ascii="宋体" w:hAnsi="宋体" w:cs="宋体"/>
          <w:spacing w:val="-1"/>
          <w:szCs w:val="21"/>
        </w:rPr>
        <w:t>1.3.1  招标范围：见投标人须知前附表。</w:t>
      </w:r>
    </w:p>
    <w:p w14:paraId="5A39301C">
      <w:pPr>
        <w:spacing w:before="150" w:line="220" w:lineRule="auto"/>
        <w:ind w:left="435"/>
        <w:rPr>
          <w:rFonts w:ascii="宋体" w:hAnsi="宋体" w:cs="宋体"/>
          <w:szCs w:val="21"/>
        </w:rPr>
      </w:pPr>
      <w:r>
        <w:rPr>
          <w:rFonts w:hint="eastAsia" w:ascii="宋体" w:hAnsi="宋体" w:cs="宋体"/>
          <w:spacing w:val="-1"/>
          <w:szCs w:val="21"/>
        </w:rPr>
        <w:t>1.3.2  监理服务期限：见投标人须知前附</w:t>
      </w:r>
      <w:r>
        <w:rPr>
          <w:rFonts w:hint="eastAsia" w:ascii="宋体" w:hAnsi="宋体" w:cs="宋体"/>
          <w:szCs w:val="21"/>
        </w:rPr>
        <w:t>表。</w:t>
      </w:r>
    </w:p>
    <w:p w14:paraId="5EF78347">
      <w:pPr>
        <w:spacing w:before="148" w:line="220" w:lineRule="auto"/>
        <w:ind w:left="435"/>
        <w:rPr>
          <w:rFonts w:ascii="宋体" w:hAnsi="宋体" w:cs="宋体"/>
          <w:szCs w:val="21"/>
        </w:rPr>
      </w:pPr>
      <w:bookmarkStart w:id="141" w:name="_bookmark25"/>
      <w:bookmarkEnd w:id="141"/>
      <w:r>
        <w:rPr>
          <w:rFonts w:hint="eastAsia" w:ascii="宋体" w:hAnsi="宋体" w:cs="宋体"/>
          <w:spacing w:val="-1"/>
          <w:szCs w:val="21"/>
        </w:rPr>
        <w:t>1.3.3  质量标准：见投标人须知前附表。</w:t>
      </w:r>
    </w:p>
    <w:p w14:paraId="58742437">
      <w:pPr>
        <w:spacing w:before="313" w:line="360" w:lineRule="auto"/>
        <w:ind w:left="160"/>
        <w:rPr>
          <w:rFonts w:ascii="宋体" w:hAnsi="宋体" w:cs="宋体"/>
          <w:sz w:val="28"/>
          <w:szCs w:val="28"/>
        </w:rPr>
      </w:pPr>
      <w:r>
        <w:rPr>
          <w:rFonts w:hint="eastAsia" w:ascii="宋体" w:hAnsi="宋体" w:cs="宋体"/>
          <w:spacing w:val="-4"/>
          <w:sz w:val="28"/>
          <w:szCs w:val="28"/>
        </w:rPr>
        <w:t xml:space="preserve">1.4 </w:t>
      </w:r>
      <w:r>
        <w:rPr>
          <w:rFonts w:hint="eastAsia" w:ascii="宋体" w:hAnsi="宋体" w:cs="宋体"/>
          <w:spacing w:val="-2"/>
          <w:sz w:val="28"/>
          <w:szCs w:val="28"/>
        </w:rPr>
        <w:t>投标人资格要求</w:t>
      </w:r>
    </w:p>
    <w:p w14:paraId="7A9E419F">
      <w:pPr>
        <w:spacing w:before="68" w:line="360" w:lineRule="auto"/>
        <w:ind w:left="435"/>
        <w:rPr>
          <w:rFonts w:ascii="宋体" w:hAnsi="宋体" w:cs="宋体"/>
          <w:szCs w:val="21"/>
        </w:rPr>
      </w:pPr>
      <w:r>
        <w:rPr>
          <w:rFonts w:hint="eastAsia" w:ascii="宋体" w:hAnsi="宋体" w:cs="宋体"/>
          <w:spacing w:val="-1"/>
          <w:szCs w:val="21"/>
        </w:rPr>
        <w:t>1.4.1  投标人应具备承担本招标项目</w:t>
      </w:r>
      <w:r>
        <w:rPr>
          <w:rFonts w:hint="eastAsia" w:ascii="宋体" w:hAnsi="宋体" w:cs="宋体"/>
          <w:szCs w:val="21"/>
        </w:rPr>
        <w:t>资质条件、能力和信誉：</w:t>
      </w:r>
    </w:p>
    <w:p w14:paraId="24486354">
      <w:pPr>
        <w:spacing w:before="151" w:line="220" w:lineRule="auto"/>
        <w:ind w:left="319"/>
        <w:rPr>
          <w:rFonts w:ascii="宋体" w:hAnsi="宋体" w:cs="宋体"/>
          <w:szCs w:val="21"/>
        </w:rPr>
      </w:pPr>
      <w:r>
        <w:rPr>
          <w:rFonts w:hint="eastAsia" w:ascii="宋体" w:hAnsi="宋体" w:cs="宋体"/>
          <w:spacing w:val="5"/>
          <w:szCs w:val="21"/>
        </w:rPr>
        <w:t>(1) 资质要求：见投标人须知前附表</w:t>
      </w:r>
      <w:r>
        <w:rPr>
          <w:rFonts w:hint="eastAsia" w:ascii="宋体" w:hAnsi="宋体" w:cs="宋体"/>
          <w:spacing w:val="3"/>
          <w:szCs w:val="21"/>
        </w:rPr>
        <w:t>；</w:t>
      </w:r>
    </w:p>
    <w:p w14:paraId="08175D05">
      <w:pPr>
        <w:spacing w:before="148" w:line="220" w:lineRule="auto"/>
        <w:ind w:left="319"/>
        <w:rPr>
          <w:rFonts w:ascii="宋体" w:hAnsi="宋体" w:cs="宋体"/>
          <w:szCs w:val="21"/>
        </w:rPr>
      </w:pPr>
      <w:r>
        <w:rPr>
          <w:rFonts w:hint="eastAsia" w:ascii="宋体" w:hAnsi="宋体" w:cs="宋体"/>
          <w:spacing w:val="5"/>
          <w:szCs w:val="21"/>
        </w:rPr>
        <w:t>(2) 财务要求：见投标人须知前附表</w:t>
      </w:r>
      <w:r>
        <w:rPr>
          <w:rFonts w:hint="eastAsia" w:ascii="宋体" w:hAnsi="宋体" w:cs="宋体"/>
          <w:spacing w:val="3"/>
          <w:szCs w:val="21"/>
        </w:rPr>
        <w:t>；</w:t>
      </w:r>
    </w:p>
    <w:p w14:paraId="03583195">
      <w:pPr>
        <w:spacing w:before="151" w:line="220" w:lineRule="auto"/>
        <w:ind w:left="319"/>
        <w:rPr>
          <w:rFonts w:ascii="宋体" w:hAnsi="宋体" w:cs="宋体"/>
          <w:szCs w:val="21"/>
        </w:rPr>
      </w:pPr>
      <w:r>
        <w:rPr>
          <w:rFonts w:hint="eastAsia" w:ascii="宋体" w:hAnsi="宋体" w:cs="宋体"/>
          <w:spacing w:val="5"/>
          <w:szCs w:val="21"/>
        </w:rPr>
        <w:t>(3) 业绩要求：见投标人须知前附表</w:t>
      </w:r>
      <w:r>
        <w:rPr>
          <w:rFonts w:hint="eastAsia" w:ascii="宋体" w:hAnsi="宋体" w:cs="宋体"/>
          <w:spacing w:val="3"/>
          <w:szCs w:val="21"/>
        </w:rPr>
        <w:t>；</w:t>
      </w:r>
    </w:p>
    <w:p w14:paraId="6972CD69">
      <w:pPr>
        <w:spacing w:before="150" w:line="220" w:lineRule="auto"/>
        <w:ind w:left="319"/>
        <w:rPr>
          <w:rFonts w:ascii="宋体" w:hAnsi="宋体" w:cs="宋体"/>
          <w:szCs w:val="21"/>
        </w:rPr>
      </w:pPr>
      <w:r>
        <w:rPr>
          <w:rFonts w:hint="eastAsia" w:ascii="宋体" w:hAnsi="宋体" w:cs="宋体"/>
          <w:spacing w:val="5"/>
          <w:szCs w:val="21"/>
        </w:rPr>
        <w:t>(4) 信誉要求：见投标人须知前附表</w:t>
      </w:r>
      <w:r>
        <w:rPr>
          <w:rFonts w:hint="eastAsia" w:ascii="宋体" w:hAnsi="宋体" w:cs="宋体"/>
          <w:spacing w:val="3"/>
          <w:szCs w:val="21"/>
        </w:rPr>
        <w:t>；</w:t>
      </w:r>
    </w:p>
    <w:p w14:paraId="743F1C65">
      <w:pPr>
        <w:spacing w:line="401" w:lineRule="exact"/>
        <w:ind w:left="321"/>
        <w:rPr>
          <w:rFonts w:ascii="宋体" w:hAnsi="宋体" w:cs="宋体"/>
          <w:spacing w:val="6"/>
          <w:position w:val="14"/>
          <w:szCs w:val="21"/>
        </w:rPr>
      </w:pPr>
      <w:r>
        <w:rPr>
          <w:rFonts w:hint="eastAsia" w:ascii="宋体" w:hAnsi="宋体" w:cs="宋体"/>
          <w:spacing w:val="5"/>
          <w:szCs w:val="21"/>
        </w:rPr>
        <w:t>(5) 总监理工程师的资格要求：应当具备工程注册监理工程师执业资格 (如有)，具体要求见投标</w:t>
      </w:r>
      <w:r>
        <w:rPr>
          <w:rFonts w:hint="eastAsia" w:ascii="宋体" w:hAnsi="宋体" w:cs="宋体"/>
          <w:spacing w:val="-1"/>
          <w:szCs w:val="21"/>
        </w:rPr>
        <w:t>人须知前附</w:t>
      </w:r>
      <w:r>
        <w:rPr>
          <w:rFonts w:hint="eastAsia" w:ascii="宋体" w:hAnsi="宋体" w:cs="宋体"/>
          <w:szCs w:val="21"/>
        </w:rPr>
        <w:t>表；</w:t>
      </w:r>
    </w:p>
    <w:p w14:paraId="34313412">
      <w:pPr>
        <w:spacing w:before="231" w:line="401" w:lineRule="exact"/>
        <w:ind w:left="321"/>
        <w:rPr>
          <w:rFonts w:ascii="宋体" w:hAnsi="宋体" w:cs="宋体"/>
          <w:szCs w:val="21"/>
        </w:rPr>
      </w:pPr>
      <w:r>
        <w:rPr>
          <w:rFonts w:hint="eastAsia" w:ascii="宋体" w:hAnsi="宋体" w:cs="宋体"/>
          <w:spacing w:val="6"/>
          <w:position w:val="14"/>
          <w:szCs w:val="21"/>
        </w:rPr>
        <w:t>(</w:t>
      </w:r>
      <w:r>
        <w:rPr>
          <w:rFonts w:hint="eastAsia" w:ascii="宋体" w:hAnsi="宋体" w:cs="宋体"/>
          <w:spacing w:val="4"/>
          <w:position w:val="14"/>
          <w:szCs w:val="21"/>
        </w:rPr>
        <w:t>6) 其他主要人员要求：见投标人须知前附表。</w:t>
      </w:r>
    </w:p>
    <w:p w14:paraId="5EA7673C">
      <w:pPr>
        <w:spacing w:line="219" w:lineRule="auto"/>
        <w:ind w:left="321"/>
        <w:rPr>
          <w:rFonts w:ascii="宋体" w:hAnsi="宋体" w:cs="宋体"/>
          <w:szCs w:val="21"/>
        </w:rPr>
      </w:pPr>
      <w:r>
        <w:rPr>
          <w:rFonts w:hint="eastAsia" w:ascii="宋体" w:hAnsi="宋体" w:cs="宋体"/>
          <w:spacing w:val="6"/>
          <w:szCs w:val="21"/>
        </w:rPr>
        <w:t>(7) 试验</w:t>
      </w:r>
      <w:r>
        <w:rPr>
          <w:rFonts w:hint="eastAsia" w:ascii="宋体" w:hAnsi="宋体" w:cs="宋体"/>
          <w:spacing w:val="3"/>
          <w:szCs w:val="21"/>
        </w:rPr>
        <w:t>检测仪器设备要求：见投标人须知前附表。</w:t>
      </w:r>
    </w:p>
    <w:p w14:paraId="57305AB0">
      <w:pPr>
        <w:spacing w:before="148" w:line="220" w:lineRule="auto"/>
        <w:ind w:left="321"/>
        <w:rPr>
          <w:rFonts w:ascii="宋体" w:hAnsi="宋体" w:cs="宋体"/>
          <w:szCs w:val="21"/>
        </w:rPr>
      </w:pPr>
      <w:r>
        <w:rPr>
          <w:rFonts w:hint="eastAsia" w:ascii="宋体" w:hAnsi="宋体" w:cs="宋体"/>
          <w:spacing w:val="5"/>
          <w:szCs w:val="21"/>
        </w:rPr>
        <w:t>(8) 其他要求：见投标人须知前附表</w:t>
      </w:r>
      <w:r>
        <w:rPr>
          <w:rFonts w:hint="eastAsia" w:ascii="宋体" w:hAnsi="宋体" w:cs="宋体"/>
          <w:spacing w:val="3"/>
          <w:szCs w:val="21"/>
        </w:rPr>
        <w:t>。</w:t>
      </w:r>
    </w:p>
    <w:p w14:paraId="7513EF5F">
      <w:pPr>
        <w:spacing w:before="150" w:line="220" w:lineRule="auto"/>
        <w:ind w:left="430"/>
        <w:rPr>
          <w:rFonts w:ascii="宋体" w:hAnsi="宋体" w:cs="宋体"/>
          <w:szCs w:val="21"/>
        </w:rPr>
      </w:pPr>
      <w:r>
        <w:rPr>
          <w:rFonts w:hint="eastAsia" w:ascii="宋体" w:hAnsi="宋体" w:cs="宋体"/>
          <w:spacing w:val="-6"/>
          <w:szCs w:val="21"/>
        </w:rPr>
        <w:t>需要</w:t>
      </w:r>
      <w:r>
        <w:rPr>
          <w:rFonts w:hint="eastAsia" w:ascii="宋体" w:hAnsi="宋体" w:cs="宋体"/>
          <w:spacing w:val="-3"/>
          <w:szCs w:val="21"/>
        </w:rPr>
        <w:t>提交的相关证明材料见本章第 3.5 款的规定。</w:t>
      </w:r>
    </w:p>
    <w:p w14:paraId="18D2FCC3">
      <w:pPr>
        <w:spacing w:before="151" w:line="351" w:lineRule="auto"/>
        <w:ind w:left="4" w:firstLine="433"/>
        <w:rPr>
          <w:rFonts w:ascii="宋体" w:hAnsi="宋体" w:cs="宋体"/>
          <w:szCs w:val="21"/>
        </w:rPr>
      </w:pPr>
      <w:r>
        <w:rPr>
          <w:rFonts w:hint="eastAsia" w:ascii="宋体" w:hAnsi="宋体" w:cs="宋体"/>
          <w:spacing w:val="1"/>
          <w:szCs w:val="21"/>
        </w:rPr>
        <w:t>1.4.2 投标人须知</w:t>
      </w:r>
      <w:r>
        <w:rPr>
          <w:rFonts w:hint="eastAsia" w:ascii="宋体" w:hAnsi="宋体" w:cs="宋体"/>
          <w:szCs w:val="21"/>
        </w:rPr>
        <w:t>前附表规定接受联合体投标的，联合体除应符合本章第 1.4.1 项和投标人</w:t>
      </w:r>
      <w:r>
        <w:rPr>
          <w:rFonts w:hint="eastAsia" w:ascii="宋体" w:hAnsi="宋体" w:cs="宋体"/>
          <w:spacing w:val="-1"/>
          <w:szCs w:val="21"/>
        </w:rPr>
        <w:t>须知前附表的要</w:t>
      </w:r>
      <w:r>
        <w:rPr>
          <w:rFonts w:hint="eastAsia" w:ascii="宋体" w:hAnsi="宋体" w:cs="宋体"/>
          <w:szCs w:val="21"/>
        </w:rPr>
        <w:t>求外，还应遵守以下规定：</w:t>
      </w:r>
    </w:p>
    <w:p w14:paraId="71377205">
      <w:pPr>
        <w:spacing w:before="1" w:line="351" w:lineRule="auto"/>
        <w:ind w:left="1" w:right="3" w:firstLine="319"/>
        <w:rPr>
          <w:rFonts w:ascii="宋体" w:hAnsi="宋体" w:cs="宋体"/>
          <w:szCs w:val="21"/>
        </w:rPr>
      </w:pPr>
      <w:r>
        <w:rPr>
          <w:rFonts w:hint="eastAsia" w:ascii="宋体" w:hAnsi="宋体" w:cs="宋体"/>
          <w:spacing w:val="10"/>
          <w:szCs w:val="21"/>
        </w:rPr>
        <w:t>(1)联合</w:t>
      </w:r>
      <w:r>
        <w:rPr>
          <w:rFonts w:hint="eastAsia" w:ascii="宋体" w:hAnsi="宋体" w:cs="宋体"/>
          <w:spacing w:val="8"/>
          <w:szCs w:val="21"/>
        </w:rPr>
        <w:t>体</w:t>
      </w:r>
      <w:r>
        <w:rPr>
          <w:rFonts w:hint="eastAsia" w:ascii="宋体" w:hAnsi="宋体" w:cs="宋体"/>
          <w:spacing w:val="5"/>
          <w:szCs w:val="21"/>
        </w:rPr>
        <w:t>各方应按招标文件提供的格式签订联合体协议书，明确联合体牵头人和各方权</w:t>
      </w:r>
      <w:r>
        <w:rPr>
          <w:rFonts w:hint="eastAsia" w:ascii="宋体" w:hAnsi="宋体" w:cs="宋体"/>
          <w:spacing w:val="-1"/>
          <w:szCs w:val="21"/>
        </w:rPr>
        <w:t>利义务，</w:t>
      </w:r>
      <w:r>
        <w:rPr>
          <w:rFonts w:hint="eastAsia" w:ascii="宋体" w:hAnsi="宋体" w:cs="宋体"/>
          <w:szCs w:val="21"/>
        </w:rPr>
        <w:t>并承诺就中标项目向招标人承担连带责任；</w:t>
      </w:r>
    </w:p>
    <w:p w14:paraId="771E17F5">
      <w:pPr>
        <w:spacing w:before="1" w:line="220" w:lineRule="auto"/>
        <w:ind w:left="321"/>
        <w:rPr>
          <w:rFonts w:ascii="宋体" w:hAnsi="宋体" w:cs="宋体"/>
          <w:szCs w:val="21"/>
        </w:rPr>
      </w:pPr>
      <w:r>
        <w:rPr>
          <w:rFonts w:hint="eastAsia" w:ascii="宋体" w:hAnsi="宋体" w:cs="宋体"/>
          <w:spacing w:val="2"/>
          <w:szCs w:val="21"/>
        </w:rPr>
        <w:t>(2) 由同一专业的单位组成的联合体，按照资质等级较低的单位确定资质等</w:t>
      </w:r>
      <w:r>
        <w:rPr>
          <w:rFonts w:hint="eastAsia" w:ascii="宋体" w:hAnsi="宋体" w:cs="宋体"/>
          <w:spacing w:val="1"/>
          <w:szCs w:val="21"/>
        </w:rPr>
        <w:t>级</w:t>
      </w:r>
      <w:r>
        <w:rPr>
          <w:rFonts w:hint="eastAsia" w:ascii="宋体" w:hAnsi="宋体" w:cs="宋体"/>
          <w:szCs w:val="21"/>
        </w:rPr>
        <w:t>；</w:t>
      </w:r>
    </w:p>
    <w:p w14:paraId="588A12CE">
      <w:pPr>
        <w:spacing w:before="151" w:line="351" w:lineRule="auto"/>
        <w:ind w:left="4" w:right="3" w:firstLine="317"/>
        <w:rPr>
          <w:rFonts w:ascii="宋体" w:hAnsi="宋体" w:cs="宋体"/>
          <w:szCs w:val="21"/>
        </w:rPr>
      </w:pPr>
      <w:r>
        <w:rPr>
          <w:rFonts w:hint="eastAsia" w:ascii="宋体" w:hAnsi="宋体" w:cs="宋体"/>
          <w:spacing w:val="10"/>
          <w:szCs w:val="21"/>
        </w:rPr>
        <w:t>(3)联合</w:t>
      </w:r>
      <w:r>
        <w:rPr>
          <w:rFonts w:hint="eastAsia" w:ascii="宋体" w:hAnsi="宋体" w:cs="宋体"/>
          <w:spacing w:val="8"/>
          <w:szCs w:val="21"/>
        </w:rPr>
        <w:t>体</w:t>
      </w:r>
      <w:r>
        <w:rPr>
          <w:rFonts w:hint="eastAsia" w:ascii="宋体" w:hAnsi="宋体" w:cs="宋体"/>
          <w:spacing w:val="5"/>
          <w:szCs w:val="21"/>
        </w:rPr>
        <w:t>各方不得再以自己名义单独或参加其他联合体在本招标项目中投标，否则各相</w:t>
      </w:r>
      <w:r>
        <w:rPr>
          <w:rFonts w:hint="eastAsia" w:ascii="宋体" w:hAnsi="宋体" w:cs="宋体"/>
          <w:spacing w:val="-6"/>
          <w:szCs w:val="21"/>
        </w:rPr>
        <w:t>关</w:t>
      </w:r>
      <w:r>
        <w:rPr>
          <w:rFonts w:hint="eastAsia" w:ascii="宋体" w:hAnsi="宋体" w:cs="宋体"/>
          <w:spacing w:val="-3"/>
          <w:szCs w:val="21"/>
        </w:rPr>
        <w:t>投标均无效。</w:t>
      </w:r>
    </w:p>
    <w:p w14:paraId="44004BF7">
      <w:pPr>
        <w:spacing w:line="220" w:lineRule="auto"/>
        <w:ind w:left="437"/>
        <w:rPr>
          <w:rFonts w:ascii="宋体" w:hAnsi="宋体" w:cs="宋体"/>
          <w:szCs w:val="21"/>
        </w:rPr>
      </w:pPr>
      <w:r>
        <w:rPr>
          <w:rFonts w:hint="eastAsia" w:ascii="宋体" w:hAnsi="宋体" w:cs="宋体"/>
          <w:spacing w:val="-4"/>
          <w:szCs w:val="21"/>
        </w:rPr>
        <w:t>1.</w:t>
      </w:r>
      <w:r>
        <w:rPr>
          <w:rFonts w:hint="eastAsia" w:ascii="宋体" w:hAnsi="宋体" w:cs="宋体"/>
          <w:spacing w:val="-2"/>
          <w:szCs w:val="21"/>
        </w:rPr>
        <w:t>4.3  投标人不得存在下列情形之一：</w:t>
      </w:r>
    </w:p>
    <w:p w14:paraId="5A6F287B">
      <w:pPr>
        <w:spacing w:before="150" w:line="220" w:lineRule="auto"/>
        <w:ind w:left="427"/>
        <w:rPr>
          <w:rFonts w:ascii="宋体" w:hAnsi="宋体" w:cs="宋体"/>
          <w:szCs w:val="21"/>
        </w:rPr>
      </w:pPr>
      <w:r>
        <w:rPr>
          <w:rFonts w:hint="eastAsia" w:ascii="宋体" w:hAnsi="宋体" w:cs="宋体"/>
          <w:spacing w:val="7"/>
          <w:szCs w:val="21"/>
        </w:rPr>
        <w:t>(1) 为招标人不具有独立法人资格的附属机构(单位)</w:t>
      </w:r>
      <w:r>
        <w:rPr>
          <w:rFonts w:hint="eastAsia" w:ascii="宋体" w:hAnsi="宋体" w:cs="宋体"/>
          <w:spacing w:val="2"/>
          <w:szCs w:val="21"/>
        </w:rPr>
        <w:t>；</w:t>
      </w:r>
    </w:p>
    <w:p w14:paraId="7570EA25">
      <w:pPr>
        <w:spacing w:before="150" w:line="221" w:lineRule="auto"/>
        <w:ind w:left="427"/>
        <w:rPr>
          <w:rFonts w:ascii="宋体" w:hAnsi="宋体" w:cs="宋体"/>
          <w:szCs w:val="21"/>
        </w:rPr>
      </w:pPr>
      <w:r>
        <w:rPr>
          <w:rFonts w:hint="eastAsia" w:ascii="宋体" w:hAnsi="宋体" w:cs="宋体"/>
          <w:spacing w:val="6"/>
          <w:szCs w:val="21"/>
        </w:rPr>
        <w:t>(2) 与招</w:t>
      </w:r>
      <w:r>
        <w:rPr>
          <w:rFonts w:hint="eastAsia" w:ascii="宋体" w:hAnsi="宋体" w:cs="宋体"/>
          <w:spacing w:val="4"/>
          <w:szCs w:val="21"/>
        </w:rPr>
        <w:t>标</w:t>
      </w:r>
      <w:r>
        <w:rPr>
          <w:rFonts w:hint="eastAsia" w:ascii="宋体" w:hAnsi="宋体" w:cs="宋体"/>
          <w:spacing w:val="3"/>
          <w:szCs w:val="21"/>
        </w:rPr>
        <w:t>人存在利害关系且可能影响招标公正性；</w:t>
      </w:r>
    </w:p>
    <w:p w14:paraId="07D38A20">
      <w:pPr>
        <w:spacing w:before="148" w:line="220" w:lineRule="auto"/>
        <w:ind w:left="427"/>
        <w:rPr>
          <w:rFonts w:ascii="宋体" w:hAnsi="宋体" w:cs="宋体"/>
          <w:szCs w:val="21"/>
        </w:rPr>
      </w:pPr>
      <w:r>
        <w:rPr>
          <w:rFonts w:hint="eastAsia" w:ascii="宋体" w:hAnsi="宋体" w:cs="宋体"/>
          <w:spacing w:val="4"/>
          <w:szCs w:val="21"/>
        </w:rPr>
        <w:t>(3) 与本招标</w:t>
      </w:r>
      <w:r>
        <w:rPr>
          <w:rFonts w:hint="eastAsia" w:ascii="宋体" w:hAnsi="宋体" w:cs="宋体"/>
          <w:spacing w:val="3"/>
          <w:szCs w:val="21"/>
        </w:rPr>
        <w:t>项</w:t>
      </w:r>
      <w:r>
        <w:rPr>
          <w:rFonts w:hint="eastAsia" w:ascii="宋体" w:hAnsi="宋体" w:cs="宋体"/>
          <w:spacing w:val="2"/>
          <w:szCs w:val="21"/>
        </w:rPr>
        <w:t>目的其他投标人为同一个单位负责人；</w:t>
      </w:r>
    </w:p>
    <w:p w14:paraId="5966AAB1">
      <w:pPr>
        <w:spacing w:before="151" w:line="220" w:lineRule="auto"/>
        <w:ind w:left="427"/>
        <w:rPr>
          <w:rFonts w:ascii="宋体" w:hAnsi="宋体" w:cs="宋体"/>
          <w:szCs w:val="21"/>
        </w:rPr>
      </w:pPr>
      <w:r>
        <w:rPr>
          <w:rFonts w:hint="eastAsia" w:ascii="宋体" w:hAnsi="宋体" w:cs="宋体"/>
          <w:spacing w:val="4"/>
          <w:szCs w:val="21"/>
        </w:rPr>
        <w:t>(4) 与本招标</w:t>
      </w:r>
      <w:r>
        <w:rPr>
          <w:rFonts w:hint="eastAsia" w:ascii="宋体" w:hAnsi="宋体" w:cs="宋体"/>
          <w:spacing w:val="3"/>
          <w:szCs w:val="21"/>
        </w:rPr>
        <w:t>项</w:t>
      </w:r>
      <w:r>
        <w:rPr>
          <w:rFonts w:hint="eastAsia" w:ascii="宋体" w:hAnsi="宋体" w:cs="宋体"/>
          <w:spacing w:val="2"/>
          <w:szCs w:val="21"/>
        </w:rPr>
        <w:t>目的其他投标人存在控股、管理关系；</w:t>
      </w:r>
    </w:p>
    <w:p w14:paraId="52AF2390">
      <w:pPr>
        <w:spacing w:before="150" w:line="220" w:lineRule="auto"/>
        <w:ind w:left="427"/>
        <w:rPr>
          <w:rFonts w:ascii="宋体" w:hAnsi="宋体" w:cs="宋体"/>
          <w:szCs w:val="21"/>
        </w:rPr>
      </w:pPr>
      <w:r>
        <w:rPr>
          <w:rFonts w:hint="eastAsia" w:ascii="宋体" w:hAnsi="宋体" w:cs="宋体"/>
          <w:spacing w:val="8"/>
          <w:szCs w:val="21"/>
        </w:rPr>
        <w:t>(5</w:t>
      </w:r>
      <w:r>
        <w:rPr>
          <w:rFonts w:hint="eastAsia" w:ascii="宋体" w:hAnsi="宋体" w:cs="宋体"/>
          <w:spacing w:val="4"/>
          <w:szCs w:val="21"/>
        </w:rPr>
        <w:t>) 为本招标项目的代建人；</w:t>
      </w:r>
    </w:p>
    <w:p w14:paraId="23F42E4B">
      <w:pPr>
        <w:spacing w:before="148" w:line="220" w:lineRule="auto"/>
        <w:ind w:left="427"/>
        <w:rPr>
          <w:rFonts w:ascii="宋体" w:hAnsi="宋体" w:cs="宋体"/>
          <w:szCs w:val="21"/>
        </w:rPr>
      </w:pPr>
      <w:r>
        <w:rPr>
          <w:rFonts w:hint="eastAsia" w:ascii="宋体" w:hAnsi="宋体" w:cs="宋体"/>
          <w:spacing w:val="4"/>
          <w:szCs w:val="21"/>
        </w:rPr>
        <w:t>(6) 为本招标项目的招标代理机构</w:t>
      </w:r>
      <w:r>
        <w:rPr>
          <w:rFonts w:hint="eastAsia" w:ascii="宋体" w:hAnsi="宋体" w:cs="宋体"/>
          <w:spacing w:val="1"/>
          <w:szCs w:val="21"/>
        </w:rPr>
        <w:t>；</w:t>
      </w:r>
    </w:p>
    <w:p w14:paraId="69A0CB0F">
      <w:pPr>
        <w:spacing w:before="151" w:line="220" w:lineRule="auto"/>
        <w:ind w:left="427"/>
        <w:rPr>
          <w:rFonts w:ascii="宋体" w:hAnsi="宋体" w:cs="宋体"/>
          <w:szCs w:val="21"/>
        </w:rPr>
      </w:pPr>
      <w:r>
        <w:rPr>
          <w:rFonts w:hint="eastAsia" w:ascii="宋体" w:hAnsi="宋体" w:cs="宋体"/>
          <w:spacing w:val="4"/>
          <w:szCs w:val="21"/>
        </w:rPr>
        <w:t xml:space="preserve">(7) </w:t>
      </w:r>
      <w:r>
        <w:rPr>
          <w:rFonts w:hint="eastAsia" w:ascii="宋体" w:hAnsi="宋体" w:cs="宋体"/>
          <w:spacing w:val="3"/>
          <w:szCs w:val="21"/>
        </w:rPr>
        <w:t>与</w:t>
      </w:r>
      <w:r>
        <w:rPr>
          <w:rFonts w:hint="eastAsia" w:ascii="宋体" w:hAnsi="宋体" w:cs="宋体"/>
          <w:spacing w:val="2"/>
          <w:szCs w:val="21"/>
        </w:rPr>
        <w:t>本招标项目的代建人或招标代理机构同为一个法定代表人；</w:t>
      </w:r>
    </w:p>
    <w:p w14:paraId="589AFA28">
      <w:pPr>
        <w:spacing w:before="150" w:line="220" w:lineRule="auto"/>
        <w:ind w:left="427"/>
        <w:rPr>
          <w:rFonts w:ascii="宋体" w:hAnsi="宋体" w:cs="宋体"/>
          <w:szCs w:val="21"/>
        </w:rPr>
      </w:pPr>
      <w:r>
        <w:rPr>
          <w:rFonts w:hint="eastAsia" w:ascii="宋体" w:hAnsi="宋体" w:cs="宋体"/>
          <w:spacing w:val="4"/>
          <w:szCs w:val="21"/>
        </w:rPr>
        <w:t xml:space="preserve">(8) </w:t>
      </w:r>
      <w:r>
        <w:rPr>
          <w:rFonts w:hint="eastAsia" w:ascii="宋体" w:hAnsi="宋体" w:cs="宋体"/>
          <w:spacing w:val="3"/>
          <w:szCs w:val="21"/>
        </w:rPr>
        <w:t>与</w:t>
      </w:r>
      <w:r>
        <w:rPr>
          <w:rFonts w:hint="eastAsia" w:ascii="宋体" w:hAnsi="宋体" w:cs="宋体"/>
          <w:spacing w:val="2"/>
          <w:szCs w:val="21"/>
        </w:rPr>
        <w:t>本招标项目的代建人或招标代理机构存在控股或参股关系；</w:t>
      </w:r>
    </w:p>
    <w:p w14:paraId="4C7BA619">
      <w:pPr>
        <w:spacing w:before="150" w:line="220" w:lineRule="auto"/>
        <w:ind w:left="427"/>
        <w:rPr>
          <w:rFonts w:ascii="宋体" w:hAnsi="宋体" w:cs="宋体"/>
          <w:spacing w:val="8"/>
          <w:szCs w:val="21"/>
        </w:rPr>
      </w:pPr>
      <w:r>
        <w:rPr>
          <w:rFonts w:hint="eastAsia" w:ascii="宋体" w:hAnsi="宋体" w:cs="宋体"/>
          <w:spacing w:val="8"/>
          <w:szCs w:val="21"/>
        </w:rPr>
        <w:t>(9) 与本招标项目的施工承包人以及建筑材料、建筑构配件和设备供应商有隶属关系或者其他利害关系；</w:t>
      </w:r>
    </w:p>
    <w:p w14:paraId="3E9FF78E">
      <w:pPr>
        <w:spacing w:before="151" w:line="220" w:lineRule="auto"/>
        <w:ind w:left="427"/>
        <w:rPr>
          <w:rFonts w:ascii="宋体" w:hAnsi="宋体" w:cs="宋体"/>
          <w:spacing w:val="4"/>
          <w:szCs w:val="21"/>
        </w:rPr>
      </w:pPr>
      <w:r>
        <w:rPr>
          <w:rFonts w:hint="eastAsia" w:ascii="宋体" w:hAnsi="宋体" w:cs="宋体"/>
          <w:spacing w:val="4"/>
          <w:szCs w:val="21"/>
        </w:rPr>
        <w:t>(10) 被依法暂停或者取消投标资格；（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19E8E0B3">
      <w:pPr>
        <w:spacing w:before="151" w:line="220" w:lineRule="auto"/>
        <w:ind w:left="427"/>
        <w:rPr>
          <w:rFonts w:ascii="宋体" w:hAnsi="宋体" w:cs="宋体"/>
          <w:spacing w:val="4"/>
          <w:szCs w:val="21"/>
        </w:rPr>
      </w:pPr>
      <w:r>
        <w:rPr>
          <w:rFonts w:hint="eastAsia" w:ascii="宋体" w:hAnsi="宋体" w:cs="宋体"/>
          <w:spacing w:val="4"/>
          <w:szCs w:val="21"/>
        </w:rPr>
        <w:t>(11) 被责令停产停业、暂扣或者吊销许可证、暂扣或者吊销执照；（本项事实应当以根据《中华人民共和国行政处罚法》依法作出并已经生效的行政处罚决定为认定依据。）</w:t>
      </w:r>
    </w:p>
    <w:p w14:paraId="1600EBE7">
      <w:pPr>
        <w:spacing w:before="151" w:line="220" w:lineRule="auto"/>
        <w:ind w:left="427"/>
        <w:rPr>
          <w:rFonts w:ascii="宋体" w:hAnsi="宋体" w:cs="宋体"/>
          <w:spacing w:val="4"/>
          <w:szCs w:val="21"/>
        </w:rPr>
      </w:pPr>
      <w:r>
        <w:rPr>
          <w:rFonts w:hint="eastAsia" w:ascii="宋体" w:hAnsi="宋体" w:cs="宋体"/>
          <w:spacing w:val="4"/>
          <w:szCs w:val="21"/>
        </w:rPr>
        <w:t>(12) 进入清算程序，或被宣告破产，或其他丧失履约能力的情形；</w:t>
      </w:r>
    </w:p>
    <w:p w14:paraId="3C66AB39">
      <w:pPr>
        <w:spacing w:before="151" w:line="220" w:lineRule="auto"/>
        <w:ind w:left="427"/>
        <w:rPr>
          <w:rFonts w:ascii="宋体" w:hAnsi="宋体" w:cs="宋体"/>
          <w:spacing w:val="4"/>
          <w:szCs w:val="21"/>
        </w:rPr>
      </w:pPr>
      <w:r>
        <w:rPr>
          <w:rFonts w:hint="eastAsia" w:ascii="宋体" w:hAnsi="宋体" w:cs="宋体"/>
          <w:spacing w:val="4"/>
          <w:szCs w:val="21"/>
        </w:rPr>
        <w:t>(13) 在最近三年内发生重大监理质量问题；（“重大监理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49C38D49">
      <w:pPr>
        <w:spacing w:before="151" w:line="220" w:lineRule="auto"/>
        <w:ind w:left="427"/>
        <w:rPr>
          <w:rFonts w:ascii="宋体" w:hAnsi="宋体" w:cs="宋体"/>
          <w:spacing w:val="4"/>
          <w:szCs w:val="21"/>
        </w:rPr>
      </w:pPr>
      <w:r>
        <w:rPr>
          <w:rFonts w:hint="eastAsia" w:ascii="宋体" w:hAnsi="宋体" w:cs="宋体"/>
          <w:spacing w:val="4"/>
          <w:szCs w:val="21"/>
        </w:rPr>
        <w:t>(14) 法律法规或投标人须知前附表规定的其他情形。</w:t>
      </w:r>
    </w:p>
    <w:p w14:paraId="6E1012B7">
      <w:pPr>
        <w:spacing w:line="360" w:lineRule="auto"/>
        <w:ind w:left="162"/>
        <w:rPr>
          <w:rFonts w:ascii="宋体" w:hAnsi="宋体" w:cs="宋体"/>
          <w:sz w:val="28"/>
          <w:szCs w:val="28"/>
        </w:rPr>
      </w:pPr>
      <w:r>
        <w:rPr>
          <w:rFonts w:hint="eastAsia" w:ascii="宋体" w:hAnsi="宋体" w:cs="宋体"/>
          <w:spacing w:val="-4"/>
          <w:sz w:val="28"/>
          <w:szCs w:val="28"/>
        </w:rPr>
        <w:t>1</w:t>
      </w:r>
      <w:r>
        <w:rPr>
          <w:rFonts w:hint="eastAsia" w:ascii="宋体" w:hAnsi="宋体" w:cs="宋体"/>
          <w:spacing w:val="-3"/>
          <w:sz w:val="28"/>
          <w:szCs w:val="28"/>
        </w:rPr>
        <w:t>.5  费用承担</w:t>
      </w:r>
    </w:p>
    <w:p w14:paraId="79AAF794">
      <w:pPr>
        <w:spacing w:before="68" w:line="360" w:lineRule="auto"/>
        <w:ind w:left="423"/>
        <w:rPr>
          <w:rFonts w:ascii="宋体" w:hAnsi="宋体" w:cs="宋体"/>
          <w:szCs w:val="21"/>
        </w:rPr>
      </w:pPr>
      <w:bookmarkStart w:id="142" w:name="_bookmark27"/>
      <w:bookmarkEnd w:id="142"/>
      <w:r>
        <w:rPr>
          <w:rFonts w:hint="eastAsia" w:ascii="宋体" w:hAnsi="宋体" w:cs="宋体"/>
          <w:spacing w:val="-2"/>
          <w:position w:val="27"/>
          <w:szCs w:val="21"/>
        </w:rPr>
        <w:t>投</w:t>
      </w:r>
      <w:r>
        <w:rPr>
          <w:rFonts w:hint="eastAsia" w:ascii="宋体" w:hAnsi="宋体" w:cs="宋体"/>
          <w:spacing w:val="-1"/>
          <w:position w:val="27"/>
          <w:szCs w:val="21"/>
        </w:rPr>
        <w:t>标人准备和参加投标活动发生的费用自理。</w:t>
      </w:r>
    </w:p>
    <w:p w14:paraId="2EE8E7C5">
      <w:pPr>
        <w:spacing w:line="360" w:lineRule="auto"/>
        <w:ind w:left="162"/>
        <w:rPr>
          <w:rFonts w:ascii="宋体" w:hAnsi="宋体" w:cs="宋体"/>
          <w:sz w:val="28"/>
          <w:szCs w:val="28"/>
        </w:rPr>
      </w:pPr>
      <w:r>
        <w:rPr>
          <w:rFonts w:hint="eastAsia" w:ascii="宋体" w:hAnsi="宋体" w:cs="宋体"/>
          <w:spacing w:val="-8"/>
          <w:sz w:val="28"/>
          <w:szCs w:val="28"/>
        </w:rPr>
        <w:t>1</w:t>
      </w:r>
      <w:r>
        <w:rPr>
          <w:rFonts w:hint="eastAsia" w:ascii="宋体" w:hAnsi="宋体" w:cs="宋体"/>
          <w:spacing w:val="-4"/>
          <w:sz w:val="28"/>
          <w:szCs w:val="28"/>
        </w:rPr>
        <w:t>.6 保密</w:t>
      </w:r>
    </w:p>
    <w:p w14:paraId="381045E9">
      <w:pPr>
        <w:spacing w:before="69" w:line="360" w:lineRule="auto"/>
        <w:ind w:left="1" w:right="3" w:firstLine="420"/>
        <w:rPr>
          <w:rFonts w:ascii="宋体" w:hAnsi="宋体" w:cs="宋体"/>
          <w:szCs w:val="21"/>
        </w:rPr>
      </w:pPr>
      <w:r>
        <w:rPr>
          <w:rFonts w:hint="eastAsia" w:ascii="宋体" w:hAnsi="宋体" w:cs="宋体"/>
          <w:spacing w:val="1"/>
          <w:szCs w:val="21"/>
        </w:rPr>
        <w:t>参与招标投标活动的各方应对招标文件和投标文件</w:t>
      </w:r>
      <w:r>
        <w:rPr>
          <w:rFonts w:hint="eastAsia" w:ascii="宋体" w:hAnsi="宋体" w:cs="宋体"/>
          <w:szCs w:val="21"/>
        </w:rPr>
        <w:t>中的商业和技术等秘密保密，否则应承</w:t>
      </w:r>
      <w:bookmarkStart w:id="143" w:name="_bookmark28"/>
      <w:bookmarkEnd w:id="143"/>
      <w:r>
        <w:rPr>
          <w:rFonts w:hint="eastAsia" w:ascii="宋体" w:hAnsi="宋体" w:cs="宋体"/>
          <w:spacing w:val="-4"/>
          <w:szCs w:val="21"/>
        </w:rPr>
        <w:t>担</w:t>
      </w:r>
      <w:r>
        <w:rPr>
          <w:rFonts w:hint="eastAsia" w:ascii="宋体" w:hAnsi="宋体" w:cs="宋体"/>
          <w:spacing w:val="-3"/>
          <w:szCs w:val="21"/>
        </w:rPr>
        <w:t>相</w:t>
      </w:r>
      <w:r>
        <w:rPr>
          <w:rFonts w:hint="eastAsia" w:ascii="宋体" w:hAnsi="宋体" w:cs="宋体"/>
          <w:spacing w:val="-2"/>
          <w:szCs w:val="21"/>
        </w:rPr>
        <w:t>应的法律责任。</w:t>
      </w:r>
    </w:p>
    <w:p w14:paraId="6356D136">
      <w:pPr>
        <w:spacing w:before="140" w:line="360" w:lineRule="auto"/>
        <w:ind w:left="162"/>
        <w:rPr>
          <w:rFonts w:ascii="宋体" w:hAnsi="宋体" w:cs="宋体"/>
          <w:sz w:val="28"/>
          <w:szCs w:val="28"/>
        </w:rPr>
      </w:pPr>
      <w:r>
        <w:rPr>
          <w:rFonts w:hint="eastAsia" w:ascii="宋体" w:hAnsi="宋体" w:cs="宋体"/>
          <w:spacing w:val="-5"/>
          <w:sz w:val="28"/>
          <w:szCs w:val="28"/>
        </w:rPr>
        <w:t>1</w:t>
      </w:r>
      <w:r>
        <w:rPr>
          <w:rFonts w:hint="eastAsia" w:ascii="宋体" w:hAnsi="宋体" w:cs="宋体"/>
          <w:spacing w:val="-3"/>
          <w:sz w:val="28"/>
          <w:szCs w:val="28"/>
        </w:rPr>
        <w:t>.7  语言文字</w:t>
      </w:r>
    </w:p>
    <w:p w14:paraId="14A4EF18">
      <w:pPr>
        <w:spacing w:before="68" w:line="360" w:lineRule="auto"/>
        <w:ind w:left="421"/>
        <w:rPr>
          <w:rFonts w:ascii="宋体" w:hAnsi="宋体" w:cs="宋体"/>
          <w:szCs w:val="21"/>
        </w:rPr>
      </w:pPr>
      <w:r>
        <w:rPr>
          <w:rFonts w:hint="eastAsia" w:ascii="宋体" w:hAnsi="宋体" w:cs="宋体"/>
          <w:spacing w:val="-6"/>
          <w:szCs w:val="21"/>
        </w:rPr>
        <w:t>招标投标文</w:t>
      </w:r>
      <w:r>
        <w:rPr>
          <w:rFonts w:hint="eastAsia" w:ascii="宋体" w:hAnsi="宋体" w:cs="宋体"/>
          <w:spacing w:val="-3"/>
          <w:szCs w:val="21"/>
        </w:rPr>
        <w:t>件使用的语言文字为中文。专用术语使用外文的，应附有中文注释。</w:t>
      </w:r>
    </w:p>
    <w:p w14:paraId="16752378">
      <w:pPr>
        <w:spacing w:before="310" w:line="360" w:lineRule="auto"/>
        <w:ind w:left="162"/>
        <w:rPr>
          <w:rFonts w:ascii="宋体" w:hAnsi="宋体" w:cs="宋体"/>
          <w:sz w:val="28"/>
          <w:szCs w:val="28"/>
        </w:rPr>
      </w:pPr>
      <w:bookmarkStart w:id="144" w:name="_bookmark29"/>
      <w:bookmarkEnd w:id="144"/>
      <w:r>
        <w:rPr>
          <w:rFonts w:hint="eastAsia" w:ascii="宋体" w:hAnsi="宋体" w:cs="宋体"/>
          <w:spacing w:val="-6"/>
          <w:sz w:val="28"/>
          <w:szCs w:val="28"/>
        </w:rPr>
        <w:t>1</w:t>
      </w:r>
      <w:r>
        <w:rPr>
          <w:rFonts w:hint="eastAsia" w:ascii="宋体" w:hAnsi="宋体" w:cs="宋体"/>
          <w:spacing w:val="-4"/>
          <w:sz w:val="28"/>
          <w:szCs w:val="28"/>
        </w:rPr>
        <w:t>.</w:t>
      </w:r>
      <w:r>
        <w:rPr>
          <w:rFonts w:hint="eastAsia" w:ascii="宋体" w:hAnsi="宋体" w:cs="宋体"/>
          <w:spacing w:val="-3"/>
          <w:sz w:val="28"/>
          <w:szCs w:val="28"/>
        </w:rPr>
        <w:t>8 计量单位</w:t>
      </w:r>
    </w:p>
    <w:p w14:paraId="26DE6B77">
      <w:pPr>
        <w:spacing w:before="68" w:line="360" w:lineRule="auto"/>
        <w:ind w:left="420"/>
        <w:rPr>
          <w:rFonts w:ascii="宋体" w:hAnsi="宋体" w:cs="宋体"/>
          <w:szCs w:val="21"/>
        </w:rPr>
      </w:pPr>
      <w:bookmarkStart w:id="145" w:name="_bookmark30"/>
      <w:bookmarkEnd w:id="145"/>
      <w:r>
        <w:rPr>
          <w:rFonts w:hint="eastAsia" w:ascii="宋体" w:hAnsi="宋体" w:cs="宋体"/>
          <w:spacing w:val="-1"/>
          <w:position w:val="27"/>
          <w:szCs w:val="21"/>
        </w:rPr>
        <w:t>所有计</w:t>
      </w:r>
      <w:r>
        <w:rPr>
          <w:rFonts w:hint="eastAsia" w:ascii="宋体" w:hAnsi="宋体" w:cs="宋体"/>
          <w:position w:val="27"/>
          <w:szCs w:val="21"/>
        </w:rPr>
        <w:t>量均采用中华人民共和国法定计量单位。</w:t>
      </w:r>
    </w:p>
    <w:p w14:paraId="3DCD88E6">
      <w:pPr>
        <w:spacing w:before="1" w:line="360" w:lineRule="auto"/>
        <w:ind w:left="162"/>
        <w:rPr>
          <w:rFonts w:ascii="宋体" w:hAnsi="宋体" w:cs="宋体"/>
          <w:sz w:val="28"/>
          <w:szCs w:val="28"/>
        </w:rPr>
      </w:pPr>
      <w:r>
        <w:rPr>
          <w:rFonts w:hint="eastAsia" w:ascii="宋体" w:hAnsi="宋体" w:cs="宋体"/>
          <w:spacing w:val="-4"/>
          <w:sz w:val="28"/>
          <w:szCs w:val="28"/>
        </w:rPr>
        <w:t>1</w:t>
      </w:r>
      <w:r>
        <w:rPr>
          <w:rFonts w:hint="eastAsia" w:ascii="宋体" w:hAnsi="宋体" w:cs="宋体"/>
          <w:spacing w:val="-3"/>
          <w:sz w:val="28"/>
          <w:szCs w:val="28"/>
        </w:rPr>
        <w:t>.9  踏勘现场</w:t>
      </w:r>
    </w:p>
    <w:p w14:paraId="1109C323">
      <w:pPr>
        <w:spacing w:before="69" w:line="351" w:lineRule="auto"/>
        <w:ind w:left="8" w:right="2" w:firstLine="429"/>
        <w:rPr>
          <w:rFonts w:ascii="宋体" w:hAnsi="宋体" w:cs="宋体"/>
          <w:szCs w:val="21"/>
        </w:rPr>
      </w:pPr>
      <w:r>
        <w:rPr>
          <w:rFonts w:hint="eastAsia" w:ascii="宋体" w:hAnsi="宋体" w:cs="宋体"/>
          <w:spacing w:val="-8"/>
          <w:szCs w:val="21"/>
        </w:rPr>
        <w:t>1.9.1</w:t>
      </w:r>
      <w:r>
        <w:rPr>
          <w:rFonts w:hint="eastAsia" w:ascii="宋体" w:hAnsi="宋体" w:cs="宋体"/>
          <w:spacing w:val="-6"/>
          <w:szCs w:val="21"/>
        </w:rPr>
        <w:t xml:space="preserve"> </w:t>
      </w:r>
      <w:r>
        <w:rPr>
          <w:rFonts w:hint="eastAsia" w:ascii="宋体" w:hAnsi="宋体" w:cs="宋体"/>
          <w:spacing w:val="-4"/>
          <w:szCs w:val="21"/>
        </w:rPr>
        <w:t xml:space="preserve"> 投标人须知前附表规定组织踏勘现场的，招标人按投标人须知前附表规定的时间、地</w:t>
      </w:r>
      <w:r>
        <w:rPr>
          <w:rFonts w:hint="eastAsia" w:ascii="宋体" w:hAnsi="宋体" w:cs="宋体"/>
          <w:spacing w:val="-10"/>
          <w:szCs w:val="21"/>
        </w:rPr>
        <w:t>点组</w:t>
      </w:r>
      <w:r>
        <w:rPr>
          <w:rFonts w:hint="eastAsia" w:ascii="宋体" w:hAnsi="宋体" w:cs="宋体"/>
          <w:spacing w:val="-8"/>
          <w:szCs w:val="21"/>
        </w:rPr>
        <w:t>织</w:t>
      </w:r>
      <w:r>
        <w:rPr>
          <w:rFonts w:hint="eastAsia" w:ascii="宋体" w:hAnsi="宋体" w:cs="宋体"/>
          <w:spacing w:val="-5"/>
          <w:szCs w:val="21"/>
        </w:rPr>
        <w:t>投标人踏勘项目现场。部分投标人未按时参加踏勘现场的，不影响踏勘现场的正常进行。</w:t>
      </w:r>
    </w:p>
    <w:p w14:paraId="3E8FD88D">
      <w:pPr>
        <w:spacing w:before="1" w:line="220" w:lineRule="auto"/>
        <w:ind w:left="437"/>
        <w:rPr>
          <w:rFonts w:ascii="宋体" w:hAnsi="宋体" w:cs="宋体"/>
          <w:szCs w:val="21"/>
        </w:rPr>
      </w:pPr>
      <w:r>
        <w:rPr>
          <w:rFonts w:hint="eastAsia" w:ascii="宋体" w:hAnsi="宋体" w:cs="宋体"/>
          <w:spacing w:val="-1"/>
          <w:szCs w:val="21"/>
        </w:rPr>
        <w:t>1.9.2  投标人踏勘现场发生的费用自理。</w:t>
      </w:r>
    </w:p>
    <w:p w14:paraId="2F7373F6">
      <w:pPr>
        <w:spacing w:before="149" w:line="221" w:lineRule="auto"/>
        <w:ind w:left="437"/>
        <w:rPr>
          <w:rFonts w:ascii="宋体" w:hAnsi="宋体" w:cs="宋体"/>
          <w:szCs w:val="21"/>
        </w:rPr>
      </w:pPr>
      <w:r>
        <w:rPr>
          <w:rFonts w:hint="eastAsia" w:ascii="宋体" w:hAnsi="宋体" w:cs="宋体"/>
          <w:spacing w:val="-1"/>
          <w:szCs w:val="21"/>
        </w:rPr>
        <w:t>1.9.3  除招标人的原因外，投标人自行负责在踏勘现场中所发生的人</w:t>
      </w:r>
      <w:r>
        <w:rPr>
          <w:rFonts w:hint="eastAsia" w:ascii="宋体" w:hAnsi="宋体" w:cs="宋体"/>
          <w:szCs w:val="21"/>
        </w:rPr>
        <w:t>员伤亡和财产损失。</w:t>
      </w:r>
    </w:p>
    <w:p w14:paraId="7B347CEE">
      <w:pPr>
        <w:spacing w:before="150" w:line="360" w:lineRule="auto"/>
        <w:ind w:firstLine="437"/>
        <w:rPr>
          <w:rFonts w:ascii="宋体" w:hAnsi="宋体" w:cs="宋体"/>
          <w:szCs w:val="21"/>
        </w:rPr>
      </w:pPr>
      <w:r>
        <w:rPr>
          <w:rFonts w:hint="eastAsia" w:ascii="宋体" w:hAnsi="宋体" w:cs="宋体"/>
          <w:spacing w:val="-4"/>
          <w:szCs w:val="21"/>
        </w:rPr>
        <w:t>1.9</w:t>
      </w:r>
      <w:r>
        <w:rPr>
          <w:rFonts w:hint="eastAsia" w:ascii="宋体" w:hAnsi="宋体" w:cs="宋体"/>
          <w:spacing w:val="-2"/>
          <w:szCs w:val="21"/>
        </w:rPr>
        <w:t>.4  招标人在踏勘现场中介绍的工程场地和相关的周边环境情况，供投标人在编制投标文</w:t>
      </w:r>
      <w:bookmarkStart w:id="146" w:name="_bookmark31"/>
      <w:bookmarkEnd w:id="146"/>
      <w:r>
        <w:rPr>
          <w:rFonts w:hint="eastAsia" w:ascii="宋体" w:hAnsi="宋体" w:cs="宋体"/>
          <w:spacing w:val="-4"/>
          <w:szCs w:val="21"/>
        </w:rPr>
        <w:t>件时参考，招标人不对投标人据此作出的判断和决策负责</w:t>
      </w:r>
      <w:r>
        <w:rPr>
          <w:rFonts w:hint="eastAsia" w:ascii="宋体" w:hAnsi="宋体" w:cs="宋体"/>
          <w:spacing w:val="-2"/>
          <w:szCs w:val="21"/>
        </w:rPr>
        <w:t>。</w:t>
      </w:r>
    </w:p>
    <w:p w14:paraId="27A9AB20">
      <w:pPr>
        <w:spacing w:before="142" w:line="360" w:lineRule="auto"/>
        <w:ind w:left="162"/>
        <w:rPr>
          <w:rFonts w:ascii="宋体" w:hAnsi="宋体" w:cs="宋体"/>
          <w:sz w:val="28"/>
          <w:szCs w:val="28"/>
        </w:rPr>
      </w:pPr>
      <w:r>
        <w:rPr>
          <w:rFonts w:hint="eastAsia" w:ascii="宋体" w:hAnsi="宋体" w:cs="宋体"/>
          <w:spacing w:val="-3"/>
          <w:sz w:val="28"/>
          <w:szCs w:val="28"/>
        </w:rPr>
        <w:t>1.10 投标预备</w:t>
      </w:r>
      <w:r>
        <w:rPr>
          <w:rFonts w:hint="eastAsia" w:ascii="宋体" w:hAnsi="宋体" w:cs="宋体"/>
          <w:spacing w:val="-2"/>
          <w:sz w:val="28"/>
          <w:szCs w:val="28"/>
        </w:rPr>
        <w:t>会</w:t>
      </w:r>
    </w:p>
    <w:p w14:paraId="3316BD6C">
      <w:pPr>
        <w:spacing w:before="70" w:line="360" w:lineRule="auto"/>
        <w:ind w:left="1" w:right="3" w:firstLine="435"/>
        <w:rPr>
          <w:rFonts w:ascii="宋体" w:hAnsi="宋体" w:cs="宋体"/>
          <w:szCs w:val="21"/>
        </w:rPr>
      </w:pPr>
      <w:r>
        <w:rPr>
          <w:rFonts w:hint="eastAsia" w:ascii="宋体" w:hAnsi="宋体" w:cs="宋体"/>
          <w:spacing w:val="1"/>
          <w:szCs w:val="21"/>
        </w:rPr>
        <w:t xml:space="preserve">1.10.1  </w:t>
      </w:r>
      <w:r>
        <w:rPr>
          <w:rFonts w:hint="eastAsia" w:ascii="宋体" w:hAnsi="宋体" w:cs="宋体"/>
          <w:szCs w:val="21"/>
        </w:rPr>
        <w:t>投标人须知前附表规定召开投标预备会的，招标人按投标人须知前附表规定的时间</w:t>
      </w:r>
      <w:r>
        <w:rPr>
          <w:rFonts w:hint="eastAsia" w:ascii="宋体" w:hAnsi="宋体" w:cs="宋体"/>
          <w:spacing w:val="-10"/>
          <w:szCs w:val="21"/>
        </w:rPr>
        <w:t>和</w:t>
      </w:r>
      <w:r>
        <w:rPr>
          <w:rFonts w:hint="eastAsia" w:ascii="宋体" w:hAnsi="宋体" w:cs="宋体"/>
          <w:spacing w:val="-9"/>
          <w:szCs w:val="21"/>
        </w:rPr>
        <w:t>地</w:t>
      </w:r>
      <w:r>
        <w:rPr>
          <w:rFonts w:hint="eastAsia" w:ascii="宋体" w:hAnsi="宋体" w:cs="宋体"/>
          <w:spacing w:val="-5"/>
          <w:szCs w:val="21"/>
        </w:rPr>
        <w:t>点召开投标预备会，澄清投标人提出的问题。</w:t>
      </w:r>
    </w:p>
    <w:p w14:paraId="0A6DA710">
      <w:pPr>
        <w:spacing w:line="360" w:lineRule="auto"/>
        <w:ind w:left="1" w:right="2" w:firstLine="435"/>
        <w:rPr>
          <w:rFonts w:ascii="宋体" w:hAnsi="宋体" w:cs="宋体"/>
          <w:szCs w:val="21"/>
        </w:rPr>
      </w:pPr>
      <w:r>
        <w:rPr>
          <w:rFonts w:hint="eastAsia" w:ascii="宋体" w:hAnsi="宋体" w:cs="宋体"/>
          <w:spacing w:val="1"/>
          <w:szCs w:val="21"/>
        </w:rPr>
        <w:t xml:space="preserve">1.10.2  </w:t>
      </w:r>
      <w:r>
        <w:rPr>
          <w:rFonts w:hint="eastAsia" w:ascii="宋体" w:hAnsi="宋体" w:cs="宋体"/>
          <w:szCs w:val="21"/>
        </w:rPr>
        <w:t>投标人应按投标人须知前附表规定的时间和形式将提出的问题送达招标人，以便招</w:t>
      </w:r>
      <w:r>
        <w:rPr>
          <w:rFonts w:hint="eastAsia" w:ascii="宋体" w:hAnsi="宋体" w:cs="宋体"/>
          <w:spacing w:val="-1"/>
          <w:szCs w:val="21"/>
        </w:rPr>
        <w:t>标人在会议期</w:t>
      </w:r>
      <w:r>
        <w:rPr>
          <w:rFonts w:hint="eastAsia" w:ascii="宋体" w:hAnsi="宋体" w:cs="宋体"/>
          <w:szCs w:val="21"/>
        </w:rPr>
        <w:t>间澄清。</w:t>
      </w:r>
    </w:p>
    <w:p w14:paraId="2BAEC796">
      <w:pPr>
        <w:spacing w:line="360" w:lineRule="auto"/>
        <w:ind w:left="1" w:right="2" w:firstLine="435"/>
        <w:rPr>
          <w:rFonts w:ascii="宋体" w:hAnsi="宋体" w:cs="宋体"/>
          <w:spacing w:val="1"/>
          <w:szCs w:val="21"/>
        </w:rPr>
      </w:pPr>
      <w:r>
        <w:rPr>
          <w:rFonts w:hint="eastAsia" w:ascii="宋体" w:hAnsi="宋体" w:cs="宋体"/>
          <w:spacing w:val="1"/>
          <w:szCs w:val="21"/>
        </w:rPr>
        <w:t>1.10.3  投标预备会后，招标人将对投标人所提问题的澄清，以投标人须知前附表规定的形式通知所有购买招标文件的投标人。该澄清内容为招标文件的组成部分。</w:t>
      </w:r>
      <w:bookmarkStart w:id="147" w:name="_bookmark32"/>
      <w:bookmarkEnd w:id="147"/>
    </w:p>
    <w:p w14:paraId="6B2B96DD">
      <w:pPr>
        <w:spacing w:before="133" w:line="360" w:lineRule="auto"/>
        <w:ind w:left="161"/>
        <w:rPr>
          <w:rFonts w:ascii="宋体" w:hAnsi="宋体" w:cs="宋体"/>
          <w:sz w:val="28"/>
          <w:szCs w:val="28"/>
        </w:rPr>
      </w:pPr>
      <w:r>
        <w:rPr>
          <w:rFonts w:hint="eastAsia" w:ascii="宋体" w:hAnsi="宋体" w:cs="宋体"/>
          <w:spacing w:val="-7"/>
          <w:sz w:val="28"/>
          <w:szCs w:val="28"/>
        </w:rPr>
        <w:t>1</w:t>
      </w:r>
      <w:r>
        <w:rPr>
          <w:rFonts w:hint="eastAsia" w:ascii="宋体" w:hAnsi="宋体" w:cs="宋体"/>
          <w:spacing w:val="-4"/>
          <w:sz w:val="28"/>
          <w:szCs w:val="28"/>
        </w:rPr>
        <w:t>.11  分包</w:t>
      </w:r>
    </w:p>
    <w:p w14:paraId="0247802B">
      <w:pPr>
        <w:spacing w:before="68" w:line="360" w:lineRule="auto"/>
        <w:ind w:left="421"/>
        <w:rPr>
          <w:rFonts w:ascii="宋体" w:hAnsi="宋体" w:cs="宋体"/>
          <w:szCs w:val="21"/>
        </w:rPr>
      </w:pPr>
      <w:bookmarkStart w:id="148" w:name="_bookmark33"/>
      <w:bookmarkEnd w:id="148"/>
      <w:r>
        <w:rPr>
          <w:rFonts w:hint="eastAsia" w:ascii="宋体" w:hAnsi="宋体" w:cs="宋体"/>
          <w:spacing w:val="-1"/>
          <w:position w:val="27"/>
          <w:szCs w:val="21"/>
        </w:rPr>
        <w:t>本项目严禁分</w:t>
      </w:r>
      <w:r>
        <w:rPr>
          <w:rFonts w:hint="eastAsia" w:ascii="宋体" w:hAnsi="宋体" w:cs="宋体"/>
          <w:position w:val="27"/>
          <w:szCs w:val="21"/>
        </w:rPr>
        <w:t>包。</w:t>
      </w:r>
    </w:p>
    <w:p w14:paraId="0C0CAA0C">
      <w:pPr>
        <w:spacing w:line="360" w:lineRule="auto"/>
        <w:ind w:left="161"/>
        <w:rPr>
          <w:rFonts w:ascii="宋体" w:hAnsi="宋体" w:cs="宋体"/>
          <w:sz w:val="28"/>
          <w:szCs w:val="28"/>
        </w:rPr>
      </w:pPr>
      <w:r>
        <w:rPr>
          <w:rFonts w:hint="eastAsia" w:ascii="宋体" w:hAnsi="宋体" w:cs="宋体"/>
          <w:spacing w:val="-4"/>
          <w:sz w:val="28"/>
          <w:szCs w:val="28"/>
        </w:rPr>
        <w:t>1.1</w:t>
      </w:r>
      <w:r>
        <w:rPr>
          <w:rFonts w:hint="eastAsia" w:ascii="宋体" w:hAnsi="宋体" w:cs="宋体"/>
          <w:spacing w:val="-3"/>
          <w:sz w:val="28"/>
          <w:szCs w:val="28"/>
        </w:rPr>
        <w:t>2</w:t>
      </w:r>
      <w:r>
        <w:rPr>
          <w:rFonts w:hint="eastAsia" w:ascii="宋体" w:hAnsi="宋体" w:cs="宋体"/>
          <w:spacing w:val="-2"/>
          <w:sz w:val="28"/>
          <w:szCs w:val="28"/>
        </w:rPr>
        <w:t xml:space="preserve"> 响应和偏差</w:t>
      </w:r>
    </w:p>
    <w:p w14:paraId="5CE43938">
      <w:pPr>
        <w:spacing w:before="68" w:line="360" w:lineRule="auto"/>
        <w:ind w:left="7" w:firstLine="429"/>
        <w:rPr>
          <w:rFonts w:ascii="宋体" w:hAnsi="宋体" w:cs="宋体"/>
          <w:szCs w:val="21"/>
        </w:rPr>
      </w:pPr>
      <w:r>
        <w:rPr>
          <w:rFonts w:hint="eastAsia" w:ascii="宋体" w:hAnsi="宋体" w:cs="宋体"/>
          <w:spacing w:val="-2"/>
          <w:szCs w:val="21"/>
        </w:rPr>
        <w:t>1.12.1  投标文件应当对招标文件的实质性要求和条件作出满足性或更有利于招标人的响应</w:t>
      </w:r>
      <w:r>
        <w:rPr>
          <w:rFonts w:hint="eastAsia" w:ascii="宋体" w:hAnsi="宋体" w:cs="宋体"/>
          <w:spacing w:val="-1"/>
          <w:szCs w:val="21"/>
        </w:rPr>
        <w:t>，</w:t>
      </w:r>
      <w:r>
        <w:rPr>
          <w:rFonts w:hint="eastAsia" w:ascii="宋体" w:hAnsi="宋体" w:cs="宋体"/>
          <w:spacing w:val="-6"/>
          <w:szCs w:val="21"/>
        </w:rPr>
        <w:t>否则，</w:t>
      </w:r>
      <w:r>
        <w:rPr>
          <w:rFonts w:hint="eastAsia" w:ascii="宋体" w:hAnsi="宋体" w:cs="宋体"/>
          <w:spacing w:val="-5"/>
          <w:szCs w:val="21"/>
        </w:rPr>
        <w:t>投</w:t>
      </w:r>
      <w:r>
        <w:rPr>
          <w:rFonts w:hint="eastAsia" w:ascii="宋体" w:hAnsi="宋体" w:cs="宋体"/>
          <w:spacing w:val="-3"/>
          <w:szCs w:val="21"/>
        </w:rPr>
        <w:t>标人的投标将被否决。实质性要求和条件见投标人须知前附表。</w:t>
      </w:r>
    </w:p>
    <w:p w14:paraId="3A740648">
      <w:pPr>
        <w:spacing w:line="219" w:lineRule="auto"/>
        <w:ind w:left="436"/>
        <w:rPr>
          <w:rFonts w:ascii="宋体" w:hAnsi="宋体" w:cs="宋体"/>
          <w:szCs w:val="21"/>
        </w:rPr>
      </w:pPr>
      <w:r>
        <w:rPr>
          <w:rFonts w:hint="eastAsia" w:ascii="宋体" w:hAnsi="宋体" w:cs="宋体"/>
          <w:spacing w:val="-1"/>
          <w:szCs w:val="21"/>
        </w:rPr>
        <w:t>1.12.2  投标人应根据招标文件的要求提供投标监理大纲等内容</w:t>
      </w:r>
      <w:r>
        <w:rPr>
          <w:rFonts w:hint="eastAsia" w:ascii="宋体" w:hAnsi="宋体" w:cs="宋体"/>
          <w:szCs w:val="21"/>
        </w:rPr>
        <w:t>以对招标文件作出响应。</w:t>
      </w:r>
    </w:p>
    <w:p w14:paraId="1021C6C2">
      <w:pPr>
        <w:spacing w:before="149" w:line="361" w:lineRule="auto"/>
        <w:ind w:left="1" w:right="64" w:firstLine="449"/>
        <w:rPr>
          <w:rFonts w:ascii="宋体" w:hAnsi="宋体" w:cs="宋体"/>
          <w:szCs w:val="21"/>
        </w:rPr>
      </w:pPr>
      <w:r>
        <w:rPr>
          <w:rFonts w:hint="eastAsia" w:ascii="宋体" w:hAnsi="宋体" w:cs="宋体"/>
          <w:spacing w:val="-4"/>
          <w:szCs w:val="21"/>
        </w:rPr>
        <w:t>1.12.3  投标人须</w:t>
      </w:r>
      <w:r>
        <w:rPr>
          <w:rFonts w:hint="eastAsia" w:ascii="宋体" w:hAnsi="宋体" w:cs="宋体"/>
          <w:spacing w:val="-2"/>
          <w:szCs w:val="21"/>
        </w:rPr>
        <w:t>知前附表允许投标文件偏离招标文件某些要求的，偏差应当符合招标文件规定的偏差范围和幅度</w:t>
      </w:r>
      <w:r>
        <w:rPr>
          <w:rFonts w:hint="eastAsia" w:ascii="宋体" w:hAnsi="宋体" w:cs="宋体"/>
          <w:spacing w:val="-1"/>
          <w:szCs w:val="21"/>
        </w:rPr>
        <w:t>。</w:t>
      </w:r>
    </w:p>
    <w:p w14:paraId="7AD2C8B4">
      <w:pPr>
        <w:spacing w:before="149" w:line="360" w:lineRule="auto"/>
        <w:outlineLvl w:val="0"/>
        <w:rPr>
          <w:rFonts w:ascii="宋体" w:hAnsi="宋体" w:cs="宋体"/>
          <w:sz w:val="31"/>
          <w:szCs w:val="31"/>
        </w:rPr>
      </w:pPr>
      <w:bookmarkStart w:id="149" w:name="_bookmark35"/>
      <w:bookmarkEnd w:id="149"/>
      <w:bookmarkStart w:id="150" w:name="_bookmark34"/>
      <w:bookmarkEnd w:id="150"/>
      <w:bookmarkStart w:id="151" w:name="_Toc19282"/>
      <w:bookmarkStart w:id="152" w:name="_Toc26818"/>
      <w:bookmarkStart w:id="153" w:name="_Toc3345"/>
      <w:bookmarkStart w:id="154" w:name="_Toc8547"/>
      <w:bookmarkStart w:id="155" w:name="_Toc6824"/>
      <w:bookmarkStart w:id="156" w:name="_Toc13954"/>
      <w:bookmarkStart w:id="157" w:name="_Toc21022"/>
      <w:bookmarkStart w:id="158" w:name="_Toc6688"/>
      <w:bookmarkStart w:id="159" w:name="_Toc300"/>
      <w:bookmarkStart w:id="160" w:name="_Toc21500"/>
      <w:bookmarkStart w:id="161" w:name="_Toc4355"/>
      <w:bookmarkStart w:id="162" w:name="_Toc3562"/>
      <w:bookmarkStart w:id="163" w:name="_Toc24455"/>
      <w:bookmarkStart w:id="164" w:name="_Toc21907"/>
      <w:r>
        <w:rPr>
          <w:rFonts w:hint="eastAsia" w:ascii="宋体" w:hAnsi="宋体" w:cs="宋体"/>
          <w:b/>
          <w:bCs/>
          <w:spacing w:val="7"/>
          <w:sz w:val="31"/>
          <w:szCs w:val="31"/>
        </w:rPr>
        <w:t>2</w:t>
      </w:r>
      <w:r>
        <w:rPr>
          <w:rFonts w:hint="eastAsia" w:ascii="宋体" w:hAnsi="宋体" w:cs="宋体"/>
          <w:b/>
          <w:bCs/>
          <w:spacing w:val="6"/>
          <w:sz w:val="31"/>
          <w:szCs w:val="31"/>
        </w:rPr>
        <w:t>.</w:t>
      </w:r>
      <w:r>
        <w:rPr>
          <w:rFonts w:hint="eastAsia" w:ascii="宋体" w:hAnsi="宋体" w:cs="宋体"/>
          <w:spacing w:val="6"/>
          <w:sz w:val="31"/>
          <w:szCs w:val="31"/>
        </w:rPr>
        <w:t xml:space="preserve">  招标文件</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036AA57E">
      <w:pPr>
        <w:spacing w:before="91" w:line="360" w:lineRule="auto"/>
        <w:ind w:left="135"/>
        <w:rPr>
          <w:rFonts w:ascii="宋体" w:hAnsi="宋体" w:cs="宋体"/>
          <w:sz w:val="28"/>
          <w:szCs w:val="28"/>
        </w:rPr>
      </w:pPr>
      <w:r>
        <w:rPr>
          <w:rFonts w:hint="eastAsia" w:ascii="宋体" w:hAnsi="宋体" w:cs="宋体"/>
          <w:spacing w:val="-1"/>
          <w:sz w:val="28"/>
          <w:szCs w:val="28"/>
        </w:rPr>
        <w:t>2.1</w:t>
      </w:r>
      <w:r>
        <w:rPr>
          <w:rFonts w:hint="eastAsia" w:ascii="宋体" w:hAnsi="宋体" w:cs="宋体"/>
          <w:sz w:val="28"/>
          <w:szCs w:val="28"/>
        </w:rPr>
        <w:t xml:space="preserve">  招标文件的组成</w:t>
      </w:r>
    </w:p>
    <w:p w14:paraId="2D5B8F3E">
      <w:pPr>
        <w:spacing w:before="69" w:line="220" w:lineRule="auto"/>
        <w:ind w:left="361"/>
        <w:rPr>
          <w:rFonts w:ascii="宋体" w:hAnsi="宋体" w:cs="宋体"/>
          <w:szCs w:val="21"/>
        </w:rPr>
      </w:pPr>
      <w:r>
        <w:rPr>
          <w:rFonts w:hint="eastAsia" w:ascii="宋体" w:hAnsi="宋体" w:cs="宋体"/>
          <w:spacing w:val="-1"/>
          <w:szCs w:val="21"/>
        </w:rPr>
        <w:t>本招标文件包</w:t>
      </w:r>
      <w:r>
        <w:rPr>
          <w:rFonts w:hint="eastAsia" w:ascii="宋体" w:hAnsi="宋体" w:cs="宋体"/>
          <w:szCs w:val="21"/>
        </w:rPr>
        <w:t>括：</w:t>
      </w:r>
    </w:p>
    <w:p w14:paraId="2C930767">
      <w:pPr>
        <w:spacing w:before="148" w:line="219" w:lineRule="auto"/>
        <w:ind w:left="366"/>
        <w:rPr>
          <w:rFonts w:ascii="宋体" w:hAnsi="宋体" w:cs="宋体"/>
          <w:szCs w:val="21"/>
        </w:rPr>
      </w:pPr>
      <w:r>
        <w:rPr>
          <w:rFonts w:hint="eastAsia" w:ascii="宋体" w:hAnsi="宋体" w:cs="宋体"/>
          <w:spacing w:val="11"/>
          <w:szCs w:val="21"/>
        </w:rPr>
        <w:t>(1) 招标公告(或投标邀请书)</w:t>
      </w:r>
      <w:r>
        <w:rPr>
          <w:rFonts w:hint="eastAsia" w:ascii="宋体" w:hAnsi="宋体" w:cs="宋体"/>
          <w:spacing w:val="8"/>
          <w:szCs w:val="21"/>
        </w:rPr>
        <w:t>；</w:t>
      </w:r>
    </w:p>
    <w:p w14:paraId="1F8FD801">
      <w:pPr>
        <w:spacing w:before="152" w:line="221" w:lineRule="auto"/>
        <w:ind w:left="366"/>
        <w:rPr>
          <w:rFonts w:ascii="宋体" w:hAnsi="宋体" w:cs="宋体"/>
          <w:szCs w:val="21"/>
        </w:rPr>
      </w:pPr>
      <w:r>
        <w:rPr>
          <w:rFonts w:hint="eastAsia" w:ascii="宋体" w:hAnsi="宋体" w:cs="宋体"/>
          <w:spacing w:val="7"/>
          <w:szCs w:val="21"/>
        </w:rPr>
        <w:t>(2) 投标人须知</w:t>
      </w:r>
      <w:r>
        <w:rPr>
          <w:rFonts w:hint="eastAsia" w:ascii="宋体" w:hAnsi="宋体" w:cs="宋体"/>
          <w:spacing w:val="6"/>
          <w:szCs w:val="21"/>
        </w:rPr>
        <w:t>；</w:t>
      </w:r>
    </w:p>
    <w:p w14:paraId="6C5E732E">
      <w:pPr>
        <w:spacing w:before="149" w:line="221" w:lineRule="auto"/>
        <w:ind w:left="366"/>
        <w:rPr>
          <w:rFonts w:ascii="宋体" w:hAnsi="宋体" w:cs="宋体"/>
          <w:szCs w:val="21"/>
        </w:rPr>
      </w:pPr>
      <w:r>
        <w:rPr>
          <w:rFonts w:hint="eastAsia" w:ascii="宋体" w:hAnsi="宋体" w:cs="宋体"/>
          <w:spacing w:val="13"/>
          <w:szCs w:val="21"/>
        </w:rPr>
        <w:t>(</w:t>
      </w:r>
      <w:r>
        <w:rPr>
          <w:rFonts w:hint="eastAsia" w:ascii="宋体" w:hAnsi="宋体" w:cs="宋体"/>
          <w:spacing w:val="10"/>
          <w:szCs w:val="21"/>
        </w:rPr>
        <w:t>3) 评标办法；</w:t>
      </w:r>
    </w:p>
    <w:p w14:paraId="7E759D39">
      <w:pPr>
        <w:spacing w:before="147" w:line="221" w:lineRule="auto"/>
        <w:ind w:left="366"/>
        <w:rPr>
          <w:rFonts w:ascii="宋体" w:hAnsi="宋体" w:cs="宋体"/>
          <w:szCs w:val="21"/>
        </w:rPr>
      </w:pPr>
      <w:r>
        <w:rPr>
          <w:rFonts w:hint="eastAsia" w:ascii="宋体" w:hAnsi="宋体" w:cs="宋体"/>
          <w:spacing w:val="10"/>
          <w:szCs w:val="21"/>
        </w:rPr>
        <w:t>(</w:t>
      </w:r>
      <w:r>
        <w:rPr>
          <w:rFonts w:hint="eastAsia" w:ascii="宋体" w:hAnsi="宋体" w:cs="宋体"/>
          <w:spacing w:val="9"/>
          <w:szCs w:val="21"/>
        </w:rPr>
        <w:t>4</w:t>
      </w:r>
      <w:r>
        <w:rPr>
          <w:rFonts w:hint="eastAsia" w:ascii="宋体" w:hAnsi="宋体" w:cs="宋体"/>
          <w:spacing w:val="5"/>
          <w:szCs w:val="21"/>
        </w:rPr>
        <w:t>) 合同条款及格式；</w:t>
      </w:r>
    </w:p>
    <w:p w14:paraId="011D9B1B">
      <w:pPr>
        <w:spacing w:before="150" w:line="222" w:lineRule="auto"/>
        <w:ind w:left="366"/>
        <w:rPr>
          <w:rFonts w:ascii="宋体" w:hAnsi="宋体" w:cs="宋体"/>
          <w:szCs w:val="21"/>
        </w:rPr>
      </w:pPr>
      <w:r>
        <w:rPr>
          <w:rFonts w:hint="eastAsia" w:ascii="宋体" w:hAnsi="宋体" w:cs="宋体"/>
          <w:spacing w:val="11"/>
          <w:szCs w:val="21"/>
        </w:rPr>
        <w:t>(</w:t>
      </w:r>
      <w:r>
        <w:rPr>
          <w:rFonts w:hint="eastAsia" w:ascii="宋体" w:hAnsi="宋体" w:cs="宋体"/>
          <w:spacing w:val="9"/>
          <w:szCs w:val="21"/>
        </w:rPr>
        <w:t>5) 委托人要求；</w:t>
      </w:r>
    </w:p>
    <w:p w14:paraId="67D416F9">
      <w:pPr>
        <w:spacing w:before="147" w:line="221" w:lineRule="auto"/>
        <w:ind w:left="366"/>
        <w:rPr>
          <w:rFonts w:ascii="宋体" w:hAnsi="宋体" w:cs="宋体"/>
          <w:szCs w:val="21"/>
        </w:rPr>
      </w:pPr>
      <w:r>
        <w:rPr>
          <w:rFonts w:hint="eastAsia" w:ascii="宋体" w:hAnsi="宋体" w:cs="宋体"/>
          <w:spacing w:val="13"/>
          <w:szCs w:val="21"/>
        </w:rPr>
        <w:t>(</w:t>
      </w:r>
      <w:r>
        <w:rPr>
          <w:rFonts w:hint="eastAsia" w:ascii="宋体" w:hAnsi="宋体" w:cs="宋体"/>
          <w:spacing w:val="8"/>
          <w:szCs w:val="21"/>
        </w:rPr>
        <w:t>6) 投标文件格式；</w:t>
      </w:r>
    </w:p>
    <w:p w14:paraId="4E824931">
      <w:pPr>
        <w:spacing w:before="148" w:line="220" w:lineRule="auto"/>
        <w:ind w:left="366"/>
        <w:rPr>
          <w:rFonts w:ascii="宋体" w:hAnsi="宋体" w:cs="宋体"/>
          <w:szCs w:val="21"/>
        </w:rPr>
      </w:pPr>
      <w:r>
        <w:rPr>
          <w:rFonts w:hint="eastAsia" w:ascii="宋体" w:hAnsi="宋体" w:cs="宋体"/>
          <w:spacing w:val="4"/>
          <w:szCs w:val="21"/>
        </w:rPr>
        <w:t>(7) 投标人须知前附表规定的其他资料</w:t>
      </w:r>
      <w:r>
        <w:rPr>
          <w:rFonts w:hint="eastAsia" w:ascii="宋体" w:hAnsi="宋体" w:cs="宋体"/>
          <w:spacing w:val="2"/>
          <w:szCs w:val="21"/>
        </w:rPr>
        <w:t>。</w:t>
      </w:r>
    </w:p>
    <w:p w14:paraId="773EAFF8">
      <w:pPr>
        <w:spacing w:before="152" w:line="361" w:lineRule="auto"/>
        <w:ind w:left="3" w:right="59" w:firstLine="417"/>
        <w:rPr>
          <w:rFonts w:ascii="宋体" w:hAnsi="宋体" w:cs="宋体"/>
          <w:szCs w:val="21"/>
        </w:rPr>
      </w:pPr>
      <w:r>
        <w:rPr>
          <w:rFonts w:hint="eastAsia" w:ascii="宋体" w:hAnsi="宋体" w:cs="宋体"/>
          <w:spacing w:val="-2"/>
          <w:szCs w:val="21"/>
        </w:rPr>
        <w:t>根据本章第 1.10 款、第 2.2 款和第 2.3 款对</w:t>
      </w:r>
      <w:r>
        <w:rPr>
          <w:rFonts w:hint="eastAsia" w:ascii="宋体" w:hAnsi="宋体" w:cs="宋体"/>
          <w:spacing w:val="-1"/>
          <w:szCs w:val="21"/>
        </w:rPr>
        <w:t>招标文件所作的澄清、修改，构成招标文件的</w:t>
      </w:r>
      <w:bookmarkStart w:id="165" w:name="_bookmark36"/>
      <w:bookmarkEnd w:id="165"/>
      <w:r>
        <w:rPr>
          <w:rFonts w:hint="eastAsia" w:ascii="宋体" w:hAnsi="宋体" w:cs="宋体"/>
          <w:spacing w:val="-7"/>
          <w:szCs w:val="21"/>
        </w:rPr>
        <w:t>组</w:t>
      </w:r>
      <w:r>
        <w:rPr>
          <w:rFonts w:hint="eastAsia" w:ascii="宋体" w:hAnsi="宋体" w:cs="宋体"/>
          <w:spacing w:val="-4"/>
          <w:szCs w:val="21"/>
        </w:rPr>
        <w:t>成部分。</w:t>
      </w:r>
    </w:p>
    <w:p w14:paraId="3AF1AEC3">
      <w:pPr>
        <w:spacing w:before="138" w:line="360" w:lineRule="auto"/>
        <w:ind w:left="135"/>
        <w:rPr>
          <w:rFonts w:ascii="宋体" w:hAnsi="宋体" w:cs="宋体"/>
          <w:sz w:val="28"/>
          <w:szCs w:val="28"/>
        </w:rPr>
      </w:pPr>
      <w:r>
        <w:rPr>
          <w:rFonts w:hint="eastAsia" w:ascii="宋体" w:hAnsi="宋体" w:cs="宋体"/>
          <w:spacing w:val="-1"/>
          <w:sz w:val="28"/>
          <w:szCs w:val="28"/>
        </w:rPr>
        <w:t>2.2</w:t>
      </w:r>
      <w:r>
        <w:rPr>
          <w:rFonts w:hint="eastAsia" w:ascii="宋体" w:hAnsi="宋体" w:cs="宋体"/>
          <w:sz w:val="28"/>
          <w:szCs w:val="28"/>
        </w:rPr>
        <w:t xml:space="preserve">  招标文件的澄清</w:t>
      </w:r>
    </w:p>
    <w:p w14:paraId="64CA3772">
      <w:pPr>
        <w:spacing w:before="69" w:line="352" w:lineRule="auto"/>
        <w:ind w:left="1" w:right="59" w:firstLine="415"/>
        <w:rPr>
          <w:rFonts w:ascii="宋体" w:hAnsi="宋体" w:cs="宋体"/>
          <w:szCs w:val="21"/>
        </w:rPr>
      </w:pPr>
      <w:r>
        <w:rPr>
          <w:rFonts w:hint="eastAsia" w:ascii="宋体" w:hAnsi="宋体" w:cs="宋体"/>
          <w:spacing w:val="-4"/>
          <w:szCs w:val="21"/>
        </w:rPr>
        <w:t>2.2.1  投标人应仔细阅读和检查招标文件的全部内容。如发现缺页或附件不全，应及时向</w:t>
      </w:r>
      <w:r>
        <w:rPr>
          <w:rFonts w:hint="eastAsia" w:ascii="宋体" w:hAnsi="宋体" w:cs="宋体"/>
          <w:spacing w:val="-3"/>
          <w:szCs w:val="21"/>
        </w:rPr>
        <w:t>招</w:t>
      </w:r>
      <w:r>
        <w:rPr>
          <w:rFonts w:hint="eastAsia" w:ascii="宋体" w:hAnsi="宋体" w:cs="宋体"/>
          <w:spacing w:val="1"/>
          <w:szCs w:val="21"/>
        </w:rPr>
        <w:t>标人提出，以便补齐。如有疑问，应按投标人须知前</w:t>
      </w:r>
      <w:r>
        <w:rPr>
          <w:rFonts w:hint="eastAsia" w:ascii="宋体" w:hAnsi="宋体" w:cs="宋体"/>
          <w:szCs w:val="21"/>
        </w:rPr>
        <w:t>附表规定的时间和形式将提出的问题送达</w:t>
      </w:r>
      <w:r>
        <w:rPr>
          <w:rFonts w:hint="eastAsia" w:ascii="宋体" w:hAnsi="宋体" w:cs="宋体"/>
          <w:spacing w:val="-1"/>
          <w:szCs w:val="21"/>
        </w:rPr>
        <w:t>招标人，</w:t>
      </w:r>
      <w:r>
        <w:rPr>
          <w:rFonts w:hint="eastAsia" w:ascii="宋体" w:hAnsi="宋体" w:cs="宋体"/>
          <w:szCs w:val="21"/>
        </w:rPr>
        <w:t>要求招标人对招标文件予以澄清。</w:t>
      </w:r>
    </w:p>
    <w:p w14:paraId="3CBDEAA1">
      <w:pPr>
        <w:spacing w:before="69" w:line="352" w:lineRule="auto"/>
        <w:ind w:left="1" w:right="59" w:firstLine="415"/>
        <w:rPr>
          <w:rFonts w:ascii="宋体" w:hAnsi="宋体" w:cs="宋体"/>
          <w:spacing w:val="-4"/>
          <w:szCs w:val="21"/>
        </w:rPr>
      </w:pPr>
      <w:r>
        <w:rPr>
          <w:rFonts w:hint="eastAsia" w:ascii="宋体" w:hAnsi="宋体" w:cs="宋体"/>
          <w:spacing w:val="-4"/>
          <w:szCs w:val="21"/>
        </w:rPr>
        <w:t>2.2.2招标文件的澄清以投标人须知前附表规定的形式发给所有购买招标文件的投标人，但不指明澄清问题的来源。澄清发出的时间距本章第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w:t>
      </w:r>
    </w:p>
    <w:p w14:paraId="5CDEF0A3">
      <w:pPr>
        <w:spacing w:before="150" w:line="351" w:lineRule="auto"/>
        <w:ind w:left="10" w:right="2" w:firstLine="408"/>
        <w:rPr>
          <w:rFonts w:ascii="宋体" w:hAnsi="宋体" w:cs="宋体"/>
          <w:szCs w:val="21"/>
        </w:rPr>
      </w:pPr>
      <w:r>
        <w:rPr>
          <w:rFonts w:hint="eastAsia" w:ascii="宋体" w:hAnsi="宋体" w:cs="宋体"/>
          <w:spacing w:val="-5"/>
          <w:szCs w:val="21"/>
        </w:rPr>
        <w:t>2</w:t>
      </w:r>
      <w:r>
        <w:rPr>
          <w:rFonts w:hint="eastAsia" w:ascii="宋体" w:hAnsi="宋体" w:cs="宋体"/>
          <w:spacing w:val="-4"/>
          <w:szCs w:val="21"/>
        </w:rPr>
        <w:t>.2.3  投标人在收到澄清后，应按投标人须知前附表规定的时间和形式通知招标人，确认已</w:t>
      </w:r>
      <w:r>
        <w:rPr>
          <w:rFonts w:hint="eastAsia" w:ascii="宋体" w:hAnsi="宋体" w:cs="宋体"/>
          <w:spacing w:val="-2"/>
          <w:szCs w:val="21"/>
        </w:rPr>
        <w:t>收到该澄清。</w:t>
      </w:r>
    </w:p>
    <w:p w14:paraId="6FC2885C">
      <w:pPr>
        <w:spacing w:before="1" w:line="361" w:lineRule="auto"/>
        <w:ind w:left="3" w:firstLine="415"/>
        <w:rPr>
          <w:rFonts w:ascii="宋体" w:hAnsi="宋体" w:cs="宋体"/>
          <w:szCs w:val="21"/>
        </w:rPr>
      </w:pPr>
      <w:r>
        <w:rPr>
          <w:rFonts w:hint="eastAsia" w:ascii="宋体" w:hAnsi="宋体" w:cs="宋体"/>
          <w:spacing w:val="-4"/>
          <w:szCs w:val="21"/>
        </w:rPr>
        <w:t>2.2.4  除非招标人认为</w:t>
      </w:r>
      <w:r>
        <w:rPr>
          <w:rFonts w:hint="eastAsia" w:ascii="宋体" w:hAnsi="宋体" w:cs="宋体"/>
          <w:spacing w:val="-2"/>
          <w:szCs w:val="21"/>
        </w:rPr>
        <w:t>确有必要答复，否则，招标人有权拒绝回复投标人在本章第 2.2.1 项</w:t>
      </w:r>
      <w:bookmarkStart w:id="166" w:name="_bookmark37"/>
      <w:bookmarkEnd w:id="166"/>
      <w:r>
        <w:rPr>
          <w:rFonts w:hint="eastAsia" w:ascii="宋体" w:hAnsi="宋体" w:cs="宋体"/>
          <w:spacing w:val="-2"/>
          <w:szCs w:val="21"/>
        </w:rPr>
        <w:t>规定的时间后的任何澄清</w:t>
      </w:r>
      <w:r>
        <w:rPr>
          <w:rFonts w:hint="eastAsia" w:ascii="宋体" w:hAnsi="宋体" w:cs="宋体"/>
          <w:spacing w:val="-1"/>
          <w:szCs w:val="21"/>
        </w:rPr>
        <w:t>要求。</w:t>
      </w:r>
    </w:p>
    <w:p w14:paraId="14F627E3">
      <w:pPr>
        <w:spacing w:before="138" w:line="360" w:lineRule="auto"/>
        <w:ind w:left="137"/>
        <w:rPr>
          <w:rFonts w:ascii="宋体" w:hAnsi="宋体" w:cs="宋体"/>
          <w:sz w:val="28"/>
          <w:szCs w:val="28"/>
        </w:rPr>
      </w:pPr>
      <w:r>
        <w:rPr>
          <w:rFonts w:hint="eastAsia" w:ascii="宋体" w:hAnsi="宋体" w:cs="宋体"/>
          <w:spacing w:val="-1"/>
          <w:sz w:val="28"/>
          <w:szCs w:val="28"/>
        </w:rPr>
        <w:t>2.3</w:t>
      </w:r>
      <w:r>
        <w:rPr>
          <w:rFonts w:hint="eastAsia" w:ascii="宋体" w:hAnsi="宋体" w:cs="宋体"/>
          <w:sz w:val="28"/>
          <w:szCs w:val="28"/>
        </w:rPr>
        <w:t xml:space="preserve">  招标文件的修改</w:t>
      </w:r>
    </w:p>
    <w:p w14:paraId="4264E9AF">
      <w:pPr>
        <w:spacing w:before="68" w:line="352" w:lineRule="auto"/>
        <w:ind w:left="5" w:firstLine="413"/>
        <w:rPr>
          <w:rFonts w:ascii="宋体" w:hAnsi="宋体" w:cs="宋体"/>
          <w:szCs w:val="21"/>
        </w:rPr>
      </w:pPr>
      <w:r>
        <w:rPr>
          <w:rFonts w:hint="eastAsia" w:ascii="宋体" w:hAnsi="宋体" w:cs="宋体"/>
          <w:spacing w:val="-1"/>
          <w:szCs w:val="21"/>
        </w:rPr>
        <w:t>2.3.1 招标人以投标人须知前附表规定的形式修</w:t>
      </w:r>
      <w:r>
        <w:rPr>
          <w:rFonts w:hint="eastAsia" w:ascii="宋体" w:hAnsi="宋体" w:cs="宋体"/>
          <w:szCs w:val="21"/>
        </w:rPr>
        <w:t>改招标文件，并通知所有已购买招标文件的</w:t>
      </w:r>
      <w:r>
        <w:rPr>
          <w:rFonts w:hint="eastAsia" w:ascii="宋体" w:hAnsi="宋体" w:cs="宋体"/>
          <w:spacing w:val="-2"/>
          <w:szCs w:val="21"/>
        </w:rPr>
        <w:t>投标人。修改招标文件的时间距本章第 4.2.1 项规定的投标截止</w:t>
      </w:r>
      <w:r>
        <w:rPr>
          <w:rFonts w:hint="eastAsia" w:ascii="宋体" w:hAnsi="宋体" w:cs="宋体"/>
          <w:spacing w:val="-1"/>
          <w:szCs w:val="21"/>
        </w:rPr>
        <w:t>时间不足 15 日的，并且修改内容可能影响投标文件编制的，将相应延长投标截止时间。</w:t>
      </w:r>
    </w:p>
    <w:p w14:paraId="3465BD96">
      <w:pPr>
        <w:spacing w:before="1" w:line="361" w:lineRule="auto"/>
        <w:ind w:left="26" w:right="2" w:firstLine="393"/>
        <w:rPr>
          <w:rFonts w:ascii="宋体" w:hAnsi="宋体" w:cs="宋体"/>
          <w:szCs w:val="21"/>
        </w:rPr>
      </w:pPr>
      <w:r>
        <w:rPr>
          <w:rFonts w:hint="eastAsia" w:ascii="宋体" w:hAnsi="宋体" w:cs="宋体"/>
          <w:spacing w:val="-5"/>
          <w:szCs w:val="21"/>
        </w:rPr>
        <w:t>2</w:t>
      </w:r>
      <w:r>
        <w:rPr>
          <w:rFonts w:hint="eastAsia" w:ascii="宋体" w:hAnsi="宋体" w:cs="宋体"/>
          <w:spacing w:val="-4"/>
          <w:szCs w:val="21"/>
        </w:rPr>
        <w:t>.3.2  投标人收到修改内容后， 应按投标人须知前附表规定的时间和形式通知招标人，确认</w:t>
      </w:r>
      <w:bookmarkStart w:id="167" w:name="_bookmark38"/>
      <w:bookmarkEnd w:id="167"/>
      <w:r>
        <w:rPr>
          <w:rFonts w:hint="eastAsia" w:ascii="宋体" w:hAnsi="宋体" w:cs="宋体"/>
          <w:spacing w:val="-5"/>
          <w:szCs w:val="21"/>
        </w:rPr>
        <w:t>已</w:t>
      </w:r>
      <w:r>
        <w:rPr>
          <w:rFonts w:hint="eastAsia" w:ascii="宋体" w:hAnsi="宋体" w:cs="宋体"/>
          <w:spacing w:val="-4"/>
          <w:szCs w:val="21"/>
        </w:rPr>
        <w:t>收到该修改。</w:t>
      </w:r>
    </w:p>
    <w:p w14:paraId="3E26E342">
      <w:pPr>
        <w:spacing w:before="141" w:line="360" w:lineRule="auto"/>
        <w:ind w:left="137"/>
        <w:rPr>
          <w:rFonts w:ascii="宋体" w:hAnsi="宋体" w:cs="宋体"/>
          <w:sz w:val="28"/>
          <w:szCs w:val="28"/>
        </w:rPr>
      </w:pPr>
      <w:r>
        <w:rPr>
          <w:rFonts w:hint="eastAsia" w:ascii="宋体" w:hAnsi="宋体" w:cs="宋体"/>
          <w:spacing w:val="-1"/>
          <w:sz w:val="28"/>
          <w:szCs w:val="28"/>
        </w:rPr>
        <w:t>2.4</w:t>
      </w:r>
      <w:r>
        <w:rPr>
          <w:rFonts w:hint="eastAsia" w:ascii="宋体" w:hAnsi="宋体" w:cs="宋体"/>
          <w:sz w:val="28"/>
          <w:szCs w:val="28"/>
        </w:rPr>
        <w:t xml:space="preserve">  招标文件的异议</w:t>
      </w:r>
    </w:p>
    <w:p w14:paraId="74E9248E">
      <w:pPr>
        <w:spacing w:before="69" w:line="359" w:lineRule="auto"/>
        <w:ind w:left="3" w:firstLine="421"/>
        <w:rPr>
          <w:rFonts w:ascii="宋体" w:hAnsi="宋体" w:cs="宋体"/>
          <w:szCs w:val="21"/>
        </w:rPr>
      </w:pPr>
      <w:r>
        <w:rPr>
          <w:rFonts w:hint="eastAsia" w:ascii="宋体" w:hAnsi="宋体" w:cs="宋体"/>
          <w:spacing w:val="-6"/>
          <w:szCs w:val="21"/>
        </w:rPr>
        <w:t>投标</w:t>
      </w:r>
      <w:r>
        <w:rPr>
          <w:rFonts w:hint="eastAsia" w:ascii="宋体" w:hAnsi="宋体" w:cs="宋体"/>
          <w:spacing w:val="-4"/>
          <w:szCs w:val="21"/>
        </w:rPr>
        <w:t>人</w:t>
      </w:r>
      <w:r>
        <w:rPr>
          <w:rFonts w:hint="eastAsia" w:ascii="宋体" w:hAnsi="宋体" w:cs="宋体"/>
          <w:spacing w:val="-3"/>
          <w:szCs w:val="21"/>
        </w:rPr>
        <w:t>或者其他利害关系人对招标文件有异议的，应当在投标截止时间 10 日前以书面形式</w:t>
      </w:r>
      <w:r>
        <w:rPr>
          <w:rFonts w:hint="eastAsia" w:ascii="宋体" w:hAnsi="宋体" w:cs="宋体"/>
          <w:spacing w:val="-6"/>
          <w:szCs w:val="21"/>
        </w:rPr>
        <w:t>提出。招标人将在收到异</w:t>
      </w:r>
      <w:r>
        <w:rPr>
          <w:rFonts w:hint="eastAsia" w:ascii="宋体" w:hAnsi="宋体" w:cs="宋体"/>
          <w:spacing w:val="-3"/>
          <w:szCs w:val="21"/>
        </w:rPr>
        <w:t>议之日起 3 日内作出答复；作出答复前，将暂停招标投标活动。</w:t>
      </w:r>
    </w:p>
    <w:p w14:paraId="2F2C43AA">
      <w:pPr>
        <w:spacing w:before="149" w:line="360" w:lineRule="auto"/>
        <w:outlineLvl w:val="0"/>
        <w:rPr>
          <w:rFonts w:ascii="宋体" w:hAnsi="宋体" w:cs="宋体"/>
          <w:sz w:val="31"/>
          <w:szCs w:val="31"/>
        </w:rPr>
      </w:pPr>
      <w:bookmarkStart w:id="168" w:name="_bookmark40"/>
      <w:bookmarkEnd w:id="168"/>
      <w:bookmarkStart w:id="169" w:name="_bookmark39"/>
      <w:bookmarkEnd w:id="169"/>
      <w:bookmarkStart w:id="170" w:name="_Toc24100"/>
      <w:bookmarkStart w:id="171" w:name="_Toc26950"/>
      <w:bookmarkStart w:id="172" w:name="_Toc2268"/>
      <w:bookmarkStart w:id="173" w:name="_Toc15595"/>
      <w:bookmarkStart w:id="174" w:name="_Toc32421"/>
      <w:bookmarkStart w:id="175" w:name="_Toc27458"/>
      <w:bookmarkStart w:id="176" w:name="_Toc23902"/>
      <w:bookmarkStart w:id="177" w:name="_Toc1070"/>
      <w:bookmarkStart w:id="178" w:name="_Toc16902"/>
      <w:bookmarkStart w:id="179" w:name="_Toc7157"/>
      <w:bookmarkStart w:id="180" w:name="_Toc15684"/>
      <w:bookmarkStart w:id="181" w:name="_Toc20077"/>
      <w:bookmarkStart w:id="182" w:name="_Toc22407"/>
      <w:bookmarkStart w:id="183" w:name="_Toc4841"/>
      <w:r>
        <w:rPr>
          <w:rFonts w:hint="eastAsia" w:ascii="宋体" w:hAnsi="宋体" w:cs="宋体"/>
          <w:b/>
          <w:bCs/>
          <w:spacing w:val="10"/>
          <w:sz w:val="31"/>
          <w:szCs w:val="31"/>
        </w:rPr>
        <w:t>3</w:t>
      </w:r>
      <w:r>
        <w:rPr>
          <w:rFonts w:hint="eastAsia" w:ascii="宋体" w:hAnsi="宋体" w:cs="宋体"/>
          <w:b/>
          <w:bCs/>
          <w:spacing w:val="6"/>
          <w:sz w:val="31"/>
          <w:szCs w:val="31"/>
        </w:rPr>
        <w:t>.</w:t>
      </w:r>
      <w:r>
        <w:rPr>
          <w:rFonts w:hint="eastAsia" w:ascii="宋体" w:hAnsi="宋体" w:cs="宋体"/>
          <w:spacing w:val="6"/>
          <w:sz w:val="31"/>
          <w:szCs w:val="31"/>
        </w:rPr>
        <w:t xml:space="preserve">  投标文件</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502C8FC6">
      <w:pPr>
        <w:spacing w:before="91" w:line="360" w:lineRule="auto"/>
        <w:ind w:left="143"/>
        <w:rPr>
          <w:rFonts w:ascii="宋体" w:hAnsi="宋体" w:cs="宋体"/>
          <w:sz w:val="28"/>
          <w:szCs w:val="28"/>
        </w:rPr>
      </w:pPr>
      <w:r>
        <w:rPr>
          <w:rFonts w:hint="eastAsia" w:ascii="宋体" w:hAnsi="宋体" w:cs="宋体"/>
          <w:spacing w:val="-1"/>
          <w:sz w:val="28"/>
          <w:szCs w:val="28"/>
        </w:rPr>
        <w:t>3.1  投标文件</w:t>
      </w:r>
      <w:r>
        <w:rPr>
          <w:rFonts w:hint="eastAsia" w:ascii="宋体" w:hAnsi="宋体" w:cs="宋体"/>
          <w:sz w:val="28"/>
          <w:szCs w:val="28"/>
        </w:rPr>
        <w:t>的组成</w:t>
      </w:r>
    </w:p>
    <w:p w14:paraId="58946F8D">
      <w:pPr>
        <w:spacing w:before="69" w:line="221" w:lineRule="auto"/>
        <w:ind w:left="425"/>
        <w:rPr>
          <w:rFonts w:ascii="宋体" w:hAnsi="宋体" w:cs="宋体"/>
          <w:szCs w:val="21"/>
        </w:rPr>
      </w:pPr>
      <w:r>
        <w:rPr>
          <w:rFonts w:hint="eastAsia" w:ascii="宋体" w:hAnsi="宋体" w:cs="宋体"/>
          <w:spacing w:val="-2"/>
          <w:szCs w:val="21"/>
        </w:rPr>
        <w:t>3.1.1  投标文件应包括</w:t>
      </w:r>
      <w:r>
        <w:rPr>
          <w:rFonts w:hint="eastAsia" w:ascii="宋体" w:hAnsi="宋体" w:cs="宋体"/>
          <w:spacing w:val="-1"/>
          <w:szCs w:val="21"/>
        </w:rPr>
        <w:t>下列内容：</w:t>
      </w:r>
    </w:p>
    <w:p w14:paraId="51885F25">
      <w:pPr>
        <w:spacing w:before="151" w:line="220" w:lineRule="auto"/>
        <w:ind w:left="429"/>
        <w:rPr>
          <w:rFonts w:ascii="宋体" w:hAnsi="宋体" w:cs="宋体"/>
          <w:szCs w:val="21"/>
        </w:rPr>
      </w:pPr>
      <w:r>
        <w:rPr>
          <w:rFonts w:hint="eastAsia" w:ascii="宋体" w:hAnsi="宋体" w:cs="宋体"/>
          <w:spacing w:val="12"/>
          <w:szCs w:val="21"/>
        </w:rPr>
        <w:t>(</w:t>
      </w:r>
      <w:r>
        <w:rPr>
          <w:rFonts w:hint="eastAsia" w:ascii="宋体" w:hAnsi="宋体" w:cs="宋体"/>
          <w:spacing w:val="8"/>
          <w:szCs w:val="21"/>
        </w:rPr>
        <w:t>1</w:t>
      </w:r>
      <w:r>
        <w:rPr>
          <w:rFonts w:hint="eastAsia" w:ascii="宋体" w:hAnsi="宋体" w:cs="宋体"/>
          <w:spacing w:val="6"/>
          <w:szCs w:val="21"/>
        </w:rPr>
        <w:t>) 投标函及投标函附录；</w:t>
      </w:r>
    </w:p>
    <w:p w14:paraId="77B6EFFF">
      <w:pPr>
        <w:spacing w:before="148" w:line="220" w:lineRule="auto"/>
        <w:ind w:left="429"/>
        <w:rPr>
          <w:rFonts w:ascii="宋体" w:hAnsi="宋体" w:cs="宋体"/>
          <w:szCs w:val="21"/>
        </w:rPr>
      </w:pPr>
      <w:r>
        <w:rPr>
          <w:rFonts w:hint="eastAsia" w:ascii="宋体" w:hAnsi="宋体" w:cs="宋体"/>
          <w:spacing w:val="6"/>
          <w:szCs w:val="21"/>
        </w:rPr>
        <w:t>(2)</w:t>
      </w:r>
      <w:r>
        <w:rPr>
          <w:rFonts w:hint="eastAsia" w:ascii="宋体" w:hAnsi="宋体" w:cs="宋体"/>
          <w:spacing w:val="3"/>
          <w:szCs w:val="21"/>
        </w:rPr>
        <w:t xml:space="preserve"> 法定代表人身份证明或授权委托书；</w:t>
      </w:r>
    </w:p>
    <w:p w14:paraId="4021F682">
      <w:pPr>
        <w:spacing w:before="146" w:line="221" w:lineRule="auto"/>
        <w:ind w:left="429"/>
        <w:rPr>
          <w:rFonts w:ascii="宋体" w:hAnsi="宋体" w:cs="宋体"/>
          <w:szCs w:val="21"/>
        </w:rPr>
      </w:pPr>
      <w:r>
        <w:rPr>
          <w:rFonts w:hint="eastAsia" w:ascii="宋体" w:hAnsi="宋体" w:cs="宋体"/>
          <w:spacing w:val="13"/>
          <w:szCs w:val="21"/>
        </w:rPr>
        <w:t>(</w:t>
      </w:r>
      <w:r>
        <w:rPr>
          <w:rFonts w:hint="eastAsia" w:ascii="宋体" w:hAnsi="宋体" w:cs="宋体"/>
          <w:spacing w:val="8"/>
          <w:szCs w:val="21"/>
        </w:rPr>
        <w:t>3) 监理报酬清单；</w:t>
      </w:r>
    </w:p>
    <w:p w14:paraId="71FAB037">
      <w:pPr>
        <w:spacing w:before="149" w:line="221" w:lineRule="auto"/>
        <w:ind w:left="429"/>
        <w:rPr>
          <w:rFonts w:ascii="宋体" w:hAnsi="宋体" w:cs="宋体"/>
          <w:szCs w:val="21"/>
        </w:rPr>
      </w:pPr>
      <w:r>
        <w:rPr>
          <w:rFonts w:hint="eastAsia" w:ascii="宋体" w:hAnsi="宋体" w:cs="宋体"/>
          <w:spacing w:val="13"/>
          <w:szCs w:val="21"/>
        </w:rPr>
        <w:t>(</w:t>
      </w:r>
      <w:r>
        <w:rPr>
          <w:rFonts w:hint="eastAsia" w:ascii="宋体" w:hAnsi="宋体" w:cs="宋体"/>
          <w:spacing w:val="8"/>
          <w:szCs w:val="21"/>
        </w:rPr>
        <w:t>4) 资格审查资料；</w:t>
      </w:r>
    </w:p>
    <w:p w14:paraId="394729C3">
      <w:pPr>
        <w:spacing w:before="146" w:line="221" w:lineRule="auto"/>
        <w:ind w:left="429"/>
        <w:rPr>
          <w:rFonts w:ascii="宋体" w:hAnsi="宋体" w:cs="宋体"/>
          <w:spacing w:val="8"/>
          <w:szCs w:val="21"/>
        </w:rPr>
      </w:pPr>
      <w:r>
        <w:rPr>
          <w:rFonts w:hint="eastAsia" w:ascii="宋体" w:hAnsi="宋体" w:cs="宋体"/>
          <w:spacing w:val="13"/>
          <w:szCs w:val="21"/>
        </w:rPr>
        <w:t>(</w:t>
      </w:r>
      <w:r>
        <w:rPr>
          <w:rFonts w:hint="eastAsia" w:ascii="宋体" w:hAnsi="宋体" w:cs="宋体"/>
          <w:spacing w:val="8"/>
          <w:szCs w:val="21"/>
        </w:rPr>
        <w:t>5) 监理大纲；</w:t>
      </w:r>
    </w:p>
    <w:p w14:paraId="7A19FA60">
      <w:pPr>
        <w:spacing w:before="146" w:line="221" w:lineRule="auto"/>
        <w:ind w:left="429"/>
        <w:rPr>
          <w:rFonts w:ascii="宋体" w:hAnsi="宋体" w:cs="宋体"/>
          <w:spacing w:val="13"/>
          <w:szCs w:val="21"/>
        </w:rPr>
      </w:pPr>
      <w:r>
        <w:rPr>
          <w:rFonts w:hint="eastAsia" w:ascii="宋体" w:hAnsi="宋体" w:cs="宋体"/>
          <w:spacing w:val="13"/>
          <w:szCs w:val="21"/>
        </w:rPr>
        <w:t>(6)投标人提交的履约保函承诺书；</w:t>
      </w:r>
    </w:p>
    <w:p w14:paraId="51A71B3A">
      <w:pPr>
        <w:spacing w:before="146" w:line="221" w:lineRule="auto"/>
        <w:ind w:left="429"/>
        <w:rPr>
          <w:rFonts w:ascii="宋体" w:hAnsi="宋体" w:cs="宋体"/>
          <w:spacing w:val="13"/>
          <w:szCs w:val="21"/>
        </w:rPr>
      </w:pPr>
      <w:r>
        <w:rPr>
          <w:rFonts w:hint="eastAsia" w:ascii="宋体" w:hAnsi="宋体" w:cs="宋体"/>
          <w:spacing w:val="13"/>
          <w:szCs w:val="21"/>
        </w:rPr>
        <w:t>(7)投标承诺书；</w:t>
      </w:r>
    </w:p>
    <w:p w14:paraId="12CC5EB5">
      <w:pPr>
        <w:spacing w:before="146" w:line="221" w:lineRule="auto"/>
        <w:ind w:left="429"/>
        <w:rPr>
          <w:rFonts w:ascii="宋体" w:hAnsi="宋体" w:cs="宋体"/>
          <w:spacing w:val="13"/>
          <w:szCs w:val="21"/>
        </w:rPr>
      </w:pPr>
      <w:r>
        <w:rPr>
          <w:rFonts w:hint="eastAsia" w:ascii="宋体" w:hAnsi="宋体" w:cs="宋体"/>
          <w:spacing w:val="13"/>
          <w:szCs w:val="21"/>
        </w:rPr>
        <w:t>(8)项目总监理工程师任职承诺书</w:t>
      </w:r>
    </w:p>
    <w:p w14:paraId="455A090A">
      <w:pPr>
        <w:spacing w:before="146" w:line="221" w:lineRule="auto"/>
        <w:ind w:left="429"/>
        <w:rPr>
          <w:rFonts w:ascii="宋体" w:hAnsi="宋体" w:cs="宋体"/>
          <w:spacing w:val="13"/>
          <w:szCs w:val="21"/>
        </w:rPr>
      </w:pPr>
      <w:r>
        <w:rPr>
          <w:rFonts w:hint="eastAsia" w:ascii="宋体" w:hAnsi="宋体" w:cs="宋体"/>
          <w:spacing w:val="13"/>
          <w:szCs w:val="21"/>
        </w:rPr>
        <w:t>(9)投标人须知前附表规定的其他资料。</w:t>
      </w:r>
    </w:p>
    <w:p w14:paraId="2A19A2D2">
      <w:pPr>
        <w:spacing w:before="146" w:line="221" w:lineRule="auto"/>
        <w:ind w:left="429"/>
        <w:rPr>
          <w:rFonts w:ascii="宋体" w:hAnsi="宋体" w:cs="宋体"/>
          <w:spacing w:val="-6"/>
          <w:szCs w:val="21"/>
        </w:rPr>
      </w:pPr>
      <w:r>
        <w:rPr>
          <w:rFonts w:hint="eastAsia" w:ascii="宋体" w:hAnsi="宋体" w:cs="宋体"/>
          <w:spacing w:val="8"/>
          <w:szCs w:val="21"/>
        </w:rPr>
        <w:t>投标人在评标过</w:t>
      </w:r>
      <w:r>
        <w:rPr>
          <w:rFonts w:hint="eastAsia" w:ascii="宋体" w:hAnsi="宋体" w:cs="宋体"/>
          <w:spacing w:val="-6"/>
          <w:szCs w:val="21"/>
        </w:rPr>
        <w:t>程中作出的符合法律法规和招标文件规定的澄清确认，构成投标文件的组成部分。投标人编制监理大纲应按照招标文件要求，并针对本项目的特点及重点、难点进行编制，监理大纲应突出重点，标准、规范中已有的内容无需赘述，一般篇幅不宜超过800页，超过部分不予评审。</w:t>
      </w:r>
    </w:p>
    <w:p w14:paraId="34881221">
      <w:pPr>
        <w:spacing w:before="139" w:line="360" w:lineRule="auto"/>
        <w:ind w:left="140"/>
        <w:rPr>
          <w:rFonts w:ascii="宋体" w:hAnsi="宋体" w:cs="宋体"/>
          <w:sz w:val="28"/>
          <w:szCs w:val="28"/>
        </w:rPr>
      </w:pPr>
      <w:r>
        <w:rPr>
          <w:rFonts w:hint="eastAsia" w:ascii="宋体" w:hAnsi="宋体" w:cs="宋体"/>
          <w:spacing w:val="-1"/>
          <w:sz w:val="28"/>
          <w:szCs w:val="28"/>
        </w:rPr>
        <w:t>3.2  投标报</w:t>
      </w:r>
      <w:r>
        <w:rPr>
          <w:rFonts w:hint="eastAsia" w:ascii="宋体" w:hAnsi="宋体" w:cs="宋体"/>
          <w:sz w:val="28"/>
          <w:szCs w:val="28"/>
        </w:rPr>
        <w:t>价</w:t>
      </w:r>
    </w:p>
    <w:p w14:paraId="632C4C89">
      <w:pPr>
        <w:spacing w:before="69" w:line="352" w:lineRule="auto"/>
        <w:ind w:left="1" w:firstLine="419"/>
        <w:rPr>
          <w:rFonts w:ascii="宋体" w:hAnsi="宋体" w:cs="宋体"/>
          <w:szCs w:val="21"/>
        </w:rPr>
      </w:pPr>
      <w:r>
        <w:rPr>
          <w:rFonts w:hint="eastAsia" w:ascii="宋体" w:hAnsi="宋体" w:cs="宋体"/>
          <w:spacing w:val="-10"/>
          <w:szCs w:val="21"/>
        </w:rPr>
        <w:t>3.</w:t>
      </w:r>
      <w:r>
        <w:rPr>
          <w:rFonts w:hint="eastAsia" w:ascii="宋体" w:hAnsi="宋体" w:cs="宋体"/>
          <w:spacing w:val="-8"/>
          <w:szCs w:val="21"/>
        </w:rPr>
        <w:t>2</w:t>
      </w:r>
      <w:r>
        <w:rPr>
          <w:rFonts w:hint="eastAsia" w:ascii="宋体" w:hAnsi="宋体" w:cs="宋体"/>
          <w:spacing w:val="-5"/>
          <w:szCs w:val="21"/>
        </w:rPr>
        <w:t>.1 投标报价应包括国家规定的增值税税金，除投标人须知前附表另有规定外，增值税税</w:t>
      </w:r>
      <w:r>
        <w:rPr>
          <w:rFonts w:hint="eastAsia" w:ascii="宋体" w:hAnsi="宋体" w:cs="宋体"/>
          <w:spacing w:val="2"/>
          <w:szCs w:val="21"/>
        </w:rPr>
        <w:t>金按一般计税方</w:t>
      </w:r>
      <w:r>
        <w:rPr>
          <w:rFonts w:hint="eastAsia" w:ascii="宋体" w:hAnsi="宋体" w:cs="宋体"/>
          <w:spacing w:val="1"/>
          <w:szCs w:val="21"/>
        </w:rPr>
        <w:t>法计算。投标人应按第六章“投标文件格式”的要求在投标函中进行报价并填写</w:t>
      </w:r>
      <w:r>
        <w:rPr>
          <w:rFonts w:hint="eastAsia" w:ascii="宋体" w:hAnsi="宋体" w:cs="宋体"/>
          <w:spacing w:val="-1"/>
          <w:szCs w:val="21"/>
        </w:rPr>
        <w:t>监理报酬清单。</w:t>
      </w:r>
    </w:p>
    <w:p w14:paraId="358107BA">
      <w:pPr>
        <w:spacing w:line="219" w:lineRule="auto"/>
        <w:ind w:left="421"/>
        <w:rPr>
          <w:rFonts w:ascii="宋体" w:hAnsi="宋体" w:cs="宋体"/>
          <w:szCs w:val="21"/>
        </w:rPr>
      </w:pPr>
      <w:r>
        <w:rPr>
          <w:rFonts w:hint="eastAsia" w:ascii="宋体" w:hAnsi="宋体" w:cs="宋体"/>
          <w:spacing w:val="-1"/>
          <w:szCs w:val="21"/>
        </w:rPr>
        <w:t>3.2.</w:t>
      </w:r>
      <w:r>
        <w:rPr>
          <w:rFonts w:hint="eastAsia" w:ascii="宋体" w:hAnsi="宋体" w:cs="宋体"/>
          <w:szCs w:val="21"/>
        </w:rPr>
        <w:t>2  投标人应充分了解该项目的总体情况以及影响投标报价的其他要素。</w:t>
      </w:r>
    </w:p>
    <w:p w14:paraId="321229E3">
      <w:pPr>
        <w:spacing w:before="148" w:line="352" w:lineRule="auto"/>
        <w:ind w:left="1" w:firstLine="419"/>
        <w:rPr>
          <w:rFonts w:ascii="宋体" w:hAnsi="宋体" w:cs="宋体"/>
          <w:szCs w:val="21"/>
        </w:rPr>
      </w:pPr>
      <w:r>
        <w:rPr>
          <w:rFonts w:hint="eastAsia" w:ascii="宋体" w:hAnsi="宋体" w:cs="宋体"/>
          <w:spacing w:val="-2"/>
          <w:szCs w:val="21"/>
        </w:rPr>
        <w:t>3.2.3  本项目的报价方式见投标人须知前附表。投标人在投标截止时</w:t>
      </w:r>
      <w:r>
        <w:rPr>
          <w:rFonts w:hint="eastAsia" w:ascii="宋体" w:hAnsi="宋体" w:cs="宋体"/>
          <w:spacing w:val="-1"/>
          <w:szCs w:val="21"/>
        </w:rPr>
        <w:t>间前修改投标函中的投</w:t>
      </w:r>
      <w:r>
        <w:rPr>
          <w:rFonts w:hint="eastAsia" w:ascii="宋体" w:hAnsi="宋体" w:cs="宋体"/>
          <w:spacing w:val="-6"/>
          <w:szCs w:val="21"/>
        </w:rPr>
        <w:t>标报价总额，应</w:t>
      </w:r>
      <w:r>
        <w:rPr>
          <w:rFonts w:hint="eastAsia" w:ascii="宋体" w:hAnsi="宋体" w:cs="宋体"/>
          <w:spacing w:val="-4"/>
          <w:szCs w:val="21"/>
        </w:rPr>
        <w:t>同</w:t>
      </w:r>
      <w:r>
        <w:rPr>
          <w:rFonts w:hint="eastAsia" w:ascii="宋体" w:hAnsi="宋体" w:cs="宋体"/>
          <w:spacing w:val="-3"/>
          <w:szCs w:val="21"/>
        </w:rPr>
        <w:t>时修改投标文件“监理报酬清单”中的相应报价。此修改须符合本章第 4.3 款的</w:t>
      </w:r>
      <w:r>
        <w:rPr>
          <w:rFonts w:hint="eastAsia" w:ascii="宋体" w:hAnsi="宋体" w:cs="宋体"/>
          <w:spacing w:val="-5"/>
          <w:szCs w:val="21"/>
        </w:rPr>
        <w:t>有</w:t>
      </w:r>
      <w:r>
        <w:rPr>
          <w:rFonts w:hint="eastAsia" w:ascii="宋体" w:hAnsi="宋体" w:cs="宋体"/>
          <w:spacing w:val="-4"/>
          <w:szCs w:val="21"/>
        </w:rPr>
        <w:t>关要求。</w:t>
      </w:r>
    </w:p>
    <w:p w14:paraId="7DDDAF98">
      <w:pPr>
        <w:spacing w:before="1" w:line="352" w:lineRule="auto"/>
        <w:ind w:left="1" w:right="2" w:firstLine="419"/>
        <w:rPr>
          <w:rFonts w:ascii="宋体" w:hAnsi="宋体" w:cs="宋体"/>
          <w:szCs w:val="21"/>
        </w:rPr>
      </w:pPr>
      <w:r>
        <w:rPr>
          <w:rFonts w:hint="eastAsia" w:ascii="宋体" w:hAnsi="宋体" w:cs="宋体"/>
          <w:spacing w:val="-2"/>
          <w:szCs w:val="21"/>
        </w:rPr>
        <w:t>3.2.4  招标人设有最高投标限价的，投标人的投标报价不得超过最高投标限价，最</w:t>
      </w:r>
      <w:r>
        <w:rPr>
          <w:rFonts w:hint="eastAsia" w:ascii="宋体" w:hAnsi="宋体" w:cs="宋体"/>
          <w:spacing w:val="-1"/>
          <w:szCs w:val="21"/>
        </w:rPr>
        <w:t>高</w:t>
      </w:r>
      <w:r>
        <w:rPr>
          <w:rFonts w:hint="eastAsia" w:ascii="宋体" w:hAnsi="宋体" w:cs="宋体"/>
          <w:szCs w:val="21"/>
        </w:rPr>
        <w:t>投标限</w:t>
      </w:r>
      <w:r>
        <w:rPr>
          <w:rFonts w:hint="eastAsia" w:ascii="宋体" w:hAnsi="宋体" w:cs="宋体"/>
          <w:spacing w:val="-2"/>
          <w:szCs w:val="21"/>
        </w:rPr>
        <w:t>价在投标人须知前附表中</w:t>
      </w:r>
      <w:r>
        <w:rPr>
          <w:rFonts w:hint="eastAsia" w:ascii="宋体" w:hAnsi="宋体" w:cs="宋体"/>
          <w:spacing w:val="-1"/>
          <w:szCs w:val="21"/>
        </w:rPr>
        <w:t>载明。</w:t>
      </w:r>
    </w:p>
    <w:p w14:paraId="3CA65B05">
      <w:pPr>
        <w:spacing w:line="559" w:lineRule="exact"/>
        <w:ind w:left="421"/>
        <w:rPr>
          <w:rFonts w:ascii="宋体" w:hAnsi="宋体" w:cs="宋体"/>
          <w:szCs w:val="21"/>
        </w:rPr>
      </w:pPr>
      <w:bookmarkStart w:id="184" w:name="_bookmark42"/>
      <w:bookmarkEnd w:id="184"/>
      <w:r>
        <w:rPr>
          <w:rFonts w:hint="eastAsia" w:ascii="宋体" w:hAnsi="宋体" w:cs="宋体"/>
          <w:spacing w:val="-1"/>
          <w:position w:val="27"/>
          <w:szCs w:val="21"/>
        </w:rPr>
        <w:t xml:space="preserve">3.2.5 </w:t>
      </w:r>
      <w:r>
        <w:rPr>
          <w:rFonts w:hint="eastAsia" w:ascii="宋体" w:hAnsi="宋体" w:cs="宋体"/>
          <w:position w:val="27"/>
          <w:szCs w:val="21"/>
        </w:rPr>
        <w:t xml:space="preserve"> 投标报价的其他要求见投标人须知前附表。</w:t>
      </w:r>
    </w:p>
    <w:p w14:paraId="54FEB1F2">
      <w:pPr>
        <w:spacing w:before="1" w:line="360" w:lineRule="auto"/>
        <w:ind w:left="140"/>
        <w:rPr>
          <w:rFonts w:ascii="宋体" w:hAnsi="宋体" w:cs="宋体"/>
          <w:sz w:val="28"/>
          <w:szCs w:val="28"/>
        </w:rPr>
      </w:pPr>
      <w:r>
        <w:rPr>
          <w:rFonts w:hint="eastAsia" w:ascii="宋体" w:hAnsi="宋体" w:cs="宋体"/>
          <w:spacing w:val="-1"/>
          <w:sz w:val="28"/>
          <w:szCs w:val="28"/>
        </w:rPr>
        <w:t>3.3  投标有</w:t>
      </w:r>
      <w:r>
        <w:rPr>
          <w:rFonts w:hint="eastAsia" w:ascii="宋体" w:hAnsi="宋体" w:cs="宋体"/>
          <w:sz w:val="28"/>
          <w:szCs w:val="28"/>
        </w:rPr>
        <w:t>效期</w:t>
      </w:r>
    </w:p>
    <w:p w14:paraId="49FD76AB">
      <w:pPr>
        <w:spacing w:before="69" w:line="220" w:lineRule="auto"/>
        <w:ind w:left="421"/>
        <w:rPr>
          <w:rFonts w:ascii="宋体" w:hAnsi="宋体" w:cs="宋体"/>
          <w:szCs w:val="21"/>
        </w:rPr>
      </w:pPr>
      <w:r>
        <w:rPr>
          <w:rFonts w:hint="eastAsia" w:ascii="宋体" w:hAnsi="宋体" w:cs="宋体"/>
          <w:spacing w:val="-2"/>
          <w:szCs w:val="21"/>
        </w:rPr>
        <w:t>3.3.1  除投标人须知前附表另有规定外，投标</w:t>
      </w:r>
      <w:r>
        <w:rPr>
          <w:rFonts w:hint="eastAsia" w:ascii="宋体" w:hAnsi="宋体" w:cs="宋体"/>
          <w:spacing w:val="-1"/>
          <w:szCs w:val="21"/>
        </w:rPr>
        <w:t>有效期为120天。</w:t>
      </w:r>
    </w:p>
    <w:p w14:paraId="1BBE4B3A">
      <w:pPr>
        <w:spacing w:before="150" w:line="221" w:lineRule="auto"/>
        <w:ind w:left="421"/>
        <w:rPr>
          <w:rFonts w:ascii="宋体" w:hAnsi="宋体" w:cs="宋体"/>
          <w:szCs w:val="21"/>
        </w:rPr>
      </w:pPr>
      <w:r>
        <w:rPr>
          <w:rFonts w:hint="eastAsia" w:ascii="宋体" w:hAnsi="宋体" w:cs="宋体"/>
          <w:spacing w:val="-4"/>
          <w:szCs w:val="21"/>
        </w:rPr>
        <w:t>3.3.2  在投标有</w:t>
      </w:r>
      <w:r>
        <w:rPr>
          <w:rFonts w:hint="eastAsia" w:ascii="宋体" w:hAnsi="宋体" w:cs="宋体"/>
          <w:spacing w:val="-2"/>
          <w:szCs w:val="21"/>
        </w:rPr>
        <w:t>效期内，投标人撤销投标文件的，应承担招标文件和法律规定的责任。</w:t>
      </w:r>
    </w:p>
    <w:p w14:paraId="6E58A006">
      <w:pPr>
        <w:spacing w:before="152" w:line="356" w:lineRule="auto"/>
        <w:ind w:firstLine="421"/>
        <w:rPr>
          <w:rFonts w:ascii="宋体" w:hAnsi="宋体" w:cs="宋体"/>
          <w:szCs w:val="21"/>
        </w:rPr>
      </w:pPr>
      <w:r>
        <w:rPr>
          <w:rFonts w:hint="eastAsia" w:ascii="宋体" w:hAnsi="宋体" w:cs="宋体"/>
          <w:spacing w:val="-2"/>
          <w:szCs w:val="21"/>
        </w:rPr>
        <w:t>3.3.3  出现特殊情况需要延长投标有效期的，招标人以书面形式通知</w:t>
      </w:r>
      <w:r>
        <w:rPr>
          <w:rFonts w:hint="eastAsia" w:ascii="宋体" w:hAnsi="宋体" w:cs="宋体"/>
          <w:spacing w:val="-1"/>
          <w:szCs w:val="21"/>
        </w:rPr>
        <w:t>所有投标人延长投标有</w:t>
      </w:r>
      <w:r>
        <w:rPr>
          <w:rFonts w:hint="eastAsia" w:ascii="宋体" w:hAnsi="宋体" w:cs="宋体"/>
          <w:spacing w:val="1"/>
          <w:szCs w:val="21"/>
        </w:rPr>
        <w:t>效期。投标人应予以书面答复，同意延长的，应相应延长</w:t>
      </w:r>
      <w:r>
        <w:rPr>
          <w:rFonts w:hint="eastAsia" w:ascii="宋体" w:hAnsi="宋体" w:cs="宋体"/>
          <w:szCs w:val="21"/>
        </w:rPr>
        <w:t>其投标保证金的有效期，但不得要求</w:t>
      </w:r>
      <w:r>
        <w:rPr>
          <w:rFonts w:hint="eastAsia" w:ascii="宋体" w:hAnsi="宋体" w:cs="宋体"/>
          <w:spacing w:val="1"/>
          <w:szCs w:val="21"/>
        </w:rPr>
        <w:t>或被允许修改其投标文件；投标人拒绝延长的，其投标失效</w:t>
      </w:r>
      <w:r>
        <w:rPr>
          <w:rFonts w:hint="eastAsia" w:ascii="宋体" w:hAnsi="宋体" w:cs="宋体"/>
          <w:szCs w:val="21"/>
        </w:rPr>
        <w:t>，但投标人有权收回其投标保证金</w:t>
      </w:r>
      <w:bookmarkStart w:id="185" w:name="_bookmark43"/>
      <w:bookmarkEnd w:id="185"/>
      <w:r>
        <w:rPr>
          <w:rFonts w:hint="eastAsia" w:ascii="宋体" w:hAnsi="宋体" w:cs="宋体"/>
          <w:spacing w:val="-1"/>
          <w:szCs w:val="21"/>
        </w:rPr>
        <w:t>及</w:t>
      </w:r>
      <w:r>
        <w:rPr>
          <w:rFonts w:hint="eastAsia" w:ascii="宋体" w:hAnsi="宋体" w:cs="宋体"/>
          <w:szCs w:val="21"/>
        </w:rPr>
        <w:t>以现金或者支票形式递交的投标保证金的银行同期存款利息。</w:t>
      </w:r>
    </w:p>
    <w:p w14:paraId="58FFE99C">
      <w:pPr>
        <w:spacing w:before="138" w:line="220" w:lineRule="auto"/>
        <w:ind w:left="140"/>
        <w:rPr>
          <w:rFonts w:ascii="宋体" w:hAnsi="宋体" w:cs="宋体"/>
          <w:sz w:val="28"/>
          <w:szCs w:val="28"/>
        </w:rPr>
      </w:pPr>
      <w:r>
        <w:rPr>
          <w:rFonts w:hint="eastAsia" w:ascii="宋体" w:hAnsi="宋体" w:cs="宋体"/>
          <w:spacing w:val="-1"/>
          <w:sz w:val="28"/>
          <w:szCs w:val="28"/>
        </w:rPr>
        <w:t>3.4  投标保</w:t>
      </w:r>
      <w:r>
        <w:rPr>
          <w:rFonts w:hint="eastAsia" w:ascii="宋体" w:hAnsi="宋体" w:cs="宋体"/>
          <w:sz w:val="28"/>
          <w:szCs w:val="28"/>
        </w:rPr>
        <w:t>证金</w:t>
      </w:r>
    </w:p>
    <w:p w14:paraId="6CB1E102">
      <w:pPr>
        <w:spacing w:before="69" w:line="220" w:lineRule="auto"/>
        <w:ind w:left="421"/>
        <w:rPr>
          <w:rFonts w:ascii="宋体" w:hAnsi="宋体" w:cs="宋体"/>
          <w:spacing w:val="-2"/>
          <w:szCs w:val="21"/>
        </w:rPr>
      </w:pPr>
      <w:r>
        <w:rPr>
          <w:rFonts w:hint="eastAsia" w:ascii="宋体" w:hAnsi="宋体" w:cs="宋体"/>
          <w:spacing w:val="-2"/>
          <w:szCs w:val="21"/>
        </w:rPr>
        <w:t>本项目不要求递交投标保证金。</w:t>
      </w:r>
    </w:p>
    <w:p w14:paraId="7F11F3AC">
      <w:pPr>
        <w:spacing w:before="138" w:line="360" w:lineRule="auto"/>
        <w:ind w:left="140"/>
        <w:rPr>
          <w:rFonts w:ascii="宋体" w:hAnsi="宋体" w:cs="宋体"/>
          <w:sz w:val="28"/>
          <w:szCs w:val="28"/>
        </w:rPr>
      </w:pPr>
      <w:r>
        <w:rPr>
          <w:rFonts w:hint="eastAsia" w:ascii="宋体" w:hAnsi="宋体" w:cs="宋体"/>
          <w:spacing w:val="8"/>
          <w:sz w:val="28"/>
          <w:szCs w:val="28"/>
        </w:rPr>
        <w:t>3.</w:t>
      </w:r>
      <w:r>
        <w:rPr>
          <w:rFonts w:hint="eastAsia" w:ascii="宋体" w:hAnsi="宋体" w:cs="宋体"/>
          <w:spacing w:val="5"/>
          <w:sz w:val="28"/>
          <w:szCs w:val="28"/>
        </w:rPr>
        <w:t>5</w:t>
      </w:r>
      <w:r>
        <w:rPr>
          <w:rFonts w:hint="eastAsia" w:ascii="宋体" w:hAnsi="宋体" w:cs="宋体"/>
          <w:spacing w:val="4"/>
          <w:sz w:val="28"/>
          <w:szCs w:val="28"/>
        </w:rPr>
        <w:t xml:space="preserve">  资格审查资料(适用于未进行资格预审的)</w:t>
      </w:r>
    </w:p>
    <w:p w14:paraId="6EBE07B1">
      <w:pPr>
        <w:spacing w:before="69" w:line="352" w:lineRule="auto"/>
        <w:ind w:left="1" w:right="141" w:firstLine="431"/>
        <w:rPr>
          <w:rFonts w:ascii="宋体" w:hAnsi="宋体" w:cs="宋体"/>
          <w:szCs w:val="21"/>
        </w:rPr>
      </w:pPr>
      <w:r>
        <w:rPr>
          <w:rFonts w:hint="eastAsia" w:ascii="宋体" w:hAnsi="宋体" w:cs="宋体"/>
          <w:spacing w:val="-4"/>
          <w:szCs w:val="21"/>
        </w:rPr>
        <w:t>除投标人须知</w:t>
      </w:r>
      <w:r>
        <w:rPr>
          <w:rFonts w:hint="eastAsia" w:ascii="宋体" w:hAnsi="宋体" w:cs="宋体"/>
          <w:spacing w:val="-3"/>
          <w:szCs w:val="21"/>
        </w:rPr>
        <w:t>前</w:t>
      </w:r>
      <w:r>
        <w:rPr>
          <w:rFonts w:hint="eastAsia" w:ascii="宋体" w:hAnsi="宋体" w:cs="宋体"/>
          <w:spacing w:val="-2"/>
          <w:szCs w:val="21"/>
        </w:rPr>
        <w:t>附表另有规定外，投标人应按下列规定提供资格审查资料，以证明其满足</w:t>
      </w:r>
      <w:r>
        <w:rPr>
          <w:rFonts w:hint="eastAsia" w:ascii="宋体" w:hAnsi="宋体" w:cs="宋体"/>
          <w:spacing w:val="-4"/>
          <w:szCs w:val="21"/>
        </w:rPr>
        <w:t>本章第 1.4 款</w:t>
      </w:r>
      <w:r>
        <w:rPr>
          <w:rFonts w:hint="eastAsia" w:ascii="宋体" w:hAnsi="宋体" w:cs="宋体"/>
          <w:spacing w:val="-2"/>
          <w:szCs w:val="21"/>
        </w:rPr>
        <w:t>规定的资质、财务、业绩、信誉等要求。</w:t>
      </w:r>
    </w:p>
    <w:p w14:paraId="0B39F509">
      <w:pPr>
        <w:spacing w:before="2" w:line="351" w:lineRule="auto"/>
        <w:ind w:firstLine="420"/>
        <w:rPr>
          <w:rFonts w:ascii="宋体" w:hAnsi="宋体" w:cs="宋体"/>
          <w:szCs w:val="21"/>
        </w:rPr>
      </w:pPr>
      <w:r>
        <w:rPr>
          <w:rFonts w:hint="eastAsia" w:ascii="宋体" w:hAnsi="宋体" w:cs="宋体"/>
          <w:spacing w:val="2"/>
          <w:szCs w:val="21"/>
        </w:rPr>
        <w:t>3.5.1 “投标</w:t>
      </w:r>
      <w:r>
        <w:rPr>
          <w:rFonts w:hint="eastAsia" w:ascii="宋体" w:hAnsi="宋体" w:cs="宋体"/>
          <w:spacing w:val="1"/>
          <w:szCs w:val="21"/>
        </w:rPr>
        <w:t>人基本情况表”</w:t>
      </w:r>
      <w:r>
        <w:rPr>
          <w:rFonts w:hint="eastAsia" w:ascii="宋体" w:hAnsi="宋体" w:cs="宋体"/>
          <w:szCs w:val="21"/>
          <w:u w:val="single"/>
        </w:rPr>
        <w:t>（格式见招标文件第六章）</w:t>
      </w:r>
      <w:r>
        <w:rPr>
          <w:rFonts w:hint="eastAsia" w:ascii="宋体" w:hAnsi="宋体" w:cs="宋体"/>
          <w:spacing w:val="1"/>
          <w:szCs w:val="21"/>
        </w:rPr>
        <w:t>应附投标人营业执照和组织机构代码证的</w:t>
      </w:r>
      <w:r>
        <w:rPr>
          <w:rFonts w:hint="eastAsia" w:ascii="宋体" w:hAnsi="宋体" w:cs="宋体"/>
          <w:spacing w:val="-2"/>
          <w:u w:val="single"/>
        </w:rPr>
        <w:t>扫描</w:t>
      </w:r>
      <w:r>
        <w:rPr>
          <w:rFonts w:hint="eastAsia" w:ascii="宋体" w:hAnsi="宋体" w:cs="宋体"/>
          <w:spacing w:val="-2"/>
        </w:rPr>
        <w:t>件</w:t>
      </w:r>
      <w:r>
        <w:rPr>
          <w:rFonts w:hint="eastAsia" w:ascii="宋体" w:hAnsi="宋体" w:cs="宋体"/>
          <w:spacing w:val="1"/>
          <w:szCs w:val="21"/>
        </w:rPr>
        <w:t>(按照“三证合一”</w:t>
      </w:r>
      <w:r>
        <w:rPr>
          <w:rFonts w:hint="eastAsia" w:ascii="宋体" w:hAnsi="宋体" w:cs="宋体"/>
          <w:spacing w:val="-6"/>
          <w:szCs w:val="21"/>
        </w:rPr>
        <w:t>或“五证合一”登记</w:t>
      </w:r>
      <w:r>
        <w:rPr>
          <w:rFonts w:hint="eastAsia" w:ascii="宋体" w:hAnsi="宋体" w:cs="宋体"/>
          <w:spacing w:val="-3"/>
          <w:szCs w:val="21"/>
        </w:rPr>
        <w:t>制度进行登记的，可仅提供营业执照</w:t>
      </w:r>
      <w:r>
        <w:rPr>
          <w:rFonts w:hint="eastAsia" w:ascii="宋体" w:hAnsi="宋体" w:cs="宋体"/>
          <w:spacing w:val="-2"/>
          <w:u w:val="single"/>
        </w:rPr>
        <w:t>扫描</w:t>
      </w:r>
      <w:r>
        <w:rPr>
          <w:rFonts w:hint="eastAsia" w:ascii="宋体" w:hAnsi="宋体" w:cs="宋体"/>
          <w:spacing w:val="-2"/>
        </w:rPr>
        <w:t>件</w:t>
      </w:r>
      <w:r>
        <w:rPr>
          <w:rFonts w:hint="eastAsia" w:ascii="宋体" w:hAnsi="宋体" w:cs="宋体"/>
          <w:spacing w:val="-3"/>
          <w:szCs w:val="21"/>
        </w:rPr>
        <w:t>)、投标人监理资质证书副本等材</w:t>
      </w:r>
      <w:r>
        <w:rPr>
          <w:rFonts w:hint="eastAsia" w:ascii="宋体" w:hAnsi="宋体" w:cs="宋体"/>
          <w:spacing w:val="-1"/>
          <w:szCs w:val="21"/>
        </w:rPr>
        <w:t>料的</w:t>
      </w:r>
      <w:r>
        <w:rPr>
          <w:rFonts w:hint="eastAsia" w:ascii="宋体" w:hAnsi="宋体" w:cs="宋体"/>
          <w:spacing w:val="-2"/>
          <w:u w:val="single"/>
        </w:rPr>
        <w:t>扫描</w:t>
      </w:r>
      <w:r>
        <w:rPr>
          <w:rFonts w:hint="eastAsia" w:ascii="宋体" w:hAnsi="宋体" w:cs="宋体"/>
          <w:spacing w:val="-2"/>
        </w:rPr>
        <w:t>件</w:t>
      </w:r>
      <w:r>
        <w:rPr>
          <w:rFonts w:hint="eastAsia" w:ascii="宋体" w:hAnsi="宋体" w:cs="宋体"/>
          <w:szCs w:val="21"/>
        </w:rPr>
        <w:t>。</w:t>
      </w:r>
      <w:r>
        <w:rPr>
          <w:rFonts w:hint="eastAsia" w:ascii="宋体" w:hAnsi="宋体" w:cs="宋体"/>
          <w:szCs w:val="21"/>
          <w:u w:val="single"/>
        </w:rPr>
        <w:t>香港企业参加投标的，须提供在广东省住房和城乡建设主管部门备案且备案的业务范围满足本项目资质要求的证明材料扫描件。</w:t>
      </w:r>
    </w:p>
    <w:p w14:paraId="497A04C1">
      <w:pPr>
        <w:spacing w:before="1" w:line="359" w:lineRule="auto"/>
        <w:ind w:left="9" w:right="72" w:firstLine="411"/>
        <w:rPr>
          <w:rFonts w:ascii="宋体" w:hAnsi="宋体" w:cs="宋体"/>
          <w:strike/>
          <w:szCs w:val="21"/>
        </w:rPr>
      </w:pPr>
      <w:r>
        <w:rPr>
          <w:rFonts w:hint="eastAsia" w:ascii="宋体" w:hAnsi="宋体" w:cs="宋体"/>
          <w:spacing w:val="-1"/>
          <w:szCs w:val="21"/>
        </w:rPr>
        <w:t>3.5.2 “拟委任的主要人员汇总表”应填报满足本章第 1.4.1 项规定的总监理工程师和其他主要人员的相关信息。“主要人员简历表”中总监理工程师应附身份证、学历证、职称证、注册监理工程师执业证书和社保缴费证明</w:t>
      </w:r>
      <w:r>
        <w:rPr>
          <w:rFonts w:hint="eastAsia" w:ascii="宋体" w:hAnsi="宋体" w:cs="宋体"/>
          <w:spacing w:val="-2"/>
          <w:u w:val="single"/>
        </w:rPr>
        <w:t>扫描</w:t>
      </w:r>
      <w:r>
        <w:rPr>
          <w:rFonts w:hint="eastAsia" w:ascii="宋体" w:hAnsi="宋体" w:cs="宋体"/>
          <w:spacing w:val="-2"/>
        </w:rPr>
        <w:t>件</w:t>
      </w:r>
      <w:r>
        <w:rPr>
          <w:rFonts w:hint="eastAsia" w:ascii="宋体" w:hAnsi="宋体" w:cs="宋体"/>
          <w:spacing w:val="-1"/>
          <w:szCs w:val="21"/>
        </w:rPr>
        <w:t>，管理过的项目业绩须附合同协议书</w:t>
      </w:r>
      <w:r>
        <w:rPr>
          <w:rFonts w:hint="eastAsia" w:ascii="宋体" w:hAnsi="宋体" w:cs="宋体"/>
          <w:spacing w:val="-2"/>
          <w:u w:val="single"/>
        </w:rPr>
        <w:t>扫描</w:t>
      </w:r>
      <w:r>
        <w:rPr>
          <w:rFonts w:hint="eastAsia" w:ascii="宋体" w:hAnsi="宋体" w:cs="宋体"/>
          <w:spacing w:val="-2"/>
        </w:rPr>
        <w:t>件</w:t>
      </w:r>
      <w:r>
        <w:rPr>
          <w:rFonts w:hint="eastAsia" w:ascii="宋体" w:hAnsi="宋体" w:cs="宋体"/>
          <w:spacing w:val="-1"/>
          <w:szCs w:val="21"/>
        </w:rPr>
        <w:t>；其他主要人员应附身</w:t>
      </w:r>
    </w:p>
    <w:p w14:paraId="69153993">
      <w:pPr>
        <w:spacing w:before="1" w:line="359" w:lineRule="auto"/>
        <w:ind w:left="9" w:right="72" w:firstLine="411"/>
        <w:rPr>
          <w:rFonts w:ascii="宋体" w:hAnsi="宋体" w:cs="宋体"/>
          <w:strike/>
          <w:szCs w:val="21"/>
        </w:rPr>
      </w:pPr>
      <w:r>
        <w:rPr>
          <w:rFonts w:hint="eastAsia" w:ascii="宋体" w:hAnsi="宋体" w:cs="宋体"/>
          <w:szCs w:val="21"/>
        </w:rPr>
        <w:t>3.5.3</w:t>
      </w:r>
      <w:r>
        <w:rPr>
          <w:rFonts w:hint="eastAsia" w:ascii="宋体" w:hAnsi="宋体" w:cs="宋体"/>
          <w:kern w:val="0"/>
          <w:szCs w:val="21"/>
          <w:u w:val="single"/>
        </w:rPr>
        <w:t>资格审查</w:t>
      </w:r>
      <w:r>
        <w:rPr>
          <w:rFonts w:hint="eastAsia" w:ascii="宋体" w:hAnsi="宋体" w:cs="宋体"/>
          <w:szCs w:val="21"/>
          <w:u w:val="single"/>
        </w:rPr>
        <w:t>前，投标人须在广州市住建行业信用管理平台建立了企业信用档案及拟担任本工程总监理工程师须是本企业信用档案中的在册人员</w:t>
      </w:r>
      <w:r>
        <w:rPr>
          <w:rFonts w:hint="eastAsia" w:ascii="宋体" w:hAnsi="宋体" w:cs="宋体"/>
          <w:kern w:val="0"/>
          <w:szCs w:val="21"/>
          <w:u w:val="single"/>
        </w:rPr>
        <w:t>。企业信用档案取自投标截止时间投标人在信用管理平台的信息，投标人无需提交相关资料，若招标人延长递交投标文件截止时间的，信用档案信息的评审时点也相应延长。</w:t>
      </w:r>
    </w:p>
    <w:p w14:paraId="6E4EB7F5">
      <w:pPr>
        <w:spacing w:before="141" w:line="360" w:lineRule="auto"/>
        <w:ind w:left="140"/>
        <w:rPr>
          <w:rFonts w:ascii="宋体" w:hAnsi="宋体" w:cs="宋体"/>
          <w:sz w:val="28"/>
          <w:szCs w:val="28"/>
        </w:rPr>
      </w:pPr>
      <w:r>
        <w:rPr>
          <w:rFonts w:hint="eastAsia" w:ascii="宋体" w:hAnsi="宋体" w:cs="宋体"/>
          <w:spacing w:val="-1"/>
          <w:sz w:val="28"/>
          <w:szCs w:val="28"/>
        </w:rPr>
        <w:t>3.6  备选投</w:t>
      </w:r>
      <w:r>
        <w:rPr>
          <w:rFonts w:hint="eastAsia" w:ascii="宋体" w:hAnsi="宋体" w:cs="宋体"/>
          <w:sz w:val="28"/>
          <w:szCs w:val="28"/>
        </w:rPr>
        <w:t>标方案</w:t>
      </w:r>
    </w:p>
    <w:p w14:paraId="5CF41FFF">
      <w:pPr>
        <w:spacing w:before="69" w:line="351" w:lineRule="auto"/>
        <w:ind w:left="7" w:right="74" w:firstLine="413"/>
        <w:rPr>
          <w:rFonts w:ascii="宋体" w:hAnsi="宋体" w:cs="宋体"/>
          <w:szCs w:val="21"/>
        </w:rPr>
      </w:pPr>
      <w:r>
        <w:rPr>
          <w:rFonts w:hint="eastAsia" w:ascii="宋体" w:hAnsi="宋体" w:cs="宋体"/>
          <w:spacing w:val="-8"/>
          <w:szCs w:val="21"/>
        </w:rPr>
        <w:t>3</w:t>
      </w:r>
      <w:r>
        <w:rPr>
          <w:rFonts w:hint="eastAsia" w:ascii="宋体" w:hAnsi="宋体" w:cs="宋体"/>
          <w:spacing w:val="-6"/>
          <w:szCs w:val="21"/>
        </w:rPr>
        <w:t>.</w:t>
      </w:r>
      <w:r>
        <w:rPr>
          <w:rFonts w:hint="eastAsia" w:ascii="宋体" w:hAnsi="宋体" w:cs="宋体"/>
          <w:spacing w:val="-4"/>
          <w:szCs w:val="21"/>
        </w:rPr>
        <w:t>6.1  除投标人须知前附表规定允许外，投标人不得递交备选投标方案，否则其投标将被否</w:t>
      </w:r>
      <w:r>
        <w:rPr>
          <w:rFonts w:hint="eastAsia" w:ascii="宋体" w:hAnsi="宋体" w:cs="宋体"/>
          <w:spacing w:val="-12"/>
          <w:szCs w:val="21"/>
        </w:rPr>
        <w:t>决</w:t>
      </w:r>
      <w:r>
        <w:rPr>
          <w:rFonts w:hint="eastAsia" w:ascii="宋体" w:hAnsi="宋体" w:cs="宋体"/>
          <w:spacing w:val="-10"/>
          <w:szCs w:val="21"/>
        </w:rPr>
        <w:t>。</w:t>
      </w:r>
    </w:p>
    <w:p w14:paraId="1C7C6C5B">
      <w:pPr>
        <w:spacing w:before="2" w:line="351" w:lineRule="auto"/>
        <w:ind w:firstLine="421"/>
        <w:rPr>
          <w:rFonts w:ascii="宋体" w:hAnsi="宋体" w:cs="宋体"/>
          <w:szCs w:val="21"/>
        </w:rPr>
      </w:pPr>
      <w:r>
        <w:rPr>
          <w:rFonts w:hint="eastAsia" w:ascii="宋体" w:hAnsi="宋体" w:cs="宋体"/>
          <w:spacing w:val="-1"/>
          <w:szCs w:val="21"/>
        </w:rPr>
        <w:t xml:space="preserve">3.6.2 </w:t>
      </w:r>
      <w:r>
        <w:rPr>
          <w:rFonts w:hint="eastAsia" w:ascii="宋体" w:hAnsi="宋体" w:cs="宋体"/>
          <w:szCs w:val="21"/>
        </w:rPr>
        <w:t xml:space="preserve"> 允许投标人递交备选投标方案的，只有中标人所递交的备选投标方案方可予以考虑。</w:t>
      </w:r>
      <w:r>
        <w:rPr>
          <w:rFonts w:hint="eastAsia" w:ascii="宋体" w:hAnsi="宋体" w:cs="宋体"/>
          <w:spacing w:val="1"/>
          <w:szCs w:val="21"/>
        </w:rPr>
        <w:t>评标委员会认为中标人的备选投标方案优于其按照招标文</w:t>
      </w:r>
      <w:r>
        <w:rPr>
          <w:rFonts w:hint="eastAsia" w:ascii="宋体" w:hAnsi="宋体" w:cs="宋体"/>
          <w:szCs w:val="21"/>
        </w:rPr>
        <w:t>件要求编制的投标方案的，招标人可</w:t>
      </w:r>
      <w:r>
        <w:rPr>
          <w:rFonts w:hint="eastAsia" w:ascii="宋体" w:hAnsi="宋体" w:cs="宋体"/>
          <w:spacing w:val="-2"/>
          <w:szCs w:val="21"/>
        </w:rPr>
        <w:t>以接受该备选投标</w:t>
      </w:r>
      <w:r>
        <w:rPr>
          <w:rFonts w:hint="eastAsia" w:ascii="宋体" w:hAnsi="宋体" w:cs="宋体"/>
          <w:spacing w:val="-1"/>
          <w:szCs w:val="21"/>
        </w:rPr>
        <w:t>方案。</w:t>
      </w:r>
    </w:p>
    <w:p w14:paraId="6C55960E">
      <w:pPr>
        <w:spacing w:line="361" w:lineRule="auto"/>
        <w:ind w:left="1" w:right="74" w:firstLine="419"/>
        <w:rPr>
          <w:rFonts w:ascii="宋体" w:hAnsi="宋体" w:cs="宋体"/>
          <w:szCs w:val="21"/>
        </w:rPr>
      </w:pPr>
      <w:r>
        <w:rPr>
          <w:rFonts w:hint="eastAsia" w:ascii="宋体" w:hAnsi="宋体" w:cs="宋体"/>
          <w:spacing w:val="-2"/>
          <w:szCs w:val="21"/>
        </w:rPr>
        <w:t>3.6.3  投标人提供两个或两个以上投标报价，或者在投标文件中提供一个报价，但</w:t>
      </w:r>
      <w:r>
        <w:rPr>
          <w:rFonts w:hint="eastAsia" w:ascii="宋体" w:hAnsi="宋体" w:cs="宋体"/>
          <w:spacing w:val="-1"/>
          <w:szCs w:val="21"/>
        </w:rPr>
        <w:t>同</w:t>
      </w:r>
      <w:r>
        <w:rPr>
          <w:rFonts w:hint="eastAsia" w:ascii="宋体" w:hAnsi="宋体" w:cs="宋体"/>
          <w:szCs w:val="21"/>
        </w:rPr>
        <w:t>时提供</w:t>
      </w:r>
      <w:bookmarkStart w:id="186" w:name="_bookmark47"/>
      <w:bookmarkEnd w:id="186"/>
      <w:r>
        <w:rPr>
          <w:rFonts w:hint="eastAsia" w:ascii="宋体" w:hAnsi="宋体" w:cs="宋体"/>
          <w:spacing w:val="-10"/>
          <w:szCs w:val="21"/>
        </w:rPr>
        <w:t>两</w:t>
      </w:r>
      <w:r>
        <w:rPr>
          <w:rFonts w:hint="eastAsia" w:ascii="宋体" w:hAnsi="宋体" w:cs="宋体"/>
          <w:spacing w:val="-9"/>
          <w:szCs w:val="21"/>
        </w:rPr>
        <w:t>个</w:t>
      </w:r>
      <w:r>
        <w:rPr>
          <w:rFonts w:hint="eastAsia" w:ascii="宋体" w:hAnsi="宋体" w:cs="宋体"/>
          <w:spacing w:val="-5"/>
          <w:szCs w:val="21"/>
        </w:rPr>
        <w:t>或两个以上监理方案的，视为提供备选方案。</w:t>
      </w:r>
    </w:p>
    <w:p w14:paraId="2A6A7D5D">
      <w:pPr>
        <w:spacing w:before="141" w:line="360" w:lineRule="auto"/>
        <w:ind w:left="140"/>
        <w:rPr>
          <w:rFonts w:ascii="宋体" w:hAnsi="宋体" w:cs="宋体"/>
          <w:sz w:val="28"/>
          <w:szCs w:val="28"/>
        </w:rPr>
      </w:pPr>
      <w:r>
        <w:rPr>
          <w:rFonts w:hint="eastAsia" w:ascii="宋体" w:hAnsi="宋体" w:cs="宋体"/>
          <w:spacing w:val="-1"/>
          <w:sz w:val="28"/>
          <w:szCs w:val="28"/>
        </w:rPr>
        <w:t>3.7  投标文件</w:t>
      </w:r>
      <w:r>
        <w:rPr>
          <w:rFonts w:hint="eastAsia" w:ascii="宋体" w:hAnsi="宋体" w:cs="宋体"/>
          <w:sz w:val="28"/>
          <w:szCs w:val="28"/>
        </w:rPr>
        <w:t>的编制</w:t>
      </w:r>
    </w:p>
    <w:p w14:paraId="52583060">
      <w:pPr>
        <w:spacing w:before="68" w:line="352" w:lineRule="auto"/>
        <w:ind w:right="74" w:firstLine="421"/>
        <w:rPr>
          <w:rFonts w:ascii="宋体" w:hAnsi="宋体" w:cs="宋体"/>
          <w:szCs w:val="21"/>
        </w:rPr>
      </w:pPr>
      <w:r>
        <w:rPr>
          <w:rFonts w:hint="eastAsia" w:ascii="宋体" w:hAnsi="宋体" w:cs="宋体"/>
          <w:spacing w:val="-10"/>
          <w:szCs w:val="21"/>
        </w:rPr>
        <w:t xml:space="preserve">3.7.1 </w:t>
      </w:r>
      <w:r>
        <w:rPr>
          <w:rFonts w:hint="eastAsia" w:ascii="宋体" w:hAnsi="宋体" w:cs="宋体"/>
          <w:spacing w:val="-7"/>
          <w:szCs w:val="21"/>
        </w:rPr>
        <w:t xml:space="preserve"> </w:t>
      </w:r>
      <w:r>
        <w:rPr>
          <w:rFonts w:hint="eastAsia" w:ascii="宋体" w:hAnsi="宋体" w:cs="宋体"/>
          <w:spacing w:val="-5"/>
          <w:szCs w:val="21"/>
        </w:rPr>
        <w:t>投标文件应按第六章“投标文件格式”进行编写，如有必要，可以增加附页，作为投标</w:t>
      </w:r>
      <w:r>
        <w:rPr>
          <w:rFonts w:hint="eastAsia" w:ascii="宋体" w:hAnsi="宋体" w:cs="宋体"/>
          <w:spacing w:val="-12"/>
          <w:szCs w:val="21"/>
        </w:rPr>
        <w:t>文件的组</w:t>
      </w:r>
      <w:r>
        <w:rPr>
          <w:rFonts w:hint="eastAsia" w:ascii="宋体" w:hAnsi="宋体" w:cs="宋体"/>
          <w:spacing w:val="-8"/>
          <w:szCs w:val="21"/>
        </w:rPr>
        <w:t>成</w:t>
      </w:r>
      <w:r>
        <w:rPr>
          <w:rFonts w:hint="eastAsia" w:ascii="宋体" w:hAnsi="宋体" w:cs="宋体"/>
          <w:spacing w:val="-6"/>
          <w:szCs w:val="21"/>
        </w:rPr>
        <w:t>部分。其中，投标函附录在满足招标文件实质性要求的基础上，可以提出比招标文</w:t>
      </w:r>
      <w:r>
        <w:rPr>
          <w:rFonts w:hint="eastAsia" w:ascii="宋体" w:hAnsi="宋体" w:cs="宋体"/>
          <w:spacing w:val="-2"/>
          <w:szCs w:val="21"/>
        </w:rPr>
        <w:t>件要求更有利于招标人</w:t>
      </w:r>
      <w:r>
        <w:rPr>
          <w:rFonts w:hint="eastAsia" w:ascii="宋体" w:hAnsi="宋体" w:cs="宋体"/>
          <w:spacing w:val="-1"/>
          <w:szCs w:val="21"/>
        </w:rPr>
        <w:t>的承诺。</w:t>
      </w:r>
    </w:p>
    <w:p w14:paraId="1C44B9AE">
      <w:pPr>
        <w:spacing w:before="2" w:line="351" w:lineRule="auto"/>
        <w:ind w:left="5" w:right="74" w:firstLine="415"/>
        <w:rPr>
          <w:rFonts w:ascii="宋体" w:hAnsi="宋体" w:cs="宋体"/>
          <w:szCs w:val="21"/>
        </w:rPr>
      </w:pPr>
      <w:r>
        <w:rPr>
          <w:rFonts w:hint="eastAsia" w:ascii="宋体" w:hAnsi="宋体" w:cs="宋体"/>
          <w:spacing w:val="-2"/>
          <w:szCs w:val="21"/>
        </w:rPr>
        <w:t>3.7.2  投标文件应当对招标文件有关监理服务期限、投标有效期、委托人要求、招</w:t>
      </w:r>
      <w:r>
        <w:rPr>
          <w:rFonts w:hint="eastAsia" w:ascii="宋体" w:hAnsi="宋体" w:cs="宋体"/>
          <w:spacing w:val="-1"/>
          <w:szCs w:val="21"/>
        </w:rPr>
        <w:t>标</w:t>
      </w:r>
      <w:r>
        <w:rPr>
          <w:rFonts w:hint="eastAsia" w:ascii="宋体" w:hAnsi="宋体" w:cs="宋体"/>
          <w:szCs w:val="21"/>
        </w:rPr>
        <w:t>范围等</w:t>
      </w:r>
      <w:r>
        <w:rPr>
          <w:rFonts w:hint="eastAsia" w:ascii="宋体" w:hAnsi="宋体" w:cs="宋体"/>
          <w:spacing w:val="-1"/>
          <w:szCs w:val="21"/>
        </w:rPr>
        <w:t>实质性内容作出响应。</w:t>
      </w:r>
    </w:p>
    <w:p w14:paraId="139403C8">
      <w:pPr>
        <w:spacing w:before="1" w:line="355" w:lineRule="auto"/>
        <w:ind w:right="2" w:firstLine="420"/>
        <w:rPr>
          <w:rFonts w:ascii="宋体" w:hAnsi="宋体" w:cs="宋体"/>
          <w:szCs w:val="21"/>
        </w:rPr>
      </w:pPr>
      <w:r>
        <w:rPr>
          <w:rFonts w:hint="eastAsia" w:ascii="宋体" w:hAnsi="宋体" w:cs="宋体"/>
          <w:spacing w:val="-1"/>
          <w:szCs w:val="21"/>
        </w:rPr>
        <w:t>3.7.3  (</w:t>
      </w:r>
      <w:r>
        <w:rPr>
          <w:rFonts w:hint="eastAsia" w:ascii="宋体" w:hAnsi="宋体" w:cs="宋体"/>
          <w:szCs w:val="21"/>
        </w:rPr>
        <w:t>B</w:t>
      </w:r>
      <w:r>
        <w:rPr>
          <w:rFonts w:hint="eastAsia" w:ascii="宋体" w:hAnsi="宋体" w:cs="宋体"/>
          <w:spacing w:val="-1"/>
          <w:szCs w:val="21"/>
        </w:rPr>
        <w:t>) 投标文件全部</w:t>
      </w:r>
      <w:r>
        <w:rPr>
          <w:rFonts w:hint="eastAsia" w:ascii="宋体" w:hAnsi="宋体" w:cs="宋体"/>
          <w:szCs w:val="21"/>
        </w:rPr>
        <w:t>采用电子文档，除投标人须知前附表另有规定外，投标文件所附</w:t>
      </w:r>
      <w:r>
        <w:rPr>
          <w:rFonts w:hint="eastAsia" w:ascii="宋体" w:hAnsi="宋体" w:cs="宋体"/>
          <w:spacing w:val="1"/>
          <w:szCs w:val="21"/>
        </w:rPr>
        <w:t>证书证件均为原件扫描件，并采用单位和个人数字证书，</w:t>
      </w:r>
      <w:r>
        <w:rPr>
          <w:rFonts w:hint="eastAsia" w:ascii="宋体" w:hAnsi="宋体" w:cs="宋体"/>
          <w:szCs w:val="21"/>
        </w:rPr>
        <w:t>按招标文件要求在相应位置加盖电子</w:t>
      </w:r>
      <w:r>
        <w:rPr>
          <w:rFonts w:hint="eastAsia" w:ascii="宋体" w:hAnsi="宋体" w:cs="宋体"/>
          <w:spacing w:val="1"/>
          <w:szCs w:val="21"/>
        </w:rPr>
        <w:t>印章。由投标人的法定代表人签字或加盖电子印章的，</w:t>
      </w:r>
      <w:r>
        <w:rPr>
          <w:rFonts w:hint="eastAsia" w:ascii="宋体" w:hAnsi="宋体" w:cs="宋体"/>
          <w:szCs w:val="21"/>
        </w:rPr>
        <w:t>应附法定代表人身份证明，由代理人签</w:t>
      </w:r>
      <w:r>
        <w:rPr>
          <w:rFonts w:hint="eastAsia" w:ascii="宋体" w:hAnsi="宋体" w:cs="宋体"/>
          <w:spacing w:val="1"/>
          <w:szCs w:val="21"/>
        </w:rPr>
        <w:t>字或加盖电子印章的，应附由法定代表人签署的授权委</w:t>
      </w:r>
      <w:r>
        <w:rPr>
          <w:rFonts w:hint="eastAsia" w:ascii="宋体" w:hAnsi="宋体" w:cs="宋体"/>
          <w:szCs w:val="21"/>
        </w:rPr>
        <w:t>托书。签字或盖章的具体要求见投标人</w:t>
      </w:r>
      <w:r>
        <w:rPr>
          <w:rFonts w:hint="eastAsia" w:ascii="宋体" w:hAnsi="宋体" w:cs="宋体"/>
          <w:spacing w:val="-1"/>
          <w:szCs w:val="21"/>
        </w:rPr>
        <w:t>须知前附表</w:t>
      </w:r>
      <w:r>
        <w:rPr>
          <w:rFonts w:hint="eastAsia" w:ascii="宋体" w:hAnsi="宋体" w:cs="宋体"/>
          <w:szCs w:val="21"/>
        </w:rPr>
        <w:t>。</w:t>
      </w:r>
    </w:p>
    <w:p w14:paraId="3061D2A5">
      <w:pPr>
        <w:spacing w:before="150" w:line="360" w:lineRule="auto"/>
        <w:outlineLvl w:val="0"/>
        <w:rPr>
          <w:rFonts w:ascii="宋体" w:hAnsi="宋体" w:cs="宋体"/>
          <w:sz w:val="31"/>
          <w:szCs w:val="31"/>
        </w:rPr>
      </w:pPr>
      <w:bookmarkStart w:id="187" w:name="_bookmark48"/>
      <w:bookmarkEnd w:id="187"/>
      <w:bookmarkStart w:id="188" w:name="_bookmark49"/>
      <w:bookmarkEnd w:id="188"/>
      <w:bookmarkStart w:id="189" w:name="_Toc29452"/>
      <w:bookmarkStart w:id="190" w:name="_Toc2380"/>
      <w:bookmarkStart w:id="191" w:name="_Toc17913"/>
      <w:bookmarkStart w:id="192" w:name="_Toc27214"/>
      <w:bookmarkStart w:id="193" w:name="_Toc15768"/>
      <w:bookmarkStart w:id="194" w:name="_Toc23771"/>
      <w:bookmarkStart w:id="195" w:name="_Toc17076"/>
      <w:bookmarkStart w:id="196" w:name="_Toc14912"/>
      <w:bookmarkStart w:id="197" w:name="_Toc21554"/>
      <w:bookmarkStart w:id="198" w:name="_Toc23010"/>
      <w:bookmarkStart w:id="199" w:name="_Toc4495"/>
      <w:bookmarkStart w:id="200" w:name="_Toc22638"/>
      <w:bookmarkStart w:id="201" w:name="_Toc23707"/>
      <w:bookmarkStart w:id="202" w:name="_Toc3814"/>
      <w:r>
        <w:rPr>
          <w:rFonts w:hint="eastAsia" w:ascii="宋体" w:hAnsi="宋体" w:cs="宋体"/>
          <w:b/>
          <w:bCs/>
          <w:spacing w:val="6"/>
          <w:sz w:val="31"/>
          <w:szCs w:val="31"/>
        </w:rPr>
        <w:t>4</w:t>
      </w:r>
      <w:r>
        <w:rPr>
          <w:rFonts w:hint="eastAsia" w:ascii="宋体" w:hAnsi="宋体" w:cs="宋体"/>
          <w:b/>
          <w:bCs/>
          <w:spacing w:val="4"/>
          <w:sz w:val="31"/>
          <w:szCs w:val="31"/>
        </w:rPr>
        <w:t>.</w:t>
      </w:r>
      <w:r>
        <w:rPr>
          <w:rFonts w:hint="eastAsia" w:ascii="宋体" w:hAnsi="宋体" w:cs="宋体"/>
          <w:spacing w:val="4"/>
          <w:sz w:val="31"/>
          <w:szCs w:val="31"/>
        </w:rPr>
        <w:t xml:space="preserve">  投标</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33DAC641">
      <w:pPr>
        <w:spacing w:before="91" w:line="360" w:lineRule="auto"/>
        <w:ind w:left="133"/>
        <w:rPr>
          <w:rFonts w:ascii="宋体" w:hAnsi="宋体" w:cs="宋体"/>
          <w:sz w:val="28"/>
          <w:szCs w:val="28"/>
        </w:rPr>
      </w:pPr>
      <w:r>
        <w:rPr>
          <w:rFonts w:hint="eastAsia" w:ascii="宋体" w:hAnsi="宋体" w:cs="宋体"/>
          <w:spacing w:val="-1"/>
          <w:sz w:val="28"/>
          <w:szCs w:val="28"/>
        </w:rPr>
        <w:t>4.</w:t>
      </w:r>
      <w:r>
        <w:rPr>
          <w:rFonts w:hint="eastAsia" w:ascii="宋体" w:hAnsi="宋体" w:cs="宋体"/>
          <w:sz w:val="28"/>
          <w:szCs w:val="28"/>
        </w:rPr>
        <w:t>1  投标文件的密封和标记</w:t>
      </w:r>
    </w:p>
    <w:p w14:paraId="6AF47BEF">
      <w:pPr>
        <w:spacing w:before="1" w:line="351" w:lineRule="auto"/>
        <w:ind w:left="1" w:firstLine="414"/>
        <w:rPr>
          <w:rFonts w:ascii="宋体" w:hAnsi="宋体" w:cs="宋体"/>
          <w:szCs w:val="21"/>
        </w:rPr>
      </w:pPr>
      <w:r>
        <w:rPr>
          <w:rFonts w:hint="eastAsia" w:ascii="宋体" w:hAnsi="宋体" w:cs="宋体"/>
          <w:spacing w:val="-1"/>
          <w:szCs w:val="21"/>
        </w:rPr>
        <w:t>4.1</w:t>
      </w:r>
      <w:r>
        <w:rPr>
          <w:rFonts w:hint="eastAsia" w:ascii="宋体" w:hAnsi="宋体" w:cs="宋体"/>
          <w:szCs w:val="21"/>
        </w:rPr>
        <w:t>.1  (B) 投标人应当按照招标文件和电子招标投标交易平台的要求加密投标文件，具体</w:t>
      </w:r>
      <w:r>
        <w:rPr>
          <w:rFonts w:hint="eastAsia" w:ascii="宋体" w:hAnsi="宋体" w:cs="宋体"/>
          <w:spacing w:val="-1"/>
          <w:szCs w:val="21"/>
        </w:rPr>
        <w:t>要求见投标人</w:t>
      </w:r>
      <w:r>
        <w:rPr>
          <w:rFonts w:hint="eastAsia" w:ascii="宋体" w:hAnsi="宋体" w:cs="宋体"/>
          <w:szCs w:val="21"/>
        </w:rPr>
        <w:t>须知前附表。</w:t>
      </w:r>
    </w:p>
    <w:p w14:paraId="4043753D">
      <w:pPr>
        <w:spacing w:line="360" w:lineRule="auto"/>
        <w:ind w:left="100" w:right="-20" w:firstLine="420" w:firstLineChars="200"/>
        <w:jc w:val="left"/>
        <w:rPr>
          <w:rFonts w:ascii="宋体" w:hAnsi="宋体" w:cs="宋体"/>
          <w:szCs w:val="21"/>
        </w:rPr>
      </w:pPr>
      <w:r>
        <w:rPr>
          <w:rFonts w:hint="eastAsia" w:ascii="宋体" w:hAnsi="宋体" w:cs="宋体"/>
          <w:szCs w:val="21"/>
        </w:rPr>
        <w:t xml:space="preserve">4.1.2 </w:t>
      </w:r>
      <w:r>
        <w:rPr>
          <w:rFonts w:hint="eastAsia" w:ascii="宋体" w:hAnsi="宋体" w:cs="宋体"/>
          <w:szCs w:val="21"/>
          <w:u w:val="single"/>
        </w:rPr>
        <w:t>如有提交备用投标文件电子光盘，封套上应写明的内容见投标人须知前附表。</w:t>
      </w:r>
    </w:p>
    <w:p w14:paraId="76F570E9">
      <w:pPr>
        <w:spacing w:line="360" w:lineRule="auto"/>
        <w:ind w:left="100" w:right="-20" w:firstLine="420" w:firstLineChars="200"/>
        <w:jc w:val="left"/>
        <w:rPr>
          <w:rFonts w:ascii="宋体" w:hAnsi="宋体" w:cs="宋体"/>
          <w:szCs w:val="21"/>
        </w:rPr>
      </w:pPr>
      <w:r>
        <w:rPr>
          <w:rFonts w:hint="eastAsia" w:ascii="宋体" w:hAnsi="宋体" w:cs="宋体"/>
          <w:szCs w:val="21"/>
        </w:rPr>
        <w:t>4.1.3</w:t>
      </w:r>
      <w:bookmarkStart w:id="203" w:name="_Hlk66894420"/>
      <w:r>
        <w:rPr>
          <w:rFonts w:hint="eastAsia" w:ascii="宋体" w:hAnsi="宋体" w:cs="宋体"/>
          <w:szCs w:val="21"/>
          <w:u w:val="single"/>
        </w:rPr>
        <w:t>投标人在投标截止期后逾期或未在指定地点递交备用投标文件电子光盘的，或投标人递交的备用投标文件电子光盘未按招标文件要求密封或未在密封处盖章的，或投标人代表未凭法定代表人证明书原件、授权委托书原件（仅限于非法定代表人）、本人身份证原件按要求递交备用投标文件电子光盘的，招标人将予以拒收。</w:t>
      </w:r>
      <w:bookmarkEnd w:id="203"/>
    </w:p>
    <w:p w14:paraId="40F98CFC">
      <w:pPr>
        <w:spacing w:before="1" w:line="360" w:lineRule="auto"/>
        <w:ind w:left="133"/>
        <w:rPr>
          <w:rFonts w:ascii="宋体" w:hAnsi="宋体" w:cs="宋体"/>
          <w:sz w:val="28"/>
          <w:szCs w:val="28"/>
        </w:rPr>
      </w:pPr>
      <w:r>
        <w:rPr>
          <w:rFonts w:hint="eastAsia" w:ascii="宋体" w:hAnsi="宋体" w:cs="宋体"/>
          <w:spacing w:val="-1"/>
          <w:sz w:val="28"/>
          <w:szCs w:val="28"/>
        </w:rPr>
        <w:t>4.</w:t>
      </w:r>
      <w:r>
        <w:rPr>
          <w:rFonts w:hint="eastAsia" w:ascii="宋体" w:hAnsi="宋体" w:cs="宋体"/>
          <w:sz w:val="28"/>
          <w:szCs w:val="28"/>
        </w:rPr>
        <w:t>2  投标文件的递交</w:t>
      </w:r>
    </w:p>
    <w:p w14:paraId="40A28094">
      <w:pPr>
        <w:spacing w:before="68" w:line="220" w:lineRule="auto"/>
        <w:ind w:left="415"/>
        <w:rPr>
          <w:rFonts w:ascii="宋体" w:hAnsi="宋体" w:cs="宋体"/>
          <w:szCs w:val="21"/>
        </w:rPr>
      </w:pPr>
      <w:r>
        <w:rPr>
          <w:rFonts w:hint="eastAsia" w:ascii="宋体" w:hAnsi="宋体" w:cs="宋体"/>
          <w:spacing w:val="1"/>
          <w:szCs w:val="21"/>
        </w:rPr>
        <w:t>4</w:t>
      </w:r>
      <w:r>
        <w:rPr>
          <w:rFonts w:hint="eastAsia" w:ascii="宋体" w:hAnsi="宋体" w:cs="宋体"/>
          <w:szCs w:val="21"/>
        </w:rPr>
        <w:t>.2.1  投标人应在投标人须知前附表规定的投标截止时间前递交投标文件。</w:t>
      </w:r>
    </w:p>
    <w:p w14:paraId="352B9039">
      <w:pPr>
        <w:spacing w:before="150" w:line="221" w:lineRule="auto"/>
        <w:ind w:left="415"/>
        <w:rPr>
          <w:rFonts w:ascii="宋体" w:hAnsi="宋体" w:cs="宋体"/>
          <w:szCs w:val="21"/>
        </w:rPr>
      </w:pPr>
      <w:r>
        <w:rPr>
          <w:rFonts w:hint="eastAsia" w:ascii="宋体" w:hAnsi="宋体" w:cs="宋体"/>
          <w:spacing w:val="-1"/>
          <w:szCs w:val="21"/>
        </w:rPr>
        <w:t>4.2.2  (</w:t>
      </w:r>
      <w:r>
        <w:rPr>
          <w:rFonts w:hint="eastAsia" w:ascii="宋体" w:hAnsi="宋体" w:cs="宋体"/>
          <w:szCs w:val="21"/>
        </w:rPr>
        <w:t>B</w:t>
      </w:r>
      <w:r>
        <w:rPr>
          <w:rFonts w:hint="eastAsia" w:ascii="宋体" w:hAnsi="宋体" w:cs="宋体"/>
          <w:spacing w:val="-1"/>
          <w:szCs w:val="21"/>
        </w:rPr>
        <w:t>) 投标人通过下</w:t>
      </w:r>
      <w:r>
        <w:rPr>
          <w:rFonts w:hint="eastAsia" w:ascii="宋体" w:hAnsi="宋体" w:cs="宋体"/>
          <w:szCs w:val="21"/>
        </w:rPr>
        <w:t>载招标文件的电子招标投标交易平台递交电子投标文件。</w:t>
      </w:r>
    </w:p>
    <w:p w14:paraId="6348A81B">
      <w:pPr>
        <w:spacing w:before="151" w:line="220" w:lineRule="auto"/>
        <w:ind w:left="415"/>
        <w:rPr>
          <w:rFonts w:ascii="宋体" w:hAnsi="宋体" w:cs="宋体"/>
          <w:szCs w:val="21"/>
        </w:rPr>
      </w:pPr>
      <w:r>
        <w:rPr>
          <w:rFonts w:hint="eastAsia" w:ascii="宋体" w:hAnsi="宋体" w:cs="宋体"/>
          <w:spacing w:val="-1"/>
          <w:szCs w:val="21"/>
        </w:rPr>
        <w:t>4.2.3  除投标人须知前</w:t>
      </w:r>
      <w:r>
        <w:rPr>
          <w:rFonts w:hint="eastAsia" w:ascii="宋体" w:hAnsi="宋体" w:cs="宋体"/>
          <w:szCs w:val="21"/>
        </w:rPr>
        <w:t>附表另有规定外，投标人所递交的投标文件不予退还。</w:t>
      </w:r>
    </w:p>
    <w:p w14:paraId="756605FF">
      <w:pPr>
        <w:spacing w:before="150" w:line="351" w:lineRule="auto"/>
        <w:ind w:left="5" w:firstLine="410"/>
        <w:rPr>
          <w:rFonts w:ascii="宋体" w:hAnsi="宋体" w:cs="宋体"/>
          <w:szCs w:val="21"/>
        </w:rPr>
      </w:pPr>
      <w:r>
        <w:rPr>
          <w:rFonts w:hint="eastAsia" w:ascii="宋体" w:hAnsi="宋体" w:cs="宋体"/>
          <w:spacing w:val="-4"/>
          <w:szCs w:val="21"/>
        </w:rPr>
        <w:t xml:space="preserve">4.2.4 </w:t>
      </w:r>
      <w:r>
        <w:rPr>
          <w:rFonts w:hint="eastAsia" w:ascii="宋体" w:hAnsi="宋体" w:cs="宋体"/>
          <w:spacing w:val="-2"/>
          <w:szCs w:val="21"/>
        </w:rPr>
        <w:t xml:space="preserve"> (B) 投标人完成电子投标文件上传后，电子招标投标交易平台即时向投标人发出递</w:t>
      </w:r>
      <w:r>
        <w:rPr>
          <w:rFonts w:hint="eastAsia" w:ascii="宋体" w:hAnsi="宋体" w:cs="宋体"/>
          <w:spacing w:val="-1"/>
          <w:szCs w:val="21"/>
        </w:rPr>
        <w:t>交回执通知。递交时间以递交回执通知载明的传输</w:t>
      </w:r>
      <w:r>
        <w:rPr>
          <w:rFonts w:hint="eastAsia" w:ascii="宋体" w:hAnsi="宋体" w:cs="宋体"/>
          <w:szCs w:val="21"/>
        </w:rPr>
        <w:t>完成时间为准。</w:t>
      </w:r>
    </w:p>
    <w:p w14:paraId="660100F2">
      <w:pPr>
        <w:spacing w:before="149" w:line="221" w:lineRule="auto"/>
        <w:ind w:left="415"/>
        <w:rPr>
          <w:rFonts w:ascii="宋体" w:hAnsi="宋体" w:cs="宋体"/>
          <w:spacing w:val="2"/>
          <w:szCs w:val="21"/>
        </w:rPr>
      </w:pPr>
      <w:r>
        <w:rPr>
          <w:rFonts w:hint="eastAsia" w:ascii="宋体" w:hAnsi="宋体" w:cs="宋体"/>
          <w:spacing w:val="4"/>
          <w:szCs w:val="21"/>
        </w:rPr>
        <w:t xml:space="preserve">4.2.5  </w:t>
      </w:r>
      <w:r>
        <w:rPr>
          <w:rFonts w:hint="eastAsia" w:ascii="宋体" w:hAnsi="宋体" w:cs="宋体"/>
          <w:spacing w:val="2"/>
          <w:szCs w:val="21"/>
        </w:rPr>
        <w:t>(</w:t>
      </w:r>
      <w:r>
        <w:rPr>
          <w:rFonts w:hint="eastAsia" w:ascii="宋体" w:hAnsi="宋体" w:cs="宋体"/>
          <w:szCs w:val="21"/>
        </w:rPr>
        <w:t>B</w:t>
      </w:r>
      <w:r>
        <w:rPr>
          <w:rFonts w:hint="eastAsia" w:ascii="宋体" w:hAnsi="宋体" w:cs="宋体"/>
          <w:spacing w:val="2"/>
          <w:szCs w:val="21"/>
        </w:rPr>
        <w:t>)逾期送达的投标文件，电子招标投标交易平台将予以拒收。</w:t>
      </w:r>
    </w:p>
    <w:p w14:paraId="4F8E20C0">
      <w:pPr>
        <w:spacing w:before="91" w:line="360" w:lineRule="auto"/>
        <w:ind w:left="133"/>
        <w:rPr>
          <w:rFonts w:ascii="宋体" w:hAnsi="宋体" w:cs="宋体"/>
          <w:spacing w:val="-1"/>
          <w:sz w:val="28"/>
          <w:szCs w:val="28"/>
        </w:rPr>
      </w:pPr>
      <w:bookmarkStart w:id="204" w:name="_bookmark51"/>
      <w:bookmarkEnd w:id="204"/>
      <w:r>
        <w:rPr>
          <w:rFonts w:hint="eastAsia" w:ascii="宋体" w:hAnsi="宋体" w:cs="宋体"/>
          <w:spacing w:val="-1"/>
          <w:sz w:val="28"/>
          <w:szCs w:val="28"/>
        </w:rPr>
        <w:t>4.3  投标文件的修改与撤回</w:t>
      </w:r>
    </w:p>
    <w:p w14:paraId="1A8B419D">
      <w:pPr>
        <w:spacing w:before="69" w:line="351" w:lineRule="auto"/>
        <w:ind w:firstLine="416"/>
        <w:rPr>
          <w:rFonts w:ascii="宋体" w:hAnsi="宋体" w:cs="宋体"/>
          <w:szCs w:val="21"/>
        </w:rPr>
      </w:pPr>
      <w:r>
        <w:rPr>
          <w:rFonts w:hint="eastAsia" w:ascii="宋体" w:hAnsi="宋体" w:cs="宋体"/>
          <w:spacing w:val="-6"/>
          <w:szCs w:val="21"/>
        </w:rPr>
        <w:t xml:space="preserve">4.3.1  </w:t>
      </w:r>
      <w:r>
        <w:rPr>
          <w:rFonts w:hint="eastAsia" w:ascii="宋体" w:hAnsi="宋体" w:cs="宋体"/>
          <w:spacing w:val="-5"/>
          <w:szCs w:val="21"/>
        </w:rPr>
        <w:t>在</w:t>
      </w:r>
      <w:r>
        <w:rPr>
          <w:rFonts w:hint="eastAsia" w:ascii="宋体" w:hAnsi="宋体" w:cs="宋体"/>
          <w:spacing w:val="-3"/>
          <w:szCs w:val="21"/>
        </w:rPr>
        <w:t>本章第 4.2.1 项规定的投标截止时间前，投标人可以修改或撤回已递交的投标文件，</w:t>
      </w:r>
      <w:r>
        <w:rPr>
          <w:rFonts w:hint="eastAsia" w:ascii="宋体" w:hAnsi="宋体" w:cs="宋体"/>
          <w:spacing w:val="-2"/>
          <w:szCs w:val="21"/>
        </w:rPr>
        <w:t>但应以书面</w:t>
      </w:r>
      <w:r>
        <w:rPr>
          <w:rFonts w:hint="eastAsia" w:ascii="宋体" w:hAnsi="宋体" w:cs="宋体"/>
          <w:spacing w:val="-1"/>
          <w:szCs w:val="21"/>
        </w:rPr>
        <w:t>形式通知招标人。</w:t>
      </w:r>
    </w:p>
    <w:p w14:paraId="6B60F208">
      <w:pPr>
        <w:spacing w:before="1" w:line="361" w:lineRule="auto"/>
        <w:ind w:left="6" w:right="61" w:firstLine="409"/>
        <w:rPr>
          <w:rFonts w:ascii="宋体" w:hAnsi="宋体" w:cs="宋体"/>
          <w:szCs w:val="21"/>
        </w:rPr>
      </w:pPr>
      <w:r>
        <w:rPr>
          <w:rFonts w:hint="eastAsia" w:ascii="宋体" w:hAnsi="宋体" w:cs="宋体"/>
          <w:spacing w:val="-6"/>
          <w:szCs w:val="21"/>
        </w:rPr>
        <w:t>4.3.4  修改的内容</w:t>
      </w:r>
      <w:r>
        <w:rPr>
          <w:rFonts w:hint="eastAsia" w:ascii="宋体" w:hAnsi="宋体" w:cs="宋体"/>
          <w:spacing w:val="-3"/>
          <w:szCs w:val="21"/>
        </w:rPr>
        <w:t>为投标文件的组成部分。修改的投标文件应按照本章第 3 条、第 4 条的规</w:t>
      </w:r>
      <w:r>
        <w:rPr>
          <w:rFonts w:hint="eastAsia" w:ascii="宋体" w:hAnsi="宋体" w:cs="宋体"/>
          <w:spacing w:val="-1"/>
          <w:szCs w:val="21"/>
        </w:rPr>
        <w:t>定进行编制、密封、标记和递交，并标明“修改”字样</w:t>
      </w:r>
      <w:r>
        <w:rPr>
          <w:rFonts w:hint="eastAsia" w:ascii="宋体" w:hAnsi="宋体" w:cs="宋体"/>
          <w:szCs w:val="21"/>
        </w:rPr>
        <w:t>。</w:t>
      </w:r>
    </w:p>
    <w:p w14:paraId="0132207C">
      <w:pPr>
        <w:spacing w:before="146" w:line="360" w:lineRule="auto"/>
        <w:ind w:left="4"/>
        <w:outlineLvl w:val="0"/>
        <w:rPr>
          <w:rFonts w:ascii="宋体" w:hAnsi="宋体" w:cs="宋体"/>
          <w:sz w:val="31"/>
          <w:szCs w:val="31"/>
        </w:rPr>
      </w:pPr>
      <w:bookmarkStart w:id="205" w:name="_bookmark52"/>
      <w:bookmarkEnd w:id="205"/>
      <w:bookmarkStart w:id="206" w:name="_bookmark53"/>
      <w:bookmarkEnd w:id="206"/>
      <w:bookmarkStart w:id="207" w:name="_Toc22724"/>
      <w:bookmarkStart w:id="208" w:name="_Toc26017"/>
      <w:bookmarkStart w:id="209" w:name="_Toc18055"/>
      <w:bookmarkStart w:id="210" w:name="_Toc8707"/>
      <w:bookmarkStart w:id="211" w:name="_Toc23740"/>
      <w:bookmarkStart w:id="212" w:name="_Toc29694"/>
      <w:bookmarkStart w:id="213" w:name="_Toc7714"/>
      <w:bookmarkStart w:id="214" w:name="_Toc24955"/>
      <w:bookmarkStart w:id="215" w:name="_Toc23698"/>
      <w:bookmarkStart w:id="216" w:name="_Toc21352"/>
      <w:bookmarkStart w:id="217" w:name="_Toc15256"/>
      <w:bookmarkStart w:id="218" w:name="_Toc32609"/>
      <w:bookmarkStart w:id="219" w:name="_Toc31242"/>
      <w:bookmarkStart w:id="220" w:name="_Toc18746"/>
      <w:r>
        <w:rPr>
          <w:rFonts w:hint="eastAsia" w:ascii="宋体" w:hAnsi="宋体" w:cs="宋体"/>
          <w:b/>
          <w:bCs/>
          <w:spacing w:val="4"/>
          <w:sz w:val="31"/>
          <w:szCs w:val="31"/>
        </w:rPr>
        <w:t>5.</w:t>
      </w:r>
      <w:r>
        <w:rPr>
          <w:rFonts w:hint="eastAsia" w:ascii="宋体" w:hAnsi="宋体" w:cs="宋体"/>
          <w:spacing w:val="4"/>
          <w:sz w:val="31"/>
          <w:szCs w:val="31"/>
        </w:rPr>
        <w:t xml:space="preserve">  开</w:t>
      </w:r>
      <w:r>
        <w:rPr>
          <w:rFonts w:hint="eastAsia" w:ascii="宋体" w:hAnsi="宋体" w:cs="宋体"/>
          <w:spacing w:val="3"/>
          <w:sz w:val="31"/>
          <w:szCs w:val="31"/>
        </w:rPr>
        <w:t>标</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7B14E705">
      <w:pPr>
        <w:spacing w:before="140" w:line="221" w:lineRule="auto"/>
        <w:ind w:left="143"/>
        <w:rPr>
          <w:rFonts w:ascii="宋体" w:hAnsi="宋体" w:cs="宋体"/>
          <w:sz w:val="28"/>
          <w:szCs w:val="28"/>
        </w:rPr>
      </w:pPr>
      <w:r>
        <w:rPr>
          <w:rFonts w:hint="eastAsia" w:ascii="宋体" w:hAnsi="宋体" w:cs="宋体"/>
          <w:spacing w:val="11"/>
          <w:sz w:val="28"/>
          <w:szCs w:val="28"/>
        </w:rPr>
        <w:t>5</w:t>
      </w:r>
      <w:r>
        <w:rPr>
          <w:rFonts w:hint="eastAsia" w:ascii="宋体" w:hAnsi="宋体" w:cs="宋体"/>
          <w:spacing w:val="9"/>
          <w:sz w:val="28"/>
          <w:szCs w:val="28"/>
        </w:rPr>
        <w:t>.1  开标时间和地点(</w:t>
      </w:r>
      <w:r>
        <w:rPr>
          <w:rFonts w:hint="eastAsia" w:ascii="宋体" w:hAnsi="宋体" w:cs="宋体"/>
          <w:sz w:val="28"/>
          <w:szCs w:val="28"/>
        </w:rPr>
        <w:t>B</w:t>
      </w:r>
      <w:r>
        <w:rPr>
          <w:rFonts w:hint="eastAsia" w:ascii="宋体" w:hAnsi="宋体" w:cs="宋体"/>
          <w:spacing w:val="9"/>
          <w:sz w:val="28"/>
          <w:szCs w:val="28"/>
        </w:rPr>
        <w:t>)</w:t>
      </w:r>
    </w:p>
    <w:p w14:paraId="6BEFB0F0">
      <w:pPr>
        <w:spacing w:before="69" w:line="357" w:lineRule="auto"/>
        <w:ind w:left="2" w:right="62" w:firstLine="419"/>
        <w:rPr>
          <w:rFonts w:ascii="宋体" w:hAnsi="宋体" w:cs="宋体"/>
          <w:szCs w:val="21"/>
        </w:rPr>
      </w:pPr>
      <w:r>
        <w:rPr>
          <w:rFonts w:hint="eastAsia" w:ascii="宋体" w:hAnsi="宋体" w:cs="宋体"/>
          <w:szCs w:val="21"/>
          <w:u w:val="single"/>
          <w:lang w:bidi="ar"/>
        </w:rPr>
        <w:t>招标人在本章第 4.2.1 项规定的投标截止时间（开标时间），通过电子招标投标交易平台公开开标；开标地点在广州交易集团有限公司（广州公共资源交易中心）（广州市天河区天润路333号），详见广州交易集团有限公司（广州公共资源交易中心）公布本项目的日程安排，投标人可登录广州交易集团有限公司（广州公共资源交易中心）网站首页，点击“交易业务-建设工程”专栏中的“项目查询（日程安排、答疑纪要）”，输入项目编号或项目名称查询最新信息。开标时，投标人代表有权出席开标会，也可以自主决定不参加开标会，若投标人代表对开标过程提出异议，该投标人代表须同时出示本人身份证原件。</w:t>
      </w:r>
    </w:p>
    <w:p w14:paraId="6563D1CF">
      <w:pPr>
        <w:spacing w:before="148" w:line="360" w:lineRule="auto"/>
        <w:ind w:left="143"/>
        <w:rPr>
          <w:rFonts w:ascii="宋体" w:hAnsi="宋体" w:cs="宋体"/>
          <w:sz w:val="28"/>
          <w:szCs w:val="28"/>
        </w:rPr>
      </w:pPr>
      <w:bookmarkStart w:id="221" w:name="_bookmark55"/>
      <w:bookmarkEnd w:id="221"/>
      <w:r>
        <w:rPr>
          <w:rFonts w:hint="eastAsia" w:ascii="宋体" w:hAnsi="宋体" w:cs="宋体"/>
          <w:spacing w:val="-1"/>
          <w:sz w:val="28"/>
          <w:szCs w:val="28"/>
        </w:rPr>
        <w:t>5.2  开标程</w:t>
      </w:r>
      <w:r>
        <w:rPr>
          <w:rFonts w:hint="eastAsia" w:ascii="宋体" w:hAnsi="宋体" w:cs="宋体"/>
          <w:sz w:val="28"/>
          <w:szCs w:val="28"/>
        </w:rPr>
        <w:t>序</w:t>
      </w:r>
    </w:p>
    <w:p w14:paraId="4174DE52">
      <w:pPr>
        <w:spacing w:before="69" w:line="221" w:lineRule="auto"/>
        <w:ind w:left="423"/>
        <w:rPr>
          <w:rFonts w:ascii="宋体" w:hAnsi="宋体" w:cs="宋体"/>
          <w:szCs w:val="21"/>
        </w:rPr>
      </w:pPr>
      <w:r>
        <w:rPr>
          <w:rFonts w:hint="eastAsia" w:ascii="宋体" w:hAnsi="宋体" w:cs="宋体"/>
          <w:spacing w:val="-4"/>
          <w:szCs w:val="21"/>
        </w:rPr>
        <w:t>主持</w:t>
      </w:r>
      <w:r>
        <w:rPr>
          <w:rFonts w:hint="eastAsia" w:ascii="宋体" w:hAnsi="宋体" w:cs="宋体"/>
          <w:spacing w:val="-3"/>
          <w:szCs w:val="21"/>
        </w:rPr>
        <w:t>人</w:t>
      </w:r>
      <w:r>
        <w:rPr>
          <w:rFonts w:hint="eastAsia" w:ascii="宋体" w:hAnsi="宋体" w:cs="宋体"/>
          <w:spacing w:val="-2"/>
          <w:szCs w:val="21"/>
        </w:rPr>
        <w:t>按下列程序进行开标：</w:t>
      </w:r>
    </w:p>
    <w:p w14:paraId="3B81CDC0">
      <w:pPr>
        <w:spacing w:before="150" w:line="220" w:lineRule="auto"/>
        <w:ind w:left="427"/>
        <w:rPr>
          <w:rFonts w:ascii="宋体" w:hAnsi="宋体" w:cs="宋体"/>
          <w:szCs w:val="21"/>
        </w:rPr>
      </w:pPr>
      <w:r>
        <w:rPr>
          <w:rFonts w:hint="eastAsia" w:ascii="宋体" w:hAnsi="宋体" w:cs="宋体"/>
          <w:spacing w:val="13"/>
          <w:szCs w:val="21"/>
        </w:rPr>
        <w:t>(</w:t>
      </w:r>
      <w:r>
        <w:rPr>
          <w:rFonts w:hint="eastAsia" w:ascii="宋体" w:hAnsi="宋体" w:cs="宋体"/>
          <w:spacing w:val="8"/>
          <w:szCs w:val="21"/>
        </w:rPr>
        <w:t>1) 宣布开标纪律；</w:t>
      </w:r>
    </w:p>
    <w:p w14:paraId="7DBF100B">
      <w:pPr>
        <w:spacing w:before="148" w:line="360" w:lineRule="auto"/>
        <w:ind w:left="427"/>
        <w:rPr>
          <w:rFonts w:ascii="宋体" w:hAnsi="宋体" w:cs="宋体"/>
          <w:spacing w:val="4"/>
          <w:szCs w:val="21"/>
        </w:rPr>
      </w:pPr>
      <w:r>
        <w:rPr>
          <w:rFonts w:hint="eastAsia" w:ascii="宋体" w:hAnsi="宋体" w:cs="宋体"/>
          <w:spacing w:val="4"/>
          <w:szCs w:val="21"/>
        </w:rPr>
        <w:t xml:space="preserve">(2)  </w:t>
      </w:r>
      <w:r>
        <w:rPr>
          <w:rFonts w:hint="eastAsia" w:ascii="宋体" w:hAnsi="宋体" w:cs="宋体"/>
          <w:spacing w:val="10"/>
          <w:szCs w:val="21"/>
        </w:rPr>
        <w:t>(</w:t>
      </w:r>
      <w:r>
        <w:rPr>
          <w:rFonts w:hint="eastAsia" w:ascii="宋体" w:hAnsi="宋体" w:cs="宋体"/>
          <w:szCs w:val="21"/>
        </w:rPr>
        <w:t>B</w:t>
      </w:r>
      <w:r>
        <w:rPr>
          <w:rFonts w:hint="eastAsia" w:ascii="宋体" w:hAnsi="宋体" w:cs="宋体"/>
          <w:spacing w:val="10"/>
          <w:szCs w:val="21"/>
        </w:rPr>
        <w:t>)投标人通过电子招标投标交易平台对已递交的电子投标文件进行解密(投标人只用执行一次解密)；</w:t>
      </w:r>
    </w:p>
    <w:p w14:paraId="25D77946">
      <w:pPr>
        <w:spacing w:before="148" w:line="220" w:lineRule="auto"/>
        <w:ind w:left="427"/>
        <w:rPr>
          <w:rFonts w:ascii="宋体" w:hAnsi="宋体" w:cs="宋体"/>
          <w:szCs w:val="21"/>
        </w:rPr>
      </w:pPr>
      <w:r>
        <w:rPr>
          <w:rFonts w:hint="eastAsia" w:ascii="宋体" w:hAnsi="宋体" w:cs="宋体"/>
          <w:spacing w:val="4"/>
          <w:szCs w:val="21"/>
        </w:rPr>
        <w:t>(3)</w:t>
      </w:r>
      <w:r>
        <w:rPr>
          <w:rFonts w:hint="eastAsia" w:ascii="宋体" w:hAnsi="宋体" w:cs="宋体"/>
          <w:spacing w:val="2"/>
          <w:szCs w:val="21"/>
        </w:rPr>
        <w:t>公布在投标截止时间前递交投标文件的投标人名称；</w:t>
      </w:r>
    </w:p>
    <w:p w14:paraId="56542EE5">
      <w:pPr>
        <w:spacing w:line="352" w:lineRule="auto"/>
        <w:ind w:right="2" w:firstLine="427"/>
        <w:rPr>
          <w:rFonts w:ascii="宋体" w:hAnsi="宋体" w:cs="宋体"/>
          <w:szCs w:val="21"/>
        </w:rPr>
      </w:pPr>
      <w:r>
        <w:rPr>
          <w:rFonts w:hint="eastAsia" w:ascii="宋体" w:hAnsi="宋体" w:cs="宋体"/>
          <w:spacing w:val="15"/>
          <w:szCs w:val="21"/>
        </w:rPr>
        <w:t>(</w:t>
      </w:r>
      <w:r>
        <w:rPr>
          <w:rFonts w:hint="eastAsia" w:ascii="宋体" w:hAnsi="宋体" w:cs="宋体"/>
          <w:spacing w:val="10"/>
          <w:szCs w:val="21"/>
        </w:rPr>
        <w:t>4)招标人进行解密，</w:t>
      </w:r>
      <w:r>
        <w:rPr>
          <w:rFonts w:hint="eastAsia" w:ascii="宋体" w:hAnsi="宋体" w:cs="宋体"/>
          <w:szCs w:val="21"/>
        </w:rPr>
        <w:t>解密完成后，</w:t>
      </w:r>
      <w:r>
        <w:rPr>
          <w:rFonts w:hint="eastAsia" w:ascii="宋体" w:hAnsi="宋体" w:cs="宋体"/>
          <w:spacing w:val="10"/>
          <w:szCs w:val="21"/>
        </w:rPr>
        <w:t>公布招</w:t>
      </w:r>
      <w:r>
        <w:rPr>
          <w:rFonts w:hint="eastAsia" w:ascii="宋体" w:hAnsi="宋体" w:cs="宋体"/>
          <w:spacing w:val="-8"/>
          <w:szCs w:val="21"/>
        </w:rPr>
        <w:t>标项目</w:t>
      </w:r>
      <w:r>
        <w:rPr>
          <w:rFonts w:hint="eastAsia" w:ascii="宋体" w:hAnsi="宋体" w:cs="宋体"/>
          <w:spacing w:val="-4"/>
          <w:szCs w:val="21"/>
        </w:rPr>
        <w:t>名称、投标人名称、投标报价、监理服务期限及其他内容，并</w:t>
      </w:r>
      <w:r>
        <w:rPr>
          <w:rFonts w:hint="eastAsia" w:ascii="宋体" w:hAnsi="宋体" w:cs="宋体"/>
          <w:spacing w:val="-9"/>
          <w:szCs w:val="21"/>
        </w:rPr>
        <w:t>记</w:t>
      </w:r>
      <w:r>
        <w:rPr>
          <w:rFonts w:hint="eastAsia" w:ascii="宋体" w:hAnsi="宋体" w:cs="宋体"/>
          <w:spacing w:val="-5"/>
          <w:szCs w:val="21"/>
        </w:rPr>
        <w:t>录在案；</w:t>
      </w:r>
    </w:p>
    <w:p w14:paraId="7697F76E">
      <w:pPr>
        <w:spacing w:before="150" w:line="351" w:lineRule="auto"/>
        <w:ind w:left="1" w:right="4" w:firstLine="425"/>
        <w:rPr>
          <w:rFonts w:ascii="宋体" w:hAnsi="宋体" w:cs="宋体"/>
          <w:szCs w:val="21"/>
        </w:rPr>
      </w:pPr>
      <w:r>
        <w:rPr>
          <w:rFonts w:hint="eastAsia" w:ascii="宋体" w:hAnsi="宋体" w:cs="宋体"/>
          <w:spacing w:val="20"/>
          <w:szCs w:val="21"/>
        </w:rPr>
        <w:t>(</w:t>
      </w:r>
      <w:r>
        <w:rPr>
          <w:rFonts w:hint="eastAsia" w:ascii="宋体" w:hAnsi="宋体" w:cs="宋体"/>
          <w:spacing w:val="11"/>
          <w:szCs w:val="21"/>
        </w:rPr>
        <w:t>5</w:t>
      </w:r>
      <w:r>
        <w:rPr>
          <w:rFonts w:hint="eastAsia" w:ascii="宋体" w:hAnsi="宋体" w:cs="宋体"/>
          <w:spacing w:val="10"/>
          <w:szCs w:val="21"/>
        </w:rPr>
        <w:t>)(</w:t>
      </w:r>
      <w:r>
        <w:rPr>
          <w:rFonts w:hint="eastAsia" w:ascii="宋体" w:hAnsi="宋体" w:cs="宋体"/>
          <w:szCs w:val="21"/>
        </w:rPr>
        <w:t>B</w:t>
      </w:r>
      <w:r>
        <w:rPr>
          <w:rFonts w:hint="eastAsia" w:ascii="宋体" w:hAnsi="宋体" w:cs="宋体"/>
          <w:spacing w:val="10"/>
          <w:szCs w:val="21"/>
        </w:rPr>
        <w:t>)投标人代表、招标人代表、监标人、记录人等有关人员使用本人的电子印章在</w:t>
      </w:r>
      <w:r>
        <w:rPr>
          <w:rFonts w:hint="eastAsia" w:ascii="宋体" w:hAnsi="宋体" w:cs="宋体"/>
          <w:spacing w:val="-1"/>
          <w:szCs w:val="21"/>
        </w:rPr>
        <w:t>开标记录上签</w:t>
      </w:r>
      <w:r>
        <w:rPr>
          <w:rFonts w:hint="eastAsia" w:ascii="宋体" w:hAnsi="宋体" w:cs="宋体"/>
          <w:szCs w:val="21"/>
        </w:rPr>
        <w:t>字确认；</w:t>
      </w:r>
    </w:p>
    <w:p w14:paraId="3EFC3AE9">
      <w:pPr>
        <w:spacing w:line="562" w:lineRule="exact"/>
        <w:ind w:left="427"/>
        <w:rPr>
          <w:rFonts w:ascii="宋体" w:hAnsi="宋体" w:cs="宋体"/>
          <w:spacing w:val="10"/>
          <w:position w:val="27"/>
          <w:szCs w:val="21"/>
        </w:rPr>
      </w:pPr>
      <w:bookmarkStart w:id="222" w:name="_bookmark56"/>
      <w:bookmarkEnd w:id="222"/>
      <w:r>
        <w:rPr>
          <w:rFonts w:hint="eastAsia" w:ascii="宋体" w:hAnsi="宋体" w:cs="宋体"/>
          <w:spacing w:val="13"/>
          <w:position w:val="27"/>
          <w:szCs w:val="21"/>
        </w:rPr>
        <w:t>(</w:t>
      </w:r>
      <w:r>
        <w:rPr>
          <w:rFonts w:hint="eastAsia" w:ascii="宋体" w:hAnsi="宋体" w:cs="宋体"/>
          <w:spacing w:val="10"/>
          <w:position w:val="27"/>
          <w:szCs w:val="21"/>
        </w:rPr>
        <w:t>6) 开标结束。</w:t>
      </w:r>
    </w:p>
    <w:p w14:paraId="6D6CD189">
      <w:pPr>
        <w:spacing w:line="360" w:lineRule="auto"/>
        <w:ind w:firstLine="420" w:firstLineChars="200"/>
        <w:rPr>
          <w:rFonts w:ascii="宋体" w:hAnsi="宋体" w:cs="宋体"/>
          <w:szCs w:val="21"/>
          <w:u w:val="single"/>
        </w:rPr>
      </w:pPr>
      <w:r>
        <w:rPr>
          <w:rFonts w:hint="eastAsia" w:ascii="宋体" w:hAnsi="宋体" w:cs="宋体"/>
          <w:szCs w:val="21"/>
          <w:u w:val="single"/>
        </w:rPr>
        <w:t>5.2.2投标截止时间前未完成投标文件传输的或因投标人之外的原因造成投标文件未解密的，视为投标人其撤回投标文件。因投标人原因造成投标文件未解密的或未在投标截止时间后半小时解密的，视为撤销其投标文件。</w:t>
      </w:r>
    </w:p>
    <w:p w14:paraId="02AF6D42">
      <w:pPr>
        <w:spacing w:line="360" w:lineRule="auto"/>
        <w:ind w:firstLine="420" w:firstLineChars="200"/>
        <w:rPr>
          <w:rFonts w:ascii="宋体" w:hAnsi="宋体" w:cs="宋体"/>
          <w:szCs w:val="21"/>
          <w:u w:val="single"/>
        </w:rPr>
      </w:pPr>
      <w:r>
        <w:rPr>
          <w:rFonts w:hint="eastAsia" w:ascii="宋体" w:hAnsi="宋体" w:cs="宋体"/>
          <w:szCs w:val="21"/>
          <w:u w:val="single"/>
        </w:rPr>
        <w:t>5.2.3开标时，两个（含两个）以上的投标人加密打包投标文件电脑机器特征码一致的，不参与下一程序，并由评标委员会否决其投标。</w:t>
      </w:r>
    </w:p>
    <w:p w14:paraId="1EFF3374">
      <w:pPr>
        <w:spacing w:line="360" w:lineRule="auto"/>
        <w:ind w:left="142"/>
        <w:rPr>
          <w:rFonts w:ascii="宋体" w:hAnsi="宋体" w:cs="宋体"/>
          <w:sz w:val="28"/>
          <w:szCs w:val="28"/>
        </w:rPr>
      </w:pPr>
      <w:r>
        <w:rPr>
          <w:rFonts w:hint="eastAsia" w:ascii="宋体" w:hAnsi="宋体" w:cs="宋体"/>
          <w:spacing w:val="-1"/>
          <w:sz w:val="28"/>
          <w:szCs w:val="28"/>
        </w:rPr>
        <w:t>5.3  开标异</w:t>
      </w:r>
      <w:r>
        <w:rPr>
          <w:rFonts w:hint="eastAsia" w:ascii="宋体" w:hAnsi="宋体" w:cs="宋体"/>
          <w:sz w:val="28"/>
          <w:szCs w:val="28"/>
        </w:rPr>
        <w:t>议</w:t>
      </w:r>
    </w:p>
    <w:p w14:paraId="3F659EA4">
      <w:pPr>
        <w:spacing w:line="360" w:lineRule="auto"/>
        <w:ind w:firstLine="420" w:firstLineChars="200"/>
        <w:rPr>
          <w:rFonts w:ascii="宋体" w:hAnsi="宋体" w:cs="宋体"/>
          <w:szCs w:val="21"/>
          <w:u w:val="single"/>
        </w:rPr>
      </w:pPr>
      <w:r>
        <w:rPr>
          <w:rFonts w:hint="eastAsia" w:ascii="宋体" w:hAnsi="宋体" w:cs="宋体"/>
          <w:szCs w:val="21"/>
          <w:u w:val="single"/>
        </w:rPr>
        <w:t>如参加现场开标的投标人对开标结果有异议的，应当在开标现场提出，该投标人代表须同时出示本人身份证原件，招标人应当当场作出答复，并制作记录。</w:t>
      </w:r>
    </w:p>
    <w:p w14:paraId="3883DE95">
      <w:pPr>
        <w:spacing w:line="360" w:lineRule="auto"/>
        <w:ind w:firstLine="420" w:firstLineChars="200"/>
        <w:jc w:val="left"/>
        <w:rPr>
          <w:rFonts w:ascii="宋体" w:hAnsi="宋体" w:cs="宋体"/>
          <w:spacing w:val="10"/>
          <w:position w:val="27"/>
          <w:sz w:val="18"/>
          <w:szCs w:val="18"/>
        </w:rPr>
      </w:pPr>
      <w:r>
        <w:rPr>
          <w:rFonts w:hint="eastAsia" w:ascii="宋体" w:hAnsi="宋体" w:cs="宋体"/>
          <w:szCs w:val="21"/>
          <w:u w:val="single"/>
        </w:rPr>
        <w:t>如参加在线开标的投标人对开标结果有异议的，应当在唱标结束后的异议提出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35FECE46">
      <w:pPr>
        <w:spacing w:before="316" w:line="360" w:lineRule="auto"/>
        <w:ind w:left="4"/>
        <w:outlineLvl w:val="0"/>
        <w:rPr>
          <w:rFonts w:ascii="宋体" w:hAnsi="宋体" w:cs="宋体"/>
          <w:sz w:val="31"/>
          <w:szCs w:val="31"/>
        </w:rPr>
      </w:pPr>
      <w:bookmarkStart w:id="223" w:name="_bookmark57"/>
      <w:bookmarkEnd w:id="223"/>
      <w:bookmarkStart w:id="224" w:name="_bookmark58"/>
      <w:bookmarkEnd w:id="224"/>
      <w:bookmarkStart w:id="225" w:name="_Toc3655"/>
      <w:bookmarkStart w:id="226" w:name="_Toc19396"/>
      <w:bookmarkStart w:id="227" w:name="_Toc31138"/>
      <w:bookmarkStart w:id="228" w:name="_Toc17202"/>
      <w:bookmarkStart w:id="229" w:name="_Toc11254"/>
      <w:bookmarkStart w:id="230" w:name="_Toc22741"/>
      <w:bookmarkStart w:id="231" w:name="_Toc24399"/>
      <w:bookmarkStart w:id="232" w:name="_Toc31533"/>
      <w:bookmarkStart w:id="233" w:name="_Toc19138"/>
      <w:bookmarkStart w:id="234" w:name="_Toc18367"/>
      <w:bookmarkStart w:id="235" w:name="_Toc780"/>
      <w:bookmarkStart w:id="236" w:name="_Toc30497"/>
      <w:bookmarkStart w:id="237" w:name="_Toc25884"/>
      <w:bookmarkStart w:id="238" w:name="_Toc6578"/>
      <w:r>
        <w:rPr>
          <w:rFonts w:hint="eastAsia" w:ascii="宋体" w:hAnsi="宋体" w:cs="宋体"/>
          <w:b/>
          <w:bCs/>
          <w:spacing w:val="6"/>
          <w:sz w:val="31"/>
          <w:szCs w:val="31"/>
        </w:rPr>
        <w:t>6</w:t>
      </w:r>
      <w:r>
        <w:rPr>
          <w:rFonts w:hint="eastAsia" w:ascii="宋体" w:hAnsi="宋体" w:cs="宋体"/>
          <w:b/>
          <w:bCs/>
          <w:spacing w:val="4"/>
          <w:sz w:val="31"/>
          <w:szCs w:val="31"/>
        </w:rPr>
        <w:t>.</w:t>
      </w:r>
      <w:r>
        <w:rPr>
          <w:rFonts w:hint="eastAsia" w:ascii="宋体" w:hAnsi="宋体" w:cs="宋体"/>
          <w:spacing w:val="3"/>
          <w:sz w:val="31"/>
          <w:szCs w:val="31"/>
        </w:rPr>
        <w:t xml:space="preserve">  评标</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0B3C2C99">
      <w:pPr>
        <w:spacing w:before="91" w:line="360" w:lineRule="auto"/>
        <w:ind w:left="141"/>
        <w:rPr>
          <w:rFonts w:ascii="宋体" w:hAnsi="宋体" w:cs="宋体"/>
          <w:sz w:val="28"/>
          <w:szCs w:val="28"/>
        </w:rPr>
      </w:pPr>
      <w:r>
        <w:rPr>
          <w:rFonts w:hint="eastAsia" w:ascii="宋体" w:hAnsi="宋体" w:cs="宋体"/>
          <w:spacing w:val="-1"/>
          <w:sz w:val="28"/>
          <w:szCs w:val="28"/>
        </w:rPr>
        <w:t>6.1  评标委</w:t>
      </w:r>
      <w:r>
        <w:rPr>
          <w:rFonts w:hint="eastAsia" w:ascii="宋体" w:hAnsi="宋体" w:cs="宋体"/>
          <w:sz w:val="28"/>
          <w:szCs w:val="28"/>
        </w:rPr>
        <w:t>员会</w:t>
      </w:r>
    </w:p>
    <w:p w14:paraId="1E87A2E8">
      <w:pPr>
        <w:spacing w:before="69" w:line="352" w:lineRule="auto"/>
        <w:ind w:firstLine="421"/>
        <w:rPr>
          <w:rFonts w:ascii="宋体" w:hAnsi="宋体" w:cs="宋体"/>
          <w:szCs w:val="21"/>
        </w:rPr>
      </w:pPr>
      <w:r>
        <w:rPr>
          <w:rFonts w:hint="eastAsia" w:ascii="宋体" w:hAnsi="宋体" w:cs="宋体"/>
          <w:spacing w:val="-2"/>
          <w:szCs w:val="21"/>
        </w:rPr>
        <w:t>6.1.1  评标由招标人依法组建的评标委员会负责。评标委员会由招标人</w:t>
      </w:r>
      <w:r>
        <w:rPr>
          <w:rFonts w:hint="eastAsia" w:ascii="宋体" w:hAnsi="宋体" w:cs="宋体"/>
          <w:spacing w:val="-1"/>
          <w:szCs w:val="21"/>
        </w:rPr>
        <w:t>或其委托的招标代理</w:t>
      </w:r>
      <w:r>
        <w:rPr>
          <w:rFonts w:hint="eastAsia" w:ascii="宋体" w:hAnsi="宋体" w:cs="宋体"/>
          <w:spacing w:val="1"/>
          <w:szCs w:val="21"/>
        </w:rPr>
        <w:t>机构熟悉相关业务的代表，以及有关技术、经济等方面的</w:t>
      </w:r>
      <w:r>
        <w:rPr>
          <w:rFonts w:hint="eastAsia" w:ascii="宋体" w:hAnsi="宋体" w:cs="宋体"/>
          <w:szCs w:val="21"/>
        </w:rPr>
        <w:t>专家组成。评标委员会成员人数以及</w:t>
      </w:r>
      <w:r>
        <w:rPr>
          <w:rFonts w:hint="eastAsia" w:ascii="宋体" w:hAnsi="宋体" w:cs="宋体"/>
          <w:spacing w:val="-1"/>
          <w:szCs w:val="21"/>
        </w:rPr>
        <w:t>技术、经济等方面专家的确定方式见投标人须知前</w:t>
      </w:r>
      <w:r>
        <w:rPr>
          <w:rFonts w:hint="eastAsia" w:ascii="宋体" w:hAnsi="宋体" w:cs="宋体"/>
          <w:szCs w:val="21"/>
        </w:rPr>
        <w:t>附表。</w:t>
      </w:r>
    </w:p>
    <w:p w14:paraId="54815008">
      <w:pPr>
        <w:spacing w:before="1" w:line="219" w:lineRule="auto"/>
        <w:ind w:left="421"/>
        <w:rPr>
          <w:rFonts w:ascii="宋体" w:hAnsi="宋体" w:cs="宋体"/>
          <w:szCs w:val="21"/>
        </w:rPr>
      </w:pPr>
      <w:r>
        <w:rPr>
          <w:rFonts w:hint="eastAsia" w:ascii="宋体" w:hAnsi="宋体" w:cs="宋体"/>
          <w:spacing w:val="-4"/>
          <w:szCs w:val="21"/>
        </w:rPr>
        <w:t>6.1.2  评标委员会成员有下列情形之一的，应当回</w:t>
      </w:r>
      <w:r>
        <w:rPr>
          <w:rFonts w:hint="eastAsia" w:ascii="宋体" w:hAnsi="宋体" w:cs="宋体"/>
          <w:spacing w:val="-3"/>
          <w:szCs w:val="21"/>
        </w:rPr>
        <w:t>避</w:t>
      </w:r>
      <w:r>
        <w:rPr>
          <w:rFonts w:hint="eastAsia" w:ascii="宋体" w:hAnsi="宋体" w:cs="宋体"/>
          <w:szCs w:val="21"/>
        </w:rPr>
        <w:t>：</w:t>
      </w:r>
    </w:p>
    <w:p w14:paraId="7FE8341F">
      <w:pPr>
        <w:spacing w:before="150" w:line="221" w:lineRule="auto"/>
        <w:ind w:left="724"/>
        <w:rPr>
          <w:rFonts w:ascii="宋体" w:hAnsi="宋体" w:cs="宋体"/>
          <w:szCs w:val="21"/>
        </w:rPr>
      </w:pPr>
      <w:r>
        <w:rPr>
          <w:rFonts w:hint="eastAsia" w:ascii="宋体" w:hAnsi="宋体" w:cs="宋体"/>
          <w:spacing w:val="8"/>
          <w:szCs w:val="21"/>
        </w:rPr>
        <w:t>(1</w:t>
      </w:r>
      <w:r>
        <w:rPr>
          <w:rFonts w:hint="eastAsia" w:ascii="宋体" w:hAnsi="宋体" w:cs="宋体"/>
          <w:spacing w:val="6"/>
          <w:szCs w:val="21"/>
        </w:rPr>
        <w:t>)</w:t>
      </w:r>
      <w:r>
        <w:rPr>
          <w:rFonts w:hint="eastAsia" w:ascii="宋体" w:hAnsi="宋体" w:cs="宋体"/>
          <w:spacing w:val="4"/>
          <w:szCs w:val="21"/>
        </w:rPr>
        <w:t xml:space="preserve"> 投标人或投标人主要负责人的近亲属；</w:t>
      </w:r>
    </w:p>
    <w:p w14:paraId="0A2474B6">
      <w:pPr>
        <w:spacing w:before="149" w:line="221" w:lineRule="auto"/>
        <w:ind w:left="724"/>
        <w:rPr>
          <w:rFonts w:ascii="宋体" w:hAnsi="宋体" w:cs="宋体"/>
          <w:szCs w:val="21"/>
        </w:rPr>
      </w:pPr>
      <w:r>
        <w:rPr>
          <w:rFonts w:hint="eastAsia" w:ascii="宋体" w:hAnsi="宋体" w:cs="宋体"/>
          <w:spacing w:val="6"/>
          <w:szCs w:val="21"/>
        </w:rPr>
        <w:t>(</w:t>
      </w:r>
      <w:r>
        <w:rPr>
          <w:rFonts w:hint="eastAsia" w:ascii="宋体" w:hAnsi="宋体" w:cs="宋体"/>
          <w:spacing w:val="3"/>
          <w:szCs w:val="21"/>
        </w:rPr>
        <w:t>2) 项目主管部门或者行政监督部门的人员；</w:t>
      </w:r>
    </w:p>
    <w:p w14:paraId="339E2FE0">
      <w:pPr>
        <w:spacing w:before="148" w:line="221" w:lineRule="auto"/>
        <w:ind w:left="724"/>
        <w:rPr>
          <w:rFonts w:ascii="宋体" w:hAnsi="宋体" w:cs="宋体"/>
          <w:szCs w:val="21"/>
        </w:rPr>
      </w:pPr>
      <w:r>
        <w:rPr>
          <w:rFonts w:hint="eastAsia" w:ascii="宋体" w:hAnsi="宋体" w:cs="宋体"/>
          <w:spacing w:val="-2"/>
          <w:szCs w:val="21"/>
        </w:rPr>
        <w:t>(3) 与</w:t>
      </w:r>
      <w:r>
        <w:rPr>
          <w:rFonts w:hint="eastAsia" w:ascii="宋体" w:hAnsi="宋体" w:cs="宋体"/>
          <w:spacing w:val="-1"/>
          <w:szCs w:val="21"/>
        </w:rPr>
        <w:t>投标人有经济利益关系，可能影响对投标公正评审的；</w:t>
      </w:r>
    </w:p>
    <w:p w14:paraId="569F8256">
      <w:pPr>
        <w:spacing w:before="148" w:line="360" w:lineRule="auto"/>
        <w:ind w:left="724"/>
        <w:rPr>
          <w:rFonts w:ascii="宋体" w:hAnsi="宋体" w:cs="宋体"/>
          <w:spacing w:val="-2"/>
          <w:szCs w:val="21"/>
        </w:rPr>
      </w:pPr>
      <w:r>
        <w:rPr>
          <w:rFonts w:hint="eastAsia" w:ascii="宋体" w:hAnsi="宋体" w:cs="宋体"/>
          <w:spacing w:val="12"/>
          <w:szCs w:val="21"/>
        </w:rPr>
        <w:t>(</w:t>
      </w:r>
      <w:r>
        <w:rPr>
          <w:rFonts w:hint="eastAsia" w:ascii="宋体" w:hAnsi="宋体" w:cs="宋体"/>
          <w:spacing w:val="-2"/>
          <w:szCs w:val="21"/>
        </w:rPr>
        <w:t>4) 曾因在招标、评标以及其他与招标投标有关活动中从事违法行为而受过行政处罚或刑事处罚的；</w:t>
      </w:r>
    </w:p>
    <w:p w14:paraId="4057EE8A">
      <w:pPr>
        <w:spacing w:line="221" w:lineRule="auto"/>
        <w:ind w:left="724"/>
        <w:rPr>
          <w:rFonts w:ascii="宋体" w:hAnsi="宋体" w:cs="宋体"/>
          <w:szCs w:val="21"/>
        </w:rPr>
      </w:pPr>
      <w:r>
        <w:rPr>
          <w:rFonts w:hint="eastAsia" w:ascii="宋体" w:hAnsi="宋体" w:cs="宋体"/>
          <w:spacing w:val="-2"/>
          <w:szCs w:val="21"/>
        </w:rPr>
        <w:t>(5) 与投标人有其他利</w:t>
      </w:r>
      <w:r>
        <w:rPr>
          <w:rFonts w:hint="eastAsia" w:ascii="宋体" w:hAnsi="宋体" w:cs="宋体"/>
          <w:spacing w:val="4"/>
          <w:szCs w:val="21"/>
        </w:rPr>
        <w:t>害关系。</w:t>
      </w:r>
    </w:p>
    <w:p w14:paraId="0867010C">
      <w:pPr>
        <w:spacing w:before="69" w:line="352" w:lineRule="auto"/>
        <w:ind w:firstLine="421"/>
        <w:rPr>
          <w:rFonts w:ascii="宋体" w:hAnsi="宋体" w:cs="宋体"/>
          <w:spacing w:val="-2"/>
          <w:szCs w:val="21"/>
        </w:rPr>
      </w:pPr>
      <w:r>
        <w:rPr>
          <w:rFonts w:hint="eastAsia" w:ascii="宋体" w:hAnsi="宋体" w:cs="宋体"/>
          <w:spacing w:val="-2"/>
          <w:szCs w:val="21"/>
        </w:rPr>
        <w:t>6.1.3 评标过程中，评标委员会成员有回避事由、擅离职守或者因健康等原因不能继续评标的，招标人有权更换。被更换的评标委员会成员作出的评审结论无效，由更换后的评标委员会</w:t>
      </w:r>
      <w:bookmarkStart w:id="239" w:name="_bookmark59"/>
      <w:bookmarkEnd w:id="239"/>
      <w:r>
        <w:rPr>
          <w:rFonts w:hint="eastAsia" w:ascii="宋体" w:hAnsi="宋体" w:cs="宋体"/>
          <w:spacing w:val="-2"/>
          <w:szCs w:val="21"/>
        </w:rPr>
        <w:t>成员重新进行评审。</w:t>
      </w:r>
    </w:p>
    <w:p w14:paraId="729FE5D3">
      <w:pPr>
        <w:spacing w:before="142" w:line="360" w:lineRule="auto"/>
        <w:ind w:left="141"/>
        <w:rPr>
          <w:rFonts w:ascii="宋体" w:hAnsi="宋体" w:cs="宋体"/>
          <w:sz w:val="28"/>
          <w:szCs w:val="28"/>
        </w:rPr>
      </w:pPr>
      <w:r>
        <w:rPr>
          <w:rFonts w:hint="eastAsia" w:ascii="宋体" w:hAnsi="宋体" w:cs="宋体"/>
          <w:spacing w:val="-1"/>
          <w:sz w:val="28"/>
          <w:szCs w:val="28"/>
        </w:rPr>
        <w:t>6.2  评标原</w:t>
      </w:r>
      <w:r>
        <w:rPr>
          <w:rFonts w:hint="eastAsia" w:ascii="宋体" w:hAnsi="宋体" w:cs="宋体"/>
          <w:sz w:val="28"/>
          <w:szCs w:val="28"/>
        </w:rPr>
        <w:t>则</w:t>
      </w:r>
    </w:p>
    <w:p w14:paraId="7B40BFE4">
      <w:pPr>
        <w:spacing w:before="69" w:line="360" w:lineRule="auto"/>
        <w:ind w:left="419"/>
        <w:rPr>
          <w:rFonts w:ascii="宋体" w:hAnsi="宋体" w:cs="宋体"/>
          <w:szCs w:val="21"/>
        </w:rPr>
      </w:pPr>
      <w:r>
        <w:rPr>
          <w:rFonts w:hint="eastAsia" w:ascii="宋体" w:hAnsi="宋体" w:cs="宋体"/>
          <w:spacing w:val="-1"/>
          <w:szCs w:val="21"/>
        </w:rPr>
        <w:t>评标</w:t>
      </w:r>
      <w:r>
        <w:rPr>
          <w:rFonts w:hint="eastAsia" w:ascii="宋体" w:hAnsi="宋体" w:cs="宋体"/>
          <w:szCs w:val="21"/>
        </w:rPr>
        <w:t>活动遵循公平、公正、科学和择优的原则。</w:t>
      </w:r>
    </w:p>
    <w:p w14:paraId="7E0E91EC">
      <w:pPr>
        <w:spacing w:before="142" w:line="360" w:lineRule="auto"/>
        <w:ind w:left="141"/>
        <w:rPr>
          <w:rFonts w:ascii="宋体" w:hAnsi="宋体" w:cs="宋体"/>
          <w:b/>
          <w:bCs/>
          <w:spacing w:val="10"/>
          <w:sz w:val="31"/>
          <w:szCs w:val="31"/>
        </w:rPr>
      </w:pPr>
      <w:bookmarkStart w:id="240" w:name="_bookmark60"/>
      <w:bookmarkEnd w:id="240"/>
      <w:r>
        <w:rPr>
          <w:rFonts w:hint="eastAsia" w:ascii="宋体" w:hAnsi="宋体" w:cs="宋体"/>
          <w:spacing w:val="-1"/>
          <w:sz w:val="28"/>
          <w:szCs w:val="28"/>
        </w:rPr>
        <w:t>6.3  评标</w:t>
      </w:r>
    </w:p>
    <w:p w14:paraId="100113EE">
      <w:pPr>
        <w:spacing w:before="69" w:line="351" w:lineRule="auto"/>
        <w:ind w:left="5" w:firstLine="417"/>
        <w:rPr>
          <w:rFonts w:ascii="宋体" w:hAnsi="宋体" w:cs="宋体"/>
          <w:szCs w:val="21"/>
        </w:rPr>
      </w:pPr>
      <w:r>
        <w:rPr>
          <w:rFonts w:hint="eastAsia" w:ascii="宋体" w:hAnsi="宋体" w:cs="宋体"/>
          <w:spacing w:val="-1"/>
          <w:szCs w:val="21"/>
        </w:rPr>
        <w:t>6.</w:t>
      </w:r>
      <w:r>
        <w:rPr>
          <w:rFonts w:hint="eastAsia" w:ascii="宋体" w:hAnsi="宋体" w:cs="宋体"/>
          <w:szCs w:val="21"/>
        </w:rPr>
        <w:t>3.1 评标委员会按照第三章“评标办法”规定的方法、评审因素、标准和程序对投标文件进</w:t>
      </w:r>
      <w:r>
        <w:rPr>
          <w:rFonts w:hint="eastAsia" w:ascii="宋体" w:hAnsi="宋体" w:cs="宋体"/>
          <w:spacing w:val="-6"/>
          <w:szCs w:val="21"/>
        </w:rPr>
        <w:t>行评审。第</w:t>
      </w:r>
      <w:r>
        <w:rPr>
          <w:rFonts w:hint="eastAsia" w:ascii="宋体" w:hAnsi="宋体" w:cs="宋体"/>
          <w:spacing w:val="-3"/>
          <w:szCs w:val="21"/>
        </w:rPr>
        <w:t>三章“评标办法”没有规定的方法、评审因素和标准，不作为评标依据。</w:t>
      </w:r>
    </w:p>
    <w:p w14:paraId="14665B6B">
      <w:pPr>
        <w:spacing w:line="361" w:lineRule="auto"/>
        <w:ind w:left="9" w:firstLine="412"/>
        <w:rPr>
          <w:rFonts w:ascii="宋体" w:hAnsi="宋体" w:cs="宋体"/>
          <w:szCs w:val="21"/>
        </w:rPr>
      </w:pPr>
      <w:r>
        <w:rPr>
          <w:rFonts w:hint="eastAsia" w:ascii="宋体" w:hAnsi="宋体" w:cs="宋体"/>
          <w:spacing w:val="-3"/>
          <w:szCs w:val="21"/>
        </w:rPr>
        <w:t>6.3.2 评标完成后，评标委员会应当向招标人提交书面评标报告和中标候选人名单。评标</w:t>
      </w:r>
      <w:r>
        <w:rPr>
          <w:rFonts w:hint="eastAsia" w:ascii="宋体" w:hAnsi="宋体" w:cs="宋体"/>
          <w:spacing w:val="-2"/>
          <w:szCs w:val="21"/>
        </w:rPr>
        <w:t>委员会推荐中</w:t>
      </w:r>
      <w:r>
        <w:rPr>
          <w:rFonts w:hint="eastAsia" w:ascii="宋体" w:hAnsi="宋体" w:cs="宋体"/>
          <w:spacing w:val="-1"/>
          <w:szCs w:val="21"/>
        </w:rPr>
        <w:t>标候选人的人数见投标人须知前附表。</w:t>
      </w:r>
    </w:p>
    <w:p w14:paraId="35CDD610">
      <w:pPr>
        <w:spacing w:before="146" w:line="360" w:lineRule="auto"/>
        <w:ind w:left="4"/>
        <w:outlineLvl w:val="0"/>
        <w:rPr>
          <w:rFonts w:ascii="宋体" w:hAnsi="宋体" w:cs="宋体"/>
          <w:sz w:val="31"/>
          <w:szCs w:val="31"/>
        </w:rPr>
      </w:pPr>
      <w:bookmarkStart w:id="241" w:name="_bookmark61"/>
      <w:bookmarkEnd w:id="241"/>
      <w:bookmarkStart w:id="242" w:name="_bookmark62"/>
      <w:bookmarkEnd w:id="242"/>
      <w:bookmarkStart w:id="243" w:name="_Toc15770"/>
      <w:bookmarkStart w:id="244" w:name="_Toc5082"/>
      <w:bookmarkStart w:id="245" w:name="_Toc21382"/>
      <w:bookmarkStart w:id="246" w:name="_Toc27016"/>
      <w:bookmarkStart w:id="247" w:name="_Toc19250"/>
      <w:bookmarkStart w:id="248" w:name="_Toc31758"/>
      <w:bookmarkStart w:id="249" w:name="_Toc7402"/>
      <w:bookmarkStart w:id="250" w:name="_Toc31791"/>
      <w:bookmarkStart w:id="251" w:name="_Toc12591"/>
      <w:bookmarkStart w:id="252" w:name="_Toc14867"/>
      <w:bookmarkStart w:id="253" w:name="_Toc5528"/>
      <w:bookmarkStart w:id="254" w:name="_Toc14485"/>
      <w:bookmarkStart w:id="255" w:name="_Toc3002"/>
      <w:bookmarkStart w:id="256" w:name="_Toc21581"/>
      <w:r>
        <w:rPr>
          <w:rFonts w:hint="eastAsia" w:ascii="宋体" w:hAnsi="宋体" w:cs="宋体"/>
          <w:b/>
          <w:bCs/>
          <w:spacing w:val="10"/>
          <w:sz w:val="31"/>
          <w:szCs w:val="31"/>
        </w:rPr>
        <w:t>7</w:t>
      </w:r>
      <w:r>
        <w:rPr>
          <w:rFonts w:hint="eastAsia" w:ascii="宋体" w:hAnsi="宋体" w:cs="宋体"/>
          <w:b/>
          <w:bCs/>
          <w:spacing w:val="6"/>
          <w:sz w:val="31"/>
          <w:szCs w:val="31"/>
        </w:rPr>
        <w:t>.</w:t>
      </w:r>
      <w:r>
        <w:rPr>
          <w:rFonts w:hint="eastAsia" w:ascii="宋体" w:hAnsi="宋体" w:cs="宋体"/>
          <w:spacing w:val="5"/>
          <w:sz w:val="31"/>
          <w:szCs w:val="31"/>
        </w:rPr>
        <w:t xml:space="preserve">  合同授予</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3499F483">
      <w:pPr>
        <w:spacing w:before="91" w:line="360" w:lineRule="auto"/>
        <w:ind w:left="140"/>
        <w:rPr>
          <w:rFonts w:ascii="宋体" w:hAnsi="宋体" w:cs="宋体"/>
          <w:sz w:val="28"/>
          <w:szCs w:val="28"/>
        </w:rPr>
      </w:pPr>
      <w:r>
        <w:rPr>
          <w:rFonts w:hint="eastAsia" w:ascii="宋体" w:hAnsi="宋体" w:cs="宋体"/>
          <w:spacing w:val="-1"/>
          <w:sz w:val="28"/>
          <w:szCs w:val="28"/>
        </w:rPr>
        <w:t>7.1  中标候</w:t>
      </w:r>
      <w:r>
        <w:rPr>
          <w:rFonts w:hint="eastAsia" w:ascii="宋体" w:hAnsi="宋体" w:cs="宋体"/>
          <w:sz w:val="28"/>
          <w:szCs w:val="28"/>
        </w:rPr>
        <w:t>选人公示</w:t>
      </w:r>
    </w:p>
    <w:p w14:paraId="1146111F">
      <w:pPr>
        <w:spacing w:before="68" w:line="361" w:lineRule="auto"/>
        <w:ind w:left="21" w:firstLine="400"/>
        <w:rPr>
          <w:rFonts w:ascii="宋体" w:hAnsi="宋体" w:cs="宋体"/>
          <w:szCs w:val="21"/>
        </w:rPr>
      </w:pPr>
      <w:r>
        <w:rPr>
          <w:rFonts w:hint="eastAsia" w:ascii="宋体" w:hAnsi="宋体" w:cs="宋体"/>
          <w:spacing w:val="-8"/>
          <w:szCs w:val="21"/>
        </w:rPr>
        <w:t>招标</w:t>
      </w:r>
      <w:r>
        <w:rPr>
          <w:rFonts w:hint="eastAsia" w:ascii="宋体" w:hAnsi="宋体" w:cs="宋体"/>
          <w:spacing w:val="-7"/>
          <w:szCs w:val="21"/>
        </w:rPr>
        <w:t>人</w:t>
      </w:r>
      <w:r>
        <w:rPr>
          <w:rFonts w:hint="eastAsia" w:ascii="宋体" w:hAnsi="宋体" w:cs="宋体"/>
          <w:spacing w:val="-4"/>
          <w:szCs w:val="21"/>
        </w:rPr>
        <w:t>在收到评标报告之日起 3 日内，按照投标人须知前附表规定的公示媒介和期限公示</w:t>
      </w:r>
      <w:bookmarkStart w:id="257" w:name="_bookmark63"/>
      <w:bookmarkEnd w:id="257"/>
      <w:r>
        <w:rPr>
          <w:rFonts w:hint="eastAsia" w:ascii="宋体" w:hAnsi="宋体" w:cs="宋体"/>
          <w:spacing w:val="-8"/>
          <w:szCs w:val="21"/>
        </w:rPr>
        <w:t>中标候</w:t>
      </w:r>
      <w:r>
        <w:rPr>
          <w:rFonts w:hint="eastAsia" w:ascii="宋体" w:hAnsi="宋体" w:cs="宋体"/>
          <w:spacing w:val="-6"/>
          <w:szCs w:val="21"/>
        </w:rPr>
        <w:t>选</w:t>
      </w:r>
      <w:r>
        <w:rPr>
          <w:rFonts w:hint="eastAsia" w:ascii="宋体" w:hAnsi="宋体" w:cs="宋体"/>
          <w:spacing w:val="-4"/>
          <w:szCs w:val="21"/>
        </w:rPr>
        <w:t>人，公示期不得少于 3 天。</w:t>
      </w:r>
    </w:p>
    <w:p w14:paraId="480B8955">
      <w:pPr>
        <w:spacing w:before="140" w:line="360" w:lineRule="auto"/>
        <w:ind w:left="140"/>
        <w:rPr>
          <w:rFonts w:ascii="宋体" w:hAnsi="宋体" w:cs="宋体"/>
          <w:sz w:val="28"/>
          <w:szCs w:val="28"/>
        </w:rPr>
      </w:pPr>
      <w:r>
        <w:rPr>
          <w:rFonts w:hint="eastAsia" w:ascii="宋体" w:hAnsi="宋体" w:cs="宋体"/>
          <w:spacing w:val="-1"/>
          <w:sz w:val="28"/>
          <w:szCs w:val="28"/>
        </w:rPr>
        <w:t>7.2  评标</w:t>
      </w:r>
      <w:r>
        <w:rPr>
          <w:rFonts w:hint="eastAsia" w:ascii="宋体" w:hAnsi="宋体" w:cs="宋体"/>
          <w:sz w:val="28"/>
          <w:szCs w:val="28"/>
        </w:rPr>
        <w:t>结果异议</w:t>
      </w:r>
    </w:p>
    <w:p w14:paraId="7DA06F1F">
      <w:pPr>
        <w:spacing w:before="69" w:line="359" w:lineRule="auto"/>
        <w:ind w:left="3" w:right="3" w:firstLine="420"/>
        <w:rPr>
          <w:rFonts w:ascii="宋体" w:hAnsi="宋体" w:cs="宋体"/>
          <w:szCs w:val="21"/>
        </w:rPr>
      </w:pPr>
      <w:r>
        <w:rPr>
          <w:rFonts w:hint="eastAsia" w:ascii="宋体" w:hAnsi="宋体" w:cs="宋体"/>
          <w:spacing w:val="-4"/>
          <w:szCs w:val="21"/>
        </w:rPr>
        <w:t>投</w:t>
      </w:r>
      <w:r>
        <w:rPr>
          <w:rFonts w:hint="eastAsia" w:ascii="宋体" w:hAnsi="宋体" w:cs="宋体"/>
          <w:spacing w:val="-3"/>
          <w:szCs w:val="21"/>
        </w:rPr>
        <w:t>标</w:t>
      </w:r>
      <w:r>
        <w:rPr>
          <w:rFonts w:hint="eastAsia" w:ascii="宋体" w:hAnsi="宋体" w:cs="宋体"/>
          <w:spacing w:val="-2"/>
          <w:szCs w:val="21"/>
        </w:rPr>
        <w:t>人或者其他利害关系人对评标结果有异议的，应当在中标候选人公示期间提出。招标</w:t>
      </w:r>
      <w:bookmarkStart w:id="258" w:name="_bookmark64"/>
      <w:bookmarkEnd w:id="258"/>
      <w:r>
        <w:rPr>
          <w:rFonts w:hint="eastAsia" w:ascii="宋体" w:hAnsi="宋体" w:cs="宋体"/>
          <w:spacing w:val="-8"/>
          <w:szCs w:val="21"/>
        </w:rPr>
        <w:t>人将在</w:t>
      </w:r>
      <w:r>
        <w:rPr>
          <w:rFonts w:hint="eastAsia" w:ascii="宋体" w:hAnsi="宋体" w:cs="宋体"/>
          <w:spacing w:val="-5"/>
          <w:szCs w:val="21"/>
        </w:rPr>
        <w:t>收</w:t>
      </w:r>
      <w:r>
        <w:rPr>
          <w:rFonts w:hint="eastAsia" w:ascii="宋体" w:hAnsi="宋体" w:cs="宋体"/>
          <w:spacing w:val="-4"/>
          <w:szCs w:val="21"/>
        </w:rPr>
        <w:t>到异议之日起 3 日内作出答复；作出答复前，将暂停招标投标活动。</w:t>
      </w:r>
    </w:p>
    <w:p w14:paraId="0ED3F206">
      <w:pPr>
        <w:spacing w:before="143" w:line="360" w:lineRule="auto"/>
        <w:ind w:left="140"/>
        <w:rPr>
          <w:rFonts w:ascii="宋体" w:hAnsi="宋体" w:cs="宋体"/>
          <w:sz w:val="28"/>
          <w:szCs w:val="28"/>
        </w:rPr>
      </w:pPr>
      <w:r>
        <w:rPr>
          <w:rFonts w:hint="eastAsia" w:ascii="宋体" w:hAnsi="宋体" w:cs="宋体"/>
          <w:spacing w:val="-1"/>
          <w:sz w:val="28"/>
          <w:szCs w:val="28"/>
        </w:rPr>
        <w:t>7.3  中标候</w:t>
      </w:r>
      <w:r>
        <w:rPr>
          <w:rFonts w:hint="eastAsia" w:ascii="宋体" w:hAnsi="宋体" w:cs="宋体"/>
          <w:sz w:val="28"/>
          <w:szCs w:val="28"/>
        </w:rPr>
        <w:t>选人履约能力审查</w:t>
      </w:r>
    </w:p>
    <w:p w14:paraId="73F88A19">
      <w:pPr>
        <w:spacing w:before="69" w:line="358" w:lineRule="auto"/>
        <w:ind w:left="1" w:right="3" w:firstLine="439"/>
        <w:rPr>
          <w:rFonts w:ascii="宋体" w:hAnsi="宋体" w:cs="宋体"/>
          <w:szCs w:val="21"/>
        </w:rPr>
      </w:pPr>
      <w:r>
        <w:rPr>
          <w:rFonts w:hint="eastAsia" w:ascii="宋体" w:hAnsi="宋体" w:cs="宋体"/>
          <w:spacing w:val="1"/>
          <w:szCs w:val="21"/>
        </w:rPr>
        <w:t>中标候选</w:t>
      </w:r>
      <w:r>
        <w:rPr>
          <w:rFonts w:hint="eastAsia" w:ascii="宋体" w:hAnsi="宋体" w:cs="宋体"/>
          <w:szCs w:val="21"/>
        </w:rPr>
        <w:t>人的经营、财务状况发生较大变化或存在违法行为，招标人认为可能影响其履约</w:t>
      </w:r>
      <w:r>
        <w:rPr>
          <w:rFonts w:hint="eastAsia" w:ascii="宋体" w:hAnsi="宋体" w:cs="宋体"/>
          <w:spacing w:val="1"/>
          <w:szCs w:val="21"/>
        </w:rPr>
        <w:t>能力的，将在发出中标通知书前提请原评标委员会按照</w:t>
      </w:r>
      <w:r>
        <w:rPr>
          <w:rFonts w:hint="eastAsia" w:ascii="宋体" w:hAnsi="宋体" w:cs="宋体"/>
          <w:szCs w:val="21"/>
        </w:rPr>
        <w:t>招标文件规定的标准和方法进行审查确</w:t>
      </w:r>
      <w:bookmarkStart w:id="259" w:name="_bookmark65"/>
      <w:bookmarkEnd w:id="259"/>
      <w:r>
        <w:rPr>
          <w:rFonts w:hint="eastAsia" w:ascii="宋体" w:hAnsi="宋体" w:cs="宋体"/>
          <w:spacing w:val="-10"/>
          <w:szCs w:val="21"/>
        </w:rPr>
        <w:t>认</w:t>
      </w:r>
      <w:r>
        <w:rPr>
          <w:rFonts w:hint="eastAsia" w:ascii="宋体" w:hAnsi="宋体" w:cs="宋体"/>
          <w:spacing w:val="-9"/>
          <w:szCs w:val="21"/>
        </w:rPr>
        <w:t>。</w:t>
      </w:r>
    </w:p>
    <w:p w14:paraId="20D6CA95">
      <w:pPr>
        <w:spacing w:before="141" w:line="360" w:lineRule="auto"/>
        <w:ind w:left="140"/>
        <w:rPr>
          <w:rFonts w:ascii="宋体" w:hAnsi="宋体" w:cs="宋体"/>
          <w:sz w:val="28"/>
          <w:szCs w:val="28"/>
        </w:rPr>
      </w:pPr>
      <w:r>
        <w:rPr>
          <w:rFonts w:hint="eastAsia" w:ascii="宋体" w:hAnsi="宋体" w:cs="宋体"/>
          <w:spacing w:val="-1"/>
          <w:sz w:val="28"/>
          <w:szCs w:val="28"/>
        </w:rPr>
        <w:t>7.4  定标</w:t>
      </w:r>
    </w:p>
    <w:p w14:paraId="6B268660">
      <w:pPr>
        <w:spacing w:before="69" w:line="456" w:lineRule="auto"/>
        <w:ind w:left="140" w:right="479" w:firstLine="282"/>
        <w:rPr>
          <w:rFonts w:ascii="宋体" w:hAnsi="宋体" w:cs="宋体"/>
          <w:szCs w:val="21"/>
        </w:rPr>
      </w:pPr>
      <w:r>
        <w:rPr>
          <w:rFonts w:hint="eastAsia" w:ascii="宋体" w:hAnsi="宋体" w:cs="宋体"/>
          <w:spacing w:val="-6"/>
          <w:szCs w:val="21"/>
        </w:rPr>
        <w:t>按照投标人须知前</w:t>
      </w:r>
      <w:r>
        <w:rPr>
          <w:rFonts w:hint="eastAsia" w:ascii="宋体" w:hAnsi="宋体" w:cs="宋体"/>
          <w:spacing w:val="-4"/>
          <w:szCs w:val="21"/>
        </w:rPr>
        <w:t>附</w:t>
      </w:r>
      <w:r>
        <w:rPr>
          <w:rFonts w:hint="eastAsia" w:ascii="宋体" w:hAnsi="宋体" w:cs="宋体"/>
          <w:spacing w:val="-3"/>
          <w:szCs w:val="21"/>
        </w:rPr>
        <w:t>表的规定，招标人或招标人授权的评标委员会依法确定中标人。</w:t>
      </w:r>
      <w:r>
        <w:rPr>
          <w:rFonts w:hint="eastAsia" w:ascii="宋体" w:hAnsi="宋体" w:cs="宋体"/>
          <w:szCs w:val="21"/>
        </w:rPr>
        <w:t xml:space="preserve"> </w:t>
      </w:r>
      <w:bookmarkStart w:id="260" w:name="_bookmark66"/>
      <w:bookmarkEnd w:id="260"/>
    </w:p>
    <w:p w14:paraId="3FFDFF52">
      <w:pPr>
        <w:spacing w:before="69" w:line="456" w:lineRule="auto"/>
        <w:ind w:right="479"/>
        <w:rPr>
          <w:rFonts w:ascii="宋体" w:hAnsi="宋体" w:cs="宋体"/>
          <w:sz w:val="28"/>
          <w:szCs w:val="28"/>
        </w:rPr>
      </w:pPr>
      <w:r>
        <w:rPr>
          <w:rFonts w:hint="eastAsia" w:ascii="宋体" w:hAnsi="宋体" w:cs="宋体"/>
          <w:spacing w:val="-1"/>
          <w:sz w:val="28"/>
          <w:szCs w:val="28"/>
        </w:rPr>
        <w:t>7</w:t>
      </w:r>
      <w:r>
        <w:rPr>
          <w:rFonts w:hint="eastAsia" w:ascii="宋体" w:hAnsi="宋体" w:cs="宋体"/>
          <w:sz w:val="28"/>
          <w:szCs w:val="28"/>
        </w:rPr>
        <w:t>.5  中标通知</w:t>
      </w:r>
    </w:p>
    <w:p w14:paraId="0E38BCBE">
      <w:pPr>
        <w:spacing w:before="74" w:line="359" w:lineRule="auto"/>
        <w:ind w:firstLine="420"/>
        <w:rPr>
          <w:rFonts w:ascii="宋体" w:hAnsi="宋体" w:cs="宋体"/>
          <w:szCs w:val="21"/>
        </w:rPr>
      </w:pPr>
      <w:r>
        <w:rPr>
          <w:rFonts w:hint="eastAsia" w:ascii="宋体" w:hAnsi="宋体" w:cs="宋体"/>
          <w:spacing w:val="1"/>
          <w:szCs w:val="21"/>
        </w:rPr>
        <w:t>在本章第 3.3 款规定的投标有效期内，招标人以书面形式</w:t>
      </w:r>
      <w:r>
        <w:rPr>
          <w:rFonts w:hint="eastAsia" w:ascii="宋体" w:hAnsi="宋体" w:cs="宋体"/>
          <w:szCs w:val="21"/>
        </w:rPr>
        <w:t>向中标人发出中标通知书，同时</w:t>
      </w:r>
      <w:bookmarkStart w:id="261" w:name="_bookmark67"/>
      <w:bookmarkEnd w:id="261"/>
      <w:r>
        <w:rPr>
          <w:rFonts w:hint="eastAsia" w:ascii="宋体" w:hAnsi="宋体" w:cs="宋体"/>
          <w:spacing w:val="-1"/>
          <w:szCs w:val="21"/>
        </w:rPr>
        <w:t>将中</w:t>
      </w:r>
      <w:r>
        <w:rPr>
          <w:rFonts w:hint="eastAsia" w:ascii="宋体" w:hAnsi="宋体" w:cs="宋体"/>
          <w:szCs w:val="21"/>
        </w:rPr>
        <w:t>标结果通知未中标的投标人。</w:t>
      </w:r>
    </w:p>
    <w:p w14:paraId="31AD713B">
      <w:pPr>
        <w:spacing w:before="143" w:line="360" w:lineRule="auto"/>
        <w:ind w:left="140"/>
        <w:rPr>
          <w:rFonts w:ascii="宋体" w:hAnsi="宋体" w:cs="宋体"/>
          <w:sz w:val="28"/>
          <w:szCs w:val="28"/>
        </w:rPr>
      </w:pPr>
      <w:r>
        <w:rPr>
          <w:rFonts w:hint="eastAsia" w:ascii="宋体" w:hAnsi="宋体" w:cs="宋体"/>
          <w:spacing w:val="-1"/>
          <w:sz w:val="28"/>
          <w:szCs w:val="28"/>
        </w:rPr>
        <w:t>7.6  履</w:t>
      </w:r>
      <w:r>
        <w:rPr>
          <w:rFonts w:hint="eastAsia" w:ascii="宋体" w:hAnsi="宋体" w:cs="宋体"/>
          <w:sz w:val="28"/>
          <w:szCs w:val="28"/>
        </w:rPr>
        <w:t>约保证金</w:t>
      </w:r>
    </w:p>
    <w:p w14:paraId="65DDC4B7">
      <w:pPr>
        <w:spacing w:before="1" w:line="361" w:lineRule="auto"/>
        <w:ind w:left="4" w:right="74" w:firstLine="416"/>
        <w:rPr>
          <w:rFonts w:ascii="宋体" w:hAnsi="宋体" w:cs="宋体"/>
          <w:spacing w:val="-4"/>
          <w:szCs w:val="21"/>
        </w:rPr>
      </w:pPr>
      <w:r>
        <w:rPr>
          <w:rFonts w:hint="eastAsia" w:ascii="宋体" w:hAnsi="宋体" w:cs="宋体"/>
          <w:spacing w:val="-4"/>
          <w:szCs w:val="21"/>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w:t>
      </w:r>
    </w:p>
    <w:p w14:paraId="07D089FC">
      <w:pPr>
        <w:spacing w:before="1" w:line="361" w:lineRule="auto"/>
        <w:ind w:left="4" w:right="74" w:firstLine="416"/>
        <w:rPr>
          <w:rFonts w:ascii="宋体" w:hAnsi="宋体" w:cs="宋体"/>
          <w:szCs w:val="21"/>
        </w:rPr>
      </w:pPr>
      <w:r>
        <w:rPr>
          <w:rFonts w:hint="eastAsia" w:ascii="宋体" w:hAnsi="宋体" w:cs="宋体"/>
          <w:spacing w:val="-4"/>
          <w:szCs w:val="21"/>
        </w:rPr>
        <w:t>7.6.2  中标人不能按本章第</w:t>
      </w:r>
      <w:r>
        <w:rPr>
          <w:rFonts w:hint="eastAsia" w:ascii="宋体" w:hAnsi="宋体" w:cs="宋体"/>
          <w:spacing w:val="-2"/>
          <w:szCs w:val="21"/>
        </w:rPr>
        <w:t xml:space="preserve"> 7.6.1 项要求提交履约保证金的，视为放弃中标</w:t>
      </w:r>
      <w:r>
        <w:rPr>
          <w:rFonts w:hint="eastAsia" w:ascii="宋体" w:hAnsi="宋体" w:cs="宋体"/>
          <w:spacing w:val="-5"/>
          <w:szCs w:val="21"/>
        </w:rPr>
        <w:t>，中标人还应当予以赔偿</w:t>
      </w:r>
      <w:r>
        <w:rPr>
          <w:rFonts w:hint="eastAsia" w:ascii="宋体" w:hAnsi="宋体" w:cs="宋体"/>
          <w:spacing w:val="-4"/>
          <w:szCs w:val="21"/>
        </w:rPr>
        <w:t>。</w:t>
      </w:r>
    </w:p>
    <w:p w14:paraId="664A326E">
      <w:pPr>
        <w:spacing w:before="137" w:line="360" w:lineRule="auto"/>
        <w:ind w:left="139"/>
        <w:rPr>
          <w:rFonts w:ascii="宋体" w:hAnsi="宋体" w:cs="宋体"/>
          <w:sz w:val="28"/>
          <w:szCs w:val="28"/>
        </w:rPr>
      </w:pPr>
      <w:bookmarkStart w:id="262" w:name="_bookmark68"/>
      <w:bookmarkEnd w:id="262"/>
      <w:r>
        <w:rPr>
          <w:rFonts w:hint="eastAsia" w:ascii="宋体" w:hAnsi="宋体" w:cs="宋体"/>
          <w:spacing w:val="-1"/>
          <w:sz w:val="28"/>
          <w:szCs w:val="28"/>
        </w:rPr>
        <w:t>7.7  签</w:t>
      </w:r>
      <w:r>
        <w:rPr>
          <w:rFonts w:hint="eastAsia" w:ascii="宋体" w:hAnsi="宋体" w:cs="宋体"/>
          <w:sz w:val="28"/>
          <w:szCs w:val="28"/>
        </w:rPr>
        <w:t>订合同</w:t>
      </w:r>
    </w:p>
    <w:p w14:paraId="477D9468">
      <w:pPr>
        <w:spacing w:before="69" w:line="352" w:lineRule="auto"/>
        <w:ind w:right="74" w:firstLine="420"/>
        <w:rPr>
          <w:rFonts w:ascii="宋体" w:hAnsi="宋体" w:cs="宋体"/>
          <w:szCs w:val="21"/>
        </w:rPr>
      </w:pPr>
      <w:r>
        <w:rPr>
          <w:rFonts w:hint="eastAsia" w:ascii="宋体" w:hAnsi="宋体" w:cs="宋体"/>
          <w:spacing w:val="-2"/>
          <w:szCs w:val="21"/>
        </w:rPr>
        <w:t>7.7.1  招标人和中标人应当在中标通知书发出之日起 30</w:t>
      </w:r>
      <w:r>
        <w:rPr>
          <w:rFonts w:hint="eastAsia" w:ascii="宋体" w:hAnsi="宋体" w:cs="宋体"/>
          <w:spacing w:val="-1"/>
          <w:szCs w:val="21"/>
        </w:rPr>
        <w:t xml:space="preserve"> 日内，根据招标文件和中标人的投</w:t>
      </w:r>
      <w:r>
        <w:rPr>
          <w:rFonts w:hint="eastAsia" w:ascii="宋体" w:hAnsi="宋体" w:cs="宋体"/>
          <w:spacing w:val="-2"/>
          <w:szCs w:val="21"/>
        </w:rPr>
        <w:t>标文件订立书面合同。中标人无正当理由拒签合同，在签订合同时向招标人提出附加条件，</w:t>
      </w:r>
      <w:r>
        <w:rPr>
          <w:rFonts w:hint="eastAsia" w:ascii="宋体" w:hAnsi="宋体" w:cs="宋体"/>
          <w:szCs w:val="21"/>
        </w:rPr>
        <w:t>或</w:t>
      </w:r>
      <w:r>
        <w:rPr>
          <w:rFonts w:hint="eastAsia" w:ascii="宋体" w:hAnsi="宋体" w:cs="宋体"/>
          <w:spacing w:val="1"/>
          <w:szCs w:val="21"/>
        </w:rPr>
        <w:t>者不按照招标文件要求提交履约保证金的，招标人有权取</w:t>
      </w:r>
      <w:r>
        <w:rPr>
          <w:rFonts w:hint="eastAsia" w:ascii="宋体" w:hAnsi="宋体" w:cs="宋体"/>
          <w:szCs w:val="21"/>
        </w:rPr>
        <w:t>消其中标资格</w:t>
      </w:r>
      <w:r>
        <w:rPr>
          <w:rFonts w:hint="eastAsia" w:ascii="宋体" w:hAnsi="宋体" w:cs="宋体"/>
          <w:spacing w:val="-3"/>
          <w:szCs w:val="21"/>
        </w:rPr>
        <w:t>给招标人造成的损失的，中标人还应当予以赔偿。对依法必须招标项目的中标人，由有关行政监督部门责令改正。</w:t>
      </w:r>
    </w:p>
    <w:p w14:paraId="37B32995">
      <w:pPr>
        <w:spacing w:line="351" w:lineRule="auto"/>
        <w:ind w:right="74" w:firstLine="419"/>
        <w:rPr>
          <w:rFonts w:ascii="宋体" w:hAnsi="宋体" w:cs="宋体"/>
          <w:szCs w:val="21"/>
        </w:rPr>
      </w:pPr>
      <w:r>
        <w:rPr>
          <w:rFonts w:hint="eastAsia" w:ascii="宋体" w:hAnsi="宋体" w:cs="宋体"/>
          <w:spacing w:val="-12"/>
          <w:szCs w:val="21"/>
        </w:rPr>
        <w:t>7</w:t>
      </w:r>
      <w:r>
        <w:rPr>
          <w:rFonts w:hint="eastAsia" w:ascii="宋体" w:hAnsi="宋体" w:cs="宋体"/>
          <w:spacing w:val="-11"/>
          <w:szCs w:val="21"/>
        </w:rPr>
        <w:t>.</w:t>
      </w:r>
      <w:r>
        <w:rPr>
          <w:rFonts w:hint="eastAsia" w:ascii="宋体" w:hAnsi="宋体" w:cs="宋体"/>
          <w:spacing w:val="-6"/>
          <w:szCs w:val="21"/>
        </w:rPr>
        <w:t>7.2  发出中标通知书后， 招标人无正当理由拒签合同，或者在签订合同时向中标人提出附</w:t>
      </w:r>
      <w:r>
        <w:rPr>
          <w:rFonts w:hint="eastAsia" w:ascii="宋体" w:hAnsi="宋体" w:cs="宋体"/>
          <w:spacing w:val="-10"/>
          <w:szCs w:val="21"/>
        </w:rPr>
        <w:t>加条件的，</w:t>
      </w:r>
      <w:r>
        <w:rPr>
          <w:rFonts w:hint="eastAsia" w:ascii="宋体" w:hAnsi="宋体" w:cs="宋体"/>
          <w:spacing w:val="-5"/>
          <w:szCs w:val="21"/>
        </w:rPr>
        <w:t>给中标人造成损失的，还应当赔偿损失。</w:t>
      </w:r>
    </w:p>
    <w:p w14:paraId="6F4EFDC3">
      <w:pPr>
        <w:spacing w:before="147" w:line="360" w:lineRule="auto"/>
        <w:ind w:left="3"/>
        <w:outlineLvl w:val="0"/>
        <w:rPr>
          <w:rFonts w:ascii="宋体" w:hAnsi="宋体" w:cs="宋体"/>
          <w:sz w:val="31"/>
          <w:szCs w:val="31"/>
        </w:rPr>
      </w:pPr>
      <w:bookmarkStart w:id="263" w:name="_bookmark69"/>
      <w:bookmarkEnd w:id="263"/>
      <w:bookmarkStart w:id="264" w:name="_bookmark70"/>
      <w:bookmarkEnd w:id="264"/>
      <w:bookmarkStart w:id="265" w:name="_Toc25498"/>
      <w:bookmarkStart w:id="266" w:name="_Toc2556"/>
      <w:bookmarkStart w:id="267" w:name="_Toc8166"/>
      <w:bookmarkStart w:id="268" w:name="_Toc19143"/>
      <w:bookmarkStart w:id="269" w:name="_Toc30059"/>
      <w:bookmarkStart w:id="270" w:name="_Toc1756"/>
      <w:bookmarkStart w:id="271" w:name="_Toc22945"/>
      <w:bookmarkStart w:id="272" w:name="_Toc21800"/>
      <w:bookmarkStart w:id="273" w:name="_Toc21753"/>
      <w:bookmarkStart w:id="274" w:name="_Toc31216"/>
      <w:bookmarkStart w:id="275" w:name="_Toc16407"/>
      <w:bookmarkStart w:id="276" w:name="_Toc22047"/>
      <w:bookmarkStart w:id="277" w:name="_Toc31924"/>
      <w:bookmarkStart w:id="278" w:name="_Toc18413"/>
      <w:r>
        <w:rPr>
          <w:rFonts w:hint="eastAsia" w:ascii="宋体" w:hAnsi="宋体" w:cs="宋体"/>
          <w:b/>
          <w:bCs/>
          <w:spacing w:val="9"/>
          <w:sz w:val="31"/>
          <w:szCs w:val="31"/>
        </w:rPr>
        <w:t>8</w:t>
      </w:r>
      <w:r>
        <w:rPr>
          <w:rFonts w:hint="eastAsia" w:ascii="宋体" w:hAnsi="宋体" w:cs="宋体"/>
          <w:b/>
          <w:bCs/>
          <w:spacing w:val="7"/>
          <w:sz w:val="31"/>
          <w:szCs w:val="31"/>
        </w:rPr>
        <w:t xml:space="preserve">.  </w:t>
      </w:r>
      <w:r>
        <w:rPr>
          <w:rFonts w:hint="eastAsia" w:ascii="宋体" w:hAnsi="宋体" w:cs="宋体"/>
          <w:spacing w:val="7"/>
          <w:sz w:val="31"/>
          <w:szCs w:val="31"/>
        </w:rPr>
        <w:t>纪律和监督</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446A0A5D">
      <w:pPr>
        <w:spacing w:before="92" w:line="360" w:lineRule="auto"/>
        <w:ind w:left="146"/>
        <w:rPr>
          <w:rFonts w:ascii="宋体" w:hAnsi="宋体" w:cs="宋体"/>
          <w:sz w:val="28"/>
          <w:szCs w:val="28"/>
        </w:rPr>
      </w:pPr>
      <w:r>
        <w:rPr>
          <w:rFonts w:hint="eastAsia" w:ascii="宋体" w:hAnsi="宋体" w:cs="宋体"/>
          <w:spacing w:val="-2"/>
          <w:sz w:val="28"/>
          <w:szCs w:val="28"/>
        </w:rPr>
        <w:t>8</w:t>
      </w:r>
      <w:r>
        <w:rPr>
          <w:rFonts w:hint="eastAsia" w:ascii="宋体" w:hAnsi="宋体" w:cs="宋体"/>
          <w:spacing w:val="-1"/>
          <w:sz w:val="28"/>
          <w:szCs w:val="28"/>
        </w:rPr>
        <w:t>.1  对招标人的纪律要求</w:t>
      </w:r>
    </w:p>
    <w:p w14:paraId="331C7A9C">
      <w:pPr>
        <w:spacing w:before="69" w:line="359" w:lineRule="auto"/>
        <w:ind w:left="2" w:firstLine="419"/>
        <w:rPr>
          <w:rFonts w:ascii="宋体" w:hAnsi="宋体" w:cs="宋体"/>
          <w:szCs w:val="21"/>
        </w:rPr>
      </w:pPr>
      <w:r>
        <w:rPr>
          <w:rFonts w:hint="eastAsia" w:ascii="宋体" w:hAnsi="宋体" w:cs="宋体"/>
          <w:spacing w:val="-4"/>
          <w:szCs w:val="21"/>
        </w:rPr>
        <w:t>招标人不得泄露招标投标活动中</w:t>
      </w:r>
      <w:r>
        <w:rPr>
          <w:rFonts w:hint="eastAsia" w:ascii="宋体" w:hAnsi="宋体" w:cs="宋体"/>
          <w:spacing w:val="-3"/>
          <w:szCs w:val="21"/>
        </w:rPr>
        <w:t>应</w:t>
      </w:r>
      <w:r>
        <w:rPr>
          <w:rFonts w:hint="eastAsia" w:ascii="宋体" w:hAnsi="宋体" w:cs="宋体"/>
          <w:spacing w:val="-2"/>
          <w:szCs w:val="21"/>
        </w:rPr>
        <w:t>当保密的情况和资料，不得与投标人串通损害国家利益、</w:t>
      </w:r>
      <w:bookmarkStart w:id="279" w:name="_bookmark71"/>
      <w:bookmarkEnd w:id="279"/>
      <w:r>
        <w:rPr>
          <w:rFonts w:hint="eastAsia" w:ascii="宋体" w:hAnsi="宋体" w:cs="宋体"/>
          <w:spacing w:val="-1"/>
          <w:szCs w:val="21"/>
        </w:rPr>
        <w:t>社会公共利</w:t>
      </w:r>
      <w:r>
        <w:rPr>
          <w:rFonts w:hint="eastAsia" w:ascii="宋体" w:hAnsi="宋体" w:cs="宋体"/>
          <w:szCs w:val="21"/>
        </w:rPr>
        <w:t>益或者他人合法权益。</w:t>
      </w:r>
    </w:p>
    <w:p w14:paraId="669890EE">
      <w:pPr>
        <w:spacing w:before="144" w:line="360" w:lineRule="auto"/>
        <w:ind w:left="146"/>
        <w:rPr>
          <w:rFonts w:ascii="宋体" w:hAnsi="宋体" w:cs="宋体"/>
          <w:sz w:val="28"/>
          <w:szCs w:val="28"/>
        </w:rPr>
      </w:pPr>
      <w:r>
        <w:rPr>
          <w:rFonts w:hint="eastAsia" w:ascii="宋体" w:hAnsi="宋体" w:cs="宋体"/>
          <w:spacing w:val="-2"/>
          <w:sz w:val="28"/>
          <w:szCs w:val="28"/>
        </w:rPr>
        <w:t>8</w:t>
      </w:r>
      <w:r>
        <w:rPr>
          <w:rFonts w:hint="eastAsia" w:ascii="宋体" w:hAnsi="宋体" w:cs="宋体"/>
          <w:spacing w:val="-1"/>
          <w:sz w:val="28"/>
          <w:szCs w:val="28"/>
        </w:rPr>
        <w:t>.2  对投标人的纪律要求</w:t>
      </w:r>
    </w:p>
    <w:p w14:paraId="05FCE7A3">
      <w:pPr>
        <w:spacing w:before="68" w:line="358" w:lineRule="auto"/>
        <w:ind w:right="77" w:firstLine="422"/>
        <w:rPr>
          <w:rFonts w:ascii="宋体" w:hAnsi="宋体" w:cs="宋体"/>
          <w:szCs w:val="21"/>
        </w:rPr>
      </w:pPr>
      <w:r>
        <w:rPr>
          <w:rFonts w:hint="eastAsia" w:ascii="宋体" w:hAnsi="宋体" w:cs="宋体"/>
          <w:spacing w:val="-4"/>
          <w:szCs w:val="21"/>
        </w:rPr>
        <w:t>投</w:t>
      </w:r>
      <w:r>
        <w:rPr>
          <w:rFonts w:hint="eastAsia" w:ascii="宋体" w:hAnsi="宋体" w:cs="宋体"/>
          <w:spacing w:val="-3"/>
          <w:szCs w:val="21"/>
        </w:rPr>
        <w:t>标</w:t>
      </w:r>
      <w:r>
        <w:rPr>
          <w:rFonts w:hint="eastAsia" w:ascii="宋体" w:hAnsi="宋体" w:cs="宋体"/>
          <w:spacing w:val="-2"/>
          <w:szCs w:val="21"/>
        </w:rPr>
        <w:t>人不得相互串通投标或者与招标人串通投标，不得向招标人或者评标委员会成员行贿谋取中标，不得以他人名义投标或者以其他方式弄虚作假骗取中标；投标人不得以任何方</w:t>
      </w:r>
      <w:r>
        <w:rPr>
          <w:rFonts w:hint="eastAsia" w:ascii="宋体" w:hAnsi="宋体" w:cs="宋体"/>
          <w:spacing w:val="-1"/>
          <w:szCs w:val="21"/>
        </w:rPr>
        <w:t>式</w:t>
      </w:r>
      <w:r>
        <w:rPr>
          <w:rFonts w:hint="eastAsia" w:ascii="宋体" w:hAnsi="宋体" w:cs="宋体"/>
          <w:szCs w:val="21"/>
        </w:rPr>
        <w:t>干</w:t>
      </w:r>
      <w:bookmarkStart w:id="280" w:name="_bookmark72"/>
      <w:bookmarkEnd w:id="280"/>
      <w:r>
        <w:rPr>
          <w:rFonts w:hint="eastAsia" w:ascii="宋体" w:hAnsi="宋体" w:cs="宋体"/>
          <w:spacing w:val="-4"/>
          <w:szCs w:val="21"/>
        </w:rPr>
        <w:t>扰</w:t>
      </w:r>
      <w:r>
        <w:rPr>
          <w:rFonts w:hint="eastAsia" w:ascii="宋体" w:hAnsi="宋体" w:cs="宋体"/>
          <w:spacing w:val="-2"/>
          <w:szCs w:val="21"/>
        </w:rPr>
        <w:t>、影响评标工作。</w:t>
      </w:r>
    </w:p>
    <w:p w14:paraId="524EFE47">
      <w:pPr>
        <w:spacing w:before="140" w:line="360" w:lineRule="auto"/>
        <w:ind w:left="146"/>
        <w:rPr>
          <w:rFonts w:ascii="宋体" w:hAnsi="宋体" w:cs="宋体"/>
          <w:sz w:val="28"/>
          <w:szCs w:val="28"/>
        </w:rPr>
      </w:pPr>
      <w:r>
        <w:rPr>
          <w:rFonts w:hint="eastAsia" w:ascii="宋体" w:hAnsi="宋体" w:cs="宋体"/>
          <w:spacing w:val="-1"/>
          <w:sz w:val="28"/>
          <w:szCs w:val="28"/>
        </w:rPr>
        <w:t>8.3  对评标委员会成员的纪</w:t>
      </w:r>
      <w:r>
        <w:rPr>
          <w:rFonts w:hint="eastAsia" w:ascii="宋体" w:hAnsi="宋体" w:cs="宋体"/>
          <w:sz w:val="28"/>
          <w:szCs w:val="28"/>
        </w:rPr>
        <w:t>律要求</w:t>
      </w:r>
    </w:p>
    <w:p w14:paraId="3B7DCE1F">
      <w:pPr>
        <w:spacing w:before="69" w:line="357" w:lineRule="auto"/>
        <w:ind w:right="1" w:firstLine="424"/>
        <w:rPr>
          <w:rFonts w:ascii="宋体" w:hAnsi="宋体" w:cs="宋体"/>
          <w:spacing w:val="1"/>
          <w:szCs w:val="21"/>
        </w:rPr>
      </w:pPr>
      <w:r>
        <w:rPr>
          <w:rFonts w:hint="eastAsia" w:ascii="宋体" w:hAnsi="宋体" w:cs="宋体"/>
          <w:spacing w:val="1"/>
          <w:szCs w:val="21"/>
        </w:rPr>
        <w:t>评标委员会成员不得收受他人的财物或者其他好处，不得向他人透露对投标文件的评审和比较、中标候选人的推荐情况以及评标有关的其他情况。在评标活动中，评标委员会成员应当客观、公正地履行职责， 遵守职业道德，不得擅离职守，影响评标程序正常进行，不得使用第</w:t>
      </w:r>
      <w:bookmarkStart w:id="281" w:name="_bookmark73"/>
      <w:bookmarkEnd w:id="281"/>
      <w:r>
        <w:rPr>
          <w:rFonts w:hint="eastAsia" w:ascii="宋体" w:hAnsi="宋体" w:cs="宋体"/>
          <w:spacing w:val="1"/>
          <w:szCs w:val="21"/>
        </w:rPr>
        <w:t>三章“评标办法”没有规定的评审因素和标准进行评标。</w:t>
      </w:r>
    </w:p>
    <w:p w14:paraId="64595D6A">
      <w:pPr>
        <w:spacing w:before="311" w:line="360" w:lineRule="auto"/>
        <w:ind w:left="146"/>
        <w:rPr>
          <w:rFonts w:ascii="宋体" w:hAnsi="宋体" w:cs="宋体"/>
          <w:sz w:val="28"/>
          <w:szCs w:val="28"/>
        </w:rPr>
      </w:pPr>
      <w:r>
        <w:rPr>
          <w:rFonts w:hint="eastAsia" w:ascii="宋体" w:hAnsi="宋体" w:cs="宋体"/>
          <w:spacing w:val="-1"/>
          <w:sz w:val="28"/>
          <w:szCs w:val="28"/>
        </w:rPr>
        <w:t>8.4  对与评标活动有关的工作</w:t>
      </w:r>
      <w:r>
        <w:rPr>
          <w:rFonts w:hint="eastAsia" w:ascii="宋体" w:hAnsi="宋体" w:cs="宋体"/>
          <w:sz w:val="28"/>
          <w:szCs w:val="28"/>
        </w:rPr>
        <w:t>人员的纪律要求</w:t>
      </w:r>
    </w:p>
    <w:p w14:paraId="5361A9C3">
      <w:pPr>
        <w:spacing w:before="69" w:line="357" w:lineRule="auto"/>
        <w:ind w:right="1" w:firstLine="424"/>
        <w:rPr>
          <w:rFonts w:ascii="宋体" w:hAnsi="宋体" w:cs="宋体"/>
          <w:szCs w:val="21"/>
        </w:rPr>
      </w:pPr>
      <w:r>
        <w:rPr>
          <w:rFonts w:hint="eastAsia" w:ascii="宋体" w:hAnsi="宋体" w:cs="宋体"/>
          <w:spacing w:val="1"/>
          <w:szCs w:val="21"/>
        </w:rPr>
        <w:t>与评标活动有关的工作人员不得收受他人的财</w:t>
      </w:r>
      <w:r>
        <w:rPr>
          <w:rFonts w:hint="eastAsia" w:ascii="宋体" w:hAnsi="宋体" w:cs="宋体"/>
          <w:szCs w:val="21"/>
        </w:rPr>
        <w:t>物或者其他好处，不得向他人透露对投标文</w:t>
      </w:r>
      <w:r>
        <w:rPr>
          <w:rFonts w:hint="eastAsia" w:ascii="宋体" w:hAnsi="宋体" w:cs="宋体"/>
          <w:spacing w:val="1"/>
          <w:szCs w:val="21"/>
        </w:rPr>
        <w:t>件的评审和比较、中标候选人的推荐情况以及评标有关的</w:t>
      </w:r>
      <w:r>
        <w:rPr>
          <w:rFonts w:hint="eastAsia" w:ascii="宋体" w:hAnsi="宋体" w:cs="宋体"/>
          <w:szCs w:val="21"/>
        </w:rPr>
        <w:t>其他情况。在评标活动中，与评标活</w:t>
      </w:r>
      <w:bookmarkStart w:id="282" w:name="_bookmark74"/>
      <w:bookmarkEnd w:id="282"/>
      <w:r>
        <w:rPr>
          <w:rFonts w:hint="eastAsia" w:ascii="宋体" w:hAnsi="宋体" w:cs="宋体"/>
          <w:spacing w:val="-1"/>
          <w:szCs w:val="21"/>
        </w:rPr>
        <w:t>动</w:t>
      </w:r>
      <w:r>
        <w:rPr>
          <w:rFonts w:hint="eastAsia" w:ascii="宋体" w:hAnsi="宋体" w:cs="宋体"/>
          <w:szCs w:val="21"/>
        </w:rPr>
        <w:t>有关的工作人员不得擅离职守，影响评标程序正常进行。</w:t>
      </w:r>
    </w:p>
    <w:p w14:paraId="64BA7A26">
      <w:pPr>
        <w:spacing w:before="141" w:line="360" w:lineRule="auto"/>
        <w:ind w:left="146"/>
        <w:rPr>
          <w:rFonts w:ascii="宋体" w:hAnsi="宋体" w:cs="宋体"/>
          <w:sz w:val="28"/>
          <w:szCs w:val="28"/>
        </w:rPr>
      </w:pPr>
      <w:r>
        <w:rPr>
          <w:rFonts w:hint="eastAsia" w:ascii="宋体" w:hAnsi="宋体" w:cs="宋体"/>
          <w:spacing w:val="-2"/>
          <w:sz w:val="28"/>
          <w:szCs w:val="28"/>
        </w:rPr>
        <w:t>8.5  投</w:t>
      </w:r>
      <w:r>
        <w:rPr>
          <w:rFonts w:hint="eastAsia" w:ascii="宋体" w:hAnsi="宋体" w:cs="宋体"/>
          <w:spacing w:val="-1"/>
          <w:sz w:val="28"/>
          <w:szCs w:val="28"/>
        </w:rPr>
        <w:t>诉</w:t>
      </w:r>
    </w:p>
    <w:p w14:paraId="60ECFB9D">
      <w:pPr>
        <w:spacing w:before="69" w:line="352" w:lineRule="auto"/>
        <w:ind w:left="5" w:firstLine="420"/>
        <w:rPr>
          <w:rFonts w:ascii="宋体" w:hAnsi="宋体" w:cs="宋体"/>
          <w:szCs w:val="21"/>
        </w:rPr>
      </w:pPr>
      <w:r>
        <w:rPr>
          <w:rFonts w:hint="eastAsia" w:ascii="宋体" w:hAnsi="宋体" w:cs="宋体"/>
          <w:spacing w:val="-8"/>
          <w:szCs w:val="21"/>
        </w:rPr>
        <w:t>8.</w:t>
      </w:r>
      <w:r>
        <w:rPr>
          <w:rFonts w:hint="eastAsia" w:ascii="宋体" w:hAnsi="宋体" w:cs="宋体"/>
          <w:spacing w:val="-6"/>
          <w:szCs w:val="21"/>
        </w:rPr>
        <w:t>5</w:t>
      </w:r>
      <w:r>
        <w:rPr>
          <w:rFonts w:hint="eastAsia" w:ascii="宋体" w:hAnsi="宋体" w:cs="宋体"/>
          <w:spacing w:val="-4"/>
          <w:szCs w:val="21"/>
        </w:rPr>
        <w:t>.1  投标人或者其他利害关系人认为招标投标活动不符合法律、行政法规规定的，可以自</w:t>
      </w:r>
      <w:r>
        <w:rPr>
          <w:rFonts w:hint="eastAsia" w:ascii="宋体" w:hAnsi="宋体" w:cs="宋体"/>
          <w:spacing w:val="-6"/>
          <w:szCs w:val="21"/>
        </w:rPr>
        <w:t>知</w:t>
      </w:r>
      <w:r>
        <w:rPr>
          <w:rFonts w:hint="eastAsia" w:ascii="宋体" w:hAnsi="宋体" w:cs="宋体"/>
          <w:spacing w:val="-5"/>
          <w:szCs w:val="21"/>
        </w:rPr>
        <w:t>道</w:t>
      </w:r>
      <w:r>
        <w:rPr>
          <w:rFonts w:hint="eastAsia" w:ascii="宋体" w:hAnsi="宋体" w:cs="宋体"/>
          <w:spacing w:val="-3"/>
          <w:szCs w:val="21"/>
        </w:rPr>
        <w:t>或者应当知道之日起 10 日内向有关行政监督部门投诉。投诉应当有明确的请求和必要的证明</w:t>
      </w:r>
      <w:r>
        <w:rPr>
          <w:rFonts w:hint="eastAsia" w:ascii="宋体" w:hAnsi="宋体" w:cs="宋体"/>
          <w:spacing w:val="-2"/>
          <w:szCs w:val="21"/>
        </w:rPr>
        <w:t>材料。</w:t>
      </w:r>
    </w:p>
    <w:p w14:paraId="7E7DA0E1">
      <w:pPr>
        <w:spacing w:before="1" w:line="357" w:lineRule="auto"/>
        <w:ind w:left="2" w:firstLine="422"/>
        <w:rPr>
          <w:rFonts w:ascii="宋体" w:hAnsi="宋体" w:cs="宋体"/>
          <w:szCs w:val="21"/>
        </w:rPr>
      </w:pPr>
      <w:r>
        <w:rPr>
          <w:rFonts w:hint="eastAsia" w:ascii="宋体" w:hAnsi="宋体" w:cs="宋体"/>
          <w:spacing w:val="-8"/>
          <w:szCs w:val="21"/>
        </w:rPr>
        <w:t>8.</w:t>
      </w:r>
      <w:r>
        <w:rPr>
          <w:rFonts w:hint="eastAsia" w:ascii="宋体" w:hAnsi="宋体" w:cs="宋体"/>
          <w:spacing w:val="-6"/>
          <w:szCs w:val="21"/>
        </w:rPr>
        <w:t>5</w:t>
      </w:r>
      <w:r>
        <w:rPr>
          <w:rFonts w:hint="eastAsia" w:ascii="宋体" w:hAnsi="宋体" w:cs="宋体"/>
          <w:spacing w:val="-4"/>
          <w:szCs w:val="21"/>
        </w:rPr>
        <w:t>.2  投标人或者其他利害关系人对招标文件、开标和评标结果提出投诉的， 应当按照投标</w:t>
      </w:r>
      <w:r>
        <w:rPr>
          <w:rFonts w:hint="eastAsia" w:ascii="宋体" w:hAnsi="宋体" w:cs="宋体"/>
          <w:spacing w:val="-9"/>
          <w:szCs w:val="21"/>
        </w:rPr>
        <w:t>人须知第2.4 款、第 5.3 款和第 7.2 款的规定先向招标人提出异议。异议答复期间不计算在第 8.5.</w:t>
      </w:r>
      <w:r>
        <w:rPr>
          <w:rFonts w:hint="eastAsia" w:ascii="宋体" w:hAnsi="宋体" w:cs="宋体"/>
          <w:spacing w:val="-6"/>
          <w:szCs w:val="21"/>
        </w:rPr>
        <w:t>1</w:t>
      </w:r>
      <w:r>
        <w:rPr>
          <w:rFonts w:hint="eastAsia" w:ascii="宋体" w:hAnsi="宋体" w:cs="宋体"/>
          <w:szCs w:val="21"/>
        </w:rPr>
        <w:t xml:space="preserve"> </w:t>
      </w:r>
      <w:r>
        <w:rPr>
          <w:rFonts w:hint="eastAsia" w:ascii="宋体" w:hAnsi="宋体" w:cs="宋体"/>
          <w:spacing w:val="-1"/>
          <w:szCs w:val="21"/>
        </w:rPr>
        <w:t>项规定的期限内</w:t>
      </w:r>
      <w:r>
        <w:rPr>
          <w:rFonts w:hint="eastAsia" w:ascii="宋体" w:hAnsi="宋体" w:cs="宋体"/>
          <w:szCs w:val="21"/>
        </w:rPr>
        <w:t>。</w:t>
      </w:r>
    </w:p>
    <w:p w14:paraId="3491D8B1">
      <w:pPr>
        <w:spacing w:before="149" w:line="360" w:lineRule="auto"/>
        <w:ind w:left="2"/>
        <w:outlineLvl w:val="0"/>
        <w:rPr>
          <w:rFonts w:ascii="宋体" w:hAnsi="宋体" w:cs="宋体"/>
          <w:sz w:val="31"/>
          <w:szCs w:val="31"/>
        </w:rPr>
      </w:pPr>
      <w:bookmarkStart w:id="283" w:name="_bookmark75"/>
      <w:bookmarkEnd w:id="283"/>
      <w:bookmarkStart w:id="284" w:name="_Toc17373"/>
      <w:bookmarkStart w:id="285" w:name="_Toc27504"/>
      <w:bookmarkStart w:id="286" w:name="_Toc25793"/>
      <w:bookmarkStart w:id="287" w:name="_Toc30881"/>
      <w:bookmarkStart w:id="288" w:name="_Toc11354"/>
      <w:bookmarkStart w:id="289" w:name="_Toc37"/>
      <w:bookmarkStart w:id="290" w:name="_Toc30025"/>
      <w:bookmarkStart w:id="291" w:name="_Toc14166"/>
      <w:bookmarkStart w:id="292" w:name="_Toc13273"/>
      <w:bookmarkStart w:id="293" w:name="_Toc20561"/>
      <w:bookmarkStart w:id="294" w:name="_Toc28331"/>
      <w:bookmarkStart w:id="295" w:name="_Toc22304"/>
      <w:bookmarkStart w:id="296" w:name="_Toc25365"/>
      <w:bookmarkStart w:id="297" w:name="_Toc8825"/>
      <w:r>
        <w:rPr>
          <w:rFonts w:hint="eastAsia" w:ascii="宋体" w:hAnsi="宋体" w:cs="宋体"/>
          <w:b/>
          <w:bCs/>
          <w:spacing w:val="9"/>
          <w:sz w:val="31"/>
          <w:szCs w:val="31"/>
        </w:rPr>
        <w:t>9</w:t>
      </w:r>
      <w:r>
        <w:rPr>
          <w:rFonts w:hint="eastAsia" w:ascii="宋体" w:hAnsi="宋体" w:cs="宋体"/>
          <w:b/>
          <w:bCs/>
          <w:spacing w:val="8"/>
          <w:sz w:val="31"/>
          <w:szCs w:val="31"/>
        </w:rPr>
        <w:t>.</w:t>
      </w:r>
      <w:r>
        <w:rPr>
          <w:rFonts w:hint="eastAsia" w:ascii="宋体" w:hAnsi="宋体" w:cs="宋体"/>
          <w:spacing w:val="8"/>
          <w:sz w:val="31"/>
          <w:szCs w:val="31"/>
        </w:rPr>
        <w:t xml:space="preserve">  是否采用电子招标投标</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5A32C901">
      <w:pPr>
        <w:spacing w:before="69" w:line="220" w:lineRule="auto"/>
        <w:ind w:left="421"/>
        <w:rPr>
          <w:rFonts w:ascii="宋体" w:hAnsi="宋体" w:cs="宋体"/>
          <w:szCs w:val="21"/>
        </w:rPr>
      </w:pPr>
      <w:r>
        <w:rPr>
          <w:rFonts w:hint="eastAsia" w:ascii="宋体" w:hAnsi="宋体" w:cs="宋体"/>
          <w:spacing w:val="-6"/>
          <w:szCs w:val="21"/>
        </w:rPr>
        <w:t>本招标项目是否</w:t>
      </w:r>
      <w:r>
        <w:rPr>
          <w:rFonts w:hint="eastAsia" w:ascii="宋体" w:hAnsi="宋体" w:cs="宋体"/>
          <w:spacing w:val="-3"/>
          <w:szCs w:val="21"/>
        </w:rPr>
        <w:t>采用电子招标投标方式，见投标人须知前附表。</w:t>
      </w:r>
    </w:p>
    <w:p w14:paraId="695608DF">
      <w:pPr>
        <w:spacing w:before="320" w:line="360" w:lineRule="auto"/>
        <w:ind w:left="13"/>
        <w:outlineLvl w:val="0"/>
        <w:rPr>
          <w:rFonts w:ascii="宋体" w:hAnsi="宋体" w:cs="宋体"/>
          <w:sz w:val="31"/>
          <w:szCs w:val="31"/>
        </w:rPr>
      </w:pPr>
      <w:bookmarkStart w:id="298" w:name="_bookmark76"/>
      <w:bookmarkEnd w:id="298"/>
      <w:bookmarkStart w:id="299" w:name="_Toc22950"/>
      <w:bookmarkStart w:id="300" w:name="_Toc14146"/>
      <w:bookmarkStart w:id="301" w:name="_Toc2093"/>
      <w:bookmarkStart w:id="302" w:name="_Toc15336"/>
      <w:bookmarkStart w:id="303" w:name="_Toc11875"/>
      <w:bookmarkStart w:id="304" w:name="_Toc21280"/>
      <w:bookmarkStart w:id="305" w:name="_Toc14629"/>
      <w:bookmarkStart w:id="306" w:name="_Toc28087"/>
      <w:bookmarkStart w:id="307" w:name="_Toc21277"/>
      <w:bookmarkStart w:id="308" w:name="_Toc28519"/>
      <w:bookmarkStart w:id="309" w:name="_Toc14121"/>
      <w:bookmarkStart w:id="310" w:name="_Toc29720"/>
      <w:bookmarkStart w:id="311" w:name="_Toc14449"/>
      <w:bookmarkStart w:id="312" w:name="_Toc28897"/>
      <w:r>
        <w:rPr>
          <w:rFonts w:hint="eastAsia" w:ascii="宋体" w:hAnsi="宋体" w:cs="宋体"/>
          <w:b/>
          <w:bCs/>
          <w:spacing w:val="7"/>
          <w:sz w:val="31"/>
          <w:szCs w:val="31"/>
        </w:rPr>
        <w:t>10.</w:t>
      </w:r>
      <w:r>
        <w:rPr>
          <w:rFonts w:hint="eastAsia" w:ascii="宋体" w:hAnsi="宋体" w:cs="宋体"/>
          <w:spacing w:val="7"/>
          <w:sz w:val="31"/>
          <w:szCs w:val="31"/>
        </w:rPr>
        <w:t xml:space="preserve">  需要补充的其他内</w:t>
      </w:r>
      <w:r>
        <w:rPr>
          <w:rFonts w:hint="eastAsia" w:ascii="宋体" w:hAnsi="宋体" w:cs="宋体"/>
          <w:spacing w:val="6"/>
          <w:sz w:val="31"/>
          <w:szCs w:val="31"/>
        </w:rPr>
        <w:t>容</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249F473A">
      <w:pPr>
        <w:spacing w:before="69" w:line="220" w:lineRule="auto"/>
        <w:ind w:left="430"/>
        <w:rPr>
          <w:rFonts w:ascii="宋体" w:hAnsi="宋体" w:cs="宋体"/>
          <w:spacing w:val="-1"/>
          <w:szCs w:val="21"/>
        </w:rPr>
      </w:pPr>
      <w:r>
        <w:rPr>
          <w:rFonts w:hint="eastAsia" w:ascii="宋体" w:hAnsi="宋体" w:cs="宋体"/>
          <w:spacing w:val="-2"/>
          <w:szCs w:val="21"/>
        </w:rPr>
        <w:t>需要补充的其他内</w:t>
      </w:r>
      <w:r>
        <w:rPr>
          <w:rFonts w:hint="eastAsia" w:ascii="宋体" w:hAnsi="宋体" w:cs="宋体"/>
          <w:spacing w:val="-1"/>
          <w:szCs w:val="21"/>
        </w:rPr>
        <w:t>容：见投标人须知前附表。</w:t>
      </w:r>
    </w:p>
    <w:p w14:paraId="0D7C4B59">
      <w:pPr>
        <w:rPr>
          <w:rFonts w:ascii="宋体" w:hAnsi="宋体" w:cs="宋体"/>
          <w:b/>
          <w:color w:val="000000"/>
          <w:sz w:val="28"/>
          <w:szCs w:val="28"/>
        </w:rPr>
      </w:pPr>
      <w:bookmarkStart w:id="313" w:name="_Toc152045543"/>
      <w:bookmarkEnd w:id="313"/>
      <w:bookmarkStart w:id="314" w:name="_Toc247527568"/>
      <w:bookmarkEnd w:id="314"/>
      <w:bookmarkStart w:id="315" w:name="_Toc144974511"/>
      <w:bookmarkEnd w:id="315"/>
      <w:bookmarkStart w:id="316" w:name="_Toc15242"/>
      <w:bookmarkEnd w:id="316"/>
      <w:bookmarkStart w:id="317" w:name="_Toc247513967"/>
      <w:bookmarkEnd w:id="317"/>
      <w:bookmarkStart w:id="318" w:name="_Toc152042319"/>
      <w:bookmarkEnd w:id="318"/>
      <w:bookmarkStart w:id="319" w:name="_Toc361508599"/>
      <w:bookmarkEnd w:id="319"/>
      <w:bookmarkStart w:id="320" w:name="_Toc369531530"/>
      <w:bookmarkEnd w:id="320"/>
      <w:bookmarkStart w:id="321" w:name="_Toc384308224"/>
      <w:bookmarkEnd w:id="321"/>
      <w:bookmarkStart w:id="322" w:name="_Toc352691487"/>
      <w:bookmarkEnd w:id="322"/>
      <w:bookmarkStart w:id="323" w:name="_Toc300834964"/>
      <w:bookmarkEnd w:id="323"/>
      <w:bookmarkStart w:id="324" w:name="_Toc14966885"/>
      <w:bookmarkStart w:id="325" w:name="_Toc31919"/>
    </w:p>
    <w:p w14:paraId="74634F8C">
      <w:pPr>
        <w:rPr>
          <w:rFonts w:ascii="宋体" w:hAnsi="宋体" w:cs="宋体"/>
          <w:b/>
          <w:color w:val="000000"/>
          <w:sz w:val="28"/>
          <w:szCs w:val="28"/>
        </w:rPr>
      </w:pPr>
    </w:p>
    <w:p w14:paraId="20EFB33C">
      <w:pPr>
        <w:rPr>
          <w:rFonts w:ascii="宋体" w:hAnsi="宋体" w:cs="宋体"/>
          <w:b/>
          <w:color w:val="000000"/>
          <w:sz w:val="28"/>
          <w:szCs w:val="28"/>
        </w:rPr>
      </w:pPr>
    </w:p>
    <w:p w14:paraId="26BBC490">
      <w:pPr>
        <w:rPr>
          <w:rFonts w:ascii="宋体" w:hAnsi="宋体" w:cs="宋体"/>
          <w:b/>
          <w:color w:val="000000"/>
          <w:sz w:val="28"/>
          <w:szCs w:val="28"/>
        </w:rPr>
      </w:pPr>
    </w:p>
    <w:p w14:paraId="0C7091E5">
      <w:pPr>
        <w:rPr>
          <w:rFonts w:ascii="宋体" w:hAnsi="宋体" w:cs="宋体"/>
          <w:b/>
          <w:color w:val="000000"/>
          <w:sz w:val="28"/>
          <w:szCs w:val="28"/>
        </w:rPr>
      </w:pPr>
    </w:p>
    <w:p w14:paraId="5599BFE7">
      <w:pPr>
        <w:rPr>
          <w:rFonts w:ascii="宋体" w:hAnsi="宋体" w:cs="宋体"/>
          <w:b/>
          <w:color w:val="000000"/>
          <w:sz w:val="28"/>
          <w:szCs w:val="28"/>
        </w:rPr>
      </w:pPr>
    </w:p>
    <w:p w14:paraId="0663E63A">
      <w:pPr>
        <w:rPr>
          <w:rFonts w:ascii="宋体" w:hAnsi="宋体" w:cs="宋体"/>
          <w:b/>
          <w:color w:val="000000"/>
          <w:sz w:val="28"/>
          <w:szCs w:val="28"/>
        </w:rPr>
      </w:pPr>
    </w:p>
    <w:p w14:paraId="4183E25D">
      <w:pPr>
        <w:rPr>
          <w:rFonts w:ascii="宋体" w:hAnsi="宋体" w:cs="宋体"/>
          <w:b/>
          <w:color w:val="000000"/>
          <w:sz w:val="28"/>
          <w:szCs w:val="28"/>
        </w:rPr>
      </w:pPr>
    </w:p>
    <w:p w14:paraId="7B8FD276">
      <w:pPr>
        <w:rPr>
          <w:rFonts w:ascii="宋体" w:hAnsi="宋体" w:cs="宋体"/>
          <w:b/>
          <w:color w:val="000000"/>
          <w:sz w:val="28"/>
          <w:szCs w:val="28"/>
        </w:rPr>
      </w:pPr>
    </w:p>
    <w:p w14:paraId="578A0069">
      <w:pPr>
        <w:rPr>
          <w:rFonts w:ascii="宋体" w:hAnsi="宋体" w:cs="宋体"/>
          <w:b/>
          <w:color w:val="000000"/>
          <w:sz w:val="28"/>
          <w:szCs w:val="28"/>
        </w:rPr>
      </w:pPr>
      <w:r>
        <w:rPr>
          <w:rFonts w:hint="eastAsia" w:ascii="宋体" w:hAnsi="宋体" w:cs="宋体"/>
          <w:b/>
          <w:color w:val="000000"/>
          <w:sz w:val="28"/>
          <w:szCs w:val="28"/>
        </w:rPr>
        <w:br w:type="page"/>
      </w:r>
      <w:r>
        <w:rPr>
          <w:rFonts w:hint="eastAsia" w:ascii="宋体" w:hAnsi="宋体" w:cs="宋体"/>
          <w:b/>
          <w:color w:val="000000"/>
          <w:sz w:val="28"/>
          <w:szCs w:val="28"/>
        </w:rPr>
        <w:t>附件一</w:t>
      </w:r>
    </w:p>
    <w:p w14:paraId="643EAC9C">
      <w:pPr>
        <w:ind w:firstLine="723" w:firstLineChars="200"/>
        <w:jc w:val="center"/>
        <w:rPr>
          <w:rFonts w:ascii="宋体" w:hAnsi="宋体" w:cs="宋体"/>
          <w:b/>
          <w:bCs/>
          <w:color w:val="000000"/>
          <w:sz w:val="36"/>
          <w:szCs w:val="36"/>
        </w:rPr>
      </w:pPr>
      <w:r>
        <w:rPr>
          <w:rFonts w:hint="eastAsia" w:ascii="宋体" w:hAnsi="宋体" w:cs="宋体"/>
          <w:b/>
          <w:bCs/>
          <w:color w:val="000000"/>
          <w:sz w:val="36"/>
          <w:szCs w:val="36"/>
        </w:rPr>
        <w:t>评标委员会成员声明</w:t>
      </w:r>
    </w:p>
    <w:p w14:paraId="5370CF29">
      <w:pPr>
        <w:spacing w:line="360" w:lineRule="auto"/>
        <w:rPr>
          <w:rFonts w:ascii="宋体" w:hAnsi="宋体" w:cs="宋体"/>
          <w:color w:val="000000"/>
          <w:sz w:val="24"/>
          <w:szCs w:val="24"/>
        </w:rPr>
      </w:pPr>
      <w:r>
        <w:rPr>
          <w:rFonts w:hint="eastAsia" w:ascii="宋体" w:hAnsi="宋体" w:cs="宋体"/>
          <w:color w:val="000000"/>
          <w:sz w:val="24"/>
          <w:szCs w:val="24"/>
          <w:u w:val="single"/>
        </w:rPr>
        <w:t xml:space="preserve">   本项目招标人  </w:t>
      </w:r>
      <w:r>
        <w:rPr>
          <w:rFonts w:hint="eastAsia" w:ascii="宋体" w:hAnsi="宋体" w:cs="宋体"/>
          <w:color w:val="000000"/>
          <w:sz w:val="24"/>
          <w:szCs w:val="24"/>
        </w:rPr>
        <w:t>：</w:t>
      </w:r>
    </w:p>
    <w:p w14:paraId="29C846B7">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本人就参与</w:t>
      </w:r>
      <w:r>
        <w:rPr>
          <w:rFonts w:hint="eastAsia" w:ascii="宋体" w:hAnsi="宋体" w:cs="宋体"/>
          <w:color w:val="000000"/>
          <w:sz w:val="24"/>
          <w:szCs w:val="24"/>
          <w:u w:val="single"/>
        </w:rPr>
        <w:t xml:space="preserve">               </w:t>
      </w:r>
      <w:r>
        <w:rPr>
          <w:rFonts w:hint="eastAsia" w:ascii="宋体" w:hAnsi="宋体" w:cs="宋体"/>
          <w:color w:val="000000"/>
          <w:sz w:val="24"/>
          <w:szCs w:val="24"/>
        </w:rPr>
        <w:t>项目的评标工作，作出郑重声明：</w:t>
      </w:r>
    </w:p>
    <w:p w14:paraId="034DA6C3">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550336DE">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775CCD0C">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3E333381">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4D4BB64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6C9D8B07">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如果本人违反上述声明内容，造成的后果由本人自行承担。</w:t>
      </w:r>
    </w:p>
    <w:p w14:paraId="72EB6A53">
      <w:pPr>
        <w:spacing w:line="360" w:lineRule="auto"/>
        <w:rPr>
          <w:rFonts w:ascii="宋体" w:hAnsi="宋体" w:cs="宋体"/>
          <w:b/>
          <w:color w:val="000000"/>
          <w:sz w:val="24"/>
          <w:szCs w:val="24"/>
          <w:u w:val="single"/>
        </w:rPr>
      </w:pPr>
      <w:r>
        <w:rPr>
          <w:rFonts w:hint="eastAsia" w:ascii="宋体" w:hAnsi="宋体" w:cs="宋体"/>
          <w:color w:val="000000"/>
          <w:sz w:val="24"/>
          <w:szCs w:val="24"/>
        </w:rPr>
        <w:t xml:space="preserve">                             </w:t>
      </w:r>
      <w:r>
        <w:rPr>
          <w:rFonts w:hint="eastAsia" w:ascii="宋体" w:hAnsi="宋体" w:cs="宋体"/>
          <w:b/>
          <w:color w:val="000000"/>
          <w:sz w:val="24"/>
          <w:szCs w:val="24"/>
        </w:rPr>
        <w:t>声明人：</w:t>
      </w:r>
      <w:r>
        <w:rPr>
          <w:rFonts w:hint="eastAsia" w:ascii="宋体" w:hAnsi="宋体" w:cs="宋体"/>
          <w:b/>
          <w:color w:val="000000"/>
          <w:sz w:val="24"/>
          <w:szCs w:val="24"/>
          <w:u w:val="single"/>
        </w:rPr>
        <w:t xml:space="preserve">（签名）  </w:t>
      </w:r>
    </w:p>
    <w:p w14:paraId="5037A904">
      <w:pPr>
        <w:pStyle w:val="5"/>
        <w:keepNext w:val="0"/>
        <w:keepLines w:val="0"/>
        <w:ind w:firstLine="0" w:firstLineChars="0"/>
        <w:rPr>
          <w:rFonts w:ascii="宋体" w:hAnsi="宋体" w:eastAsia="宋体" w:cs="宋体"/>
        </w:rPr>
      </w:pPr>
      <w:bookmarkStart w:id="326" w:name="_Toc28470"/>
      <w:bookmarkStart w:id="327" w:name="_Toc22978"/>
      <w:bookmarkStart w:id="328" w:name="_Toc12301"/>
      <w:bookmarkStart w:id="329" w:name="_Toc8755"/>
      <w:bookmarkStart w:id="330" w:name="_Toc31830"/>
      <w:bookmarkStart w:id="331" w:name="_Toc28610"/>
      <w:bookmarkStart w:id="332" w:name="_Toc25838"/>
      <w:bookmarkStart w:id="333" w:name="_Toc1641"/>
      <w:bookmarkStart w:id="334" w:name="_Toc18526"/>
      <w:bookmarkStart w:id="335" w:name="_Toc27565"/>
      <w:bookmarkStart w:id="336" w:name="_Toc24753"/>
      <w:bookmarkStart w:id="337" w:name="_Toc10010"/>
      <w:bookmarkStart w:id="338" w:name="_Toc22901"/>
      <w:bookmarkStart w:id="339" w:name="_Toc18752"/>
    </w:p>
    <w:p w14:paraId="4C5AE9D0">
      <w:pPr>
        <w:pStyle w:val="5"/>
        <w:keepNext w:val="0"/>
        <w:keepLines w:val="0"/>
        <w:ind w:firstLine="0" w:firstLineChars="0"/>
        <w:rPr>
          <w:rFonts w:ascii="宋体" w:hAnsi="宋体" w:eastAsia="宋体" w:cs="宋体"/>
        </w:rPr>
      </w:pPr>
      <w:r>
        <w:rPr>
          <w:rFonts w:hint="eastAsia" w:ascii="宋体" w:hAnsi="宋体" w:eastAsia="宋体" w:cs="宋体"/>
        </w:rPr>
        <w:t>附件二：开标记录表</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56C8AD8C">
      <w:pPr>
        <w:spacing w:line="440" w:lineRule="exact"/>
        <w:jc w:val="center"/>
        <w:rPr>
          <w:rFonts w:ascii="宋体" w:hAnsi="宋体" w:cs="宋体"/>
          <w:sz w:val="28"/>
        </w:rPr>
      </w:pPr>
      <w:r>
        <w:rPr>
          <w:rFonts w:hint="eastAsia" w:ascii="宋体" w:hAnsi="宋体" w:cs="宋体"/>
          <w:sz w:val="28"/>
        </w:rPr>
        <w:t>开标记录表</w:t>
      </w:r>
    </w:p>
    <w:p w14:paraId="6BB6BDA8">
      <w:pPr>
        <w:spacing w:before="156" w:beforeLines="50" w:after="156" w:afterLines="50" w:line="400" w:lineRule="exact"/>
        <w:ind w:right="420"/>
        <w:jc w:val="left"/>
        <w:rPr>
          <w:rFonts w:ascii="宋体" w:hAnsi="宋体" w:cs="宋体"/>
        </w:rPr>
      </w:pPr>
      <w:r>
        <w:rPr>
          <w:rFonts w:hint="eastAsia" w:ascii="宋体" w:hAnsi="宋体" w:cs="宋体"/>
        </w:rPr>
        <w:t>开标时间：</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rPr>
        <w:t>分</w:t>
      </w:r>
    </w:p>
    <w:tbl>
      <w:tblPr>
        <w:tblStyle w:val="21"/>
        <w:tblW w:w="0" w:type="auto"/>
        <w:jc w:val="center"/>
        <w:tblLayout w:type="fixed"/>
        <w:tblCellMar>
          <w:top w:w="0" w:type="dxa"/>
          <w:left w:w="108" w:type="dxa"/>
          <w:bottom w:w="0" w:type="dxa"/>
          <w:right w:w="108" w:type="dxa"/>
        </w:tblCellMar>
      </w:tblPr>
      <w:tblGrid>
        <w:gridCol w:w="525"/>
        <w:gridCol w:w="936"/>
        <w:gridCol w:w="744"/>
        <w:gridCol w:w="798"/>
        <w:gridCol w:w="987"/>
        <w:gridCol w:w="840"/>
        <w:gridCol w:w="945"/>
        <w:gridCol w:w="945"/>
        <w:gridCol w:w="945"/>
        <w:gridCol w:w="630"/>
        <w:gridCol w:w="840"/>
        <w:gridCol w:w="993"/>
      </w:tblGrid>
      <w:tr w14:paraId="62A390BB">
        <w:tblPrEx>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5C96C227">
            <w:pPr>
              <w:spacing w:line="500" w:lineRule="exact"/>
              <w:jc w:val="center"/>
              <w:rPr>
                <w:rFonts w:ascii="宋体" w:hAnsi="宋体" w:cs="宋体"/>
                <w:sz w:val="18"/>
              </w:rPr>
            </w:pPr>
            <w:r>
              <w:rPr>
                <w:rFonts w:hint="eastAsia" w:ascii="宋体" w:hAnsi="宋体" w:cs="宋体"/>
                <w:sz w:val="18"/>
              </w:rPr>
              <w:t>序号</w:t>
            </w:r>
          </w:p>
        </w:tc>
        <w:tc>
          <w:tcPr>
            <w:tcW w:w="936" w:type="dxa"/>
            <w:tcBorders>
              <w:top w:val="single" w:color="auto" w:sz="4" w:space="0"/>
              <w:left w:val="single" w:color="auto" w:sz="4" w:space="0"/>
              <w:bottom w:val="single" w:color="auto" w:sz="4" w:space="0"/>
              <w:right w:val="single" w:color="auto" w:sz="4" w:space="0"/>
            </w:tcBorders>
            <w:vAlign w:val="center"/>
          </w:tcPr>
          <w:p w14:paraId="1EA33035">
            <w:pPr>
              <w:spacing w:line="500" w:lineRule="exact"/>
              <w:jc w:val="center"/>
              <w:rPr>
                <w:rFonts w:ascii="宋体" w:hAnsi="宋体" w:cs="宋体"/>
                <w:sz w:val="18"/>
              </w:rPr>
            </w:pPr>
            <w:r>
              <w:rPr>
                <w:rFonts w:hint="eastAsia" w:ascii="宋体" w:hAnsi="宋体" w:cs="宋体"/>
                <w:sz w:val="18"/>
              </w:rPr>
              <w:t>投标人</w:t>
            </w:r>
          </w:p>
        </w:tc>
        <w:tc>
          <w:tcPr>
            <w:tcW w:w="744" w:type="dxa"/>
            <w:tcBorders>
              <w:top w:val="single" w:color="auto" w:sz="4" w:space="0"/>
              <w:left w:val="single" w:color="auto" w:sz="4" w:space="0"/>
              <w:bottom w:val="single" w:color="auto" w:sz="4" w:space="0"/>
              <w:right w:val="single" w:color="auto" w:sz="4" w:space="0"/>
            </w:tcBorders>
            <w:vAlign w:val="center"/>
          </w:tcPr>
          <w:p w14:paraId="757D1327">
            <w:pPr>
              <w:spacing w:line="500" w:lineRule="exact"/>
              <w:rPr>
                <w:rFonts w:ascii="宋体" w:hAnsi="宋体" w:cs="宋体"/>
                <w:sz w:val="18"/>
              </w:rPr>
            </w:pPr>
            <w:r>
              <w:rPr>
                <w:rFonts w:hint="eastAsia" w:ascii="宋体" w:hAnsi="宋体" w:cs="宋体"/>
                <w:sz w:val="18"/>
              </w:rPr>
              <w:t>密封情况</w:t>
            </w:r>
          </w:p>
        </w:tc>
        <w:tc>
          <w:tcPr>
            <w:tcW w:w="798" w:type="dxa"/>
            <w:tcBorders>
              <w:top w:val="single" w:color="auto" w:sz="4" w:space="0"/>
              <w:left w:val="single" w:color="auto" w:sz="4" w:space="0"/>
              <w:bottom w:val="single" w:color="auto" w:sz="4" w:space="0"/>
              <w:right w:val="single" w:color="auto" w:sz="4" w:space="0"/>
            </w:tcBorders>
            <w:vAlign w:val="center"/>
          </w:tcPr>
          <w:p w14:paraId="5A54BE52">
            <w:pPr>
              <w:spacing w:line="500" w:lineRule="exact"/>
              <w:jc w:val="center"/>
              <w:rPr>
                <w:rFonts w:ascii="宋体" w:hAnsi="宋体" w:cs="宋体"/>
                <w:strike/>
                <w:sz w:val="18"/>
              </w:rPr>
            </w:pPr>
            <w:r>
              <w:rPr>
                <w:rFonts w:hint="eastAsia" w:ascii="宋体" w:hAnsi="宋体" w:cs="宋体"/>
                <w:strike/>
                <w:sz w:val="18"/>
              </w:rPr>
              <w:t>投标保证金</w:t>
            </w:r>
          </w:p>
        </w:tc>
        <w:tc>
          <w:tcPr>
            <w:tcW w:w="987" w:type="dxa"/>
            <w:tcBorders>
              <w:top w:val="single" w:color="auto" w:sz="4" w:space="0"/>
              <w:left w:val="single" w:color="auto" w:sz="4" w:space="0"/>
              <w:bottom w:val="single" w:color="auto" w:sz="4" w:space="0"/>
              <w:right w:val="single" w:color="auto" w:sz="4" w:space="0"/>
            </w:tcBorders>
            <w:vAlign w:val="center"/>
          </w:tcPr>
          <w:p w14:paraId="00163313">
            <w:pPr>
              <w:spacing w:line="500" w:lineRule="exact"/>
              <w:jc w:val="center"/>
              <w:rPr>
                <w:rFonts w:ascii="宋体" w:hAnsi="宋体" w:cs="宋体"/>
                <w:sz w:val="18"/>
              </w:rPr>
            </w:pPr>
            <w:r>
              <w:rPr>
                <w:rFonts w:hint="eastAsia" w:ascii="宋体" w:hAnsi="宋体" w:cs="宋体"/>
                <w:sz w:val="18"/>
              </w:rPr>
              <w:t>投标报价</w:t>
            </w:r>
          </w:p>
          <w:p w14:paraId="6EB206DD">
            <w:pPr>
              <w:spacing w:line="500" w:lineRule="exact"/>
              <w:jc w:val="center"/>
              <w:rPr>
                <w:rFonts w:ascii="宋体" w:hAnsi="宋体" w:cs="宋体"/>
                <w:sz w:val="18"/>
              </w:rPr>
            </w:pPr>
            <w:r>
              <w:rPr>
                <w:rFonts w:hint="eastAsia" w:ascii="宋体" w:hAnsi="宋体" w:cs="宋体"/>
                <w:sz w:val="18"/>
              </w:rPr>
              <w:t>（元）</w:t>
            </w:r>
          </w:p>
        </w:tc>
        <w:tc>
          <w:tcPr>
            <w:tcW w:w="840" w:type="dxa"/>
            <w:tcBorders>
              <w:top w:val="single" w:color="auto" w:sz="4" w:space="0"/>
              <w:left w:val="single" w:color="auto" w:sz="4" w:space="0"/>
              <w:bottom w:val="single" w:color="auto" w:sz="4" w:space="0"/>
              <w:right w:val="single" w:color="auto" w:sz="4" w:space="0"/>
            </w:tcBorders>
            <w:vAlign w:val="center"/>
          </w:tcPr>
          <w:p w14:paraId="3EBE3782">
            <w:pPr>
              <w:spacing w:line="500" w:lineRule="exact"/>
              <w:jc w:val="center"/>
              <w:rPr>
                <w:rFonts w:ascii="宋体" w:hAnsi="宋体" w:cs="宋体"/>
                <w:sz w:val="18"/>
              </w:rPr>
            </w:pPr>
            <w:r>
              <w:rPr>
                <w:rFonts w:hint="eastAsia" w:ascii="宋体" w:hAnsi="宋体" w:cs="宋体"/>
                <w:sz w:val="18"/>
              </w:rPr>
              <w:t>总监理工程师</w:t>
            </w:r>
          </w:p>
        </w:tc>
        <w:tc>
          <w:tcPr>
            <w:tcW w:w="945" w:type="dxa"/>
            <w:tcBorders>
              <w:top w:val="single" w:color="auto" w:sz="4" w:space="0"/>
              <w:left w:val="single" w:color="auto" w:sz="4" w:space="0"/>
              <w:bottom w:val="single" w:color="auto" w:sz="4" w:space="0"/>
              <w:right w:val="single" w:color="auto" w:sz="4" w:space="0"/>
            </w:tcBorders>
            <w:vAlign w:val="center"/>
          </w:tcPr>
          <w:p w14:paraId="22645B02">
            <w:pPr>
              <w:spacing w:line="500" w:lineRule="exact"/>
              <w:jc w:val="center"/>
              <w:rPr>
                <w:rFonts w:ascii="宋体" w:hAnsi="宋体" w:cs="宋体"/>
                <w:sz w:val="18"/>
              </w:rPr>
            </w:pPr>
            <w:r>
              <w:rPr>
                <w:rFonts w:hint="eastAsia" w:ascii="宋体" w:hAnsi="宋体" w:cs="宋体"/>
                <w:sz w:val="18"/>
              </w:rPr>
              <w:t>监理服务期限</w:t>
            </w:r>
          </w:p>
        </w:tc>
        <w:tc>
          <w:tcPr>
            <w:tcW w:w="945" w:type="dxa"/>
            <w:tcBorders>
              <w:top w:val="single" w:color="auto" w:sz="4" w:space="0"/>
              <w:left w:val="single" w:color="auto" w:sz="4" w:space="0"/>
              <w:bottom w:val="single" w:color="auto" w:sz="4" w:space="0"/>
              <w:right w:val="single" w:color="auto" w:sz="4" w:space="0"/>
            </w:tcBorders>
            <w:vAlign w:val="center"/>
          </w:tcPr>
          <w:p w14:paraId="7F041AF6">
            <w:pPr>
              <w:spacing w:line="500" w:lineRule="exact"/>
              <w:jc w:val="center"/>
              <w:rPr>
                <w:rFonts w:ascii="宋体" w:hAnsi="宋体" w:cs="宋体"/>
                <w:sz w:val="18"/>
              </w:rPr>
            </w:pPr>
            <w:r>
              <w:rPr>
                <w:rFonts w:hint="eastAsia" w:ascii="宋体" w:hAnsi="宋体" w:cs="宋体"/>
                <w:sz w:val="18"/>
              </w:rPr>
              <w:t>投标文件递交情况</w:t>
            </w:r>
          </w:p>
        </w:tc>
        <w:tc>
          <w:tcPr>
            <w:tcW w:w="945" w:type="dxa"/>
            <w:tcBorders>
              <w:top w:val="single" w:color="auto" w:sz="4" w:space="0"/>
              <w:left w:val="single" w:color="auto" w:sz="4" w:space="0"/>
              <w:bottom w:val="single" w:color="auto" w:sz="4" w:space="0"/>
              <w:right w:val="single" w:color="auto" w:sz="4" w:space="0"/>
            </w:tcBorders>
          </w:tcPr>
          <w:p w14:paraId="5B8B5B42">
            <w:pPr>
              <w:spacing w:line="500" w:lineRule="exact"/>
              <w:jc w:val="center"/>
              <w:rPr>
                <w:rFonts w:ascii="宋体" w:hAnsi="宋体" w:cs="宋体"/>
                <w:sz w:val="18"/>
              </w:rPr>
            </w:pPr>
            <w:r>
              <w:rPr>
                <w:rFonts w:hint="eastAsia" w:ascii="宋体" w:hAnsi="宋体" w:cs="宋体"/>
                <w:sz w:val="18"/>
              </w:rPr>
              <w:t>投标文件解密情况</w:t>
            </w:r>
          </w:p>
        </w:tc>
        <w:tc>
          <w:tcPr>
            <w:tcW w:w="630" w:type="dxa"/>
            <w:tcBorders>
              <w:top w:val="single" w:color="auto" w:sz="4" w:space="0"/>
              <w:left w:val="single" w:color="auto" w:sz="4" w:space="0"/>
              <w:bottom w:val="single" w:color="auto" w:sz="4" w:space="0"/>
              <w:right w:val="single" w:color="auto" w:sz="4" w:space="0"/>
            </w:tcBorders>
          </w:tcPr>
          <w:p w14:paraId="0C38D19D">
            <w:pPr>
              <w:spacing w:line="500" w:lineRule="exact"/>
              <w:jc w:val="center"/>
              <w:rPr>
                <w:rFonts w:ascii="宋体" w:hAnsi="宋体" w:cs="宋体"/>
                <w:sz w:val="18"/>
              </w:rPr>
            </w:pPr>
            <w:r>
              <w:rPr>
                <w:rFonts w:hint="eastAsia" w:ascii="宋体" w:hAnsi="宋体" w:cs="宋体"/>
                <w:strike/>
                <w:sz w:val="18"/>
              </w:rPr>
              <w:t>机器码</w:t>
            </w:r>
          </w:p>
        </w:tc>
        <w:tc>
          <w:tcPr>
            <w:tcW w:w="840" w:type="dxa"/>
            <w:tcBorders>
              <w:top w:val="single" w:color="auto" w:sz="4" w:space="0"/>
              <w:left w:val="single" w:color="auto" w:sz="4" w:space="0"/>
              <w:bottom w:val="single" w:color="auto" w:sz="4" w:space="0"/>
              <w:right w:val="single" w:color="auto" w:sz="4" w:space="0"/>
            </w:tcBorders>
          </w:tcPr>
          <w:p w14:paraId="7ACE3751">
            <w:pPr>
              <w:spacing w:line="500" w:lineRule="exact"/>
              <w:jc w:val="center"/>
              <w:rPr>
                <w:rFonts w:ascii="宋体" w:hAnsi="宋体" w:cs="宋体"/>
                <w:sz w:val="18"/>
              </w:rPr>
            </w:pPr>
            <w:r>
              <w:rPr>
                <w:rFonts w:hint="eastAsia" w:ascii="宋体" w:hAnsi="宋体" w:cs="宋体"/>
                <w:sz w:val="18"/>
              </w:rPr>
              <w:t>备注</w:t>
            </w:r>
          </w:p>
        </w:tc>
        <w:tc>
          <w:tcPr>
            <w:tcW w:w="993" w:type="dxa"/>
            <w:tcBorders>
              <w:top w:val="single" w:color="auto" w:sz="4" w:space="0"/>
              <w:left w:val="single" w:color="auto" w:sz="4" w:space="0"/>
              <w:bottom w:val="single" w:color="auto" w:sz="4" w:space="0"/>
              <w:right w:val="single" w:color="auto" w:sz="4" w:space="0"/>
            </w:tcBorders>
            <w:vAlign w:val="center"/>
          </w:tcPr>
          <w:p w14:paraId="542D22F9">
            <w:pPr>
              <w:spacing w:line="500" w:lineRule="exact"/>
              <w:jc w:val="center"/>
              <w:rPr>
                <w:rFonts w:ascii="宋体" w:hAnsi="宋体" w:cs="宋体"/>
                <w:sz w:val="18"/>
              </w:rPr>
            </w:pPr>
            <w:r>
              <w:rPr>
                <w:rFonts w:hint="eastAsia" w:ascii="宋体" w:hAnsi="宋体" w:cs="宋体"/>
                <w:sz w:val="18"/>
              </w:rPr>
              <w:t>投标人代表签名</w:t>
            </w:r>
          </w:p>
        </w:tc>
      </w:tr>
      <w:tr w14:paraId="03C956DF">
        <w:tblPrEx>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tcPr>
          <w:p w14:paraId="37F453D0">
            <w:pPr>
              <w:spacing w:line="500" w:lineRule="exact"/>
              <w:jc w:val="left"/>
              <w:rPr>
                <w:rFonts w:ascii="宋体" w:hAnsi="宋体" w:cs="宋体"/>
              </w:rPr>
            </w:pPr>
          </w:p>
        </w:tc>
        <w:tc>
          <w:tcPr>
            <w:tcW w:w="936" w:type="dxa"/>
            <w:tcBorders>
              <w:top w:val="single" w:color="auto" w:sz="4" w:space="0"/>
              <w:left w:val="single" w:color="auto" w:sz="4" w:space="0"/>
              <w:bottom w:val="single" w:color="auto" w:sz="4" w:space="0"/>
              <w:right w:val="single" w:color="auto" w:sz="4" w:space="0"/>
            </w:tcBorders>
          </w:tcPr>
          <w:p w14:paraId="33403266">
            <w:pPr>
              <w:spacing w:line="500" w:lineRule="exact"/>
              <w:jc w:val="left"/>
              <w:rPr>
                <w:rFonts w:ascii="宋体" w:hAnsi="宋体" w:cs="宋体"/>
              </w:rPr>
            </w:pPr>
          </w:p>
        </w:tc>
        <w:tc>
          <w:tcPr>
            <w:tcW w:w="744" w:type="dxa"/>
            <w:tcBorders>
              <w:top w:val="single" w:color="auto" w:sz="4" w:space="0"/>
              <w:left w:val="single" w:color="auto" w:sz="4" w:space="0"/>
              <w:bottom w:val="single" w:color="auto" w:sz="4" w:space="0"/>
              <w:right w:val="single" w:color="auto" w:sz="4" w:space="0"/>
            </w:tcBorders>
          </w:tcPr>
          <w:p w14:paraId="40DA32BE">
            <w:pPr>
              <w:spacing w:line="500" w:lineRule="exact"/>
              <w:jc w:val="left"/>
              <w:rPr>
                <w:rFonts w:ascii="宋体" w:hAnsi="宋体" w:cs="宋体"/>
              </w:rPr>
            </w:pPr>
          </w:p>
        </w:tc>
        <w:tc>
          <w:tcPr>
            <w:tcW w:w="798" w:type="dxa"/>
            <w:tcBorders>
              <w:top w:val="single" w:color="auto" w:sz="4" w:space="0"/>
              <w:left w:val="single" w:color="auto" w:sz="4" w:space="0"/>
              <w:bottom w:val="single" w:color="auto" w:sz="4" w:space="0"/>
              <w:right w:val="single" w:color="auto" w:sz="4" w:space="0"/>
            </w:tcBorders>
          </w:tcPr>
          <w:p w14:paraId="0DD98C00">
            <w:pPr>
              <w:spacing w:line="500" w:lineRule="exact"/>
              <w:jc w:val="left"/>
              <w:rPr>
                <w:rFonts w:ascii="宋体" w:hAnsi="宋体" w:cs="宋体"/>
              </w:rPr>
            </w:pPr>
          </w:p>
        </w:tc>
        <w:tc>
          <w:tcPr>
            <w:tcW w:w="987" w:type="dxa"/>
            <w:tcBorders>
              <w:top w:val="single" w:color="auto" w:sz="4" w:space="0"/>
              <w:left w:val="single" w:color="auto" w:sz="4" w:space="0"/>
              <w:bottom w:val="single" w:color="auto" w:sz="4" w:space="0"/>
              <w:right w:val="single" w:color="auto" w:sz="4" w:space="0"/>
            </w:tcBorders>
          </w:tcPr>
          <w:p w14:paraId="6DDCA1D5">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44394D4F">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65579CF3">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6D2CFA87">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71940E97">
            <w:pPr>
              <w:spacing w:line="500" w:lineRule="exact"/>
              <w:jc w:val="left"/>
              <w:rPr>
                <w:rFonts w:ascii="宋体" w:hAnsi="宋体" w:cs="宋体"/>
              </w:rPr>
            </w:pPr>
          </w:p>
        </w:tc>
        <w:tc>
          <w:tcPr>
            <w:tcW w:w="630" w:type="dxa"/>
            <w:tcBorders>
              <w:top w:val="single" w:color="auto" w:sz="4" w:space="0"/>
              <w:left w:val="single" w:color="auto" w:sz="4" w:space="0"/>
              <w:bottom w:val="single" w:color="auto" w:sz="4" w:space="0"/>
              <w:right w:val="single" w:color="auto" w:sz="4" w:space="0"/>
            </w:tcBorders>
          </w:tcPr>
          <w:p w14:paraId="5800B94E">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2ED1C851">
            <w:pPr>
              <w:spacing w:line="500" w:lineRule="exact"/>
              <w:jc w:val="left"/>
              <w:rPr>
                <w:rFonts w:ascii="宋体" w:hAnsi="宋体" w:cs="宋体"/>
              </w:rPr>
            </w:pPr>
          </w:p>
        </w:tc>
        <w:tc>
          <w:tcPr>
            <w:tcW w:w="993" w:type="dxa"/>
            <w:tcBorders>
              <w:top w:val="single" w:color="auto" w:sz="4" w:space="0"/>
              <w:left w:val="single" w:color="auto" w:sz="4" w:space="0"/>
              <w:bottom w:val="single" w:color="auto" w:sz="4" w:space="0"/>
              <w:right w:val="single" w:color="auto" w:sz="4" w:space="0"/>
            </w:tcBorders>
          </w:tcPr>
          <w:p w14:paraId="40FEA33E">
            <w:pPr>
              <w:spacing w:line="500" w:lineRule="exact"/>
              <w:jc w:val="left"/>
              <w:rPr>
                <w:rFonts w:ascii="宋体" w:hAnsi="宋体" w:cs="宋体"/>
              </w:rPr>
            </w:pPr>
          </w:p>
        </w:tc>
      </w:tr>
      <w:tr w14:paraId="59B7B123">
        <w:tblPrEx>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tcPr>
          <w:p w14:paraId="5E165837">
            <w:pPr>
              <w:spacing w:line="500" w:lineRule="exact"/>
              <w:jc w:val="left"/>
              <w:rPr>
                <w:rFonts w:ascii="宋体" w:hAnsi="宋体" w:cs="宋体"/>
              </w:rPr>
            </w:pPr>
          </w:p>
        </w:tc>
        <w:tc>
          <w:tcPr>
            <w:tcW w:w="936" w:type="dxa"/>
            <w:tcBorders>
              <w:top w:val="single" w:color="auto" w:sz="4" w:space="0"/>
              <w:left w:val="single" w:color="auto" w:sz="4" w:space="0"/>
              <w:bottom w:val="single" w:color="auto" w:sz="4" w:space="0"/>
              <w:right w:val="single" w:color="auto" w:sz="4" w:space="0"/>
            </w:tcBorders>
          </w:tcPr>
          <w:p w14:paraId="1A432075">
            <w:pPr>
              <w:spacing w:line="500" w:lineRule="exact"/>
              <w:jc w:val="left"/>
              <w:rPr>
                <w:rFonts w:ascii="宋体" w:hAnsi="宋体" w:cs="宋体"/>
              </w:rPr>
            </w:pPr>
          </w:p>
        </w:tc>
        <w:tc>
          <w:tcPr>
            <w:tcW w:w="744" w:type="dxa"/>
            <w:tcBorders>
              <w:top w:val="single" w:color="auto" w:sz="4" w:space="0"/>
              <w:left w:val="single" w:color="auto" w:sz="4" w:space="0"/>
              <w:bottom w:val="single" w:color="auto" w:sz="4" w:space="0"/>
              <w:right w:val="single" w:color="auto" w:sz="4" w:space="0"/>
            </w:tcBorders>
          </w:tcPr>
          <w:p w14:paraId="1C40E041">
            <w:pPr>
              <w:spacing w:line="500" w:lineRule="exact"/>
              <w:jc w:val="left"/>
              <w:rPr>
                <w:rFonts w:ascii="宋体" w:hAnsi="宋体" w:cs="宋体"/>
              </w:rPr>
            </w:pPr>
          </w:p>
        </w:tc>
        <w:tc>
          <w:tcPr>
            <w:tcW w:w="798" w:type="dxa"/>
            <w:tcBorders>
              <w:top w:val="single" w:color="auto" w:sz="4" w:space="0"/>
              <w:left w:val="single" w:color="auto" w:sz="4" w:space="0"/>
              <w:bottom w:val="single" w:color="auto" w:sz="4" w:space="0"/>
              <w:right w:val="single" w:color="auto" w:sz="4" w:space="0"/>
            </w:tcBorders>
          </w:tcPr>
          <w:p w14:paraId="7FE7D67B">
            <w:pPr>
              <w:spacing w:line="500" w:lineRule="exact"/>
              <w:jc w:val="left"/>
              <w:rPr>
                <w:rFonts w:ascii="宋体" w:hAnsi="宋体" w:cs="宋体"/>
              </w:rPr>
            </w:pPr>
          </w:p>
        </w:tc>
        <w:tc>
          <w:tcPr>
            <w:tcW w:w="987" w:type="dxa"/>
            <w:tcBorders>
              <w:top w:val="single" w:color="auto" w:sz="4" w:space="0"/>
              <w:left w:val="single" w:color="auto" w:sz="4" w:space="0"/>
              <w:bottom w:val="single" w:color="auto" w:sz="4" w:space="0"/>
              <w:right w:val="single" w:color="auto" w:sz="4" w:space="0"/>
            </w:tcBorders>
          </w:tcPr>
          <w:p w14:paraId="7C1C27B6">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5F2C7B35">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487F9777">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61E289B1">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4AC946DB">
            <w:pPr>
              <w:spacing w:line="500" w:lineRule="exact"/>
              <w:jc w:val="left"/>
              <w:rPr>
                <w:rFonts w:ascii="宋体" w:hAnsi="宋体" w:cs="宋体"/>
              </w:rPr>
            </w:pPr>
          </w:p>
        </w:tc>
        <w:tc>
          <w:tcPr>
            <w:tcW w:w="630" w:type="dxa"/>
            <w:tcBorders>
              <w:top w:val="single" w:color="auto" w:sz="4" w:space="0"/>
              <w:left w:val="single" w:color="auto" w:sz="4" w:space="0"/>
              <w:bottom w:val="single" w:color="auto" w:sz="4" w:space="0"/>
              <w:right w:val="single" w:color="auto" w:sz="4" w:space="0"/>
            </w:tcBorders>
          </w:tcPr>
          <w:p w14:paraId="26B02D8E">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4FD06CF0">
            <w:pPr>
              <w:spacing w:line="500" w:lineRule="exact"/>
              <w:jc w:val="left"/>
              <w:rPr>
                <w:rFonts w:ascii="宋体" w:hAnsi="宋体" w:cs="宋体"/>
              </w:rPr>
            </w:pPr>
          </w:p>
        </w:tc>
        <w:tc>
          <w:tcPr>
            <w:tcW w:w="993" w:type="dxa"/>
            <w:tcBorders>
              <w:top w:val="single" w:color="auto" w:sz="4" w:space="0"/>
              <w:left w:val="single" w:color="auto" w:sz="4" w:space="0"/>
              <w:bottom w:val="single" w:color="auto" w:sz="4" w:space="0"/>
              <w:right w:val="single" w:color="auto" w:sz="4" w:space="0"/>
            </w:tcBorders>
          </w:tcPr>
          <w:p w14:paraId="09F0108D">
            <w:pPr>
              <w:spacing w:line="500" w:lineRule="exact"/>
              <w:jc w:val="left"/>
              <w:rPr>
                <w:rFonts w:ascii="宋体" w:hAnsi="宋体" w:cs="宋体"/>
              </w:rPr>
            </w:pPr>
          </w:p>
        </w:tc>
      </w:tr>
      <w:tr w14:paraId="780599B9">
        <w:tblPrEx>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tcPr>
          <w:p w14:paraId="7713633A">
            <w:pPr>
              <w:spacing w:line="500" w:lineRule="exact"/>
              <w:jc w:val="left"/>
              <w:rPr>
                <w:rFonts w:ascii="宋体" w:hAnsi="宋体" w:cs="宋体"/>
              </w:rPr>
            </w:pPr>
          </w:p>
        </w:tc>
        <w:tc>
          <w:tcPr>
            <w:tcW w:w="936" w:type="dxa"/>
            <w:tcBorders>
              <w:top w:val="single" w:color="auto" w:sz="4" w:space="0"/>
              <w:left w:val="single" w:color="auto" w:sz="4" w:space="0"/>
              <w:bottom w:val="single" w:color="auto" w:sz="4" w:space="0"/>
              <w:right w:val="single" w:color="auto" w:sz="4" w:space="0"/>
            </w:tcBorders>
          </w:tcPr>
          <w:p w14:paraId="3DD2AE44">
            <w:pPr>
              <w:spacing w:line="500" w:lineRule="exact"/>
              <w:jc w:val="left"/>
              <w:rPr>
                <w:rFonts w:ascii="宋体" w:hAnsi="宋体" w:cs="宋体"/>
              </w:rPr>
            </w:pPr>
          </w:p>
        </w:tc>
        <w:tc>
          <w:tcPr>
            <w:tcW w:w="744" w:type="dxa"/>
            <w:tcBorders>
              <w:top w:val="single" w:color="auto" w:sz="4" w:space="0"/>
              <w:left w:val="single" w:color="auto" w:sz="4" w:space="0"/>
              <w:bottom w:val="single" w:color="auto" w:sz="4" w:space="0"/>
              <w:right w:val="single" w:color="auto" w:sz="4" w:space="0"/>
            </w:tcBorders>
          </w:tcPr>
          <w:p w14:paraId="56744CD4">
            <w:pPr>
              <w:spacing w:line="500" w:lineRule="exact"/>
              <w:jc w:val="left"/>
              <w:rPr>
                <w:rFonts w:ascii="宋体" w:hAnsi="宋体" w:cs="宋体"/>
              </w:rPr>
            </w:pPr>
          </w:p>
        </w:tc>
        <w:tc>
          <w:tcPr>
            <w:tcW w:w="798" w:type="dxa"/>
            <w:tcBorders>
              <w:top w:val="single" w:color="auto" w:sz="4" w:space="0"/>
              <w:left w:val="single" w:color="auto" w:sz="4" w:space="0"/>
              <w:bottom w:val="single" w:color="auto" w:sz="4" w:space="0"/>
              <w:right w:val="single" w:color="auto" w:sz="4" w:space="0"/>
            </w:tcBorders>
          </w:tcPr>
          <w:p w14:paraId="46B450F5">
            <w:pPr>
              <w:spacing w:line="500" w:lineRule="exact"/>
              <w:jc w:val="left"/>
              <w:rPr>
                <w:rFonts w:ascii="宋体" w:hAnsi="宋体" w:cs="宋体"/>
              </w:rPr>
            </w:pPr>
          </w:p>
        </w:tc>
        <w:tc>
          <w:tcPr>
            <w:tcW w:w="987" w:type="dxa"/>
            <w:tcBorders>
              <w:top w:val="single" w:color="auto" w:sz="4" w:space="0"/>
              <w:left w:val="single" w:color="auto" w:sz="4" w:space="0"/>
              <w:bottom w:val="single" w:color="auto" w:sz="4" w:space="0"/>
              <w:right w:val="single" w:color="auto" w:sz="4" w:space="0"/>
            </w:tcBorders>
          </w:tcPr>
          <w:p w14:paraId="0E92AF15">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2C537792">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191EE5B2">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515EA658">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37205F27">
            <w:pPr>
              <w:spacing w:line="500" w:lineRule="exact"/>
              <w:jc w:val="left"/>
              <w:rPr>
                <w:rFonts w:ascii="宋体" w:hAnsi="宋体" w:cs="宋体"/>
              </w:rPr>
            </w:pPr>
          </w:p>
        </w:tc>
        <w:tc>
          <w:tcPr>
            <w:tcW w:w="630" w:type="dxa"/>
            <w:tcBorders>
              <w:top w:val="single" w:color="auto" w:sz="4" w:space="0"/>
              <w:left w:val="single" w:color="auto" w:sz="4" w:space="0"/>
              <w:bottom w:val="single" w:color="auto" w:sz="4" w:space="0"/>
              <w:right w:val="single" w:color="auto" w:sz="4" w:space="0"/>
            </w:tcBorders>
          </w:tcPr>
          <w:p w14:paraId="6FEF2532">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4472DAB0">
            <w:pPr>
              <w:spacing w:line="500" w:lineRule="exact"/>
              <w:jc w:val="left"/>
              <w:rPr>
                <w:rFonts w:ascii="宋体" w:hAnsi="宋体" w:cs="宋体"/>
              </w:rPr>
            </w:pPr>
          </w:p>
        </w:tc>
        <w:tc>
          <w:tcPr>
            <w:tcW w:w="993" w:type="dxa"/>
            <w:tcBorders>
              <w:top w:val="single" w:color="auto" w:sz="4" w:space="0"/>
              <w:left w:val="single" w:color="auto" w:sz="4" w:space="0"/>
              <w:bottom w:val="single" w:color="auto" w:sz="4" w:space="0"/>
              <w:right w:val="single" w:color="auto" w:sz="4" w:space="0"/>
            </w:tcBorders>
          </w:tcPr>
          <w:p w14:paraId="053C5E98">
            <w:pPr>
              <w:spacing w:line="500" w:lineRule="exact"/>
              <w:jc w:val="left"/>
              <w:rPr>
                <w:rFonts w:ascii="宋体" w:hAnsi="宋体" w:cs="宋体"/>
              </w:rPr>
            </w:pPr>
          </w:p>
        </w:tc>
      </w:tr>
      <w:tr w14:paraId="09841E25">
        <w:tblPrEx>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tcPr>
          <w:p w14:paraId="09E74A5E">
            <w:pPr>
              <w:spacing w:line="500" w:lineRule="exact"/>
              <w:jc w:val="left"/>
              <w:rPr>
                <w:rFonts w:ascii="宋体" w:hAnsi="宋体" w:cs="宋体"/>
              </w:rPr>
            </w:pPr>
          </w:p>
        </w:tc>
        <w:tc>
          <w:tcPr>
            <w:tcW w:w="936" w:type="dxa"/>
            <w:tcBorders>
              <w:top w:val="single" w:color="auto" w:sz="4" w:space="0"/>
              <w:left w:val="single" w:color="auto" w:sz="4" w:space="0"/>
              <w:bottom w:val="single" w:color="auto" w:sz="4" w:space="0"/>
              <w:right w:val="single" w:color="auto" w:sz="4" w:space="0"/>
            </w:tcBorders>
          </w:tcPr>
          <w:p w14:paraId="091CAAE1">
            <w:pPr>
              <w:spacing w:line="500" w:lineRule="exact"/>
              <w:jc w:val="left"/>
              <w:rPr>
                <w:rFonts w:ascii="宋体" w:hAnsi="宋体" w:cs="宋体"/>
              </w:rPr>
            </w:pPr>
          </w:p>
        </w:tc>
        <w:tc>
          <w:tcPr>
            <w:tcW w:w="744" w:type="dxa"/>
            <w:tcBorders>
              <w:top w:val="single" w:color="auto" w:sz="4" w:space="0"/>
              <w:left w:val="single" w:color="auto" w:sz="4" w:space="0"/>
              <w:bottom w:val="single" w:color="auto" w:sz="4" w:space="0"/>
              <w:right w:val="single" w:color="auto" w:sz="4" w:space="0"/>
            </w:tcBorders>
          </w:tcPr>
          <w:p w14:paraId="2BD42C17">
            <w:pPr>
              <w:spacing w:line="500" w:lineRule="exact"/>
              <w:jc w:val="left"/>
              <w:rPr>
                <w:rFonts w:ascii="宋体" w:hAnsi="宋体" w:cs="宋体"/>
              </w:rPr>
            </w:pPr>
          </w:p>
        </w:tc>
        <w:tc>
          <w:tcPr>
            <w:tcW w:w="798" w:type="dxa"/>
            <w:tcBorders>
              <w:top w:val="single" w:color="auto" w:sz="4" w:space="0"/>
              <w:left w:val="single" w:color="auto" w:sz="4" w:space="0"/>
              <w:bottom w:val="single" w:color="auto" w:sz="4" w:space="0"/>
              <w:right w:val="single" w:color="auto" w:sz="4" w:space="0"/>
            </w:tcBorders>
          </w:tcPr>
          <w:p w14:paraId="05AC4A99">
            <w:pPr>
              <w:spacing w:line="500" w:lineRule="exact"/>
              <w:jc w:val="left"/>
              <w:rPr>
                <w:rFonts w:ascii="宋体" w:hAnsi="宋体" w:cs="宋体"/>
              </w:rPr>
            </w:pPr>
          </w:p>
        </w:tc>
        <w:tc>
          <w:tcPr>
            <w:tcW w:w="987" w:type="dxa"/>
            <w:tcBorders>
              <w:top w:val="single" w:color="auto" w:sz="4" w:space="0"/>
              <w:left w:val="single" w:color="auto" w:sz="4" w:space="0"/>
              <w:bottom w:val="single" w:color="auto" w:sz="4" w:space="0"/>
              <w:right w:val="single" w:color="auto" w:sz="4" w:space="0"/>
            </w:tcBorders>
          </w:tcPr>
          <w:p w14:paraId="3DB673B3">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1B8162A3">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4DB1BB11">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36624954">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73A3E04C">
            <w:pPr>
              <w:spacing w:line="500" w:lineRule="exact"/>
              <w:jc w:val="left"/>
              <w:rPr>
                <w:rFonts w:ascii="宋体" w:hAnsi="宋体" w:cs="宋体"/>
              </w:rPr>
            </w:pPr>
          </w:p>
        </w:tc>
        <w:tc>
          <w:tcPr>
            <w:tcW w:w="630" w:type="dxa"/>
            <w:tcBorders>
              <w:top w:val="single" w:color="auto" w:sz="4" w:space="0"/>
              <w:left w:val="single" w:color="auto" w:sz="4" w:space="0"/>
              <w:bottom w:val="single" w:color="auto" w:sz="4" w:space="0"/>
              <w:right w:val="single" w:color="auto" w:sz="4" w:space="0"/>
            </w:tcBorders>
          </w:tcPr>
          <w:p w14:paraId="70E0BA11">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784F251E">
            <w:pPr>
              <w:spacing w:line="500" w:lineRule="exact"/>
              <w:jc w:val="left"/>
              <w:rPr>
                <w:rFonts w:ascii="宋体" w:hAnsi="宋体" w:cs="宋体"/>
              </w:rPr>
            </w:pPr>
          </w:p>
        </w:tc>
        <w:tc>
          <w:tcPr>
            <w:tcW w:w="993" w:type="dxa"/>
            <w:tcBorders>
              <w:top w:val="single" w:color="auto" w:sz="4" w:space="0"/>
              <w:left w:val="single" w:color="auto" w:sz="4" w:space="0"/>
              <w:bottom w:val="single" w:color="auto" w:sz="4" w:space="0"/>
              <w:right w:val="single" w:color="auto" w:sz="4" w:space="0"/>
            </w:tcBorders>
          </w:tcPr>
          <w:p w14:paraId="0F4FF559">
            <w:pPr>
              <w:spacing w:line="500" w:lineRule="exact"/>
              <w:jc w:val="left"/>
              <w:rPr>
                <w:rFonts w:ascii="宋体" w:hAnsi="宋体" w:cs="宋体"/>
              </w:rPr>
            </w:pPr>
          </w:p>
        </w:tc>
      </w:tr>
      <w:tr w14:paraId="4E56CE0B">
        <w:tblPrEx>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tcPr>
          <w:p w14:paraId="2C851782">
            <w:pPr>
              <w:spacing w:line="500" w:lineRule="exact"/>
              <w:jc w:val="left"/>
              <w:rPr>
                <w:rFonts w:ascii="宋体" w:hAnsi="宋体" w:cs="宋体"/>
              </w:rPr>
            </w:pPr>
          </w:p>
        </w:tc>
        <w:tc>
          <w:tcPr>
            <w:tcW w:w="936" w:type="dxa"/>
            <w:tcBorders>
              <w:top w:val="single" w:color="auto" w:sz="4" w:space="0"/>
              <w:left w:val="single" w:color="auto" w:sz="4" w:space="0"/>
              <w:bottom w:val="single" w:color="auto" w:sz="4" w:space="0"/>
              <w:right w:val="single" w:color="auto" w:sz="4" w:space="0"/>
            </w:tcBorders>
          </w:tcPr>
          <w:p w14:paraId="08E39432">
            <w:pPr>
              <w:spacing w:line="500" w:lineRule="exact"/>
              <w:jc w:val="left"/>
              <w:rPr>
                <w:rFonts w:ascii="宋体" w:hAnsi="宋体" w:cs="宋体"/>
              </w:rPr>
            </w:pPr>
          </w:p>
        </w:tc>
        <w:tc>
          <w:tcPr>
            <w:tcW w:w="744" w:type="dxa"/>
            <w:tcBorders>
              <w:top w:val="single" w:color="auto" w:sz="4" w:space="0"/>
              <w:left w:val="single" w:color="auto" w:sz="4" w:space="0"/>
              <w:bottom w:val="single" w:color="auto" w:sz="4" w:space="0"/>
              <w:right w:val="single" w:color="auto" w:sz="4" w:space="0"/>
            </w:tcBorders>
          </w:tcPr>
          <w:p w14:paraId="1DB8FDF6">
            <w:pPr>
              <w:spacing w:line="500" w:lineRule="exact"/>
              <w:jc w:val="left"/>
              <w:rPr>
                <w:rFonts w:ascii="宋体" w:hAnsi="宋体" w:cs="宋体"/>
              </w:rPr>
            </w:pPr>
          </w:p>
        </w:tc>
        <w:tc>
          <w:tcPr>
            <w:tcW w:w="798" w:type="dxa"/>
            <w:tcBorders>
              <w:top w:val="single" w:color="auto" w:sz="4" w:space="0"/>
              <w:left w:val="single" w:color="auto" w:sz="4" w:space="0"/>
              <w:bottom w:val="single" w:color="auto" w:sz="4" w:space="0"/>
              <w:right w:val="single" w:color="auto" w:sz="4" w:space="0"/>
            </w:tcBorders>
          </w:tcPr>
          <w:p w14:paraId="5CF377E5">
            <w:pPr>
              <w:spacing w:line="500" w:lineRule="exact"/>
              <w:jc w:val="left"/>
              <w:rPr>
                <w:rFonts w:ascii="宋体" w:hAnsi="宋体" w:cs="宋体"/>
              </w:rPr>
            </w:pPr>
          </w:p>
        </w:tc>
        <w:tc>
          <w:tcPr>
            <w:tcW w:w="987" w:type="dxa"/>
            <w:tcBorders>
              <w:top w:val="single" w:color="auto" w:sz="4" w:space="0"/>
              <w:left w:val="single" w:color="auto" w:sz="4" w:space="0"/>
              <w:bottom w:val="single" w:color="auto" w:sz="4" w:space="0"/>
              <w:right w:val="single" w:color="auto" w:sz="4" w:space="0"/>
            </w:tcBorders>
          </w:tcPr>
          <w:p w14:paraId="034B6882">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7EF4EE4F">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1567378D">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33CAE787">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0A20EE94">
            <w:pPr>
              <w:spacing w:line="500" w:lineRule="exact"/>
              <w:jc w:val="left"/>
              <w:rPr>
                <w:rFonts w:ascii="宋体" w:hAnsi="宋体" w:cs="宋体"/>
              </w:rPr>
            </w:pPr>
          </w:p>
        </w:tc>
        <w:tc>
          <w:tcPr>
            <w:tcW w:w="630" w:type="dxa"/>
            <w:tcBorders>
              <w:top w:val="single" w:color="auto" w:sz="4" w:space="0"/>
              <w:left w:val="single" w:color="auto" w:sz="4" w:space="0"/>
              <w:bottom w:val="single" w:color="auto" w:sz="4" w:space="0"/>
              <w:right w:val="single" w:color="auto" w:sz="4" w:space="0"/>
            </w:tcBorders>
          </w:tcPr>
          <w:p w14:paraId="2C6D50A6">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78BBC293">
            <w:pPr>
              <w:spacing w:line="500" w:lineRule="exact"/>
              <w:jc w:val="left"/>
              <w:rPr>
                <w:rFonts w:ascii="宋体" w:hAnsi="宋体" w:cs="宋体"/>
              </w:rPr>
            </w:pPr>
          </w:p>
        </w:tc>
        <w:tc>
          <w:tcPr>
            <w:tcW w:w="993" w:type="dxa"/>
            <w:tcBorders>
              <w:top w:val="single" w:color="auto" w:sz="4" w:space="0"/>
              <w:left w:val="single" w:color="auto" w:sz="4" w:space="0"/>
              <w:bottom w:val="single" w:color="auto" w:sz="4" w:space="0"/>
              <w:right w:val="single" w:color="auto" w:sz="4" w:space="0"/>
            </w:tcBorders>
          </w:tcPr>
          <w:p w14:paraId="56246C2D">
            <w:pPr>
              <w:spacing w:line="500" w:lineRule="exact"/>
              <w:jc w:val="left"/>
              <w:rPr>
                <w:rFonts w:ascii="宋体" w:hAnsi="宋体" w:cs="宋体"/>
              </w:rPr>
            </w:pPr>
          </w:p>
        </w:tc>
      </w:tr>
      <w:tr w14:paraId="0F63F972">
        <w:tblPrEx>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tcPr>
          <w:p w14:paraId="732B51B6">
            <w:pPr>
              <w:spacing w:line="500" w:lineRule="exact"/>
              <w:jc w:val="left"/>
              <w:rPr>
                <w:rFonts w:ascii="宋体" w:hAnsi="宋体" w:cs="宋体"/>
              </w:rPr>
            </w:pPr>
          </w:p>
        </w:tc>
        <w:tc>
          <w:tcPr>
            <w:tcW w:w="936" w:type="dxa"/>
            <w:tcBorders>
              <w:top w:val="single" w:color="auto" w:sz="4" w:space="0"/>
              <w:left w:val="single" w:color="auto" w:sz="4" w:space="0"/>
              <w:bottom w:val="single" w:color="auto" w:sz="4" w:space="0"/>
              <w:right w:val="single" w:color="auto" w:sz="4" w:space="0"/>
            </w:tcBorders>
          </w:tcPr>
          <w:p w14:paraId="5FEAAB86">
            <w:pPr>
              <w:spacing w:line="500" w:lineRule="exact"/>
              <w:jc w:val="left"/>
              <w:rPr>
                <w:rFonts w:ascii="宋体" w:hAnsi="宋体" w:cs="宋体"/>
              </w:rPr>
            </w:pPr>
          </w:p>
        </w:tc>
        <w:tc>
          <w:tcPr>
            <w:tcW w:w="744" w:type="dxa"/>
            <w:tcBorders>
              <w:top w:val="single" w:color="auto" w:sz="4" w:space="0"/>
              <w:left w:val="single" w:color="auto" w:sz="4" w:space="0"/>
              <w:bottom w:val="single" w:color="auto" w:sz="4" w:space="0"/>
              <w:right w:val="single" w:color="auto" w:sz="4" w:space="0"/>
            </w:tcBorders>
          </w:tcPr>
          <w:p w14:paraId="48C32FFC">
            <w:pPr>
              <w:spacing w:line="500" w:lineRule="exact"/>
              <w:jc w:val="left"/>
              <w:rPr>
                <w:rFonts w:ascii="宋体" w:hAnsi="宋体" w:cs="宋体"/>
              </w:rPr>
            </w:pPr>
          </w:p>
        </w:tc>
        <w:tc>
          <w:tcPr>
            <w:tcW w:w="798" w:type="dxa"/>
            <w:tcBorders>
              <w:top w:val="single" w:color="auto" w:sz="4" w:space="0"/>
              <w:left w:val="single" w:color="auto" w:sz="4" w:space="0"/>
              <w:bottom w:val="single" w:color="auto" w:sz="4" w:space="0"/>
              <w:right w:val="single" w:color="auto" w:sz="4" w:space="0"/>
            </w:tcBorders>
          </w:tcPr>
          <w:p w14:paraId="0314BD81">
            <w:pPr>
              <w:spacing w:line="500" w:lineRule="exact"/>
              <w:jc w:val="left"/>
              <w:rPr>
                <w:rFonts w:ascii="宋体" w:hAnsi="宋体" w:cs="宋体"/>
              </w:rPr>
            </w:pPr>
          </w:p>
        </w:tc>
        <w:tc>
          <w:tcPr>
            <w:tcW w:w="987" w:type="dxa"/>
            <w:tcBorders>
              <w:top w:val="single" w:color="auto" w:sz="4" w:space="0"/>
              <w:left w:val="single" w:color="auto" w:sz="4" w:space="0"/>
              <w:bottom w:val="single" w:color="auto" w:sz="4" w:space="0"/>
              <w:right w:val="single" w:color="auto" w:sz="4" w:space="0"/>
            </w:tcBorders>
          </w:tcPr>
          <w:p w14:paraId="4DB6A101">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724B8478">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5625F005">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0875D68C">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2BB46D76">
            <w:pPr>
              <w:spacing w:line="500" w:lineRule="exact"/>
              <w:jc w:val="left"/>
              <w:rPr>
                <w:rFonts w:ascii="宋体" w:hAnsi="宋体" w:cs="宋体"/>
              </w:rPr>
            </w:pPr>
          </w:p>
        </w:tc>
        <w:tc>
          <w:tcPr>
            <w:tcW w:w="630" w:type="dxa"/>
            <w:tcBorders>
              <w:top w:val="single" w:color="auto" w:sz="4" w:space="0"/>
              <w:left w:val="single" w:color="auto" w:sz="4" w:space="0"/>
              <w:bottom w:val="single" w:color="auto" w:sz="4" w:space="0"/>
              <w:right w:val="single" w:color="auto" w:sz="4" w:space="0"/>
            </w:tcBorders>
          </w:tcPr>
          <w:p w14:paraId="43D80EF9">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52C34EC2">
            <w:pPr>
              <w:spacing w:line="500" w:lineRule="exact"/>
              <w:jc w:val="left"/>
              <w:rPr>
                <w:rFonts w:ascii="宋体" w:hAnsi="宋体" w:cs="宋体"/>
              </w:rPr>
            </w:pPr>
          </w:p>
        </w:tc>
        <w:tc>
          <w:tcPr>
            <w:tcW w:w="993" w:type="dxa"/>
            <w:tcBorders>
              <w:top w:val="single" w:color="auto" w:sz="4" w:space="0"/>
              <w:left w:val="single" w:color="auto" w:sz="4" w:space="0"/>
              <w:bottom w:val="single" w:color="auto" w:sz="4" w:space="0"/>
              <w:right w:val="single" w:color="auto" w:sz="4" w:space="0"/>
            </w:tcBorders>
          </w:tcPr>
          <w:p w14:paraId="29B13C53">
            <w:pPr>
              <w:spacing w:line="500" w:lineRule="exact"/>
              <w:jc w:val="left"/>
              <w:rPr>
                <w:rFonts w:ascii="宋体" w:hAnsi="宋体" w:cs="宋体"/>
              </w:rPr>
            </w:pPr>
          </w:p>
        </w:tc>
      </w:tr>
      <w:tr w14:paraId="2459D419">
        <w:tblPrEx>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tcPr>
          <w:p w14:paraId="09655439">
            <w:pPr>
              <w:spacing w:line="500" w:lineRule="exact"/>
              <w:jc w:val="left"/>
              <w:rPr>
                <w:rFonts w:ascii="宋体" w:hAnsi="宋体" w:cs="宋体"/>
              </w:rPr>
            </w:pPr>
          </w:p>
        </w:tc>
        <w:tc>
          <w:tcPr>
            <w:tcW w:w="936" w:type="dxa"/>
            <w:tcBorders>
              <w:top w:val="single" w:color="auto" w:sz="4" w:space="0"/>
              <w:left w:val="single" w:color="auto" w:sz="4" w:space="0"/>
              <w:bottom w:val="single" w:color="auto" w:sz="4" w:space="0"/>
              <w:right w:val="single" w:color="auto" w:sz="4" w:space="0"/>
            </w:tcBorders>
          </w:tcPr>
          <w:p w14:paraId="0F5CBEF7">
            <w:pPr>
              <w:spacing w:line="500" w:lineRule="exact"/>
              <w:jc w:val="left"/>
              <w:rPr>
                <w:rFonts w:ascii="宋体" w:hAnsi="宋体" w:cs="宋体"/>
              </w:rPr>
            </w:pPr>
          </w:p>
        </w:tc>
        <w:tc>
          <w:tcPr>
            <w:tcW w:w="744" w:type="dxa"/>
            <w:tcBorders>
              <w:top w:val="single" w:color="auto" w:sz="4" w:space="0"/>
              <w:left w:val="single" w:color="auto" w:sz="4" w:space="0"/>
              <w:bottom w:val="single" w:color="auto" w:sz="4" w:space="0"/>
              <w:right w:val="single" w:color="auto" w:sz="4" w:space="0"/>
            </w:tcBorders>
          </w:tcPr>
          <w:p w14:paraId="7416BC4E">
            <w:pPr>
              <w:spacing w:line="500" w:lineRule="exact"/>
              <w:jc w:val="left"/>
              <w:rPr>
                <w:rFonts w:ascii="宋体" w:hAnsi="宋体" w:cs="宋体"/>
              </w:rPr>
            </w:pPr>
          </w:p>
        </w:tc>
        <w:tc>
          <w:tcPr>
            <w:tcW w:w="798" w:type="dxa"/>
            <w:tcBorders>
              <w:top w:val="single" w:color="auto" w:sz="4" w:space="0"/>
              <w:left w:val="single" w:color="auto" w:sz="4" w:space="0"/>
              <w:bottom w:val="single" w:color="auto" w:sz="4" w:space="0"/>
              <w:right w:val="single" w:color="auto" w:sz="4" w:space="0"/>
            </w:tcBorders>
          </w:tcPr>
          <w:p w14:paraId="2742ED7B">
            <w:pPr>
              <w:spacing w:line="500" w:lineRule="exact"/>
              <w:jc w:val="left"/>
              <w:rPr>
                <w:rFonts w:ascii="宋体" w:hAnsi="宋体" w:cs="宋体"/>
              </w:rPr>
            </w:pPr>
          </w:p>
        </w:tc>
        <w:tc>
          <w:tcPr>
            <w:tcW w:w="987" w:type="dxa"/>
            <w:tcBorders>
              <w:top w:val="single" w:color="auto" w:sz="4" w:space="0"/>
              <w:left w:val="single" w:color="auto" w:sz="4" w:space="0"/>
              <w:bottom w:val="single" w:color="auto" w:sz="4" w:space="0"/>
              <w:right w:val="single" w:color="auto" w:sz="4" w:space="0"/>
            </w:tcBorders>
          </w:tcPr>
          <w:p w14:paraId="4D9D45F3">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259152F2">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5327D552">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3A2F889A">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4C983F4E">
            <w:pPr>
              <w:spacing w:line="500" w:lineRule="exact"/>
              <w:jc w:val="left"/>
              <w:rPr>
                <w:rFonts w:ascii="宋体" w:hAnsi="宋体" w:cs="宋体"/>
              </w:rPr>
            </w:pPr>
          </w:p>
        </w:tc>
        <w:tc>
          <w:tcPr>
            <w:tcW w:w="630" w:type="dxa"/>
            <w:tcBorders>
              <w:top w:val="single" w:color="auto" w:sz="4" w:space="0"/>
              <w:left w:val="single" w:color="auto" w:sz="4" w:space="0"/>
              <w:bottom w:val="single" w:color="auto" w:sz="4" w:space="0"/>
              <w:right w:val="single" w:color="auto" w:sz="4" w:space="0"/>
            </w:tcBorders>
          </w:tcPr>
          <w:p w14:paraId="07C1787E">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2438357E">
            <w:pPr>
              <w:spacing w:line="500" w:lineRule="exact"/>
              <w:jc w:val="left"/>
              <w:rPr>
                <w:rFonts w:ascii="宋体" w:hAnsi="宋体" w:cs="宋体"/>
              </w:rPr>
            </w:pPr>
          </w:p>
        </w:tc>
        <w:tc>
          <w:tcPr>
            <w:tcW w:w="993" w:type="dxa"/>
            <w:tcBorders>
              <w:top w:val="single" w:color="auto" w:sz="4" w:space="0"/>
              <w:left w:val="single" w:color="auto" w:sz="4" w:space="0"/>
              <w:bottom w:val="single" w:color="auto" w:sz="4" w:space="0"/>
              <w:right w:val="single" w:color="auto" w:sz="4" w:space="0"/>
            </w:tcBorders>
          </w:tcPr>
          <w:p w14:paraId="1B68F3B3">
            <w:pPr>
              <w:spacing w:line="500" w:lineRule="exact"/>
              <w:jc w:val="left"/>
              <w:rPr>
                <w:rFonts w:ascii="宋体" w:hAnsi="宋体" w:cs="宋体"/>
              </w:rPr>
            </w:pPr>
          </w:p>
        </w:tc>
      </w:tr>
      <w:tr w14:paraId="0156B9D9">
        <w:tblPrEx>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tcPr>
          <w:p w14:paraId="252A9428">
            <w:pPr>
              <w:spacing w:line="500" w:lineRule="exact"/>
              <w:jc w:val="left"/>
              <w:rPr>
                <w:rFonts w:ascii="宋体" w:hAnsi="宋体" w:cs="宋体"/>
              </w:rPr>
            </w:pPr>
          </w:p>
        </w:tc>
        <w:tc>
          <w:tcPr>
            <w:tcW w:w="936" w:type="dxa"/>
            <w:tcBorders>
              <w:top w:val="single" w:color="auto" w:sz="4" w:space="0"/>
              <w:left w:val="single" w:color="auto" w:sz="4" w:space="0"/>
              <w:bottom w:val="single" w:color="auto" w:sz="4" w:space="0"/>
              <w:right w:val="single" w:color="auto" w:sz="4" w:space="0"/>
            </w:tcBorders>
          </w:tcPr>
          <w:p w14:paraId="6D828A89">
            <w:pPr>
              <w:spacing w:line="500" w:lineRule="exact"/>
              <w:jc w:val="left"/>
              <w:rPr>
                <w:rFonts w:ascii="宋体" w:hAnsi="宋体" w:cs="宋体"/>
              </w:rPr>
            </w:pPr>
          </w:p>
        </w:tc>
        <w:tc>
          <w:tcPr>
            <w:tcW w:w="744" w:type="dxa"/>
            <w:tcBorders>
              <w:top w:val="single" w:color="auto" w:sz="4" w:space="0"/>
              <w:left w:val="single" w:color="auto" w:sz="4" w:space="0"/>
              <w:bottom w:val="single" w:color="auto" w:sz="4" w:space="0"/>
              <w:right w:val="single" w:color="auto" w:sz="4" w:space="0"/>
            </w:tcBorders>
          </w:tcPr>
          <w:p w14:paraId="440998F7">
            <w:pPr>
              <w:spacing w:line="500" w:lineRule="exact"/>
              <w:jc w:val="left"/>
              <w:rPr>
                <w:rFonts w:ascii="宋体" w:hAnsi="宋体" w:cs="宋体"/>
              </w:rPr>
            </w:pPr>
          </w:p>
        </w:tc>
        <w:tc>
          <w:tcPr>
            <w:tcW w:w="798" w:type="dxa"/>
            <w:tcBorders>
              <w:top w:val="single" w:color="auto" w:sz="4" w:space="0"/>
              <w:left w:val="single" w:color="auto" w:sz="4" w:space="0"/>
              <w:bottom w:val="single" w:color="auto" w:sz="4" w:space="0"/>
              <w:right w:val="single" w:color="auto" w:sz="4" w:space="0"/>
            </w:tcBorders>
          </w:tcPr>
          <w:p w14:paraId="3F3E047C">
            <w:pPr>
              <w:spacing w:line="500" w:lineRule="exact"/>
              <w:jc w:val="left"/>
              <w:rPr>
                <w:rFonts w:ascii="宋体" w:hAnsi="宋体" w:cs="宋体"/>
              </w:rPr>
            </w:pPr>
          </w:p>
        </w:tc>
        <w:tc>
          <w:tcPr>
            <w:tcW w:w="987" w:type="dxa"/>
            <w:tcBorders>
              <w:top w:val="single" w:color="auto" w:sz="4" w:space="0"/>
              <w:left w:val="single" w:color="auto" w:sz="4" w:space="0"/>
              <w:bottom w:val="single" w:color="auto" w:sz="4" w:space="0"/>
              <w:right w:val="single" w:color="auto" w:sz="4" w:space="0"/>
            </w:tcBorders>
          </w:tcPr>
          <w:p w14:paraId="493EF132">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0EB7F770">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429C4939">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00B1D8C4">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41D58E80">
            <w:pPr>
              <w:spacing w:line="500" w:lineRule="exact"/>
              <w:jc w:val="left"/>
              <w:rPr>
                <w:rFonts w:ascii="宋体" w:hAnsi="宋体" w:cs="宋体"/>
              </w:rPr>
            </w:pPr>
          </w:p>
        </w:tc>
        <w:tc>
          <w:tcPr>
            <w:tcW w:w="630" w:type="dxa"/>
            <w:tcBorders>
              <w:top w:val="single" w:color="auto" w:sz="4" w:space="0"/>
              <w:left w:val="single" w:color="auto" w:sz="4" w:space="0"/>
              <w:bottom w:val="single" w:color="auto" w:sz="4" w:space="0"/>
              <w:right w:val="single" w:color="auto" w:sz="4" w:space="0"/>
            </w:tcBorders>
          </w:tcPr>
          <w:p w14:paraId="38C8A04A">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03BA0962">
            <w:pPr>
              <w:spacing w:line="500" w:lineRule="exact"/>
              <w:jc w:val="left"/>
              <w:rPr>
                <w:rFonts w:ascii="宋体" w:hAnsi="宋体" w:cs="宋体"/>
              </w:rPr>
            </w:pPr>
          </w:p>
        </w:tc>
        <w:tc>
          <w:tcPr>
            <w:tcW w:w="993" w:type="dxa"/>
            <w:tcBorders>
              <w:top w:val="single" w:color="auto" w:sz="4" w:space="0"/>
              <w:left w:val="single" w:color="auto" w:sz="4" w:space="0"/>
              <w:bottom w:val="single" w:color="auto" w:sz="4" w:space="0"/>
              <w:right w:val="single" w:color="auto" w:sz="4" w:space="0"/>
            </w:tcBorders>
          </w:tcPr>
          <w:p w14:paraId="1306A78E">
            <w:pPr>
              <w:spacing w:line="500" w:lineRule="exact"/>
              <w:jc w:val="left"/>
              <w:rPr>
                <w:rFonts w:ascii="宋体" w:hAnsi="宋体" w:cs="宋体"/>
              </w:rPr>
            </w:pPr>
          </w:p>
        </w:tc>
      </w:tr>
      <w:tr w14:paraId="484CF31F">
        <w:tblPrEx>
          <w:tblCellMar>
            <w:top w:w="0" w:type="dxa"/>
            <w:left w:w="108" w:type="dxa"/>
            <w:bottom w:w="0" w:type="dxa"/>
            <w:right w:w="108" w:type="dxa"/>
          </w:tblCellMar>
        </w:tblPrEx>
        <w:trPr>
          <w:trHeight w:val="502" w:hRule="atLeast"/>
          <w:jc w:val="center"/>
        </w:trPr>
        <w:tc>
          <w:tcPr>
            <w:tcW w:w="525" w:type="dxa"/>
            <w:tcBorders>
              <w:top w:val="single" w:color="auto" w:sz="4" w:space="0"/>
              <w:left w:val="single" w:color="auto" w:sz="4" w:space="0"/>
              <w:bottom w:val="single" w:color="auto" w:sz="4" w:space="0"/>
              <w:right w:val="single" w:color="auto" w:sz="4" w:space="0"/>
            </w:tcBorders>
          </w:tcPr>
          <w:p w14:paraId="77246357">
            <w:pPr>
              <w:spacing w:line="500" w:lineRule="exact"/>
              <w:jc w:val="left"/>
              <w:rPr>
                <w:rFonts w:ascii="宋体" w:hAnsi="宋体" w:cs="宋体"/>
              </w:rPr>
            </w:pPr>
          </w:p>
        </w:tc>
        <w:tc>
          <w:tcPr>
            <w:tcW w:w="936" w:type="dxa"/>
            <w:tcBorders>
              <w:top w:val="single" w:color="auto" w:sz="4" w:space="0"/>
              <w:left w:val="single" w:color="auto" w:sz="4" w:space="0"/>
              <w:bottom w:val="single" w:color="auto" w:sz="4" w:space="0"/>
              <w:right w:val="single" w:color="auto" w:sz="4" w:space="0"/>
            </w:tcBorders>
          </w:tcPr>
          <w:p w14:paraId="4A03F293">
            <w:pPr>
              <w:spacing w:line="500" w:lineRule="exact"/>
              <w:jc w:val="left"/>
              <w:rPr>
                <w:rFonts w:ascii="宋体" w:hAnsi="宋体" w:cs="宋体"/>
              </w:rPr>
            </w:pPr>
          </w:p>
        </w:tc>
        <w:tc>
          <w:tcPr>
            <w:tcW w:w="744" w:type="dxa"/>
            <w:tcBorders>
              <w:top w:val="single" w:color="auto" w:sz="4" w:space="0"/>
              <w:left w:val="single" w:color="auto" w:sz="4" w:space="0"/>
              <w:bottom w:val="single" w:color="auto" w:sz="4" w:space="0"/>
              <w:right w:val="single" w:color="auto" w:sz="4" w:space="0"/>
            </w:tcBorders>
          </w:tcPr>
          <w:p w14:paraId="147DBB0F">
            <w:pPr>
              <w:spacing w:line="500" w:lineRule="exact"/>
              <w:jc w:val="left"/>
              <w:rPr>
                <w:rFonts w:ascii="宋体" w:hAnsi="宋体" w:cs="宋体"/>
              </w:rPr>
            </w:pPr>
          </w:p>
        </w:tc>
        <w:tc>
          <w:tcPr>
            <w:tcW w:w="798" w:type="dxa"/>
            <w:tcBorders>
              <w:top w:val="single" w:color="auto" w:sz="4" w:space="0"/>
              <w:left w:val="single" w:color="auto" w:sz="4" w:space="0"/>
              <w:bottom w:val="single" w:color="auto" w:sz="4" w:space="0"/>
              <w:right w:val="single" w:color="auto" w:sz="4" w:space="0"/>
            </w:tcBorders>
          </w:tcPr>
          <w:p w14:paraId="367DF721">
            <w:pPr>
              <w:spacing w:line="500" w:lineRule="exact"/>
              <w:jc w:val="left"/>
              <w:rPr>
                <w:rFonts w:ascii="宋体" w:hAnsi="宋体" w:cs="宋体"/>
              </w:rPr>
            </w:pPr>
          </w:p>
        </w:tc>
        <w:tc>
          <w:tcPr>
            <w:tcW w:w="987" w:type="dxa"/>
            <w:tcBorders>
              <w:top w:val="single" w:color="auto" w:sz="4" w:space="0"/>
              <w:left w:val="single" w:color="auto" w:sz="4" w:space="0"/>
              <w:bottom w:val="single" w:color="auto" w:sz="4" w:space="0"/>
              <w:right w:val="single" w:color="auto" w:sz="4" w:space="0"/>
            </w:tcBorders>
          </w:tcPr>
          <w:p w14:paraId="197E8E2C">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2720F804">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36D7769D">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02EE319E">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06F21FF1">
            <w:pPr>
              <w:spacing w:line="500" w:lineRule="exact"/>
              <w:jc w:val="left"/>
              <w:rPr>
                <w:rFonts w:ascii="宋体" w:hAnsi="宋体" w:cs="宋体"/>
              </w:rPr>
            </w:pPr>
          </w:p>
        </w:tc>
        <w:tc>
          <w:tcPr>
            <w:tcW w:w="630" w:type="dxa"/>
            <w:tcBorders>
              <w:top w:val="single" w:color="auto" w:sz="4" w:space="0"/>
              <w:left w:val="single" w:color="auto" w:sz="4" w:space="0"/>
              <w:bottom w:val="single" w:color="auto" w:sz="4" w:space="0"/>
              <w:right w:val="single" w:color="auto" w:sz="4" w:space="0"/>
            </w:tcBorders>
          </w:tcPr>
          <w:p w14:paraId="11C0141B">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10D01915">
            <w:pPr>
              <w:spacing w:line="500" w:lineRule="exact"/>
              <w:jc w:val="left"/>
              <w:rPr>
                <w:rFonts w:ascii="宋体" w:hAnsi="宋体" w:cs="宋体"/>
              </w:rPr>
            </w:pPr>
          </w:p>
        </w:tc>
        <w:tc>
          <w:tcPr>
            <w:tcW w:w="993" w:type="dxa"/>
            <w:tcBorders>
              <w:top w:val="single" w:color="auto" w:sz="4" w:space="0"/>
              <w:left w:val="single" w:color="auto" w:sz="4" w:space="0"/>
              <w:bottom w:val="single" w:color="auto" w:sz="4" w:space="0"/>
              <w:right w:val="single" w:color="auto" w:sz="4" w:space="0"/>
            </w:tcBorders>
          </w:tcPr>
          <w:p w14:paraId="1A5EF796">
            <w:pPr>
              <w:spacing w:line="500" w:lineRule="exact"/>
              <w:jc w:val="left"/>
              <w:rPr>
                <w:rFonts w:ascii="宋体" w:hAnsi="宋体" w:cs="宋体"/>
              </w:rPr>
            </w:pPr>
          </w:p>
        </w:tc>
      </w:tr>
      <w:tr w14:paraId="65077560">
        <w:tblPrEx>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tcPr>
          <w:p w14:paraId="4B17C23E">
            <w:pPr>
              <w:spacing w:line="500" w:lineRule="exact"/>
              <w:jc w:val="left"/>
              <w:rPr>
                <w:rFonts w:ascii="宋体" w:hAnsi="宋体" w:cs="宋体"/>
              </w:rPr>
            </w:pPr>
          </w:p>
        </w:tc>
        <w:tc>
          <w:tcPr>
            <w:tcW w:w="936" w:type="dxa"/>
            <w:tcBorders>
              <w:top w:val="single" w:color="auto" w:sz="4" w:space="0"/>
              <w:left w:val="single" w:color="auto" w:sz="4" w:space="0"/>
              <w:bottom w:val="single" w:color="auto" w:sz="4" w:space="0"/>
              <w:right w:val="single" w:color="auto" w:sz="4" w:space="0"/>
            </w:tcBorders>
          </w:tcPr>
          <w:p w14:paraId="69839BBD">
            <w:pPr>
              <w:spacing w:line="500" w:lineRule="exact"/>
              <w:jc w:val="left"/>
              <w:rPr>
                <w:rFonts w:ascii="宋体" w:hAnsi="宋体" w:cs="宋体"/>
              </w:rPr>
            </w:pPr>
          </w:p>
        </w:tc>
        <w:tc>
          <w:tcPr>
            <w:tcW w:w="744" w:type="dxa"/>
            <w:tcBorders>
              <w:top w:val="single" w:color="auto" w:sz="4" w:space="0"/>
              <w:left w:val="single" w:color="auto" w:sz="4" w:space="0"/>
              <w:bottom w:val="single" w:color="auto" w:sz="4" w:space="0"/>
              <w:right w:val="single" w:color="auto" w:sz="4" w:space="0"/>
            </w:tcBorders>
          </w:tcPr>
          <w:p w14:paraId="78FA8BFB">
            <w:pPr>
              <w:spacing w:line="500" w:lineRule="exact"/>
              <w:jc w:val="left"/>
              <w:rPr>
                <w:rFonts w:ascii="宋体" w:hAnsi="宋体" w:cs="宋体"/>
              </w:rPr>
            </w:pPr>
          </w:p>
        </w:tc>
        <w:tc>
          <w:tcPr>
            <w:tcW w:w="798" w:type="dxa"/>
            <w:tcBorders>
              <w:top w:val="single" w:color="auto" w:sz="4" w:space="0"/>
              <w:left w:val="single" w:color="auto" w:sz="4" w:space="0"/>
              <w:bottom w:val="single" w:color="auto" w:sz="4" w:space="0"/>
              <w:right w:val="single" w:color="auto" w:sz="4" w:space="0"/>
            </w:tcBorders>
          </w:tcPr>
          <w:p w14:paraId="3ED912B8">
            <w:pPr>
              <w:spacing w:line="500" w:lineRule="exact"/>
              <w:jc w:val="left"/>
              <w:rPr>
                <w:rFonts w:ascii="宋体" w:hAnsi="宋体" w:cs="宋体"/>
              </w:rPr>
            </w:pPr>
          </w:p>
        </w:tc>
        <w:tc>
          <w:tcPr>
            <w:tcW w:w="987" w:type="dxa"/>
            <w:tcBorders>
              <w:top w:val="single" w:color="auto" w:sz="4" w:space="0"/>
              <w:left w:val="single" w:color="auto" w:sz="4" w:space="0"/>
              <w:bottom w:val="single" w:color="auto" w:sz="4" w:space="0"/>
              <w:right w:val="single" w:color="auto" w:sz="4" w:space="0"/>
            </w:tcBorders>
          </w:tcPr>
          <w:p w14:paraId="28B00479">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03A85174">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6B498B28">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7F6C6A53">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7D37E876">
            <w:pPr>
              <w:spacing w:line="500" w:lineRule="exact"/>
              <w:jc w:val="left"/>
              <w:rPr>
                <w:rFonts w:ascii="宋体" w:hAnsi="宋体" w:cs="宋体"/>
              </w:rPr>
            </w:pPr>
          </w:p>
        </w:tc>
        <w:tc>
          <w:tcPr>
            <w:tcW w:w="630" w:type="dxa"/>
            <w:tcBorders>
              <w:top w:val="single" w:color="auto" w:sz="4" w:space="0"/>
              <w:left w:val="single" w:color="auto" w:sz="4" w:space="0"/>
              <w:bottom w:val="single" w:color="auto" w:sz="4" w:space="0"/>
              <w:right w:val="single" w:color="auto" w:sz="4" w:space="0"/>
            </w:tcBorders>
          </w:tcPr>
          <w:p w14:paraId="64DDEFE0">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31484BB4">
            <w:pPr>
              <w:spacing w:line="500" w:lineRule="exact"/>
              <w:jc w:val="left"/>
              <w:rPr>
                <w:rFonts w:ascii="宋体" w:hAnsi="宋体" w:cs="宋体"/>
              </w:rPr>
            </w:pPr>
          </w:p>
        </w:tc>
        <w:tc>
          <w:tcPr>
            <w:tcW w:w="993" w:type="dxa"/>
            <w:tcBorders>
              <w:top w:val="single" w:color="auto" w:sz="4" w:space="0"/>
              <w:left w:val="single" w:color="auto" w:sz="4" w:space="0"/>
              <w:bottom w:val="single" w:color="auto" w:sz="4" w:space="0"/>
              <w:right w:val="single" w:color="auto" w:sz="4" w:space="0"/>
            </w:tcBorders>
          </w:tcPr>
          <w:p w14:paraId="3D8CFE60">
            <w:pPr>
              <w:spacing w:line="500" w:lineRule="exact"/>
              <w:jc w:val="left"/>
              <w:rPr>
                <w:rFonts w:ascii="宋体" w:hAnsi="宋体" w:cs="宋体"/>
              </w:rPr>
            </w:pPr>
            <w:bookmarkStart w:id="340" w:name="_Toc17638"/>
          </w:p>
        </w:tc>
      </w:tr>
      <w:tr w14:paraId="1EA87A14">
        <w:tblPrEx>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tcPr>
          <w:p w14:paraId="6A2ECF2C">
            <w:pPr>
              <w:spacing w:line="500" w:lineRule="exact"/>
              <w:jc w:val="left"/>
              <w:rPr>
                <w:rFonts w:ascii="宋体" w:hAnsi="宋体" w:cs="宋体"/>
              </w:rPr>
            </w:pPr>
          </w:p>
        </w:tc>
        <w:tc>
          <w:tcPr>
            <w:tcW w:w="936" w:type="dxa"/>
            <w:tcBorders>
              <w:top w:val="single" w:color="auto" w:sz="4" w:space="0"/>
              <w:left w:val="single" w:color="auto" w:sz="4" w:space="0"/>
              <w:bottom w:val="single" w:color="auto" w:sz="4" w:space="0"/>
              <w:right w:val="single" w:color="auto" w:sz="4" w:space="0"/>
            </w:tcBorders>
          </w:tcPr>
          <w:p w14:paraId="20CEA906">
            <w:pPr>
              <w:spacing w:line="500" w:lineRule="exact"/>
              <w:jc w:val="left"/>
              <w:rPr>
                <w:rFonts w:ascii="宋体" w:hAnsi="宋体" w:cs="宋体"/>
              </w:rPr>
            </w:pPr>
          </w:p>
        </w:tc>
        <w:tc>
          <w:tcPr>
            <w:tcW w:w="744" w:type="dxa"/>
            <w:tcBorders>
              <w:top w:val="single" w:color="auto" w:sz="4" w:space="0"/>
              <w:left w:val="single" w:color="auto" w:sz="4" w:space="0"/>
              <w:bottom w:val="single" w:color="auto" w:sz="4" w:space="0"/>
              <w:right w:val="single" w:color="auto" w:sz="4" w:space="0"/>
            </w:tcBorders>
          </w:tcPr>
          <w:p w14:paraId="3336FD15">
            <w:pPr>
              <w:spacing w:line="500" w:lineRule="exact"/>
              <w:jc w:val="left"/>
              <w:rPr>
                <w:rFonts w:ascii="宋体" w:hAnsi="宋体" w:cs="宋体"/>
              </w:rPr>
            </w:pPr>
          </w:p>
        </w:tc>
        <w:tc>
          <w:tcPr>
            <w:tcW w:w="798" w:type="dxa"/>
            <w:tcBorders>
              <w:top w:val="single" w:color="auto" w:sz="4" w:space="0"/>
              <w:left w:val="single" w:color="auto" w:sz="4" w:space="0"/>
              <w:bottom w:val="single" w:color="auto" w:sz="4" w:space="0"/>
              <w:right w:val="single" w:color="auto" w:sz="4" w:space="0"/>
            </w:tcBorders>
          </w:tcPr>
          <w:p w14:paraId="5F97E76B">
            <w:pPr>
              <w:spacing w:line="500" w:lineRule="exact"/>
              <w:jc w:val="left"/>
              <w:rPr>
                <w:rFonts w:ascii="宋体" w:hAnsi="宋体" w:cs="宋体"/>
              </w:rPr>
            </w:pPr>
          </w:p>
        </w:tc>
        <w:tc>
          <w:tcPr>
            <w:tcW w:w="987" w:type="dxa"/>
            <w:tcBorders>
              <w:top w:val="single" w:color="auto" w:sz="4" w:space="0"/>
              <w:left w:val="single" w:color="auto" w:sz="4" w:space="0"/>
              <w:bottom w:val="single" w:color="auto" w:sz="4" w:space="0"/>
              <w:right w:val="single" w:color="auto" w:sz="4" w:space="0"/>
            </w:tcBorders>
          </w:tcPr>
          <w:p w14:paraId="6195D713">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4C68E09F">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6E7E231A">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7815997F">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6FAEA37B">
            <w:pPr>
              <w:spacing w:line="500" w:lineRule="exact"/>
              <w:jc w:val="left"/>
              <w:rPr>
                <w:rFonts w:ascii="宋体" w:hAnsi="宋体" w:cs="宋体"/>
              </w:rPr>
            </w:pPr>
          </w:p>
        </w:tc>
        <w:tc>
          <w:tcPr>
            <w:tcW w:w="630" w:type="dxa"/>
            <w:tcBorders>
              <w:top w:val="single" w:color="auto" w:sz="4" w:space="0"/>
              <w:left w:val="single" w:color="auto" w:sz="4" w:space="0"/>
              <w:bottom w:val="single" w:color="auto" w:sz="4" w:space="0"/>
              <w:right w:val="single" w:color="auto" w:sz="4" w:space="0"/>
            </w:tcBorders>
          </w:tcPr>
          <w:p w14:paraId="19C299C0">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59911C29">
            <w:pPr>
              <w:spacing w:line="500" w:lineRule="exact"/>
              <w:jc w:val="left"/>
              <w:rPr>
                <w:rFonts w:ascii="宋体" w:hAnsi="宋体" w:cs="宋体"/>
              </w:rPr>
            </w:pPr>
          </w:p>
        </w:tc>
        <w:tc>
          <w:tcPr>
            <w:tcW w:w="993" w:type="dxa"/>
            <w:tcBorders>
              <w:top w:val="single" w:color="auto" w:sz="4" w:space="0"/>
              <w:left w:val="single" w:color="auto" w:sz="4" w:space="0"/>
              <w:bottom w:val="single" w:color="auto" w:sz="4" w:space="0"/>
              <w:right w:val="single" w:color="auto" w:sz="4" w:space="0"/>
            </w:tcBorders>
          </w:tcPr>
          <w:p w14:paraId="2EF240B0">
            <w:pPr>
              <w:spacing w:line="500" w:lineRule="exact"/>
              <w:jc w:val="left"/>
              <w:rPr>
                <w:rFonts w:ascii="宋体" w:hAnsi="宋体" w:cs="宋体"/>
              </w:rPr>
            </w:pPr>
          </w:p>
        </w:tc>
      </w:tr>
      <w:bookmarkEnd w:id="340"/>
      <w:tr w14:paraId="4ED1554C">
        <w:tblPrEx>
          <w:tblCellMar>
            <w:top w:w="0" w:type="dxa"/>
            <w:left w:w="108" w:type="dxa"/>
            <w:bottom w:w="0" w:type="dxa"/>
            <w:right w:w="108" w:type="dxa"/>
          </w:tblCellMar>
        </w:tblPrEx>
        <w:trPr>
          <w:jc w:val="center"/>
        </w:trPr>
        <w:tc>
          <w:tcPr>
            <w:tcW w:w="2205" w:type="dxa"/>
            <w:gridSpan w:val="3"/>
            <w:tcBorders>
              <w:top w:val="single" w:color="auto" w:sz="4" w:space="0"/>
              <w:left w:val="single" w:color="auto" w:sz="4" w:space="0"/>
              <w:bottom w:val="single" w:color="auto" w:sz="4" w:space="0"/>
              <w:right w:val="single" w:color="auto" w:sz="4" w:space="0"/>
            </w:tcBorders>
          </w:tcPr>
          <w:p w14:paraId="40601873">
            <w:pPr>
              <w:spacing w:line="500" w:lineRule="exact"/>
              <w:jc w:val="left"/>
              <w:rPr>
                <w:rFonts w:ascii="宋体" w:hAnsi="宋体" w:cs="宋体"/>
              </w:rPr>
            </w:pPr>
            <w:r>
              <w:rPr>
                <w:rFonts w:hint="eastAsia" w:ascii="宋体" w:hAnsi="宋体" w:cs="宋体"/>
              </w:rPr>
              <w:t>最高投标限价：</w:t>
            </w:r>
          </w:p>
        </w:tc>
        <w:tc>
          <w:tcPr>
            <w:tcW w:w="7923" w:type="dxa"/>
            <w:gridSpan w:val="9"/>
            <w:tcBorders>
              <w:top w:val="single" w:color="auto" w:sz="4" w:space="0"/>
              <w:left w:val="single" w:color="auto" w:sz="4" w:space="0"/>
              <w:bottom w:val="single" w:color="auto" w:sz="4" w:space="0"/>
              <w:right w:val="single" w:color="auto" w:sz="4" w:space="0"/>
            </w:tcBorders>
          </w:tcPr>
          <w:p w14:paraId="4196BCAF">
            <w:pPr>
              <w:spacing w:line="500" w:lineRule="exact"/>
              <w:jc w:val="left"/>
              <w:rPr>
                <w:rFonts w:ascii="宋体" w:hAnsi="宋体" w:cs="宋体"/>
              </w:rPr>
            </w:pPr>
          </w:p>
        </w:tc>
      </w:tr>
    </w:tbl>
    <w:p w14:paraId="4FC228A3">
      <w:pPr>
        <w:spacing w:line="440" w:lineRule="exact"/>
        <w:rPr>
          <w:rFonts w:ascii="宋体" w:hAnsi="宋体" w:cs="宋体"/>
        </w:rPr>
      </w:pPr>
      <w:r>
        <w:rPr>
          <w:rFonts w:hint="eastAsia" w:ascii="宋体" w:hAnsi="宋体" w:cs="宋体"/>
        </w:rPr>
        <w:t>　　　</w:t>
      </w:r>
    </w:p>
    <w:p w14:paraId="669DE1DC">
      <w:pPr>
        <w:spacing w:line="620" w:lineRule="exact"/>
        <w:rPr>
          <w:rFonts w:ascii="宋体" w:hAnsi="宋体" w:cs="宋体"/>
        </w:rPr>
      </w:pPr>
      <w:r>
        <w:rPr>
          <w:rFonts w:hint="eastAsia" w:ascii="宋体" w:hAnsi="宋体" w:cs="宋体"/>
        </w:rPr>
        <w:t>招标人代表：</w:t>
      </w:r>
      <w:r>
        <w:rPr>
          <w:rFonts w:hint="eastAsia" w:ascii="宋体" w:hAnsi="宋体" w:cs="宋体"/>
          <w:u w:val="single"/>
        </w:rPr>
        <w:t xml:space="preserve">       </w:t>
      </w:r>
      <w:r>
        <w:rPr>
          <w:rFonts w:hint="eastAsia" w:ascii="宋体" w:hAnsi="宋体" w:cs="宋体"/>
        </w:rPr>
        <w:t xml:space="preserve">        记录人：</w:t>
      </w:r>
      <w:r>
        <w:rPr>
          <w:rFonts w:hint="eastAsia" w:ascii="宋体" w:hAnsi="宋体" w:cs="宋体"/>
          <w:u w:val="single"/>
        </w:rPr>
        <w:t xml:space="preserve">       </w:t>
      </w:r>
      <w:r>
        <w:rPr>
          <w:rFonts w:hint="eastAsia" w:ascii="宋体" w:hAnsi="宋体" w:cs="宋体"/>
        </w:rPr>
        <w:t xml:space="preserve">       监标人：</w:t>
      </w:r>
      <w:r>
        <w:rPr>
          <w:rFonts w:hint="eastAsia" w:ascii="宋体" w:hAnsi="宋体" w:cs="宋体"/>
          <w:u w:val="single"/>
        </w:rPr>
        <w:t xml:space="preserve">       </w:t>
      </w:r>
    </w:p>
    <w:p w14:paraId="51EE9D4C">
      <w:pPr>
        <w:spacing w:line="620" w:lineRule="exact"/>
        <w:jc w:val="right"/>
        <w:rPr>
          <w:rFonts w:ascii="宋体" w:hAnsi="宋体" w:cs="宋体"/>
          <w:sz w:val="20"/>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4A15476C">
      <w:pPr>
        <w:spacing w:line="440" w:lineRule="exact"/>
        <w:rPr>
          <w:rFonts w:ascii="宋体" w:hAnsi="宋体" w:cs="宋体"/>
        </w:rPr>
      </w:pPr>
    </w:p>
    <w:p w14:paraId="2D61D9C5">
      <w:pPr>
        <w:spacing w:line="440" w:lineRule="exact"/>
        <w:rPr>
          <w:rFonts w:ascii="宋体" w:hAnsi="宋体" w:cs="宋体"/>
        </w:rPr>
      </w:pPr>
    </w:p>
    <w:p w14:paraId="176E9D77">
      <w:pPr>
        <w:rPr>
          <w:rFonts w:ascii="宋体" w:hAnsi="宋体" w:cs="宋体"/>
        </w:rPr>
      </w:pPr>
      <w:r>
        <w:rPr>
          <w:rFonts w:hint="eastAsia" w:ascii="宋体" w:hAnsi="宋体" w:cs="宋体"/>
        </w:rPr>
        <w:br w:type="page"/>
      </w:r>
      <w:r>
        <w:rPr>
          <w:rFonts w:hint="eastAsia" w:ascii="宋体" w:hAnsi="宋体" w:cs="宋体"/>
        </w:rPr>
        <w:t xml:space="preserve"> </w:t>
      </w:r>
      <w:bookmarkStart w:id="341" w:name="_Toc14966886"/>
      <w:bookmarkStart w:id="342" w:name="_Toc7454"/>
      <w:bookmarkStart w:id="343" w:name="_Toc31304"/>
      <w:bookmarkStart w:id="344" w:name="_Toc29429"/>
      <w:bookmarkStart w:id="345" w:name="_Toc7164"/>
      <w:bookmarkStart w:id="346" w:name="_Toc13922"/>
      <w:bookmarkStart w:id="347" w:name="_Toc95"/>
      <w:bookmarkStart w:id="348" w:name="_Toc14165"/>
      <w:bookmarkStart w:id="349" w:name="_Toc14045"/>
      <w:bookmarkStart w:id="350" w:name="_Toc4831"/>
      <w:bookmarkStart w:id="351" w:name="_Toc16212"/>
      <w:bookmarkStart w:id="352" w:name="_Toc26064"/>
      <w:bookmarkStart w:id="353" w:name="_Toc8698"/>
      <w:bookmarkStart w:id="354" w:name="_Toc29369"/>
      <w:bookmarkStart w:id="355" w:name="_Toc24089"/>
      <w:bookmarkStart w:id="356" w:name="_Toc13554"/>
      <w:r>
        <w:rPr>
          <w:rFonts w:hint="eastAsia" w:ascii="宋体" w:hAnsi="宋体" w:cs="宋体"/>
        </w:rPr>
        <w:t>附件三：确认通知</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51160761">
      <w:pPr>
        <w:spacing w:line="400" w:lineRule="exact"/>
        <w:rPr>
          <w:rFonts w:ascii="宋体" w:hAnsi="宋体" w:cs="宋体"/>
        </w:rPr>
      </w:pPr>
    </w:p>
    <w:p w14:paraId="55260741">
      <w:pPr>
        <w:spacing w:line="400" w:lineRule="exact"/>
        <w:jc w:val="center"/>
        <w:rPr>
          <w:rFonts w:ascii="宋体" w:hAnsi="宋体" w:cs="宋体"/>
          <w:sz w:val="28"/>
        </w:rPr>
      </w:pPr>
      <w:r>
        <w:rPr>
          <w:rFonts w:hint="eastAsia" w:ascii="宋体" w:hAnsi="宋体" w:cs="宋体"/>
          <w:sz w:val="28"/>
        </w:rPr>
        <w:t>确认通知</w:t>
      </w:r>
    </w:p>
    <w:p w14:paraId="2EF11B7C">
      <w:pPr>
        <w:spacing w:line="400" w:lineRule="exact"/>
        <w:rPr>
          <w:rFonts w:ascii="宋体" w:hAnsi="宋体" w:cs="宋体"/>
        </w:rPr>
      </w:pPr>
    </w:p>
    <w:p w14:paraId="72B839D6">
      <w:pPr>
        <w:spacing w:line="440" w:lineRule="exact"/>
        <w:rPr>
          <w:rFonts w:ascii="宋体" w:hAnsi="宋体" w:cs="宋体"/>
        </w:rPr>
      </w:pPr>
      <w:r>
        <w:rPr>
          <w:rFonts w:hint="eastAsia" w:ascii="宋体" w:hAnsi="宋体" w:cs="宋体"/>
          <w:u w:val="single"/>
        </w:rPr>
        <w:t xml:space="preserve">                     </w:t>
      </w:r>
      <w:r>
        <w:rPr>
          <w:rFonts w:hint="eastAsia" w:ascii="宋体" w:hAnsi="宋体" w:cs="宋体"/>
        </w:rPr>
        <w:t>（招标人名称）：</w:t>
      </w:r>
    </w:p>
    <w:p w14:paraId="208FC61F">
      <w:pPr>
        <w:spacing w:line="440" w:lineRule="exact"/>
        <w:rPr>
          <w:rFonts w:ascii="宋体" w:hAnsi="宋体" w:cs="宋体"/>
        </w:rPr>
      </w:pPr>
      <w:r>
        <w:rPr>
          <w:rFonts w:hint="eastAsia" w:ascii="宋体" w:hAnsi="宋体" w:cs="宋体"/>
        </w:rPr>
        <w:t>　　</w:t>
      </w:r>
    </w:p>
    <w:p w14:paraId="46B06502">
      <w:pPr>
        <w:spacing w:line="440" w:lineRule="exact"/>
        <w:ind w:firstLine="420" w:firstLineChars="200"/>
        <w:rPr>
          <w:rFonts w:ascii="宋体" w:hAnsi="宋体" w:cs="宋体"/>
        </w:rPr>
      </w:pPr>
      <w:r>
        <w:rPr>
          <w:rFonts w:hint="eastAsia" w:ascii="宋体" w:hAnsi="宋体" w:cs="宋体"/>
        </w:rPr>
        <w:t>你方于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日发出的</w:t>
      </w:r>
      <w:r>
        <w:rPr>
          <w:rFonts w:hint="eastAsia" w:ascii="宋体" w:hAnsi="宋体" w:cs="宋体"/>
          <w:u w:val="single"/>
        </w:rPr>
        <w:t xml:space="preserve">         </w:t>
      </w:r>
      <w:r>
        <w:rPr>
          <w:rFonts w:hint="eastAsia" w:ascii="宋体" w:hAnsi="宋体" w:cs="宋体"/>
        </w:rPr>
        <w:t>（项目名称）监理招标关于</w:t>
      </w:r>
      <w:r>
        <w:rPr>
          <w:rFonts w:hint="eastAsia" w:ascii="宋体" w:hAnsi="宋体" w:cs="宋体"/>
          <w:u w:val="single"/>
        </w:rPr>
        <w:t>招标文件的澄清/修改</w:t>
      </w:r>
      <w:r>
        <w:rPr>
          <w:rFonts w:hint="eastAsia" w:ascii="宋体" w:hAnsi="宋体" w:cs="宋体"/>
        </w:rPr>
        <w:t>的通知，我方已于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日收到。</w:t>
      </w:r>
    </w:p>
    <w:p w14:paraId="781FDE15">
      <w:pPr>
        <w:spacing w:line="440" w:lineRule="exact"/>
        <w:rPr>
          <w:rFonts w:ascii="宋体" w:hAnsi="宋体" w:cs="宋体"/>
        </w:rPr>
      </w:pPr>
      <w:r>
        <w:rPr>
          <w:rFonts w:hint="eastAsia" w:ascii="宋体" w:hAnsi="宋体" w:cs="宋体"/>
        </w:rPr>
        <w:t>　　特此确认。</w:t>
      </w:r>
    </w:p>
    <w:p w14:paraId="7997BC18">
      <w:pPr>
        <w:spacing w:line="440" w:lineRule="exact"/>
        <w:rPr>
          <w:rFonts w:ascii="宋体" w:hAnsi="宋体" w:cs="宋体"/>
        </w:rPr>
      </w:pPr>
    </w:p>
    <w:p w14:paraId="4D17D749">
      <w:pPr>
        <w:spacing w:line="440" w:lineRule="exact"/>
        <w:rPr>
          <w:rFonts w:ascii="宋体" w:hAnsi="宋体" w:cs="宋体"/>
        </w:rPr>
      </w:pPr>
    </w:p>
    <w:p w14:paraId="26AADB05">
      <w:pPr>
        <w:spacing w:line="480" w:lineRule="auto"/>
        <w:ind w:firstLine="2415" w:firstLineChars="1150"/>
        <w:jc w:val="left"/>
        <w:rPr>
          <w:rFonts w:ascii="宋体" w:hAnsi="宋体" w:cs="宋体"/>
        </w:rPr>
      </w:pPr>
      <w:r>
        <w:rPr>
          <w:rFonts w:hint="eastAsia" w:ascii="宋体" w:hAnsi="宋体" w:cs="宋体"/>
        </w:rPr>
        <w:t>投标人：</w:t>
      </w:r>
      <w:r>
        <w:rPr>
          <w:rFonts w:hint="eastAsia" w:ascii="宋体" w:hAnsi="宋体" w:cs="宋体"/>
          <w:sz w:val="28"/>
          <w:u w:val="single"/>
        </w:rPr>
        <w:t xml:space="preserve">                           </w:t>
      </w:r>
      <w:r>
        <w:rPr>
          <w:rFonts w:hint="eastAsia" w:ascii="宋体" w:hAnsi="宋体" w:cs="宋体"/>
        </w:rPr>
        <w:t>（盖单位章）</w:t>
      </w:r>
    </w:p>
    <w:p w14:paraId="03A11DF2">
      <w:pPr>
        <w:spacing w:line="480" w:lineRule="auto"/>
        <w:ind w:firstLine="2415" w:firstLineChars="1150"/>
        <w:jc w:val="left"/>
        <w:rPr>
          <w:rFonts w:ascii="宋体" w:hAnsi="宋体" w:cs="宋体"/>
        </w:rPr>
      </w:pPr>
      <w:r>
        <w:rPr>
          <w:rFonts w:hint="eastAsia" w:ascii="宋体" w:hAnsi="宋体" w:cs="宋体"/>
        </w:rPr>
        <w:t>法定代表人或委托代理人：</w:t>
      </w:r>
      <w:r>
        <w:rPr>
          <w:rFonts w:hint="eastAsia" w:ascii="宋体" w:hAnsi="宋体" w:cs="宋体"/>
          <w:sz w:val="28"/>
          <w:u w:val="single"/>
        </w:rPr>
        <w:t xml:space="preserve">      </w:t>
      </w:r>
      <w:r>
        <w:rPr>
          <w:rFonts w:hint="eastAsia" w:ascii="宋体" w:hAnsi="宋体" w:cs="宋体"/>
        </w:rPr>
        <w:t>（签字）</w:t>
      </w:r>
    </w:p>
    <w:p w14:paraId="57067932">
      <w:pPr>
        <w:spacing w:line="440" w:lineRule="exact"/>
        <w:rPr>
          <w:rFonts w:ascii="宋体" w:hAnsi="宋体" w:cs="宋体"/>
        </w:rPr>
      </w:pPr>
    </w:p>
    <w:p w14:paraId="2E645A6B">
      <w:pPr>
        <w:spacing w:line="440" w:lineRule="exact"/>
        <w:ind w:firstLine="105" w:firstLineChars="50"/>
        <w:jc w:val="right"/>
        <w:rPr>
          <w:rFonts w:ascii="宋体" w:hAnsi="宋体" w:cs="宋体"/>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5AED79E2">
      <w:pPr>
        <w:rPr>
          <w:rFonts w:ascii="宋体" w:hAnsi="宋体" w:cs="宋体"/>
        </w:rPr>
      </w:pPr>
    </w:p>
    <w:p w14:paraId="6369CA16">
      <w:pPr>
        <w:rPr>
          <w:rFonts w:ascii="宋体" w:hAnsi="宋体" w:cs="宋体"/>
        </w:rPr>
      </w:pPr>
    </w:p>
    <w:p w14:paraId="6C7A98EA">
      <w:pPr>
        <w:rPr>
          <w:rFonts w:ascii="宋体" w:hAnsi="宋体" w:cs="宋体"/>
        </w:rPr>
      </w:pPr>
    </w:p>
    <w:p w14:paraId="36492A91">
      <w:pPr>
        <w:pStyle w:val="5"/>
        <w:keepNext w:val="0"/>
        <w:keepLines w:val="0"/>
        <w:ind w:firstLine="137"/>
        <w:rPr>
          <w:rFonts w:ascii="宋体" w:hAnsi="宋体" w:eastAsia="宋体" w:cs="宋体"/>
        </w:rPr>
      </w:pPr>
      <w:bookmarkStart w:id="357" w:name="_Toc152042355"/>
      <w:bookmarkStart w:id="358" w:name="_Toc535938716"/>
      <w:bookmarkStart w:id="359" w:name="_Toc529196578"/>
      <w:bookmarkStart w:id="360" w:name="_Toc530470626"/>
      <w:bookmarkStart w:id="361" w:name="_Toc28714"/>
      <w:bookmarkStart w:id="362" w:name="_Toc144974546"/>
      <w:r>
        <w:rPr>
          <w:rFonts w:hint="eastAsia" w:ascii="宋体" w:hAnsi="宋体" w:eastAsia="宋体" w:cs="宋体"/>
        </w:rPr>
        <w:t>附件四：问题的澄清</w:t>
      </w:r>
      <w:bookmarkEnd w:id="357"/>
      <w:bookmarkStart w:id="363" w:name="_Toc361508637"/>
      <w:bookmarkStart w:id="364" w:name="_Toc369531568"/>
      <w:bookmarkStart w:id="365" w:name="_Toc247527604"/>
      <w:bookmarkStart w:id="366" w:name="_Toc352691524"/>
      <w:bookmarkStart w:id="367" w:name="_Toc3622"/>
      <w:bookmarkStart w:id="368" w:name="_Toc152045579"/>
      <w:bookmarkStart w:id="369" w:name="_Toc300834999"/>
      <w:bookmarkStart w:id="370" w:name="_Toc384308263"/>
      <w:bookmarkStart w:id="371" w:name="_Toc152042356"/>
      <w:bookmarkStart w:id="372" w:name="_Toc247514003"/>
      <w:r>
        <w:rPr>
          <w:rFonts w:hint="eastAsia" w:ascii="宋体" w:hAnsi="宋体" w:eastAsia="宋体" w:cs="宋体"/>
        </w:rPr>
        <w:t>（按广州交易集团有限公司（广州公共资源交易中心）问题澄清格式）</w:t>
      </w:r>
      <w:bookmarkEnd w:id="358"/>
      <w:bookmarkEnd w:id="359"/>
      <w:bookmarkEnd w:id="360"/>
      <w:bookmarkEnd w:id="361"/>
    </w:p>
    <w:bookmarkEnd w:id="362"/>
    <w:bookmarkEnd w:id="363"/>
    <w:bookmarkEnd w:id="364"/>
    <w:bookmarkEnd w:id="365"/>
    <w:bookmarkEnd w:id="366"/>
    <w:bookmarkEnd w:id="367"/>
    <w:bookmarkEnd w:id="368"/>
    <w:bookmarkEnd w:id="369"/>
    <w:bookmarkEnd w:id="370"/>
    <w:bookmarkEnd w:id="371"/>
    <w:bookmarkEnd w:id="372"/>
    <w:p w14:paraId="2FF2C356">
      <w:pPr>
        <w:pStyle w:val="5"/>
        <w:keepNext w:val="0"/>
        <w:keepLines w:val="0"/>
        <w:ind w:firstLine="137"/>
        <w:rPr>
          <w:rFonts w:ascii="宋体" w:hAnsi="宋体" w:eastAsia="宋体" w:cs="宋体"/>
        </w:rPr>
      </w:pPr>
      <w:bookmarkStart w:id="373" w:name="_Toc492300623"/>
      <w:bookmarkStart w:id="374" w:name="_Toc530470627"/>
      <w:bookmarkStart w:id="375" w:name="_Toc535938718"/>
      <w:bookmarkStart w:id="376" w:name="_Toc16379"/>
      <w:bookmarkStart w:id="377" w:name="_Toc529196579"/>
      <w:r>
        <w:rPr>
          <w:rFonts w:hint="eastAsia" w:ascii="宋体" w:hAnsi="宋体" w:eastAsia="宋体" w:cs="宋体"/>
        </w:rPr>
        <w:t>附件五：中标通知书</w:t>
      </w:r>
      <w:bookmarkEnd w:id="373"/>
      <w:r>
        <w:rPr>
          <w:rFonts w:hint="eastAsia" w:ascii="宋体" w:hAnsi="宋体" w:eastAsia="宋体" w:cs="宋体"/>
        </w:rPr>
        <w:t>（按广州交易集团有限公司（广州公共资源交易中心）中标通知书格式）</w:t>
      </w:r>
      <w:bookmarkEnd w:id="374"/>
      <w:bookmarkEnd w:id="375"/>
      <w:bookmarkEnd w:id="376"/>
      <w:bookmarkEnd w:id="377"/>
    </w:p>
    <w:p w14:paraId="0F3C78BC">
      <w:pPr>
        <w:rPr>
          <w:rFonts w:ascii="宋体" w:hAnsi="宋体" w:cs="宋体"/>
        </w:rPr>
      </w:pPr>
    </w:p>
    <w:p w14:paraId="1DF08A82">
      <w:pPr>
        <w:pStyle w:val="3"/>
        <w:keepNext w:val="0"/>
        <w:keepLines w:val="0"/>
        <w:spacing w:before="0" w:after="0" w:line="360" w:lineRule="auto"/>
        <w:jc w:val="center"/>
      </w:pPr>
      <w:r>
        <w:rPr>
          <w:rFonts w:hint="eastAsia" w:ascii="宋体" w:hAnsi="宋体" w:cs="宋体"/>
        </w:rPr>
        <w:br w:type="page"/>
      </w:r>
      <w:bookmarkStart w:id="378" w:name="_Toc23052"/>
      <w:bookmarkStart w:id="379" w:name="_Toc12600"/>
      <w:bookmarkStart w:id="380" w:name="_Toc3931"/>
      <w:bookmarkStart w:id="381" w:name="_Toc4846"/>
      <w:bookmarkStart w:id="382" w:name="_Toc11151"/>
      <w:bookmarkStart w:id="383" w:name="_Toc7177"/>
      <w:bookmarkStart w:id="384" w:name="_Toc5129"/>
      <w:bookmarkStart w:id="385" w:name="_Toc30858"/>
      <w:bookmarkStart w:id="386" w:name="_Toc12189"/>
      <w:bookmarkStart w:id="387" w:name="_Toc841"/>
      <w:bookmarkStart w:id="388" w:name="_Toc2604"/>
      <w:bookmarkStart w:id="389" w:name="_Toc2720"/>
      <w:bookmarkStart w:id="390" w:name="_Toc16464"/>
      <w:bookmarkStart w:id="391" w:name="_Toc13439"/>
      <w:bookmarkStart w:id="392" w:name="_Toc22758"/>
      <w:bookmarkStart w:id="393" w:name="_Toc14966887"/>
      <w:r>
        <w:rPr>
          <w:rFonts w:hint="eastAsia"/>
        </w:rPr>
        <w:t>第三章评标办法（综合评估法）</w:t>
      </w:r>
    </w:p>
    <w:p w14:paraId="2FFE5845">
      <w:pPr>
        <w:spacing w:line="360" w:lineRule="auto"/>
        <w:jc w:val="center"/>
        <w:rPr>
          <w:b/>
          <w:sz w:val="40"/>
          <w:szCs w:val="40"/>
        </w:rPr>
      </w:pPr>
      <w:r>
        <w:rPr>
          <w:rFonts w:hint="eastAsia"/>
          <w:b/>
          <w:sz w:val="40"/>
          <w:szCs w:val="40"/>
        </w:rPr>
        <w:t>评标办法前附表</w:t>
      </w:r>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1945"/>
        <w:gridCol w:w="5102"/>
      </w:tblGrid>
      <w:tr w14:paraId="0F6195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2024" w:type="dxa"/>
            <w:gridSpan w:val="2"/>
            <w:tcBorders>
              <w:top w:val="single" w:color="auto" w:sz="4" w:space="0"/>
              <w:bottom w:val="single" w:color="auto" w:sz="4" w:space="0"/>
              <w:right w:val="single" w:color="auto" w:sz="4" w:space="0"/>
            </w:tcBorders>
            <w:vAlign w:val="center"/>
          </w:tcPr>
          <w:p w14:paraId="4B8D2E00">
            <w:pPr>
              <w:jc w:val="center"/>
              <w:rPr>
                <w:rFonts w:ascii="Times New Roman" w:hAnsi="Times New Roman"/>
                <w:b/>
              </w:rPr>
            </w:pPr>
            <w:r>
              <w:rPr>
                <w:rFonts w:hint="eastAsia" w:ascii="Times New Roman" w:hAnsi="Times New Roman"/>
                <w:b/>
              </w:rPr>
              <w:t>条款号</w:t>
            </w:r>
          </w:p>
        </w:tc>
        <w:tc>
          <w:tcPr>
            <w:tcW w:w="1945" w:type="dxa"/>
            <w:tcBorders>
              <w:top w:val="single" w:color="auto" w:sz="4" w:space="0"/>
              <w:left w:val="single" w:color="auto" w:sz="4" w:space="0"/>
              <w:bottom w:val="single" w:color="auto" w:sz="4" w:space="0"/>
              <w:right w:val="single" w:color="auto" w:sz="4" w:space="0"/>
            </w:tcBorders>
            <w:vAlign w:val="center"/>
          </w:tcPr>
          <w:p w14:paraId="022A952A">
            <w:pPr>
              <w:jc w:val="center"/>
              <w:rPr>
                <w:rFonts w:ascii="Times New Roman" w:hAnsi="Times New Roman"/>
                <w:b/>
              </w:rPr>
            </w:pPr>
            <w:r>
              <w:rPr>
                <w:rFonts w:hint="eastAsia" w:ascii="Times New Roman" w:hAnsi="Times New Roman"/>
                <w:b/>
              </w:rPr>
              <w:t>评审因素</w:t>
            </w:r>
          </w:p>
        </w:tc>
        <w:tc>
          <w:tcPr>
            <w:tcW w:w="5102" w:type="dxa"/>
            <w:tcBorders>
              <w:top w:val="single" w:color="auto" w:sz="4" w:space="0"/>
              <w:left w:val="single" w:color="auto" w:sz="4" w:space="0"/>
              <w:bottom w:val="single" w:color="auto" w:sz="4" w:space="0"/>
            </w:tcBorders>
            <w:vAlign w:val="center"/>
          </w:tcPr>
          <w:p w14:paraId="36A91399">
            <w:pPr>
              <w:jc w:val="center"/>
              <w:rPr>
                <w:rFonts w:ascii="Times New Roman" w:hAnsi="Times New Roman"/>
                <w:b/>
              </w:rPr>
            </w:pPr>
            <w:r>
              <w:rPr>
                <w:rFonts w:hint="eastAsia" w:ascii="Times New Roman" w:hAnsi="Times New Roman"/>
                <w:b/>
              </w:rPr>
              <w:t>评审标准</w:t>
            </w:r>
          </w:p>
        </w:tc>
      </w:tr>
      <w:tr w14:paraId="488C8E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900" w:type="dxa"/>
            <w:tcBorders>
              <w:top w:val="single" w:color="auto" w:sz="4" w:space="0"/>
              <w:bottom w:val="single" w:color="auto" w:sz="4" w:space="0"/>
              <w:right w:val="single" w:color="auto" w:sz="4" w:space="0"/>
            </w:tcBorders>
            <w:vAlign w:val="center"/>
          </w:tcPr>
          <w:p w14:paraId="2DC15833">
            <w:pPr>
              <w:jc w:val="center"/>
              <w:rPr>
                <w:rFonts w:ascii="Times New Roman" w:hAnsi="Times New Roman"/>
              </w:rPr>
            </w:pPr>
            <w:r>
              <w:rPr>
                <w:rFonts w:ascii="Times New Roman" w:hAnsi="Times New Roman"/>
              </w:rPr>
              <w:t>1</w:t>
            </w:r>
          </w:p>
        </w:tc>
        <w:tc>
          <w:tcPr>
            <w:tcW w:w="1124" w:type="dxa"/>
            <w:tcBorders>
              <w:top w:val="single" w:color="auto" w:sz="4" w:space="0"/>
              <w:left w:val="single" w:color="auto" w:sz="4" w:space="0"/>
              <w:bottom w:val="single" w:color="auto" w:sz="4" w:space="0"/>
              <w:right w:val="single" w:color="auto" w:sz="4" w:space="0"/>
            </w:tcBorders>
            <w:vAlign w:val="center"/>
          </w:tcPr>
          <w:p w14:paraId="6D6171B8">
            <w:pPr>
              <w:jc w:val="center"/>
              <w:rPr>
                <w:rFonts w:ascii="Times New Roman" w:hAnsi="Times New Roman"/>
              </w:rPr>
            </w:pPr>
            <w:r>
              <w:rPr>
                <w:rFonts w:hint="eastAsia" w:ascii="Times New Roman" w:hAnsi="Times New Roman"/>
              </w:rPr>
              <w:t>评标方法</w:t>
            </w:r>
          </w:p>
        </w:tc>
        <w:tc>
          <w:tcPr>
            <w:tcW w:w="1945" w:type="dxa"/>
            <w:tcBorders>
              <w:top w:val="single" w:color="auto" w:sz="4" w:space="0"/>
              <w:left w:val="single" w:color="auto" w:sz="4" w:space="0"/>
              <w:bottom w:val="single" w:color="auto" w:sz="4" w:space="0"/>
              <w:right w:val="single" w:color="auto" w:sz="4" w:space="0"/>
            </w:tcBorders>
            <w:vAlign w:val="center"/>
          </w:tcPr>
          <w:p w14:paraId="4E548DD7">
            <w:pPr>
              <w:jc w:val="center"/>
              <w:rPr>
                <w:rFonts w:ascii="Times New Roman" w:hAnsi="Times New Roman"/>
              </w:rPr>
            </w:pPr>
            <w:r>
              <w:rPr>
                <w:rFonts w:hint="eastAsia" w:ascii="Times New Roman" w:hAnsi="Times New Roman"/>
              </w:rPr>
              <w:t>中标候选人排序方法</w:t>
            </w:r>
          </w:p>
        </w:tc>
        <w:tc>
          <w:tcPr>
            <w:tcW w:w="5102" w:type="dxa"/>
            <w:tcBorders>
              <w:top w:val="single" w:color="auto" w:sz="4" w:space="0"/>
              <w:left w:val="single" w:color="auto" w:sz="4" w:space="0"/>
              <w:bottom w:val="single" w:color="auto" w:sz="4" w:space="0"/>
            </w:tcBorders>
          </w:tcPr>
          <w:p w14:paraId="1CD23D76">
            <w:pPr>
              <w:rPr>
                <w:rFonts w:ascii="Times New Roman" w:hAnsi="Times New Roman"/>
              </w:rPr>
            </w:pPr>
            <w:r>
              <w:rPr>
                <w:rFonts w:hint="eastAsia" w:ascii="宋体" w:hAnsi="宋体" w:cs="宋体"/>
              </w:rPr>
              <w:t>本次评标采用综合评估法。评标委员会对满足招标文件实质性要求的投标文件，按照本章第2.2款规定的评分标准进行打分，并按总得分由高到低顺序推荐中标候选人，排序的前一～三名为第一中标候选人、第二中标候选人和第三中标候选人。总分相等时，以投标报价低的优先；投标报价也相等的，以监理大纲得分高的优先；如果监理大纲得分也相等，则以综合诚信评价排名靠前的排前；如仍存在相同情况，则对具有相同情况的投标人，由评标委员会采用记名投票方式，以得票多的优先。</w:t>
            </w:r>
          </w:p>
        </w:tc>
      </w:tr>
      <w:tr w14:paraId="1666BD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7" w:hRule="atLeast"/>
          <w:jc w:val="center"/>
        </w:trPr>
        <w:tc>
          <w:tcPr>
            <w:tcW w:w="900" w:type="dxa"/>
            <w:vMerge w:val="restart"/>
            <w:tcBorders>
              <w:top w:val="single" w:color="auto" w:sz="4" w:space="0"/>
              <w:bottom w:val="single" w:color="auto" w:sz="4" w:space="0"/>
              <w:right w:val="single" w:color="auto" w:sz="4" w:space="0"/>
            </w:tcBorders>
            <w:vAlign w:val="center"/>
          </w:tcPr>
          <w:p w14:paraId="53519A90">
            <w:pPr>
              <w:jc w:val="center"/>
              <w:rPr>
                <w:rFonts w:ascii="Times New Roman" w:hAnsi="Times New Roman"/>
              </w:rPr>
            </w:pPr>
            <w:r>
              <w:rPr>
                <w:rFonts w:ascii="Times New Roman" w:hAnsi="Times New Roman"/>
              </w:rPr>
              <w:t>2.1.1</w:t>
            </w:r>
          </w:p>
        </w:tc>
        <w:tc>
          <w:tcPr>
            <w:tcW w:w="1124" w:type="dxa"/>
            <w:vMerge w:val="restart"/>
            <w:tcBorders>
              <w:top w:val="single" w:color="auto" w:sz="4" w:space="0"/>
              <w:right w:val="single" w:color="auto" w:sz="4" w:space="0"/>
            </w:tcBorders>
            <w:vAlign w:val="center"/>
          </w:tcPr>
          <w:p w14:paraId="7CA35DD3">
            <w:pPr>
              <w:jc w:val="center"/>
              <w:rPr>
                <w:rFonts w:ascii="Times New Roman" w:hAnsi="Times New Roman"/>
              </w:rPr>
            </w:pPr>
            <w:r>
              <w:rPr>
                <w:rFonts w:hint="eastAsia" w:ascii="Times New Roman" w:hAnsi="Times New Roman"/>
              </w:rPr>
              <w:t>形式评审标准</w:t>
            </w:r>
          </w:p>
        </w:tc>
        <w:tc>
          <w:tcPr>
            <w:tcW w:w="1945" w:type="dxa"/>
            <w:tcBorders>
              <w:top w:val="single" w:color="auto" w:sz="4" w:space="0"/>
              <w:left w:val="single" w:color="auto" w:sz="4" w:space="0"/>
              <w:bottom w:val="single" w:color="auto" w:sz="4" w:space="0"/>
              <w:right w:val="single" w:color="auto" w:sz="4" w:space="0"/>
            </w:tcBorders>
            <w:vAlign w:val="center"/>
          </w:tcPr>
          <w:p w14:paraId="22536DDA">
            <w:pPr>
              <w:jc w:val="center"/>
              <w:rPr>
                <w:rFonts w:ascii="Times New Roman" w:hAnsi="Times New Roman"/>
              </w:rPr>
            </w:pPr>
            <w:r>
              <w:rPr>
                <w:rFonts w:hint="eastAsia" w:ascii="Times New Roman" w:hAnsi="Times New Roman"/>
              </w:rPr>
              <w:t>投标人名称</w:t>
            </w:r>
          </w:p>
        </w:tc>
        <w:tc>
          <w:tcPr>
            <w:tcW w:w="5102" w:type="dxa"/>
            <w:tcBorders>
              <w:top w:val="single" w:color="auto" w:sz="4" w:space="0"/>
              <w:left w:val="single" w:color="auto" w:sz="4" w:space="0"/>
              <w:bottom w:val="single" w:color="auto" w:sz="4" w:space="0"/>
            </w:tcBorders>
            <w:vAlign w:val="center"/>
          </w:tcPr>
          <w:p w14:paraId="75AA03F5">
            <w:pPr>
              <w:rPr>
                <w:rFonts w:ascii="Times New Roman" w:hAnsi="Times New Roman"/>
              </w:rPr>
            </w:pPr>
            <w:r>
              <w:rPr>
                <w:rFonts w:hint="eastAsia" w:ascii="Times New Roman" w:hAnsi="Times New Roman"/>
              </w:rPr>
              <w:t>与营业执照、资质证书一致。</w:t>
            </w:r>
          </w:p>
        </w:tc>
      </w:tr>
      <w:tr w14:paraId="421D9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nil"/>
              <w:bottom w:val="single" w:color="auto" w:sz="4" w:space="0"/>
              <w:right w:val="single" w:color="auto" w:sz="4" w:space="0"/>
            </w:tcBorders>
            <w:vAlign w:val="center"/>
          </w:tcPr>
          <w:p w14:paraId="7E91D523">
            <w:pPr>
              <w:rPr>
                <w:rFonts w:ascii="Times New Roman" w:hAnsi="Times New Roman"/>
              </w:rPr>
            </w:pPr>
          </w:p>
        </w:tc>
        <w:tc>
          <w:tcPr>
            <w:tcW w:w="1124" w:type="dxa"/>
            <w:vMerge w:val="continue"/>
            <w:tcBorders>
              <w:right w:val="single" w:color="auto" w:sz="4" w:space="0"/>
            </w:tcBorders>
            <w:vAlign w:val="center"/>
          </w:tcPr>
          <w:p w14:paraId="3BAA92F5">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19D48292">
            <w:pPr>
              <w:jc w:val="center"/>
              <w:rPr>
                <w:rFonts w:ascii="Times New Roman" w:hAnsi="Times New Roman"/>
              </w:rPr>
            </w:pPr>
            <w:r>
              <w:rPr>
                <w:rFonts w:hint="eastAsia" w:ascii="Times New Roman" w:hAnsi="Times New Roman"/>
              </w:rPr>
              <w:t>投标函及投标函附录签字盖章</w:t>
            </w:r>
          </w:p>
        </w:tc>
        <w:tc>
          <w:tcPr>
            <w:tcW w:w="5102" w:type="dxa"/>
            <w:tcBorders>
              <w:top w:val="single" w:color="auto" w:sz="4" w:space="0"/>
              <w:left w:val="single" w:color="auto" w:sz="4" w:space="0"/>
              <w:bottom w:val="single" w:color="auto" w:sz="4" w:space="0"/>
            </w:tcBorders>
            <w:vAlign w:val="center"/>
          </w:tcPr>
          <w:p w14:paraId="08A1CC0C">
            <w:pPr>
              <w:rPr>
                <w:rFonts w:ascii="Times New Roman" w:hAnsi="Times New Roman"/>
              </w:rPr>
            </w:pPr>
            <w:r>
              <w:rPr>
                <w:rFonts w:hint="eastAsia" w:ascii="宋体" w:hAnsi="宋体" w:cs="宋体"/>
              </w:rPr>
              <w:t>有法定代表人或其委托代理人签字（或盖章），加盖单位章。由法定代表人签字（或盖章）的，应附法定代表人身份证明，由代理人签字（或盖章）的，应附授权委托书，身份证明或授权委托书应符合第六章“投标文件格式”的要求。</w:t>
            </w:r>
          </w:p>
        </w:tc>
      </w:tr>
      <w:tr w14:paraId="1852AE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9" w:hRule="atLeast"/>
          <w:jc w:val="center"/>
        </w:trPr>
        <w:tc>
          <w:tcPr>
            <w:tcW w:w="900" w:type="dxa"/>
            <w:vMerge w:val="continue"/>
            <w:tcBorders>
              <w:top w:val="nil"/>
              <w:bottom w:val="single" w:color="auto" w:sz="4" w:space="0"/>
              <w:right w:val="single" w:color="auto" w:sz="4" w:space="0"/>
            </w:tcBorders>
            <w:vAlign w:val="center"/>
          </w:tcPr>
          <w:p w14:paraId="03BF8020">
            <w:pPr>
              <w:rPr>
                <w:rFonts w:ascii="Times New Roman" w:hAnsi="Times New Roman"/>
              </w:rPr>
            </w:pPr>
          </w:p>
        </w:tc>
        <w:tc>
          <w:tcPr>
            <w:tcW w:w="1124" w:type="dxa"/>
            <w:vMerge w:val="continue"/>
            <w:tcBorders>
              <w:right w:val="single" w:color="auto" w:sz="4" w:space="0"/>
            </w:tcBorders>
            <w:vAlign w:val="center"/>
          </w:tcPr>
          <w:p w14:paraId="64A30D7C">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5E494149">
            <w:pPr>
              <w:jc w:val="center"/>
            </w:pPr>
            <w:r>
              <w:rPr>
                <w:rFonts w:hint="eastAsia" w:ascii="宋体" w:hAnsi="宋体" w:cs="宋体"/>
              </w:rPr>
              <w:t>投标文件格式</w:t>
            </w:r>
          </w:p>
        </w:tc>
        <w:tc>
          <w:tcPr>
            <w:tcW w:w="5102" w:type="dxa"/>
            <w:tcBorders>
              <w:top w:val="single" w:color="auto" w:sz="4" w:space="0"/>
              <w:left w:val="single" w:color="auto" w:sz="4" w:space="0"/>
              <w:bottom w:val="single" w:color="auto" w:sz="4" w:space="0"/>
            </w:tcBorders>
            <w:vAlign w:val="center"/>
          </w:tcPr>
          <w:p w14:paraId="3B5A754C">
            <w:r>
              <w:rPr>
                <w:rFonts w:hint="eastAsia"/>
              </w:rPr>
              <w:t>符合第六章“投标文件格式”的规定。</w:t>
            </w:r>
            <w:r>
              <w:rPr>
                <w:rFonts w:hint="eastAsia"/>
                <w:u w:val="single"/>
              </w:rPr>
              <w:t>除第六章投标文件格式中格式一、格式二、格式四中的（七）、格式七必须按招标文件规定的格式进行编制外，其余格式仅供参考不作为投标文件形式评审的条件。</w:t>
            </w:r>
          </w:p>
        </w:tc>
      </w:tr>
      <w:tr w14:paraId="5B817C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nil"/>
              <w:bottom w:val="single" w:color="auto" w:sz="4" w:space="0"/>
              <w:right w:val="single" w:color="auto" w:sz="4" w:space="0"/>
            </w:tcBorders>
            <w:vAlign w:val="center"/>
          </w:tcPr>
          <w:p w14:paraId="36EB8FC6">
            <w:pPr>
              <w:rPr>
                <w:rFonts w:ascii="Times New Roman" w:hAnsi="Times New Roman"/>
              </w:rPr>
            </w:pPr>
          </w:p>
        </w:tc>
        <w:tc>
          <w:tcPr>
            <w:tcW w:w="1124" w:type="dxa"/>
            <w:vMerge w:val="continue"/>
            <w:tcBorders>
              <w:right w:val="single" w:color="auto" w:sz="4" w:space="0"/>
            </w:tcBorders>
            <w:vAlign w:val="center"/>
          </w:tcPr>
          <w:p w14:paraId="05F7661E">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7F152F70">
            <w:pPr>
              <w:jc w:val="center"/>
            </w:pPr>
            <w:r>
              <w:rPr>
                <w:rFonts w:hint="eastAsia"/>
              </w:rPr>
              <w:t>投标人机器码</w:t>
            </w:r>
          </w:p>
        </w:tc>
        <w:tc>
          <w:tcPr>
            <w:tcW w:w="5102" w:type="dxa"/>
            <w:tcBorders>
              <w:top w:val="single" w:color="auto" w:sz="4" w:space="0"/>
              <w:left w:val="single" w:color="auto" w:sz="4" w:space="0"/>
              <w:bottom w:val="single" w:color="auto" w:sz="4" w:space="0"/>
            </w:tcBorders>
          </w:tcPr>
          <w:p w14:paraId="6AC9D1C6">
            <w:r>
              <w:rPr>
                <w:rFonts w:hint="eastAsia"/>
              </w:rPr>
              <w:t>投标人与本项目其他投标人加密打包投标文件电脑机器特征码一致的（以广州交易集团有限公司（广州公共资源交易中心）交易平台评标系统的检索信息为准），视为不合格。</w:t>
            </w:r>
          </w:p>
        </w:tc>
      </w:tr>
      <w:tr w14:paraId="28564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2" w:hRule="atLeast"/>
          <w:jc w:val="center"/>
        </w:trPr>
        <w:tc>
          <w:tcPr>
            <w:tcW w:w="900" w:type="dxa"/>
            <w:vMerge w:val="continue"/>
            <w:tcBorders>
              <w:top w:val="nil"/>
              <w:bottom w:val="single" w:color="auto" w:sz="4" w:space="0"/>
              <w:right w:val="single" w:color="auto" w:sz="4" w:space="0"/>
            </w:tcBorders>
            <w:vAlign w:val="center"/>
          </w:tcPr>
          <w:p w14:paraId="11A3AFBA">
            <w:pPr>
              <w:rPr>
                <w:rFonts w:ascii="Times New Roman" w:hAnsi="Times New Roman"/>
              </w:rPr>
            </w:pPr>
          </w:p>
        </w:tc>
        <w:tc>
          <w:tcPr>
            <w:tcW w:w="1124" w:type="dxa"/>
            <w:vMerge w:val="continue"/>
            <w:tcBorders>
              <w:right w:val="single" w:color="auto" w:sz="4" w:space="0"/>
            </w:tcBorders>
            <w:vAlign w:val="center"/>
          </w:tcPr>
          <w:p w14:paraId="4F993B8D">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448E66EA">
            <w:pPr>
              <w:jc w:val="center"/>
              <w:rPr>
                <w:rFonts w:ascii="Times New Roman" w:hAnsi="Times New Roman"/>
              </w:rPr>
            </w:pPr>
            <w:r>
              <w:rPr>
                <w:rFonts w:hint="eastAsia" w:ascii="Times New Roman" w:hAnsi="Times New Roman"/>
              </w:rPr>
              <w:t>联合体投标人</w:t>
            </w:r>
          </w:p>
        </w:tc>
        <w:tc>
          <w:tcPr>
            <w:tcW w:w="5102" w:type="dxa"/>
            <w:tcBorders>
              <w:top w:val="single" w:color="auto" w:sz="4" w:space="0"/>
              <w:left w:val="single" w:color="auto" w:sz="4" w:space="0"/>
              <w:bottom w:val="single" w:color="auto" w:sz="4" w:space="0"/>
            </w:tcBorders>
            <w:vAlign w:val="center"/>
          </w:tcPr>
          <w:p w14:paraId="260EFEEB">
            <w:pPr>
              <w:rPr>
                <w:rFonts w:ascii="Times New Roman" w:hAnsi="Times New Roman"/>
              </w:rPr>
            </w:pPr>
            <w:r>
              <w:rPr>
                <w:rFonts w:hint="eastAsia" w:ascii="Times New Roman" w:hAnsi="Times New Roman"/>
              </w:rPr>
              <w:t>本项目不接受联合体投标。</w:t>
            </w:r>
          </w:p>
        </w:tc>
      </w:tr>
      <w:tr w14:paraId="33C771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6" w:hRule="atLeast"/>
          <w:jc w:val="center"/>
        </w:trPr>
        <w:tc>
          <w:tcPr>
            <w:tcW w:w="900" w:type="dxa"/>
            <w:vMerge w:val="continue"/>
            <w:tcBorders>
              <w:top w:val="nil"/>
              <w:bottom w:val="single" w:color="auto" w:sz="4" w:space="0"/>
              <w:right w:val="single" w:color="auto" w:sz="4" w:space="0"/>
            </w:tcBorders>
            <w:vAlign w:val="center"/>
          </w:tcPr>
          <w:p w14:paraId="107CA566">
            <w:pPr>
              <w:rPr>
                <w:rFonts w:ascii="Times New Roman" w:hAnsi="Times New Roman"/>
              </w:rPr>
            </w:pPr>
          </w:p>
        </w:tc>
        <w:tc>
          <w:tcPr>
            <w:tcW w:w="1124" w:type="dxa"/>
            <w:vMerge w:val="continue"/>
            <w:tcBorders>
              <w:right w:val="single" w:color="auto" w:sz="4" w:space="0"/>
            </w:tcBorders>
            <w:vAlign w:val="center"/>
          </w:tcPr>
          <w:p w14:paraId="18E20044">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3130EBBF">
            <w:pPr>
              <w:jc w:val="center"/>
              <w:rPr>
                <w:rFonts w:ascii="Times New Roman" w:hAnsi="Times New Roman"/>
              </w:rPr>
            </w:pPr>
            <w:r>
              <w:rPr>
                <w:rFonts w:hint="eastAsia" w:ascii="Times New Roman" w:hAnsi="Times New Roman"/>
              </w:rPr>
              <w:t>备选投标方案</w:t>
            </w:r>
          </w:p>
        </w:tc>
        <w:tc>
          <w:tcPr>
            <w:tcW w:w="5102" w:type="dxa"/>
            <w:tcBorders>
              <w:top w:val="single" w:color="auto" w:sz="4" w:space="0"/>
              <w:left w:val="single" w:color="auto" w:sz="4" w:space="0"/>
              <w:bottom w:val="single" w:color="auto" w:sz="4" w:space="0"/>
            </w:tcBorders>
            <w:vAlign w:val="center"/>
          </w:tcPr>
          <w:p w14:paraId="3CD0DD52">
            <w:pPr>
              <w:rPr>
                <w:rFonts w:ascii="Times New Roman" w:hAnsi="Times New Roman"/>
              </w:rPr>
            </w:pPr>
            <w:r>
              <w:rPr>
                <w:rFonts w:hint="eastAsia" w:ascii="Times New Roman" w:hAnsi="Times New Roman"/>
              </w:rPr>
              <w:t>不允许。</w:t>
            </w:r>
          </w:p>
        </w:tc>
      </w:tr>
      <w:tr w14:paraId="0B8F30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restart"/>
            <w:tcBorders>
              <w:top w:val="single" w:color="auto" w:sz="4" w:space="0"/>
              <w:bottom w:val="single" w:color="auto" w:sz="4" w:space="0"/>
              <w:right w:val="single" w:color="auto" w:sz="4" w:space="0"/>
            </w:tcBorders>
            <w:vAlign w:val="center"/>
          </w:tcPr>
          <w:p w14:paraId="056B44FB">
            <w:pPr>
              <w:jc w:val="center"/>
              <w:rPr>
                <w:rFonts w:ascii="Times New Roman" w:hAnsi="Times New Roman"/>
              </w:rPr>
            </w:pPr>
            <w:r>
              <w:rPr>
                <w:rFonts w:ascii="Times New Roman" w:hAnsi="Times New Roman"/>
              </w:rPr>
              <w:t>2.1.2</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14:paraId="7F421284">
            <w:pPr>
              <w:jc w:val="center"/>
              <w:rPr>
                <w:rFonts w:ascii="Times New Roman" w:hAnsi="Times New Roman"/>
              </w:rPr>
            </w:pPr>
            <w:r>
              <w:rPr>
                <w:rFonts w:hint="eastAsia" w:ascii="Times New Roman" w:hAnsi="Times New Roman"/>
              </w:rPr>
              <w:t>资格评审标准</w:t>
            </w:r>
          </w:p>
        </w:tc>
        <w:tc>
          <w:tcPr>
            <w:tcW w:w="1945" w:type="dxa"/>
            <w:tcBorders>
              <w:top w:val="single" w:color="auto" w:sz="4" w:space="0"/>
              <w:left w:val="single" w:color="auto" w:sz="4" w:space="0"/>
              <w:bottom w:val="single" w:color="auto" w:sz="4" w:space="0"/>
              <w:right w:val="single" w:color="auto" w:sz="4" w:space="0"/>
            </w:tcBorders>
            <w:vAlign w:val="center"/>
          </w:tcPr>
          <w:p w14:paraId="24CD6125">
            <w:pPr>
              <w:jc w:val="center"/>
              <w:rPr>
                <w:rFonts w:ascii="Times New Roman" w:hAnsi="Times New Roman"/>
              </w:rPr>
            </w:pPr>
            <w:r>
              <w:rPr>
                <w:rFonts w:hint="eastAsia" w:ascii="Times New Roman" w:hAnsi="Times New Roman"/>
              </w:rPr>
              <w:t>营业执照</w:t>
            </w:r>
          </w:p>
        </w:tc>
        <w:tc>
          <w:tcPr>
            <w:tcW w:w="5102" w:type="dxa"/>
            <w:tcBorders>
              <w:top w:val="single" w:color="auto" w:sz="4" w:space="0"/>
              <w:left w:val="single" w:color="auto" w:sz="4" w:space="0"/>
              <w:bottom w:val="single" w:color="auto" w:sz="4" w:space="0"/>
            </w:tcBorders>
            <w:vAlign w:val="center"/>
          </w:tcPr>
          <w:p w14:paraId="76148069">
            <w:pPr>
              <w:rPr>
                <w:rFonts w:ascii="Times New Roman" w:hAnsi="Times New Roman"/>
              </w:rPr>
            </w:pPr>
            <w:r>
              <w:rPr>
                <w:rFonts w:hint="eastAsia" w:ascii="Times New Roman" w:hAnsi="Times New Roman"/>
              </w:rPr>
              <w:t>符合第二章“投标人须知”第3.5.1项规定，具备有效的营业执照。</w:t>
            </w:r>
          </w:p>
        </w:tc>
      </w:tr>
      <w:tr w14:paraId="63B7CA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4" w:hRule="atLeast"/>
          <w:jc w:val="center"/>
        </w:trPr>
        <w:tc>
          <w:tcPr>
            <w:tcW w:w="900" w:type="dxa"/>
            <w:vMerge w:val="continue"/>
            <w:tcBorders>
              <w:top w:val="single" w:color="auto" w:sz="4" w:space="0"/>
              <w:bottom w:val="single" w:color="auto" w:sz="4" w:space="0"/>
              <w:right w:val="single" w:color="auto" w:sz="4" w:space="0"/>
            </w:tcBorders>
            <w:vAlign w:val="center"/>
          </w:tcPr>
          <w:p w14:paraId="0F3C28FA">
            <w:pP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11FCCB1A">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2A08547A">
            <w:pPr>
              <w:jc w:val="center"/>
              <w:rPr>
                <w:rFonts w:ascii="Times New Roman" w:hAnsi="Times New Roman"/>
              </w:rPr>
            </w:pPr>
            <w:r>
              <w:rPr>
                <w:rFonts w:hint="eastAsia" w:ascii="Times New Roman" w:hAnsi="Times New Roman"/>
              </w:rPr>
              <w:t>资质要求</w:t>
            </w:r>
          </w:p>
        </w:tc>
        <w:tc>
          <w:tcPr>
            <w:tcW w:w="5102" w:type="dxa"/>
            <w:tcBorders>
              <w:top w:val="single" w:color="auto" w:sz="4" w:space="0"/>
              <w:left w:val="single" w:color="auto" w:sz="4" w:space="0"/>
              <w:bottom w:val="single" w:color="auto" w:sz="4" w:space="0"/>
            </w:tcBorders>
            <w:vAlign w:val="center"/>
          </w:tcPr>
          <w:p w14:paraId="1C9D905C">
            <w:pPr>
              <w:rPr>
                <w:rFonts w:ascii="Times New Roman" w:hAnsi="Times New Roman"/>
              </w:rPr>
            </w:pPr>
            <w:r>
              <w:rPr>
                <w:rFonts w:hint="eastAsia" w:ascii="Times New Roman" w:hAnsi="Times New Roman"/>
              </w:rPr>
              <w:t>符合第二章</w:t>
            </w:r>
            <w:r>
              <w:rPr>
                <w:rFonts w:ascii="Times New Roman" w:hAnsi="Times New Roman"/>
              </w:rPr>
              <w:t>“</w:t>
            </w:r>
            <w:r>
              <w:rPr>
                <w:rFonts w:hint="eastAsia" w:ascii="Times New Roman" w:hAnsi="Times New Roman"/>
              </w:rPr>
              <w:t>投标人须知前附表</w:t>
            </w:r>
            <w:r>
              <w:rPr>
                <w:rFonts w:ascii="Times New Roman" w:hAnsi="Times New Roman"/>
              </w:rPr>
              <w:t>”</w:t>
            </w:r>
            <w:r>
              <w:rPr>
                <w:rFonts w:hint="eastAsia" w:ascii="Times New Roman" w:hAnsi="Times New Roman"/>
              </w:rPr>
              <w:t>第</w:t>
            </w:r>
            <w:r>
              <w:rPr>
                <w:rFonts w:ascii="Times New Roman" w:hAnsi="Times New Roman"/>
              </w:rPr>
              <w:t>1.4.1</w:t>
            </w:r>
            <w:r>
              <w:rPr>
                <w:rFonts w:hint="eastAsia" w:ascii="Times New Roman" w:hAnsi="Times New Roman"/>
              </w:rPr>
              <w:t>项规定</w:t>
            </w:r>
          </w:p>
        </w:tc>
      </w:tr>
      <w:tr w14:paraId="24F025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9" w:hRule="atLeast"/>
          <w:jc w:val="center"/>
        </w:trPr>
        <w:tc>
          <w:tcPr>
            <w:tcW w:w="900" w:type="dxa"/>
            <w:vMerge w:val="continue"/>
            <w:tcBorders>
              <w:top w:val="single" w:color="auto" w:sz="4" w:space="0"/>
              <w:bottom w:val="single" w:color="auto" w:sz="4" w:space="0"/>
              <w:right w:val="single" w:color="auto" w:sz="4" w:space="0"/>
            </w:tcBorders>
            <w:vAlign w:val="center"/>
          </w:tcPr>
          <w:p w14:paraId="1CD4E9E2">
            <w:pP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2F1D5766">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13AEA4CC">
            <w:pPr>
              <w:jc w:val="center"/>
              <w:rPr>
                <w:rFonts w:ascii="Times New Roman" w:hAnsi="Times New Roman"/>
              </w:rPr>
            </w:pPr>
            <w:r>
              <w:rPr>
                <w:rFonts w:hint="eastAsia" w:ascii="Times New Roman" w:hAnsi="Times New Roman"/>
              </w:rPr>
              <w:t>财务要求</w:t>
            </w:r>
          </w:p>
        </w:tc>
        <w:tc>
          <w:tcPr>
            <w:tcW w:w="5102" w:type="dxa"/>
            <w:tcBorders>
              <w:top w:val="single" w:color="auto" w:sz="4" w:space="0"/>
              <w:left w:val="single" w:color="auto" w:sz="4" w:space="0"/>
              <w:bottom w:val="single" w:color="auto" w:sz="4" w:space="0"/>
            </w:tcBorders>
            <w:vAlign w:val="center"/>
          </w:tcPr>
          <w:p w14:paraId="2DF4D730">
            <w:pPr>
              <w:rPr>
                <w:rFonts w:ascii="Times New Roman" w:hAnsi="Times New Roman"/>
              </w:rPr>
            </w:pPr>
            <w:r>
              <w:rPr>
                <w:rFonts w:hint="eastAsia" w:ascii="Times New Roman" w:hAnsi="Times New Roman"/>
              </w:rPr>
              <w:t>/</w:t>
            </w:r>
          </w:p>
        </w:tc>
      </w:tr>
      <w:tr w14:paraId="49DF02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1" w:hRule="atLeast"/>
          <w:jc w:val="center"/>
        </w:trPr>
        <w:tc>
          <w:tcPr>
            <w:tcW w:w="900" w:type="dxa"/>
            <w:vMerge w:val="continue"/>
            <w:tcBorders>
              <w:top w:val="single" w:color="auto" w:sz="4" w:space="0"/>
              <w:bottom w:val="single" w:color="auto" w:sz="4" w:space="0"/>
              <w:right w:val="single" w:color="auto" w:sz="4" w:space="0"/>
            </w:tcBorders>
            <w:vAlign w:val="center"/>
          </w:tcPr>
          <w:p w14:paraId="2BD3E526">
            <w:pP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7B0AA50A">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626A6059">
            <w:pPr>
              <w:jc w:val="center"/>
              <w:rPr>
                <w:rFonts w:ascii="Times New Roman" w:hAnsi="Times New Roman"/>
              </w:rPr>
            </w:pPr>
            <w:r>
              <w:rPr>
                <w:rFonts w:hint="eastAsia" w:ascii="Times New Roman" w:hAnsi="Times New Roman"/>
              </w:rPr>
              <w:t>业绩要求</w:t>
            </w:r>
          </w:p>
        </w:tc>
        <w:tc>
          <w:tcPr>
            <w:tcW w:w="5102" w:type="dxa"/>
            <w:tcBorders>
              <w:top w:val="single" w:color="auto" w:sz="4" w:space="0"/>
              <w:left w:val="single" w:color="auto" w:sz="4" w:space="0"/>
              <w:bottom w:val="single" w:color="auto" w:sz="4" w:space="0"/>
            </w:tcBorders>
            <w:vAlign w:val="center"/>
          </w:tcPr>
          <w:p w14:paraId="25FF2FF1">
            <w:pPr>
              <w:rPr>
                <w:rFonts w:ascii="Times New Roman" w:hAnsi="Times New Roman"/>
              </w:rPr>
            </w:pPr>
            <w:r>
              <w:rPr>
                <w:rFonts w:hint="eastAsia" w:ascii="Times New Roman" w:hAnsi="Times New Roman"/>
              </w:rPr>
              <w:t>/</w:t>
            </w:r>
          </w:p>
        </w:tc>
      </w:tr>
      <w:tr w14:paraId="70199E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6" w:hRule="atLeast"/>
          <w:jc w:val="center"/>
        </w:trPr>
        <w:tc>
          <w:tcPr>
            <w:tcW w:w="900" w:type="dxa"/>
            <w:vMerge w:val="continue"/>
            <w:tcBorders>
              <w:top w:val="single" w:color="auto" w:sz="4" w:space="0"/>
              <w:bottom w:val="single" w:color="auto" w:sz="4" w:space="0"/>
              <w:right w:val="single" w:color="auto" w:sz="4" w:space="0"/>
            </w:tcBorders>
            <w:vAlign w:val="center"/>
          </w:tcPr>
          <w:p w14:paraId="0B7C1D11">
            <w:pP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3373C26F">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7AF6EB12">
            <w:pPr>
              <w:jc w:val="center"/>
              <w:rPr>
                <w:rFonts w:ascii="Times New Roman" w:hAnsi="Times New Roman"/>
              </w:rPr>
            </w:pPr>
            <w:r>
              <w:rPr>
                <w:rFonts w:hint="eastAsia" w:ascii="Times New Roman" w:hAnsi="Times New Roman"/>
              </w:rPr>
              <w:t>信誉要求</w:t>
            </w:r>
          </w:p>
        </w:tc>
        <w:tc>
          <w:tcPr>
            <w:tcW w:w="5102" w:type="dxa"/>
            <w:tcBorders>
              <w:top w:val="single" w:color="auto" w:sz="4" w:space="0"/>
              <w:left w:val="single" w:color="auto" w:sz="4" w:space="0"/>
              <w:bottom w:val="single" w:color="auto" w:sz="4" w:space="0"/>
            </w:tcBorders>
            <w:vAlign w:val="center"/>
          </w:tcPr>
          <w:p w14:paraId="6DA50E11">
            <w:pPr>
              <w:rPr>
                <w:rFonts w:ascii="Times New Roman" w:hAnsi="Times New Roman"/>
              </w:rPr>
            </w:pPr>
            <w:r>
              <w:rPr>
                <w:rFonts w:hint="eastAsia" w:ascii="Times New Roman" w:hAnsi="Times New Roman"/>
              </w:rPr>
              <w:t>/</w:t>
            </w:r>
          </w:p>
        </w:tc>
      </w:tr>
      <w:tr w14:paraId="2AD309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2" w:hRule="atLeast"/>
          <w:jc w:val="center"/>
        </w:trPr>
        <w:tc>
          <w:tcPr>
            <w:tcW w:w="900" w:type="dxa"/>
            <w:vMerge w:val="continue"/>
            <w:tcBorders>
              <w:top w:val="single" w:color="auto" w:sz="4" w:space="0"/>
              <w:bottom w:val="single" w:color="auto" w:sz="4" w:space="0"/>
              <w:right w:val="single" w:color="auto" w:sz="4" w:space="0"/>
            </w:tcBorders>
            <w:vAlign w:val="center"/>
          </w:tcPr>
          <w:p w14:paraId="21D63C3B">
            <w:pP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32D15E1B">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2513EDE7">
            <w:pPr>
              <w:jc w:val="center"/>
              <w:rPr>
                <w:rFonts w:ascii="Times New Roman" w:hAnsi="Times New Roman"/>
              </w:rPr>
            </w:pPr>
            <w:r>
              <w:rPr>
                <w:rFonts w:hint="eastAsia" w:ascii="Times New Roman" w:hAnsi="Times New Roman"/>
              </w:rPr>
              <w:t>总监理工程师</w:t>
            </w:r>
          </w:p>
        </w:tc>
        <w:tc>
          <w:tcPr>
            <w:tcW w:w="5102" w:type="dxa"/>
            <w:tcBorders>
              <w:top w:val="single" w:color="auto" w:sz="4" w:space="0"/>
              <w:left w:val="single" w:color="auto" w:sz="4" w:space="0"/>
              <w:bottom w:val="single" w:color="auto" w:sz="4" w:space="0"/>
            </w:tcBorders>
            <w:vAlign w:val="center"/>
          </w:tcPr>
          <w:p w14:paraId="089A8453">
            <w:pPr>
              <w:rPr>
                <w:rFonts w:ascii="Times New Roman" w:hAnsi="Times New Roman"/>
              </w:rPr>
            </w:pPr>
            <w:r>
              <w:rPr>
                <w:rFonts w:hint="eastAsia" w:ascii="Times New Roman" w:hAnsi="Times New Roman"/>
              </w:rPr>
              <w:t>符合第二章</w:t>
            </w:r>
            <w:r>
              <w:rPr>
                <w:rFonts w:ascii="Times New Roman" w:hAnsi="Times New Roman"/>
              </w:rPr>
              <w:t>“</w:t>
            </w:r>
            <w:r>
              <w:rPr>
                <w:rFonts w:hint="eastAsia" w:ascii="Times New Roman" w:hAnsi="Times New Roman"/>
              </w:rPr>
              <w:t>投标人须知前附表</w:t>
            </w:r>
            <w:r>
              <w:rPr>
                <w:rFonts w:ascii="Times New Roman" w:hAnsi="Times New Roman"/>
              </w:rPr>
              <w:t>”</w:t>
            </w:r>
            <w:r>
              <w:rPr>
                <w:rFonts w:hint="eastAsia" w:ascii="Times New Roman" w:hAnsi="Times New Roman"/>
              </w:rPr>
              <w:t>第</w:t>
            </w:r>
            <w:r>
              <w:rPr>
                <w:rFonts w:ascii="Times New Roman" w:hAnsi="Times New Roman"/>
              </w:rPr>
              <w:t>1.4.1</w:t>
            </w:r>
            <w:r>
              <w:rPr>
                <w:rFonts w:hint="eastAsia" w:ascii="Times New Roman" w:hAnsi="Times New Roman"/>
              </w:rPr>
              <w:t>项规定</w:t>
            </w:r>
          </w:p>
        </w:tc>
      </w:tr>
      <w:tr w14:paraId="726B05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900" w:type="dxa"/>
            <w:vMerge w:val="continue"/>
            <w:tcBorders>
              <w:top w:val="single" w:color="auto" w:sz="4" w:space="0"/>
              <w:bottom w:val="single" w:color="auto" w:sz="4" w:space="0"/>
              <w:right w:val="single" w:color="auto" w:sz="4" w:space="0"/>
            </w:tcBorders>
            <w:vAlign w:val="center"/>
          </w:tcPr>
          <w:p w14:paraId="7D24C557">
            <w:pP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06B39DBC">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33B6E3FA">
            <w:pPr>
              <w:jc w:val="center"/>
              <w:rPr>
                <w:rFonts w:ascii="Times New Roman" w:hAnsi="Times New Roman"/>
              </w:rPr>
            </w:pPr>
            <w:r>
              <w:rPr>
                <w:rFonts w:hint="eastAsia" w:ascii="Times New Roman" w:hAnsi="Times New Roman"/>
              </w:rPr>
              <w:t>试验检测仪器设备</w:t>
            </w:r>
          </w:p>
        </w:tc>
        <w:tc>
          <w:tcPr>
            <w:tcW w:w="5102" w:type="dxa"/>
            <w:tcBorders>
              <w:top w:val="single" w:color="auto" w:sz="4" w:space="0"/>
              <w:left w:val="single" w:color="auto" w:sz="4" w:space="0"/>
              <w:bottom w:val="single" w:color="auto" w:sz="4" w:space="0"/>
            </w:tcBorders>
            <w:vAlign w:val="center"/>
          </w:tcPr>
          <w:p w14:paraId="0A54CDE2">
            <w:pPr>
              <w:rPr>
                <w:rFonts w:ascii="Times New Roman" w:hAnsi="Times New Roman"/>
              </w:rPr>
            </w:pPr>
            <w:r>
              <w:rPr>
                <w:rFonts w:hint="eastAsia" w:ascii="Times New Roman" w:hAnsi="Times New Roman"/>
              </w:rPr>
              <w:t>/</w:t>
            </w:r>
          </w:p>
        </w:tc>
      </w:tr>
      <w:tr w14:paraId="5EDB24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1" w:hRule="atLeast"/>
          <w:jc w:val="center"/>
        </w:trPr>
        <w:tc>
          <w:tcPr>
            <w:tcW w:w="900" w:type="dxa"/>
            <w:vMerge w:val="continue"/>
            <w:tcBorders>
              <w:top w:val="single" w:color="auto" w:sz="4" w:space="0"/>
              <w:bottom w:val="single" w:color="auto" w:sz="4" w:space="0"/>
              <w:right w:val="single" w:color="auto" w:sz="4" w:space="0"/>
            </w:tcBorders>
            <w:vAlign w:val="center"/>
          </w:tcPr>
          <w:p w14:paraId="0EB86A7E">
            <w:pP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53DA2ABB">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73A6224B">
            <w:pPr>
              <w:jc w:val="center"/>
              <w:rPr>
                <w:rFonts w:ascii="Times New Roman" w:hAnsi="Times New Roman"/>
              </w:rPr>
            </w:pPr>
            <w:r>
              <w:rPr>
                <w:rFonts w:hint="eastAsia" w:ascii="Times New Roman" w:hAnsi="Times New Roman"/>
              </w:rPr>
              <w:t>其他要求</w:t>
            </w:r>
          </w:p>
        </w:tc>
        <w:tc>
          <w:tcPr>
            <w:tcW w:w="5102" w:type="dxa"/>
            <w:tcBorders>
              <w:top w:val="single" w:color="auto" w:sz="4" w:space="0"/>
              <w:left w:val="single" w:color="auto" w:sz="4" w:space="0"/>
              <w:bottom w:val="single" w:color="auto" w:sz="4" w:space="0"/>
            </w:tcBorders>
            <w:vAlign w:val="center"/>
          </w:tcPr>
          <w:p w14:paraId="477E99B2">
            <w:pPr>
              <w:rPr>
                <w:rFonts w:ascii="Times New Roman" w:hAnsi="Times New Roman"/>
              </w:rPr>
            </w:pPr>
            <w:r>
              <w:rPr>
                <w:rFonts w:hint="eastAsia" w:ascii="Times New Roman" w:hAnsi="Times New Roman"/>
              </w:rPr>
              <w:t>符合第二章</w:t>
            </w:r>
            <w:r>
              <w:rPr>
                <w:rFonts w:ascii="Times New Roman" w:hAnsi="Times New Roman"/>
              </w:rPr>
              <w:t>“</w:t>
            </w:r>
            <w:r>
              <w:rPr>
                <w:rFonts w:hint="eastAsia" w:ascii="Times New Roman" w:hAnsi="Times New Roman"/>
              </w:rPr>
              <w:t>投标人须知</w:t>
            </w:r>
            <w:r>
              <w:rPr>
                <w:rFonts w:ascii="Times New Roman" w:hAnsi="Times New Roman"/>
              </w:rPr>
              <w:t>”</w:t>
            </w:r>
            <w:r>
              <w:rPr>
                <w:rFonts w:hint="eastAsia" w:ascii="Times New Roman" w:hAnsi="Times New Roman"/>
              </w:rPr>
              <w:t>第</w:t>
            </w:r>
            <w:r>
              <w:rPr>
                <w:rFonts w:ascii="Times New Roman" w:hAnsi="Times New Roman"/>
              </w:rPr>
              <w:t>1.4.1</w:t>
            </w:r>
            <w:r>
              <w:rPr>
                <w:rFonts w:hint="eastAsia" w:ascii="Times New Roman" w:hAnsi="Times New Roman"/>
              </w:rPr>
              <w:t>项规定</w:t>
            </w:r>
          </w:p>
        </w:tc>
      </w:tr>
      <w:tr w14:paraId="09D10A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6" w:hRule="atLeast"/>
          <w:jc w:val="center"/>
        </w:trPr>
        <w:tc>
          <w:tcPr>
            <w:tcW w:w="900" w:type="dxa"/>
            <w:vMerge w:val="continue"/>
            <w:tcBorders>
              <w:top w:val="single" w:color="auto" w:sz="4" w:space="0"/>
              <w:bottom w:val="single" w:color="auto" w:sz="4" w:space="0"/>
              <w:right w:val="single" w:color="auto" w:sz="4" w:space="0"/>
            </w:tcBorders>
            <w:vAlign w:val="center"/>
          </w:tcPr>
          <w:p w14:paraId="1819A5C3">
            <w:pP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2AF8D8D2">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27A2C5DC">
            <w:pPr>
              <w:jc w:val="center"/>
              <w:rPr>
                <w:rFonts w:ascii="Times New Roman" w:hAnsi="Times New Roman"/>
              </w:rPr>
            </w:pPr>
            <w:r>
              <w:rPr>
                <w:rFonts w:hint="eastAsia" w:ascii="Times New Roman" w:hAnsi="Times New Roman"/>
              </w:rPr>
              <w:t>联合体投标人</w:t>
            </w:r>
          </w:p>
        </w:tc>
        <w:tc>
          <w:tcPr>
            <w:tcW w:w="5102" w:type="dxa"/>
            <w:tcBorders>
              <w:top w:val="single" w:color="auto" w:sz="4" w:space="0"/>
              <w:left w:val="single" w:color="auto" w:sz="4" w:space="0"/>
              <w:bottom w:val="single" w:color="auto" w:sz="4" w:space="0"/>
            </w:tcBorders>
            <w:vAlign w:val="center"/>
          </w:tcPr>
          <w:p w14:paraId="2A8D4D09">
            <w:pPr>
              <w:rPr>
                <w:rFonts w:ascii="Times New Roman" w:hAnsi="Times New Roman"/>
              </w:rPr>
            </w:pPr>
            <w:r>
              <w:rPr>
                <w:rFonts w:hint="eastAsia" w:ascii="Times New Roman" w:hAnsi="Times New Roman"/>
              </w:rPr>
              <w:t>符合第二章</w:t>
            </w:r>
            <w:r>
              <w:rPr>
                <w:rFonts w:ascii="Times New Roman" w:hAnsi="Times New Roman"/>
              </w:rPr>
              <w:t>“</w:t>
            </w:r>
            <w:r>
              <w:rPr>
                <w:rFonts w:hint="eastAsia" w:ascii="Times New Roman" w:hAnsi="Times New Roman"/>
              </w:rPr>
              <w:t>投标人须知</w:t>
            </w:r>
            <w:r>
              <w:rPr>
                <w:rFonts w:ascii="Times New Roman" w:hAnsi="Times New Roman"/>
              </w:rPr>
              <w:t>”</w:t>
            </w:r>
            <w:r>
              <w:rPr>
                <w:rFonts w:hint="eastAsia" w:ascii="Times New Roman" w:hAnsi="Times New Roman"/>
              </w:rPr>
              <w:t>第</w:t>
            </w:r>
            <w:r>
              <w:rPr>
                <w:rFonts w:ascii="Times New Roman" w:hAnsi="Times New Roman"/>
              </w:rPr>
              <w:t>1.4.2</w:t>
            </w:r>
            <w:r>
              <w:rPr>
                <w:rFonts w:hint="eastAsia" w:ascii="Times New Roman" w:hAnsi="Times New Roman"/>
              </w:rPr>
              <w:t>项规定</w:t>
            </w:r>
          </w:p>
        </w:tc>
      </w:tr>
      <w:tr w14:paraId="79B05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single" w:color="auto" w:sz="4" w:space="0"/>
              <w:bottom w:val="single" w:color="auto" w:sz="4" w:space="0"/>
              <w:right w:val="single" w:color="auto" w:sz="4" w:space="0"/>
            </w:tcBorders>
            <w:vAlign w:val="center"/>
          </w:tcPr>
          <w:p w14:paraId="337A1AB0">
            <w:pP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6E5EA69B">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402A6BE3">
            <w:pPr>
              <w:jc w:val="center"/>
              <w:rPr>
                <w:rFonts w:ascii="Times New Roman" w:hAnsi="Times New Roman"/>
              </w:rPr>
            </w:pPr>
            <w:r>
              <w:rPr>
                <w:rFonts w:hint="eastAsia" w:ascii="Times New Roman" w:hAnsi="Times New Roman"/>
              </w:rPr>
              <w:t>不存在禁止投标的情形</w:t>
            </w:r>
          </w:p>
        </w:tc>
        <w:tc>
          <w:tcPr>
            <w:tcW w:w="5102" w:type="dxa"/>
            <w:tcBorders>
              <w:top w:val="single" w:color="auto" w:sz="4" w:space="0"/>
              <w:left w:val="single" w:color="auto" w:sz="4" w:space="0"/>
              <w:bottom w:val="single" w:color="auto" w:sz="4" w:space="0"/>
            </w:tcBorders>
            <w:vAlign w:val="center"/>
          </w:tcPr>
          <w:p w14:paraId="3679CCBD">
            <w:pPr>
              <w:rPr>
                <w:rFonts w:ascii="Times New Roman" w:hAnsi="Times New Roman"/>
              </w:rPr>
            </w:pPr>
            <w:r>
              <w:rPr>
                <w:rFonts w:hint="eastAsia" w:ascii="宋体" w:hAnsi="宋体" w:cs="宋体"/>
              </w:rPr>
              <w:t>不存在第二章“投标人须知”第1.4.3项规定的任何一种情形</w:t>
            </w:r>
          </w:p>
        </w:tc>
      </w:tr>
      <w:tr w14:paraId="65513E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restart"/>
            <w:tcBorders>
              <w:top w:val="single" w:color="auto" w:sz="4" w:space="0"/>
              <w:right w:val="single" w:color="auto" w:sz="4" w:space="0"/>
            </w:tcBorders>
            <w:vAlign w:val="center"/>
          </w:tcPr>
          <w:p w14:paraId="7C07FA97">
            <w:pPr>
              <w:jc w:val="center"/>
              <w:rPr>
                <w:rFonts w:ascii="Times New Roman" w:hAnsi="Times New Roman"/>
              </w:rPr>
            </w:pPr>
            <w:r>
              <w:rPr>
                <w:rFonts w:ascii="Times New Roman" w:hAnsi="Times New Roman"/>
              </w:rPr>
              <w:t>2.1.3</w:t>
            </w:r>
          </w:p>
        </w:tc>
        <w:tc>
          <w:tcPr>
            <w:tcW w:w="1124" w:type="dxa"/>
            <w:vMerge w:val="restart"/>
            <w:tcBorders>
              <w:top w:val="single" w:color="auto" w:sz="4" w:space="0"/>
              <w:left w:val="single" w:color="auto" w:sz="4" w:space="0"/>
              <w:right w:val="single" w:color="auto" w:sz="4" w:space="0"/>
            </w:tcBorders>
            <w:vAlign w:val="center"/>
          </w:tcPr>
          <w:p w14:paraId="592567F8">
            <w:pPr>
              <w:jc w:val="center"/>
              <w:rPr>
                <w:rFonts w:ascii="Times New Roman" w:hAnsi="Times New Roman"/>
              </w:rPr>
            </w:pPr>
            <w:r>
              <w:rPr>
                <w:rFonts w:hint="eastAsia" w:ascii="Times New Roman" w:hAnsi="Times New Roman"/>
              </w:rPr>
              <w:t>响应性评审标准</w:t>
            </w:r>
          </w:p>
        </w:tc>
        <w:tc>
          <w:tcPr>
            <w:tcW w:w="1945" w:type="dxa"/>
            <w:tcBorders>
              <w:top w:val="single" w:color="auto" w:sz="4" w:space="0"/>
              <w:left w:val="single" w:color="auto" w:sz="4" w:space="0"/>
              <w:bottom w:val="single" w:color="auto" w:sz="4" w:space="0"/>
              <w:right w:val="single" w:color="auto" w:sz="4" w:space="0"/>
            </w:tcBorders>
            <w:vAlign w:val="center"/>
          </w:tcPr>
          <w:p w14:paraId="0B126B57">
            <w:pPr>
              <w:jc w:val="center"/>
              <w:rPr>
                <w:rFonts w:ascii="Times New Roman" w:hAnsi="Times New Roman"/>
              </w:rPr>
            </w:pPr>
            <w:r>
              <w:rPr>
                <w:rFonts w:hint="eastAsia"/>
              </w:rPr>
              <w:t>投标文件</w:t>
            </w:r>
          </w:p>
        </w:tc>
        <w:tc>
          <w:tcPr>
            <w:tcW w:w="5102" w:type="dxa"/>
            <w:tcBorders>
              <w:top w:val="single" w:color="auto" w:sz="4" w:space="0"/>
              <w:left w:val="single" w:color="auto" w:sz="4" w:space="0"/>
              <w:bottom w:val="single" w:color="auto" w:sz="4" w:space="0"/>
            </w:tcBorders>
            <w:vAlign w:val="center"/>
          </w:tcPr>
          <w:p w14:paraId="5CAC9EB4">
            <w:pPr>
              <w:rPr>
                <w:rFonts w:ascii="Times New Roman" w:hAnsi="Times New Roman"/>
              </w:rPr>
            </w:pPr>
            <w:r>
              <w:rPr>
                <w:rFonts w:hint="eastAsia"/>
              </w:rPr>
              <w:t>投标文件所列投标人名称、项目（总监）负责人与投标登记时一致；</w:t>
            </w:r>
          </w:p>
        </w:tc>
      </w:tr>
      <w:tr w14:paraId="0C8505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3" w:hRule="atLeast"/>
          <w:jc w:val="center"/>
        </w:trPr>
        <w:tc>
          <w:tcPr>
            <w:tcW w:w="900" w:type="dxa"/>
            <w:vMerge w:val="continue"/>
            <w:tcBorders>
              <w:right w:val="single" w:color="auto" w:sz="4" w:space="0"/>
            </w:tcBorders>
            <w:vAlign w:val="center"/>
          </w:tcPr>
          <w:p w14:paraId="78E21488">
            <w:pPr>
              <w:jc w:val="center"/>
              <w:rPr>
                <w:rFonts w:ascii="Times New Roman" w:hAnsi="Times New Roman"/>
              </w:rPr>
            </w:pPr>
          </w:p>
        </w:tc>
        <w:tc>
          <w:tcPr>
            <w:tcW w:w="1124" w:type="dxa"/>
            <w:vMerge w:val="continue"/>
            <w:tcBorders>
              <w:left w:val="single" w:color="auto" w:sz="4" w:space="0"/>
              <w:right w:val="single" w:color="auto" w:sz="4" w:space="0"/>
            </w:tcBorders>
            <w:vAlign w:val="center"/>
          </w:tcPr>
          <w:p w14:paraId="143AA71C">
            <w:pPr>
              <w:jc w:val="cente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2929A0D5">
            <w:pPr>
              <w:jc w:val="center"/>
              <w:rPr>
                <w:rFonts w:ascii="Times New Roman" w:hAnsi="Times New Roman"/>
              </w:rPr>
            </w:pPr>
            <w:r>
              <w:rPr>
                <w:rFonts w:hint="eastAsia" w:ascii="Times New Roman" w:hAnsi="Times New Roman"/>
              </w:rPr>
              <w:t>投标报价</w:t>
            </w:r>
          </w:p>
        </w:tc>
        <w:tc>
          <w:tcPr>
            <w:tcW w:w="5102" w:type="dxa"/>
            <w:tcBorders>
              <w:top w:val="single" w:color="auto" w:sz="4" w:space="0"/>
              <w:left w:val="single" w:color="auto" w:sz="4" w:space="0"/>
              <w:bottom w:val="single" w:color="auto" w:sz="4" w:space="0"/>
            </w:tcBorders>
            <w:vAlign w:val="center"/>
          </w:tcPr>
          <w:p w14:paraId="3D0BE60B">
            <w:pPr>
              <w:rPr>
                <w:rFonts w:ascii="Times New Roman" w:hAnsi="Times New Roman"/>
              </w:rPr>
            </w:pPr>
            <w:r>
              <w:rPr>
                <w:rFonts w:hint="eastAsia" w:ascii="Times New Roman" w:hAnsi="Times New Roman"/>
              </w:rPr>
              <w:t>符合第二章</w:t>
            </w:r>
            <w:r>
              <w:rPr>
                <w:rFonts w:ascii="Times New Roman" w:hAnsi="Times New Roman"/>
              </w:rPr>
              <w:t>“</w:t>
            </w:r>
            <w:r>
              <w:rPr>
                <w:rFonts w:hint="eastAsia" w:ascii="Times New Roman" w:hAnsi="Times New Roman"/>
              </w:rPr>
              <w:t>投标人须知</w:t>
            </w:r>
            <w:r>
              <w:rPr>
                <w:rFonts w:ascii="Times New Roman" w:hAnsi="Times New Roman"/>
              </w:rPr>
              <w:t>”</w:t>
            </w:r>
            <w:r>
              <w:rPr>
                <w:rFonts w:hint="eastAsia" w:ascii="Times New Roman" w:hAnsi="Times New Roman"/>
              </w:rPr>
              <w:t>第</w:t>
            </w:r>
            <w:r>
              <w:rPr>
                <w:rFonts w:ascii="Times New Roman" w:hAnsi="Times New Roman"/>
              </w:rPr>
              <w:t>3.2</w:t>
            </w:r>
            <w:r>
              <w:rPr>
                <w:rFonts w:hint="eastAsia" w:ascii="Times New Roman" w:hAnsi="Times New Roman"/>
              </w:rPr>
              <w:t>款规定</w:t>
            </w:r>
            <w:r>
              <w:rPr>
                <w:rFonts w:hint="eastAsia"/>
              </w:rPr>
              <w:t>进行投标报价的；</w:t>
            </w:r>
            <w:r>
              <w:rPr>
                <w:rFonts w:hint="eastAsia" w:ascii="宋体" w:hAnsi="Courier New"/>
                <w:szCs w:val="21"/>
              </w:rPr>
              <w:t>对同一招标项目没有出现两个或以上的投标报价，且修正无依据；</w:t>
            </w:r>
          </w:p>
        </w:tc>
      </w:tr>
      <w:tr w14:paraId="4C362C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right w:val="single" w:color="auto" w:sz="4" w:space="0"/>
            </w:tcBorders>
            <w:vAlign w:val="center"/>
          </w:tcPr>
          <w:p w14:paraId="66346AA3">
            <w:pPr>
              <w:jc w:val="center"/>
              <w:rPr>
                <w:rFonts w:ascii="Times New Roman" w:hAnsi="Times New Roman"/>
              </w:rPr>
            </w:pPr>
          </w:p>
        </w:tc>
        <w:tc>
          <w:tcPr>
            <w:tcW w:w="1124" w:type="dxa"/>
            <w:vMerge w:val="continue"/>
            <w:tcBorders>
              <w:left w:val="single" w:color="auto" w:sz="4" w:space="0"/>
              <w:right w:val="single" w:color="auto" w:sz="4" w:space="0"/>
            </w:tcBorders>
            <w:vAlign w:val="center"/>
          </w:tcPr>
          <w:p w14:paraId="03EBE7EE">
            <w:pPr>
              <w:jc w:val="cente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0C2D3A7B">
            <w:pPr>
              <w:jc w:val="center"/>
              <w:rPr>
                <w:rFonts w:ascii="Times New Roman" w:hAnsi="Times New Roman"/>
              </w:rPr>
            </w:pPr>
            <w:r>
              <w:rPr>
                <w:rFonts w:hint="eastAsia" w:ascii="Times New Roman" w:hAnsi="Times New Roman"/>
              </w:rPr>
              <w:t>投标内容</w:t>
            </w:r>
          </w:p>
        </w:tc>
        <w:tc>
          <w:tcPr>
            <w:tcW w:w="5102" w:type="dxa"/>
            <w:tcBorders>
              <w:top w:val="single" w:color="auto" w:sz="4" w:space="0"/>
              <w:left w:val="single" w:color="auto" w:sz="4" w:space="0"/>
              <w:bottom w:val="single" w:color="auto" w:sz="4" w:space="0"/>
            </w:tcBorders>
            <w:vAlign w:val="center"/>
          </w:tcPr>
          <w:p w14:paraId="3E2929D2">
            <w:pPr>
              <w:rPr>
                <w:rFonts w:ascii="宋体" w:hAnsi="Courier New"/>
                <w:szCs w:val="21"/>
              </w:rPr>
            </w:pPr>
            <w:r>
              <w:rPr>
                <w:rFonts w:hint="eastAsia" w:ascii="宋体" w:hAnsi="Courier New"/>
                <w:szCs w:val="21"/>
              </w:rPr>
              <w:t>符合第二章“投标人须知”第1.3.1项规定，投标文件按规定的格式填写，内容齐全或关键字迹清晰、容易辩认；</w:t>
            </w:r>
          </w:p>
        </w:tc>
      </w:tr>
      <w:tr w14:paraId="2457DA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9" w:hRule="atLeast"/>
          <w:jc w:val="center"/>
        </w:trPr>
        <w:tc>
          <w:tcPr>
            <w:tcW w:w="900" w:type="dxa"/>
            <w:vMerge w:val="continue"/>
            <w:tcBorders>
              <w:right w:val="single" w:color="auto" w:sz="4" w:space="0"/>
            </w:tcBorders>
            <w:vAlign w:val="center"/>
          </w:tcPr>
          <w:p w14:paraId="5552B127">
            <w:pPr>
              <w:jc w:val="center"/>
              <w:rPr>
                <w:rFonts w:ascii="Times New Roman" w:hAnsi="Times New Roman"/>
              </w:rPr>
            </w:pPr>
          </w:p>
        </w:tc>
        <w:tc>
          <w:tcPr>
            <w:tcW w:w="1124" w:type="dxa"/>
            <w:vMerge w:val="continue"/>
            <w:tcBorders>
              <w:left w:val="single" w:color="auto" w:sz="4" w:space="0"/>
              <w:right w:val="single" w:color="auto" w:sz="4" w:space="0"/>
            </w:tcBorders>
            <w:vAlign w:val="center"/>
          </w:tcPr>
          <w:p w14:paraId="60630C6B">
            <w:pPr>
              <w:jc w:val="cente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52E04A40">
            <w:pPr>
              <w:jc w:val="center"/>
              <w:rPr>
                <w:rFonts w:ascii="Times New Roman" w:hAnsi="Times New Roman"/>
              </w:rPr>
            </w:pPr>
            <w:r>
              <w:rPr>
                <w:rFonts w:hint="eastAsia" w:ascii="Times New Roman" w:hAnsi="Times New Roman"/>
              </w:rPr>
              <w:t>监理服务期限</w:t>
            </w:r>
          </w:p>
        </w:tc>
        <w:tc>
          <w:tcPr>
            <w:tcW w:w="5102" w:type="dxa"/>
            <w:tcBorders>
              <w:top w:val="single" w:color="auto" w:sz="4" w:space="0"/>
              <w:left w:val="single" w:color="auto" w:sz="4" w:space="0"/>
              <w:bottom w:val="single" w:color="auto" w:sz="4" w:space="0"/>
            </w:tcBorders>
            <w:vAlign w:val="center"/>
          </w:tcPr>
          <w:p w14:paraId="018D49E1">
            <w:pPr>
              <w:jc w:val="left"/>
              <w:rPr>
                <w:rFonts w:ascii="Times New Roman" w:hAnsi="Times New Roman"/>
              </w:rPr>
            </w:pPr>
            <w:r>
              <w:rPr>
                <w:rFonts w:hint="eastAsia" w:ascii="Times New Roman" w:hAnsi="Times New Roman"/>
              </w:rPr>
              <w:t>符合第二章</w:t>
            </w:r>
            <w:r>
              <w:rPr>
                <w:rFonts w:ascii="Times New Roman" w:hAnsi="Times New Roman"/>
              </w:rPr>
              <w:t>“</w:t>
            </w:r>
            <w:r>
              <w:rPr>
                <w:rFonts w:hint="eastAsia" w:ascii="Times New Roman" w:hAnsi="Times New Roman"/>
              </w:rPr>
              <w:t>投标人须知前附表</w:t>
            </w:r>
            <w:r>
              <w:rPr>
                <w:rFonts w:ascii="Times New Roman" w:hAnsi="Times New Roman"/>
              </w:rPr>
              <w:t>”</w:t>
            </w:r>
            <w:r>
              <w:rPr>
                <w:rFonts w:hint="eastAsia" w:ascii="Times New Roman" w:hAnsi="Times New Roman"/>
              </w:rPr>
              <w:t>第</w:t>
            </w:r>
            <w:r>
              <w:rPr>
                <w:rFonts w:ascii="Times New Roman" w:hAnsi="Times New Roman"/>
              </w:rPr>
              <w:t>1.3.2</w:t>
            </w:r>
            <w:r>
              <w:rPr>
                <w:rFonts w:hint="eastAsia" w:ascii="Times New Roman" w:hAnsi="Times New Roman"/>
              </w:rPr>
              <w:t>项规定</w:t>
            </w:r>
          </w:p>
        </w:tc>
      </w:tr>
      <w:tr w14:paraId="7382CE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8" w:hRule="atLeast"/>
          <w:jc w:val="center"/>
        </w:trPr>
        <w:tc>
          <w:tcPr>
            <w:tcW w:w="900" w:type="dxa"/>
            <w:vMerge w:val="continue"/>
            <w:tcBorders>
              <w:right w:val="single" w:color="auto" w:sz="4" w:space="0"/>
            </w:tcBorders>
            <w:vAlign w:val="center"/>
          </w:tcPr>
          <w:p w14:paraId="5976E461">
            <w:pPr>
              <w:jc w:val="center"/>
              <w:rPr>
                <w:rFonts w:ascii="Times New Roman" w:hAnsi="Times New Roman"/>
              </w:rPr>
            </w:pPr>
          </w:p>
        </w:tc>
        <w:tc>
          <w:tcPr>
            <w:tcW w:w="1124" w:type="dxa"/>
            <w:vMerge w:val="continue"/>
            <w:tcBorders>
              <w:left w:val="single" w:color="auto" w:sz="4" w:space="0"/>
              <w:right w:val="single" w:color="auto" w:sz="4" w:space="0"/>
            </w:tcBorders>
            <w:vAlign w:val="center"/>
          </w:tcPr>
          <w:p w14:paraId="4124559C">
            <w:pPr>
              <w:jc w:val="cente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29F52747">
            <w:pPr>
              <w:jc w:val="center"/>
              <w:rPr>
                <w:rFonts w:ascii="Times New Roman" w:hAnsi="Times New Roman"/>
              </w:rPr>
            </w:pPr>
            <w:r>
              <w:rPr>
                <w:rFonts w:hint="eastAsia" w:ascii="Times New Roman" w:hAnsi="Times New Roman"/>
              </w:rPr>
              <w:t>质量标准</w:t>
            </w:r>
          </w:p>
        </w:tc>
        <w:tc>
          <w:tcPr>
            <w:tcW w:w="5102" w:type="dxa"/>
            <w:tcBorders>
              <w:top w:val="single" w:color="auto" w:sz="4" w:space="0"/>
              <w:left w:val="single" w:color="auto" w:sz="4" w:space="0"/>
              <w:bottom w:val="single" w:color="auto" w:sz="4" w:space="0"/>
            </w:tcBorders>
            <w:vAlign w:val="center"/>
          </w:tcPr>
          <w:p w14:paraId="3CF08DF5">
            <w:pPr>
              <w:jc w:val="left"/>
              <w:rPr>
                <w:rFonts w:ascii="Times New Roman" w:hAnsi="Times New Roman"/>
              </w:rPr>
            </w:pPr>
            <w:r>
              <w:rPr>
                <w:rFonts w:hint="eastAsia" w:ascii="Times New Roman" w:hAnsi="Times New Roman"/>
              </w:rPr>
              <w:t>符合第二章“投标人须知前附表”第</w:t>
            </w:r>
            <w:r>
              <w:rPr>
                <w:rFonts w:ascii="Times New Roman" w:hAnsi="Times New Roman"/>
              </w:rPr>
              <w:t xml:space="preserve"> 1.3.3 </w:t>
            </w:r>
            <w:r>
              <w:rPr>
                <w:rFonts w:hint="eastAsia" w:ascii="Times New Roman" w:hAnsi="Times New Roman"/>
              </w:rPr>
              <w:t>项规定</w:t>
            </w:r>
          </w:p>
        </w:tc>
      </w:tr>
      <w:tr w14:paraId="2538A3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7" w:hRule="atLeast"/>
          <w:jc w:val="center"/>
        </w:trPr>
        <w:tc>
          <w:tcPr>
            <w:tcW w:w="900" w:type="dxa"/>
            <w:vMerge w:val="continue"/>
            <w:tcBorders>
              <w:right w:val="single" w:color="auto" w:sz="4" w:space="0"/>
            </w:tcBorders>
            <w:vAlign w:val="center"/>
          </w:tcPr>
          <w:p w14:paraId="7C3B4CFD">
            <w:pPr>
              <w:rPr>
                <w:rFonts w:ascii="Times New Roman" w:hAnsi="Times New Roman"/>
              </w:rPr>
            </w:pPr>
          </w:p>
        </w:tc>
        <w:tc>
          <w:tcPr>
            <w:tcW w:w="1124" w:type="dxa"/>
            <w:vMerge w:val="continue"/>
            <w:tcBorders>
              <w:left w:val="single" w:color="auto" w:sz="4" w:space="0"/>
              <w:right w:val="single" w:color="auto" w:sz="4" w:space="0"/>
            </w:tcBorders>
            <w:vAlign w:val="center"/>
          </w:tcPr>
          <w:p w14:paraId="0A058EA8">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123E898B">
            <w:pPr>
              <w:jc w:val="center"/>
              <w:rPr>
                <w:rFonts w:ascii="Times New Roman" w:hAnsi="Times New Roman"/>
              </w:rPr>
            </w:pPr>
            <w:r>
              <w:rPr>
                <w:rFonts w:hint="eastAsia" w:ascii="Times New Roman" w:hAnsi="Times New Roman"/>
              </w:rPr>
              <w:t>投标有效期</w:t>
            </w:r>
          </w:p>
        </w:tc>
        <w:tc>
          <w:tcPr>
            <w:tcW w:w="5102" w:type="dxa"/>
            <w:tcBorders>
              <w:top w:val="single" w:color="auto" w:sz="4" w:space="0"/>
              <w:left w:val="single" w:color="auto" w:sz="4" w:space="0"/>
              <w:bottom w:val="single" w:color="auto" w:sz="4" w:space="0"/>
            </w:tcBorders>
            <w:vAlign w:val="center"/>
          </w:tcPr>
          <w:p w14:paraId="042F4A0E">
            <w:pPr>
              <w:rPr>
                <w:rFonts w:ascii="Times New Roman" w:hAnsi="Times New Roman"/>
              </w:rPr>
            </w:pPr>
            <w:r>
              <w:rPr>
                <w:rFonts w:hint="eastAsia" w:ascii="Times New Roman" w:hAnsi="Times New Roman"/>
              </w:rPr>
              <w:t>符合第二章“投标人须知前附表”第</w:t>
            </w:r>
            <w:r>
              <w:rPr>
                <w:rFonts w:ascii="Times New Roman" w:hAnsi="Times New Roman"/>
              </w:rPr>
              <w:t xml:space="preserve"> 3.3.1 </w:t>
            </w:r>
            <w:r>
              <w:rPr>
                <w:rFonts w:hint="eastAsia" w:ascii="Times New Roman" w:hAnsi="Times New Roman"/>
              </w:rPr>
              <w:t>项规定</w:t>
            </w:r>
          </w:p>
        </w:tc>
      </w:tr>
      <w:tr w14:paraId="2C2F96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9" w:hRule="atLeast"/>
          <w:jc w:val="center"/>
        </w:trPr>
        <w:tc>
          <w:tcPr>
            <w:tcW w:w="900" w:type="dxa"/>
            <w:vMerge w:val="continue"/>
            <w:tcBorders>
              <w:bottom w:val="single" w:color="auto" w:sz="4" w:space="0"/>
              <w:right w:val="single" w:color="auto" w:sz="4" w:space="0"/>
            </w:tcBorders>
            <w:vAlign w:val="center"/>
          </w:tcPr>
          <w:p w14:paraId="08D8AFA5">
            <w:pPr>
              <w:rPr>
                <w:rFonts w:ascii="Times New Roman" w:hAnsi="Times New Roman"/>
              </w:rPr>
            </w:pPr>
          </w:p>
        </w:tc>
        <w:tc>
          <w:tcPr>
            <w:tcW w:w="1124" w:type="dxa"/>
            <w:vMerge w:val="continue"/>
            <w:tcBorders>
              <w:left w:val="single" w:color="auto" w:sz="4" w:space="0"/>
              <w:bottom w:val="single" w:color="auto" w:sz="4" w:space="0"/>
              <w:right w:val="single" w:color="auto" w:sz="4" w:space="0"/>
            </w:tcBorders>
            <w:vAlign w:val="center"/>
          </w:tcPr>
          <w:p w14:paraId="7BD70C8D">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04098599">
            <w:pPr>
              <w:jc w:val="center"/>
              <w:rPr>
                <w:rFonts w:ascii="Times New Roman" w:hAnsi="Times New Roman"/>
              </w:rPr>
            </w:pPr>
            <w:r>
              <w:rPr>
                <w:rFonts w:hint="eastAsia"/>
              </w:rPr>
              <w:t>串通投标情形</w:t>
            </w:r>
          </w:p>
        </w:tc>
        <w:tc>
          <w:tcPr>
            <w:tcW w:w="5102" w:type="dxa"/>
            <w:tcBorders>
              <w:top w:val="single" w:color="auto" w:sz="4" w:space="0"/>
              <w:left w:val="single" w:color="auto" w:sz="4" w:space="0"/>
              <w:bottom w:val="single" w:color="auto" w:sz="4" w:space="0"/>
            </w:tcBorders>
          </w:tcPr>
          <w:p w14:paraId="7C56E22B">
            <w:pPr>
              <w:rPr>
                <w:rFonts w:ascii="Times New Roman" w:hAnsi="Times New Roman"/>
              </w:rPr>
            </w:pPr>
            <w:r>
              <w:rPr>
                <w:rFonts w:hint="eastAsia" w:ascii="Times New Roman" w:hAnsi="Times New Roman"/>
              </w:rPr>
              <w:t>不存在串通投标情形</w:t>
            </w:r>
            <w:r>
              <w:rPr>
                <w:rFonts w:hint="eastAsia" w:ascii="Times New Roman" w:hAnsi="Times New Roman"/>
                <w:b/>
                <w:bCs/>
                <w:u w:val="single"/>
              </w:rPr>
              <w:t>（串通投标情形以《中华人民共和国招标投标法实施条例》第十六条的规定为准）；</w:t>
            </w:r>
          </w:p>
        </w:tc>
      </w:tr>
      <w:tr w14:paraId="3AB849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2024" w:type="dxa"/>
            <w:gridSpan w:val="2"/>
            <w:tcBorders>
              <w:top w:val="single" w:color="auto" w:sz="4" w:space="0"/>
              <w:bottom w:val="single" w:color="auto" w:sz="4" w:space="0"/>
              <w:right w:val="single" w:color="auto" w:sz="4" w:space="0"/>
            </w:tcBorders>
            <w:vAlign w:val="center"/>
          </w:tcPr>
          <w:p w14:paraId="38AEFCFB">
            <w:pPr>
              <w:jc w:val="center"/>
              <w:rPr>
                <w:rFonts w:ascii="Times New Roman" w:hAnsi="Times New Roman"/>
                <w:b/>
              </w:rPr>
            </w:pPr>
            <w:r>
              <w:rPr>
                <w:rFonts w:hint="eastAsia" w:ascii="Times New Roman" w:hAnsi="Times New Roman"/>
                <w:b/>
              </w:rPr>
              <w:t>条款号</w:t>
            </w:r>
          </w:p>
        </w:tc>
        <w:tc>
          <w:tcPr>
            <w:tcW w:w="1945" w:type="dxa"/>
            <w:tcBorders>
              <w:top w:val="single" w:color="auto" w:sz="4" w:space="0"/>
              <w:left w:val="single" w:color="auto" w:sz="4" w:space="0"/>
              <w:bottom w:val="single" w:color="auto" w:sz="4" w:space="0"/>
              <w:right w:val="single" w:color="auto" w:sz="4" w:space="0"/>
            </w:tcBorders>
            <w:vAlign w:val="center"/>
          </w:tcPr>
          <w:p w14:paraId="2C2C02A6">
            <w:pPr>
              <w:jc w:val="center"/>
              <w:rPr>
                <w:rFonts w:ascii="Times New Roman" w:hAnsi="Times New Roman"/>
                <w:b/>
              </w:rPr>
            </w:pPr>
            <w:r>
              <w:rPr>
                <w:rFonts w:hint="eastAsia" w:ascii="Times New Roman" w:hAnsi="Times New Roman"/>
                <w:b/>
              </w:rPr>
              <w:t>条款内容</w:t>
            </w:r>
          </w:p>
        </w:tc>
        <w:tc>
          <w:tcPr>
            <w:tcW w:w="5102" w:type="dxa"/>
            <w:tcBorders>
              <w:top w:val="single" w:color="auto" w:sz="4" w:space="0"/>
              <w:left w:val="single" w:color="auto" w:sz="4" w:space="0"/>
              <w:bottom w:val="single" w:color="auto" w:sz="4" w:space="0"/>
            </w:tcBorders>
            <w:vAlign w:val="center"/>
          </w:tcPr>
          <w:p w14:paraId="2F6E6F80">
            <w:pPr>
              <w:jc w:val="center"/>
              <w:rPr>
                <w:rFonts w:ascii="Times New Roman" w:hAnsi="Times New Roman"/>
                <w:b/>
              </w:rPr>
            </w:pPr>
            <w:r>
              <w:rPr>
                <w:rFonts w:hint="eastAsia" w:ascii="Times New Roman" w:hAnsi="Times New Roman"/>
                <w:b/>
              </w:rPr>
              <w:t>编列内容</w:t>
            </w:r>
          </w:p>
        </w:tc>
      </w:tr>
      <w:tr w14:paraId="131E7D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2024" w:type="dxa"/>
            <w:gridSpan w:val="2"/>
            <w:tcBorders>
              <w:bottom w:val="single" w:color="auto" w:sz="4" w:space="0"/>
              <w:right w:val="single" w:color="auto" w:sz="4" w:space="0"/>
            </w:tcBorders>
            <w:vAlign w:val="center"/>
          </w:tcPr>
          <w:p w14:paraId="4ADA69B4">
            <w:pPr>
              <w:jc w:val="center"/>
              <w:rPr>
                <w:rFonts w:ascii="Times New Roman" w:hAnsi="Times New Roman"/>
              </w:rPr>
            </w:pPr>
            <w:r>
              <w:rPr>
                <w:rFonts w:ascii="Times New Roman" w:hAnsi="Times New Roman"/>
              </w:rPr>
              <w:t>2.2.1</w:t>
            </w:r>
          </w:p>
        </w:tc>
        <w:tc>
          <w:tcPr>
            <w:tcW w:w="1945" w:type="dxa"/>
            <w:tcBorders>
              <w:top w:val="single" w:color="auto" w:sz="4" w:space="0"/>
              <w:left w:val="single" w:color="auto" w:sz="4" w:space="0"/>
              <w:bottom w:val="single" w:color="auto" w:sz="4" w:space="0"/>
              <w:right w:val="single" w:color="auto" w:sz="4" w:space="0"/>
            </w:tcBorders>
            <w:vAlign w:val="center"/>
          </w:tcPr>
          <w:p w14:paraId="3815FBC1">
            <w:pPr>
              <w:jc w:val="center"/>
              <w:rPr>
                <w:rFonts w:ascii="Times New Roman" w:hAnsi="Times New Roman"/>
              </w:rPr>
            </w:pPr>
            <w:r>
              <w:rPr>
                <w:rFonts w:hint="eastAsia" w:ascii="Times New Roman" w:hAnsi="Times New Roman"/>
              </w:rPr>
              <w:t>分值构成</w:t>
            </w:r>
          </w:p>
          <w:p w14:paraId="3E67DB07">
            <w:pPr>
              <w:jc w:val="center"/>
              <w:rPr>
                <w:rFonts w:ascii="Times New Roman" w:hAnsi="Times New Roman"/>
              </w:rPr>
            </w:pPr>
            <w:r>
              <w:rPr>
                <w:rFonts w:ascii="Times New Roman" w:hAnsi="Times New Roman"/>
              </w:rPr>
              <w:t>(</w:t>
            </w:r>
            <w:r>
              <w:rPr>
                <w:rFonts w:hint="eastAsia" w:ascii="Times New Roman" w:hAnsi="Times New Roman"/>
              </w:rPr>
              <w:t>总分</w:t>
            </w:r>
            <w:r>
              <w:rPr>
                <w:rFonts w:ascii="Times New Roman" w:hAnsi="Times New Roman"/>
              </w:rPr>
              <w:t>100</w:t>
            </w:r>
            <w:r>
              <w:rPr>
                <w:rFonts w:hint="eastAsia" w:ascii="Times New Roman" w:hAnsi="Times New Roman"/>
              </w:rPr>
              <w:t>分</w:t>
            </w:r>
            <w:r>
              <w:rPr>
                <w:rFonts w:ascii="Times New Roman" w:hAnsi="Times New Roman"/>
              </w:rPr>
              <w:t>)</w:t>
            </w:r>
          </w:p>
        </w:tc>
        <w:tc>
          <w:tcPr>
            <w:tcW w:w="5102" w:type="dxa"/>
            <w:tcBorders>
              <w:top w:val="single" w:color="auto" w:sz="4" w:space="0"/>
              <w:left w:val="single" w:color="auto" w:sz="4" w:space="0"/>
              <w:bottom w:val="single" w:color="auto" w:sz="4" w:space="0"/>
            </w:tcBorders>
            <w:vAlign w:val="center"/>
          </w:tcPr>
          <w:p w14:paraId="314A730F">
            <w:pPr>
              <w:spacing w:line="276" w:lineRule="auto"/>
              <w:jc w:val="left"/>
              <w:rPr>
                <w:rFonts w:ascii="Times New Roman" w:hAnsi="Times New Roman"/>
              </w:rPr>
            </w:pPr>
            <w:r>
              <w:rPr>
                <w:rFonts w:ascii="Times New Roman" w:hAnsi="Times New Roman"/>
                <w:b/>
              </w:rPr>
              <w:t>A.</w:t>
            </w:r>
            <w:r>
              <w:rPr>
                <w:rFonts w:hint="eastAsia" w:ascii="Times New Roman" w:hAnsi="Times New Roman"/>
                <w:b/>
              </w:rPr>
              <w:t>资信业绩部分</w:t>
            </w:r>
            <w:r>
              <w:rPr>
                <w:rFonts w:hint="eastAsia" w:ascii="Times New Roman" w:hAnsi="Times New Roman"/>
              </w:rPr>
              <w:t>：</w:t>
            </w:r>
            <w:r>
              <w:rPr>
                <w:rFonts w:hint="eastAsia" w:ascii="Times New Roman" w:hAnsi="Times New Roman"/>
                <w:u w:val="single"/>
              </w:rPr>
              <w:t>37</w:t>
            </w:r>
            <w:r>
              <w:rPr>
                <w:rFonts w:hint="eastAsia" w:ascii="Times New Roman" w:hAnsi="Times New Roman"/>
              </w:rPr>
              <w:t>分</w:t>
            </w:r>
          </w:p>
          <w:p w14:paraId="102CE649">
            <w:pPr>
              <w:spacing w:line="276" w:lineRule="auto"/>
              <w:jc w:val="left"/>
              <w:rPr>
                <w:rFonts w:ascii="Times New Roman" w:hAnsi="Times New Roman"/>
              </w:rPr>
            </w:pPr>
            <w:r>
              <w:rPr>
                <w:rFonts w:hint="eastAsia" w:ascii="Times New Roman" w:hAnsi="Times New Roman"/>
                <w:b/>
              </w:rPr>
              <w:t>B</w:t>
            </w:r>
            <w:r>
              <w:rPr>
                <w:rFonts w:ascii="Times New Roman" w:hAnsi="Times New Roman"/>
                <w:b/>
              </w:rPr>
              <w:t>.</w:t>
            </w:r>
            <w:r>
              <w:rPr>
                <w:rFonts w:hint="eastAsia" w:ascii="Times New Roman" w:hAnsi="Times New Roman"/>
                <w:b/>
              </w:rPr>
              <w:t>监理大纲部分</w:t>
            </w:r>
            <w:r>
              <w:rPr>
                <w:rFonts w:hint="eastAsia" w:ascii="Times New Roman" w:hAnsi="Times New Roman"/>
              </w:rPr>
              <w:t>：</w:t>
            </w:r>
            <w:r>
              <w:rPr>
                <w:rFonts w:hint="eastAsia" w:ascii="Times New Roman" w:hAnsi="Times New Roman"/>
                <w:u w:val="single"/>
              </w:rPr>
              <w:t>48</w:t>
            </w:r>
            <w:r>
              <w:rPr>
                <w:rFonts w:hint="eastAsia" w:ascii="Times New Roman" w:hAnsi="Times New Roman"/>
              </w:rPr>
              <w:t>分</w:t>
            </w:r>
          </w:p>
          <w:p w14:paraId="258B3E36">
            <w:pPr>
              <w:spacing w:line="276" w:lineRule="auto"/>
              <w:jc w:val="left"/>
              <w:rPr>
                <w:rFonts w:ascii="Times New Roman" w:hAnsi="Times New Roman"/>
                <w:bCs/>
              </w:rPr>
            </w:pPr>
            <w:r>
              <w:rPr>
                <w:rFonts w:ascii="Times New Roman" w:hAnsi="Times New Roman"/>
                <w:b/>
              </w:rPr>
              <w:t>C.</w:t>
            </w:r>
            <w:r>
              <w:rPr>
                <w:rFonts w:hint="eastAsia" w:ascii="Times New Roman" w:hAnsi="Times New Roman"/>
                <w:b/>
              </w:rPr>
              <w:t>投标报价部分</w:t>
            </w:r>
            <w:r>
              <w:rPr>
                <w:rFonts w:hint="eastAsia" w:ascii="Times New Roman" w:hAnsi="Times New Roman"/>
                <w:b/>
                <w:u w:val="single"/>
              </w:rPr>
              <w:t>：</w:t>
            </w:r>
            <w:r>
              <w:rPr>
                <w:rFonts w:ascii="Times New Roman" w:hAnsi="Times New Roman"/>
                <w:bCs/>
                <w:u w:val="single"/>
              </w:rPr>
              <w:t>10</w:t>
            </w:r>
            <w:r>
              <w:rPr>
                <w:rFonts w:hint="eastAsia" w:ascii="Times New Roman" w:hAnsi="Times New Roman"/>
                <w:bCs/>
              </w:rPr>
              <w:t>分</w:t>
            </w:r>
          </w:p>
          <w:p w14:paraId="4AC436D5">
            <w:pPr>
              <w:spacing w:line="276" w:lineRule="auto"/>
              <w:jc w:val="left"/>
              <w:rPr>
                <w:rFonts w:ascii="Times New Roman" w:hAnsi="Times New Roman"/>
                <w:b/>
              </w:rPr>
            </w:pPr>
            <w:r>
              <w:rPr>
                <w:rFonts w:ascii="Times New Roman" w:hAnsi="Times New Roman"/>
                <w:b/>
              </w:rPr>
              <w:t>D.</w:t>
            </w:r>
            <w:r>
              <w:rPr>
                <w:rFonts w:hint="eastAsia" w:ascii="Times New Roman" w:hAnsi="Times New Roman"/>
                <w:b/>
              </w:rPr>
              <w:t>其他</w:t>
            </w:r>
          </w:p>
          <w:p w14:paraId="69DE603A">
            <w:pPr>
              <w:spacing w:line="276" w:lineRule="auto"/>
              <w:jc w:val="left"/>
            </w:pPr>
            <w:r>
              <w:rPr>
                <w:rFonts w:hint="eastAsia" w:ascii="Times New Roman" w:hAnsi="Times New Roman"/>
                <w:b/>
              </w:rPr>
              <w:t>因素：</w:t>
            </w:r>
            <w:r>
              <w:rPr>
                <w:rFonts w:ascii="Times New Roman" w:hAnsi="Times New Roman"/>
                <w:b/>
              </w:rPr>
              <w:t>投标人诚信得分</w:t>
            </w:r>
            <w:r>
              <w:rPr>
                <w:rFonts w:hint="eastAsia" w:ascii="Times New Roman" w:hAnsi="Times New Roman"/>
                <w:bCs/>
                <w:u w:val="single"/>
              </w:rPr>
              <w:t>5</w:t>
            </w:r>
            <w:r>
              <w:rPr>
                <w:rFonts w:ascii="Times New Roman" w:hAnsi="Times New Roman"/>
                <w:bCs/>
                <w:u w:val="single"/>
              </w:rPr>
              <w:t>分</w:t>
            </w:r>
          </w:p>
        </w:tc>
      </w:tr>
      <w:tr w14:paraId="7ABB73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024" w:type="dxa"/>
            <w:gridSpan w:val="2"/>
            <w:tcBorders>
              <w:top w:val="single" w:color="auto" w:sz="4" w:space="0"/>
              <w:bottom w:val="single" w:color="auto" w:sz="4" w:space="0"/>
              <w:right w:val="single" w:color="auto" w:sz="4" w:space="0"/>
            </w:tcBorders>
            <w:vAlign w:val="center"/>
          </w:tcPr>
          <w:p w14:paraId="13B87EA2">
            <w:pPr>
              <w:jc w:val="center"/>
              <w:rPr>
                <w:rFonts w:ascii="Times New Roman" w:hAnsi="Times New Roman"/>
              </w:rPr>
            </w:pPr>
            <w:r>
              <w:rPr>
                <w:rFonts w:ascii="Times New Roman" w:hAnsi="Times New Roman"/>
              </w:rPr>
              <w:t>2.2.2</w:t>
            </w:r>
          </w:p>
        </w:tc>
        <w:tc>
          <w:tcPr>
            <w:tcW w:w="1945" w:type="dxa"/>
            <w:tcBorders>
              <w:top w:val="single" w:color="auto" w:sz="4" w:space="0"/>
              <w:left w:val="single" w:color="auto" w:sz="4" w:space="0"/>
              <w:bottom w:val="single" w:color="auto" w:sz="4" w:space="0"/>
              <w:right w:val="single" w:color="auto" w:sz="4" w:space="0"/>
            </w:tcBorders>
            <w:vAlign w:val="center"/>
          </w:tcPr>
          <w:p w14:paraId="27DEDA08">
            <w:pPr>
              <w:jc w:val="center"/>
              <w:rPr>
                <w:rFonts w:ascii="Times New Roman" w:hAnsi="Times New Roman"/>
              </w:rPr>
            </w:pPr>
            <w:r>
              <w:rPr>
                <w:rFonts w:hint="eastAsia" w:ascii="Times New Roman" w:hAnsi="Times New Roman"/>
              </w:rPr>
              <w:t>评标基准价计算方法</w:t>
            </w:r>
          </w:p>
        </w:tc>
        <w:tc>
          <w:tcPr>
            <w:tcW w:w="5102" w:type="dxa"/>
            <w:tcBorders>
              <w:top w:val="single" w:color="auto" w:sz="4" w:space="0"/>
              <w:left w:val="single" w:color="auto" w:sz="4" w:space="0"/>
              <w:bottom w:val="single" w:color="auto" w:sz="4" w:space="0"/>
            </w:tcBorders>
            <w:vAlign w:val="center"/>
          </w:tcPr>
          <w:p w14:paraId="2B5F1BD5">
            <w:pPr>
              <w:spacing w:line="276" w:lineRule="auto"/>
              <w:jc w:val="left"/>
              <w:rPr>
                <w:rFonts w:ascii="宋体" w:hAnsi="Courier New"/>
                <w:szCs w:val="21"/>
              </w:rPr>
            </w:pPr>
            <w:r>
              <w:rPr>
                <w:rFonts w:hint="eastAsia" w:ascii="宋体" w:hAnsi="Courier New"/>
                <w:szCs w:val="21"/>
              </w:rPr>
              <w:t>满足招标文件要求且投标价格最低的投标报价为评标基准价。</w:t>
            </w:r>
          </w:p>
        </w:tc>
      </w:tr>
      <w:tr w14:paraId="0FDCE1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024" w:type="dxa"/>
            <w:gridSpan w:val="2"/>
            <w:tcBorders>
              <w:top w:val="single" w:color="auto" w:sz="4" w:space="0"/>
              <w:bottom w:val="single" w:color="auto" w:sz="4" w:space="0"/>
              <w:right w:val="single" w:color="auto" w:sz="4" w:space="0"/>
            </w:tcBorders>
            <w:vAlign w:val="center"/>
          </w:tcPr>
          <w:p w14:paraId="044412CB">
            <w:pPr>
              <w:jc w:val="center"/>
              <w:rPr>
                <w:rFonts w:ascii="Times New Roman" w:hAnsi="Times New Roman"/>
              </w:rPr>
            </w:pPr>
            <w:r>
              <w:rPr>
                <w:rFonts w:ascii="Times New Roman" w:hAnsi="Times New Roman"/>
              </w:rPr>
              <w:t>2.2.3</w:t>
            </w:r>
          </w:p>
        </w:tc>
        <w:tc>
          <w:tcPr>
            <w:tcW w:w="1945" w:type="dxa"/>
            <w:tcBorders>
              <w:top w:val="single" w:color="auto" w:sz="4" w:space="0"/>
              <w:left w:val="single" w:color="auto" w:sz="4" w:space="0"/>
              <w:right w:val="single" w:color="auto" w:sz="4" w:space="0"/>
            </w:tcBorders>
            <w:vAlign w:val="center"/>
          </w:tcPr>
          <w:p w14:paraId="4291AEEB">
            <w:pPr>
              <w:jc w:val="center"/>
              <w:rPr>
                <w:rFonts w:ascii="Times New Roman" w:hAnsi="Times New Roman"/>
              </w:rPr>
            </w:pPr>
            <w:r>
              <w:rPr>
                <w:rFonts w:hint="eastAsia" w:ascii="Times New Roman" w:hAnsi="Times New Roman"/>
              </w:rPr>
              <w:t>投标报价的偏差率</w:t>
            </w:r>
          </w:p>
          <w:p w14:paraId="69F0378C">
            <w:pPr>
              <w:jc w:val="center"/>
              <w:rPr>
                <w:rFonts w:ascii="Times New Roman" w:hAnsi="Times New Roman"/>
              </w:rPr>
            </w:pPr>
            <w:r>
              <w:rPr>
                <w:rFonts w:hint="eastAsia" w:ascii="Times New Roman" w:hAnsi="Times New Roman"/>
              </w:rPr>
              <w:t>计算公式</w:t>
            </w:r>
          </w:p>
        </w:tc>
        <w:tc>
          <w:tcPr>
            <w:tcW w:w="5102" w:type="dxa"/>
            <w:tcBorders>
              <w:top w:val="single" w:color="auto" w:sz="4" w:space="0"/>
              <w:left w:val="single" w:color="auto" w:sz="4" w:space="0"/>
            </w:tcBorders>
            <w:vAlign w:val="center"/>
          </w:tcPr>
          <w:p w14:paraId="3F8FEF52">
            <w:pPr>
              <w:spacing w:line="276" w:lineRule="auto"/>
              <w:jc w:val="left"/>
              <w:rPr>
                <w:rFonts w:ascii="宋体" w:hAnsi="Courier New"/>
                <w:szCs w:val="21"/>
                <w:u w:val="single"/>
              </w:rPr>
            </w:pPr>
            <w:r>
              <w:rPr>
                <w:rFonts w:hint="eastAsia" w:ascii="宋体" w:hAnsi="Courier New"/>
                <w:szCs w:val="21"/>
                <w:u w:val="single"/>
              </w:rPr>
              <w:t>/</w:t>
            </w:r>
          </w:p>
        </w:tc>
      </w:tr>
      <w:tr w14:paraId="2071EB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4" w:hRule="atLeast"/>
          <w:jc w:val="center"/>
        </w:trPr>
        <w:tc>
          <w:tcPr>
            <w:tcW w:w="900" w:type="dxa"/>
            <w:vMerge w:val="restart"/>
            <w:tcBorders>
              <w:top w:val="single" w:color="auto" w:sz="4" w:space="0"/>
              <w:right w:val="single" w:color="auto" w:sz="4" w:space="0"/>
            </w:tcBorders>
            <w:vAlign w:val="center"/>
          </w:tcPr>
          <w:p w14:paraId="27B55547">
            <w:pPr>
              <w:spacing w:line="440" w:lineRule="exact"/>
              <w:jc w:val="center"/>
              <w:rPr>
                <w:rFonts w:ascii="Times New Roman" w:hAnsi="Times New Roman"/>
              </w:rPr>
            </w:pPr>
            <w:r>
              <w:rPr>
                <w:rFonts w:ascii="Times New Roman" w:hAnsi="Times New Roman"/>
              </w:rPr>
              <w:t>2.2.4</w:t>
            </w:r>
            <w:r>
              <w:rPr>
                <w:rFonts w:hint="eastAsia" w:ascii="Times New Roman" w:hAnsi="Times New Roman"/>
              </w:rPr>
              <w:t>（</w:t>
            </w:r>
            <w:r>
              <w:rPr>
                <w:rFonts w:ascii="Times New Roman" w:hAnsi="Times New Roman"/>
              </w:rPr>
              <w:t>1</w:t>
            </w:r>
            <w:r>
              <w:rPr>
                <w:rFonts w:hint="eastAsia" w:ascii="Times New Roman" w:hAnsi="Times New Roman"/>
              </w:rPr>
              <w:t>）</w:t>
            </w:r>
          </w:p>
        </w:tc>
        <w:tc>
          <w:tcPr>
            <w:tcW w:w="1124" w:type="dxa"/>
            <w:vMerge w:val="restart"/>
            <w:tcBorders>
              <w:top w:val="single" w:color="auto" w:sz="4" w:space="0"/>
              <w:right w:val="single" w:color="auto" w:sz="4" w:space="0"/>
            </w:tcBorders>
            <w:vAlign w:val="center"/>
          </w:tcPr>
          <w:p w14:paraId="729557A9">
            <w:pPr>
              <w:spacing w:line="440" w:lineRule="exact"/>
              <w:jc w:val="center"/>
              <w:rPr>
                <w:rFonts w:ascii="Times New Roman" w:hAnsi="Times New Roman"/>
              </w:rPr>
            </w:pPr>
            <w:r>
              <w:rPr>
                <w:rFonts w:hint="eastAsia" w:ascii="宋体" w:hAnsi="宋体" w:cs="宋体"/>
              </w:rPr>
              <w:t>资信业绩评分标准</w:t>
            </w:r>
            <w:r>
              <w:rPr>
                <w:rFonts w:hint="eastAsia" w:ascii="宋体" w:hAnsi="宋体" w:cs="宋体"/>
                <w:szCs w:val="21"/>
              </w:rPr>
              <w:t>（</w:t>
            </w:r>
            <w:r>
              <w:rPr>
                <w:rFonts w:hint="eastAsia" w:ascii="宋体" w:hAnsi="Courier New"/>
                <w:szCs w:val="21"/>
              </w:rPr>
              <w:t>37</w:t>
            </w:r>
            <w:r>
              <w:rPr>
                <w:rFonts w:hint="eastAsia" w:ascii="宋体" w:hAnsi="宋体" w:cs="宋体"/>
                <w:szCs w:val="21"/>
              </w:rPr>
              <w:t>分）</w:t>
            </w:r>
          </w:p>
        </w:tc>
        <w:tc>
          <w:tcPr>
            <w:tcW w:w="1945" w:type="dxa"/>
            <w:tcBorders>
              <w:top w:val="single" w:color="auto" w:sz="4" w:space="0"/>
              <w:left w:val="single" w:color="auto" w:sz="4" w:space="0"/>
              <w:bottom w:val="single" w:color="auto" w:sz="4" w:space="0"/>
              <w:right w:val="single" w:color="auto" w:sz="4" w:space="0"/>
            </w:tcBorders>
            <w:vAlign w:val="center"/>
          </w:tcPr>
          <w:p w14:paraId="6650EA8C">
            <w:pPr>
              <w:spacing w:line="360" w:lineRule="auto"/>
              <w:jc w:val="center"/>
              <w:rPr>
                <w:rFonts w:ascii="宋体" w:hAnsi="宋体" w:cs="宋体"/>
                <w:szCs w:val="21"/>
              </w:rPr>
            </w:pPr>
            <w:r>
              <w:rPr>
                <w:rFonts w:hint="eastAsia" w:ascii="宋体" w:hAnsi="宋体" w:cs="宋体"/>
                <w:szCs w:val="21"/>
              </w:rPr>
              <w:t>类似业绩</w:t>
            </w:r>
          </w:p>
          <w:p w14:paraId="4942FC50">
            <w:pPr>
              <w:spacing w:line="360" w:lineRule="auto"/>
              <w:jc w:val="center"/>
              <w:rPr>
                <w:rFonts w:ascii="Times New Roman" w:hAnsi="Times New Roman"/>
              </w:rPr>
            </w:pPr>
            <w:r>
              <w:rPr>
                <w:rFonts w:hint="eastAsia" w:ascii="宋体" w:hAnsi="宋体" w:cs="宋体"/>
                <w:szCs w:val="21"/>
              </w:rPr>
              <w:t>（9分）</w:t>
            </w:r>
          </w:p>
        </w:tc>
        <w:tc>
          <w:tcPr>
            <w:tcW w:w="5102" w:type="dxa"/>
            <w:tcBorders>
              <w:top w:val="single" w:color="auto" w:sz="4" w:space="0"/>
              <w:left w:val="single" w:color="auto" w:sz="4" w:space="0"/>
              <w:bottom w:val="single" w:color="auto" w:sz="4" w:space="0"/>
            </w:tcBorders>
            <w:vAlign w:val="center"/>
          </w:tcPr>
          <w:p w14:paraId="4B99DB42">
            <w:pPr>
              <w:rPr>
                <w:rFonts w:ascii="宋体" w:hAnsi="宋体" w:cs="宋体"/>
                <w:szCs w:val="21"/>
              </w:rPr>
            </w:pPr>
            <w:r>
              <w:rPr>
                <w:rFonts w:hint="eastAsia" w:ascii="宋体" w:hAnsi="宋体" w:cs="宋体"/>
                <w:szCs w:val="21"/>
              </w:rPr>
              <w:t>自202</w:t>
            </w:r>
            <w:r>
              <w:rPr>
                <w:rFonts w:ascii="宋体" w:hAnsi="宋体" w:cs="宋体"/>
                <w:szCs w:val="21"/>
              </w:rPr>
              <w:t>0</w:t>
            </w:r>
            <w:r>
              <w:rPr>
                <w:rFonts w:hint="eastAsia" w:ascii="宋体" w:hAnsi="宋体" w:cs="宋体"/>
                <w:szCs w:val="21"/>
              </w:rPr>
              <w:t>年1月1日至今，投标人承接公共建筑类工程的监理</w:t>
            </w:r>
            <w:r>
              <w:rPr>
                <w:rFonts w:hint="eastAsia" w:ascii="宋体" w:hAnsi="宋体" w:cs="宋体"/>
                <w:szCs w:val="21"/>
                <w:highlight w:val="none"/>
              </w:rPr>
              <w:t>服务业绩</w:t>
            </w:r>
            <w:r>
              <w:rPr>
                <w:rFonts w:hint="eastAsia" w:ascii="宋体" w:hAnsi="宋体" w:cs="宋体"/>
                <w:szCs w:val="21"/>
              </w:rPr>
              <w:t>，且工程验收合格，每个得</w:t>
            </w:r>
            <w:r>
              <w:rPr>
                <w:rFonts w:ascii="宋体" w:hAnsi="宋体" w:cs="宋体"/>
                <w:szCs w:val="21"/>
              </w:rPr>
              <w:t>3分。本项最高得9分。</w:t>
            </w:r>
          </w:p>
          <w:p w14:paraId="42CA4567">
            <w:r>
              <w:rPr>
                <w:rFonts w:hint="eastAsia" w:ascii="宋体" w:hAnsi="宋体" w:cs="宋体"/>
                <w:szCs w:val="21"/>
              </w:rPr>
              <w:t>注：企业类似业绩与总监理工程师、总监代表的业绩，同一项目不重复计分。</w:t>
            </w:r>
          </w:p>
        </w:tc>
      </w:tr>
      <w:tr w14:paraId="28D1CC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12" w:hRule="atLeast"/>
          <w:jc w:val="center"/>
        </w:trPr>
        <w:tc>
          <w:tcPr>
            <w:tcW w:w="900" w:type="dxa"/>
            <w:vMerge w:val="continue"/>
            <w:tcBorders>
              <w:right w:val="single" w:color="auto" w:sz="4" w:space="0"/>
            </w:tcBorders>
          </w:tcPr>
          <w:p w14:paraId="4D658AE2">
            <w:pPr>
              <w:rPr>
                <w:rFonts w:ascii="Times New Roman" w:hAnsi="Times New Roman"/>
              </w:rPr>
            </w:pPr>
          </w:p>
        </w:tc>
        <w:tc>
          <w:tcPr>
            <w:tcW w:w="1124" w:type="dxa"/>
            <w:vMerge w:val="continue"/>
            <w:tcBorders>
              <w:right w:val="single" w:color="auto" w:sz="4" w:space="0"/>
            </w:tcBorders>
          </w:tcPr>
          <w:p w14:paraId="4B8DEF12">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1F195FC1">
            <w:pPr>
              <w:spacing w:line="360" w:lineRule="auto"/>
              <w:jc w:val="center"/>
              <w:rPr>
                <w:rFonts w:ascii="宋体" w:hAnsi="宋体"/>
              </w:rPr>
            </w:pPr>
            <w:r>
              <w:rPr>
                <w:rFonts w:hint="eastAsia" w:ascii="宋体" w:hAnsi="宋体" w:cs="宋体"/>
                <w:szCs w:val="21"/>
              </w:rPr>
              <w:t>总监理工程师资历及业绩（8分）</w:t>
            </w:r>
          </w:p>
        </w:tc>
        <w:tc>
          <w:tcPr>
            <w:tcW w:w="5102" w:type="dxa"/>
            <w:tcBorders>
              <w:top w:val="single" w:color="auto" w:sz="4" w:space="0"/>
              <w:left w:val="single" w:color="auto" w:sz="4" w:space="0"/>
              <w:bottom w:val="single" w:color="auto" w:sz="4" w:space="0"/>
            </w:tcBorders>
            <w:vAlign w:val="center"/>
          </w:tcPr>
          <w:p w14:paraId="2B7B3D44">
            <w:pPr>
              <w:rPr>
                <w:rFonts w:ascii="宋体" w:hAnsi="宋体" w:cs="宋体"/>
                <w:szCs w:val="21"/>
              </w:rPr>
            </w:pPr>
            <w:r>
              <w:rPr>
                <w:rFonts w:hint="eastAsia" w:ascii="宋体" w:hAnsi="宋体" w:cs="宋体"/>
                <w:szCs w:val="21"/>
              </w:rPr>
              <w:t>1、具有工程类副高级技术职称以及取得该职称证书的年限为5年(含本数)或以上的或具有工程类正高级技术职称以及取得该职称证书的年限为3年(含本数)或以上的，得4分，最高得4分。</w:t>
            </w:r>
          </w:p>
          <w:p w14:paraId="31EA1E7D">
            <w:pPr>
              <w:rPr>
                <w:rFonts w:ascii="宋体" w:hAnsi="宋体" w:cs="宋体"/>
                <w:szCs w:val="21"/>
              </w:rPr>
            </w:pPr>
            <w:r>
              <w:rPr>
                <w:rFonts w:hint="eastAsia" w:ascii="宋体" w:hAnsi="宋体" w:cs="宋体"/>
                <w:szCs w:val="21"/>
              </w:rPr>
              <w:t>2、自202</w:t>
            </w:r>
            <w:r>
              <w:rPr>
                <w:rFonts w:ascii="宋体" w:hAnsi="宋体" w:cs="宋体"/>
                <w:szCs w:val="21"/>
              </w:rPr>
              <w:t>0</w:t>
            </w:r>
            <w:r>
              <w:rPr>
                <w:rFonts w:hint="eastAsia" w:ascii="宋体" w:hAnsi="宋体" w:cs="宋体"/>
                <w:szCs w:val="21"/>
              </w:rPr>
              <w:t>年1月1日至今担任总监理工程师完成过质量合格的</w:t>
            </w:r>
            <w:r>
              <w:rPr>
                <w:rFonts w:hint="eastAsia"/>
              </w:rPr>
              <w:t>公共建筑类工程</w:t>
            </w:r>
            <w:r>
              <w:rPr>
                <w:rFonts w:hint="eastAsia" w:ascii="宋体" w:hAnsi="宋体" w:cs="宋体"/>
                <w:szCs w:val="21"/>
              </w:rPr>
              <w:t>，每个得2分，最高得4分。</w:t>
            </w:r>
          </w:p>
          <w:p w14:paraId="7DA07181">
            <w:pPr>
              <w:rPr>
                <w:rFonts w:cs="宋体"/>
                <w:lang w:bidi="ar"/>
              </w:rPr>
            </w:pPr>
            <w:r>
              <w:rPr>
                <w:rFonts w:hint="eastAsia" w:ascii="宋体" w:hAnsi="宋体" w:cs="宋体"/>
                <w:lang w:bidi="ar"/>
              </w:rPr>
              <w:t>注：1、</w:t>
            </w:r>
            <w:r>
              <w:rPr>
                <w:rFonts w:hint="eastAsia" w:cs="宋体"/>
                <w:lang w:bidi="ar"/>
              </w:rPr>
              <w:t>提供以上人员职称证等相关证明材料扫描件以及近一个月（指2025年8月）在投标人单位缴纳社保的证明材料扫描件。不提供相应社保证明材料，该拟派人员不计得分。</w:t>
            </w:r>
          </w:p>
          <w:p w14:paraId="3311AD79">
            <w:pPr>
              <w:rPr>
                <w:rFonts w:ascii="宋体" w:hAnsi="宋体" w:cs="宋体"/>
                <w:lang w:bidi="ar"/>
              </w:rPr>
            </w:pPr>
            <w:r>
              <w:rPr>
                <w:rFonts w:hint="eastAsia" w:cs="宋体"/>
                <w:lang w:bidi="ar"/>
              </w:rPr>
              <w:t>2、</w:t>
            </w:r>
            <w:r>
              <w:rPr>
                <w:rFonts w:hint="eastAsia" w:ascii="宋体" w:hAnsi="宋体" w:cs="宋体"/>
                <w:lang w:bidi="ar"/>
              </w:rPr>
              <w:t>取得职称证的年限以发证时间开始计算(如证书未体现发证时间的，以评审时间开始计算)；职称证书以地市级(或以上)人社部门核发为准，若非人社部门核发的职称证书，投标人须同时提供地市级(或以上)人社部门委托核发机构开展职称评审工作的证明文件或其他可由该机构核发的政策文件依据，否则，对该职称证书不予认可。</w:t>
            </w:r>
          </w:p>
          <w:p w14:paraId="0F2F68BD">
            <w:pPr>
              <w:rPr>
                <w:lang w:bidi="ar"/>
              </w:rPr>
            </w:pPr>
            <w:r>
              <w:rPr>
                <w:rFonts w:hint="eastAsia"/>
              </w:rPr>
              <w:t>3.</w:t>
            </w:r>
            <w:r>
              <w:rPr>
                <w:rFonts w:hint="eastAsia" w:ascii="宋体" w:hAnsi="宋体" w:cs="宋体"/>
                <w:szCs w:val="21"/>
              </w:rPr>
              <w:t>企业类似业绩与总监理工程师、总监代表的业绩，同一项目不重复计分。</w:t>
            </w:r>
          </w:p>
        </w:tc>
      </w:tr>
      <w:tr w14:paraId="3E634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16" w:hRule="atLeast"/>
          <w:jc w:val="center"/>
        </w:trPr>
        <w:tc>
          <w:tcPr>
            <w:tcW w:w="900" w:type="dxa"/>
            <w:vMerge w:val="continue"/>
            <w:tcBorders>
              <w:right w:val="single" w:color="auto" w:sz="4" w:space="0"/>
            </w:tcBorders>
          </w:tcPr>
          <w:p w14:paraId="1398E97E">
            <w:pPr>
              <w:rPr>
                <w:rFonts w:ascii="Times New Roman" w:hAnsi="Times New Roman"/>
              </w:rPr>
            </w:pPr>
          </w:p>
        </w:tc>
        <w:tc>
          <w:tcPr>
            <w:tcW w:w="1124" w:type="dxa"/>
            <w:vMerge w:val="continue"/>
            <w:tcBorders>
              <w:right w:val="single" w:color="auto" w:sz="4" w:space="0"/>
            </w:tcBorders>
          </w:tcPr>
          <w:p w14:paraId="6C424FFA">
            <w:pPr>
              <w:rPr>
                <w:rFonts w:ascii="Times New Roman" w:hAnsi="Times New Roman"/>
              </w:rPr>
            </w:pPr>
          </w:p>
        </w:tc>
        <w:tc>
          <w:tcPr>
            <w:tcW w:w="1945" w:type="dxa"/>
            <w:tcBorders>
              <w:top w:val="single" w:color="auto" w:sz="4" w:space="0"/>
              <w:left w:val="single" w:color="auto" w:sz="4" w:space="0"/>
              <w:right w:val="single" w:color="auto" w:sz="4" w:space="0"/>
            </w:tcBorders>
            <w:vAlign w:val="center"/>
          </w:tcPr>
          <w:p w14:paraId="4703156B">
            <w:pPr>
              <w:topLinePunct/>
              <w:adjustRightInd w:val="0"/>
              <w:snapToGrid w:val="0"/>
              <w:spacing w:line="360" w:lineRule="auto"/>
              <w:jc w:val="center"/>
              <w:rPr>
                <w:rFonts w:ascii="Times New Roman" w:hAnsi="Times New Roman"/>
              </w:rPr>
            </w:pPr>
            <w:r>
              <w:rPr>
                <w:rFonts w:hint="eastAsia" w:ascii="宋体" w:hAnsi="宋体" w:cs="宋体"/>
                <w:snapToGrid w:val="0"/>
                <w:spacing w:val="4"/>
                <w:kern w:val="0"/>
                <w:szCs w:val="21"/>
                <w:lang w:bidi="ar"/>
              </w:rPr>
              <w:t>总监代表资历及业绩（8分）</w:t>
            </w:r>
          </w:p>
        </w:tc>
        <w:tc>
          <w:tcPr>
            <w:tcW w:w="5102" w:type="dxa"/>
            <w:tcBorders>
              <w:top w:val="single" w:color="auto" w:sz="4" w:space="0"/>
              <w:left w:val="single" w:color="auto" w:sz="4" w:space="0"/>
            </w:tcBorders>
            <w:vAlign w:val="center"/>
          </w:tcPr>
          <w:p w14:paraId="59AB7103">
            <w:pPr>
              <w:jc w:val="left"/>
              <w:rPr>
                <w:rFonts w:ascii="宋体" w:hAnsi="宋体" w:cs="宋体"/>
                <w:szCs w:val="21"/>
              </w:rPr>
            </w:pPr>
            <w:r>
              <w:rPr>
                <w:rFonts w:hint="eastAsia" w:ascii="宋体" w:hAnsi="宋体" w:cs="宋体"/>
                <w:szCs w:val="21"/>
              </w:rPr>
              <w:t>1、具有工程类中级技术职称以及取得该职称证书的年限为5年(含本数)或以上的或具有工程类副高级（或以上）技术职称以及取得该职称证书的年限为3年(含本数)或以上的，得4分，最高得4分。</w:t>
            </w:r>
          </w:p>
          <w:p w14:paraId="35BA20D6">
            <w:pPr>
              <w:numPr>
                <w:ilvl w:val="255"/>
                <w:numId w:val="0"/>
              </w:numPr>
              <w:spacing w:line="240" w:lineRule="auto"/>
              <w:jc w:val="left"/>
              <w:rPr>
                <w:rFonts w:ascii="宋体" w:hAnsi="宋体" w:cs="宋体"/>
                <w:szCs w:val="21"/>
              </w:rPr>
            </w:pPr>
            <w:r>
              <w:rPr>
                <w:rFonts w:hint="eastAsia" w:ascii="宋体" w:hAnsi="宋体" w:cs="宋体"/>
                <w:szCs w:val="21"/>
              </w:rPr>
              <w:t>自202</w:t>
            </w:r>
            <w:r>
              <w:rPr>
                <w:rFonts w:ascii="宋体" w:hAnsi="宋体" w:cs="宋体"/>
                <w:szCs w:val="21"/>
              </w:rPr>
              <w:t>0</w:t>
            </w:r>
            <w:r>
              <w:rPr>
                <w:rFonts w:hint="eastAsia" w:ascii="宋体" w:hAnsi="宋体" w:cs="宋体"/>
                <w:szCs w:val="21"/>
              </w:rPr>
              <w:t>年1月1日至今担任总监理工程师或</w:t>
            </w:r>
            <w:r>
              <w:rPr>
                <w:rFonts w:hint="eastAsia" w:ascii="宋体" w:hAnsi="宋体" w:cs="宋体"/>
                <w:snapToGrid w:val="0"/>
                <w:spacing w:val="4"/>
                <w:kern w:val="0"/>
                <w:szCs w:val="21"/>
                <w:lang w:bidi="ar"/>
              </w:rPr>
              <w:t>总监代表</w:t>
            </w:r>
            <w:r>
              <w:rPr>
                <w:rFonts w:hint="eastAsia" w:ascii="宋体" w:hAnsi="宋体" w:cs="宋体"/>
                <w:szCs w:val="21"/>
              </w:rPr>
              <w:t>完成过质量合格的</w:t>
            </w:r>
            <w:r>
              <w:rPr>
                <w:rFonts w:hint="eastAsia"/>
              </w:rPr>
              <w:t>公共建筑类工程</w:t>
            </w:r>
            <w:r>
              <w:rPr>
                <w:rFonts w:hint="eastAsia" w:ascii="宋体" w:hAnsi="宋体" w:cs="宋体"/>
                <w:szCs w:val="21"/>
              </w:rPr>
              <w:t>，每个得2分，最高得4分。</w:t>
            </w:r>
          </w:p>
          <w:p w14:paraId="120995F6">
            <w:pPr>
              <w:rPr>
                <w:rFonts w:cs="宋体"/>
                <w:lang w:bidi="ar"/>
              </w:rPr>
            </w:pPr>
            <w:r>
              <w:rPr>
                <w:rFonts w:hint="eastAsia" w:ascii="宋体" w:hAnsi="宋体" w:cs="宋体"/>
                <w:lang w:bidi="ar"/>
              </w:rPr>
              <w:t>注：1、</w:t>
            </w:r>
            <w:r>
              <w:rPr>
                <w:rFonts w:hint="eastAsia" w:cs="宋体"/>
                <w:lang w:bidi="ar"/>
              </w:rPr>
              <w:t>提供以上人员职称证等相关证明材料扫描件以及近一个月（指2025年8月）在投标人单位缴纳社保的证明材料扫描件。不提供相应社保证明材料，该拟派人员不计得分。</w:t>
            </w:r>
          </w:p>
          <w:p w14:paraId="3BAC1A4C">
            <w:pPr>
              <w:rPr>
                <w:rFonts w:ascii="宋体" w:hAnsi="宋体" w:cs="宋体"/>
                <w:lang w:bidi="ar"/>
              </w:rPr>
            </w:pPr>
            <w:r>
              <w:rPr>
                <w:rFonts w:hint="eastAsia" w:cs="宋体"/>
                <w:lang w:bidi="ar"/>
              </w:rPr>
              <w:t>2、</w:t>
            </w:r>
            <w:r>
              <w:rPr>
                <w:rFonts w:hint="eastAsia" w:ascii="宋体" w:hAnsi="宋体" w:cs="宋体"/>
                <w:lang w:bidi="ar"/>
              </w:rPr>
              <w:t>取得职称证的年限以发证时间开始计算(如证书未体现发证时间的，以评审时间开始计算)；职称证书以地市级(或以上)人社部门核发为准，若非人社部门核发的职称证书，投标人须同时提供地市级(或以上)人社部门委托核发机构开展职称评审工作的证明文件或其他可由该机构核发的政策文件依据，否则，对该职称证书不予认可。</w:t>
            </w:r>
          </w:p>
          <w:p w14:paraId="30412484">
            <w:r>
              <w:rPr>
                <w:rFonts w:hint="eastAsia"/>
              </w:rPr>
              <w:t>3.</w:t>
            </w:r>
            <w:r>
              <w:rPr>
                <w:rFonts w:hint="eastAsia" w:ascii="宋体" w:hAnsi="宋体" w:cs="宋体"/>
                <w:szCs w:val="21"/>
              </w:rPr>
              <w:t>企业类似业绩与总监理工程师、总监代表的业绩，同一项目不重复计分。</w:t>
            </w:r>
          </w:p>
        </w:tc>
      </w:tr>
      <w:tr w14:paraId="679B52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97" w:hRule="atLeast"/>
          <w:jc w:val="center"/>
        </w:trPr>
        <w:tc>
          <w:tcPr>
            <w:tcW w:w="900" w:type="dxa"/>
            <w:vMerge w:val="continue"/>
            <w:tcBorders>
              <w:right w:val="single" w:color="auto" w:sz="4" w:space="0"/>
            </w:tcBorders>
          </w:tcPr>
          <w:p w14:paraId="01610240">
            <w:pPr>
              <w:rPr>
                <w:rFonts w:ascii="Times New Roman" w:hAnsi="Times New Roman"/>
              </w:rPr>
            </w:pPr>
          </w:p>
        </w:tc>
        <w:tc>
          <w:tcPr>
            <w:tcW w:w="1124" w:type="dxa"/>
            <w:vMerge w:val="continue"/>
            <w:tcBorders>
              <w:right w:val="single" w:color="auto" w:sz="4" w:space="0"/>
            </w:tcBorders>
          </w:tcPr>
          <w:p w14:paraId="01A00840">
            <w:pPr>
              <w:rPr>
                <w:rFonts w:ascii="Times New Roman" w:hAnsi="Times New Roman"/>
              </w:rPr>
            </w:pPr>
          </w:p>
        </w:tc>
        <w:tc>
          <w:tcPr>
            <w:tcW w:w="1945" w:type="dxa"/>
            <w:tcBorders>
              <w:top w:val="single" w:color="auto" w:sz="4" w:space="0"/>
              <w:left w:val="single" w:color="auto" w:sz="4" w:space="0"/>
              <w:right w:val="single" w:color="auto" w:sz="4" w:space="0"/>
            </w:tcBorders>
            <w:vAlign w:val="center"/>
          </w:tcPr>
          <w:p w14:paraId="73693F2A">
            <w:pPr>
              <w:spacing w:line="360" w:lineRule="auto"/>
              <w:jc w:val="center"/>
              <w:rPr>
                <w:rFonts w:ascii="宋体" w:hAnsi="宋体" w:cs="宋体"/>
                <w:szCs w:val="21"/>
              </w:rPr>
            </w:pPr>
            <w:r>
              <w:rPr>
                <w:rFonts w:hint="eastAsia" w:ascii="宋体" w:hAnsi="宋体" w:cs="宋体"/>
                <w:szCs w:val="21"/>
              </w:rPr>
              <w:t>企业获奖情况</w:t>
            </w:r>
          </w:p>
          <w:p w14:paraId="27A91146">
            <w:pPr>
              <w:spacing w:line="360" w:lineRule="auto"/>
              <w:jc w:val="center"/>
              <w:rPr>
                <w:rFonts w:ascii="Times New Roman" w:hAnsi="Times New Roman"/>
              </w:rPr>
            </w:pPr>
            <w:r>
              <w:rPr>
                <w:rFonts w:hint="eastAsia" w:ascii="宋体" w:hAnsi="宋体" w:cs="宋体"/>
                <w:szCs w:val="21"/>
              </w:rPr>
              <w:t>（6分）</w:t>
            </w:r>
          </w:p>
        </w:tc>
        <w:tc>
          <w:tcPr>
            <w:tcW w:w="5102" w:type="dxa"/>
            <w:tcBorders>
              <w:top w:val="single" w:color="auto" w:sz="4" w:space="0"/>
              <w:left w:val="single" w:color="auto" w:sz="4" w:space="0"/>
            </w:tcBorders>
            <w:vAlign w:val="center"/>
          </w:tcPr>
          <w:p w14:paraId="0D70E09F">
            <w:pPr>
              <w:spacing w:line="360" w:lineRule="auto"/>
              <w:rPr>
                <w:rFonts w:ascii="宋体" w:hAnsi="宋体" w:cs="宋体"/>
                <w:szCs w:val="21"/>
                <w:lang w:val="zh-CN"/>
              </w:rPr>
            </w:pPr>
            <w:r>
              <w:rPr>
                <w:rFonts w:hint="eastAsia" w:ascii="宋体" w:hAnsi="宋体" w:cs="宋体"/>
                <w:szCs w:val="21"/>
              </w:rPr>
              <w:t>自2020年1月1日至今，投标人监理的类似项目获得国家级奖项的每个得3分，</w:t>
            </w:r>
            <w:r>
              <w:rPr>
                <w:rFonts w:hint="eastAsia" w:ascii="宋体" w:hAnsi="宋体" w:cs="宋体"/>
                <w:szCs w:val="21"/>
                <w:lang w:val="zh-CN"/>
              </w:rPr>
              <w:t>本项最高得</w:t>
            </w:r>
            <w:r>
              <w:rPr>
                <w:rFonts w:hint="eastAsia" w:ascii="宋体" w:hAnsi="宋体" w:cs="宋体"/>
                <w:szCs w:val="21"/>
              </w:rPr>
              <w:t>6</w:t>
            </w:r>
            <w:r>
              <w:rPr>
                <w:rFonts w:hint="eastAsia" w:ascii="宋体" w:hAnsi="宋体" w:cs="宋体"/>
                <w:szCs w:val="21"/>
                <w:lang w:val="zh-CN"/>
              </w:rPr>
              <w:t>分。</w:t>
            </w:r>
          </w:p>
          <w:p w14:paraId="3E65EF55">
            <w:pPr>
              <w:spacing w:line="360" w:lineRule="auto"/>
            </w:pPr>
            <w:r>
              <w:rPr>
                <w:rFonts w:hint="eastAsia" w:ascii="宋体" w:hAnsi="宋体" w:cs="宋体"/>
                <w:szCs w:val="21"/>
              </w:rPr>
              <w:t>注：需提供获奖证书扫描件，同一项目奖项只计算一次；获奖业绩时间以获奖证书所署时间或奖项颁发机构公告为准。</w:t>
            </w:r>
          </w:p>
        </w:tc>
      </w:tr>
      <w:tr w14:paraId="29003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5" w:hRule="atLeast"/>
          <w:jc w:val="center"/>
        </w:trPr>
        <w:tc>
          <w:tcPr>
            <w:tcW w:w="900" w:type="dxa"/>
            <w:vMerge w:val="continue"/>
            <w:tcBorders>
              <w:right w:val="single" w:color="auto" w:sz="4" w:space="0"/>
            </w:tcBorders>
          </w:tcPr>
          <w:p w14:paraId="4CC6D0F6">
            <w:pPr>
              <w:rPr>
                <w:rFonts w:ascii="Times New Roman" w:hAnsi="Times New Roman"/>
              </w:rPr>
            </w:pPr>
          </w:p>
        </w:tc>
        <w:tc>
          <w:tcPr>
            <w:tcW w:w="1124" w:type="dxa"/>
            <w:vMerge w:val="continue"/>
            <w:tcBorders>
              <w:right w:val="single" w:color="auto" w:sz="4" w:space="0"/>
            </w:tcBorders>
          </w:tcPr>
          <w:p w14:paraId="024B3DB2">
            <w:pPr>
              <w:rPr>
                <w:rFonts w:ascii="Times New Roman" w:hAnsi="Times New Roman"/>
              </w:rPr>
            </w:pPr>
          </w:p>
        </w:tc>
        <w:tc>
          <w:tcPr>
            <w:tcW w:w="1945" w:type="dxa"/>
            <w:tcBorders>
              <w:top w:val="single" w:color="auto" w:sz="4" w:space="0"/>
              <w:left w:val="single" w:color="auto" w:sz="4" w:space="0"/>
              <w:right w:val="single" w:color="auto" w:sz="4" w:space="0"/>
            </w:tcBorders>
            <w:vAlign w:val="center"/>
          </w:tcPr>
          <w:p w14:paraId="1B8A7E5A">
            <w:pPr>
              <w:widowControl/>
              <w:spacing w:line="360" w:lineRule="auto"/>
              <w:jc w:val="center"/>
              <w:rPr>
                <w:rFonts w:ascii="宋体" w:hAnsi="宋体" w:cs="宋体"/>
                <w:szCs w:val="21"/>
              </w:rPr>
            </w:pPr>
            <w:r>
              <w:rPr>
                <w:rFonts w:hint="eastAsia" w:ascii="宋体" w:hAnsi="宋体" w:cs="宋体"/>
                <w:szCs w:val="21"/>
              </w:rPr>
              <w:t>投标人认证</w:t>
            </w:r>
          </w:p>
          <w:p w14:paraId="2B1E0E60">
            <w:pPr>
              <w:widowControl/>
              <w:spacing w:line="360" w:lineRule="auto"/>
              <w:jc w:val="center"/>
            </w:pPr>
            <w:r>
              <w:rPr>
                <w:rFonts w:hint="eastAsia" w:ascii="宋体" w:hAnsi="宋体" w:cs="宋体"/>
                <w:szCs w:val="21"/>
              </w:rPr>
              <w:t>（6分）</w:t>
            </w:r>
          </w:p>
        </w:tc>
        <w:tc>
          <w:tcPr>
            <w:tcW w:w="5102" w:type="dxa"/>
            <w:tcBorders>
              <w:top w:val="single" w:color="auto" w:sz="4" w:space="0"/>
              <w:left w:val="single" w:color="auto" w:sz="4" w:space="0"/>
            </w:tcBorders>
            <w:vAlign w:val="center"/>
          </w:tcPr>
          <w:p w14:paraId="3B1A54E3">
            <w:pPr>
              <w:spacing w:line="360" w:lineRule="auto"/>
              <w:rPr>
                <w:rFonts w:ascii="宋体" w:hAnsi="宋体" w:cs="宋体"/>
                <w:szCs w:val="21"/>
              </w:rPr>
            </w:pPr>
            <w:r>
              <w:rPr>
                <w:rFonts w:hint="eastAsia" w:ascii="宋体" w:hAnsi="宋体" w:cs="宋体"/>
                <w:szCs w:val="21"/>
              </w:rPr>
              <w:t>投标人通过以下体系认证</w:t>
            </w:r>
            <w:r>
              <w:rPr>
                <w:rFonts w:hint="eastAsia" w:ascii="宋体" w:hAnsi="宋体" w:cs="宋体"/>
                <w:kern w:val="0"/>
                <w:szCs w:val="21"/>
              </w:rPr>
              <w:t>（证书须在有效期内）</w:t>
            </w:r>
            <w:r>
              <w:rPr>
                <w:rFonts w:hint="eastAsia" w:ascii="宋体" w:hAnsi="宋体" w:cs="宋体"/>
                <w:szCs w:val="21"/>
              </w:rPr>
              <w:t>：</w:t>
            </w:r>
          </w:p>
          <w:p w14:paraId="7C376466">
            <w:pPr>
              <w:spacing w:line="360" w:lineRule="auto"/>
              <w:rPr>
                <w:rFonts w:ascii="宋体" w:hAnsi="宋体" w:cs="宋体"/>
                <w:szCs w:val="21"/>
              </w:rPr>
            </w:pPr>
            <w:r>
              <w:rPr>
                <w:rFonts w:hint="eastAsia" w:ascii="宋体" w:hAnsi="宋体" w:cs="宋体"/>
                <w:szCs w:val="21"/>
              </w:rPr>
              <w:t>1、质量管理体系认证证书；</w:t>
            </w:r>
          </w:p>
          <w:p w14:paraId="74139862">
            <w:pPr>
              <w:spacing w:line="360" w:lineRule="auto"/>
              <w:rPr>
                <w:rFonts w:ascii="宋体" w:hAnsi="宋体" w:cs="宋体"/>
                <w:szCs w:val="21"/>
              </w:rPr>
            </w:pPr>
            <w:r>
              <w:rPr>
                <w:rFonts w:hint="eastAsia" w:ascii="宋体" w:hAnsi="宋体" w:cs="宋体"/>
                <w:szCs w:val="21"/>
              </w:rPr>
              <w:t>2、职业健康安全管理体系认证证书；</w:t>
            </w:r>
          </w:p>
          <w:p w14:paraId="2EC9E735">
            <w:pPr>
              <w:spacing w:line="360" w:lineRule="auto"/>
              <w:rPr>
                <w:rFonts w:ascii="宋体" w:hAnsi="宋体" w:cs="宋体"/>
                <w:szCs w:val="21"/>
              </w:rPr>
            </w:pPr>
            <w:r>
              <w:rPr>
                <w:rFonts w:hint="eastAsia" w:ascii="宋体" w:hAnsi="宋体" w:cs="宋体"/>
                <w:szCs w:val="21"/>
              </w:rPr>
              <w:t>3、环境管理体系认证证书。</w:t>
            </w:r>
          </w:p>
          <w:p w14:paraId="12B79C9F">
            <w:pPr>
              <w:spacing w:line="360" w:lineRule="auto"/>
              <w:rPr>
                <w:rFonts w:ascii="宋体" w:hAnsi="Courier New"/>
                <w:szCs w:val="21"/>
              </w:rPr>
            </w:pPr>
            <w:r>
              <w:rPr>
                <w:rFonts w:hint="eastAsia" w:ascii="宋体" w:hAnsi="宋体" w:cs="宋体"/>
                <w:szCs w:val="21"/>
              </w:rPr>
              <w:t>每个得2分，最高得6分。没有的不得分。</w:t>
            </w:r>
          </w:p>
        </w:tc>
      </w:tr>
      <w:tr w14:paraId="31956C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jc w:val="center"/>
        </w:trPr>
        <w:tc>
          <w:tcPr>
            <w:tcW w:w="900" w:type="dxa"/>
            <w:vMerge w:val="restart"/>
            <w:tcBorders>
              <w:top w:val="single" w:color="auto" w:sz="4" w:space="0"/>
              <w:bottom w:val="single" w:color="auto" w:sz="4" w:space="0"/>
              <w:right w:val="single" w:color="auto" w:sz="4" w:space="0"/>
            </w:tcBorders>
            <w:vAlign w:val="center"/>
          </w:tcPr>
          <w:p w14:paraId="07E59AE5">
            <w:pPr>
              <w:spacing w:line="440" w:lineRule="exact"/>
              <w:jc w:val="center"/>
              <w:rPr>
                <w:rFonts w:ascii="Times New Roman" w:hAnsi="Times New Roman"/>
              </w:rPr>
            </w:pPr>
            <w:r>
              <w:rPr>
                <w:rFonts w:ascii="Times New Roman" w:hAnsi="Times New Roman"/>
              </w:rPr>
              <w:t>2.2.4</w:t>
            </w:r>
            <w:r>
              <w:rPr>
                <w:rFonts w:hint="eastAsia" w:ascii="Times New Roman" w:hAnsi="Times New Roman"/>
              </w:rPr>
              <w:t>（</w:t>
            </w:r>
            <w:r>
              <w:rPr>
                <w:rFonts w:ascii="Times New Roman" w:hAnsi="Times New Roman"/>
              </w:rPr>
              <w:t>2</w:t>
            </w:r>
            <w:r>
              <w:rPr>
                <w:rFonts w:hint="eastAsia" w:ascii="Times New Roman" w:hAnsi="Times New Roman"/>
              </w:rPr>
              <w:t>）</w:t>
            </w:r>
          </w:p>
        </w:tc>
        <w:tc>
          <w:tcPr>
            <w:tcW w:w="1124" w:type="dxa"/>
            <w:vMerge w:val="restart"/>
            <w:tcBorders>
              <w:top w:val="single" w:color="auto" w:sz="4" w:space="0"/>
              <w:bottom w:val="single" w:color="auto" w:sz="4" w:space="0"/>
              <w:right w:val="single" w:color="auto" w:sz="4" w:space="0"/>
            </w:tcBorders>
            <w:vAlign w:val="center"/>
          </w:tcPr>
          <w:p w14:paraId="0E740522">
            <w:pPr>
              <w:spacing w:line="440" w:lineRule="exact"/>
              <w:jc w:val="center"/>
              <w:rPr>
                <w:rFonts w:ascii="Times New Roman" w:hAnsi="Times New Roman"/>
              </w:rPr>
            </w:pPr>
            <w:r>
              <w:rPr>
                <w:rFonts w:hint="eastAsia" w:ascii="宋体" w:hAnsi="宋体" w:cs="宋体"/>
              </w:rPr>
              <w:t>监理大纲评分标准</w:t>
            </w:r>
            <w:r>
              <w:rPr>
                <w:rFonts w:hint="eastAsia" w:ascii="宋体" w:hAnsi="宋体" w:cs="宋体"/>
                <w:szCs w:val="21"/>
              </w:rPr>
              <w:t>（</w:t>
            </w:r>
            <w:r>
              <w:rPr>
                <w:rFonts w:hint="eastAsia" w:ascii="宋体" w:hAnsi="Courier New"/>
                <w:szCs w:val="21"/>
              </w:rPr>
              <w:t>48分</w:t>
            </w:r>
            <w:r>
              <w:rPr>
                <w:rFonts w:hint="eastAsia" w:ascii="宋体" w:hAnsi="宋体" w:cs="宋体"/>
                <w:szCs w:val="21"/>
              </w:rPr>
              <w:t>）</w:t>
            </w:r>
          </w:p>
        </w:tc>
        <w:tc>
          <w:tcPr>
            <w:tcW w:w="194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3F596D6">
            <w:pPr>
              <w:spacing w:line="360" w:lineRule="auto"/>
              <w:ind w:right="149" w:rightChars="71"/>
              <w:jc w:val="center"/>
              <w:rPr>
                <w:rFonts w:ascii="宋体" w:hAnsi="宋体" w:cs="宋体"/>
                <w:szCs w:val="21"/>
              </w:rPr>
            </w:pPr>
            <w:r>
              <w:rPr>
                <w:rFonts w:hint="eastAsia" w:ascii="宋体" w:hAnsi="宋体" w:cs="宋体"/>
                <w:szCs w:val="21"/>
              </w:rPr>
              <w:t>委托人要求“▲”条款响应程度</w:t>
            </w:r>
          </w:p>
          <w:p w14:paraId="4FA84D08">
            <w:pPr>
              <w:spacing w:line="360" w:lineRule="auto"/>
              <w:ind w:right="149" w:rightChars="71"/>
              <w:jc w:val="center"/>
              <w:rPr>
                <w:rFonts w:ascii="宋体" w:hAnsi="宋体"/>
              </w:rPr>
            </w:pPr>
            <w:r>
              <w:rPr>
                <w:rFonts w:hint="eastAsia" w:ascii="宋体" w:hAnsi="宋体" w:cs="宋体"/>
                <w:szCs w:val="21"/>
              </w:rPr>
              <w:t>（12分）</w:t>
            </w:r>
          </w:p>
        </w:tc>
        <w:tc>
          <w:tcPr>
            <w:tcW w:w="5102" w:type="dxa"/>
            <w:tcBorders>
              <w:top w:val="single" w:color="auto" w:sz="4" w:space="0"/>
              <w:left w:val="single" w:color="auto" w:sz="4" w:space="0"/>
              <w:bottom w:val="single" w:color="auto" w:sz="4" w:space="0"/>
            </w:tcBorders>
            <w:tcMar>
              <w:left w:w="57" w:type="dxa"/>
              <w:right w:w="57" w:type="dxa"/>
            </w:tcMar>
            <w:vAlign w:val="center"/>
          </w:tcPr>
          <w:p w14:paraId="06A01C14">
            <w:pPr>
              <w:spacing w:line="360" w:lineRule="auto"/>
              <w:rPr>
                <w:rFonts w:ascii="宋体" w:hAnsi="宋体" w:cs="宋体"/>
                <w:szCs w:val="21"/>
              </w:rPr>
            </w:pPr>
            <w:r>
              <w:rPr>
                <w:rFonts w:hint="eastAsia" w:ascii="宋体" w:hAnsi="宋体" w:cs="宋体"/>
                <w:szCs w:val="21"/>
              </w:rPr>
              <w:t>投标人对第五章《委托人要求》中“▲”条款（5项）响应情况进行评审，本项最高得12分：</w:t>
            </w:r>
          </w:p>
          <w:p w14:paraId="4761DB85">
            <w:pPr>
              <w:spacing w:line="360" w:lineRule="auto"/>
              <w:rPr>
                <w:rFonts w:ascii="宋体" w:hAnsi="宋体" w:cs="宋体"/>
                <w:szCs w:val="21"/>
              </w:rPr>
            </w:pPr>
            <w:r>
              <w:rPr>
                <w:rFonts w:hint="eastAsia" w:ascii="宋体" w:hAnsi="宋体" w:cs="宋体"/>
                <w:szCs w:val="21"/>
              </w:rPr>
              <w:t>1、“▲4. 监理人员配置要求”中，投标人拟投入本项目的“房屋建筑专业监理工程师”或“机电安装专业监理工程师”两类人员的数量比“▲4. 监理人员配置要求”中的数量多，得4分；投标人拟投入本项目的“房屋建筑专业监理工程师”或“机电安装专业监理工程师”两类人员的数量是“▲4. 监理人员配置要求”中的数量，得2分，投标人拟投入本项目的“房屋建筑专业监理工程师”或“机电安装专业监理工程师”两类人员的数量不满足“▲4. 监理人员配置要求”中的数量，得0分；</w:t>
            </w:r>
          </w:p>
          <w:p w14:paraId="102F5642">
            <w:pPr>
              <w:spacing w:line="360" w:lineRule="auto"/>
              <w:rPr>
                <w:rFonts w:ascii="宋体" w:hAnsi="宋体" w:cs="宋体"/>
                <w:szCs w:val="21"/>
              </w:rPr>
            </w:pPr>
            <w:r>
              <w:rPr>
                <w:rFonts w:hint="eastAsia" w:ascii="宋体" w:hAnsi="宋体" w:cs="宋体"/>
                <w:szCs w:val="21"/>
              </w:rPr>
              <w:t>2、其他“▲”条款（4项），优于条款要求的每条得2分，完全满足的每条得1分，不满足的每条得0分。</w:t>
            </w:r>
          </w:p>
          <w:p w14:paraId="21E38C98">
            <w:pPr>
              <w:spacing w:line="360" w:lineRule="auto"/>
              <w:rPr>
                <w:rFonts w:ascii="宋体" w:hAnsi="宋体"/>
                <w:szCs w:val="21"/>
                <w:u w:val="single"/>
              </w:rPr>
            </w:pPr>
            <w:r>
              <w:rPr>
                <w:rFonts w:hint="eastAsia" w:ascii="宋体" w:hAnsi="宋体" w:cs="宋体"/>
                <w:szCs w:val="21"/>
              </w:rPr>
              <w:t>注：（1）如《委托人要求》中有明确要求提供证明材料的，则以采购需求要求的为准；（2）如《委托人要求》中无明确要求证明材料的，提供满足相应技术要求的证明材料或投标人完全响应并满足相应技术要求的承诺书（格式自拟，加盖电子印章）；未提供证明资料或经评标委员会判定为无效证明材料的不得分。</w:t>
            </w:r>
          </w:p>
        </w:tc>
      </w:tr>
      <w:tr w14:paraId="43C8F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jc w:val="center"/>
        </w:trPr>
        <w:tc>
          <w:tcPr>
            <w:tcW w:w="900" w:type="dxa"/>
            <w:vMerge w:val="continue"/>
            <w:tcBorders>
              <w:top w:val="single" w:color="auto" w:sz="4" w:space="0"/>
              <w:bottom w:val="single" w:color="auto" w:sz="4" w:space="0"/>
              <w:right w:val="single" w:color="auto" w:sz="4" w:space="0"/>
            </w:tcBorders>
          </w:tcPr>
          <w:p w14:paraId="4C818CEE">
            <w:pPr>
              <w:rPr>
                <w:rFonts w:ascii="Times New Roman" w:hAnsi="Times New Roman"/>
              </w:rPr>
            </w:pPr>
          </w:p>
        </w:tc>
        <w:tc>
          <w:tcPr>
            <w:tcW w:w="1124" w:type="dxa"/>
            <w:vMerge w:val="continue"/>
            <w:tcBorders>
              <w:top w:val="single" w:color="auto" w:sz="4" w:space="0"/>
              <w:bottom w:val="single" w:color="auto" w:sz="4" w:space="0"/>
              <w:right w:val="single" w:color="auto" w:sz="4" w:space="0"/>
            </w:tcBorders>
          </w:tcPr>
          <w:p w14:paraId="21085A75">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88305BB">
            <w:pPr>
              <w:spacing w:line="360" w:lineRule="auto"/>
              <w:jc w:val="center"/>
              <w:rPr>
                <w:rFonts w:ascii="宋体" w:hAnsi="宋体"/>
              </w:rPr>
            </w:pPr>
            <w:r>
              <w:rPr>
                <w:rFonts w:hint="eastAsia" w:ascii="宋体" w:hAnsi="宋体" w:cs="宋体"/>
                <w:szCs w:val="21"/>
              </w:rPr>
              <w:t>总体服务方案及计划安排（10分）</w:t>
            </w:r>
          </w:p>
        </w:tc>
        <w:tc>
          <w:tcPr>
            <w:tcW w:w="5102" w:type="dxa"/>
            <w:tcBorders>
              <w:top w:val="single" w:color="auto" w:sz="4" w:space="0"/>
              <w:left w:val="single" w:color="auto" w:sz="4" w:space="0"/>
              <w:bottom w:val="single" w:color="auto" w:sz="4" w:space="0"/>
            </w:tcBorders>
            <w:tcMar>
              <w:left w:w="57" w:type="dxa"/>
              <w:right w:w="57" w:type="dxa"/>
            </w:tcMar>
            <w:vAlign w:val="center"/>
          </w:tcPr>
          <w:p w14:paraId="357FBEDC">
            <w:pPr>
              <w:spacing w:line="360" w:lineRule="auto"/>
              <w:rPr>
                <w:rFonts w:ascii="宋体" w:hAnsi="宋体" w:cs="宋体"/>
                <w:szCs w:val="21"/>
              </w:rPr>
            </w:pPr>
            <w:r>
              <w:rPr>
                <w:rFonts w:hint="eastAsia" w:ascii="宋体" w:hAnsi="宋体" w:cs="宋体"/>
                <w:szCs w:val="21"/>
              </w:rPr>
              <w:t>针对本项目特点及招标内容，提出项目整体的服务规划、协调机制、资源调配与进度计划安排，重点考察多工程作业冲突、特殊时段风险应对预案的系统性、预见性与可行性：</w:t>
            </w:r>
          </w:p>
          <w:p w14:paraId="00C9D54B">
            <w:pPr>
              <w:spacing w:line="360" w:lineRule="auto"/>
              <w:rPr>
                <w:rFonts w:ascii="宋体" w:hAnsi="宋体" w:cs="宋体"/>
                <w:szCs w:val="21"/>
              </w:rPr>
            </w:pPr>
            <w:r>
              <w:rPr>
                <w:rFonts w:hint="eastAsia" w:ascii="宋体" w:hAnsi="宋体" w:cs="宋体"/>
                <w:szCs w:val="21"/>
              </w:rPr>
              <w:t>1、方案系统性强，全面预见并清晰，分点列出多工程冲突、特殊时段风险的具体预防与协调措施、应急预案及资源保障计划，整体工作程序与流程设计科学、合理，可行性强，得10分。</w:t>
            </w:r>
          </w:p>
          <w:p w14:paraId="5A0849C7">
            <w:pPr>
              <w:spacing w:line="360" w:lineRule="auto"/>
              <w:rPr>
                <w:rFonts w:ascii="宋体" w:hAnsi="宋体" w:cs="宋体"/>
                <w:szCs w:val="21"/>
              </w:rPr>
            </w:pPr>
            <w:r>
              <w:rPr>
                <w:rFonts w:hint="eastAsia" w:ascii="宋体" w:hAnsi="宋体" w:cs="宋体"/>
                <w:szCs w:val="21"/>
              </w:rPr>
              <w:t>2、方案考虑较周全，较好预见并大致列出多工程冲突、特殊时段风险的主要预防与协调措施、应急预案，整体工作程序与流程设计比较合理，可行性较强，得7分。</w:t>
            </w:r>
          </w:p>
          <w:p w14:paraId="0B034598">
            <w:pPr>
              <w:spacing w:line="360" w:lineRule="auto"/>
              <w:rPr>
                <w:rFonts w:ascii="宋体" w:hAnsi="宋体" w:cs="宋体"/>
                <w:szCs w:val="21"/>
              </w:rPr>
            </w:pPr>
            <w:r>
              <w:rPr>
                <w:rFonts w:hint="eastAsia" w:ascii="宋体" w:hAnsi="宋体" w:cs="宋体"/>
                <w:szCs w:val="21"/>
              </w:rPr>
              <w:t>3、方案仅泛泛提及多工程冲突、特殊时段风险的应对，缺乏具体、有效的协调措施和预案，整体工作程序与流程设计不够清晰、合理，可行性不足，得3分。</w:t>
            </w:r>
          </w:p>
          <w:p w14:paraId="17917F2F">
            <w:pPr>
              <w:spacing w:line="360" w:lineRule="auto"/>
              <w:rPr>
                <w:rFonts w:ascii="宋体" w:hAnsi="宋体"/>
                <w:szCs w:val="21"/>
                <w:u w:val="single"/>
              </w:rPr>
            </w:pPr>
            <w:r>
              <w:rPr>
                <w:rFonts w:hint="eastAsia" w:ascii="宋体" w:hAnsi="宋体" w:cs="宋体"/>
                <w:szCs w:val="21"/>
              </w:rPr>
              <w:t>4、无提供不得分。</w:t>
            </w:r>
          </w:p>
        </w:tc>
      </w:tr>
      <w:tr w14:paraId="52B91D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jc w:val="center"/>
        </w:trPr>
        <w:tc>
          <w:tcPr>
            <w:tcW w:w="900" w:type="dxa"/>
            <w:vMerge w:val="continue"/>
            <w:tcBorders>
              <w:top w:val="single" w:color="auto" w:sz="4" w:space="0"/>
              <w:bottom w:val="single" w:color="auto" w:sz="4" w:space="0"/>
              <w:right w:val="single" w:color="auto" w:sz="4" w:space="0"/>
            </w:tcBorders>
          </w:tcPr>
          <w:p w14:paraId="0F1C91E5">
            <w:pPr>
              <w:rPr>
                <w:rFonts w:ascii="Times New Roman" w:hAnsi="Times New Roman"/>
              </w:rPr>
            </w:pPr>
          </w:p>
        </w:tc>
        <w:tc>
          <w:tcPr>
            <w:tcW w:w="1124" w:type="dxa"/>
            <w:vMerge w:val="continue"/>
            <w:tcBorders>
              <w:top w:val="single" w:color="auto" w:sz="4" w:space="0"/>
              <w:bottom w:val="single" w:color="auto" w:sz="4" w:space="0"/>
              <w:right w:val="single" w:color="auto" w:sz="4" w:space="0"/>
            </w:tcBorders>
          </w:tcPr>
          <w:p w14:paraId="5615B437">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9AF7A66">
            <w:pPr>
              <w:spacing w:line="360" w:lineRule="auto"/>
              <w:jc w:val="center"/>
              <w:rPr>
                <w:rFonts w:ascii="宋体" w:hAnsi="宋体"/>
              </w:rPr>
            </w:pPr>
            <w:r>
              <w:rPr>
                <w:rFonts w:hint="eastAsia" w:ascii="宋体" w:hAnsi="宋体" w:cs="宋体"/>
                <w:szCs w:val="21"/>
              </w:rPr>
              <w:t>监理工作内容及措施（10分）</w:t>
            </w:r>
          </w:p>
        </w:tc>
        <w:tc>
          <w:tcPr>
            <w:tcW w:w="5102" w:type="dxa"/>
            <w:tcBorders>
              <w:top w:val="single" w:color="auto" w:sz="4" w:space="0"/>
              <w:left w:val="single" w:color="auto" w:sz="4" w:space="0"/>
              <w:bottom w:val="single" w:color="auto" w:sz="4" w:space="0"/>
            </w:tcBorders>
            <w:tcMar>
              <w:left w:w="57" w:type="dxa"/>
              <w:right w:w="57" w:type="dxa"/>
            </w:tcMar>
            <w:vAlign w:val="center"/>
          </w:tcPr>
          <w:p w14:paraId="7BF75B6A">
            <w:pPr>
              <w:spacing w:line="360" w:lineRule="auto"/>
              <w:rPr>
                <w:rFonts w:ascii="宋体" w:hAnsi="宋体" w:cs="宋体"/>
                <w:szCs w:val="21"/>
              </w:rPr>
            </w:pPr>
            <w:r>
              <w:rPr>
                <w:rFonts w:hint="eastAsia" w:ascii="宋体" w:hAnsi="宋体" w:cs="宋体"/>
                <w:szCs w:val="21"/>
              </w:rPr>
              <w:t>针对本项目工程特点，具体监理工作的目标、执行依据、核心制度、操作流程、现场管控手段及质量/安全/进度控制措施。重点考察措施的针对性、可操作性与规范性：</w:t>
            </w:r>
          </w:p>
          <w:p w14:paraId="5B7AF2D5">
            <w:pPr>
              <w:spacing w:line="360" w:lineRule="auto"/>
              <w:rPr>
                <w:rFonts w:ascii="宋体" w:hAnsi="宋体" w:cs="宋体"/>
                <w:szCs w:val="21"/>
              </w:rPr>
            </w:pPr>
            <w:r>
              <w:rPr>
                <w:rFonts w:hint="eastAsia" w:ascii="宋体" w:hAnsi="宋体" w:cs="宋体"/>
                <w:szCs w:val="21"/>
              </w:rPr>
              <w:t>1、监理工作目标明确，依据充分，制度完善，流程清晰；针对项目特点提出的 监理工作内容详实，现场管理手段（如旁站、巡视、见证、平行检验等）与控制措施（质量、安全、进度、投资等）具体、针对性强、操作性强，得10分。</w:t>
            </w:r>
          </w:p>
          <w:p w14:paraId="16C2C300">
            <w:pPr>
              <w:spacing w:line="360" w:lineRule="auto"/>
              <w:rPr>
                <w:rFonts w:ascii="宋体" w:hAnsi="宋体" w:cs="宋体"/>
                <w:szCs w:val="21"/>
              </w:rPr>
            </w:pPr>
            <w:r>
              <w:rPr>
                <w:rFonts w:hint="eastAsia" w:ascii="宋体" w:hAnsi="宋体" w:cs="宋体"/>
                <w:szCs w:val="21"/>
              </w:rPr>
              <w:t>2、监理工作目标较明确，依据、制度、流程较完善；提出的监理工作内容较详实，具有基本的现场管理手段与控制措施，针对性、操作性较强，得7分。</w:t>
            </w:r>
          </w:p>
          <w:p w14:paraId="48BFA6E0">
            <w:pPr>
              <w:spacing w:line="360" w:lineRule="auto"/>
              <w:rPr>
                <w:rFonts w:ascii="宋体" w:hAnsi="宋体" w:cs="宋体"/>
                <w:szCs w:val="21"/>
              </w:rPr>
            </w:pPr>
            <w:r>
              <w:rPr>
                <w:rFonts w:hint="eastAsia" w:ascii="宋体" w:hAnsi="宋体" w:cs="宋体"/>
                <w:szCs w:val="21"/>
              </w:rPr>
              <w:t>3、监理工作目标一般或模糊，依据、制度、流程不够完善或缺失；监理工作内容笼统，现场管理手段与控制措施不够具体、针对性不强、操作性较差，得3分。</w:t>
            </w:r>
          </w:p>
          <w:p w14:paraId="7B71AAF9">
            <w:pPr>
              <w:spacing w:line="360" w:lineRule="auto"/>
              <w:rPr>
                <w:rFonts w:ascii="宋体" w:hAnsi="宋体"/>
                <w:szCs w:val="21"/>
                <w:u w:val="single"/>
              </w:rPr>
            </w:pPr>
            <w:r>
              <w:rPr>
                <w:rFonts w:hint="eastAsia" w:ascii="宋体" w:hAnsi="宋体" w:cs="宋体"/>
                <w:szCs w:val="21"/>
              </w:rPr>
              <w:t>4、无提供不得分。</w:t>
            </w:r>
          </w:p>
        </w:tc>
      </w:tr>
      <w:tr w14:paraId="22A36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jc w:val="center"/>
        </w:trPr>
        <w:tc>
          <w:tcPr>
            <w:tcW w:w="900" w:type="dxa"/>
            <w:vMerge w:val="continue"/>
            <w:tcBorders>
              <w:top w:val="single" w:color="auto" w:sz="4" w:space="0"/>
              <w:bottom w:val="single" w:color="auto" w:sz="4" w:space="0"/>
              <w:right w:val="single" w:color="auto" w:sz="4" w:space="0"/>
            </w:tcBorders>
          </w:tcPr>
          <w:p w14:paraId="22A2FCD5">
            <w:pPr>
              <w:rPr>
                <w:rFonts w:ascii="Times New Roman" w:hAnsi="Times New Roman"/>
              </w:rPr>
            </w:pPr>
          </w:p>
        </w:tc>
        <w:tc>
          <w:tcPr>
            <w:tcW w:w="1124" w:type="dxa"/>
            <w:vMerge w:val="continue"/>
            <w:tcBorders>
              <w:top w:val="single" w:color="auto" w:sz="4" w:space="0"/>
              <w:bottom w:val="single" w:color="auto" w:sz="4" w:space="0"/>
              <w:right w:val="single" w:color="auto" w:sz="4" w:space="0"/>
            </w:tcBorders>
          </w:tcPr>
          <w:p w14:paraId="61CA4B26">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8B1CD7E">
            <w:pPr>
              <w:spacing w:line="360" w:lineRule="auto"/>
              <w:jc w:val="center"/>
              <w:rPr>
                <w:rFonts w:ascii="宋体" w:hAnsi="宋体"/>
                <w:szCs w:val="24"/>
              </w:rPr>
            </w:pPr>
            <w:r>
              <w:rPr>
                <w:rFonts w:hint="eastAsia" w:ascii="宋体" w:hAnsi="宋体" w:cs="宋体"/>
                <w:szCs w:val="21"/>
              </w:rPr>
              <w:t>对本项目重点及难点分析及解决措施（8分）</w:t>
            </w:r>
          </w:p>
        </w:tc>
        <w:tc>
          <w:tcPr>
            <w:tcW w:w="5102" w:type="dxa"/>
            <w:tcBorders>
              <w:top w:val="single" w:color="auto" w:sz="4" w:space="0"/>
              <w:left w:val="single" w:color="auto" w:sz="4" w:space="0"/>
              <w:bottom w:val="single" w:color="auto" w:sz="4" w:space="0"/>
            </w:tcBorders>
            <w:tcMar>
              <w:left w:w="57" w:type="dxa"/>
              <w:right w:w="57" w:type="dxa"/>
            </w:tcMar>
            <w:vAlign w:val="center"/>
          </w:tcPr>
          <w:p w14:paraId="482528B3">
            <w:pPr>
              <w:spacing w:line="360" w:lineRule="auto"/>
              <w:rPr>
                <w:rFonts w:ascii="宋体" w:hAnsi="宋体" w:cs="宋体"/>
                <w:szCs w:val="21"/>
              </w:rPr>
            </w:pPr>
            <w:r>
              <w:rPr>
                <w:rFonts w:hint="eastAsia" w:ascii="宋体" w:hAnsi="宋体" w:cs="宋体"/>
                <w:szCs w:val="21"/>
              </w:rPr>
              <w:t>针对本项目建设特点进行监理的重点难点分析，针对项目多工程作业冲突、特殊时段监管压力、动态调整复杂性等提出相关解决技术措施：</w:t>
            </w:r>
          </w:p>
          <w:p w14:paraId="54973145">
            <w:pPr>
              <w:spacing w:line="360" w:lineRule="auto"/>
              <w:rPr>
                <w:rFonts w:ascii="宋体" w:hAnsi="宋体" w:cs="宋体"/>
                <w:szCs w:val="21"/>
              </w:rPr>
            </w:pPr>
            <w:r>
              <w:rPr>
                <w:rFonts w:hint="eastAsia" w:ascii="宋体" w:hAnsi="宋体" w:cs="宋体"/>
                <w:szCs w:val="21"/>
              </w:rPr>
              <w:t>1、方案全面预防多工程冲突及特殊时段风险，分点列出不同重难点解决措施及应急预案，且上述内容清晰、合理、可行性强，得8分。</w:t>
            </w:r>
          </w:p>
          <w:p w14:paraId="474A0087">
            <w:pPr>
              <w:spacing w:line="360" w:lineRule="auto"/>
              <w:rPr>
                <w:rFonts w:ascii="宋体" w:hAnsi="宋体" w:cs="宋体"/>
                <w:szCs w:val="21"/>
              </w:rPr>
            </w:pPr>
            <w:r>
              <w:rPr>
                <w:rFonts w:hint="eastAsia" w:ascii="宋体" w:hAnsi="宋体" w:cs="宋体"/>
                <w:szCs w:val="21"/>
              </w:rPr>
              <w:t>2、方案较好预防多工程冲突及特殊时段风险，大致列出列出不同重难点解决措施及应急预案，且上述内容比较清晰、比较合理、可行性较强，得5分。</w:t>
            </w:r>
          </w:p>
          <w:p w14:paraId="7D031A6C">
            <w:pPr>
              <w:spacing w:line="360" w:lineRule="auto"/>
              <w:rPr>
                <w:rFonts w:ascii="宋体" w:hAnsi="宋体" w:cs="宋体"/>
                <w:szCs w:val="21"/>
              </w:rPr>
            </w:pPr>
            <w:r>
              <w:rPr>
                <w:rFonts w:hint="eastAsia" w:ascii="宋体" w:hAnsi="宋体" w:cs="宋体"/>
                <w:szCs w:val="21"/>
              </w:rPr>
              <w:t>3、方案泛泛提及预防多工程冲突及特殊时段风险，未列举具体解决措施，且上述内容不够清晰、不够合理、可行性不足，得2分。</w:t>
            </w:r>
          </w:p>
          <w:p w14:paraId="7B19AA33">
            <w:pPr>
              <w:spacing w:line="360" w:lineRule="auto"/>
              <w:rPr>
                <w:rFonts w:ascii="宋体" w:hAnsi="宋体"/>
                <w:szCs w:val="21"/>
                <w:u w:val="single"/>
              </w:rPr>
            </w:pPr>
            <w:r>
              <w:rPr>
                <w:rFonts w:hint="eastAsia" w:ascii="宋体" w:hAnsi="宋体" w:cs="宋体"/>
                <w:szCs w:val="21"/>
              </w:rPr>
              <w:t>4、无提供不得分。</w:t>
            </w:r>
          </w:p>
        </w:tc>
      </w:tr>
      <w:tr w14:paraId="28D2E0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jc w:val="center"/>
        </w:trPr>
        <w:tc>
          <w:tcPr>
            <w:tcW w:w="900" w:type="dxa"/>
            <w:vMerge w:val="continue"/>
            <w:tcBorders>
              <w:top w:val="single" w:color="auto" w:sz="4" w:space="0"/>
              <w:bottom w:val="single" w:color="auto" w:sz="4" w:space="0"/>
              <w:right w:val="single" w:color="auto" w:sz="4" w:space="0"/>
            </w:tcBorders>
          </w:tcPr>
          <w:p w14:paraId="71E26317">
            <w:pPr>
              <w:rPr>
                <w:rFonts w:ascii="Times New Roman" w:hAnsi="Times New Roman"/>
              </w:rPr>
            </w:pPr>
          </w:p>
        </w:tc>
        <w:tc>
          <w:tcPr>
            <w:tcW w:w="1124" w:type="dxa"/>
            <w:vMerge w:val="continue"/>
            <w:tcBorders>
              <w:top w:val="single" w:color="auto" w:sz="4" w:space="0"/>
              <w:bottom w:val="single" w:color="auto" w:sz="4" w:space="0"/>
              <w:right w:val="single" w:color="auto" w:sz="4" w:space="0"/>
            </w:tcBorders>
          </w:tcPr>
          <w:p w14:paraId="15006A63">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BFE0359">
            <w:pPr>
              <w:spacing w:line="360" w:lineRule="auto"/>
              <w:jc w:val="center"/>
              <w:rPr>
                <w:rFonts w:ascii="宋体" w:hAnsi="宋体" w:cs="宋体"/>
                <w:szCs w:val="21"/>
              </w:rPr>
            </w:pPr>
            <w:r>
              <w:rPr>
                <w:rFonts w:hint="eastAsia" w:ascii="宋体" w:hAnsi="宋体" w:cs="宋体"/>
                <w:szCs w:val="21"/>
              </w:rPr>
              <w:t>信息化管理</w:t>
            </w:r>
          </w:p>
          <w:p w14:paraId="6AD34DB0">
            <w:pPr>
              <w:spacing w:line="360" w:lineRule="auto"/>
              <w:jc w:val="center"/>
              <w:rPr>
                <w:rFonts w:ascii="宋体" w:hAnsi="宋体"/>
              </w:rPr>
            </w:pPr>
            <w:r>
              <w:rPr>
                <w:rFonts w:hint="eastAsia" w:ascii="宋体" w:hAnsi="宋体" w:cs="宋体"/>
                <w:szCs w:val="21"/>
              </w:rPr>
              <w:t>（8分）</w:t>
            </w:r>
          </w:p>
        </w:tc>
        <w:tc>
          <w:tcPr>
            <w:tcW w:w="5102" w:type="dxa"/>
            <w:tcBorders>
              <w:top w:val="single" w:color="auto" w:sz="4" w:space="0"/>
              <w:left w:val="single" w:color="auto" w:sz="4" w:space="0"/>
              <w:bottom w:val="single" w:color="auto" w:sz="4" w:space="0"/>
            </w:tcBorders>
            <w:tcMar>
              <w:left w:w="57" w:type="dxa"/>
              <w:right w:w="57" w:type="dxa"/>
            </w:tcMar>
            <w:vAlign w:val="center"/>
          </w:tcPr>
          <w:p w14:paraId="47584968">
            <w:pPr>
              <w:spacing w:line="360" w:lineRule="auto"/>
              <w:rPr>
                <w:rFonts w:ascii="宋体" w:hAnsi="宋体" w:cs="宋体"/>
                <w:szCs w:val="21"/>
              </w:rPr>
            </w:pPr>
            <w:r>
              <w:rPr>
                <w:rFonts w:hint="eastAsia" w:ascii="宋体" w:hAnsi="宋体" w:cs="宋体"/>
                <w:szCs w:val="21"/>
              </w:rPr>
              <w:t>针对本项目特点及要求，具有相应信息化管理措施：</w:t>
            </w:r>
          </w:p>
          <w:p w14:paraId="2104E6FC">
            <w:pPr>
              <w:spacing w:line="360" w:lineRule="auto"/>
              <w:rPr>
                <w:rFonts w:ascii="宋体" w:hAnsi="宋体" w:cs="宋体"/>
                <w:szCs w:val="21"/>
              </w:rPr>
            </w:pPr>
            <w:r>
              <w:rPr>
                <w:rFonts w:hint="eastAsia" w:ascii="宋体" w:hAnsi="宋体" w:cs="宋体"/>
                <w:szCs w:val="21"/>
              </w:rPr>
              <w:t>1、投标人信息化管理程度高，具有相应的监理项目管理系统，具备较为完善的进度管理功能，得8分；</w:t>
            </w:r>
          </w:p>
          <w:p w14:paraId="541E20F8">
            <w:pPr>
              <w:spacing w:line="360" w:lineRule="auto"/>
              <w:rPr>
                <w:rFonts w:ascii="宋体" w:hAnsi="宋体" w:cs="宋体"/>
              </w:rPr>
            </w:pPr>
            <w:r>
              <w:rPr>
                <w:rFonts w:hint="eastAsia" w:ascii="宋体" w:hAnsi="宋体" w:cs="宋体"/>
                <w:szCs w:val="21"/>
              </w:rPr>
              <w:t>2、投标信息化管理程度较高，具有相应的监理项目管理系统，具备基础进度管理功能，得5分；</w:t>
            </w:r>
          </w:p>
          <w:p w14:paraId="22E3B89D">
            <w:pPr>
              <w:spacing w:line="360" w:lineRule="auto"/>
              <w:rPr>
                <w:rFonts w:ascii="宋体" w:hAnsi="宋体" w:cs="宋体"/>
                <w:szCs w:val="21"/>
              </w:rPr>
            </w:pPr>
            <w:r>
              <w:rPr>
                <w:rFonts w:hint="eastAsia" w:ascii="宋体" w:hAnsi="宋体" w:cs="宋体"/>
                <w:szCs w:val="21"/>
              </w:rPr>
              <w:t>3、投标人信息化管理程度一般，进度管理能力一般，得2分；</w:t>
            </w:r>
          </w:p>
          <w:p w14:paraId="152E35CE">
            <w:pPr>
              <w:spacing w:line="360" w:lineRule="auto"/>
              <w:rPr>
                <w:rFonts w:ascii="宋体" w:hAnsi="宋体"/>
                <w:szCs w:val="21"/>
                <w:u w:val="single"/>
              </w:rPr>
            </w:pPr>
            <w:r>
              <w:rPr>
                <w:rFonts w:hint="eastAsia" w:ascii="宋体" w:hAnsi="宋体" w:cs="宋体"/>
                <w:szCs w:val="21"/>
              </w:rPr>
              <w:t>4、无提供不得分。</w:t>
            </w:r>
          </w:p>
        </w:tc>
      </w:tr>
      <w:tr w14:paraId="24C554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900" w:type="dxa"/>
            <w:tcBorders>
              <w:top w:val="single" w:color="auto" w:sz="4" w:space="0"/>
              <w:bottom w:val="single" w:color="auto" w:sz="4" w:space="0"/>
              <w:right w:val="single" w:color="auto" w:sz="4" w:space="0"/>
            </w:tcBorders>
            <w:vAlign w:val="center"/>
          </w:tcPr>
          <w:p w14:paraId="3CF59F3B">
            <w:pPr>
              <w:spacing w:line="440" w:lineRule="exact"/>
              <w:jc w:val="center"/>
              <w:rPr>
                <w:rFonts w:ascii="Times New Roman" w:hAnsi="Times New Roman"/>
              </w:rPr>
            </w:pPr>
            <w:r>
              <w:rPr>
                <w:rFonts w:ascii="Times New Roman" w:hAnsi="Times New Roman"/>
              </w:rPr>
              <w:t>2.2.4</w:t>
            </w:r>
            <w:r>
              <w:rPr>
                <w:rFonts w:hint="eastAsia" w:ascii="Times New Roman" w:hAnsi="Times New Roman"/>
              </w:rPr>
              <w:t>（</w:t>
            </w:r>
            <w:r>
              <w:rPr>
                <w:rFonts w:ascii="Times New Roman" w:hAnsi="Times New Roman"/>
              </w:rPr>
              <w:t>3</w:t>
            </w:r>
            <w:r>
              <w:rPr>
                <w:rFonts w:hint="eastAsia" w:ascii="Times New Roman" w:hAnsi="Times New Roman"/>
              </w:rPr>
              <w:t>）</w:t>
            </w:r>
          </w:p>
        </w:tc>
        <w:tc>
          <w:tcPr>
            <w:tcW w:w="1124" w:type="dxa"/>
            <w:tcBorders>
              <w:top w:val="single" w:color="auto" w:sz="4" w:space="0"/>
              <w:left w:val="single" w:color="auto" w:sz="4" w:space="0"/>
              <w:bottom w:val="single" w:color="auto" w:sz="4" w:space="0"/>
              <w:right w:val="single" w:color="auto" w:sz="4" w:space="0"/>
            </w:tcBorders>
            <w:vAlign w:val="center"/>
          </w:tcPr>
          <w:p w14:paraId="35EA7FAA">
            <w:pPr>
              <w:snapToGrid w:val="0"/>
              <w:jc w:val="center"/>
              <w:rPr>
                <w:rFonts w:ascii="Times New Roman" w:hAnsi="Times New Roman"/>
              </w:rPr>
            </w:pPr>
            <w:r>
              <w:rPr>
                <w:rFonts w:hint="eastAsia"/>
              </w:rPr>
              <w:t>投标报价评分标准（10分）</w:t>
            </w:r>
          </w:p>
        </w:tc>
        <w:tc>
          <w:tcPr>
            <w:tcW w:w="1945" w:type="dxa"/>
            <w:tcBorders>
              <w:top w:val="single" w:color="auto" w:sz="4" w:space="0"/>
              <w:left w:val="single" w:color="auto" w:sz="4" w:space="0"/>
              <w:bottom w:val="single" w:color="auto" w:sz="4" w:space="0"/>
              <w:right w:val="single" w:color="auto" w:sz="4" w:space="0"/>
            </w:tcBorders>
            <w:vAlign w:val="center"/>
          </w:tcPr>
          <w:p w14:paraId="00305F73">
            <w:pPr>
              <w:spacing w:line="440" w:lineRule="exact"/>
              <w:jc w:val="center"/>
            </w:pPr>
            <w:r>
              <w:rPr>
                <w:rFonts w:hint="eastAsia"/>
              </w:rPr>
              <w:t>报价得分</w:t>
            </w:r>
          </w:p>
          <w:p w14:paraId="5ACA6537">
            <w:pPr>
              <w:spacing w:line="440" w:lineRule="exact"/>
              <w:jc w:val="center"/>
              <w:rPr>
                <w:rFonts w:ascii="宋体" w:hAnsi="Courier New"/>
                <w:szCs w:val="21"/>
              </w:rPr>
            </w:pPr>
            <w:r>
              <w:rPr>
                <w:rFonts w:hint="eastAsia"/>
              </w:rPr>
              <w:t>（10分）</w:t>
            </w:r>
          </w:p>
        </w:tc>
        <w:tc>
          <w:tcPr>
            <w:tcW w:w="5102" w:type="dxa"/>
            <w:tcBorders>
              <w:top w:val="single" w:color="auto" w:sz="4" w:space="0"/>
              <w:left w:val="single" w:color="auto" w:sz="4" w:space="0"/>
              <w:bottom w:val="single" w:color="auto" w:sz="4" w:space="0"/>
            </w:tcBorders>
            <w:vAlign w:val="center"/>
          </w:tcPr>
          <w:p w14:paraId="2199CFCB">
            <w:pPr>
              <w:spacing w:line="440" w:lineRule="exact"/>
              <w:jc w:val="left"/>
              <w:rPr>
                <w:rFonts w:ascii="宋体" w:hAnsi="Courier New" w:cs="宋体"/>
                <w:b/>
                <w:bCs/>
                <w:szCs w:val="21"/>
                <w:lang w:bidi="ar"/>
              </w:rPr>
            </w:pPr>
            <w:r>
              <w:rPr>
                <w:rFonts w:hint="eastAsia"/>
                <w:lang w:bidi="ar"/>
              </w:rPr>
              <w:t xml:space="preserve">投标报价得分＝（评标基准价/投标报价）×价格分值【注：满足招标文件要求且投标价格最低的投标报价为评标基准价。】 </w:t>
            </w:r>
          </w:p>
        </w:tc>
      </w:tr>
      <w:tr w14:paraId="35BC2C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900" w:type="dxa"/>
            <w:tcBorders>
              <w:top w:val="single" w:color="auto" w:sz="4" w:space="0"/>
              <w:bottom w:val="single" w:color="auto" w:sz="4" w:space="0"/>
              <w:right w:val="single" w:color="auto" w:sz="4" w:space="0"/>
            </w:tcBorders>
            <w:vAlign w:val="center"/>
          </w:tcPr>
          <w:p w14:paraId="4140A2C2">
            <w:pPr>
              <w:spacing w:line="440" w:lineRule="exact"/>
              <w:jc w:val="center"/>
              <w:rPr>
                <w:rFonts w:ascii="Times New Roman" w:hAnsi="Times New Roman"/>
              </w:rPr>
            </w:pPr>
            <w:r>
              <w:rPr>
                <w:rFonts w:ascii="Times New Roman" w:hAnsi="Times New Roman"/>
              </w:rPr>
              <w:t>2.2.4</w:t>
            </w:r>
            <w:r>
              <w:rPr>
                <w:rFonts w:hint="eastAsia" w:ascii="Times New Roman" w:hAnsi="Times New Roman"/>
              </w:rPr>
              <w:t>（</w:t>
            </w:r>
            <w:r>
              <w:rPr>
                <w:rFonts w:ascii="Times New Roman" w:hAnsi="Times New Roman"/>
              </w:rPr>
              <w:t>4</w:t>
            </w:r>
            <w:r>
              <w:rPr>
                <w:rFonts w:hint="eastAsia" w:ascii="Times New Roman" w:hAnsi="Times New Roman"/>
              </w:rPr>
              <w:t>）</w:t>
            </w:r>
          </w:p>
        </w:tc>
        <w:tc>
          <w:tcPr>
            <w:tcW w:w="1124" w:type="dxa"/>
            <w:tcBorders>
              <w:top w:val="single" w:color="auto" w:sz="4" w:space="0"/>
              <w:left w:val="single" w:color="auto" w:sz="4" w:space="0"/>
              <w:bottom w:val="single" w:color="auto" w:sz="4" w:space="0"/>
              <w:right w:val="single" w:color="auto" w:sz="4" w:space="0"/>
            </w:tcBorders>
            <w:vAlign w:val="center"/>
          </w:tcPr>
          <w:p w14:paraId="67B0C590">
            <w:pPr>
              <w:snapToGrid w:val="0"/>
              <w:jc w:val="center"/>
              <w:rPr>
                <w:rFonts w:ascii="Times New Roman" w:hAnsi="Times New Roman"/>
              </w:rPr>
            </w:pPr>
            <w:r>
              <w:rPr>
                <w:rFonts w:hint="eastAsia" w:ascii="Times New Roman" w:hAnsi="Times New Roman"/>
              </w:rPr>
              <w:t>其他因素评分标准</w:t>
            </w:r>
          </w:p>
          <w:p w14:paraId="03982465">
            <w:pPr>
              <w:snapToGrid w:val="0"/>
              <w:jc w:val="center"/>
            </w:pPr>
            <w:r>
              <w:rPr>
                <w:rFonts w:hint="eastAsia" w:ascii="Times New Roman" w:hAnsi="Times New Roman"/>
              </w:rPr>
              <w:t>（5分）</w:t>
            </w:r>
          </w:p>
        </w:tc>
        <w:tc>
          <w:tcPr>
            <w:tcW w:w="1945" w:type="dxa"/>
            <w:tcBorders>
              <w:top w:val="single" w:color="auto" w:sz="4" w:space="0"/>
              <w:left w:val="single" w:color="auto" w:sz="4" w:space="0"/>
              <w:bottom w:val="single" w:color="auto" w:sz="4" w:space="0"/>
              <w:right w:val="single" w:color="auto" w:sz="4" w:space="0"/>
            </w:tcBorders>
            <w:vAlign w:val="center"/>
          </w:tcPr>
          <w:p w14:paraId="7EB8EC90">
            <w:pPr>
              <w:pStyle w:val="28"/>
              <w:spacing w:line="360" w:lineRule="auto"/>
              <w:jc w:val="center"/>
              <w:rPr>
                <w:rFonts w:cs="宋体"/>
              </w:rPr>
            </w:pPr>
            <w:r>
              <w:rPr>
                <w:rFonts w:hint="eastAsia" w:cs="宋体"/>
              </w:rPr>
              <w:t>投标人诚信得分</w:t>
            </w:r>
          </w:p>
          <w:p w14:paraId="17584128">
            <w:pPr>
              <w:pStyle w:val="28"/>
              <w:spacing w:line="360" w:lineRule="auto"/>
              <w:jc w:val="center"/>
            </w:pPr>
            <w:r>
              <w:rPr>
                <w:rFonts w:hint="eastAsia" w:cs="宋体"/>
              </w:rPr>
              <w:t>（5分）</w:t>
            </w:r>
          </w:p>
        </w:tc>
        <w:tc>
          <w:tcPr>
            <w:tcW w:w="5102" w:type="dxa"/>
            <w:tcBorders>
              <w:top w:val="single" w:color="auto" w:sz="4" w:space="0"/>
              <w:left w:val="single" w:color="auto" w:sz="4" w:space="0"/>
              <w:bottom w:val="single" w:color="auto" w:sz="4" w:space="0"/>
            </w:tcBorders>
            <w:vAlign w:val="center"/>
          </w:tcPr>
          <w:p w14:paraId="2FC8644A">
            <w:pPr>
              <w:spacing w:line="360" w:lineRule="auto"/>
              <w:rPr>
                <w:rFonts w:ascii="宋体" w:hAnsi="宋体"/>
                <w:szCs w:val="21"/>
              </w:rPr>
            </w:pPr>
            <w:r>
              <w:rPr>
                <w:rFonts w:hint="eastAsia" w:ascii="宋体" w:hAnsi="宋体" w:cs="宋体"/>
                <w:szCs w:val="21"/>
              </w:rPr>
              <w:t>投标人诚信得分=企业的诚信综合评价排名得分</w:t>
            </w:r>
            <w:r>
              <w:rPr>
                <w:rFonts w:hint="eastAsia" w:ascii="宋体" w:hAnsi="宋体" w:cs="宋体"/>
                <w:kern w:val="0"/>
                <w:szCs w:val="21"/>
              </w:rPr>
              <w:t>×5</w:t>
            </w:r>
            <w:r>
              <w:rPr>
                <w:rFonts w:hint="eastAsia" w:ascii="宋体" w:hAnsi="宋体" w:cs="宋体"/>
                <w:szCs w:val="21"/>
              </w:rPr>
              <w:t>%。企业的诚信综合评价排名得分以投标截止当日广州市工程招标代理行业协会网站监理企业专栏上公布的企业60日诚信分得分为准。企业诚信综合诚信评价排名得分以</w:t>
            </w:r>
            <w:r>
              <w:rPr>
                <w:rFonts w:hint="eastAsia" w:ascii="宋体" w:hAnsi="宋体" w:cs="宋体"/>
                <w:b/>
                <w:szCs w:val="21"/>
                <w:u w:val="single"/>
              </w:rPr>
              <w:t>监理-房建</w:t>
            </w:r>
            <w:r>
              <w:rPr>
                <w:rFonts w:hint="eastAsia" w:ascii="宋体" w:hAnsi="宋体" w:cs="宋体"/>
                <w:szCs w:val="21"/>
              </w:rPr>
              <w:t>排名得分为准。</w:t>
            </w:r>
          </w:p>
        </w:tc>
      </w:tr>
    </w:tbl>
    <w:p w14:paraId="0F0A8865">
      <w:pPr>
        <w:snapToGrid w:val="0"/>
        <w:spacing w:before="240" w:line="360" w:lineRule="auto"/>
        <w:rPr>
          <w:rFonts w:ascii="宋体"/>
        </w:rPr>
      </w:pPr>
      <w:r>
        <w:rPr>
          <w:rFonts w:hint="eastAsia" w:ascii="宋体" w:hAnsi="宋体"/>
        </w:rPr>
        <w:t>说明：</w:t>
      </w:r>
    </w:p>
    <w:p w14:paraId="221F503A">
      <w:pPr>
        <w:pStyle w:val="6"/>
      </w:pPr>
      <w:r>
        <w:rPr>
          <w:rFonts w:hint="eastAsia"/>
        </w:rPr>
        <w:t>（1）类似项目业绩：需提供施工监理合同关键页（或业务委托书或中标通知书）、竣工验收报告或竣工验收证明的清晰扫描件并加盖投标人电子印章，业绩时间以竣工验收报告或竣工验收证明出具时间为准（竣工验收报告或竣工验收证明材料至少包含建设单位、设计单位、施工单位、监理单位四方主体盖章，否则不予以认可），总监理工程师或总监理工程师代表身份信息以监理合同中的名字为准。如果监理合同未能清晰反映总监理工程师或总监理工程师代表身份信息的，还需提供由业主出具的加盖业主单位公章的证明材料。</w:t>
      </w:r>
    </w:p>
    <w:p w14:paraId="26558A21">
      <w:pPr>
        <w:tabs>
          <w:tab w:val="left" w:pos="540"/>
        </w:tabs>
        <w:snapToGrid w:val="0"/>
        <w:spacing w:line="360" w:lineRule="auto"/>
        <w:rPr>
          <w:rFonts w:ascii="宋体" w:hAnsi="宋体"/>
        </w:rPr>
      </w:pPr>
      <w:r>
        <w:rPr>
          <w:rFonts w:hint="eastAsia" w:ascii="宋体" w:hAnsi="宋体"/>
        </w:rPr>
        <w:t>合同金额</w:t>
      </w:r>
      <w:r>
        <w:rPr>
          <w:rFonts w:hint="eastAsia" w:ascii="宋体" w:hAnsi="宋体" w:cs="宋体"/>
          <w:szCs w:val="21"/>
          <w:lang w:bidi="ar"/>
        </w:rPr>
        <w:t>以</w:t>
      </w:r>
      <w:r>
        <w:rPr>
          <w:rFonts w:hint="eastAsia" w:ascii="宋体" w:hAnsi="宋体" w:cs="宋体"/>
        </w:rPr>
        <w:t>施工监理合同为准</w:t>
      </w:r>
      <w:r>
        <w:rPr>
          <w:rFonts w:hint="eastAsia" w:ascii="宋体" w:hAnsi="宋体"/>
        </w:rPr>
        <w:t>。</w:t>
      </w:r>
    </w:p>
    <w:p w14:paraId="3AA0CB49">
      <w:pPr>
        <w:pStyle w:val="6"/>
      </w:pPr>
      <w:r>
        <w:rPr>
          <w:rFonts w:hint="eastAsia"/>
        </w:rPr>
        <w:t>总监理工程师及总监代表身份以竣工验收报告或竣工验收证明材料载明的总为准，如果证明材料未能反映相关信息，需提供该工程项目的经建设单位盖章的证明材料等能反映相关信息的证明文件。</w:t>
      </w:r>
    </w:p>
    <w:p w14:paraId="45A38B4F">
      <w:pPr>
        <w:tabs>
          <w:tab w:val="left" w:pos="540"/>
        </w:tabs>
        <w:snapToGrid w:val="0"/>
        <w:spacing w:line="360" w:lineRule="auto"/>
        <w:rPr>
          <w:szCs w:val="21"/>
        </w:rPr>
      </w:pPr>
      <w:r>
        <w:rPr>
          <w:rFonts w:ascii="宋体" w:hAnsi="宋体"/>
        </w:rPr>
        <w:t>（</w:t>
      </w:r>
      <w:r>
        <w:rPr>
          <w:rFonts w:hint="eastAsia" w:ascii="宋体" w:hAnsi="宋体"/>
        </w:rPr>
        <w:t>2</w:t>
      </w:r>
      <w:r>
        <w:rPr>
          <w:rFonts w:ascii="宋体" w:hAnsi="宋体"/>
        </w:rPr>
        <w:t>）</w:t>
      </w:r>
      <w:r>
        <w:rPr>
          <w:rFonts w:hint="eastAsia" w:ascii="宋体" w:hAnsi="宋体"/>
        </w:rPr>
        <w:t>获奖业绩（根据具体招标项目专业对应奖项）：国家级奖指中国建设工程鲁班奖、中国土木工程詹天佑奖、国家优质工程奖、国家优质工程金奖；非质量类获奖不予计算。同一工程项目获得多个奖项的，按最高奖项计取，不重复计算。须提供获奖证书或获奖通报证明材料的清晰扫描件并加盖投标人电子印章、时间以获奖证书或获奖通报发出日期为准。</w:t>
      </w:r>
      <w:r>
        <w:rPr>
          <w:rFonts w:hint="eastAsia"/>
          <w:szCs w:val="21"/>
        </w:rPr>
        <w:t>行业（或学会）协会须经民政部门备案，应同时提供其在“中国社会组织政务服务平台”网站https://chinanpo.mca.gov.cn/)查询结果的网页信息截图，只计算投标人自身，不计算投标人的子公司、分公司及分支机构。否则该项不得分。</w:t>
      </w:r>
    </w:p>
    <w:p w14:paraId="2E241CBC">
      <w:pPr>
        <w:pStyle w:val="9"/>
        <w:rPr>
          <w:rFonts w:ascii="宋体" w:hAnsi="宋体"/>
          <w:kern w:val="2"/>
          <w:sz w:val="21"/>
          <w:szCs w:val="22"/>
        </w:rPr>
      </w:pPr>
      <w:r>
        <w:rPr>
          <w:rFonts w:ascii="宋体" w:hAnsi="宋体"/>
          <w:kern w:val="2"/>
          <w:sz w:val="21"/>
          <w:szCs w:val="22"/>
        </w:rPr>
        <w:t>（3）企业认证：证书须提供证书复印件，同时提供在全国认证认可信息公共服务平台上http://cx.cnca.cn查询结果的截图，证书状态必须为“有效”。因供应商成立时间不满足认证时间要求且办理认证所需要的合理时间不足导致未能获得认证证书的，供应商提供相关佐证资料，情况属实的，可对应得分，否则不得分。</w:t>
      </w:r>
    </w:p>
    <w:p w14:paraId="3A6F1344">
      <w:pPr>
        <w:tabs>
          <w:tab w:val="left" w:pos="540"/>
        </w:tabs>
        <w:snapToGrid w:val="0"/>
        <w:spacing w:line="360" w:lineRule="auto"/>
        <w:jc w:val="left"/>
        <w:rPr>
          <w:rFonts w:ascii="宋体" w:hAnsi="宋体" w:cs="宋体"/>
        </w:rPr>
      </w:pPr>
      <w:r>
        <w:rPr>
          <w:rFonts w:ascii="宋体" w:hAnsi="宋体"/>
        </w:rPr>
        <w:t>（4）投标人的综合得分为各评委的评分计取的算术平均分（分数出现小数点时，保留小数点后二位，第三位小数四舍五入）。</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Pr>
          <w:rFonts w:hint="eastAsia" w:ascii="宋体" w:hAnsi="宋体" w:cs="宋体"/>
          <w:b/>
          <w:szCs w:val="21"/>
        </w:rPr>
        <w:br w:type="page"/>
      </w:r>
    </w:p>
    <w:p w14:paraId="5242EFAB">
      <w:pPr>
        <w:spacing w:before="141" w:line="360" w:lineRule="auto"/>
        <w:ind w:left="13"/>
        <w:outlineLvl w:val="0"/>
        <w:rPr>
          <w:rFonts w:ascii="宋体" w:hAnsi="宋体" w:cs="宋体"/>
          <w:sz w:val="31"/>
          <w:szCs w:val="31"/>
        </w:rPr>
      </w:pPr>
      <w:bookmarkStart w:id="394" w:name="_Toc6675"/>
      <w:bookmarkStart w:id="395" w:name="_Toc4568"/>
      <w:bookmarkStart w:id="396" w:name="_Toc32461"/>
      <w:bookmarkStart w:id="397" w:name="_Toc14328"/>
      <w:bookmarkStart w:id="398" w:name="_Toc16643"/>
      <w:bookmarkStart w:id="399" w:name="_Toc23772"/>
      <w:bookmarkStart w:id="400" w:name="_Toc18278"/>
      <w:bookmarkStart w:id="401" w:name="_Toc18876"/>
      <w:bookmarkStart w:id="402" w:name="_Toc11896"/>
      <w:bookmarkStart w:id="403" w:name="_Toc14733"/>
      <w:bookmarkStart w:id="404" w:name="_Toc2729"/>
      <w:bookmarkStart w:id="405" w:name="_Toc4238"/>
      <w:bookmarkStart w:id="406" w:name="_Toc5517"/>
      <w:bookmarkStart w:id="407" w:name="_Toc8455"/>
      <w:r>
        <w:rPr>
          <w:rFonts w:hint="eastAsia" w:ascii="宋体" w:hAnsi="宋体" w:cs="宋体"/>
          <w:b/>
          <w:bCs/>
          <w:spacing w:val="8"/>
          <w:sz w:val="31"/>
          <w:szCs w:val="31"/>
        </w:rPr>
        <w:t>1</w:t>
      </w:r>
      <w:r>
        <w:rPr>
          <w:rFonts w:hint="eastAsia" w:ascii="宋体" w:hAnsi="宋体" w:cs="宋体"/>
          <w:b/>
          <w:bCs/>
          <w:spacing w:val="4"/>
          <w:sz w:val="31"/>
          <w:szCs w:val="31"/>
        </w:rPr>
        <w:t>.</w:t>
      </w:r>
      <w:r>
        <w:rPr>
          <w:rFonts w:hint="eastAsia" w:ascii="宋体" w:hAnsi="宋体" w:cs="宋体"/>
          <w:spacing w:val="4"/>
          <w:sz w:val="31"/>
          <w:szCs w:val="31"/>
        </w:rPr>
        <w:t xml:space="preserve">  评标方法</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6CF15666">
      <w:pPr>
        <w:spacing w:before="68" w:line="363" w:lineRule="auto"/>
        <w:ind w:firstLine="421"/>
        <w:rPr>
          <w:rFonts w:ascii="宋体" w:hAnsi="宋体" w:cs="宋体"/>
          <w:szCs w:val="21"/>
        </w:rPr>
      </w:pPr>
      <w:r>
        <w:rPr>
          <w:rFonts w:hint="eastAsia" w:ascii="宋体" w:hAnsi="宋体" w:cs="宋体"/>
          <w:spacing w:val="1"/>
          <w:szCs w:val="21"/>
        </w:rPr>
        <w:t>本次评标采用综合评估法。评标委员会对满足招标文</w:t>
      </w:r>
      <w:r>
        <w:rPr>
          <w:rFonts w:hint="eastAsia" w:ascii="宋体" w:hAnsi="宋体" w:cs="宋体"/>
          <w:szCs w:val="21"/>
        </w:rPr>
        <w:t>件实质性要求的投标文件，按照本章</w:t>
      </w:r>
      <w:r>
        <w:rPr>
          <w:rFonts w:hint="eastAsia" w:ascii="宋体" w:hAnsi="宋体" w:cs="宋体"/>
          <w:spacing w:val="-2"/>
          <w:szCs w:val="21"/>
        </w:rPr>
        <w:t>第 2.2 款规定的评分标准进行打分， 并按得分由高到低顺序推荐</w:t>
      </w:r>
      <w:r>
        <w:rPr>
          <w:rFonts w:hint="eastAsia" w:ascii="宋体" w:hAnsi="宋体" w:cs="宋体"/>
          <w:spacing w:val="-1"/>
          <w:szCs w:val="21"/>
        </w:rPr>
        <w:t>中标候选人，或根据招标人授</w:t>
      </w:r>
      <w:r>
        <w:rPr>
          <w:rFonts w:hint="eastAsia" w:ascii="宋体" w:hAnsi="宋体" w:cs="宋体"/>
          <w:spacing w:val="1"/>
          <w:szCs w:val="21"/>
        </w:rPr>
        <w:t>权直接确定中标人，但投标报价低于其成本的除外。综合评</w:t>
      </w:r>
      <w:r>
        <w:rPr>
          <w:rFonts w:hint="eastAsia" w:ascii="宋体" w:hAnsi="宋体" w:cs="宋体"/>
          <w:szCs w:val="21"/>
        </w:rPr>
        <w:t>分相等时，以投标报价低的优先；</w:t>
      </w:r>
      <w:r>
        <w:rPr>
          <w:rFonts w:hint="eastAsia" w:ascii="宋体" w:hAnsi="宋体" w:cs="宋体"/>
          <w:spacing w:val="1"/>
          <w:szCs w:val="21"/>
        </w:rPr>
        <w:t>投标报价也相等的，以监理大纲得分高的优先；如果监理大</w:t>
      </w:r>
      <w:r>
        <w:rPr>
          <w:rFonts w:hint="eastAsia" w:ascii="宋体" w:hAnsi="宋体" w:cs="宋体"/>
          <w:szCs w:val="21"/>
        </w:rPr>
        <w:t>纲得分也相等，按照评标办法前附</w:t>
      </w:r>
      <w:r>
        <w:rPr>
          <w:rFonts w:hint="eastAsia" w:ascii="宋体" w:hAnsi="宋体" w:cs="宋体"/>
          <w:spacing w:val="-2"/>
          <w:szCs w:val="21"/>
        </w:rPr>
        <w:t>表的规定确定中标候</w:t>
      </w:r>
      <w:r>
        <w:rPr>
          <w:rFonts w:hint="eastAsia" w:ascii="宋体" w:hAnsi="宋体" w:cs="宋体"/>
          <w:spacing w:val="-1"/>
          <w:szCs w:val="21"/>
        </w:rPr>
        <w:t>选人顺序。</w:t>
      </w:r>
    </w:p>
    <w:p w14:paraId="018C7AC0">
      <w:pPr>
        <w:spacing w:before="256" w:line="360" w:lineRule="auto"/>
        <w:outlineLvl w:val="0"/>
        <w:rPr>
          <w:rFonts w:ascii="宋体" w:hAnsi="宋体" w:cs="宋体"/>
          <w:sz w:val="31"/>
          <w:szCs w:val="31"/>
        </w:rPr>
      </w:pPr>
      <w:bookmarkStart w:id="408" w:name="_bookmark86"/>
      <w:bookmarkEnd w:id="408"/>
      <w:bookmarkStart w:id="409" w:name="_bookmark87"/>
      <w:bookmarkEnd w:id="409"/>
      <w:bookmarkStart w:id="410" w:name="_Toc19432"/>
      <w:bookmarkStart w:id="411" w:name="_Toc28259"/>
      <w:bookmarkStart w:id="412" w:name="_Toc5930"/>
      <w:bookmarkStart w:id="413" w:name="_Toc32701"/>
      <w:bookmarkStart w:id="414" w:name="_Toc27725"/>
      <w:bookmarkStart w:id="415" w:name="_Toc13057"/>
      <w:bookmarkStart w:id="416" w:name="_Toc7924"/>
      <w:bookmarkStart w:id="417" w:name="_Toc1308"/>
      <w:bookmarkStart w:id="418" w:name="_Toc20482"/>
      <w:bookmarkStart w:id="419" w:name="_Toc15143"/>
      <w:bookmarkStart w:id="420" w:name="_Toc5006"/>
      <w:bookmarkStart w:id="421" w:name="_Toc20852"/>
      <w:bookmarkStart w:id="422" w:name="_Toc11218"/>
      <w:bookmarkStart w:id="423" w:name="_Toc15916"/>
      <w:r>
        <w:rPr>
          <w:rFonts w:hint="eastAsia" w:ascii="宋体" w:hAnsi="宋体" w:cs="宋体"/>
          <w:b/>
          <w:bCs/>
          <w:spacing w:val="7"/>
          <w:sz w:val="31"/>
          <w:szCs w:val="31"/>
        </w:rPr>
        <w:t>2</w:t>
      </w:r>
      <w:r>
        <w:rPr>
          <w:rFonts w:hint="eastAsia" w:ascii="宋体" w:hAnsi="宋体" w:cs="宋体"/>
          <w:b/>
          <w:bCs/>
          <w:spacing w:val="6"/>
          <w:sz w:val="31"/>
          <w:szCs w:val="31"/>
        </w:rPr>
        <w:t>.</w:t>
      </w:r>
      <w:r>
        <w:rPr>
          <w:rFonts w:hint="eastAsia" w:ascii="宋体" w:hAnsi="宋体" w:cs="宋体"/>
          <w:spacing w:val="6"/>
          <w:sz w:val="31"/>
          <w:szCs w:val="31"/>
        </w:rPr>
        <w:t xml:space="preserve">  评审标准</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054DB640">
      <w:pPr>
        <w:spacing w:before="91" w:line="360" w:lineRule="auto"/>
        <w:ind w:left="135"/>
        <w:rPr>
          <w:rFonts w:ascii="宋体" w:hAnsi="宋体" w:cs="宋体"/>
          <w:sz w:val="28"/>
          <w:szCs w:val="28"/>
        </w:rPr>
      </w:pPr>
      <w:r>
        <w:rPr>
          <w:rFonts w:hint="eastAsia" w:ascii="宋体" w:hAnsi="宋体" w:cs="宋体"/>
          <w:spacing w:val="-1"/>
          <w:sz w:val="28"/>
          <w:szCs w:val="28"/>
        </w:rPr>
        <w:t>2.1</w:t>
      </w:r>
      <w:r>
        <w:rPr>
          <w:rFonts w:hint="eastAsia" w:ascii="宋体" w:hAnsi="宋体" w:cs="宋体"/>
          <w:sz w:val="28"/>
          <w:szCs w:val="28"/>
        </w:rPr>
        <w:t xml:space="preserve">  初步评审标准</w:t>
      </w:r>
    </w:p>
    <w:p w14:paraId="115565F5">
      <w:pPr>
        <w:spacing w:before="69" w:line="220" w:lineRule="auto"/>
        <w:ind w:left="416"/>
        <w:rPr>
          <w:rFonts w:ascii="宋体" w:hAnsi="宋体" w:cs="宋体"/>
          <w:szCs w:val="21"/>
        </w:rPr>
      </w:pPr>
      <w:r>
        <w:rPr>
          <w:rFonts w:hint="eastAsia" w:ascii="宋体" w:hAnsi="宋体" w:cs="宋体"/>
          <w:spacing w:val="-1"/>
          <w:szCs w:val="21"/>
        </w:rPr>
        <w:t>2.1.1  形式评审标准：见评标</w:t>
      </w:r>
      <w:r>
        <w:rPr>
          <w:rFonts w:hint="eastAsia" w:ascii="宋体" w:hAnsi="宋体" w:cs="宋体"/>
          <w:szCs w:val="21"/>
        </w:rPr>
        <w:t>办法前附表。</w:t>
      </w:r>
    </w:p>
    <w:p w14:paraId="14352987">
      <w:pPr>
        <w:spacing w:before="150" w:line="220" w:lineRule="auto"/>
        <w:ind w:left="416"/>
        <w:rPr>
          <w:rFonts w:ascii="宋体" w:hAnsi="宋体" w:cs="宋体"/>
          <w:szCs w:val="21"/>
        </w:rPr>
      </w:pPr>
      <w:r>
        <w:rPr>
          <w:rFonts w:hint="eastAsia" w:ascii="宋体" w:hAnsi="宋体" w:cs="宋体"/>
          <w:spacing w:val="-1"/>
          <w:szCs w:val="21"/>
        </w:rPr>
        <w:t>2.1.2  资格评审标准：见评标</w:t>
      </w:r>
      <w:r>
        <w:rPr>
          <w:rFonts w:hint="eastAsia" w:ascii="宋体" w:hAnsi="宋体" w:cs="宋体"/>
          <w:szCs w:val="21"/>
        </w:rPr>
        <w:t>办法前附表。</w:t>
      </w:r>
    </w:p>
    <w:p w14:paraId="5686D91E">
      <w:pPr>
        <w:spacing w:before="150" w:line="220" w:lineRule="auto"/>
        <w:ind w:left="416"/>
        <w:rPr>
          <w:rFonts w:ascii="宋体" w:hAnsi="宋体" w:cs="宋体"/>
          <w:szCs w:val="21"/>
        </w:rPr>
      </w:pPr>
      <w:bookmarkStart w:id="424" w:name="_bookmark88"/>
      <w:bookmarkEnd w:id="424"/>
      <w:r>
        <w:rPr>
          <w:rFonts w:hint="eastAsia" w:ascii="宋体" w:hAnsi="宋体" w:cs="宋体"/>
          <w:spacing w:val="-8"/>
          <w:szCs w:val="21"/>
        </w:rPr>
        <w:t>2</w:t>
      </w:r>
      <w:r>
        <w:rPr>
          <w:rFonts w:hint="eastAsia" w:ascii="宋体" w:hAnsi="宋体" w:cs="宋体"/>
          <w:spacing w:val="-6"/>
          <w:szCs w:val="21"/>
        </w:rPr>
        <w:t>.</w:t>
      </w:r>
      <w:r>
        <w:rPr>
          <w:rFonts w:hint="eastAsia" w:ascii="宋体" w:hAnsi="宋体" w:cs="宋体"/>
          <w:spacing w:val="-4"/>
          <w:szCs w:val="21"/>
        </w:rPr>
        <w:t>1.3  响应性评审标准： 见评标办法前附表。</w:t>
      </w:r>
    </w:p>
    <w:p w14:paraId="0E444553">
      <w:pPr>
        <w:spacing w:before="310" w:line="360" w:lineRule="auto"/>
        <w:ind w:left="135"/>
        <w:rPr>
          <w:rFonts w:ascii="宋体" w:hAnsi="宋体" w:cs="宋体"/>
          <w:sz w:val="28"/>
          <w:szCs w:val="28"/>
        </w:rPr>
      </w:pPr>
      <w:r>
        <w:rPr>
          <w:rFonts w:hint="eastAsia" w:ascii="宋体" w:hAnsi="宋体" w:cs="宋体"/>
          <w:spacing w:val="-1"/>
          <w:sz w:val="28"/>
          <w:szCs w:val="28"/>
        </w:rPr>
        <w:t xml:space="preserve">2.2 </w:t>
      </w:r>
      <w:r>
        <w:rPr>
          <w:rFonts w:hint="eastAsia" w:ascii="宋体" w:hAnsi="宋体" w:cs="宋体"/>
          <w:sz w:val="28"/>
          <w:szCs w:val="28"/>
        </w:rPr>
        <w:t xml:space="preserve"> 分值构成与评分标准</w:t>
      </w:r>
    </w:p>
    <w:p w14:paraId="6C243CA5">
      <w:pPr>
        <w:spacing w:before="69" w:line="221" w:lineRule="auto"/>
        <w:ind w:left="416"/>
        <w:rPr>
          <w:rFonts w:ascii="宋体" w:hAnsi="宋体" w:cs="宋体"/>
          <w:szCs w:val="21"/>
        </w:rPr>
      </w:pPr>
      <w:r>
        <w:rPr>
          <w:rFonts w:hint="eastAsia" w:ascii="宋体" w:hAnsi="宋体" w:cs="宋体"/>
          <w:spacing w:val="-1"/>
          <w:szCs w:val="21"/>
        </w:rPr>
        <w:t>2.</w:t>
      </w:r>
      <w:r>
        <w:rPr>
          <w:rFonts w:hint="eastAsia" w:ascii="宋体" w:hAnsi="宋体" w:cs="宋体"/>
          <w:szCs w:val="21"/>
        </w:rPr>
        <w:t>2.1  分值构成</w:t>
      </w:r>
    </w:p>
    <w:p w14:paraId="45376853">
      <w:pPr>
        <w:spacing w:before="150" w:line="220" w:lineRule="auto"/>
        <w:ind w:left="427"/>
        <w:rPr>
          <w:rFonts w:ascii="宋体" w:hAnsi="宋体" w:cs="宋体"/>
          <w:szCs w:val="21"/>
        </w:rPr>
      </w:pPr>
      <w:r>
        <w:rPr>
          <w:rFonts w:hint="eastAsia" w:ascii="宋体" w:hAnsi="宋体" w:cs="宋体"/>
          <w:spacing w:val="6"/>
          <w:szCs w:val="21"/>
        </w:rPr>
        <w:t>(1)</w:t>
      </w:r>
      <w:r>
        <w:rPr>
          <w:rFonts w:hint="eastAsia" w:ascii="宋体" w:hAnsi="宋体" w:cs="宋体"/>
          <w:spacing w:val="3"/>
          <w:szCs w:val="21"/>
        </w:rPr>
        <w:t xml:space="preserve"> 资信业绩部分：见评标办法前附表；</w:t>
      </w:r>
    </w:p>
    <w:p w14:paraId="79A9FEA8">
      <w:pPr>
        <w:spacing w:before="151" w:line="220" w:lineRule="auto"/>
        <w:ind w:left="427"/>
        <w:rPr>
          <w:rFonts w:ascii="宋体" w:hAnsi="宋体" w:cs="宋体"/>
          <w:szCs w:val="21"/>
        </w:rPr>
      </w:pPr>
      <w:r>
        <w:rPr>
          <w:rFonts w:hint="eastAsia" w:ascii="宋体" w:hAnsi="宋体" w:cs="宋体"/>
          <w:spacing w:val="6"/>
          <w:szCs w:val="21"/>
        </w:rPr>
        <w:t>(2)</w:t>
      </w:r>
      <w:r>
        <w:rPr>
          <w:rFonts w:hint="eastAsia" w:ascii="宋体" w:hAnsi="宋体" w:cs="宋体"/>
          <w:spacing w:val="3"/>
          <w:szCs w:val="21"/>
        </w:rPr>
        <w:t xml:space="preserve"> 监理大纲部分：见评标办法前附表；</w:t>
      </w:r>
    </w:p>
    <w:p w14:paraId="099B7051">
      <w:pPr>
        <w:spacing w:before="148" w:line="219" w:lineRule="auto"/>
        <w:ind w:left="427"/>
        <w:rPr>
          <w:rFonts w:ascii="宋体" w:hAnsi="宋体" w:cs="宋体"/>
          <w:szCs w:val="21"/>
        </w:rPr>
      </w:pPr>
      <w:r>
        <w:rPr>
          <w:rFonts w:hint="eastAsia" w:ascii="宋体" w:hAnsi="宋体" w:cs="宋体"/>
          <w:spacing w:val="4"/>
          <w:szCs w:val="21"/>
        </w:rPr>
        <w:t>(3) 投标报价：见评标办法前附表</w:t>
      </w:r>
      <w:r>
        <w:rPr>
          <w:rFonts w:hint="eastAsia" w:ascii="宋体" w:hAnsi="宋体" w:cs="宋体"/>
          <w:spacing w:val="1"/>
          <w:szCs w:val="21"/>
        </w:rPr>
        <w:t>；</w:t>
      </w:r>
    </w:p>
    <w:p w14:paraId="2B307B84">
      <w:pPr>
        <w:spacing w:before="151" w:line="220" w:lineRule="auto"/>
        <w:ind w:left="427"/>
        <w:rPr>
          <w:rFonts w:ascii="宋体" w:hAnsi="宋体" w:cs="宋体"/>
          <w:szCs w:val="21"/>
        </w:rPr>
      </w:pPr>
      <w:r>
        <w:rPr>
          <w:rFonts w:hint="eastAsia" w:ascii="宋体" w:hAnsi="宋体" w:cs="宋体"/>
          <w:spacing w:val="4"/>
          <w:szCs w:val="21"/>
        </w:rPr>
        <w:t>(4) 其他评分因素：见评标办法前附表</w:t>
      </w:r>
      <w:r>
        <w:rPr>
          <w:rFonts w:hint="eastAsia" w:ascii="宋体" w:hAnsi="宋体" w:cs="宋体"/>
          <w:spacing w:val="2"/>
          <w:szCs w:val="21"/>
        </w:rPr>
        <w:t>。</w:t>
      </w:r>
    </w:p>
    <w:p w14:paraId="7DFF313E">
      <w:pPr>
        <w:spacing w:before="152" w:line="219" w:lineRule="auto"/>
        <w:ind w:left="416"/>
        <w:rPr>
          <w:rFonts w:ascii="宋体" w:hAnsi="宋体" w:cs="宋体"/>
          <w:szCs w:val="21"/>
        </w:rPr>
      </w:pPr>
      <w:r>
        <w:rPr>
          <w:rFonts w:hint="eastAsia" w:ascii="宋体" w:hAnsi="宋体" w:cs="宋体"/>
          <w:spacing w:val="-1"/>
          <w:szCs w:val="21"/>
        </w:rPr>
        <w:t>2.</w:t>
      </w:r>
      <w:r>
        <w:rPr>
          <w:rFonts w:hint="eastAsia" w:ascii="宋体" w:hAnsi="宋体" w:cs="宋体"/>
          <w:szCs w:val="21"/>
        </w:rPr>
        <w:t>2.2  评标基准价计算</w:t>
      </w:r>
    </w:p>
    <w:p w14:paraId="421123DD">
      <w:pPr>
        <w:spacing w:before="149" w:line="219" w:lineRule="auto"/>
        <w:ind w:left="419"/>
        <w:rPr>
          <w:rFonts w:ascii="宋体" w:hAnsi="宋体" w:cs="宋体"/>
          <w:szCs w:val="21"/>
        </w:rPr>
      </w:pPr>
      <w:r>
        <w:rPr>
          <w:rFonts w:hint="eastAsia" w:ascii="宋体" w:hAnsi="宋体" w:cs="宋体"/>
          <w:spacing w:val="-1"/>
          <w:szCs w:val="21"/>
        </w:rPr>
        <w:t>评标基</w:t>
      </w:r>
      <w:r>
        <w:rPr>
          <w:rFonts w:hint="eastAsia" w:ascii="宋体" w:hAnsi="宋体" w:cs="宋体"/>
          <w:szCs w:val="21"/>
        </w:rPr>
        <w:t>准价计算方法：见评标办法前附表。</w:t>
      </w:r>
    </w:p>
    <w:p w14:paraId="2699B75E">
      <w:pPr>
        <w:spacing w:before="152" w:line="219" w:lineRule="auto"/>
        <w:ind w:left="416"/>
        <w:rPr>
          <w:rFonts w:ascii="宋体" w:hAnsi="宋体" w:cs="宋体"/>
          <w:szCs w:val="21"/>
        </w:rPr>
      </w:pPr>
      <w:r>
        <w:rPr>
          <w:rFonts w:hint="eastAsia" w:ascii="宋体" w:hAnsi="宋体" w:cs="宋体"/>
          <w:spacing w:val="-1"/>
          <w:szCs w:val="21"/>
        </w:rPr>
        <w:t>2.2</w:t>
      </w:r>
      <w:r>
        <w:rPr>
          <w:rFonts w:hint="eastAsia" w:ascii="宋体" w:hAnsi="宋体" w:cs="宋体"/>
          <w:szCs w:val="21"/>
        </w:rPr>
        <w:t>.3  投标报价的偏差率计算</w:t>
      </w:r>
    </w:p>
    <w:p w14:paraId="721C6211">
      <w:pPr>
        <w:spacing w:before="151" w:line="219" w:lineRule="auto"/>
        <w:ind w:left="423"/>
        <w:rPr>
          <w:rFonts w:ascii="宋体" w:hAnsi="宋体" w:cs="宋体"/>
          <w:szCs w:val="21"/>
        </w:rPr>
      </w:pPr>
      <w:r>
        <w:rPr>
          <w:rFonts w:hint="eastAsia" w:ascii="宋体" w:hAnsi="宋体" w:cs="宋体"/>
          <w:spacing w:val="-1"/>
          <w:szCs w:val="21"/>
        </w:rPr>
        <w:t>投标报价的偏差率计算公式：见评标办法前附表</w:t>
      </w:r>
      <w:r>
        <w:rPr>
          <w:rFonts w:hint="eastAsia" w:ascii="宋体" w:hAnsi="宋体" w:cs="宋体"/>
          <w:szCs w:val="21"/>
        </w:rPr>
        <w:t>。</w:t>
      </w:r>
    </w:p>
    <w:p w14:paraId="45EB2CF9">
      <w:pPr>
        <w:spacing w:before="150" w:line="221" w:lineRule="auto"/>
        <w:ind w:left="416"/>
        <w:rPr>
          <w:rFonts w:ascii="宋体" w:hAnsi="宋体" w:cs="宋体"/>
          <w:szCs w:val="21"/>
        </w:rPr>
      </w:pPr>
      <w:r>
        <w:rPr>
          <w:rFonts w:hint="eastAsia" w:ascii="宋体" w:hAnsi="宋体" w:cs="宋体"/>
          <w:spacing w:val="-1"/>
          <w:szCs w:val="21"/>
        </w:rPr>
        <w:t>2.</w:t>
      </w:r>
      <w:r>
        <w:rPr>
          <w:rFonts w:hint="eastAsia" w:ascii="宋体" w:hAnsi="宋体" w:cs="宋体"/>
          <w:szCs w:val="21"/>
        </w:rPr>
        <w:t>2.4  评分标准</w:t>
      </w:r>
    </w:p>
    <w:p w14:paraId="6A291D9A">
      <w:pPr>
        <w:spacing w:before="149" w:line="221" w:lineRule="auto"/>
        <w:ind w:left="427"/>
        <w:rPr>
          <w:rFonts w:ascii="宋体" w:hAnsi="宋体" w:cs="宋体"/>
          <w:szCs w:val="21"/>
        </w:rPr>
      </w:pPr>
      <w:r>
        <w:rPr>
          <w:rFonts w:hint="eastAsia" w:ascii="宋体" w:hAnsi="宋体" w:cs="宋体"/>
          <w:spacing w:val="6"/>
          <w:szCs w:val="21"/>
        </w:rPr>
        <w:t>(</w:t>
      </w:r>
      <w:r>
        <w:rPr>
          <w:rFonts w:hint="eastAsia" w:ascii="宋体" w:hAnsi="宋体" w:cs="宋体"/>
          <w:spacing w:val="3"/>
          <w:szCs w:val="21"/>
        </w:rPr>
        <w:t>1) 资信业绩评分标准：见评标办法前附表；</w:t>
      </w:r>
    </w:p>
    <w:p w14:paraId="46619248">
      <w:pPr>
        <w:spacing w:before="150" w:line="221" w:lineRule="auto"/>
        <w:ind w:left="427"/>
        <w:rPr>
          <w:rFonts w:ascii="宋体" w:hAnsi="宋体" w:cs="宋体"/>
          <w:szCs w:val="21"/>
        </w:rPr>
      </w:pPr>
      <w:r>
        <w:rPr>
          <w:rFonts w:hint="eastAsia" w:ascii="宋体" w:hAnsi="宋体" w:cs="宋体"/>
          <w:spacing w:val="6"/>
          <w:szCs w:val="21"/>
        </w:rPr>
        <w:t>(</w:t>
      </w:r>
      <w:r>
        <w:rPr>
          <w:rFonts w:hint="eastAsia" w:ascii="宋体" w:hAnsi="宋体" w:cs="宋体"/>
          <w:spacing w:val="3"/>
          <w:szCs w:val="21"/>
        </w:rPr>
        <w:t>2) 监理大纲评分标准：见评标办法前附表；</w:t>
      </w:r>
    </w:p>
    <w:p w14:paraId="2835BF3B">
      <w:pPr>
        <w:spacing w:before="147" w:line="219" w:lineRule="auto"/>
        <w:ind w:left="427"/>
        <w:rPr>
          <w:rFonts w:ascii="宋体" w:hAnsi="宋体" w:cs="宋体"/>
          <w:szCs w:val="21"/>
        </w:rPr>
      </w:pPr>
      <w:r>
        <w:rPr>
          <w:rFonts w:hint="eastAsia" w:ascii="宋体" w:hAnsi="宋体" w:cs="宋体"/>
          <w:spacing w:val="6"/>
          <w:szCs w:val="21"/>
        </w:rPr>
        <w:t>(</w:t>
      </w:r>
      <w:r>
        <w:rPr>
          <w:rFonts w:hint="eastAsia" w:ascii="宋体" w:hAnsi="宋体" w:cs="宋体"/>
          <w:spacing w:val="3"/>
          <w:szCs w:val="21"/>
        </w:rPr>
        <w:t>3) 投标报价评分标准：见评标办法前附表；</w:t>
      </w:r>
    </w:p>
    <w:p w14:paraId="30F60391">
      <w:pPr>
        <w:spacing w:before="151" w:line="221" w:lineRule="auto"/>
        <w:ind w:left="427"/>
        <w:rPr>
          <w:rFonts w:ascii="宋体" w:hAnsi="宋体" w:cs="宋体"/>
          <w:spacing w:val="3"/>
          <w:szCs w:val="21"/>
        </w:rPr>
      </w:pPr>
      <w:r>
        <w:rPr>
          <w:rFonts w:hint="eastAsia" w:ascii="宋体" w:hAnsi="宋体" w:cs="宋体"/>
          <w:spacing w:val="6"/>
          <w:szCs w:val="21"/>
        </w:rPr>
        <w:t xml:space="preserve">(4) </w:t>
      </w:r>
      <w:r>
        <w:rPr>
          <w:rFonts w:hint="eastAsia" w:ascii="宋体" w:hAnsi="宋体" w:cs="宋体"/>
          <w:spacing w:val="3"/>
          <w:szCs w:val="21"/>
        </w:rPr>
        <w:t>其他因素评分标准：见评标办法前附表。</w:t>
      </w:r>
    </w:p>
    <w:p w14:paraId="68F38FF0">
      <w:pPr>
        <w:spacing w:before="140" w:line="239" w:lineRule="auto"/>
        <w:outlineLvl w:val="0"/>
        <w:rPr>
          <w:rFonts w:ascii="宋体" w:hAnsi="宋体" w:cs="宋体"/>
          <w:sz w:val="31"/>
          <w:szCs w:val="31"/>
        </w:rPr>
      </w:pPr>
      <w:bookmarkStart w:id="425" w:name="_bookmark89"/>
      <w:bookmarkEnd w:id="425"/>
      <w:bookmarkStart w:id="426" w:name="_bookmark90"/>
      <w:bookmarkEnd w:id="426"/>
      <w:bookmarkStart w:id="427" w:name="_Toc27164"/>
      <w:bookmarkStart w:id="428" w:name="_Toc22492"/>
      <w:bookmarkStart w:id="429" w:name="_Toc12432"/>
      <w:bookmarkStart w:id="430" w:name="_Toc1836"/>
      <w:bookmarkStart w:id="431" w:name="_Toc11085"/>
      <w:bookmarkStart w:id="432" w:name="_Toc32650"/>
      <w:bookmarkStart w:id="433" w:name="_Toc2162"/>
      <w:bookmarkStart w:id="434" w:name="_Toc8797"/>
      <w:bookmarkStart w:id="435" w:name="_Toc471"/>
      <w:bookmarkStart w:id="436" w:name="_Toc12310"/>
      <w:bookmarkStart w:id="437" w:name="_Toc18527"/>
      <w:bookmarkStart w:id="438" w:name="_Toc25532"/>
      <w:bookmarkStart w:id="439" w:name="_Toc14933"/>
      <w:bookmarkStart w:id="440" w:name="_Toc31810"/>
      <w:r>
        <w:rPr>
          <w:rFonts w:hint="eastAsia" w:ascii="宋体" w:hAnsi="宋体" w:cs="宋体"/>
          <w:b/>
          <w:bCs/>
          <w:spacing w:val="10"/>
          <w:sz w:val="31"/>
          <w:szCs w:val="31"/>
        </w:rPr>
        <w:t>3</w:t>
      </w:r>
      <w:r>
        <w:rPr>
          <w:rFonts w:hint="eastAsia" w:ascii="宋体" w:hAnsi="宋体" w:cs="宋体"/>
          <w:b/>
          <w:bCs/>
          <w:spacing w:val="6"/>
          <w:sz w:val="31"/>
          <w:szCs w:val="31"/>
        </w:rPr>
        <w:t>.</w:t>
      </w:r>
      <w:r>
        <w:rPr>
          <w:rFonts w:hint="eastAsia" w:ascii="宋体" w:hAnsi="宋体" w:cs="宋体"/>
          <w:spacing w:val="6"/>
          <w:sz w:val="31"/>
          <w:szCs w:val="31"/>
        </w:rPr>
        <w:t xml:space="preserve">  评标程序</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62E5E837">
      <w:pPr>
        <w:spacing w:before="91" w:line="360" w:lineRule="auto"/>
        <w:ind w:left="143"/>
        <w:rPr>
          <w:rFonts w:ascii="宋体" w:hAnsi="宋体" w:cs="宋体"/>
          <w:sz w:val="28"/>
          <w:szCs w:val="28"/>
        </w:rPr>
      </w:pPr>
      <w:r>
        <w:rPr>
          <w:rFonts w:hint="eastAsia" w:ascii="宋体" w:hAnsi="宋体" w:cs="宋体"/>
          <w:spacing w:val="-1"/>
          <w:sz w:val="28"/>
          <w:szCs w:val="28"/>
        </w:rPr>
        <w:t>3.1  初步评</w:t>
      </w:r>
      <w:r>
        <w:rPr>
          <w:rFonts w:hint="eastAsia" w:ascii="宋体" w:hAnsi="宋体" w:cs="宋体"/>
          <w:sz w:val="28"/>
          <w:szCs w:val="28"/>
        </w:rPr>
        <w:t>审</w:t>
      </w:r>
    </w:p>
    <w:p w14:paraId="290A73C1">
      <w:pPr>
        <w:spacing w:before="68" w:line="352" w:lineRule="auto"/>
        <w:ind w:left="2" w:right="18" w:firstLine="421"/>
        <w:rPr>
          <w:rFonts w:ascii="宋体" w:hAnsi="宋体" w:cs="宋体"/>
          <w:szCs w:val="21"/>
        </w:rPr>
      </w:pPr>
      <w:r>
        <w:rPr>
          <w:rFonts w:hint="eastAsia" w:ascii="宋体" w:hAnsi="宋体" w:cs="宋体"/>
          <w:szCs w:val="21"/>
        </w:rPr>
        <w:t>3.1.1  评标委员会可以要求投标人提交第二章“投标人须知”规定的有关证明和证件的原件，</w:t>
      </w:r>
      <w:r>
        <w:rPr>
          <w:rFonts w:hint="eastAsia" w:ascii="宋体" w:hAnsi="宋体" w:cs="宋体"/>
          <w:spacing w:val="1"/>
          <w:szCs w:val="21"/>
        </w:rPr>
        <w:t>以便核验。评标委员会依据本章第 2.1 款规定的标准对投</w:t>
      </w:r>
      <w:r>
        <w:rPr>
          <w:rFonts w:hint="eastAsia" w:ascii="宋体" w:hAnsi="宋体" w:cs="宋体"/>
          <w:szCs w:val="21"/>
        </w:rPr>
        <w:t>标文件进行初步评审。有一项不符合</w:t>
      </w:r>
      <w:r>
        <w:rPr>
          <w:rFonts w:hint="eastAsia" w:ascii="宋体" w:hAnsi="宋体" w:cs="宋体"/>
          <w:spacing w:val="-1"/>
          <w:szCs w:val="21"/>
        </w:rPr>
        <w:t>评审标</w:t>
      </w:r>
      <w:r>
        <w:rPr>
          <w:rFonts w:hint="eastAsia" w:ascii="宋体" w:hAnsi="宋体" w:cs="宋体"/>
          <w:szCs w:val="21"/>
        </w:rPr>
        <w:t>准的，评标委员会应当否决其投标。</w:t>
      </w:r>
    </w:p>
    <w:p w14:paraId="11076A90">
      <w:pPr>
        <w:spacing w:line="219" w:lineRule="auto"/>
        <w:ind w:left="423"/>
        <w:rPr>
          <w:rFonts w:ascii="宋体" w:hAnsi="宋体" w:cs="宋体"/>
          <w:szCs w:val="21"/>
        </w:rPr>
      </w:pPr>
      <w:r>
        <w:rPr>
          <w:rFonts w:hint="eastAsia" w:ascii="宋体" w:hAnsi="宋体" w:cs="宋体"/>
          <w:spacing w:val="-6"/>
          <w:szCs w:val="21"/>
        </w:rPr>
        <w:t>3</w:t>
      </w:r>
      <w:r>
        <w:rPr>
          <w:rFonts w:hint="eastAsia" w:ascii="宋体" w:hAnsi="宋体" w:cs="宋体"/>
          <w:spacing w:val="-4"/>
          <w:szCs w:val="21"/>
        </w:rPr>
        <w:t>.1.2  投标人有以下情形之一的， 评标委员会应当否决其投标：</w:t>
      </w:r>
    </w:p>
    <w:p w14:paraId="648FD9AC">
      <w:pPr>
        <w:spacing w:before="149" w:line="352" w:lineRule="auto"/>
        <w:ind w:left="3" w:right="73" w:firstLine="425"/>
        <w:rPr>
          <w:rFonts w:ascii="宋体" w:hAnsi="宋体" w:cs="宋体"/>
          <w:szCs w:val="21"/>
        </w:rPr>
      </w:pPr>
      <w:r>
        <w:rPr>
          <w:rFonts w:hint="eastAsia" w:ascii="宋体" w:hAnsi="宋体" w:cs="宋体"/>
          <w:spacing w:val="-2"/>
          <w:szCs w:val="21"/>
        </w:rPr>
        <w:t>(1) 投标文件没有对招标文件的实质性要求和条件作出响应， 或者对招标文件的偏差超出</w:t>
      </w:r>
      <w:r>
        <w:rPr>
          <w:rFonts w:hint="eastAsia" w:ascii="宋体" w:hAnsi="宋体" w:cs="宋体"/>
          <w:spacing w:val="-1"/>
          <w:szCs w:val="21"/>
        </w:rPr>
        <w:t>招标文件</w:t>
      </w:r>
      <w:r>
        <w:rPr>
          <w:rFonts w:hint="eastAsia" w:ascii="宋体" w:hAnsi="宋体" w:cs="宋体"/>
          <w:szCs w:val="21"/>
        </w:rPr>
        <w:t>规定的偏差范围或最高项数；</w:t>
      </w:r>
    </w:p>
    <w:p w14:paraId="7D9E80A2">
      <w:pPr>
        <w:spacing w:before="1" w:line="219" w:lineRule="auto"/>
        <w:ind w:left="429"/>
        <w:rPr>
          <w:rFonts w:ascii="宋体" w:hAnsi="宋体" w:cs="宋体"/>
          <w:szCs w:val="21"/>
        </w:rPr>
      </w:pPr>
      <w:r>
        <w:rPr>
          <w:rFonts w:hint="eastAsia" w:ascii="宋体" w:hAnsi="宋体" w:cs="宋体"/>
          <w:spacing w:val="6"/>
          <w:szCs w:val="21"/>
        </w:rPr>
        <w:t>(</w:t>
      </w:r>
      <w:r>
        <w:rPr>
          <w:rFonts w:hint="eastAsia" w:ascii="宋体" w:hAnsi="宋体" w:cs="宋体"/>
          <w:spacing w:val="4"/>
          <w:szCs w:val="21"/>
        </w:rPr>
        <w:t>2) 有串通投标、弄虚作假、行贿等违法行为。</w:t>
      </w:r>
    </w:p>
    <w:p w14:paraId="44B9CF4C">
      <w:pPr>
        <w:spacing w:before="150" w:line="352" w:lineRule="auto"/>
        <w:ind w:left="6" w:right="73" w:firstLine="416"/>
        <w:rPr>
          <w:rFonts w:ascii="宋体" w:hAnsi="宋体" w:cs="宋体"/>
          <w:szCs w:val="21"/>
        </w:rPr>
      </w:pPr>
      <w:r>
        <w:rPr>
          <w:rFonts w:hint="eastAsia" w:ascii="宋体" w:hAnsi="宋体" w:cs="宋体"/>
          <w:spacing w:val="-2"/>
          <w:szCs w:val="21"/>
        </w:rPr>
        <w:t>3.1.3  投标报价有算术错误及其他错误的，评标委员会按以下原则要</w:t>
      </w:r>
      <w:r>
        <w:rPr>
          <w:rFonts w:hint="eastAsia" w:ascii="宋体" w:hAnsi="宋体" w:cs="宋体"/>
          <w:spacing w:val="-1"/>
          <w:szCs w:val="21"/>
        </w:rPr>
        <w:t>求投标人对投标报价进行修正，</w:t>
      </w:r>
      <w:r>
        <w:rPr>
          <w:rFonts w:hint="eastAsia" w:ascii="宋体" w:hAnsi="宋体" w:cs="宋体"/>
          <w:szCs w:val="21"/>
        </w:rPr>
        <w:t>并要求投标人书面澄清确认。投标人拒不澄清确认的，评标委员会应当否决其投标：</w:t>
      </w:r>
    </w:p>
    <w:p w14:paraId="2752679C">
      <w:pPr>
        <w:spacing w:line="220" w:lineRule="auto"/>
        <w:ind w:left="429"/>
        <w:rPr>
          <w:rFonts w:ascii="宋体" w:hAnsi="宋体" w:cs="宋体"/>
          <w:szCs w:val="21"/>
        </w:rPr>
      </w:pPr>
      <w:r>
        <w:rPr>
          <w:rFonts w:hint="eastAsia" w:ascii="宋体" w:hAnsi="宋体" w:cs="宋体"/>
          <w:spacing w:val="-1"/>
          <w:szCs w:val="21"/>
        </w:rPr>
        <w:t>(1) 投标文件中的</w:t>
      </w:r>
      <w:r>
        <w:rPr>
          <w:rFonts w:hint="eastAsia" w:ascii="宋体" w:hAnsi="宋体" w:cs="宋体"/>
          <w:szCs w:val="21"/>
        </w:rPr>
        <w:t>大写金额与小写金额不一致的，以大写金额为准；</w:t>
      </w:r>
    </w:p>
    <w:p w14:paraId="1F5D8CB6">
      <w:pPr>
        <w:spacing w:before="149" w:line="352" w:lineRule="auto"/>
        <w:ind w:left="3" w:right="73" w:firstLine="425"/>
        <w:rPr>
          <w:rFonts w:ascii="宋体" w:hAnsi="宋体" w:cs="宋体"/>
          <w:spacing w:val="-2"/>
          <w:szCs w:val="21"/>
        </w:rPr>
      </w:pPr>
      <w:r>
        <w:rPr>
          <w:rFonts w:hint="eastAsia" w:ascii="宋体" w:hAnsi="宋体" w:cs="宋体"/>
          <w:spacing w:val="-2"/>
          <w:szCs w:val="21"/>
        </w:rPr>
        <w:t>(2) 总价金额与单价金额不一致的，以单价金额为准， 但单价金额小数点有明显错误的除</w:t>
      </w:r>
      <w:bookmarkStart w:id="441" w:name="_bookmark91"/>
      <w:bookmarkEnd w:id="441"/>
      <w:r>
        <w:rPr>
          <w:rFonts w:hint="eastAsia" w:ascii="宋体" w:hAnsi="宋体" w:cs="宋体"/>
          <w:spacing w:val="-2"/>
          <w:szCs w:val="21"/>
        </w:rPr>
        <w:t>外。</w:t>
      </w:r>
    </w:p>
    <w:p w14:paraId="62EBEF11">
      <w:pPr>
        <w:spacing w:line="220" w:lineRule="auto"/>
        <w:ind w:left="429"/>
        <w:rPr>
          <w:rFonts w:ascii="宋体" w:hAnsi="宋体" w:cs="宋体"/>
          <w:spacing w:val="-1"/>
          <w:szCs w:val="21"/>
        </w:rPr>
      </w:pPr>
      <w:r>
        <w:rPr>
          <w:rFonts w:hint="eastAsia" w:ascii="宋体" w:hAnsi="宋体" w:cs="宋体"/>
          <w:spacing w:val="-2"/>
          <w:szCs w:val="21"/>
        </w:rPr>
        <w:t>(3)</w:t>
      </w:r>
      <w:r>
        <w:rPr>
          <w:rFonts w:hint="eastAsia" w:ascii="宋体" w:hAnsi="宋体" w:cs="宋体"/>
          <w:spacing w:val="-1"/>
          <w:szCs w:val="21"/>
        </w:rPr>
        <w:t xml:space="preserve"> 当本项目最高投标限价×报价下浮率与投标人填报的投标报价不一致时，按最高投标限价×报价下浮率修正投标人的投标报价。</w:t>
      </w:r>
    </w:p>
    <w:p w14:paraId="103F4DEC">
      <w:pPr>
        <w:spacing w:line="352" w:lineRule="auto"/>
        <w:ind w:left="6" w:right="73" w:firstLine="416"/>
        <w:rPr>
          <w:rFonts w:ascii="宋体" w:hAnsi="宋体" w:cs="宋体"/>
          <w:spacing w:val="-2"/>
          <w:szCs w:val="21"/>
          <w:u w:val="single"/>
        </w:rPr>
      </w:pPr>
      <w:r>
        <w:rPr>
          <w:rFonts w:hint="eastAsia" w:ascii="宋体" w:hAnsi="宋体" w:cs="宋体"/>
          <w:spacing w:val="-2"/>
          <w:szCs w:val="21"/>
          <w:u w:val="single"/>
        </w:rPr>
        <w:t>3.1.4 只有通过初步评审的投标人才能进入下一阶段详细评审。当通过初步评审的有效投标人不足三名时，招标人应当依法重新组织招标。在进行形式评审、资格评审、响应性评审过程中，若评委意见不一致时，则按少数服从多数的原则，决定该投标人是否通过相应阶段的评审，进入下一阶段评审。</w:t>
      </w:r>
    </w:p>
    <w:p w14:paraId="679D1C0A">
      <w:pPr>
        <w:spacing w:before="320" w:line="360" w:lineRule="auto"/>
        <w:ind w:left="143"/>
        <w:rPr>
          <w:rFonts w:ascii="宋体" w:hAnsi="宋体" w:cs="宋体"/>
          <w:sz w:val="28"/>
          <w:szCs w:val="28"/>
        </w:rPr>
      </w:pPr>
      <w:r>
        <w:rPr>
          <w:rFonts w:hint="eastAsia" w:ascii="宋体" w:hAnsi="宋体" w:cs="宋体"/>
          <w:spacing w:val="-1"/>
          <w:sz w:val="28"/>
          <w:szCs w:val="28"/>
        </w:rPr>
        <w:t>3.2  详细评</w:t>
      </w:r>
      <w:r>
        <w:rPr>
          <w:rFonts w:hint="eastAsia" w:ascii="宋体" w:hAnsi="宋体" w:cs="宋体"/>
          <w:sz w:val="28"/>
          <w:szCs w:val="28"/>
        </w:rPr>
        <w:t>审</w:t>
      </w:r>
    </w:p>
    <w:p w14:paraId="1149AC83">
      <w:pPr>
        <w:spacing w:before="69" w:line="219" w:lineRule="auto"/>
        <w:ind w:left="423"/>
        <w:rPr>
          <w:rFonts w:ascii="宋体" w:hAnsi="宋体" w:cs="宋体"/>
          <w:szCs w:val="21"/>
        </w:rPr>
      </w:pPr>
      <w:r>
        <w:rPr>
          <w:rFonts w:hint="eastAsia" w:ascii="宋体" w:hAnsi="宋体" w:cs="宋体"/>
          <w:spacing w:val="-8"/>
          <w:szCs w:val="21"/>
        </w:rPr>
        <w:t>3.2.1</w:t>
      </w:r>
      <w:r>
        <w:rPr>
          <w:rFonts w:hint="eastAsia" w:ascii="宋体" w:hAnsi="宋体" w:cs="宋体"/>
          <w:spacing w:val="-7"/>
          <w:szCs w:val="21"/>
        </w:rPr>
        <w:t xml:space="preserve"> </w:t>
      </w:r>
      <w:r>
        <w:rPr>
          <w:rFonts w:hint="eastAsia" w:ascii="宋体" w:hAnsi="宋体" w:cs="宋体"/>
          <w:spacing w:val="-4"/>
          <w:szCs w:val="21"/>
        </w:rPr>
        <w:t xml:space="preserve"> 评标委员会按本章第 2.2 款规定的量化因素和分值进行打分，并计算出综合评估得分。</w:t>
      </w:r>
    </w:p>
    <w:p w14:paraId="526BE140">
      <w:pPr>
        <w:spacing w:before="149" w:line="220" w:lineRule="auto"/>
        <w:ind w:left="429"/>
        <w:rPr>
          <w:rFonts w:ascii="宋体" w:hAnsi="宋体" w:cs="宋体"/>
          <w:szCs w:val="21"/>
        </w:rPr>
      </w:pPr>
      <w:r>
        <w:rPr>
          <w:rFonts w:hint="eastAsia" w:ascii="宋体" w:hAnsi="宋体" w:cs="宋体"/>
          <w:spacing w:val="4"/>
          <w:szCs w:val="21"/>
        </w:rPr>
        <w:t>(1)</w:t>
      </w:r>
      <w:r>
        <w:rPr>
          <w:rFonts w:hint="eastAsia" w:ascii="宋体" w:hAnsi="宋体" w:cs="宋体"/>
          <w:spacing w:val="3"/>
          <w:szCs w:val="21"/>
        </w:rPr>
        <w:t xml:space="preserve"> </w:t>
      </w:r>
      <w:r>
        <w:rPr>
          <w:rFonts w:hint="eastAsia" w:ascii="宋体" w:hAnsi="宋体" w:cs="宋体"/>
          <w:spacing w:val="2"/>
          <w:szCs w:val="21"/>
        </w:rPr>
        <w:t>按本章第 2.2.4  (1) 目规定的评审因素和分值对资信业绩部分计算出得分</w:t>
      </w:r>
      <w:r>
        <w:rPr>
          <w:rFonts w:hint="eastAsia" w:ascii="宋体" w:hAnsi="宋体" w:cs="宋体"/>
          <w:szCs w:val="21"/>
        </w:rPr>
        <w:t>A</w:t>
      </w:r>
      <w:r>
        <w:rPr>
          <w:rFonts w:hint="eastAsia" w:ascii="宋体" w:hAnsi="宋体" w:cs="宋体"/>
          <w:spacing w:val="2"/>
          <w:szCs w:val="21"/>
        </w:rPr>
        <w:t>；</w:t>
      </w:r>
    </w:p>
    <w:p w14:paraId="0FAD2EEB">
      <w:pPr>
        <w:spacing w:before="150" w:line="220" w:lineRule="auto"/>
        <w:ind w:left="429"/>
        <w:rPr>
          <w:rFonts w:ascii="宋体" w:hAnsi="宋体" w:cs="宋体"/>
          <w:szCs w:val="21"/>
        </w:rPr>
      </w:pPr>
      <w:r>
        <w:rPr>
          <w:rFonts w:hint="eastAsia" w:ascii="宋体" w:hAnsi="宋体" w:cs="宋体"/>
          <w:spacing w:val="4"/>
          <w:szCs w:val="21"/>
        </w:rPr>
        <w:t>(2)</w:t>
      </w:r>
      <w:r>
        <w:rPr>
          <w:rFonts w:hint="eastAsia" w:ascii="宋体" w:hAnsi="宋体" w:cs="宋体"/>
          <w:spacing w:val="3"/>
          <w:szCs w:val="21"/>
        </w:rPr>
        <w:t xml:space="preserve"> </w:t>
      </w:r>
      <w:r>
        <w:rPr>
          <w:rFonts w:hint="eastAsia" w:ascii="宋体" w:hAnsi="宋体" w:cs="宋体"/>
          <w:spacing w:val="2"/>
          <w:szCs w:val="21"/>
        </w:rPr>
        <w:t>按本章第 2.2.4  (2) 目规定的评审因素和分值对监理大纲部分计算出得分</w:t>
      </w:r>
      <w:r>
        <w:rPr>
          <w:rFonts w:hint="eastAsia" w:ascii="宋体" w:hAnsi="宋体" w:cs="宋体"/>
          <w:szCs w:val="21"/>
        </w:rPr>
        <w:t>B</w:t>
      </w:r>
      <w:r>
        <w:rPr>
          <w:rFonts w:hint="eastAsia" w:ascii="宋体" w:hAnsi="宋体" w:cs="宋体"/>
          <w:spacing w:val="2"/>
          <w:szCs w:val="21"/>
        </w:rPr>
        <w:t>；</w:t>
      </w:r>
    </w:p>
    <w:p w14:paraId="01ED989C">
      <w:pPr>
        <w:spacing w:before="151" w:line="219" w:lineRule="auto"/>
        <w:ind w:left="429"/>
        <w:rPr>
          <w:rFonts w:ascii="宋体" w:hAnsi="宋体" w:cs="宋体"/>
          <w:szCs w:val="21"/>
        </w:rPr>
      </w:pPr>
      <w:r>
        <w:rPr>
          <w:rFonts w:hint="eastAsia" w:ascii="宋体" w:hAnsi="宋体" w:cs="宋体"/>
          <w:spacing w:val="4"/>
          <w:szCs w:val="21"/>
        </w:rPr>
        <w:t xml:space="preserve">(3) </w:t>
      </w:r>
      <w:r>
        <w:rPr>
          <w:rFonts w:hint="eastAsia" w:ascii="宋体" w:hAnsi="宋体" w:cs="宋体"/>
          <w:spacing w:val="2"/>
          <w:szCs w:val="21"/>
        </w:rPr>
        <w:t>按本章第 2.2.4  (3) 目规定的评审因素和分值对投标报价计算出得分</w:t>
      </w:r>
      <w:r>
        <w:rPr>
          <w:rFonts w:hint="eastAsia" w:ascii="宋体" w:hAnsi="宋体" w:cs="宋体"/>
          <w:szCs w:val="21"/>
        </w:rPr>
        <w:t>C</w:t>
      </w:r>
      <w:r>
        <w:rPr>
          <w:rFonts w:hint="eastAsia" w:ascii="宋体" w:hAnsi="宋体" w:cs="宋体"/>
          <w:spacing w:val="2"/>
          <w:szCs w:val="21"/>
        </w:rPr>
        <w:t>；</w:t>
      </w:r>
    </w:p>
    <w:p w14:paraId="130444BC">
      <w:pPr>
        <w:spacing w:before="150" w:line="220" w:lineRule="auto"/>
        <w:ind w:left="429"/>
        <w:rPr>
          <w:rFonts w:ascii="宋体" w:hAnsi="宋体" w:cs="宋体"/>
          <w:szCs w:val="21"/>
        </w:rPr>
      </w:pPr>
      <w:r>
        <w:rPr>
          <w:rFonts w:hint="eastAsia" w:ascii="宋体" w:hAnsi="宋体" w:cs="宋体"/>
          <w:spacing w:val="-1"/>
          <w:szCs w:val="21"/>
        </w:rPr>
        <w:t>(4) 按本章第 2.2.</w:t>
      </w:r>
      <w:r>
        <w:rPr>
          <w:rFonts w:hint="eastAsia" w:ascii="宋体" w:hAnsi="宋体" w:cs="宋体"/>
          <w:szCs w:val="21"/>
        </w:rPr>
        <w:t>4  (4) 目规定的评审因素和分值对其他部分计算出得分 D。</w:t>
      </w:r>
    </w:p>
    <w:p w14:paraId="25CD8C49">
      <w:pPr>
        <w:spacing w:before="150" w:line="221" w:lineRule="auto"/>
        <w:ind w:left="423"/>
        <w:rPr>
          <w:rFonts w:ascii="宋体" w:hAnsi="宋体" w:cs="宋体"/>
          <w:szCs w:val="21"/>
        </w:rPr>
      </w:pPr>
      <w:r>
        <w:rPr>
          <w:rFonts w:hint="eastAsia" w:ascii="宋体" w:hAnsi="宋体" w:cs="宋体"/>
          <w:spacing w:val="-1"/>
          <w:szCs w:val="21"/>
        </w:rPr>
        <w:t>3.2.</w:t>
      </w:r>
      <w:r>
        <w:rPr>
          <w:rFonts w:hint="eastAsia" w:ascii="宋体" w:hAnsi="宋体" w:cs="宋体"/>
          <w:szCs w:val="21"/>
        </w:rPr>
        <w:t>2  评分分值计算保留小数点后两位，小数点后第三位“四舍五入”。</w:t>
      </w:r>
    </w:p>
    <w:p w14:paraId="598B8889">
      <w:pPr>
        <w:spacing w:before="150" w:line="234" w:lineRule="auto"/>
        <w:ind w:left="423"/>
        <w:rPr>
          <w:rFonts w:ascii="宋体" w:hAnsi="宋体" w:cs="宋体"/>
          <w:szCs w:val="21"/>
        </w:rPr>
      </w:pPr>
      <w:r>
        <w:rPr>
          <w:rFonts w:hint="eastAsia" w:ascii="宋体" w:hAnsi="宋体" w:cs="宋体"/>
          <w:spacing w:val="-1"/>
          <w:szCs w:val="21"/>
        </w:rPr>
        <w:t>3.2.3  投</w:t>
      </w:r>
      <w:r>
        <w:rPr>
          <w:rFonts w:hint="eastAsia" w:ascii="宋体" w:hAnsi="宋体" w:cs="宋体"/>
          <w:szCs w:val="21"/>
        </w:rPr>
        <w:t>标人得分=A+B+C+D。</w:t>
      </w:r>
    </w:p>
    <w:p w14:paraId="5901DC90">
      <w:pPr>
        <w:spacing w:before="69" w:line="351" w:lineRule="auto"/>
        <w:ind w:left="17" w:right="76" w:firstLine="403"/>
        <w:rPr>
          <w:rFonts w:ascii="宋体" w:hAnsi="宋体" w:cs="宋体"/>
          <w:spacing w:val="-2"/>
          <w:szCs w:val="21"/>
        </w:rPr>
      </w:pPr>
      <w:r>
        <w:rPr>
          <w:rFonts w:hint="eastAsia" w:ascii="宋体" w:hAnsi="宋体" w:cs="宋体"/>
          <w:spacing w:val="-1"/>
          <w:szCs w:val="21"/>
        </w:rPr>
        <w:t xml:space="preserve">3.2.4 </w:t>
      </w:r>
      <w:r>
        <w:rPr>
          <w:rFonts w:hint="eastAsia" w:ascii="宋体" w:hAnsi="宋体" w:cs="宋体"/>
          <w:spacing w:val="-2"/>
          <w:szCs w:val="21"/>
        </w:rPr>
        <w:t>评标委员会发现投标人的报价明显低于其他投标报价，使得其投标报价可能低于其个别成本的，应当要求该投标人作出书面说明并提供相应的证明材料。投标人不能合理说明或者 不能提供相应证明材料的，评标委员会应当认定该投标人以低于成本报价竞标，并否决其投标。</w:t>
      </w:r>
    </w:p>
    <w:p w14:paraId="377776A0">
      <w:pPr>
        <w:spacing w:before="139" w:line="360" w:lineRule="auto"/>
        <w:ind w:left="143"/>
        <w:rPr>
          <w:rFonts w:ascii="宋体" w:hAnsi="宋体" w:cs="宋体"/>
          <w:sz w:val="28"/>
          <w:szCs w:val="28"/>
        </w:rPr>
      </w:pPr>
      <w:bookmarkStart w:id="442" w:name="_bookmark92"/>
      <w:bookmarkEnd w:id="442"/>
      <w:r>
        <w:rPr>
          <w:rFonts w:hint="eastAsia" w:ascii="宋体" w:hAnsi="宋体" w:cs="宋体"/>
          <w:spacing w:val="-1"/>
          <w:sz w:val="28"/>
          <w:szCs w:val="28"/>
        </w:rPr>
        <w:t>3.3  投标文件</w:t>
      </w:r>
      <w:r>
        <w:rPr>
          <w:rFonts w:hint="eastAsia" w:ascii="宋体" w:hAnsi="宋体" w:cs="宋体"/>
          <w:sz w:val="28"/>
          <w:szCs w:val="28"/>
        </w:rPr>
        <w:t>的澄清</w:t>
      </w:r>
    </w:p>
    <w:p w14:paraId="7D0EAAB1">
      <w:pPr>
        <w:spacing w:before="69" w:line="351" w:lineRule="auto"/>
        <w:ind w:left="17" w:right="76" w:firstLine="403"/>
        <w:rPr>
          <w:rFonts w:ascii="宋体" w:hAnsi="宋体" w:cs="宋体"/>
          <w:spacing w:val="-2"/>
          <w:szCs w:val="21"/>
        </w:rPr>
      </w:pPr>
      <w:r>
        <w:rPr>
          <w:rFonts w:hint="eastAsia" w:ascii="宋体" w:hAnsi="宋体" w:cs="宋体"/>
          <w:spacing w:val="-2"/>
          <w:szCs w:val="21"/>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36B74EF3">
      <w:pPr>
        <w:spacing w:before="69" w:line="351" w:lineRule="auto"/>
        <w:ind w:left="17" w:right="76" w:firstLine="403"/>
        <w:rPr>
          <w:rFonts w:ascii="宋体" w:hAnsi="宋体" w:cs="宋体"/>
          <w:spacing w:val="-2"/>
          <w:szCs w:val="21"/>
        </w:rPr>
      </w:pPr>
      <w:r>
        <w:rPr>
          <w:rFonts w:hint="eastAsia" w:ascii="宋体" w:hAnsi="宋体" w:cs="宋体"/>
          <w:spacing w:val="-2"/>
          <w:szCs w:val="21"/>
        </w:rPr>
        <w:t>3.3.2 澄清、说明或补正不得超出投标文件的范围且不得改变投标文件的实质性内容，并构成投标文件的组成部分。</w:t>
      </w:r>
    </w:p>
    <w:p w14:paraId="315C837D">
      <w:pPr>
        <w:spacing w:line="359" w:lineRule="auto"/>
        <w:ind w:left="2" w:firstLine="417"/>
        <w:rPr>
          <w:rFonts w:ascii="宋体" w:hAnsi="宋体" w:cs="宋体"/>
          <w:szCs w:val="21"/>
        </w:rPr>
      </w:pPr>
      <w:r>
        <w:rPr>
          <w:rFonts w:hint="eastAsia" w:ascii="宋体" w:hAnsi="宋体" w:cs="宋体"/>
          <w:spacing w:val="-8"/>
          <w:szCs w:val="21"/>
        </w:rPr>
        <w:t>3.3.3  评</w:t>
      </w:r>
      <w:r>
        <w:rPr>
          <w:rFonts w:hint="eastAsia" w:ascii="宋体" w:hAnsi="宋体" w:cs="宋体"/>
          <w:spacing w:val="-6"/>
          <w:szCs w:val="21"/>
        </w:rPr>
        <w:t>标</w:t>
      </w:r>
      <w:r>
        <w:rPr>
          <w:rFonts w:hint="eastAsia" w:ascii="宋体" w:hAnsi="宋体" w:cs="宋体"/>
          <w:spacing w:val="-4"/>
          <w:szCs w:val="21"/>
        </w:rPr>
        <w:t>委员会对投标人提交的澄清、说明或补正有疑问的，可以要求投标人进一步澄清、</w:t>
      </w:r>
      <w:r>
        <w:rPr>
          <w:rFonts w:hint="eastAsia" w:ascii="宋体" w:hAnsi="宋体" w:cs="宋体"/>
          <w:szCs w:val="21"/>
        </w:rPr>
        <w:t xml:space="preserve"> </w:t>
      </w:r>
      <w:bookmarkStart w:id="443" w:name="_bookmark93"/>
      <w:bookmarkEnd w:id="443"/>
      <w:r>
        <w:rPr>
          <w:rFonts w:hint="eastAsia" w:ascii="宋体" w:hAnsi="宋体" w:cs="宋体"/>
          <w:spacing w:val="-1"/>
          <w:szCs w:val="21"/>
        </w:rPr>
        <w:t>说明或补正，</w:t>
      </w:r>
      <w:r>
        <w:rPr>
          <w:rFonts w:hint="eastAsia" w:ascii="宋体" w:hAnsi="宋体" w:cs="宋体"/>
          <w:szCs w:val="21"/>
        </w:rPr>
        <w:t>直至满足评标委员会的要求。</w:t>
      </w:r>
    </w:p>
    <w:p w14:paraId="452D29A0">
      <w:pPr>
        <w:spacing w:before="143" w:line="360" w:lineRule="auto"/>
        <w:ind w:left="140"/>
        <w:rPr>
          <w:rFonts w:ascii="宋体" w:hAnsi="宋体" w:cs="宋体"/>
          <w:sz w:val="28"/>
          <w:szCs w:val="28"/>
        </w:rPr>
      </w:pPr>
      <w:r>
        <w:rPr>
          <w:rFonts w:hint="eastAsia" w:ascii="宋体" w:hAnsi="宋体" w:cs="宋体"/>
          <w:spacing w:val="-1"/>
          <w:sz w:val="28"/>
          <w:szCs w:val="28"/>
        </w:rPr>
        <w:t>3.4  评标结</w:t>
      </w:r>
      <w:r>
        <w:rPr>
          <w:rFonts w:hint="eastAsia" w:ascii="宋体" w:hAnsi="宋体" w:cs="宋体"/>
          <w:sz w:val="28"/>
          <w:szCs w:val="28"/>
        </w:rPr>
        <w:t>果</w:t>
      </w:r>
    </w:p>
    <w:p w14:paraId="70A2C972">
      <w:pPr>
        <w:spacing w:before="69" w:line="351" w:lineRule="auto"/>
        <w:ind w:left="17" w:right="76" w:firstLine="403"/>
        <w:rPr>
          <w:rFonts w:ascii="宋体" w:hAnsi="宋体" w:cs="宋体"/>
          <w:szCs w:val="21"/>
        </w:rPr>
      </w:pPr>
      <w:r>
        <w:rPr>
          <w:rFonts w:hint="eastAsia" w:ascii="宋体" w:hAnsi="宋体" w:cs="宋体"/>
          <w:spacing w:val="-2"/>
          <w:szCs w:val="21"/>
        </w:rPr>
        <w:t>3.4.1  除第二章“</w:t>
      </w:r>
      <w:r>
        <w:rPr>
          <w:rFonts w:hint="eastAsia" w:ascii="宋体" w:hAnsi="宋体" w:cs="宋体"/>
          <w:spacing w:val="-1"/>
          <w:szCs w:val="21"/>
        </w:rPr>
        <w:t>投标人须知”前附表授权直接确定中标人外，评标委员会按照得分由高到低</w:t>
      </w:r>
      <w:r>
        <w:rPr>
          <w:rFonts w:hint="eastAsia" w:ascii="宋体" w:hAnsi="宋体" w:cs="宋体"/>
          <w:spacing w:val="-7"/>
          <w:szCs w:val="21"/>
        </w:rPr>
        <w:t>的顺序推荐中标候选人， 并标明排序。</w:t>
      </w:r>
    </w:p>
    <w:p w14:paraId="301710F4">
      <w:pPr>
        <w:spacing w:line="219" w:lineRule="auto"/>
        <w:ind w:left="420"/>
        <w:rPr>
          <w:rFonts w:ascii="宋体" w:hAnsi="宋体" w:cs="宋体"/>
          <w:szCs w:val="21"/>
        </w:rPr>
      </w:pPr>
      <w:r>
        <w:rPr>
          <w:rFonts w:hint="eastAsia" w:ascii="宋体" w:hAnsi="宋体" w:cs="宋体"/>
          <w:spacing w:val="-1"/>
          <w:szCs w:val="21"/>
        </w:rPr>
        <w:t>3.4.2  评标委员会完成评标后，应当向招标</w:t>
      </w:r>
      <w:r>
        <w:rPr>
          <w:rFonts w:hint="eastAsia" w:ascii="宋体" w:hAnsi="宋体" w:cs="宋体"/>
          <w:szCs w:val="21"/>
        </w:rPr>
        <w:t>人提交书面评标报告和中标候选人名单。</w:t>
      </w:r>
    </w:p>
    <w:p w14:paraId="7FF221E6">
      <w:pPr>
        <w:pStyle w:val="3"/>
        <w:keepNext w:val="0"/>
        <w:keepLines w:val="0"/>
        <w:spacing w:after="0"/>
        <w:jc w:val="center"/>
        <w:rPr>
          <w:rFonts w:ascii="宋体" w:hAnsi="宋体" w:cs="宋体"/>
        </w:rPr>
      </w:pPr>
      <w:bookmarkStart w:id="444" w:name="_Toc9276"/>
      <w:bookmarkStart w:id="445" w:name="_Toc6117"/>
      <w:bookmarkStart w:id="446" w:name="_Toc21700"/>
      <w:bookmarkStart w:id="447" w:name="_Toc13004"/>
      <w:bookmarkStart w:id="448" w:name="_Toc26317"/>
      <w:bookmarkStart w:id="449" w:name="_Toc14966889"/>
      <w:bookmarkStart w:id="450" w:name="_Toc29029"/>
      <w:bookmarkStart w:id="451" w:name="_Toc24310"/>
      <w:bookmarkStart w:id="452" w:name="_Toc22363"/>
      <w:r>
        <w:rPr>
          <w:rFonts w:hint="eastAsia" w:ascii="宋体" w:hAnsi="宋体" w:cs="宋体"/>
        </w:rPr>
        <w:br w:type="page"/>
      </w:r>
      <w:bookmarkStart w:id="453" w:name="_Toc7504"/>
      <w:bookmarkStart w:id="454" w:name="_Toc8530"/>
      <w:bookmarkStart w:id="455" w:name="_Toc28671"/>
      <w:bookmarkStart w:id="456" w:name="_Toc12953"/>
      <w:bookmarkStart w:id="457" w:name="_Toc32141"/>
      <w:bookmarkStart w:id="458" w:name="_Toc19910"/>
      <w:bookmarkStart w:id="459" w:name="_Toc14895"/>
      <w:r>
        <w:rPr>
          <w:rFonts w:hint="eastAsia" w:ascii="宋体" w:hAnsi="宋体" w:cs="宋体"/>
        </w:rPr>
        <w:t>第四章 合同条款及格式</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3A3C0104">
      <w:pPr>
        <w:jc w:val="left"/>
        <w:rPr>
          <w:rFonts w:ascii="宋体" w:hAnsi="宋体" w:cs="宋体"/>
          <w:b/>
          <w:bCs/>
          <w:sz w:val="24"/>
          <w:szCs w:val="28"/>
        </w:rPr>
      </w:pPr>
      <w:r>
        <w:rPr>
          <w:rFonts w:hint="eastAsia" w:ascii="宋体" w:hAnsi="宋体" w:cs="宋体"/>
          <w:b/>
          <w:bCs/>
          <w:sz w:val="24"/>
          <w:szCs w:val="28"/>
        </w:rPr>
        <w:br w:type="page"/>
      </w:r>
    </w:p>
    <w:p w14:paraId="66490E31">
      <w:pPr>
        <w:adjustRightInd w:val="0"/>
        <w:snapToGrid w:val="0"/>
        <w:spacing w:before="120" w:after="120" w:line="360" w:lineRule="auto"/>
        <w:jc w:val="center"/>
        <w:rPr>
          <w:sz w:val="52"/>
          <w:szCs w:val="20"/>
        </w:rPr>
      </w:pPr>
      <w:bookmarkStart w:id="460" w:name="_Toc247085853"/>
      <w:bookmarkStart w:id="461" w:name="_Toc17020"/>
      <w:bookmarkStart w:id="462" w:name="_Toc246996338"/>
      <w:bookmarkStart w:id="463" w:name="_Toc19714"/>
      <w:bookmarkStart w:id="464" w:name="_Toc22179"/>
      <w:bookmarkStart w:id="465" w:name="_Toc246997081"/>
      <w:bookmarkStart w:id="466" w:name="_Toc7551"/>
      <w:bookmarkStart w:id="467" w:name="_Toc179632787"/>
      <w:bookmarkStart w:id="468" w:name="_Toc3819"/>
      <w:bookmarkStart w:id="469" w:name="_Toc20127"/>
      <w:bookmarkStart w:id="470" w:name="_Toc24512"/>
      <w:bookmarkStart w:id="471" w:name="_Toc14382"/>
      <w:bookmarkStart w:id="472" w:name="_Toc22617"/>
      <w:bookmarkStart w:id="473" w:name="_Toc14966891"/>
      <w:bookmarkStart w:id="474" w:name="_Toc19249"/>
      <w:bookmarkStart w:id="475" w:name="_Toc8192"/>
      <w:bookmarkStart w:id="476" w:name="_Toc7375"/>
      <w:bookmarkStart w:id="477" w:name="_Toc10319"/>
      <w:bookmarkStart w:id="478" w:name="_Toc8928"/>
      <w:bookmarkStart w:id="479" w:name="_Toc144974578"/>
      <w:bookmarkStart w:id="480" w:name="_Toc247514197"/>
      <w:bookmarkStart w:id="481" w:name="_Toc300835199"/>
      <w:bookmarkStart w:id="482" w:name="_Toc152042388"/>
      <w:bookmarkStart w:id="483" w:name="_Toc152045610"/>
      <w:bookmarkStart w:id="484" w:name="_Toc184635122"/>
      <w:bookmarkStart w:id="485" w:name="_Toc144974829"/>
      <w:bookmarkStart w:id="486" w:name="_Toc247527798"/>
      <w:bookmarkStart w:id="487" w:name="_Toc152042549"/>
    </w:p>
    <w:p w14:paraId="7269D0EE">
      <w:pPr>
        <w:adjustRightInd w:val="0"/>
        <w:snapToGrid w:val="0"/>
        <w:spacing w:before="120" w:after="120" w:line="360" w:lineRule="auto"/>
        <w:jc w:val="center"/>
        <w:rPr>
          <w:b/>
          <w:sz w:val="44"/>
          <w:szCs w:val="44"/>
        </w:rPr>
      </w:pPr>
      <w:r>
        <w:rPr>
          <w:rFonts w:hint="eastAsia"/>
          <w:b/>
          <w:sz w:val="44"/>
          <w:szCs w:val="44"/>
        </w:rPr>
        <w:t>中山大学附属第一医院</w:t>
      </w:r>
    </w:p>
    <w:p w14:paraId="39108949">
      <w:pPr>
        <w:adjustRightInd w:val="0"/>
        <w:snapToGrid w:val="0"/>
        <w:spacing w:before="120" w:after="120" w:line="360" w:lineRule="auto"/>
        <w:jc w:val="center"/>
        <w:rPr>
          <w:b/>
          <w:bCs/>
          <w:snapToGrid w:val="0"/>
          <w:kern w:val="0"/>
          <w:sz w:val="44"/>
          <w:szCs w:val="44"/>
        </w:rPr>
      </w:pPr>
      <w:r>
        <w:rPr>
          <w:rFonts w:hint="eastAsia"/>
          <w:b/>
          <w:sz w:val="44"/>
          <w:szCs w:val="44"/>
        </w:rPr>
        <w:t>病房改造建设及能力提升项目</w:t>
      </w:r>
    </w:p>
    <w:p w14:paraId="3517851C">
      <w:pPr>
        <w:adjustRightInd w:val="0"/>
        <w:snapToGrid w:val="0"/>
        <w:spacing w:line="360" w:lineRule="auto"/>
        <w:jc w:val="center"/>
        <w:rPr>
          <w:b/>
          <w:bCs/>
          <w:snapToGrid w:val="0"/>
          <w:kern w:val="0"/>
          <w:sz w:val="72"/>
          <w:szCs w:val="72"/>
        </w:rPr>
      </w:pPr>
    </w:p>
    <w:p w14:paraId="6B83205B">
      <w:pPr>
        <w:adjustRightInd w:val="0"/>
        <w:snapToGrid w:val="0"/>
        <w:spacing w:line="360" w:lineRule="auto"/>
        <w:jc w:val="center"/>
        <w:rPr>
          <w:b/>
          <w:bCs/>
          <w:snapToGrid w:val="0"/>
          <w:kern w:val="0"/>
          <w:sz w:val="72"/>
          <w:szCs w:val="72"/>
        </w:rPr>
      </w:pPr>
    </w:p>
    <w:p w14:paraId="7615CF69">
      <w:pPr>
        <w:adjustRightInd w:val="0"/>
        <w:snapToGrid w:val="0"/>
        <w:spacing w:line="360" w:lineRule="auto"/>
        <w:jc w:val="center"/>
        <w:rPr>
          <w:b/>
          <w:bCs/>
          <w:snapToGrid w:val="0"/>
          <w:kern w:val="0"/>
          <w:sz w:val="44"/>
          <w:szCs w:val="44"/>
        </w:rPr>
      </w:pPr>
      <w:r>
        <w:rPr>
          <w:rFonts w:hint="eastAsia"/>
          <w:b/>
          <w:bCs/>
          <w:snapToGrid w:val="0"/>
          <w:kern w:val="0"/>
          <w:sz w:val="72"/>
          <w:szCs w:val="72"/>
        </w:rPr>
        <w:t>监理</w:t>
      </w:r>
      <w:r>
        <w:rPr>
          <w:rFonts w:hint="eastAsia"/>
          <w:b/>
          <w:sz w:val="72"/>
          <w:szCs w:val="72"/>
        </w:rPr>
        <w:t>（含项目管理）</w:t>
      </w:r>
      <w:r>
        <w:rPr>
          <w:rFonts w:hint="eastAsia"/>
          <w:b/>
          <w:bCs/>
          <w:snapToGrid w:val="0"/>
          <w:kern w:val="0"/>
          <w:sz w:val="72"/>
          <w:szCs w:val="72"/>
        </w:rPr>
        <w:t>合同</w:t>
      </w:r>
    </w:p>
    <w:p w14:paraId="3EBAECF3">
      <w:pPr>
        <w:topLinePunct/>
        <w:adjustRightInd w:val="0"/>
        <w:snapToGrid w:val="0"/>
        <w:spacing w:line="360" w:lineRule="auto"/>
        <w:ind w:firstLine="50" w:firstLineChars="23"/>
        <w:jc w:val="center"/>
        <w:rPr>
          <w:b/>
          <w:bCs/>
          <w:snapToGrid w:val="0"/>
          <w:spacing w:val="4"/>
          <w:kern w:val="0"/>
          <w:szCs w:val="21"/>
        </w:rPr>
      </w:pPr>
    </w:p>
    <w:p w14:paraId="0B7CCEFD">
      <w:pPr>
        <w:jc w:val="center"/>
        <w:rPr>
          <w:b/>
          <w:sz w:val="32"/>
          <w:szCs w:val="32"/>
        </w:rPr>
      </w:pPr>
      <w:r>
        <w:rPr>
          <w:b/>
          <w:bCs/>
          <w:sz w:val="32"/>
          <w:szCs w:val="32"/>
        </w:rPr>
        <w:t>合同编号：</w:t>
      </w:r>
    </w:p>
    <w:p w14:paraId="2D4D2D66">
      <w:pPr>
        <w:topLinePunct/>
        <w:adjustRightInd w:val="0"/>
        <w:snapToGrid w:val="0"/>
        <w:spacing w:line="360" w:lineRule="auto"/>
        <w:ind w:firstLine="2799" w:firstLineChars="850"/>
        <w:rPr>
          <w:b/>
          <w:snapToGrid w:val="0"/>
          <w:spacing w:val="4"/>
          <w:kern w:val="0"/>
          <w:sz w:val="32"/>
          <w:szCs w:val="32"/>
          <w:u w:val="single"/>
        </w:rPr>
      </w:pPr>
    </w:p>
    <w:p w14:paraId="49E666EA">
      <w:pPr>
        <w:topLinePunct/>
        <w:adjustRightInd w:val="0"/>
        <w:snapToGrid w:val="0"/>
        <w:spacing w:line="360" w:lineRule="auto"/>
        <w:ind w:firstLine="496" w:firstLineChars="200"/>
        <w:rPr>
          <w:snapToGrid w:val="0"/>
          <w:spacing w:val="4"/>
          <w:kern w:val="0"/>
          <w:sz w:val="24"/>
        </w:rPr>
      </w:pPr>
    </w:p>
    <w:p w14:paraId="4C80C2A4">
      <w:pPr>
        <w:topLinePunct/>
        <w:adjustRightInd w:val="0"/>
        <w:snapToGrid w:val="0"/>
        <w:spacing w:line="360" w:lineRule="auto"/>
        <w:ind w:firstLine="496" w:firstLineChars="200"/>
        <w:rPr>
          <w:snapToGrid w:val="0"/>
          <w:spacing w:val="4"/>
          <w:kern w:val="0"/>
          <w:sz w:val="24"/>
        </w:rPr>
      </w:pPr>
    </w:p>
    <w:p w14:paraId="66336734">
      <w:pPr>
        <w:topLinePunct/>
        <w:adjustRightInd w:val="0"/>
        <w:snapToGrid w:val="0"/>
        <w:spacing w:line="360" w:lineRule="auto"/>
        <w:ind w:firstLine="496" w:firstLineChars="200"/>
        <w:rPr>
          <w:snapToGrid w:val="0"/>
          <w:spacing w:val="4"/>
          <w:kern w:val="0"/>
          <w:sz w:val="24"/>
        </w:rPr>
      </w:pPr>
    </w:p>
    <w:p w14:paraId="74DC8F62">
      <w:pPr>
        <w:topLinePunct/>
        <w:adjustRightInd w:val="0"/>
        <w:snapToGrid w:val="0"/>
        <w:spacing w:line="360" w:lineRule="auto"/>
        <w:ind w:firstLine="496" w:firstLineChars="200"/>
        <w:rPr>
          <w:snapToGrid w:val="0"/>
          <w:spacing w:val="4"/>
          <w:kern w:val="0"/>
          <w:sz w:val="24"/>
        </w:rPr>
      </w:pPr>
    </w:p>
    <w:p w14:paraId="06C382FB">
      <w:pPr>
        <w:topLinePunct/>
        <w:adjustRightInd w:val="0"/>
        <w:snapToGrid w:val="0"/>
        <w:spacing w:line="360" w:lineRule="auto"/>
        <w:ind w:firstLine="496" w:firstLineChars="200"/>
        <w:rPr>
          <w:snapToGrid w:val="0"/>
          <w:spacing w:val="4"/>
          <w:kern w:val="0"/>
          <w:sz w:val="24"/>
        </w:rPr>
      </w:pPr>
    </w:p>
    <w:p w14:paraId="5A3EE48B">
      <w:pPr>
        <w:topLinePunct/>
        <w:adjustRightInd w:val="0"/>
        <w:snapToGrid w:val="0"/>
        <w:spacing w:line="360" w:lineRule="auto"/>
        <w:ind w:firstLine="496" w:firstLineChars="200"/>
        <w:rPr>
          <w:snapToGrid w:val="0"/>
          <w:spacing w:val="4"/>
          <w:kern w:val="0"/>
          <w:sz w:val="24"/>
        </w:rPr>
      </w:pPr>
    </w:p>
    <w:p w14:paraId="7C86190B">
      <w:pPr>
        <w:topLinePunct/>
        <w:adjustRightInd w:val="0"/>
        <w:snapToGrid w:val="0"/>
        <w:spacing w:line="360" w:lineRule="auto"/>
        <w:ind w:firstLine="496" w:firstLineChars="200"/>
        <w:rPr>
          <w:snapToGrid w:val="0"/>
          <w:spacing w:val="4"/>
          <w:kern w:val="0"/>
          <w:sz w:val="24"/>
        </w:rPr>
      </w:pPr>
    </w:p>
    <w:p w14:paraId="138ACCBD">
      <w:pPr>
        <w:topLinePunct/>
        <w:adjustRightInd w:val="0"/>
        <w:snapToGrid w:val="0"/>
        <w:spacing w:line="360" w:lineRule="auto"/>
        <w:ind w:firstLine="496" w:firstLineChars="200"/>
        <w:rPr>
          <w:snapToGrid w:val="0"/>
          <w:spacing w:val="4"/>
          <w:kern w:val="0"/>
          <w:sz w:val="24"/>
        </w:rPr>
      </w:pPr>
    </w:p>
    <w:p w14:paraId="2F4F9787">
      <w:pPr>
        <w:topLinePunct/>
        <w:adjustRightInd w:val="0"/>
        <w:snapToGrid w:val="0"/>
        <w:spacing w:line="360" w:lineRule="auto"/>
        <w:ind w:firstLine="496" w:firstLineChars="200"/>
        <w:rPr>
          <w:snapToGrid w:val="0"/>
          <w:spacing w:val="4"/>
          <w:kern w:val="0"/>
          <w:sz w:val="24"/>
        </w:rPr>
      </w:pPr>
    </w:p>
    <w:p w14:paraId="3088F068">
      <w:pPr>
        <w:topLinePunct/>
        <w:adjustRightInd w:val="0"/>
        <w:snapToGrid w:val="0"/>
        <w:spacing w:line="360" w:lineRule="auto"/>
        <w:ind w:firstLine="659" w:firstLineChars="200"/>
        <w:rPr>
          <w:b/>
          <w:bCs/>
          <w:snapToGrid w:val="0"/>
          <w:spacing w:val="4"/>
          <w:kern w:val="0"/>
          <w:sz w:val="32"/>
          <w:szCs w:val="32"/>
        </w:rPr>
      </w:pPr>
      <w:r>
        <w:rPr>
          <w:b/>
          <w:bCs/>
          <w:snapToGrid w:val="0"/>
          <w:spacing w:val="4"/>
          <w:kern w:val="0"/>
          <w:sz w:val="32"/>
          <w:szCs w:val="32"/>
        </w:rPr>
        <w:t>委托人：中山大学附属第一医院</w:t>
      </w:r>
    </w:p>
    <w:p w14:paraId="11EBE35D">
      <w:pPr>
        <w:topLinePunct/>
        <w:adjustRightInd w:val="0"/>
        <w:snapToGrid w:val="0"/>
        <w:spacing w:line="360" w:lineRule="auto"/>
        <w:ind w:firstLine="659" w:firstLineChars="200"/>
        <w:rPr>
          <w:b/>
          <w:bCs/>
          <w:snapToGrid w:val="0"/>
          <w:spacing w:val="4"/>
          <w:kern w:val="0"/>
          <w:sz w:val="32"/>
          <w:szCs w:val="32"/>
        </w:rPr>
      </w:pPr>
      <w:r>
        <w:rPr>
          <w:b/>
          <w:bCs/>
          <w:snapToGrid w:val="0"/>
          <w:spacing w:val="4"/>
          <w:kern w:val="0"/>
          <w:sz w:val="32"/>
          <w:szCs w:val="32"/>
        </w:rPr>
        <w:t xml:space="preserve">监理人： </w:t>
      </w:r>
    </w:p>
    <w:p w14:paraId="08112935">
      <w:pPr>
        <w:topLinePunct/>
        <w:adjustRightInd w:val="0"/>
        <w:snapToGrid w:val="0"/>
        <w:spacing w:line="360" w:lineRule="auto"/>
        <w:ind w:firstLine="496" w:firstLineChars="200"/>
        <w:rPr>
          <w:rFonts w:eastAsia="黑体"/>
          <w:b/>
          <w:snapToGrid w:val="0"/>
          <w:spacing w:val="4"/>
          <w:kern w:val="0"/>
          <w:sz w:val="24"/>
        </w:rPr>
      </w:pPr>
      <w:r>
        <w:rPr>
          <w:bCs/>
          <w:snapToGrid w:val="0"/>
          <w:spacing w:val="4"/>
          <w:kern w:val="0"/>
          <w:sz w:val="24"/>
        </w:rPr>
        <w:br w:type="page"/>
      </w:r>
    </w:p>
    <w:p w14:paraId="60407429">
      <w:pPr>
        <w:topLinePunct/>
        <w:adjustRightInd w:val="0"/>
        <w:snapToGrid w:val="0"/>
        <w:spacing w:before="120" w:after="120"/>
        <w:jc w:val="center"/>
        <w:rPr>
          <w:rFonts w:eastAsia="黑体"/>
          <w:b/>
          <w:snapToGrid w:val="0"/>
          <w:spacing w:val="4"/>
          <w:kern w:val="0"/>
          <w:sz w:val="30"/>
          <w:szCs w:val="30"/>
        </w:rPr>
      </w:pPr>
      <w:bookmarkStart w:id="488" w:name="_Toc191697644"/>
      <w:bookmarkStart w:id="489" w:name="_Toc313869531"/>
      <w:r>
        <w:rPr>
          <w:rFonts w:eastAsia="黑体"/>
          <w:b/>
          <w:snapToGrid w:val="0"/>
          <w:spacing w:val="4"/>
          <w:kern w:val="0"/>
          <w:sz w:val="30"/>
          <w:szCs w:val="30"/>
        </w:rPr>
        <w:t>重要提示</w:t>
      </w:r>
      <w:bookmarkEnd w:id="488"/>
      <w:bookmarkEnd w:id="489"/>
    </w:p>
    <w:p w14:paraId="62C4F68B">
      <w:pPr>
        <w:topLinePunct/>
        <w:adjustRightInd w:val="0"/>
        <w:snapToGrid w:val="0"/>
        <w:spacing w:line="360" w:lineRule="auto"/>
        <w:ind w:firstLine="498" w:firstLineChars="200"/>
        <w:rPr>
          <w:rFonts w:eastAsia="黑体"/>
          <w:b/>
          <w:snapToGrid w:val="0"/>
          <w:spacing w:val="4"/>
          <w:kern w:val="0"/>
          <w:sz w:val="24"/>
        </w:rPr>
      </w:pPr>
    </w:p>
    <w:p w14:paraId="706E3E56">
      <w:pPr>
        <w:topLinePunct/>
        <w:adjustRightInd w:val="0"/>
        <w:snapToGrid w:val="0"/>
        <w:spacing w:line="360" w:lineRule="auto"/>
        <w:ind w:firstLine="578" w:firstLineChars="200"/>
        <w:rPr>
          <w:snapToGrid w:val="0"/>
          <w:spacing w:val="4"/>
          <w:kern w:val="0"/>
          <w:sz w:val="44"/>
          <w:szCs w:val="44"/>
        </w:rPr>
      </w:pPr>
      <w:r>
        <w:rPr>
          <w:rFonts w:eastAsia="黑体"/>
          <w:b/>
          <w:snapToGrid w:val="0"/>
          <w:spacing w:val="4"/>
          <w:kern w:val="0"/>
          <w:sz w:val="28"/>
          <w:szCs w:val="28"/>
        </w:rPr>
        <w:t>本合同由“委托监理协议书”、“专用条件”、“标准条件”和“合同附件”四大部分组成。对“委托监理协议书”、“专用条件”和“合同附件”中的部分内容设选项按标准化模式设置，采用“</w:t>
      </w:r>
      <w:r>
        <w:rPr>
          <w:rFonts w:eastAsia="黑体"/>
          <w:b/>
          <w:bCs/>
          <w:snapToGrid w:val="0"/>
          <w:spacing w:val="4"/>
          <w:kern w:val="0"/>
          <w:sz w:val="28"/>
          <w:szCs w:val="28"/>
          <w:bdr w:val="single" w:color="auto" w:sz="4" w:space="0"/>
        </w:rPr>
        <w:t>√</w:t>
      </w:r>
      <w:r>
        <w:rPr>
          <w:rFonts w:eastAsia="黑体"/>
          <w:b/>
          <w:snapToGrid w:val="0"/>
          <w:spacing w:val="4"/>
          <w:kern w:val="0"/>
          <w:sz w:val="28"/>
          <w:szCs w:val="28"/>
        </w:rPr>
        <w:t>”或“</w:t>
      </w:r>
      <w:r>
        <w:rPr>
          <w:rFonts w:eastAsia="黑体"/>
          <w:b/>
          <w:bCs/>
          <w:snapToGrid w:val="0"/>
          <w:spacing w:val="4"/>
          <w:kern w:val="0"/>
          <w:sz w:val="28"/>
          <w:szCs w:val="28"/>
          <w:bdr w:val="single" w:color="auto" w:sz="4" w:space="0"/>
        </w:rPr>
        <w:t>×</w:t>
      </w:r>
      <w:r>
        <w:rPr>
          <w:rFonts w:eastAsia="黑体"/>
          <w:b/>
          <w:snapToGrid w:val="0"/>
          <w:spacing w:val="4"/>
          <w:kern w:val="0"/>
          <w:sz w:val="28"/>
          <w:szCs w:val="28"/>
        </w:rPr>
        <w:t>”予以选择。对于合同中的此部分内容，标注“</w:t>
      </w:r>
      <w:r>
        <w:rPr>
          <w:rFonts w:eastAsia="黑体"/>
          <w:b/>
          <w:bCs/>
          <w:snapToGrid w:val="0"/>
          <w:spacing w:val="4"/>
          <w:kern w:val="0"/>
          <w:sz w:val="28"/>
          <w:szCs w:val="28"/>
          <w:bdr w:val="single" w:color="auto" w:sz="4" w:space="0"/>
        </w:rPr>
        <w:t>√</w:t>
      </w:r>
      <w:r>
        <w:rPr>
          <w:rFonts w:eastAsia="黑体"/>
          <w:b/>
          <w:snapToGrid w:val="0"/>
          <w:spacing w:val="4"/>
          <w:kern w:val="0"/>
          <w:sz w:val="28"/>
          <w:szCs w:val="28"/>
        </w:rPr>
        <w:t>”的选项即为本合同所采用，标注“</w:t>
      </w:r>
      <w:r>
        <w:rPr>
          <w:rFonts w:eastAsia="黑体"/>
          <w:b/>
          <w:snapToGrid w:val="0"/>
          <w:spacing w:val="4"/>
          <w:kern w:val="0"/>
          <w:sz w:val="28"/>
          <w:szCs w:val="28"/>
          <w:bdr w:val="single" w:color="auto" w:sz="4" w:space="0"/>
        </w:rPr>
        <w:t>×</w:t>
      </w:r>
      <w:r>
        <w:rPr>
          <w:rFonts w:eastAsia="黑体"/>
          <w:b/>
          <w:bCs/>
          <w:snapToGrid w:val="0"/>
          <w:spacing w:val="4"/>
          <w:kern w:val="0"/>
          <w:sz w:val="28"/>
          <w:szCs w:val="28"/>
        </w:rPr>
        <w:t>”</w:t>
      </w:r>
      <w:r>
        <w:rPr>
          <w:rFonts w:eastAsia="黑体"/>
          <w:b/>
          <w:snapToGrid w:val="0"/>
          <w:spacing w:val="4"/>
          <w:kern w:val="0"/>
          <w:sz w:val="28"/>
          <w:szCs w:val="28"/>
        </w:rPr>
        <w:t>的选项则不为本合同采用。</w:t>
      </w:r>
    </w:p>
    <w:p w14:paraId="2C14F958">
      <w:pPr>
        <w:topLinePunct/>
        <w:adjustRightInd w:val="0"/>
        <w:snapToGrid w:val="0"/>
        <w:spacing w:line="360" w:lineRule="auto"/>
        <w:jc w:val="center"/>
        <w:outlineLvl w:val="0"/>
        <w:rPr>
          <w:rFonts w:eastAsia="黑体"/>
          <w:b/>
          <w:snapToGrid w:val="0"/>
          <w:spacing w:val="4"/>
          <w:kern w:val="0"/>
          <w:sz w:val="36"/>
          <w:szCs w:val="36"/>
        </w:rPr>
      </w:pPr>
      <w:r>
        <w:rPr>
          <w:rFonts w:eastAsia="黑体"/>
          <w:b/>
          <w:snapToGrid w:val="0"/>
          <w:spacing w:val="4"/>
          <w:kern w:val="0"/>
          <w:sz w:val="36"/>
          <w:szCs w:val="36"/>
        </w:rPr>
        <w:br w:type="page"/>
      </w:r>
      <w:bookmarkStart w:id="490" w:name="_Toc115602139"/>
      <w:r>
        <w:rPr>
          <w:rFonts w:eastAsia="黑体"/>
          <w:b/>
          <w:snapToGrid w:val="0"/>
          <w:spacing w:val="4"/>
          <w:kern w:val="0"/>
          <w:sz w:val="36"/>
          <w:szCs w:val="36"/>
        </w:rPr>
        <w:t>目  录</w:t>
      </w:r>
    </w:p>
    <w:p w14:paraId="795015DC">
      <w:pPr>
        <w:topLinePunct/>
        <w:adjustRightInd w:val="0"/>
        <w:snapToGrid w:val="0"/>
        <w:spacing w:line="360" w:lineRule="auto"/>
        <w:ind w:firstLine="496" w:firstLineChars="200"/>
        <w:rPr>
          <w:bCs/>
          <w:snapToGrid w:val="0"/>
          <w:spacing w:val="4"/>
          <w:kern w:val="0"/>
          <w:sz w:val="24"/>
        </w:rPr>
      </w:pPr>
    </w:p>
    <w:p w14:paraId="31E27F88">
      <w:pPr>
        <w:numPr>
          <w:ilvl w:val="0"/>
          <w:numId w:val="3"/>
        </w:numPr>
        <w:tabs>
          <w:tab w:val="left" w:pos="900"/>
        </w:tabs>
        <w:topLinePunct/>
        <w:adjustRightInd w:val="0"/>
        <w:snapToGrid w:val="0"/>
        <w:spacing w:line="360" w:lineRule="auto"/>
        <w:ind w:hanging="1501"/>
        <w:jc w:val="left"/>
        <w:rPr>
          <w:b/>
          <w:bCs/>
          <w:snapToGrid w:val="0"/>
          <w:spacing w:val="4"/>
          <w:kern w:val="0"/>
          <w:sz w:val="24"/>
        </w:rPr>
      </w:pPr>
      <w:r>
        <w:rPr>
          <w:b/>
          <w:bCs/>
          <w:snapToGrid w:val="0"/>
          <w:spacing w:val="4"/>
          <w:kern w:val="0"/>
          <w:sz w:val="24"/>
        </w:rPr>
        <w:t>协议书 ……………………………………………………………………</w:t>
      </w:r>
      <w:r>
        <w:rPr>
          <w:rFonts w:hint="eastAsia"/>
          <w:b/>
          <w:bCs/>
          <w:snapToGrid w:val="0"/>
          <w:spacing w:val="4"/>
          <w:kern w:val="0"/>
          <w:sz w:val="24"/>
        </w:rPr>
        <w:t>6</w:t>
      </w:r>
    </w:p>
    <w:p w14:paraId="3C4B666A">
      <w:pPr>
        <w:numPr>
          <w:ilvl w:val="0"/>
          <w:numId w:val="3"/>
        </w:numPr>
        <w:tabs>
          <w:tab w:val="left" w:pos="1080"/>
        </w:tabs>
        <w:topLinePunct/>
        <w:adjustRightInd w:val="0"/>
        <w:snapToGrid w:val="0"/>
        <w:spacing w:line="360" w:lineRule="auto"/>
        <w:ind w:hanging="1501"/>
        <w:rPr>
          <w:b/>
          <w:bCs/>
          <w:snapToGrid w:val="0"/>
          <w:spacing w:val="4"/>
          <w:kern w:val="0"/>
          <w:sz w:val="24"/>
        </w:rPr>
      </w:pPr>
      <w:r>
        <w:rPr>
          <w:b/>
          <w:bCs/>
          <w:snapToGrid w:val="0"/>
          <w:spacing w:val="4"/>
          <w:kern w:val="0"/>
          <w:sz w:val="24"/>
        </w:rPr>
        <w:t>专用条件</w:t>
      </w:r>
      <w:r>
        <w:rPr>
          <w:b/>
          <w:bCs/>
          <w:snapToGrid w:val="0"/>
          <w:spacing w:val="4"/>
          <w:w w:val="90"/>
          <w:kern w:val="0"/>
          <w:sz w:val="24"/>
        </w:rPr>
        <w:t>……………………………</w:t>
      </w:r>
      <w:r>
        <w:rPr>
          <w:b/>
          <w:bCs/>
          <w:snapToGrid w:val="0"/>
          <w:spacing w:val="4"/>
          <w:kern w:val="0"/>
          <w:sz w:val="24"/>
        </w:rPr>
        <w:t>………………………………………</w:t>
      </w:r>
      <w:r>
        <w:rPr>
          <w:rFonts w:hint="eastAsia"/>
          <w:b/>
          <w:bCs/>
          <w:snapToGrid w:val="0"/>
          <w:spacing w:val="4"/>
          <w:kern w:val="0"/>
          <w:sz w:val="24"/>
        </w:rPr>
        <w:t>15</w:t>
      </w:r>
    </w:p>
    <w:p w14:paraId="177AE96C">
      <w:pPr>
        <w:topLinePunct/>
        <w:adjustRightInd w:val="0"/>
        <w:snapToGrid w:val="0"/>
        <w:spacing w:line="360" w:lineRule="auto"/>
        <w:jc w:val="left"/>
        <w:rPr>
          <w:b/>
          <w:bCs/>
          <w:snapToGrid w:val="0"/>
          <w:spacing w:val="4"/>
          <w:kern w:val="0"/>
          <w:sz w:val="24"/>
        </w:rPr>
      </w:pPr>
      <w:r>
        <w:rPr>
          <w:b/>
          <w:bCs/>
          <w:snapToGrid w:val="0"/>
          <w:spacing w:val="4"/>
          <w:kern w:val="0"/>
          <w:sz w:val="24"/>
        </w:rPr>
        <w:t>第三篇  标准条件</w:t>
      </w:r>
      <w:r>
        <w:rPr>
          <w:b/>
          <w:bCs/>
          <w:snapToGrid w:val="0"/>
          <w:spacing w:val="4"/>
          <w:w w:val="90"/>
          <w:kern w:val="0"/>
          <w:sz w:val="24"/>
        </w:rPr>
        <w:t>……………………………</w:t>
      </w:r>
      <w:r>
        <w:rPr>
          <w:b/>
          <w:bCs/>
          <w:snapToGrid w:val="0"/>
          <w:spacing w:val="4"/>
          <w:kern w:val="0"/>
          <w:sz w:val="24"/>
        </w:rPr>
        <w:t>…………………………………………</w:t>
      </w:r>
      <w:r>
        <w:rPr>
          <w:rFonts w:hint="eastAsia"/>
          <w:b/>
          <w:bCs/>
          <w:snapToGrid w:val="0"/>
          <w:spacing w:val="4"/>
          <w:kern w:val="0"/>
          <w:sz w:val="24"/>
        </w:rPr>
        <w:t>65</w:t>
      </w:r>
    </w:p>
    <w:p w14:paraId="060E4A27">
      <w:pPr>
        <w:topLinePunct/>
        <w:adjustRightInd w:val="0"/>
        <w:snapToGrid w:val="0"/>
        <w:spacing w:line="360" w:lineRule="auto"/>
        <w:jc w:val="left"/>
        <w:rPr>
          <w:b/>
          <w:bCs/>
          <w:snapToGrid w:val="0"/>
          <w:spacing w:val="4"/>
          <w:kern w:val="0"/>
          <w:sz w:val="24"/>
        </w:rPr>
      </w:pPr>
      <w:r>
        <w:rPr>
          <w:b/>
          <w:bCs/>
          <w:snapToGrid w:val="0"/>
          <w:spacing w:val="4"/>
          <w:kern w:val="0"/>
          <w:sz w:val="24"/>
        </w:rPr>
        <w:t>第四篇  合同附件</w:t>
      </w:r>
      <w:r>
        <w:rPr>
          <w:b/>
          <w:bCs/>
          <w:snapToGrid w:val="0"/>
          <w:spacing w:val="4"/>
          <w:w w:val="90"/>
          <w:kern w:val="0"/>
          <w:sz w:val="24"/>
        </w:rPr>
        <w:t>……………………………</w:t>
      </w:r>
      <w:r>
        <w:rPr>
          <w:b/>
          <w:bCs/>
          <w:snapToGrid w:val="0"/>
          <w:spacing w:val="4"/>
          <w:kern w:val="0"/>
          <w:sz w:val="24"/>
        </w:rPr>
        <w:t>…………………………………………</w:t>
      </w:r>
      <w:r>
        <w:rPr>
          <w:rFonts w:hint="eastAsia"/>
          <w:b/>
          <w:bCs/>
          <w:snapToGrid w:val="0"/>
          <w:spacing w:val="4"/>
          <w:kern w:val="0"/>
          <w:sz w:val="24"/>
        </w:rPr>
        <w:t>71</w:t>
      </w:r>
    </w:p>
    <w:p w14:paraId="7B8ADC29">
      <w:pPr>
        <w:topLinePunct/>
        <w:adjustRightInd w:val="0"/>
        <w:snapToGrid w:val="0"/>
        <w:spacing w:line="360" w:lineRule="auto"/>
        <w:ind w:firstLine="744" w:firstLineChars="300"/>
        <w:rPr>
          <w:bCs/>
          <w:snapToGrid w:val="0"/>
          <w:spacing w:val="4"/>
          <w:kern w:val="0"/>
          <w:sz w:val="24"/>
        </w:rPr>
      </w:pPr>
      <w:r>
        <w:rPr>
          <w:rFonts w:eastAsia="黑体"/>
          <w:bCs/>
          <w:snapToGrid w:val="0"/>
          <w:spacing w:val="4"/>
          <w:kern w:val="0"/>
          <w:sz w:val="24"/>
          <w:bdr w:val="single" w:color="auto" w:sz="4" w:space="0"/>
        </w:rPr>
        <w:t>√</w:t>
      </w:r>
      <w:r>
        <w:rPr>
          <w:bCs/>
          <w:snapToGrid w:val="0"/>
          <w:spacing w:val="4"/>
          <w:kern w:val="0"/>
          <w:sz w:val="24"/>
        </w:rPr>
        <w:t xml:space="preserve"> 附件1：工程建设廉洁协议书</w:t>
      </w:r>
    </w:p>
    <w:p w14:paraId="0009274D">
      <w:pPr>
        <w:topLinePunct/>
        <w:adjustRightInd w:val="0"/>
        <w:snapToGrid w:val="0"/>
        <w:spacing w:line="360" w:lineRule="auto"/>
        <w:ind w:firstLine="744" w:firstLineChars="300"/>
        <w:rPr>
          <w:bCs/>
          <w:snapToGrid w:val="0"/>
          <w:spacing w:val="4"/>
          <w:kern w:val="0"/>
          <w:sz w:val="24"/>
        </w:rPr>
      </w:pPr>
      <w:r>
        <w:rPr>
          <w:rFonts w:eastAsia="黑体"/>
          <w:bCs/>
          <w:snapToGrid w:val="0"/>
          <w:spacing w:val="4"/>
          <w:kern w:val="0"/>
          <w:sz w:val="24"/>
          <w:bdr w:val="single" w:color="auto" w:sz="4" w:space="0"/>
        </w:rPr>
        <w:t>√</w:t>
      </w:r>
      <w:r>
        <w:rPr>
          <w:bCs/>
          <w:snapToGrid w:val="0"/>
          <w:spacing w:val="4"/>
          <w:kern w:val="0"/>
          <w:sz w:val="24"/>
        </w:rPr>
        <w:t xml:space="preserve"> 附件2：各阶段工作成果文件的要求</w:t>
      </w:r>
    </w:p>
    <w:p w14:paraId="19E036F5">
      <w:pPr>
        <w:topLinePunct/>
        <w:adjustRightInd w:val="0"/>
        <w:snapToGrid w:val="0"/>
        <w:spacing w:line="360" w:lineRule="auto"/>
        <w:ind w:firstLine="744" w:firstLineChars="300"/>
        <w:rPr>
          <w:bCs/>
          <w:snapToGrid w:val="0"/>
          <w:spacing w:val="4"/>
          <w:kern w:val="0"/>
          <w:sz w:val="24"/>
        </w:rPr>
      </w:pPr>
      <w:r>
        <w:rPr>
          <w:rFonts w:eastAsia="黑体"/>
          <w:bCs/>
          <w:snapToGrid w:val="0"/>
          <w:spacing w:val="4"/>
          <w:kern w:val="0"/>
          <w:sz w:val="24"/>
          <w:bdr w:val="single" w:color="auto" w:sz="4" w:space="0"/>
        </w:rPr>
        <w:t>√</w:t>
      </w:r>
      <w:r>
        <w:rPr>
          <w:bCs/>
          <w:snapToGrid w:val="0"/>
          <w:spacing w:val="4"/>
          <w:kern w:val="0"/>
          <w:sz w:val="24"/>
        </w:rPr>
        <w:t xml:space="preserve"> 附件3：项目监理机构及监理人员</w:t>
      </w:r>
    </w:p>
    <w:p w14:paraId="4A8606EA">
      <w:pPr>
        <w:topLinePunct/>
        <w:adjustRightInd w:val="0"/>
        <w:snapToGrid w:val="0"/>
        <w:spacing w:line="360" w:lineRule="auto"/>
        <w:ind w:firstLine="1612" w:firstLineChars="650"/>
        <w:rPr>
          <w:bCs/>
          <w:snapToGrid w:val="0"/>
          <w:spacing w:val="4"/>
          <w:kern w:val="0"/>
          <w:sz w:val="24"/>
        </w:rPr>
      </w:pPr>
      <w:r>
        <w:rPr>
          <w:bCs/>
          <w:snapToGrid w:val="0"/>
          <w:spacing w:val="4"/>
          <w:kern w:val="0"/>
          <w:sz w:val="24"/>
        </w:rPr>
        <w:t>（一）项目监理机构图</w:t>
      </w:r>
    </w:p>
    <w:p w14:paraId="22DB9AFA">
      <w:pPr>
        <w:topLinePunct/>
        <w:adjustRightInd w:val="0"/>
        <w:snapToGrid w:val="0"/>
        <w:spacing w:line="360" w:lineRule="auto"/>
        <w:ind w:firstLine="1612" w:firstLineChars="650"/>
        <w:rPr>
          <w:snapToGrid w:val="0"/>
          <w:spacing w:val="4"/>
          <w:kern w:val="0"/>
          <w:sz w:val="24"/>
        </w:rPr>
      </w:pPr>
      <w:r>
        <w:rPr>
          <w:bCs/>
          <w:snapToGrid w:val="0"/>
          <w:spacing w:val="4"/>
          <w:kern w:val="0"/>
          <w:sz w:val="24"/>
        </w:rPr>
        <w:t>（二）施工准备阶段</w:t>
      </w:r>
      <w:r>
        <w:rPr>
          <w:snapToGrid w:val="0"/>
          <w:spacing w:val="4"/>
          <w:kern w:val="0"/>
          <w:sz w:val="24"/>
        </w:rPr>
        <w:t>监理人员一览表</w:t>
      </w:r>
    </w:p>
    <w:p w14:paraId="41FE78F4">
      <w:pPr>
        <w:topLinePunct/>
        <w:adjustRightInd w:val="0"/>
        <w:snapToGrid w:val="0"/>
        <w:spacing w:line="360" w:lineRule="auto"/>
        <w:ind w:firstLine="1612" w:firstLineChars="650"/>
        <w:rPr>
          <w:snapToGrid w:val="0"/>
          <w:spacing w:val="4"/>
          <w:kern w:val="0"/>
          <w:sz w:val="24"/>
        </w:rPr>
      </w:pPr>
      <w:r>
        <w:rPr>
          <w:snapToGrid w:val="0"/>
          <w:spacing w:val="4"/>
          <w:kern w:val="0"/>
          <w:sz w:val="24"/>
        </w:rPr>
        <w:t>（三）施工阶段监理人员一览表</w:t>
      </w:r>
    </w:p>
    <w:p w14:paraId="453176B1">
      <w:pPr>
        <w:topLinePunct/>
        <w:adjustRightInd w:val="0"/>
        <w:snapToGrid w:val="0"/>
        <w:spacing w:line="360" w:lineRule="auto"/>
        <w:ind w:firstLine="1612" w:firstLineChars="650"/>
        <w:rPr>
          <w:bCs/>
          <w:snapToGrid w:val="0"/>
          <w:spacing w:val="4"/>
          <w:kern w:val="0"/>
          <w:sz w:val="24"/>
        </w:rPr>
      </w:pPr>
      <w:r>
        <w:rPr>
          <w:snapToGrid w:val="0"/>
          <w:spacing w:val="4"/>
          <w:kern w:val="0"/>
          <w:sz w:val="24"/>
        </w:rPr>
        <w:t>（四）工程收尾阶段监理人员一览表</w:t>
      </w:r>
    </w:p>
    <w:p w14:paraId="4F021855">
      <w:pPr>
        <w:topLinePunct/>
        <w:adjustRightInd w:val="0"/>
        <w:snapToGrid w:val="0"/>
        <w:spacing w:line="360" w:lineRule="auto"/>
        <w:ind w:firstLine="744" w:firstLineChars="300"/>
        <w:rPr>
          <w:bCs/>
          <w:snapToGrid w:val="0"/>
          <w:spacing w:val="4"/>
          <w:kern w:val="0"/>
          <w:sz w:val="24"/>
        </w:rPr>
      </w:pPr>
      <w:r>
        <w:rPr>
          <w:rFonts w:eastAsia="黑体"/>
          <w:bCs/>
          <w:snapToGrid w:val="0"/>
          <w:spacing w:val="4"/>
          <w:kern w:val="0"/>
          <w:sz w:val="24"/>
          <w:bdr w:val="single" w:color="auto" w:sz="4" w:space="0"/>
        </w:rPr>
        <w:t>√</w:t>
      </w:r>
      <w:r>
        <w:rPr>
          <w:bCs/>
          <w:snapToGrid w:val="0"/>
          <w:spacing w:val="4"/>
          <w:kern w:val="0"/>
          <w:sz w:val="24"/>
        </w:rPr>
        <w:t xml:space="preserve"> 附件4：监理人</w:t>
      </w:r>
      <w:r>
        <w:rPr>
          <w:snapToGrid w:val="0"/>
          <w:spacing w:val="4"/>
          <w:kern w:val="0"/>
          <w:sz w:val="24"/>
        </w:rPr>
        <w:t>拟投入本工程的通讯、办公、检测设备清单</w:t>
      </w:r>
    </w:p>
    <w:p w14:paraId="0E20F1B1">
      <w:pPr>
        <w:topLinePunct/>
        <w:adjustRightInd w:val="0"/>
        <w:snapToGrid w:val="0"/>
        <w:spacing w:line="360" w:lineRule="auto"/>
        <w:ind w:firstLine="744" w:firstLineChars="300"/>
        <w:rPr>
          <w:bCs/>
          <w:snapToGrid w:val="0"/>
          <w:spacing w:val="4"/>
          <w:kern w:val="0"/>
          <w:sz w:val="24"/>
        </w:rPr>
      </w:pPr>
      <w:r>
        <w:rPr>
          <w:rFonts w:eastAsia="黑体"/>
          <w:bCs/>
          <w:snapToGrid w:val="0"/>
          <w:spacing w:val="4"/>
          <w:kern w:val="0"/>
          <w:sz w:val="24"/>
          <w:bdr w:val="single" w:color="auto" w:sz="4" w:space="0"/>
        </w:rPr>
        <w:t>√</w:t>
      </w:r>
      <w:r>
        <w:rPr>
          <w:bCs/>
          <w:snapToGrid w:val="0"/>
          <w:spacing w:val="4"/>
          <w:kern w:val="0"/>
          <w:sz w:val="24"/>
        </w:rPr>
        <w:t xml:space="preserve"> 附件5：监理人承诺书</w:t>
      </w:r>
    </w:p>
    <w:p w14:paraId="4A2CFC36">
      <w:pPr>
        <w:topLinePunct/>
        <w:adjustRightInd w:val="0"/>
        <w:snapToGrid w:val="0"/>
        <w:spacing w:line="360" w:lineRule="auto"/>
        <w:ind w:firstLine="744" w:firstLineChars="300"/>
        <w:rPr>
          <w:bCs/>
          <w:snapToGrid w:val="0"/>
          <w:spacing w:val="4"/>
          <w:kern w:val="0"/>
          <w:sz w:val="24"/>
        </w:rPr>
      </w:pPr>
      <w:r>
        <w:rPr>
          <w:rFonts w:eastAsia="黑体"/>
          <w:bCs/>
          <w:snapToGrid w:val="0"/>
          <w:spacing w:val="4"/>
          <w:kern w:val="0"/>
          <w:sz w:val="24"/>
          <w:bdr w:val="single" w:color="auto" w:sz="4" w:space="0"/>
        </w:rPr>
        <w:t>√</w:t>
      </w:r>
      <w:r>
        <w:rPr>
          <w:bCs/>
          <w:snapToGrid w:val="0"/>
          <w:spacing w:val="4"/>
          <w:kern w:val="0"/>
          <w:sz w:val="24"/>
        </w:rPr>
        <w:t xml:space="preserve"> 附件6：监理人履约银行保函</w:t>
      </w:r>
      <w:r>
        <w:rPr>
          <w:bCs/>
          <w:snapToGrid w:val="0"/>
          <w:spacing w:val="-4"/>
          <w:kern w:val="0"/>
          <w:sz w:val="24"/>
        </w:rPr>
        <w:t>（格式）</w:t>
      </w:r>
      <w:r>
        <w:rPr>
          <w:bCs/>
          <w:snapToGrid w:val="0"/>
          <w:spacing w:val="4"/>
          <w:kern w:val="0"/>
          <w:sz w:val="24"/>
        </w:rPr>
        <w:t>及其承诺书</w:t>
      </w:r>
    </w:p>
    <w:p w14:paraId="2C148A37">
      <w:pPr>
        <w:topLinePunct/>
        <w:adjustRightInd w:val="0"/>
        <w:snapToGrid w:val="0"/>
        <w:spacing w:line="360" w:lineRule="auto"/>
        <w:ind w:firstLine="744" w:firstLineChars="300"/>
        <w:rPr>
          <w:bCs/>
          <w:snapToGrid w:val="0"/>
          <w:spacing w:val="4"/>
          <w:kern w:val="0"/>
          <w:sz w:val="24"/>
        </w:rPr>
      </w:pPr>
      <w:r>
        <w:rPr>
          <w:rFonts w:eastAsia="黑体"/>
          <w:bCs/>
          <w:snapToGrid w:val="0"/>
          <w:spacing w:val="4"/>
          <w:kern w:val="0"/>
          <w:sz w:val="24"/>
          <w:bdr w:val="single" w:color="auto" w:sz="4" w:space="0"/>
        </w:rPr>
        <w:t>√</w:t>
      </w:r>
      <w:r>
        <w:rPr>
          <w:bCs/>
          <w:snapToGrid w:val="0"/>
          <w:spacing w:val="4"/>
          <w:kern w:val="0"/>
          <w:sz w:val="24"/>
        </w:rPr>
        <w:t xml:space="preserve"> </w:t>
      </w:r>
      <w:r>
        <w:rPr>
          <w:bCs/>
          <w:snapToGrid w:val="0"/>
          <w:spacing w:val="-4"/>
          <w:kern w:val="0"/>
          <w:sz w:val="24"/>
        </w:rPr>
        <w:t>附件7：监理单位安全生产管理目标责任书</w:t>
      </w:r>
    </w:p>
    <w:p w14:paraId="64335C20">
      <w:pPr>
        <w:adjustRightInd w:val="0"/>
        <w:snapToGrid w:val="0"/>
        <w:spacing w:line="360" w:lineRule="auto"/>
        <w:ind w:left="1252" w:leftChars="346" w:hanging="525" w:hangingChars="250"/>
        <w:rPr>
          <w:bCs/>
          <w:snapToGrid w:val="0"/>
          <w:spacing w:val="4"/>
          <w:kern w:val="0"/>
          <w:sz w:val="24"/>
        </w:rPr>
      </w:pPr>
      <w:r>
        <w:rPr>
          <w:rFonts w:eastAsia="黑体"/>
          <w:bCs/>
          <w:bdr w:val="single" w:color="auto" w:sz="4" w:space="0"/>
        </w:rPr>
        <w:t>√</w:t>
      </w:r>
      <w:r>
        <w:rPr>
          <w:bCs/>
          <w:snapToGrid w:val="0"/>
          <w:spacing w:val="4"/>
          <w:kern w:val="0"/>
          <w:sz w:val="24"/>
        </w:rPr>
        <w:t xml:space="preserve"> 附件8：本项目招标澄清、答疑文件</w:t>
      </w:r>
    </w:p>
    <w:p w14:paraId="44E09E90">
      <w:pPr>
        <w:topLinePunct/>
        <w:adjustRightInd w:val="0"/>
        <w:snapToGrid w:val="0"/>
        <w:spacing w:line="360" w:lineRule="auto"/>
        <w:ind w:left="2231" w:leftChars="354" w:hanging="1488" w:hangingChars="600"/>
        <w:rPr>
          <w:bCs/>
          <w:snapToGrid w:val="0"/>
          <w:spacing w:val="-4"/>
          <w:kern w:val="0"/>
          <w:sz w:val="24"/>
        </w:rPr>
      </w:pPr>
      <w:r>
        <w:rPr>
          <w:rFonts w:eastAsia="黑体"/>
          <w:bCs/>
          <w:snapToGrid w:val="0"/>
          <w:spacing w:val="4"/>
          <w:kern w:val="0"/>
          <w:sz w:val="24"/>
          <w:bdr w:val="single" w:color="auto" w:sz="4" w:space="0"/>
        </w:rPr>
        <w:t>√</w:t>
      </w:r>
      <w:r>
        <w:rPr>
          <w:bCs/>
          <w:snapToGrid w:val="0"/>
          <w:spacing w:val="4"/>
          <w:kern w:val="0"/>
          <w:sz w:val="24"/>
        </w:rPr>
        <w:t xml:space="preserve"> </w:t>
      </w:r>
      <w:r>
        <w:rPr>
          <w:bCs/>
          <w:snapToGrid w:val="0"/>
          <w:spacing w:val="-4"/>
          <w:kern w:val="0"/>
          <w:sz w:val="24"/>
        </w:rPr>
        <w:t>附件9：监理人法定代表人、项目总监理工程师、项目总监理工程师代表的姓名、身份证复印件、职务、职称、联系方式</w:t>
      </w:r>
    </w:p>
    <w:p w14:paraId="3C996147">
      <w:pPr>
        <w:topLinePunct/>
        <w:adjustRightInd w:val="0"/>
        <w:snapToGrid w:val="0"/>
        <w:spacing w:line="360" w:lineRule="auto"/>
        <w:ind w:firstLine="716" w:firstLineChars="289"/>
        <w:rPr>
          <w:bCs/>
          <w:snapToGrid w:val="0"/>
          <w:spacing w:val="-4"/>
          <w:kern w:val="0"/>
          <w:sz w:val="24"/>
        </w:rPr>
      </w:pPr>
      <w:r>
        <w:rPr>
          <w:rFonts w:eastAsia="黑体"/>
          <w:bCs/>
          <w:snapToGrid w:val="0"/>
          <w:spacing w:val="4"/>
          <w:kern w:val="0"/>
          <w:sz w:val="24"/>
          <w:bdr w:val="single" w:color="auto" w:sz="4" w:space="0"/>
        </w:rPr>
        <w:t>√</w:t>
      </w:r>
      <w:r>
        <w:rPr>
          <w:bCs/>
          <w:snapToGrid w:val="0"/>
          <w:spacing w:val="-4"/>
          <w:kern w:val="0"/>
          <w:sz w:val="24"/>
        </w:rPr>
        <w:t xml:space="preserve"> 附件10：中标通知书</w:t>
      </w:r>
    </w:p>
    <w:p w14:paraId="0136CD54">
      <w:pPr>
        <w:topLinePunct/>
        <w:adjustRightInd w:val="0"/>
        <w:snapToGrid w:val="0"/>
        <w:spacing w:line="360" w:lineRule="auto"/>
        <w:ind w:firstLine="691" w:firstLineChars="279"/>
        <w:rPr>
          <w:bCs/>
          <w:snapToGrid w:val="0"/>
          <w:spacing w:val="-4"/>
          <w:kern w:val="0"/>
          <w:sz w:val="24"/>
        </w:rPr>
      </w:pPr>
      <w:r>
        <w:rPr>
          <w:rFonts w:eastAsia="黑体"/>
          <w:bCs/>
          <w:snapToGrid w:val="0"/>
          <w:spacing w:val="4"/>
          <w:kern w:val="0"/>
          <w:sz w:val="24"/>
          <w:bdr w:val="single" w:color="auto" w:sz="4" w:space="0"/>
        </w:rPr>
        <w:t>√</w:t>
      </w:r>
      <w:r>
        <w:rPr>
          <w:bCs/>
          <w:snapToGrid w:val="0"/>
          <w:spacing w:val="-4"/>
          <w:kern w:val="0"/>
          <w:sz w:val="24"/>
        </w:rPr>
        <w:t>附件11：工程质量终身责任承诺书（含法定代表人授权书）</w:t>
      </w:r>
    </w:p>
    <w:bookmarkEnd w:id="490"/>
    <w:p w14:paraId="160C4FFD">
      <w:pPr>
        <w:topLinePunct/>
        <w:adjustRightInd w:val="0"/>
        <w:snapToGrid w:val="0"/>
        <w:spacing w:line="360" w:lineRule="auto"/>
        <w:ind w:firstLine="496" w:firstLineChars="200"/>
        <w:rPr>
          <w:snapToGrid w:val="0"/>
          <w:spacing w:val="4"/>
          <w:kern w:val="0"/>
          <w:sz w:val="24"/>
        </w:rPr>
      </w:pPr>
      <w:r>
        <w:rPr>
          <w:bCs/>
          <w:snapToGrid w:val="0"/>
          <w:spacing w:val="4"/>
          <w:kern w:val="0"/>
          <w:sz w:val="24"/>
          <w:u w:val="single"/>
        </w:rPr>
        <w:br w:type="page"/>
      </w:r>
    </w:p>
    <w:p w14:paraId="4FB515F5">
      <w:pPr>
        <w:topLinePunct/>
        <w:adjustRightInd w:val="0"/>
        <w:snapToGrid w:val="0"/>
        <w:spacing w:before="120" w:after="120"/>
        <w:jc w:val="center"/>
        <w:outlineLvl w:val="0"/>
        <w:rPr>
          <w:rFonts w:eastAsia="黑体"/>
          <w:b/>
          <w:snapToGrid w:val="0"/>
          <w:spacing w:val="4"/>
          <w:kern w:val="0"/>
          <w:sz w:val="30"/>
          <w:szCs w:val="30"/>
        </w:rPr>
      </w:pPr>
      <w:bookmarkStart w:id="491" w:name="_Toc191697645"/>
      <w:bookmarkStart w:id="492" w:name="_Toc313869532"/>
      <w:r>
        <w:rPr>
          <w:rFonts w:eastAsia="黑体"/>
          <w:b/>
          <w:snapToGrid w:val="0"/>
          <w:spacing w:val="4"/>
          <w:kern w:val="0"/>
          <w:sz w:val="30"/>
          <w:szCs w:val="30"/>
        </w:rPr>
        <w:t>第一篇  协议书</w:t>
      </w:r>
      <w:bookmarkEnd w:id="491"/>
      <w:bookmarkEnd w:id="492"/>
    </w:p>
    <w:p w14:paraId="175DFD44">
      <w:pPr>
        <w:topLinePunct/>
        <w:adjustRightInd w:val="0"/>
        <w:snapToGrid w:val="0"/>
        <w:spacing w:line="360" w:lineRule="auto"/>
        <w:ind w:firstLine="496" w:firstLineChars="200"/>
        <w:rPr>
          <w:b/>
          <w:snapToGrid w:val="0"/>
          <w:spacing w:val="4"/>
          <w:kern w:val="0"/>
          <w:sz w:val="24"/>
          <w:u w:val="single"/>
        </w:rPr>
      </w:pPr>
      <w:r>
        <w:rPr>
          <w:rFonts w:hint="eastAsia"/>
          <w:bCs/>
          <w:snapToGrid w:val="0"/>
          <w:spacing w:val="4"/>
          <w:kern w:val="0"/>
          <w:sz w:val="24"/>
          <w:u w:val="single"/>
        </w:rPr>
        <w:t xml:space="preserve"> 中</w:t>
      </w:r>
      <w:r>
        <w:rPr>
          <w:bCs/>
          <w:snapToGrid w:val="0"/>
          <w:spacing w:val="4"/>
          <w:kern w:val="0"/>
          <w:sz w:val="24"/>
          <w:u w:val="single"/>
        </w:rPr>
        <w:t>山大学附属第一医院</w:t>
      </w:r>
      <w:r>
        <w:rPr>
          <w:rFonts w:hint="eastAsia"/>
          <w:bCs/>
          <w:snapToGrid w:val="0"/>
          <w:spacing w:val="4"/>
          <w:kern w:val="0"/>
          <w:sz w:val="24"/>
          <w:u w:val="single"/>
        </w:rPr>
        <w:t xml:space="preserve"> </w:t>
      </w:r>
      <w:r>
        <w:rPr>
          <w:snapToGrid w:val="0"/>
          <w:spacing w:val="4"/>
          <w:kern w:val="0"/>
          <w:sz w:val="24"/>
        </w:rPr>
        <w:t xml:space="preserve">（以下称委托人）与    </w:t>
      </w:r>
      <w:r>
        <w:rPr>
          <w:snapToGrid w:val="0"/>
          <w:spacing w:val="4"/>
          <w:kern w:val="0"/>
          <w:sz w:val="24"/>
          <w:u w:val="single"/>
        </w:rPr>
        <w:t xml:space="preserve">                              </w:t>
      </w:r>
      <w:r>
        <w:rPr>
          <w:snapToGrid w:val="0"/>
          <w:spacing w:val="4"/>
          <w:kern w:val="0"/>
          <w:sz w:val="24"/>
        </w:rPr>
        <w:t>（以下称监理人）依照《中华人民共和国民法典》、《中华人民共和国建筑法》及其他有关法律、行政法规、部门规章、地方性法规和规章，以及政府关于建设项目的有关文件，遵循平等、自愿、公平和诚实信用的原则，双方就</w:t>
      </w:r>
      <w:r>
        <w:rPr>
          <w:snapToGrid w:val="0"/>
          <w:spacing w:val="4"/>
          <w:kern w:val="0"/>
          <w:sz w:val="24"/>
          <w:u w:val="single"/>
        </w:rPr>
        <w:t xml:space="preserve"> </w:t>
      </w:r>
      <w:r>
        <w:rPr>
          <w:rFonts w:hint="eastAsia"/>
          <w:snapToGrid w:val="0"/>
          <w:spacing w:val="4"/>
          <w:kern w:val="0"/>
          <w:sz w:val="24"/>
          <w:u w:val="single"/>
        </w:rPr>
        <w:t>中山大学附属第一医院病房改造建设及能力提升</w:t>
      </w:r>
      <w:r>
        <w:rPr>
          <w:rFonts w:hint="eastAsia"/>
          <w:sz w:val="24"/>
          <w:u w:val="single"/>
        </w:rPr>
        <w:t xml:space="preserve"> </w:t>
      </w:r>
      <w:r>
        <w:rPr>
          <w:sz w:val="24"/>
        </w:rPr>
        <w:t>项目</w:t>
      </w:r>
      <w:r>
        <w:rPr>
          <w:snapToGrid w:val="0"/>
          <w:spacing w:val="4"/>
          <w:kern w:val="0"/>
          <w:sz w:val="24"/>
        </w:rPr>
        <w:t>委托</w:t>
      </w:r>
      <w:r>
        <w:rPr>
          <w:bCs/>
          <w:snapToGrid w:val="0"/>
          <w:spacing w:val="4"/>
          <w:kern w:val="0"/>
          <w:sz w:val="24"/>
        </w:rPr>
        <w:t>监理（含项目管理）</w:t>
      </w:r>
      <w:r>
        <w:rPr>
          <w:snapToGrid w:val="0"/>
          <w:spacing w:val="4"/>
          <w:kern w:val="0"/>
          <w:sz w:val="24"/>
        </w:rPr>
        <w:t>事宜协商一致，订立本合同。</w:t>
      </w:r>
    </w:p>
    <w:p w14:paraId="57CCDC0A">
      <w:pPr>
        <w:topLinePunct/>
        <w:adjustRightInd w:val="0"/>
        <w:snapToGrid w:val="0"/>
        <w:spacing w:line="360" w:lineRule="auto"/>
        <w:ind w:firstLine="498" w:firstLineChars="200"/>
        <w:outlineLvl w:val="1"/>
        <w:rPr>
          <w:b/>
          <w:snapToGrid w:val="0"/>
          <w:spacing w:val="4"/>
          <w:kern w:val="0"/>
          <w:sz w:val="24"/>
        </w:rPr>
      </w:pPr>
      <w:r>
        <w:rPr>
          <w:b/>
          <w:snapToGrid w:val="0"/>
          <w:spacing w:val="4"/>
          <w:kern w:val="0"/>
          <w:sz w:val="24"/>
        </w:rPr>
        <w:t>第一条  监理工程概况</w:t>
      </w:r>
    </w:p>
    <w:p w14:paraId="1716900F">
      <w:pPr>
        <w:topLinePunct/>
        <w:adjustRightInd w:val="0"/>
        <w:snapToGrid w:val="0"/>
        <w:spacing w:line="360" w:lineRule="auto"/>
        <w:ind w:firstLine="496" w:firstLineChars="200"/>
        <w:rPr>
          <w:snapToGrid w:val="0"/>
          <w:spacing w:val="4"/>
          <w:kern w:val="0"/>
          <w:sz w:val="24"/>
        </w:rPr>
      </w:pPr>
      <w:r>
        <w:rPr>
          <w:snapToGrid w:val="0"/>
          <w:spacing w:val="4"/>
          <w:kern w:val="0"/>
          <w:sz w:val="24"/>
        </w:rPr>
        <w:t>（1）工程名称：</w:t>
      </w:r>
      <w:r>
        <w:rPr>
          <w:snapToGrid w:val="0"/>
          <w:spacing w:val="4"/>
          <w:kern w:val="0"/>
          <w:sz w:val="24"/>
          <w:u w:val="single"/>
        </w:rPr>
        <w:t xml:space="preserve"> </w:t>
      </w:r>
      <w:r>
        <w:rPr>
          <w:rFonts w:hint="eastAsia"/>
          <w:snapToGrid w:val="0"/>
          <w:spacing w:val="4"/>
          <w:kern w:val="0"/>
          <w:sz w:val="24"/>
          <w:u w:val="single"/>
        </w:rPr>
        <w:t>中山大学附属第一医院病房改造建设及能力提升项目</w:t>
      </w:r>
      <w:r>
        <w:rPr>
          <w:snapToGrid w:val="0"/>
          <w:spacing w:val="4"/>
          <w:kern w:val="0"/>
          <w:sz w:val="24"/>
          <w:u w:val="single"/>
        </w:rPr>
        <w:t xml:space="preserve"> 。</w:t>
      </w:r>
    </w:p>
    <w:p w14:paraId="43278FF5">
      <w:pPr>
        <w:topLinePunct/>
        <w:adjustRightInd w:val="0"/>
        <w:snapToGrid w:val="0"/>
        <w:spacing w:line="360" w:lineRule="auto"/>
        <w:ind w:firstLine="496" w:firstLineChars="200"/>
        <w:rPr>
          <w:snapToGrid w:val="0"/>
          <w:spacing w:val="4"/>
          <w:kern w:val="0"/>
          <w:sz w:val="24"/>
          <w:u w:val="single"/>
        </w:rPr>
      </w:pPr>
      <w:r>
        <w:rPr>
          <w:snapToGrid w:val="0"/>
          <w:spacing w:val="4"/>
          <w:kern w:val="0"/>
          <w:sz w:val="24"/>
        </w:rPr>
        <w:t>（2）工程地点：</w:t>
      </w:r>
      <w:r>
        <w:rPr>
          <w:snapToGrid w:val="0"/>
          <w:spacing w:val="4"/>
          <w:kern w:val="0"/>
          <w:sz w:val="24"/>
          <w:u w:val="single"/>
        </w:rPr>
        <w:t xml:space="preserve"> </w:t>
      </w:r>
      <w:r>
        <w:rPr>
          <w:rFonts w:hint="eastAsia"/>
          <w:snapToGrid w:val="0"/>
          <w:spacing w:val="4"/>
          <w:kern w:val="0"/>
          <w:sz w:val="24"/>
          <w:u w:val="single"/>
        </w:rPr>
        <w:t>广州市越秀区中山二路58号</w:t>
      </w:r>
      <w:r>
        <w:rPr>
          <w:snapToGrid w:val="0"/>
          <w:spacing w:val="4"/>
          <w:kern w:val="0"/>
          <w:sz w:val="24"/>
          <w:u w:val="single"/>
        </w:rPr>
        <w:t xml:space="preserve"> 。</w:t>
      </w:r>
    </w:p>
    <w:p w14:paraId="509D26D2">
      <w:pPr>
        <w:topLinePunct/>
        <w:adjustRightInd w:val="0"/>
        <w:snapToGrid w:val="0"/>
        <w:spacing w:line="360" w:lineRule="auto"/>
        <w:ind w:firstLine="496" w:firstLineChars="200"/>
        <w:rPr>
          <w:snapToGrid w:val="0"/>
          <w:spacing w:val="4"/>
          <w:kern w:val="0"/>
          <w:sz w:val="24"/>
          <w:u w:val="single"/>
        </w:rPr>
      </w:pPr>
      <w:r>
        <w:rPr>
          <w:snapToGrid w:val="0"/>
          <w:spacing w:val="4"/>
          <w:kern w:val="0"/>
          <w:sz w:val="24"/>
        </w:rPr>
        <w:t>（3）工程规模：</w:t>
      </w:r>
      <w:r>
        <w:rPr>
          <w:snapToGrid w:val="0"/>
          <w:spacing w:val="4"/>
          <w:kern w:val="0"/>
          <w:sz w:val="24"/>
          <w:u w:val="single"/>
        </w:rPr>
        <w:t xml:space="preserve"> </w:t>
      </w:r>
      <w:r>
        <w:rPr>
          <w:rFonts w:hint="eastAsia"/>
          <w:snapToGrid w:val="0"/>
          <w:spacing w:val="4"/>
          <w:kern w:val="0"/>
          <w:sz w:val="24"/>
          <w:u w:val="single"/>
        </w:rPr>
        <w:t>医院总用地面积约为59334.419㎡，最大建筑高度约98.5m。项目包含医疗设备腾挪以及医疗系统的升级改造等，属于技术复杂型项目。</w:t>
      </w:r>
    </w:p>
    <w:p w14:paraId="117BD877">
      <w:pPr>
        <w:topLinePunct/>
        <w:adjustRightInd w:val="0"/>
        <w:snapToGrid w:val="0"/>
        <w:spacing w:line="360" w:lineRule="auto"/>
        <w:ind w:firstLine="496" w:firstLineChars="200"/>
        <w:rPr>
          <w:snapToGrid w:val="0"/>
          <w:spacing w:val="4"/>
          <w:kern w:val="0"/>
          <w:sz w:val="24"/>
          <w:u w:val="single"/>
        </w:rPr>
      </w:pPr>
      <w:r>
        <w:rPr>
          <w:rFonts w:hint="eastAsia"/>
          <w:snapToGrid w:val="0"/>
          <w:spacing w:val="4"/>
          <w:kern w:val="0"/>
          <w:sz w:val="24"/>
          <w:u w:val="single"/>
        </w:rPr>
        <w:t>本工程项目总投资2.43亿元（其中建筑安装工程费2.05亿元），改造面积8.64万平方米，改造床位572张，主要改造内容为1号楼，9个3人间、11个多人间病房以及原产房区域改造为8个单人间、46个2-3人间，以及卫生间改造，并进行机电改造、中央空调冷源机房节能/采暖升级改造、消防改造、气动物流系统扩容升级改造。5号楼21个2-3人间、5个多人间病房改造为3个单人间、25个2-3人间以及卫生间改造，并进行机电改造、消防改造、气动物流系统扩容升级改造。6号楼12个双人间、19个多人间病房改造为8个单人间、34个2-3人间，以及卫生间改造，并进行机电改造、中央空调冷源机房节能/采暖升级改造、消防改造。8号楼9个单人间、83个2-3人间、4个多人间病房改造为9个单人间、86个2-3人间、1个多人间病房及卫生间改造，并进行机电改造、消防改造、气动物流系统扩容升级改造、防水改造、结构加固、外立面修补、更换2部电梯。</w:t>
      </w:r>
    </w:p>
    <w:p w14:paraId="7BFA3DEF">
      <w:pPr>
        <w:topLinePunct/>
        <w:adjustRightInd w:val="0"/>
        <w:snapToGrid w:val="0"/>
        <w:spacing w:line="360" w:lineRule="auto"/>
        <w:ind w:firstLine="496" w:firstLineChars="200"/>
        <w:rPr>
          <w:snapToGrid w:val="0"/>
          <w:spacing w:val="4"/>
          <w:kern w:val="0"/>
          <w:sz w:val="24"/>
        </w:rPr>
      </w:pPr>
      <w:r>
        <w:rPr>
          <w:snapToGrid w:val="0"/>
          <w:spacing w:val="4"/>
          <w:kern w:val="0"/>
          <w:sz w:val="24"/>
        </w:rPr>
        <w:t>（4）工程总投资：</w:t>
      </w:r>
      <w:r>
        <w:rPr>
          <w:snapToGrid w:val="0"/>
          <w:spacing w:val="4"/>
          <w:kern w:val="0"/>
          <w:sz w:val="24"/>
          <w:u w:val="single"/>
        </w:rPr>
        <w:t xml:space="preserve"> </w:t>
      </w:r>
      <w:r>
        <w:rPr>
          <w:rFonts w:hint="eastAsia"/>
          <w:snapToGrid w:val="0"/>
          <w:spacing w:val="4"/>
          <w:kern w:val="0"/>
          <w:sz w:val="24"/>
          <w:u w:val="single"/>
        </w:rPr>
        <w:t>总投资2.43亿元（其中建筑安装工程费2.05亿元）</w:t>
      </w:r>
      <w:r>
        <w:rPr>
          <w:snapToGrid w:val="0"/>
          <w:spacing w:val="4"/>
          <w:kern w:val="0"/>
          <w:sz w:val="24"/>
          <w:u w:val="single"/>
        </w:rPr>
        <w:t>。</w:t>
      </w:r>
    </w:p>
    <w:p w14:paraId="07EDB610">
      <w:pPr>
        <w:topLinePunct/>
        <w:adjustRightInd w:val="0"/>
        <w:snapToGrid w:val="0"/>
        <w:spacing w:line="360" w:lineRule="auto"/>
        <w:ind w:firstLine="496" w:firstLineChars="200"/>
        <w:rPr>
          <w:snapToGrid w:val="0"/>
          <w:spacing w:val="4"/>
          <w:kern w:val="0"/>
          <w:sz w:val="24"/>
        </w:rPr>
      </w:pPr>
      <w:r>
        <w:rPr>
          <w:snapToGrid w:val="0"/>
          <w:spacing w:val="4"/>
          <w:kern w:val="0"/>
          <w:sz w:val="24"/>
        </w:rPr>
        <w:t>（5）质量目标：</w:t>
      </w:r>
      <w:r>
        <w:rPr>
          <w:snapToGrid w:val="0"/>
          <w:spacing w:val="4"/>
          <w:kern w:val="0"/>
          <w:sz w:val="24"/>
          <w:u w:val="single"/>
        </w:rPr>
        <w:t xml:space="preserve"> </w:t>
      </w:r>
      <w:r>
        <w:rPr>
          <w:rFonts w:hint="eastAsia"/>
          <w:snapToGrid w:val="0"/>
          <w:spacing w:val="4"/>
          <w:kern w:val="0"/>
          <w:sz w:val="24"/>
          <w:u w:val="single"/>
        </w:rPr>
        <w:t>各子项工程</w:t>
      </w:r>
      <w:r>
        <w:rPr>
          <w:snapToGrid w:val="0"/>
          <w:spacing w:val="4"/>
          <w:kern w:val="0"/>
          <w:sz w:val="24"/>
          <w:u w:val="single"/>
        </w:rPr>
        <w:t>验收合格率100%</w:t>
      </w:r>
      <w:r>
        <w:rPr>
          <w:rFonts w:hint="eastAsia"/>
          <w:snapToGrid w:val="0"/>
          <w:spacing w:val="4"/>
          <w:kern w:val="0"/>
          <w:sz w:val="24"/>
          <w:u w:val="single"/>
        </w:rPr>
        <w:t>，整体工程验收合格率100%</w:t>
      </w:r>
      <w:r>
        <w:rPr>
          <w:snapToGrid w:val="0"/>
          <w:spacing w:val="4"/>
          <w:kern w:val="0"/>
          <w:sz w:val="24"/>
          <w:u w:val="single"/>
        </w:rPr>
        <w:t>。</w:t>
      </w:r>
    </w:p>
    <w:p w14:paraId="5785CDD3">
      <w:pPr>
        <w:topLinePunct/>
        <w:adjustRightInd w:val="0"/>
        <w:snapToGrid w:val="0"/>
        <w:spacing w:line="360" w:lineRule="auto"/>
        <w:ind w:firstLine="496" w:firstLineChars="200"/>
        <w:rPr>
          <w:snapToGrid w:val="0"/>
          <w:spacing w:val="4"/>
          <w:kern w:val="0"/>
          <w:sz w:val="24"/>
        </w:rPr>
      </w:pPr>
      <w:r>
        <w:rPr>
          <w:snapToGrid w:val="0"/>
          <w:spacing w:val="4"/>
          <w:kern w:val="0"/>
          <w:sz w:val="24"/>
        </w:rPr>
        <w:t>（6）职业健康安全管理目标：</w:t>
      </w:r>
      <w:r>
        <w:rPr>
          <w:snapToGrid w:val="0"/>
          <w:spacing w:val="4"/>
          <w:kern w:val="0"/>
          <w:sz w:val="24"/>
          <w:u w:val="single"/>
        </w:rPr>
        <w:t>杜绝一切事故等级以上的伤亡事故且工伤责任事故死亡人数为零。</w:t>
      </w:r>
    </w:p>
    <w:p w14:paraId="617A18DB">
      <w:pPr>
        <w:topLinePunct/>
        <w:adjustRightInd w:val="0"/>
        <w:snapToGrid w:val="0"/>
        <w:spacing w:line="360" w:lineRule="auto"/>
        <w:ind w:firstLine="496" w:firstLineChars="200"/>
        <w:rPr>
          <w:snapToGrid w:val="0"/>
          <w:spacing w:val="4"/>
          <w:kern w:val="0"/>
          <w:sz w:val="24"/>
        </w:rPr>
      </w:pPr>
      <w:r>
        <w:rPr>
          <w:snapToGrid w:val="0"/>
          <w:spacing w:val="4"/>
          <w:kern w:val="0"/>
          <w:sz w:val="24"/>
        </w:rPr>
        <w:t>（7）环境管理目标：</w:t>
      </w:r>
      <w:r>
        <w:rPr>
          <w:snapToGrid w:val="0"/>
          <w:spacing w:val="4"/>
          <w:kern w:val="0"/>
          <w:sz w:val="24"/>
          <w:u w:val="single"/>
        </w:rPr>
        <w:t>严格执行《广州市建设工程现场文明施工管理办法》（穗建质</w:t>
      </w:r>
      <w:r>
        <w:rPr>
          <w:rFonts w:hint="eastAsia"/>
          <w:snapToGrid w:val="0"/>
          <w:spacing w:val="4"/>
          <w:kern w:val="0"/>
          <w:sz w:val="24"/>
          <w:u w:val="single"/>
        </w:rPr>
        <w:t>〔</w:t>
      </w:r>
      <w:r>
        <w:rPr>
          <w:snapToGrid w:val="0"/>
          <w:spacing w:val="4"/>
          <w:kern w:val="0"/>
          <w:sz w:val="24"/>
          <w:u w:val="single"/>
        </w:rPr>
        <w:t>2008</w:t>
      </w:r>
      <w:r>
        <w:rPr>
          <w:rFonts w:hint="eastAsia"/>
          <w:snapToGrid w:val="0"/>
          <w:spacing w:val="4"/>
          <w:kern w:val="0"/>
          <w:sz w:val="24"/>
          <w:u w:val="single"/>
        </w:rPr>
        <w:t>〕</w:t>
      </w:r>
      <w:r>
        <w:rPr>
          <w:snapToGrid w:val="0"/>
          <w:spacing w:val="4"/>
          <w:kern w:val="0"/>
          <w:sz w:val="24"/>
          <w:u w:val="single"/>
        </w:rPr>
        <w:t>937号）、《广州市建设工程文明施工管理规定》（广州市政府2011年第62号令）、《广州市委宣传部 广州市住房和城乡建设委员会 广州市城市管理委员会关于完善广州市建设工程施工围蔽管理提升实施技术要求和标准图集》（穗建质</w:t>
      </w:r>
      <w:r>
        <w:rPr>
          <w:rFonts w:hint="eastAsia"/>
          <w:snapToGrid w:val="0"/>
          <w:spacing w:val="4"/>
          <w:kern w:val="0"/>
          <w:sz w:val="24"/>
          <w:u w:val="single"/>
        </w:rPr>
        <w:t>〔</w:t>
      </w:r>
      <w:r>
        <w:rPr>
          <w:snapToGrid w:val="0"/>
          <w:spacing w:val="4"/>
          <w:kern w:val="0"/>
          <w:sz w:val="24"/>
          <w:u w:val="single"/>
        </w:rPr>
        <w:t>2016</w:t>
      </w:r>
      <w:r>
        <w:rPr>
          <w:rFonts w:hint="eastAsia"/>
          <w:snapToGrid w:val="0"/>
          <w:spacing w:val="4"/>
          <w:kern w:val="0"/>
          <w:sz w:val="24"/>
          <w:u w:val="single"/>
        </w:rPr>
        <w:t>〕</w:t>
      </w:r>
      <w:r>
        <w:rPr>
          <w:snapToGrid w:val="0"/>
          <w:spacing w:val="4"/>
          <w:kern w:val="0"/>
          <w:sz w:val="24"/>
          <w:u w:val="single"/>
        </w:rPr>
        <w:t>1085号）。</w:t>
      </w:r>
      <w:r>
        <w:rPr>
          <w:snapToGrid w:val="0"/>
          <w:spacing w:val="4"/>
          <w:kern w:val="0"/>
          <w:sz w:val="24"/>
        </w:rPr>
        <w:t xml:space="preserve"> </w:t>
      </w:r>
    </w:p>
    <w:p w14:paraId="4E59DD20">
      <w:pPr>
        <w:topLinePunct/>
        <w:adjustRightInd w:val="0"/>
        <w:snapToGrid w:val="0"/>
        <w:spacing w:line="360" w:lineRule="auto"/>
        <w:ind w:firstLine="496" w:firstLineChars="200"/>
        <w:rPr>
          <w:snapToGrid w:val="0"/>
          <w:spacing w:val="4"/>
          <w:kern w:val="0"/>
          <w:sz w:val="24"/>
        </w:rPr>
      </w:pPr>
      <w:r>
        <w:rPr>
          <w:snapToGrid w:val="0"/>
          <w:spacing w:val="4"/>
          <w:kern w:val="0"/>
          <w:sz w:val="24"/>
        </w:rPr>
        <w:t>（8）投资控制目标：</w:t>
      </w:r>
      <w:r>
        <w:rPr>
          <w:snapToGrid w:val="0"/>
          <w:spacing w:val="4"/>
          <w:kern w:val="0"/>
          <w:sz w:val="24"/>
          <w:u w:val="single"/>
        </w:rPr>
        <w:t>严格控制</w:t>
      </w:r>
      <w:r>
        <w:rPr>
          <w:rFonts w:hint="eastAsia"/>
          <w:snapToGrid w:val="0"/>
          <w:spacing w:val="4"/>
          <w:kern w:val="0"/>
          <w:sz w:val="24"/>
          <w:u w:val="single"/>
        </w:rPr>
        <w:t>各子项工程</w:t>
      </w:r>
      <w:r>
        <w:rPr>
          <w:snapToGrid w:val="0"/>
          <w:spacing w:val="4"/>
          <w:kern w:val="0"/>
          <w:sz w:val="24"/>
          <w:u w:val="single"/>
        </w:rPr>
        <w:t>投资目标，所监理项目的建安工程费的结算总金额控制在经有权审批部门审批的概算金额内且不超过所监理施工项目的合同价（含补充协议）。</w:t>
      </w:r>
      <w:r>
        <w:rPr>
          <w:snapToGrid w:val="0"/>
          <w:spacing w:val="4"/>
          <w:kern w:val="0"/>
          <w:sz w:val="24"/>
        </w:rPr>
        <w:t xml:space="preserve"> </w:t>
      </w:r>
    </w:p>
    <w:p w14:paraId="1D796F1E">
      <w:pPr>
        <w:topLinePunct/>
        <w:adjustRightInd w:val="0"/>
        <w:snapToGrid w:val="0"/>
        <w:spacing w:line="360" w:lineRule="auto"/>
        <w:ind w:firstLine="498" w:firstLineChars="200"/>
        <w:outlineLvl w:val="1"/>
        <w:rPr>
          <w:b/>
          <w:snapToGrid w:val="0"/>
          <w:spacing w:val="4"/>
          <w:kern w:val="0"/>
          <w:sz w:val="24"/>
        </w:rPr>
      </w:pPr>
      <w:r>
        <w:rPr>
          <w:b/>
          <w:snapToGrid w:val="0"/>
          <w:spacing w:val="4"/>
          <w:kern w:val="0"/>
          <w:sz w:val="24"/>
        </w:rPr>
        <w:t>第二条  监理服务范围</w:t>
      </w:r>
    </w:p>
    <w:p w14:paraId="385B063E">
      <w:pPr>
        <w:topLinePunct/>
        <w:adjustRightInd w:val="0"/>
        <w:snapToGrid w:val="0"/>
        <w:spacing w:line="360" w:lineRule="auto"/>
        <w:ind w:firstLine="498" w:firstLineChars="200"/>
        <w:outlineLvl w:val="2"/>
        <w:rPr>
          <w:b/>
          <w:snapToGrid w:val="0"/>
          <w:spacing w:val="4"/>
          <w:kern w:val="0"/>
          <w:sz w:val="24"/>
        </w:rPr>
      </w:pPr>
      <w:r>
        <w:rPr>
          <w:b/>
          <w:snapToGrid w:val="0"/>
          <w:spacing w:val="4"/>
          <w:kern w:val="0"/>
          <w:sz w:val="24"/>
        </w:rPr>
        <w:t>2.1  监理范围</w:t>
      </w:r>
    </w:p>
    <w:p w14:paraId="004B5F32">
      <w:pPr>
        <w:spacing w:line="360" w:lineRule="auto"/>
        <w:ind w:firstLine="480" w:firstLineChars="200"/>
        <w:jc w:val="left"/>
        <w:rPr>
          <w:sz w:val="24"/>
        </w:rPr>
      </w:pPr>
      <w:r>
        <w:rPr>
          <w:rFonts w:hint="eastAsia"/>
          <w:sz w:val="24"/>
        </w:rPr>
        <w:t>本项目监理服务负责本项目立项（含可研）范围所有工程（造价编控服务、施工图技术审查服务除外）内容设计阶段、施工准备阶段、施工阶段、工程收尾阶段（包括竣工验收、整改、工程移交及工程结算）及工程质量保修期阶段的质量控制、安全生产监督管理、投资控制、进度控制、合同管理、信息收集管理、组织协调等全过程监理工作（含项目管理）工作，包括但不限于：</w:t>
      </w:r>
    </w:p>
    <w:p w14:paraId="50DE4361">
      <w:pPr>
        <w:spacing w:line="360" w:lineRule="auto"/>
        <w:ind w:firstLine="480" w:firstLineChars="200"/>
        <w:jc w:val="left"/>
        <w:rPr>
          <w:sz w:val="24"/>
        </w:rPr>
      </w:pPr>
      <w:r>
        <w:rPr>
          <w:rFonts w:hint="eastAsia"/>
          <w:sz w:val="24"/>
        </w:rPr>
        <w:t>①计划及统筹管理：统筹及协调项目各层面、各参建单位、各项工作的关系；编制项目总控计划，经委托人审定后，跟踪项目总控计划实时情况；如计划出现偏差，分析偏差原因，提出解决方案报委托人审批，并根据委托人批准的意见监督落实。</w:t>
      </w:r>
    </w:p>
    <w:p w14:paraId="239C4983">
      <w:pPr>
        <w:spacing w:line="360" w:lineRule="auto"/>
        <w:ind w:firstLine="480" w:firstLineChars="200"/>
        <w:jc w:val="left"/>
        <w:rPr>
          <w:sz w:val="24"/>
        </w:rPr>
      </w:pPr>
      <w:r>
        <w:rPr>
          <w:rFonts w:hint="eastAsia"/>
          <w:sz w:val="24"/>
        </w:rPr>
        <w:t>②配合委托人组织施工总承包单位完成工程开工及验收所需的各项报监、报建、报验手续（必要时）。</w:t>
      </w:r>
    </w:p>
    <w:p w14:paraId="7EBFBA62">
      <w:pPr>
        <w:spacing w:line="360" w:lineRule="auto"/>
        <w:ind w:firstLine="480" w:firstLineChars="200"/>
        <w:jc w:val="left"/>
        <w:rPr>
          <w:sz w:val="24"/>
        </w:rPr>
      </w:pPr>
      <w:r>
        <w:rPr>
          <w:rFonts w:hint="eastAsia"/>
          <w:sz w:val="24"/>
        </w:rPr>
        <w:t>③对工程设计质量、进度、投资控制、合同、信息管理等进行全过程管理，协助委托人制定设计管理工作各项制度，明确设计管理的工作目标、管理模式、管理方法等，使工程项目建设达到预期的质量、工期和经济目标；参与设计方案评审或专家论证会，提供相关优化意见，跟踪方案设计优化意见的落实及修改情况，并跟进设计工作进度，定期向委托人提交设计管理专项报告。</w:t>
      </w:r>
    </w:p>
    <w:p w14:paraId="5479AFE7">
      <w:pPr>
        <w:spacing w:line="360" w:lineRule="auto"/>
        <w:ind w:firstLine="480" w:firstLineChars="200"/>
        <w:jc w:val="left"/>
        <w:rPr>
          <w:sz w:val="24"/>
        </w:rPr>
      </w:pPr>
      <w:r>
        <w:rPr>
          <w:rFonts w:hint="eastAsia"/>
          <w:sz w:val="24"/>
        </w:rPr>
        <w:t>④按委托人的要求提前进场参与开工前期的准备和筹划工作，协助委托人制定各项工程管理办法及制度。</w:t>
      </w:r>
    </w:p>
    <w:p w14:paraId="7EE2033C">
      <w:pPr>
        <w:spacing w:line="360" w:lineRule="auto"/>
        <w:ind w:firstLine="480" w:firstLineChars="200"/>
        <w:jc w:val="left"/>
        <w:rPr>
          <w:sz w:val="24"/>
        </w:rPr>
      </w:pPr>
      <w:r>
        <w:rPr>
          <w:rFonts w:hint="eastAsia"/>
          <w:sz w:val="24"/>
        </w:rPr>
        <w:t>⑤为工程建设各项内容实施提供监理（含项目管理）服务，包括但不限于以下内容：原建筑物拆除工程、勘察工程（如有）、超前钻（如有）工程旁站监理，施工准备阶段、施工阶段、工程收尾阶段（包括但不限于竣工验收、整改、工程移交、工程结算等）、工程质量保修阶段的质量控制、职业健康安全及环境监督管理、投资控制、进度控制、合同管理、信息管理、组织协调、设备监造以及协调委托人和工程建设有关各方的工作关系等。</w:t>
      </w:r>
    </w:p>
    <w:p w14:paraId="1F8B5C4C">
      <w:pPr>
        <w:spacing w:line="360" w:lineRule="auto"/>
        <w:ind w:firstLine="480" w:firstLineChars="200"/>
        <w:jc w:val="left"/>
        <w:rPr>
          <w:sz w:val="24"/>
        </w:rPr>
      </w:pPr>
      <w:r>
        <w:rPr>
          <w:rFonts w:hint="eastAsia"/>
          <w:sz w:val="24"/>
        </w:rPr>
        <w:t>⑥督促并检查施工总承包单位运用BIM技术完成相关工作（包括各专业模型创建及深化、管线综合、场地布置模拟、材料设备工程量统计等）并收集相关应用成果；督促施工总承包单位在项目不同阶段基于各BIM模型进行可视化交底、施工；监督施工总承包单位对BIM模型进行实时更新与维护，准确反映施工实际情况；根据项目实际进度等情况制定BIM实施计划并实时调整，为项目部署BIM工作和制定BIM工作决策向委托人提供建议和参考。监督施工总承包单位在安全文明施工和智慧工地充分应用BIM技术。协助委托人对BIM应用成果进行验收；督促施工总承包单位按要求提交模型、资料等，并负责归档</w:t>
      </w:r>
      <w:r>
        <w:rPr>
          <w:sz w:val="24"/>
        </w:rPr>
        <w:t>。</w:t>
      </w:r>
    </w:p>
    <w:p w14:paraId="66926345">
      <w:pPr>
        <w:adjustRightInd w:val="0"/>
        <w:snapToGrid w:val="0"/>
        <w:spacing w:line="360" w:lineRule="auto"/>
        <w:ind w:firstLine="482" w:firstLineChars="200"/>
        <w:outlineLvl w:val="2"/>
        <w:rPr>
          <w:bCs/>
          <w:snapToGrid w:val="0"/>
          <w:kern w:val="0"/>
          <w:sz w:val="24"/>
        </w:rPr>
      </w:pPr>
      <w:r>
        <w:rPr>
          <w:b/>
          <w:bCs/>
          <w:snapToGrid w:val="0"/>
          <w:kern w:val="0"/>
          <w:sz w:val="24"/>
        </w:rPr>
        <w:t>2.</w:t>
      </w:r>
      <w:r>
        <w:rPr>
          <w:rFonts w:hint="eastAsia"/>
          <w:b/>
          <w:bCs/>
          <w:snapToGrid w:val="0"/>
          <w:kern w:val="0"/>
          <w:sz w:val="24"/>
        </w:rPr>
        <w:t>2</w:t>
      </w:r>
      <w:r>
        <w:rPr>
          <w:bCs/>
          <w:snapToGrid w:val="0"/>
          <w:kern w:val="0"/>
          <w:sz w:val="24"/>
        </w:rPr>
        <w:t xml:space="preserve">  </w:t>
      </w:r>
      <w:r>
        <w:rPr>
          <w:b/>
          <w:bCs/>
          <w:sz w:val="24"/>
        </w:rPr>
        <w:t>监理（含项目管理）</w:t>
      </w:r>
      <w:r>
        <w:rPr>
          <w:b/>
          <w:bCs/>
          <w:snapToGrid w:val="0"/>
          <w:kern w:val="0"/>
          <w:sz w:val="24"/>
        </w:rPr>
        <w:t>服务期</w:t>
      </w:r>
    </w:p>
    <w:p w14:paraId="7D234B51">
      <w:pPr>
        <w:topLinePunct/>
        <w:adjustRightInd w:val="0"/>
        <w:snapToGrid w:val="0"/>
        <w:spacing w:line="360" w:lineRule="auto"/>
        <w:ind w:firstLine="496" w:firstLineChars="200"/>
        <w:rPr>
          <w:snapToGrid w:val="0"/>
          <w:spacing w:val="4"/>
          <w:kern w:val="0"/>
          <w:sz w:val="24"/>
        </w:rPr>
      </w:pPr>
      <w:r>
        <w:rPr>
          <w:rFonts w:hint="eastAsia"/>
          <w:snapToGrid w:val="0"/>
          <w:spacing w:val="4"/>
          <w:kern w:val="0"/>
          <w:sz w:val="24"/>
        </w:rPr>
        <w:t>监理（含项目管理）服务期从监理人完成合同签订后或参加由委托人组织的进场会开始起算，至本项目工程质量保修期届满且项目竣工结算完成时止，包括项目的设计阶段、施工准备阶段、施工阶段、工程收尾阶段、竣工结算阶段、工程交付阶段等全过程监理（含项目管理）服务。</w:t>
      </w:r>
    </w:p>
    <w:p w14:paraId="4569B865">
      <w:pPr>
        <w:topLinePunct/>
        <w:adjustRightInd w:val="0"/>
        <w:snapToGrid w:val="0"/>
        <w:spacing w:line="360" w:lineRule="auto"/>
        <w:ind w:firstLine="496" w:firstLineChars="200"/>
        <w:rPr>
          <w:snapToGrid w:val="0"/>
          <w:spacing w:val="4"/>
          <w:kern w:val="0"/>
          <w:sz w:val="24"/>
        </w:rPr>
      </w:pPr>
      <w:r>
        <w:rPr>
          <w:rFonts w:hint="eastAsia"/>
          <w:snapToGrid w:val="0"/>
          <w:spacing w:val="4"/>
          <w:kern w:val="0"/>
          <w:sz w:val="24"/>
        </w:rPr>
        <w:t>监理服务期内，监理人的项目总监、总监代表、专业监理工程师、专职安全员、资料员须在工程现场开展监理服务工作。</w:t>
      </w:r>
    </w:p>
    <w:p w14:paraId="1EEA6203">
      <w:pPr>
        <w:topLinePunct/>
        <w:adjustRightInd w:val="0"/>
        <w:snapToGrid w:val="0"/>
        <w:spacing w:line="360" w:lineRule="auto"/>
        <w:ind w:firstLine="498" w:firstLineChars="200"/>
        <w:outlineLvl w:val="1"/>
        <w:rPr>
          <w:b/>
          <w:snapToGrid w:val="0"/>
          <w:spacing w:val="4"/>
          <w:kern w:val="0"/>
          <w:sz w:val="24"/>
        </w:rPr>
      </w:pPr>
      <w:r>
        <w:rPr>
          <w:b/>
          <w:snapToGrid w:val="0"/>
          <w:spacing w:val="4"/>
          <w:kern w:val="0"/>
          <w:sz w:val="24"/>
        </w:rPr>
        <w:t>第三条  监理（含项目管理）酬金（以下称监理酬金）及其支付方式</w:t>
      </w:r>
    </w:p>
    <w:p w14:paraId="6F8DF054">
      <w:pPr>
        <w:topLinePunct/>
        <w:adjustRightInd w:val="0"/>
        <w:snapToGrid w:val="0"/>
        <w:spacing w:line="360" w:lineRule="auto"/>
        <w:ind w:firstLine="498" w:firstLineChars="200"/>
        <w:outlineLvl w:val="2"/>
        <w:rPr>
          <w:b/>
          <w:bCs/>
          <w:snapToGrid w:val="0"/>
          <w:spacing w:val="4"/>
          <w:kern w:val="0"/>
          <w:sz w:val="24"/>
        </w:rPr>
      </w:pPr>
      <w:r>
        <w:rPr>
          <w:b/>
          <w:bCs/>
          <w:snapToGrid w:val="0"/>
          <w:spacing w:val="4"/>
          <w:kern w:val="0"/>
          <w:sz w:val="24"/>
        </w:rPr>
        <w:t xml:space="preserve">3.1  </w:t>
      </w:r>
      <w:r>
        <w:rPr>
          <w:b/>
          <w:snapToGrid w:val="0"/>
          <w:spacing w:val="4"/>
          <w:kern w:val="0"/>
          <w:sz w:val="24"/>
        </w:rPr>
        <w:t>监理酬金</w:t>
      </w:r>
      <w:r>
        <w:rPr>
          <w:b/>
          <w:bCs/>
          <w:snapToGrid w:val="0"/>
          <w:spacing w:val="4"/>
          <w:kern w:val="0"/>
          <w:sz w:val="24"/>
        </w:rPr>
        <w:t>的计取</w:t>
      </w:r>
    </w:p>
    <w:p w14:paraId="51E2CA80">
      <w:pPr>
        <w:topLinePunct/>
        <w:adjustRightInd w:val="0"/>
        <w:snapToGrid w:val="0"/>
        <w:spacing w:line="360" w:lineRule="auto"/>
        <w:ind w:firstLine="498" w:firstLineChars="200"/>
        <w:rPr>
          <w:bCs/>
          <w:snapToGrid w:val="0"/>
          <w:spacing w:val="4"/>
          <w:kern w:val="0"/>
          <w:sz w:val="24"/>
        </w:rPr>
      </w:pPr>
      <w:r>
        <w:rPr>
          <w:b/>
          <w:snapToGrid w:val="0"/>
          <w:spacing w:val="4"/>
          <w:kern w:val="0"/>
          <w:sz w:val="24"/>
        </w:rPr>
        <w:t>3.1.1</w:t>
      </w:r>
      <w:r>
        <w:rPr>
          <w:snapToGrid w:val="0"/>
          <w:spacing w:val="4"/>
          <w:kern w:val="0"/>
          <w:sz w:val="24"/>
        </w:rPr>
        <w:t xml:space="preserve">  </w:t>
      </w:r>
      <w:r>
        <w:rPr>
          <w:bCs/>
          <w:snapToGrid w:val="0"/>
          <w:spacing w:val="4"/>
          <w:kern w:val="0"/>
          <w:sz w:val="24"/>
        </w:rPr>
        <w:t>结合本合同工程的特点，委托人、监理人一致同意按如下约定计取监理酬金：</w:t>
      </w:r>
    </w:p>
    <w:p w14:paraId="4148FB1E">
      <w:pPr>
        <w:topLinePunct/>
        <w:adjustRightInd w:val="0"/>
        <w:snapToGrid w:val="0"/>
        <w:spacing w:line="360" w:lineRule="auto"/>
        <w:ind w:firstLine="496" w:firstLineChars="200"/>
        <w:rPr>
          <w:snapToGrid w:val="0"/>
          <w:spacing w:val="4"/>
          <w:kern w:val="0"/>
          <w:sz w:val="24"/>
        </w:rPr>
      </w:pPr>
      <w:r>
        <w:rPr>
          <w:snapToGrid w:val="0"/>
          <w:spacing w:val="4"/>
          <w:kern w:val="0"/>
          <w:sz w:val="24"/>
        </w:rPr>
        <w:t>本合同</w:t>
      </w:r>
      <w:r>
        <w:rPr>
          <w:rFonts w:hint="eastAsia" w:ascii="Times New Roman" w:hAnsi="Times New Roman"/>
          <w:snapToGrid w:val="0"/>
          <w:spacing w:val="4"/>
          <w:kern w:val="0"/>
          <w:sz w:val="24"/>
        </w:rPr>
        <w:t>监理费率为</w:t>
      </w:r>
      <w:r>
        <w:rPr>
          <w:rFonts w:hint="eastAsia"/>
          <w:snapToGrid w:val="0"/>
          <w:spacing w:val="4"/>
          <w:kern w:val="0"/>
          <w:sz w:val="24"/>
          <w:u w:val="single"/>
        </w:rPr>
        <w:t xml:space="preserve">       </w:t>
      </w:r>
      <w:r>
        <w:rPr>
          <w:rFonts w:hint="eastAsia" w:ascii="Times New Roman" w:hAnsi="Times New Roman"/>
          <w:snapToGrid w:val="0"/>
          <w:spacing w:val="4"/>
          <w:kern w:val="0"/>
          <w:sz w:val="24"/>
        </w:rPr>
        <w:t>%（保留两位小数），病房改造建设及能力提升项目暂定建筑安装工程费为</w:t>
      </w:r>
      <w:r>
        <w:rPr>
          <w:rFonts w:hint="eastAsia" w:ascii="Times New Roman" w:hAnsi="Times New Roman"/>
          <w:snapToGrid w:val="0"/>
          <w:spacing w:val="4"/>
          <w:kern w:val="0"/>
          <w:sz w:val="24"/>
          <w:u w:val="single"/>
        </w:rPr>
        <w:t>20526.31</w:t>
      </w:r>
      <w:r>
        <w:rPr>
          <w:rFonts w:hint="eastAsia" w:ascii="Times New Roman" w:hAnsi="Times New Roman"/>
          <w:snapToGrid w:val="0"/>
          <w:spacing w:val="4"/>
          <w:kern w:val="0"/>
          <w:sz w:val="24"/>
        </w:rPr>
        <w:t>万元</w:t>
      </w:r>
      <w:r>
        <w:rPr>
          <w:rFonts w:hint="eastAsia" w:ascii="宋体" w:hAnsi="宋体" w:cs="宋体"/>
          <w:kern w:val="0"/>
          <w:sz w:val="24"/>
        </w:rPr>
        <w:t>（初设概算批复金额）</w:t>
      </w:r>
      <w:r>
        <w:rPr>
          <w:rFonts w:hint="eastAsia" w:ascii="Times New Roman" w:hAnsi="Times New Roman"/>
          <w:snapToGrid w:val="0"/>
          <w:spacing w:val="4"/>
          <w:kern w:val="0"/>
          <w:sz w:val="24"/>
        </w:rPr>
        <w:t>，监理酬金暂定金额为</w:t>
      </w:r>
      <w:r>
        <w:rPr>
          <w:rFonts w:hint="eastAsia" w:ascii="Times New Roman" w:hAnsi="Times New Roman"/>
          <w:snapToGrid w:val="0"/>
          <w:spacing w:val="4"/>
          <w:kern w:val="0"/>
          <w:sz w:val="24"/>
          <w:u w:val="single"/>
        </w:rPr>
        <w:t xml:space="preserve">           </w:t>
      </w:r>
      <w:r>
        <w:rPr>
          <w:rFonts w:hint="eastAsia" w:ascii="Times New Roman" w:hAnsi="Times New Roman"/>
          <w:snapToGrid w:val="0"/>
          <w:spacing w:val="4"/>
          <w:kern w:val="0"/>
          <w:sz w:val="24"/>
        </w:rPr>
        <w:t>万元（中标价，即监理酬金暂定金额=建筑安装工程费</w:t>
      </w:r>
      <w:r>
        <w:rPr>
          <w:rFonts w:hint="eastAsia"/>
          <w:snapToGrid w:val="0"/>
          <w:spacing w:val="4"/>
          <w:kern w:val="0"/>
          <w:sz w:val="24"/>
        </w:rPr>
        <w:t>（概算批复为准）</w:t>
      </w:r>
      <w:r>
        <w:rPr>
          <w:rFonts w:hint="eastAsia" w:ascii="Times New Roman" w:hAnsi="Times New Roman"/>
          <w:snapToGrid w:val="0"/>
          <w:spacing w:val="4"/>
          <w:kern w:val="0"/>
          <w:sz w:val="24"/>
        </w:rPr>
        <w:t>*中标监理费率）</w:t>
      </w:r>
      <w:r>
        <w:rPr>
          <w:snapToGrid w:val="0"/>
          <w:spacing w:val="4"/>
          <w:kern w:val="0"/>
          <w:sz w:val="24"/>
        </w:rPr>
        <w:t>。</w:t>
      </w:r>
    </w:p>
    <w:p w14:paraId="6C2D99D9">
      <w:pPr>
        <w:topLinePunct/>
        <w:adjustRightInd w:val="0"/>
        <w:snapToGrid w:val="0"/>
        <w:spacing w:line="360" w:lineRule="auto"/>
        <w:ind w:firstLine="498" w:firstLineChars="200"/>
        <w:rPr>
          <w:bCs/>
          <w:snapToGrid w:val="0"/>
          <w:spacing w:val="4"/>
          <w:kern w:val="0"/>
          <w:sz w:val="24"/>
        </w:rPr>
      </w:pPr>
      <w:r>
        <w:rPr>
          <w:b/>
          <w:bCs/>
          <w:snapToGrid w:val="0"/>
          <w:spacing w:val="4"/>
          <w:kern w:val="0"/>
          <w:sz w:val="24"/>
        </w:rPr>
        <w:t>3.1.2</w:t>
      </w:r>
      <w:r>
        <w:rPr>
          <w:bCs/>
          <w:snapToGrid w:val="0"/>
          <w:spacing w:val="4"/>
          <w:kern w:val="0"/>
          <w:sz w:val="24"/>
        </w:rPr>
        <w:t xml:space="preserve">  </w:t>
      </w:r>
      <w:r>
        <w:rPr>
          <w:rFonts w:hint="eastAsia"/>
          <w:bCs/>
          <w:snapToGrid w:val="0"/>
          <w:spacing w:val="4"/>
          <w:kern w:val="0"/>
          <w:sz w:val="24"/>
        </w:rPr>
        <w:t>监理酬金结算时按审批部门审批的本项目监理人实际服务范围内所有单位工程结算金额乘以本项目中标监理费率计取。如监理酬金最终结算金额（经有权审核部门审定）超出概算批复的监理费用，以概算批复的监理费用为准。</w:t>
      </w:r>
    </w:p>
    <w:p w14:paraId="32024D01">
      <w:pPr>
        <w:topLinePunct/>
        <w:adjustRightInd w:val="0"/>
        <w:snapToGrid w:val="0"/>
        <w:spacing w:line="360" w:lineRule="auto"/>
        <w:ind w:firstLine="498" w:firstLineChars="200"/>
        <w:rPr>
          <w:bCs/>
          <w:snapToGrid w:val="0"/>
          <w:spacing w:val="4"/>
          <w:kern w:val="44"/>
          <w:sz w:val="24"/>
        </w:rPr>
      </w:pPr>
      <w:r>
        <w:rPr>
          <w:b/>
          <w:bCs/>
          <w:snapToGrid w:val="0"/>
          <w:spacing w:val="4"/>
          <w:kern w:val="0"/>
          <w:sz w:val="24"/>
        </w:rPr>
        <w:t>3.1.</w:t>
      </w:r>
      <w:r>
        <w:rPr>
          <w:rFonts w:hint="eastAsia"/>
          <w:b/>
          <w:bCs/>
          <w:snapToGrid w:val="0"/>
          <w:spacing w:val="4"/>
          <w:kern w:val="0"/>
          <w:sz w:val="24"/>
        </w:rPr>
        <w:t>3</w:t>
      </w:r>
      <w:r>
        <w:rPr>
          <w:bCs/>
          <w:snapToGrid w:val="0"/>
          <w:spacing w:val="4"/>
          <w:kern w:val="0"/>
          <w:sz w:val="24"/>
        </w:rPr>
        <w:t xml:space="preserve">  </w:t>
      </w:r>
      <w:r>
        <w:rPr>
          <w:rFonts w:hint="eastAsia"/>
          <w:bCs/>
          <w:snapToGrid w:val="0"/>
          <w:spacing w:val="4"/>
          <w:kern w:val="0"/>
          <w:sz w:val="24"/>
        </w:rPr>
        <w:t>监理酬金最终结算金额（经有权审核部门审定）不能超过合同监理酬金暂定金额</w:t>
      </w:r>
      <w:r>
        <w:rPr>
          <w:bCs/>
          <w:snapToGrid w:val="0"/>
          <w:spacing w:val="4"/>
          <w:kern w:val="44"/>
          <w:sz w:val="24"/>
        </w:rPr>
        <w:t>。</w:t>
      </w:r>
    </w:p>
    <w:p w14:paraId="49F3F1E0">
      <w:pPr>
        <w:tabs>
          <w:tab w:val="left" w:pos="4680"/>
        </w:tabs>
        <w:topLinePunct/>
        <w:adjustRightInd w:val="0"/>
        <w:snapToGrid w:val="0"/>
        <w:spacing w:line="360" w:lineRule="auto"/>
        <w:ind w:firstLine="498" w:firstLineChars="200"/>
        <w:rPr>
          <w:bCs/>
          <w:snapToGrid w:val="0"/>
          <w:spacing w:val="4"/>
          <w:kern w:val="0"/>
          <w:sz w:val="24"/>
        </w:rPr>
      </w:pPr>
      <w:r>
        <w:rPr>
          <w:b/>
          <w:bCs/>
          <w:snapToGrid w:val="0"/>
          <w:spacing w:val="4"/>
          <w:kern w:val="0"/>
          <w:sz w:val="24"/>
        </w:rPr>
        <w:t>3.1.</w:t>
      </w:r>
      <w:r>
        <w:rPr>
          <w:rFonts w:hint="eastAsia"/>
          <w:b/>
          <w:bCs/>
          <w:snapToGrid w:val="0"/>
          <w:spacing w:val="4"/>
          <w:kern w:val="0"/>
          <w:sz w:val="24"/>
        </w:rPr>
        <w:t>4</w:t>
      </w:r>
      <w:r>
        <w:rPr>
          <w:bCs/>
          <w:snapToGrid w:val="0"/>
          <w:spacing w:val="4"/>
          <w:kern w:val="0"/>
          <w:sz w:val="24"/>
        </w:rPr>
        <w:t xml:space="preserve">  在本合同约定的监理范围内，监理人不得以任何理由要求对附加工作和额外工作计取监理酬金。</w:t>
      </w:r>
    </w:p>
    <w:p w14:paraId="77FA0017">
      <w:pPr>
        <w:topLinePunct/>
        <w:adjustRightInd w:val="0"/>
        <w:snapToGrid w:val="0"/>
        <w:spacing w:line="360" w:lineRule="auto"/>
        <w:ind w:firstLine="498" w:firstLineChars="200"/>
        <w:rPr>
          <w:bCs/>
          <w:snapToGrid w:val="0"/>
          <w:spacing w:val="4"/>
          <w:kern w:val="0"/>
          <w:sz w:val="24"/>
        </w:rPr>
      </w:pPr>
      <w:r>
        <w:rPr>
          <w:b/>
          <w:bCs/>
          <w:snapToGrid w:val="0"/>
          <w:spacing w:val="4"/>
          <w:kern w:val="0"/>
          <w:sz w:val="24"/>
        </w:rPr>
        <w:t>3.1.</w:t>
      </w:r>
      <w:r>
        <w:rPr>
          <w:rFonts w:hint="eastAsia"/>
          <w:b/>
          <w:bCs/>
          <w:snapToGrid w:val="0"/>
          <w:spacing w:val="4"/>
          <w:kern w:val="0"/>
          <w:sz w:val="24"/>
        </w:rPr>
        <w:t>5</w:t>
      </w:r>
      <w:r>
        <w:rPr>
          <w:bCs/>
          <w:snapToGrid w:val="0"/>
          <w:spacing w:val="4"/>
          <w:kern w:val="0"/>
          <w:sz w:val="24"/>
        </w:rPr>
        <w:t xml:space="preserve">  本合同约定的服务期间，其各种费率和费用不因物价变动导致监理酬金的增减而给予弥补或调整，双方另有约定的除外。</w:t>
      </w:r>
    </w:p>
    <w:p w14:paraId="76AAE968">
      <w:pPr>
        <w:topLinePunct/>
        <w:adjustRightInd w:val="0"/>
        <w:snapToGrid w:val="0"/>
        <w:spacing w:line="360" w:lineRule="auto"/>
        <w:ind w:firstLine="498" w:firstLineChars="200"/>
        <w:rPr>
          <w:bCs/>
          <w:snapToGrid w:val="0"/>
          <w:spacing w:val="4"/>
          <w:kern w:val="0"/>
          <w:sz w:val="24"/>
        </w:rPr>
      </w:pPr>
      <w:r>
        <w:rPr>
          <w:b/>
          <w:bCs/>
          <w:snapToGrid w:val="0"/>
          <w:spacing w:val="4"/>
          <w:kern w:val="0"/>
          <w:sz w:val="24"/>
        </w:rPr>
        <w:t>3.1.</w:t>
      </w:r>
      <w:r>
        <w:rPr>
          <w:rFonts w:hint="eastAsia"/>
          <w:b/>
          <w:bCs/>
          <w:snapToGrid w:val="0"/>
          <w:spacing w:val="4"/>
          <w:kern w:val="0"/>
          <w:sz w:val="24"/>
        </w:rPr>
        <w:t>6</w:t>
      </w:r>
      <w:r>
        <w:rPr>
          <w:bCs/>
          <w:snapToGrid w:val="0"/>
          <w:spacing w:val="4"/>
          <w:kern w:val="0"/>
          <w:sz w:val="24"/>
        </w:rPr>
        <w:t xml:space="preserve">  在本合同约定的监理范围内，非因监理人原因造成工程延期，致使监理服务期出现延长，监理人的责任期也应相应延长，本合同监理酬金总额</w:t>
      </w:r>
      <w:r>
        <w:rPr>
          <w:rFonts w:hint="eastAsia"/>
          <w:bCs/>
          <w:snapToGrid w:val="0"/>
          <w:spacing w:val="4"/>
          <w:kern w:val="0"/>
          <w:sz w:val="24"/>
        </w:rPr>
        <w:t>不得增加</w:t>
      </w:r>
      <w:r>
        <w:rPr>
          <w:bCs/>
          <w:snapToGrid w:val="0"/>
          <w:spacing w:val="4"/>
          <w:kern w:val="0"/>
          <w:sz w:val="24"/>
        </w:rPr>
        <w:t>，双方另有约定的除外。</w:t>
      </w:r>
    </w:p>
    <w:p w14:paraId="54F5BA24">
      <w:pPr>
        <w:topLinePunct/>
        <w:adjustRightInd w:val="0"/>
        <w:snapToGrid w:val="0"/>
        <w:spacing w:line="360" w:lineRule="auto"/>
        <w:ind w:firstLine="498" w:firstLineChars="200"/>
        <w:rPr>
          <w:bCs/>
          <w:snapToGrid w:val="0"/>
          <w:spacing w:val="4"/>
          <w:kern w:val="0"/>
          <w:sz w:val="24"/>
        </w:rPr>
      </w:pPr>
      <w:r>
        <w:rPr>
          <w:b/>
          <w:bCs/>
          <w:snapToGrid w:val="0"/>
          <w:spacing w:val="4"/>
          <w:kern w:val="0"/>
          <w:sz w:val="24"/>
        </w:rPr>
        <w:t>3.1.</w:t>
      </w:r>
      <w:r>
        <w:rPr>
          <w:rFonts w:hint="eastAsia"/>
          <w:b/>
          <w:bCs/>
          <w:snapToGrid w:val="0"/>
          <w:spacing w:val="4"/>
          <w:kern w:val="0"/>
          <w:sz w:val="24"/>
        </w:rPr>
        <w:t>7</w:t>
      </w:r>
      <w:r>
        <w:rPr>
          <w:bCs/>
          <w:snapToGrid w:val="0"/>
          <w:spacing w:val="4"/>
          <w:kern w:val="0"/>
          <w:sz w:val="24"/>
        </w:rPr>
        <w:t xml:space="preserve">  如在工程实施期间，由于国家政策变化、政府对本合同工程的计划调整或不可抗力等非委托人主观原因造成本合同工程停建的，则监理人必须接受终止服务并积极配合委托人做好善后工作，按已实际完成的监理服务内容和本合同的相关约定结清监理酬金，监理人不得要求额外的费用及任何形式的补偿。</w:t>
      </w:r>
    </w:p>
    <w:p w14:paraId="0A9BA89E">
      <w:pPr>
        <w:topLinePunct/>
        <w:adjustRightInd w:val="0"/>
        <w:snapToGrid w:val="0"/>
        <w:spacing w:line="360" w:lineRule="auto"/>
        <w:ind w:firstLine="498" w:firstLineChars="200"/>
        <w:rPr>
          <w:bCs/>
          <w:snapToGrid w:val="0"/>
          <w:spacing w:val="4"/>
          <w:kern w:val="0"/>
          <w:sz w:val="24"/>
        </w:rPr>
      </w:pPr>
      <w:r>
        <w:rPr>
          <w:b/>
          <w:bCs/>
          <w:snapToGrid w:val="0"/>
          <w:spacing w:val="4"/>
          <w:kern w:val="0"/>
          <w:sz w:val="24"/>
        </w:rPr>
        <w:t>3.1.</w:t>
      </w:r>
      <w:r>
        <w:rPr>
          <w:rFonts w:hint="eastAsia"/>
          <w:b/>
          <w:bCs/>
          <w:snapToGrid w:val="0"/>
          <w:spacing w:val="4"/>
          <w:kern w:val="0"/>
          <w:sz w:val="24"/>
        </w:rPr>
        <w:t>8</w:t>
      </w:r>
      <w:r>
        <w:rPr>
          <w:bCs/>
          <w:snapToGrid w:val="0"/>
          <w:spacing w:val="4"/>
          <w:kern w:val="0"/>
          <w:sz w:val="24"/>
        </w:rPr>
        <w:t xml:space="preserve">  如在工程实施期间，无论任何原因造成本合同工程中间停工而导致监理人必须二次或多次进出场，监理酬金总额将不会因此而有所</w:t>
      </w:r>
      <w:r>
        <w:rPr>
          <w:rFonts w:hint="eastAsia"/>
          <w:bCs/>
          <w:snapToGrid w:val="0"/>
          <w:spacing w:val="4"/>
          <w:kern w:val="0"/>
          <w:sz w:val="24"/>
        </w:rPr>
        <w:t>增加</w:t>
      </w:r>
      <w:r>
        <w:rPr>
          <w:bCs/>
          <w:snapToGrid w:val="0"/>
          <w:spacing w:val="4"/>
          <w:kern w:val="0"/>
          <w:sz w:val="24"/>
        </w:rPr>
        <w:t>，相关费用亦已包含在本合同监理酬金之中。因工程中间停工而不退场的，监理人可与委托人协商减少驻场监理人员的数量，但本合同监理酬金总额不作调整。</w:t>
      </w:r>
    </w:p>
    <w:p w14:paraId="3AF7AE38">
      <w:pPr>
        <w:topLinePunct/>
        <w:adjustRightInd w:val="0"/>
        <w:snapToGrid w:val="0"/>
        <w:spacing w:line="360" w:lineRule="auto"/>
        <w:ind w:firstLine="498" w:firstLineChars="200"/>
        <w:rPr>
          <w:bCs/>
          <w:snapToGrid w:val="0"/>
          <w:spacing w:val="4"/>
          <w:kern w:val="0"/>
          <w:sz w:val="24"/>
        </w:rPr>
      </w:pPr>
      <w:r>
        <w:rPr>
          <w:b/>
          <w:bCs/>
          <w:snapToGrid w:val="0"/>
          <w:spacing w:val="4"/>
          <w:kern w:val="0"/>
          <w:sz w:val="24"/>
        </w:rPr>
        <w:t>3.1.</w:t>
      </w:r>
      <w:r>
        <w:rPr>
          <w:rFonts w:hint="eastAsia"/>
          <w:b/>
          <w:bCs/>
          <w:snapToGrid w:val="0"/>
          <w:spacing w:val="4"/>
          <w:kern w:val="0"/>
          <w:sz w:val="24"/>
        </w:rPr>
        <w:t>9</w:t>
      </w:r>
      <w:r>
        <w:rPr>
          <w:bCs/>
          <w:snapToGrid w:val="0"/>
          <w:spacing w:val="4"/>
          <w:kern w:val="0"/>
          <w:sz w:val="24"/>
        </w:rPr>
        <w:t xml:space="preserve">  委托人可根据工作需要从监理人的项目部直接抽调造价人员，于工程现场或委托人指定场所协助委托人工作；相关费用已含于监理酬金中。</w:t>
      </w:r>
    </w:p>
    <w:p w14:paraId="7DA04696">
      <w:pPr>
        <w:topLinePunct/>
        <w:adjustRightInd w:val="0"/>
        <w:snapToGrid w:val="0"/>
        <w:spacing w:line="360" w:lineRule="auto"/>
        <w:ind w:firstLine="498" w:firstLineChars="200"/>
        <w:outlineLvl w:val="2"/>
        <w:rPr>
          <w:b/>
          <w:bCs/>
          <w:snapToGrid w:val="0"/>
          <w:spacing w:val="4"/>
          <w:kern w:val="0"/>
          <w:sz w:val="24"/>
        </w:rPr>
      </w:pPr>
      <w:r>
        <w:rPr>
          <w:b/>
          <w:bCs/>
          <w:snapToGrid w:val="0"/>
          <w:spacing w:val="4"/>
          <w:kern w:val="0"/>
          <w:sz w:val="24"/>
        </w:rPr>
        <w:t xml:space="preserve">3.2  </w:t>
      </w:r>
      <w:r>
        <w:rPr>
          <w:rFonts w:hint="eastAsia"/>
          <w:b/>
          <w:snapToGrid w:val="0"/>
          <w:spacing w:val="4"/>
          <w:kern w:val="0"/>
          <w:sz w:val="24"/>
        </w:rPr>
        <w:t>履约保证金</w:t>
      </w:r>
    </w:p>
    <w:p w14:paraId="74F301D7">
      <w:pPr>
        <w:topLinePunct/>
        <w:adjustRightInd w:val="0"/>
        <w:snapToGrid w:val="0"/>
        <w:spacing w:line="360" w:lineRule="auto"/>
        <w:ind w:firstLine="496" w:firstLineChars="200"/>
        <w:rPr>
          <w:bCs/>
          <w:snapToGrid w:val="0"/>
          <w:spacing w:val="4"/>
          <w:kern w:val="0"/>
          <w:sz w:val="24"/>
        </w:rPr>
      </w:pPr>
      <w:r>
        <w:rPr>
          <w:bCs/>
          <w:snapToGrid w:val="0"/>
          <w:spacing w:val="4"/>
          <w:kern w:val="0"/>
          <w:sz w:val="24"/>
        </w:rPr>
        <w:t>3.</w:t>
      </w:r>
      <w:r>
        <w:rPr>
          <w:rFonts w:hint="eastAsia"/>
          <w:bCs/>
          <w:snapToGrid w:val="0"/>
          <w:spacing w:val="4"/>
          <w:kern w:val="0"/>
          <w:sz w:val="24"/>
        </w:rPr>
        <w:t>2</w:t>
      </w:r>
      <w:r>
        <w:rPr>
          <w:bCs/>
          <w:snapToGrid w:val="0"/>
          <w:spacing w:val="4"/>
          <w:kern w:val="0"/>
          <w:sz w:val="24"/>
        </w:rPr>
        <w:t>.1  履约保证金的金额为合同暂定总价的10%，即（大写）</w:t>
      </w:r>
      <w:r>
        <w:rPr>
          <w:rFonts w:hint="eastAsia"/>
          <w:bCs/>
          <w:snapToGrid w:val="0"/>
          <w:spacing w:val="4"/>
          <w:kern w:val="0"/>
          <w:sz w:val="24"/>
          <w:u w:val="single"/>
        </w:rPr>
        <w:t xml:space="preserve">            </w:t>
      </w:r>
      <w:r>
        <w:rPr>
          <w:bCs/>
          <w:snapToGrid w:val="0"/>
          <w:spacing w:val="4"/>
          <w:kern w:val="0"/>
          <w:sz w:val="24"/>
          <w:u w:val="single"/>
        </w:rPr>
        <w:t xml:space="preserve"> </w:t>
      </w:r>
      <w:r>
        <w:rPr>
          <w:bCs/>
          <w:snapToGrid w:val="0"/>
          <w:spacing w:val="4"/>
          <w:kern w:val="0"/>
          <w:sz w:val="24"/>
        </w:rPr>
        <w:t>（小写 ￥</w:t>
      </w:r>
      <w:r>
        <w:rPr>
          <w:rFonts w:hint="eastAsia"/>
          <w:bCs/>
          <w:snapToGrid w:val="0"/>
          <w:spacing w:val="4"/>
          <w:kern w:val="0"/>
          <w:sz w:val="24"/>
          <w:u w:val="single"/>
        </w:rPr>
        <w:t xml:space="preserve">          </w:t>
      </w:r>
      <w:r>
        <w:rPr>
          <w:bCs/>
          <w:snapToGrid w:val="0"/>
          <w:spacing w:val="4"/>
          <w:kern w:val="0"/>
          <w:sz w:val="24"/>
        </w:rPr>
        <w:t>元 ）。</w:t>
      </w:r>
    </w:p>
    <w:p w14:paraId="4E00D54A">
      <w:pPr>
        <w:topLinePunct/>
        <w:adjustRightInd w:val="0"/>
        <w:snapToGrid w:val="0"/>
        <w:spacing w:line="360" w:lineRule="auto"/>
        <w:ind w:firstLine="496" w:firstLineChars="200"/>
        <w:rPr>
          <w:bCs/>
          <w:snapToGrid w:val="0"/>
          <w:spacing w:val="4"/>
          <w:kern w:val="0"/>
          <w:sz w:val="24"/>
        </w:rPr>
      </w:pPr>
      <w:r>
        <w:rPr>
          <w:bCs/>
          <w:snapToGrid w:val="0"/>
          <w:spacing w:val="4"/>
          <w:kern w:val="0"/>
          <w:sz w:val="24"/>
        </w:rPr>
        <w:t>3.</w:t>
      </w:r>
      <w:r>
        <w:rPr>
          <w:rFonts w:hint="eastAsia"/>
          <w:bCs/>
          <w:snapToGrid w:val="0"/>
          <w:spacing w:val="4"/>
          <w:kern w:val="0"/>
          <w:sz w:val="24"/>
        </w:rPr>
        <w:t>2</w:t>
      </w:r>
      <w:r>
        <w:rPr>
          <w:bCs/>
          <w:snapToGrid w:val="0"/>
          <w:spacing w:val="4"/>
          <w:kern w:val="0"/>
          <w:sz w:val="24"/>
        </w:rPr>
        <w:t>.</w:t>
      </w:r>
      <w:r>
        <w:rPr>
          <w:rFonts w:hint="eastAsia"/>
          <w:bCs/>
          <w:snapToGrid w:val="0"/>
          <w:spacing w:val="4"/>
          <w:kern w:val="0"/>
          <w:sz w:val="24"/>
        </w:rPr>
        <w:t>2</w:t>
      </w:r>
      <w:r>
        <w:rPr>
          <w:bCs/>
          <w:snapToGrid w:val="0"/>
          <w:spacing w:val="4"/>
          <w:kern w:val="0"/>
          <w:sz w:val="24"/>
        </w:rPr>
        <w:t xml:space="preserve">  提供履约保证金的时间及履约担保形式</w:t>
      </w:r>
    </w:p>
    <w:p w14:paraId="1E91D1F2">
      <w:pPr>
        <w:topLinePunct/>
        <w:adjustRightInd w:val="0"/>
        <w:snapToGrid w:val="0"/>
        <w:spacing w:line="360" w:lineRule="auto"/>
        <w:ind w:firstLine="496" w:firstLineChars="200"/>
        <w:rPr>
          <w:bCs/>
          <w:snapToGrid w:val="0"/>
          <w:spacing w:val="4"/>
          <w:kern w:val="0"/>
          <w:sz w:val="24"/>
        </w:rPr>
      </w:pPr>
      <w:r>
        <w:rPr>
          <w:bCs/>
          <w:snapToGrid w:val="0"/>
          <w:spacing w:val="4"/>
          <w:kern w:val="0"/>
          <w:sz w:val="24"/>
        </w:rPr>
        <w:t>合同签订后7日内，监理人应以支票、汇票、本票或者金融机构、担保机构出具的保函等非现金形式向甲方提交合同价款10%的履约保证金（含履约保函）。每次</w:t>
      </w:r>
      <w:r>
        <w:rPr>
          <w:rFonts w:hint="eastAsia"/>
          <w:bCs/>
          <w:snapToGrid w:val="0"/>
          <w:spacing w:val="4"/>
          <w:kern w:val="0"/>
          <w:sz w:val="24"/>
        </w:rPr>
        <w:t>委托人</w:t>
      </w:r>
      <w:r>
        <w:rPr>
          <w:bCs/>
          <w:snapToGrid w:val="0"/>
          <w:spacing w:val="4"/>
          <w:kern w:val="0"/>
          <w:sz w:val="24"/>
        </w:rPr>
        <w:t>扣除履约保证金后，监理人均应于【3】个工作日内予以补足全额履约保证金。若是提供履约保函的，保函需保持持续有效，若保函到期而本项目服务未完成（或终止）的，监理人应延长履约保函有效期直至全部服务终止，而相应的费用由监理人自行承担。</w:t>
      </w:r>
    </w:p>
    <w:p w14:paraId="3C025A93">
      <w:pPr>
        <w:topLinePunct/>
        <w:adjustRightInd w:val="0"/>
        <w:snapToGrid w:val="0"/>
        <w:spacing w:line="360" w:lineRule="auto"/>
        <w:ind w:firstLine="496" w:firstLineChars="200"/>
        <w:rPr>
          <w:bCs/>
          <w:snapToGrid w:val="0"/>
          <w:spacing w:val="4"/>
          <w:kern w:val="0"/>
          <w:sz w:val="24"/>
        </w:rPr>
      </w:pPr>
      <w:r>
        <w:rPr>
          <w:bCs/>
          <w:snapToGrid w:val="0"/>
          <w:spacing w:val="4"/>
          <w:kern w:val="0"/>
          <w:sz w:val="24"/>
        </w:rPr>
        <w:t>3.</w:t>
      </w:r>
      <w:r>
        <w:rPr>
          <w:rFonts w:hint="eastAsia"/>
          <w:bCs/>
          <w:snapToGrid w:val="0"/>
          <w:spacing w:val="4"/>
          <w:kern w:val="0"/>
          <w:sz w:val="24"/>
        </w:rPr>
        <w:t>2</w:t>
      </w:r>
      <w:r>
        <w:rPr>
          <w:bCs/>
          <w:snapToGrid w:val="0"/>
          <w:spacing w:val="4"/>
          <w:kern w:val="0"/>
          <w:sz w:val="24"/>
        </w:rPr>
        <w:t>.</w:t>
      </w:r>
      <w:r>
        <w:rPr>
          <w:rFonts w:hint="eastAsia"/>
          <w:bCs/>
          <w:snapToGrid w:val="0"/>
          <w:spacing w:val="4"/>
          <w:kern w:val="0"/>
          <w:sz w:val="24"/>
        </w:rPr>
        <w:t>3</w:t>
      </w:r>
      <w:r>
        <w:rPr>
          <w:bCs/>
          <w:snapToGrid w:val="0"/>
          <w:spacing w:val="4"/>
          <w:kern w:val="0"/>
          <w:sz w:val="24"/>
        </w:rPr>
        <w:t xml:space="preserve">  履约保证金退还时间的约定</w:t>
      </w:r>
    </w:p>
    <w:p w14:paraId="3E0548EE">
      <w:pPr>
        <w:topLinePunct/>
        <w:adjustRightInd w:val="0"/>
        <w:snapToGrid w:val="0"/>
        <w:spacing w:line="360" w:lineRule="auto"/>
        <w:ind w:firstLine="496" w:firstLineChars="200"/>
        <w:rPr>
          <w:b/>
          <w:bCs/>
          <w:snapToGrid w:val="0"/>
          <w:spacing w:val="4"/>
          <w:kern w:val="0"/>
          <w:sz w:val="24"/>
        </w:rPr>
      </w:pPr>
      <w:r>
        <w:rPr>
          <w:bCs/>
          <w:snapToGrid w:val="0"/>
          <w:spacing w:val="4"/>
          <w:kern w:val="0"/>
          <w:sz w:val="24"/>
        </w:rPr>
        <w:t>本合同结算完成，监理人可以向</w:t>
      </w:r>
      <w:r>
        <w:rPr>
          <w:rFonts w:hint="eastAsia"/>
          <w:bCs/>
          <w:snapToGrid w:val="0"/>
          <w:spacing w:val="4"/>
          <w:kern w:val="0"/>
          <w:sz w:val="24"/>
        </w:rPr>
        <w:t>委托人</w:t>
      </w:r>
      <w:r>
        <w:rPr>
          <w:bCs/>
          <w:snapToGrid w:val="0"/>
          <w:spacing w:val="4"/>
          <w:kern w:val="0"/>
          <w:sz w:val="24"/>
        </w:rPr>
        <w:t>申请无息退还履约保证金（含履约保函）。</w:t>
      </w:r>
    </w:p>
    <w:p w14:paraId="5DF50984">
      <w:pPr>
        <w:topLinePunct/>
        <w:adjustRightInd w:val="0"/>
        <w:snapToGrid w:val="0"/>
        <w:spacing w:line="360" w:lineRule="auto"/>
        <w:ind w:firstLine="498" w:firstLineChars="200"/>
        <w:outlineLvl w:val="2"/>
        <w:rPr>
          <w:b/>
          <w:bCs/>
          <w:snapToGrid w:val="0"/>
          <w:spacing w:val="4"/>
          <w:kern w:val="0"/>
          <w:sz w:val="24"/>
        </w:rPr>
      </w:pPr>
      <w:r>
        <w:rPr>
          <w:b/>
          <w:bCs/>
          <w:snapToGrid w:val="0"/>
          <w:spacing w:val="4"/>
          <w:kern w:val="0"/>
          <w:sz w:val="24"/>
        </w:rPr>
        <w:t>3.</w:t>
      </w:r>
      <w:r>
        <w:rPr>
          <w:rFonts w:hint="eastAsia"/>
          <w:b/>
          <w:bCs/>
          <w:snapToGrid w:val="0"/>
          <w:spacing w:val="4"/>
          <w:kern w:val="0"/>
          <w:sz w:val="24"/>
        </w:rPr>
        <w:t>3</w:t>
      </w:r>
      <w:r>
        <w:rPr>
          <w:b/>
          <w:bCs/>
          <w:snapToGrid w:val="0"/>
          <w:spacing w:val="4"/>
          <w:kern w:val="0"/>
          <w:sz w:val="24"/>
        </w:rPr>
        <w:t xml:space="preserve">  </w:t>
      </w:r>
      <w:r>
        <w:rPr>
          <w:b/>
          <w:snapToGrid w:val="0"/>
          <w:spacing w:val="4"/>
          <w:kern w:val="0"/>
          <w:sz w:val="24"/>
        </w:rPr>
        <w:t>监理酬金</w:t>
      </w:r>
      <w:r>
        <w:rPr>
          <w:b/>
          <w:bCs/>
          <w:snapToGrid w:val="0"/>
          <w:spacing w:val="4"/>
          <w:kern w:val="0"/>
          <w:sz w:val="24"/>
        </w:rPr>
        <w:t>的支付</w:t>
      </w:r>
    </w:p>
    <w:p w14:paraId="19BE1C43">
      <w:pPr>
        <w:topLinePunct/>
        <w:adjustRightInd w:val="0"/>
        <w:snapToGrid w:val="0"/>
        <w:spacing w:line="360" w:lineRule="auto"/>
        <w:ind w:firstLine="498" w:firstLineChars="200"/>
        <w:rPr>
          <w:snapToGrid w:val="0"/>
          <w:spacing w:val="4"/>
          <w:kern w:val="0"/>
          <w:sz w:val="24"/>
        </w:rPr>
      </w:pPr>
      <w:r>
        <w:rPr>
          <w:b/>
          <w:bCs/>
          <w:snapToGrid w:val="0"/>
          <w:spacing w:val="4"/>
          <w:kern w:val="0"/>
          <w:sz w:val="24"/>
        </w:rPr>
        <w:t>3.</w:t>
      </w:r>
      <w:r>
        <w:rPr>
          <w:rFonts w:hint="eastAsia"/>
          <w:b/>
          <w:bCs/>
          <w:snapToGrid w:val="0"/>
          <w:spacing w:val="4"/>
          <w:kern w:val="0"/>
          <w:sz w:val="24"/>
        </w:rPr>
        <w:t>3</w:t>
      </w:r>
      <w:r>
        <w:rPr>
          <w:b/>
          <w:bCs/>
          <w:snapToGrid w:val="0"/>
          <w:spacing w:val="4"/>
          <w:kern w:val="0"/>
          <w:sz w:val="24"/>
        </w:rPr>
        <w:t>.1</w:t>
      </w:r>
      <w:r>
        <w:rPr>
          <w:bCs/>
          <w:snapToGrid w:val="0"/>
          <w:spacing w:val="4"/>
          <w:kern w:val="0"/>
          <w:sz w:val="24"/>
        </w:rPr>
        <w:t xml:space="preserve">  监理人必须在本合同签订生效后按招标文件载明的格式向委托人提交履约担保，方可根据完成本合同约定的相关监理工作的情况办理监理酬金支付申请手续</w:t>
      </w:r>
      <w:r>
        <w:rPr>
          <w:snapToGrid w:val="0"/>
          <w:spacing w:val="4"/>
          <w:kern w:val="0"/>
          <w:sz w:val="24"/>
        </w:rPr>
        <w:t>。</w:t>
      </w:r>
    </w:p>
    <w:p w14:paraId="1237D83A">
      <w:pPr>
        <w:topLinePunct/>
        <w:adjustRightInd w:val="0"/>
        <w:snapToGrid w:val="0"/>
        <w:spacing w:line="360" w:lineRule="auto"/>
        <w:ind w:firstLine="498" w:firstLineChars="200"/>
        <w:rPr>
          <w:snapToGrid w:val="0"/>
          <w:spacing w:val="4"/>
          <w:kern w:val="0"/>
          <w:sz w:val="24"/>
        </w:rPr>
      </w:pPr>
      <w:r>
        <w:rPr>
          <w:b/>
          <w:snapToGrid w:val="0"/>
          <w:spacing w:val="4"/>
          <w:kern w:val="0"/>
          <w:sz w:val="24"/>
        </w:rPr>
        <w:t>3.</w:t>
      </w:r>
      <w:r>
        <w:rPr>
          <w:rFonts w:hint="eastAsia"/>
          <w:b/>
          <w:snapToGrid w:val="0"/>
          <w:spacing w:val="4"/>
          <w:kern w:val="0"/>
          <w:sz w:val="24"/>
        </w:rPr>
        <w:t>3</w:t>
      </w:r>
      <w:r>
        <w:rPr>
          <w:b/>
          <w:snapToGrid w:val="0"/>
          <w:spacing w:val="4"/>
          <w:kern w:val="0"/>
          <w:sz w:val="24"/>
        </w:rPr>
        <w:t>.2</w:t>
      </w:r>
      <w:r>
        <w:rPr>
          <w:snapToGrid w:val="0"/>
          <w:spacing w:val="4"/>
          <w:kern w:val="0"/>
          <w:sz w:val="24"/>
        </w:rPr>
        <w:t xml:space="preserve">  监理人每次向委托人申请支付监理酬金时，应向委托人提交相应合法有效的支付申请材料及发票（申请材料及发票要求见</w:t>
      </w:r>
      <w:r>
        <w:rPr>
          <w:bCs/>
          <w:snapToGrid w:val="0"/>
          <w:spacing w:val="4"/>
          <w:kern w:val="0"/>
          <w:sz w:val="24"/>
          <w:u w:val="wave"/>
        </w:rPr>
        <w:t>专用条件中第</w:t>
      </w:r>
      <w:r>
        <w:rPr>
          <w:rFonts w:hint="eastAsia"/>
          <w:bCs/>
          <w:snapToGrid w:val="0"/>
          <w:spacing w:val="4"/>
          <w:kern w:val="0"/>
          <w:sz w:val="24"/>
          <w:u w:val="wave"/>
        </w:rPr>
        <w:t>二十六</w:t>
      </w:r>
      <w:r>
        <w:rPr>
          <w:bCs/>
          <w:snapToGrid w:val="0"/>
          <w:spacing w:val="4"/>
          <w:kern w:val="0"/>
          <w:sz w:val="24"/>
          <w:u w:val="wave"/>
        </w:rPr>
        <w:t>条</w:t>
      </w:r>
      <w:r>
        <w:rPr>
          <w:snapToGrid w:val="0"/>
          <w:spacing w:val="4"/>
          <w:kern w:val="0"/>
          <w:sz w:val="24"/>
        </w:rPr>
        <w:t>），监理人提交支付申请材料及发票完备且无误的，委托人按合同的约定进行审核。有关款项自委托人向监理人提供的银行账号汇出后概由监理人负责。</w:t>
      </w:r>
    </w:p>
    <w:p w14:paraId="4A0CF2F7">
      <w:pPr>
        <w:topLinePunct/>
        <w:adjustRightInd w:val="0"/>
        <w:snapToGrid w:val="0"/>
        <w:spacing w:line="360" w:lineRule="auto"/>
        <w:ind w:firstLine="498" w:firstLineChars="200"/>
        <w:rPr>
          <w:bCs/>
          <w:snapToGrid w:val="0"/>
          <w:spacing w:val="4"/>
          <w:kern w:val="0"/>
          <w:sz w:val="24"/>
        </w:rPr>
      </w:pPr>
      <w:r>
        <w:rPr>
          <w:b/>
          <w:snapToGrid w:val="0"/>
          <w:spacing w:val="4"/>
          <w:kern w:val="0"/>
          <w:sz w:val="24"/>
        </w:rPr>
        <w:t>3.</w:t>
      </w:r>
      <w:r>
        <w:rPr>
          <w:rFonts w:hint="eastAsia"/>
          <w:b/>
          <w:snapToGrid w:val="0"/>
          <w:spacing w:val="4"/>
          <w:kern w:val="0"/>
          <w:sz w:val="24"/>
        </w:rPr>
        <w:t>3</w:t>
      </w:r>
      <w:r>
        <w:rPr>
          <w:b/>
          <w:snapToGrid w:val="0"/>
          <w:spacing w:val="4"/>
          <w:kern w:val="0"/>
          <w:sz w:val="24"/>
        </w:rPr>
        <w:t>.3</w:t>
      </w:r>
      <w:r>
        <w:rPr>
          <w:snapToGrid w:val="0"/>
          <w:spacing w:val="4"/>
          <w:kern w:val="0"/>
          <w:sz w:val="24"/>
        </w:rPr>
        <w:t xml:space="preserve">  监理人向委托人承诺：保证按照本合同的约定完成本合同监理服务的工作内容且相关的监理服务。监理人如未能</w:t>
      </w:r>
      <w:r>
        <w:rPr>
          <w:bCs/>
          <w:snapToGrid w:val="0"/>
          <w:spacing w:val="4"/>
          <w:kern w:val="0"/>
          <w:sz w:val="24"/>
        </w:rPr>
        <w:t>按《</w:t>
      </w:r>
      <w:r>
        <w:rPr>
          <w:b/>
          <w:snapToGrid w:val="0"/>
          <w:spacing w:val="4"/>
          <w:kern w:val="0"/>
          <w:sz w:val="24"/>
        </w:rPr>
        <w:t>各阶段工作成果文件的要求</w:t>
      </w:r>
      <w:r>
        <w:rPr>
          <w:bCs/>
          <w:snapToGrid w:val="0"/>
          <w:spacing w:val="4"/>
          <w:kern w:val="0"/>
          <w:sz w:val="24"/>
        </w:rPr>
        <w:t>》（</w:t>
      </w:r>
      <w:r>
        <w:rPr>
          <w:bCs/>
          <w:snapToGrid w:val="0"/>
          <w:spacing w:val="4"/>
          <w:kern w:val="0"/>
          <w:sz w:val="24"/>
          <w:u w:val="wave"/>
        </w:rPr>
        <w:t>合同附件2</w:t>
      </w:r>
      <w:r>
        <w:rPr>
          <w:bCs/>
          <w:snapToGrid w:val="0"/>
          <w:spacing w:val="4"/>
          <w:kern w:val="0"/>
          <w:sz w:val="24"/>
        </w:rPr>
        <w:t>）的约定完成相关工作内容的工作成果，或完成的工作成果未能达到约定的支付审核标准，均视为监理人对该承诺的违反，委托人有权在合同监理酬金总额中暂停支付或扣减相关监理服务项目的酬金。监理人对于履行监理职责方面的违约责任按照本合同</w:t>
      </w:r>
      <w:r>
        <w:rPr>
          <w:bCs/>
          <w:snapToGrid w:val="0"/>
          <w:spacing w:val="4"/>
          <w:kern w:val="0"/>
          <w:sz w:val="24"/>
          <w:u w:val="wave"/>
        </w:rPr>
        <w:t>专用条件</w:t>
      </w:r>
      <w:r>
        <w:rPr>
          <w:rFonts w:hint="eastAsia"/>
          <w:bCs/>
          <w:snapToGrid w:val="0"/>
          <w:spacing w:val="4"/>
          <w:kern w:val="0"/>
          <w:sz w:val="24"/>
          <w:u w:val="wave"/>
        </w:rPr>
        <w:t>第十三</w:t>
      </w:r>
      <w:r>
        <w:rPr>
          <w:bCs/>
          <w:snapToGrid w:val="0"/>
          <w:spacing w:val="4"/>
          <w:kern w:val="0"/>
          <w:sz w:val="24"/>
          <w:u w:val="wave"/>
        </w:rPr>
        <w:t>条</w:t>
      </w:r>
      <w:r>
        <w:rPr>
          <w:bCs/>
          <w:snapToGrid w:val="0"/>
          <w:spacing w:val="4"/>
          <w:kern w:val="0"/>
          <w:sz w:val="24"/>
        </w:rPr>
        <w:t>的相关约定执行。</w:t>
      </w:r>
    </w:p>
    <w:p w14:paraId="5ECF1609">
      <w:pPr>
        <w:topLinePunct/>
        <w:adjustRightInd w:val="0"/>
        <w:snapToGrid w:val="0"/>
        <w:spacing w:line="360" w:lineRule="auto"/>
        <w:ind w:firstLine="498" w:firstLineChars="200"/>
        <w:rPr>
          <w:bCs/>
          <w:snapToGrid w:val="0"/>
          <w:spacing w:val="4"/>
          <w:kern w:val="0"/>
          <w:sz w:val="24"/>
        </w:rPr>
      </w:pPr>
      <w:r>
        <w:rPr>
          <w:b/>
          <w:bCs/>
          <w:snapToGrid w:val="0"/>
          <w:spacing w:val="4"/>
          <w:kern w:val="0"/>
          <w:sz w:val="24"/>
        </w:rPr>
        <w:t>3.</w:t>
      </w:r>
      <w:r>
        <w:rPr>
          <w:rFonts w:hint="eastAsia"/>
          <w:b/>
          <w:bCs/>
          <w:snapToGrid w:val="0"/>
          <w:spacing w:val="4"/>
          <w:kern w:val="0"/>
          <w:sz w:val="24"/>
        </w:rPr>
        <w:t>3</w:t>
      </w:r>
      <w:r>
        <w:rPr>
          <w:b/>
          <w:bCs/>
          <w:snapToGrid w:val="0"/>
          <w:spacing w:val="4"/>
          <w:kern w:val="0"/>
          <w:sz w:val="24"/>
        </w:rPr>
        <w:t>.4 监理酬金的支付方式</w:t>
      </w:r>
      <w:r>
        <w:rPr>
          <w:rFonts w:hint="eastAsia"/>
          <w:snapToGrid w:val="0"/>
          <w:spacing w:val="4"/>
          <w:kern w:val="0"/>
          <w:sz w:val="24"/>
        </w:rPr>
        <w:t>（除另有说明外，每期支付费用的时间为达到支付条件且收到监理人相应增值税发票后</w:t>
      </w:r>
      <w:r>
        <w:rPr>
          <w:rFonts w:hint="eastAsia"/>
          <w:snapToGrid w:val="0"/>
          <w:spacing w:val="4"/>
          <w:kern w:val="0"/>
          <w:sz w:val="24"/>
          <w:u w:val="single"/>
        </w:rPr>
        <w:t xml:space="preserve"> 3</w:t>
      </w:r>
      <w:r>
        <w:rPr>
          <w:snapToGrid w:val="0"/>
          <w:spacing w:val="4"/>
          <w:kern w:val="0"/>
          <w:sz w:val="24"/>
          <w:u w:val="single"/>
        </w:rPr>
        <w:t xml:space="preserve">0 </w:t>
      </w:r>
      <w:r>
        <w:rPr>
          <w:rFonts w:hint="eastAsia"/>
          <w:snapToGrid w:val="0"/>
          <w:spacing w:val="4"/>
          <w:kern w:val="0"/>
          <w:sz w:val="24"/>
        </w:rPr>
        <w:t>个工作日内支付）</w:t>
      </w:r>
      <w:r>
        <w:rPr>
          <w:bCs/>
          <w:snapToGrid w:val="0"/>
          <w:spacing w:val="4"/>
          <w:kern w:val="0"/>
          <w:sz w:val="24"/>
        </w:rPr>
        <w:t>：</w:t>
      </w:r>
    </w:p>
    <w:tbl>
      <w:tblPr>
        <w:tblStyle w:val="21"/>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5608"/>
        <w:gridCol w:w="2826"/>
      </w:tblGrid>
      <w:tr w14:paraId="0AFB6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blHeader/>
          <w:jc w:val="center"/>
        </w:trPr>
        <w:tc>
          <w:tcPr>
            <w:tcW w:w="1200" w:type="dxa"/>
            <w:vAlign w:val="center"/>
          </w:tcPr>
          <w:p w14:paraId="4977CFD8">
            <w:pPr>
              <w:autoSpaceDE w:val="0"/>
              <w:autoSpaceDN w:val="0"/>
              <w:adjustRightInd w:val="0"/>
              <w:jc w:val="center"/>
              <w:rPr>
                <w:rFonts w:ascii="Times New Roman" w:hAnsi="Times New Roman"/>
                <w:b/>
                <w:bCs/>
                <w:kern w:val="0"/>
                <w:szCs w:val="21"/>
              </w:rPr>
            </w:pPr>
            <w:r>
              <w:rPr>
                <w:rFonts w:hint="eastAsia" w:ascii="Times New Roman" w:hAnsi="Times New Roman"/>
                <w:b/>
                <w:bCs/>
                <w:kern w:val="0"/>
                <w:szCs w:val="21"/>
              </w:rPr>
              <w:t>序号/节点</w:t>
            </w:r>
          </w:p>
        </w:tc>
        <w:tc>
          <w:tcPr>
            <w:tcW w:w="5608" w:type="dxa"/>
            <w:vAlign w:val="center"/>
          </w:tcPr>
          <w:p w14:paraId="05C7083F">
            <w:pPr>
              <w:autoSpaceDE w:val="0"/>
              <w:autoSpaceDN w:val="0"/>
              <w:adjustRightInd w:val="0"/>
              <w:jc w:val="center"/>
              <w:rPr>
                <w:rFonts w:ascii="Times New Roman" w:hAnsi="Times New Roman"/>
                <w:b/>
                <w:bCs/>
                <w:kern w:val="0"/>
                <w:szCs w:val="21"/>
              </w:rPr>
            </w:pPr>
            <w:r>
              <w:rPr>
                <w:rFonts w:ascii="Times New Roman" w:hAnsi="Times New Roman"/>
                <w:b/>
                <w:bCs/>
                <w:kern w:val="0"/>
                <w:szCs w:val="21"/>
              </w:rPr>
              <w:t>支付条件</w:t>
            </w:r>
          </w:p>
        </w:tc>
        <w:tc>
          <w:tcPr>
            <w:tcW w:w="2826" w:type="dxa"/>
            <w:vAlign w:val="center"/>
          </w:tcPr>
          <w:p w14:paraId="0F07DB0B">
            <w:pPr>
              <w:autoSpaceDE w:val="0"/>
              <w:autoSpaceDN w:val="0"/>
              <w:adjustRightInd w:val="0"/>
              <w:jc w:val="center"/>
              <w:rPr>
                <w:rFonts w:ascii="Times New Roman" w:hAnsi="Times New Roman"/>
                <w:b/>
                <w:bCs/>
                <w:kern w:val="0"/>
                <w:szCs w:val="21"/>
              </w:rPr>
            </w:pPr>
            <w:r>
              <w:rPr>
                <w:rFonts w:ascii="Times New Roman" w:hAnsi="Times New Roman"/>
                <w:b/>
                <w:bCs/>
                <w:kern w:val="0"/>
                <w:szCs w:val="21"/>
              </w:rPr>
              <w:t>支付比例</w:t>
            </w:r>
          </w:p>
        </w:tc>
      </w:tr>
      <w:tr w14:paraId="19FF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00" w:type="dxa"/>
            <w:vAlign w:val="center"/>
          </w:tcPr>
          <w:p w14:paraId="6F2BF339">
            <w:pPr>
              <w:autoSpaceDE w:val="0"/>
              <w:autoSpaceDN w:val="0"/>
              <w:adjustRightInd w:val="0"/>
              <w:jc w:val="center"/>
              <w:rPr>
                <w:rFonts w:ascii="Times New Roman" w:hAnsi="Times New Roman"/>
                <w:kern w:val="0"/>
                <w:szCs w:val="21"/>
              </w:rPr>
            </w:pPr>
            <w:r>
              <w:rPr>
                <w:rFonts w:hint="eastAsia" w:ascii="Times New Roman" w:hAnsi="Times New Roman"/>
                <w:kern w:val="0"/>
                <w:szCs w:val="21"/>
              </w:rPr>
              <w:t>1</w:t>
            </w:r>
          </w:p>
        </w:tc>
        <w:tc>
          <w:tcPr>
            <w:tcW w:w="5608" w:type="dxa"/>
            <w:vAlign w:val="center"/>
          </w:tcPr>
          <w:p w14:paraId="14CA62CE">
            <w:pPr>
              <w:autoSpaceDE w:val="0"/>
              <w:autoSpaceDN w:val="0"/>
              <w:adjustRightInd w:val="0"/>
              <w:rPr>
                <w:rFonts w:ascii="Times New Roman" w:hAnsi="Times New Roman"/>
                <w:kern w:val="0"/>
                <w:szCs w:val="21"/>
              </w:rPr>
            </w:pPr>
            <w:r>
              <w:rPr>
                <w:rFonts w:ascii="Times New Roman" w:hAnsi="Times New Roman"/>
                <w:kern w:val="0"/>
                <w:szCs w:val="21"/>
              </w:rPr>
              <w:t>本合同签订生效，监理人提交履约银行保函，</w:t>
            </w:r>
            <w:r>
              <w:rPr>
                <w:rFonts w:hint="eastAsia" w:ascii="Times New Roman" w:hAnsi="Times New Roman"/>
                <w:kern w:val="0"/>
                <w:szCs w:val="21"/>
              </w:rPr>
              <w:t>并按要求提供付款申请资料后，</w:t>
            </w:r>
            <w:r>
              <w:rPr>
                <w:rFonts w:ascii="Times New Roman" w:hAnsi="Times New Roman"/>
                <w:kern w:val="0"/>
                <w:szCs w:val="21"/>
              </w:rPr>
              <w:t>可提出支付申请。</w:t>
            </w:r>
          </w:p>
        </w:tc>
        <w:tc>
          <w:tcPr>
            <w:tcW w:w="2826" w:type="dxa"/>
            <w:vAlign w:val="center"/>
          </w:tcPr>
          <w:p w14:paraId="4EF4A92F">
            <w:pPr>
              <w:autoSpaceDE w:val="0"/>
              <w:autoSpaceDN w:val="0"/>
              <w:adjustRightInd w:val="0"/>
              <w:rPr>
                <w:rFonts w:ascii="Times New Roman" w:hAnsi="Times New Roman"/>
                <w:kern w:val="0"/>
                <w:szCs w:val="21"/>
              </w:rPr>
            </w:pPr>
            <w:r>
              <w:rPr>
                <w:rFonts w:ascii="Times New Roman" w:hAnsi="Times New Roman"/>
                <w:kern w:val="0"/>
                <w:szCs w:val="21"/>
              </w:rPr>
              <w:t>支付暂定监理酬金的</w:t>
            </w:r>
            <w:r>
              <w:rPr>
                <w:rFonts w:hint="eastAsia" w:ascii="Times New Roman" w:hAnsi="Times New Roman"/>
                <w:kern w:val="0"/>
                <w:szCs w:val="21"/>
              </w:rPr>
              <w:t>3</w:t>
            </w:r>
            <w:r>
              <w:rPr>
                <w:rFonts w:ascii="Times New Roman" w:hAnsi="Times New Roman"/>
                <w:kern w:val="0"/>
                <w:szCs w:val="21"/>
              </w:rPr>
              <w:t>0%</w:t>
            </w:r>
          </w:p>
        </w:tc>
      </w:tr>
      <w:tr w14:paraId="3D53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jc w:val="center"/>
        </w:trPr>
        <w:tc>
          <w:tcPr>
            <w:tcW w:w="1200" w:type="dxa"/>
            <w:vAlign w:val="center"/>
          </w:tcPr>
          <w:p w14:paraId="5195C084">
            <w:pPr>
              <w:autoSpaceDE w:val="0"/>
              <w:autoSpaceDN w:val="0"/>
              <w:adjustRightInd w:val="0"/>
              <w:jc w:val="center"/>
              <w:rPr>
                <w:rFonts w:ascii="Times New Roman" w:hAnsi="Times New Roman"/>
                <w:kern w:val="0"/>
                <w:szCs w:val="21"/>
              </w:rPr>
            </w:pPr>
            <w:r>
              <w:rPr>
                <w:rFonts w:hint="eastAsia" w:ascii="Times New Roman" w:hAnsi="Times New Roman"/>
                <w:kern w:val="0"/>
                <w:szCs w:val="21"/>
              </w:rPr>
              <w:t>2</w:t>
            </w:r>
          </w:p>
        </w:tc>
        <w:tc>
          <w:tcPr>
            <w:tcW w:w="5608" w:type="dxa"/>
            <w:vAlign w:val="center"/>
          </w:tcPr>
          <w:p w14:paraId="1A40454E">
            <w:pPr>
              <w:autoSpaceDE w:val="0"/>
              <w:autoSpaceDN w:val="0"/>
              <w:adjustRightInd w:val="0"/>
              <w:rPr>
                <w:rFonts w:ascii="Times New Roman" w:hAnsi="Times New Roman"/>
                <w:kern w:val="0"/>
                <w:szCs w:val="21"/>
              </w:rPr>
            </w:pPr>
            <w:r>
              <w:rPr>
                <w:rFonts w:hint="eastAsia" w:ascii="Times New Roman" w:hAnsi="Times New Roman"/>
                <w:kern w:val="0"/>
                <w:szCs w:val="21"/>
              </w:rPr>
              <w:t>子项工程</w:t>
            </w:r>
            <w:r>
              <w:rPr>
                <w:rFonts w:hint="eastAsia"/>
                <w:kern w:val="0"/>
                <w:szCs w:val="21"/>
              </w:rPr>
              <w:t>形象进度达到50%</w:t>
            </w:r>
            <w:r>
              <w:rPr>
                <w:rFonts w:hint="eastAsia" w:ascii="Times New Roman" w:hAnsi="Times New Roman"/>
                <w:kern w:val="0"/>
                <w:szCs w:val="21"/>
              </w:rPr>
              <w:t>，提交满足委托人要求的完整请款资料</w:t>
            </w:r>
            <w:r>
              <w:rPr>
                <w:rFonts w:ascii="Times New Roman" w:hAnsi="Times New Roman"/>
                <w:kern w:val="0"/>
                <w:szCs w:val="21"/>
              </w:rPr>
              <w:t>，监理人可提交付款申请。</w:t>
            </w:r>
          </w:p>
          <w:p w14:paraId="18A60BEB">
            <w:pPr>
              <w:autoSpaceDE w:val="0"/>
              <w:autoSpaceDN w:val="0"/>
              <w:adjustRightInd w:val="0"/>
              <w:rPr>
                <w:rFonts w:ascii="Times New Roman" w:hAnsi="Times New Roman"/>
                <w:kern w:val="0"/>
                <w:szCs w:val="21"/>
              </w:rPr>
            </w:pPr>
            <w:r>
              <w:rPr>
                <w:rFonts w:hint="eastAsia" w:ascii="Times New Roman" w:hAnsi="Times New Roman"/>
                <w:kern w:val="0"/>
                <w:szCs w:val="21"/>
              </w:rPr>
              <w:t>注：各子项工程达到支付条件后可单独申请，单独支付。</w:t>
            </w:r>
          </w:p>
        </w:tc>
        <w:tc>
          <w:tcPr>
            <w:tcW w:w="2826" w:type="dxa"/>
            <w:vAlign w:val="center"/>
          </w:tcPr>
          <w:p w14:paraId="1FBF4A0D">
            <w:pPr>
              <w:autoSpaceDE w:val="0"/>
              <w:autoSpaceDN w:val="0"/>
              <w:adjustRightInd w:val="0"/>
              <w:rPr>
                <w:rFonts w:ascii="Times New Roman" w:hAnsi="Times New Roman"/>
                <w:kern w:val="0"/>
                <w:szCs w:val="21"/>
              </w:rPr>
            </w:pPr>
            <w:r>
              <w:rPr>
                <w:rFonts w:ascii="Times New Roman" w:hAnsi="Times New Roman"/>
                <w:kern w:val="0"/>
                <w:szCs w:val="21"/>
              </w:rPr>
              <w:t>支付暂定监理酬金</w:t>
            </w:r>
            <w:r>
              <w:rPr>
                <w:rFonts w:hint="eastAsia" w:ascii="Times New Roman" w:hAnsi="Times New Roman"/>
                <w:kern w:val="0"/>
                <w:szCs w:val="21"/>
              </w:rPr>
              <w:t>=子项工程</w:t>
            </w:r>
            <w:r>
              <w:rPr>
                <w:rFonts w:hint="eastAsia"/>
                <w:kern w:val="0"/>
                <w:szCs w:val="21"/>
              </w:rPr>
              <w:t>签订合同金额</w:t>
            </w:r>
            <w:r>
              <w:rPr>
                <w:rFonts w:hint="eastAsia" w:ascii="Times New Roman" w:hAnsi="Times New Roman"/>
                <w:kern w:val="0"/>
                <w:szCs w:val="21"/>
              </w:rPr>
              <w:t>*中标监理费率*</w:t>
            </w:r>
            <w:r>
              <w:rPr>
                <w:rFonts w:hint="eastAsia"/>
                <w:kern w:val="0"/>
                <w:szCs w:val="21"/>
              </w:rPr>
              <w:t>30</w:t>
            </w:r>
            <w:r>
              <w:rPr>
                <w:rFonts w:hint="eastAsia" w:ascii="Times New Roman" w:hAnsi="Times New Roman"/>
                <w:kern w:val="0"/>
                <w:szCs w:val="21"/>
              </w:rPr>
              <w:t>%</w:t>
            </w:r>
          </w:p>
        </w:tc>
      </w:tr>
      <w:tr w14:paraId="5774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0" w:type="dxa"/>
            <w:vAlign w:val="center"/>
          </w:tcPr>
          <w:p w14:paraId="269068FF">
            <w:pPr>
              <w:autoSpaceDE w:val="0"/>
              <w:autoSpaceDN w:val="0"/>
              <w:adjustRightInd w:val="0"/>
              <w:jc w:val="center"/>
              <w:rPr>
                <w:rFonts w:ascii="Times New Roman" w:hAnsi="Times New Roman"/>
                <w:kern w:val="0"/>
                <w:szCs w:val="21"/>
              </w:rPr>
            </w:pPr>
            <w:r>
              <w:rPr>
                <w:rFonts w:hint="eastAsia"/>
                <w:kern w:val="0"/>
                <w:szCs w:val="21"/>
              </w:rPr>
              <w:t>3</w:t>
            </w:r>
          </w:p>
        </w:tc>
        <w:tc>
          <w:tcPr>
            <w:tcW w:w="5608" w:type="dxa"/>
            <w:vAlign w:val="center"/>
          </w:tcPr>
          <w:p w14:paraId="1AA88AB5">
            <w:pPr>
              <w:autoSpaceDE w:val="0"/>
              <w:autoSpaceDN w:val="0"/>
              <w:adjustRightInd w:val="0"/>
              <w:rPr>
                <w:rFonts w:ascii="Times New Roman" w:hAnsi="Times New Roman"/>
                <w:kern w:val="0"/>
                <w:szCs w:val="21"/>
              </w:rPr>
            </w:pPr>
            <w:r>
              <w:rPr>
                <w:rFonts w:hint="eastAsia" w:ascii="Times New Roman" w:hAnsi="Times New Roman"/>
                <w:kern w:val="0"/>
                <w:szCs w:val="21"/>
              </w:rPr>
              <w:t>子项工程</w:t>
            </w:r>
            <w:r>
              <w:rPr>
                <w:rFonts w:hint="eastAsia"/>
                <w:kern w:val="0"/>
                <w:szCs w:val="21"/>
              </w:rPr>
              <w:t>形象进度达到</w:t>
            </w:r>
            <w:r>
              <w:rPr>
                <w:rFonts w:hint="eastAsia" w:ascii="Times New Roman" w:hAnsi="Times New Roman"/>
                <w:kern w:val="0"/>
                <w:szCs w:val="21"/>
              </w:rPr>
              <w:t>100%，完成</w:t>
            </w:r>
            <w:r>
              <w:rPr>
                <w:rFonts w:hint="eastAsia"/>
                <w:kern w:val="0"/>
                <w:szCs w:val="21"/>
              </w:rPr>
              <w:t>竣工验收</w:t>
            </w:r>
            <w:r>
              <w:rPr>
                <w:rFonts w:ascii="Times New Roman" w:hAnsi="Times New Roman"/>
                <w:kern w:val="0"/>
                <w:szCs w:val="21"/>
              </w:rPr>
              <w:t>后</w:t>
            </w:r>
            <w:r>
              <w:rPr>
                <w:rFonts w:hint="eastAsia" w:ascii="Times New Roman" w:hAnsi="Times New Roman"/>
                <w:kern w:val="0"/>
                <w:szCs w:val="21"/>
              </w:rPr>
              <w:t>（经医院有权审核部门审定），提交满足委托人要求的完整请款资料</w:t>
            </w:r>
            <w:r>
              <w:rPr>
                <w:rFonts w:ascii="Times New Roman" w:hAnsi="Times New Roman"/>
                <w:kern w:val="0"/>
                <w:szCs w:val="21"/>
              </w:rPr>
              <w:t>，监理人可提交付款申请。</w:t>
            </w:r>
          </w:p>
          <w:p w14:paraId="52973654">
            <w:pPr>
              <w:autoSpaceDE w:val="0"/>
              <w:autoSpaceDN w:val="0"/>
              <w:adjustRightInd w:val="0"/>
              <w:rPr>
                <w:rFonts w:ascii="Times New Roman" w:hAnsi="Times New Roman"/>
                <w:kern w:val="0"/>
                <w:szCs w:val="21"/>
              </w:rPr>
            </w:pPr>
            <w:r>
              <w:rPr>
                <w:rFonts w:hint="eastAsia" w:ascii="Times New Roman" w:hAnsi="Times New Roman"/>
                <w:kern w:val="0"/>
                <w:szCs w:val="21"/>
              </w:rPr>
              <w:t>注：各子项工程达到支付条件后可单独申请，单独支付。</w:t>
            </w:r>
          </w:p>
        </w:tc>
        <w:tc>
          <w:tcPr>
            <w:tcW w:w="2826" w:type="dxa"/>
            <w:vAlign w:val="center"/>
          </w:tcPr>
          <w:p w14:paraId="441E39F8">
            <w:pPr>
              <w:autoSpaceDE w:val="0"/>
              <w:autoSpaceDN w:val="0"/>
              <w:adjustRightInd w:val="0"/>
              <w:rPr>
                <w:rFonts w:ascii="Times New Roman" w:hAnsi="Times New Roman"/>
                <w:kern w:val="0"/>
                <w:szCs w:val="21"/>
              </w:rPr>
            </w:pPr>
            <w:r>
              <w:rPr>
                <w:rFonts w:ascii="Times New Roman" w:hAnsi="Times New Roman"/>
                <w:kern w:val="0"/>
                <w:szCs w:val="21"/>
              </w:rPr>
              <w:t>支付暂定监理酬金</w:t>
            </w:r>
            <w:r>
              <w:rPr>
                <w:rFonts w:hint="eastAsia" w:ascii="Times New Roman" w:hAnsi="Times New Roman"/>
                <w:kern w:val="0"/>
                <w:szCs w:val="21"/>
              </w:rPr>
              <w:t>=子项工程</w:t>
            </w:r>
            <w:r>
              <w:rPr>
                <w:rFonts w:hint="eastAsia"/>
                <w:kern w:val="0"/>
                <w:szCs w:val="21"/>
              </w:rPr>
              <w:t>签订合同金额</w:t>
            </w:r>
            <w:r>
              <w:rPr>
                <w:rFonts w:hint="eastAsia" w:ascii="Times New Roman" w:hAnsi="Times New Roman"/>
                <w:kern w:val="0"/>
                <w:szCs w:val="21"/>
              </w:rPr>
              <w:t>*中标监理费率*</w:t>
            </w:r>
            <w:r>
              <w:rPr>
                <w:rFonts w:hint="eastAsia"/>
                <w:kern w:val="0"/>
                <w:szCs w:val="21"/>
              </w:rPr>
              <w:t>30</w:t>
            </w:r>
            <w:r>
              <w:rPr>
                <w:rFonts w:hint="eastAsia" w:ascii="Times New Roman" w:hAnsi="Times New Roman"/>
                <w:kern w:val="0"/>
                <w:szCs w:val="21"/>
              </w:rPr>
              <w:t>%</w:t>
            </w:r>
          </w:p>
        </w:tc>
      </w:tr>
      <w:tr w14:paraId="7324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0" w:type="dxa"/>
            <w:vAlign w:val="center"/>
          </w:tcPr>
          <w:p w14:paraId="07D058ED">
            <w:pPr>
              <w:autoSpaceDE w:val="0"/>
              <w:autoSpaceDN w:val="0"/>
              <w:adjustRightInd w:val="0"/>
              <w:jc w:val="center"/>
              <w:rPr>
                <w:kern w:val="0"/>
                <w:szCs w:val="21"/>
              </w:rPr>
            </w:pPr>
            <w:r>
              <w:rPr>
                <w:rFonts w:hint="eastAsia"/>
                <w:kern w:val="0"/>
                <w:szCs w:val="21"/>
              </w:rPr>
              <w:t>4</w:t>
            </w:r>
          </w:p>
        </w:tc>
        <w:tc>
          <w:tcPr>
            <w:tcW w:w="5608" w:type="dxa"/>
            <w:vAlign w:val="center"/>
          </w:tcPr>
          <w:p w14:paraId="0F064216">
            <w:pPr>
              <w:autoSpaceDE w:val="0"/>
              <w:autoSpaceDN w:val="0"/>
              <w:adjustRightInd w:val="0"/>
              <w:rPr>
                <w:rFonts w:ascii="Times New Roman" w:hAnsi="Times New Roman"/>
                <w:kern w:val="0"/>
                <w:szCs w:val="21"/>
              </w:rPr>
            </w:pPr>
            <w:r>
              <w:rPr>
                <w:rFonts w:hint="eastAsia"/>
                <w:kern w:val="0"/>
                <w:szCs w:val="21"/>
              </w:rPr>
              <w:t>各子项</w:t>
            </w:r>
            <w:r>
              <w:rPr>
                <w:rFonts w:ascii="Times New Roman" w:hAnsi="Times New Roman"/>
                <w:kern w:val="0"/>
                <w:szCs w:val="21"/>
              </w:rPr>
              <w:t>完成</w:t>
            </w:r>
            <w:r>
              <w:rPr>
                <w:rFonts w:hint="eastAsia"/>
                <w:kern w:val="0"/>
                <w:szCs w:val="21"/>
              </w:rPr>
              <w:t>工程结算审批（经</w:t>
            </w:r>
            <w:r>
              <w:rPr>
                <w:rFonts w:ascii="Times New Roman" w:hAnsi="Times New Roman"/>
                <w:kern w:val="0"/>
                <w:szCs w:val="21"/>
              </w:rPr>
              <w:t>有权审核部门审定</w:t>
            </w:r>
            <w:r>
              <w:rPr>
                <w:rFonts w:hint="eastAsia"/>
                <w:kern w:val="0"/>
                <w:szCs w:val="21"/>
              </w:rPr>
              <w:t>），各子项</w:t>
            </w:r>
            <w:r>
              <w:rPr>
                <w:rFonts w:ascii="Times New Roman" w:hAnsi="Times New Roman"/>
                <w:kern w:val="0"/>
                <w:szCs w:val="21"/>
              </w:rPr>
              <w:t>工程竣工验收合格后满两年且本合同监理范围内所有工程项目整体竣工结算被确认后监理人提交完整监理成果文件后（包括但不限于督促承包人按时完整移交工程竣工档案、完整移交工程</w:t>
            </w:r>
            <w:r>
              <w:rPr>
                <w:rFonts w:hint="eastAsia" w:ascii="Times New Roman" w:hAnsi="Times New Roman"/>
                <w:kern w:val="0"/>
                <w:szCs w:val="21"/>
              </w:rPr>
              <w:t>等</w:t>
            </w:r>
            <w:r>
              <w:rPr>
                <w:rFonts w:ascii="Times New Roman" w:hAnsi="Times New Roman"/>
                <w:kern w:val="0"/>
                <w:szCs w:val="21"/>
              </w:rPr>
              <w:t>相关工作），</w:t>
            </w:r>
            <w:r>
              <w:rPr>
                <w:rFonts w:hint="eastAsia"/>
                <w:kern w:val="0"/>
                <w:szCs w:val="21"/>
              </w:rPr>
              <w:t>监理服务合同结算审批（经</w:t>
            </w:r>
            <w:r>
              <w:rPr>
                <w:rFonts w:ascii="Times New Roman" w:hAnsi="Times New Roman"/>
                <w:kern w:val="0"/>
                <w:szCs w:val="21"/>
              </w:rPr>
              <w:t>有权审核部门审定</w:t>
            </w:r>
            <w:r>
              <w:rPr>
                <w:rFonts w:hint="eastAsia"/>
                <w:kern w:val="0"/>
                <w:szCs w:val="21"/>
              </w:rPr>
              <w:t>），</w:t>
            </w:r>
            <w:r>
              <w:rPr>
                <w:rFonts w:ascii="Times New Roman" w:hAnsi="Times New Roman"/>
                <w:kern w:val="0"/>
                <w:szCs w:val="21"/>
              </w:rPr>
              <w:t>监理人可提交付款申请。</w:t>
            </w:r>
          </w:p>
        </w:tc>
        <w:tc>
          <w:tcPr>
            <w:tcW w:w="2826" w:type="dxa"/>
            <w:vAlign w:val="center"/>
          </w:tcPr>
          <w:p w14:paraId="30389279">
            <w:pPr>
              <w:autoSpaceDE w:val="0"/>
              <w:autoSpaceDN w:val="0"/>
              <w:adjustRightInd w:val="0"/>
              <w:rPr>
                <w:rFonts w:ascii="Times New Roman" w:hAnsi="Times New Roman"/>
                <w:kern w:val="0"/>
                <w:szCs w:val="21"/>
              </w:rPr>
            </w:pPr>
            <w:r>
              <w:rPr>
                <w:rFonts w:ascii="Times New Roman" w:hAnsi="Times New Roman"/>
                <w:kern w:val="0"/>
                <w:szCs w:val="21"/>
              </w:rPr>
              <w:t>支付至经有权审核部门审定的监理酬金结算金额的100%</w:t>
            </w:r>
          </w:p>
        </w:tc>
      </w:tr>
      <w:tr w14:paraId="6CA9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34" w:type="dxa"/>
            <w:gridSpan w:val="3"/>
            <w:vAlign w:val="center"/>
          </w:tcPr>
          <w:p w14:paraId="06F92749">
            <w:pPr>
              <w:autoSpaceDE w:val="0"/>
              <w:autoSpaceDN w:val="0"/>
              <w:adjustRightInd w:val="0"/>
              <w:rPr>
                <w:rFonts w:ascii="Times New Roman" w:hAnsi="Times New Roman"/>
                <w:kern w:val="0"/>
                <w:szCs w:val="21"/>
              </w:rPr>
            </w:pPr>
            <w:r>
              <w:rPr>
                <w:rFonts w:hint="eastAsia"/>
              </w:rPr>
              <w:t>备注：委托人支付任何一期监理酬金前，监理人须满足以下条件：①未发生本合同约定的违约行为或已纠正违约行为；②监理服务质量符合本合同及委托人合理要求；③已按约定提交当期完整的监理报告、工作记录等履约资料；④无正在处理的重大质量、安全或进度监管失职事项。如上述任一条件未满足，委托人有权暂停支付相应酬金，直至条件满足才进行支付。</w:t>
            </w:r>
          </w:p>
        </w:tc>
      </w:tr>
    </w:tbl>
    <w:p w14:paraId="3521D0DB">
      <w:pPr>
        <w:topLinePunct/>
        <w:adjustRightInd w:val="0"/>
        <w:snapToGrid w:val="0"/>
        <w:spacing w:line="360" w:lineRule="auto"/>
        <w:ind w:firstLine="498" w:firstLineChars="200"/>
        <w:rPr>
          <w:bCs/>
          <w:snapToGrid w:val="0"/>
          <w:spacing w:val="4"/>
          <w:kern w:val="0"/>
          <w:sz w:val="24"/>
        </w:rPr>
      </w:pPr>
      <w:r>
        <w:rPr>
          <w:b/>
          <w:bCs/>
          <w:snapToGrid w:val="0"/>
          <w:spacing w:val="4"/>
          <w:kern w:val="0"/>
          <w:sz w:val="24"/>
        </w:rPr>
        <w:t>3.</w:t>
      </w:r>
      <w:r>
        <w:rPr>
          <w:rFonts w:hint="eastAsia"/>
          <w:b/>
          <w:bCs/>
          <w:snapToGrid w:val="0"/>
          <w:spacing w:val="4"/>
          <w:kern w:val="0"/>
          <w:sz w:val="24"/>
        </w:rPr>
        <w:t>3</w:t>
      </w:r>
      <w:r>
        <w:rPr>
          <w:b/>
          <w:bCs/>
          <w:snapToGrid w:val="0"/>
          <w:spacing w:val="4"/>
          <w:kern w:val="0"/>
          <w:sz w:val="24"/>
        </w:rPr>
        <w:t>.5</w:t>
      </w:r>
      <w:r>
        <w:rPr>
          <w:bCs/>
          <w:snapToGrid w:val="0"/>
          <w:spacing w:val="4"/>
          <w:kern w:val="0"/>
          <w:sz w:val="24"/>
        </w:rPr>
        <w:t xml:space="preserve">  本合同结算监理酬金审定后，如监理酬金</w:t>
      </w:r>
      <w:r>
        <w:rPr>
          <w:snapToGrid w:val="0"/>
          <w:kern w:val="0"/>
          <w:sz w:val="24"/>
        </w:rPr>
        <w:t>的支付已超过监理酬金结算价</w:t>
      </w:r>
      <w:r>
        <w:rPr>
          <w:bCs/>
          <w:snapToGrid w:val="0"/>
          <w:spacing w:val="4"/>
          <w:kern w:val="0"/>
          <w:sz w:val="24"/>
        </w:rPr>
        <w:t>，则监理人必须在收到本合同结算监理酬金审定通知之日起14日内无条件将超出监理酬金审定结算金额90%的所有酬金退还委托人；若监理人迟延退还超付的监理酬金，除须继续向委托人退还超付的监理酬金外，还应每天向委托人支付该超付监理酬金2‰的违约金。</w:t>
      </w:r>
    </w:p>
    <w:p w14:paraId="4B98C1C2">
      <w:pPr>
        <w:topLinePunct/>
        <w:adjustRightInd w:val="0"/>
        <w:snapToGrid w:val="0"/>
        <w:spacing w:line="360" w:lineRule="auto"/>
        <w:ind w:firstLine="498" w:firstLineChars="200"/>
        <w:rPr>
          <w:bCs/>
          <w:snapToGrid w:val="0"/>
          <w:spacing w:val="4"/>
          <w:kern w:val="0"/>
          <w:sz w:val="24"/>
        </w:rPr>
      </w:pPr>
      <w:r>
        <w:rPr>
          <w:b/>
          <w:bCs/>
          <w:snapToGrid w:val="0"/>
          <w:spacing w:val="4"/>
          <w:kern w:val="0"/>
          <w:sz w:val="24"/>
        </w:rPr>
        <w:t>3.</w:t>
      </w:r>
      <w:r>
        <w:rPr>
          <w:rFonts w:hint="eastAsia"/>
          <w:b/>
          <w:bCs/>
          <w:snapToGrid w:val="0"/>
          <w:spacing w:val="4"/>
          <w:kern w:val="0"/>
          <w:sz w:val="24"/>
        </w:rPr>
        <w:t>3</w:t>
      </w:r>
      <w:r>
        <w:rPr>
          <w:b/>
          <w:bCs/>
          <w:snapToGrid w:val="0"/>
          <w:spacing w:val="4"/>
          <w:kern w:val="0"/>
          <w:sz w:val="24"/>
        </w:rPr>
        <w:t>.6</w:t>
      </w:r>
      <w:r>
        <w:rPr>
          <w:bCs/>
          <w:snapToGrid w:val="0"/>
          <w:spacing w:val="4"/>
          <w:kern w:val="0"/>
          <w:sz w:val="24"/>
        </w:rPr>
        <w:t xml:space="preserve">  本项目工程竣工验收且移交给委托人使用管理后，本合同项下属于委托人在工程质量保修阶段监理服务事宜所涉及的权利和义务即由委托人享有和承担，由委托人和监理人各自享有和履行本合同项下的工程质量保修阶段监理服务相关的权利和义务。</w:t>
      </w:r>
    </w:p>
    <w:p w14:paraId="2F2E8920">
      <w:pPr>
        <w:topLinePunct/>
        <w:adjustRightInd w:val="0"/>
        <w:snapToGrid w:val="0"/>
        <w:spacing w:line="360" w:lineRule="auto"/>
        <w:ind w:firstLine="498" w:firstLineChars="200"/>
        <w:outlineLvl w:val="1"/>
        <w:rPr>
          <w:b/>
          <w:snapToGrid w:val="0"/>
          <w:spacing w:val="4"/>
          <w:kern w:val="0"/>
          <w:sz w:val="24"/>
        </w:rPr>
      </w:pPr>
      <w:r>
        <w:rPr>
          <w:b/>
          <w:snapToGrid w:val="0"/>
          <w:spacing w:val="4"/>
          <w:kern w:val="0"/>
          <w:sz w:val="24"/>
        </w:rPr>
        <w:t>第四条  协议书中的词语定义</w:t>
      </w:r>
    </w:p>
    <w:p w14:paraId="7B0B9AF7">
      <w:pPr>
        <w:topLinePunct/>
        <w:adjustRightInd w:val="0"/>
        <w:snapToGrid w:val="0"/>
        <w:spacing w:line="360" w:lineRule="auto"/>
        <w:ind w:firstLine="496" w:firstLineChars="200"/>
        <w:rPr>
          <w:snapToGrid w:val="0"/>
          <w:spacing w:val="4"/>
          <w:kern w:val="0"/>
          <w:sz w:val="24"/>
        </w:rPr>
      </w:pPr>
      <w:r>
        <w:rPr>
          <w:snapToGrid w:val="0"/>
          <w:spacing w:val="4"/>
          <w:kern w:val="0"/>
          <w:sz w:val="24"/>
        </w:rPr>
        <w:t>本协议书中的有关词语含义与本合同专用条件、标准条件中赋予它们的定义相同。</w:t>
      </w:r>
    </w:p>
    <w:p w14:paraId="1238101D">
      <w:pPr>
        <w:topLinePunct/>
        <w:adjustRightInd w:val="0"/>
        <w:snapToGrid w:val="0"/>
        <w:spacing w:line="360" w:lineRule="auto"/>
        <w:ind w:firstLine="498" w:firstLineChars="200"/>
        <w:outlineLvl w:val="1"/>
        <w:rPr>
          <w:b/>
          <w:bCs/>
          <w:snapToGrid w:val="0"/>
          <w:spacing w:val="4"/>
          <w:kern w:val="0"/>
          <w:sz w:val="24"/>
        </w:rPr>
      </w:pPr>
      <w:r>
        <w:rPr>
          <w:b/>
          <w:bCs/>
          <w:snapToGrid w:val="0"/>
          <w:spacing w:val="4"/>
          <w:kern w:val="0"/>
          <w:sz w:val="24"/>
        </w:rPr>
        <w:t>第五条  合同文件的解释顺序</w:t>
      </w:r>
    </w:p>
    <w:p w14:paraId="60560C5F">
      <w:pPr>
        <w:topLinePunct/>
        <w:adjustRightInd w:val="0"/>
        <w:snapToGrid w:val="0"/>
        <w:spacing w:line="360" w:lineRule="auto"/>
        <w:ind w:firstLine="496" w:firstLineChars="200"/>
        <w:rPr>
          <w:bCs/>
          <w:snapToGrid w:val="0"/>
          <w:spacing w:val="4"/>
          <w:kern w:val="0"/>
          <w:sz w:val="24"/>
        </w:rPr>
      </w:pPr>
      <w:r>
        <w:rPr>
          <w:bCs/>
          <w:snapToGrid w:val="0"/>
          <w:spacing w:val="4"/>
          <w:kern w:val="0"/>
          <w:sz w:val="24"/>
        </w:rPr>
        <w:t>下列文件应被认为是组成本合同的一部分，并互为补充和解释，如各文件存在冲突之处，以如下排列次序在前者优先适用：</w:t>
      </w:r>
    </w:p>
    <w:p w14:paraId="39A3E39F">
      <w:pPr>
        <w:topLinePunct/>
        <w:adjustRightInd w:val="0"/>
        <w:snapToGrid w:val="0"/>
        <w:spacing w:line="360" w:lineRule="auto"/>
        <w:ind w:firstLine="496" w:firstLineChars="200"/>
        <w:rPr>
          <w:bCs/>
          <w:snapToGrid w:val="0"/>
          <w:spacing w:val="4"/>
          <w:kern w:val="0"/>
          <w:sz w:val="24"/>
        </w:rPr>
      </w:pPr>
      <w:r>
        <w:rPr>
          <w:bCs/>
          <w:snapToGrid w:val="0"/>
          <w:spacing w:val="4"/>
          <w:kern w:val="0"/>
          <w:sz w:val="24"/>
        </w:rPr>
        <w:t>（1）本合同履行期间委托人与监理人签订的补充合同（协议）或修正文件；</w:t>
      </w:r>
    </w:p>
    <w:p w14:paraId="155FE429">
      <w:pPr>
        <w:topLinePunct/>
        <w:adjustRightInd w:val="0"/>
        <w:snapToGrid w:val="0"/>
        <w:spacing w:line="360" w:lineRule="auto"/>
        <w:ind w:firstLine="496" w:firstLineChars="200"/>
        <w:rPr>
          <w:snapToGrid w:val="0"/>
          <w:spacing w:val="4"/>
          <w:kern w:val="0"/>
          <w:sz w:val="24"/>
        </w:rPr>
      </w:pPr>
      <w:r>
        <w:rPr>
          <w:snapToGrid w:val="0"/>
          <w:spacing w:val="4"/>
          <w:kern w:val="0"/>
          <w:sz w:val="24"/>
        </w:rPr>
        <w:t>（2）本协议书；</w:t>
      </w:r>
    </w:p>
    <w:p w14:paraId="2816385B">
      <w:pPr>
        <w:topLinePunct/>
        <w:adjustRightInd w:val="0"/>
        <w:snapToGrid w:val="0"/>
        <w:spacing w:line="360" w:lineRule="auto"/>
        <w:ind w:firstLine="496" w:firstLineChars="200"/>
        <w:rPr>
          <w:snapToGrid w:val="0"/>
          <w:spacing w:val="4"/>
          <w:kern w:val="0"/>
          <w:sz w:val="24"/>
        </w:rPr>
      </w:pPr>
      <w:r>
        <w:rPr>
          <w:snapToGrid w:val="0"/>
          <w:spacing w:val="4"/>
          <w:kern w:val="0"/>
          <w:sz w:val="24"/>
        </w:rPr>
        <w:t>（3）中标通知书；</w:t>
      </w:r>
    </w:p>
    <w:p w14:paraId="46CCBE62">
      <w:pPr>
        <w:topLinePunct/>
        <w:adjustRightInd w:val="0"/>
        <w:snapToGrid w:val="0"/>
        <w:spacing w:line="360" w:lineRule="auto"/>
        <w:ind w:firstLine="496" w:firstLineChars="200"/>
        <w:rPr>
          <w:snapToGrid w:val="0"/>
          <w:spacing w:val="4"/>
          <w:kern w:val="0"/>
          <w:sz w:val="24"/>
        </w:rPr>
      </w:pPr>
      <w:r>
        <w:rPr>
          <w:snapToGrid w:val="0"/>
          <w:spacing w:val="4"/>
          <w:kern w:val="0"/>
          <w:sz w:val="24"/>
        </w:rPr>
        <w:t>（4）本合同专用条件；</w:t>
      </w:r>
    </w:p>
    <w:p w14:paraId="70A0E4B3">
      <w:pPr>
        <w:topLinePunct/>
        <w:adjustRightInd w:val="0"/>
        <w:snapToGrid w:val="0"/>
        <w:spacing w:line="360" w:lineRule="auto"/>
        <w:ind w:firstLine="496" w:firstLineChars="200"/>
        <w:rPr>
          <w:snapToGrid w:val="0"/>
          <w:spacing w:val="4"/>
          <w:kern w:val="0"/>
          <w:sz w:val="24"/>
        </w:rPr>
      </w:pPr>
      <w:r>
        <w:rPr>
          <w:snapToGrid w:val="0"/>
          <w:spacing w:val="4"/>
          <w:kern w:val="0"/>
          <w:sz w:val="24"/>
        </w:rPr>
        <w:t>（5）委托人建设项目管理的各项制度、规定；</w:t>
      </w:r>
    </w:p>
    <w:p w14:paraId="143515CF">
      <w:pPr>
        <w:topLinePunct/>
        <w:adjustRightInd w:val="0"/>
        <w:snapToGrid w:val="0"/>
        <w:spacing w:line="360" w:lineRule="auto"/>
        <w:ind w:firstLine="496" w:firstLineChars="200"/>
        <w:rPr>
          <w:snapToGrid w:val="0"/>
          <w:spacing w:val="4"/>
          <w:kern w:val="0"/>
          <w:sz w:val="24"/>
        </w:rPr>
      </w:pPr>
      <w:r>
        <w:rPr>
          <w:snapToGrid w:val="0"/>
          <w:spacing w:val="4"/>
          <w:kern w:val="0"/>
          <w:sz w:val="24"/>
        </w:rPr>
        <w:t>（6）本合同附件</w:t>
      </w:r>
      <w:r>
        <w:rPr>
          <w:bCs/>
          <w:snapToGrid w:val="0"/>
          <w:spacing w:val="4"/>
          <w:kern w:val="0"/>
          <w:sz w:val="24"/>
        </w:rPr>
        <w:t>[属</w:t>
      </w:r>
      <w:r>
        <w:rPr>
          <w:bCs/>
          <w:snapToGrid w:val="0"/>
          <w:spacing w:val="4"/>
          <w:kern w:val="0"/>
          <w:sz w:val="24"/>
          <w:u w:val="wave"/>
        </w:rPr>
        <w:t>本条第（6）项</w:t>
      </w:r>
      <w:r>
        <w:rPr>
          <w:bCs/>
          <w:snapToGrid w:val="0"/>
          <w:spacing w:val="4"/>
          <w:kern w:val="0"/>
          <w:sz w:val="24"/>
        </w:rPr>
        <w:t>内容的除外]</w:t>
      </w:r>
      <w:r>
        <w:rPr>
          <w:snapToGrid w:val="0"/>
          <w:spacing w:val="4"/>
          <w:kern w:val="0"/>
          <w:sz w:val="24"/>
        </w:rPr>
        <w:t>；</w:t>
      </w:r>
    </w:p>
    <w:p w14:paraId="4B28C886">
      <w:pPr>
        <w:topLinePunct/>
        <w:adjustRightInd w:val="0"/>
        <w:snapToGrid w:val="0"/>
        <w:spacing w:line="360" w:lineRule="auto"/>
        <w:ind w:firstLine="496" w:firstLineChars="200"/>
        <w:rPr>
          <w:snapToGrid w:val="0"/>
          <w:spacing w:val="4"/>
          <w:kern w:val="0"/>
          <w:sz w:val="24"/>
        </w:rPr>
      </w:pPr>
      <w:r>
        <w:rPr>
          <w:snapToGrid w:val="0"/>
          <w:spacing w:val="4"/>
          <w:kern w:val="0"/>
          <w:sz w:val="24"/>
        </w:rPr>
        <w:t>（7）本合同标准条件；</w:t>
      </w:r>
    </w:p>
    <w:p w14:paraId="5BD67DBA">
      <w:pPr>
        <w:topLinePunct/>
        <w:adjustRightInd w:val="0"/>
        <w:snapToGrid w:val="0"/>
        <w:spacing w:line="360" w:lineRule="auto"/>
        <w:ind w:firstLine="496" w:firstLineChars="200"/>
        <w:rPr>
          <w:snapToGrid w:val="0"/>
          <w:spacing w:val="4"/>
          <w:kern w:val="0"/>
          <w:sz w:val="24"/>
        </w:rPr>
      </w:pPr>
      <w:r>
        <w:rPr>
          <w:snapToGrid w:val="0"/>
          <w:spacing w:val="4"/>
          <w:kern w:val="0"/>
          <w:sz w:val="24"/>
        </w:rPr>
        <w:t>（8）本合同工程监理招标文件</w:t>
      </w:r>
      <w:r>
        <w:rPr>
          <w:bCs/>
          <w:snapToGrid w:val="0"/>
          <w:spacing w:val="4"/>
          <w:kern w:val="0"/>
          <w:sz w:val="24"/>
        </w:rPr>
        <w:t>[含招标文件补充文件、澄清文件、答疑文件等，属本条第</w:t>
      </w:r>
      <w:r>
        <w:rPr>
          <w:bCs/>
          <w:snapToGrid w:val="0"/>
          <w:spacing w:val="4"/>
          <w:kern w:val="0"/>
          <w:sz w:val="24"/>
          <w:u w:val="wave"/>
        </w:rPr>
        <w:t>（6）</w:t>
      </w:r>
      <w:r>
        <w:rPr>
          <w:bCs/>
          <w:snapToGrid w:val="0"/>
          <w:spacing w:val="4"/>
          <w:kern w:val="0"/>
          <w:sz w:val="24"/>
        </w:rPr>
        <w:t>项内容的除外]</w:t>
      </w:r>
      <w:r>
        <w:rPr>
          <w:snapToGrid w:val="0"/>
          <w:spacing w:val="4"/>
          <w:kern w:val="0"/>
          <w:sz w:val="24"/>
        </w:rPr>
        <w:t>；</w:t>
      </w:r>
    </w:p>
    <w:p w14:paraId="7EB27BD8">
      <w:pPr>
        <w:topLinePunct/>
        <w:adjustRightInd w:val="0"/>
        <w:snapToGrid w:val="0"/>
        <w:spacing w:line="360" w:lineRule="auto"/>
        <w:ind w:firstLine="496" w:firstLineChars="200"/>
        <w:rPr>
          <w:snapToGrid w:val="0"/>
          <w:spacing w:val="4"/>
          <w:kern w:val="0"/>
          <w:sz w:val="24"/>
        </w:rPr>
      </w:pPr>
      <w:r>
        <w:rPr>
          <w:snapToGrid w:val="0"/>
          <w:spacing w:val="4"/>
          <w:kern w:val="0"/>
          <w:sz w:val="24"/>
        </w:rPr>
        <w:t>（9）监理人据此中标的本合同工程监理投标文件</w:t>
      </w:r>
      <w:r>
        <w:rPr>
          <w:bCs/>
          <w:snapToGrid w:val="0"/>
          <w:spacing w:val="4"/>
          <w:kern w:val="0"/>
          <w:sz w:val="24"/>
        </w:rPr>
        <w:t>[含投标文件澄清等，属</w:t>
      </w:r>
      <w:r>
        <w:rPr>
          <w:bCs/>
          <w:snapToGrid w:val="0"/>
          <w:spacing w:val="4"/>
          <w:kern w:val="0"/>
          <w:sz w:val="24"/>
          <w:u w:val="wave"/>
        </w:rPr>
        <w:t>本条第（6）项</w:t>
      </w:r>
      <w:r>
        <w:rPr>
          <w:bCs/>
          <w:snapToGrid w:val="0"/>
          <w:spacing w:val="4"/>
          <w:kern w:val="0"/>
          <w:sz w:val="24"/>
        </w:rPr>
        <w:t>内容的除外]</w:t>
      </w:r>
      <w:r>
        <w:rPr>
          <w:snapToGrid w:val="0"/>
          <w:spacing w:val="4"/>
          <w:kern w:val="0"/>
          <w:sz w:val="24"/>
        </w:rPr>
        <w:t>；</w:t>
      </w:r>
    </w:p>
    <w:p w14:paraId="38BBDAF1">
      <w:pPr>
        <w:topLinePunct/>
        <w:adjustRightInd w:val="0"/>
        <w:snapToGrid w:val="0"/>
        <w:spacing w:line="360" w:lineRule="auto"/>
        <w:ind w:firstLine="496" w:firstLineChars="200"/>
        <w:rPr>
          <w:snapToGrid w:val="0"/>
          <w:spacing w:val="4"/>
          <w:kern w:val="0"/>
          <w:sz w:val="24"/>
        </w:rPr>
      </w:pPr>
      <w:r>
        <w:rPr>
          <w:snapToGrid w:val="0"/>
          <w:spacing w:val="4"/>
          <w:kern w:val="0"/>
          <w:sz w:val="24"/>
        </w:rPr>
        <w:t>（10）组成本合同的其他文件。</w:t>
      </w:r>
    </w:p>
    <w:p w14:paraId="3D58A6CE">
      <w:pPr>
        <w:topLinePunct/>
        <w:adjustRightInd w:val="0"/>
        <w:snapToGrid w:val="0"/>
        <w:spacing w:line="360" w:lineRule="auto"/>
        <w:ind w:firstLine="480" w:firstLineChars="200"/>
        <w:rPr>
          <w:snapToGrid w:val="0"/>
          <w:kern w:val="0"/>
          <w:sz w:val="24"/>
        </w:rPr>
      </w:pPr>
      <w:r>
        <w:rPr>
          <w:snapToGrid w:val="0"/>
          <w:kern w:val="0"/>
          <w:sz w:val="24"/>
        </w:rPr>
        <w:t>通过上述顺序解释仍无法明确的事项，由委托人与监理人协商解决；如协商不成，由委托人按照公平合理和有利于本合同工程建设的原则作出决定，如监理人对此决定不服的，应在接到委托人决定之日起三日内提出书面异议。如期满不提出书面异议的，视为同意委托人的决定。委托人收到监理人的书面异议后应作出进一步的决定。如监理人仍有异议的，可按</w:t>
      </w:r>
      <w:r>
        <w:rPr>
          <w:bCs/>
          <w:snapToGrid w:val="0"/>
          <w:kern w:val="0"/>
          <w:sz w:val="24"/>
        </w:rPr>
        <w:t>本合同专用条件第</w:t>
      </w:r>
      <w:r>
        <w:rPr>
          <w:rFonts w:hint="eastAsia"/>
          <w:bCs/>
          <w:snapToGrid w:val="0"/>
          <w:kern w:val="0"/>
          <w:sz w:val="24"/>
        </w:rPr>
        <w:t>二</w:t>
      </w:r>
      <w:r>
        <w:rPr>
          <w:bCs/>
          <w:snapToGrid w:val="0"/>
          <w:kern w:val="0"/>
          <w:sz w:val="24"/>
        </w:rPr>
        <w:t>十九条</w:t>
      </w:r>
      <w:r>
        <w:rPr>
          <w:snapToGrid w:val="0"/>
          <w:kern w:val="0"/>
          <w:sz w:val="24"/>
        </w:rPr>
        <w:t>的约定处理，但在有关部门没有作出正式裁决之前，监理人必须无条件先行执行委托人的决定。</w:t>
      </w:r>
    </w:p>
    <w:p w14:paraId="7821F73F">
      <w:pPr>
        <w:topLinePunct/>
        <w:adjustRightInd w:val="0"/>
        <w:snapToGrid w:val="0"/>
        <w:spacing w:line="360" w:lineRule="auto"/>
        <w:ind w:firstLine="488" w:firstLineChars="196"/>
        <w:outlineLvl w:val="1"/>
        <w:rPr>
          <w:bCs/>
          <w:snapToGrid w:val="0"/>
          <w:kern w:val="0"/>
          <w:sz w:val="24"/>
          <w:szCs w:val="20"/>
        </w:rPr>
      </w:pPr>
      <w:r>
        <w:rPr>
          <w:b/>
          <w:bCs/>
          <w:snapToGrid w:val="0"/>
          <w:spacing w:val="4"/>
          <w:kern w:val="0"/>
          <w:sz w:val="24"/>
        </w:rPr>
        <w:t>第六条</w:t>
      </w:r>
      <w:r>
        <w:rPr>
          <w:bCs/>
          <w:snapToGrid w:val="0"/>
          <w:spacing w:val="4"/>
          <w:kern w:val="0"/>
          <w:sz w:val="24"/>
        </w:rPr>
        <w:t xml:space="preserve">  </w:t>
      </w:r>
      <w:r>
        <w:rPr>
          <w:b/>
          <w:bCs/>
          <w:snapToGrid w:val="0"/>
          <w:kern w:val="0"/>
          <w:sz w:val="24"/>
          <w:szCs w:val="20"/>
        </w:rPr>
        <w:t>主要人员信息提供</w:t>
      </w:r>
    </w:p>
    <w:p w14:paraId="15138D01">
      <w:pPr>
        <w:topLinePunct/>
        <w:adjustRightInd w:val="0"/>
        <w:snapToGrid w:val="0"/>
        <w:spacing w:line="360" w:lineRule="auto"/>
        <w:ind w:firstLine="496" w:firstLineChars="200"/>
        <w:rPr>
          <w:bCs/>
          <w:snapToGrid w:val="0"/>
          <w:spacing w:val="4"/>
          <w:kern w:val="0"/>
          <w:sz w:val="24"/>
        </w:rPr>
      </w:pPr>
      <w:r>
        <w:rPr>
          <w:bCs/>
          <w:snapToGrid w:val="0"/>
          <w:spacing w:val="4"/>
          <w:kern w:val="0"/>
          <w:sz w:val="24"/>
        </w:rPr>
        <w:t>监理人应在收到中标通知书之日起5日内以书面形式向委托人提交其法定代表人、项目总监理工程师、</w:t>
      </w:r>
      <w:r>
        <w:rPr>
          <w:bCs/>
          <w:snapToGrid w:val="0"/>
          <w:spacing w:val="-4"/>
          <w:kern w:val="0"/>
          <w:sz w:val="24"/>
        </w:rPr>
        <w:t>项目总监理工程师代表</w:t>
      </w:r>
      <w:r>
        <w:rPr>
          <w:bCs/>
          <w:snapToGrid w:val="0"/>
          <w:spacing w:val="4"/>
          <w:kern w:val="0"/>
          <w:sz w:val="24"/>
        </w:rPr>
        <w:t>的姓名、身份证复印件、职务、职称、联系方式（包括办公电话、手机、传真号码）、通信地址等信息作为合同附件。</w:t>
      </w:r>
    </w:p>
    <w:p w14:paraId="7DF8C215">
      <w:pPr>
        <w:topLinePunct/>
        <w:adjustRightInd w:val="0"/>
        <w:snapToGrid w:val="0"/>
        <w:spacing w:line="360" w:lineRule="auto"/>
        <w:ind w:firstLine="498" w:firstLineChars="200"/>
        <w:outlineLvl w:val="1"/>
        <w:rPr>
          <w:b/>
          <w:bCs/>
          <w:snapToGrid w:val="0"/>
          <w:spacing w:val="4"/>
          <w:kern w:val="0"/>
          <w:sz w:val="24"/>
        </w:rPr>
      </w:pPr>
      <w:r>
        <w:rPr>
          <w:b/>
          <w:bCs/>
          <w:snapToGrid w:val="0"/>
          <w:spacing w:val="4"/>
          <w:kern w:val="0"/>
          <w:sz w:val="24"/>
        </w:rPr>
        <w:t xml:space="preserve">第七条  </w:t>
      </w:r>
      <w:r>
        <w:rPr>
          <w:b/>
          <w:bCs/>
          <w:snapToGrid w:val="0"/>
          <w:kern w:val="0"/>
          <w:sz w:val="24"/>
          <w:szCs w:val="20"/>
        </w:rPr>
        <w:t>监理人资料变更</w:t>
      </w:r>
    </w:p>
    <w:p w14:paraId="6D9D8139">
      <w:pPr>
        <w:topLinePunct/>
        <w:adjustRightInd w:val="0"/>
        <w:snapToGrid w:val="0"/>
        <w:spacing w:line="360" w:lineRule="auto"/>
        <w:ind w:firstLine="496" w:firstLineChars="200"/>
        <w:rPr>
          <w:bCs/>
          <w:snapToGrid w:val="0"/>
          <w:spacing w:val="4"/>
          <w:kern w:val="0"/>
          <w:sz w:val="24"/>
        </w:rPr>
      </w:pPr>
      <w:r>
        <w:rPr>
          <w:bCs/>
          <w:snapToGrid w:val="0"/>
          <w:spacing w:val="4"/>
          <w:kern w:val="0"/>
          <w:sz w:val="24"/>
        </w:rPr>
        <w:t>在本合同有效期内，监理人的单位名称变更的，应及时以书面形式通知委托人并附上变更登记资料；监理人法定代表人变更的，应在变更后15日内向委托人提交新法定代表人的姓名、身份证复印件、职务、职称、联系电话、通信地址等信息。</w:t>
      </w:r>
    </w:p>
    <w:p w14:paraId="5A22FD15">
      <w:pPr>
        <w:topLinePunct/>
        <w:adjustRightInd w:val="0"/>
        <w:snapToGrid w:val="0"/>
        <w:spacing w:line="360" w:lineRule="auto"/>
        <w:ind w:firstLine="488" w:firstLineChars="196"/>
        <w:outlineLvl w:val="1"/>
        <w:rPr>
          <w:bCs/>
          <w:snapToGrid w:val="0"/>
          <w:kern w:val="0"/>
          <w:sz w:val="24"/>
          <w:szCs w:val="20"/>
        </w:rPr>
      </w:pPr>
      <w:r>
        <w:rPr>
          <w:b/>
          <w:bCs/>
          <w:snapToGrid w:val="0"/>
          <w:spacing w:val="4"/>
          <w:kern w:val="0"/>
          <w:sz w:val="24"/>
        </w:rPr>
        <w:t>第八条</w:t>
      </w:r>
      <w:r>
        <w:rPr>
          <w:bCs/>
          <w:snapToGrid w:val="0"/>
          <w:spacing w:val="4"/>
          <w:kern w:val="0"/>
          <w:sz w:val="24"/>
        </w:rPr>
        <w:t xml:space="preserve">  </w:t>
      </w:r>
      <w:r>
        <w:rPr>
          <w:b/>
          <w:bCs/>
          <w:snapToGrid w:val="0"/>
          <w:kern w:val="0"/>
          <w:sz w:val="24"/>
          <w:szCs w:val="20"/>
        </w:rPr>
        <w:t>人员变更</w:t>
      </w:r>
      <w:r>
        <w:rPr>
          <w:rFonts w:hint="eastAsia"/>
          <w:b/>
          <w:bCs/>
          <w:snapToGrid w:val="0"/>
          <w:kern w:val="0"/>
          <w:sz w:val="24"/>
          <w:szCs w:val="20"/>
        </w:rPr>
        <w:t>要求及</w:t>
      </w:r>
      <w:r>
        <w:rPr>
          <w:b/>
          <w:bCs/>
          <w:snapToGrid w:val="0"/>
          <w:kern w:val="0"/>
          <w:sz w:val="24"/>
          <w:szCs w:val="20"/>
        </w:rPr>
        <w:t>通知</w:t>
      </w:r>
    </w:p>
    <w:p w14:paraId="0915E409">
      <w:pPr>
        <w:topLinePunct/>
        <w:adjustRightInd w:val="0"/>
        <w:snapToGrid w:val="0"/>
        <w:spacing w:line="360" w:lineRule="auto"/>
        <w:ind w:firstLine="496" w:firstLineChars="200"/>
        <w:rPr>
          <w:bCs/>
          <w:snapToGrid w:val="0"/>
          <w:spacing w:val="4"/>
          <w:kern w:val="0"/>
          <w:sz w:val="24"/>
        </w:rPr>
      </w:pPr>
      <w:r>
        <w:rPr>
          <w:rFonts w:hint="eastAsia"/>
          <w:bCs/>
          <w:snapToGrid w:val="0"/>
          <w:spacing w:val="4"/>
          <w:kern w:val="0"/>
          <w:sz w:val="24"/>
        </w:rPr>
        <w:t>履约过程中，未经委托人同意，不得随意更换人员。如监理人派出工作人员不能胜任工作，委托人保留更换人员的权利。实际投入本项目监理人员配备标准不得低于投标文件承诺配备人员标准。</w:t>
      </w:r>
    </w:p>
    <w:p w14:paraId="3ED967B3">
      <w:pPr>
        <w:topLinePunct/>
        <w:adjustRightInd w:val="0"/>
        <w:snapToGrid w:val="0"/>
        <w:spacing w:line="360" w:lineRule="auto"/>
        <w:ind w:firstLine="496" w:firstLineChars="200"/>
        <w:rPr>
          <w:bCs/>
          <w:snapToGrid w:val="0"/>
          <w:spacing w:val="4"/>
          <w:kern w:val="0"/>
          <w:sz w:val="24"/>
        </w:rPr>
      </w:pPr>
      <w:r>
        <w:rPr>
          <w:bCs/>
          <w:snapToGrid w:val="0"/>
          <w:spacing w:val="4"/>
          <w:kern w:val="0"/>
          <w:sz w:val="24"/>
        </w:rPr>
        <w:t>在本合同有效期内，监理人更换项目总监理工程师、</w:t>
      </w:r>
      <w:r>
        <w:rPr>
          <w:bCs/>
          <w:snapToGrid w:val="0"/>
          <w:spacing w:val="-4"/>
          <w:kern w:val="0"/>
          <w:sz w:val="24"/>
        </w:rPr>
        <w:t>项目总监理工程师代表</w:t>
      </w:r>
      <w:r>
        <w:rPr>
          <w:bCs/>
          <w:snapToGrid w:val="0"/>
          <w:spacing w:val="4"/>
          <w:kern w:val="0"/>
          <w:sz w:val="24"/>
        </w:rPr>
        <w:t>的，应</w:t>
      </w:r>
      <w:r>
        <w:rPr>
          <w:rFonts w:hint="eastAsia"/>
          <w:bCs/>
          <w:snapToGrid w:val="0"/>
          <w:spacing w:val="4"/>
          <w:kern w:val="0"/>
          <w:sz w:val="24"/>
        </w:rPr>
        <w:t>提前</w:t>
      </w:r>
      <w:r>
        <w:rPr>
          <w:bCs/>
          <w:snapToGrid w:val="0"/>
          <w:spacing w:val="4"/>
          <w:kern w:val="0"/>
          <w:sz w:val="24"/>
        </w:rPr>
        <w:t>7日内将新项目总监理工程师、新</w:t>
      </w:r>
      <w:r>
        <w:rPr>
          <w:bCs/>
          <w:snapToGrid w:val="0"/>
          <w:spacing w:val="-4"/>
          <w:kern w:val="0"/>
          <w:sz w:val="24"/>
        </w:rPr>
        <w:t>项目总监理工程师代表</w:t>
      </w:r>
      <w:r>
        <w:rPr>
          <w:bCs/>
          <w:snapToGrid w:val="0"/>
          <w:spacing w:val="4"/>
          <w:kern w:val="0"/>
          <w:sz w:val="24"/>
        </w:rPr>
        <w:t>的姓名、职务、职称、联系电话、通信地址</w:t>
      </w:r>
      <w:r>
        <w:rPr>
          <w:rFonts w:hint="eastAsia"/>
          <w:bCs/>
          <w:snapToGrid w:val="0"/>
          <w:spacing w:val="4"/>
          <w:kern w:val="0"/>
          <w:sz w:val="24"/>
        </w:rPr>
        <w:t>、执业资格、工作履历</w:t>
      </w:r>
      <w:r>
        <w:rPr>
          <w:bCs/>
          <w:snapToGrid w:val="0"/>
          <w:spacing w:val="4"/>
          <w:kern w:val="0"/>
          <w:sz w:val="24"/>
        </w:rPr>
        <w:t>等信息</w:t>
      </w:r>
      <w:r>
        <w:rPr>
          <w:rFonts w:hint="eastAsia"/>
          <w:bCs/>
          <w:snapToGrid w:val="0"/>
          <w:spacing w:val="4"/>
          <w:kern w:val="0"/>
          <w:sz w:val="24"/>
        </w:rPr>
        <w:t>书面</w:t>
      </w:r>
      <w:r>
        <w:rPr>
          <w:bCs/>
          <w:snapToGrid w:val="0"/>
          <w:spacing w:val="4"/>
          <w:kern w:val="0"/>
          <w:sz w:val="24"/>
        </w:rPr>
        <w:t>提交给委托人</w:t>
      </w:r>
      <w:r>
        <w:rPr>
          <w:rFonts w:hint="eastAsia"/>
          <w:bCs/>
          <w:snapToGrid w:val="0"/>
          <w:spacing w:val="4"/>
          <w:kern w:val="0"/>
          <w:sz w:val="24"/>
        </w:rPr>
        <w:t>，经委托人审核同意且拟更换人员已到达项目现场交接完毕后，方可正式更换</w:t>
      </w:r>
      <w:r>
        <w:rPr>
          <w:bCs/>
          <w:snapToGrid w:val="0"/>
          <w:spacing w:val="4"/>
          <w:kern w:val="0"/>
          <w:sz w:val="24"/>
        </w:rPr>
        <w:t>。</w:t>
      </w:r>
    </w:p>
    <w:p w14:paraId="249D2106">
      <w:pPr>
        <w:topLinePunct/>
        <w:adjustRightInd w:val="0"/>
        <w:snapToGrid w:val="0"/>
        <w:spacing w:line="360" w:lineRule="auto"/>
        <w:ind w:firstLine="496" w:firstLineChars="200"/>
        <w:rPr>
          <w:bCs/>
          <w:snapToGrid w:val="0"/>
          <w:spacing w:val="4"/>
          <w:kern w:val="0"/>
          <w:sz w:val="24"/>
        </w:rPr>
      </w:pPr>
      <w:bookmarkStart w:id="493" w:name="_Toc82141021"/>
      <w:bookmarkStart w:id="494" w:name="_Toc115711030"/>
      <w:bookmarkStart w:id="495" w:name="_Toc122759215"/>
      <w:bookmarkStart w:id="496" w:name="_Toc114119682"/>
      <w:r>
        <w:rPr>
          <w:rFonts w:hint="eastAsia"/>
          <w:bCs/>
          <w:snapToGrid w:val="0"/>
          <w:spacing w:val="4"/>
          <w:kern w:val="0"/>
          <w:sz w:val="24"/>
        </w:rPr>
        <w:t>若实际投入的监理人员数量不足或资质不符合投标文件承诺标准，每发生一次，监理人应在收到委托人通知后3日内完成整改。若3日内未完成整改的，视为一般违约，承担一般违约责任1次；累计发生3次的，委托人有权解除本合同，并要求监理人支付合同金额10%的违约金，赔偿由此给委托人造成的损失。</w:t>
      </w:r>
    </w:p>
    <w:p w14:paraId="39963C17">
      <w:pPr>
        <w:topLinePunct/>
        <w:adjustRightInd w:val="0"/>
        <w:snapToGrid w:val="0"/>
        <w:spacing w:line="360" w:lineRule="auto"/>
        <w:ind w:firstLine="498" w:firstLineChars="200"/>
        <w:outlineLvl w:val="1"/>
        <w:rPr>
          <w:b/>
          <w:snapToGrid w:val="0"/>
          <w:spacing w:val="4"/>
          <w:kern w:val="0"/>
          <w:sz w:val="24"/>
        </w:rPr>
      </w:pPr>
      <w:r>
        <w:rPr>
          <w:b/>
          <w:snapToGrid w:val="0"/>
          <w:spacing w:val="4"/>
          <w:kern w:val="0"/>
          <w:sz w:val="24"/>
        </w:rPr>
        <w:t>第九条  信息管理要求</w:t>
      </w:r>
    </w:p>
    <w:p w14:paraId="00F27092">
      <w:pPr>
        <w:topLinePunct/>
        <w:adjustRightInd w:val="0"/>
        <w:snapToGrid w:val="0"/>
        <w:spacing w:line="360" w:lineRule="auto"/>
        <w:ind w:firstLine="496" w:firstLineChars="200"/>
        <w:rPr>
          <w:snapToGrid w:val="0"/>
          <w:spacing w:val="4"/>
          <w:kern w:val="0"/>
          <w:sz w:val="24"/>
        </w:rPr>
      </w:pPr>
      <w:r>
        <w:rPr>
          <w:snapToGrid w:val="0"/>
          <w:spacing w:val="4"/>
          <w:kern w:val="0"/>
          <w:sz w:val="24"/>
        </w:rPr>
        <w:t>委托人已建立工程信息管理系统，监理人应投入足够的人员并配备足够的设备与该系统连接，确保及时准确地按委托人要求进行信息沟通及管理。</w:t>
      </w:r>
    </w:p>
    <w:p w14:paraId="3867B1D6">
      <w:pPr>
        <w:topLinePunct/>
        <w:adjustRightInd w:val="0"/>
        <w:snapToGrid w:val="0"/>
        <w:spacing w:line="360" w:lineRule="auto"/>
        <w:ind w:firstLine="498" w:firstLineChars="200"/>
        <w:outlineLvl w:val="1"/>
        <w:rPr>
          <w:b/>
          <w:bCs/>
          <w:snapToGrid w:val="0"/>
          <w:spacing w:val="4"/>
          <w:kern w:val="0"/>
          <w:sz w:val="24"/>
        </w:rPr>
      </w:pPr>
      <w:r>
        <w:rPr>
          <w:b/>
          <w:bCs/>
          <w:snapToGrid w:val="0"/>
          <w:spacing w:val="4"/>
          <w:kern w:val="0"/>
          <w:sz w:val="24"/>
        </w:rPr>
        <w:t>第十条  综合考评的要求</w:t>
      </w:r>
    </w:p>
    <w:p w14:paraId="6AECB691">
      <w:pPr>
        <w:topLinePunct/>
        <w:adjustRightInd w:val="0"/>
        <w:snapToGrid w:val="0"/>
        <w:spacing w:line="360" w:lineRule="auto"/>
        <w:ind w:firstLine="496" w:firstLineChars="200"/>
        <w:rPr>
          <w:bCs/>
          <w:snapToGrid w:val="0"/>
          <w:spacing w:val="4"/>
          <w:kern w:val="0"/>
          <w:sz w:val="24"/>
        </w:rPr>
      </w:pPr>
      <w:r>
        <w:rPr>
          <w:snapToGrid w:val="0"/>
          <w:spacing w:val="4"/>
          <w:kern w:val="0"/>
          <w:sz w:val="24"/>
        </w:rPr>
        <w:t>鉴于本合同工程的重要性，为确保本合同工程质量，委托人将对参与本合同项目建设的设计、施工、监理等单位进行综合考评，并根据综合考评的结果按照相关规定执行</w:t>
      </w:r>
      <w:r>
        <w:rPr>
          <w:bCs/>
          <w:snapToGrid w:val="0"/>
          <w:spacing w:val="4"/>
          <w:kern w:val="0"/>
          <w:sz w:val="24"/>
        </w:rPr>
        <w:t>。</w:t>
      </w:r>
    </w:p>
    <w:p w14:paraId="590A0204">
      <w:pPr>
        <w:topLinePunct/>
        <w:adjustRightInd w:val="0"/>
        <w:snapToGrid w:val="0"/>
        <w:spacing w:line="360" w:lineRule="auto"/>
        <w:ind w:firstLine="498" w:firstLineChars="200"/>
        <w:outlineLvl w:val="1"/>
        <w:rPr>
          <w:b/>
          <w:bCs/>
          <w:snapToGrid w:val="0"/>
          <w:spacing w:val="4"/>
          <w:kern w:val="0"/>
          <w:sz w:val="24"/>
        </w:rPr>
      </w:pPr>
      <w:r>
        <w:rPr>
          <w:b/>
          <w:bCs/>
          <w:snapToGrid w:val="0"/>
          <w:spacing w:val="4"/>
          <w:kern w:val="0"/>
          <w:sz w:val="24"/>
        </w:rPr>
        <w:t>第十</w:t>
      </w:r>
      <w:r>
        <w:rPr>
          <w:b/>
          <w:snapToGrid w:val="0"/>
          <w:spacing w:val="4"/>
          <w:kern w:val="0"/>
          <w:sz w:val="24"/>
        </w:rPr>
        <w:t>一</w:t>
      </w:r>
      <w:r>
        <w:rPr>
          <w:b/>
          <w:bCs/>
          <w:snapToGrid w:val="0"/>
          <w:spacing w:val="4"/>
          <w:kern w:val="0"/>
          <w:sz w:val="24"/>
        </w:rPr>
        <w:t>条  合同的生效与终止</w:t>
      </w:r>
    </w:p>
    <w:p w14:paraId="56EB292E">
      <w:pPr>
        <w:topLinePunct/>
        <w:adjustRightInd w:val="0"/>
        <w:snapToGrid w:val="0"/>
        <w:spacing w:line="360" w:lineRule="auto"/>
        <w:ind w:firstLine="496" w:firstLineChars="200"/>
        <w:rPr>
          <w:bCs/>
          <w:snapToGrid w:val="0"/>
          <w:spacing w:val="4"/>
          <w:kern w:val="0"/>
          <w:sz w:val="24"/>
        </w:rPr>
      </w:pPr>
      <w:r>
        <w:rPr>
          <w:snapToGrid w:val="0"/>
          <w:spacing w:val="4"/>
          <w:kern w:val="0"/>
          <w:sz w:val="24"/>
          <w:lang w:val="zh-CN"/>
        </w:rPr>
        <w:t>本合同自</w:t>
      </w:r>
      <w:r>
        <w:rPr>
          <w:snapToGrid w:val="0"/>
          <w:spacing w:val="4"/>
          <w:kern w:val="0"/>
          <w:sz w:val="24"/>
        </w:rPr>
        <w:t>委托人、监理人双</w:t>
      </w:r>
      <w:r>
        <w:rPr>
          <w:snapToGrid w:val="0"/>
          <w:spacing w:val="4"/>
          <w:kern w:val="0"/>
          <w:sz w:val="24"/>
          <w:lang w:val="zh-CN"/>
        </w:rPr>
        <w:t>方盖章</w:t>
      </w:r>
      <w:r>
        <w:rPr>
          <w:bCs/>
          <w:snapToGrid w:val="0"/>
          <w:spacing w:val="4"/>
          <w:kern w:val="0"/>
          <w:sz w:val="24"/>
        </w:rPr>
        <w:t>，且法定代表人（或委托代理人）签字或者盖章后生效。以下三个条件均满足后，</w:t>
      </w:r>
      <w:r>
        <w:rPr>
          <w:snapToGrid w:val="0"/>
          <w:spacing w:val="4"/>
          <w:kern w:val="0"/>
          <w:sz w:val="24"/>
        </w:rPr>
        <w:t>双</w:t>
      </w:r>
      <w:r>
        <w:rPr>
          <w:snapToGrid w:val="0"/>
          <w:spacing w:val="4"/>
          <w:kern w:val="0"/>
          <w:sz w:val="24"/>
          <w:lang w:val="zh-CN"/>
        </w:rPr>
        <w:t>方</w:t>
      </w:r>
      <w:r>
        <w:rPr>
          <w:bCs/>
          <w:snapToGrid w:val="0"/>
          <w:spacing w:val="4"/>
          <w:kern w:val="0"/>
          <w:sz w:val="24"/>
        </w:rPr>
        <w:t>终止本合同的执行：</w:t>
      </w:r>
    </w:p>
    <w:p w14:paraId="04D7AE87">
      <w:pPr>
        <w:topLinePunct/>
        <w:adjustRightInd w:val="0"/>
        <w:snapToGrid w:val="0"/>
        <w:spacing w:line="360" w:lineRule="auto"/>
        <w:ind w:firstLine="496" w:firstLineChars="200"/>
        <w:rPr>
          <w:bCs/>
          <w:snapToGrid w:val="0"/>
          <w:spacing w:val="4"/>
          <w:kern w:val="0"/>
          <w:sz w:val="24"/>
        </w:rPr>
      </w:pPr>
      <w:r>
        <w:rPr>
          <w:bCs/>
          <w:snapToGrid w:val="0"/>
          <w:spacing w:val="4"/>
          <w:kern w:val="0"/>
          <w:sz w:val="24"/>
        </w:rPr>
        <w:t>（1）本合同工程质量保修期届满；</w:t>
      </w:r>
    </w:p>
    <w:p w14:paraId="4DF0B6AF">
      <w:pPr>
        <w:topLinePunct/>
        <w:adjustRightInd w:val="0"/>
        <w:snapToGrid w:val="0"/>
        <w:spacing w:line="360" w:lineRule="auto"/>
        <w:ind w:firstLine="496" w:firstLineChars="200"/>
        <w:rPr>
          <w:bCs/>
          <w:snapToGrid w:val="0"/>
          <w:spacing w:val="4"/>
          <w:kern w:val="0"/>
          <w:sz w:val="24"/>
        </w:rPr>
      </w:pPr>
      <w:r>
        <w:rPr>
          <w:bCs/>
          <w:snapToGrid w:val="0"/>
          <w:spacing w:val="4"/>
          <w:kern w:val="0"/>
          <w:sz w:val="24"/>
        </w:rPr>
        <w:t>（2）本合同工程</w:t>
      </w:r>
      <w:r>
        <w:rPr>
          <w:rFonts w:hint="eastAsia"/>
          <w:bCs/>
          <w:snapToGrid w:val="0"/>
          <w:spacing w:val="4"/>
          <w:kern w:val="0"/>
          <w:sz w:val="24"/>
        </w:rPr>
        <w:t>竣工结算完成；</w:t>
      </w:r>
    </w:p>
    <w:p w14:paraId="323EF398">
      <w:pPr>
        <w:topLinePunct/>
        <w:adjustRightInd w:val="0"/>
        <w:snapToGrid w:val="0"/>
        <w:spacing w:line="360" w:lineRule="auto"/>
        <w:ind w:firstLine="496" w:firstLineChars="200"/>
        <w:rPr>
          <w:bCs/>
          <w:snapToGrid w:val="0"/>
          <w:spacing w:val="4"/>
          <w:kern w:val="0"/>
          <w:sz w:val="24"/>
        </w:rPr>
      </w:pPr>
      <w:r>
        <w:rPr>
          <w:bCs/>
          <w:snapToGrid w:val="0"/>
          <w:spacing w:val="4"/>
          <w:kern w:val="0"/>
          <w:sz w:val="24"/>
        </w:rPr>
        <w:t>（3）双方在本合同项下的责任承担、义务履行均告完毕。</w:t>
      </w:r>
    </w:p>
    <w:p w14:paraId="226FDF08">
      <w:pPr>
        <w:topLinePunct/>
        <w:adjustRightInd w:val="0"/>
        <w:snapToGrid w:val="0"/>
        <w:spacing w:line="360" w:lineRule="auto"/>
        <w:ind w:firstLine="498" w:firstLineChars="200"/>
        <w:outlineLvl w:val="1"/>
        <w:rPr>
          <w:b/>
          <w:snapToGrid w:val="0"/>
          <w:spacing w:val="4"/>
          <w:kern w:val="0"/>
          <w:sz w:val="24"/>
        </w:rPr>
      </w:pPr>
      <w:r>
        <w:rPr>
          <w:b/>
          <w:snapToGrid w:val="0"/>
          <w:spacing w:val="4"/>
          <w:kern w:val="0"/>
          <w:sz w:val="24"/>
        </w:rPr>
        <w:t>第十二条  合同文本的份数</w:t>
      </w:r>
    </w:p>
    <w:p w14:paraId="7B46E3D9">
      <w:pPr>
        <w:topLinePunct/>
        <w:adjustRightInd w:val="0"/>
        <w:snapToGrid w:val="0"/>
        <w:spacing w:line="360" w:lineRule="auto"/>
        <w:ind w:firstLine="496" w:firstLineChars="200"/>
        <w:outlineLvl w:val="1"/>
        <w:rPr>
          <w:bCs/>
          <w:snapToGrid w:val="0"/>
          <w:spacing w:val="4"/>
          <w:kern w:val="0"/>
          <w:sz w:val="24"/>
          <w:szCs w:val="21"/>
        </w:rPr>
      </w:pPr>
      <w:r>
        <w:rPr>
          <w:bCs/>
          <w:snapToGrid w:val="0"/>
          <w:spacing w:val="4"/>
          <w:kern w:val="0"/>
          <w:sz w:val="24"/>
          <w:szCs w:val="21"/>
        </w:rPr>
        <w:t>本合同一式</w:t>
      </w:r>
      <w:r>
        <w:rPr>
          <w:rFonts w:hint="eastAsia"/>
          <w:bCs/>
          <w:snapToGrid w:val="0"/>
          <w:spacing w:val="4"/>
          <w:kern w:val="0"/>
          <w:sz w:val="24"/>
          <w:szCs w:val="21"/>
        </w:rPr>
        <w:t>捌</w:t>
      </w:r>
      <w:r>
        <w:rPr>
          <w:bCs/>
          <w:snapToGrid w:val="0"/>
          <w:spacing w:val="4"/>
          <w:kern w:val="0"/>
          <w:sz w:val="24"/>
          <w:szCs w:val="21"/>
        </w:rPr>
        <w:t>份，委托人执</w:t>
      </w:r>
      <w:r>
        <w:rPr>
          <w:rFonts w:hint="eastAsia"/>
          <w:bCs/>
          <w:snapToGrid w:val="0"/>
          <w:spacing w:val="4"/>
          <w:kern w:val="0"/>
          <w:sz w:val="24"/>
          <w:szCs w:val="21"/>
        </w:rPr>
        <w:t>陆</w:t>
      </w:r>
      <w:r>
        <w:rPr>
          <w:bCs/>
          <w:snapToGrid w:val="0"/>
          <w:spacing w:val="4"/>
          <w:kern w:val="0"/>
          <w:sz w:val="24"/>
          <w:szCs w:val="21"/>
        </w:rPr>
        <w:t>份，监理人执</w:t>
      </w:r>
      <w:r>
        <w:rPr>
          <w:rFonts w:hint="eastAsia"/>
          <w:bCs/>
          <w:snapToGrid w:val="0"/>
          <w:spacing w:val="4"/>
          <w:kern w:val="0"/>
          <w:sz w:val="24"/>
          <w:szCs w:val="21"/>
        </w:rPr>
        <w:t>贰</w:t>
      </w:r>
      <w:r>
        <w:rPr>
          <w:bCs/>
          <w:snapToGrid w:val="0"/>
          <w:spacing w:val="4"/>
          <w:kern w:val="0"/>
          <w:sz w:val="24"/>
          <w:szCs w:val="21"/>
        </w:rPr>
        <w:t>份。</w:t>
      </w:r>
    </w:p>
    <w:p w14:paraId="60E54528">
      <w:pPr>
        <w:topLinePunct/>
        <w:adjustRightInd w:val="0"/>
        <w:snapToGrid w:val="0"/>
        <w:spacing w:line="360" w:lineRule="auto"/>
        <w:ind w:firstLine="498" w:firstLineChars="200"/>
        <w:outlineLvl w:val="1"/>
        <w:rPr>
          <w:b/>
          <w:snapToGrid w:val="0"/>
          <w:spacing w:val="4"/>
          <w:kern w:val="0"/>
          <w:sz w:val="24"/>
        </w:rPr>
      </w:pPr>
      <w:r>
        <w:rPr>
          <w:b/>
          <w:snapToGrid w:val="0"/>
          <w:spacing w:val="4"/>
          <w:kern w:val="0"/>
          <w:sz w:val="24"/>
        </w:rPr>
        <w:t>第十三条  其它约定事项</w:t>
      </w:r>
    </w:p>
    <w:p w14:paraId="3B089AE5">
      <w:pPr>
        <w:topLinePunct/>
        <w:adjustRightInd w:val="0"/>
        <w:snapToGrid w:val="0"/>
        <w:spacing w:line="360" w:lineRule="auto"/>
        <w:ind w:firstLine="496" w:firstLineChars="200"/>
        <w:outlineLvl w:val="1"/>
        <w:rPr>
          <w:snapToGrid w:val="0"/>
          <w:spacing w:val="4"/>
          <w:kern w:val="0"/>
          <w:sz w:val="24"/>
          <w:u w:val="single"/>
        </w:rPr>
      </w:pPr>
      <w:r>
        <w:rPr>
          <w:snapToGrid w:val="0"/>
          <w:spacing w:val="4"/>
          <w:kern w:val="0"/>
          <w:sz w:val="24"/>
        </w:rPr>
        <w:t>（1）本合同工程总监理工程师姓名：</w:t>
      </w:r>
      <w:r>
        <w:rPr>
          <w:snapToGrid w:val="0"/>
          <w:spacing w:val="4"/>
          <w:kern w:val="0"/>
          <w:sz w:val="24"/>
          <w:u w:val="single"/>
        </w:rPr>
        <w:t xml:space="preserve">    </w:t>
      </w:r>
      <w:r>
        <w:rPr>
          <w:snapToGrid w:val="0"/>
          <w:spacing w:val="4"/>
          <w:kern w:val="0"/>
          <w:sz w:val="24"/>
        </w:rPr>
        <w:t xml:space="preserve"> ，职务（职称）：</w:t>
      </w:r>
      <w:r>
        <w:rPr>
          <w:snapToGrid w:val="0"/>
          <w:spacing w:val="4"/>
          <w:kern w:val="0"/>
          <w:sz w:val="24"/>
          <w:u w:val="single"/>
        </w:rPr>
        <w:t xml:space="preserve">    </w:t>
      </w:r>
      <w:r>
        <w:rPr>
          <w:snapToGrid w:val="0"/>
          <w:spacing w:val="4"/>
          <w:kern w:val="0"/>
          <w:sz w:val="24"/>
        </w:rPr>
        <w:t>。</w:t>
      </w:r>
    </w:p>
    <w:p w14:paraId="3C3F05B1">
      <w:pPr>
        <w:topLinePunct/>
        <w:adjustRightInd w:val="0"/>
        <w:snapToGrid w:val="0"/>
        <w:spacing w:line="360" w:lineRule="auto"/>
        <w:ind w:firstLine="496" w:firstLineChars="200"/>
        <w:rPr>
          <w:snapToGrid w:val="0"/>
          <w:spacing w:val="4"/>
          <w:kern w:val="0"/>
          <w:sz w:val="24"/>
        </w:rPr>
      </w:pPr>
      <w:r>
        <w:rPr>
          <w:rFonts w:hint="eastAsia"/>
          <w:snapToGrid w:val="0"/>
          <w:spacing w:val="4"/>
          <w:kern w:val="0"/>
          <w:sz w:val="24"/>
        </w:rPr>
        <w:t>（2）本合同中对监理人的要求，按照招标文件要求及中标单位投标文件中实际响应的执行。</w:t>
      </w:r>
    </w:p>
    <w:p w14:paraId="2597A813">
      <w:pPr>
        <w:topLinePunct/>
        <w:adjustRightInd w:val="0"/>
        <w:snapToGrid w:val="0"/>
        <w:spacing w:line="360" w:lineRule="auto"/>
        <w:ind w:firstLine="496" w:firstLineChars="200"/>
        <w:rPr>
          <w:snapToGrid w:val="0"/>
          <w:spacing w:val="4"/>
          <w:kern w:val="0"/>
          <w:sz w:val="24"/>
        </w:rPr>
      </w:pPr>
      <w:r>
        <w:rPr>
          <w:snapToGrid w:val="0"/>
          <w:spacing w:val="4"/>
          <w:kern w:val="0"/>
          <w:sz w:val="24"/>
        </w:rPr>
        <w:t>（</w:t>
      </w:r>
      <w:r>
        <w:rPr>
          <w:rFonts w:hint="eastAsia"/>
          <w:snapToGrid w:val="0"/>
          <w:spacing w:val="4"/>
          <w:kern w:val="0"/>
          <w:sz w:val="24"/>
        </w:rPr>
        <w:t>3</w:t>
      </w:r>
      <w:r>
        <w:rPr>
          <w:snapToGrid w:val="0"/>
          <w:spacing w:val="4"/>
          <w:kern w:val="0"/>
          <w:sz w:val="24"/>
        </w:rPr>
        <w:t>）驻场人员：</w:t>
      </w:r>
    </w:p>
    <w:p w14:paraId="4E697882">
      <w:pPr>
        <w:topLinePunct/>
        <w:adjustRightInd w:val="0"/>
        <w:snapToGrid w:val="0"/>
        <w:spacing w:line="360" w:lineRule="auto"/>
        <w:ind w:firstLine="496" w:firstLineChars="200"/>
        <w:rPr>
          <w:snapToGrid w:val="0"/>
          <w:spacing w:val="4"/>
          <w:kern w:val="0"/>
          <w:sz w:val="24"/>
        </w:rPr>
      </w:pPr>
      <w:r>
        <w:rPr>
          <w:rFonts w:hint="eastAsia"/>
          <w:snapToGrid w:val="0"/>
          <w:spacing w:val="4"/>
          <w:kern w:val="0"/>
          <w:sz w:val="24"/>
        </w:rPr>
        <w:t>监理人应在本合同签订之日起 个工作日内，编制并向委托人提交一份详细的《人员派驻计划表》。该计划表需列明各阶段拟派驻人员的数量、专业资质、计划进场时间、驻场服务周期。《人员派驻计划表》需经委托人审核批准后实施，该表作为委托人对监理人 “人员派驻履约情况” 的考核依据，考核结果将与监理服务费支付、履约评价挂钩。未经委托人书面批准，监理人不得擅自变更《人员派驻计划表》中的人员、时间或专业配置；确需变更的，需提前  个工作日向委托人提交书面变更申请，说明变更理由及替代人员资质情况，经委托人批准后方可执行，变更后内容同步纳入考核依据。</w:t>
      </w:r>
    </w:p>
    <w:p w14:paraId="1F42D7CE">
      <w:pPr>
        <w:topLinePunct/>
        <w:adjustRightInd w:val="0"/>
        <w:snapToGrid w:val="0"/>
        <w:spacing w:line="360" w:lineRule="auto"/>
        <w:ind w:firstLine="496" w:firstLineChars="200"/>
        <w:rPr>
          <w:snapToGrid w:val="0"/>
          <w:spacing w:val="4"/>
          <w:kern w:val="0"/>
          <w:sz w:val="24"/>
        </w:rPr>
      </w:pPr>
      <w:r>
        <w:rPr>
          <w:snapToGrid w:val="0"/>
          <w:spacing w:val="4"/>
          <w:kern w:val="0"/>
          <w:sz w:val="24"/>
        </w:rPr>
        <w:t>所有</w:t>
      </w:r>
      <w:r>
        <w:rPr>
          <w:sz w:val="24"/>
        </w:rPr>
        <w:t>驻场服务人员须通过委托人的考核，其工作内容由委托人统一安排；驻场服务人员相</w:t>
      </w:r>
      <w:r>
        <w:rPr>
          <w:rFonts w:hint="eastAsia"/>
          <w:snapToGrid w:val="0"/>
          <w:spacing w:val="4"/>
          <w:kern w:val="0"/>
          <w:sz w:val="24"/>
        </w:rPr>
        <w:t>关费用已包含在监理酬金总额中</w:t>
      </w:r>
      <w:r>
        <w:rPr>
          <w:snapToGrid w:val="0"/>
          <w:spacing w:val="4"/>
          <w:kern w:val="0"/>
          <w:sz w:val="24"/>
        </w:rPr>
        <w:t>，不再另行计取。</w:t>
      </w:r>
    </w:p>
    <w:p w14:paraId="0881C6C5">
      <w:pPr>
        <w:topLinePunct/>
        <w:adjustRightInd w:val="0"/>
        <w:spacing w:line="360" w:lineRule="auto"/>
        <w:ind w:firstLine="496" w:firstLineChars="200"/>
        <w:rPr>
          <w:snapToGrid w:val="0"/>
          <w:spacing w:val="4"/>
          <w:kern w:val="0"/>
          <w:sz w:val="24"/>
        </w:rPr>
      </w:pPr>
      <w:r>
        <w:rPr>
          <w:rFonts w:hint="eastAsia"/>
          <w:snapToGrid w:val="0"/>
          <w:spacing w:val="4"/>
          <w:kern w:val="0"/>
          <w:sz w:val="24"/>
        </w:rPr>
        <w:t xml:space="preserve">（4）双方一致确认，监理人联系地址: </w:t>
      </w:r>
      <w:r>
        <w:rPr>
          <w:snapToGrid w:val="0"/>
          <w:spacing w:val="4"/>
          <w:kern w:val="0"/>
          <w:sz w:val="24"/>
          <w:u w:val="none"/>
        </w:rPr>
        <w:t xml:space="preserve">   </w:t>
      </w:r>
      <w:r>
        <w:rPr>
          <w:rFonts w:hint="eastAsia"/>
          <w:snapToGrid w:val="0"/>
          <w:spacing w:val="4"/>
          <w:kern w:val="0"/>
          <w:sz w:val="24"/>
        </w:rPr>
        <w:t>联系人：    联系方式:</w:t>
      </w:r>
      <w:r>
        <w:rPr>
          <w:snapToGrid w:val="0"/>
          <w:spacing w:val="4"/>
          <w:kern w:val="0"/>
          <w:sz w:val="24"/>
          <w:u w:val="none"/>
        </w:rPr>
        <w:t xml:space="preserve">    </w:t>
      </w:r>
      <w:r>
        <w:rPr>
          <w:rFonts w:hint="eastAsia"/>
          <w:snapToGrid w:val="0"/>
          <w:spacing w:val="4"/>
          <w:kern w:val="0"/>
          <w:sz w:val="24"/>
        </w:rPr>
        <w:t>，在本合同履行过程中及因本合同发生纠纷时各类通知、文件、法律文书等的有效送达地址。该送达地址适用于包括但不限于合同履行过程中的各类通知、协商函件、催款函、解除合同通知、仲裁文书、法院传票、判决书、裁定书等。若一方变更其送达地址，应在变更后的   个工作日内以书面形式通知对方。否则，原送达地址仍视为有效送达地址，因未及时通知导致通知无法送达或延误送达的后果由变更方自行承担。</w:t>
      </w:r>
    </w:p>
    <w:p w14:paraId="13DC525D">
      <w:pPr>
        <w:rPr>
          <w:snapToGrid w:val="0"/>
          <w:spacing w:val="4"/>
          <w:kern w:val="0"/>
          <w:sz w:val="24"/>
        </w:rPr>
      </w:pPr>
      <w:r>
        <w:rPr>
          <w:snapToGrid w:val="0"/>
          <w:spacing w:val="4"/>
          <w:kern w:val="0"/>
          <w:sz w:val="24"/>
        </w:rPr>
        <w:br w:type="page"/>
      </w:r>
    </w:p>
    <w:p w14:paraId="13A52182">
      <w:pPr>
        <w:pStyle w:val="2"/>
        <w:rPr>
          <w:snapToGrid w:val="0"/>
          <w:spacing w:val="4"/>
          <w:sz w:val="24"/>
        </w:rPr>
      </w:pPr>
    </w:p>
    <w:p w14:paraId="18B475A5">
      <w:pPr>
        <w:topLinePunct/>
        <w:adjustRightInd w:val="0"/>
        <w:snapToGrid w:val="0"/>
        <w:spacing w:line="360" w:lineRule="auto"/>
        <w:ind w:firstLine="496" w:firstLineChars="200"/>
        <w:jc w:val="center"/>
        <w:rPr>
          <w:rFonts w:ascii="Times New Roman" w:hAnsi="Times New Roman"/>
          <w:snapToGrid w:val="0"/>
          <w:spacing w:val="4"/>
          <w:kern w:val="0"/>
          <w:sz w:val="24"/>
        </w:rPr>
      </w:pPr>
      <w:r>
        <w:rPr>
          <w:rFonts w:hint="eastAsia" w:ascii="Times New Roman" w:hAnsi="Times New Roman"/>
          <w:snapToGrid w:val="0"/>
          <w:spacing w:val="4"/>
          <w:kern w:val="0"/>
          <w:sz w:val="24"/>
        </w:rPr>
        <w:t>（</w:t>
      </w:r>
      <w:r>
        <w:rPr>
          <w:rFonts w:ascii="Times New Roman" w:hAnsi="Times New Roman"/>
          <w:snapToGrid w:val="0"/>
          <w:spacing w:val="4"/>
          <w:kern w:val="0"/>
          <w:sz w:val="24"/>
        </w:rPr>
        <w:t>此页以下无正文）</w:t>
      </w:r>
    </w:p>
    <w:p w14:paraId="2B2694D9">
      <w:pPr>
        <w:topLinePunct/>
        <w:adjustRightInd w:val="0"/>
        <w:snapToGrid w:val="0"/>
        <w:spacing w:line="360" w:lineRule="auto"/>
        <w:ind w:firstLine="496" w:firstLineChars="200"/>
        <w:rPr>
          <w:rFonts w:ascii="Times New Roman" w:hAnsi="Times New Roman"/>
          <w:snapToGrid w:val="0"/>
          <w:spacing w:val="4"/>
          <w:kern w:val="0"/>
          <w:sz w:val="24"/>
        </w:rPr>
      </w:pPr>
    </w:p>
    <w:p w14:paraId="64DC5F17">
      <w:pPr>
        <w:topLinePunct/>
        <w:adjustRightInd w:val="0"/>
        <w:snapToGrid w:val="0"/>
        <w:spacing w:line="360" w:lineRule="auto"/>
        <w:rPr>
          <w:rFonts w:ascii="Times New Roman" w:hAnsi="Times New Roman"/>
          <w:snapToGrid w:val="0"/>
          <w:spacing w:val="4"/>
          <w:kern w:val="0"/>
          <w:sz w:val="24"/>
        </w:rPr>
      </w:pPr>
      <w:r>
        <w:rPr>
          <w:rFonts w:hint="eastAsia" w:ascii="Times New Roman" w:hAnsi="Times New Roman"/>
          <w:snapToGrid w:val="0"/>
          <w:spacing w:val="4"/>
          <w:kern w:val="0"/>
          <w:sz w:val="24"/>
        </w:rPr>
        <w:t>委托人：中山大学附属第一医院             监理人：</w:t>
      </w:r>
    </w:p>
    <w:p w14:paraId="1C2B9F8C">
      <w:pPr>
        <w:topLinePunct/>
        <w:adjustRightInd w:val="0"/>
        <w:snapToGrid w:val="0"/>
        <w:spacing w:line="360" w:lineRule="auto"/>
        <w:rPr>
          <w:rFonts w:ascii="Times New Roman" w:hAnsi="Times New Roman"/>
          <w:snapToGrid w:val="0"/>
          <w:spacing w:val="4"/>
          <w:kern w:val="0"/>
          <w:sz w:val="24"/>
        </w:rPr>
      </w:pPr>
      <w:r>
        <w:rPr>
          <w:rFonts w:hint="eastAsia" w:ascii="Times New Roman" w:hAnsi="Times New Roman"/>
          <w:snapToGrid w:val="0"/>
          <w:spacing w:val="4"/>
          <w:kern w:val="0"/>
          <w:sz w:val="24"/>
        </w:rPr>
        <w:t>（盖章）                                （盖章）</w:t>
      </w:r>
    </w:p>
    <w:p w14:paraId="46016293">
      <w:pPr>
        <w:topLinePunct/>
        <w:adjustRightInd w:val="0"/>
        <w:snapToGrid w:val="0"/>
        <w:spacing w:line="360" w:lineRule="auto"/>
        <w:rPr>
          <w:rFonts w:ascii="Times New Roman" w:hAnsi="Times New Roman"/>
          <w:snapToGrid w:val="0"/>
          <w:spacing w:val="4"/>
          <w:kern w:val="0"/>
          <w:sz w:val="24"/>
        </w:rPr>
      </w:pPr>
      <w:r>
        <w:rPr>
          <w:rFonts w:hint="eastAsia" w:ascii="Times New Roman" w:hAnsi="Times New Roman"/>
          <w:snapToGrid w:val="0"/>
          <w:spacing w:val="4"/>
          <w:kern w:val="0"/>
          <w:sz w:val="24"/>
        </w:rPr>
        <w:t>法定代表人或授权代表：                   法定代表人或授权代表：</w:t>
      </w:r>
    </w:p>
    <w:p w14:paraId="6DA8D58C">
      <w:pPr>
        <w:topLinePunct/>
        <w:adjustRightInd w:val="0"/>
        <w:snapToGrid w:val="0"/>
        <w:spacing w:line="360" w:lineRule="auto"/>
        <w:rPr>
          <w:rFonts w:ascii="Times New Roman" w:hAnsi="Times New Roman"/>
          <w:snapToGrid w:val="0"/>
          <w:spacing w:val="4"/>
          <w:kern w:val="0"/>
          <w:sz w:val="24"/>
        </w:rPr>
      </w:pPr>
    </w:p>
    <w:p w14:paraId="03A4B3A7">
      <w:pPr>
        <w:topLinePunct/>
        <w:adjustRightInd w:val="0"/>
        <w:snapToGrid w:val="0"/>
        <w:spacing w:line="360" w:lineRule="auto"/>
        <w:rPr>
          <w:rFonts w:ascii="Times New Roman" w:hAnsi="Times New Roman"/>
          <w:snapToGrid w:val="0"/>
          <w:spacing w:val="4"/>
          <w:kern w:val="0"/>
          <w:sz w:val="24"/>
        </w:rPr>
      </w:pPr>
    </w:p>
    <w:p w14:paraId="29DABF8C">
      <w:pPr>
        <w:topLinePunct/>
        <w:adjustRightInd w:val="0"/>
        <w:snapToGrid w:val="0"/>
        <w:spacing w:line="360" w:lineRule="auto"/>
        <w:rPr>
          <w:rFonts w:ascii="Times New Roman" w:hAnsi="Times New Roman"/>
          <w:snapToGrid w:val="0"/>
          <w:spacing w:val="4"/>
          <w:kern w:val="0"/>
          <w:sz w:val="24"/>
        </w:rPr>
      </w:pPr>
    </w:p>
    <w:p w14:paraId="595760AD">
      <w:pPr>
        <w:topLinePunct/>
        <w:adjustRightInd w:val="0"/>
        <w:snapToGrid w:val="0"/>
        <w:spacing w:line="360" w:lineRule="auto"/>
        <w:rPr>
          <w:rFonts w:ascii="Times New Roman" w:hAnsi="Times New Roman"/>
          <w:snapToGrid w:val="0"/>
          <w:spacing w:val="4"/>
          <w:kern w:val="0"/>
          <w:sz w:val="24"/>
        </w:rPr>
      </w:pPr>
    </w:p>
    <w:p w14:paraId="17276623">
      <w:pPr>
        <w:topLinePunct/>
        <w:adjustRightInd w:val="0"/>
        <w:snapToGrid w:val="0"/>
        <w:spacing w:line="360" w:lineRule="auto"/>
        <w:rPr>
          <w:rFonts w:ascii="Times New Roman" w:hAnsi="Times New Roman"/>
          <w:snapToGrid w:val="0"/>
          <w:spacing w:val="4"/>
          <w:kern w:val="0"/>
          <w:sz w:val="24"/>
        </w:rPr>
      </w:pPr>
      <w:r>
        <w:rPr>
          <w:rFonts w:hint="eastAsia" w:ascii="Times New Roman" w:hAnsi="Times New Roman"/>
          <w:snapToGrid w:val="0"/>
          <w:spacing w:val="4"/>
          <w:kern w:val="0"/>
          <w:sz w:val="24"/>
        </w:rPr>
        <w:t>联系方式：                               联系方式：</w:t>
      </w:r>
    </w:p>
    <w:p w14:paraId="029D79BA">
      <w:pPr>
        <w:pStyle w:val="9"/>
      </w:pPr>
      <w:r>
        <w:t>开户银行：</w:t>
      </w:r>
      <w:r>
        <w:rPr>
          <w:rFonts w:hint="eastAsia"/>
        </w:rPr>
        <w:t xml:space="preserve">                                     </w:t>
      </w:r>
      <w:r>
        <w:t>开户银行：</w:t>
      </w:r>
    </w:p>
    <w:p w14:paraId="75DCE1C6">
      <w:pPr>
        <w:pStyle w:val="9"/>
      </w:pPr>
      <w:r>
        <w:rPr>
          <w:rFonts w:hint="eastAsia"/>
        </w:rPr>
        <w:t>银行</w:t>
      </w:r>
      <w:r>
        <w:t>帐号：</w:t>
      </w:r>
      <w:r>
        <w:rPr>
          <w:rFonts w:hint="eastAsia"/>
        </w:rPr>
        <w:t xml:space="preserve">                                     银行</w:t>
      </w:r>
      <w:r>
        <w:t>帐号：</w:t>
      </w:r>
    </w:p>
    <w:p w14:paraId="6E68986F">
      <w:pPr>
        <w:topLinePunct/>
        <w:adjustRightInd w:val="0"/>
        <w:snapToGrid w:val="0"/>
        <w:spacing w:line="360" w:lineRule="auto"/>
        <w:ind w:firstLine="496" w:firstLineChars="200"/>
        <w:rPr>
          <w:rFonts w:ascii="Times New Roman" w:hAnsi="Times New Roman"/>
          <w:snapToGrid w:val="0"/>
          <w:spacing w:val="4"/>
          <w:kern w:val="0"/>
          <w:sz w:val="24"/>
        </w:rPr>
      </w:pPr>
    </w:p>
    <w:p w14:paraId="75574721">
      <w:pPr>
        <w:topLinePunct/>
        <w:adjustRightInd w:val="0"/>
        <w:snapToGrid w:val="0"/>
        <w:spacing w:line="360" w:lineRule="auto"/>
        <w:ind w:firstLine="496" w:firstLineChars="200"/>
        <w:rPr>
          <w:rFonts w:ascii="Times New Roman" w:hAnsi="Times New Roman"/>
          <w:snapToGrid w:val="0"/>
          <w:spacing w:val="4"/>
          <w:kern w:val="0"/>
          <w:sz w:val="24"/>
        </w:rPr>
      </w:pPr>
    </w:p>
    <w:p w14:paraId="53C8675D">
      <w:pPr>
        <w:topLinePunct/>
        <w:adjustRightInd w:val="0"/>
        <w:snapToGrid w:val="0"/>
        <w:spacing w:line="360" w:lineRule="auto"/>
        <w:rPr>
          <w:rFonts w:ascii="Times New Roman" w:hAnsi="Times New Roman"/>
          <w:snapToGrid w:val="0"/>
          <w:spacing w:val="4"/>
          <w:kern w:val="0"/>
          <w:sz w:val="24"/>
        </w:rPr>
      </w:pPr>
      <w:r>
        <w:rPr>
          <w:rFonts w:hint="eastAsia" w:ascii="Times New Roman" w:hAnsi="Times New Roman"/>
          <w:snapToGrid w:val="0"/>
          <w:spacing w:val="4"/>
          <w:kern w:val="0"/>
          <w:sz w:val="24"/>
        </w:rPr>
        <w:t>日期：        年   月   日               日期：         年   月   日</w:t>
      </w:r>
    </w:p>
    <w:bookmarkEnd w:id="493"/>
    <w:bookmarkEnd w:id="494"/>
    <w:bookmarkEnd w:id="495"/>
    <w:bookmarkEnd w:id="496"/>
    <w:p w14:paraId="798C3BA3">
      <w:pPr>
        <w:topLinePunct/>
        <w:adjustRightInd w:val="0"/>
        <w:snapToGrid w:val="0"/>
        <w:spacing w:line="360" w:lineRule="auto"/>
        <w:rPr>
          <w:snapToGrid w:val="0"/>
          <w:spacing w:val="4"/>
          <w:kern w:val="0"/>
          <w:sz w:val="24"/>
        </w:rPr>
      </w:pPr>
    </w:p>
    <w:p w14:paraId="3ACA6058">
      <w:pPr>
        <w:topLinePunct/>
        <w:adjustRightInd w:val="0"/>
        <w:snapToGrid w:val="0"/>
        <w:spacing w:line="360" w:lineRule="auto"/>
        <w:ind w:firstLine="496" w:firstLineChars="200"/>
        <w:rPr>
          <w:snapToGrid w:val="0"/>
          <w:spacing w:val="4"/>
          <w:kern w:val="0"/>
          <w:sz w:val="24"/>
        </w:rPr>
      </w:pPr>
    </w:p>
    <w:p w14:paraId="4794A9EC">
      <w:pPr>
        <w:topLinePunct/>
        <w:adjustRightInd w:val="0"/>
        <w:snapToGrid w:val="0"/>
        <w:spacing w:line="480" w:lineRule="exact"/>
        <w:jc w:val="center"/>
        <w:outlineLvl w:val="0"/>
        <w:rPr>
          <w:rFonts w:eastAsia="黑体"/>
          <w:b/>
          <w:snapToGrid w:val="0"/>
          <w:spacing w:val="4"/>
          <w:kern w:val="0"/>
          <w:sz w:val="30"/>
          <w:szCs w:val="30"/>
        </w:rPr>
      </w:pPr>
      <w:r>
        <w:rPr>
          <w:rFonts w:eastAsia="黑体"/>
          <w:b/>
          <w:snapToGrid w:val="0"/>
          <w:spacing w:val="4"/>
          <w:kern w:val="0"/>
          <w:sz w:val="30"/>
          <w:szCs w:val="30"/>
        </w:rPr>
        <w:br w:type="page"/>
      </w:r>
      <w:bookmarkStart w:id="497" w:name="_Toc313869533"/>
      <w:bookmarkStart w:id="498" w:name="_Toc191697646"/>
      <w:r>
        <w:rPr>
          <w:rFonts w:eastAsia="黑体"/>
          <w:b/>
          <w:snapToGrid w:val="0"/>
          <w:spacing w:val="4"/>
          <w:kern w:val="0"/>
          <w:sz w:val="30"/>
          <w:szCs w:val="30"/>
        </w:rPr>
        <w:t>第二篇  专用条件</w:t>
      </w:r>
      <w:bookmarkEnd w:id="497"/>
      <w:bookmarkEnd w:id="498"/>
    </w:p>
    <w:p w14:paraId="142CB990">
      <w:pPr>
        <w:topLinePunct/>
        <w:adjustRightInd w:val="0"/>
        <w:snapToGrid w:val="0"/>
        <w:spacing w:line="480" w:lineRule="exact"/>
        <w:ind w:firstLine="496" w:firstLineChars="200"/>
        <w:rPr>
          <w:rFonts w:eastAsia="楷体_GB2312"/>
          <w:snapToGrid w:val="0"/>
          <w:spacing w:val="4"/>
          <w:kern w:val="0"/>
          <w:sz w:val="24"/>
        </w:rPr>
      </w:pPr>
      <w:r>
        <w:rPr>
          <w:rFonts w:eastAsia="楷体_GB2312"/>
          <w:snapToGrid w:val="0"/>
          <w:spacing w:val="4"/>
          <w:kern w:val="0"/>
          <w:sz w:val="24"/>
        </w:rPr>
        <w:t>（本部分条款的编号与标准条件的编号相对应，是根据本合同工程的实际</w:t>
      </w:r>
    </w:p>
    <w:p w14:paraId="18FD0BEC">
      <w:pPr>
        <w:topLinePunct/>
        <w:adjustRightInd w:val="0"/>
        <w:snapToGrid w:val="0"/>
        <w:spacing w:line="480" w:lineRule="exact"/>
        <w:ind w:firstLine="496" w:firstLineChars="200"/>
        <w:rPr>
          <w:rFonts w:eastAsia="楷体_GB2312"/>
          <w:snapToGrid w:val="0"/>
          <w:spacing w:val="4"/>
          <w:kern w:val="0"/>
          <w:sz w:val="24"/>
        </w:rPr>
      </w:pPr>
      <w:r>
        <w:rPr>
          <w:rFonts w:eastAsia="楷体_GB2312"/>
          <w:snapToGrid w:val="0"/>
          <w:spacing w:val="4"/>
          <w:kern w:val="0"/>
          <w:sz w:val="24"/>
        </w:rPr>
        <w:t>情况对标准条件中相对应条款进行的修改、补充或否定，其适用顺序优先于</w:t>
      </w:r>
    </w:p>
    <w:p w14:paraId="0927C774">
      <w:pPr>
        <w:topLinePunct/>
        <w:adjustRightInd w:val="0"/>
        <w:snapToGrid w:val="0"/>
        <w:spacing w:line="480" w:lineRule="exact"/>
        <w:ind w:firstLine="496" w:firstLineChars="200"/>
        <w:rPr>
          <w:rFonts w:eastAsia="楷体_GB2312"/>
          <w:snapToGrid w:val="0"/>
          <w:spacing w:val="4"/>
          <w:kern w:val="0"/>
          <w:sz w:val="24"/>
        </w:rPr>
      </w:pPr>
      <w:r>
        <w:rPr>
          <w:rFonts w:eastAsia="楷体_GB2312"/>
          <w:snapToGrid w:val="0"/>
          <w:spacing w:val="4"/>
          <w:kern w:val="0"/>
          <w:sz w:val="24"/>
        </w:rPr>
        <w:t>标准条件。本部分条款未阐明的内容，则按本合同其他部分的有关约定执行）</w:t>
      </w:r>
    </w:p>
    <w:p w14:paraId="70075641">
      <w:pPr>
        <w:topLinePunct/>
        <w:adjustRightInd w:val="0"/>
        <w:snapToGrid w:val="0"/>
        <w:spacing w:line="480" w:lineRule="exact"/>
        <w:ind w:firstLine="496" w:firstLineChars="200"/>
        <w:rPr>
          <w:bCs/>
          <w:snapToGrid w:val="0"/>
          <w:spacing w:val="4"/>
          <w:kern w:val="0"/>
          <w:sz w:val="24"/>
        </w:rPr>
      </w:pPr>
    </w:p>
    <w:p w14:paraId="662B189A">
      <w:pPr>
        <w:topLinePunct/>
        <w:adjustRightInd w:val="0"/>
        <w:snapToGrid w:val="0"/>
        <w:spacing w:line="480" w:lineRule="exact"/>
        <w:outlineLvl w:val="1"/>
        <w:rPr>
          <w:b/>
          <w:bCs/>
          <w:snapToGrid w:val="0"/>
          <w:spacing w:val="4"/>
          <w:kern w:val="0"/>
          <w:sz w:val="24"/>
        </w:rPr>
      </w:pPr>
      <w:r>
        <w:rPr>
          <w:rFonts w:hint="eastAsia"/>
          <w:b/>
          <w:bCs/>
          <w:snapToGrid w:val="0"/>
          <w:spacing w:val="4"/>
          <w:kern w:val="0"/>
          <w:sz w:val="24"/>
        </w:rPr>
        <w:t xml:space="preserve">第一条 </w:t>
      </w:r>
      <w:r>
        <w:rPr>
          <w:b/>
          <w:bCs/>
          <w:snapToGrid w:val="0"/>
          <w:spacing w:val="4"/>
          <w:kern w:val="0"/>
          <w:sz w:val="24"/>
        </w:rPr>
        <w:t>总则</w:t>
      </w:r>
    </w:p>
    <w:p w14:paraId="5B3B5CC4">
      <w:pPr>
        <w:topLinePunct/>
        <w:adjustRightInd w:val="0"/>
        <w:snapToGrid w:val="0"/>
        <w:spacing w:line="480" w:lineRule="exact"/>
        <w:ind w:firstLine="496" w:firstLineChars="200"/>
        <w:rPr>
          <w:rFonts w:ascii="Times New Roman" w:hAnsi="Times New Roman"/>
          <w:snapToGrid w:val="0"/>
          <w:spacing w:val="4"/>
          <w:kern w:val="0"/>
          <w:sz w:val="24"/>
        </w:rPr>
      </w:pPr>
      <w:r>
        <w:rPr>
          <w:rFonts w:ascii="Times New Roman" w:hAnsi="Times New Roman"/>
          <w:snapToGrid w:val="0"/>
          <w:spacing w:val="4"/>
          <w:kern w:val="0"/>
          <w:sz w:val="24"/>
        </w:rPr>
        <w:t>1．根据监理规范和建设项目管理实际，本项目将实行社会化、专业化、系统化的管理模式。委托人将授权监理人，依据有关法律、法规、政策及标准，充分行使其严格控制工程进度、质量、安全和投资的权力，充分行使工程合同、工程信息管理和协调处理现场有关工程问题的权力。</w:t>
      </w:r>
    </w:p>
    <w:p w14:paraId="5A721CF7">
      <w:pPr>
        <w:topLinePunct/>
        <w:adjustRightInd w:val="0"/>
        <w:snapToGrid w:val="0"/>
        <w:spacing w:line="480" w:lineRule="exact"/>
        <w:ind w:firstLine="496" w:firstLineChars="200"/>
        <w:rPr>
          <w:snapToGrid w:val="0"/>
          <w:spacing w:val="4"/>
          <w:kern w:val="0"/>
          <w:sz w:val="24"/>
        </w:rPr>
      </w:pPr>
      <w:r>
        <w:rPr>
          <w:snapToGrid w:val="0"/>
          <w:spacing w:val="4"/>
          <w:kern w:val="0"/>
          <w:sz w:val="24"/>
        </w:rPr>
        <w:t>2．委托人通过监理人下达指令，监督承包人履约行为，承包人所有请求事项由监理人协调并在一般情况下均通过监理人接受或提出处理意见（委托人有特别要求和规定的除外）。</w:t>
      </w:r>
    </w:p>
    <w:p w14:paraId="6108B7F4">
      <w:pPr>
        <w:topLinePunct/>
        <w:adjustRightInd w:val="0"/>
        <w:snapToGrid w:val="0"/>
        <w:spacing w:line="480" w:lineRule="exact"/>
        <w:ind w:firstLine="420" w:firstLineChars="200"/>
        <w:rPr>
          <w:snapToGrid w:val="0"/>
          <w:spacing w:val="4"/>
          <w:kern w:val="0"/>
          <w:sz w:val="24"/>
        </w:rPr>
      </w:pPr>
      <w:r>
        <w:rPr>
          <w:rFonts w:hint="eastAsia" w:ascii="宋体" w:hAnsi="宋体" w:cs="宋体"/>
          <w:szCs w:val="21"/>
        </w:rPr>
        <w:t>▲</w:t>
      </w:r>
      <w:r>
        <w:rPr>
          <w:snapToGrid w:val="0"/>
          <w:spacing w:val="4"/>
          <w:kern w:val="0"/>
          <w:sz w:val="24"/>
        </w:rPr>
        <w:t>3．</w:t>
      </w:r>
      <w:r>
        <w:rPr>
          <w:rFonts w:hint="eastAsia"/>
          <w:snapToGrid w:val="0"/>
          <w:spacing w:val="4"/>
          <w:kern w:val="0"/>
          <w:sz w:val="24"/>
        </w:rPr>
        <w:t>本项目包含9个子工程，存在多个子工程同时开展，部分工程需夜间连续作业实施，且需在春节、五一、国庆等假期时间不间断施工，项目时间管理与监理服务协调面临极高要求。监理人必须承诺投入充足且具备相应资质的专业监理人员，制定并执行专项监理排班计划与应急预案，确保在任何施工时段（包括节假日及夜间连续作业期间）均能提供及时、有效、不间断的全过程现场监理服务，满足高强度、多节点并行的项目管理需求。</w:t>
      </w:r>
    </w:p>
    <w:p w14:paraId="3189C352">
      <w:pPr>
        <w:topLinePunct/>
        <w:adjustRightInd w:val="0"/>
        <w:snapToGrid w:val="0"/>
        <w:spacing w:line="480" w:lineRule="exact"/>
        <w:ind w:firstLine="420" w:firstLineChars="200"/>
        <w:rPr>
          <w:snapToGrid w:val="0"/>
          <w:spacing w:val="4"/>
          <w:kern w:val="0"/>
          <w:sz w:val="24"/>
        </w:rPr>
      </w:pPr>
      <w:r>
        <w:rPr>
          <w:rFonts w:hint="eastAsia" w:ascii="宋体" w:hAnsi="宋体" w:cs="宋体"/>
          <w:szCs w:val="21"/>
        </w:rPr>
        <w:t>▲</w:t>
      </w:r>
      <w:r>
        <w:rPr>
          <w:rFonts w:hint="eastAsia"/>
          <w:snapToGrid w:val="0"/>
          <w:spacing w:val="4"/>
          <w:kern w:val="0"/>
          <w:sz w:val="24"/>
        </w:rPr>
        <w:t>4. 监理人员配置要求</w:t>
      </w:r>
    </w:p>
    <w:tbl>
      <w:tblPr>
        <w:tblStyle w:val="21"/>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84"/>
        <w:gridCol w:w="901"/>
        <w:gridCol w:w="1398"/>
        <w:gridCol w:w="648"/>
        <w:gridCol w:w="3216"/>
        <w:gridCol w:w="2605"/>
      </w:tblGrid>
      <w:tr w14:paraId="2970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84" w:type="dxa"/>
            <w:vAlign w:val="center"/>
          </w:tcPr>
          <w:p w14:paraId="38F72E17">
            <w:pPr>
              <w:adjustRightInd w:val="0"/>
              <w:snapToGrid w:val="0"/>
              <w:jc w:val="center"/>
              <w:rPr>
                <w:b/>
                <w:kern w:val="44"/>
                <w:szCs w:val="21"/>
              </w:rPr>
            </w:pPr>
            <w:r>
              <w:rPr>
                <w:b/>
                <w:kern w:val="44"/>
                <w:szCs w:val="21"/>
              </w:rPr>
              <w:t>序号</w:t>
            </w:r>
          </w:p>
        </w:tc>
        <w:tc>
          <w:tcPr>
            <w:tcW w:w="2299" w:type="dxa"/>
            <w:gridSpan w:val="2"/>
            <w:vAlign w:val="center"/>
          </w:tcPr>
          <w:p w14:paraId="6DC1BF8D">
            <w:pPr>
              <w:adjustRightInd w:val="0"/>
              <w:snapToGrid w:val="0"/>
              <w:jc w:val="center"/>
              <w:rPr>
                <w:kern w:val="44"/>
                <w:szCs w:val="21"/>
              </w:rPr>
            </w:pPr>
            <w:r>
              <w:rPr>
                <w:b/>
                <w:kern w:val="44"/>
                <w:szCs w:val="21"/>
              </w:rPr>
              <w:t>专业类别</w:t>
            </w:r>
          </w:p>
        </w:tc>
        <w:tc>
          <w:tcPr>
            <w:tcW w:w="648" w:type="dxa"/>
            <w:vAlign w:val="center"/>
          </w:tcPr>
          <w:p w14:paraId="7AEC59B0">
            <w:pPr>
              <w:adjustRightInd w:val="0"/>
              <w:snapToGrid w:val="0"/>
              <w:jc w:val="center"/>
              <w:rPr>
                <w:kern w:val="44"/>
                <w:szCs w:val="21"/>
              </w:rPr>
            </w:pPr>
            <w:r>
              <w:rPr>
                <w:b/>
                <w:kern w:val="44"/>
                <w:szCs w:val="21"/>
              </w:rPr>
              <w:t>数量</w:t>
            </w:r>
          </w:p>
        </w:tc>
        <w:tc>
          <w:tcPr>
            <w:tcW w:w="3216" w:type="dxa"/>
            <w:vAlign w:val="center"/>
          </w:tcPr>
          <w:p w14:paraId="105EB617">
            <w:pPr>
              <w:adjustRightInd w:val="0"/>
              <w:snapToGrid w:val="0"/>
              <w:jc w:val="center"/>
              <w:rPr>
                <w:kern w:val="44"/>
                <w:szCs w:val="21"/>
              </w:rPr>
            </w:pPr>
            <w:r>
              <w:rPr>
                <w:b/>
                <w:kern w:val="44"/>
                <w:szCs w:val="21"/>
              </w:rPr>
              <w:t>基本要求</w:t>
            </w:r>
          </w:p>
        </w:tc>
        <w:tc>
          <w:tcPr>
            <w:tcW w:w="2605" w:type="dxa"/>
            <w:vAlign w:val="center"/>
          </w:tcPr>
          <w:p w14:paraId="2D1526F8">
            <w:pPr>
              <w:adjustRightInd w:val="0"/>
              <w:snapToGrid w:val="0"/>
              <w:jc w:val="center"/>
              <w:rPr>
                <w:b/>
                <w:kern w:val="44"/>
                <w:szCs w:val="21"/>
              </w:rPr>
            </w:pPr>
            <w:r>
              <w:rPr>
                <w:b/>
                <w:kern w:val="44"/>
                <w:szCs w:val="21"/>
              </w:rPr>
              <w:t>备注</w:t>
            </w:r>
          </w:p>
          <w:p w14:paraId="79BA664C">
            <w:pPr>
              <w:adjustRightInd w:val="0"/>
              <w:snapToGrid w:val="0"/>
              <w:jc w:val="center"/>
              <w:rPr>
                <w:b/>
                <w:kern w:val="44"/>
                <w:szCs w:val="21"/>
              </w:rPr>
            </w:pPr>
            <w:r>
              <w:rPr>
                <w:b/>
                <w:kern w:val="44"/>
                <w:szCs w:val="21"/>
              </w:rPr>
              <w:t>（应提供如下证明材料等）</w:t>
            </w:r>
          </w:p>
        </w:tc>
      </w:tr>
      <w:tr w14:paraId="57AD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44E70986">
            <w:pPr>
              <w:widowControl/>
              <w:adjustRightInd w:val="0"/>
              <w:snapToGrid w:val="0"/>
              <w:ind w:left="-361" w:leftChars="-172" w:firstLine="420" w:firstLineChars="200"/>
              <w:jc w:val="center"/>
              <w:rPr>
                <w:kern w:val="0"/>
                <w:szCs w:val="21"/>
              </w:rPr>
            </w:pPr>
            <w:r>
              <w:rPr>
                <w:rFonts w:hint="eastAsia"/>
                <w:kern w:val="0"/>
                <w:szCs w:val="21"/>
              </w:rPr>
              <w:t>1</w:t>
            </w:r>
          </w:p>
        </w:tc>
        <w:tc>
          <w:tcPr>
            <w:tcW w:w="2299" w:type="dxa"/>
            <w:gridSpan w:val="2"/>
            <w:vAlign w:val="center"/>
          </w:tcPr>
          <w:p w14:paraId="061514CF">
            <w:pPr>
              <w:adjustRightInd w:val="0"/>
              <w:snapToGrid w:val="0"/>
              <w:spacing w:line="300" w:lineRule="exact"/>
              <w:jc w:val="center"/>
              <w:rPr>
                <w:szCs w:val="21"/>
              </w:rPr>
            </w:pPr>
            <w:r>
              <w:rPr>
                <w:szCs w:val="21"/>
              </w:rPr>
              <w:t>总监理工程师</w:t>
            </w:r>
          </w:p>
        </w:tc>
        <w:tc>
          <w:tcPr>
            <w:tcW w:w="648" w:type="dxa"/>
            <w:vAlign w:val="center"/>
          </w:tcPr>
          <w:p w14:paraId="76BFAD5C">
            <w:pPr>
              <w:adjustRightInd w:val="0"/>
              <w:snapToGrid w:val="0"/>
              <w:spacing w:line="300" w:lineRule="exact"/>
              <w:jc w:val="center"/>
              <w:rPr>
                <w:szCs w:val="21"/>
              </w:rPr>
            </w:pPr>
            <w:r>
              <w:rPr>
                <w:szCs w:val="21"/>
              </w:rPr>
              <w:t>1</w:t>
            </w:r>
          </w:p>
        </w:tc>
        <w:tc>
          <w:tcPr>
            <w:tcW w:w="3216" w:type="dxa"/>
            <w:vAlign w:val="center"/>
          </w:tcPr>
          <w:p w14:paraId="5B825327">
            <w:pPr>
              <w:adjustRightInd w:val="0"/>
              <w:snapToGrid w:val="0"/>
              <w:spacing w:line="300" w:lineRule="exact"/>
              <w:rPr>
                <w:szCs w:val="21"/>
              </w:rPr>
            </w:pPr>
            <w:r>
              <w:rPr>
                <w:rFonts w:hint="eastAsia"/>
                <w:szCs w:val="21"/>
              </w:rPr>
              <w:t>详见本招标文件第3部分3. 投标人资格要求中的第3.3</w:t>
            </w:r>
          </w:p>
        </w:tc>
        <w:tc>
          <w:tcPr>
            <w:tcW w:w="2605" w:type="dxa"/>
            <w:vAlign w:val="center"/>
          </w:tcPr>
          <w:p w14:paraId="6842DF96">
            <w:pPr>
              <w:adjustRightInd w:val="0"/>
              <w:snapToGrid w:val="0"/>
              <w:spacing w:line="300" w:lineRule="exact"/>
              <w:rPr>
                <w:szCs w:val="21"/>
              </w:rPr>
            </w:pPr>
            <w:r>
              <w:rPr>
                <w:szCs w:val="21"/>
              </w:rPr>
              <w:t>职称证</w:t>
            </w:r>
            <w:r>
              <w:rPr>
                <w:rFonts w:hint="eastAsia"/>
                <w:szCs w:val="21"/>
              </w:rPr>
              <w:t>书</w:t>
            </w:r>
            <w:r>
              <w:rPr>
                <w:szCs w:val="21"/>
              </w:rPr>
              <w:t>、</w:t>
            </w:r>
            <w:r>
              <w:rPr>
                <w:rFonts w:hint="eastAsia"/>
                <w:szCs w:val="21"/>
              </w:rPr>
              <w:t>注册监理工程师注册证书</w:t>
            </w:r>
          </w:p>
        </w:tc>
      </w:tr>
      <w:tr w14:paraId="31CA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5C607BA5">
            <w:pPr>
              <w:widowControl/>
              <w:adjustRightInd w:val="0"/>
              <w:snapToGrid w:val="0"/>
              <w:ind w:left="-361" w:leftChars="-172" w:firstLine="420" w:firstLineChars="200"/>
              <w:jc w:val="center"/>
              <w:rPr>
                <w:kern w:val="0"/>
                <w:szCs w:val="21"/>
              </w:rPr>
            </w:pPr>
            <w:r>
              <w:rPr>
                <w:rFonts w:hint="eastAsia"/>
                <w:kern w:val="0"/>
                <w:szCs w:val="21"/>
              </w:rPr>
              <w:t>2</w:t>
            </w:r>
          </w:p>
        </w:tc>
        <w:tc>
          <w:tcPr>
            <w:tcW w:w="2299" w:type="dxa"/>
            <w:gridSpan w:val="2"/>
            <w:vAlign w:val="center"/>
          </w:tcPr>
          <w:p w14:paraId="06FF974B">
            <w:pPr>
              <w:adjustRightInd w:val="0"/>
              <w:snapToGrid w:val="0"/>
              <w:spacing w:line="300" w:lineRule="exact"/>
              <w:jc w:val="center"/>
              <w:rPr>
                <w:szCs w:val="21"/>
              </w:rPr>
            </w:pPr>
            <w:r>
              <w:rPr>
                <w:szCs w:val="21"/>
              </w:rPr>
              <w:t>总监代表</w:t>
            </w:r>
          </w:p>
        </w:tc>
        <w:tc>
          <w:tcPr>
            <w:tcW w:w="648" w:type="dxa"/>
            <w:vAlign w:val="center"/>
          </w:tcPr>
          <w:p w14:paraId="5B254AEC">
            <w:pPr>
              <w:adjustRightInd w:val="0"/>
              <w:snapToGrid w:val="0"/>
              <w:spacing w:line="300" w:lineRule="exact"/>
              <w:jc w:val="center"/>
              <w:rPr>
                <w:szCs w:val="21"/>
              </w:rPr>
            </w:pPr>
            <w:r>
              <w:rPr>
                <w:szCs w:val="21"/>
              </w:rPr>
              <w:t>1</w:t>
            </w:r>
          </w:p>
        </w:tc>
        <w:tc>
          <w:tcPr>
            <w:tcW w:w="3216" w:type="dxa"/>
            <w:vAlign w:val="center"/>
          </w:tcPr>
          <w:p w14:paraId="3212C3AE">
            <w:pPr>
              <w:adjustRightInd w:val="0"/>
              <w:snapToGrid w:val="0"/>
              <w:spacing w:line="300" w:lineRule="exact"/>
              <w:rPr>
                <w:rFonts w:ascii="宋体" w:hAnsi="宋体" w:cs="宋体"/>
                <w:szCs w:val="21"/>
              </w:rPr>
            </w:pPr>
            <w:r>
              <w:rPr>
                <w:rFonts w:hint="eastAsia" w:ascii="宋体" w:hAnsi="宋体" w:cs="宋体"/>
                <w:szCs w:val="21"/>
              </w:rPr>
              <w:t>具有建筑工程类中级工程师或以上技术职称；具有建设部2006年4月1日后颁发的中华人民共和国注册监理工程师注册执业证书，注册执业单位为本公司。</w:t>
            </w:r>
          </w:p>
        </w:tc>
        <w:tc>
          <w:tcPr>
            <w:tcW w:w="2605" w:type="dxa"/>
            <w:vAlign w:val="center"/>
          </w:tcPr>
          <w:p w14:paraId="2658C5CD">
            <w:pPr>
              <w:adjustRightInd w:val="0"/>
              <w:snapToGrid w:val="0"/>
              <w:spacing w:line="300" w:lineRule="exact"/>
              <w:rPr>
                <w:rFonts w:ascii="宋体" w:hAnsi="宋体" w:cs="宋体"/>
                <w:szCs w:val="21"/>
              </w:rPr>
            </w:pPr>
            <w:r>
              <w:rPr>
                <w:rFonts w:hint="eastAsia" w:ascii="宋体" w:hAnsi="宋体" w:cs="宋体"/>
                <w:szCs w:val="21"/>
              </w:rPr>
              <w:t>职称证书、注册监理工程师注册证书</w:t>
            </w:r>
          </w:p>
        </w:tc>
      </w:tr>
      <w:tr w14:paraId="0A66B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1B4B1F4B">
            <w:pPr>
              <w:widowControl/>
              <w:adjustRightInd w:val="0"/>
              <w:snapToGrid w:val="0"/>
              <w:ind w:left="-361" w:leftChars="-172" w:firstLine="420" w:firstLineChars="200"/>
              <w:jc w:val="center"/>
              <w:rPr>
                <w:kern w:val="0"/>
                <w:szCs w:val="21"/>
              </w:rPr>
            </w:pPr>
            <w:r>
              <w:rPr>
                <w:rFonts w:hint="eastAsia"/>
                <w:kern w:val="0"/>
                <w:szCs w:val="21"/>
              </w:rPr>
              <w:t>3</w:t>
            </w:r>
          </w:p>
        </w:tc>
        <w:tc>
          <w:tcPr>
            <w:tcW w:w="2299" w:type="dxa"/>
            <w:gridSpan w:val="2"/>
            <w:vAlign w:val="center"/>
          </w:tcPr>
          <w:p w14:paraId="58D734FA">
            <w:pPr>
              <w:adjustRightInd w:val="0"/>
              <w:snapToGrid w:val="0"/>
              <w:spacing w:line="300" w:lineRule="exact"/>
              <w:jc w:val="center"/>
              <w:rPr>
                <w:szCs w:val="21"/>
              </w:rPr>
            </w:pPr>
            <w:r>
              <w:rPr>
                <w:szCs w:val="21"/>
              </w:rPr>
              <w:t>BIM专业工程师</w:t>
            </w:r>
          </w:p>
        </w:tc>
        <w:tc>
          <w:tcPr>
            <w:tcW w:w="648" w:type="dxa"/>
            <w:vAlign w:val="center"/>
          </w:tcPr>
          <w:p w14:paraId="66984A0C">
            <w:pPr>
              <w:adjustRightInd w:val="0"/>
              <w:snapToGrid w:val="0"/>
              <w:spacing w:line="300" w:lineRule="exact"/>
              <w:jc w:val="center"/>
              <w:rPr>
                <w:szCs w:val="21"/>
              </w:rPr>
            </w:pPr>
            <w:r>
              <w:rPr>
                <w:szCs w:val="21"/>
              </w:rPr>
              <w:t>1</w:t>
            </w:r>
          </w:p>
        </w:tc>
        <w:tc>
          <w:tcPr>
            <w:tcW w:w="3216" w:type="dxa"/>
            <w:vAlign w:val="center"/>
          </w:tcPr>
          <w:p w14:paraId="6AD441FC">
            <w:pPr>
              <w:adjustRightInd w:val="0"/>
              <w:snapToGrid w:val="0"/>
              <w:spacing w:line="300" w:lineRule="exact"/>
              <w:rPr>
                <w:rFonts w:ascii="宋体" w:hAnsi="宋体" w:cs="宋体"/>
                <w:szCs w:val="21"/>
              </w:rPr>
            </w:pPr>
            <w:r>
              <w:rPr>
                <w:rFonts w:hint="eastAsia" w:ascii="宋体" w:hAnsi="宋体" w:cs="宋体"/>
                <w:szCs w:val="21"/>
              </w:rPr>
              <w:t>具有建筑工程类中级工程师或以上技术职称，具有BIM专业技能证书。</w:t>
            </w:r>
          </w:p>
        </w:tc>
        <w:tc>
          <w:tcPr>
            <w:tcW w:w="2605" w:type="dxa"/>
            <w:vAlign w:val="center"/>
          </w:tcPr>
          <w:p w14:paraId="39B92FBD">
            <w:pPr>
              <w:adjustRightInd w:val="0"/>
              <w:snapToGrid w:val="0"/>
              <w:spacing w:line="300" w:lineRule="exact"/>
              <w:rPr>
                <w:rFonts w:ascii="宋体" w:hAnsi="宋体" w:cs="宋体"/>
                <w:szCs w:val="21"/>
              </w:rPr>
            </w:pPr>
            <w:r>
              <w:rPr>
                <w:rFonts w:hint="eastAsia" w:ascii="宋体" w:hAnsi="宋体" w:cs="宋体"/>
                <w:szCs w:val="21"/>
              </w:rPr>
              <w:t>职称证书、专业技能证书</w:t>
            </w:r>
          </w:p>
        </w:tc>
      </w:tr>
      <w:tr w14:paraId="7762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3636F8E1">
            <w:pPr>
              <w:widowControl/>
              <w:adjustRightInd w:val="0"/>
              <w:snapToGrid w:val="0"/>
              <w:ind w:left="-361" w:leftChars="-172" w:firstLine="420" w:firstLineChars="200"/>
              <w:jc w:val="center"/>
              <w:rPr>
                <w:kern w:val="0"/>
                <w:szCs w:val="21"/>
              </w:rPr>
            </w:pPr>
            <w:r>
              <w:rPr>
                <w:rFonts w:hint="eastAsia"/>
                <w:kern w:val="0"/>
                <w:szCs w:val="21"/>
              </w:rPr>
              <w:t>4</w:t>
            </w:r>
          </w:p>
        </w:tc>
        <w:tc>
          <w:tcPr>
            <w:tcW w:w="2299" w:type="dxa"/>
            <w:gridSpan w:val="2"/>
            <w:vAlign w:val="center"/>
          </w:tcPr>
          <w:p w14:paraId="03D55ABA">
            <w:pPr>
              <w:adjustRightInd w:val="0"/>
              <w:snapToGrid w:val="0"/>
              <w:spacing w:line="300" w:lineRule="exact"/>
              <w:jc w:val="center"/>
              <w:rPr>
                <w:szCs w:val="21"/>
              </w:rPr>
            </w:pPr>
            <w:r>
              <w:rPr>
                <w:szCs w:val="21"/>
              </w:rPr>
              <w:t>造价工程师</w:t>
            </w:r>
          </w:p>
        </w:tc>
        <w:tc>
          <w:tcPr>
            <w:tcW w:w="648" w:type="dxa"/>
            <w:vAlign w:val="center"/>
          </w:tcPr>
          <w:p w14:paraId="227F7E39">
            <w:pPr>
              <w:widowControl/>
              <w:adjustRightInd w:val="0"/>
              <w:snapToGrid w:val="0"/>
              <w:spacing w:line="360" w:lineRule="auto"/>
              <w:ind w:firstLine="210" w:firstLineChars="100"/>
              <w:rPr>
                <w:szCs w:val="21"/>
              </w:rPr>
            </w:pPr>
            <w:r>
              <w:rPr>
                <w:szCs w:val="21"/>
              </w:rPr>
              <w:t>2</w:t>
            </w:r>
          </w:p>
        </w:tc>
        <w:tc>
          <w:tcPr>
            <w:tcW w:w="3216" w:type="dxa"/>
            <w:vAlign w:val="center"/>
          </w:tcPr>
          <w:p w14:paraId="4C88A809">
            <w:pPr>
              <w:adjustRightInd w:val="0"/>
              <w:snapToGrid w:val="0"/>
              <w:spacing w:line="300" w:lineRule="exact"/>
              <w:rPr>
                <w:rFonts w:ascii="宋体" w:hAnsi="宋体" w:cs="宋体"/>
                <w:szCs w:val="21"/>
              </w:rPr>
            </w:pPr>
            <w:r>
              <w:rPr>
                <w:rFonts w:hint="eastAsia" w:ascii="宋体" w:hAnsi="宋体" w:cs="宋体"/>
                <w:szCs w:val="21"/>
              </w:rPr>
              <w:t>具有一级注册造价工程师资格（土建、安装专业各一名）。</w:t>
            </w:r>
          </w:p>
        </w:tc>
        <w:tc>
          <w:tcPr>
            <w:tcW w:w="2605" w:type="dxa"/>
            <w:vAlign w:val="center"/>
          </w:tcPr>
          <w:p w14:paraId="29021640">
            <w:pPr>
              <w:adjustRightInd w:val="0"/>
              <w:snapToGrid w:val="0"/>
              <w:spacing w:line="300" w:lineRule="exact"/>
              <w:rPr>
                <w:rFonts w:ascii="宋体" w:hAnsi="宋体" w:cs="宋体"/>
                <w:szCs w:val="21"/>
              </w:rPr>
            </w:pPr>
            <w:r>
              <w:rPr>
                <w:rFonts w:hint="eastAsia" w:ascii="宋体" w:hAnsi="宋体" w:cs="宋体"/>
                <w:szCs w:val="21"/>
              </w:rPr>
              <w:t>注册造价工程师注册证书</w:t>
            </w:r>
          </w:p>
        </w:tc>
      </w:tr>
      <w:tr w14:paraId="3EC58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91" w:hRule="atLeast"/>
          <w:jc w:val="center"/>
        </w:trPr>
        <w:tc>
          <w:tcPr>
            <w:tcW w:w="584" w:type="dxa"/>
            <w:vAlign w:val="center"/>
          </w:tcPr>
          <w:p w14:paraId="0807663A">
            <w:pPr>
              <w:widowControl/>
              <w:adjustRightInd w:val="0"/>
              <w:snapToGrid w:val="0"/>
              <w:ind w:left="-361" w:leftChars="-172" w:firstLine="420" w:firstLineChars="200"/>
              <w:jc w:val="center"/>
              <w:rPr>
                <w:kern w:val="0"/>
                <w:szCs w:val="21"/>
              </w:rPr>
            </w:pPr>
            <w:r>
              <w:rPr>
                <w:rFonts w:hint="eastAsia"/>
                <w:kern w:val="0"/>
                <w:szCs w:val="21"/>
              </w:rPr>
              <w:t>5</w:t>
            </w:r>
          </w:p>
        </w:tc>
        <w:tc>
          <w:tcPr>
            <w:tcW w:w="901" w:type="dxa"/>
            <w:vMerge w:val="restart"/>
            <w:vAlign w:val="center"/>
          </w:tcPr>
          <w:p w14:paraId="10907EFD">
            <w:pPr>
              <w:adjustRightInd w:val="0"/>
              <w:snapToGrid w:val="0"/>
              <w:spacing w:line="300" w:lineRule="exact"/>
              <w:jc w:val="center"/>
              <w:rPr>
                <w:szCs w:val="21"/>
              </w:rPr>
            </w:pPr>
            <w:r>
              <w:rPr>
                <w:rFonts w:hint="eastAsia"/>
                <w:szCs w:val="21"/>
              </w:rPr>
              <w:t>房屋建筑</w:t>
            </w:r>
            <w:r>
              <w:rPr>
                <w:rFonts w:hint="eastAsia"/>
                <w:snapToGrid w:val="0"/>
                <w:spacing w:val="4"/>
                <w:kern w:val="0"/>
                <w:szCs w:val="21"/>
              </w:rPr>
              <w:t>专业监理工程师</w:t>
            </w:r>
          </w:p>
        </w:tc>
        <w:tc>
          <w:tcPr>
            <w:tcW w:w="1398" w:type="dxa"/>
            <w:vAlign w:val="center"/>
          </w:tcPr>
          <w:p w14:paraId="12C5C0CF">
            <w:pPr>
              <w:adjustRightInd w:val="0"/>
              <w:snapToGrid w:val="0"/>
              <w:spacing w:line="300" w:lineRule="exact"/>
              <w:jc w:val="center"/>
              <w:rPr>
                <w:szCs w:val="21"/>
              </w:rPr>
            </w:pPr>
            <w:r>
              <w:rPr>
                <w:szCs w:val="21"/>
              </w:rPr>
              <w:t>土建专业监理工程师</w:t>
            </w:r>
          </w:p>
        </w:tc>
        <w:tc>
          <w:tcPr>
            <w:tcW w:w="648" w:type="dxa"/>
            <w:vAlign w:val="center"/>
          </w:tcPr>
          <w:p w14:paraId="329E85EE">
            <w:pPr>
              <w:adjustRightInd w:val="0"/>
              <w:snapToGrid w:val="0"/>
              <w:spacing w:line="300" w:lineRule="exact"/>
              <w:jc w:val="center"/>
              <w:rPr>
                <w:szCs w:val="21"/>
              </w:rPr>
            </w:pPr>
            <w:r>
              <w:rPr>
                <w:rFonts w:hint="eastAsia"/>
                <w:szCs w:val="21"/>
              </w:rPr>
              <w:t>1</w:t>
            </w:r>
          </w:p>
        </w:tc>
        <w:tc>
          <w:tcPr>
            <w:tcW w:w="3216" w:type="dxa"/>
            <w:vAlign w:val="center"/>
          </w:tcPr>
          <w:p w14:paraId="51DFEBD0">
            <w:pPr>
              <w:adjustRightInd w:val="0"/>
              <w:snapToGrid w:val="0"/>
              <w:spacing w:line="300" w:lineRule="exact"/>
              <w:rPr>
                <w:rFonts w:ascii="宋体" w:hAnsi="宋体" w:cs="宋体"/>
                <w:szCs w:val="21"/>
              </w:rPr>
            </w:pPr>
            <w:r>
              <w:rPr>
                <w:rFonts w:hint="eastAsia" w:ascii="宋体" w:hAnsi="宋体" w:cs="宋体"/>
                <w:szCs w:val="21"/>
              </w:rPr>
              <w:t>专业为房屋建筑工程类（或相关专业），具有专业监理工程师或</w:t>
            </w:r>
            <w:r>
              <w:rPr>
                <w:rFonts w:hint="eastAsia" w:ascii="宋体" w:hAnsi="宋体" w:cs="宋体"/>
                <w:szCs w:val="21"/>
                <w:lang w:bidi="ar"/>
              </w:rPr>
              <w:t>注册监理工程师注册执业证书</w:t>
            </w:r>
            <w:r>
              <w:rPr>
                <w:rFonts w:hint="eastAsia" w:ascii="宋体" w:hAnsi="宋体" w:cs="宋体"/>
                <w:szCs w:val="21"/>
              </w:rPr>
              <w:t>；并具有建筑工程类中级工程师或以上技术职称。</w:t>
            </w:r>
          </w:p>
        </w:tc>
        <w:tc>
          <w:tcPr>
            <w:tcW w:w="2605" w:type="dxa"/>
            <w:vMerge w:val="restart"/>
            <w:vAlign w:val="center"/>
          </w:tcPr>
          <w:p w14:paraId="16E74C3E">
            <w:pPr>
              <w:rPr>
                <w:rFonts w:ascii="宋体" w:hAnsi="宋体" w:cs="宋体"/>
                <w:szCs w:val="21"/>
              </w:rPr>
            </w:pPr>
            <w:r>
              <w:rPr>
                <w:rFonts w:hint="eastAsia" w:ascii="宋体" w:hAnsi="宋体" w:cs="宋体"/>
                <w:kern w:val="0"/>
                <w:szCs w:val="21"/>
                <w:lang w:bidi="ar"/>
              </w:rPr>
              <w:t>1.</w:t>
            </w:r>
            <w:r>
              <w:rPr>
                <w:rFonts w:hint="eastAsia" w:ascii="宋体" w:hAnsi="宋体" w:cs="宋体"/>
                <w:szCs w:val="21"/>
              </w:rPr>
              <w:t>专业监理工程师证书或注册监理工程师注册证书。</w:t>
            </w:r>
            <w:r>
              <w:rPr>
                <w:rFonts w:hint="eastAsia" w:ascii="宋体" w:hAnsi="宋体" w:cs="宋体"/>
                <w:kern w:val="0"/>
                <w:szCs w:val="21"/>
                <w:lang w:bidi="ar"/>
              </w:rPr>
              <w:t>其中</w:t>
            </w:r>
            <w:r>
              <w:rPr>
                <w:rFonts w:cs="宋体"/>
                <w:kern w:val="0"/>
                <w:szCs w:val="21"/>
                <w:lang w:bidi="ar"/>
              </w:rPr>
              <w:t>1</w:t>
            </w:r>
            <w:r>
              <w:rPr>
                <w:rFonts w:hint="eastAsia" w:ascii="宋体" w:hAnsi="宋体" w:cs="宋体"/>
                <w:kern w:val="0"/>
                <w:szCs w:val="21"/>
                <w:lang w:bidi="ar"/>
              </w:rPr>
              <w:t>人需</w:t>
            </w:r>
            <w:r>
              <w:rPr>
                <w:rFonts w:hint="eastAsia" w:ascii="宋体" w:hAnsi="宋体" w:cs="宋体"/>
                <w:szCs w:val="21"/>
                <w:lang w:bidi="ar"/>
              </w:rPr>
              <w:t>具有建设部</w:t>
            </w:r>
            <w:r>
              <w:rPr>
                <w:rFonts w:cs="宋体"/>
                <w:szCs w:val="21"/>
                <w:lang w:bidi="ar"/>
              </w:rPr>
              <w:t>2006</w:t>
            </w:r>
            <w:r>
              <w:rPr>
                <w:rFonts w:hint="eastAsia" w:ascii="宋体" w:hAnsi="宋体" w:cs="宋体"/>
                <w:szCs w:val="21"/>
                <w:lang w:bidi="ar"/>
              </w:rPr>
              <w:t>年4月1日后颁发的中华人民共和国注册监理工程师注册执业证书，且其注册证书专业为房屋建筑工程，注册执业单位为本公司。</w:t>
            </w:r>
          </w:p>
          <w:p w14:paraId="353C3FFB">
            <w:pPr>
              <w:adjustRightInd w:val="0"/>
              <w:snapToGrid w:val="0"/>
              <w:spacing w:line="300" w:lineRule="exact"/>
              <w:rPr>
                <w:rFonts w:ascii="宋体" w:hAnsi="宋体" w:cs="宋体"/>
                <w:szCs w:val="21"/>
              </w:rPr>
            </w:pPr>
            <w:r>
              <w:rPr>
                <w:rFonts w:hint="eastAsia" w:ascii="宋体" w:hAnsi="宋体" w:cs="宋体"/>
                <w:szCs w:val="21"/>
              </w:rPr>
              <w:t>2.毕业证书、职称证书。</w:t>
            </w:r>
          </w:p>
          <w:p w14:paraId="442F1E0F">
            <w:pPr>
              <w:adjustRightInd w:val="0"/>
              <w:snapToGrid w:val="0"/>
              <w:spacing w:line="300" w:lineRule="exact"/>
            </w:pPr>
            <w:r>
              <w:rPr>
                <w:rFonts w:hint="eastAsia" w:ascii="宋体" w:hAnsi="宋体" w:cs="宋体"/>
                <w:szCs w:val="21"/>
              </w:rPr>
              <w:t>3.根据项目现场开展情况合理安排相关专业监理工程师到场。</w:t>
            </w:r>
          </w:p>
        </w:tc>
      </w:tr>
      <w:tr w14:paraId="7897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14936DD2">
            <w:pPr>
              <w:widowControl/>
              <w:adjustRightInd w:val="0"/>
              <w:snapToGrid w:val="0"/>
              <w:ind w:left="-361" w:leftChars="-172" w:firstLine="420" w:firstLineChars="200"/>
              <w:jc w:val="center"/>
              <w:rPr>
                <w:kern w:val="0"/>
                <w:szCs w:val="21"/>
              </w:rPr>
            </w:pPr>
            <w:r>
              <w:rPr>
                <w:rFonts w:hint="eastAsia"/>
                <w:kern w:val="0"/>
                <w:szCs w:val="21"/>
              </w:rPr>
              <w:t>6</w:t>
            </w:r>
          </w:p>
        </w:tc>
        <w:tc>
          <w:tcPr>
            <w:tcW w:w="901" w:type="dxa"/>
            <w:vMerge w:val="continue"/>
            <w:vAlign w:val="center"/>
          </w:tcPr>
          <w:p w14:paraId="5567CDE4">
            <w:pPr>
              <w:adjustRightInd w:val="0"/>
              <w:snapToGrid w:val="0"/>
              <w:spacing w:line="300" w:lineRule="exact"/>
              <w:jc w:val="center"/>
              <w:rPr>
                <w:szCs w:val="21"/>
              </w:rPr>
            </w:pPr>
          </w:p>
        </w:tc>
        <w:tc>
          <w:tcPr>
            <w:tcW w:w="1398" w:type="dxa"/>
            <w:vAlign w:val="center"/>
          </w:tcPr>
          <w:p w14:paraId="07F3EFE3">
            <w:pPr>
              <w:adjustRightInd w:val="0"/>
              <w:snapToGrid w:val="0"/>
              <w:spacing w:line="300" w:lineRule="exact"/>
              <w:jc w:val="center"/>
              <w:rPr>
                <w:szCs w:val="21"/>
              </w:rPr>
            </w:pPr>
            <w:r>
              <w:rPr>
                <w:szCs w:val="21"/>
              </w:rPr>
              <w:t>装饰装修</w:t>
            </w:r>
            <w:r>
              <w:rPr>
                <w:rFonts w:hint="eastAsia"/>
                <w:szCs w:val="21"/>
              </w:rPr>
              <w:t>专业</w:t>
            </w:r>
            <w:r>
              <w:rPr>
                <w:szCs w:val="21"/>
              </w:rPr>
              <w:t>监理工程师</w:t>
            </w:r>
          </w:p>
        </w:tc>
        <w:tc>
          <w:tcPr>
            <w:tcW w:w="648" w:type="dxa"/>
            <w:vAlign w:val="center"/>
          </w:tcPr>
          <w:p w14:paraId="2D104A2A">
            <w:pPr>
              <w:adjustRightInd w:val="0"/>
              <w:snapToGrid w:val="0"/>
              <w:spacing w:line="300" w:lineRule="exact"/>
              <w:jc w:val="center"/>
              <w:rPr>
                <w:szCs w:val="21"/>
              </w:rPr>
            </w:pPr>
            <w:r>
              <w:rPr>
                <w:rFonts w:hint="eastAsia"/>
                <w:szCs w:val="21"/>
              </w:rPr>
              <w:t>1</w:t>
            </w:r>
          </w:p>
        </w:tc>
        <w:tc>
          <w:tcPr>
            <w:tcW w:w="3216" w:type="dxa"/>
            <w:vAlign w:val="center"/>
          </w:tcPr>
          <w:p w14:paraId="07AAB2DD">
            <w:pPr>
              <w:adjustRightInd w:val="0"/>
              <w:snapToGrid w:val="0"/>
              <w:spacing w:line="300" w:lineRule="exact"/>
              <w:rPr>
                <w:rFonts w:ascii="宋体" w:hAnsi="宋体" w:cs="宋体"/>
                <w:szCs w:val="21"/>
              </w:rPr>
            </w:pPr>
            <w:r>
              <w:rPr>
                <w:rFonts w:hint="eastAsia" w:ascii="宋体" w:hAnsi="宋体" w:cs="宋体"/>
                <w:szCs w:val="21"/>
              </w:rPr>
              <w:t>专业为房屋建筑工程类（或相关专业），具有专业监理工程师或</w:t>
            </w:r>
            <w:r>
              <w:rPr>
                <w:rFonts w:hint="eastAsia" w:ascii="宋体" w:hAnsi="宋体" w:cs="宋体"/>
                <w:szCs w:val="21"/>
                <w:lang w:bidi="ar"/>
              </w:rPr>
              <w:t>注册监理工程师注册执业证书</w:t>
            </w:r>
            <w:r>
              <w:rPr>
                <w:rFonts w:hint="eastAsia" w:ascii="宋体" w:hAnsi="宋体" w:cs="宋体"/>
                <w:szCs w:val="21"/>
              </w:rPr>
              <w:t>；并具有建筑工程类中级工程师或以上技术职称。</w:t>
            </w:r>
          </w:p>
        </w:tc>
        <w:tc>
          <w:tcPr>
            <w:tcW w:w="2605" w:type="dxa"/>
            <w:vMerge w:val="continue"/>
            <w:vAlign w:val="center"/>
          </w:tcPr>
          <w:p w14:paraId="4E2F9A24">
            <w:pPr>
              <w:adjustRightInd w:val="0"/>
              <w:snapToGrid w:val="0"/>
              <w:spacing w:line="300" w:lineRule="exact"/>
              <w:rPr>
                <w:rFonts w:ascii="宋体" w:hAnsi="宋体" w:cs="宋体"/>
                <w:szCs w:val="21"/>
              </w:rPr>
            </w:pPr>
          </w:p>
        </w:tc>
      </w:tr>
      <w:tr w14:paraId="3C11B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3C81D48A">
            <w:pPr>
              <w:widowControl/>
              <w:adjustRightInd w:val="0"/>
              <w:snapToGrid w:val="0"/>
              <w:ind w:left="-361" w:leftChars="-172" w:firstLine="420" w:firstLineChars="200"/>
              <w:jc w:val="center"/>
              <w:rPr>
                <w:kern w:val="0"/>
                <w:szCs w:val="21"/>
              </w:rPr>
            </w:pPr>
            <w:r>
              <w:rPr>
                <w:rFonts w:hint="eastAsia"/>
                <w:kern w:val="0"/>
                <w:szCs w:val="21"/>
              </w:rPr>
              <w:t>7</w:t>
            </w:r>
          </w:p>
        </w:tc>
        <w:tc>
          <w:tcPr>
            <w:tcW w:w="901" w:type="dxa"/>
            <w:vMerge w:val="restart"/>
            <w:vAlign w:val="center"/>
          </w:tcPr>
          <w:p w14:paraId="6F7168B6">
            <w:pPr>
              <w:adjustRightInd w:val="0"/>
              <w:snapToGrid w:val="0"/>
              <w:spacing w:line="300" w:lineRule="exact"/>
              <w:jc w:val="center"/>
              <w:rPr>
                <w:szCs w:val="21"/>
              </w:rPr>
            </w:pPr>
            <w:r>
              <w:rPr>
                <w:rFonts w:hint="eastAsia"/>
                <w:snapToGrid w:val="0"/>
                <w:spacing w:val="4"/>
                <w:kern w:val="0"/>
                <w:szCs w:val="21"/>
              </w:rPr>
              <w:t>机电安装专业监理工程师</w:t>
            </w:r>
          </w:p>
        </w:tc>
        <w:tc>
          <w:tcPr>
            <w:tcW w:w="1398" w:type="dxa"/>
            <w:vAlign w:val="center"/>
          </w:tcPr>
          <w:p w14:paraId="7323A705">
            <w:pPr>
              <w:adjustRightInd w:val="0"/>
              <w:snapToGrid w:val="0"/>
              <w:spacing w:line="300" w:lineRule="exact"/>
              <w:jc w:val="center"/>
              <w:rPr>
                <w:szCs w:val="21"/>
              </w:rPr>
            </w:pPr>
            <w:r>
              <w:rPr>
                <w:szCs w:val="21"/>
              </w:rPr>
              <w:t>电气专业</w:t>
            </w:r>
            <w:r>
              <w:rPr>
                <w:rFonts w:hint="eastAsia"/>
                <w:szCs w:val="21"/>
              </w:rPr>
              <w:t>监理</w:t>
            </w:r>
            <w:r>
              <w:rPr>
                <w:szCs w:val="21"/>
              </w:rPr>
              <w:t>工程师</w:t>
            </w:r>
          </w:p>
        </w:tc>
        <w:tc>
          <w:tcPr>
            <w:tcW w:w="648" w:type="dxa"/>
            <w:vAlign w:val="center"/>
          </w:tcPr>
          <w:p w14:paraId="72E0F4F0">
            <w:pPr>
              <w:adjustRightInd w:val="0"/>
              <w:snapToGrid w:val="0"/>
              <w:spacing w:line="300" w:lineRule="exact"/>
              <w:jc w:val="center"/>
              <w:rPr>
                <w:szCs w:val="21"/>
              </w:rPr>
            </w:pPr>
            <w:r>
              <w:rPr>
                <w:rFonts w:hint="eastAsia"/>
                <w:szCs w:val="21"/>
              </w:rPr>
              <w:t>1</w:t>
            </w:r>
          </w:p>
        </w:tc>
        <w:tc>
          <w:tcPr>
            <w:tcW w:w="3216" w:type="dxa"/>
            <w:vAlign w:val="center"/>
          </w:tcPr>
          <w:p w14:paraId="60063234">
            <w:pPr>
              <w:adjustRightInd w:val="0"/>
              <w:snapToGrid w:val="0"/>
              <w:spacing w:line="300" w:lineRule="exact"/>
              <w:rPr>
                <w:rFonts w:ascii="宋体" w:hAnsi="宋体" w:cs="宋体"/>
                <w:szCs w:val="21"/>
              </w:rPr>
            </w:pPr>
            <w:r>
              <w:rPr>
                <w:rFonts w:hint="eastAsia" w:ascii="宋体" w:hAnsi="宋体" w:cs="宋体"/>
                <w:szCs w:val="21"/>
              </w:rPr>
              <w:t>专业为电气工程（或相关专业），具有专业监理工程师或</w:t>
            </w:r>
            <w:r>
              <w:rPr>
                <w:rFonts w:hint="eastAsia" w:ascii="宋体" w:hAnsi="宋体" w:cs="宋体"/>
                <w:szCs w:val="21"/>
                <w:lang w:bidi="ar"/>
              </w:rPr>
              <w:t>注册监理工程师注册执业证书</w:t>
            </w:r>
            <w:r>
              <w:rPr>
                <w:rFonts w:hint="eastAsia" w:ascii="宋体" w:hAnsi="宋体" w:cs="宋体"/>
                <w:szCs w:val="21"/>
              </w:rPr>
              <w:t>；并具有建筑工程类中级工程师或以上技术职称。</w:t>
            </w:r>
          </w:p>
        </w:tc>
        <w:tc>
          <w:tcPr>
            <w:tcW w:w="2605" w:type="dxa"/>
            <w:vMerge w:val="restart"/>
            <w:vAlign w:val="center"/>
          </w:tcPr>
          <w:p w14:paraId="60C8A270">
            <w:pPr>
              <w:rPr>
                <w:rFonts w:ascii="宋体" w:hAnsi="宋体" w:cs="宋体"/>
                <w:szCs w:val="21"/>
              </w:rPr>
            </w:pPr>
            <w:r>
              <w:rPr>
                <w:rFonts w:hint="eastAsia" w:ascii="宋体" w:hAnsi="宋体" w:cs="宋体"/>
                <w:kern w:val="0"/>
                <w:szCs w:val="21"/>
                <w:lang w:bidi="ar"/>
              </w:rPr>
              <w:t>1.其中</w:t>
            </w:r>
            <w:r>
              <w:rPr>
                <w:rFonts w:cs="宋体"/>
                <w:kern w:val="0"/>
                <w:szCs w:val="21"/>
                <w:lang w:bidi="ar"/>
              </w:rPr>
              <w:t>1</w:t>
            </w:r>
            <w:r>
              <w:rPr>
                <w:rFonts w:hint="eastAsia" w:ascii="宋体" w:hAnsi="宋体" w:cs="宋体"/>
                <w:kern w:val="0"/>
                <w:szCs w:val="21"/>
                <w:lang w:bidi="ar"/>
              </w:rPr>
              <w:t>人需</w:t>
            </w:r>
            <w:r>
              <w:rPr>
                <w:rFonts w:hint="eastAsia" w:ascii="宋体" w:hAnsi="宋体" w:cs="宋体"/>
                <w:szCs w:val="21"/>
                <w:lang w:bidi="ar"/>
              </w:rPr>
              <w:t>具有建设部</w:t>
            </w:r>
            <w:r>
              <w:rPr>
                <w:rFonts w:cs="宋体"/>
                <w:szCs w:val="21"/>
                <w:lang w:bidi="ar"/>
              </w:rPr>
              <w:t>2006</w:t>
            </w:r>
            <w:r>
              <w:rPr>
                <w:rFonts w:hint="eastAsia" w:ascii="宋体" w:hAnsi="宋体" w:cs="宋体"/>
                <w:szCs w:val="21"/>
                <w:lang w:bidi="ar"/>
              </w:rPr>
              <w:t>年4月1日后颁发的中华人民共和国注册监理工程师注册执业证书，且其注册证书专业为机电安装专业，注册执业单位为本公司。</w:t>
            </w:r>
          </w:p>
          <w:p w14:paraId="39F888FB">
            <w:pPr>
              <w:adjustRightInd w:val="0"/>
              <w:snapToGrid w:val="0"/>
              <w:spacing w:line="300" w:lineRule="exact"/>
              <w:rPr>
                <w:rFonts w:ascii="宋体" w:hAnsi="宋体" w:cs="宋体"/>
                <w:szCs w:val="21"/>
              </w:rPr>
            </w:pPr>
            <w:r>
              <w:rPr>
                <w:rFonts w:hint="eastAsia" w:ascii="宋体" w:hAnsi="宋体" w:cs="宋体"/>
                <w:szCs w:val="21"/>
              </w:rPr>
              <w:t>2.毕业证书、职称证书、专业监理工程师证书或注册监理工程师注册证书。</w:t>
            </w:r>
          </w:p>
          <w:p w14:paraId="77877F65">
            <w:pPr>
              <w:adjustRightInd w:val="0"/>
              <w:snapToGrid w:val="0"/>
              <w:spacing w:line="300" w:lineRule="exact"/>
            </w:pPr>
            <w:r>
              <w:rPr>
                <w:rFonts w:hint="eastAsia" w:ascii="宋体" w:hAnsi="宋体" w:cs="宋体"/>
                <w:szCs w:val="21"/>
              </w:rPr>
              <w:t>3.根据项目现场开展情况合理安排相关专业监理工程师到场。</w:t>
            </w:r>
          </w:p>
        </w:tc>
      </w:tr>
      <w:tr w14:paraId="2A2C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31386B61">
            <w:pPr>
              <w:widowControl/>
              <w:adjustRightInd w:val="0"/>
              <w:snapToGrid w:val="0"/>
              <w:ind w:left="-361" w:leftChars="-172" w:firstLine="420" w:firstLineChars="200"/>
              <w:jc w:val="center"/>
              <w:rPr>
                <w:kern w:val="0"/>
                <w:szCs w:val="21"/>
              </w:rPr>
            </w:pPr>
            <w:r>
              <w:rPr>
                <w:rFonts w:hint="eastAsia"/>
                <w:kern w:val="0"/>
                <w:szCs w:val="21"/>
              </w:rPr>
              <w:t>8</w:t>
            </w:r>
          </w:p>
        </w:tc>
        <w:tc>
          <w:tcPr>
            <w:tcW w:w="901" w:type="dxa"/>
            <w:vMerge w:val="continue"/>
            <w:vAlign w:val="center"/>
          </w:tcPr>
          <w:p w14:paraId="6FF6A2B0">
            <w:pPr>
              <w:adjustRightInd w:val="0"/>
              <w:snapToGrid w:val="0"/>
              <w:spacing w:line="300" w:lineRule="exact"/>
              <w:jc w:val="center"/>
              <w:rPr>
                <w:szCs w:val="21"/>
              </w:rPr>
            </w:pPr>
          </w:p>
        </w:tc>
        <w:tc>
          <w:tcPr>
            <w:tcW w:w="1398" w:type="dxa"/>
            <w:vAlign w:val="center"/>
          </w:tcPr>
          <w:p w14:paraId="400A8F2B">
            <w:pPr>
              <w:adjustRightInd w:val="0"/>
              <w:snapToGrid w:val="0"/>
              <w:spacing w:line="300" w:lineRule="exact"/>
              <w:jc w:val="center"/>
              <w:rPr>
                <w:szCs w:val="21"/>
              </w:rPr>
            </w:pPr>
            <w:r>
              <w:rPr>
                <w:szCs w:val="21"/>
              </w:rPr>
              <w:t>给排水专业</w:t>
            </w:r>
            <w:r>
              <w:rPr>
                <w:rFonts w:hint="eastAsia"/>
                <w:szCs w:val="21"/>
              </w:rPr>
              <w:t>监理</w:t>
            </w:r>
            <w:r>
              <w:rPr>
                <w:szCs w:val="21"/>
              </w:rPr>
              <w:t>工程师</w:t>
            </w:r>
          </w:p>
        </w:tc>
        <w:tc>
          <w:tcPr>
            <w:tcW w:w="648" w:type="dxa"/>
            <w:vAlign w:val="center"/>
          </w:tcPr>
          <w:p w14:paraId="055473F1">
            <w:pPr>
              <w:adjustRightInd w:val="0"/>
              <w:snapToGrid w:val="0"/>
              <w:spacing w:line="300" w:lineRule="exact"/>
              <w:jc w:val="center"/>
              <w:rPr>
                <w:szCs w:val="21"/>
              </w:rPr>
            </w:pPr>
            <w:r>
              <w:rPr>
                <w:rFonts w:hint="eastAsia"/>
                <w:szCs w:val="21"/>
              </w:rPr>
              <w:t>1</w:t>
            </w:r>
          </w:p>
        </w:tc>
        <w:tc>
          <w:tcPr>
            <w:tcW w:w="3216" w:type="dxa"/>
            <w:vAlign w:val="center"/>
          </w:tcPr>
          <w:p w14:paraId="26CE5D93">
            <w:pPr>
              <w:adjustRightInd w:val="0"/>
              <w:snapToGrid w:val="0"/>
              <w:spacing w:line="300" w:lineRule="exact"/>
              <w:rPr>
                <w:rFonts w:ascii="宋体" w:hAnsi="宋体" w:cs="宋体"/>
                <w:szCs w:val="21"/>
              </w:rPr>
            </w:pPr>
            <w:r>
              <w:rPr>
                <w:rFonts w:hint="eastAsia" w:ascii="宋体" w:hAnsi="宋体" w:cs="宋体"/>
                <w:szCs w:val="21"/>
              </w:rPr>
              <w:t>专业为给排水工程（或相关专业），具有</w:t>
            </w:r>
            <w:r>
              <w:t>专业监理工程师</w:t>
            </w:r>
            <w:r>
              <w:rPr>
                <w:rFonts w:hint="eastAsia" w:ascii="宋体" w:hAnsi="宋体" w:cs="宋体"/>
                <w:szCs w:val="21"/>
              </w:rPr>
              <w:t>或</w:t>
            </w:r>
            <w:r>
              <w:rPr>
                <w:rFonts w:hint="eastAsia" w:ascii="宋体" w:hAnsi="宋体" w:cs="宋体"/>
                <w:szCs w:val="21"/>
                <w:lang w:bidi="ar"/>
              </w:rPr>
              <w:t>注册监理工程师注册执业证书</w:t>
            </w:r>
            <w:r>
              <w:rPr>
                <w:rFonts w:hint="eastAsia" w:ascii="宋体" w:hAnsi="宋体" w:cs="宋体"/>
                <w:szCs w:val="21"/>
              </w:rPr>
              <w:t>；并具有建筑工程类中级工程师或以上技术职称。</w:t>
            </w:r>
          </w:p>
        </w:tc>
        <w:tc>
          <w:tcPr>
            <w:tcW w:w="2605" w:type="dxa"/>
            <w:vMerge w:val="continue"/>
            <w:vAlign w:val="center"/>
          </w:tcPr>
          <w:p w14:paraId="66A25EC7">
            <w:pPr>
              <w:adjustRightInd w:val="0"/>
              <w:snapToGrid w:val="0"/>
              <w:spacing w:line="300" w:lineRule="exact"/>
              <w:rPr>
                <w:rFonts w:ascii="宋体" w:hAnsi="宋体" w:cs="宋体"/>
                <w:szCs w:val="21"/>
              </w:rPr>
            </w:pPr>
          </w:p>
        </w:tc>
      </w:tr>
      <w:tr w14:paraId="7B42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84" w:type="dxa"/>
            <w:vAlign w:val="center"/>
          </w:tcPr>
          <w:p w14:paraId="0829AFBC">
            <w:pPr>
              <w:widowControl/>
              <w:adjustRightInd w:val="0"/>
              <w:snapToGrid w:val="0"/>
              <w:ind w:left="-361" w:leftChars="-172" w:firstLine="420" w:firstLineChars="200"/>
              <w:jc w:val="center"/>
              <w:rPr>
                <w:kern w:val="0"/>
                <w:szCs w:val="21"/>
              </w:rPr>
            </w:pPr>
            <w:r>
              <w:rPr>
                <w:rFonts w:hint="eastAsia"/>
                <w:kern w:val="0"/>
                <w:szCs w:val="21"/>
              </w:rPr>
              <w:t>9</w:t>
            </w:r>
          </w:p>
        </w:tc>
        <w:tc>
          <w:tcPr>
            <w:tcW w:w="901" w:type="dxa"/>
            <w:vMerge w:val="continue"/>
            <w:vAlign w:val="center"/>
          </w:tcPr>
          <w:p w14:paraId="167A0ED3">
            <w:pPr>
              <w:adjustRightInd w:val="0"/>
              <w:snapToGrid w:val="0"/>
              <w:spacing w:line="300" w:lineRule="exact"/>
              <w:jc w:val="center"/>
              <w:rPr>
                <w:szCs w:val="21"/>
              </w:rPr>
            </w:pPr>
          </w:p>
        </w:tc>
        <w:tc>
          <w:tcPr>
            <w:tcW w:w="1398" w:type="dxa"/>
            <w:vAlign w:val="center"/>
          </w:tcPr>
          <w:p w14:paraId="0A941091">
            <w:pPr>
              <w:adjustRightInd w:val="0"/>
              <w:snapToGrid w:val="0"/>
              <w:spacing w:line="300" w:lineRule="exact"/>
              <w:jc w:val="center"/>
              <w:rPr>
                <w:szCs w:val="21"/>
              </w:rPr>
            </w:pPr>
            <w:r>
              <w:rPr>
                <w:szCs w:val="21"/>
              </w:rPr>
              <w:t>暖通专业</w:t>
            </w:r>
            <w:r>
              <w:rPr>
                <w:rFonts w:hint="eastAsia"/>
                <w:szCs w:val="21"/>
              </w:rPr>
              <w:t>监理</w:t>
            </w:r>
            <w:r>
              <w:rPr>
                <w:szCs w:val="21"/>
              </w:rPr>
              <w:t>工程师</w:t>
            </w:r>
          </w:p>
        </w:tc>
        <w:tc>
          <w:tcPr>
            <w:tcW w:w="648" w:type="dxa"/>
            <w:vAlign w:val="center"/>
          </w:tcPr>
          <w:p w14:paraId="6CAC84E3">
            <w:pPr>
              <w:adjustRightInd w:val="0"/>
              <w:snapToGrid w:val="0"/>
              <w:spacing w:line="300" w:lineRule="exact"/>
              <w:jc w:val="center"/>
              <w:rPr>
                <w:szCs w:val="21"/>
              </w:rPr>
            </w:pPr>
            <w:r>
              <w:rPr>
                <w:rFonts w:hint="eastAsia"/>
                <w:szCs w:val="21"/>
              </w:rPr>
              <w:t>1</w:t>
            </w:r>
          </w:p>
        </w:tc>
        <w:tc>
          <w:tcPr>
            <w:tcW w:w="3216" w:type="dxa"/>
            <w:vAlign w:val="center"/>
          </w:tcPr>
          <w:p w14:paraId="3EEBF0EB">
            <w:pPr>
              <w:adjustRightInd w:val="0"/>
              <w:snapToGrid w:val="0"/>
              <w:spacing w:line="300" w:lineRule="exact"/>
              <w:rPr>
                <w:rFonts w:ascii="宋体" w:hAnsi="宋体" w:cs="宋体"/>
                <w:szCs w:val="21"/>
              </w:rPr>
            </w:pPr>
            <w:r>
              <w:rPr>
                <w:rFonts w:hint="eastAsia" w:ascii="宋体" w:hAnsi="宋体" w:cs="宋体"/>
                <w:szCs w:val="21"/>
              </w:rPr>
              <w:t>专业为暖通工程（或相关专业），具有专业监理工程师或</w:t>
            </w:r>
            <w:r>
              <w:rPr>
                <w:rFonts w:hint="eastAsia" w:ascii="宋体" w:hAnsi="宋体" w:cs="宋体"/>
                <w:szCs w:val="21"/>
                <w:lang w:bidi="ar"/>
              </w:rPr>
              <w:t>注册监理工程师注册执业证书</w:t>
            </w:r>
            <w:r>
              <w:rPr>
                <w:rFonts w:hint="eastAsia" w:ascii="宋体" w:hAnsi="宋体" w:cs="宋体"/>
                <w:szCs w:val="21"/>
              </w:rPr>
              <w:t>；并具有建筑工程类中级工程师或以上技术职称。</w:t>
            </w:r>
          </w:p>
        </w:tc>
        <w:tc>
          <w:tcPr>
            <w:tcW w:w="2605" w:type="dxa"/>
            <w:vMerge w:val="continue"/>
            <w:vAlign w:val="center"/>
          </w:tcPr>
          <w:p w14:paraId="6B3739D8">
            <w:pPr>
              <w:adjustRightInd w:val="0"/>
              <w:snapToGrid w:val="0"/>
              <w:spacing w:line="300" w:lineRule="exact"/>
              <w:rPr>
                <w:rFonts w:ascii="宋体" w:hAnsi="宋体" w:cs="宋体"/>
                <w:szCs w:val="21"/>
              </w:rPr>
            </w:pPr>
          </w:p>
        </w:tc>
      </w:tr>
      <w:tr w14:paraId="41C1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20A92A77">
            <w:pPr>
              <w:widowControl/>
              <w:adjustRightInd w:val="0"/>
              <w:snapToGrid w:val="0"/>
              <w:ind w:left="-361" w:leftChars="-172" w:firstLine="420" w:firstLineChars="200"/>
              <w:jc w:val="center"/>
              <w:rPr>
                <w:kern w:val="0"/>
                <w:szCs w:val="21"/>
              </w:rPr>
            </w:pPr>
            <w:r>
              <w:rPr>
                <w:rFonts w:hint="eastAsia"/>
                <w:kern w:val="0"/>
                <w:szCs w:val="21"/>
              </w:rPr>
              <w:t>10</w:t>
            </w:r>
          </w:p>
        </w:tc>
        <w:tc>
          <w:tcPr>
            <w:tcW w:w="901" w:type="dxa"/>
            <w:vMerge w:val="continue"/>
            <w:vAlign w:val="center"/>
          </w:tcPr>
          <w:p w14:paraId="22C6F88F">
            <w:pPr>
              <w:adjustRightInd w:val="0"/>
              <w:snapToGrid w:val="0"/>
              <w:spacing w:line="300" w:lineRule="exact"/>
              <w:jc w:val="center"/>
              <w:rPr>
                <w:szCs w:val="21"/>
              </w:rPr>
            </w:pPr>
          </w:p>
        </w:tc>
        <w:tc>
          <w:tcPr>
            <w:tcW w:w="1398" w:type="dxa"/>
            <w:vAlign w:val="center"/>
          </w:tcPr>
          <w:p w14:paraId="4891D6DC">
            <w:pPr>
              <w:adjustRightInd w:val="0"/>
              <w:snapToGrid w:val="0"/>
              <w:spacing w:line="300" w:lineRule="exact"/>
              <w:jc w:val="center"/>
              <w:rPr>
                <w:szCs w:val="21"/>
              </w:rPr>
            </w:pPr>
            <w:r>
              <w:rPr>
                <w:szCs w:val="21"/>
              </w:rPr>
              <w:t>弱电专业</w:t>
            </w:r>
            <w:r>
              <w:rPr>
                <w:rFonts w:hint="eastAsia"/>
                <w:szCs w:val="21"/>
              </w:rPr>
              <w:t>监理</w:t>
            </w:r>
            <w:r>
              <w:rPr>
                <w:szCs w:val="21"/>
              </w:rPr>
              <w:t>工程师</w:t>
            </w:r>
          </w:p>
        </w:tc>
        <w:tc>
          <w:tcPr>
            <w:tcW w:w="648" w:type="dxa"/>
            <w:vAlign w:val="center"/>
          </w:tcPr>
          <w:p w14:paraId="38FDD676">
            <w:pPr>
              <w:adjustRightInd w:val="0"/>
              <w:snapToGrid w:val="0"/>
              <w:spacing w:line="300" w:lineRule="exact"/>
              <w:jc w:val="center"/>
              <w:rPr>
                <w:szCs w:val="21"/>
              </w:rPr>
            </w:pPr>
            <w:r>
              <w:rPr>
                <w:rFonts w:hint="eastAsia"/>
                <w:szCs w:val="21"/>
              </w:rPr>
              <w:t>1</w:t>
            </w:r>
          </w:p>
        </w:tc>
        <w:tc>
          <w:tcPr>
            <w:tcW w:w="3216" w:type="dxa"/>
            <w:vAlign w:val="center"/>
          </w:tcPr>
          <w:p w14:paraId="678E253F">
            <w:pPr>
              <w:adjustRightInd w:val="0"/>
              <w:snapToGrid w:val="0"/>
              <w:spacing w:line="300" w:lineRule="exact"/>
              <w:rPr>
                <w:rFonts w:ascii="宋体" w:hAnsi="宋体" w:cs="宋体"/>
                <w:szCs w:val="21"/>
              </w:rPr>
            </w:pPr>
            <w:r>
              <w:rPr>
                <w:rFonts w:hint="eastAsia" w:ascii="宋体" w:hAnsi="宋体" w:cs="宋体"/>
                <w:szCs w:val="21"/>
              </w:rPr>
              <w:t>专业为弱电工程（或相关专业，包括计算机、电子、通信、自动化、电气等），具有专业监理工程师或</w:t>
            </w:r>
            <w:r>
              <w:rPr>
                <w:rFonts w:hint="eastAsia" w:ascii="宋体" w:hAnsi="宋体" w:cs="宋体"/>
                <w:szCs w:val="21"/>
                <w:lang w:bidi="ar"/>
              </w:rPr>
              <w:t>注册监理工程师注册执业证书</w:t>
            </w:r>
            <w:r>
              <w:rPr>
                <w:rFonts w:hint="eastAsia" w:ascii="宋体" w:hAnsi="宋体" w:cs="宋体"/>
                <w:szCs w:val="21"/>
              </w:rPr>
              <w:t>；并具有机电类中级工程师或以上技术职称。</w:t>
            </w:r>
          </w:p>
        </w:tc>
        <w:tc>
          <w:tcPr>
            <w:tcW w:w="2605" w:type="dxa"/>
            <w:vMerge w:val="continue"/>
            <w:vAlign w:val="center"/>
          </w:tcPr>
          <w:p w14:paraId="7E35A8FE">
            <w:pPr>
              <w:adjustRightInd w:val="0"/>
              <w:snapToGrid w:val="0"/>
              <w:spacing w:line="300" w:lineRule="exact"/>
              <w:rPr>
                <w:rFonts w:ascii="宋体" w:hAnsi="宋体" w:cs="宋体"/>
                <w:szCs w:val="21"/>
              </w:rPr>
            </w:pPr>
          </w:p>
        </w:tc>
      </w:tr>
      <w:tr w14:paraId="3F2FB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485784B9">
            <w:pPr>
              <w:widowControl/>
              <w:adjustRightInd w:val="0"/>
              <w:snapToGrid w:val="0"/>
              <w:ind w:left="-361" w:leftChars="-172" w:firstLine="420" w:firstLineChars="200"/>
              <w:jc w:val="center"/>
              <w:rPr>
                <w:kern w:val="0"/>
                <w:szCs w:val="21"/>
              </w:rPr>
            </w:pPr>
            <w:r>
              <w:rPr>
                <w:rFonts w:hint="eastAsia"/>
                <w:kern w:val="0"/>
                <w:szCs w:val="21"/>
              </w:rPr>
              <w:t>11</w:t>
            </w:r>
          </w:p>
        </w:tc>
        <w:tc>
          <w:tcPr>
            <w:tcW w:w="2299" w:type="dxa"/>
            <w:gridSpan w:val="2"/>
            <w:vAlign w:val="center"/>
          </w:tcPr>
          <w:p w14:paraId="01FD03A4">
            <w:pPr>
              <w:adjustRightInd w:val="0"/>
              <w:snapToGrid w:val="0"/>
              <w:spacing w:line="300" w:lineRule="exact"/>
              <w:jc w:val="center"/>
              <w:rPr>
                <w:szCs w:val="21"/>
              </w:rPr>
            </w:pPr>
            <w:r>
              <w:rPr>
                <w:szCs w:val="21"/>
              </w:rPr>
              <w:t>安全工程师</w:t>
            </w:r>
          </w:p>
        </w:tc>
        <w:tc>
          <w:tcPr>
            <w:tcW w:w="648" w:type="dxa"/>
            <w:vAlign w:val="center"/>
          </w:tcPr>
          <w:p w14:paraId="5975682E">
            <w:pPr>
              <w:adjustRightInd w:val="0"/>
              <w:snapToGrid w:val="0"/>
              <w:spacing w:line="300" w:lineRule="exact"/>
              <w:jc w:val="center"/>
              <w:rPr>
                <w:szCs w:val="21"/>
              </w:rPr>
            </w:pPr>
            <w:r>
              <w:rPr>
                <w:szCs w:val="21"/>
              </w:rPr>
              <w:t>2</w:t>
            </w:r>
          </w:p>
        </w:tc>
        <w:tc>
          <w:tcPr>
            <w:tcW w:w="3216" w:type="dxa"/>
            <w:vAlign w:val="center"/>
          </w:tcPr>
          <w:p w14:paraId="583E32FA">
            <w:pPr>
              <w:adjustRightInd w:val="0"/>
              <w:snapToGrid w:val="0"/>
              <w:spacing w:line="300" w:lineRule="exact"/>
              <w:rPr>
                <w:rFonts w:ascii="宋体" w:hAnsi="宋体" w:cs="宋体"/>
                <w:szCs w:val="21"/>
              </w:rPr>
            </w:pPr>
            <w:r>
              <w:rPr>
                <w:rFonts w:hint="eastAsia" w:ascii="宋体" w:hAnsi="宋体" w:cs="宋体"/>
                <w:szCs w:val="21"/>
              </w:rPr>
              <w:t>具备建筑工程类中级工程师或以上技术职称，并具有注册安全工程师证书（建筑施工安全专业）或安全监理员证书（建筑工程类或机电安装类）。</w:t>
            </w:r>
          </w:p>
        </w:tc>
        <w:tc>
          <w:tcPr>
            <w:tcW w:w="2605" w:type="dxa"/>
            <w:vAlign w:val="center"/>
          </w:tcPr>
          <w:p w14:paraId="240F0A52">
            <w:pPr>
              <w:adjustRightInd w:val="0"/>
              <w:snapToGrid w:val="0"/>
              <w:spacing w:line="300" w:lineRule="exact"/>
              <w:rPr>
                <w:rFonts w:ascii="宋体" w:hAnsi="宋体" w:cs="宋体"/>
                <w:szCs w:val="21"/>
              </w:rPr>
            </w:pPr>
            <w:r>
              <w:rPr>
                <w:rFonts w:hint="eastAsia" w:ascii="宋体" w:hAnsi="宋体" w:cs="宋体"/>
                <w:szCs w:val="21"/>
              </w:rPr>
              <w:t>职称证书、注册安全工程师证书或安全监理员证书</w:t>
            </w:r>
          </w:p>
        </w:tc>
      </w:tr>
      <w:tr w14:paraId="7901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6285EA68">
            <w:pPr>
              <w:widowControl/>
              <w:adjustRightInd w:val="0"/>
              <w:snapToGrid w:val="0"/>
              <w:ind w:left="-361" w:leftChars="-172" w:firstLine="420" w:firstLineChars="200"/>
              <w:jc w:val="center"/>
              <w:rPr>
                <w:kern w:val="0"/>
                <w:szCs w:val="21"/>
              </w:rPr>
            </w:pPr>
            <w:r>
              <w:rPr>
                <w:rFonts w:hint="eastAsia"/>
                <w:kern w:val="0"/>
                <w:szCs w:val="21"/>
              </w:rPr>
              <w:t>12</w:t>
            </w:r>
          </w:p>
        </w:tc>
        <w:tc>
          <w:tcPr>
            <w:tcW w:w="2299" w:type="dxa"/>
            <w:gridSpan w:val="2"/>
            <w:vAlign w:val="center"/>
          </w:tcPr>
          <w:p w14:paraId="739B50B1">
            <w:pPr>
              <w:adjustRightInd w:val="0"/>
              <w:snapToGrid w:val="0"/>
              <w:spacing w:line="300" w:lineRule="exact"/>
              <w:jc w:val="center"/>
              <w:rPr>
                <w:szCs w:val="21"/>
              </w:rPr>
            </w:pPr>
            <w:r>
              <w:rPr>
                <w:szCs w:val="21"/>
              </w:rPr>
              <w:t>监理员</w:t>
            </w:r>
          </w:p>
        </w:tc>
        <w:tc>
          <w:tcPr>
            <w:tcW w:w="648" w:type="dxa"/>
            <w:vAlign w:val="center"/>
          </w:tcPr>
          <w:p w14:paraId="4B400347">
            <w:pPr>
              <w:adjustRightInd w:val="0"/>
              <w:snapToGrid w:val="0"/>
              <w:spacing w:line="300" w:lineRule="exact"/>
              <w:jc w:val="center"/>
              <w:rPr>
                <w:szCs w:val="21"/>
              </w:rPr>
            </w:pPr>
            <w:r>
              <w:rPr>
                <w:rFonts w:hint="eastAsia"/>
                <w:szCs w:val="21"/>
              </w:rPr>
              <w:t>8</w:t>
            </w:r>
          </w:p>
        </w:tc>
        <w:tc>
          <w:tcPr>
            <w:tcW w:w="3216" w:type="dxa"/>
            <w:vAlign w:val="center"/>
          </w:tcPr>
          <w:p w14:paraId="04675986">
            <w:pPr>
              <w:adjustRightInd w:val="0"/>
              <w:snapToGrid w:val="0"/>
              <w:spacing w:line="300" w:lineRule="exact"/>
              <w:rPr>
                <w:rFonts w:ascii="宋体" w:hAnsi="宋体" w:cs="宋体"/>
                <w:szCs w:val="21"/>
              </w:rPr>
            </w:pPr>
            <w:r>
              <w:rPr>
                <w:rFonts w:hint="eastAsia" w:ascii="宋体" w:hAnsi="宋体" w:cs="宋体"/>
                <w:szCs w:val="21"/>
              </w:rPr>
              <w:t>具有土建或机电类相关专业助理工程师或以上技术职称和监理员证书。</w:t>
            </w:r>
          </w:p>
        </w:tc>
        <w:tc>
          <w:tcPr>
            <w:tcW w:w="2605" w:type="dxa"/>
            <w:vAlign w:val="center"/>
          </w:tcPr>
          <w:p w14:paraId="76401B6E">
            <w:pPr>
              <w:adjustRightInd w:val="0"/>
              <w:snapToGrid w:val="0"/>
              <w:spacing w:line="300" w:lineRule="exact"/>
              <w:rPr>
                <w:rFonts w:ascii="宋体" w:hAnsi="宋体" w:cs="宋体"/>
                <w:szCs w:val="21"/>
              </w:rPr>
            </w:pPr>
            <w:r>
              <w:rPr>
                <w:rFonts w:hint="eastAsia" w:ascii="宋体" w:hAnsi="宋体" w:cs="宋体"/>
                <w:szCs w:val="21"/>
              </w:rPr>
              <w:t>职称证书、监理员证书</w:t>
            </w:r>
          </w:p>
          <w:p w14:paraId="67344E2E">
            <w:pPr>
              <w:adjustRightInd w:val="0"/>
              <w:snapToGrid w:val="0"/>
              <w:spacing w:line="300" w:lineRule="exact"/>
              <w:rPr>
                <w:rFonts w:ascii="宋体" w:hAnsi="宋体" w:cs="宋体"/>
                <w:szCs w:val="21"/>
              </w:rPr>
            </w:pPr>
            <w:r>
              <w:rPr>
                <w:rFonts w:hint="eastAsia" w:ascii="宋体" w:hAnsi="宋体" w:cs="宋体"/>
                <w:szCs w:val="21"/>
              </w:rPr>
              <w:t>（考虑项目多个子项同时施工，且需夜间不间断施工，考虑三班四运作工作机制。）</w:t>
            </w:r>
          </w:p>
        </w:tc>
      </w:tr>
      <w:tr w14:paraId="0A45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1C38A318">
            <w:pPr>
              <w:widowControl/>
              <w:adjustRightInd w:val="0"/>
              <w:snapToGrid w:val="0"/>
              <w:ind w:left="-361" w:leftChars="-172" w:firstLine="420" w:firstLineChars="200"/>
              <w:jc w:val="center"/>
              <w:rPr>
                <w:kern w:val="0"/>
                <w:szCs w:val="21"/>
              </w:rPr>
            </w:pPr>
            <w:r>
              <w:rPr>
                <w:rFonts w:hint="eastAsia"/>
                <w:kern w:val="0"/>
                <w:szCs w:val="21"/>
              </w:rPr>
              <w:t>13</w:t>
            </w:r>
          </w:p>
        </w:tc>
        <w:tc>
          <w:tcPr>
            <w:tcW w:w="2299" w:type="dxa"/>
            <w:gridSpan w:val="2"/>
            <w:vAlign w:val="center"/>
          </w:tcPr>
          <w:p w14:paraId="12467957">
            <w:pPr>
              <w:adjustRightInd w:val="0"/>
              <w:snapToGrid w:val="0"/>
              <w:spacing w:line="300" w:lineRule="exact"/>
              <w:jc w:val="center"/>
              <w:rPr>
                <w:szCs w:val="21"/>
              </w:rPr>
            </w:pPr>
            <w:r>
              <w:rPr>
                <w:szCs w:val="21"/>
              </w:rPr>
              <w:t>图档资料管理员</w:t>
            </w:r>
          </w:p>
        </w:tc>
        <w:tc>
          <w:tcPr>
            <w:tcW w:w="648" w:type="dxa"/>
            <w:vAlign w:val="center"/>
          </w:tcPr>
          <w:p w14:paraId="12365C6C">
            <w:pPr>
              <w:adjustRightInd w:val="0"/>
              <w:snapToGrid w:val="0"/>
              <w:spacing w:line="360" w:lineRule="auto"/>
              <w:jc w:val="center"/>
              <w:rPr>
                <w:szCs w:val="21"/>
              </w:rPr>
            </w:pPr>
            <w:r>
              <w:rPr>
                <w:rFonts w:hint="eastAsia"/>
                <w:szCs w:val="21"/>
              </w:rPr>
              <w:t>1</w:t>
            </w:r>
          </w:p>
        </w:tc>
        <w:tc>
          <w:tcPr>
            <w:tcW w:w="3216" w:type="dxa"/>
            <w:vAlign w:val="center"/>
          </w:tcPr>
          <w:p w14:paraId="0B2E52A9">
            <w:pPr>
              <w:adjustRightInd w:val="0"/>
              <w:snapToGrid w:val="0"/>
              <w:spacing w:line="300" w:lineRule="exact"/>
              <w:rPr>
                <w:rFonts w:ascii="宋体" w:hAnsi="宋体" w:cs="宋体"/>
                <w:szCs w:val="21"/>
              </w:rPr>
            </w:pPr>
          </w:p>
        </w:tc>
        <w:tc>
          <w:tcPr>
            <w:tcW w:w="2605" w:type="dxa"/>
            <w:vAlign w:val="center"/>
          </w:tcPr>
          <w:p w14:paraId="7AA4AA2B">
            <w:pPr>
              <w:adjustRightInd w:val="0"/>
              <w:snapToGrid w:val="0"/>
              <w:spacing w:line="300" w:lineRule="exact"/>
              <w:rPr>
                <w:rFonts w:ascii="宋体" w:hAnsi="宋体" w:cs="宋体"/>
                <w:szCs w:val="21"/>
              </w:rPr>
            </w:pPr>
          </w:p>
        </w:tc>
      </w:tr>
      <w:tr w14:paraId="4C3E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285A2EB3">
            <w:pPr>
              <w:widowControl/>
              <w:adjustRightInd w:val="0"/>
              <w:snapToGrid w:val="0"/>
              <w:ind w:left="-361" w:leftChars="-172" w:firstLine="420" w:firstLineChars="200"/>
              <w:jc w:val="center"/>
              <w:rPr>
                <w:kern w:val="0"/>
                <w:szCs w:val="21"/>
              </w:rPr>
            </w:pPr>
          </w:p>
        </w:tc>
        <w:tc>
          <w:tcPr>
            <w:tcW w:w="2299" w:type="dxa"/>
            <w:gridSpan w:val="2"/>
            <w:vAlign w:val="center"/>
          </w:tcPr>
          <w:p w14:paraId="4FB48C0B">
            <w:pPr>
              <w:adjustRightInd w:val="0"/>
              <w:snapToGrid w:val="0"/>
              <w:spacing w:line="300" w:lineRule="exact"/>
              <w:jc w:val="center"/>
              <w:rPr>
                <w:szCs w:val="21"/>
              </w:rPr>
            </w:pPr>
            <w:r>
              <w:rPr>
                <w:szCs w:val="21"/>
              </w:rPr>
              <w:t>合计</w:t>
            </w:r>
          </w:p>
        </w:tc>
        <w:tc>
          <w:tcPr>
            <w:tcW w:w="648" w:type="dxa"/>
            <w:vAlign w:val="center"/>
          </w:tcPr>
          <w:p w14:paraId="08B8459C">
            <w:pPr>
              <w:adjustRightInd w:val="0"/>
              <w:snapToGrid w:val="0"/>
              <w:spacing w:line="300" w:lineRule="exact"/>
              <w:jc w:val="center"/>
              <w:rPr>
                <w:szCs w:val="21"/>
              </w:rPr>
            </w:pPr>
            <w:r>
              <w:rPr>
                <w:rFonts w:hint="eastAsia"/>
                <w:szCs w:val="21"/>
              </w:rPr>
              <w:t>22</w:t>
            </w:r>
          </w:p>
        </w:tc>
        <w:tc>
          <w:tcPr>
            <w:tcW w:w="3216" w:type="dxa"/>
            <w:vAlign w:val="center"/>
          </w:tcPr>
          <w:p w14:paraId="7819B073">
            <w:pPr>
              <w:adjustRightInd w:val="0"/>
              <w:snapToGrid w:val="0"/>
              <w:spacing w:line="360" w:lineRule="auto"/>
              <w:rPr>
                <w:snapToGrid w:val="0"/>
                <w:spacing w:val="4"/>
                <w:kern w:val="0"/>
                <w:szCs w:val="21"/>
              </w:rPr>
            </w:pPr>
            <w:r>
              <w:rPr>
                <w:rFonts w:hint="eastAsia"/>
                <w:snapToGrid w:val="0"/>
                <w:spacing w:val="4"/>
                <w:kern w:val="0"/>
                <w:szCs w:val="21"/>
              </w:rPr>
              <w:t>/</w:t>
            </w:r>
          </w:p>
        </w:tc>
        <w:tc>
          <w:tcPr>
            <w:tcW w:w="2605" w:type="dxa"/>
          </w:tcPr>
          <w:p w14:paraId="03564E9E">
            <w:pPr>
              <w:adjustRightInd w:val="0"/>
              <w:snapToGrid w:val="0"/>
              <w:spacing w:line="360" w:lineRule="auto"/>
              <w:rPr>
                <w:snapToGrid w:val="0"/>
                <w:spacing w:val="4"/>
                <w:kern w:val="0"/>
                <w:szCs w:val="21"/>
              </w:rPr>
            </w:pPr>
            <w:r>
              <w:rPr>
                <w:rFonts w:hint="eastAsia"/>
                <w:snapToGrid w:val="0"/>
                <w:spacing w:val="4"/>
                <w:kern w:val="0"/>
                <w:szCs w:val="21"/>
              </w:rPr>
              <w:t>/</w:t>
            </w:r>
          </w:p>
        </w:tc>
      </w:tr>
    </w:tbl>
    <w:p w14:paraId="48A12345">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w:t>
      </w:r>
      <w:r>
        <w:rPr>
          <w:rFonts w:hint="eastAsia"/>
          <w:snapToGrid w:val="0"/>
          <w:spacing w:val="4"/>
          <w:kern w:val="0"/>
          <w:sz w:val="24"/>
        </w:rPr>
        <w:t>1</w:t>
      </w:r>
      <w:r>
        <w:rPr>
          <w:rFonts w:hint="eastAsia" w:ascii="Times New Roman" w:hAnsi="Times New Roman"/>
          <w:snapToGrid w:val="0"/>
          <w:spacing w:val="4"/>
          <w:kern w:val="0"/>
          <w:sz w:val="24"/>
        </w:rPr>
        <w:t>）</w:t>
      </w:r>
      <w:r>
        <w:rPr>
          <w:rFonts w:ascii="Times New Roman" w:hAnsi="Times New Roman"/>
          <w:snapToGrid w:val="0"/>
          <w:spacing w:val="4"/>
          <w:kern w:val="0"/>
          <w:sz w:val="24"/>
        </w:rPr>
        <w:t>驻场要求：施工期间常驻现场监理工程师不少于4人（含</w:t>
      </w:r>
      <w:r>
        <w:rPr>
          <w:rFonts w:hint="eastAsia"/>
          <w:snapToGrid w:val="0"/>
          <w:spacing w:val="4"/>
          <w:kern w:val="0"/>
          <w:sz w:val="24"/>
        </w:rPr>
        <w:t>总监理工程师或总监代表、</w:t>
      </w:r>
      <w:r>
        <w:rPr>
          <w:rFonts w:ascii="Times New Roman" w:hAnsi="Times New Roman"/>
          <w:snapToGrid w:val="0"/>
          <w:spacing w:val="4"/>
          <w:kern w:val="0"/>
          <w:sz w:val="24"/>
        </w:rPr>
        <w:t>专业</w:t>
      </w:r>
      <w:r>
        <w:rPr>
          <w:rFonts w:hint="eastAsia" w:ascii="Times New Roman" w:hAnsi="Times New Roman"/>
          <w:snapToGrid w:val="0"/>
          <w:spacing w:val="4"/>
          <w:kern w:val="0"/>
          <w:sz w:val="24"/>
        </w:rPr>
        <w:t>监理</w:t>
      </w:r>
      <w:r>
        <w:rPr>
          <w:rFonts w:ascii="Times New Roman" w:hAnsi="Times New Roman"/>
          <w:snapToGrid w:val="0"/>
          <w:spacing w:val="4"/>
          <w:kern w:val="0"/>
          <w:sz w:val="24"/>
        </w:rPr>
        <w:t>工程师</w:t>
      </w:r>
      <w:r>
        <w:rPr>
          <w:rFonts w:hint="eastAsia" w:ascii="Times New Roman" w:hAnsi="Times New Roman"/>
          <w:snapToGrid w:val="0"/>
          <w:spacing w:val="4"/>
          <w:kern w:val="0"/>
          <w:sz w:val="24"/>
        </w:rPr>
        <w:t>（房屋建筑专业、机电安装专业各1名）</w:t>
      </w:r>
      <w:r>
        <w:rPr>
          <w:rFonts w:ascii="Times New Roman" w:hAnsi="Times New Roman"/>
          <w:snapToGrid w:val="0"/>
          <w:spacing w:val="4"/>
          <w:kern w:val="0"/>
          <w:sz w:val="24"/>
        </w:rPr>
        <w:t>、安全员等）；24小时连续作业期间须实行轮班制，确保全程监督。</w:t>
      </w:r>
    </w:p>
    <w:p w14:paraId="151FF1E2">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w:t>
      </w:r>
      <w:r>
        <w:rPr>
          <w:rFonts w:hint="eastAsia"/>
          <w:snapToGrid w:val="0"/>
          <w:spacing w:val="4"/>
          <w:kern w:val="0"/>
          <w:sz w:val="24"/>
        </w:rPr>
        <w:t>2</w:t>
      </w:r>
      <w:r>
        <w:rPr>
          <w:rFonts w:hint="eastAsia" w:ascii="Times New Roman" w:hAnsi="Times New Roman"/>
          <w:snapToGrid w:val="0"/>
          <w:spacing w:val="4"/>
          <w:kern w:val="0"/>
          <w:sz w:val="24"/>
        </w:rPr>
        <w:t>）</w:t>
      </w:r>
      <w:r>
        <w:rPr>
          <w:rFonts w:ascii="Times New Roman" w:hAnsi="Times New Roman"/>
          <w:snapToGrid w:val="0"/>
          <w:spacing w:val="4"/>
          <w:kern w:val="0"/>
          <w:sz w:val="24"/>
        </w:rPr>
        <w:t>合同履约过程中，未经委托人同意，不得随意更换人员。如监理人派出工作人员不能胜任工作，委托人保留更换人员的权利。实际投入本项目监理人员配备标准不得低于投标文件承诺配备人员标准。</w:t>
      </w:r>
    </w:p>
    <w:p w14:paraId="4F6B01B3">
      <w:pPr>
        <w:topLinePunct/>
        <w:adjustRightInd w:val="0"/>
        <w:snapToGrid w:val="0"/>
        <w:spacing w:line="360" w:lineRule="auto"/>
        <w:ind w:firstLine="496" w:firstLineChars="200"/>
        <w:rPr>
          <w:bCs/>
          <w:snapToGrid w:val="0"/>
          <w:spacing w:val="4"/>
          <w:kern w:val="0"/>
          <w:sz w:val="24"/>
        </w:rPr>
      </w:pPr>
      <w:r>
        <w:rPr>
          <w:rFonts w:hint="eastAsia" w:ascii="Times New Roman" w:hAnsi="Times New Roman"/>
          <w:snapToGrid w:val="0"/>
          <w:spacing w:val="4"/>
          <w:kern w:val="0"/>
          <w:sz w:val="24"/>
        </w:rPr>
        <w:t>（</w:t>
      </w:r>
      <w:r>
        <w:rPr>
          <w:rFonts w:hint="eastAsia"/>
          <w:snapToGrid w:val="0"/>
          <w:spacing w:val="4"/>
          <w:kern w:val="0"/>
          <w:sz w:val="24"/>
        </w:rPr>
        <w:t>3</w:t>
      </w:r>
      <w:r>
        <w:rPr>
          <w:rFonts w:hint="eastAsia" w:ascii="Times New Roman" w:hAnsi="Times New Roman"/>
          <w:snapToGrid w:val="0"/>
          <w:spacing w:val="4"/>
          <w:kern w:val="0"/>
          <w:sz w:val="24"/>
        </w:rPr>
        <w:t>）</w:t>
      </w:r>
      <w:r>
        <w:rPr>
          <w:bCs/>
          <w:snapToGrid w:val="0"/>
          <w:spacing w:val="4"/>
          <w:kern w:val="0"/>
          <w:sz w:val="24"/>
        </w:rPr>
        <w:t>在本合同有效期内，监理人更换项目总监理工程师、</w:t>
      </w:r>
      <w:r>
        <w:rPr>
          <w:bCs/>
          <w:snapToGrid w:val="0"/>
          <w:spacing w:val="-4"/>
          <w:kern w:val="0"/>
          <w:sz w:val="24"/>
        </w:rPr>
        <w:t>项目总监理工程师代表</w:t>
      </w:r>
      <w:r>
        <w:rPr>
          <w:bCs/>
          <w:snapToGrid w:val="0"/>
          <w:spacing w:val="4"/>
          <w:kern w:val="0"/>
          <w:sz w:val="24"/>
        </w:rPr>
        <w:t>的，应</w:t>
      </w:r>
      <w:r>
        <w:rPr>
          <w:rFonts w:hint="eastAsia"/>
          <w:bCs/>
          <w:snapToGrid w:val="0"/>
          <w:spacing w:val="4"/>
          <w:kern w:val="0"/>
          <w:sz w:val="24"/>
        </w:rPr>
        <w:t>提前</w:t>
      </w:r>
      <w:r>
        <w:rPr>
          <w:bCs/>
          <w:snapToGrid w:val="0"/>
          <w:spacing w:val="4"/>
          <w:kern w:val="0"/>
          <w:sz w:val="24"/>
        </w:rPr>
        <w:t>7日内将新项目总监理工程师、新</w:t>
      </w:r>
      <w:r>
        <w:rPr>
          <w:bCs/>
          <w:snapToGrid w:val="0"/>
          <w:spacing w:val="-4"/>
          <w:kern w:val="0"/>
          <w:sz w:val="24"/>
        </w:rPr>
        <w:t>项目总监理工程师代表</w:t>
      </w:r>
      <w:r>
        <w:rPr>
          <w:bCs/>
          <w:snapToGrid w:val="0"/>
          <w:spacing w:val="4"/>
          <w:kern w:val="0"/>
          <w:sz w:val="24"/>
        </w:rPr>
        <w:t>的姓名、职务、职称、联系电话、通信地址</w:t>
      </w:r>
      <w:r>
        <w:rPr>
          <w:rFonts w:hint="eastAsia"/>
          <w:bCs/>
          <w:snapToGrid w:val="0"/>
          <w:spacing w:val="4"/>
          <w:kern w:val="0"/>
          <w:sz w:val="24"/>
        </w:rPr>
        <w:t>、执业资格、工作履历</w:t>
      </w:r>
      <w:r>
        <w:rPr>
          <w:bCs/>
          <w:snapToGrid w:val="0"/>
          <w:spacing w:val="4"/>
          <w:kern w:val="0"/>
          <w:sz w:val="24"/>
        </w:rPr>
        <w:t>等信息</w:t>
      </w:r>
      <w:r>
        <w:rPr>
          <w:rFonts w:hint="eastAsia"/>
          <w:bCs/>
          <w:snapToGrid w:val="0"/>
          <w:spacing w:val="4"/>
          <w:kern w:val="0"/>
          <w:sz w:val="24"/>
        </w:rPr>
        <w:t>书面</w:t>
      </w:r>
      <w:r>
        <w:rPr>
          <w:bCs/>
          <w:snapToGrid w:val="0"/>
          <w:spacing w:val="4"/>
          <w:kern w:val="0"/>
          <w:sz w:val="24"/>
        </w:rPr>
        <w:t>提交给委托人</w:t>
      </w:r>
      <w:r>
        <w:rPr>
          <w:rFonts w:hint="eastAsia"/>
          <w:bCs/>
          <w:snapToGrid w:val="0"/>
          <w:spacing w:val="4"/>
          <w:kern w:val="0"/>
          <w:sz w:val="24"/>
        </w:rPr>
        <w:t>，经委托人审核同意且拟更换人员已到达项目现场交接完毕后，方可正式更换</w:t>
      </w:r>
      <w:r>
        <w:rPr>
          <w:bCs/>
          <w:snapToGrid w:val="0"/>
          <w:spacing w:val="4"/>
          <w:kern w:val="0"/>
          <w:sz w:val="24"/>
        </w:rPr>
        <w:t>。</w:t>
      </w:r>
    </w:p>
    <w:p w14:paraId="73DE8F9C">
      <w:pPr>
        <w:topLinePunct/>
        <w:adjustRightInd w:val="0"/>
        <w:snapToGrid w:val="0"/>
        <w:spacing w:line="360" w:lineRule="auto"/>
        <w:ind w:firstLine="496" w:firstLineChars="200"/>
        <w:rPr>
          <w:bCs/>
          <w:snapToGrid w:val="0"/>
          <w:spacing w:val="4"/>
          <w:kern w:val="0"/>
          <w:sz w:val="24"/>
        </w:rPr>
      </w:pPr>
      <w:r>
        <w:rPr>
          <w:rFonts w:hint="eastAsia"/>
          <w:bCs/>
          <w:snapToGrid w:val="0"/>
          <w:spacing w:val="4"/>
          <w:kern w:val="0"/>
          <w:sz w:val="24"/>
        </w:rPr>
        <w:t>若实际投入的监理人员数量不足或资质不符合投标文件承诺标准，每发生一次，监理人应在收到委托人通知后3日内完成整改。若3日内未完成整改的，视为一般违约，承担一般违约责任1次；累计发生3次的，委托人有权解除本合同，并要求监理人支付合同金额10%的违约金，赔偿由此给委托人造成的损失。</w:t>
      </w:r>
    </w:p>
    <w:p w14:paraId="600D3DD8">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5</w:t>
      </w:r>
      <w:r>
        <w:rPr>
          <w:snapToGrid w:val="0"/>
          <w:spacing w:val="4"/>
          <w:kern w:val="0"/>
          <w:sz w:val="24"/>
        </w:rPr>
        <w:t>．全员培训是工程管理的重要组成部分，监理人承诺按照工程推进的情况，不间断地对监理人员进行培训。</w:t>
      </w:r>
      <w:r>
        <w:rPr>
          <w:rFonts w:hint="eastAsia"/>
          <w:snapToGrid w:val="0"/>
          <w:spacing w:val="4"/>
          <w:kern w:val="0"/>
          <w:sz w:val="24"/>
        </w:rPr>
        <w:t>培训内容应涵盖技术规范、安全管控等专业内容，每季度不少于一次，并形成培训记录及考核结果报委托人备案，确保监理团队持续具备胜任本项目的能力。</w:t>
      </w:r>
    </w:p>
    <w:p w14:paraId="7311019D">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6</w:t>
      </w:r>
      <w:r>
        <w:rPr>
          <w:snapToGrid w:val="0"/>
          <w:spacing w:val="4"/>
          <w:kern w:val="0"/>
          <w:sz w:val="24"/>
        </w:rPr>
        <w:t>．为保证建设项目有序、规范和顺利进行，监理人必须主动支持委托人工作，对委托人的指令和书面通知，若无正当理由又未提前报告、得到认可，而公开或变相拒不执行，由监理人承担违约责任并赔偿由此给委托人所造成的一切损失。</w:t>
      </w:r>
    </w:p>
    <w:p w14:paraId="628BBB26">
      <w:pPr>
        <w:topLinePunct/>
        <w:adjustRightInd w:val="0"/>
        <w:snapToGrid w:val="0"/>
        <w:spacing w:line="480" w:lineRule="exact"/>
        <w:outlineLvl w:val="1"/>
        <w:rPr>
          <w:snapToGrid w:val="0"/>
          <w:spacing w:val="4"/>
          <w:kern w:val="0"/>
          <w:sz w:val="24"/>
        </w:rPr>
      </w:pPr>
      <w:r>
        <w:rPr>
          <w:b/>
          <w:bCs/>
          <w:snapToGrid w:val="0"/>
          <w:spacing w:val="4"/>
          <w:kern w:val="0"/>
          <w:sz w:val="24"/>
        </w:rPr>
        <w:t>第</w:t>
      </w:r>
      <w:r>
        <w:rPr>
          <w:rFonts w:hint="eastAsia"/>
          <w:b/>
          <w:bCs/>
          <w:snapToGrid w:val="0"/>
          <w:spacing w:val="4"/>
          <w:kern w:val="0"/>
          <w:sz w:val="24"/>
        </w:rPr>
        <w:t>二</w:t>
      </w:r>
      <w:r>
        <w:rPr>
          <w:b/>
          <w:bCs/>
          <w:snapToGrid w:val="0"/>
          <w:spacing w:val="4"/>
          <w:kern w:val="0"/>
          <w:sz w:val="24"/>
        </w:rPr>
        <w:t>条</w:t>
      </w:r>
      <w:r>
        <w:rPr>
          <w:snapToGrid w:val="0"/>
          <w:spacing w:val="4"/>
          <w:kern w:val="0"/>
          <w:sz w:val="24"/>
        </w:rPr>
        <w:t>　</w:t>
      </w:r>
      <w:r>
        <w:rPr>
          <w:b/>
          <w:bCs/>
          <w:snapToGrid w:val="0"/>
          <w:spacing w:val="4"/>
          <w:kern w:val="0"/>
          <w:sz w:val="24"/>
        </w:rPr>
        <w:t>词语定义</w:t>
      </w:r>
    </w:p>
    <w:p w14:paraId="0F49CCEB">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（1）“本合同工程”指委托人委托监理人监理的工程。</w:t>
      </w:r>
    </w:p>
    <w:p w14:paraId="61E1006F">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（2）“委托人”在本合同中指中山大学附属第一医院。</w:t>
      </w:r>
    </w:p>
    <w:p w14:paraId="45567801">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（3）“总监理工程师代表”指经监理人法定代表人同意，由总监理工程师书面授权，代表总监理工程师行使其部分职责和权力的项目监理机构中的监理工程师。</w:t>
      </w:r>
    </w:p>
    <w:p w14:paraId="744D9C85">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（4）“承包人”指与委托人就本合同工程建设有关事宜签订合同的当事人。</w:t>
      </w:r>
    </w:p>
    <w:p w14:paraId="0D64C53E">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（5）“监理工程师”指取得国家监理工程师执业资格证书并经注册的监理人员。</w:t>
      </w:r>
    </w:p>
    <w:p w14:paraId="025EA53D">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（6）“专业监理工程师” 指取得国家各专业监理工程师执业资格证书并经注册的监理人员，如：土建专业监理工程师、机电专业监理工程师、道路专业监理工程师、桥梁专业监理工程师等，负责实施某一专业监理工作，具有相应监理文件签发权的专业监理工程师。</w:t>
      </w:r>
    </w:p>
    <w:p w14:paraId="0BFB02AF">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（7）“监理员”指经过监理业务培训，具有同类工程相关专业知识，从事具体监理工作的监理人员。</w:t>
      </w:r>
    </w:p>
    <w:p w14:paraId="492614BE">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（8）“监理规划”指在总监理工程师的主持下编制、经监理人技术负责人批准，用来指导项目监理机构全面开展监理工作的指导性文件。</w:t>
      </w:r>
    </w:p>
    <w:p w14:paraId="4CB3277A">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（9）“监理实施细则”指根据监理规划，由专业监理工程师编写，并经总监理工程师批准，针对工程项目中某一专业或某一方面监理工作的操作性文件。</w:t>
      </w:r>
    </w:p>
    <w:p w14:paraId="3F6A531D">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（10）“工地例会”指由项目监理机构主持的，在工程实施过程中针对工程质量、造价、进度、合同管理等事宜定期召开的，由有关单位参加的会议。</w:t>
      </w:r>
    </w:p>
    <w:p w14:paraId="2F4125A5">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（11）“工程变更”指在工程项目实施过程中，按照合同约定的程序对部分或全部工程在材料、工艺、功能、构造、尺寸、技术指标、工程数量及施工方法等方面做出的改变。</w:t>
      </w:r>
    </w:p>
    <w:p w14:paraId="087A8A78">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（12）“工程计量”指根据设计文件及承包合同中关于工程量计算的规定，项目监理机构对承包人申报的已完成工程的工程量进行的核验。</w:t>
      </w:r>
    </w:p>
    <w:p w14:paraId="7E148A76">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（13）“见证”指由监理人员现场监督某工序全过程完成情况的活动。</w:t>
      </w:r>
    </w:p>
    <w:p w14:paraId="61CC3001">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（14）“旁站”指在关键部位或关键工序施工过程中，由监理人员在现场进行的监督活动。</w:t>
      </w:r>
    </w:p>
    <w:p w14:paraId="6C56181B">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（15）“巡视”指对正在施工的部位或工序在现场进行的定期或不定期的监督活动。</w:t>
      </w:r>
    </w:p>
    <w:p w14:paraId="37D7A5DE">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（16）“平行检验”指项目监理机构利用一定的检查或检测手段，在承包人自检的基础上，按照一定的比例独立进行检查或检测的活动。</w:t>
      </w:r>
    </w:p>
    <w:p w14:paraId="2F81F6AB">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（17）“设备监造”指监理人依据委托监理合同和设备订货合同对设备制造过程进行的监督活动。</w:t>
      </w:r>
    </w:p>
    <w:p w14:paraId="4B52A1B6">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（18）“费用索赔”指根据承包合同的约定，合同一方因另一方原因造成本方经济损失，通过监理工程师向对方索取费用的活动。</w:t>
      </w:r>
    </w:p>
    <w:p w14:paraId="6B8E67FD">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（19）“临时延期批准”是指当发生非承包人原因造成的持续性影响工期的事件，总监理工程师所作出暂时延长合同工期的批准。</w:t>
      </w:r>
    </w:p>
    <w:p w14:paraId="38611DA4">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（20）“延期批准”指当发生非承包人原因造成的持续性影响工期事件，总监理工程师所作出的最终延长合同工期的批准。</w:t>
      </w:r>
    </w:p>
    <w:p w14:paraId="3F343D8D">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21）“节点工期”指在经委托人和总监理工程师批准的施工组织设计或者工程工期网络计划中载明的承包人按总日历天数（包括法定节假日）计算完成某一阶段或某一工序的期限。按工期网络计划的一般线路和关键线路分为一般节点工期和关键节点工期。</w:t>
      </w:r>
    </w:p>
    <w:p w14:paraId="2B375253">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（22）“通知”指合同中所提及的各方之间传达意思表示的方式，包括但不限于申请、报告、同意、答复、批准、指令、证书、决定，等等。除本合同专用条件有特别约定外，只有采用书面形式的通知才有效。</w:t>
      </w:r>
    </w:p>
    <w:p w14:paraId="199AECD2">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（23）“</w:t>
      </w:r>
      <w:r>
        <w:rPr>
          <w:rFonts w:hint="eastAsia" w:ascii="宋体" w:hAnsi="宋体" w:cs="宋体"/>
          <w:snapToGrid w:val="0"/>
          <w:spacing w:val="4"/>
          <w:kern w:val="0"/>
          <w:sz w:val="23"/>
          <w:szCs w:val="23"/>
        </w:rPr>
        <w:t>生产安全事故</w:t>
      </w:r>
      <w:r>
        <w:rPr>
          <w:rFonts w:hint="eastAsia" w:ascii="宋体" w:hAnsi="宋体" w:cs="宋体"/>
          <w:snapToGrid w:val="0"/>
          <w:spacing w:val="4"/>
          <w:kern w:val="0"/>
          <w:sz w:val="24"/>
        </w:rPr>
        <w:t>”指在工程建设过程中由于责任过失造成工程倒塌或报废、机械设备毁坏和安全设施失当等原因造成人身伤亡或者重大经济损失的事故。分为：</w:t>
      </w:r>
    </w:p>
    <w:p w14:paraId="578A588C">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1）特别重大事故，是指造成30人以上死亡，或者100人以上重伤（包括急性工业中毒，下同），或者1亿元以上直接经济损失的事故；</w:t>
      </w:r>
    </w:p>
    <w:p w14:paraId="5F4691F2">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2）重大事故，是指造成10人以上30人以下死亡，或者50人以上100人以下重伤，或者5000万元以上1亿元以下直接经济损失的事故；</w:t>
      </w:r>
    </w:p>
    <w:p w14:paraId="42828C99">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3）较大事故，是指造成3人以上10人以下死亡，或者10人以上50人以下重伤，或者1000万元以上5000万元以下直接经济损失的事故；</w:t>
      </w:r>
    </w:p>
    <w:p w14:paraId="54B911E7">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4）一般事故，是指造成3人以下死亡，或者10人以下重伤，或者1000万元以下直接经济损失的事故。</w:t>
      </w:r>
    </w:p>
    <w:p w14:paraId="5D0656F4">
      <w:pPr>
        <w:topLinePunct/>
        <w:adjustRightInd w:val="0"/>
        <w:snapToGrid w:val="0"/>
        <w:spacing w:line="480" w:lineRule="exact"/>
        <w:ind w:firstLine="496" w:firstLineChars="200"/>
        <w:rPr>
          <w:rFonts w:ascii="宋体" w:hAnsi="宋体" w:cs="宋体"/>
          <w:bCs/>
          <w:snapToGrid w:val="0"/>
          <w:spacing w:val="4"/>
          <w:kern w:val="0"/>
          <w:sz w:val="24"/>
        </w:rPr>
      </w:pPr>
      <w:r>
        <w:rPr>
          <w:rFonts w:hint="eastAsia" w:ascii="宋体" w:hAnsi="宋体" w:cs="宋体"/>
          <w:snapToGrid w:val="0"/>
          <w:spacing w:val="4"/>
          <w:kern w:val="0"/>
          <w:sz w:val="24"/>
        </w:rPr>
        <w:t>本项所称的“以上”包括本数，所称的“以下”不包括本数。</w:t>
      </w:r>
    </w:p>
    <w:p w14:paraId="463E82E1">
      <w:pPr>
        <w:topLinePunct/>
        <w:adjustRightInd w:val="0"/>
        <w:snapToGrid w:val="0"/>
        <w:spacing w:line="480" w:lineRule="exact"/>
        <w:ind w:firstLine="496" w:firstLineChars="200"/>
        <w:rPr>
          <w:rFonts w:ascii="宋体" w:hAnsi="宋体" w:cs="宋体"/>
          <w:bCs/>
          <w:snapToGrid w:val="0"/>
          <w:spacing w:val="4"/>
          <w:kern w:val="0"/>
          <w:sz w:val="24"/>
        </w:rPr>
      </w:pPr>
      <w:r>
        <w:rPr>
          <w:rFonts w:hint="eastAsia" w:ascii="宋体" w:hAnsi="宋体" w:cs="宋体"/>
          <w:bCs/>
          <w:snapToGrid w:val="0"/>
          <w:spacing w:val="4"/>
          <w:kern w:val="0"/>
          <w:sz w:val="24"/>
        </w:rPr>
        <w:t>（24）“质量事故”指因质量原因导致损失或造成人身伤亡的事故。</w:t>
      </w:r>
    </w:p>
    <w:p w14:paraId="272EB666">
      <w:pPr>
        <w:topLinePunct/>
        <w:adjustRightInd w:val="0"/>
        <w:snapToGrid w:val="0"/>
        <w:spacing w:line="480" w:lineRule="exact"/>
        <w:ind w:firstLine="496" w:firstLineChars="200"/>
        <w:rPr>
          <w:rFonts w:ascii="宋体" w:hAnsi="宋体" w:cs="宋体"/>
          <w:bCs/>
          <w:snapToGrid w:val="0"/>
          <w:spacing w:val="4"/>
          <w:kern w:val="0"/>
          <w:sz w:val="24"/>
        </w:rPr>
      </w:pPr>
      <w:r>
        <w:rPr>
          <w:rFonts w:hint="eastAsia" w:ascii="宋体" w:hAnsi="宋体" w:cs="宋体"/>
          <w:bCs/>
          <w:snapToGrid w:val="0"/>
          <w:spacing w:val="4"/>
          <w:kern w:val="0"/>
          <w:sz w:val="24"/>
        </w:rPr>
        <w:t>（25）“元”指人民币元。</w:t>
      </w:r>
    </w:p>
    <w:p w14:paraId="5BDB583D">
      <w:pPr>
        <w:topLinePunct/>
        <w:adjustRightInd w:val="0"/>
        <w:snapToGrid w:val="0"/>
        <w:spacing w:line="480" w:lineRule="exact"/>
        <w:ind w:firstLine="496" w:firstLineChars="200"/>
        <w:rPr>
          <w:rFonts w:ascii="宋体" w:hAnsi="宋体" w:cs="宋体"/>
          <w:bCs/>
          <w:snapToGrid w:val="0"/>
          <w:spacing w:val="4"/>
          <w:kern w:val="0"/>
          <w:sz w:val="24"/>
        </w:rPr>
      </w:pPr>
      <w:r>
        <w:rPr>
          <w:rFonts w:hint="eastAsia" w:ascii="宋体" w:hAnsi="宋体" w:cs="宋体"/>
          <w:bCs/>
          <w:snapToGrid w:val="0"/>
          <w:spacing w:val="4"/>
          <w:kern w:val="0"/>
          <w:sz w:val="24"/>
        </w:rPr>
        <w:t>（26）“委托管理单位”指受委托人委托对本合同工程建设进行管理的单位，包括监理人和技术督导单位、</w:t>
      </w:r>
      <w:r>
        <w:rPr>
          <w:rFonts w:hint="eastAsia" w:ascii="宋体" w:hAnsi="宋体" w:cs="宋体"/>
          <w:snapToGrid w:val="0"/>
          <w:spacing w:val="4"/>
          <w:kern w:val="0"/>
          <w:sz w:val="24"/>
        </w:rPr>
        <w:t>材料设备管理服务单位</w:t>
      </w:r>
      <w:r>
        <w:rPr>
          <w:rFonts w:hint="eastAsia" w:ascii="宋体" w:hAnsi="宋体" w:cs="宋体"/>
          <w:bCs/>
          <w:snapToGrid w:val="0"/>
          <w:spacing w:val="4"/>
          <w:kern w:val="0"/>
          <w:sz w:val="24"/>
        </w:rPr>
        <w:t>等。</w:t>
      </w:r>
    </w:p>
    <w:p w14:paraId="658C429F">
      <w:pPr>
        <w:topLinePunct/>
        <w:adjustRightInd w:val="0"/>
        <w:snapToGrid w:val="0"/>
        <w:spacing w:line="480" w:lineRule="exact"/>
        <w:ind w:firstLine="496" w:firstLineChars="200"/>
        <w:rPr>
          <w:rFonts w:ascii="宋体" w:hAnsi="宋体" w:cs="宋体"/>
          <w:bCs/>
          <w:snapToGrid w:val="0"/>
          <w:spacing w:val="4"/>
          <w:kern w:val="0"/>
          <w:sz w:val="24"/>
        </w:rPr>
      </w:pPr>
      <w:r>
        <w:rPr>
          <w:rFonts w:hint="eastAsia" w:ascii="宋体" w:hAnsi="宋体" w:cs="宋体"/>
          <w:bCs/>
          <w:snapToGrid w:val="0"/>
          <w:spacing w:val="4"/>
          <w:kern w:val="0"/>
          <w:sz w:val="24"/>
        </w:rPr>
        <w:t>（27）“保证人”指按本合同</w:t>
      </w:r>
      <w:r>
        <w:rPr>
          <w:rFonts w:hint="eastAsia" w:ascii="宋体" w:hAnsi="宋体" w:cs="宋体"/>
          <w:bCs/>
          <w:snapToGrid w:val="0"/>
          <w:spacing w:val="4"/>
          <w:kern w:val="0"/>
          <w:sz w:val="24"/>
          <w:u w:val="wave"/>
        </w:rPr>
        <w:t>专用条件第5.11款</w:t>
      </w:r>
      <w:r>
        <w:rPr>
          <w:rFonts w:hint="eastAsia" w:ascii="宋体" w:hAnsi="宋体" w:cs="宋体"/>
          <w:bCs/>
          <w:snapToGrid w:val="0"/>
          <w:spacing w:val="4"/>
          <w:kern w:val="0"/>
          <w:sz w:val="24"/>
        </w:rPr>
        <w:t>约定向委托人提交监理人履约银行保函的机构。</w:t>
      </w:r>
    </w:p>
    <w:p w14:paraId="6DE70B8B">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bCs/>
          <w:snapToGrid w:val="0"/>
          <w:spacing w:val="4"/>
          <w:kern w:val="0"/>
          <w:sz w:val="24"/>
        </w:rPr>
        <w:t>（28）“委托人监理代表”指按本合同</w:t>
      </w:r>
      <w:r>
        <w:rPr>
          <w:rFonts w:hint="eastAsia" w:ascii="宋体" w:hAnsi="宋体" w:cs="宋体"/>
          <w:bCs/>
          <w:snapToGrid w:val="0"/>
          <w:spacing w:val="4"/>
          <w:kern w:val="0"/>
          <w:sz w:val="24"/>
          <w:u w:val="wave"/>
        </w:rPr>
        <w:t>专用条件第4.3.1-（16）项</w:t>
      </w:r>
      <w:r>
        <w:rPr>
          <w:rFonts w:hint="eastAsia" w:ascii="宋体" w:hAnsi="宋体" w:cs="宋体"/>
          <w:bCs/>
          <w:snapToGrid w:val="0"/>
          <w:spacing w:val="4"/>
          <w:kern w:val="0"/>
          <w:sz w:val="24"/>
        </w:rPr>
        <w:t>的约定，</w:t>
      </w:r>
      <w:r>
        <w:rPr>
          <w:rFonts w:hint="eastAsia" w:ascii="宋体" w:hAnsi="宋体" w:cs="宋体"/>
          <w:snapToGrid w:val="0"/>
          <w:spacing w:val="4"/>
          <w:kern w:val="0"/>
          <w:sz w:val="24"/>
        </w:rPr>
        <w:t>为加强委托人与监理人的沟通与协调，由委托人另行指定的，常驻项目监理机构、监督并协助项目监理机构工作的一名专业工程师。</w:t>
      </w:r>
    </w:p>
    <w:p w14:paraId="12446BB9">
      <w:pPr>
        <w:topLinePunct/>
        <w:adjustRightInd w:val="0"/>
        <w:snapToGrid w:val="0"/>
        <w:spacing w:line="480" w:lineRule="exact"/>
        <w:ind w:firstLine="496" w:firstLineChars="200"/>
        <w:rPr>
          <w:rFonts w:ascii="宋体" w:hAnsi="宋体" w:cs="宋体"/>
          <w:bCs/>
          <w:snapToGrid w:val="0"/>
          <w:spacing w:val="4"/>
          <w:kern w:val="0"/>
          <w:sz w:val="24"/>
        </w:rPr>
      </w:pPr>
      <w:r>
        <w:rPr>
          <w:rFonts w:hint="eastAsia" w:ascii="宋体" w:hAnsi="宋体" w:cs="宋体"/>
          <w:bCs/>
          <w:snapToGrid w:val="0"/>
          <w:spacing w:val="4"/>
          <w:kern w:val="0"/>
          <w:sz w:val="24"/>
        </w:rPr>
        <w:t>（29）“施工准备阶段”指自监理人接到入场通知开始，至本合同工程正式开工止，监理人在此期间应完成熟悉设计文件、参加设计技术交底、参加图纸会审、提交监理规划等监理工作。</w:t>
      </w:r>
    </w:p>
    <w:p w14:paraId="780F83DF">
      <w:pPr>
        <w:topLinePunct/>
        <w:adjustRightInd w:val="0"/>
        <w:snapToGrid w:val="0"/>
        <w:spacing w:line="480" w:lineRule="exact"/>
        <w:ind w:firstLine="496" w:firstLineChars="200"/>
        <w:rPr>
          <w:rFonts w:ascii="宋体" w:hAnsi="宋体" w:cs="宋体"/>
          <w:bCs/>
          <w:snapToGrid w:val="0"/>
          <w:spacing w:val="4"/>
          <w:kern w:val="0"/>
          <w:sz w:val="24"/>
        </w:rPr>
      </w:pPr>
      <w:r>
        <w:rPr>
          <w:rFonts w:hint="eastAsia" w:ascii="宋体" w:hAnsi="宋体" w:cs="宋体"/>
          <w:bCs/>
          <w:snapToGrid w:val="0"/>
          <w:spacing w:val="4"/>
          <w:kern w:val="0"/>
          <w:sz w:val="24"/>
        </w:rPr>
        <w:t>（30）“施工阶段”指自本合同工程主体工程正式开工开始，至本合同工程具备竣工条件后止，监理人在此期间应负责实施本合同工程的工程质量控制、工程造价控制、工程职业健康安全控制、工程合同管理、工程信息管理等监理工作。</w:t>
      </w:r>
    </w:p>
    <w:p w14:paraId="0682B42D">
      <w:pPr>
        <w:topLinePunct/>
        <w:adjustRightInd w:val="0"/>
        <w:snapToGrid w:val="0"/>
        <w:spacing w:line="480" w:lineRule="exact"/>
        <w:ind w:firstLine="496" w:firstLineChars="200"/>
        <w:rPr>
          <w:rFonts w:ascii="宋体" w:hAnsi="宋体" w:cs="宋体"/>
          <w:bCs/>
          <w:snapToGrid w:val="0"/>
          <w:spacing w:val="4"/>
          <w:kern w:val="0"/>
          <w:sz w:val="24"/>
        </w:rPr>
      </w:pPr>
      <w:r>
        <w:rPr>
          <w:rFonts w:hint="eastAsia" w:ascii="宋体" w:hAnsi="宋体" w:cs="宋体"/>
          <w:bCs/>
          <w:snapToGrid w:val="0"/>
          <w:spacing w:val="4"/>
          <w:kern w:val="0"/>
          <w:sz w:val="24"/>
        </w:rPr>
        <w:t>（31）“工程收尾阶段”指自本项目工程具备竣工条件直至本合同工程结算工作全部完成结束，监理人在此期间组织实施本合同工程的竣工验收、工程项目整改、工程移交、工程结算等监理工作。</w:t>
      </w:r>
    </w:p>
    <w:p w14:paraId="4723F61F">
      <w:pPr>
        <w:topLinePunct/>
        <w:adjustRightInd w:val="0"/>
        <w:snapToGrid w:val="0"/>
        <w:spacing w:line="480" w:lineRule="exact"/>
        <w:ind w:firstLine="496" w:firstLineChars="200"/>
        <w:rPr>
          <w:rFonts w:ascii="宋体" w:hAnsi="宋体" w:cs="宋体"/>
          <w:bCs/>
          <w:snapToGrid w:val="0"/>
          <w:spacing w:val="4"/>
          <w:kern w:val="0"/>
          <w:sz w:val="24"/>
        </w:rPr>
      </w:pPr>
      <w:r>
        <w:rPr>
          <w:rFonts w:hint="eastAsia" w:ascii="宋体" w:hAnsi="宋体" w:cs="宋体"/>
          <w:bCs/>
          <w:snapToGrid w:val="0"/>
          <w:spacing w:val="4"/>
          <w:kern w:val="0"/>
          <w:sz w:val="24"/>
        </w:rPr>
        <w:t>（32）“工程质量保修阶段”指自本工程项目质量保修期开始，直至本工程项目质量保修期结束，监理人在此期间应负责本合同工程质量保修相关的监理工作。</w:t>
      </w:r>
    </w:p>
    <w:p w14:paraId="206B26B0">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bCs/>
          <w:snapToGrid w:val="0"/>
          <w:spacing w:val="4"/>
          <w:kern w:val="0"/>
          <w:sz w:val="24"/>
        </w:rPr>
        <w:t>（33）</w:t>
      </w:r>
      <w:r>
        <w:rPr>
          <w:rFonts w:hint="eastAsia" w:ascii="宋体" w:hAnsi="宋体" w:cs="宋体"/>
          <w:snapToGrid w:val="0"/>
          <w:spacing w:val="4"/>
          <w:kern w:val="0"/>
          <w:sz w:val="24"/>
        </w:rPr>
        <w:t>双方：</w:t>
      </w:r>
      <w:r>
        <w:rPr>
          <w:rFonts w:hint="eastAsia" w:ascii="宋体" w:hAnsi="宋体" w:cs="宋体"/>
          <w:snapToGrid w:val="0"/>
          <w:spacing w:val="4"/>
          <w:kern w:val="0"/>
          <w:sz w:val="24"/>
          <w:szCs w:val="21"/>
        </w:rPr>
        <w:t>本合同特指委托人和监理人。</w:t>
      </w:r>
    </w:p>
    <w:p w14:paraId="3994FA68">
      <w:pPr>
        <w:topLinePunct/>
        <w:adjustRightInd w:val="0"/>
        <w:snapToGrid w:val="0"/>
        <w:spacing w:line="480" w:lineRule="exact"/>
        <w:outlineLvl w:val="1"/>
        <w:rPr>
          <w:b/>
          <w:snapToGrid w:val="0"/>
          <w:spacing w:val="4"/>
          <w:kern w:val="0"/>
          <w:sz w:val="24"/>
        </w:rPr>
      </w:pPr>
      <w:r>
        <w:rPr>
          <w:b/>
          <w:bCs/>
          <w:snapToGrid w:val="0"/>
          <w:spacing w:val="4"/>
          <w:kern w:val="0"/>
          <w:sz w:val="24"/>
        </w:rPr>
        <w:t>第</w:t>
      </w:r>
      <w:r>
        <w:rPr>
          <w:rFonts w:hint="eastAsia"/>
          <w:b/>
          <w:bCs/>
          <w:snapToGrid w:val="0"/>
          <w:spacing w:val="4"/>
          <w:kern w:val="0"/>
          <w:sz w:val="24"/>
        </w:rPr>
        <w:t>三</w:t>
      </w:r>
      <w:r>
        <w:rPr>
          <w:b/>
          <w:bCs/>
          <w:snapToGrid w:val="0"/>
          <w:spacing w:val="4"/>
          <w:kern w:val="0"/>
          <w:sz w:val="24"/>
        </w:rPr>
        <w:t>条</w:t>
      </w:r>
      <w:r>
        <w:rPr>
          <w:b/>
          <w:snapToGrid w:val="0"/>
          <w:spacing w:val="4"/>
          <w:kern w:val="0"/>
          <w:sz w:val="24"/>
        </w:rPr>
        <w:t>　本合同适用的法律法规及监理依据</w:t>
      </w:r>
    </w:p>
    <w:p w14:paraId="7699190E">
      <w:pPr>
        <w:topLinePunct/>
        <w:adjustRightInd w:val="0"/>
        <w:snapToGrid w:val="0"/>
        <w:spacing w:line="480" w:lineRule="exact"/>
        <w:ind w:firstLine="496" w:firstLineChars="200"/>
        <w:rPr>
          <w:bCs/>
          <w:snapToGrid w:val="0"/>
          <w:spacing w:val="4"/>
          <w:kern w:val="0"/>
          <w:sz w:val="24"/>
        </w:rPr>
      </w:pPr>
      <w:r>
        <w:rPr>
          <w:snapToGrid w:val="0"/>
          <w:spacing w:val="4"/>
          <w:kern w:val="0"/>
          <w:sz w:val="24"/>
        </w:rPr>
        <w:t>（1）中</w:t>
      </w:r>
      <w:r>
        <w:rPr>
          <w:rFonts w:hint="eastAsia"/>
          <w:snapToGrid w:val="0"/>
          <w:spacing w:val="4"/>
          <w:kern w:val="0"/>
          <w:sz w:val="24"/>
        </w:rPr>
        <w:t>华人民共和国的法律、法规、本项目约定的部门规章及工程所在地的地方法规和规章，以及《广州市建设工程监理合同》（SF-2019-0206）相关约定</w:t>
      </w:r>
      <w:r>
        <w:rPr>
          <w:snapToGrid w:val="0"/>
          <w:spacing w:val="4"/>
          <w:kern w:val="0"/>
          <w:sz w:val="24"/>
        </w:rPr>
        <w:t>；</w:t>
      </w:r>
    </w:p>
    <w:p w14:paraId="37ADE615">
      <w:pPr>
        <w:topLinePunct/>
        <w:adjustRightInd w:val="0"/>
        <w:snapToGrid w:val="0"/>
        <w:spacing w:line="480" w:lineRule="exact"/>
        <w:ind w:firstLine="496" w:firstLineChars="200"/>
        <w:rPr>
          <w:snapToGrid w:val="0"/>
          <w:spacing w:val="4"/>
          <w:kern w:val="0"/>
          <w:sz w:val="24"/>
        </w:rPr>
      </w:pPr>
      <w:r>
        <w:rPr>
          <w:snapToGrid w:val="0"/>
          <w:spacing w:val="4"/>
          <w:kern w:val="0"/>
          <w:sz w:val="24"/>
        </w:rPr>
        <w:t>（2）《建设工程监理规范》（GB/T 50319-2013）；</w:t>
      </w:r>
    </w:p>
    <w:p w14:paraId="43621D53">
      <w:pPr>
        <w:topLinePunct/>
        <w:adjustRightInd w:val="0"/>
        <w:snapToGrid w:val="0"/>
        <w:spacing w:line="480" w:lineRule="exact"/>
        <w:ind w:firstLine="496" w:firstLineChars="200"/>
        <w:rPr>
          <w:snapToGrid w:val="0"/>
          <w:spacing w:val="4"/>
          <w:kern w:val="0"/>
          <w:sz w:val="24"/>
        </w:rPr>
      </w:pPr>
      <w:r>
        <w:rPr>
          <w:snapToGrid w:val="0"/>
          <w:spacing w:val="4"/>
          <w:kern w:val="0"/>
          <w:sz w:val="24"/>
        </w:rPr>
        <w:t>（3）国家和地方现行的建设工程质量评定标准、设计及施工验收规范；</w:t>
      </w:r>
    </w:p>
    <w:p w14:paraId="0ECB885C">
      <w:pPr>
        <w:topLinePunct/>
        <w:adjustRightInd w:val="0"/>
        <w:snapToGrid w:val="0"/>
        <w:spacing w:line="480" w:lineRule="exact"/>
        <w:ind w:firstLine="496" w:firstLineChars="200"/>
        <w:rPr>
          <w:snapToGrid w:val="0"/>
          <w:spacing w:val="4"/>
          <w:kern w:val="0"/>
          <w:sz w:val="24"/>
        </w:rPr>
      </w:pPr>
      <w:r>
        <w:rPr>
          <w:snapToGrid w:val="0"/>
          <w:spacing w:val="4"/>
          <w:kern w:val="0"/>
          <w:sz w:val="24"/>
        </w:rPr>
        <w:t>（4）经批准的施工图纸及说明，以及经图纸会审确定的修改设计通知书；</w:t>
      </w:r>
    </w:p>
    <w:p w14:paraId="1E262FE5">
      <w:pPr>
        <w:topLinePunct/>
        <w:adjustRightInd w:val="0"/>
        <w:snapToGrid w:val="0"/>
        <w:spacing w:line="480" w:lineRule="exact"/>
        <w:ind w:firstLine="496" w:firstLineChars="200"/>
        <w:rPr>
          <w:snapToGrid w:val="0"/>
          <w:spacing w:val="4"/>
          <w:kern w:val="0"/>
          <w:sz w:val="24"/>
        </w:rPr>
      </w:pPr>
      <w:r>
        <w:rPr>
          <w:snapToGrid w:val="0"/>
          <w:spacing w:val="4"/>
          <w:kern w:val="0"/>
          <w:sz w:val="24"/>
        </w:rPr>
        <w:t>（5）本合同工程的设计、施工、安装、招投标文件及合同；</w:t>
      </w:r>
    </w:p>
    <w:p w14:paraId="2DE92C21">
      <w:pPr>
        <w:topLinePunct/>
        <w:adjustRightInd w:val="0"/>
        <w:snapToGrid w:val="0"/>
        <w:spacing w:line="480" w:lineRule="exact"/>
        <w:ind w:firstLine="496" w:firstLineChars="200"/>
        <w:rPr>
          <w:snapToGrid w:val="0"/>
          <w:spacing w:val="4"/>
          <w:kern w:val="0"/>
          <w:sz w:val="24"/>
        </w:rPr>
      </w:pPr>
      <w:r>
        <w:rPr>
          <w:snapToGrid w:val="0"/>
          <w:spacing w:val="4"/>
          <w:kern w:val="0"/>
          <w:sz w:val="24"/>
        </w:rPr>
        <w:t>（6）委托人发出的有关本合同工程建设的指令；</w:t>
      </w:r>
    </w:p>
    <w:p w14:paraId="5C380FED">
      <w:pPr>
        <w:topLinePunct/>
        <w:adjustRightInd w:val="0"/>
        <w:snapToGrid w:val="0"/>
        <w:spacing w:line="480" w:lineRule="exact"/>
        <w:ind w:firstLine="496" w:firstLineChars="200"/>
        <w:rPr>
          <w:snapToGrid w:val="0"/>
          <w:spacing w:val="4"/>
          <w:kern w:val="0"/>
          <w:sz w:val="24"/>
        </w:rPr>
      </w:pPr>
      <w:r>
        <w:rPr>
          <w:snapToGrid w:val="0"/>
          <w:spacing w:val="4"/>
          <w:kern w:val="0"/>
          <w:sz w:val="24"/>
        </w:rPr>
        <w:t>（7）委托人制定的有关本合同工程建设的管理制度。</w:t>
      </w:r>
    </w:p>
    <w:p w14:paraId="1DA02FA7">
      <w:pPr>
        <w:topLinePunct/>
        <w:adjustRightInd w:val="0"/>
        <w:snapToGrid w:val="0"/>
        <w:spacing w:line="480" w:lineRule="exact"/>
        <w:outlineLvl w:val="1"/>
        <w:rPr>
          <w:snapToGrid w:val="0"/>
          <w:spacing w:val="4"/>
          <w:kern w:val="0"/>
          <w:sz w:val="24"/>
        </w:rPr>
      </w:pPr>
      <w:r>
        <w:rPr>
          <w:b/>
          <w:snapToGrid w:val="0"/>
          <w:spacing w:val="4"/>
          <w:kern w:val="0"/>
          <w:sz w:val="24"/>
        </w:rPr>
        <w:t>第四条　</w:t>
      </w:r>
      <w:r>
        <w:rPr>
          <w:rFonts w:hint="eastAsia"/>
          <w:b/>
          <w:snapToGrid w:val="0"/>
          <w:spacing w:val="4"/>
          <w:kern w:val="0"/>
          <w:sz w:val="24"/>
        </w:rPr>
        <w:t>监理服务工作内容及项目监理机构的建立</w:t>
      </w:r>
    </w:p>
    <w:p w14:paraId="4C06CC36">
      <w:pPr>
        <w:topLinePunct/>
        <w:adjustRightInd w:val="0"/>
        <w:snapToGrid w:val="0"/>
        <w:spacing w:line="480" w:lineRule="exact"/>
        <w:outlineLvl w:val="2"/>
        <w:rPr>
          <w:b/>
          <w:snapToGrid w:val="0"/>
          <w:spacing w:val="4"/>
          <w:kern w:val="0"/>
          <w:sz w:val="24"/>
        </w:rPr>
      </w:pPr>
      <w:r>
        <w:rPr>
          <w:b/>
          <w:snapToGrid w:val="0"/>
          <w:spacing w:val="4"/>
          <w:kern w:val="0"/>
          <w:sz w:val="24"/>
        </w:rPr>
        <w:t>4.1  项目管理工作内容</w:t>
      </w:r>
    </w:p>
    <w:p w14:paraId="2A7D1193">
      <w:pPr>
        <w:topLinePunct/>
        <w:adjustRightInd w:val="0"/>
        <w:snapToGrid w:val="0"/>
        <w:spacing w:line="480" w:lineRule="exact"/>
        <w:outlineLvl w:val="2"/>
        <w:rPr>
          <w:b/>
          <w:bCs/>
          <w:sz w:val="24"/>
        </w:rPr>
      </w:pPr>
      <w:r>
        <w:rPr>
          <w:b/>
          <w:bCs/>
          <w:sz w:val="24"/>
        </w:rPr>
        <w:t>4.1.1项目计划统筹及总体管理工作内容</w:t>
      </w:r>
    </w:p>
    <w:p w14:paraId="2B6378AB">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建立工程监理（含项目管理）组织机构，制订项目总体控制目标，及各阶段目标；协调各项目各层面、各相关单位、各项工作关系，协调项目外部关系；定期（每周）组织召开工程例会或各项专题会，汇报项目总体进展，研究解决存在问题。具体包括：</w:t>
      </w:r>
    </w:p>
    <w:p w14:paraId="711FCB68">
      <w:pPr>
        <w:topLinePunct/>
        <w:adjustRightInd w:val="0"/>
        <w:snapToGrid w:val="0"/>
        <w:spacing w:line="480" w:lineRule="exact"/>
        <w:ind w:firstLine="498" w:firstLineChars="200"/>
        <w:rPr>
          <w:rFonts w:ascii="Times New Roman" w:hAnsi="Times New Roman"/>
          <w:b/>
          <w:bCs/>
          <w:snapToGrid w:val="0"/>
          <w:spacing w:val="4"/>
          <w:kern w:val="0"/>
          <w:sz w:val="24"/>
        </w:rPr>
      </w:pPr>
      <w:r>
        <w:rPr>
          <w:rFonts w:hint="eastAsia" w:ascii="Times New Roman" w:hAnsi="Times New Roman"/>
          <w:b/>
          <w:bCs/>
          <w:snapToGrid w:val="0"/>
          <w:spacing w:val="4"/>
          <w:kern w:val="0"/>
          <w:sz w:val="24"/>
        </w:rPr>
        <w:t>（1）需求管理</w:t>
      </w:r>
    </w:p>
    <w:p w14:paraId="55E8713A">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snapToGrid w:val="0"/>
          <w:spacing w:val="4"/>
          <w:kern w:val="0"/>
          <w:sz w:val="24"/>
        </w:rPr>
        <w:t>①</w:t>
      </w:r>
      <w:r>
        <w:rPr>
          <w:rFonts w:hint="eastAsia" w:ascii="Times New Roman" w:hAnsi="Times New Roman"/>
          <w:snapToGrid w:val="0"/>
          <w:spacing w:val="4"/>
          <w:kern w:val="0"/>
          <w:sz w:val="24"/>
        </w:rPr>
        <w:t>对项目建设功能、规模、标准进行充分研究，实施过程中与委托人的沟通协调，将业主的功能需求落实到设计任务书、设计文件、造价文件中。</w:t>
      </w:r>
    </w:p>
    <w:p w14:paraId="606264E6">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snapToGrid w:val="0"/>
          <w:spacing w:val="4"/>
          <w:kern w:val="0"/>
          <w:sz w:val="24"/>
        </w:rPr>
        <w:t>②</w:t>
      </w:r>
      <w:r>
        <w:rPr>
          <w:rFonts w:hint="eastAsia" w:ascii="Times New Roman" w:hAnsi="Times New Roman"/>
          <w:snapToGrid w:val="0"/>
          <w:spacing w:val="4"/>
          <w:kern w:val="0"/>
          <w:sz w:val="24"/>
        </w:rPr>
        <w:t>对项目初步设计与概算文件、施工图设计与施工图预算进行分析，确保在不突破项目投资</w:t>
      </w:r>
      <w:r>
        <w:rPr>
          <w:rFonts w:hint="eastAsia"/>
          <w:snapToGrid w:val="0"/>
          <w:spacing w:val="4"/>
          <w:kern w:val="0"/>
          <w:sz w:val="24"/>
        </w:rPr>
        <w:t>概</w:t>
      </w:r>
      <w:r>
        <w:rPr>
          <w:rFonts w:hint="eastAsia" w:ascii="Times New Roman" w:hAnsi="Times New Roman"/>
          <w:snapToGrid w:val="0"/>
          <w:spacing w:val="4"/>
          <w:kern w:val="0"/>
          <w:sz w:val="24"/>
        </w:rPr>
        <w:t>算的前提下完成建设内容。</w:t>
      </w:r>
    </w:p>
    <w:p w14:paraId="152C0AAB">
      <w:pPr>
        <w:topLinePunct/>
        <w:adjustRightInd w:val="0"/>
        <w:snapToGrid w:val="0"/>
        <w:spacing w:line="480" w:lineRule="exact"/>
        <w:ind w:firstLine="496" w:firstLineChars="200"/>
        <w:rPr>
          <w:rFonts w:ascii="Times New Roman" w:hAnsi="Times New Roman"/>
          <w:snapToGrid w:val="0"/>
          <w:spacing w:val="4"/>
          <w:kern w:val="0"/>
          <w:sz w:val="24"/>
          <w:highlight w:val="none"/>
        </w:rPr>
      </w:pPr>
      <w:r>
        <w:rPr>
          <w:rFonts w:hint="eastAsia"/>
          <w:snapToGrid w:val="0"/>
          <w:spacing w:val="4"/>
          <w:kern w:val="0"/>
          <w:sz w:val="24"/>
        </w:rPr>
        <w:t>③</w:t>
      </w:r>
      <w:r>
        <w:rPr>
          <w:rFonts w:hint="eastAsia" w:ascii="Times New Roman" w:hAnsi="Times New Roman"/>
          <w:snapToGrid w:val="0"/>
          <w:spacing w:val="4"/>
          <w:kern w:val="0"/>
          <w:sz w:val="24"/>
        </w:rPr>
        <w:t>对项目的建设条件进行分析，了解场地周边情况，如交通、临时设施、施工条件向承</w:t>
      </w:r>
      <w:r>
        <w:rPr>
          <w:rFonts w:hint="eastAsia" w:ascii="Times New Roman" w:hAnsi="Times New Roman"/>
          <w:snapToGrid w:val="0"/>
          <w:spacing w:val="4"/>
          <w:kern w:val="0"/>
          <w:sz w:val="24"/>
          <w:highlight w:val="none"/>
        </w:rPr>
        <w:t>包人作好交底工作，会同承包人共同研究施工组织方案的可行性。</w:t>
      </w:r>
    </w:p>
    <w:p w14:paraId="05AA0EA0">
      <w:pPr>
        <w:topLinePunct/>
        <w:adjustRightInd w:val="0"/>
        <w:snapToGrid w:val="0"/>
        <w:spacing w:line="480" w:lineRule="exact"/>
        <w:ind w:firstLine="420" w:firstLineChars="200"/>
        <w:rPr>
          <w:rFonts w:ascii="Times New Roman" w:hAnsi="Times New Roman"/>
          <w:b/>
          <w:bCs/>
          <w:snapToGrid w:val="0"/>
          <w:spacing w:val="4"/>
          <w:kern w:val="0"/>
          <w:sz w:val="24"/>
          <w:highlight w:val="none"/>
        </w:rPr>
      </w:pPr>
      <w:r>
        <w:rPr>
          <w:rFonts w:hint="eastAsia" w:ascii="宋体" w:hAnsi="宋体" w:cs="宋体"/>
          <w:szCs w:val="21"/>
          <w:highlight w:val="none"/>
        </w:rPr>
        <w:t>▲</w:t>
      </w:r>
      <w:r>
        <w:rPr>
          <w:rFonts w:hint="eastAsia" w:ascii="Times New Roman" w:hAnsi="Times New Roman"/>
          <w:b/>
          <w:bCs/>
          <w:snapToGrid w:val="0"/>
          <w:spacing w:val="4"/>
          <w:kern w:val="0"/>
          <w:sz w:val="24"/>
          <w:highlight w:val="none"/>
        </w:rPr>
        <w:t>（</w:t>
      </w:r>
      <w:r>
        <w:rPr>
          <w:rFonts w:hint="eastAsia"/>
          <w:b/>
          <w:bCs/>
          <w:snapToGrid w:val="0"/>
          <w:spacing w:val="4"/>
          <w:kern w:val="0"/>
          <w:sz w:val="24"/>
          <w:highlight w:val="none"/>
        </w:rPr>
        <w:t>2</w:t>
      </w:r>
      <w:r>
        <w:rPr>
          <w:rFonts w:hint="eastAsia" w:ascii="Times New Roman" w:hAnsi="Times New Roman"/>
          <w:b/>
          <w:bCs/>
          <w:snapToGrid w:val="0"/>
          <w:spacing w:val="4"/>
          <w:kern w:val="0"/>
          <w:sz w:val="24"/>
          <w:highlight w:val="none"/>
        </w:rPr>
        <w:t>）全过程工程档案管理</w:t>
      </w:r>
    </w:p>
    <w:p w14:paraId="11F862FF">
      <w:pPr>
        <w:topLinePunct/>
        <w:adjustRightInd w:val="0"/>
        <w:snapToGrid w:val="0"/>
        <w:spacing w:line="480" w:lineRule="exact"/>
        <w:ind w:firstLine="496" w:firstLineChars="200"/>
        <w:rPr>
          <w:rFonts w:ascii="Times New Roman" w:hAnsi="Times New Roman"/>
          <w:snapToGrid w:val="0"/>
          <w:spacing w:val="4"/>
          <w:kern w:val="0"/>
          <w:sz w:val="24"/>
          <w:highlight w:val="none"/>
        </w:rPr>
      </w:pPr>
      <w:r>
        <w:rPr>
          <w:rFonts w:hint="eastAsia" w:ascii="Times New Roman" w:hAnsi="Times New Roman"/>
          <w:snapToGrid w:val="0"/>
          <w:spacing w:val="4"/>
          <w:kern w:val="0"/>
          <w:sz w:val="24"/>
          <w:highlight w:val="none"/>
        </w:rPr>
        <w:t>监理人须制定并监督项目全过程工程可视化档案管理，对项目相关资料（施工合同、支付凭证、现场照片等）做好电子化建档管理；规范项目进展照片的拍摄内容（主体工程/控制性节点），确保照片清晰，主题突出，能准确反应主要或代表性工程/点位建设进度，每月/季度协助委托人在国家重大项目库平台上传项目照片，汇报项目进展等工作。</w:t>
      </w:r>
    </w:p>
    <w:p w14:paraId="2A78DCF3">
      <w:pPr>
        <w:topLinePunct/>
        <w:adjustRightInd w:val="0"/>
        <w:spacing w:line="480" w:lineRule="exact"/>
        <w:ind w:firstLine="496" w:firstLineChars="200"/>
        <w:rPr>
          <w:rFonts w:ascii="Times New Roman" w:hAnsi="Times New Roman"/>
          <w:snapToGrid w:val="0"/>
          <w:spacing w:val="4"/>
          <w:kern w:val="0"/>
          <w:sz w:val="24"/>
          <w:highlight w:val="none"/>
        </w:rPr>
      </w:pPr>
      <w:r>
        <w:rPr>
          <w:rFonts w:hint="eastAsia" w:ascii="Times New Roman" w:hAnsi="Times New Roman"/>
          <w:snapToGrid w:val="0"/>
          <w:spacing w:val="4"/>
          <w:kern w:val="0"/>
          <w:sz w:val="24"/>
          <w:highlight w:val="none"/>
          <w:lang w:bidi="ar"/>
        </w:rPr>
        <w:t>如监理人未按本款要求建立或维护工程档案，导致资料缺失、上传延误或信息失实，每发生一次，视为一般违约，承担一般违约责任1次；情节严重或造成委托人被上级主管部门通报、影响项目验收或审计的，视为严重违约，承担严重违约责任1次。</w:t>
      </w:r>
    </w:p>
    <w:p w14:paraId="6AF0F4E0">
      <w:pPr>
        <w:topLinePunct/>
        <w:adjustRightInd w:val="0"/>
        <w:snapToGrid w:val="0"/>
        <w:spacing w:line="480" w:lineRule="exact"/>
        <w:ind w:firstLine="498" w:firstLineChars="200"/>
        <w:rPr>
          <w:rFonts w:ascii="Times New Roman" w:hAnsi="Times New Roman"/>
          <w:b/>
          <w:bCs/>
          <w:snapToGrid w:val="0"/>
          <w:spacing w:val="4"/>
          <w:kern w:val="0"/>
          <w:sz w:val="24"/>
          <w:highlight w:val="none"/>
        </w:rPr>
      </w:pPr>
      <w:r>
        <w:rPr>
          <w:rFonts w:hint="eastAsia" w:ascii="Times New Roman" w:hAnsi="Times New Roman"/>
          <w:b/>
          <w:bCs/>
          <w:snapToGrid w:val="0"/>
          <w:spacing w:val="4"/>
          <w:kern w:val="0"/>
          <w:sz w:val="24"/>
          <w:highlight w:val="none"/>
        </w:rPr>
        <w:t>（</w:t>
      </w:r>
      <w:r>
        <w:rPr>
          <w:rFonts w:hint="eastAsia"/>
          <w:b/>
          <w:bCs/>
          <w:snapToGrid w:val="0"/>
          <w:spacing w:val="4"/>
          <w:kern w:val="0"/>
          <w:sz w:val="24"/>
          <w:highlight w:val="none"/>
        </w:rPr>
        <w:t>3</w:t>
      </w:r>
      <w:r>
        <w:rPr>
          <w:rFonts w:hint="eastAsia" w:ascii="Times New Roman" w:hAnsi="Times New Roman"/>
          <w:b/>
          <w:bCs/>
          <w:snapToGrid w:val="0"/>
          <w:spacing w:val="4"/>
          <w:kern w:val="0"/>
          <w:sz w:val="24"/>
          <w:highlight w:val="none"/>
        </w:rPr>
        <w:t>）设计管理</w:t>
      </w:r>
    </w:p>
    <w:p w14:paraId="300038CA">
      <w:pPr>
        <w:topLinePunct/>
        <w:adjustRightInd w:val="0"/>
        <w:snapToGrid w:val="0"/>
        <w:spacing w:line="480" w:lineRule="exact"/>
        <w:ind w:firstLine="496" w:firstLineChars="200"/>
        <w:rPr>
          <w:rFonts w:ascii="Times New Roman" w:hAnsi="Times New Roman"/>
          <w:snapToGrid w:val="0"/>
          <w:spacing w:val="4"/>
          <w:kern w:val="0"/>
          <w:sz w:val="24"/>
          <w:highlight w:val="none"/>
        </w:rPr>
      </w:pPr>
      <w:r>
        <w:rPr>
          <w:rFonts w:hint="eastAsia"/>
          <w:snapToGrid w:val="0"/>
          <w:spacing w:val="4"/>
          <w:kern w:val="0"/>
          <w:sz w:val="24"/>
          <w:highlight w:val="none"/>
        </w:rPr>
        <w:t>①</w:t>
      </w:r>
      <w:r>
        <w:rPr>
          <w:rFonts w:hint="eastAsia" w:ascii="宋体" w:hAnsi="宋体"/>
          <w:snapToGrid w:val="0"/>
          <w:spacing w:val="4"/>
          <w:kern w:val="0"/>
          <w:sz w:val="24"/>
          <w:szCs w:val="24"/>
          <w:highlight w:val="none"/>
        </w:rPr>
        <w:t>对本工程设计全过程的设计</w:t>
      </w:r>
      <w:r>
        <w:rPr>
          <w:rFonts w:hint="eastAsia" w:ascii="宋体" w:hAnsi="宋体" w:cs="宋体"/>
          <w:sz w:val="24"/>
          <w:szCs w:val="24"/>
          <w:highlight w:val="none"/>
          <w:u w:val="single"/>
        </w:rPr>
        <w:t>（造价编控服务、施工图技术审查服务除外）</w:t>
      </w:r>
      <w:r>
        <w:rPr>
          <w:rFonts w:hint="eastAsia" w:ascii="宋体" w:hAnsi="宋体"/>
          <w:snapToGrid w:val="0"/>
          <w:spacing w:val="4"/>
          <w:kern w:val="0"/>
          <w:sz w:val="24"/>
          <w:szCs w:val="24"/>
          <w:highlight w:val="none"/>
        </w:rPr>
        <w:t>质量和进度、投资控制、合同、信息管理等进行全过程管理，制定设计管理工作各项制度，明确设计管理的工作目标、管理模式、管理方法等，使工程项目建设达到预期的质量、工期和经济目标。审查设计进度计划，若与阶段目标相违背，应采取纠偏措施。</w:t>
      </w:r>
    </w:p>
    <w:p w14:paraId="6C12D7DF">
      <w:pPr>
        <w:topLinePunct/>
        <w:adjustRightInd w:val="0"/>
        <w:snapToGrid w:val="0"/>
        <w:spacing w:line="480" w:lineRule="exact"/>
        <w:ind w:firstLine="496" w:firstLineChars="200"/>
        <w:rPr>
          <w:rFonts w:ascii="Times New Roman" w:hAnsi="Times New Roman"/>
          <w:snapToGrid w:val="0"/>
          <w:spacing w:val="4"/>
          <w:kern w:val="0"/>
          <w:sz w:val="24"/>
          <w:highlight w:val="none"/>
        </w:rPr>
      </w:pPr>
      <w:r>
        <w:rPr>
          <w:rFonts w:hint="eastAsia"/>
          <w:snapToGrid w:val="0"/>
          <w:spacing w:val="4"/>
          <w:kern w:val="0"/>
          <w:sz w:val="24"/>
          <w:highlight w:val="none"/>
        </w:rPr>
        <w:t>②</w:t>
      </w:r>
      <w:r>
        <w:rPr>
          <w:rFonts w:hint="eastAsia" w:ascii="Times New Roman" w:hAnsi="Times New Roman"/>
          <w:snapToGrid w:val="0"/>
          <w:spacing w:val="4"/>
          <w:kern w:val="0"/>
          <w:sz w:val="24"/>
          <w:highlight w:val="none"/>
        </w:rPr>
        <w:t>根据使用功能需求条件，要求设计单位按时提交合格的设计成果，检查并控制设计单位的设计进度，检查设计的功能性是否满足使用要求。</w:t>
      </w:r>
    </w:p>
    <w:p w14:paraId="0A87DFEB">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snapToGrid w:val="0"/>
          <w:spacing w:val="4"/>
          <w:kern w:val="0"/>
          <w:sz w:val="24"/>
          <w:highlight w:val="none"/>
        </w:rPr>
        <w:t>③</w:t>
      </w:r>
      <w:r>
        <w:rPr>
          <w:rFonts w:hint="eastAsia" w:ascii="Times New Roman" w:hAnsi="Times New Roman"/>
          <w:snapToGrid w:val="0"/>
          <w:spacing w:val="4"/>
          <w:kern w:val="0"/>
          <w:sz w:val="24"/>
          <w:highlight w:val="none"/>
        </w:rPr>
        <w:t>参与各阶段设计图纸评审或专题会议，提出相关人优化意见。跟踪方</w:t>
      </w:r>
      <w:r>
        <w:rPr>
          <w:rFonts w:hint="eastAsia" w:ascii="Times New Roman" w:hAnsi="Times New Roman"/>
          <w:snapToGrid w:val="0"/>
          <w:spacing w:val="4"/>
          <w:kern w:val="0"/>
          <w:sz w:val="24"/>
        </w:rPr>
        <w:t>案设计评审意见的落实及修改情况，并跟进设计工作进度。审核设计变更的技术、经济合理性、设计质量和深度，发布变更指令，对重大设计变更要有详细报告，包括涉及的费用变更、技术问题、承包人案的变化和工期影响等，必要时开展价值工程研究解决。</w:t>
      </w:r>
    </w:p>
    <w:p w14:paraId="5F30B4FB">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snapToGrid w:val="0"/>
          <w:spacing w:val="4"/>
          <w:kern w:val="0"/>
          <w:sz w:val="24"/>
        </w:rPr>
        <w:t>④</w:t>
      </w:r>
      <w:r>
        <w:rPr>
          <w:rFonts w:hint="eastAsia" w:ascii="Times New Roman" w:hAnsi="Times New Roman"/>
          <w:snapToGrid w:val="0"/>
          <w:spacing w:val="4"/>
          <w:kern w:val="0"/>
          <w:sz w:val="24"/>
        </w:rPr>
        <w:t>协助委托人组织专项审查，包括但不限于：交通评估的审查、环境影响评价的审查、消防性能化论证、建筑节能审查等。</w:t>
      </w:r>
    </w:p>
    <w:p w14:paraId="331AB94A">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snapToGrid w:val="0"/>
          <w:spacing w:val="4"/>
          <w:kern w:val="0"/>
          <w:sz w:val="24"/>
        </w:rPr>
        <w:t>⑤</w:t>
      </w:r>
      <w:r>
        <w:rPr>
          <w:rFonts w:hint="eastAsia" w:ascii="Times New Roman" w:hAnsi="Times New Roman"/>
          <w:snapToGrid w:val="0"/>
          <w:spacing w:val="4"/>
          <w:kern w:val="0"/>
          <w:sz w:val="24"/>
        </w:rPr>
        <w:t>负责编写设计阶段各类管理文件、设置预控要点,制定有关设计管理工作制度及工作标准,编写设计管理规划等，并采用各项设计管理控制措施以保证设计管理工作的顺利实施。</w:t>
      </w:r>
    </w:p>
    <w:p w14:paraId="426BA4F9">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snapToGrid w:val="0"/>
          <w:spacing w:val="4"/>
          <w:kern w:val="0"/>
          <w:sz w:val="24"/>
        </w:rPr>
        <w:t>⑥</w:t>
      </w:r>
      <w:r>
        <w:rPr>
          <w:rFonts w:hint="eastAsia" w:ascii="Times New Roman" w:hAnsi="Times New Roman"/>
          <w:snapToGrid w:val="0"/>
          <w:spacing w:val="4"/>
          <w:kern w:val="0"/>
          <w:sz w:val="24"/>
        </w:rPr>
        <w:t>组织周/月进度例会、设计例会，按时向</w:t>
      </w:r>
      <w:r>
        <w:rPr>
          <w:rFonts w:hint="eastAsia"/>
          <w:snapToGrid w:val="0"/>
          <w:spacing w:val="4"/>
          <w:kern w:val="0"/>
          <w:sz w:val="24"/>
        </w:rPr>
        <w:t>委托人</w:t>
      </w:r>
      <w:r>
        <w:rPr>
          <w:rFonts w:hint="eastAsia" w:ascii="Times New Roman" w:hAnsi="Times New Roman"/>
          <w:snapToGrid w:val="0"/>
          <w:spacing w:val="4"/>
          <w:kern w:val="0"/>
          <w:sz w:val="24"/>
        </w:rPr>
        <w:t>报送设计管理简报和管理专项报告。定期进行设计阶段管理小结，定期向委托人报告设计进展情况，设计中存在的问题及整改措施以及上个周期的整改措施落实情况。参与重大、疑难技术问题的处理。</w:t>
      </w:r>
    </w:p>
    <w:p w14:paraId="73756A3A">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snapToGrid w:val="0"/>
          <w:spacing w:val="4"/>
          <w:kern w:val="0"/>
          <w:sz w:val="24"/>
        </w:rPr>
        <w:t>⑦</w:t>
      </w:r>
      <w:r>
        <w:rPr>
          <w:rFonts w:hint="eastAsia" w:ascii="Times New Roman" w:hAnsi="Times New Roman"/>
          <w:snapToGrid w:val="0"/>
          <w:spacing w:val="4"/>
          <w:kern w:val="0"/>
          <w:sz w:val="24"/>
        </w:rPr>
        <w:t>对项目全过程进行投资控制管理。负责组织</w:t>
      </w:r>
      <w:r>
        <w:rPr>
          <w:rFonts w:hint="eastAsia"/>
          <w:snapToGrid w:val="0"/>
          <w:spacing w:val="4"/>
          <w:kern w:val="0"/>
          <w:sz w:val="24"/>
        </w:rPr>
        <w:t>施工</w:t>
      </w:r>
      <w:r>
        <w:rPr>
          <w:rFonts w:hint="eastAsia" w:ascii="Times New Roman" w:hAnsi="Times New Roman"/>
          <w:snapToGrid w:val="0"/>
          <w:spacing w:val="4"/>
          <w:kern w:val="0"/>
          <w:sz w:val="24"/>
        </w:rPr>
        <w:t>总承包单位/设计单位进行工程设计优化、技术经济方案比选并进行投资控制，要求限额设计。</w:t>
      </w:r>
    </w:p>
    <w:p w14:paraId="693C4FDF">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snapToGrid w:val="0"/>
          <w:spacing w:val="4"/>
          <w:kern w:val="0"/>
          <w:sz w:val="24"/>
        </w:rPr>
        <w:t>⑧</w:t>
      </w:r>
      <w:r>
        <w:rPr>
          <w:rFonts w:hint="eastAsia" w:ascii="Times New Roman" w:hAnsi="Times New Roman"/>
          <w:snapToGrid w:val="0"/>
          <w:spacing w:val="4"/>
          <w:kern w:val="0"/>
          <w:sz w:val="24"/>
        </w:rPr>
        <w:t>处理设计</w:t>
      </w:r>
      <w:r>
        <w:rPr>
          <w:rFonts w:hint="eastAsia"/>
          <w:snapToGrid w:val="0"/>
          <w:spacing w:val="4"/>
          <w:kern w:val="0"/>
          <w:sz w:val="24"/>
        </w:rPr>
        <w:t>合同</w:t>
      </w:r>
      <w:r>
        <w:rPr>
          <w:rFonts w:hint="eastAsia" w:ascii="Times New Roman" w:hAnsi="Times New Roman"/>
          <w:snapToGrid w:val="0"/>
          <w:spacing w:val="4"/>
          <w:kern w:val="0"/>
          <w:sz w:val="24"/>
        </w:rPr>
        <w:t>条款中有关的索赔与反索赔事宜，处理设计合同纠纷，为仲裁提供正确的全面的维护委托人正当权益的法律凭证。</w:t>
      </w:r>
    </w:p>
    <w:p w14:paraId="72217723">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snapToGrid w:val="0"/>
          <w:spacing w:val="4"/>
          <w:kern w:val="0"/>
          <w:sz w:val="24"/>
        </w:rPr>
        <w:t>⑨</w:t>
      </w:r>
      <w:r>
        <w:rPr>
          <w:rFonts w:hint="eastAsia" w:ascii="Times New Roman" w:hAnsi="Times New Roman"/>
          <w:snapToGrid w:val="0"/>
          <w:spacing w:val="4"/>
          <w:kern w:val="0"/>
          <w:sz w:val="24"/>
        </w:rPr>
        <w:t>对重要的需求、设计调整及相关的专题会议、协调会议应做好完备的台帐管理，做到易查看、可追溯。</w:t>
      </w:r>
    </w:p>
    <w:p w14:paraId="781BB57B">
      <w:pPr>
        <w:topLinePunct/>
        <w:adjustRightInd w:val="0"/>
        <w:snapToGrid w:val="0"/>
        <w:spacing w:line="480" w:lineRule="exact"/>
        <w:ind w:firstLine="420" w:firstLineChars="200"/>
        <w:rPr>
          <w:rFonts w:ascii="Times New Roman" w:hAnsi="Times New Roman"/>
          <w:b/>
          <w:bCs/>
          <w:snapToGrid w:val="0"/>
          <w:spacing w:val="4"/>
          <w:kern w:val="0"/>
          <w:sz w:val="24"/>
        </w:rPr>
      </w:pPr>
      <w:r>
        <w:rPr>
          <w:rFonts w:hint="eastAsia" w:ascii="宋体" w:hAnsi="宋体" w:cs="宋体"/>
          <w:szCs w:val="21"/>
        </w:rPr>
        <w:t>▲</w:t>
      </w:r>
      <w:r>
        <w:rPr>
          <w:rFonts w:hint="eastAsia" w:ascii="Times New Roman" w:hAnsi="Times New Roman"/>
          <w:b/>
          <w:bCs/>
          <w:snapToGrid w:val="0"/>
          <w:spacing w:val="4"/>
          <w:kern w:val="0"/>
          <w:sz w:val="24"/>
        </w:rPr>
        <w:t>（</w:t>
      </w:r>
      <w:r>
        <w:rPr>
          <w:rFonts w:hint="eastAsia"/>
          <w:b/>
          <w:bCs/>
          <w:snapToGrid w:val="0"/>
          <w:spacing w:val="4"/>
          <w:kern w:val="0"/>
          <w:sz w:val="24"/>
        </w:rPr>
        <w:t>4</w:t>
      </w:r>
      <w:r>
        <w:rPr>
          <w:rFonts w:hint="eastAsia" w:ascii="Times New Roman" w:hAnsi="Times New Roman"/>
          <w:b/>
          <w:bCs/>
          <w:snapToGrid w:val="0"/>
          <w:spacing w:val="4"/>
          <w:kern w:val="0"/>
          <w:sz w:val="24"/>
        </w:rPr>
        <w:t>）项目总体进度计划管理</w:t>
      </w:r>
    </w:p>
    <w:p w14:paraId="7A192435">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snapToGrid w:val="0"/>
          <w:spacing w:val="4"/>
          <w:kern w:val="0"/>
          <w:sz w:val="24"/>
        </w:rPr>
        <w:t>①</w:t>
      </w:r>
      <w:r>
        <w:rPr>
          <w:rFonts w:hint="eastAsia" w:ascii="Times New Roman" w:hAnsi="Times New Roman"/>
          <w:snapToGrid w:val="0"/>
          <w:spacing w:val="4"/>
          <w:kern w:val="0"/>
          <w:sz w:val="24"/>
        </w:rPr>
        <w:t>确定进度管理总体目标及节点目标，编制项目进度计划及控制措施，分析影响进度的主要因素，对进度计划的实施进行检查和调整，确保项目进展符合总体目标要求。</w:t>
      </w:r>
    </w:p>
    <w:p w14:paraId="0FB58B5F">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snapToGrid w:val="0"/>
          <w:spacing w:val="4"/>
          <w:kern w:val="0"/>
          <w:sz w:val="24"/>
        </w:rPr>
        <w:t>②</w:t>
      </w:r>
      <w:r>
        <w:rPr>
          <w:rFonts w:hint="eastAsia" w:ascii="Times New Roman" w:hAnsi="Times New Roman"/>
          <w:snapToGrid w:val="0"/>
          <w:spacing w:val="4"/>
          <w:kern w:val="0"/>
          <w:sz w:val="24"/>
        </w:rPr>
        <w:t>审核</w:t>
      </w:r>
      <w:r>
        <w:rPr>
          <w:rFonts w:hint="eastAsia"/>
          <w:snapToGrid w:val="0"/>
          <w:spacing w:val="4"/>
          <w:kern w:val="0"/>
          <w:sz w:val="24"/>
        </w:rPr>
        <w:t>施工</w:t>
      </w:r>
      <w:r>
        <w:rPr>
          <w:rFonts w:hint="eastAsia" w:ascii="Times New Roman" w:hAnsi="Times New Roman"/>
          <w:snapToGrid w:val="0"/>
          <w:spacing w:val="4"/>
          <w:kern w:val="0"/>
          <w:sz w:val="24"/>
        </w:rPr>
        <w:t>总承包人编制的工作进度计划和保证措施，分析节点目标的可实现性，动态跟踪计划实施进展并进行分析，并提出应对措施和意见，最后形成项目的总体进度计划报委托人审批，并负责按审批后的计划落实，落实相关单位实施。</w:t>
      </w:r>
    </w:p>
    <w:p w14:paraId="7E842F6F">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snapToGrid w:val="0"/>
          <w:spacing w:val="4"/>
          <w:kern w:val="0"/>
          <w:sz w:val="24"/>
        </w:rPr>
        <w:t>③</w:t>
      </w:r>
      <w:r>
        <w:rPr>
          <w:rFonts w:hint="eastAsia" w:ascii="Times New Roman" w:hAnsi="Times New Roman"/>
          <w:snapToGrid w:val="0"/>
          <w:spacing w:val="4"/>
          <w:kern w:val="0"/>
          <w:sz w:val="24"/>
        </w:rPr>
        <w:t>记录各节点要求进度的具体时间，对预判工期超出的情况应及时预警；对非承包人原因造成工期延误的情况，应及时办理工期延期记录和工期签证（在延误事件发生时当天记录，结束后10日内办结，包括相关单位签认并形成书面记录）。</w:t>
      </w:r>
    </w:p>
    <w:p w14:paraId="772C6331">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snapToGrid w:val="0"/>
          <w:spacing w:val="4"/>
          <w:kern w:val="0"/>
          <w:sz w:val="24"/>
        </w:rPr>
        <w:t>④</w:t>
      </w:r>
      <w:r>
        <w:rPr>
          <w:rFonts w:hint="eastAsia" w:ascii="Times New Roman" w:hAnsi="Times New Roman"/>
          <w:snapToGrid w:val="0"/>
          <w:spacing w:val="4"/>
          <w:kern w:val="0"/>
          <w:sz w:val="24"/>
        </w:rPr>
        <w:t>须按照经审核的进度网络图对关键线路严格管控，每周向</w:t>
      </w:r>
      <w:r>
        <w:rPr>
          <w:rFonts w:hint="eastAsia"/>
          <w:snapToGrid w:val="0"/>
          <w:spacing w:val="4"/>
          <w:kern w:val="0"/>
          <w:sz w:val="24"/>
        </w:rPr>
        <w:t>委托人</w:t>
      </w:r>
      <w:r>
        <w:rPr>
          <w:rFonts w:hint="eastAsia" w:ascii="Times New Roman" w:hAnsi="Times New Roman"/>
          <w:snapToGrid w:val="0"/>
          <w:spacing w:val="4"/>
          <w:kern w:val="0"/>
          <w:sz w:val="24"/>
        </w:rPr>
        <w:t>提供各项目进度分析报告和进度纠偏建议。</w:t>
      </w:r>
    </w:p>
    <w:p w14:paraId="6C9F175B">
      <w:pPr>
        <w:topLinePunct/>
        <w:adjustRightInd w:val="0"/>
        <w:snapToGrid w:val="0"/>
        <w:spacing w:line="480" w:lineRule="exact"/>
        <w:ind w:firstLine="420" w:firstLineChars="200"/>
        <w:rPr>
          <w:rFonts w:ascii="Times New Roman" w:hAnsi="Times New Roman"/>
          <w:b/>
          <w:bCs/>
          <w:snapToGrid w:val="0"/>
          <w:spacing w:val="4"/>
          <w:kern w:val="0"/>
          <w:sz w:val="24"/>
        </w:rPr>
      </w:pPr>
      <w:r>
        <w:rPr>
          <w:rFonts w:hint="eastAsia" w:ascii="宋体" w:hAnsi="宋体" w:cs="宋体"/>
          <w:szCs w:val="21"/>
        </w:rPr>
        <w:t>▲</w:t>
      </w:r>
      <w:r>
        <w:rPr>
          <w:rFonts w:hint="eastAsia" w:ascii="Times New Roman" w:hAnsi="Times New Roman"/>
          <w:b/>
          <w:bCs/>
          <w:snapToGrid w:val="0"/>
          <w:spacing w:val="4"/>
          <w:kern w:val="0"/>
          <w:sz w:val="24"/>
        </w:rPr>
        <w:t>（</w:t>
      </w:r>
      <w:r>
        <w:rPr>
          <w:rFonts w:hint="eastAsia"/>
          <w:b/>
          <w:bCs/>
          <w:snapToGrid w:val="0"/>
          <w:spacing w:val="4"/>
          <w:kern w:val="0"/>
          <w:sz w:val="24"/>
        </w:rPr>
        <w:t>5</w:t>
      </w:r>
      <w:r>
        <w:rPr>
          <w:rFonts w:hint="eastAsia" w:ascii="Times New Roman" w:hAnsi="Times New Roman"/>
          <w:b/>
          <w:bCs/>
          <w:snapToGrid w:val="0"/>
          <w:spacing w:val="4"/>
          <w:kern w:val="0"/>
          <w:sz w:val="24"/>
        </w:rPr>
        <w:t>）投资管理</w:t>
      </w:r>
    </w:p>
    <w:p w14:paraId="31087605">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snapToGrid w:val="0"/>
          <w:spacing w:val="4"/>
          <w:kern w:val="0"/>
          <w:sz w:val="24"/>
        </w:rPr>
        <w:t>①</w:t>
      </w:r>
      <w:r>
        <w:rPr>
          <w:rFonts w:hint="eastAsia" w:ascii="Times New Roman" w:hAnsi="Times New Roman"/>
          <w:snapToGrid w:val="0"/>
          <w:spacing w:val="4"/>
          <w:kern w:val="0"/>
          <w:sz w:val="24"/>
        </w:rPr>
        <w:t>确定投资控制目标，制订投资管理制度、措施和工作程序，做好决策、设计、招标、施工、结算各阶段的投资控制。对施工图预算、工程量清单等经济技术指标进行审核。各年的投资控制应结合</w:t>
      </w:r>
      <w:r>
        <w:rPr>
          <w:rFonts w:hint="eastAsia"/>
          <w:snapToGrid w:val="0"/>
          <w:spacing w:val="4"/>
          <w:kern w:val="0"/>
          <w:sz w:val="24"/>
        </w:rPr>
        <w:t>委托人</w:t>
      </w:r>
      <w:r>
        <w:rPr>
          <w:rFonts w:hint="eastAsia" w:ascii="Times New Roman" w:hAnsi="Times New Roman"/>
          <w:snapToGrid w:val="0"/>
          <w:spacing w:val="4"/>
          <w:kern w:val="0"/>
          <w:sz w:val="24"/>
        </w:rPr>
        <w:t>年度投资计划实施。</w:t>
      </w:r>
    </w:p>
    <w:p w14:paraId="62CEB3D7">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snapToGrid w:val="0"/>
          <w:spacing w:val="4"/>
          <w:kern w:val="0"/>
          <w:sz w:val="24"/>
        </w:rPr>
        <w:t>②</w:t>
      </w:r>
      <w:r>
        <w:rPr>
          <w:rFonts w:hint="eastAsia" w:ascii="Times New Roman" w:hAnsi="Times New Roman"/>
          <w:snapToGrid w:val="0"/>
          <w:spacing w:val="4"/>
          <w:kern w:val="0"/>
          <w:sz w:val="24"/>
        </w:rPr>
        <w:t xml:space="preserve">按委托人要求和规定审批工程进度款支付，审核工程变更及签证并送委托人审批，做好用款计划、月报、年报、年度投资计划等统计工作，建立各项目的合同、支付、变更、预结算等各种台帐； </w:t>
      </w:r>
    </w:p>
    <w:p w14:paraId="6712F24B">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snapToGrid w:val="0"/>
          <w:spacing w:val="4"/>
          <w:kern w:val="0"/>
          <w:sz w:val="24"/>
        </w:rPr>
        <w:t>③</w:t>
      </w:r>
      <w:r>
        <w:rPr>
          <w:rFonts w:hint="eastAsia" w:ascii="Times New Roman" w:hAnsi="Times New Roman"/>
          <w:snapToGrid w:val="0"/>
          <w:spacing w:val="4"/>
          <w:kern w:val="0"/>
          <w:sz w:val="24"/>
        </w:rPr>
        <w:t>工程投资控制月报制度</w:t>
      </w:r>
    </w:p>
    <w:p w14:paraId="13923062">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 xml:space="preserve">   1） 每月25日前，应向</w:t>
      </w:r>
      <w:r>
        <w:rPr>
          <w:rFonts w:hint="eastAsia"/>
          <w:snapToGrid w:val="0"/>
          <w:spacing w:val="4"/>
          <w:kern w:val="0"/>
          <w:sz w:val="24"/>
        </w:rPr>
        <w:t>委托人</w:t>
      </w:r>
      <w:r>
        <w:rPr>
          <w:rFonts w:hint="eastAsia" w:ascii="Times New Roman" w:hAnsi="Times New Roman"/>
          <w:snapToGrid w:val="0"/>
          <w:spacing w:val="4"/>
          <w:kern w:val="0"/>
          <w:sz w:val="24"/>
        </w:rPr>
        <w:t>提供当月的投资控制月报。</w:t>
      </w:r>
    </w:p>
    <w:p w14:paraId="24379DE1">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 xml:space="preserve">   2） 投资控制月报应包括上月工程款支付情况、工程形象进度、工程完成投资额、承包商人员和机械设备投入情况、工程质量情况、检测资料、数据、工程设计变更及投资增加情况，提出问题，查找原因，并提出下月的工作建议。</w:t>
      </w:r>
    </w:p>
    <w:p w14:paraId="1FB45C70">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 xml:space="preserve">   3） 对于</w:t>
      </w:r>
      <w:r>
        <w:rPr>
          <w:rFonts w:hint="eastAsia"/>
          <w:snapToGrid w:val="0"/>
          <w:spacing w:val="4"/>
          <w:kern w:val="0"/>
          <w:sz w:val="24"/>
        </w:rPr>
        <w:t>委托人</w:t>
      </w:r>
      <w:r>
        <w:rPr>
          <w:rFonts w:hint="eastAsia" w:ascii="Times New Roman" w:hAnsi="Times New Roman"/>
          <w:snapToGrid w:val="0"/>
          <w:spacing w:val="4"/>
          <w:kern w:val="0"/>
          <w:sz w:val="24"/>
        </w:rPr>
        <w:t>有特殊要求的情况，应向</w:t>
      </w:r>
      <w:r>
        <w:rPr>
          <w:rFonts w:hint="eastAsia"/>
          <w:snapToGrid w:val="0"/>
          <w:spacing w:val="4"/>
          <w:kern w:val="0"/>
          <w:sz w:val="24"/>
        </w:rPr>
        <w:t>委托人</w:t>
      </w:r>
      <w:r>
        <w:rPr>
          <w:rFonts w:hint="eastAsia" w:ascii="Times New Roman" w:hAnsi="Times New Roman"/>
          <w:snapToGrid w:val="0"/>
          <w:spacing w:val="4"/>
          <w:kern w:val="0"/>
          <w:sz w:val="24"/>
        </w:rPr>
        <w:t>及时提供投资控制报告，如周报、专题报告等。</w:t>
      </w:r>
    </w:p>
    <w:p w14:paraId="7137CC9A">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snapToGrid w:val="0"/>
          <w:spacing w:val="4"/>
          <w:kern w:val="0"/>
          <w:sz w:val="24"/>
        </w:rPr>
        <w:t>④</w:t>
      </w:r>
      <w:r>
        <w:rPr>
          <w:rFonts w:hint="eastAsia" w:ascii="Times New Roman" w:hAnsi="Times New Roman"/>
          <w:snapToGrid w:val="0"/>
          <w:spacing w:val="4"/>
          <w:kern w:val="0"/>
          <w:sz w:val="24"/>
        </w:rPr>
        <w:t>投资控制工作总结制度</w:t>
      </w:r>
    </w:p>
    <w:p w14:paraId="5722D924">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 xml:space="preserve">   1） 在工程竣工验收后，应向</w:t>
      </w:r>
      <w:r>
        <w:rPr>
          <w:rFonts w:hint="eastAsia"/>
          <w:snapToGrid w:val="0"/>
          <w:spacing w:val="4"/>
          <w:kern w:val="0"/>
          <w:sz w:val="24"/>
        </w:rPr>
        <w:t>委托人</w:t>
      </w:r>
      <w:r>
        <w:rPr>
          <w:rFonts w:hint="eastAsia" w:ascii="Times New Roman" w:hAnsi="Times New Roman"/>
          <w:snapToGrid w:val="0"/>
          <w:spacing w:val="4"/>
          <w:kern w:val="0"/>
          <w:sz w:val="24"/>
        </w:rPr>
        <w:t>提交该项目的工程投资工作总结，该总结作为工程咨询工作的一项竣工验收资料，并报送</w:t>
      </w:r>
      <w:r>
        <w:rPr>
          <w:rFonts w:hint="eastAsia"/>
          <w:snapToGrid w:val="0"/>
          <w:spacing w:val="4"/>
          <w:kern w:val="0"/>
          <w:sz w:val="24"/>
        </w:rPr>
        <w:t>委托人</w:t>
      </w:r>
      <w:r>
        <w:rPr>
          <w:rFonts w:hint="eastAsia" w:ascii="Times New Roman" w:hAnsi="Times New Roman"/>
          <w:snapToGrid w:val="0"/>
          <w:spacing w:val="4"/>
          <w:kern w:val="0"/>
          <w:sz w:val="24"/>
        </w:rPr>
        <w:t>资料室备案。</w:t>
      </w:r>
    </w:p>
    <w:p w14:paraId="2DDC5FF3">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 xml:space="preserve">   2） 投资控制工作总结报告内容应包括并不限于：工程概况及建设全过程情况、造价咨询工作手段、造价管理情况，设计变更的内容、原因、造价审计中存在的问题及解决办法，对项目造价管理工作的评价与分析（包括但不限于概算与结算情况对比分析），工程遗留问题的总结与分析等，并提出合理的建议。</w:t>
      </w:r>
    </w:p>
    <w:p w14:paraId="34A2FFA7">
      <w:pPr>
        <w:topLinePunct/>
        <w:adjustRightInd w:val="0"/>
        <w:snapToGrid w:val="0"/>
        <w:spacing w:line="480" w:lineRule="exact"/>
        <w:ind w:firstLine="498" w:firstLineChars="200"/>
        <w:rPr>
          <w:rFonts w:ascii="Times New Roman" w:hAnsi="Times New Roman"/>
          <w:b/>
          <w:bCs/>
          <w:snapToGrid w:val="0"/>
          <w:spacing w:val="4"/>
          <w:kern w:val="0"/>
          <w:sz w:val="24"/>
        </w:rPr>
      </w:pPr>
      <w:r>
        <w:rPr>
          <w:rFonts w:hint="eastAsia" w:ascii="Times New Roman" w:hAnsi="Times New Roman"/>
          <w:b/>
          <w:bCs/>
          <w:snapToGrid w:val="0"/>
          <w:spacing w:val="4"/>
          <w:kern w:val="0"/>
          <w:sz w:val="24"/>
        </w:rPr>
        <w:t>（</w:t>
      </w:r>
      <w:r>
        <w:rPr>
          <w:rFonts w:hint="eastAsia"/>
          <w:b/>
          <w:bCs/>
          <w:snapToGrid w:val="0"/>
          <w:spacing w:val="4"/>
          <w:kern w:val="0"/>
          <w:sz w:val="24"/>
        </w:rPr>
        <w:t>6</w:t>
      </w:r>
      <w:r>
        <w:rPr>
          <w:rFonts w:hint="eastAsia" w:ascii="Times New Roman" w:hAnsi="Times New Roman"/>
          <w:b/>
          <w:bCs/>
          <w:snapToGrid w:val="0"/>
          <w:spacing w:val="4"/>
          <w:kern w:val="0"/>
          <w:sz w:val="24"/>
        </w:rPr>
        <w:t>） BIM技术管理</w:t>
      </w:r>
    </w:p>
    <w:p w14:paraId="598CAEED">
      <w:pPr>
        <w:topLinePunct/>
        <w:adjustRightInd w:val="0"/>
        <w:snapToGrid w:val="0"/>
        <w:spacing w:line="480" w:lineRule="exact"/>
        <w:ind w:firstLine="496" w:firstLineChars="200"/>
        <w:rPr>
          <w:snapToGrid w:val="0"/>
          <w:spacing w:val="4"/>
          <w:kern w:val="0"/>
          <w:sz w:val="24"/>
        </w:rPr>
      </w:pPr>
      <w:r>
        <w:rPr>
          <w:rFonts w:hint="eastAsia" w:ascii="Times New Roman" w:hAnsi="Times New Roman"/>
          <w:snapToGrid w:val="0"/>
          <w:spacing w:val="4"/>
          <w:kern w:val="0"/>
          <w:sz w:val="24"/>
        </w:rPr>
        <w:t>督促并检查</w:t>
      </w:r>
      <w:r>
        <w:rPr>
          <w:rFonts w:hint="eastAsia"/>
          <w:snapToGrid w:val="0"/>
          <w:spacing w:val="4"/>
          <w:kern w:val="0"/>
          <w:sz w:val="24"/>
        </w:rPr>
        <w:t>施工</w:t>
      </w:r>
      <w:r>
        <w:rPr>
          <w:rFonts w:hint="eastAsia" w:ascii="Times New Roman" w:hAnsi="Times New Roman"/>
          <w:snapToGrid w:val="0"/>
          <w:spacing w:val="4"/>
          <w:kern w:val="0"/>
          <w:sz w:val="24"/>
        </w:rPr>
        <w:t>总承包单位运用BIM技术完成相关工作（包括各专业模型创建及深化、管线综合、场地布置模拟、材料设备工程量统计等）并收集相关应用成果；督促</w:t>
      </w:r>
      <w:r>
        <w:rPr>
          <w:rFonts w:hint="eastAsia"/>
          <w:snapToGrid w:val="0"/>
          <w:spacing w:val="4"/>
          <w:kern w:val="0"/>
          <w:sz w:val="24"/>
        </w:rPr>
        <w:t>施工</w:t>
      </w:r>
      <w:r>
        <w:rPr>
          <w:rFonts w:hint="eastAsia" w:ascii="Times New Roman" w:hAnsi="Times New Roman"/>
          <w:snapToGrid w:val="0"/>
          <w:spacing w:val="4"/>
          <w:kern w:val="0"/>
          <w:sz w:val="24"/>
        </w:rPr>
        <w:t>总承包单位在项目不同阶段基于各BIM模型进行可视化交底、施工；监督</w:t>
      </w:r>
      <w:r>
        <w:rPr>
          <w:rFonts w:hint="eastAsia"/>
          <w:snapToGrid w:val="0"/>
          <w:spacing w:val="4"/>
          <w:kern w:val="0"/>
          <w:sz w:val="24"/>
        </w:rPr>
        <w:t>施工</w:t>
      </w:r>
      <w:r>
        <w:rPr>
          <w:rFonts w:hint="eastAsia" w:ascii="Times New Roman" w:hAnsi="Times New Roman"/>
          <w:snapToGrid w:val="0"/>
          <w:spacing w:val="4"/>
          <w:kern w:val="0"/>
          <w:sz w:val="24"/>
        </w:rPr>
        <w:t>总承包单位对BIM模型进行实时更新与维护，准确反映施工实际情况；根据项目实际进度等情况，制定BIM实施计划并实时调整，为项目部署BIM工作和制定BIM工作决策向委托人提供建议和参考。监督</w:t>
      </w:r>
      <w:r>
        <w:rPr>
          <w:rFonts w:hint="eastAsia"/>
          <w:snapToGrid w:val="0"/>
          <w:spacing w:val="4"/>
          <w:kern w:val="0"/>
          <w:sz w:val="24"/>
        </w:rPr>
        <w:t>施工</w:t>
      </w:r>
      <w:r>
        <w:rPr>
          <w:rFonts w:hint="eastAsia" w:ascii="Times New Roman" w:hAnsi="Times New Roman"/>
          <w:snapToGrid w:val="0"/>
          <w:spacing w:val="4"/>
          <w:kern w:val="0"/>
          <w:sz w:val="24"/>
        </w:rPr>
        <w:t>总承包单位在安全文明施工和智慧工地充分应用BIM技术。协助委托人对BIM应用成果进行验收；督促</w:t>
      </w:r>
      <w:r>
        <w:rPr>
          <w:rFonts w:hint="eastAsia"/>
          <w:snapToGrid w:val="0"/>
          <w:spacing w:val="4"/>
          <w:kern w:val="0"/>
          <w:sz w:val="24"/>
        </w:rPr>
        <w:t>施工</w:t>
      </w:r>
      <w:r>
        <w:rPr>
          <w:rFonts w:hint="eastAsia" w:ascii="Times New Roman" w:hAnsi="Times New Roman"/>
          <w:snapToGrid w:val="0"/>
          <w:spacing w:val="4"/>
          <w:kern w:val="0"/>
          <w:sz w:val="24"/>
        </w:rPr>
        <w:t>总承包按要求提交模型、资料等，并负责归档</w:t>
      </w:r>
      <w:r>
        <w:rPr>
          <w:rFonts w:hint="eastAsia"/>
          <w:snapToGrid w:val="0"/>
          <w:spacing w:val="4"/>
          <w:kern w:val="0"/>
          <w:sz w:val="24"/>
        </w:rPr>
        <w:t>。</w:t>
      </w:r>
    </w:p>
    <w:p w14:paraId="766889A6">
      <w:pPr>
        <w:topLinePunct/>
        <w:adjustRightInd w:val="0"/>
        <w:snapToGrid w:val="0"/>
        <w:spacing w:line="480" w:lineRule="exact"/>
        <w:ind w:firstLine="498" w:firstLineChars="200"/>
        <w:rPr>
          <w:rFonts w:ascii="Times New Roman" w:hAnsi="Times New Roman"/>
          <w:b/>
          <w:bCs/>
          <w:snapToGrid w:val="0"/>
          <w:spacing w:val="4"/>
          <w:kern w:val="0"/>
          <w:sz w:val="24"/>
        </w:rPr>
      </w:pPr>
      <w:r>
        <w:rPr>
          <w:rFonts w:hint="eastAsia" w:ascii="Times New Roman" w:hAnsi="Times New Roman"/>
          <w:b/>
          <w:bCs/>
          <w:snapToGrid w:val="0"/>
          <w:spacing w:val="4"/>
          <w:kern w:val="0"/>
          <w:sz w:val="24"/>
        </w:rPr>
        <w:t>（</w:t>
      </w:r>
      <w:r>
        <w:rPr>
          <w:rFonts w:hint="eastAsia"/>
          <w:b/>
          <w:bCs/>
          <w:snapToGrid w:val="0"/>
          <w:spacing w:val="4"/>
          <w:kern w:val="0"/>
          <w:sz w:val="24"/>
        </w:rPr>
        <w:t>7</w:t>
      </w:r>
      <w:r>
        <w:rPr>
          <w:rFonts w:hint="eastAsia" w:ascii="Times New Roman" w:hAnsi="Times New Roman"/>
          <w:b/>
          <w:bCs/>
          <w:snapToGrid w:val="0"/>
          <w:spacing w:val="4"/>
          <w:kern w:val="0"/>
          <w:sz w:val="24"/>
        </w:rPr>
        <w:t>）报建报批管理</w:t>
      </w:r>
    </w:p>
    <w:p w14:paraId="076D1197">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snapToGrid w:val="0"/>
          <w:spacing w:val="4"/>
          <w:kern w:val="0"/>
          <w:sz w:val="24"/>
        </w:rPr>
        <w:t>必要时</w:t>
      </w:r>
      <w:r>
        <w:rPr>
          <w:rFonts w:hint="eastAsia" w:ascii="Times New Roman" w:hAnsi="Times New Roman"/>
          <w:snapToGrid w:val="0"/>
          <w:spacing w:val="4"/>
          <w:kern w:val="0"/>
          <w:sz w:val="24"/>
        </w:rPr>
        <w:t>对项目建设需要开展的相关专题研究以及需要办理的相关手续进行梳理，督促审核</w:t>
      </w:r>
      <w:r>
        <w:rPr>
          <w:rFonts w:hint="eastAsia"/>
          <w:snapToGrid w:val="0"/>
          <w:spacing w:val="4"/>
          <w:kern w:val="0"/>
          <w:sz w:val="24"/>
        </w:rPr>
        <w:t>施工</w:t>
      </w:r>
      <w:r>
        <w:rPr>
          <w:rFonts w:hint="eastAsia" w:ascii="Times New Roman" w:hAnsi="Times New Roman"/>
          <w:snapToGrid w:val="0"/>
          <w:spacing w:val="4"/>
          <w:kern w:val="0"/>
          <w:sz w:val="24"/>
        </w:rPr>
        <w:t>总承包单位及时办理项目前期及工程建设期间的各项报批报建手续（</w:t>
      </w:r>
      <w:r>
        <w:rPr>
          <w:rFonts w:hint="eastAsia"/>
          <w:snapToGrid w:val="0"/>
          <w:spacing w:val="4"/>
          <w:kern w:val="0"/>
          <w:sz w:val="24"/>
        </w:rPr>
        <w:t>必要时，</w:t>
      </w:r>
      <w:r>
        <w:rPr>
          <w:rFonts w:hint="eastAsia" w:ascii="Times New Roman" w:hAnsi="Times New Roman"/>
          <w:snapToGrid w:val="0"/>
          <w:spacing w:val="4"/>
          <w:kern w:val="0"/>
          <w:sz w:val="24"/>
        </w:rPr>
        <w:t>包括但不限于：办理土地、规划、建设、环保、人防、消防、气象、用电、用水、路口、水土保持、市政接驳等）。</w:t>
      </w:r>
    </w:p>
    <w:p w14:paraId="702E1A82">
      <w:pPr>
        <w:topLinePunct/>
        <w:adjustRightInd w:val="0"/>
        <w:snapToGrid w:val="0"/>
        <w:spacing w:line="480" w:lineRule="exact"/>
        <w:ind w:firstLine="498" w:firstLineChars="200"/>
        <w:outlineLvl w:val="2"/>
        <w:rPr>
          <w:b/>
          <w:snapToGrid w:val="0"/>
          <w:spacing w:val="4"/>
          <w:kern w:val="0"/>
          <w:sz w:val="24"/>
        </w:rPr>
      </w:pPr>
      <w:r>
        <w:rPr>
          <w:b/>
          <w:snapToGrid w:val="0"/>
          <w:spacing w:val="4"/>
          <w:kern w:val="0"/>
          <w:sz w:val="24"/>
        </w:rPr>
        <w:t>4.2  监理服务工作内容</w:t>
      </w:r>
    </w:p>
    <w:p w14:paraId="4ECF6B85">
      <w:pPr>
        <w:topLinePunct/>
        <w:adjustRightInd w:val="0"/>
        <w:snapToGrid w:val="0"/>
        <w:spacing w:line="480" w:lineRule="exact"/>
        <w:ind w:firstLine="498" w:firstLineChars="200"/>
        <w:outlineLvl w:val="3"/>
        <w:rPr>
          <w:b/>
          <w:snapToGrid w:val="0"/>
          <w:spacing w:val="4"/>
          <w:kern w:val="0"/>
          <w:sz w:val="24"/>
        </w:rPr>
      </w:pPr>
      <w:r>
        <w:rPr>
          <w:b/>
          <w:snapToGrid w:val="0"/>
          <w:spacing w:val="4"/>
          <w:kern w:val="0"/>
          <w:sz w:val="24"/>
        </w:rPr>
        <w:t>4.2.1  建设工程监理一般规定</w:t>
      </w:r>
    </w:p>
    <w:p w14:paraId="44BBFD6C">
      <w:pPr>
        <w:topLinePunct/>
        <w:adjustRightInd w:val="0"/>
        <w:snapToGrid w:val="0"/>
        <w:spacing w:line="480" w:lineRule="exact"/>
        <w:ind w:firstLine="496" w:firstLineChars="200"/>
        <w:rPr>
          <w:snapToGrid w:val="0"/>
          <w:spacing w:val="4"/>
          <w:kern w:val="0"/>
          <w:sz w:val="24"/>
        </w:rPr>
      </w:pPr>
      <w:r>
        <w:rPr>
          <w:snapToGrid w:val="0"/>
          <w:spacing w:val="4"/>
          <w:kern w:val="0"/>
          <w:sz w:val="24"/>
        </w:rPr>
        <w:t>（1）实行总监理工程师负责制。</w:t>
      </w:r>
    </w:p>
    <w:p w14:paraId="71543791">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（2）监理人应公正、独立、自主地开展监理工作，维护委托人和承包人的合法权益。</w:t>
      </w:r>
    </w:p>
    <w:p w14:paraId="7F0B6E8B">
      <w:pPr>
        <w:topLinePunct/>
        <w:adjustRightInd w:val="0"/>
        <w:snapToGrid w:val="0"/>
        <w:spacing w:line="480" w:lineRule="exact"/>
        <w:ind w:firstLine="496" w:firstLineChars="200"/>
        <w:rPr>
          <w:snapToGrid w:val="0"/>
          <w:spacing w:val="4"/>
          <w:kern w:val="0"/>
          <w:sz w:val="24"/>
        </w:rPr>
      </w:pPr>
      <w:r>
        <w:rPr>
          <w:snapToGrid w:val="0"/>
          <w:spacing w:val="4"/>
          <w:kern w:val="0"/>
          <w:sz w:val="24"/>
        </w:rPr>
        <w:t>（3）建设工程监理除应符合《建设工程监理规范》（GB/T 50319-2013）外，还应符合国家现行的有关强制性标准、规范的规定。</w:t>
      </w:r>
    </w:p>
    <w:p w14:paraId="38D8B16E">
      <w:pPr>
        <w:topLinePunct/>
        <w:adjustRightInd w:val="0"/>
        <w:snapToGrid w:val="0"/>
        <w:spacing w:line="480" w:lineRule="exact"/>
        <w:ind w:firstLine="498" w:firstLineChars="200"/>
        <w:outlineLvl w:val="3"/>
        <w:rPr>
          <w:b/>
          <w:snapToGrid w:val="0"/>
          <w:spacing w:val="4"/>
          <w:kern w:val="0"/>
          <w:sz w:val="24"/>
        </w:rPr>
      </w:pPr>
      <w:r>
        <w:rPr>
          <w:rFonts w:hint="eastAsia"/>
          <w:b/>
          <w:snapToGrid w:val="0"/>
          <w:spacing w:val="4"/>
          <w:kern w:val="0"/>
          <w:sz w:val="24"/>
        </w:rPr>
        <w:t>4</w:t>
      </w:r>
      <w:r>
        <w:rPr>
          <w:b/>
          <w:snapToGrid w:val="0"/>
          <w:spacing w:val="4"/>
          <w:kern w:val="0"/>
          <w:sz w:val="24"/>
        </w:rPr>
        <w:t xml:space="preserve">.2.2  </w:t>
      </w:r>
      <w:r>
        <w:rPr>
          <w:rFonts w:hint="eastAsia"/>
          <w:b/>
          <w:snapToGrid w:val="0"/>
          <w:spacing w:val="4"/>
          <w:kern w:val="0"/>
          <w:sz w:val="24"/>
        </w:rPr>
        <w:t>原建筑物拆除工程、勘察工程（如有）、超前钻（如有）工程旁站监理工作</w:t>
      </w:r>
    </w:p>
    <w:p w14:paraId="5B66EE25">
      <w:pPr>
        <w:pStyle w:val="16"/>
        <w:spacing w:line="480" w:lineRule="exact"/>
        <w:ind w:left="0" w:leftChars="0" w:firstLine="480" w:firstLineChars="200"/>
        <w:rPr>
          <w:sz w:val="24"/>
          <w:szCs w:val="24"/>
        </w:rPr>
      </w:pPr>
      <w:r>
        <w:rPr>
          <w:rFonts w:hint="eastAsia"/>
          <w:sz w:val="24"/>
          <w:szCs w:val="24"/>
        </w:rPr>
        <w:t>原建筑物拆除工程、勘察工程（如有）、超前钻（如有）工程旁站监理工作包括但不限于以下内容：</w:t>
      </w:r>
    </w:p>
    <w:p w14:paraId="40DD2640">
      <w:pPr>
        <w:spacing w:line="480" w:lineRule="exact"/>
        <w:ind w:firstLine="480" w:firstLineChars="200"/>
        <w:rPr>
          <w:sz w:val="24"/>
          <w:szCs w:val="24"/>
        </w:rPr>
      </w:pPr>
      <w:r>
        <w:rPr>
          <w:rFonts w:hint="eastAsia"/>
          <w:sz w:val="24"/>
          <w:szCs w:val="24"/>
        </w:rPr>
        <w:t>（1）原建筑物拆除工程监理工作内容</w:t>
      </w:r>
    </w:p>
    <w:p w14:paraId="05551257">
      <w:pPr>
        <w:pStyle w:val="16"/>
        <w:spacing w:line="480" w:lineRule="exact"/>
        <w:ind w:left="0" w:leftChars="0" w:firstLine="480" w:firstLineChars="200"/>
        <w:rPr>
          <w:sz w:val="24"/>
        </w:rPr>
      </w:pPr>
      <w:r>
        <w:rPr>
          <w:rFonts w:hint="eastAsia"/>
          <w:sz w:val="24"/>
          <w:szCs w:val="24"/>
        </w:rPr>
        <w:t>1）</w:t>
      </w:r>
      <w:r>
        <w:rPr>
          <w:rFonts w:hint="eastAsia"/>
          <w:sz w:val="24"/>
        </w:rPr>
        <w:t>施工安全、被拆除建筑物及相邻建筑物、构筑物、综合管线等安全。监理人员应当在施工前认真核查工程项目的实在内容，并推动全部相关方面的手续齐全，如权属证明、拆迁手续等；</w:t>
      </w:r>
    </w:p>
    <w:p w14:paraId="6CF0E727">
      <w:pPr>
        <w:spacing w:line="400" w:lineRule="exact"/>
        <w:ind w:firstLine="480" w:firstLineChars="200"/>
        <w:rPr>
          <w:sz w:val="24"/>
        </w:rPr>
      </w:pPr>
      <w:r>
        <w:rPr>
          <w:rFonts w:hint="eastAsia"/>
          <w:sz w:val="24"/>
        </w:rPr>
        <w:t>2）房屋拆除工程进行时，检查拆除区域四周环境；</w:t>
      </w:r>
    </w:p>
    <w:p w14:paraId="2395CA43">
      <w:pPr>
        <w:pStyle w:val="16"/>
        <w:spacing w:line="360" w:lineRule="auto"/>
        <w:ind w:left="0" w:leftChars="0" w:firstLine="480" w:firstLineChars="200"/>
        <w:rPr>
          <w:sz w:val="24"/>
        </w:rPr>
      </w:pPr>
      <w:r>
        <w:rPr>
          <w:rFonts w:hint="eastAsia"/>
          <w:sz w:val="24"/>
        </w:rPr>
        <w:t>3）确保拆除物料处理规范，做好拆除物料计量，订立施工程序和安全措施；</w:t>
      </w:r>
    </w:p>
    <w:p w14:paraId="4C8BE564">
      <w:pPr>
        <w:spacing w:line="360" w:lineRule="auto"/>
        <w:ind w:firstLine="480" w:firstLineChars="200"/>
        <w:rPr>
          <w:sz w:val="24"/>
        </w:rPr>
      </w:pPr>
      <w:r>
        <w:rPr>
          <w:rFonts w:hint="eastAsia"/>
          <w:sz w:val="24"/>
        </w:rPr>
        <w:t>4）拆除工程施工组织设计和安全专项施工方案，应经审批后实施; 当施工过程中发生变更情况时，应履行相应的审批和论证程序。</w:t>
      </w:r>
    </w:p>
    <w:p w14:paraId="17E64314">
      <w:pPr>
        <w:spacing w:line="360" w:lineRule="auto"/>
        <w:ind w:firstLine="480" w:firstLineChars="200"/>
        <w:rPr>
          <w:sz w:val="24"/>
        </w:rPr>
      </w:pPr>
      <w:r>
        <w:rPr>
          <w:rFonts w:hint="eastAsia"/>
          <w:sz w:val="24"/>
        </w:rPr>
        <w:t>5）拆除工程施工前，应对作业人员进行岗前安全教育和培训，考核合格后方可上岗作业。</w:t>
      </w:r>
    </w:p>
    <w:p w14:paraId="7BEB75DF">
      <w:pPr>
        <w:spacing w:line="360" w:lineRule="auto"/>
        <w:ind w:firstLine="480" w:firstLineChars="200"/>
        <w:rPr>
          <w:sz w:val="24"/>
        </w:rPr>
      </w:pPr>
      <w:r>
        <w:rPr>
          <w:rFonts w:hint="eastAsia"/>
          <w:sz w:val="24"/>
        </w:rPr>
        <w:t>6）拆除工程施工前，必须对施工作业人员进行书面安全技术交底，且应有记录并签字确认。</w:t>
      </w:r>
    </w:p>
    <w:p w14:paraId="70254669">
      <w:pPr>
        <w:spacing w:line="360" w:lineRule="auto"/>
        <w:ind w:firstLine="480" w:firstLineChars="200"/>
        <w:rPr>
          <w:sz w:val="24"/>
        </w:rPr>
      </w:pPr>
      <w:r>
        <w:rPr>
          <w:rFonts w:hint="eastAsia"/>
          <w:sz w:val="24"/>
        </w:rPr>
        <w:t>7）拆除工程施工必须按施工组织设计、安全专项施工方案实施;、在拆除施工现场划定危险区域，设置警戒线和相关的安全警示标志，并应由专人监护。</w:t>
      </w:r>
    </w:p>
    <w:p w14:paraId="0CFA7A98">
      <w:pPr>
        <w:spacing w:line="360" w:lineRule="auto"/>
        <w:ind w:firstLine="480" w:firstLineChars="200"/>
        <w:rPr>
          <w:sz w:val="24"/>
        </w:rPr>
      </w:pPr>
      <w:r>
        <w:rPr>
          <w:rFonts w:hint="eastAsia"/>
          <w:sz w:val="24"/>
        </w:rPr>
        <w:t>8）拆除工程使用的脚手架、安全网，必须由专业人员按专项施工方案搭设，经验收合格后方可使用。</w:t>
      </w:r>
    </w:p>
    <w:p w14:paraId="30340F57">
      <w:pPr>
        <w:spacing w:line="360" w:lineRule="auto"/>
        <w:ind w:firstLine="480" w:firstLineChars="200"/>
        <w:rPr>
          <w:sz w:val="24"/>
        </w:rPr>
      </w:pPr>
      <w:r>
        <w:rPr>
          <w:rFonts w:hint="eastAsia"/>
          <w:sz w:val="24"/>
        </w:rPr>
        <w:t>9）安全防护设施验收时，应按类别逐项查验，并应有验收记录。</w:t>
      </w:r>
    </w:p>
    <w:p w14:paraId="48746197">
      <w:pPr>
        <w:spacing w:line="360" w:lineRule="auto"/>
        <w:ind w:firstLine="480" w:firstLineChars="200"/>
        <w:rPr>
          <w:sz w:val="24"/>
        </w:rPr>
      </w:pPr>
      <w:r>
        <w:rPr>
          <w:rFonts w:hint="eastAsia"/>
          <w:sz w:val="24"/>
        </w:rPr>
        <w:t>10）拆除工程施工作业人员应按现行行业标准《建筑施工作业劳动防护用品配备及使用标准》JGJ 184 的规定，配备相应的劳动防护用品，并应正确使用。</w:t>
      </w:r>
    </w:p>
    <w:p w14:paraId="47AFFD1F">
      <w:pPr>
        <w:spacing w:line="360" w:lineRule="auto"/>
        <w:ind w:firstLine="480" w:firstLineChars="200"/>
        <w:rPr>
          <w:sz w:val="24"/>
        </w:rPr>
      </w:pPr>
      <w:r>
        <w:rPr>
          <w:rFonts w:hint="eastAsia"/>
          <w:sz w:val="24"/>
        </w:rPr>
        <w:t>11）当遇大雨、大雪、大雾或六级及以上风力等影响施工安全的恶劣天气时，严禁进行露天拆除作业。</w:t>
      </w:r>
    </w:p>
    <w:p w14:paraId="17294647">
      <w:pPr>
        <w:spacing w:line="360" w:lineRule="auto"/>
        <w:ind w:firstLine="480" w:firstLineChars="200"/>
        <w:rPr>
          <w:sz w:val="24"/>
        </w:rPr>
      </w:pPr>
      <w:r>
        <w:rPr>
          <w:rFonts w:hint="eastAsia"/>
          <w:sz w:val="24"/>
        </w:rPr>
        <w:t>12）当日拆除施工结束后或暂停施工时，机械设备应停放在安全位置，并应采取固定措施。</w:t>
      </w:r>
    </w:p>
    <w:p w14:paraId="2794EA73">
      <w:pPr>
        <w:spacing w:line="360" w:lineRule="auto"/>
        <w:ind w:firstLine="480" w:firstLineChars="200"/>
        <w:rPr>
          <w:sz w:val="24"/>
        </w:rPr>
      </w:pPr>
      <w:r>
        <w:rPr>
          <w:rFonts w:hint="eastAsia"/>
          <w:sz w:val="24"/>
        </w:rPr>
        <w:t>13）拆除工程施工必须建立消防管理制度。</w:t>
      </w:r>
    </w:p>
    <w:p w14:paraId="267F54F5">
      <w:pPr>
        <w:spacing w:line="360" w:lineRule="auto"/>
        <w:ind w:firstLine="480" w:firstLineChars="200"/>
        <w:rPr>
          <w:sz w:val="24"/>
        </w:rPr>
      </w:pPr>
      <w:r>
        <w:rPr>
          <w:rFonts w:hint="eastAsia"/>
          <w:sz w:val="24"/>
        </w:rPr>
        <w:t>14）拆除工程应根据施工现场作业环境，制定相应的消防安全措施。现场消防设施应按现行国家标准《建设工程施工现场消防安全技术规范》GB 50720 的规定执行。</w:t>
      </w:r>
    </w:p>
    <w:p w14:paraId="3FF3BCE7">
      <w:pPr>
        <w:spacing w:line="360" w:lineRule="auto"/>
        <w:ind w:firstLine="480" w:firstLineChars="200"/>
        <w:rPr>
          <w:sz w:val="24"/>
        </w:rPr>
      </w:pPr>
      <w:r>
        <w:rPr>
          <w:rFonts w:hint="eastAsia"/>
          <w:sz w:val="24"/>
        </w:rPr>
        <w:t>15）当拆除作业遇有易燃易爆材料时，应采取有效的防火防爆措施。</w:t>
      </w:r>
    </w:p>
    <w:p w14:paraId="08FEBB6F">
      <w:pPr>
        <w:spacing w:line="360" w:lineRule="auto"/>
        <w:ind w:firstLine="480" w:firstLineChars="200"/>
        <w:rPr>
          <w:sz w:val="24"/>
        </w:rPr>
      </w:pPr>
      <w:r>
        <w:rPr>
          <w:rFonts w:hint="eastAsia"/>
          <w:sz w:val="24"/>
        </w:rPr>
        <w:t>16）对管道或容器进行切割作业前，应检查并确认管道或容器内无可燃气体或爆炸性粉尘等残留物。</w:t>
      </w:r>
    </w:p>
    <w:p w14:paraId="45C0CC3D">
      <w:pPr>
        <w:spacing w:line="360" w:lineRule="auto"/>
        <w:ind w:firstLine="480" w:firstLineChars="200"/>
        <w:rPr>
          <w:sz w:val="24"/>
        </w:rPr>
      </w:pPr>
      <w:r>
        <w:rPr>
          <w:rFonts w:hint="eastAsia"/>
          <w:sz w:val="24"/>
        </w:rPr>
        <w:t>17）施工现场临时用电应按现行行业标准《施工现场临时用电安全技术规范》JGJ 46 的规定执行。</w:t>
      </w:r>
    </w:p>
    <w:p w14:paraId="01584942">
      <w:pPr>
        <w:spacing w:line="360" w:lineRule="auto"/>
        <w:ind w:firstLine="480" w:firstLineChars="200"/>
        <w:rPr>
          <w:sz w:val="24"/>
        </w:rPr>
      </w:pPr>
      <w:r>
        <w:rPr>
          <w:rFonts w:hint="eastAsia"/>
          <w:sz w:val="24"/>
        </w:rPr>
        <w:t>18）当拆除工程施工过程中发生事故时，应及时启动生产安全事故应急预案，抢救伤员、保护现场，并应向有关部门报告。</w:t>
      </w:r>
    </w:p>
    <w:p w14:paraId="7FDC14C3">
      <w:pPr>
        <w:spacing w:line="360" w:lineRule="auto"/>
        <w:ind w:firstLine="480" w:firstLineChars="200"/>
      </w:pPr>
      <w:r>
        <w:rPr>
          <w:rFonts w:hint="eastAsia"/>
          <w:sz w:val="24"/>
        </w:rPr>
        <w:t>19）拆除工程施工应建立安全技术档案</w:t>
      </w:r>
    </w:p>
    <w:p w14:paraId="64A828DA">
      <w:pPr>
        <w:pStyle w:val="16"/>
        <w:spacing w:line="480" w:lineRule="exact"/>
        <w:ind w:left="420"/>
        <w:rPr>
          <w:sz w:val="24"/>
        </w:rPr>
      </w:pPr>
      <w:r>
        <w:rPr>
          <w:rFonts w:hint="eastAsia"/>
          <w:sz w:val="24"/>
        </w:rPr>
        <w:t>（2）勘察工程</w:t>
      </w:r>
      <w:r>
        <w:rPr>
          <w:rFonts w:hint="eastAsia"/>
          <w:sz w:val="24"/>
          <w:szCs w:val="24"/>
        </w:rPr>
        <w:t>（如有）</w:t>
      </w:r>
      <w:r>
        <w:rPr>
          <w:rFonts w:hint="eastAsia"/>
          <w:sz w:val="24"/>
        </w:rPr>
        <w:t>监理工作内容</w:t>
      </w:r>
    </w:p>
    <w:p w14:paraId="5DEF1C8C">
      <w:pPr>
        <w:spacing w:line="480" w:lineRule="exact"/>
        <w:ind w:firstLine="480" w:firstLineChars="200"/>
        <w:rPr>
          <w:sz w:val="24"/>
        </w:rPr>
      </w:pPr>
      <w:r>
        <w:rPr>
          <w:rFonts w:hint="eastAsia"/>
          <w:sz w:val="24"/>
        </w:rPr>
        <w:t>具体包括但不限于：</w:t>
      </w:r>
    </w:p>
    <w:p w14:paraId="7136BFE0">
      <w:pPr>
        <w:spacing w:line="480" w:lineRule="exact"/>
        <w:ind w:firstLine="480" w:firstLineChars="200"/>
        <w:rPr>
          <w:sz w:val="24"/>
        </w:rPr>
      </w:pPr>
      <w:r>
        <w:rPr>
          <w:rFonts w:hint="eastAsia"/>
          <w:sz w:val="24"/>
        </w:rPr>
        <w:t>1）进度监理</w:t>
      </w:r>
    </w:p>
    <w:p w14:paraId="69523517">
      <w:pPr>
        <w:spacing w:line="480" w:lineRule="exact"/>
        <w:ind w:firstLine="480" w:firstLineChars="200"/>
        <w:rPr>
          <w:sz w:val="24"/>
        </w:rPr>
      </w:pPr>
      <w:r>
        <w:rPr>
          <w:rFonts w:hint="eastAsia"/>
          <w:sz w:val="24"/>
        </w:rPr>
        <w:t>勘察单位人员、设备是否按计划进场：记录进场时间，根据实际勘察速度预测勘察进度，必要时应及时通知承包商子以调整。</w:t>
      </w:r>
    </w:p>
    <w:p w14:paraId="097B2D0D">
      <w:pPr>
        <w:spacing w:line="480" w:lineRule="exact"/>
        <w:ind w:firstLine="480" w:firstLineChars="200"/>
        <w:rPr>
          <w:sz w:val="24"/>
        </w:rPr>
      </w:pPr>
      <w:r>
        <w:rPr>
          <w:rFonts w:hint="eastAsia"/>
          <w:sz w:val="24"/>
        </w:rPr>
        <w:t>2）质量监理</w:t>
      </w:r>
    </w:p>
    <w:p w14:paraId="1DEC4EBD">
      <w:pPr>
        <w:spacing w:line="480" w:lineRule="exact"/>
        <w:ind w:firstLine="480" w:firstLineChars="200"/>
        <w:rPr>
          <w:sz w:val="24"/>
        </w:rPr>
      </w:pPr>
      <w:r>
        <w:rPr>
          <w:rFonts w:hint="eastAsia"/>
          <w:sz w:val="24"/>
        </w:rPr>
        <w:t>督查勘察单位是否按勘察纲要实施，主要督查如下几项内容：</w:t>
      </w:r>
    </w:p>
    <w:p w14:paraId="06CE6D94">
      <w:pPr>
        <w:spacing w:line="480" w:lineRule="exact"/>
        <w:ind w:firstLine="480" w:firstLineChars="200"/>
        <w:rPr>
          <w:sz w:val="24"/>
        </w:rPr>
      </w:pPr>
      <w:r>
        <w:rPr>
          <w:rFonts w:hint="eastAsia"/>
          <w:sz w:val="24"/>
        </w:rPr>
        <w:t>a.勘察项目是否完全；</w:t>
      </w:r>
    </w:p>
    <w:p w14:paraId="3BE4536B">
      <w:pPr>
        <w:spacing w:line="480" w:lineRule="exact"/>
        <w:ind w:firstLine="480" w:firstLineChars="200"/>
        <w:rPr>
          <w:sz w:val="24"/>
        </w:rPr>
      </w:pPr>
      <w:r>
        <w:rPr>
          <w:rFonts w:hint="eastAsia"/>
          <w:sz w:val="24"/>
        </w:rPr>
        <w:t>b.勘察点线有无偏、错、漏；</w:t>
      </w:r>
    </w:p>
    <w:p w14:paraId="5B93A743">
      <w:pPr>
        <w:spacing w:line="480" w:lineRule="exact"/>
        <w:ind w:firstLine="480" w:firstLineChars="200"/>
        <w:rPr>
          <w:sz w:val="24"/>
        </w:rPr>
      </w:pPr>
      <w:r>
        <w:rPr>
          <w:rFonts w:hint="eastAsia"/>
          <w:sz w:val="24"/>
        </w:rPr>
        <w:t>c.操作是否符合规范;；</w:t>
      </w:r>
    </w:p>
    <w:p w14:paraId="6AD93245">
      <w:pPr>
        <w:spacing w:line="480" w:lineRule="exact"/>
        <w:ind w:firstLine="480" w:firstLineChars="200"/>
        <w:rPr>
          <w:sz w:val="24"/>
        </w:rPr>
      </w:pPr>
      <w:r>
        <w:rPr>
          <w:rFonts w:hint="eastAsia"/>
          <w:sz w:val="24"/>
        </w:rPr>
        <w:t>d.钻探深度、取样位置及样品保护是否得当；</w:t>
      </w:r>
    </w:p>
    <w:p w14:paraId="0201B11D">
      <w:pPr>
        <w:spacing w:line="480" w:lineRule="exact"/>
        <w:ind w:firstLine="480" w:firstLineChars="200"/>
        <w:rPr>
          <w:sz w:val="24"/>
        </w:rPr>
      </w:pPr>
      <w:r>
        <w:rPr>
          <w:rFonts w:hint="eastAsia"/>
          <w:sz w:val="24"/>
        </w:rPr>
        <w:t>e.对大型或复杂的工程，还要对其内业工作进行监理(试验条件、试验项目、试验操作等)。</w:t>
      </w:r>
    </w:p>
    <w:p w14:paraId="2FBB3738">
      <w:pPr>
        <w:spacing w:line="480" w:lineRule="exact"/>
        <w:ind w:firstLine="480" w:firstLineChars="200"/>
        <w:rPr>
          <w:sz w:val="24"/>
        </w:rPr>
      </w:pPr>
      <w:r>
        <w:rPr>
          <w:rFonts w:hint="eastAsia"/>
          <w:sz w:val="24"/>
        </w:rPr>
        <w:t>3）检查勘察报告</w:t>
      </w:r>
    </w:p>
    <w:p w14:paraId="4C7178B8">
      <w:pPr>
        <w:spacing w:line="480" w:lineRule="exact"/>
        <w:ind w:left="479" w:leftChars="228"/>
        <w:rPr>
          <w:sz w:val="24"/>
        </w:rPr>
      </w:pPr>
      <w:r>
        <w:rPr>
          <w:rFonts w:hint="eastAsia"/>
          <w:sz w:val="24"/>
        </w:rPr>
        <w:t>检查勘察报告的完整性、合理性、可靠性和实用性，以及对施工要求的满足程度。</w:t>
      </w:r>
    </w:p>
    <w:p w14:paraId="1BD95FC9">
      <w:pPr>
        <w:spacing w:line="480" w:lineRule="exact"/>
        <w:ind w:left="479" w:leftChars="228"/>
        <w:rPr>
          <w:sz w:val="24"/>
        </w:rPr>
      </w:pPr>
      <w:r>
        <w:rPr>
          <w:rFonts w:hint="eastAsia"/>
          <w:sz w:val="24"/>
        </w:rPr>
        <w:t>4）审核勘察费的结算</w:t>
      </w:r>
    </w:p>
    <w:p w14:paraId="14F78600">
      <w:pPr>
        <w:spacing w:line="480" w:lineRule="exact"/>
        <w:ind w:firstLine="480" w:firstLineChars="200"/>
        <w:rPr>
          <w:sz w:val="24"/>
        </w:rPr>
      </w:pPr>
      <w:r>
        <w:rPr>
          <w:rFonts w:hint="eastAsia"/>
          <w:sz w:val="24"/>
        </w:rPr>
        <w:t>根据勘察进度，按合同规定签发支付费用通知。</w:t>
      </w:r>
    </w:p>
    <w:p w14:paraId="4605E7C1">
      <w:pPr>
        <w:spacing w:line="480" w:lineRule="exact"/>
        <w:ind w:firstLine="480" w:firstLineChars="200"/>
        <w:rPr>
          <w:sz w:val="24"/>
        </w:rPr>
      </w:pPr>
      <w:r>
        <w:rPr>
          <w:rFonts w:hint="eastAsia"/>
          <w:sz w:val="24"/>
        </w:rPr>
        <w:t>（3）超前钻（如有）工程旁站监理工作</w:t>
      </w:r>
    </w:p>
    <w:p w14:paraId="6632AC35">
      <w:pPr>
        <w:pStyle w:val="16"/>
        <w:spacing w:line="360" w:lineRule="auto"/>
        <w:ind w:left="0" w:leftChars="0" w:firstLine="480" w:firstLineChars="200"/>
        <w:rPr>
          <w:sz w:val="24"/>
        </w:rPr>
      </w:pPr>
      <w:r>
        <w:rPr>
          <w:rFonts w:hint="eastAsia"/>
          <w:sz w:val="24"/>
        </w:rPr>
        <w:t>1）熟悉委托方与勘探超前钻施工单位签订的施工合同，熟悉开发项目图纸，参加技术部位对勘探超前钻施工技术交底，审核项目地勘报告、施工图会审纪要，施工方案、放线测量定位复核、勘探超前钻机械设备进场开工。</w:t>
      </w:r>
    </w:p>
    <w:p w14:paraId="3803CF61">
      <w:pPr>
        <w:pStyle w:val="16"/>
        <w:spacing w:line="360" w:lineRule="auto"/>
        <w:ind w:left="0" w:leftChars="0" w:firstLine="480" w:firstLineChars="200"/>
        <w:rPr>
          <w:sz w:val="24"/>
        </w:rPr>
      </w:pPr>
      <w:r>
        <w:rPr>
          <w:rFonts w:hint="eastAsia"/>
          <w:sz w:val="24"/>
        </w:rPr>
        <w:t>2）检查施工单位现场质检员到岗情况、特殊工种人员持证上岗情况以及施工机械设备、工程材料准备情况。</w:t>
      </w:r>
    </w:p>
    <w:p w14:paraId="561CD7A4">
      <w:pPr>
        <w:pStyle w:val="16"/>
        <w:spacing w:line="360" w:lineRule="auto"/>
        <w:ind w:left="0" w:leftChars="0" w:firstLine="480" w:firstLineChars="200"/>
        <w:rPr>
          <w:sz w:val="24"/>
        </w:rPr>
      </w:pPr>
      <w:r>
        <w:rPr>
          <w:rFonts w:hint="eastAsia"/>
          <w:sz w:val="24"/>
        </w:rPr>
        <w:t>3）在现场跟班监督关键部位、关键工序的施工，执行施工方案以及工程建设强制性标准情况。</w:t>
      </w:r>
    </w:p>
    <w:p w14:paraId="49295338">
      <w:pPr>
        <w:pStyle w:val="16"/>
        <w:spacing w:line="360" w:lineRule="auto"/>
        <w:ind w:left="0" w:leftChars="0" w:firstLine="480" w:firstLineChars="200"/>
        <w:rPr>
          <w:sz w:val="24"/>
        </w:rPr>
      </w:pPr>
      <w:r>
        <w:rPr>
          <w:rFonts w:hint="eastAsia"/>
          <w:sz w:val="24"/>
        </w:rPr>
        <w:t>4）检查上道工序施工质量情况，并检查施工单位对前工序完成后进行自检的情况以及有关施工资料情况。</w:t>
      </w:r>
    </w:p>
    <w:p w14:paraId="45CDF3A3">
      <w:pPr>
        <w:pStyle w:val="16"/>
        <w:spacing w:line="360" w:lineRule="auto"/>
        <w:ind w:left="0" w:leftChars="0" w:firstLine="480" w:firstLineChars="200"/>
        <w:rPr>
          <w:rFonts w:cs="Calibri"/>
        </w:rPr>
      </w:pPr>
      <w:r>
        <w:rPr>
          <w:rFonts w:hint="eastAsia"/>
          <w:sz w:val="24"/>
        </w:rPr>
        <w:t>5）做好旁站监理记录和监理日记，保存旁站监理原始资料。</w:t>
      </w:r>
    </w:p>
    <w:p w14:paraId="50E4F7A0">
      <w:pPr>
        <w:topLinePunct/>
        <w:adjustRightInd w:val="0"/>
        <w:snapToGrid w:val="0"/>
        <w:spacing w:line="480" w:lineRule="exact"/>
        <w:ind w:firstLine="498" w:firstLineChars="200"/>
        <w:outlineLvl w:val="3"/>
        <w:rPr>
          <w:b/>
          <w:snapToGrid w:val="0"/>
          <w:spacing w:val="4"/>
          <w:kern w:val="0"/>
          <w:sz w:val="24"/>
        </w:rPr>
      </w:pPr>
      <w:r>
        <w:rPr>
          <w:b/>
          <w:snapToGrid w:val="0"/>
          <w:spacing w:val="4"/>
          <w:kern w:val="0"/>
          <w:sz w:val="24"/>
        </w:rPr>
        <w:t>4.2.</w:t>
      </w:r>
      <w:r>
        <w:rPr>
          <w:rFonts w:hint="eastAsia"/>
          <w:b/>
          <w:snapToGrid w:val="0"/>
          <w:spacing w:val="4"/>
          <w:kern w:val="0"/>
          <w:sz w:val="24"/>
        </w:rPr>
        <w:t>3</w:t>
      </w:r>
      <w:r>
        <w:rPr>
          <w:b/>
          <w:snapToGrid w:val="0"/>
          <w:spacing w:val="4"/>
          <w:kern w:val="0"/>
          <w:sz w:val="24"/>
        </w:rPr>
        <w:t xml:space="preserve">  施工准备阶段的监理工作</w:t>
      </w:r>
    </w:p>
    <w:p w14:paraId="6E048521">
      <w:pPr>
        <w:topLinePunct/>
        <w:adjustRightInd w:val="0"/>
        <w:snapToGrid w:val="0"/>
        <w:spacing w:line="480" w:lineRule="exact"/>
        <w:ind w:firstLine="496" w:firstLineChars="200"/>
        <w:rPr>
          <w:snapToGrid w:val="0"/>
          <w:spacing w:val="4"/>
          <w:kern w:val="0"/>
          <w:sz w:val="24"/>
        </w:rPr>
      </w:pPr>
      <w:r>
        <w:rPr>
          <w:snapToGrid w:val="0"/>
          <w:spacing w:val="4"/>
          <w:kern w:val="0"/>
          <w:sz w:val="24"/>
        </w:rPr>
        <w:t>施工准备阶段的监理工作包括但不限于以下内容：</w:t>
      </w:r>
    </w:p>
    <w:p w14:paraId="3F1A0DFA">
      <w:pPr>
        <w:topLinePunct/>
        <w:adjustRightInd w:val="0"/>
        <w:snapToGrid w:val="0"/>
        <w:spacing w:line="480" w:lineRule="exact"/>
        <w:ind w:firstLine="496" w:firstLineChars="200"/>
        <w:rPr>
          <w:snapToGrid w:val="0"/>
          <w:spacing w:val="4"/>
          <w:kern w:val="0"/>
          <w:sz w:val="24"/>
        </w:rPr>
      </w:pPr>
      <w:r>
        <w:rPr>
          <w:snapToGrid w:val="0"/>
          <w:spacing w:val="4"/>
          <w:kern w:val="0"/>
          <w:sz w:val="24"/>
        </w:rPr>
        <w:t>（1）在设计交底前，总监理工程师应组织监理人员熟悉设计文件，并对图纸中存在的问题通过委托人向设计单位提出书面意见和建议。</w:t>
      </w:r>
    </w:p>
    <w:p w14:paraId="091FE454">
      <w:pPr>
        <w:topLinePunct/>
        <w:adjustRightInd w:val="0"/>
        <w:snapToGrid w:val="0"/>
        <w:spacing w:line="480" w:lineRule="exact"/>
        <w:ind w:firstLine="496" w:firstLineChars="200"/>
        <w:rPr>
          <w:snapToGrid w:val="0"/>
          <w:spacing w:val="4"/>
          <w:kern w:val="0"/>
          <w:sz w:val="24"/>
        </w:rPr>
      </w:pPr>
      <w:r>
        <w:rPr>
          <w:snapToGrid w:val="0"/>
          <w:spacing w:val="4"/>
          <w:kern w:val="0"/>
          <w:sz w:val="24"/>
        </w:rPr>
        <w:t>（2）项目监理人员应参加由委托人组织的设计技术交底会，总监理工程师应组织人员编写设计技术交底会议纪要并提交给委托人。</w:t>
      </w:r>
    </w:p>
    <w:p w14:paraId="20305D4B">
      <w:pPr>
        <w:topLinePunct/>
        <w:adjustRightInd w:val="0"/>
        <w:snapToGrid w:val="0"/>
        <w:spacing w:line="480" w:lineRule="exact"/>
        <w:ind w:firstLine="496" w:firstLineChars="200"/>
        <w:rPr>
          <w:snapToGrid w:val="0"/>
          <w:spacing w:val="4"/>
          <w:kern w:val="0"/>
          <w:sz w:val="24"/>
        </w:rPr>
      </w:pPr>
      <w:r>
        <w:rPr>
          <w:snapToGrid w:val="0"/>
          <w:spacing w:val="4"/>
          <w:kern w:val="0"/>
          <w:sz w:val="24"/>
        </w:rPr>
        <w:t>（3）图纸会审由委托人组织，总监理工程师应组织人员做好图纸会审记录并提交给委托人。</w:t>
      </w:r>
    </w:p>
    <w:p w14:paraId="37FBBBFA">
      <w:pPr>
        <w:topLinePunct/>
        <w:adjustRightInd w:val="0"/>
        <w:snapToGrid w:val="0"/>
        <w:spacing w:line="480" w:lineRule="exact"/>
        <w:ind w:firstLine="496" w:firstLineChars="200"/>
        <w:rPr>
          <w:snapToGrid w:val="0"/>
          <w:spacing w:val="4"/>
          <w:kern w:val="0"/>
          <w:sz w:val="24"/>
        </w:rPr>
      </w:pPr>
      <w:r>
        <w:rPr>
          <w:snapToGrid w:val="0"/>
          <w:spacing w:val="4"/>
          <w:kern w:val="0"/>
          <w:sz w:val="24"/>
        </w:rPr>
        <w:t>（4）工程项目开工前，总监理工程师应组织专业监理工程师审查承包人报送的施工组织设计（方案）报审表，提出审查意见，并经总监理工程师审核、签认后报委托人。</w:t>
      </w:r>
    </w:p>
    <w:p w14:paraId="4CE8A23D">
      <w:pPr>
        <w:topLinePunct/>
        <w:adjustRightInd w:val="0"/>
        <w:snapToGrid w:val="0"/>
        <w:spacing w:line="480" w:lineRule="exact"/>
        <w:ind w:firstLine="496" w:firstLineChars="200"/>
        <w:rPr>
          <w:snapToGrid w:val="0"/>
          <w:spacing w:val="4"/>
          <w:kern w:val="0"/>
          <w:sz w:val="24"/>
        </w:rPr>
      </w:pPr>
      <w:r>
        <w:rPr>
          <w:snapToGrid w:val="0"/>
          <w:spacing w:val="4"/>
          <w:kern w:val="0"/>
          <w:sz w:val="24"/>
        </w:rPr>
        <w:t>（5）工程项目开工前，总监理工程师应审查承包人现场项目管理机构的质量管理体系、环境管理体系和安全管理体系，在确能保证工程项目施工质量时予以确认。对质量管理体系、环境管理体系和安全管理体系应审核以下内容：</w:t>
      </w:r>
    </w:p>
    <w:p w14:paraId="28F8BB72">
      <w:pPr>
        <w:topLinePunct/>
        <w:adjustRightInd w:val="0"/>
        <w:snapToGrid w:val="0"/>
        <w:spacing w:line="480" w:lineRule="exact"/>
        <w:ind w:firstLine="496" w:firstLineChars="200"/>
        <w:rPr>
          <w:snapToGrid w:val="0"/>
          <w:spacing w:val="4"/>
          <w:kern w:val="0"/>
          <w:sz w:val="24"/>
        </w:rPr>
      </w:pPr>
      <w:r>
        <w:rPr>
          <w:snapToGrid w:val="0"/>
          <w:spacing w:val="4"/>
          <w:kern w:val="0"/>
          <w:sz w:val="24"/>
        </w:rPr>
        <w:t>1）质量管理体系、环境管理体系和安全管理体系的组织及职责；</w:t>
      </w:r>
    </w:p>
    <w:p w14:paraId="667B8E2E">
      <w:pPr>
        <w:topLinePunct/>
        <w:adjustRightInd w:val="0"/>
        <w:snapToGrid w:val="0"/>
        <w:spacing w:line="480" w:lineRule="exact"/>
        <w:ind w:firstLine="496" w:firstLineChars="200"/>
        <w:rPr>
          <w:snapToGrid w:val="0"/>
          <w:spacing w:val="4"/>
          <w:kern w:val="0"/>
          <w:sz w:val="24"/>
        </w:rPr>
      </w:pPr>
      <w:r>
        <w:rPr>
          <w:snapToGrid w:val="0"/>
          <w:spacing w:val="4"/>
          <w:kern w:val="0"/>
          <w:sz w:val="24"/>
        </w:rPr>
        <w:t>2）质量管理体系、环境管理体系和安全管理体系各过程的识别与管理；</w:t>
      </w:r>
    </w:p>
    <w:p w14:paraId="6A42B8A6">
      <w:pPr>
        <w:topLinePunct/>
        <w:adjustRightInd w:val="0"/>
        <w:snapToGrid w:val="0"/>
        <w:spacing w:line="480" w:lineRule="exact"/>
        <w:ind w:firstLine="496" w:firstLineChars="200"/>
        <w:rPr>
          <w:snapToGrid w:val="0"/>
          <w:spacing w:val="4"/>
          <w:kern w:val="0"/>
          <w:sz w:val="24"/>
        </w:rPr>
      </w:pPr>
      <w:r>
        <w:rPr>
          <w:snapToGrid w:val="0"/>
          <w:spacing w:val="4"/>
          <w:kern w:val="0"/>
          <w:sz w:val="24"/>
        </w:rPr>
        <w:t>3）质量管理体系、环境管理体系和安全管理体系的持续改进措施。</w:t>
      </w:r>
    </w:p>
    <w:p w14:paraId="73427CAA">
      <w:pPr>
        <w:topLinePunct/>
        <w:adjustRightInd w:val="0"/>
        <w:snapToGrid w:val="0"/>
        <w:spacing w:line="480" w:lineRule="exact"/>
        <w:ind w:firstLine="496" w:firstLineChars="200"/>
        <w:rPr>
          <w:snapToGrid w:val="0"/>
          <w:spacing w:val="4"/>
          <w:kern w:val="0"/>
          <w:sz w:val="24"/>
        </w:rPr>
      </w:pPr>
      <w:r>
        <w:rPr>
          <w:snapToGrid w:val="0"/>
          <w:spacing w:val="4"/>
          <w:kern w:val="0"/>
          <w:sz w:val="24"/>
        </w:rPr>
        <w:t>（6）分包工程开工前，专业监理工程师应审查承包人报送的分包单位资格报审表和分包单位有关资质资料，符合有关规定后，由总监理工程师予以签认。对分包单位资格应审核以下内容：</w:t>
      </w:r>
    </w:p>
    <w:p w14:paraId="6EF268D7">
      <w:pPr>
        <w:topLinePunct/>
        <w:adjustRightInd w:val="0"/>
        <w:snapToGrid w:val="0"/>
        <w:spacing w:line="480" w:lineRule="exact"/>
        <w:ind w:firstLine="496" w:firstLineChars="200"/>
        <w:rPr>
          <w:snapToGrid w:val="0"/>
          <w:spacing w:val="4"/>
          <w:kern w:val="0"/>
          <w:sz w:val="24"/>
        </w:rPr>
      </w:pPr>
      <w:r>
        <w:rPr>
          <w:snapToGrid w:val="0"/>
          <w:spacing w:val="4"/>
          <w:kern w:val="0"/>
          <w:sz w:val="24"/>
        </w:rPr>
        <w:t>1）分包单位的营业执照、企业资质等级证书、特殊行业施工许可证、国外（境外）企业在国内承包工程许可证；</w:t>
      </w:r>
    </w:p>
    <w:p w14:paraId="706A6A8C">
      <w:pPr>
        <w:topLinePunct/>
        <w:adjustRightInd w:val="0"/>
        <w:snapToGrid w:val="0"/>
        <w:spacing w:line="480" w:lineRule="exact"/>
        <w:ind w:firstLine="496" w:firstLineChars="200"/>
        <w:rPr>
          <w:snapToGrid w:val="0"/>
          <w:spacing w:val="4"/>
          <w:kern w:val="0"/>
          <w:sz w:val="24"/>
        </w:rPr>
      </w:pPr>
      <w:r>
        <w:rPr>
          <w:snapToGrid w:val="0"/>
          <w:spacing w:val="4"/>
          <w:kern w:val="0"/>
          <w:sz w:val="24"/>
        </w:rPr>
        <w:t>2）分包单位的业绩，尤其是类似工程施工的经验；</w:t>
      </w:r>
    </w:p>
    <w:p w14:paraId="5F016F38">
      <w:pPr>
        <w:topLinePunct/>
        <w:adjustRightInd w:val="0"/>
        <w:snapToGrid w:val="0"/>
        <w:spacing w:line="480" w:lineRule="exact"/>
        <w:ind w:firstLine="496" w:firstLineChars="200"/>
        <w:rPr>
          <w:snapToGrid w:val="0"/>
          <w:spacing w:val="4"/>
          <w:kern w:val="0"/>
          <w:sz w:val="24"/>
        </w:rPr>
      </w:pPr>
      <w:r>
        <w:rPr>
          <w:snapToGrid w:val="0"/>
          <w:spacing w:val="4"/>
          <w:kern w:val="0"/>
          <w:sz w:val="24"/>
        </w:rPr>
        <w:t>3）拟分包工程的内容和范围；</w:t>
      </w:r>
    </w:p>
    <w:p w14:paraId="1B4D1084">
      <w:pPr>
        <w:topLinePunct/>
        <w:adjustRightInd w:val="0"/>
        <w:snapToGrid w:val="0"/>
        <w:spacing w:line="480" w:lineRule="exact"/>
        <w:ind w:firstLine="496" w:firstLineChars="200"/>
        <w:rPr>
          <w:snapToGrid w:val="0"/>
          <w:spacing w:val="4"/>
          <w:kern w:val="0"/>
          <w:sz w:val="24"/>
        </w:rPr>
      </w:pPr>
      <w:r>
        <w:rPr>
          <w:snapToGrid w:val="0"/>
          <w:spacing w:val="4"/>
          <w:kern w:val="0"/>
          <w:sz w:val="24"/>
        </w:rPr>
        <w:t>4）专职管理人员和特种作业人员的资格证、上岗证。</w:t>
      </w:r>
    </w:p>
    <w:p w14:paraId="280D871C">
      <w:pPr>
        <w:topLinePunct/>
        <w:adjustRightInd w:val="0"/>
        <w:snapToGrid w:val="0"/>
        <w:spacing w:line="480" w:lineRule="exact"/>
        <w:ind w:firstLine="496" w:firstLineChars="200"/>
        <w:rPr>
          <w:snapToGrid w:val="0"/>
          <w:spacing w:val="4"/>
          <w:kern w:val="0"/>
          <w:sz w:val="24"/>
        </w:rPr>
      </w:pPr>
      <w:r>
        <w:rPr>
          <w:snapToGrid w:val="0"/>
          <w:spacing w:val="4"/>
          <w:kern w:val="0"/>
          <w:sz w:val="24"/>
        </w:rPr>
        <w:t>（7）专业监理工程师应按以下要求对承包人报送的测量放线控制方案成果及保护措施进行检查，符合要求时，专业监理工程师对承包人报送的施工测量资料予以签认：</w:t>
      </w:r>
    </w:p>
    <w:p w14:paraId="2D81A6F9">
      <w:pPr>
        <w:topLinePunct/>
        <w:adjustRightInd w:val="0"/>
        <w:snapToGrid w:val="0"/>
        <w:spacing w:line="480" w:lineRule="exact"/>
        <w:ind w:firstLine="496" w:firstLineChars="200"/>
        <w:rPr>
          <w:snapToGrid w:val="0"/>
          <w:spacing w:val="4"/>
          <w:kern w:val="0"/>
          <w:sz w:val="24"/>
        </w:rPr>
      </w:pPr>
      <w:r>
        <w:rPr>
          <w:snapToGrid w:val="0"/>
          <w:spacing w:val="4"/>
          <w:kern w:val="0"/>
          <w:sz w:val="24"/>
        </w:rPr>
        <w:t>1）检查承包人专职测量人员的岗位证书及测量设备检定证书；</w:t>
      </w:r>
    </w:p>
    <w:p w14:paraId="4F049DCC">
      <w:pPr>
        <w:topLinePunct/>
        <w:adjustRightInd w:val="0"/>
        <w:snapToGrid w:val="0"/>
        <w:spacing w:line="480" w:lineRule="exact"/>
        <w:ind w:firstLine="496" w:firstLineChars="200"/>
        <w:rPr>
          <w:snapToGrid w:val="0"/>
          <w:spacing w:val="4"/>
          <w:kern w:val="0"/>
          <w:sz w:val="24"/>
        </w:rPr>
      </w:pPr>
      <w:r>
        <w:rPr>
          <w:snapToGrid w:val="0"/>
          <w:spacing w:val="4"/>
          <w:kern w:val="0"/>
          <w:sz w:val="24"/>
        </w:rPr>
        <w:t>2）审核承包人提交的控制测量方案；</w:t>
      </w:r>
    </w:p>
    <w:p w14:paraId="25FB59C0">
      <w:pPr>
        <w:topLinePunct/>
        <w:adjustRightInd w:val="0"/>
        <w:snapToGrid w:val="0"/>
        <w:spacing w:line="480" w:lineRule="exact"/>
        <w:ind w:firstLine="496" w:firstLineChars="200"/>
        <w:rPr>
          <w:snapToGrid w:val="0"/>
          <w:spacing w:val="4"/>
          <w:kern w:val="0"/>
          <w:sz w:val="24"/>
        </w:rPr>
      </w:pPr>
      <w:r>
        <w:rPr>
          <w:snapToGrid w:val="0"/>
          <w:spacing w:val="4"/>
          <w:kern w:val="0"/>
          <w:sz w:val="24"/>
        </w:rPr>
        <w:t>3）复核控制桩的校核成果、控制桩的保护措施以及平面控制网、高程控制网和临时水准点的测量成果。</w:t>
      </w:r>
    </w:p>
    <w:p w14:paraId="00CC301E">
      <w:pPr>
        <w:topLinePunct/>
        <w:adjustRightInd w:val="0"/>
        <w:snapToGrid w:val="0"/>
        <w:spacing w:line="480" w:lineRule="exact"/>
        <w:ind w:firstLine="496" w:firstLineChars="200"/>
        <w:rPr>
          <w:snapToGrid w:val="0"/>
          <w:spacing w:val="4"/>
          <w:kern w:val="0"/>
          <w:sz w:val="24"/>
        </w:rPr>
      </w:pPr>
      <w:r>
        <w:rPr>
          <w:snapToGrid w:val="0"/>
          <w:spacing w:val="4"/>
          <w:kern w:val="0"/>
          <w:sz w:val="24"/>
        </w:rPr>
        <w:t>（8）专业监理工程师应审查承包人报送的工程开工报审表及相关资料，具备以下开工条件时，由总监理工程师签发，并报委托人：</w:t>
      </w:r>
    </w:p>
    <w:p w14:paraId="29B62ED3">
      <w:pPr>
        <w:topLinePunct/>
        <w:adjustRightInd w:val="0"/>
        <w:snapToGrid w:val="0"/>
        <w:spacing w:line="480" w:lineRule="exact"/>
        <w:ind w:firstLine="496" w:firstLineChars="200"/>
        <w:rPr>
          <w:snapToGrid w:val="0"/>
          <w:spacing w:val="4"/>
          <w:kern w:val="0"/>
          <w:sz w:val="24"/>
        </w:rPr>
      </w:pPr>
      <w:r>
        <w:rPr>
          <w:snapToGrid w:val="0"/>
          <w:spacing w:val="4"/>
          <w:kern w:val="0"/>
          <w:sz w:val="24"/>
        </w:rPr>
        <w:t>1）施工许可证已获政府主管部门批准；</w:t>
      </w:r>
    </w:p>
    <w:p w14:paraId="0B0D8AD7">
      <w:pPr>
        <w:topLinePunct/>
        <w:adjustRightInd w:val="0"/>
        <w:snapToGrid w:val="0"/>
        <w:spacing w:line="480" w:lineRule="exact"/>
        <w:ind w:firstLine="496" w:firstLineChars="200"/>
        <w:rPr>
          <w:snapToGrid w:val="0"/>
          <w:spacing w:val="4"/>
          <w:kern w:val="0"/>
          <w:sz w:val="24"/>
        </w:rPr>
      </w:pPr>
      <w:r>
        <w:rPr>
          <w:snapToGrid w:val="0"/>
          <w:spacing w:val="4"/>
          <w:kern w:val="0"/>
          <w:sz w:val="24"/>
        </w:rPr>
        <w:t>2）征地拆迁工作能满足工程进度的需要；</w:t>
      </w:r>
    </w:p>
    <w:p w14:paraId="0DBA12E3">
      <w:pPr>
        <w:topLinePunct/>
        <w:adjustRightInd w:val="0"/>
        <w:snapToGrid w:val="0"/>
        <w:spacing w:line="480" w:lineRule="exact"/>
        <w:ind w:firstLine="496" w:firstLineChars="200"/>
        <w:rPr>
          <w:snapToGrid w:val="0"/>
          <w:spacing w:val="4"/>
          <w:kern w:val="0"/>
          <w:sz w:val="24"/>
        </w:rPr>
      </w:pPr>
      <w:r>
        <w:rPr>
          <w:snapToGrid w:val="0"/>
          <w:spacing w:val="4"/>
          <w:kern w:val="0"/>
          <w:sz w:val="24"/>
        </w:rPr>
        <w:t>3）施工组织设计已获总监理工程师批准；</w:t>
      </w:r>
    </w:p>
    <w:p w14:paraId="353DD73E">
      <w:pPr>
        <w:topLinePunct/>
        <w:adjustRightInd w:val="0"/>
        <w:snapToGrid w:val="0"/>
        <w:spacing w:line="480" w:lineRule="exact"/>
        <w:ind w:firstLine="496" w:firstLineChars="200"/>
        <w:rPr>
          <w:snapToGrid w:val="0"/>
          <w:spacing w:val="4"/>
          <w:kern w:val="0"/>
          <w:sz w:val="24"/>
        </w:rPr>
      </w:pPr>
      <w:r>
        <w:rPr>
          <w:snapToGrid w:val="0"/>
          <w:spacing w:val="4"/>
          <w:kern w:val="0"/>
          <w:sz w:val="24"/>
        </w:rPr>
        <w:t>4）承包人现场管理人员已到位，机具、施工人员已进场，主要工程材料已落实；</w:t>
      </w:r>
    </w:p>
    <w:p w14:paraId="6FD4646A">
      <w:pPr>
        <w:topLinePunct/>
        <w:adjustRightInd w:val="0"/>
        <w:snapToGrid w:val="0"/>
        <w:spacing w:line="480" w:lineRule="exact"/>
        <w:ind w:firstLine="496" w:firstLineChars="200"/>
        <w:rPr>
          <w:snapToGrid w:val="0"/>
          <w:spacing w:val="4"/>
          <w:kern w:val="0"/>
          <w:sz w:val="24"/>
        </w:rPr>
      </w:pPr>
      <w:r>
        <w:rPr>
          <w:snapToGrid w:val="0"/>
          <w:spacing w:val="4"/>
          <w:kern w:val="0"/>
          <w:sz w:val="24"/>
        </w:rPr>
        <w:t>5）进场道路及水、电、通讯等已满足开工要求；</w:t>
      </w:r>
    </w:p>
    <w:p w14:paraId="083F7D40">
      <w:pPr>
        <w:topLinePunct/>
        <w:adjustRightInd w:val="0"/>
        <w:snapToGrid w:val="0"/>
        <w:spacing w:line="480" w:lineRule="exact"/>
        <w:ind w:firstLine="496" w:firstLineChars="200"/>
        <w:rPr>
          <w:snapToGrid w:val="0"/>
          <w:spacing w:val="4"/>
          <w:kern w:val="0"/>
          <w:sz w:val="24"/>
        </w:rPr>
      </w:pPr>
      <w:r>
        <w:rPr>
          <w:snapToGrid w:val="0"/>
          <w:spacing w:val="4"/>
          <w:kern w:val="0"/>
          <w:sz w:val="24"/>
        </w:rPr>
        <w:t>6）施工测量、技术交底、作业指导书等各项技术准备工作已经完成。</w:t>
      </w:r>
    </w:p>
    <w:p w14:paraId="7BEBC49B">
      <w:pPr>
        <w:topLinePunct/>
        <w:adjustRightInd w:val="0"/>
        <w:snapToGrid w:val="0"/>
        <w:spacing w:line="480" w:lineRule="exact"/>
        <w:ind w:firstLine="496" w:firstLineChars="200"/>
        <w:rPr>
          <w:snapToGrid w:val="0"/>
          <w:spacing w:val="4"/>
          <w:kern w:val="0"/>
          <w:sz w:val="24"/>
        </w:rPr>
      </w:pPr>
      <w:r>
        <w:rPr>
          <w:snapToGrid w:val="0"/>
          <w:spacing w:val="4"/>
          <w:kern w:val="0"/>
          <w:sz w:val="24"/>
        </w:rPr>
        <w:t>（9）工程项目开工前，监理人员应参加由委托人主持召开的第一次工地会议。工地会议应包括以下主要内容：</w:t>
      </w:r>
    </w:p>
    <w:p w14:paraId="4ACF8840">
      <w:pPr>
        <w:topLinePunct/>
        <w:adjustRightInd w:val="0"/>
        <w:snapToGrid w:val="0"/>
        <w:spacing w:line="480" w:lineRule="exact"/>
        <w:ind w:firstLine="496" w:firstLineChars="200"/>
        <w:rPr>
          <w:snapToGrid w:val="0"/>
          <w:spacing w:val="4"/>
          <w:kern w:val="0"/>
          <w:sz w:val="24"/>
        </w:rPr>
      </w:pPr>
      <w:r>
        <w:rPr>
          <w:snapToGrid w:val="0"/>
          <w:spacing w:val="4"/>
          <w:kern w:val="0"/>
          <w:sz w:val="24"/>
        </w:rPr>
        <w:t>1）委托人、承包人和监理人分别介绍各自派驻现场的组织机构、人员及其分工；</w:t>
      </w:r>
    </w:p>
    <w:p w14:paraId="765EDDFE">
      <w:pPr>
        <w:topLinePunct/>
        <w:adjustRightInd w:val="0"/>
        <w:snapToGrid w:val="0"/>
        <w:spacing w:line="480" w:lineRule="exact"/>
        <w:ind w:firstLine="496" w:firstLineChars="200"/>
        <w:rPr>
          <w:snapToGrid w:val="0"/>
          <w:spacing w:val="4"/>
          <w:kern w:val="0"/>
          <w:sz w:val="24"/>
        </w:rPr>
      </w:pPr>
      <w:r>
        <w:rPr>
          <w:snapToGrid w:val="0"/>
          <w:spacing w:val="4"/>
          <w:kern w:val="0"/>
          <w:sz w:val="24"/>
        </w:rPr>
        <w:t>2）委托人根据委托监理合同宣布对总监理工程师的授权；</w:t>
      </w:r>
    </w:p>
    <w:p w14:paraId="257AAAAB">
      <w:pPr>
        <w:topLinePunct/>
        <w:adjustRightInd w:val="0"/>
        <w:snapToGrid w:val="0"/>
        <w:spacing w:line="480" w:lineRule="exact"/>
        <w:ind w:firstLine="496" w:firstLineChars="200"/>
        <w:rPr>
          <w:snapToGrid w:val="0"/>
          <w:spacing w:val="4"/>
          <w:kern w:val="0"/>
          <w:sz w:val="24"/>
        </w:rPr>
      </w:pPr>
      <w:r>
        <w:rPr>
          <w:snapToGrid w:val="0"/>
          <w:spacing w:val="4"/>
          <w:kern w:val="0"/>
          <w:sz w:val="24"/>
        </w:rPr>
        <w:t>3）委托人介绍工程开工准备情况；</w:t>
      </w:r>
    </w:p>
    <w:p w14:paraId="560E8955">
      <w:pPr>
        <w:topLinePunct/>
        <w:adjustRightInd w:val="0"/>
        <w:snapToGrid w:val="0"/>
        <w:spacing w:line="480" w:lineRule="exact"/>
        <w:ind w:firstLine="496" w:firstLineChars="200"/>
        <w:rPr>
          <w:snapToGrid w:val="0"/>
          <w:spacing w:val="4"/>
          <w:kern w:val="0"/>
          <w:sz w:val="24"/>
        </w:rPr>
      </w:pPr>
      <w:r>
        <w:rPr>
          <w:snapToGrid w:val="0"/>
          <w:spacing w:val="4"/>
          <w:kern w:val="0"/>
          <w:sz w:val="24"/>
        </w:rPr>
        <w:t>4）承包人介绍施工准备情况；</w:t>
      </w:r>
    </w:p>
    <w:p w14:paraId="326F0A51">
      <w:pPr>
        <w:topLinePunct/>
        <w:adjustRightInd w:val="0"/>
        <w:snapToGrid w:val="0"/>
        <w:spacing w:line="480" w:lineRule="exact"/>
        <w:ind w:firstLine="496" w:firstLineChars="200"/>
        <w:rPr>
          <w:snapToGrid w:val="0"/>
          <w:spacing w:val="4"/>
          <w:kern w:val="0"/>
          <w:sz w:val="24"/>
        </w:rPr>
      </w:pPr>
      <w:r>
        <w:rPr>
          <w:snapToGrid w:val="0"/>
          <w:spacing w:val="4"/>
          <w:kern w:val="0"/>
          <w:sz w:val="24"/>
        </w:rPr>
        <w:t>5）委托人和总监理工程师对施工准备情况提出意见和要求；</w:t>
      </w:r>
    </w:p>
    <w:p w14:paraId="41B5D091">
      <w:pPr>
        <w:topLinePunct/>
        <w:adjustRightInd w:val="0"/>
        <w:snapToGrid w:val="0"/>
        <w:spacing w:line="480" w:lineRule="exact"/>
        <w:ind w:firstLine="496" w:firstLineChars="200"/>
        <w:rPr>
          <w:snapToGrid w:val="0"/>
          <w:spacing w:val="4"/>
          <w:kern w:val="0"/>
          <w:sz w:val="24"/>
        </w:rPr>
      </w:pPr>
      <w:r>
        <w:rPr>
          <w:snapToGrid w:val="0"/>
          <w:spacing w:val="4"/>
          <w:kern w:val="0"/>
          <w:sz w:val="24"/>
        </w:rPr>
        <w:t>6）总监理工程师介绍监理规划的主要内容；</w:t>
      </w:r>
    </w:p>
    <w:p w14:paraId="00ACA096">
      <w:pPr>
        <w:topLinePunct/>
        <w:adjustRightInd w:val="0"/>
        <w:snapToGrid w:val="0"/>
        <w:spacing w:line="480" w:lineRule="exact"/>
        <w:ind w:firstLine="496" w:firstLineChars="200"/>
        <w:rPr>
          <w:snapToGrid w:val="0"/>
          <w:spacing w:val="4"/>
          <w:kern w:val="0"/>
          <w:sz w:val="24"/>
        </w:rPr>
      </w:pPr>
      <w:r>
        <w:rPr>
          <w:snapToGrid w:val="0"/>
          <w:spacing w:val="4"/>
          <w:kern w:val="0"/>
          <w:sz w:val="24"/>
        </w:rPr>
        <w:t>7）研究确定各方在施工过程中参加工地例会的主要人员，召开工地例会周期、地点及主要议题。</w:t>
      </w:r>
    </w:p>
    <w:p w14:paraId="3E1E0841">
      <w:pPr>
        <w:topLinePunct/>
        <w:adjustRightInd w:val="0"/>
        <w:snapToGrid w:val="0"/>
        <w:spacing w:line="480" w:lineRule="exact"/>
        <w:ind w:firstLine="496" w:firstLineChars="200"/>
        <w:rPr>
          <w:snapToGrid w:val="0"/>
          <w:spacing w:val="4"/>
          <w:kern w:val="0"/>
          <w:sz w:val="24"/>
        </w:rPr>
      </w:pPr>
      <w:r>
        <w:rPr>
          <w:snapToGrid w:val="0"/>
          <w:spacing w:val="4"/>
          <w:kern w:val="0"/>
          <w:sz w:val="24"/>
        </w:rPr>
        <w:t>第一次工地会议纪要应由项目监理机构负责起草，并经与会各方代表会签。</w:t>
      </w:r>
    </w:p>
    <w:p w14:paraId="513FF3A6">
      <w:pPr>
        <w:topLinePunct/>
        <w:adjustRightInd w:val="0"/>
        <w:snapToGrid w:val="0"/>
        <w:spacing w:line="480" w:lineRule="exact"/>
        <w:ind w:firstLine="496" w:firstLineChars="200"/>
        <w:rPr>
          <w:snapToGrid w:val="0"/>
          <w:spacing w:val="4"/>
          <w:kern w:val="0"/>
          <w:sz w:val="24"/>
        </w:rPr>
      </w:pPr>
      <w:r>
        <w:rPr>
          <w:snapToGrid w:val="0"/>
          <w:spacing w:val="4"/>
          <w:kern w:val="0"/>
          <w:sz w:val="24"/>
        </w:rPr>
        <w:t>（10）制定监理规划</w:t>
      </w:r>
    </w:p>
    <w:p w14:paraId="60765DBF">
      <w:pPr>
        <w:topLinePunct/>
        <w:adjustRightInd w:val="0"/>
        <w:snapToGrid w:val="0"/>
        <w:spacing w:line="480" w:lineRule="exact"/>
        <w:ind w:firstLine="496" w:firstLineChars="200"/>
        <w:rPr>
          <w:snapToGrid w:val="0"/>
          <w:spacing w:val="4"/>
          <w:kern w:val="0"/>
          <w:sz w:val="24"/>
        </w:rPr>
      </w:pPr>
      <w:r>
        <w:rPr>
          <w:snapToGrid w:val="0"/>
          <w:spacing w:val="4"/>
          <w:kern w:val="0"/>
          <w:sz w:val="24"/>
        </w:rPr>
        <w:t>1）监理规划的编制应针对项目的实际情况，明确项目监理机构的工作目标，确定具体的监理工作制度、程序、方法和措施，并应具有可操作性。</w:t>
      </w:r>
    </w:p>
    <w:p w14:paraId="02B57331">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2）监理规划编制的程序与依据应符合下列规定：</w:t>
      </w:r>
    </w:p>
    <w:p w14:paraId="04177644">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监理规划应在签订委托监理合同及收到设计文件后开始编制，完成后必须经监理人技术负责人审核批准，并应在召开第一次工地会议前报送委托人；</w:t>
      </w:r>
    </w:p>
    <w:p w14:paraId="40063102">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监理规划应由总监理工程师主持、专业监理工程师参加编制；</w:t>
      </w:r>
    </w:p>
    <w:p w14:paraId="4D7D6B8E">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编制监理规划应依据为以下各项：</w:t>
      </w:r>
    </w:p>
    <w:p w14:paraId="305892A8">
      <w:pPr>
        <w:topLinePunct/>
        <w:adjustRightInd w:val="0"/>
        <w:snapToGrid w:val="0"/>
        <w:spacing w:line="480" w:lineRule="exact"/>
        <w:ind w:firstLine="620" w:firstLineChars="250"/>
        <w:rPr>
          <w:snapToGrid w:val="0"/>
          <w:spacing w:val="4"/>
          <w:kern w:val="0"/>
          <w:sz w:val="24"/>
        </w:rPr>
      </w:pPr>
      <w:r>
        <w:rPr>
          <w:snapToGrid w:val="0"/>
          <w:spacing w:val="4"/>
          <w:kern w:val="0"/>
          <w:sz w:val="24"/>
        </w:rPr>
        <w:t>a. 建设工程的相关法律、法规及项目审批文件；</w:t>
      </w:r>
    </w:p>
    <w:p w14:paraId="4A86933A">
      <w:pPr>
        <w:topLinePunct/>
        <w:adjustRightInd w:val="0"/>
        <w:snapToGrid w:val="0"/>
        <w:spacing w:line="480" w:lineRule="exact"/>
        <w:ind w:firstLine="620" w:firstLineChars="250"/>
        <w:rPr>
          <w:snapToGrid w:val="0"/>
          <w:spacing w:val="4"/>
          <w:kern w:val="0"/>
          <w:sz w:val="24"/>
        </w:rPr>
      </w:pPr>
      <w:r>
        <w:rPr>
          <w:snapToGrid w:val="0"/>
          <w:spacing w:val="4"/>
          <w:kern w:val="0"/>
          <w:sz w:val="24"/>
        </w:rPr>
        <w:t>b. 与建设工程项目有关的标准、设计文件、技术资料；</w:t>
      </w:r>
    </w:p>
    <w:p w14:paraId="54323BEE">
      <w:pPr>
        <w:topLinePunct/>
        <w:adjustRightInd w:val="0"/>
        <w:snapToGrid w:val="0"/>
        <w:spacing w:line="480" w:lineRule="exact"/>
        <w:ind w:firstLine="620" w:firstLineChars="250"/>
        <w:rPr>
          <w:snapToGrid w:val="0"/>
          <w:spacing w:val="4"/>
          <w:kern w:val="0"/>
          <w:sz w:val="24"/>
        </w:rPr>
      </w:pPr>
      <w:r>
        <w:rPr>
          <w:snapToGrid w:val="0"/>
          <w:spacing w:val="4"/>
          <w:kern w:val="0"/>
          <w:sz w:val="24"/>
        </w:rPr>
        <w:t>c. 监理大纲、委托监理合同文件以及与建设工程项目相关的合同文件；</w:t>
      </w:r>
    </w:p>
    <w:p w14:paraId="2EF17608">
      <w:pPr>
        <w:topLinePunct/>
        <w:adjustRightInd w:val="0"/>
        <w:snapToGrid w:val="0"/>
        <w:spacing w:line="480" w:lineRule="exact"/>
        <w:ind w:firstLine="620" w:firstLineChars="250"/>
        <w:rPr>
          <w:snapToGrid w:val="0"/>
          <w:spacing w:val="4"/>
          <w:kern w:val="0"/>
          <w:sz w:val="24"/>
        </w:rPr>
      </w:pPr>
      <w:r>
        <w:rPr>
          <w:snapToGrid w:val="0"/>
          <w:spacing w:val="4"/>
          <w:kern w:val="0"/>
          <w:sz w:val="24"/>
        </w:rPr>
        <w:t>d. 委托人制定的有关本合同工程建设的管理制度。</w:t>
      </w:r>
    </w:p>
    <w:p w14:paraId="326B9F08">
      <w:pPr>
        <w:topLinePunct/>
        <w:adjustRightInd w:val="0"/>
        <w:snapToGrid w:val="0"/>
        <w:spacing w:line="480" w:lineRule="exact"/>
        <w:ind w:firstLine="496" w:firstLineChars="200"/>
        <w:rPr>
          <w:snapToGrid w:val="0"/>
          <w:spacing w:val="4"/>
          <w:kern w:val="0"/>
          <w:sz w:val="24"/>
        </w:rPr>
      </w:pPr>
      <w:r>
        <w:rPr>
          <w:snapToGrid w:val="0"/>
          <w:spacing w:val="4"/>
          <w:kern w:val="0"/>
          <w:sz w:val="24"/>
        </w:rPr>
        <w:t>3）监理规划应包括以下主要内容：</w:t>
      </w:r>
    </w:p>
    <w:p w14:paraId="248AE15A">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工程项目概况；</w:t>
      </w:r>
    </w:p>
    <w:p w14:paraId="058696BA">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监理工作范围；</w:t>
      </w:r>
    </w:p>
    <w:p w14:paraId="445422D7">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监理工作内容；</w:t>
      </w:r>
    </w:p>
    <w:p w14:paraId="5078B4D4">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监理工作目标；</w:t>
      </w:r>
    </w:p>
    <w:p w14:paraId="09136068">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⑤</w:t>
      </w:r>
      <w:r>
        <w:rPr>
          <w:snapToGrid w:val="0"/>
          <w:spacing w:val="4"/>
          <w:kern w:val="0"/>
          <w:sz w:val="24"/>
        </w:rPr>
        <w:t xml:space="preserve"> 监理工作依据；</w:t>
      </w:r>
    </w:p>
    <w:p w14:paraId="528D75EB">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⑥</w:t>
      </w:r>
      <w:r>
        <w:rPr>
          <w:snapToGrid w:val="0"/>
          <w:spacing w:val="4"/>
          <w:kern w:val="0"/>
          <w:sz w:val="24"/>
        </w:rPr>
        <w:t xml:space="preserve"> 项目监理机构的组织形式；</w:t>
      </w:r>
    </w:p>
    <w:p w14:paraId="23CAE8D9">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⑦</w:t>
      </w:r>
      <w:r>
        <w:rPr>
          <w:snapToGrid w:val="0"/>
          <w:spacing w:val="4"/>
          <w:kern w:val="0"/>
          <w:sz w:val="24"/>
        </w:rPr>
        <w:t xml:space="preserve"> 项目监理机构的人员配备计划；</w:t>
      </w:r>
    </w:p>
    <w:p w14:paraId="65B3018F">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⑧</w:t>
      </w:r>
      <w:r>
        <w:rPr>
          <w:snapToGrid w:val="0"/>
          <w:spacing w:val="4"/>
          <w:kern w:val="0"/>
          <w:sz w:val="24"/>
        </w:rPr>
        <w:t xml:space="preserve"> 项目监理机构的人员岗位职责；</w:t>
      </w:r>
    </w:p>
    <w:p w14:paraId="4D62F3F7">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⑨</w:t>
      </w:r>
      <w:r>
        <w:rPr>
          <w:snapToGrid w:val="0"/>
          <w:spacing w:val="4"/>
          <w:kern w:val="0"/>
          <w:sz w:val="24"/>
        </w:rPr>
        <w:t xml:space="preserve"> 监理工作程序；</w:t>
      </w:r>
    </w:p>
    <w:p w14:paraId="0C29BC14">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⑩</w:t>
      </w:r>
      <w:r>
        <w:rPr>
          <w:snapToGrid w:val="0"/>
          <w:spacing w:val="4"/>
          <w:kern w:val="0"/>
          <w:sz w:val="24"/>
        </w:rPr>
        <w:t xml:space="preserve"> 监理工作方法及措施；</w:t>
      </w:r>
    </w:p>
    <w:p w14:paraId="706689D7">
      <w:pPr>
        <w:topLinePunct/>
        <w:adjustRightInd w:val="0"/>
        <w:snapToGrid w:val="0"/>
        <w:spacing w:line="480" w:lineRule="exact"/>
        <w:ind w:firstLine="558" w:firstLineChars="225"/>
        <w:rPr>
          <w:snapToGrid w:val="0"/>
          <w:spacing w:val="4"/>
          <w:kern w:val="0"/>
          <w:sz w:val="24"/>
        </w:rPr>
      </w:pPr>
      <w:r>
        <w:rPr>
          <w:rFonts w:hint="eastAsia"/>
          <w:snapToGrid w:val="0"/>
          <w:spacing w:val="4"/>
          <w:kern w:val="0"/>
          <w:sz w:val="24"/>
        </w:rPr>
        <w:fldChar w:fldCharType="begin"/>
      </w:r>
      <w:r>
        <w:rPr>
          <w:rFonts w:hint="eastAsia"/>
          <w:snapToGrid w:val="0"/>
          <w:spacing w:val="4"/>
          <w:kern w:val="0"/>
          <w:sz w:val="24"/>
        </w:rPr>
        <w:instrText xml:space="preserve"> eq \o\ac(</w:instrText>
      </w:r>
      <w:r>
        <w:rPr>
          <w:rFonts w:hint="eastAsia"/>
          <w:snapToGrid w:val="0"/>
          <w:spacing w:val="4"/>
          <w:kern w:val="0"/>
          <w:position w:val="-4"/>
          <w:sz w:val="36"/>
        </w:rPr>
        <w:instrText xml:space="preserve">○</w:instrText>
      </w:r>
      <w:r>
        <w:rPr>
          <w:rFonts w:hint="eastAsia"/>
          <w:snapToGrid w:val="0"/>
          <w:spacing w:val="4"/>
          <w:kern w:val="0"/>
          <w:sz w:val="24"/>
        </w:rPr>
        <w:instrText xml:space="preserve">,11)</w:instrText>
      </w:r>
      <w:r>
        <w:rPr>
          <w:rFonts w:hint="eastAsia"/>
          <w:snapToGrid w:val="0"/>
          <w:spacing w:val="4"/>
          <w:kern w:val="0"/>
          <w:sz w:val="24"/>
        </w:rPr>
        <w:fldChar w:fldCharType="end"/>
      </w:r>
      <w:r>
        <w:rPr>
          <w:snapToGrid w:val="0"/>
          <w:spacing w:val="4"/>
          <w:kern w:val="0"/>
          <w:sz w:val="24"/>
        </w:rPr>
        <w:t xml:space="preserve"> 监理工作制度；</w:t>
      </w:r>
    </w:p>
    <w:p w14:paraId="7D1FEC9C">
      <w:pPr>
        <w:topLinePunct/>
        <w:adjustRightInd w:val="0"/>
        <w:snapToGrid w:val="0"/>
        <w:spacing w:line="480" w:lineRule="exact"/>
        <w:ind w:firstLine="558" w:firstLineChars="225"/>
        <w:rPr>
          <w:snapToGrid w:val="0"/>
          <w:spacing w:val="4"/>
          <w:kern w:val="0"/>
          <w:sz w:val="24"/>
        </w:rPr>
      </w:pPr>
      <w:r>
        <w:rPr>
          <w:rFonts w:hint="eastAsia"/>
          <w:snapToGrid w:val="0"/>
          <w:spacing w:val="4"/>
          <w:kern w:val="0"/>
          <w:sz w:val="24"/>
        </w:rPr>
        <w:fldChar w:fldCharType="begin"/>
      </w:r>
      <w:r>
        <w:rPr>
          <w:rFonts w:hint="eastAsia"/>
          <w:snapToGrid w:val="0"/>
          <w:spacing w:val="4"/>
          <w:kern w:val="0"/>
          <w:sz w:val="24"/>
        </w:rPr>
        <w:instrText xml:space="preserve"> eq \o\ac(</w:instrText>
      </w:r>
      <w:r>
        <w:rPr>
          <w:rFonts w:hint="eastAsia"/>
          <w:snapToGrid w:val="0"/>
          <w:spacing w:val="4"/>
          <w:kern w:val="0"/>
          <w:position w:val="-4"/>
          <w:sz w:val="36"/>
        </w:rPr>
        <w:instrText xml:space="preserve">○</w:instrText>
      </w:r>
      <w:r>
        <w:rPr>
          <w:rFonts w:hint="eastAsia"/>
          <w:snapToGrid w:val="0"/>
          <w:spacing w:val="4"/>
          <w:kern w:val="0"/>
          <w:sz w:val="24"/>
        </w:rPr>
        <w:instrText xml:space="preserve">,12)</w:instrText>
      </w:r>
      <w:r>
        <w:rPr>
          <w:rFonts w:hint="eastAsia"/>
          <w:snapToGrid w:val="0"/>
          <w:spacing w:val="4"/>
          <w:kern w:val="0"/>
          <w:sz w:val="24"/>
        </w:rPr>
        <w:fldChar w:fldCharType="end"/>
      </w:r>
      <w:r>
        <w:rPr>
          <w:snapToGrid w:val="0"/>
          <w:spacing w:val="4"/>
          <w:kern w:val="0"/>
          <w:sz w:val="24"/>
        </w:rPr>
        <w:t xml:space="preserve"> 监理设施。</w:t>
      </w:r>
    </w:p>
    <w:p w14:paraId="779B35A2">
      <w:pPr>
        <w:topLinePunct/>
        <w:adjustRightInd w:val="0"/>
        <w:snapToGrid w:val="0"/>
        <w:spacing w:line="480" w:lineRule="exact"/>
        <w:ind w:firstLine="496" w:firstLineChars="200"/>
        <w:rPr>
          <w:snapToGrid w:val="0"/>
          <w:spacing w:val="4"/>
          <w:kern w:val="0"/>
          <w:sz w:val="24"/>
        </w:rPr>
      </w:pPr>
      <w:r>
        <w:rPr>
          <w:snapToGrid w:val="0"/>
          <w:spacing w:val="4"/>
          <w:kern w:val="0"/>
          <w:sz w:val="24"/>
        </w:rPr>
        <w:t>4）在监理工作实施过程中，如实际情况或条件发生重大变化而需要调整监理规划时，应由总监理工程师组织专业监理工程师研究修改，按原报审程序经过批准后报委托人。</w:t>
      </w:r>
    </w:p>
    <w:p w14:paraId="1FD9FC10">
      <w:pPr>
        <w:topLinePunct/>
        <w:adjustRightInd w:val="0"/>
        <w:snapToGrid w:val="0"/>
        <w:spacing w:line="480" w:lineRule="exact"/>
        <w:ind w:firstLine="496" w:firstLineChars="200"/>
        <w:rPr>
          <w:snapToGrid w:val="0"/>
          <w:spacing w:val="4"/>
          <w:kern w:val="0"/>
          <w:sz w:val="24"/>
        </w:rPr>
      </w:pPr>
      <w:r>
        <w:rPr>
          <w:snapToGrid w:val="0"/>
          <w:spacing w:val="4"/>
          <w:kern w:val="0"/>
          <w:sz w:val="24"/>
        </w:rPr>
        <w:t>（11）制定监理实施细则</w:t>
      </w:r>
    </w:p>
    <w:p w14:paraId="792961E1">
      <w:pPr>
        <w:topLinePunct/>
        <w:adjustRightInd w:val="0"/>
        <w:snapToGrid w:val="0"/>
        <w:spacing w:line="480" w:lineRule="exact"/>
        <w:ind w:firstLine="496" w:firstLineChars="200"/>
        <w:rPr>
          <w:snapToGrid w:val="0"/>
          <w:spacing w:val="4"/>
          <w:kern w:val="0"/>
          <w:sz w:val="24"/>
        </w:rPr>
      </w:pPr>
      <w:r>
        <w:rPr>
          <w:snapToGrid w:val="0"/>
          <w:spacing w:val="4"/>
          <w:kern w:val="0"/>
          <w:sz w:val="24"/>
        </w:rPr>
        <w:t>1）项目监理机构应编制监理实施细则。监理实施细则应符合监理规划的要求，并应结合工程项目的专业特点，做到详细具体、具有可操作性。</w:t>
      </w:r>
    </w:p>
    <w:p w14:paraId="5859D2BB">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2）监理实施细则的编制程序与依据应符合下列规定：</w:t>
      </w:r>
    </w:p>
    <w:p w14:paraId="2500DBCF">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监理实施细则应在相应工程施工开始前编制完成，并必须经总监理工程师批准；</w:t>
      </w:r>
    </w:p>
    <w:p w14:paraId="6053833C">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监理实施细则应由专业监理工程师编制；</w:t>
      </w:r>
    </w:p>
    <w:p w14:paraId="2578A8B6">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编制监理实施细则的依据为以下各项：</w:t>
      </w:r>
    </w:p>
    <w:p w14:paraId="7D74E326">
      <w:pPr>
        <w:topLinePunct/>
        <w:adjustRightInd w:val="0"/>
        <w:snapToGrid w:val="0"/>
        <w:spacing w:line="480" w:lineRule="exact"/>
        <w:ind w:firstLine="620" w:firstLineChars="250"/>
        <w:rPr>
          <w:snapToGrid w:val="0"/>
          <w:spacing w:val="4"/>
          <w:kern w:val="0"/>
          <w:sz w:val="24"/>
        </w:rPr>
      </w:pPr>
      <w:r>
        <w:rPr>
          <w:snapToGrid w:val="0"/>
          <w:spacing w:val="4"/>
          <w:kern w:val="0"/>
          <w:sz w:val="24"/>
        </w:rPr>
        <w:t>a. 已批准的监理规划；</w:t>
      </w:r>
    </w:p>
    <w:p w14:paraId="09255138">
      <w:pPr>
        <w:topLinePunct/>
        <w:adjustRightInd w:val="0"/>
        <w:snapToGrid w:val="0"/>
        <w:spacing w:line="480" w:lineRule="exact"/>
        <w:ind w:firstLine="620" w:firstLineChars="250"/>
        <w:rPr>
          <w:snapToGrid w:val="0"/>
          <w:spacing w:val="4"/>
          <w:kern w:val="0"/>
          <w:sz w:val="24"/>
        </w:rPr>
      </w:pPr>
      <w:r>
        <w:rPr>
          <w:snapToGrid w:val="0"/>
          <w:spacing w:val="4"/>
          <w:kern w:val="0"/>
          <w:sz w:val="24"/>
        </w:rPr>
        <w:t>b. 与专业工程相关的标准、设计文件和技术资料；</w:t>
      </w:r>
    </w:p>
    <w:p w14:paraId="39CC612E">
      <w:pPr>
        <w:topLinePunct/>
        <w:adjustRightInd w:val="0"/>
        <w:snapToGrid w:val="0"/>
        <w:spacing w:line="480" w:lineRule="exact"/>
        <w:ind w:firstLine="620" w:firstLineChars="250"/>
        <w:rPr>
          <w:snapToGrid w:val="0"/>
          <w:spacing w:val="4"/>
          <w:kern w:val="0"/>
          <w:sz w:val="24"/>
        </w:rPr>
      </w:pPr>
      <w:r>
        <w:rPr>
          <w:snapToGrid w:val="0"/>
          <w:spacing w:val="4"/>
          <w:kern w:val="0"/>
          <w:sz w:val="24"/>
        </w:rPr>
        <w:t>c. 施工组织设计；</w:t>
      </w:r>
    </w:p>
    <w:p w14:paraId="32A5EEF3">
      <w:pPr>
        <w:topLinePunct/>
        <w:adjustRightInd w:val="0"/>
        <w:snapToGrid w:val="0"/>
        <w:spacing w:line="480" w:lineRule="exact"/>
        <w:ind w:firstLine="620" w:firstLineChars="250"/>
        <w:rPr>
          <w:snapToGrid w:val="0"/>
          <w:spacing w:val="4"/>
          <w:kern w:val="0"/>
          <w:sz w:val="24"/>
        </w:rPr>
      </w:pPr>
      <w:r>
        <w:rPr>
          <w:snapToGrid w:val="0"/>
          <w:spacing w:val="4"/>
          <w:kern w:val="0"/>
          <w:sz w:val="24"/>
        </w:rPr>
        <w:t>d. 本合同工程的设计、施工、安装招投标文件及合同；</w:t>
      </w:r>
    </w:p>
    <w:p w14:paraId="1F16CDBF">
      <w:pPr>
        <w:topLinePunct/>
        <w:adjustRightInd w:val="0"/>
        <w:snapToGrid w:val="0"/>
        <w:spacing w:line="480" w:lineRule="exact"/>
        <w:ind w:firstLine="620" w:firstLineChars="250"/>
        <w:rPr>
          <w:snapToGrid w:val="0"/>
          <w:spacing w:val="4"/>
          <w:kern w:val="0"/>
          <w:sz w:val="24"/>
        </w:rPr>
      </w:pPr>
      <w:r>
        <w:rPr>
          <w:snapToGrid w:val="0"/>
          <w:spacing w:val="4"/>
          <w:kern w:val="0"/>
          <w:sz w:val="24"/>
        </w:rPr>
        <w:t>e. 委托人制定的有关本合同工程建设的管理制度。</w:t>
      </w:r>
    </w:p>
    <w:p w14:paraId="3AFF4316">
      <w:pPr>
        <w:topLinePunct/>
        <w:adjustRightInd w:val="0"/>
        <w:snapToGrid w:val="0"/>
        <w:spacing w:line="480" w:lineRule="exact"/>
        <w:ind w:firstLine="496" w:firstLineChars="200"/>
        <w:rPr>
          <w:snapToGrid w:val="0"/>
          <w:spacing w:val="4"/>
          <w:kern w:val="0"/>
          <w:sz w:val="24"/>
        </w:rPr>
      </w:pPr>
      <w:r>
        <w:rPr>
          <w:snapToGrid w:val="0"/>
          <w:spacing w:val="4"/>
          <w:kern w:val="0"/>
          <w:sz w:val="24"/>
        </w:rPr>
        <w:t>3）监理实施细则应包括下列主要内容：</w:t>
      </w:r>
    </w:p>
    <w:p w14:paraId="207CF010">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专业工程的特点；</w:t>
      </w:r>
    </w:p>
    <w:p w14:paraId="3009F383">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监理工作的流程；</w:t>
      </w:r>
    </w:p>
    <w:p w14:paraId="7C403842">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监理工作的控制要点及目标值；</w:t>
      </w:r>
    </w:p>
    <w:p w14:paraId="39DDEBB3">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监理工作的方法及措施。</w:t>
      </w:r>
    </w:p>
    <w:p w14:paraId="4EE27143">
      <w:pPr>
        <w:topLinePunct/>
        <w:adjustRightInd w:val="0"/>
        <w:snapToGrid w:val="0"/>
        <w:spacing w:line="480" w:lineRule="exact"/>
        <w:ind w:firstLine="496" w:firstLineChars="200"/>
        <w:rPr>
          <w:snapToGrid w:val="0"/>
          <w:spacing w:val="4"/>
          <w:kern w:val="0"/>
          <w:sz w:val="24"/>
        </w:rPr>
      </w:pPr>
      <w:r>
        <w:rPr>
          <w:snapToGrid w:val="0"/>
          <w:spacing w:val="4"/>
          <w:kern w:val="0"/>
          <w:sz w:val="24"/>
        </w:rPr>
        <w:t>4）在监理工作实施过程中，监理实施细则应根据实际情况进行补充、修改和完善。</w:t>
      </w:r>
    </w:p>
    <w:p w14:paraId="0BEE1308">
      <w:pPr>
        <w:topLinePunct/>
        <w:adjustRightInd w:val="0"/>
        <w:snapToGrid w:val="0"/>
        <w:spacing w:line="480" w:lineRule="exact"/>
        <w:ind w:firstLine="496" w:firstLineChars="200"/>
        <w:rPr>
          <w:snapToGrid w:val="0"/>
          <w:spacing w:val="4"/>
          <w:kern w:val="0"/>
          <w:sz w:val="24"/>
        </w:rPr>
      </w:pPr>
      <w:r>
        <w:rPr>
          <w:bCs/>
          <w:snapToGrid w:val="0"/>
          <w:spacing w:val="4"/>
          <w:kern w:val="0"/>
          <w:sz w:val="24"/>
        </w:rPr>
        <w:t>（12）</w:t>
      </w:r>
      <w:r>
        <w:rPr>
          <w:snapToGrid w:val="0"/>
          <w:spacing w:val="4"/>
          <w:kern w:val="0"/>
          <w:sz w:val="24"/>
        </w:rPr>
        <w:t>对合同管理实施控制工作程序化、规范化，建立定期和不定期的协商会办制度，根据合同文件的约定及委托人要求的图纸批准程序、工程变更程序、承包人索赔程序、承包人的账单审查程序、进度付款账单的审查批准程序、工程问题的请示报告程序等制定相关表格。</w:t>
      </w:r>
    </w:p>
    <w:p w14:paraId="4F193495">
      <w:pPr>
        <w:topLinePunct/>
        <w:adjustRightInd w:val="0"/>
        <w:snapToGrid w:val="0"/>
        <w:spacing w:line="480" w:lineRule="exact"/>
        <w:ind w:firstLine="498" w:firstLineChars="200"/>
        <w:outlineLvl w:val="3"/>
        <w:rPr>
          <w:b/>
          <w:snapToGrid w:val="0"/>
          <w:spacing w:val="4"/>
          <w:kern w:val="0"/>
          <w:sz w:val="24"/>
        </w:rPr>
      </w:pPr>
      <w:r>
        <w:rPr>
          <w:b/>
          <w:snapToGrid w:val="0"/>
          <w:spacing w:val="4"/>
          <w:kern w:val="0"/>
          <w:sz w:val="24"/>
        </w:rPr>
        <w:t>4.2.</w:t>
      </w:r>
      <w:r>
        <w:rPr>
          <w:rFonts w:hint="eastAsia"/>
          <w:b/>
          <w:snapToGrid w:val="0"/>
          <w:spacing w:val="4"/>
          <w:kern w:val="0"/>
          <w:sz w:val="24"/>
        </w:rPr>
        <w:t>4</w:t>
      </w:r>
      <w:r>
        <w:rPr>
          <w:b/>
          <w:snapToGrid w:val="0"/>
          <w:spacing w:val="4"/>
          <w:kern w:val="0"/>
          <w:sz w:val="24"/>
        </w:rPr>
        <w:t xml:space="preserve">  施工阶段的监理工作（包括但不限于以下内容）</w:t>
      </w:r>
    </w:p>
    <w:p w14:paraId="442661E7">
      <w:pPr>
        <w:topLinePunct/>
        <w:adjustRightInd w:val="0"/>
        <w:snapToGrid w:val="0"/>
        <w:spacing w:line="480" w:lineRule="exact"/>
        <w:ind w:firstLine="498" w:firstLineChars="200"/>
        <w:outlineLvl w:val="4"/>
        <w:rPr>
          <w:b/>
          <w:snapToGrid w:val="0"/>
          <w:spacing w:val="4"/>
          <w:kern w:val="0"/>
          <w:sz w:val="24"/>
        </w:rPr>
      </w:pPr>
      <w:r>
        <w:rPr>
          <w:b/>
          <w:snapToGrid w:val="0"/>
          <w:spacing w:val="4"/>
          <w:kern w:val="0"/>
          <w:sz w:val="24"/>
        </w:rPr>
        <w:t>4.2.</w:t>
      </w:r>
      <w:r>
        <w:rPr>
          <w:rFonts w:hint="eastAsia"/>
          <w:b/>
          <w:snapToGrid w:val="0"/>
          <w:spacing w:val="4"/>
          <w:kern w:val="0"/>
          <w:sz w:val="24"/>
        </w:rPr>
        <w:t>4</w:t>
      </w:r>
      <w:r>
        <w:rPr>
          <w:b/>
          <w:snapToGrid w:val="0"/>
          <w:spacing w:val="4"/>
          <w:kern w:val="0"/>
          <w:sz w:val="24"/>
        </w:rPr>
        <w:t>.1  工程质量控制工作</w:t>
      </w:r>
    </w:p>
    <w:p w14:paraId="2BA14948">
      <w:pPr>
        <w:topLinePunct/>
        <w:adjustRightInd w:val="0"/>
        <w:snapToGrid w:val="0"/>
        <w:spacing w:line="480" w:lineRule="exact"/>
        <w:ind w:firstLine="496" w:firstLineChars="200"/>
        <w:rPr>
          <w:snapToGrid w:val="0"/>
          <w:spacing w:val="4"/>
          <w:kern w:val="0"/>
          <w:sz w:val="24"/>
        </w:rPr>
      </w:pPr>
      <w:r>
        <w:rPr>
          <w:snapToGrid w:val="0"/>
          <w:spacing w:val="4"/>
          <w:kern w:val="0"/>
          <w:sz w:val="24"/>
        </w:rPr>
        <w:t>（1）在施工过程中，当承包人对已批准的施工组织设计进行调整、补充或变动时，应经专业监理工程师审查，并应由总监理工程师签认。</w:t>
      </w:r>
    </w:p>
    <w:p w14:paraId="2A8AFFE2">
      <w:pPr>
        <w:topLinePunct/>
        <w:adjustRightInd w:val="0"/>
        <w:snapToGrid w:val="0"/>
        <w:spacing w:line="480" w:lineRule="exact"/>
        <w:ind w:firstLine="496" w:firstLineChars="200"/>
        <w:rPr>
          <w:snapToGrid w:val="0"/>
          <w:spacing w:val="4"/>
          <w:kern w:val="0"/>
          <w:sz w:val="24"/>
        </w:rPr>
      </w:pPr>
      <w:r>
        <w:rPr>
          <w:snapToGrid w:val="0"/>
          <w:spacing w:val="4"/>
          <w:kern w:val="0"/>
          <w:sz w:val="24"/>
        </w:rPr>
        <w:t>（2）专业监理工程师应要求承包人报送重点部位、关键工序的施工方案或作业指导和确保工程质量的措施，审核同意后予以签认。</w:t>
      </w:r>
    </w:p>
    <w:p w14:paraId="4E770A2B">
      <w:pPr>
        <w:topLinePunct/>
        <w:adjustRightInd w:val="0"/>
        <w:snapToGrid w:val="0"/>
        <w:spacing w:line="480" w:lineRule="exact"/>
        <w:ind w:firstLine="496" w:firstLineChars="200"/>
        <w:rPr>
          <w:snapToGrid w:val="0"/>
          <w:spacing w:val="4"/>
          <w:kern w:val="0"/>
          <w:sz w:val="24"/>
        </w:rPr>
      </w:pPr>
      <w:r>
        <w:rPr>
          <w:snapToGrid w:val="0"/>
          <w:spacing w:val="4"/>
          <w:kern w:val="0"/>
          <w:sz w:val="24"/>
        </w:rPr>
        <w:t>（3）当承包人采用新材料、新工艺、新技术、新设备时，专业监理工程师应要求承包人报送相应的施工工艺措施和证明材料，组织专题论证，经审定后予以签认。</w:t>
      </w:r>
    </w:p>
    <w:p w14:paraId="3B88D425">
      <w:pPr>
        <w:topLinePunct/>
        <w:adjustRightInd w:val="0"/>
        <w:snapToGrid w:val="0"/>
        <w:spacing w:line="480" w:lineRule="exact"/>
        <w:ind w:firstLine="496" w:firstLineChars="200"/>
        <w:rPr>
          <w:snapToGrid w:val="0"/>
          <w:spacing w:val="4"/>
          <w:kern w:val="0"/>
          <w:sz w:val="24"/>
        </w:rPr>
      </w:pPr>
      <w:r>
        <w:rPr>
          <w:snapToGrid w:val="0"/>
          <w:spacing w:val="4"/>
          <w:kern w:val="0"/>
          <w:sz w:val="24"/>
        </w:rPr>
        <w:t>（4）项目监理机构应对承包人在施工过程中报送的施工测量放线成果进行复验和确认。</w:t>
      </w:r>
    </w:p>
    <w:p w14:paraId="4CEB2C6E">
      <w:pPr>
        <w:topLinePunct/>
        <w:adjustRightInd w:val="0"/>
        <w:snapToGrid w:val="0"/>
        <w:spacing w:line="480" w:lineRule="exact"/>
        <w:ind w:firstLine="496" w:firstLineChars="200"/>
        <w:rPr>
          <w:snapToGrid w:val="0"/>
          <w:spacing w:val="4"/>
          <w:kern w:val="0"/>
          <w:sz w:val="24"/>
        </w:rPr>
      </w:pPr>
      <w:r>
        <w:rPr>
          <w:snapToGrid w:val="0"/>
          <w:spacing w:val="4"/>
          <w:kern w:val="0"/>
          <w:sz w:val="24"/>
        </w:rPr>
        <w:t>（5）监理人应对材料、设备的进场验收负主要责任。专业监理工程师应对承包人报送的拟进场工程材料、构配件和设备的工程材料/构配件/设备报审表及其质量证明资料进行审核，并对进场的实物按照委托监理合同约定或有关工程质量管理文件规定的比例采用平行检验或见证取样方式进行抽检。</w:t>
      </w:r>
    </w:p>
    <w:p w14:paraId="5929EA4C">
      <w:pPr>
        <w:topLinePunct/>
        <w:adjustRightInd w:val="0"/>
        <w:snapToGrid w:val="0"/>
        <w:spacing w:line="480" w:lineRule="exact"/>
        <w:ind w:firstLine="496" w:firstLineChars="200"/>
        <w:rPr>
          <w:snapToGrid w:val="0"/>
          <w:spacing w:val="4"/>
          <w:kern w:val="0"/>
          <w:sz w:val="24"/>
        </w:rPr>
      </w:pPr>
      <w:r>
        <w:rPr>
          <w:snapToGrid w:val="0"/>
          <w:spacing w:val="4"/>
          <w:kern w:val="0"/>
          <w:sz w:val="24"/>
        </w:rPr>
        <w:t>对未经监理人员验收或验收不合格的工程材料、构配件、设备，监理人员应拒绝签认，并应签发监理工程师通知单，书面通知承包人限期将不合格的工程材料、构配件、设备撤出现场。</w:t>
      </w:r>
    </w:p>
    <w:p w14:paraId="11F08A67">
      <w:pPr>
        <w:topLinePunct/>
        <w:adjustRightInd w:val="0"/>
        <w:snapToGrid w:val="0"/>
        <w:spacing w:line="480" w:lineRule="exact"/>
        <w:ind w:firstLine="496" w:firstLineChars="200"/>
        <w:rPr>
          <w:snapToGrid w:val="0"/>
          <w:spacing w:val="4"/>
          <w:kern w:val="0"/>
          <w:sz w:val="24"/>
        </w:rPr>
      </w:pPr>
      <w:r>
        <w:rPr>
          <w:snapToGrid w:val="0"/>
          <w:spacing w:val="4"/>
          <w:kern w:val="0"/>
          <w:sz w:val="24"/>
        </w:rPr>
        <w:t>（6）项目监理机构应定期检查承包人的直接影响工程质量的计量设备的技术状况。</w:t>
      </w:r>
    </w:p>
    <w:p w14:paraId="2E7B8C73">
      <w:pPr>
        <w:topLinePunct/>
        <w:adjustRightInd w:val="0"/>
        <w:snapToGrid w:val="0"/>
        <w:spacing w:line="480" w:lineRule="exact"/>
        <w:ind w:firstLine="496" w:firstLineChars="200"/>
        <w:rPr>
          <w:snapToGrid w:val="0"/>
          <w:spacing w:val="4"/>
          <w:kern w:val="0"/>
          <w:sz w:val="24"/>
        </w:rPr>
      </w:pPr>
      <w:r>
        <w:rPr>
          <w:snapToGrid w:val="0"/>
          <w:spacing w:val="4"/>
          <w:kern w:val="0"/>
          <w:sz w:val="24"/>
        </w:rPr>
        <w:t>（7）总监理工程师应安排监理人员对建筑材料设备的进场检验的全过程进行见证，对施工过程进行巡视和检查（包括重点检查、抽查及专项检查）。对基础工程中土方回填，混凝土灌注桩浇筑，地下连续墙、土钉墙、后浇带及其他结构混凝土、防水混凝土浇筑，卷材防水层细部构造处理，钢结构安装和主体结构工程中梁柱节点钢筋隐蔽过程，混凝土浇筑，预应力张拉，装配式结构安装，钢结构安装，网架结构安装，索膜安装及委托人要求的其它旁站工作等，专业监理工程师应安排监理员进行旁站，主要职责是：</w:t>
      </w:r>
    </w:p>
    <w:p w14:paraId="3795BCB8">
      <w:pPr>
        <w:topLinePunct/>
        <w:adjustRightInd w:val="0"/>
        <w:snapToGrid w:val="0"/>
        <w:spacing w:line="480" w:lineRule="exact"/>
        <w:ind w:firstLine="496" w:firstLineChars="200"/>
        <w:rPr>
          <w:snapToGrid w:val="0"/>
          <w:spacing w:val="4"/>
          <w:kern w:val="0"/>
          <w:sz w:val="24"/>
        </w:rPr>
      </w:pPr>
      <w:r>
        <w:rPr>
          <w:snapToGrid w:val="0"/>
          <w:spacing w:val="4"/>
          <w:kern w:val="0"/>
          <w:sz w:val="24"/>
        </w:rPr>
        <w:t>1）检查施工企业现场质检人员到岗、特殊工种人员持证上岗以及施工机械、建筑材料准备情况；</w:t>
      </w:r>
    </w:p>
    <w:p w14:paraId="5E52C178">
      <w:pPr>
        <w:topLinePunct/>
        <w:adjustRightInd w:val="0"/>
        <w:snapToGrid w:val="0"/>
        <w:spacing w:line="480" w:lineRule="exact"/>
        <w:ind w:firstLine="496" w:firstLineChars="200"/>
        <w:rPr>
          <w:snapToGrid w:val="0"/>
          <w:spacing w:val="4"/>
          <w:kern w:val="0"/>
          <w:sz w:val="24"/>
        </w:rPr>
      </w:pPr>
      <w:r>
        <w:rPr>
          <w:snapToGrid w:val="0"/>
          <w:spacing w:val="4"/>
          <w:kern w:val="0"/>
          <w:sz w:val="24"/>
        </w:rPr>
        <w:t>2）在现场跟班监督关键部位、关键工序的施工执行施工方案以及工程建设强制性标准情况；</w:t>
      </w:r>
    </w:p>
    <w:p w14:paraId="0D0662E9">
      <w:pPr>
        <w:topLinePunct/>
        <w:adjustRightInd w:val="0"/>
        <w:snapToGrid w:val="0"/>
        <w:spacing w:line="480" w:lineRule="exact"/>
        <w:ind w:firstLine="496" w:firstLineChars="200"/>
        <w:rPr>
          <w:snapToGrid w:val="0"/>
          <w:spacing w:val="4"/>
          <w:kern w:val="0"/>
          <w:sz w:val="24"/>
        </w:rPr>
      </w:pPr>
      <w:r>
        <w:rPr>
          <w:snapToGrid w:val="0"/>
          <w:spacing w:val="4"/>
          <w:kern w:val="0"/>
          <w:sz w:val="24"/>
        </w:rPr>
        <w:t>3）核查进场建筑材料、建筑构配件、设备和商品混凝土的质量检验报告等，并可在现场监督施工企业进行检验或者委托具有资格的第三方进行复验；</w:t>
      </w:r>
    </w:p>
    <w:p w14:paraId="687AF020">
      <w:pPr>
        <w:topLinePunct/>
        <w:adjustRightInd w:val="0"/>
        <w:snapToGrid w:val="0"/>
        <w:spacing w:line="480" w:lineRule="exact"/>
        <w:ind w:firstLine="496" w:firstLineChars="200"/>
        <w:rPr>
          <w:snapToGrid w:val="0"/>
          <w:spacing w:val="4"/>
          <w:kern w:val="0"/>
          <w:sz w:val="24"/>
        </w:rPr>
      </w:pPr>
      <w:r>
        <w:rPr>
          <w:snapToGrid w:val="0"/>
          <w:spacing w:val="4"/>
          <w:kern w:val="0"/>
          <w:sz w:val="24"/>
        </w:rPr>
        <w:t>4）做好旁站监理记录和监理日记，保存旁站监理原始资料。</w:t>
      </w:r>
    </w:p>
    <w:p w14:paraId="118B296A">
      <w:pPr>
        <w:topLinePunct/>
        <w:adjustRightInd w:val="0"/>
        <w:snapToGrid w:val="0"/>
        <w:spacing w:line="480" w:lineRule="exact"/>
        <w:ind w:firstLine="496" w:firstLineChars="200"/>
        <w:rPr>
          <w:snapToGrid w:val="0"/>
          <w:spacing w:val="4"/>
          <w:kern w:val="0"/>
          <w:sz w:val="24"/>
        </w:rPr>
      </w:pPr>
      <w:r>
        <w:rPr>
          <w:snapToGrid w:val="0"/>
          <w:spacing w:val="4"/>
          <w:kern w:val="0"/>
          <w:sz w:val="24"/>
        </w:rPr>
        <w:t>旁站监理人员应当认真履行职责，对需要实施旁站监理的关键部位、关键工序在施工现场跟班监督，及时发现和处理旁站监理过程中出现的质量问题，如实准确地做好旁站监理记录。凡旁站监理人员和施工企业现场质检人员未在旁站监理记录上签字的，不得进行下一道工序施工。</w:t>
      </w:r>
    </w:p>
    <w:p w14:paraId="6B08ABAC">
      <w:pPr>
        <w:topLinePunct/>
        <w:adjustRightInd w:val="0"/>
        <w:snapToGrid w:val="0"/>
        <w:spacing w:line="480" w:lineRule="exact"/>
        <w:ind w:firstLine="496" w:firstLineChars="200"/>
        <w:rPr>
          <w:snapToGrid w:val="0"/>
          <w:spacing w:val="4"/>
          <w:kern w:val="0"/>
          <w:sz w:val="24"/>
        </w:rPr>
      </w:pPr>
      <w:r>
        <w:rPr>
          <w:snapToGrid w:val="0"/>
          <w:spacing w:val="4"/>
          <w:kern w:val="0"/>
          <w:sz w:val="24"/>
        </w:rPr>
        <w:t>旁站监理人员实施旁站监理时，发现施工企业有违反工程建设强制性标准行为的，有权责令施工企业立即整改；发现其施工活动已经或者可能危及工程质量的，应当及时向监理工程师或者总监理工程师报告，由总监理工程师下达局部暂停施工指令或者采取其他应急措施。</w:t>
      </w:r>
    </w:p>
    <w:p w14:paraId="58322350">
      <w:pPr>
        <w:topLinePunct/>
        <w:adjustRightInd w:val="0"/>
        <w:snapToGrid w:val="0"/>
        <w:spacing w:line="480" w:lineRule="exact"/>
        <w:ind w:firstLine="496" w:firstLineChars="200"/>
        <w:rPr>
          <w:snapToGrid w:val="0"/>
          <w:spacing w:val="4"/>
          <w:kern w:val="0"/>
          <w:sz w:val="24"/>
        </w:rPr>
      </w:pPr>
      <w:r>
        <w:rPr>
          <w:snapToGrid w:val="0"/>
          <w:spacing w:val="4"/>
          <w:kern w:val="0"/>
          <w:sz w:val="24"/>
        </w:rPr>
        <w:t>旁站监理记录是监理工程师或者总监理工程师依法行使有关签字权的重要依据。对于需要旁站监理的关键部位、关键工序施工，凡没有实施旁站监理或者没有旁站监理记录的，监理工程师或者总监理工程师不得在相应文件上签字。在工程竣工验收后，监理企业应当将旁站监理记录存档备查。</w:t>
      </w:r>
    </w:p>
    <w:p w14:paraId="14C0A560">
      <w:pPr>
        <w:topLinePunct/>
        <w:adjustRightInd w:val="0"/>
        <w:snapToGrid w:val="0"/>
        <w:spacing w:line="480" w:lineRule="exact"/>
        <w:ind w:firstLine="496" w:firstLineChars="200"/>
        <w:rPr>
          <w:snapToGrid w:val="0"/>
          <w:spacing w:val="4"/>
          <w:kern w:val="0"/>
          <w:sz w:val="24"/>
        </w:rPr>
      </w:pPr>
      <w:r>
        <w:rPr>
          <w:snapToGrid w:val="0"/>
          <w:spacing w:val="4"/>
          <w:kern w:val="0"/>
          <w:sz w:val="24"/>
        </w:rPr>
        <w:t>（8）专业监理工程师应根据承包人报送的隐蔽工程报验申请表和自检结果进行现场检查，符合要求后予以签认。</w:t>
      </w:r>
    </w:p>
    <w:p w14:paraId="16B40850">
      <w:pPr>
        <w:topLinePunct/>
        <w:adjustRightInd w:val="0"/>
        <w:snapToGrid w:val="0"/>
        <w:spacing w:line="480" w:lineRule="exact"/>
        <w:ind w:firstLine="496" w:firstLineChars="200"/>
        <w:rPr>
          <w:snapToGrid w:val="0"/>
          <w:spacing w:val="4"/>
          <w:kern w:val="0"/>
          <w:sz w:val="24"/>
        </w:rPr>
      </w:pPr>
      <w:r>
        <w:rPr>
          <w:snapToGrid w:val="0"/>
          <w:spacing w:val="4"/>
          <w:kern w:val="0"/>
          <w:sz w:val="24"/>
        </w:rPr>
        <w:t>对未经监理人员验收或验收不合格的工序，监理人员应拒绝签认，并要求承包人严禁进行下一道工序的施工。</w:t>
      </w:r>
    </w:p>
    <w:p w14:paraId="6FE71562">
      <w:pPr>
        <w:topLinePunct/>
        <w:adjustRightInd w:val="0"/>
        <w:snapToGrid w:val="0"/>
        <w:spacing w:line="480" w:lineRule="exact"/>
        <w:ind w:firstLine="496" w:firstLineChars="200"/>
        <w:rPr>
          <w:snapToGrid w:val="0"/>
          <w:spacing w:val="4"/>
          <w:kern w:val="0"/>
          <w:sz w:val="24"/>
        </w:rPr>
      </w:pPr>
      <w:r>
        <w:rPr>
          <w:snapToGrid w:val="0"/>
          <w:spacing w:val="4"/>
          <w:kern w:val="0"/>
          <w:sz w:val="24"/>
        </w:rPr>
        <w:t>（9）专业监理工程师应对承包人报送的分项工程质量验评资料进行审核，符合要求后予以签认；总监理工程师应组织监理人员对承包人报送的分部工程和单位工程质量验评资料进行审核和现场检查，符合要求后予以签认。</w:t>
      </w:r>
    </w:p>
    <w:p w14:paraId="23B51E76">
      <w:pPr>
        <w:topLinePunct/>
        <w:adjustRightInd w:val="0"/>
        <w:snapToGrid w:val="0"/>
        <w:spacing w:line="480" w:lineRule="exact"/>
        <w:ind w:firstLine="496" w:firstLineChars="200"/>
        <w:rPr>
          <w:snapToGrid w:val="0"/>
          <w:spacing w:val="4"/>
          <w:kern w:val="0"/>
          <w:sz w:val="24"/>
        </w:rPr>
      </w:pPr>
      <w:r>
        <w:rPr>
          <w:snapToGrid w:val="0"/>
          <w:spacing w:val="4"/>
          <w:kern w:val="0"/>
          <w:sz w:val="24"/>
        </w:rPr>
        <w:t>（10）质量网络视频监控管理内容</w:t>
      </w:r>
    </w:p>
    <w:p w14:paraId="42C51993">
      <w:pPr>
        <w:topLinePunct/>
        <w:adjustRightInd w:val="0"/>
        <w:snapToGrid w:val="0"/>
        <w:spacing w:line="480" w:lineRule="exact"/>
        <w:ind w:firstLine="496" w:firstLineChars="200"/>
        <w:rPr>
          <w:dstrike/>
          <w:spacing w:val="4"/>
          <w:kern w:val="0"/>
          <w:sz w:val="24"/>
        </w:rPr>
      </w:pPr>
      <w:r>
        <w:rPr>
          <w:snapToGrid w:val="0"/>
          <w:spacing w:val="4"/>
          <w:kern w:val="0"/>
          <w:sz w:val="24"/>
        </w:rPr>
        <w:t>1）监理单位组织监督施工单位必须遵照《关于广州市建筑工地安装视频监控装置的通知》（穗建筑[2006]551号）和《关于全面启动广州市社会治安视频监控系统建设有关问题的通知》（穗视频建字〔2006〕1号）文件的要求，满足隐蔽工程、关键工序</w:t>
      </w:r>
      <w:r>
        <w:rPr>
          <w:spacing w:val="4"/>
          <w:kern w:val="0"/>
          <w:sz w:val="24"/>
        </w:rPr>
        <w:t>、重点部位的质量监控、隐蔽工程可视化验收的需要。</w:t>
      </w:r>
    </w:p>
    <w:p w14:paraId="22B53774">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2）监理单位对视频监控系统反馈信息的分析、上报、决策、实施，严格按照质量控制流程及相关规定进行处理。</w:t>
      </w:r>
    </w:p>
    <w:p w14:paraId="1CA257C9">
      <w:pPr>
        <w:topLinePunct/>
        <w:adjustRightInd w:val="0"/>
        <w:snapToGrid w:val="0"/>
        <w:spacing w:line="480" w:lineRule="exact"/>
        <w:ind w:firstLine="496" w:firstLineChars="200"/>
        <w:rPr>
          <w:snapToGrid w:val="0"/>
          <w:spacing w:val="4"/>
          <w:kern w:val="0"/>
          <w:sz w:val="24"/>
        </w:rPr>
      </w:pPr>
      <w:r>
        <w:rPr>
          <w:snapToGrid w:val="0"/>
          <w:spacing w:val="4"/>
          <w:kern w:val="0"/>
          <w:sz w:val="24"/>
        </w:rPr>
        <w:t>3）监理单位建立专门的视频监控系统资料收集、查阅、检索、档案系统，并设置专人专职负责。</w:t>
      </w:r>
    </w:p>
    <w:p w14:paraId="585B7E99">
      <w:pPr>
        <w:topLinePunct/>
        <w:adjustRightInd w:val="0"/>
        <w:snapToGrid w:val="0"/>
        <w:spacing w:line="480" w:lineRule="exact"/>
        <w:ind w:firstLine="496" w:firstLineChars="200"/>
        <w:rPr>
          <w:snapToGrid w:val="0"/>
          <w:spacing w:val="4"/>
          <w:kern w:val="0"/>
          <w:sz w:val="24"/>
        </w:rPr>
      </w:pPr>
      <w:r>
        <w:rPr>
          <w:snapToGrid w:val="0"/>
          <w:spacing w:val="4"/>
          <w:kern w:val="0"/>
          <w:sz w:val="24"/>
        </w:rPr>
        <w:t>（11）监理单位按照基建程序从工程建设前期法定建设程序资料、施工过程质量控制技术资料、工程验收及备案资料按照与工程同步的原则进行及时收集，保证保管一套完整的工程技术资料。</w:t>
      </w:r>
    </w:p>
    <w:p w14:paraId="2BF84908">
      <w:pPr>
        <w:topLinePunct/>
        <w:adjustRightInd w:val="0"/>
        <w:snapToGrid w:val="0"/>
        <w:spacing w:line="480" w:lineRule="exact"/>
        <w:ind w:firstLine="496" w:firstLineChars="200"/>
        <w:rPr>
          <w:snapToGrid w:val="0"/>
          <w:spacing w:val="4"/>
          <w:kern w:val="0"/>
          <w:sz w:val="24"/>
        </w:rPr>
      </w:pPr>
      <w:r>
        <w:rPr>
          <w:snapToGrid w:val="0"/>
          <w:spacing w:val="4"/>
          <w:kern w:val="0"/>
          <w:sz w:val="24"/>
        </w:rPr>
        <w:t>（12）施工阶段的工程质量控制中的其他监理工作</w:t>
      </w:r>
    </w:p>
    <w:p w14:paraId="6B13109E">
      <w:pPr>
        <w:topLinePunct/>
        <w:adjustRightInd w:val="0"/>
        <w:snapToGrid w:val="0"/>
        <w:spacing w:line="480" w:lineRule="exact"/>
        <w:ind w:firstLine="496" w:firstLineChars="200"/>
        <w:rPr>
          <w:snapToGrid w:val="0"/>
          <w:spacing w:val="4"/>
          <w:kern w:val="0"/>
          <w:sz w:val="24"/>
        </w:rPr>
      </w:pPr>
      <w:r>
        <w:rPr>
          <w:snapToGrid w:val="0"/>
          <w:spacing w:val="4"/>
          <w:kern w:val="0"/>
          <w:sz w:val="24"/>
        </w:rPr>
        <w:t>1）对施工过程中出现的质量缺陷，专业监理工程师应及时下达监理工程师通知，要求承包人整改，并检查整改结果。</w:t>
      </w:r>
    </w:p>
    <w:p w14:paraId="164A3E90">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人应在本合同工程的施工阶段开始之前向委托人提交质量事故处理程序。监理人员发现施工存在重大质量隐患，可能造成质量事故或已经造成质量事故时，应通过总监理工程师及时下达工程暂停令，要求承包人停工整改。整改完毕并经监理人员复查，符合规定要求后，总监理工程师应及时签署工程复工报审表。总监理工程师下达工程暂停令和签署工程复工报审表，应事先向委托人报告。</w:t>
      </w:r>
    </w:p>
    <w:p w14:paraId="119170A6">
      <w:pPr>
        <w:topLinePunct/>
        <w:adjustRightInd w:val="0"/>
        <w:snapToGrid w:val="0"/>
        <w:spacing w:line="480" w:lineRule="exact"/>
        <w:ind w:firstLine="496" w:firstLineChars="200"/>
        <w:rPr>
          <w:snapToGrid w:val="0"/>
          <w:spacing w:val="4"/>
          <w:kern w:val="0"/>
          <w:sz w:val="24"/>
        </w:rPr>
      </w:pPr>
      <w:r>
        <w:rPr>
          <w:snapToGrid w:val="0"/>
          <w:spacing w:val="4"/>
          <w:kern w:val="0"/>
          <w:sz w:val="24"/>
        </w:rPr>
        <w:t>3）对需要返工处理或加固补强的质量事故，总监理工程师应责令承包人报送质量事故调查报告和经设计单位等相关单位认可的处理方案，项目监理机构应对质量事故的处理过程和处理结果进行跟踪检查和验收。</w:t>
      </w:r>
    </w:p>
    <w:p w14:paraId="6621A60E">
      <w:pPr>
        <w:topLinePunct/>
        <w:adjustRightInd w:val="0"/>
        <w:snapToGrid w:val="0"/>
        <w:spacing w:line="480" w:lineRule="exact"/>
        <w:ind w:firstLine="496" w:firstLineChars="200"/>
        <w:rPr>
          <w:snapToGrid w:val="0"/>
          <w:spacing w:val="4"/>
          <w:kern w:val="0"/>
          <w:sz w:val="24"/>
        </w:rPr>
      </w:pPr>
      <w:r>
        <w:rPr>
          <w:snapToGrid w:val="0"/>
          <w:spacing w:val="4"/>
          <w:kern w:val="0"/>
          <w:sz w:val="24"/>
        </w:rPr>
        <w:t>4）总监理工程师应及时向委托人及本监理单位提交有关质量事故的书面报告，并应将完整的质量事故处理记录整理归档。</w:t>
      </w:r>
    </w:p>
    <w:p w14:paraId="78C92257">
      <w:pPr>
        <w:topLinePunct/>
        <w:adjustRightInd w:val="0"/>
        <w:snapToGrid w:val="0"/>
        <w:spacing w:line="480" w:lineRule="exact"/>
        <w:ind w:firstLine="496" w:firstLineChars="200"/>
        <w:rPr>
          <w:snapToGrid w:val="0"/>
          <w:spacing w:val="4"/>
          <w:kern w:val="0"/>
          <w:sz w:val="24"/>
        </w:rPr>
      </w:pPr>
      <w:r>
        <w:rPr>
          <w:snapToGrid w:val="0"/>
          <w:spacing w:val="4"/>
          <w:kern w:val="0"/>
          <w:sz w:val="24"/>
        </w:rPr>
        <w:t>5）对承包人的试验室进行考核</w:t>
      </w:r>
    </w:p>
    <w:p w14:paraId="07021372">
      <w:pPr>
        <w:topLinePunct/>
        <w:adjustRightInd w:val="0"/>
        <w:snapToGrid w:val="0"/>
        <w:spacing w:line="480" w:lineRule="exact"/>
        <w:ind w:firstLine="496" w:firstLineChars="200"/>
        <w:rPr>
          <w:snapToGrid w:val="0"/>
          <w:spacing w:val="4"/>
          <w:kern w:val="0"/>
          <w:sz w:val="24"/>
        </w:rPr>
      </w:pPr>
      <w:r>
        <w:rPr>
          <w:snapToGrid w:val="0"/>
          <w:spacing w:val="4"/>
          <w:kern w:val="0"/>
          <w:sz w:val="24"/>
        </w:rPr>
        <w:t>对承包人的试验室，专业监理工程师应从以下五个方面进行考核：</w:t>
      </w:r>
    </w:p>
    <w:p w14:paraId="134A563F">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试验室的资质等级及其试验范围；</w:t>
      </w:r>
    </w:p>
    <w:p w14:paraId="2298AF3F">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法定计量部门对试验设备出具的计量检定证明；</w:t>
      </w:r>
    </w:p>
    <w:p w14:paraId="620A336A">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试验室的管理制度；</w:t>
      </w:r>
    </w:p>
    <w:p w14:paraId="1465555E">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试验人员的资格证书；</w:t>
      </w:r>
    </w:p>
    <w:p w14:paraId="65ECFFC5">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⑤</w:t>
      </w:r>
      <w:r>
        <w:rPr>
          <w:snapToGrid w:val="0"/>
          <w:spacing w:val="4"/>
          <w:kern w:val="0"/>
          <w:sz w:val="24"/>
        </w:rPr>
        <w:t xml:space="preserve"> 本工程的试验项目及其要求。</w:t>
      </w:r>
    </w:p>
    <w:p w14:paraId="4A8446EC">
      <w:pPr>
        <w:topLinePunct/>
        <w:adjustRightInd w:val="0"/>
        <w:snapToGrid w:val="0"/>
        <w:spacing w:line="480" w:lineRule="exact"/>
        <w:ind w:firstLine="498" w:firstLineChars="200"/>
        <w:outlineLvl w:val="4"/>
        <w:rPr>
          <w:b/>
          <w:snapToGrid w:val="0"/>
          <w:spacing w:val="4"/>
          <w:kern w:val="0"/>
          <w:sz w:val="24"/>
        </w:rPr>
      </w:pPr>
      <w:r>
        <w:rPr>
          <w:b/>
          <w:snapToGrid w:val="0"/>
          <w:spacing w:val="4"/>
          <w:kern w:val="0"/>
          <w:sz w:val="24"/>
        </w:rPr>
        <w:t>4.2.</w:t>
      </w:r>
      <w:r>
        <w:rPr>
          <w:rFonts w:hint="eastAsia"/>
          <w:b/>
          <w:snapToGrid w:val="0"/>
          <w:spacing w:val="4"/>
          <w:kern w:val="0"/>
          <w:sz w:val="24"/>
        </w:rPr>
        <w:t>4</w:t>
      </w:r>
      <w:r>
        <w:rPr>
          <w:b/>
          <w:snapToGrid w:val="0"/>
          <w:spacing w:val="4"/>
          <w:kern w:val="0"/>
          <w:sz w:val="24"/>
        </w:rPr>
        <w:t>.2  工程造价控制工作</w:t>
      </w:r>
    </w:p>
    <w:p w14:paraId="09C772AC">
      <w:pPr>
        <w:topLinePunct/>
        <w:adjustRightInd w:val="0"/>
        <w:snapToGrid w:val="0"/>
        <w:spacing w:line="480" w:lineRule="exact"/>
        <w:ind w:firstLine="496" w:firstLineChars="200"/>
        <w:rPr>
          <w:snapToGrid w:val="0"/>
          <w:spacing w:val="4"/>
          <w:kern w:val="0"/>
          <w:sz w:val="24"/>
        </w:rPr>
      </w:pPr>
      <w:r>
        <w:rPr>
          <w:snapToGrid w:val="0"/>
          <w:spacing w:val="4"/>
          <w:kern w:val="0"/>
          <w:sz w:val="24"/>
        </w:rPr>
        <w:t>监理人负责的投资控制工作为项目施工阶段造价控制，包括但不限于：主材单价、综合单价、签证费用、</w:t>
      </w:r>
      <w:r>
        <w:rPr>
          <w:rFonts w:hint="eastAsia"/>
          <w:snapToGrid w:val="0"/>
          <w:spacing w:val="4"/>
          <w:kern w:val="0"/>
          <w:sz w:val="24"/>
        </w:rPr>
        <w:t>初步设计概算审核、</w:t>
      </w:r>
      <w:r>
        <w:rPr>
          <w:snapToGrid w:val="0"/>
          <w:spacing w:val="4"/>
          <w:kern w:val="0"/>
          <w:sz w:val="24"/>
        </w:rPr>
        <w:t>工程预算审核</w:t>
      </w:r>
      <w:r>
        <w:rPr>
          <w:rFonts w:hint="eastAsia"/>
          <w:snapToGrid w:val="0"/>
          <w:spacing w:val="4"/>
          <w:kern w:val="0"/>
          <w:sz w:val="24"/>
        </w:rPr>
        <w:t>（含施工图预算审核）</w:t>
      </w:r>
      <w:r>
        <w:rPr>
          <w:snapToGrid w:val="0"/>
          <w:spacing w:val="4"/>
          <w:kern w:val="0"/>
          <w:sz w:val="24"/>
        </w:rPr>
        <w:t>、结算审核、工程量（含钢筋抽料）审核、费用索赔等。</w:t>
      </w:r>
    </w:p>
    <w:p w14:paraId="3CF26505">
      <w:pPr>
        <w:topLinePunct/>
        <w:adjustRightInd w:val="0"/>
        <w:snapToGrid w:val="0"/>
        <w:spacing w:line="480" w:lineRule="exact"/>
        <w:ind w:firstLine="496" w:firstLineChars="200"/>
        <w:rPr>
          <w:snapToGrid w:val="0"/>
          <w:spacing w:val="4"/>
          <w:kern w:val="0"/>
          <w:sz w:val="24"/>
        </w:rPr>
      </w:pPr>
      <w:r>
        <w:rPr>
          <w:snapToGrid w:val="0"/>
          <w:spacing w:val="4"/>
          <w:kern w:val="0"/>
          <w:sz w:val="24"/>
        </w:rPr>
        <w:t>（1）项目监理机构应按下列程序进行工程计量和工程款支付工作：</w:t>
      </w:r>
    </w:p>
    <w:p w14:paraId="71855EFA">
      <w:pPr>
        <w:topLinePunct/>
        <w:adjustRightInd w:val="0"/>
        <w:snapToGrid w:val="0"/>
        <w:spacing w:line="480" w:lineRule="exact"/>
        <w:ind w:firstLine="496" w:firstLineChars="200"/>
        <w:rPr>
          <w:snapToGrid w:val="0"/>
          <w:spacing w:val="4"/>
          <w:kern w:val="0"/>
          <w:sz w:val="24"/>
        </w:rPr>
      </w:pPr>
      <w:r>
        <w:rPr>
          <w:snapToGrid w:val="0"/>
          <w:spacing w:val="4"/>
          <w:kern w:val="0"/>
          <w:sz w:val="24"/>
        </w:rPr>
        <w:t>1）监理人应每日统计承包人实际完成的工程量，并记录于监理日志中；</w:t>
      </w:r>
    </w:p>
    <w:p w14:paraId="5A3BC298">
      <w:pPr>
        <w:topLinePunct/>
        <w:adjustRightInd w:val="0"/>
        <w:snapToGrid w:val="0"/>
        <w:spacing w:line="480" w:lineRule="exact"/>
        <w:ind w:firstLine="496" w:firstLineChars="200"/>
        <w:rPr>
          <w:snapToGrid w:val="0"/>
          <w:spacing w:val="4"/>
          <w:kern w:val="0"/>
          <w:sz w:val="24"/>
        </w:rPr>
      </w:pPr>
      <w:r>
        <w:rPr>
          <w:snapToGrid w:val="0"/>
          <w:spacing w:val="4"/>
          <w:kern w:val="0"/>
          <w:sz w:val="24"/>
        </w:rPr>
        <w:t>2）专业监理工程师进行现场计量，复核当期验收合格的工程量，按施工合同的约定审核承包人提交的工程量清单和工程款支付申请表，并报总监理工程师审定；</w:t>
      </w:r>
    </w:p>
    <w:p w14:paraId="50BE14A3">
      <w:pPr>
        <w:topLinePunct/>
        <w:adjustRightInd w:val="0"/>
        <w:snapToGrid w:val="0"/>
        <w:spacing w:line="480" w:lineRule="exact"/>
        <w:ind w:firstLine="496" w:firstLineChars="200"/>
        <w:rPr>
          <w:snapToGrid w:val="0"/>
          <w:spacing w:val="4"/>
          <w:kern w:val="0"/>
          <w:sz w:val="24"/>
        </w:rPr>
      </w:pPr>
      <w:r>
        <w:rPr>
          <w:snapToGrid w:val="0"/>
          <w:spacing w:val="4"/>
          <w:kern w:val="0"/>
          <w:sz w:val="24"/>
        </w:rPr>
        <w:t>3）总监理工程师对工程量清单和工程款支付申请表进行复核，并报委托人；</w:t>
      </w:r>
    </w:p>
    <w:p w14:paraId="64801178">
      <w:pPr>
        <w:topLinePunct/>
        <w:adjustRightInd w:val="0"/>
        <w:snapToGrid w:val="0"/>
        <w:spacing w:line="480" w:lineRule="exact"/>
        <w:ind w:firstLine="496" w:firstLineChars="200"/>
        <w:rPr>
          <w:snapToGrid w:val="0"/>
          <w:spacing w:val="4"/>
          <w:kern w:val="0"/>
          <w:sz w:val="24"/>
        </w:rPr>
      </w:pPr>
      <w:r>
        <w:rPr>
          <w:snapToGrid w:val="0"/>
          <w:spacing w:val="4"/>
          <w:kern w:val="0"/>
          <w:sz w:val="24"/>
        </w:rPr>
        <w:t>4）提交月度分包工程支付建议书给委托人。</w:t>
      </w:r>
    </w:p>
    <w:p w14:paraId="6FE1EBD5">
      <w:pPr>
        <w:topLinePunct/>
        <w:adjustRightInd w:val="0"/>
        <w:snapToGrid w:val="0"/>
        <w:spacing w:line="480" w:lineRule="exact"/>
        <w:ind w:firstLine="496" w:firstLineChars="200"/>
        <w:rPr>
          <w:snapToGrid w:val="0"/>
          <w:spacing w:val="4"/>
          <w:kern w:val="0"/>
          <w:sz w:val="24"/>
        </w:rPr>
      </w:pPr>
      <w:r>
        <w:rPr>
          <w:snapToGrid w:val="0"/>
          <w:spacing w:val="4"/>
          <w:kern w:val="0"/>
          <w:sz w:val="24"/>
        </w:rPr>
        <w:t>（2）项目监理机构应依据施工合同有关条款、施工图，对工程项目造价目标进行风险分析，并应制定防范性对策。</w:t>
      </w:r>
    </w:p>
    <w:p w14:paraId="42DD715A">
      <w:pPr>
        <w:topLinePunct/>
        <w:adjustRightInd w:val="0"/>
        <w:snapToGrid w:val="0"/>
        <w:spacing w:line="480" w:lineRule="exact"/>
        <w:ind w:firstLine="496" w:firstLineChars="200"/>
        <w:rPr>
          <w:snapToGrid w:val="0"/>
          <w:spacing w:val="4"/>
          <w:kern w:val="0"/>
          <w:sz w:val="24"/>
        </w:rPr>
      </w:pPr>
      <w:r>
        <w:rPr>
          <w:snapToGrid w:val="0"/>
          <w:spacing w:val="4"/>
          <w:kern w:val="0"/>
          <w:sz w:val="24"/>
        </w:rPr>
        <w:t>（3）项目监理机构应按施工合同约定的工程量计算规则和支付条款进行工程量计量和工程款支付。</w:t>
      </w:r>
    </w:p>
    <w:p w14:paraId="312CC289">
      <w:pPr>
        <w:topLinePunct/>
        <w:adjustRightInd w:val="0"/>
        <w:snapToGrid w:val="0"/>
        <w:spacing w:line="480" w:lineRule="exact"/>
        <w:ind w:firstLine="496" w:firstLineChars="200"/>
        <w:rPr>
          <w:snapToGrid w:val="0"/>
          <w:spacing w:val="4"/>
          <w:kern w:val="0"/>
          <w:sz w:val="24"/>
        </w:rPr>
      </w:pPr>
      <w:r>
        <w:rPr>
          <w:snapToGrid w:val="0"/>
          <w:spacing w:val="4"/>
          <w:kern w:val="0"/>
          <w:sz w:val="24"/>
        </w:rPr>
        <w:t>（4）专业监理工程师应及时建立月完成工程量和工作量统计表，对实际完成量与计划完成量进行比较、分析，制定调整措施，并应在监理月报中向委托人报告。</w:t>
      </w:r>
    </w:p>
    <w:p w14:paraId="72D83EAF">
      <w:pPr>
        <w:topLinePunct/>
        <w:adjustRightInd w:val="0"/>
        <w:snapToGrid w:val="0"/>
        <w:spacing w:line="480" w:lineRule="exact"/>
        <w:ind w:firstLine="496" w:firstLineChars="200"/>
        <w:rPr>
          <w:snapToGrid w:val="0"/>
          <w:spacing w:val="4"/>
          <w:kern w:val="0"/>
          <w:sz w:val="24"/>
        </w:rPr>
      </w:pPr>
      <w:r>
        <w:rPr>
          <w:snapToGrid w:val="0"/>
          <w:spacing w:val="4"/>
          <w:kern w:val="0"/>
          <w:sz w:val="24"/>
        </w:rPr>
        <w:t>（5）未经监理人员质量验收合格的工程量，或不符合施工合同规定的工程量，监理人员应拒绝计量和该部分的工程款支付申请。</w:t>
      </w:r>
    </w:p>
    <w:p w14:paraId="3728B7CD">
      <w:pPr>
        <w:topLinePunct/>
        <w:adjustRightInd w:val="0"/>
        <w:snapToGrid w:val="0"/>
        <w:spacing w:line="480" w:lineRule="exact"/>
        <w:ind w:firstLine="496" w:firstLineChars="200"/>
        <w:rPr>
          <w:snapToGrid w:val="0"/>
          <w:spacing w:val="4"/>
          <w:kern w:val="0"/>
          <w:sz w:val="24"/>
        </w:rPr>
      </w:pPr>
      <w:r>
        <w:rPr>
          <w:snapToGrid w:val="0"/>
          <w:spacing w:val="4"/>
          <w:kern w:val="0"/>
          <w:sz w:val="24"/>
        </w:rPr>
        <w:t>（6）工程变更的管理</w:t>
      </w:r>
    </w:p>
    <w:p w14:paraId="35480F23">
      <w:pPr>
        <w:topLinePunct/>
        <w:adjustRightInd w:val="0"/>
        <w:snapToGrid w:val="0"/>
        <w:spacing w:line="480" w:lineRule="exact"/>
        <w:ind w:firstLine="496" w:firstLineChars="200"/>
        <w:rPr>
          <w:snapToGrid w:val="0"/>
          <w:spacing w:val="4"/>
          <w:kern w:val="0"/>
          <w:sz w:val="24"/>
        </w:rPr>
      </w:pPr>
      <w:r>
        <w:rPr>
          <w:snapToGrid w:val="0"/>
          <w:spacing w:val="4"/>
          <w:kern w:val="0"/>
          <w:sz w:val="24"/>
        </w:rPr>
        <w:t>总监理工程师应从造价、项目的功能要求、质量和工期等方面审查工程变更的方案，并在工程变更实施前与委托人、承包人协商确定工程变更的价款。</w:t>
      </w:r>
    </w:p>
    <w:p w14:paraId="6113D5FD">
      <w:pPr>
        <w:topLinePunct/>
        <w:adjustRightInd w:val="0"/>
        <w:snapToGrid w:val="0"/>
        <w:spacing w:line="480" w:lineRule="exact"/>
        <w:ind w:firstLine="496" w:firstLineChars="200"/>
        <w:rPr>
          <w:snapToGrid w:val="0"/>
          <w:spacing w:val="4"/>
          <w:kern w:val="0"/>
          <w:sz w:val="24"/>
        </w:rPr>
      </w:pPr>
      <w:r>
        <w:rPr>
          <w:snapToGrid w:val="0"/>
          <w:spacing w:val="4"/>
          <w:kern w:val="0"/>
          <w:sz w:val="24"/>
        </w:rPr>
        <w:t>1）项目监理机构应按下列程序处理工程变更：</w:t>
      </w:r>
    </w:p>
    <w:p w14:paraId="42D9DA02">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对承包人提出的工程变更，应提交总监理工程师，由总监理工程师组织专业监理工程师审查。审查同意后，应由委托人转交原设计单位编制设计变更文件。当工程变更涉及安全、环保等内容时，应按规定经有关部门审定。</w:t>
      </w:r>
    </w:p>
    <w:p w14:paraId="070481EE">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项目监理机构应了解实际情况和收集与工程变更有关的资料。</w:t>
      </w:r>
    </w:p>
    <w:p w14:paraId="68313708">
      <w:pPr>
        <w:spacing w:line="480" w:lineRule="exact"/>
        <w:ind w:firstLine="560" w:firstLineChars="200"/>
        <w:rPr>
          <w:sz w:val="24"/>
        </w:rPr>
      </w:pPr>
      <w:r>
        <w:rPr>
          <w:rFonts w:hint="eastAsia" w:ascii="宋体" w:hAnsi="宋体" w:cs="宋体"/>
          <w:sz w:val="28"/>
          <w:szCs w:val="28"/>
        </w:rPr>
        <w:t>③</w:t>
      </w:r>
      <w:r>
        <w:rPr>
          <w:sz w:val="24"/>
        </w:rPr>
        <w:t xml:space="preserve"> 总监理工程师必须根据实际情况、设计变更文件和其他有关资料，按照施工合同的有关条款，在指定专业监理工程师完成下列各项工作后，对工程变更的费用和工期作出评估：</w:t>
      </w:r>
    </w:p>
    <w:p w14:paraId="240F505B">
      <w:pPr>
        <w:topLinePunct/>
        <w:adjustRightInd w:val="0"/>
        <w:snapToGrid w:val="0"/>
        <w:spacing w:line="480" w:lineRule="exact"/>
        <w:ind w:firstLine="620" w:firstLineChars="250"/>
        <w:rPr>
          <w:snapToGrid w:val="0"/>
          <w:spacing w:val="4"/>
          <w:kern w:val="0"/>
          <w:sz w:val="24"/>
        </w:rPr>
      </w:pPr>
      <w:r>
        <w:rPr>
          <w:snapToGrid w:val="0"/>
          <w:spacing w:val="4"/>
          <w:kern w:val="0"/>
          <w:sz w:val="24"/>
        </w:rPr>
        <w:t>a. 审核工程变更项目与原工程项目之间的类似程度和难易程度；</w:t>
      </w:r>
    </w:p>
    <w:p w14:paraId="69FA7215">
      <w:pPr>
        <w:topLinePunct/>
        <w:adjustRightInd w:val="0"/>
        <w:snapToGrid w:val="0"/>
        <w:spacing w:line="480" w:lineRule="exact"/>
        <w:ind w:firstLine="620" w:firstLineChars="250"/>
        <w:rPr>
          <w:snapToGrid w:val="0"/>
          <w:spacing w:val="4"/>
          <w:kern w:val="0"/>
          <w:sz w:val="24"/>
        </w:rPr>
      </w:pPr>
      <w:r>
        <w:rPr>
          <w:snapToGrid w:val="0"/>
          <w:spacing w:val="4"/>
          <w:kern w:val="0"/>
          <w:sz w:val="24"/>
        </w:rPr>
        <w:t>b. 审核工程变更项目的工程量；</w:t>
      </w:r>
    </w:p>
    <w:p w14:paraId="2ACF3C8A">
      <w:pPr>
        <w:topLinePunct/>
        <w:adjustRightInd w:val="0"/>
        <w:snapToGrid w:val="0"/>
        <w:spacing w:line="480" w:lineRule="exact"/>
        <w:ind w:firstLine="620" w:firstLineChars="250"/>
        <w:rPr>
          <w:snapToGrid w:val="0"/>
          <w:spacing w:val="4"/>
          <w:kern w:val="0"/>
          <w:sz w:val="24"/>
        </w:rPr>
      </w:pPr>
      <w:r>
        <w:rPr>
          <w:snapToGrid w:val="0"/>
          <w:spacing w:val="4"/>
          <w:kern w:val="0"/>
          <w:sz w:val="24"/>
        </w:rPr>
        <w:t>c. 审核工程变更的单价和总价；</w:t>
      </w:r>
    </w:p>
    <w:p w14:paraId="2E9FBC1B">
      <w:pPr>
        <w:topLinePunct/>
        <w:adjustRightInd w:val="0"/>
        <w:snapToGrid w:val="0"/>
        <w:spacing w:line="480" w:lineRule="exact"/>
        <w:ind w:firstLine="620" w:firstLineChars="250"/>
        <w:rPr>
          <w:snapToGrid w:val="0"/>
          <w:spacing w:val="4"/>
          <w:kern w:val="0"/>
          <w:sz w:val="24"/>
        </w:rPr>
      </w:pPr>
      <w:r>
        <w:rPr>
          <w:snapToGrid w:val="0"/>
          <w:spacing w:val="4"/>
          <w:kern w:val="0"/>
          <w:sz w:val="24"/>
        </w:rPr>
        <w:t>d. 审核工程变更所引起的工期变化。</w:t>
      </w:r>
    </w:p>
    <w:p w14:paraId="0CE280A1">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总监理工程师应就工程变更费用及工期的评估情况与承包人和委托人进行协调。</w:t>
      </w:r>
    </w:p>
    <w:p w14:paraId="1FEC5317">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⑤</w:t>
      </w:r>
      <w:r>
        <w:rPr>
          <w:snapToGrid w:val="0"/>
          <w:spacing w:val="4"/>
          <w:kern w:val="0"/>
          <w:sz w:val="24"/>
        </w:rPr>
        <w:t xml:space="preserve"> 总监理工程师签发工程变更单。工程变更单应包括工程变更要求、工程变更说明、工程变更费用和工期、必要的附件等内容，有设计变更文件的工程变更应附设计变更文件。</w:t>
      </w:r>
    </w:p>
    <w:p w14:paraId="7EC31763">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⑥</w:t>
      </w:r>
      <w:r>
        <w:rPr>
          <w:snapToGrid w:val="0"/>
          <w:spacing w:val="4"/>
          <w:kern w:val="0"/>
          <w:sz w:val="24"/>
        </w:rPr>
        <w:t xml:space="preserve"> 项目监理机构应根据工程变更单监督承包人实施。</w:t>
      </w:r>
    </w:p>
    <w:p w14:paraId="6ACA1579">
      <w:pPr>
        <w:topLinePunct/>
        <w:adjustRightInd w:val="0"/>
        <w:snapToGrid w:val="0"/>
        <w:spacing w:line="480" w:lineRule="exact"/>
        <w:ind w:firstLine="496" w:firstLineChars="200"/>
        <w:rPr>
          <w:snapToGrid w:val="0"/>
          <w:spacing w:val="4"/>
          <w:kern w:val="0"/>
          <w:sz w:val="24"/>
        </w:rPr>
      </w:pPr>
      <w:r>
        <w:rPr>
          <w:snapToGrid w:val="0"/>
          <w:spacing w:val="4"/>
          <w:kern w:val="0"/>
          <w:sz w:val="24"/>
        </w:rPr>
        <w:t>2）项目监理机构处理工程变更应符合下列要求：</w:t>
      </w:r>
    </w:p>
    <w:p w14:paraId="4EB3804F">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项目监理机构在工程变更的质量、费用和工期方面取得委托人授权后，应按施工合同规定与承包人进行协商，经协商达成一致后，总监理工程师应将协商结果向委托人通报，并由委托人与承包人在变更文件上签字；</w:t>
      </w:r>
    </w:p>
    <w:p w14:paraId="7EB13E79">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在项目监理机构未能就工程变更的质量、费用和工期方面取得委托人授权时，总监理工程师应协助委托人和承包人进行协商，并达成一致；</w:t>
      </w:r>
    </w:p>
    <w:p w14:paraId="72907D9A">
      <w:pPr>
        <w:topLinePunct/>
        <w:adjustRightInd w:val="0"/>
        <w:snapToGrid w:val="0"/>
        <w:spacing w:line="480" w:lineRule="exact"/>
        <w:ind w:firstLine="496" w:firstLineChars="200"/>
        <w:rPr>
          <w:snapToGrid w:val="0"/>
          <w:spacing w:val="4"/>
          <w:kern w:val="0"/>
          <w:sz w:val="24"/>
        </w:rPr>
      </w:pPr>
      <w:r>
        <w:rPr>
          <w:snapToGrid w:val="0"/>
          <w:spacing w:val="4"/>
          <w:kern w:val="0"/>
          <w:sz w:val="24"/>
        </w:rPr>
        <w:t>3）在总监理工程师签发工程变更单之前，承包人不得实施工程变更。</w:t>
      </w:r>
    </w:p>
    <w:p w14:paraId="4F77F4E9">
      <w:pPr>
        <w:topLinePunct/>
        <w:adjustRightInd w:val="0"/>
        <w:snapToGrid w:val="0"/>
        <w:spacing w:line="480" w:lineRule="exact"/>
        <w:ind w:firstLine="496" w:firstLineChars="200"/>
        <w:rPr>
          <w:snapToGrid w:val="0"/>
          <w:spacing w:val="4"/>
          <w:kern w:val="0"/>
          <w:sz w:val="24"/>
        </w:rPr>
      </w:pPr>
      <w:r>
        <w:rPr>
          <w:snapToGrid w:val="0"/>
          <w:spacing w:val="4"/>
          <w:kern w:val="0"/>
          <w:sz w:val="24"/>
        </w:rPr>
        <w:t>4）未经总监理工程师审查同意而实施的工程变更，项目监理机构不得予以计量。</w:t>
      </w:r>
    </w:p>
    <w:p w14:paraId="5AD70FE7">
      <w:pPr>
        <w:topLinePunct/>
        <w:adjustRightInd w:val="0"/>
        <w:snapToGrid w:val="0"/>
        <w:spacing w:line="480" w:lineRule="exact"/>
        <w:ind w:firstLine="496" w:firstLineChars="200"/>
        <w:rPr>
          <w:snapToGrid w:val="0"/>
          <w:spacing w:val="4"/>
          <w:kern w:val="0"/>
          <w:sz w:val="24"/>
        </w:rPr>
      </w:pPr>
      <w:r>
        <w:rPr>
          <w:snapToGrid w:val="0"/>
          <w:spacing w:val="4"/>
          <w:kern w:val="0"/>
          <w:sz w:val="24"/>
        </w:rPr>
        <w:t>5） 监理人必须按月度提交项目造价变更统计表给委托人。</w:t>
      </w:r>
    </w:p>
    <w:p w14:paraId="5E25A89E">
      <w:pPr>
        <w:topLinePunct/>
        <w:adjustRightInd w:val="0"/>
        <w:snapToGrid w:val="0"/>
        <w:spacing w:line="480" w:lineRule="exact"/>
        <w:ind w:firstLine="496" w:firstLineChars="200"/>
        <w:rPr>
          <w:snapToGrid w:val="0"/>
          <w:spacing w:val="4"/>
          <w:kern w:val="0"/>
          <w:sz w:val="24"/>
        </w:rPr>
      </w:pPr>
      <w:r>
        <w:rPr>
          <w:snapToGrid w:val="0"/>
          <w:spacing w:val="4"/>
          <w:kern w:val="0"/>
          <w:sz w:val="24"/>
        </w:rPr>
        <w:t>（7）工程签证的管理</w:t>
      </w:r>
    </w:p>
    <w:p w14:paraId="745F8E59">
      <w:pPr>
        <w:topLinePunct/>
        <w:adjustRightInd w:val="0"/>
        <w:snapToGrid w:val="0"/>
        <w:spacing w:line="480" w:lineRule="exact"/>
        <w:ind w:firstLine="496" w:firstLineChars="200"/>
        <w:rPr>
          <w:snapToGrid w:val="0"/>
          <w:spacing w:val="4"/>
          <w:kern w:val="0"/>
          <w:sz w:val="24"/>
        </w:rPr>
      </w:pPr>
      <w:r>
        <w:rPr>
          <w:snapToGrid w:val="0"/>
          <w:spacing w:val="4"/>
          <w:kern w:val="0"/>
          <w:sz w:val="24"/>
        </w:rPr>
        <w:t>按委托人工程签证管理的相关规定对工程的现场签证进行管理，因监理人把关不严，致使该部分工程签证所发生的费用超过合理费用的（以有权终审部门审定价对照为准），由监理人按</w:t>
      </w:r>
      <w:r>
        <w:rPr>
          <w:rFonts w:hint="eastAsia"/>
          <w:snapToGrid w:val="0"/>
          <w:spacing w:val="4"/>
          <w:kern w:val="0"/>
          <w:sz w:val="24"/>
        </w:rPr>
        <w:t>《监理（含项目管理）合同</w:t>
      </w:r>
      <w:r>
        <w:rPr>
          <w:rFonts w:hint="eastAsia"/>
          <w:snapToGrid w:val="0"/>
          <w:spacing w:val="4"/>
          <w:kern w:val="0"/>
          <w:sz w:val="24"/>
          <w:u w:val="none"/>
        </w:rPr>
        <w:t>》</w:t>
      </w:r>
      <w:r>
        <w:rPr>
          <w:snapToGrid w:val="0"/>
          <w:spacing w:val="4"/>
          <w:kern w:val="0"/>
          <w:sz w:val="24"/>
          <w:u w:val="none"/>
        </w:rPr>
        <w:t>专用条件</w:t>
      </w:r>
      <w:r>
        <w:rPr>
          <w:rFonts w:hint="eastAsia"/>
          <w:snapToGrid w:val="0"/>
          <w:spacing w:val="4"/>
          <w:kern w:val="0"/>
          <w:sz w:val="24"/>
          <w:u w:val="none"/>
        </w:rPr>
        <w:t>第十三</w:t>
      </w:r>
      <w:r>
        <w:rPr>
          <w:snapToGrid w:val="0"/>
          <w:spacing w:val="4"/>
          <w:kern w:val="0"/>
          <w:sz w:val="24"/>
          <w:u w:val="none"/>
        </w:rPr>
        <w:t>条的</w:t>
      </w:r>
      <w:r>
        <w:rPr>
          <w:snapToGrid w:val="0"/>
          <w:spacing w:val="4"/>
          <w:kern w:val="0"/>
          <w:sz w:val="24"/>
        </w:rPr>
        <w:t>有关约定承担违约责任。</w:t>
      </w:r>
    </w:p>
    <w:p w14:paraId="105B4E74">
      <w:pPr>
        <w:topLinePunct/>
        <w:adjustRightInd w:val="0"/>
        <w:snapToGrid w:val="0"/>
        <w:spacing w:line="480" w:lineRule="exact"/>
        <w:ind w:firstLine="496" w:firstLineChars="200"/>
        <w:rPr>
          <w:snapToGrid w:val="0"/>
          <w:spacing w:val="4"/>
          <w:kern w:val="0"/>
          <w:sz w:val="24"/>
        </w:rPr>
      </w:pPr>
      <w:r>
        <w:rPr>
          <w:snapToGrid w:val="0"/>
          <w:spacing w:val="4"/>
          <w:kern w:val="0"/>
          <w:sz w:val="24"/>
        </w:rPr>
        <w:t>（8）分段结算工作的管理</w:t>
      </w:r>
    </w:p>
    <w:p w14:paraId="0C2AC0BE">
      <w:pPr>
        <w:topLinePunct/>
        <w:adjustRightInd w:val="0"/>
        <w:snapToGrid w:val="0"/>
        <w:spacing w:line="480" w:lineRule="exact"/>
        <w:ind w:firstLine="496" w:firstLineChars="200"/>
        <w:rPr>
          <w:snapToGrid w:val="0"/>
          <w:spacing w:val="4"/>
          <w:kern w:val="0"/>
          <w:sz w:val="24"/>
        </w:rPr>
      </w:pPr>
      <w:r>
        <w:rPr>
          <w:snapToGrid w:val="0"/>
          <w:spacing w:val="4"/>
          <w:kern w:val="0"/>
          <w:sz w:val="24"/>
        </w:rPr>
        <w:t>1）为确保本合同工程结算的顺利进行，委托人可能对本合同工程按分部分项或单位工程进行分段结算（单位工程、分部工程或分项工程），监理人在接到委托人关于分段结算配合工作的指令后7天内向委托人提交相关的分段结算配合服务工作计划，监理人应根据经过委托人批准的分段结算配合服务工作计划积极配合相关的分段结算工作。</w:t>
      </w:r>
    </w:p>
    <w:p w14:paraId="2C286E31">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人应在承包人提交所完成的分部工程的结算文件（包括相关的结算资料）后15天内完成分段结算的审核工作并将向委托人提交审核报告。如承包人未能在施工合同规定的期限内提交相关结算文件，监理人应立即报告委托人裁处。</w:t>
      </w:r>
    </w:p>
    <w:p w14:paraId="189385EB">
      <w:pPr>
        <w:topLinePunct/>
        <w:adjustRightInd w:val="0"/>
        <w:snapToGrid w:val="0"/>
        <w:spacing w:line="480" w:lineRule="exact"/>
        <w:ind w:firstLine="496" w:firstLineChars="200"/>
        <w:rPr>
          <w:snapToGrid w:val="0"/>
          <w:spacing w:val="4"/>
          <w:kern w:val="0"/>
          <w:sz w:val="24"/>
        </w:rPr>
      </w:pPr>
      <w:r>
        <w:rPr>
          <w:snapToGrid w:val="0"/>
          <w:spacing w:val="4"/>
          <w:kern w:val="0"/>
          <w:sz w:val="24"/>
        </w:rPr>
        <w:t>3）如在施工过程中发生设计变更、新增工程等情况导致已经审定的分段结算的单位工程（分部或分项工程）发生变化的，监理人应在原审定的分段结算的基础上对变更、新增部分按本条约定的程序和要求进行结算审核，形成分段结算补充报告报送委托人。</w:t>
      </w:r>
    </w:p>
    <w:p w14:paraId="2CB02903">
      <w:pPr>
        <w:topLinePunct/>
        <w:adjustRightInd w:val="0"/>
        <w:snapToGrid w:val="0"/>
        <w:spacing w:line="480" w:lineRule="exact"/>
        <w:ind w:firstLine="496" w:firstLineChars="200"/>
        <w:rPr>
          <w:snapToGrid w:val="0"/>
          <w:spacing w:val="4"/>
          <w:kern w:val="0"/>
          <w:sz w:val="24"/>
        </w:rPr>
      </w:pPr>
      <w:r>
        <w:rPr>
          <w:snapToGrid w:val="0"/>
          <w:spacing w:val="4"/>
          <w:kern w:val="0"/>
          <w:sz w:val="24"/>
        </w:rPr>
        <w:t>4）分段结算涉及到的资料（但不限于以下）：</w:t>
      </w:r>
    </w:p>
    <w:p w14:paraId="1B4FF33F">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结算书；</w:t>
      </w:r>
    </w:p>
    <w:p w14:paraId="17128B64">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工程量计算书（即计算底稿）；</w:t>
      </w:r>
    </w:p>
    <w:p w14:paraId="391AB9CF">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钢筋抽料表（建筑、市政、园林景观等工程适用）；</w:t>
      </w:r>
    </w:p>
    <w:p w14:paraId="7E28C083">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图纸会审记录；</w:t>
      </w:r>
    </w:p>
    <w:p w14:paraId="7AB62631">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⑤</w:t>
      </w:r>
      <w:r>
        <w:rPr>
          <w:snapToGrid w:val="0"/>
          <w:spacing w:val="4"/>
          <w:kern w:val="0"/>
          <w:sz w:val="24"/>
        </w:rPr>
        <w:t xml:space="preserve"> 设计变更单；</w:t>
      </w:r>
    </w:p>
    <w:p w14:paraId="2C3CF7F2">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⑥</w:t>
      </w:r>
      <w:r>
        <w:rPr>
          <w:snapToGrid w:val="0"/>
          <w:spacing w:val="4"/>
          <w:kern w:val="0"/>
          <w:sz w:val="24"/>
        </w:rPr>
        <w:t xml:space="preserve"> 工程洽商记录；</w:t>
      </w:r>
    </w:p>
    <w:p w14:paraId="7329EDE5">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⑦</w:t>
      </w:r>
      <w:r>
        <w:rPr>
          <w:snapToGrid w:val="0"/>
          <w:spacing w:val="4"/>
          <w:kern w:val="0"/>
          <w:sz w:val="24"/>
        </w:rPr>
        <w:t xml:space="preserve"> 总监理工程师通知或委托人施工指令；</w:t>
      </w:r>
    </w:p>
    <w:p w14:paraId="1E6C4B3E">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⑧</w:t>
      </w:r>
      <w:r>
        <w:rPr>
          <w:snapToGrid w:val="0"/>
          <w:spacing w:val="4"/>
          <w:kern w:val="0"/>
          <w:sz w:val="24"/>
        </w:rPr>
        <w:t xml:space="preserve"> 会议纪要；</w:t>
      </w:r>
    </w:p>
    <w:p w14:paraId="0D995532">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⑨</w:t>
      </w:r>
      <w:r>
        <w:rPr>
          <w:snapToGrid w:val="0"/>
          <w:spacing w:val="4"/>
          <w:kern w:val="0"/>
          <w:sz w:val="24"/>
        </w:rPr>
        <w:t xml:space="preserve"> 工程签证；</w:t>
      </w:r>
    </w:p>
    <w:p w14:paraId="60C56AB6">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⑩</w:t>
      </w:r>
      <w:r>
        <w:rPr>
          <w:snapToGrid w:val="0"/>
          <w:spacing w:val="4"/>
          <w:kern w:val="0"/>
          <w:sz w:val="24"/>
        </w:rPr>
        <w:t xml:space="preserve"> 材料设备单价呈批审核单；</w:t>
      </w:r>
    </w:p>
    <w:p w14:paraId="121CF839">
      <w:pPr>
        <w:topLinePunct/>
        <w:adjustRightInd w:val="0"/>
        <w:snapToGrid w:val="0"/>
        <w:spacing w:line="480" w:lineRule="exact"/>
        <w:ind w:firstLine="558" w:firstLineChars="225"/>
        <w:rPr>
          <w:snapToGrid w:val="0"/>
          <w:spacing w:val="4"/>
          <w:kern w:val="0"/>
          <w:sz w:val="24"/>
        </w:rPr>
      </w:pPr>
      <w:r>
        <w:rPr>
          <w:rFonts w:ascii="Songti SC Regular" w:hAnsi="Songti SC Regular" w:eastAsia="Songti SC Regular" w:cs="Songti SC Regular"/>
          <w:snapToGrid w:val="0"/>
          <w:spacing w:val="4"/>
          <w:kern w:val="0"/>
          <w:sz w:val="24"/>
        </w:rPr>
        <w:fldChar w:fldCharType="begin"/>
      </w:r>
      <w:r>
        <w:rPr>
          <w:rFonts w:ascii="Songti SC Regular" w:hAnsi="Songti SC Regular" w:eastAsia="Songti SC Regular" w:cs="Songti SC Regular"/>
          <w:snapToGrid w:val="0"/>
          <w:spacing w:val="4"/>
          <w:kern w:val="0"/>
          <w:sz w:val="24"/>
        </w:rPr>
        <w:instrText xml:space="preserve"> eq \o\ac(</w:instrText>
      </w:r>
      <w:r>
        <w:rPr>
          <w:rFonts w:hint="eastAsia" w:ascii="Songti SC Regular" w:hAnsi="Songti SC Regular" w:eastAsia="Songti SC Regular" w:cs="Songti SC Regular"/>
          <w:snapToGrid w:val="0"/>
          <w:spacing w:val="4"/>
          <w:kern w:val="0"/>
          <w:position w:val="-4"/>
          <w:sz w:val="36"/>
        </w:rPr>
        <w:instrText xml:space="preserve">○</w:instrText>
      </w:r>
      <w:r>
        <w:rPr>
          <w:rFonts w:ascii="Songti SC Regular" w:hAnsi="Songti SC Regular" w:eastAsia="Songti SC Regular" w:cs="Songti SC Regular"/>
          <w:snapToGrid w:val="0"/>
          <w:spacing w:val="4"/>
          <w:kern w:val="0"/>
          <w:sz w:val="24"/>
        </w:rPr>
        <w:instrText xml:space="preserve">,</w:instrText>
      </w:r>
      <w:r>
        <w:rPr>
          <w:rFonts w:ascii="Songti SC Regular" w:hAnsi="Songti SC Regular" w:eastAsia="Songti SC Regular" w:cs="Songti SC Regular"/>
          <w:snapToGrid w:val="0"/>
          <w:kern w:val="0"/>
          <w:sz w:val="24"/>
        </w:rPr>
        <w:instrText xml:space="preserve">11</w:instrText>
      </w:r>
      <w:r>
        <w:rPr>
          <w:rFonts w:ascii="Songti SC Regular" w:hAnsi="Songti SC Regular" w:eastAsia="Songti SC Regular" w:cs="Songti SC Regular"/>
          <w:snapToGrid w:val="0"/>
          <w:spacing w:val="4"/>
          <w:kern w:val="0"/>
          <w:sz w:val="24"/>
        </w:rPr>
        <w:instrText xml:space="preserve">)</w:instrText>
      </w:r>
      <w:r>
        <w:rPr>
          <w:rFonts w:ascii="Songti SC Regular" w:hAnsi="Songti SC Regular" w:eastAsia="Songti SC Regular" w:cs="Songti SC Regular"/>
          <w:snapToGrid w:val="0"/>
          <w:spacing w:val="4"/>
          <w:kern w:val="0"/>
          <w:sz w:val="24"/>
        </w:rPr>
        <w:fldChar w:fldCharType="end"/>
      </w:r>
      <w:r>
        <w:rPr>
          <w:snapToGrid w:val="0"/>
          <w:spacing w:val="4"/>
          <w:kern w:val="0"/>
          <w:sz w:val="24"/>
        </w:rPr>
        <w:t xml:space="preserve"> 综合单价呈批审核单；</w:t>
      </w:r>
    </w:p>
    <w:p w14:paraId="615C4E4D">
      <w:pPr>
        <w:topLinePunct/>
        <w:adjustRightInd w:val="0"/>
        <w:snapToGrid w:val="0"/>
        <w:spacing w:line="480" w:lineRule="exact"/>
        <w:ind w:firstLine="558" w:firstLineChars="225"/>
        <w:rPr>
          <w:snapToGrid w:val="0"/>
          <w:spacing w:val="4"/>
          <w:kern w:val="0"/>
          <w:sz w:val="24"/>
        </w:rPr>
      </w:pPr>
      <w:r>
        <w:rPr>
          <w:rFonts w:hint="eastAsia" w:ascii="Songti SC Regular" w:hAnsi="Songti SC Regular" w:eastAsia="Songti SC Regular" w:cs="Songti SC Regular"/>
          <w:snapToGrid w:val="0"/>
          <w:spacing w:val="4"/>
          <w:kern w:val="0"/>
          <w:sz w:val="24"/>
        </w:rPr>
        <w:fldChar w:fldCharType="begin"/>
      </w:r>
      <w:r>
        <w:rPr>
          <w:rFonts w:hint="eastAsia" w:ascii="Songti SC Regular" w:hAnsi="Songti SC Regular" w:eastAsia="Songti SC Regular" w:cs="Songti SC Regular"/>
          <w:snapToGrid w:val="0"/>
          <w:spacing w:val="4"/>
          <w:kern w:val="0"/>
          <w:sz w:val="24"/>
        </w:rPr>
        <w:instrText xml:space="preserve"> eq \o\ac(</w:instrText>
      </w:r>
      <w:r>
        <w:rPr>
          <w:rFonts w:hint="eastAsia" w:ascii="Songti SC Regular" w:hAnsi="Songti SC Regular" w:eastAsia="Songti SC Regular" w:cs="Songti SC Regular"/>
          <w:snapToGrid w:val="0"/>
          <w:spacing w:val="4"/>
          <w:kern w:val="0"/>
          <w:position w:val="-4"/>
          <w:sz w:val="36"/>
        </w:rPr>
        <w:instrText xml:space="preserve">○</w:instrText>
      </w:r>
      <w:r>
        <w:rPr>
          <w:rFonts w:hint="eastAsia" w:ascii="Songti SC Regular" w:hAnsi="Songti SC Regular" w:eastAsia="Songti SC Regular" w:cs="Songti SC Regular"/>
          <w:snapToGrid w:val="0"/>
          <w:spacing w:val="4"/>
          <w:kern w:val="0"/>
          <w:sz w:val="24"/>
        </w:rPr>
        <w:instrText xml:space="preserve">,</w:instrText>
      </w:r>
      <w:r>
        <w:rPr>
          <w:rFonts w:hint="eastAsia" w:ascii="Songti SC Regular" w:hAnsi="Songti SC Regular" w:eastAsia="Songti SC Regular" w:cs="Songti SC Regular"/>
          <w:snapToGrid w:val="0"/>
          <w:kern w:val="0"/>
          <w:sz w:val="24"/>
        </w:rPr>
        <w:instrText xml:space="preserve">12</w:instrText>
      </w:r>
      <w:r>
        <w:rPr>
          <w:rFonts w:hint="eastAsia" w:ascii="Songti SC Regular" w:hAnsi="Songti SC Regular" w:eastAsia="Songti SC Regular" w:cs="Songti SC Regular"/>
          <w:snapToGrid w:val="0"/>
          <w:spacing w:val="4"/>
          <w:kern w:val="0"/>
          <w:sz w:val="24"/>
        </w:rPr>
        <w:instrText xml:space="preserve">)</w:instrText>
      </w:r>
      <w:r>
        <w:rPr>
          <w:rFonts w:hint="eastAsia" w:ascii="Songti SC Regular" w:hAnsi="Songti SC Regular" w:eastAsia="Songti SC Regular" w:cs="Songti SC Regular"/>
          <w:snapToGrid w:val="0"/>
          <w:spacing w:val="4"/>
          <w:kern w:val="0"/>
          <w:sz w:val="24"/>
        </w:rPr>
        <w:fldChar w:fldCharType="end"/>
      </w:r>
      <w:r>
        <w:rPr>
          <w:snapToGrid w:val="0"/>
          <w:spacing w:val="4"/>
          <w:kern w:val="0"/>
          <w:sz w:val="24"/>
        </w:rPr>
        <w:t xml:space="preserve"> 委托人供应材料收货验收签收单；</w:t>
      </w:r>
    </w:p>
    <w:p w14:paraId="040E029D">
      <w:pPr>
        <w:topLinePunct/>
        <w:adjustRightInd w:val="0"/>
        <w:snapToGrid w:val="0"/>
        <w:spacing w:line="480" w:lineRule="exact"/>
        <w:ind w:firstLine="558" w:firstLineChars="225"/>
        <w:rPr>
          <w:snapToGrid w:val="0"/>
          <w:spacing w:val="4"/>
          <w:kern w:val="0"/>
          <w:sz w:val="24"/>
        </w:rPr>
      </w:pPr>
      <w:r>
        <w:rPr>
          <w:rFonts w:hint="eastAsia" w:ascii="Songti SC Regular" w:hAnsi="Songti SC Regular" w:eastAsia="Songti SC Regular" w:cs="Songti SC Regular"/>
          <w:snapToGrid w:val="0"/>
          <w:spacing w:val="4"/>
          <w:kern w:val="0"/>
          <w:sz w:val="24"/>
        </w:rPr>
        <w:fldChar w:fldCharType="begin"/>
      </w:r>
      <w:r>
        <w:rPr>
          <w:rFonts w:hint="eastAsia" w:ascii="Songti SC Regular" w:hAnsi="Songti SC Regular" w:eastAsia="Songti SC Regular" w:cs="Songti SC Regular"/>
          <w:snapToGrid w:val="0"/>
          <w:spacing w:val="4"/>
          <w:kern w:val="0"/>
          <w:sz w:val="24"/>
        </w:rPr>
        <w:instrText xml:space="preserve"> eq \o\ac(</w:instrText>
      </w:r>
      <w:r>
        <w:rPr>
          <w:rFonts w:hint="eastAsia" w:ascii="Songti SC Regular" w:hAnsi="Songti SC Regular" w:eastAsia="Songti SC Regular" w:cs="Songti SC Regular"/>
          <w:snapToGrid w:val="0"/>
          <w:spacing w:val="4"/>
          <w:kern w:val="0"/>
          <w:position w:val="-4"/>
          <w:sz w:val="36"/>
        </w:rPr>
        <w:instrText xml:space="preserve">○</w:instrText>
      </w:r>
      <w:r>
        <w:rPr>
          <w:rFonts w:hint="eastAsia" w:ascii="Songti SC Regular" w:hAnsi="Songti SC Regular" w:eastAsia="Songti SC Regular" w:cs="Songti SC Regular"/>
          <w:snapToGrid w:val="0"/>
          <w:spacing w:val="4"/>
          <w:kern w:val="0"/>
          <w:sz w:val="24"/>
        </w:rPr>
        <w:instrText xml:space="preserve">,</w:instrText>
      </w:r>
      <w:r>
        <w:rPr>
          <w:rFonts w:hint="eastAsia" w:ascii="Songti SC Regular" w:hAnsi="Songti SC Regular" w:eastAsia="Songti SC Regular" w:cs="Songti SC Regular"/>
          <w:snapToGrid w:val="0"/>
          <w:kern w:val="0"/>
          <w:sz w:val="24"/>
        </w:rPr>
        <w:instrText xml:space="preserve">13</w:instrText>
      </w:r>
      <w:r>
        <w:rPr>
          <w:rFonts w:hint="eastAsia" w:ascii="Songti SC Regular" w:hAnsi="Songti SC Regular" w:eastAsia="Songti SC Regular" w:cs="Songti SC Regular"/>
          <w:snapToGrid w:val="0"/>
          <w:spacing w:val="4"/>
          <w:kern w:val="0"/>
          <w:sz w:val="24"/>
        </w:rPr>
        <w:instrText xml:space="preserve">)</w:instrText>
      </w:r>
      <w:r>
        <w:rPr>
          <w:rFonts w:hint="eastAsia" w:ascii="Songti SC Regular" w:hAnsi="Songti SC Regular" w:eastAsia="Songti SC Regular" w:cs="Songti SC Regular"/>
          <w:snapToGrid w:val="0"/>
          <w:spacing w:val="4"/>
          <w:kern w:val="0"/>
          <w:sz w:val="24"/>
        </w:rPr>
        <w:fldChar w:fldCharType="end"/>
      </w:r>
      <w:r>
        <w:rPr>
          <w:snapToGrid w:val="0"/>
          <w:spacing w:val="4"/>
          <w:kern w:val="0"/>
          <w:sz w:val="24"/>
        </w:rPr>
        <w:t xml:space="preserve"> 验收记录或验收报告；</w:t>
      </w:r>
    </w:p>
    <w:p w14:paraId="38C82295">
      <w:pPr>
        <w:topLinePunct/>
        <w:adjustRightInd w:val="0"/>
        <w:snapToGrid w:val="0"/>
        <w:spacing w:line="480" w:lineRule="exact"/>
        <w:ind w:firstLine="558" w:firstLineChars="225"/>
        <w:rPr>
          <w:snapToGrid w:val="0"/>
          <w:spacing w:val="4"/>
          <w:kern w:val="0"/>
          <w:sz w:val="24"/>
        </w:rPr>
      </w:pPr>
      <w:r>
        <w:rPr>
          <w:rFonts w:hint="eastAsia" w:ascii="Songti SC Regular" w:hAnsi="Songti SC Regular" w:eastAsia="Songti SC Regular" w:cs="Songti SC Regular"/>
          <w:snapToGrid w:val="0"/>
          <w:spacing w:val="4"/>
          <w:kern w:val="0"/>
          <w:sz w:val="24"/>
        </w:rPr>
        <w:fldChar w:fldCharType="begin"/>
      </w:r>
      <w:r>
        <w:rPr>
          <w:rFonts w:hint="eastAsia" w:ascii="Songti SC Regular" w:hAnsi="Songti SC Regular" w:eastAsia="Songti SC Regular" w:cs="Songti SC Regular"/>
          <w:snapToGrid w:val="0"/>
          <w:spacing w:val="4"/>
          <w:kern w:val="0"/>
          <w:sz w:val="24"/>
        </w:rPr>
        <w:instrText xml:space="preserve"> eq \o\ac(</w:instrText>
      </w:r>
      <w:r>
        <w:rPr>
          <w:rFonts w:hint="eastAsia" w:ascii="Songti SC Regular" w:hAnsi="Songti SC Regular" w:eastAsia="Songti SC Regular" w:cs="Songti SC Regular"/>
          <w:snapToGrid w:val="0"/>
          <w:spacing w:val="4"/>
          <w:kern w:val="0"/>
          <w:position w:val="-4"/>
          <w:sz w:val="36"/>
        </w:rPr>
        <w:instrText xml:space="preserve">○</w:instrText>
      </w:r>
      <w:r>
        <w:rPr>
          <w:rFonts w:hint="eastAsia" w:ascii="Songti SC Regular" w:hAnsi="Songti SC Regular" w:eastAsia="Songti SC Regular" w:cs="Songti SC Regular"/>
          <w:snapToGrid w:val="0"/>
          <w:spacing w:val="4"/>
          <w:kern w:val="0"/>
          <w:sz w:val="24"/>
        </w:rPr>
        <w:instrText xml:space="preserve">,</w:instrText>
      </w:r>
      <w:r>
        <w:rPr>
          <w:rFonts w:hint="eastAsia" w:ascii="Songti SC Regular" w:hAnsi="Songti SC Regular" w:eastAsia="Songti SC Regular" w:cs="Songti SC Regular"/>
          <w:snapToGrid w:val="0"/>
          <w:kern w:val="0"/>
          <w:sz w:val="24"/>
        </w:rPr>
        <w:instrText xml:space="preserve">14</w:instrText>
      </w:r>
      <w:r>
        <w:rPr>
          <w:rFonts w:hint="eastAsia" w:ascii="Songti SC Regular" w:hAnsi="Songti SC Regular" w:eastAsia="Songti SC Regular" w:cs="Songti SC Regular"/>
          <w:snapToGrid w:val="0"/>
          <w:spacing w:val="4"/>
          <w:kern w:val="0"/>
          <w:sz w:val="24"/>
        </w:rPr>
        <w:instrText xml:space="preserve">)</w:instrText>
      </w:r>
      <w:r>
        <w:rPr>
          <w:rFonts w:hint="eastAsia" w:ascii="Songti SC Regular" w:hAnsi="Songti SC Regular" w:eastAsia="Songti SC Regular" w:cs="Songti SC Regular"/>
          <w:snapToGrid w:val="0"/>
          <w:spacing w:val="4"/>
          <w:kern w:val="0"/>
          <w:sz w:val="24"/>
        </w:rPr>
        <w:fldChar w:fldCharType="end"/>
      </w:r>
      <w:r>
        <w:rPr>
          <w:rFonts w:hint="eastAsia" w:ascii="Songti SC Regular" w:hAnsi="Songti SC Regular" w:eastAsia="Songti SC Regular" w:cs="Songti SC Regular"/>
          <w:snapToGrid w:val="0"/>
          <w:spacing w:val="4"/>
          <w:kern w:val="0"/>
          <w:sz w:val="24"/>
        </w:rPr>
        <w:t xml:space="preserve"> </w:t>
      </w:r>
      <w:r>
        <w:rPr>
          <w:snapToGrid w:val="0"/>
          <w:spacing w:val="4"/>
          <w:kern w:val="0"/>
          <w:sz w:val="24"/>
        </w:rPr>
        <w:t>其他分段结算资料；</w:t>
      </w:r>
    </w:p>
    <w:p w14:paraId="6CF83AEA">
      <w:pPr>
        <w:topLinePunct/>
        <w:adjustRightInd w:val="0"/>
        <w:snapToGrid w:val="0"/>
        <w:spacing w:line="480" w:lineRule="exact"/>
        <w:ind w:firstLine="558" w:firstLineChars="225"/>
        <w:rPr>
          <w:snapToGrid w:val="0"/>
          <w:spacing w:val="4"/>
          <w:kern w:val="0"/>
          <w:sz w:val="24"/>
        </w:rPr>
      </w:pPr>
      <w:r>
        <w:rPr>
          <w:rFonts w:hint="eastAsia" w:ascii="Songti SC Regular" w:hAnsi="Songti SC Regular" w:eastAsia="Songti SC Regular" w:cs="Songti SC Regular"/>
          <w:snapToGrid w:val="0"/>
          <w:spacing w:val="4"/>
          <w:kern w:val="0"/>
          <w:sz w:val="24"/>
        </w:rPr>
        <w:fldChar w:fldCharType="begin"/>
      </w:r>
      <w:r>
        <w:rPr>
          <w:rFonts w:hint="eastAsia" w:ascii="Songti SC Regular" w:hAnsi="Songti SC Regular" w:eastAsia="Songti SC Regular" w:cs="Songti SC Regular"/>
          <w:snapToGrid w:val="0"/>
          <w:spacing w:val="4"/>
          <w:kern w:val="0"/>
          <w:sz w:val="24"/>
        </w:rPr>
        <w:instrText xml:space="preserve"> eq \o\ac(</w:instrText>
      </w:r>
      <w:r>
        <w:rPr>
          <w:rFonts w:hint="eastAsia" w:ascii="Songti SC Regular" w:hAnsi="Songti SC Regular" w:eastAsia="Songti SC Regular" w:cs="Songti SC Regular"/>
          <w:snapToGrid w:val="0"/>
          <w:spacing w:val="4"/>
          <w:kern w:val="0"/>
          <w:position w:val="-4"/>
          <w:sz w:val="36"/>
        </w:rPr>
        <w:instrText xml:space="preserve">○</w:instrText>
      </w:r>
      <w:r>
        <w:rPr>
          <w:rFonts w:hint="eastAsia" w:ascii="Songti SC Regular" w:hAnsi="Songti SC Regular" w:eastAsia="Songti SC Regular" w:cs="Songti SC Regular"/>
          <w:snapToGrid w:val="0"/>
          <w:spacing w:val="4"/>
          <w:kern w:val="0"/>
          <w:sz w:val="24"/>
        </w:rPr>
        <w:instrText xml:space="preserve">,</w:instrText>
      </w:r>
      <w:r>
        <w:rPr>
          <w:rFonts w:hint="eastAsia" w:ascii="Songti SC Regular" w:hAnsi="Songti SC Regular" w:eastAsia="Songti SC Regular" w:cs="Songti SC Regular"/>
          <w:snapToGrid w:val="0"/>
          <w:kern w:val="0"/>
          <w:sz w:val="24"/>
        </w:rPr>
        <w:instrText xml:space="preserve">15</w:instrText>
      </w:r>
      <w:r>
        <w:rPr>
          <w:rFonts w:hint="eastAsia" w:ascii="Songti SC Regular" w:hAnsi="Songti SC Regular" w:eastAsia="Songti SC Regular" w:cs="Songti SC Regular"/>
          <w:snapToGrid w:val="0"/>
          <w:spacing w:val="4"/>
          <w:kern w:val="0"/>
          <w:sz w:val="24"/>
        </w:rPr>
        <w:instrText xml:space="preserve">)</w:instrText>
      </w:r>
      <w:r>
        <w:rPr>
          <w:rFonts w:hint="eastAsia" w:ascii="Songti SC Regular" w:hAnsi="Songti SC Regular" w:eastAsia="Songti SC Regular" w:cs="Songti SC Regular"/>
          <w:snapToGrid w:val="0"/>
          <w:spacing w:val="4"/>
          <w:kern w:val="0"/>
          <w:sz w:val="24"/>
        </w:rPr>
        <w:fldChar w:fldCharType="end"/>
      </w:r>
      <w:r>
        <w:rPr>
          <w:snapToGrid w:val="0"/>
          <w:spacing w:val="4"/>
          <w:kern w:val="0"/>
          <w:sz w:val="24"/>
        </w:rPr>
        <w:t xml:space="preserve"> 移交资料签收表。</w:t>
      </w:r>
    </w:p>
    <w:p w14:paraId="6E7A72E4">
      <w:pPr>
        <w:topLinePunct/>
        <w:adjustRightInd w:val="0"/>
        <w:snapToGrid w:val="0"/>
        <w:spacing w:line="480" w:lineRule="exact"/>
        <w:ind w:firstLine="498" w:firstLineChars="200"/>
        <w:outlineLvl w:val="4"/>
        <w:rPr>
          <w:b/>
          <w:snapToGrid w:val="0"/>
          <w:spacing w:val="4"/>
          <w:kern w:val="0"/>
          <w:sz w:val="24"/>
        </w:rPr>
      </w:pPr>
      <w:r>
        <w:rPr>
          <w:b/>
          <w:snapToGrid w:val="0"/>
          <w:spacing w:val="4"/>
          <w:kern w:val="0"/>
          <w:sz w:val="24"/>
        </w:rPr>
        <w:t>4.2.</w:t>
      </w:r>
      <w:r>
        <w:rPr>
          <w:rFonts w:hint="eastAsia"/>
          <w:b/>
          <w:snapToGrid w:val="0"/>
          <w:spacing w:val="4"/>
          <w:kern w:val="0"/>
          <w:sz w:val="24"/>
        </w:rPr>
        <w:t>4</w:t>
      </w:r>
      <w:r>
        <w:rPr>
          <w:b/>
          <w:snapToGrid w:val="0"/>
          <w:spacing w:val="4"/>
          <w:kern w:val="0"/>
          <w:sz w:val="24"/>
        </w:rPr>
        <w:t>.3  工程进度控制工作</w:t>
      </w:r>
    </w:p>
    <w:p w14:paraId="3714A234">
      <w:pPr>
        <w:topLinePunct/>
        <w:adjustRightInd w:val="0"/>
        <w:snapToGrid w:val="0"/>
        <w:spacing w:line="480" w:lineRule="exact"/>
        <w:ind w:firstLine="496" w:firstLineChars="200"/>
        <w:rPr>
          <w:snapToGrid w:val="0"/>
          <w:spacing w:val="4"/>
          <w:kern w:val="0"/>
          <w:sz w:val="24"/>
        </w:rPr>
      </w:pPr>
      <w:r>
        <w:rPr>
          <w:snapToGrid w:val="0"/>
          <w:spacing w:val="4"/>
          <w:kern w:val="0"/>
          <w:sz w:val="24"/>
        </w:rPr>
        <w:t>（1）项目监理机构应按下列程序进行工程进度控制：</w:t>
      </w:r>
    </w:p>
    <w:p w14:paraId="7D5BDC66">
      <w:pPr>
        <w:topLinePunct/>
        <w:adjustRightInd w:val="0"/>
        <w:snapToGrid w:val="0"/>
        <w:spacing w:line="480" w:lineRule="exact"/>
        <w:ind w:firstLine="496" w:firstLineChars="200"/>
        <w:rPr>
          <w:snapToGrid w:val="0"/>
          <w:spacing w:val="4"/>
          <w:kern w:val="0"/>
          <w:sz w:val="24"/>
        </w:rPr>
      </w:pPr>
      <w:r>
        <w:rPr>
          <w:snapToGrid w:val="0"/>
          <w:spacing w:val="4"/>
          <w:kern w:val="0"/>
          <w:sz w:val="24"/>
        </w:rPr>
        <w:t>1）总监理工程师审批承包人报送的施工总进度计划；</w:t>
      </w:r>
    </w:p>
    <w:p w14:paraId="659FCF7F">
      <w:pPr>
        <w:topLinePunct/>
        <w:adjustRightInd w:val="0"/>
        <w:snapToGrid w:val="0"/>
        <w:spacing w:line="480" w:lineRule="exact"/>
        <w:ind w:firstLine="496" w:firstLineChars="200"/>
        <w:rPr>
          <w:snapToGrid w:val="0"/>
          <w:spacing w:val="4"/>
          <w:kern w:val="0"/>
          <w:sz w:val="24"/>
        </w:rPr>
      </w:pPr>
      <w:r>
        <w:rPr>
          <w:snapToGrid w:val="0"/>
          <w:spacing w:val="4"/>
          <w:kern w:val="0"/>
          <w:sz w:val="24"/>
        </w:rPr>
        <w:t>2）总监理工程师审批承包人编制的年、季、月度施工进度计划；</w:t>
      </w:r>
    </w:p>
    <w:p w14:paraId="035C6A8D">
      <w:pPr>
        <w:topLinePunct/>
        <w:adjustRightInd w:val="0"/>
        <w:snapToGrid w:val="0"/>
        <w:spacing w:line="480" w:lineRule="exact"/>
        <w:ind w:firstLine="496" w:firstLineChars="200"/>
        <w:rPr>
          <w:snapToGrid w:val="0"/>
          <w:spacing w:val="4"/>
          <w:kern w:val="0"/>
          <w:sz w:val="24"/>
        </w:rPr>
      </w:pPr>
      <w:r>
        <w:rPr>
          <w:snapToGrid w:val="0"/>
          <w:spacing w:val="4"/>
          <w:kern w:val="0"/>
          <w:sz w:val="24"/>
        </w:rPr>
        <w:t>3）专业监理工程师对进度计划实施情况检查、分析</w:t>
      </w:r>
      <w:r>
        <w:rPr>
          <w:rFonts w:hint="eastAsia"/>
          <w:snapToGrid w:val="0"/>
          <w:spacing w:val="4"/>
          <w:kern w:val="0"/>
          <w:sz w:val="24"/>
        </w:rPr>
        <w:t>，对比实际进度与计划进度偏差</w:t>
      </w:r>
      <w:r>
        <w:rPr>
          <w:snapToGrid w:val="0"/>
          <w:spacing w:val="4"/>
          <w:kern w:val="0"/>
          <w:sz w:val="24"/>
        </w:rPr>
        <w:t>；</w:t>
      </w:r>
    </w:p>
    <w:p w14:paraId="733E213D">
      <w:pPr>
        <w:topLinePunct/>
        <w:adjustRightInd w:val="0"/>
        <w:snapToGrid w:val="0"/>
        <w:spacing w:line="480" w:lineRule="exact"/>
        <w:ind w:firstLine="496" w:firstLineChars="200"/>
        <w:rPr>
          <w:snapToGrid w:val="0"/>
          <w:spacing w:val="4"/>
          <w:kern w:val="0"/>
          <w:sz w:val="24"/>
        </w:rPr>
      </w:pPr>
      <w:r>
        <w:rPr>
          <w:snapToGrid w:val="0"/>
          <w:spacing w:val="4"/>
          <w:kern w:val="0"/>
          <w:sz w:val="24"/>
        </w:rPr>
        <w:t>4）当实际进度符合计划进度时，应要求承包人编制下一期进度计划；当实际进度滞后于计划进度时，专业监理工程师应书面通知承包人采取纠偏措施并监督实施。</w:t>
      </w:r>
    </w:p>
    <w:p w14:paraId="29DB272F">
      <w:pPr>
        <w:topLinePunct/>
        <w:adjustRightInd w:val="0"/>
        <w:snapToGrid w:val="0"/>
        <w:spacing w:line="480" w:lineRule="exact"/>
        <w:ind w:firstLine="496" w:firstLineChars="200"/>
        <w:rPr>
          <w:snapToGrid w:val="0"/>
          <w:spacing w:val="4"/>
          <w:kern w:val="0"/>
          <w:sz w:val="24"/>
        </w:rPr>
      </w:pPr>
      <w:r>
        <w:rPr>
          <w:snapToGrid w:val="0"/>
          <w:spacing w:val="4"/>
          <w:kern w:val="0"/>
          <w:sz w:val="24"/>
        </w:rPr>
        <w:t>（2）专业监理工程师应依据施工合同有关条款、施工图及经过批准的施工组织设计制定进度控制方案，对进度目标进行风险分析，制定防范性对策，经总监理工程师审定后报送委托人。</w:t>
      </w:r>
    </w:p>
    <w:p w14:paraId="70B2B5EA">
      <w:pPr>
        <w:topLinePunct/>
        <w:adjustRightInd w:val="0"/>
        <w:snapToGrid w:val="0"/>
        <w:spacing w:line="480" w:lineRule="exact"/>
        <w:ind w:firstLine="496" w:firstLineChars="200"/>
        <w:rPr>
          <w:snapToGrid w:val="0"/>
          <w:spacing w:val="4"/>
          <w:kern w:val="0"/>
          <w:sz w:val="24"/>
        </w:rPr>
      </w:pPr>
      <w:r>
        <w:rPr>
          <w:snapToGrid w:val="0"/>
          <w:spacing w:val="4"/>
          <w:kern w:val="0"/>
          <w:sz w:val="24"/>
        </w:rPr>
        <w:t>（3）专业监理工程师应检查进度计划的实施，并记录实际进度及其相关情况。</w:t>
      </w:r>
    </w:p>
    <w:p w14:paraId="10A47FD9">
      <w:pPr>
        <w:topLinePunct/>
        <w:adjustRightInd w:val="0"/>
        <w:snapToGrid w:val="0"/>
        <w:spacing w:line="480" w:lineRule="exact"/>
        <w:ind w:firstLine="496" w:firstLineChars="200"/>
        <w:rPr>
          <w:snapToGrid w:val="0"/>
          <w:spacing w:val="4"/>
          <w:kern w:val="0"/>
          <w:sz w:val="24"/>
        </w:rPr>
      </w:pPr>
      <w:r>
        <w:rPr>
          <w:snapToGrid w:val="0"/>
          <w:spacing w:val="4"/>
          <w:kern w:val="0"/>
          <w:sz w:val="24"/>
        </w:rPr>
        <w:t>（4）施工阶段的工程进度控制中的其他监理工作</w:t>
      </w:r>
    </w:p>
    <w:p w14:paraId="44F17138">
      <w:pPr>
        <w:topLinePunct/>
        <w:adjustRightInd w:val="0"/>
        <w:snapToGrid w:val="0"/>
        <w:spacing w:line="480" w:lineRule="exact"/>
        <w:ind w:firstLine="496" w:firstLineChars="200"/>
        <w:rPr>
          <w:snapToGrid w:val="0"/>
          <w:spacing w:val="4"/>
          <w:kern w:val="0"/>
          <w:sz w:val="24"/>
        </w:rPr>
      </w:pPr>
      <w:r>
        <w:rPr>
          <w:snapToGrid w:val="0"/>
          <w:spacing w:val="4"/>
          <w:kern w:val="0"/>
          <w:sz w:val="24"/>
        </w:rPr>
        <w:t>当发现实际进度滞后于计划进度时，应签发监理工程师通知单指令承包人采取调整措施。当实际进度严重滞后于计划进度时应及时报总监理工程师，由总监理工程师与委托人商定采取进一步措施。</w:t>
      </w:r>
    </w:p>
    <w:p w14:paraId="5479C631">
      <w:pPr>
        <w:topLinePunct/>
        <w:adjustRightInd w:val="0"/>
        <w:snapToGrid w:val="0"/>
        <w:spacing w:line="480" w:lineRule="exact"/>
        <w:ind w:firstLine="496" w:firstLineChars="200"/>
        <w:rPr>
          <w:snapToGrid w:val="0"/>
          <w:spacing w:val="4"/>
          <w:kern w:val="0"/>
          <w:sz w:val="24"/>
        </w:rPr>
      </w:pPr>
      <w:r>
        <w:rPr>
          <w:snapToGrid w:val="0"/>
          <w:spacing w:val="4"/>
          <w:kern w:val="0"/>
          <w:sz w:val="24"/>
        </w:rPr>
        <w:t>总监理工程师应在监理月报中向委托人报告工程进度和所采取进度控制措施的执行情况，并提出合理预防由于委托人原因导致的工程延期及其相关费用索赔的建议。</w:t>
      </w:r>
    </w:p>
    <w:p w14:paraId="2E8A594E">
      <w:pPr>
        <w:topLinePunct/>
        <w:adjustRightInd w:val="0"/>
        <w:snapToGrid w:val="0"/>
        <w:spacing w:line="480" w:lineRule="exact"/>
        <w:ind w:firstLine="498" w:firstLineChars="200"/>
        <w:outlineLvl w:val="4"/>
        <w:rPr>
          <w:b/>
          <w:bCs/>
          <w:snapToGrid w:val="0"/>
          <w:spacing w:val="4"/>
          <w:kern w:val="0"/>
          <w:sz w:val="24"/>
        </w:rPr>
      </w:pPr>
      <w:r>
        <w:rPr>
          <w:b/>
          <w:snapToGrid w:val="0"/>
          <w:spacing w:val="4"/>
          <w:kern w:val="0"/>
          <w:sz w:val="24"/>
        </w:rPr>
        <w:t>4.2.</w:t>
      </w:r>
      <w:r>
        <w:rPr>
          <w:rFonts w:hint="eastAsia"/>
          <w:b/>
          <w:snapToGrid w:val="0"/>
          <w:spacing w:val="4"/>
          <w:kern w:val="0"/>
          <w:sz w:val="24"/>
        </w:rPr>
        <w:t>4</w:t>
      </w:r>
      <w:r>
        <w:rPr>
          <w:b/>
          <w:snapToGrid w:val="0"/>
          <w:spacing w:val="4"/>
          <w:kern w:val="0"/>
          <w:sz w:val="24"/>
        </w:rPr>
        <w:t>.4 工程职业健康安全控制工作</w:t>
      </w:r>
    </w:p>
    <w:p w14:paraId="4401CD61">
      <w:pPr>
        <w:topLinePunct/>
        <w:adjustRightInd w:val="0"/>
        <w:snapToGrid w:val="0"/>
        <w:spacing w:line="480" w:lineRule="exact"/>
        <w:ind w:firstLine="496" w:firstLineChars="200"/>
        <w:rPr>
          <w:snapToGrid w:val="0"/>
          <w:spacing w:val="4"/>
          <w:kern w:val="0"/>
          <w:sz w:val="24"/>
        </w:rPr>
      </w:pPr>
      <w:r>
        <w:rPr>
          <w:snapToGrid w:val="0"/>
          <w:spacing w:val="4"/>
          <w:kern w:val="0"/>
          <w:sz w:val="24"/>
        </w:rPr>
        <w:t>（1）工程职业健康安全控制应遵循下列程序：</w:t>
      </w:r>
    </w:p>
    <w:p w14:paraId="2F99FECB">
      <w:pPr>
        <w:topLinePunct/>
        <w:adjustRightInd w:val="0"/>
        <w:snapToGrid w:val="0"/>
        <w:spacing w:line="480" w:lineRule="exact"/>
        <w:ind w:firstLine="496" w:firstLineChars="200"/>
        <w:rPr>
          <w:snapToGrid w:val="0"/>
          <w:spacing w:val="4"/>
          <w:kern w:val="0"/>
          <w:sz w:val="24"/>
        </w:rPr>
      </w:pPr>
      <w:r>
        <w:rPr>
          <w:snapToGrid w:val="0"/>
          <w:spacing w:val="4"/>
          <w:kern w:val="0"/>
          <w:sz w:val="24"/>
        </w:rPr>
        <w:t>1）确定施工职业健康安全目标；</w:t>
      </w:r>
    </w:p>
    <w:p w14:paraId="4175056F">
      <w:pPr>
        <w:topLinePunct/>
        <w:adjustRightInd w:val="0"/>
        <w:snapToGrid w:val="0"/>
        <w:spacing w:line="480" w:lineRule="exact"/>
        <w:ind w:firstLine="496" w:firstLineChars="200"/>
        <w:rPr>
          <w:snapToGrid w:val="0"/>
          <w:spacing w:val="4"/>
          <w:kern w:val="0"/>
          <w:sz w:val="24"/>
        </w:rPr>
      </w:pPr>
      <w:r>
        <w:rPr>
          <w:snapToGrid w:val="0"/>
          <w:spacing w:val="4"/>
          <w:kern w:val="0"/>
          <w:sz w:val="24"/>
        </w:rPr>
        <w:t>2）编制工程职业健康安全保证计划；</w:t>
      </w:r>
    </w:p>
    <w:p w14:paraId="60773B43">
      <w:pPr>
        <w:topLinePunct/>
        <w:adjustRightInd w:val="0"/>
        <w:snapToGrid w:val="0"/>
        <w:spacing w:line="480" w:lineRule="exact"/>
        <w:ind w:firstLine="496" w:firstLineChars="200"/>
        <w:rPr>
          <w:snapToGrid w:val="0"/>
          <w:spacing w:val="4"/>
          <w:kern w:val="0"/>
          <w:sz w:val="24"/>
        </w:rPr>
      </w:pPr>
      <w:r>
        <w:rPr>
          <w:snapToGrid w:val="0"/>
          <w:spacing w:val="4"/>
          <w:kern w:val="0"/>
          <w:sz w:val="24"/>
        </w:rPr>
        <w:t>3）实施工程职业健康安全计划；</w:t>
      </w:r>
    </w:p>
    <w:p w14:paraId="25BE8385">
      <w:pPr>
        <w:topLinePunct/>
        <w:adjustRightInd w:val="0"/>
        <w:snapToGrid w:val="0"/>
        <w:spacing w:line="480" w:lineRule="exact"/>
        <w:ind w:firstLine="496" w:firstLineChars="200"/>
        <w:rPr>
          <w:snapToGrid w:val="0"/>
          <w:spacing w:val="4"/>
          <w:kern w:val="0"/>
          <w:sz w:val="24"/>
        </w:rPr>
      </w:pPr>
      <w:r>
        <w:rPr>
          <w:snapToGrid w:val="0"/>
          <w:spacing w:val="4"/>
          <w:kern w:val="0"/>
          <w:sz w:val="24"/>
        </w:rPr>
        <w:t>4）工程职业健康安全保证计划验证；</w:t>
      </w:r>
    </w:p>
    <w:p w14:paraId="1D0EE6EE">
      <w:pPr>
        <w:topLinePunct/>
        <w:adjustRightInd w:val="0"/>
        <w:snapToGrid w:val="0"/>
        <w:spacing w:line="480" w:lineRule="exact"/>
        <w:ind w:firstLine="496" w:firstLineChars="200"/>
        <w:rPr>
          <w:snapToGrid w:val="0"/>
          <w:spacing w:val="4"/>
          <w:kern w:val="0"/>
          <w:sz w:val="24"/>
        </w:rPr>
      </w:pPr>
      <w:r>
        <w:rPr>
          <w:snapToGrid w:val="0"/>
          <w:spacing w:val="4"/>
          <w:kern w:val="0"/>
          <w:sz w:val="24"/>
        </w:rPr>
        <w:t>5）持续改进。</w:t>
      </w:r>
    </w:p>
    <w:p w14:paraId="42A32526">
      <w:pPr>
        <w:topLinePunct/>
        <w:adjustRightInd w:val="0"/>
        <w:snapToGrid w:val="0"/>
        <w:spacing w:line="480" w:lineRule="exact"/>
        <w:ind w:firstLine="496" w:firstLineChars="200"/>
        <w:rPr>
          <w:snapToGrid w:val="0"/>
          <w:spacing w:val="4"/>
          <w:kern w:val="0"/>
          <w:sz w:val="24"/>
        </w:rPr>
      </w:pPr>
      <w:r>
        <w:rPr>
          <w:snapToGrid w:val="0"/>
          <w:spacing w:val="4"/>
          <w:kern w:val="0"/>
          <w:sz w:val="24"/>
        </w:rPr>
        <w:t>（2）编制安全监理实施细则，对施工中人的不安全行为、物的不安全状态、作业环境的不安全因素和管理缺陷进行相应的安全控制。</w:t>
      </w:r>
    </w:p>
    <w:p w14:paraId="0B385288">
      <w:pPr>
        <w:topLinePunct/>
        <w:adjustRightInd w:val="0"/>
        <w:snapToGrid w:val="0"/>
        <w:spacing w:line="480" w:lineRule="exact"/>
        <w:ind w:firstLine="496" w:firstLineChars="200"/>
        <w:rPr>
          <w:snapToGrid w:val="0"/>
          <w:spacing w:val="4"/>
          <w:kern w:val="0"/>
          <w:sz w:val="24"/>
        </w:rPr>
      </w:pPr>
      <w:r>
        <w:rPr>
          <w:snapToGrid w:val="0"/>
          <w:spacing w:val="4"/>
          <w:kern w:val="0"/>
          <w:sz w:val="24"/>
        </w:rPr>
        <w:t>（3）检查项目施工安全目标的要求配置的资源是否满足需要。</w:t>
      </w:r>
    </w:p>
    <w:p w14:paraId="379E5323">
      <w:pPr>
        <w:topLinePunct/>
        <w:adjustRightInd w:val="0"/>
        <w:snapToGrid w:val="0"/>
        <w:spacing w:line="480" w:lineRule="exact"/>
        <w:ind w:firstLine="496" w:firstLineChars="200"/>
        <w:rPr>
          <w:snapToGrid w:val="0"/>
          <w:spacing w:val="4"/>
          <w:kern w:val="0"/>
          <w:sz w:val="24"/>
        </w:rPr>
      </w:pPr>
      <w:r>
        <w:rPr>
          <w:snapToGrid w:val="0"/>
          <w:spacing w:val="4"/>
          <w:kern w:val="0"/>
          <w:sz w:val="24"/>
        </w:rPr>
        <w:t>（4）要求承包人对结构复杂、施工难度大、专业性强的项目和达到一定规模的危险性较大的分部分项工程编制专项施工方案，必要时，组织专家进行论证、审查：</w:t>
      </w:r>
    </w:p>
    <w:p w14:paraId="464D9A45">
      <w:pPr>
        <w:topLinePunct/>
        <w:adjustRightInd w:val="0"/>
        <w:snapToGrid w:val="0"/>
        <w:spacing w:line="480" w:lineRule="exact"/>
        <w:ind w:firstLine="496" w:firstLineChars="200"/>
        <w:rPr>
          <w:snapToGrid w:val="0"/>
          <w:spacing w:val="4"/>
          <w:kern w:val="0"/>
          <w:sz w:val="24"/>
        </w:rPr>
      </w:pPr>
      <w:r>
        <w:rPr>
          <w:snapToGrid w:val="0"/>
          <w:spacing w:val="4"/>
          <w:kern w:val="0"/>
          <w:sz w:val="24"/>
        </w:rPr>
        <w:t>1）基坑支护及降水工程；</w:t>
      </w:r>
    </w:p>
    <w:p w14:paraId="2A0A2EE6">
      <w:pPr>
        <w:topLinePunct/>
        <w:adjustRightInd w:val="0"/>
        <w:snapToGrid w:val="0"/>
        <w:spacing w:line="480" w:lineRule="exact"/>
        <w:ind w:firstLine="496" w:firstLineChars="200"/>
        <w:rPr>
          <w:snapToGrid w:val="0"/>
          <w:spacing w:val="4"/>
          <w:kern w:val="0"/>
          <w:sz w:val="24"/>
        </w:rPr>
      </w:pPr>
      <w:r>
        <w:rPr>
          <w:snapToGrid w:val="0"/>
          <w:spacing w:val="4"/>
          <w:kern w:val="0"/>
          <w:sz w:val="24"/>
        </w:rPr>
        <w:t>2）土方开挖工程；</w:t>
      </w:r>
    </w:p>
    <w:p w14:paraId="38CCB22E">
      <w:pPr>
        <w:topLinePunct/>
        <w:adjustRightInd w:val="0"/>
        <w:snapToGrid w:val="0"/>
        <w:spacing w:line="480" w:lineRule="exact"/>
        <w:ind w:firstLine="496" w:firstLineChars="200"/>
        <w:rPr>
          <w:snapToGrid w:val="0"/>
          <w:spacing w:val="4"/>
          <w:kern w:val="0"/>
          <w:sz w:val="24"/>
        </w:rPr>
      </w:pPr>
      <w:r>
        <w:rPr>
          <w:snapToGrid w:val="0"/>
          <w:spacing w:val="4"/>
          <w:kern w:val="0"/>
          <w:sz w:val="24"/>
        </w:rPr>
        <w:t>3）模板工程；</w:t>
      </w:r>
    </w:p>
    <w:p w14:paraId="199B2D9C">
      <w:pPr>
        <w:topLinePunct/>
        <w:adjustRightInd w:val="0"/>
        <w:snapToGrid w:val="0"/>
        <w:spacing w:line="480" w:lineRule="exact"/>
        <w:ind w:firstLine="496" w:firstLineChars="200"/>
        <w:rPr>
          <w:snapToGrid w:val="0"/>
          <w:spacing w:val="4"/>
          <w:kern w:val="0"/>
          <w:sz w:val="24"/>
        </w:rPr>
      </w:pPr>
      <w:r>
        <w:rPr>
          <w:snapToGrid w:val="0"/>
          <w:spacing w:val="4"/>
          <w:kern w:val="0"/>
          <w:sz w:val="24"/>
        </w:rPr>
        <w:t>4）起重吊装工程；</w:t>
      </w:r>
    </w:p>
    <w:p w14:paraId="60D02EF5">
      <w:pPr>
        <w:topLinePunct/>
        <w:adjustRightInd w:val="0"/>
        <w:snapToGrid w:val="0"/>
        <w:spacing w:line="480" w:lineRule="exact"/>
        <w:ind w:firstLine="496" w:firstLineChars="200"/>
        <w:rPr>
          <w:snapToGrid w:val="0"/>
          <w:spacing w:val="4"/>
          <w:kern w:val="0"/>
          <w:sz w:val="24"/>
        </w:rPr>
      </w:pPr>
      <w:r>
        <w:rPr>
          <w:snapToGrid w:val="0"/>
          <w:spacing w:val="4"/>
          <w:kern w:val="0"/>
          <w:sz w:val="24"/>
        </w:rPr>
        <w:t>5）脚手架工程；</w:t>
      </w:r>
    </w:p>
    <w:p w14:paraId="13EA0765">
      <w:pPr>
        <w:topLinePunct/>
        <w:adjustRightInd w:val="0"/>
        <w:snapToGrid w:val="0"/>
        <w:spacing w:line="480" w:lineRule="exact"/>
        <w:ind w:firstLine="496" w:firstLineChars="200"/>
        <w:rPr>
          <w:snapToGrid w:val="0"/>
          <w:spacing w:val="4"/>
          <w:kern w:val="0"/>
          <w:sz w:val="24"/>
        </w:rPr>
      </w:pPr>
      <w:r>
        <w:rPr>
          <w:snapToGrid w:val="0"/>
          <w:spacing w:val="4"/>
          <w:kern w:val="0"/>
          <w:sz w:val="24"/>
        </w:rPr>
        <w:t>6）拆除、爆破工程；</w:t>
      </w:r>
    </w:p>
    <w:p w14:paraId="6E1A789C">
      <w:pPr>
        <w:topLinePunct/>
        <w:adjustRightInd w:val="0"/>
        <w:snapToGrid w:val="0"/>
        <w:spacing w:line="480" w:lineRule="exact"/>
        <w:ind w:firstLine="496" w:firstLineChars="200"/>
        <w:rPr>
          <w:snapToGrid w:val="0"/>
          <w:spacing w:val="4"/>
          <w:kern w:val="0"/>
          <w:sz w:val="24"/>
        </w:rPr>
      </w:pPr>
      <w:r>
        <w:rPr>
          <w:snapToGrid w:val="0"/>
          <w:spacing w:val="4"/>
          <w:kern w:val="0"/>
          <w:sz w:val="24"/>
        </w:rPr>
        <w:t>7）其他危险性较大的工程。</w:t>
      </w:r>
    </w:p>
    <w:p w14:paraId="0FEEEFC9">
      <w:pPr>
        <w:topLinePunct/>
        <w:adjustRightInd w:val="0"/>
        <w:snapToGrid w:val="0"/>
        <w:spacing w:line="480" w:lineRule="exact"/>
        <w:ind w:firstLine="496" w:firstLineChars="200"/>
        <w:rPr>
          <w:snapToGrid w:val="0"/>
          <w:spacing w:val="4"/>
          <w:kern w:val="0"/>
          <w:sz w:val="24"/>
        </w:rPr>
      </w:pPr>
      <w:r>
        <w:rPr>
          <w:snapToGrid w:val="0"/>
          <w:spacing w:val="4"/>
          <w:kern w:val="0"/>
          <w:sz w:val="24"/>
        </w:rPr>
        <w:t>（5）定期组织安全控制计划的执行情况并进行检查考核和评价，对施工中存在的不安全行为和隐患，分析原因并制定相应整改防范措施。</w:t>
      </w:r>
    </w:p>
    <w:p w14:paraId="2B6732D3">
      <w:pPr>
        <w:topLinePunct/>
        <w:adjustRightInd w:val="0"/>
        <w:snapToGrid w:val="0"/>
        <w:spacing w:line="480" w:lineRule="exact"/>
        <w:ind w:firstLine="496" w:firstLineChars="200"/>
        <w:rPr>
          <w:snapToGrid w:val="0"/>
          <w:spacing w:val="4"/>
          <w:kern w:val="0"/>
          <w:sz w:val="24"/>
        </w:rPr>
      </w:pPr>
      <w:r>
        <w:rPr>
          <w:snapToGrid w:val="0"/>
          <w:spacing w:val="4"/>
          <w:kern w:val="0"/>
          <w:sz w:val="24"/>
        </w:rPr>
        <w:t>（6）采取随机抽样、现场观察、实地检测相结合的方法进行安全检查，并记录检测结果。对现场管理人员的违章指挥和操作人员的违章作业行为应进行纠正。</w:t>
      </w:r>
    </w:p>
    <w:p w14:paraId="12E1A817">
      <w:pPr>
        <w:topLinePunct/>
        <w:adjustRightInd w:val="0"/>
        <w:snapToGrid w:val="0"/>
        <w:spacing w:line="480" w:lineRule="exact"/>
        <w:ind w:firstLine="496" w:firstLineChars="200"/>
        <w:rPr>
          <w:snapToGrid w:val="0"/>
          <w:spacing w:val="4"/>
          <w:kern w:val="0"/>
          <w:sz w:val="24"/>
        </w:rPr>
      </w:pPr>
      <w:r>
        <w:rPr>
          <w:snapToGrid w:val="0"/>
          <w:spacing w:val="4"/>
          <w:kern w:val="0"/>
          <w:sz w:val="24"/>
        </w:rPr>
        <w:t>（7）对检查结果进行分析，找出安全隐患部位，确定危险程度。</w:t>
      </w:r>
    </w:p>
    <w:p w14:paraId="392DF0B8">
      <w:pPr>
        <w:topLinePunct/>
        <w:adjustRightInd w:val="0"/>
        <w:snapToGrid w:val="0"/>
        <w:spacing w:line="480" w:lineRule="exact"/>
        <w:ind w:firstLine="496" w:firstLineChars="200"/>
        <w:rPr>
          <w:snapToGrid w:val="0"/>
          <w:spacing w:val="4"/>
          <w:kern w:val="0"/>
          <w:sz w:val="24"/>
        </w:rPr>
      </w:pPr>
      <w:r>
        <w:rPr>
          <w:snapToGrid w:val="0"/>
          <w:spacing w:val="4"/>
          <w:kern w:val="0"/>
          <w:sz w:val="24"/>
        </w:rPr>
        <w:t>（8）对检查出的隐患立即发出安全隐患整改通知单。受检单位应对安全隐患原因进行分析，制定和落实纠正和预防措施。</w:t>
      </w:r>
    </w:p>
    <w:p w14:paraId="01A34C0E">
      <w:pPr>
        <w:topLinePunct/>
        <w:adjustRightInd w:val="0"/>
        <w:snapToGrid w:val="0"/>
        <w:spacing w:line="480" w:lineRule="exact"/>
        <w:ind w:firstLine="496" w:firstLineChars="200"/>
        <w:rPr>
          <w:snapToGrid w:val="0"/>
          <w:spacing w:val="4"/>
          <w:kern w:val="0"/>
          <w:sz w:val="24"/>
        </w:rPr>
      </w:pPr>
      <w:r>
        <w:rPr>
          <w:snapToGrid w:val="0"/>
          <w:spacing w:val="4"/>
          <w:kern w:val="0"/>
          <w:sz w:val="24"/>
        </w:rPr>
        <w:t>（9）对纠正预防措施的实施过程和实施效果应进行跟踪检查，保存验证记录。</w:t>
      </w:r>
    </w:p>
    <w:p w14:paraId="2593BC17">
      <w:pPr>
        <w:topLinePunct/>
        <w:adjustRightInd w:val="0"/>
        <w:snapToGrid w:val="0"/>
        <w:spacing w:line="480" w:lineRule="exact"/>
        <w:ind w:firstLine="496" w:firstLineChars="200"/>
        <w:rPr>
          <w:snapToGrid w:val="0"/>
          <w:spacing w:val="4"/>
          <w:kern w:val="0"/>
          <w:sz w:val="24"/>
        </w:rPr>
      </w:pPr>
      <w:r>
        <w:rPr>
          <w:snapToGrid w:val="0"/>
          <w:spacing w:val="4"/>
          <w:kern w:val="0"/>
          <w:sz w:val="24"/>
        </w:rPr>
        <w:t>（10）安全网络视频监控管理内容</w:t>
      </w:r>
    </w:p>
    <w:p w14:paraId="3A46C203">
      <w:pPr>
        <w:topLinePunct/>
        <w:adjustRightInd w:val="0"/>
        <w:snapToGrid w:val="0"/>
        <w:spacing w:line="480" w:lineRule="exact"/>
        <w:ind w:firstLine="496" w:firstLineChars="200"/>
        <w:rPr>
          <w:snapToGrid w:val="0"/>
          <w:spacing w:val="4"/>
          <w:kern w:val="0"/>
          <w:sz w:val="24"/>
        </w:rPr>
      </w:pPr>
      <w:r>
        <w:rPr>
          <w:snapToGrid w:val="0"/>
          <w:spacing w:val="4"/>
          <w:kern w:val="0"/>
          <w:sz w:val="24"/>
        </w:rPr>
        <w:t>1）监理单位监督施工单位必须遵照《关于广州市建筑工地安装视频监控装置的通知》（穗建筑[2006]551号）和《关于全面启动广州市社会治安视频监控系统建设有关问题的通知》（穗视频建字〔2006〕1号）文件的要求，满足安全文明监控的需要。</w:t>
      </w:r>
    </w:p>
    <w:p w14:paraId="778F1D21">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2）监理单位对视频监控系统反馈信息的分析、上报、决策、实施，严格按照安全控制流程及相关规定进行处理。</w:t>
      </w:r>
    </w:p>
    <w:p w14:paraId="3437D731">
      <w:pPr>
        <w:topLinePunct/>
        <w:adjustRightInd w:val="0"/>
        <w:snapToGrid w:val="0"/>
        <w:spacing w:line="480" w:lineRule="exact"/>
        <w:ind w:firstLine="496" w:firstLineChars="200"/>
        <w:rPr>
          <w:snapToGrid w:val="0"/>
          <w:spacing w:val="4"/>
          <w:kern w:val="0"/>
          <w:sz w:val="24"/>
        </w:rPr>
      </w:pPr>
      <w:r>
        <w:rPr>
          <w:snapToGrid w:val="0"/>
          <w:spacing w:val="4"/>
          <w:kern w:val="0"/>
          <w:sz w:val="24"/>
        </w:rPr>
        <w:t>3）监理单位建立专门的视频监控系统资料收集、查阅、检索、档案系统，并设置专人专职负责。</w:t>
      </w:r>
    </w:p>
    <w:p w14:paraId="01838E6F">
      <w:pPr>
        <w:topLinePunct/>
        <w:adjustRightInd w:val="0"/>
        <w:snapToGrid w:val="0"/>
        <w:spacing w:line="480" w:lineRule="exact"/>
        <w:ind w:firstLine="496" w:firstLineChars="200"/>
        <w:rPr>
          <w:snapToGrid w:val="0"/>
          <w:spacing w:val="4"/>
          <w:kern w:val="0"/>
          <w:sz w:val="24"/>
        </w:rPr>
      </w:pPr>
      <w:r>
        <w:rPr>
          <w:snapToGrid w:val="0"/>
          <w:spacing w:val="4"/>
          <w:kern w:val="0"/>
          <w:sz w:val="24"/>
        </w:rPr>
        <w:t>（11）职业健康安全质量事故的处理</w:t>
      </w:r>
    </w:p>
    <w:p w14:paraId="62B0C8BA">
      <w:pPr>
        <w:topLinePunct/>
        <w:adjustRightInd w:val="0"/>
        <w:snapToGrid w:val="0"/>
        <w:spacing w:line="480" w:lineRule="exact"/>
        <w:ind w:firstLine="496" w:firstLineChars="200"/>
        <w:rPr>
          <w:snapToGrid w:val="0"/>
          <w:spacing w:val="4"/>
          <w:kern w:val="0"/>
          <w:sz w:val="24"/>
        </w:rPr>
      </w:pPr>
      <w:r>
        <w:rPr>
          <w:snapToGrid w:val="0"/>
          <w:spacing w:val="4"/>
          <w:kern w:val="0"/>
          <w:sz w:val="24"/>
        </w:rPr>
        <w:t>对于发生的安全质量事故，监理人及时的向委托人及政府相关部门报告，同时应积极保护事故现场，收集相关的原始资料。监理人在调查事故情况并分析原因、责任后，并将事故调查分析报告提交委托人及政府相关部门。监理人同时应提交相应的防范措施建议书以防止同类事故再次发生。</w:t>
      </w:r>
    </w:p>
    <w:p w14:paraId="71A80A77">
      <w:pPr>
        <w:topLinePunct/>
        <w:adjustRightInd w:val="0"/>
        <w:snapToGrid w:val="0"/>
        <w:spacing w:line="480" w:lineRule="exact"/>
        <w:ind w:firstLine="498" w:firstLineChars="200"/>
        <w:outlineLvl w:val="4"/>
        <w:rPr>
          <w:b/>
          <w:bCs/>
          <w:snapToGrid w:val="0"/>
          <w:spacing w:val="4"/>
          <w:kern w:val="0"/>
          <w:sz w:val="24"/>
        </w:rPr>
      </w:pPr>
      <w:r>
        <w:rPr>
          <w:b/>
          <w:snapToGrid w:val="0"/>
          <w:spacing w:val="4"/>
          <w:kern w:val="0"/>
          <w:sz w:val="24"/>
        </w:rPr>
        <w:t>4.2.</w:t>
      </w:r>
      <w:r>
        <w:rPr>
          <w:rFonts w:hint="eastAsia"/>
          <w:b/>
          <w:snapToGrid w:val="0"/>
          <w:spacing w:val="4"/>
          <w:kern w:val="0"/>
          <w:sz w:val="24"/>
        </w:rPr>
        <w:t>4</w:t>
      </w:r>
      <w:r>
        <w:rPr>
          <w:b/>
          <w:snapToGrid w:val="0"/>
          <w:spacing w:val="4"/>
          <w:kern w:val="0"/>
          <w:sz w:val="24"/>
        </w:rPr>
        <w:t>.5  工程材料设备控制工作</w:t>
      </w:r>
    </w:p>
    <w:p w14:paraId="7DF541DE">
      <w:pPr>
        <w:topLinePunct/>
        <w:adjustRightInd w:val="0"/>
        <w:snapToGrid w:val="0"/>
        <w:spacing w:line="480" w:lineRule="exact"/>
        <w:ind w:firstLine="496" w:firstLineChars="200"/>
        <w:rPr>
          <w:snapToGrid w:val="0"/>
          <w:spacing w:val="4"/>
          <w:kern w:val="0"/>
          <w:sz w:val="24"/>
        </w:rPr>
      </w:pPr>
      <w:bookmarkStart w:id="499" w:name="_Toc122371761"/>
      <w:bookmarkStart w:id="500" w:name="_Toc122856772"/>
      <w:bookmarkStart w:id="501" w:name="_Toc123449962"/>
      <w:r>
        <w:rPr>
          <w:snapToGrid w:val="0"/>
          <w:spacing w:val="4"/>
          <w:kern w:val="0"/>
          <w:sz w:val="24"/>
        </w:rPr>
        <w:t>（1）甲供材料设备</w:t>
      </w:r>
      <w:bookmarkEnd w:id="499"/>
      <w:bookmarkEnd w:id="500"/>
      <w:bookmarkEnd w:id="501"/>
      <w:r>
        <w:rPr>
          <w:snapToGrid w:val="0"/>
          <w:spacing w:val="4"/>
          <w:kern w:val="0"/>
          <w:sz w:val="24"/>
        </w:rPr>
        <w:t>的管理，包括：</w:t>
      </w:r>
    </w:p>
    <w:p w14:paraId="29381E72">
      <w:pPr>
        <w:topLinePunct/>
        <w:adjustRightInd w:val="0"/>
        <w:snapToGrid w:val="0"/>
        <w:spacing w:line="480" w:lineRule="exact"/>
        <w:ind w:firstLine="496" w:firstLineChars="200"/>
        <w:rPr>
          <w:snapToGrid w:val="0"/>
          <w:spacing w:val="4"/>
          <w:kern w:val="0"/>
          <w:sz w:val="24"/>
        </w:rPr>
      </w:pPr>
      <w:r>
        <w:rPr>
          <w:snapToGrid w:val="0"/>
          <w:spacing w:val="4"/>
          <w:kern w:val="0"/>
          <w:sz w:val="24"/>
        </w:rPr>
        <w:t>1）审核施工单位编制的机电设备安装、调试、验收计划；</w:t>
      </w:r>
    </w:p>
    <w:p w14:paraId="1B0FBC9E">
      <w:pPr>
        <w:topLinePunct/>
        <w:adjustRightInd w:val="0"/>
        <w:snapToGrid w:val="0"/>
        <w:spacing w:line="480" w:lineRule="exact"/>
        <w:ind w:firstLine="496" w:firstLineChars="200"/>
        <w:rPr>
          <w:snapToGrid w:val="0"/>
          <w:spacing w:val="4"/>
          <w:kern w:val="0"/>
          <w:sz w:val="24"/>
        </w:rPr>
      </w:pPr>
      <w:r>
        <w:rPr>
          <w:snapToGrid w:val="0"/>
          <w:spacing w:val="4"/>
          <w:kern w:val="0"/>
          <w:sz w:val="24"/>
        </w:rPr>
        <w:t>2）主持施工图交底审查会；</w:t>
      </w:r>
    </w:p>
    <w:p w14:paraId="754E0688">
      <w:pPr>
        <w:topLinePunct/>
        <w:adjustRightInd w:val="0"/>
        <w:snapToGrid w:val="0"/>
        <w:spacing w:line="480" w:lineRule="exact"/>
        <w:ind w:firstLine="496" w:firstLineChars="200"/>
        <w:rPr>
          <w:snapToGrid w:val="0"/>
          <w:spacing w:val="4"/>
          <w:kern w:val="0"/>
          <w:sz w:val="24"/>
        </w:rPr>
      </w:pPr>
      <w:r>
        <w:rPr>
          <w:snapToGrid w:val="0"/>
          <w:spacing w:val="4"/>
          <w:kern w:val="0"/>
          <w:sz w:val="24"/>
        </w:rPr>
        <w:t>3）检查施工单位为设备提供运输所需通道和卸货作业场地及设备仓库或符合要求的材料堆放场地的落实情况；</w:t>
      </w:r>
    </w:p>
    <w:p w14:paraId="2C22ACA0">
      <w:pPr>
        <w:topLinePunct/>
        <w:adjustRightInd w:val="0"/>
        <w:snapToGrid w:val="0"/>
        <w:spacing w:line="480" w:lineRule="exact"/>
        <w:ind w:firstLine="496" w:firstLineChars="200"/>
        <w:rPr>
          <w:snapToGrid w:val="0"/>
          <w:spacing w:val="4"/>
          <w:kern w:val="0"/>
          <w:sz w:val="24"/>
        </w:rPr>
      </w:pPr>
      <w:r>
        <w:rPr>
          <w:snapToGrid w:val="0"/>
          <w:spacing w:val="4"/>
          <w:kern w:val="0"/>
          <w:sz w:val="24"/>
        </w:rPr>
        <w:t>4）参加设备的到货验收、开箱检验，并签署相关文件；</w:t>
      </w:r>
    </w:p>
    <w:p w14:paraId="15A17812">
      <w:pPr>
        <w:topLinePunct/>
        <w:adjustRightInd w:val="0"/>
        <w:snapToGrid w:val="0"/>
        <w:spacing w:line="480" w:lineRule="exact"/>
        <w:ind w:firstLine="496" w:firstLineChars="200"/>
        <w:rPr>
          <w:snapToGrid w:val="0"/>
          <w:spacing w:val="4"/>
          <w:kern w:val="0"/>
          <w:sz w:val="24"/>
        </w:rPr>
      </w:pPr>
      <w:r>
        <w:rPr>
          <w:snapToGrid w:val="0"/>
          <w:spacing w:val="4"/>
          <w:kern w:val="0"/>
          <w:sz w:val="24"/>
        </w:rPr>
        <w:t>5）负责机电设备安装、调试、验收过程中的质量、安全、进度控制。</w:t>
      </w:r>
    </w:p>
    <w:p w14:paraId="31B1632E">
      <w:pPr>
        <w:topLinePunct/>
        <w:adjustRightInd w:val="0"/>
        <w:snapToGrid w:val="0"/>
        <w:spacing w:line="480" w:lineRule="exact"/>
        <w:ind w:firstLine="496" w:firstLineChars="200"/>
        <w:rPr>
          <w:snapToGrid w:val="0"/>
          <w:spacing w:val="4"/>
          <w:kern w:val="0"/>
          <w:sz w:val="24"/>
        </w:rPr>
      </w:pPr>
      <w:bookmarkStart w:id="502" w:name="_Toc122856773"/>
      <w:bookmarkStart w:id="503" w:name="_Toc123449963"/>
      <w:bookmarkStart w:id="504" w:name="_Toc122371762"/>
      <w:r>
        <w:rPr>
          <w:snapToGrid w:val="0"/>
          <w:spacing w:val="4"/>
          <w:kern w:val="0"/>
          <w:sz w:val="24"/>
        </w:rPr>
        <w:t>（2）甲招乙供材料设备的管理，包括：</w:t>
      </w:r>
    </w:p>
    <w:p w14:paraId="1A9257DF">
      <w:pPr>
        <w:topLinePunct/>
        <w:adjustRightInd w:val="0"/>
        <w:snapToGrid w:val="0"/>
        <w:spacing w:line="480" w:lineRule="exact"/>
        <w:ind w:firstLine="496" w:firstLineChars="200"/>
        <w:rPr>
          <w:snapToGrid w:val="0"/>
          <w:spacing w:val="4"/>
          <w:kern w:val="0"/>
          <w:sz w:val="24"/>
        </w:rPr>
      </w:pPr>
      <w:r>
        <w:rPr>
          <w:snapToGrid w:val="0"/>
          <w:spacing w:val="4"/>
          <w:kern w:val="0"/>
          <w:sz w:val="24"/>
        </w:rPr>
        <w:t>1）协助委托人针对甲招乙供材料设备开展的公开招标活动；</w:t>
      </w:r>
    </w:p>
    <w:p w14:paraId="4DD20FF0">
      <w:pPr>
        <w:topLinePunct/>
        <w:adjustRightInd w:val="0"/>
        <w:snapToGrid w:val="0"/>
        <w:spacing w:line="480" w:lineRule="exact"/>
        <w:ind w:firstLine="496" w:firstLineChars="200"/>
        <w:rPr>
          <w:snapToGrid w:val="0"/>
          <w:spacing w:val="4"/>
          <w:kern w:val="0"/>
          <w:sz w:val="24"/>
        </w:rPr>
      </w:pPr>
      <w:r>
        <w:rPr>
          <w:snapToGrid w:val="0"/>
          <w:spacing w:val="4"/>
          <w:kern w:val="0"/>
          <w:sz w:val="24"/>
        </w:rPr>
        <w:t>2）督促并审核施工单位签订材料设备供货合同及合同款的支付情况；</w:t>
      </w:r>
    </w:p>
    <w:p w14:paraId="57A37F0A">
      <w:pPr>
        <w:topLinePunct/>
        <w:adjustRightInd w:val="0"/>
        <w:snapToGrid w:val="0"/>
        <w:spacing w:line="480" w:lineRule="exact"/>
        <w:ind w:firstLine="496" w:firstLineChars="200"/>
        <w:rPr>
          <w:snapToGrid w:val="0"/>
          <w:spacing w:val="4"/>
          <w:kern w:val="0"/>
          <w:sz w:val="24"/>
        </w:rPr>
      </w:pPr>
      <w:r>
        <w:rPr>
          <w:snapToGrid w:val="0"/>
          <w:spacing w:val="4"/>
          <w:kern w:val="0"/>
          <w:sz w:val="24"/>
        </w:rPr>
        <w:t>3）审核并批准施工单位编制的材料设备生产和到货进度计划；</w:t>
      </w:r>
    </w:p>
    <w:p w14:paraId="561B0F68">
      <w:pPr>
        <w:topLinePunct/>
        <w:adjustRightInd w:val="0"/>
        <w:snapToGrid w:val="0"/>
        <w:spacing w:line="480" w:lineRule="exact"/>
        <w:ind w:firstLine="496" w:firstLineChars="200"/>
        <w:rPr>
          <w:snapToGrid w:val="0"/>
          <w:spacing w:val="4"/>
          <w:kern w:val="0"/>
          <w:sz w:val="24"/>
        </w:rPr>
      </w:pPr>
      <w:r>
        <w:rPr>
          <w:snapToGrid w:val="0"/>
          <w:spacing w:val="4"/>
          <w:kern w:val="0"/>
          <w:sz w:val="24"/>
        </w:rPr>
        <w:t>4）审核施工单位编制的机电设备安装、调试、验收计划；</w:t>
      </w:r>
    </w:p>
    <w:p w14:paraId="3033B761">
      <w:pPr>
        <w:topLinePunct/>
        <w:adjustRightInd w:val="0"/>
        <w:snapToGrid w:val="0"/>
        <w:spacing w:line="480" w:lineRule="exact"/>
        <w:ind w:firstLine="496" w:firstLineChars="200"/>
        <w:rPr>
          <w:snapToGrid w:val="0"/>
          <w:spacing w:val="4"/>
          <w:kern w:val="0"/>
          <w:sz w:val="24"/>
        </w:rPr>
      </w:pPr>
      <w:r>
        <w:rPr>
          <w:snapToGrid w:val="0"/>
          <w:spacing w:val="4"/>
          <w:kern w:val="0"/>
          <w:sz w:val="24"/>
        </w:rPr>
        <w:t>5）检查施工单位为设备提供运输所需通道和卸货作业场地及设备仓库或符合要求的材料堆放场地的落实情况；</w:t>
      </w:r>
    </w:p>
    <w:p w14:paraId="5F5F5A86">
      <w:pPr>
        <w:topLinePunct/>
        <w:adjustRightInd w:val="0"/>
        <w:snapToGrid w:val="0"/>
        <w:spacing w:line="480" w:lineRule="exact"/>
        <w:ind w:firstLine="496" w:firstLineChars="200"/>
        <w:rPr>
          <w:snapToGrid w:val="0"/>
          <w:spacing w:val="4"/>
          <w:kern w:val="0"/>
          <w:sz w:val="24"/>
        </w:rPr>
      </w:pPr>
      <w:r>
        <w:rPr>
          <w:snapToGrid w:val="0"/>
          <w:spacing w:val="4"/>
          <w:kern w:val="0"/>
          <w:sz w:val="24"/>
        </w:rPr>
        <w:t>6）参加设备的到货验收、开箱检验，并签署相关文件；</w:t>
      </w:r>
    </w:p>
    <w:p w14:paraId="23CC205F">
      <w:pPr>
        <w:topLinePunct/>
        <w:adjustRightInd w:val="0"/>
        <w:snapToGrid w:val="0"/>
        <w:spacing w:line="480" w:lineRule="exact"/>
        <w:ind w:firstLine="496" w:firstLineChars="200"/>
        <w:rPr>
          <w:snapToGrid w:val="0"/>
          <w:spacing w:val="4"/>
          <w:kern w:val="0"/>
          <w:sz w:val="24"/>
        </w:rPr>
      </w:pPr>
      <w:r>
        <w:rPr>
          <w:snapToGrid w:val="0"/>
          <w:spacing w:val="4"/>
          <w:kern w:val="0"/>
          <w:sz w:val="24"/>
        </w:rPr>
        <w:t>7）负责机电设备安装、调试、验收过程中的投资、质量、进度控制；</w:t>
      </w:r>
    </w:p>
    <w:p w14:paraId="47D60E89">
      <w:pPr>
        <w:topLinePunct/>
        <w:adjustRightInd w:val="0"/>
        <w:snapToGrid w:val="0"/>
        <w:spacing w:line="480" w:lineRule="exact"/>
        <w:ind w:firstLine="496" w:firstLineChars="200"/>
        <w:rPr>
          <w:snapToGrid w:val="0"/>
          <w:spacing w:val="4"/>
          <w:kern w:val="0"/>
          <w:sz w:val="24"/>
        </w:rPr>
      </w:pPr>
      <w:r>
        <w:rPr>
          <w:snapToGrid w:val="0"/>
          <w:spacing w:val="4"/>
          <w:kern w:val="0"/>
          <w:sz w:val="24"/>
        </w:rPr>
        <w:t>8）审核施工单位提供的材料设备的结算资料。</w:t>
      </w:r>
    </w:p>
    <w:p w14:paraId="7C6D0BE0">
      <w:pPr>
        <w:topLinePunct/>
        <w:adjustRightInd w:val="0"/>
        <w:snapToGrid w:val="0"/>
        <w:spacing w:line="480" w:lineRule="exact"/>
        <w:ind w:firstLine="496" w:firstLineChars="200"/>
        <w:rPr>
          <w:snapToGrid w:val="0"/>
          <w:spacing w:val="4"/>
          <w:kern w:val="0"/>
          <w:sz w:val="24"/>
        </w:rPr>
      </w:pPr>
      <w:r>
        <w:rPr>
          <w:snapToGrid w:val="0"/>
          <w:spacing w:val="4"/>
          <w:kern w:val="0"/>
          <w:sz w:val="24"/>
        </w:rPr>
        <w:t>（3）甲管乙供材料设备</w:t>
      </w:r>
      <w:bookmarkEnd w:id="502"/>
      <w:bookmarkEnd w:id="503"/>
      <w:bookmarkEnd w:id="504"/>
      <w:r>
        <w:rPr>
          <w:snapToGrid w:val="0"/>
          <w:spacing w:val="4"/>
          <w:kern w:val="0"/>
          <w:sz w:val="24"/>
        </w:rPr>
        <w:t>的管理，包括：</w:t>
      </w:r>
    </w:p>
    <w:p w14:paraId="6E243796">
      <w:pPr>
        <w:topLinePunct/>
        <w:adjustRightInd w:val="0"/>
        <w:snapToGrid w:val="0"/>
        <w:spacing w:line="480" w:lineRule="exact"/>
        <w:ind w:firstLine="496" w:firstLineChars="200"/>
        <w:rPr>
          <w:snapToGrid w:val="0"/>
          <w:spacing w:val="4"/>
          <w:kern w:val="0"/>
          <w:sz w:val="24"/>
        </w:rPr>
      </w:pPr>
      <w:r>
        <w:rPr>
          <w:snapToGrid w:val="0"/>
          <w:spacing w:val="4"/>
          <w:kern w:val="0"/>
          <w:sz w:val="24"/>
        </w:rPr>
        <w:t>1）协助委托人针对甲管乙供材料设备的公开择优竞价活动；</w:t>
      </w:r>
    </w:p>
    <w:p w14:paraId="057C373A">
      <w:pPr>
        <w:topLinePunct/>
        <w:adjustRightInd w:val="0"/>
        <w:snapToGrid w:val="0"/>
        <w:spacing w:line="480" w:lineRule="exact"/>
        <w:ind w:firstLine="496" w:firstLineChars="200"/>
        <w:rPr>
          <w:snapToGrid w:val="0"/>
          <w:spacing w:val="4"/>
          <w:kern w:val="0"/>
          <w:sz w:val="24"/>
        </w:rPr>
      </w:pPr>
      <w:r>
        <w:rPr>
          <w:snapToGrid w:val="0"/>
          <w:spacing w:val="4"/>
          <w:kern w:val="0"/>
          <w:sz w:val="24"/>
        </w:rPr>
        <w:t>2）督促并审核施工单位签订材料设备供货合同及合同款的支付情况；</w:t>
      </w:r>
    </w:p>
    <w:p w14:paraId="7444C076">
      <w:pPr>
        <w:topLinePunct/>
        <w:adjustRightInd w:val="0"/>
        <w:snapToGrid w:val="0"/>
        <w:spacing w:line="480" w:lineRule="exact"/>
        <w:ind w:firstLine="496" w:firstLineChars="200"/>
        <w:rPr>
          <w:snapToGrid w:val="0"/>
          <w:spacing w:val="4"/>
          <w:kern w:val="0"/>
          <w:sz w:val="24"/>
        </w:rPr>
      </w:pPr>
      <w:r>
        <w:rPr>
          <w:snapToGrid w:val="0"/>
          <w:spacing w:val="4"/>
          <w:kern w:val="0"/>
          <w:sz w:val="24"/>
        </w:rPr>
        <w:t>3）审核施工单位提供的材料设备数量；</w:t>
      </w:r>
    </w:p>
    <w:p w14:paraId="6F0B6BB6">
      <w:pPr>
        <w:topLinePunct/>
        <w:adjustRightInd w:val="0"/>
        <w:snapToGrid w:val="0"/>
        <w:spacing w:line="480" w:lineRule="exact"/>
        <w:ind w:firstLine="496" w:firstLineChars="200"/>
        <w:rPr>
          <w:snapToGrid w:val="0"/>
          <w:spacing w:val="4"/>
          <w:kern w:val="0"/>
          <w:sz w:val="24"/>
        </w:rPr>
      </w:pPr>
      <w:r>
        <w:rPr>
          <w:snapToGrid w:val="0"/>
          <w:spacing w:val="4"/>
          <w:kern w:val="0"/>
          <w:sz w:val="24"/>
        </w:rPr>
        <w:t>4）审核并批准施工单位编制的材料设备生产和到货进度计划；</w:t>
      </w:r>
    </w:p>
    <w:p w14:paraId="432A7366">
      <w:pPr>
        <w:topLinePunct/>
        <w:adjustRightInd w:val="0"/>
        <w:snapToGrid w:val="0"/>
        <w:spacing w:line="480" w:lineRule="exact"/>
        <w:ind w:firstLine="496" w:firstLineChars="200"/>
        <w:rPr>
          <w:snapToGrid w:val="0"/>
          <w:spacing w:val="4"/>
          <w:kern w:val="0"/>
          <w:sz w:val="24"/>
        </w:rPr>
      </w:pPr>
      <w:r>
        <w:rPr>
          <w:snapToGrid w:val="0"/>
          <w:spacing w:val="4"/>
          <w:kern w:val="0"/>
          <w:sz w:val="24"/>
        </w:rPr>
        <w:t>5）监督检查施工单位对材料设备生产的质量控制；</w:t>
      </w:r>
    </w:p>
    <w:p w14:paraId="7B23FC17">
      <w:pPr>
        <w:topLinePunct/>
        <w:adjustRightInd w:val="0"/>
        <w:snapToGrid w:val="0"/>
        <w:spacing w:line="480" w:lineRule="exact"/>
        <w:ind w:firstLine="496" w:firstLineChars="200"/>
        <w:rPr>
          <w:snapToGrid w:val="0"/>
          <w:spacing w:val="4"/>
          <w:kern w:val="0"/>
          <w:sz w:val="24"/>
        </w:rPr>
      </w:pPr>
      <w:r>
        <w:rPr>
          <w:snapToGrid w:val="0"/>
          <w:spacing w:val="4"/>
          <w:kern w:val="0"/>
          <w:sz w:val="24"/>
        </w:rPr>
        <w:t>6）参加出厂验收；</w:t>
      </w:r>
    </w:p>
    <w:p w14:paraId="522DD57C">
      <w:pPr>
        <w:topLinePunct/>
        <w:adjustRightInd w:val="0"/>
        <w:snapToGrid w:val="0"/>
        <w:spacing w:line="480" w:lineRule="exact"/>
        <w:ind w:firstLine="496" w:firstLineChars="200"/>
        <w:rPr>
          <w:snapToGrid w:val="0"/>
          <w:spacing w:val="4"/>
          <w:kern w:val="0"/>
          <w:sz w:val="24"/>
        </w:rPr>
      </w:pPr>
      <w:r>
        <w:rPr>
          <w:snapToGrid w:val="0"/>
          <w:spacing w:val="4"/>
          <w:kern w:val="0"/>
          <w:sz w:val="24"/>
        </w:rPr>
        <w:t>7）审核施工单位编制的材料设备安装、调试、验收计划；</w:t>
      </w:r>
    </w:p>
    <w:p w14:paraId="030BBBEF">
      <w:pPr>
        <w:topLinePunct/>
        <w:adjustRightInd w:val="0"/>
        <w:snapToGrid w:val="0"/>
        <w:spacing w:line="480" w:lineRule="exact"/>
        <w:ind w:firstLine="496" w:firstLineChars="200"/>
        <w:rPr>
          <w:snapToGrid w:val="0"/>
          <w:spacing w:val="4"/>
          <w:kern w:val="0"/>
          <w:sz w:val="24"/>
        </w:rPr>
      </w:pPr>
      <w:r>
        <w:rPr>
          <w:snapToGrid w:val="0"/>
          <w:spacing w:val="4"/>
          <w:kern w:val="0"/>
          <w:sz w:val="24"/>
        </w:rPr>
        <w:t>8）主持施工图交底审查会；</w:t>
      </w:r>
    </w:p>
    <w:p w14:paraId="2A79BD50">
      <w:pPr>
        <w:topLinePunct/>
        <w:adjustRightInd w:val="0"/>
        <w:snapToGrid w:val="0"/>
        <w:spacing w:line="480" w:lineRule="exact"/>
        <w:ind w:firstLine="496" w:firstLineChars="200"/>
        <w:rPr>
          <w:snapToGrid w:val="0"/>
          <w:spacing w:val="4"/>
          <w:kern w:val="0"/>
          <w:sz w:val="24"/>
        </w:rPr>
      </w:pPr>
      <w:r>
        <w:rPr>
          <w:snapToGrid w:val="0"/>
          <w:spacing w:val="4"/>
          <w:kern w:val="0"/>
          <w:sz w:val="24"/>
        </w:rPr>
        <w:t>9）检查施工单位为材料设备提供运输所需通道和卸货作业场地及材料设备仓库或符合要求的材料堆放场地的落实情况；</w:t>
      </w:r>
    </w:p>
    <w:p w14:paraId="1F9CD50D">
      <w:pPr>
        <w:topLinePunct/>
        <w:adjustRightInd w:val="0"/>
        <w:snapToGrid w:val="0"/>
        <w:spacing w:line="480" w:lineRule="exact"/>
        <w:ind w:firstLine="496" w:firstLineChars="200"/>
        <w:rPr>
          <w:snapToGrid w:val="0"/>
          <w:spacing w:val="4"/>
          <w:kern w:val="0"/>
          <w:sz w:val="24"/>
        </w:rPr>
      </w:pPr>
      <w:r>
        <w:rPr>
          <w:snapToGrid w:val="0"/>
          <w:spacing w:val="4"/>
          <w:kern w:val="0"/>
          <w:sz w:val="24"/>
        </w:rPr>
        <w:t>10）参加材料设备的到货验收、开箱检验，并签署相关文件；</w:t>
      </w:r>
    </w:p>
    <w:p w14:paraId="2D144564">
      <w:pPr>
        <w:topLinePunct/>
        <w:adjustRightInd w:val="0"/>
        <w:snapToGrid w:val="0"/>
        <w:spacing w:line="480" w:lineRule="exact"/>
        <w:ind w:firstLine="496" w:firstLineChars="200"/>
        <w:rPr>
          <w:snapToGrid w:val="0"/>
          <w:spacing w:val="4"/>
          <w:kern w:val="0"/>
          <w:sz w:val="24"/>
        </w:rPr>
      </w:pPr>
      <w:r>
        <w:rPr>
          <w:snapToGrid w:val="0"/>
          <w:spacing w:val="4"/>
          <w:kern w:val="0"/>
          <w:sz w:val="24"/>
        </w:rPr>
        <w:t>11）负责材料设备安装、调试、验收过程中的投资、质量、进度控制；</w:t>
      </w:r>
    </w:p>
    <w:p w14:paraId="425E9491">
      <w:pPr>
        <w:topLinePunct/>
        <w:adjustRightInd w:val="0"/>
        <w:snapToGrid w:val="0"/>
        <w:spacing w:line="480" w:lineRule="exact"/>
        <w:ind w:firstLine="496" w:firstLineChars="200"/>
        <w:rPr>
          <w:snapToGrid w:val="0"/>
          <w:spacing w:val="4"/>
          <w:kern w:val="0"/>
          <w:sz w:val="24"/>
        </w:rPr>
      </w:pPr>
      <w:r>
        <w:rPr>
          <w:snapToGrid w:val="0"/>
          <w:spacing w:val="4"/>
          <w:kern w:val="0"/>
          <w:sz w:val="24"/>
        </w:rPr>
        <w:t>12）审核施工单位提供的材料设备的结算资料；</w:t>
      </w:r>
    </w:p>
    <w:p w14:paraId="6A24E2C0">
      <w:pPr>
        <w:topLinePunct/>
        <w:adjustRightInd w:val="0"/>
        <w:snapToGrid w:val="0"/>
        <w:spacing w:line="480" w:lineRule="exact"/>
        <w:ind w:firstLine="496" w:firstLineChars="200"/>
        <w:rPr>
          <w:snapToGrid w:val="0"/>
          <w:spacing w:val="4"/>
          <w:kern w:val="0"/>
          <w:sz w:val="24"/>
        </w:rPr>
      </w:pPr>
      <w:r>
        <w:rPr>
          <w:snapToGrid w:val="0"/>
          <w:spacing w:val="4"/>
          <w:kern w:val="0"/>
          <w:sz w:val="24"/>
        </w:rPr>
        <w:t>13）检查质量保证期工作。</w:t>
      </w:r>
    </w:p>
    <w:p w14:paraId="3984466C">
      <w:pPr>
        <w:topLinePunct/>
        <w:adjustRightInd w:val="0"/>
        <w:snapToGrid w:val="0"/>
        <w:spacing w:line="480" w:lineRule="exact"/>
        <w:ind w:firstLine="496" w:firstLineChars="200"/>
        <w:rPr>
          <w:snapToGrid w:val="0"/>
          <w:spacing w:val="4"/>
          <w:kern w:val="0"/>
          <w:sz w:val="24"/>
        </w:rPr>
      </w:pPr>
      <w:bookmarkStart w:id="505" w:name="_Toc122856774"/>
      <w:bookmarkStart w:id="506" w:name="_Toc123449964"/>
      <w:r>
        <w:rPr>
          <w:snapToGrid w:val="0"/>
          <w:spacing w:val="4"/>
          <w:kern w:val="0"/>
          <w:sz w:val="24"/>
        </w:rPr>
        <w:t>（4）乙供</w:t>
      </w:r>
      <w:bookmarkEnd w:id="505"/>
      <w:bookmarkEnd w:id="506"/>
      <w:r>
        <w:rPr>
          <w:snapToGrid w:val="0"/>
          <w:spacing w:val="4"/>
          <w:kern w:val="0"/>
          <w:sz w:val="24"/>
        </w:rPr>
        <w:t>材料设备的管理，包括：</w:t>
      </w:r>
    </w:p>
    <w:p w14:paraId="70C256FD">
      <w:pPr>
        <w:topLinePunct/>
        <w:adjustRightInd w:val="0"/>
        <w:snapToGrid w:val="0"/>
        <w:spacing w:line="480" w:lineRule="exact"/>
        <w:ind w:firstLine="496" w:firstLineChars="200"/>
        <w:rPr>
          <w:snapToGrid w:val="0"/>
          <w:spacing w:val="4"/>
          <w:kern w:val="0"/>
          <w:sz w:val="24"/>
        </w:rPr>
      </w:pPr>
      <w:r>
        <w:rPr>
          <w:snapToGrid w:val="0"/>
          <w:spacing w:val="4"/>
          <w:kern w:val="0"/>
          <w:sz w:val="24"/>
        </w:rPr>
        <w:t>1）审核工程总体材料设备使用计划和月度材料设备分批使用计划；</w:t>
      </w:r>
    </w:p>
    <w:p w14:paraId="4F916746">
      <w:pPr>
        <w:topLinePunct/>
        <w:adjustRightInd w:val="0"/>
        <w:snapToGrid w:val="0"/>
        <w:spacing w:line="480" w:lineRule="exact"/>
        <w:ind w:firstLine="496" w:firstLineChars="200"/>
        <w:rPr>
          <w:snapToGrid w:val="0"/>
          <w:spacing w:val="4"/>
          <w:kern w:val="0"/>
          <w:sz w:val="24"/>
        </w:rPr>
      </w:pPr>
      <w:r>
        <w:rPr>
          <w:snapToGrid w:val="0"/>
          <w:spacing w:val="4"/>
          <w:kern w:val="0"/>
          <w:sz w:val="24"/>
        </w:rPr>
        <w:t>2）审核施工单位选定的材料设备合格供货商并对样品进行封存；</w:t>
      </w:r>
    </w:p>
    <w:p w14:paraId="412DFB11">
      <w:pPr>
        <w:topLinePunct/>
        <w:adjustRightInd w:val="0"/>
        <w:snapToGrid w:val="0"/>
        <w:spacing w:line="480" w:lineRule="exact"/>
        <w:ind w:firstLine="496" w:firstLineChars="200"/>
        <w:rPr>
          <w:snapToGrid w:val="0"/>
          <w:spacing w:val="4"/>
          <w:kern w:val="0"/>
          <w:sz w:val="24"/>
        </w:rPr>
      </w:pPr>
      <w:r>
        <w:rPr>
          <w:snapToGrid w:val="0"/>
          <w:spacing w:val="4"/>
          <w:kern w:val="0"/>
          <w:sz w:val="24"/>
        </w:rPr>
        <w:t>3）督促并审核施工单位签订材料设备供货合同；</w:t>
      </w:r>
    </w:p>
    <w:p w14:paraId="24620D08">
      <w:pPr>
        <w:topLinePunct/>
        <w:adjustRightInd w:val="0"/>
        <w:snapToGrid w:val="0"/>
        <w:spacing w:line="480" w:lineRule="exact"/>
        <w:ind w:firstLine="496" w:firstLineChars="200"/>
        <w:rPr>
          <w:snapToGrid w:val="0"/>
          <w:spacing w:val="4"/>
          <w:kern w:val="0"/>
          <w:sz w:val="24"/>
        </w:rPr>
      </w:pPr>
      <w:r>
        <w:rPr>
          <w:snapToGrid w:val="0"/>
          <w:spacing w:val="4"/>
          <w:kern w:val="0"/>
          <w:sz w:val="24"/>
        </w:rPr>
        <w:t>4）组织施工单位拟定准确的材料设备进场计划，及时进行材料设备的采购及供货；</w:t>
      </w:r>
    </w:p>
    <w:p w14:paraId="0C5E4BBB">
      <w:pPr>
        <w:topLinePunct/>
        <w:adjustRightInd w:val="0"/>
        <w:snapToGrid w:val="0"/>
        <w:spacing w:line="480" w:lineRule="exact"/>
        <w:ind w:firstLine="496" w:firstLineChars="200"/>
        <w:rPr>
          <w:snapToGrid w:val="0"/>
          <w:spacing w:val="4"/>
          <w:kern w:val="0"/>
          <w:sz w:val="24"/>
        </w:rPr>
      </w:pPr>
      <w:r>
        <w:rPr>
          <w:snapToGrid w:val="0"/>
          <w:spacing w:val="4"/>
          <w:kern w:val="0"/>
          <w:sz w:val="24"/>
        </w:rPr>
        <w:t>5）组织施工单位认真清点到货材料设备，在安装材料设备过程中及安装后应进行监督、检验，把好质量关；</w:t>
      </w:r>
    </w:p>
    <w:p w14:paraId="68684034">
      <w:pPr>
        <w:topLinePunct/>
        <w:adjustRightInd w:val="0"/>
        <w:snapToGrid w:val="0"/>
        <w:spacing w:line="480" w:lineRule="exact"/>
        <w:ind w:firstLine="496" w:firstLineChars="200"/>
        <w:rPr>
          <w:snapToGrid w:val="0"/>
          <w:spacing w:val="4"/>
          <w:kern w:val="0"/>
          <w:sz w:val="24"/>
        </w:rPr>
      </w:pPr>
      <w:r>
        <w:rPr>
          <w:snapToGrid w:val="0"/>
          <w:spacing w:val="4"/>
          <w:kern w:val="0"/>
          <w:sz w:val="24"/>
        </w:rPr>
        <w:t>6）对施工单位所定材料设备规格、型号、数量、质量必须严格把关，发现货不对板情况应及时向委托人汇报；</w:t>
      </w:r>
    </w:p>
    <w:p w14:paraId="59F797C0">
      <w:pPr>
        <w:topLinePunct/>
        <w:adjustRightInd w:val="0"/>
        <w:snapToGrid w:val="0"/>
        <w:spacing w:line="480" w:lineRule="exact"/>
        <w:ind w:firstLine="496" w:firstLineChars="200"/>
        <w:rPr>
          <w:snapToGrid w:val="0"/>
          <w:spacing w:val="4"/>
          <w:kern w:val="0"/>
          <w:sz w:val="24"/>
        </w:rPr>
      </w:pPr>
      <w:r>
        <w:rPr>
          <w:snapToGrid w:val="0"/>
          <w:spacing w:val="4"/>
          <w:kern w:val="0"/>
          <w:sz w:val="24"/>
        </w:rPr>
        <w:t>7）负责材料设备安装、调试、验收过程中的投资、质量、进度控制；</w:t>
      </w:r>
    </w:p>
    <w:p w14:paraId="2EDB790D">
      <w:pPr>
        <w:topLinePunct/>
        <w:adjustRightInd w:val="0"/>
        <w:snapToGrid w:val="0"/>
        <w:spacing w:line="480" w:lineRule="exact"/>
        <w:ind w:firstLine="496" w:firstLineChars="200"/>
        <w:rPr>
          <w:snapToGrid w:val="0"/>
          <w:spacing w:val="4"/>
          <w:kern w:val="0"/>
          <w:sz w:val="24"/>
        </w:rPr>
      </w:pPr>
      <w:r>
        <w:rPr>
          <w:snapToGrid w:val="0"/>
          <w:spacing w:val="4"/>
          <w:kern w:val="0"/>
          <w:sz w:val="24"/>
        </w:rPr>
        <w:t>8）审核施工单位提供的材料设备的结算资料；</w:t>
      </w:r>
    </w:p>
    <w:p w14:paraId="7A6BC009">
      <w:pPr>
        <w:topLinePunct/>
        <w:adjustRightInd w:val="0"/>
        <w:snapToGrid w:val="0"/>
        <w:spacing w:line="480" w:lineRule="exact"/>
        <w:ind w:firstLine="496" w:firstLineChars="200"/>
        <w:rPr>
          <w:snapToGrid w:val="0"/>
          <w:spacing w:val="4"/>
          <w:kern w:val="0"/>
          <w:sz w:val="24"/>
        </w:rPr>
      </w:pPr>
      <w:r>
        <w:rPr>
          <w:snapToGrid w:val="0"/>
          <w:spacing w:val="4"/>
          <w:kern w:val="0"/>
          <w:sz w:val="24"/>
        </w:rPr>
        <w:t>9）检查质量保证期工作。</w:t>
      </w:r>
    </w:p>
    <w:p w14:paraId="40015706">
      <w:pPr>
        <w:topLinePunct/>
        <w:adjustRightInd w:val="0"/>
        <w:snapToGrid w:val="0"/>
        <w:spacing w:line="480" w:lineRule="exact"/>
        <w:ind w:firstLine="496" w:firstLineChars="200"/>
        <w:rPr>
          <w:snapToGrid w:val="0"/>
          <w:spacing w:val="4"/>
          <w:kern w:val="0"/>
          <w:sz w:val="24"/>
        </w:rPr>
      </w:pPr>
      <w:r>
        <w:rPr>
          <w:snapToGrid w:val="0"/>
          <w:spacing w:val="4"/>
          <w:kern w:val="0"/>
          <w:sz w:val="24"/>
        </w:rPr>
        <w:t>（5）建筑装饰材料的管理，包括：</w:t>
      </w:r>
    </w:p>
    <w:p w14:paraId="7574ACE3">
      <w:pPr>
        <w:topLinePunct/>
        <w:adjustRightInd w:val="0"/>
        <w:snapToGrid w:val="0"/>
        <w:spacing w:line="480" w:lineRule="exact"/>
        <w:ind w:firstLine="496" w:firstLineChars="200"/>
        <w:rPr>
          <w:snapToGrid w:val="0"/>
          <w:spacing w:val="4"/>
          <w:kern w:val="0"/>
          <w:sz w:val="24"/>
        </w:rPr>
      </w:pPr>
      <w:r>
        <w:rPr>
          <w:snapToGrid w:val="0"/>
          <w:spacing w:val="4"/>
          <w:kern w:val="0"/>
          <w:sz w:val="24"/>
        </w:rPr>
        <w:t>1）协助委托人进行材料管理及采购策划；</w:t>
      </w:r>
    </w:p>
    <w:p w14:paraId="2D5FE882">
      <w:pPr>
        <w:topLinePunct/>
        <w:adjustRightInd w:val="0"/>
        <w:snapToGrid w:val="0"/>
        <w:spacing w:line="480" w:lineRule="exact"/>
        <w:ind w:firstLine="496" w:firstLineChars="200"/>
        <w:rPr>
          <w:snapToGrid w:val="0"/>
          <w:spacing w:val="4"/>
          <w:kern w:val="0"/>
          <w:sz w:val="24"/>
        </w:rPr>
      </w:pPr>
      <w:r>
        <w:rPr>
          <w:snapToGrid w:val="0"/>
          <w:spacing w:val="4"/>
          <w:kern w:val="0"/>
          <w:sz w:val="24"/>
        </w:rPr>
        <w:t>2）协助委托人选定合格材料供货商；</w:t>
      </w:r>
    </w:p>
    <w:p w14:paraId="77103709">
      <w:pPr>
        <w:topLinePunct/>
        <w:adjustRightInd w:val="0"/>
        <w:snapToGrid w:val="0"/>
        <w:spacing w:line="480" w:lineRule="exact"/>
        <w:ind w:firstLine="496" w:firstLineChars="200"/>
        <w:rPr>
          <w:snapToGrid w:val="0"/>
          <w:spacing w:val="4"/>
          <w:kern w:val="0"/>
          <w:sz w:val="24"/>
        </w:rPr>
      </w:pPr>
      <w:r>
        <w:rPr>
          <w:snapToGrid w:val="0"/>
          <w:spacing w:val="4"/>
          <w:kern w:val="0"/>
          <w:sz w:val="24"/>
        </w:rPr>
        <w:t>3）协助并督促施工单位签订材料供货合同；</w:t>
      </w:r>
    </w:p>
    <w:p w14:paraId="666CBF08">
      <w:pPr>
        <w:topLinePunct/>
        <w:adjustRightInd w:val="0"/>
        <w:snapToGrid w:val="0"/>
        <w:spacing w:line="480" w:lineRule="exact"/>
        <w:ind w:firstLine="496" w:firstLineChars="200"/>
        <w:rPr>
          <w:snapToGrid w:val="0"/>
          <w:spacing w:val="4"/>
          <w:kern w:val="0"/>
          <w:sz w:val="24"/>
        </w:rPr>
      </w:pPr>
      <w:r>
        <w:rPr>
          <w:snapToGrid w:val="0"/>
          <w:spacing w:val="4"/>
          <w:kern w:val="0"/>
          <w:sz w:val="24"/>
        </w:rPr>
        <w:t>4）督促施工单位拟定准确的分批次订货计划，及时进行材料的采购及供货；</w:t>
      </w:r>
    </w:p>
    <w:p w14:paraId="6197FE7D">
      <w:pPr>
        <w:topLinePunct/>
        <w:adjustRightInd w:val="0"/>
        <w:snapToGrid w:val="0"/>
        <w:spacing w:line="480" w:lineRule="exact"/>
        <w:ind w:firstLine="496" w:firstLineChars="200"/>
        <w:rPr>
          <w:snapToGrid w:val="0"/>
          <w:spacing w:val="4"/>
          <w:kern w:val="0"/>
          <w:sz w:val="24"/>
        </w:rPr>
      </w:pPr>
      <w:r>
        <w:rPr>
          <w:snapToGrid w:val="0"/>
          <w:spacing w:val="4"/>
          <w:kern w:val="0"/>
          <w:sz w:val="24"/>
        </w:rPr>
        <w:t>5）对材料到货、施工过程中及施工后进行监督、检验，把好材料质量关；</w:t>
      </w:r>
    </w:p>
    <w:p w14:paraId="7AA2673A">
      <w:pPr>
        <w:topLinePunct/>
        <w:adjustRightInd w:val="0"/>
        <w:snapToGrid w:val="0"/>
        <w:spacing w:line="480" w:lineRule="exact"/>
        <w:ind w:firstLine="496" w:firstLineChars="200"/>
        <w:rPr>
          <w:snapToGrid w:val="0"/>
          <w:spacing w:val="4"/>
          <w:kern w:val="0"/>
          <w:sz w:val="24"/>
        </w:rPr>
      </w:pPr>
      <w:r>
        <w:rPr>
          <w:snapToGrid w:val="0"/>
          <w:spacing w:val="4"/>
          <w:kern w:val="0"/>
          <w:sz w:val="24"/>
        </w:rPr>
        <w:t>6）对材料变更费用进行预测及审核，提出专业意见及建议；</w:t>
      </w:r>
    </w:p>
    <w:p w14:paraId="3C2C875D">
      <w:pPr>
        <w:topLinePunct/>
        <w:adjustRightInd w:val="0"/>
        <w:snapToGrid w:val="0"/>
        <w:spacing w:line="480" w:lineRule="exact"/>
        <w:ind w:firstLine="496" w:firstLineChars="200"/>
        <w:rPr>
          <w:snapToGrid w:val="0"/>
          <w:spacing w:val="4"/>
          <w:kern w:val="0"/>
          <w:sz w:val="24"/>
        </w:rPr>
      </w:pPr>
      <w:r>
        <w:rPr>
          <w:snapToGrid w:val="0"/>
          <w:spacing w:val="4"/>
          <w:kern w:val="0"/>
          <w:sz w:val="24"/>
        </w:rPr>
        <w:t>7）负责供货单位与施工单位的协调。</w:t>
      </w:r>
    </w:p>
    <w:p w14:paraId="27F070B1">
      <w:pPr>
        <w:topLinePunct/>
        <w:adjustRightInd w:val="0"/>
        <w:snapToGrid w:val="0"/>
        <w:spacing w:line="480" w:lineRule="exact"/>
        <w:ind w:firstLine="496" w:firstLineChars="200"/>
        <w:rPr>
          <w:snapToGrid w:val="0"/>
          <w:spacing w:val="4"/>
          <w:kern w:val="0"/>
          <w:sz w:val="24"/>
        </w:rPr>
      </w:pPr>
      <w:r>
        <w:rPr>
          <w:snapToGrid w:val="0"/>
          <w:spacing w:val="4"/>
          <w:kern w:val="0"/>
          <w:sz w:val="24"/>
        </w:rPr>
        <w:t>（6）材料设备采购监理，包括：</w:t>
      </w:r>
    </w:p>
    <w:p w14:paraId="1A64DE9B">
      <w:pPr>
        <w:topLinePunct/>
        <w:adjustRightInd w:val="0"/>
        <w:snapToGrid w:val="0"/>
        <w:spacing w:line="480" w:lineRule="exact"/>
        <w:ind w:firstLine="496" w:firstLineChars="200"/>
        <w:rPr>
          <w:snapToGrid w:val="0"/>
          <w:spacing w:val="4"/>
          <w:kern w:val="0"/>
          <w:sz w:val="24"/>
        </w:rPr>
      </w:pPr>
      <w:r>
        <w:rPr>
          <w:snapToGrid w:val="0"/>
          <w:spacing w:val="4"/>
          <w:kern w:val="0"/>
          <w:sz w:val="24"/>
        </w:rPr>
        <w:t>1）委托监理合同；</w:t>
      </w:r>
    </w:p>
    <w:p w14:paraId="2E17D114">
      <w:pPr>
        <w:topLinePunct/>
        <w:adjustRightInd w:val="0"/>
        <w:snapToGrid w:val="0"/>
        <w:spacing w:line="480" w:lineRule="exact"/>
        <w:ind w:firstLine="496" w:firstLineChars="200"/>
        <w:rPr>
          <w:snapToGrid w:val="0"/>
          <w:spacing w:val="4"/>
          <w:kern w:val="0"/>
          <w:sz w:val="24"/>
        </w:rPr>
      </w:pPr>
      <w:r>
        <w:rPr>
          <w:snapToGrid w:val="0"/>
          <w:spacing w:val="4"/>
          <w:kern w:val="0"/>
          <w:sz w:val="24"/>
        </w:rPr>
        <w:t>2）设备采购方案计划；</w:t>
      </w:r>
    </w:p>
    <w:p w14:paraId="672BF7B2">
      <w:pPr>
        <w:topLinePunct/>
        <w:adjustRightInd w:val="0"/>
        <w:snapToGrid w:val="0"/>
        <w:spacing w:line="480" w:lineRule="exact"/>
        <w:ind w:firstLine="496" w:firstLineChars="200"/>
        <w:rPr>
          <w:snapToGrid w:val="0"/>
          <w:spacing w:val="4"/>
          <w:kern w:val="0"/>
          <w:sz w:val="24"/>
        </w:rPr>
      </w:pPr>
      <w:r>
        <w:rPr>
          <w:snapToGrid w:val="0"/>
          <w:spacing w:val="4"/>
          <w:kern w:val="0"/>
          <w:sz w:val="24"/>
        </w:rPr>
        <w:t>3）设计图纸和文件；</w:t>
      </w:r>
    </w:p>
    <w:p w14:paraId="05C0DC81">
      <w:pPr>
        <w:topLinePunct/>
        <w:adjustRightInd w:val="0"/>
        <w:snapToGrid w:val="0"/>
        <w:spacing w:line="480" w:lineRule="exact"/>
        <w:ind w:firstLine="496" w:firstLineChars="200"/>
        <w:rPr>
          <w:snapToGrid w:val="0"/>
          <w:spacing w:val="4"/>
          <w:kern w:val="0"/>
          <w:sz w:val="24"/>
        </w:rPr>
      </w:pPr>
      <w:r>
        <w:rPr>
          <w:snapToGrid w:val="0"/>
          <w:spacing w:val="4"/>
          <w:kern w:val="0"/>
          <w:sz w:val="24"/>
        </w:rPr>
        <w:t>4）市场调查、考察报告；</w:t>
      </w:r>
    </w:p>
    <w:p w14:paraId="337A7BEC">
      <w:pPr>
        <w:topLinePunct/>
        <w:adjustRightInd w:val="0"/>
        <w:snapToGrid w:val="0"/>
        <w:spacing w:line="480" w:lineRule="exact"/>
        <w:ind w:firstLine="496" w:firstLineChars="200"/>
        <w:rPr>
          <w:snapToGrid w:val="0"/>
          <w:spacing w:val="4"/>
          <w:kern w:val="0"/>
          <w:sz w:val="24"/>
        </w:rPr>
      </w:pPr>
      <w:r>
        <w:rPr>
          <w:snapToGrid w:val="0"/>
          <w:spacing w:val="4"/>
          <w:kern w:val="0"/>
          <w:sz w:val="24"/>
        </w:rPr>
        <w:t>5）设备采购招投标文件；</w:t>
      </w:r>
    </w:p>
    <w:p w14:paraId="276A43FF">
      <w:pPr>
        <w:topLinePunct/>
        <w:adjustRightInd w:val="0"/>
        <w:snapToGrid w:val="0"/>
        <w:spacing w:line="480" w:lineRule="exact"/>
        <w:ind w:firstLine="496" w:firstLineChars="200"/>
        <w:rPr>
          <w:snapToGrid w:val="0"/>
          <w:spacing w:val="4"/>
          <w:kern w:val="0"/>
          <w:sz w:val="24"/>
        </w:rPr>
      </w:pPr>
      <w:r>
        <w:rPr>
          <w:snapToGrid w:val="0"/>
          <w:spacing w:val="4"/>
          <w:kern w:val="0"/>
          <w:sz w:val="24"/>
        </w:rPr>
        <w:t>6）设备采购订货合同；</w:t>
      </w:r>
    </w:p>
    <w:p w14:paraId="0B2AF92D">
      <w:pPr>
        <w:topLinePunct/>
        <w:adjustRightInd w:val="0"/>
        <w:snapToGrid w:val="0"/>
        <w:spacing w:line="480" w:lineRule="exact"/>
        <w:ind w:firstLine="496" w:firstLineChars="200"/>
        <w:rPr>
          <w:snapToGrid w:val="0"/>
          <w:spacing w:val="4"/>
          <w:kern w:val="0"/>
          <w:sz w:val="24"/>
        </w:rPr>
      </w:pPr>
      <w:r>
        <w:rPr>
          <w:snapToGrid w:val="0"/>
          <w:spacing w:val="4"/>
          <w:kern w:val="0"/>
          <w:sz w:val="24"/>
        </w:rPr>
        <w:t>7）设备采购监理工作总结。</w:t>
      </w:r>
    </w:p>
    <w:p w14:paraId="6A0C8E6C">
      <w:pPr>
        <w:topLinePunct/>
        <w:adjustRightInd w:val="0"/>
        <w:snapToGrid w:val="0"/>
        <w:spacing w:line="480" w:lineRule="exact"/>
        <w:ind w:firstLine="496" w:firstLineChars="200"/>
        <w:rPr>
          <w:snapToGrid w:val="0"/>
          <w:spacing w:val="4"/>
          <w:kern w:val="0"/>
          <w:sz w:val="24"/>
        </w:rPr>
      </w:pPr>
      <w:r>
        <w:rPr>
          <w:snapToGrid w:val="0"/>
          <w:spacing w:val="4"/>
          <w:kern w:val="0"/>
          <w:sz w:val="24"/>
        </w:rPr>
        <w:t>（7）施工阶段材料设备控制中的其它监理工作，包括：</w:t>
      </w:r>
    </w:p>
    <w:p w14:paraId="331A50C6">
      <w:pPr>
        <w:topLinePunct/>
        <w:adjustRightInd w:val="0"/>
        <w:snapToGrid w:val="0"/>
        <w:spacing w:line="480" w:lineRule="exact"/>
        <w:ind w:firstLine="496" w:firstLineChars="200"/>
        <w:rPr>
          <w:snapToGrid w:val="0"/>
          <w:spacing w:val="4"/>
          <w:kern w:val="0"/>
          <w:sz w:val="24"/>
        </w:rPr>
      </w:pPr>
      <w:r>
        <w:rPr>
          <w:snapToGrid w:val="0"/>
          <w:spacing w:val="4"/>
          <w:kern w:val="0"/>
          <w:sz w:val="24"/>
        </w:rPr>
        <w:t>1）根据委托人的委托实施设备监造工作（设备监造酬金包括在本合同价款中），具体工作如下：</w:t>
      </w:r>
    </w:p>
    <w:p w14:paraId="2E9AF47D">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监理人应根据设备监造阶段的监理工作内容，成立由总监理工程师和专业监理工程师组成的项目监理机构。项目监理机构应进驻设备制造现场。</w:t>
      </w:r>
    </w:p>
    <w:p w14:paraId="040D1CE6">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总监理工程师应组织专业监理工程师熟悉设备制造图纸及有关技术说明和标准，掌握设计意图和各项设备制造的工艺规程以及设备采购订货合同中的各项规定，并应组织或参加委托人组织的设备制造图纸的设计交底。</w:t>
      </w:r>
    </w:p>
    <w:p w14:paraId="45231440">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总监理工程师应组织专业监理工程师编制设备监造规划，经监理人技术负责人审核批准后，在设备制造开始前十天内报送委托人。</w:t>
      </w:r>
    </w:p>
    <w:p w14:paraId="3E7973DA">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总监理工程师应审查设备制造单位报送的设备制造生产计划和工艺方案，提出审查意见，符合要求后予以批准，并报委托人。</w:t>
      </w:r>
    </w:p>
    <w:p w14:paraId="150C3459">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⑤</w:t>
      </w:r>
      <w:r>
        <w:rPr>
          <w:snapToGrid w:val="0"/>
          <w:spacing w:val="4"/>
          <w:kern w:val="0"/>
          <w:sz w:val="24"/>
        </w:rPr>
        <w:t xml:space="preserve"> 总监理工程师应审核设备制造分包单位的资质情况、实际生产能力和质量保证体系，符合要求后予以确认。</w:t>
      </w:r>
    </w:p>
    <w:p w14:paraId="4BA422FA">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⑥</w:t>
      </w:r>
      <w:r>
        <w:rPr>
          <w:snapToGrid w:val="0"/>
          <w:spacing w:val="4"/>
          <w:kern w:val="0"/>
          <w:sz w:val="24"/>
        </w:rPr>
        <w:t xml:space="preserve"> 专业监理工程师应审查设备制造的检验计划和检验要求，确认各阶段的检验时间、内容、方法、标准以及检测手段、检测设备和仪器。</w:t>
      </w:r>
    </w:p>
    <w:p w14:paraId="08E4B37B">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⑦</w:t>
      </w:r>
      <w:r>
        <w:rPr>
          <w:snapToGrid w:val="0"/>
          <w:spacing w:val="4"/>
          <w:kern w:val="0"/>
          <w:sz w:val="24"/>
        </w:rPr>
        <w:t xml:space="preserve"> 专业监理工程师必须对设备制造过程中拟采用的新技术、新材料、新工艺的鉴定书和试验报告进行审核，并签署意见。</w:t>
      </w:r>
    </w:p>
    <w:p w14:paraId="45BE6870">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⑧</w:t>
      </w:r>
      <w:r>
        <w:rPr>
          <w:snapToGrid w:val="0"/>
          <w:spacing w:val="4"/>
          <w:kern w:val="0"/>
          <w:sz w:val="24"/>
        </w:rPr>
        <w:t xml:space="preserve"> 专业监理工程师应审查主要及关键零件的生产工艺设备、操作规程和相关生产人员的上岗资格，并对设备制造和装配场所的环境进行检查。</w:t>
      </w:r>
    </w:p>
    <w:p w14:paraId="634622AD">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⑨</w:t>
      </w:r>
      <w:r>
        <w:rPr>
          <w:snapToGrid w:val="0"/>
          <w:spacing w:val="4"/>
          <w:kern w:val="0"/>
          <w:sz w:val="24"/>
        </w:rPr>
        <w:t xml:space="preserve"> 专业监理工程师应审查设备制造的原材料、外购配套件、元器件、标准件以及坯料的质量证明文件及检验报告，检查设备制造单位对外购器件、外协作加工件和材料的质量验收，并由专业监理工程师审查设备制造单位提交的报验资料，符合规定要求时予以签认。</w:t>
      </w:r>
    </w:p>
    <w:p w14:paraId="1EA65D0F">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⑩</w:t>
      </w:r>
      <w:r>
        <w:rPr>
          <w:snapToGrid w:val="0"/>
          <w:spacing w:val="4"/>
          <w:kern w:val="0"/>
          <w:sz w:val="24"/>
        </w:rPr>
        <w:t xml:space="preserve"> 专业监理工程师应对设备制造过程进行监督和检查，对主要及关键零部件的制造工序应进行抽检或检验。</w:t>
      </w:r>
    </w:p>
    <w:p w14:paraId="41746500">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,11)</w:instrText>
      </w:r>
      <w:r>
        <w:rPr>
          <w:snapToGrid w:val="0"/>
          <w:spacing w:val="4"/>
          <w:kern w:val="0"/>
          <w:sz w:val="24"/>
        </w:rPr>
        <w:fldChar w:fldCharType="end"/>
      </w:r>
      <w:r>
        <w:rPr>
          <w:snapToGrid w:val="0"/>
          <w:spacing w:val="4"/>
          <w:kern w:val="0"/>
          <w:sz w:val="24"/>
        </w:rPr>
        <w:t xml:space="preserve"> 专业监理工程师应要求设备制造单位按批准的检验计划和检验要求进行设备制造过程的检验工作，做好检验记录，并对检验结果进行审核。专业监理工程师认为不符合质量要求时，指令设备制造单位进行整改、返修或返工。当发生质量失控或重大质量事故时，必须由总监理工程师下达暂停制造指令，提出处理意见，并及时报告委托人。</w:t>
      </w:r>
    </w:p>
    <w:p w14:paraId="75BB5455">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,12)</w:instrText>
      </w:r>
      <w:r>
        <w:rPr>
          <w:snapToGrid w:val="0"/>
          <w:spacing w:val="4"/>
          <w:kern w:val="0"/>
          <w:sz w:val="24"/>
        </w:rPr>
        <w:fldChar w:fldCharType="end"/>
      </w:r>
      <w:r>
        <w:rPr>
          <w:snapToGrid w:val="0"/>
          <w:spacing w:val="4"/>
          <w:kern w:val="0"/>
          <w:sz w:val="24"/>
        </w:rPr>
        <w:t xml:space="preserve"> 专业监理工程师应检查和监督设备的装配过程，符合要求后予以签认。</w:t>
      </w:r>
    </w:p>
    <w:p w14:paraId="56144A66">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,13)</w:instrText>
      </w:r>
      <w:r>
        <w:rPr>
          <w:snapToGrid w:val="0"/>
          <w:spacing w:val="4"/>
          <w:kern w:val="0"/>
          <w:sz w:val="24"/>
        </w:rPr>
        <w:fldChar w:fldCharType="end"/>
      </w:r>
      <w:r>
        <w:rPr>
          <w:snapToGrid w:val="0"/>
          <w:spacing w:val="4"/>
          <w:kern w:val="0"/>
          <w:sz w:val="24"/>
        </w:rPr>
        <w:t xml:space="preserve"> 在设备制造过程中如需要对设备的原设计进行变更，专业监理工程师应审核设计变更，并审查因变更引起的费用增减和制造工期的变化。</w:t>
      </w:r>
    </w:p>
    <w:p w14:paraId="59E40BD1">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,14)</w:instrText>
      </w:r>
      <w:r>
        <w:rPr>
          <w:snapToGrid w:val="0"/>
          <w:spacing w:val="4"/>
          <w:kern w:val="0"/>
          <w:sz w:val="24"/>
        </w:rPr>
        <w:fldChar w:fldCharType="end"/>
      </w:r>
      <w:r>
        <w:rPr>
          <w:snapToGrid w:val="0"/>
          <w:spacing w:val="4"/>
          <w:kern w:val="0"/>
          <w:sz w:val="24"/>
        </w:rPr>
        <w:t xml:space="preserve"> 总监理工程师应组织专业监理工程师参加设备制造过程中的调试、整机性能检测和验证，符合要求后予以签认。</w:t>
      </w:r>
    </w:p>
    <w:p w14:paraId="05ECB44A">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,15)</w:instrText>
      </w:r>
      <w:r>
        <w:rPr>
          <w:snapToGrid w:val="0"/>
          <w:spacing w:val="4"/>
          <w:kern w:val="0"/>
          <w:sz w:val="24"/>
        </w:rPr>
        <w:fldChar w:fldCharType="end"/>
      </w:r>
      <w:r>
        <w:rPr>
          <w:snapToGrid w:val="0"/>
          <w:spacing w:val="4"/>
          <w:kern w:val="0"/>
          <w:sz w:val="24"/>
        </w:rPr>
        <w:t xml:space="preserve"> 在设备运往现场前，专业监理工程师应检查设备制造单位对待运设备采取的防护和包装措施，并应检查是否符合运输、装卸、储存、安装的要求，以及相关的随机文件、装箱单和附件是否齐全。</w:t>
      </w:r>
    </w:p>
    <w:p w14:paraId="31A925FF">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,16)</w:instrText>
      </w:r>
      <w:r>
        <w:rPr>
          <w:snapToGrid w:val="0"/>
          <w:spacing w:val="4"/>
          <w:kern w:val="0"/>
          <w:sz w:val="24"/>
        </w:rPr>
        <w:fldChar w:fldCharType="end"/>
      </w:r>
      <w:r>
        <w:rPr>
          <w:snapToGrid w:val="0"/>
          <w:spacing w:val="4"/>
          <w:kern w:val="0"/>
          <w:sz w:val="24"/>
        </w:rPr>
        <w:t xml:space="preserve"> 设备全部运到现场后，总监理工程师应组织专业监理工程师参加由设备制造单位按合同规定与安装单位的交接工作，开箱清点、检查、验收、移交。</w:t>
      </w:r>
    </w:p>
    <w:p w14:paraId="678A53FE">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,17)</w:instrText>
      </w:r>
      <w:r>
        <w:rPr>
          <w:snapToGrid w:val="0"/>
          <w:spacing w:val="4"/>
          <w:kern w:val="0"/>
          <w:sz w:val="24"/>
        </w:rPr>
        <w:fldChar w:fldCharType="end"/>
      </w:r>
      <w:r>
        <w:rPr>
          <w:snapToGrid w:val="0"/>
          <w:spacing w:val="4"/>
          <w:kern w:val="0"/>
          <w:sz w:val="24"/>
        </w:rPr>
        <w:t xml:space="preserve"> 专业监理工程师应按设备采购合同的规定审核设备制造单位提交的进度付款单，提出审核意见，由总监理工程师复核后报委托人。</w:t>
      </w:r>
    </w:p>
    <w:p w14:paraId="5A692623">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,18)</w:instrText>
      </w:r>
      <w:r>
        <w:rPr>
          <w:snapToGrid w:val="0"/>
          <w:spacing w:val="4"/>
          <w:kern w:val="0"/>
          <w:sz w:val="24"/>
        </w:rPr>
        <w:fldChar w:fldCharType="end"/>
      </w:r>
      <w:r>
        <w:rPr>
          <w:snapToGrid w:val="0"/>
          <w:spacing w:val="4"/>
          <w:kern w:val="0"/>
          <w:sz w:val="24"/>
        </w:rPr>
        <w:t xml:space="preserve"> 专业监理工程师应审查委托人或设备制造单位提出的索赔文件，提出意见后报总监理工程师，由总监理工程师与委托人、设备制造单位进行协商，并提出审核报告。</w:t>
      </w:r>
    </w:p>
    <w:p w14:paraId="4D92531D">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,19)</w:instrText>
      </w:r>
      <w:r>
        <w:rPr>
          <w:snapToGrid w:val="0"/>
          <w:spacing w:val="4"/>
          <w:kern w:val="0"/>
          <w:sz w:val="24"/>
        </w:rPr>
        <w:fldChar w:fldCharType="end"/>
      </w:r>
      <w:r>
        <w:rPr>
          <w:snapToGrid w:val="0"/>
          <w:spacing w:val="4"/>
          <w:kern w:val="0"/>
          <w:sz w:val="24"/>
        </w:rPr>
        <w:t xml:space="preserve"> 专业监理工程师应审核设备制造单位报送的设备制造结算文件，并提出审核意见，报总监理工程师审核，由总监理工程师与委托人、设备制造单位进行协商，并提出审核报告。</w:t>
      </w:r>
    </w:p>
    <w:p w14:paraId="3643D552">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,20)</w:instrText>
      </w:r>
      <w:r>
        <w:rPr>
          <w:snapToGrid w:val="0"/>
          <w:spacing w:val="4"/>
          <w:kern w:val="0"/>
          <w:sz w:val="24"/>
        </w:rPr>
        <w:fldChar w:fldCharType="end"/>
      </w:r>
      <w:r>
        <w:rPr>
          <w:snapToGrid w:val="0"/>
          <w:spacing w:val="4"/>
          <w:kern w:val="0"/>
          <w:sz w:val="24"/>
        </w:rPr>
        <w:t xml:space="preserve"> 在设备监造工作结束后，总监理工程师应组织编写设备监造工作总结。</w:t>
      </w:r>
    </w:p>
    <w:p w14:paraId="5D6F4DF3">
      <w:pPr>
        <w:topLinePunct/>
        <w:adjustRightInd w:val="0"/>
        <w:snapToGrid w:val="0"/>
        <w:spacing w:line="480" w:lineRule="exact"/>
        <w:ind w:firstLine="496" w:firstLineChars="200"/>
        <w:rPr>
          <w:snapToGrid w:val="0"/>
          <w:spacing w:val="4"/>
          <w:kern w:val="0"/>
          <w:sz w:val="24"/>
        </w:rPr>
      </w:pPr>
      <w:r>
        <w:rPr>
          <w:snapToGrid w:val="0"/>
          <w:spacing w:val="4"/>
          <w:kern w:val="0"/>
          <w:sz w:val="24"/>
        </w:rPr>
        <w:t>2）根据委托人委托的设备监造工作提交相关的监理资料（相关费用已包含在设备监造酬金之内），包括：</w:t>
      </w:r>
    </w:p>
    <w:p w14:paraId="25A182A4">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设备采购合同及委托监理合同；</w:t>
      </w:r>
    </w:p>
    <w:p w14:paraId="0B31E149">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设备监造规划；</w:t>
      </w:r>
    </w:p>
    <w:p w14:paraId="3C7037BB">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设备制造的生产计划和工艺方案；</w:t>
      </w:r>
    </w:p>
    <w:p w14:paraId="730D5198">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设备制造的检验计划和检验要求；</w:t>
      </w:r>
    </w:p>
    <w:p w14:paraId="7AB6336A">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⑤</w:t>
      </w:r>
      <w:r>
        <w:rPr>
          <w:snapToGrid w:val="0"/>
          <w:spacing w:val="4"/>
          <w:kern w:val="0"/>
          <w:sz w:val="24"/>
        </w:rPr>
        <w:t xml:space="preserve"> 分包单位资格报审表；</w:t>
      </w:r>
    </w:p>
    <w:p w14:paraId="613504C9">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⑥</w:t>
      </w:r>
      <w:r>
        <w:rPr>
          <w:snapToGrid w:val="0"/>
          <w:spacing w:val="4"/>
          <w:kern w:val="0"/>
          <w:sz w:val="24"/>
        </w:rPr>
        <w:t xml:space="preserve"> 原材料、零配件等的质量证明文件和检验报告；</w:t>
      </w:r>
    </w:p>
    <w:p w14:paraId="41145F4B">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⑦</w:t>
      </w:r>
      <w:r>
        <w:rPr>
          <w:snapToGrid w:val="0"/>
          <w:spacing w:val="4"/>
          <w:kern w:val="0"/>
          <w:sz w:val="24"/>
        </w:rPr>
        <w:t xml:space="preserve"> 开工／复工报审表、暂停令；</w:t>
      </w:r>
    </w:p>
    <w:p w14:paraId="62828055">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⑧</w:t>
      </w:r>
      <w:r>
        <w:rPr>
          <w:snapToGrid w:val="0"/>
          <w:spacing w:val="4"/>
          <w:kern w:val="0"/>
          <w:sz w:val="24"/>
        </w:rPr>
        <w:t xml:space="preserve"> 检验记录及试验报告；</w:t>
      </w:r>
    </w:p>
    <w:p w14:paraId="70B67124">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⑨</w:t>
      </w:r>
      <w:r>
        <w:rPr>
          <w:snapToGrid w:val="0"/>
          <w:spacing w:val="4"/>
          <w:kern w:val="0"/>
          <w:sz w:val="24"/>
        </w:rPr>
        <w:t xml:space="preserve"> 报验申请表；</w:t>
      </w:r>
    </w:p>
    <w:p w14:paraId="369EF6A7">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⑩</w:t>
      </w:r>
      <w:r>
        <w:rPr>
          <w:snapToGrid w:val="0"/>
          <w:spacing w:val="4"/>
          <w:kern w:val="0"/>
          <w:sz w:val="24"/>
        </w:rPr>
        <w:t xml:space="preserve"> 设计变更文件；</w:t>
      </w:r>
    </w:p>
    <w:p w14:paraId="0E9C8585">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,11)</w:instrText>
      </w:r>
      <w:r>
        <w:rPr>
          <w:snapToGrid w:val="0"/>
          <w:spacing w:val="4"/>
          <w:kern w:val="0"/>
          <w:sz w:val="24"/>
        </w:rPr>
        <w:fldChar w:fldCharType="end"/>
      </w:r>
      <w:r>
        <w:rPr>
          <w:snapToGrid w:val="0"/>
          <w:spacing w:val="4"/>
          <w:kern w:val="0"/>
          <w:sz w:val="24"/>
        </w:rPr>
        <w:t xml:space="preserve"> 会议纪要；</w:t>
      </w:r>
    </w:p>
    <w:p w14:paraId="6E330CCD">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,12)</w:instrText>
      </w:r>
      <w:r>
        <w:rPr>
          <w:snapToGrid w:val="0"/>
          <w:spacing w:val="4"/>
          <w:kern w:val="0"/>
          <w:sz w:val="24"/>
        </w:rPr>
        <w:fldChar w:fldCharType="end"/>
      </w:r>
      <w:r>
        <w:rPr>
          <w:snapToGrid w:val="0"/>
          <w:spacing w:val="4"/>
          <w:kern w:val="0"/>
          <w:sz w:val="24"/>
        </w:rPr>
        <w:t xml:space="preserve"> 来往文件；</w:t>
      </w:r>
    </w:p>
    <w:p w14:paraId="4B3D604B">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,13)</w:instrText>
      </w:r>
      <w:r>
        <w:rPr>
          <w:snapToGrid w:val="0"/>
          <w:spacing w:val="4"/>
          <w:kern w:val="0"/>
          <w:sz w:val="24"/>
        </w:rPr>
        <w:fldChar w:fldCharType="end"/>
      </w:r>
      <w:r>
        <w:rPr>
          <w:snapToGrid w:val="0"/>
          <w:spacing w:val="4"/>
          <w:kern w:val="0"/>
          <w:sz w:val="24"/>
        </w:rPr>
        <w:t xml:space="preserve"> 监理日记；</w:t>
      </w:r>
    </w:p>
    <w:p w14:paraId="2BF3E33A">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,14)</w:instrText>
      </w:r>
      <w:r>
        <w:rPr>
          <w:snapToGrid w:val="0"/>
          <w:spacing w:val="4"/>
          <w:kern w:val="0"/>
          <w:sz w:val="24"/>
        </w:rPr>
        <w:fldChar w:fldCharType="end"/>
      </w:r>
      <w:r>
        <w:rPr>
          <w:snapToGrid w:val="0"/>
          <w:spacing w:val="4"/>
          <w:kern w:val="0"/>
          <w:sz w:val="24"/>
        </w:rPr>
        <w:t xml:space="preserve"> 监理工程师通知单；</w:t>
      </w:r>
    </w:p>
    <w:p w14:paraId="5EE97C93">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,15)</w:instrText>
      </w:r>
      <w:r>
        <w:rPr>
          <w:snapToGrid w:val="0"/>
          <w:spacing w:val="4"/>
          <w:kern w:val="0"/>
          <w:sz w:val="24"/>
        </w:rPr>
        <w:fldChar w:fldCharType="end"/>
      </w:r>
      <w:r>
        <w:rPr>
          <w:snapToGrid w:val="0"/>
          <w:spacing w:val="4"/>
          <w:kern w:val="0"/>
          <w:sz w:val="24"/>
        </w:rPr>
        <w:t xml:space="preserve"> 监理工作联系单；</w:t>
      </w:r>
    </w:p>
    <w:p w14:paraId="1B78F69D">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,16)</w:instrText>
      </w:r>
      <w:r>
        <w:rPr>
          <w:snapToGrid w:val="0"/>
          <w:spacing w:val="4"/>
          <w:kern w:val="0"/>
          <w:sz w:val="24"/>
        </w:rPr>
        <w:fldChar w:fldCharType="end"/>
      </w:r>
      <w:r>
        <w:rPr>
          <w:snapToGrid w:val="0"/>
          <w:spacing w:val="4"/>
          <w:kern w:val="0"/>
          <w:sz w:val="24"/>
        </w:rPr>
        <w:t xml:space="preserve"> 监理月报；</w:t>
      </w:r>
    </w:p>
    <w:p w14:paraId="73EAE1AD">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,17)</w:instrText>
      </w:r>
      <w:r>
        <w:rPr>
          <w:snapToGrid w:val="0"/>
          <w:spacing w:val="4"/>
          <w:kern w:val="0"/>
          <w:sz w:val="24"/>
        </w:rPr>
        <w:fldChar w:fldCharType="end"/>
      </w:r>
      <w:r>
        <w:rPr>
          <w:snapToGrid w:val="0"/>
          <w:spacing w:val="4"/>
          <w:kern w:val="0"/>
          <w:sz w:val="24"/>
        </w:rPr>
        <w:t xml:space="preserve"> 质量事故处理文件；</w:t>
      </w:r>
    </w:p>
    <w:p w14:paraId="1BC007EA">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,18)</w:instrText>
      </w:r>
      <w:r>
        <w:rPr>
          <w:snapToGrid w:val="0"/>
          <w:spacing w:val="4"/>
          <w:kern w:val="0"/>
          <w:sz w:val="24"/>
        </w:rPr>
        <w:fldChar w:fldCharType="end"/>
      </w:r>
      <w:r>
        <w:rPr>
          <w:snapToGrid w:val="0"/>
          <w:spacing w:val="4"/>
          <w:kern w:val="0"/>
          <w:sz w:val="24"/>
        </w:rPr>
        <w:t xml:space="preserve"> 设备制造索赔文件；</w:t>
      </w:r>
    </w:p>
    <w:p w14:paraId="38620EDE">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,19)</w:instrText>
      </w:r>
      <w:r>
        <w:rPr>
          <w:snapToGrid w:val="0"/>
          <w:spacing w:val="4"/>
          <w:kern w:val="0"/>
          <w:sz w:val="24"/>
        </w:rPr>
        <w:fldChar w:fldCharType="end"/>
      </w:r>
      <w:r>
        <w:rPr>
          <w:snapToGrid w:val="0"/>
          <w:spacing w:val="4"/>
          <w:kern w:val="0"/>
          <w:sz w:val="24"/>
        </w:rPr>
        <w:t xml:space="preserve"> 设备验收文件；</w:t>
      </w:r>
    </w:p>
    <w:p w14:paraId="7ED7C886">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,20)</w:instrText>
      </w:r>
      <w:r>
        <w:rPr>
          <w:snapToGrid w:val="0"/>
          <w:spacing w:val="4"/>
          <w:kern w:val="0"/>
          <w:sz w:val="24"/>
        </w:rPr>
        <w:fldChar w:fldCharType="end"/>
      </w:r>
      <w:r>
        <w:rPr>
          <w:snapToGrid w:val="0"/>
          <w:spacing w:val="4"/>
          <w:kern w:val="0"/>
          <w:sz w:val="24"/>
        </w:rPr>
        <w:t xml:space="preserve"> 设备交接文件；</w:t>
      </w:r>
    </w:p>
    <w:p w14:paraId="67D9D920">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,21)</w:instrText>
      </w:r>
      <w:r>
        <w:rPr>
          <w:snapToGrid w:val="0"/>
          <w:spacing w:val="4"/>
          <w:kern w:val="0"/>
          <w:sz w:val="24"/>
        </w:rPr>
        <w:fldChar w:fldCharType="end"/>
      </w:r>
      <w:r>
        <w:rPr>
          <w:snapToGrid w:val="0"/>
          <w:spacing w:val="4"/>
          <w:kern w:val="0"/>
          <w:sz w:val="24"/>
        </w:rPr>
        <w:t xml:space="preserve"> 支付证书和设备制造结算审核文件；</w:t>
      </w:r>
    </w:p>
    <w:p w14:paraId="4F74A7A6">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,22)</w:instrText>
      </w:r>
      <w:r>
        <w:rPr>
          <w:snapToGrid w:val="0"/>
          <w:spacing w:val="4"/>
          <w:kern w:val="0"/>
          <w:sz w:val="24"/>
        </w:rPr>
        <w:fldChar w:fldCharType="end"/>
      </w:r>
      <w:r>
        <w:rPr>
          <w:snapToGrid w:val="0"/>
          <w:spacing w:val="4"/>
          <w:kern w:val="0"/>
          <w:sz w:val="24"/>
        </w:rPr>
        <w:t xml:space="preserve"> 设备监造工作总结。</w:t>
      </w:r>
    </w:p>
    <w:p w14:paraId="588A1C8B">
      <w:pPr>
        <w:topLinePunct/>
        <w:adjustRightInd w:val="0"/>
        <w:snapToGrid w:val="0"/>
        <w:spacing w:line="480" w:lineRule="exact"/>
        <w:ind w:firstLine="498" w:firstLineChars="200"/>
        <w:outlineLvl w:val="4"/>
        <w:rPr>
          <w:b/>
          <w:bCs/>
          <w:snapToGrid w:val="0"/>
          <w:spacing w:val="4"/>
          <w:kern w:val="0"/>
          <w:sz w:val="24"/>
        </w:rPr>
      </w:pPr>
      <w:r>
        <w:rPr>
          <w:b/>
          <w:snapToGrid w:val="0"/>
          <w:spacing w:val="4"/>
          <w:kern w:val="0"/>
          <w:sz w:val="24"/>
        </w:rPr>
        <w:t>4.2.</w:t>
      </w:r>
      <w:r>
        <w:rPr>
          <w:rFonts w:hint="eastAsia"/>
          <w:b/>
          <w:snapToGrid w:val="0"/>
          <w:spacing w:val="4"/>
          <w:kern w:val="0"/>
          <w:sz w:val="24"/>
        </w:rPr>
        <w:t>4</w:t>
      </w:r>
      <w:r>
        <w:rPr>
          <w:b/>
          <w:snapToGrid w:val="0"/>
          <w:spacing w:val="4"/>
          <w:kern w:val="0"/>
          <w:sz w:val="24"/>
        </w:rPr>
        <w:t>.6  工程</w:t>
      </w:r>
      <w:r>
        <w:rPr>
          <w:b/>
          <w:bCs/>
          <w:snapToGrid w:val="0"/>
          <w:spacing w:val="4"/>
          <w:kern w:val="0"/>
          <w:sz w:val="24"/>
        </w:rPr>
        <w:t>合同管理工作</w:t>
      </w:r>
    </w:p>
    <w:p w14:paraId="3BB91E72">
      <w:pPr>
        <w:topLinePunct/>
        <w:adjustRightInd w:val="0"/>
        <w:snapToGrid w:val="0"/>
        <w:spacing w:line="480" w:lineRule="exact"/>
        <w:ind w:firstLine="496" w:firstLineChars="200"/>
        <w:rPr>
          <w:snapToGrid w:val="0"/>
          <w:spacing w:val="4"/>
          <w:kern w:val="0"/>
          <w:sz w:val="24"/>
        </w:rPr>
      </w:pPr>
      <w:r>
        <w:rPr>
          <w:snapToGrid w:val="0"/>
          <w:spacing w:val="4"/>
          <w:kern w:val="0"/>
          <w:sz w:val="24"/>
        </w:rPr>
        <w:t>（1）建立合同实施的保证体系，使工程项目的全部合同事件处于控制中，保证合同目标的实现。</w:t>
      </w:r>
    </w:p>
    <w:p w14:paraId="220BB7DD">
      <w:pPr>
        <w:topLinePunct/>
        <w:adjustRightInd w:val="0"/>
        <w:snapToGrid w:val="0"/>
        <w:spacing w:line="480" w:lineRule="exact"/>
        <w:ind w:firstLine="496" w:firstLineChars="200"/>
        <w:rPr>
          <w:snapToGrid w:val="0"/>
          <w:spacing w:val="4"/>
          <w:kern w:val="0"/>
          <w:sz w:val="24"/>
        </w:rPr>
      </w:pPr>
      <w:r>
        <w:rPr>
          <w:bCs/>
          <w:snapToGrid w:val="0"/>
          <w:spacing w:val="4"/>
          <w:kern w:val="0"/>
          <w:sz w:val="24"/>
        </w:rPr>
        <w:t>（2）</w:t>
      </w:r>
      <w:r>
        <w:rPr>
          <w:snapToGrid w:val="0"/>
          <w:spacing w:val="4"/>
          <w:kern w:val="0"/>
          <w:sz w:val="24"/>
        </w:rPr>
        <w:t>建立合同管理文档系统。应建立与相适应的编码系统和文档系统，便于各种合同资料的保存与查询。</w:t>
      </w:r>
    </w:p>
    <w:p w14:paraId="07D62147">
      <w:pPr>
        <w:topLinePunct/>
        <w:adjustRightInd w:val="0"/>
        <w:snapToGrid w:val="0"/>
        <w:spacing w:line="480" w:lineRule="exact"/>
        <w:ind w:firstLine="496" w:firstLineChars="200"/>
        <w:rPr>
          <w:snapToGrid w:val="0"/>
          <w:spacing w:val="4"/>
          <w:kern w:val="0"/>
          <w:sz w:val="24"/>
        </w:rPr>
      </w:pPr>
      <w:r>
        <w:rPr>
          <w:bCs/>
          <w:snapToGrid w:val="0"/>
          <w:spacing w:val="4"/>
          <w:kern w:val="0"/>
          <w:sz w:val="24"/>
        </w:rPr>
        <w:t>（3）</w:t>
      </w:r>
      <w:r>
        <w:rPr>
          <w:snapToGrid w:val="0"/>
          <w:spacing w:val="4"/>
          <w:kern w:val="0"/>
          <w:sz w:val="24"/>
        </w:rPr>
        <w:t>建立合同文件沟通方式。承包人和委托人、监理工程师、分包人之间的有关合同的文件沟通都应以书面形式进行。</w:t>
      </w:r>
    </w:p>
    <w:p w14:paraId="61B634DA">
      <w:pPr>
        <w:topLinePunct/>
        <w:adjustRightInd w:val="0"/>
        <w:snapToGrid w:val="0"/>
        <w:spacing w:line="480" w:lineRule="exact"/>
        <w:ind w:firstLine="496" w:firstLineChars="200"/>
        <w:rPr>
          <w:snapToGrid w:val="0"/>
          <w:spacing w:val="4"/>
          <w:kern w:val="0"/>
          <w:sz w:val="24"/>
        </w:rPr>
      </w:pPr>
      <w:r>
        <w:rPr>
          <w:bCs/>
          <w:snapToGrid w:val="0"/>
          <w:spacing w:val="4"/>
          <w:kern w:val="0"/>
          <w:sz w:val="24"/>
        </w:rPr>
        <w:t>（4）</w:t>
      </w:r>
      <w:r>
        <w:rPr>
          <w:snapToGrid w:val="0"/>
          <w:spacing w:val="4"/>
          <w:kern w:val="0"/>
          <w:sz w:val="24"/>
        </w:rPr>
        <w:t>合同实施监督。包括：监督总承包人、分包人严格执行合同，并做好各分包人的协调和管理工作。同时也应督促委托人执行其合同责任，以保证工程顺利进行。</w:t>
      </w:r>
    </w:p>
    <w:p w14:paraId="05C2BBAB">
      <w:pPr>
        <w:topLinePunct/>
        <w:adjustRightInd w:val="0"/>
        <w:snapToGrid w:val="0"/>
        <w:spacing w:line="480" w:lineRule="exact"/>
        <w:ind w:firstLine="496" w:firstLineChars="200"/>
        <w:rPr>
          <w:snapToGrid w:val="0"/>
          <w:spacing w:val="4"/>
          <w:kern w:val="0"/>
          <w:sz w:val="24"/>
        </w:rPr>
      </w:pPr>
      <w:r>
        <w:rPr>
          <w:bCs/>
          <w:snapToGrid w:val="0"/>
          <w:spacing w:val="4"/>
          <w:kern w:val="0"/>
          <w:sz w:val="24"/>
        </w:rPr>
        <w:t>（5）</w:t>
      </w:r>
      <w:r>
        <w:rPr>
          <w:snapToGrid w:val="0"/>
          <w:spacing w:val="4"/>
          <w:kern w:val="0"/>
          <w:sz w:val="24"/>
        </w:rPr>
        <w:t>合同跟踪和诊断。包括：</w:t>
      </w:r>
    </w:p>
    <w:p w14:paraId="5BD94F7F">
      <w:pPr>
        <w:topLinePunct/>
        <w:adjustRightInd w:val="0"/>
        <w:snapToGrid w:val="0"/>
        <w:spacing w:line="480" w:lineRule="exact"/>
        <w:ind w:firstLine="496" w:firstLineChars="200"/>
        <w:rPr>
          <w:snapToGrid w:val="0"/>
          <w:spacing w:val="4"/>
          <w:kern w:val="0"/>
          <w:sz w:val="24"/>
        </w:rPr>
      </w:pPr>
      <w:r>
        <w:rPr>
          <w:snapToGrid w:val="0"/>
          <w:spacing w:val="4"/>
          <w:kern w:val="0"/>
          <w:sz w:val="24"/>
        </w:rPr>
        <w:t>1）全面收集并分析合同实施的信息与工程资料，将合同实施情况与合同分析资料进行对比分析，找出其中的偏离。</w:t>
      </w:r>
    </w:p>
    <w:p w14:paraId="5D25F8D5">
      <w:pPr>
        <w:topLinePunct/>
        <w:adjustRightInd w:val="0"/>
        <w:snapToGrid w:val="0"/>
        <w:spacing w:line="480" w:lineRule="exact"/>
        <w:ind w:firstLine="496" w:firstLineChars="200"/>
        <w:rPr>
          <w:snapToGrid w:val="0"/>
          <w:spacing w:val="4"/>
          <w:kern w:val="0"/>
          <w:sz w:val="24"/>
        </w:rPr>
      </w:pPr>
      <w:r>
        <w:rPr>
          <w:snapToGrid w:val="0"/>
          <w:spacing w:val="4"/>
          <w:kern w:val="0"/>
          <w:sz w:val="24"/>
        </w:rPr>
        <w:t>2）对合同履行情况做出诊断。合同诊断包括：合同执行差异的原因分析、合同差异责任分析、合同实施趋向预测。及时通报合同实施情况及问题，提出合同实施方面的意见、建议、甚至警告。</w:t>
      </w:r>
    </w:p>
    <w:p w14:paraId="051C4EB0">
      <w:pPr>
        <w:topLinePunct/>
        <w:adjustRightInd w:val="0"/>
        <w:snapToGrid w:val="0"/>
        <w:spacing w:line="480" w:lineRule="exact"/>
        <w:ind w:firstLine="496" w:firstLineChars="200"/>
        <w:rPr>
          <w:snapToGrid w:val="0"/>
          <w:spacing w:val="4"/>
          <w:kern w:val="0"/>
          <w:sz w:val="24"/>
        </w:rPr>
      </w:pPr>
      <w:r>
        <w:rPr>
          <w:snapToGrid w:val="0"/>
          <w:spacing w:val="4"/>
          <w:kern w:val="0"/>
          <w:sz w:val="24"/>
        </w:rPr>
        <w:t>3）对于发现的问题，及时采取对应的管理措施，防止问题的扩大和重复发生。</w:t>
      </w:r>
    </w:p>
    <w:p w14:paraId="4CB7CA85">
      <w:pPr>
        <w:topLinePunct/>
        <w:adjustRightInd w:val="0"/>
        <w:snapToGrid w:val="0"/>
        <w:spacing w:line="480" w:lineRule="exact"/>
        <w:ind w:firstLine="496" w:firstLineChars="200"/>
        <w:rPr>
          <w:snapToGrid w:val="0"/>
          <w:spacing w:val="4"/>
          <w:kern w:val="0"/>
          <w:sz w:val="24"/>
        </w:rPr>
      </w:pPr>
      <w:r>
        <w:rPr>
          <w:snapToGrid w:val="0"/>
          <w:spacing w:val="4"/>
          <w:kern w:val="0"/>
          <w:sz w:val="24"/>
        </w:rPr>
        <w:t>（6）严格合同变更管理。包括：变更谈判、变更的处理程序，落实变更的措施，修改变更相关的资料，检查变更措施的落实情况。</w:t>
      </w:r>
    </w:p>
    <w:p w14:paraId="2598FC6B">
      <w:pPr>
        <w:topLinePunct/>
        <w:adjustRightInd w:val="0"/>
        <w:snapToGrid w:val="0"/>
        <w:spacing w:line="480" w:lineRule="exact"/>
        <w:ind w:firstLine="496" w:firstLineChars="200"/>
        <w:rPr>
          <w:snapToGrid w:val="0"/>
          <w:spacing w:val="4"/>
          <w:kern w:val="0"/>
          <w:sz w:val="24"/>
        </w:rPr>
      </w:pPr>
      <w:r>
        <w:rPr>
          <w:bCs/>
          <w:snapToGrid w:val="0"/>
          <w:spacing w:val="4"/>
          <w:kern w:val="0"/>
          <w:sz w:val="24"/>
        </w:rPr>
        <w:t>（7）</w:t>
      </w:r>
      <w:r>
        <w:rPr>
          <w:snapToGrid w:val="0"/>
          <w:spacing w:val="4"/>
          <w:kern w:val="0"/>
          <w:sz w:val="24"/>
        </w:rPr>
        <w:t>监理人应按委托人的要求参与本合同工程施工、采购等招投标文件（含招投标修改、澄清等文件）的审查工作，对相关合同及施工组织设计等文件进行审核，确定可能引起争议的合同条款等内容，向委托人提交关于合同执行过程的可能存在的索赔风险的报告。对收到的承包人的索赔报告应进行审查分析，收集反驳理由和证据，复核索赔值；如具备反索赔条件，应及时提出反索赔报告并附上相关证据。</w:t>
      </w:r>
    </w:p>
    <w:p w14:paraId="0B05F08C">
      <w:pPr>
        <w:topLinePunct/>
        <w:adjustRightInd w:val="0"/>
        <w:snapToGrid w:val="0"/>
        <w:spacing w:line="480" w:lineRule="exact"/>
        <w:ind w:firstLine="496" w:firstLineChars="200"/>
        <w:rPr>
          <w:snapToGrid w:val="0"/>
          <w:spacing w:val="4"/>
          <w:kern w:val="0"/>
          <w:sz w:val="24"/>
        </w:rPr>
      </w:pPr>
      <w:r>
        <w:rPr>
          <w:bCs/>
          <w:snapToGrid w:val="0"/>
          <w:spacing w:val="4"/>
          <w:kern w:val="0"/>
          <w:sz w:val="24"/>
        </w:rPr>
        <w:t>（8）</w:t>
      </w:r>
      <w:r>
        <w:rPr>
          <w:snapToGrid w:val="0"/>
          <w:spacing w:val="4"/>
          <w:kern w:val="0"/>
          <w:sz w:val="24"/>
        </w:rPr>
        <w:t>合同终止和后评价工作，包括：合同按约定履行结束后，合同即告终止。监理人应及时进行合同后评价，总结合同签订和执行过程中的利弊得失、经验教训，作为改进以后工程合同管理工作的借鉴。</w:t>
      </w:r>
    </w:p>
    <w:p w14:paraId="1D869703">
      <w:pPr>
        <w:topLinePunct/>
        <w:adjustRightInd w:val="0"/>
        <w:snapToGrid w:val="0"/>
        <w:spacing w:line="480" w:lineRule="exact"/>
        <w:ind w:firstLine="496" w:firstLineChars="200"/>
        <w:rPr>
          <w:snapToGrid w:val="0"/>
          <w:spacing w:val="4"/>
          <w:kern w:val="0"/>
          <w:sz w:val="24"/>
        </w:rPr>
      </w:pPr>
      <w:r>
        <w:rPr>
          <w:bCs/>
          <w:snapToGrid w:val="0"/>
          <w:spacing w:val="4"/>
          <w:kern w:val="0"/>
          <w:sz w:val="24"/>
        </w:rPr>
        <w:t>（9）</w:t>
      </w:r>
      <w:r>
        <w:rPr>
          <w:snapToGrid w:val="0"/>
          <w:spacing w:val="4"/>
          <w:kern w:val="0"/>
          <w:sz w:val="24"/>
        </w:rPr>
        <w:t>合同后评估应包括如下内容：</w:t>
      </w:r>
    </w:p>
    <w:p w14:paraId="7CF0B1E1">
      <w:pPr>
        <w:topLinePunct/>
        <w:adjustRightInd w:val="0"/>
        <w:snapToGrid w:val="0"/>
        <w:spacing w:line="480" w:lineRule="exact"/>
        <w:ind w:firstLine="496" w:firstLineChars="200"/>
        <w:rPr>
          <w:snapToGrid w:val="0"/>
          <w:spacing w:val="4"/>
          <w:kern w:val="0"/>
          <w:sz w:val="24"/>
        </w:rPr>
      </w:pPr>
      <w:r>
        <w:rPr>
          <w:snapToGrid w:val="0"/>
          <w:spacing w:val="4"/>
          <w:kern w:val="0"/>
          <w:sz w:val="24"/>
        </w:rPr>
        <w:t>1）合同签订情况评价；</w:t>
      </w:r>
    </w:p>
    <w:p w14:paraId="13D10F11">
      <w:pPr>
        <w:topLinePunct/>
        <w:adjustRightInd w:val="0"/>
        <w:snapToGrid w:val="0"/>
        <w:spacing w:line="480" w:lineRule="exact"/>
        <w:ind w:firstLine="496" w:firstLineChars="200"/>
        <w:rPr>
          <w:snapToGrid w:val="0"/>
          <w:spacing w:val="4"/>
          <w:kern w:val="0"/>
          <w:sz w:val="24"/>
        </w:rPr>
      </w:pPr>
      <w:r>
        <w:rPr>
          <w:snapToGrid w:val="0"/>
          <w:spacing w:val="4"/>
          <w:kern w:val="0"/>
          <w:sz w:val="24"/>
        </w:rPr>
        <w:t>2）合同执行情况评价；</w:t>
      </w:r>
    </w:p>
    <w:p w14:paraId="09219EFF">
      <w:pPr>
        <w:topLinePunct/>
        <w:adjustRightInd w:val="0"/>
        <w:snapToGrid w:val="0"/>
        <w:spacing w:line="480" w:lineRule="exact"/>
        <w:ind w:firstLine="496" w:firstLineChars="200"/>
        <w:rPr>
          <w:snapToGrid w:val="0"/>
          <w:spacing w:val="4"/>
          <w:kern w:val="0"/>
          <w:sz w:val="24"/>
        </w:rPr>
      </w:pPr>
      <w:r>
        <w:rPr>
          <w:snapToGrid w:val="0"/>
          <w:spacing w:val="4"/>
          <w:kern w:val="0"/>
          <w:sz w:val="24"/>
        </w:rPr>
        <w:t>3）合同管理工作评价；</w:t>
      </w:r>
    </w:p>
    <w:p w14:paraId="2807ABDD">
      <w:pPr>
        <w:topLinePunct/>
        <w:adjustRightInd w:val="0"/>
        <w:snapToGrid w:val="0"/>
        <w:spacing w:line="480" w:lineRule="exact"/>
        <w:ind w:firstLine="496" w:firstLineChars="200"/>
        <w:rPr>
          <w:snapToGrid w:val="0"/>
          <w:spacing w:val="4"/>
          <w:kern w:val="0"/>
          <w:sz w:val="24"/>
        </w:rPr>
      </w:pPr>
      <w:r>
        <w:rPr>
          <w:snapToGrid w:val="0"/>
          <w:spacing w:val="4"/>
          <w:kern w:val="0"/>
          <w:sz w:val="24"/>
        </w:rPr>
        <w:t>4）对本项目有重大影响的合同条款的评价。</w:t>
      </w:r>
    </w:p>
    <w:p w14:paraId="28AE9F93">
      <w:pPr>
        <w:topLinePunct/>
        <w:adjustRightInd w:val="0"/>
        <w:snapToGrid w:val="0"/>
        <w:spacing w:line="480" w:lineRule="exact"/>
        <w:ind w:firstLine="496" w:firstLineChars="200"/>
        <w:rPr>
          <w:snapToGrid w:val="0"/>
          <w:spacing w:val="4"/>
          <w:kern w:val="0"/>
          <w:sz w:val="24"/>
        </w:rPr>
      </w:pPr>
      <w:r>
        <w:rPr>
          <w:snapToGrid w:val="0"/>
          <w:spacing w:val="4"/>
          <w:kern w:val="0"/>
          <w:sz w:val="24"/>
        </w:rPr>
        <w:t>（10）合同管理中的其他监理工作，包括：</w:t>
      </w:r>
    </w:p>
    <w:p w14:paraId="34A4D68F">
      <w:pPr>
        <w:topLinePunct/>
        <w:adjustRightInd w:val="0"/>
        <w:snapToGrid w:val="0"/>
        <w:spacing w:line="480" w:lineRule="exact"/>
        <w:ind w:firstLine="496" w:firstLineChars="200"/>
        <w:rPr>
          <w:snapToGrid w:val="0"/>
          <w:spacing w:val="4"/>
          <w:kern w:val="0"/>
          <w:sz w:val="24"/>
        </w:rPr>
      </w:pPr>
      <w:r>
        <w:rPr>
          <w:snapToGrid w:val="0"/>
          <w:spacing w:val="4"/>
          <w:kern w:val="0"/>
          <w:sz w:val="24"/>
        </w:rPr>
        <w:t>1）费用索赔的处理</w:t>
      </w:r>
    </w:p>
    <w:p w14:paraId="23159C64">
      <w:pPr>
        <w:topLinePunct/>
        <w:adjustRightInd w:val="0"/>
        <w:snapToGrid w:val="0"/>
        <w:spacing w:line="480" w:lineRule="exact"/>
        <w:ind w:firstLine="496" w:firstLineChars="200"/>
        <w:rPr>
          <w:snapToGrid w:val="0"/>
          <w:spacing w:val="4"/>
          <w:kern w:val="0"/>
          <w:sz w:val="24"/>
        </w:rPr>
      </w:pPr>
      <w:r>
        <w:rPr>
          <w:snapToGrid w:val="0"/>
          <w:spacing w:val="4"/>
          <w:kern w:val="0"/>
          <w:sz w:val="24"/>
        </w:rPr>
        <w:t>专业监理工程师应及时收集、整理有关的施工和监理资料，为处理可能发生的费用索赔提供证据。</w:t>
      </w:r>
      <w:r>
        <w:rPr>
          <w:rFonts w:hint="eastAsia"/>
          <w:snapToGrid w:val="0"/>
          <w:spacing w:val="4"/>
          <w:kern w:val="0"/>
          <w:sz w:val="24"/>
        </w:rPr>
        <w:t>若因监理人未按合同约定及时、真实、完整归档相关资料，导致索赔或反索赔所需凭证缺失，进而造成委托人经济损失的，监理人应承担相应赔偿责任。</w:t>
      </w:r>
    </w:p>
    <w:p w14:paraId="039B298F">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项目监理机构处理费用索赔应依据下列内容：</w:t>
      </w:r>
    </w:p>
    <w:p w14:paraId="1DE00BAA">
      <w:pPr>
        <w:topLinePunct/>
        <w:adjustRightInd w:val="0"/>
        <w:snapToGrid w:val="0"/>
        <w:spacing w:line="480" w:lineRule="exact"/>
        <w:ind w:firstLine="620" w:firstLineChars="250"/>
        <w:rPr>
          <w:snapToGrid w:val="0"/>
          <w:spacing w:val="4"/>
          <w:kern w:val="0"/>
          <w:sz w:val="24"/>
        </w:rPr>
      </w:pPr>
      <w:r>
        <w:rPr>
          <w:snapToGrid w:val="0"/>
          <w:spacing w:val="4"/>
          <w:kern w:val="0"/>
          <w:sz w:val="24"/>
        </w:rPr>
        <w:t>a. 国家有关的法律、法规和工程项目所在地的地方法规；</w:t>
      </w:r>
    </w:p>
    <w:p w14:paraId="1EB64AA8">
      <w:pPr>
        <w:topLinePunct/>
        <w:adjustRightInd w:val="0"/>
        <w:snapToGrid w:val="0"/>
        <w:spacing w:line="480" w:lineRule="exact"/>
        <w:ind w:firstLine="620" w:firstLineChars="250"/>
        <w:rPr>
          <w:snapToGrid w:val="0"/>
          <w:spacing w:val="4"/>
          <w:kern w:val="0"/>
          <w:sz w:val="24"/>
        </w:rPr>
      </w:pPr>
      <w:r>
        <w:rPr>
          <w:snapToGrid w:val="0"/>
          <w:spacing w:val="4"/>
          <w:kern w:val="0"/>
          <w:sz w:val="24"/>
        </w:rPr>
        <w:t>b. 本工程的施工合同文件；</w:t>
      </w:r>
    </w:p>
    <w:p w14:paraId="240B68D1">
      <w:pPr>
        <w:topLinePunct/>
        <w:adjustRightInd w:val="0"/>
        <w:snapToGrid w:val="0"/>
        <w:spacing w:line="480" w:lineRule="exact"/>
        <w:ind w:firstLine="620" w:firstLineChars="250"/>
        <w:rPr>
          <w:snapToGrid w:val="0"/>
          <w:spacing w:val="4"/>
          <w:kern w:val="0"/>
          <w:sz w:val="24"/>
        </w:rPr>
      </w:pPr>
      <w:r>
        <w:rPr>
          <w:snapToGrid w:val="0"/>
          <w:spacing w:val="4"/>
          <w:kern w:val="0"/>
          <w:sz w:val="24"/>
        </w:rPr>
        <w:t>c. 国家、部门和地方有关的标准、规范和定额；</w:t>
      </w:r>
    </w:p>
    <w:p w14:paraId="601A7CCE">
      <w:pPr>
        <w:topLinePunct/>
        <w:adjustRightInd w:val="0"/>
        <w:snapToGrid w:val="0"/>
        <w:spacing w:line="480" w:lineRule="exact"/>
        <w:ind w:firstLine="620" w:firstLineChars="250"/>
        <w:rPr>
          <w:snapToGrid w:val="0"/>
          <w:spacing w:val="4"/>
          <w:kern w:val="0"/>
          <w:sz w:val="24"/>
        </w:rPr>
      </w:pPr>
      <w:r>
        <w:rPr>
          <w:snapToGrid w:val="0"/>
          <w:spacing w:val="4"/>
          <w:kern w:val="0"/>
          <w:sz w:val="24"/>
        </w:rPr>
        <w:t>d. 施工合同履行过程中与索赔事件有关的凭证。</w:t>
      </w:r>
    </w:p>
    <w:p w14:paraId="1F302FAF">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当承包人提出费用索赔的理由同时满足以下条件时，项目监理机构应予以受理：</w:t>
      </w:r>
    </w:p>
    <w:p w14:paraId="4FE219ED">
      <w:pPr>
        <w:topLinePunct/>
        <w:adjustRightInd w:val="0"/>
        <w:snapToGrid w:val="0"/>
        <w:spacing w:line="480" w:lineRule="exact"/>
        <w:ind w:firstLine="620" w:firstLineChars="250"/>
        <w:rPr>
          <w:snapToGrid w:val="0"/>
          <w:spacing w:val="4"/>
          <w:kern w:val="0"/>
          <w:sz w:val="24"/>
        </w:rPr>
      </w:pPr>
      <w:r>
        <w:rPr>
          <w:snapToGrid w:val="0"/>
          <w:spacing w:val="4"/>
          <w:kern w:val="0"/>
          <w:sz w:val="24"/>
        </w:rPr>
        <w:t>a. 索赔事件造成了承包人直接经济损失；</w:t>
      </w:r>
    </w:p>
    <w:p w14:paraId="0D3384A5">
      <w:pPr>
        <w:topLinePunct/>
        <w:adjustRightInd w:val="0"/>
        <w:snapToGrid w:val="0"/>
        <w:spacing w:line="480" w:lineRule="exact"/>
        <w:ind w:firstLine="620" w:firstLineChars="250"/>
        <w:rPr>
          <w:snapToGrid w:val="0"/>
          <w:spacing w:val="4"/>
          <w:kern w:val="0"/>
          <w:sz w:val="24"/>
        </w:rPr>
      </w:pPr>
      <w:r>
        <w:rPr>
          <w:snapToGrid w:val="0"/>
          <w:spacing w:val="4"/>
          <w:kern w:val="0"/>
          <w:sz w:val="24"/>
        </w:rPr>
        <w:t>b. 索赔事件是由于非承包人的责任发生的；</w:t>
      </w:r>
    </w:p>
    <w:p w14:paraId="09EA10B4">
      <w:pPr>
        <w:topLinePunct/>
        <w:adjustRightInd w:val="0"/>
        <w:snapToGrid w:val="0"/>
        <w:spacing w:line="480" w:lineRule="exact"/>
        <w:ind w:firstLine="620" w:firstLineChars="250"/>
        <w:rPr>
          <w:snapToGrid w:val="0"/>
          <w:spacing w:val="4"/>
          <w:kern w:val="0"/>
          <w:sz w:val="24"/>
        </w:rPr>
      </w:pPr>
      <w:r>
        <w:rPr>
          <w:snapToGrid w:val="0"/>
          <w:spacing w:val="4"/>
          <w:kern w:val="0"/>
          <w:sz w:val="24"/>
        </w:rPr>
        <w:t>c. 承包人已按照施工合同规定的期限和程序提出费用索赔申请表，并附有索赔凭证材料。</w:t>
      </w:r>
    </w:p>
    <w:p w14:paraId="3D1DAD65">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承包人向委托人提出费用索赔，项目监理机构应按下列程序处理：</w:t>
      </w:r>
    </w:p>
    <w:p w14:paraId="266B66AA">
      <w:pPr>
        <w:topLinePunct/>
        <w:adjustRightInd w:val="0"/>
        <w:snapToGrid w:val="0"/>
        <w:spacing w:line="480" w:lineRule="exact"/>
        <w:ind w:firstLine="620" w:firstLineChars="250"/>
        <w:rPr>
          <w:snapToGrid w:val="0"/>
          <w:spacing w:val="4"/>
          <w:kern w:val="0"/>
          <w:sz w:val="24"/>
        </w:rPr>
      </w:pPr>
      <w:r>
        <w:rPr>
          <w:snapToGrid w:val="0"/>
          <w:spacing w:val="4"/>
          <w:kern w:val="0"/>
          <w:sz w:val="24"/>
        </w:rPr>
        <w:t>a. 承包人在施工合同规定的期限内向项目监理机构提交对委托人的费用索赔意向通知书；</w:t>
      </w:r>
    </w:p>
    <w:p w14:paraId="43D543DF">
      <w:pPr>
        <w:topLinePunct/>
        <w:adjustRightInd w:val="0"/>
        <w:snapToGrid w:val="0"/>
        <w:spacing w:line="480" w:lineRule="exact"/>
        <w:ind w:firstLine="620" w:firstLineChars="250"/>
        <w:rPr>
          <w:snapToGrid w:val="0"/>
          <w:spacing w:val="4"/>
          <w:kern w:val="0"/>
          <w:sz w:val="24"/>
        </w:rPr>
      </w:pPr>
      <w:r>
        <w:rPr>
          <w:snapToGrid w:val="0"/>
          <w:spacing w:val="4"/>
          <w:kern w:val="0"/>
          <w:sz w:val="24"/>
        </w:rPr>
        <w:t>b. 总监理工程师指定专业监理工程师收集与索赔有关的资料；</w:t>
      </w:r>
    </w:p>
    <w:p w14:paraId="09E6894C">
      <w:pPr>
        <w:topLinePunct/>
        <w:adjustRightInd w:val="0"/>
        <w:snapToGrid w:val="0"/>
        <w:spacing w:line="480" w:lineRule="exact"/>
        <w:ind w:firstLine="620" w:firstLineChars="250"/>
        <w:rPr>
          <w:snapToGrid w:val="0"/>
          <w:spacing w:val="4"/>
          <w:kern w:val="0"/>
          <w:sz w:val="24"/>
        </w:rPr>
      </w:pPr>
      <w:r>
        <w:rPr>
          <w:snapToGrid w:val="0"/>
          <w:spacing w:val="4"/>
          <w:kern w:val="0"/>
          <w:sz w:val="24"/>
        </w:rPr>
        <w:t>c. 承包人在承包合同规定的期限内向项目监理机构提交对委托人的费用索赔申请表；</w:t>
      </w:r>
    </w:p>
    <w:p w14:paraId="2B42E482">
      <w:pPr>
        <w:topLinePunct/>
        <w:adjustRightInd w:val="0"/>
        <w:snapToGrid w:val="0"/>
        <w:spacing w:line="480" w:lineRule="exact"/>
        <w:ind w:firstLine="620" w:firstLineChars="250"/>
        <w:rPr>
          <w:snapToGrid w:val="0"/>
          <w:spacing w:val="4"/>
          <w:kern w:val="0"/>
          <w:sz w:val="24"/>
        </w:rPr>
      </w:pPr>
      <w:r>
        <w:rPr>
          <w:snapToGrid w:val="0"/>
          <w:spacing w:val="4"/>
          <w:kern w:val="0"/>
          <w:sz w:val="24"/>
        </w:rPr>
        <w:t>d. 总监理工程师初步审查费用索赔申请表，符合</w:t>
      </w:r>
      <w:r>
        <w:rPr>
          <w:snapToGrid w:val="0"/>
          <w:spacing w:val="4"/>
          <w:kern w:val="0"/>
          <w:sz w:val="24"/>
          <w:u w:val="wave"/>
        </w:rPr>
        <w:t>上述</w:t>
      </w:r>
      <w:r>
        <w:rPr>
          <w:rFonts w:hint="eastAsia" w:ascii="宋体" w:hAnsi="宋体" w:cs="宋体"/>
          <w:snapToGrid w:val="0"/>
          <w:spacing w:val="4"/>
          <w:kern w:val="0"/>
          <w:sz w:val="24"/>
          <w:u w:val="wave"/>
        </w:rPr>
        <w:t>②</w:t>
      </w:r>
      <w:r>
        <w:rPr>
          <w:snapToGrid w:val="0"/>
          <w:spacing w:val="4"/>
          <w:kern w:val="0"/>
          <w:sz w:val="24"/>
          <w:u w:val="wave"/>
        </w:rPr>
        <w:t>款</w:t>
      </w:r>
      <w:r>
        <w:rPr>
          <w:snapToGrid w:val="0"/>
          <w:spacing w:val="4"/>
          <w:kern w:val="0"/>
          <w:sz w:val="24"/>
        </w:rPr>
        <w:t>规定的条件时予以受理；</w:t>
      </w:r>
    </w:p>
    <w:p w14:paraId="21234749">
      <w:pPr>
        <w:topLinePunct/>
        <w:adjustRightInd w:val="0"/>
        <w:snapToGrid w:val="0"/>
        <w:spacing w:line="480" w:lineRule="exact"/>
        <w:ind w:firstLine="620" w:firstLineChars="250"/>
        <w:rPr>
          <w:snapToGrid w:val="0"/>
          <w:spacing w:val="4"/>
          <w:kern w:val="0"/>
          <w:sz w:val="24"/>
        </w:rPr>
      </w:pPr>
      <w:r>
        <w:rPr>
          <w:snapToGrid w:val="0"/>
          <w:spacing w:val="4"/>
          <w:kern w:val="0"/>
          <w:sz w:val="24"/>
        </w:rPr>
        <w:t>e. 总监理工程师进行费用索赔审查，并在初步确定一个额度后，与承包人和委托人进行协商；</w:t>
      </w:r>
    </w:p>
    <w:p w14:paraId="25E15C9A">
      <w:pPr>
        <w:topLinePunct/>
        <w:adjustRightInd w:val="0"/>
        <w:snapToGrid w:val="0"/>
        <w:spacing w:line="480" w:lineRule="exact"/>
        <w:ind w:firstLine="620" w:firstLineChars="250"/>
        <w:rPr>
          <w:snapToGrid w:val="0"/>
          <w:spacing w:val="4"/>
          <w:kern w:val="0"/>
          <w:sz w:val="24"/>
        </w:rPr>
      </w:pPr>
      <w:r>
        <w:rPr>
          <w:snapToGrid w:val="0"/>
          <w:spacing w:val="4"/>
          <w:kern w:val="0"/>
          <w:sz w:val="24"/>
        </w:rPr>
        <w:t>f. 总监理工程师应在施工合同规定的期限内签署费用索赔审批表，或在施工合同规定的期限内发出要求承包人提交有关索赔报告的进一步详细资料的通知，待收到承包人提交的详细资料后，按</w:t>
      </w:r>
      <w:r>
        <w:rPr>
          <w:snapToGrid w:val="0"/>
          <w:spacing w:val="4"/>
          <w:kern w:val="0"/>
          <w:sz w:val="24"/>
          <w:u w:val="wave"/>
        </w:rPr>
        <w:t>上述的第d、e项</w:t>
      </w:r>
      <w:r>
        <w:rPr>
          <w:snapToGrid w:val="0"/>
          <w:spacing w:val="4"/>
          <w:kern w:val="0"/>
          <w:sz w:val="24"/>
        </w:rPr>
        <w:t>的程序进行。</w:t>
      </w:r>
    </w:p>
    <w:p w14:paraId="623D7F71">
      <w:pPr>
        <w:topLinePunct/>
        <w:adjustRightInd w:val="0"/>
        <w:snapToGrid w:val="0"/>
        <w:spacing w:line="480" w:lineRule="exact"/>
        <w:ind w:firstLine="720" w:firstLineChars="25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当承包人的费用索赔要求与工程延期要求相关联时，总监理工程师在作出费用索赔的批准决定时，应与工程延期的批准联系起来，综合作出费用索赔和工程延期的决定。</w:t>
      </w:r>
    </w:p>
    <w:p w14:paraId="0252571F">
      <w:pPr>
        <w:topLinePunct/>
        <w:adjustRightInd w:val="0"/>
        <w:snapToGrid w:val="0"/>
        <w:spacing w:line="480" w:lineRule="exact"/>
        <w:ind w:firstLine="720" w:firstLineChars="250"/>
        <w:rPr>
          <w:snapToGrid w:val="0"/>
          <w:spacing w:val="4"/>
          <w:kern w:val="0"/>
          <w:sz w:val="24"/>
        </w:rPr>
      </w:pPr>
      <w:r>
        <w:rPr>
          <w:rFonts w:hint="eastAsia" w:ascii="宋体" w:hAnsi="宋体" w:cs="宋体"/>
          <w:snapToGrid w:val="0"/>
          <w:spacing w:val="4"/>
          <w:kern w:val="0"/>
          <w:sz w:val="28"/>
          <w:szCs w:val="28"/>
        </w:rPr>
        <w:t>⑤</w:t>
      </w:r>
      <w:r>
        <w:rPr>
          <w:snapToGrid w:val="0"/>
          <w:spacing w:val="4"/>
          <w:kern w:val="0"/>
          <w:sz w:val="24"/>
        </w:rPr>
        <w:t xml:space="preserve"> 由于承包人的原因造成委托人的额外损失，委托人向承包人提出费用索赔时，总监理工程师在审查索赔报告后，应公正地与委托人和承包人进行协商，并及时作出答复。</w:t>
      </w:r>
    </w:p>
    <w:p w14:paraId="1368E733">
      <w:pPr>
        <w:topLinePunct/>
        <w:adjustRightInd w:val="0"/>
        <w:snapToGrid w:val="0"/>
        <w:spacing w:line="480" w:lineRule="exact"/>
        <w:ind w:firstLine="496" w:firstLineChars="200"/>
        <w:rPr>
          <w:snapToGrid w:val="0"/>
          <w:spacing w:val="4"/>
          <w:kern w:val="0"/>
          <w:sz w:val="24"/>
        </w:rPr>
      </w:pPr>
      <w:r>
        <w:rPr>
          <w:snapToGrid w:val="0"/>
          <w:spacing w:val="4"/>
          <w:kern w:val="0"/>
          <w:sz w:val="24"/>
        </w:rPr>
        <w:t>2）合同争议的调解</w:t>
      </w:r>
    </w:p>
    <w:p w14:paraId="7CF4DB00">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项目监理机构接到合同争议的调解要求后应进行以下工作：</w:t>
      </w:r>
    </w:p>
    <w:p w14:paraId="56790C83">
      <w:pPr>
        <w:topLinePunct/>
        <w:adjustRightInd w:val="0"/>
        <w:snapToGrid w:val="0"/>
        <w:spacing w:line="480" w:lineRule="exact"/>
        <w:ind w:firstLine="620" w:firstLineChars="250"/>
        <w:rPr>
          <w:snapToGrid w:val="0"/>
          <w:spacing w:val="4"/>
          <w:kern w:val="0"/>
          <w:sz w:val="24"/>
        </w:rPr>
      </w:pPr>
      <w:r>
        <w:rPr>
          <w:snapToGrid w:val="0"/>
          <w:spacing w:val="4"/>
          <w:kern w:val="0"/>
          <w:sz w:val="24"/>
        </w:rPr>
        <w:t>a. 及时了解合同争议的全部情况，包括进行调查和取证；</w:t>
      </w:r>
    </w:p>
    <w:p w14:paraId="3214EC8B">
      <w:pPr>
        <w:topLinePunct/>
        <w:adjustRightInd w:val="0"/>
        <w:snapToGrid w:val="0"/>
        <w:spacing w:line="480" w:lineRule="exact"/>
        <w:ind w:firstLine="620" w:firstLineChars="250"/>
        <w:rPr>
          <w:snapToGrid w:val="0"/>
          <w:spacing w:val="4"/>
          <w:kern w:val="0"/>
          <w:sz w:val="24"/>
        </w:rPr>
      </w:pPr>
      <w:r>
        <w:rPr>
          <w:snapToGrid w:val="0"/>
          <w:spacing w:val="4"/>
          <w:kern w:val="0"/>
          <w:sz w:val="24"/>
        </w:rPr>
        <w:t>b. 及时与合同争议的双方进行磋商；</w:t>
      </w:r>
    </w:p>
    <w:p w14:paraId="7CE071D0">
      <w:pPr>
        <w:topLinePunct/>
        <w:adjustRightInd w:val="0"/>
        <w:snapToGrid w:val="0"/>
        <w:spacing w:line="480" w:lineRule="exact"/>
        <w:ind w:firstLine="620" w:firstLineChars="250"/>
        <w:rPr>
          <w:snapToGrid w:val="0"/>
          <w:spacing w:val="4"/>
          <w:kern w:val="0"/>
          <w:sz w:val="24"/>
        </w:rPr>
      </w:pPr>
      <w:r>
        <w:rPr>
          <w:snapToGrid w:val="0"/>
          <w:spacing w:val="4"/>
          <w:kern w:val="0"/>
          <w:sz w:val="24"/>
        </w:rPr>
        <w:t>c. 在项目监理机构提出调解方案后，由总监理工程师进行争议调解；</w:t>
      </w:r>
    </w:p>
    <w:p w14:paraId="0C71D3FE">
      <w:pPr>
        <w:topLinePunct/>
        <w:adjustRightInd w:val="0"/>
        <w:snapToGrid w:val="0"/>
        <w:spacing w:line="480" w:lineRule="exact"/>
        <w:ind w:firstLine="620" w:firstLineChars="250"/>
        <w:rPr>
          <w:snapToGrid w:val="0"/>
          <w:spacing w:val="4"/>
          <w:kern w:val="0"/>
          <w:sz w:val="24"/>
        </w:rPr>
      </w:pPr>
      <w:r>
        <w:rPr>
          <w:snapToGrid w:val="0"/>
          <w:spacing w:val="4"/>
          <w:kern w:val="0"/>
          <w:sz w:val="24"/>
        </w:rPr>
        <w:t>d. 当调解未能达成一致时，总监理工程师应在施工合同规定的期限内提出处理该合同争议的意见；</w:t>
      </w:r>
    </w:p>
    <w:p w14:paraId="34C85FAD">
      <w:pPr>
        <w:topLinePunct/>
        <w:adjustRightInd w:val="0"/>
        <w:snapToGrid w:val="0"/>
        <w:spacing w:line="480" w:lineRule="exact"/>
        <w:ind w:firstLine="620" w:firstLineChars="250"/>
        <w:rPr>
          <w:snapToGrid w:val="0"/>
          <w:spacing w:val="4"/>
          <w:kern w:val="0"/>
          <w:sz w:val="24"/>
        </w:rPr>
      </w:pPr>
      <w:r>
        <w:rPr>
          <w:snapToGrid w:val="0"/>
          <w:spacing w:val="4"/>
          <w:kern w:val="0"/>
          <w:sz w:val="24"/>
        </w:rPr>
        <w:t>e. 在争议调解过程中，除已达到了施工合同规定的暂停履行合同的条件之外，项目监理机构应要求施工合同的双方继续履行施工合同。</w:t>
      </w:r>
    </w:p>
    <w:p w14:paraId="5284AA62">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在总监理工程师签发合同争议处理意见后，委托人或承包人在施工合同规定的期限内未对合同争议处理决定提出异议，在符合施工合同的前提下，此意见应成为最后的决定，双方必须执行。</w:t>
      </w:r>
    </w:p>
    <w:p w14:paraId="49A41E68">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在合同争议的仲裁或诉讼过程中，项目监理机构接到仲裁机关或法院要求提供有关证据的通知后，应公正地向仲裁机关或法院提供与争议有关的证据。</w:t>
      </w:r>
    </w:p>
    <w:p w14:paraId="13E362AB">
      <w:pPr>
        <w:topLinePunct/>
        <w:adjustRightInd w:val="0"/>
        <w:snapToGrid w:val="0"/>
        <w:spacing w:line="480" w:lineRule="exact"/>
        <w:ind w:firstLine="496" w:firstLineChars="200"/>
        <w:rPr>
          <w:snapToGrid w:val="0"/>
          <w:spacing w:val="4"/>
          <w:kern w:val="0"/>
          <w:sz w:val="24"/>
        </w:rPr>
      </w:pPr>
      <w:r>
        <w:rPr>
          <w:snapToGrid w:val="0"/>
          <w:spacing w:val="4"/>
          <w:kern w:val="0"/>
          <w:sz w:val="24"/>
        </w:rPr>
        <w:t>3）合同解除的相关工作</w:t>
      </w:r>
    </w:p>
    <w:p w14:paraId="0EAC3104">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施工合同的解除必须符合法律程序。</w:t>
      </w:r>
    </w:p>
    <w:p w14:paraId="0A087CAD">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当委托人违约导致施工合同最终解除时，项目监理机构应就承包人按施工合同规定应得到的款项与委托人和承包人进行协商，并应按施工合同的规定从下列应得的款项中确定承包人应得到的全部款项，并书面通知委托人和承包人：</w:t>
      </w:r>
    </w:p>
    <w:p w14:paraId="7F91DA2C">
      <w:pPr>
        <w:topLinePunct/>
        <w:adjustRightInd w:val="0"/>
        <w:snapToGrid w:val="0"/>
        <w:spacing w:line="480" w:lineRule="exact"/>
        <w:ind w:firstLine="620" w:firstLineChars="250"/>
        <w:rPr>
          <w:snapToGrid w:val="0"/>
          <w:spacing w:val="4"/>
          <w:kern w:val="0"/>
          <w:sz w:val="24"/>
        </w:rPr>
      </w:pPr>
      <w:r>
        <w:rPr>
          <w:snapToGrid w:val="0"/>
          <w:spacing w:val="4"/>
          <w:kern w:val="0"/>
          <w:sz w:val="24"/>
        </w:rPr>
        <w:t>a. 承包人已完成的工程量表中所列的各项工作所应得的款项；</w:t>
      </w:r>
    </w:p>
    <w:p w14:paraId="3C673A9C">
      <w:pPr>
        <w:topLinePunct/>
        <w:adjustRightInd w:val="0"/>
        <w:snapToGrid w:val="0"/>
        <w:spacing w:line="480" w:lineRule="exact"/>
        <w:ind w:firstLine="620" w:firstLineChars="250"/>
        <w:rPr>
          <w:snapToGrid w:val="0"/>
          <w:spacing w:val="4"/>
          <w:kern w:val="0"/>
          <w:sz w:val="24"/>
        </w:rPr>
      </w:pPr>
      <w:r>
        <w:rPr>
          <w:snapToGrid w:val="0"/>
          <w:spacing w:val="4"/>
          <w:kern w:val="0"/>
          <w:sz w:val="24"/>
        </w:rPr>
        <w:t>b. 按批准的采购计划订购工程材料、设备、构配件的款项；</w:t>
      </w:r>
    </w:p>
    <w:p w14:paraId="772DD925">
      <w:pPr>
        <w:topLinePunct/>
        <w:adjustRightInd w:val="0"/>
        <w:snapToGrid w:val="0"/>
        <w:spacing w:line="480" w:lineRule="exact"/>
        <w:ind w:firstLine="620" w:firstLineChars="250"/>
        <w:rPr>
          <w:snapToGrid w:val="0"/>
          <w:spacing w:val="4"/>
          <w:kern w:val="0"/>
          <w:sz w:val="24"/>
        </w:rPr>
      </w:pPr>
      <w:r>
        <w:rPr>
          <w:snapToGrid w:val="0"/>
          <w:spacing w:val="4"/>
          <w:kern w:val="0"/>
          <w:sz w:val="24"/>
        </w:rPr>
        <w:t>c. 承包人撤离施工设备至原基地或其他目的地的合理费用；</w:t>
      </w:r>
    </w:p>
    <w:p w14:paraId="009854CC">
      <w:pPr>
        <w:topLinePunct/>
        <w:adjustRightInd w:val="0"/>
        <w:snapToGrid w:val="0"/>
        <w:spacing w:line="480" w:lineRule="exact"/>
        <w:ind w:firstLine="620" w:firstLineChars="250"/>
        <w:rPr>
          <w:snapToGrid w:val="0"/>
          <w:spacing w:val="4"/>
          <w:kern w:val="0"/>
          <w:sz w:val="24"/>
        </w:rPr>
      </w:pPr>
      <w:r>
        <w:rPr>
          <w:snapToGrid w:val="0"/>
          <w:spacing w:val="4"/>
          <w:kern w:val="0"/>
          <w:sz w:val="24"/>
        </w:rPr>
        <w:t>d. 承包人所有人员的合理遣返费用；</w:t>
      </w:r>
    </w:p>
    <w:p w14:paraId="67AA9B20">
      <w:pPr>
        <w:topLinePunct/>
        <w:adjustRightInd w:val="0"/>
        <w:snapToGrid w:val="0"/>
        <w:spacing w:line="480" w:lineRule="exact"/>
        <w:ind w:firstLine="620" w:firstLineChars="250"/>
        <w:rPr>
          <w:snapToGrid w:val="0"/>
          <w:spacing w:val="4"/>
          <w:kern w:val="0"/>
          <w:sz w:val="24"/>
        </w:rPr>
      </w:pPr>
      <w:r>
        <w:rPr>
          <w:snapToGrid w:val="0"/>
          <w:spacing w:val="4"/>
          <w:kern w:val="0"/>
          <w:sz w:val="24"/>
        </w:rPr>
        <w:t>e. 合理的利润补偿；</w:t>
      </w:r>
    </w:p>
    <w:p w14:paraId="415DB587">
      <w:pPr>
        <w:topLinePunct/>
        <w:adjustRightInd w:val="0"/>
        <w:snapToGrid w:val="0"/>
        <w:spacing w:line="480" w:lineRule="exact"/>
        <w:ind w:firstLine="620" w:firstLineChars="250"/>
        <w:rPr>
          <w:snapToGrid w:val="0"/>
          <w:spacing w:val="4"/>
          <w:kern w:val="0"/>
          <w:sz w:val="24"/>
        </w:rPr>
      </w:pPr>
      <w:r>
        <w:rPr>
          <w:snapToGrid w:val="0"/>
          <w:spacing w:val="4"/>
          <w:kern w:val="0"/>
          <w:sz w:val="24"/>
        </w:rPr>
        <w:t>f. 施工合同规定的委托人应支付的违约金。</w:t>
      </w:r>
    </w:p>
    <w:p w14:paraId="39A49D33">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由于承包人违约导致施工合同终止后，项目监理机构应按下列程序清理承包人的应得款项，或偿还委托人的相关款项，并书面通知委托人和承包人：</w:t>
      </w:r>
    </w:p>
    <w:p w14:paraId="17C62BBD">
      <w:pPr>
        <w:topLinePunct/>
        <w:adjustRightInd w:val="0"/>
        <w:snapToGrid w:val="0"/>
        <w:spacing w:line="480" w:lineRule="exact"/>
        <w:ind w:firstLine="620" w:firstLineChars="250"/>
        <w:rPr>
          <w:snapToGrid w:val="0"/>
          <w:spacing w:val="4"/>
          <w:kern w:val="0"/>
          <w:sz w:val="24"/>
        </w:rPr>
      </w:pPr>
      <w:r>
        <w:rPr>
          <w:snapToGrid w:val="0"/>
          <w:spacing w:val="4"/>
          <w:kern w:val="0"/>
          <w:sz w:val="24"/>
        </w:rPr>
        <w:t>a. 施工合同终止时，清理承包人已按施工合同规定实际完成的工作所应得的款项和已经得到支付的款项；</w:t>
      </w:r>
    </w:p>
    <w:p w14:paraId="457B63E6">
      <w:pPr>
        <w:topLinePunct/>
        <w:adjustRightInd w:val="0"/>
        <w:snapToGrid w:val="0"/>
        <w:spacing w:line="480" w:lineRule="exact"/>
        <w:ind w:firstLine="620" w:firstLineChars="250"/>
        <w:rPr>
          <w:snapToGrid w:val="0"/>
          <w:spacing w:val="4"/>
          <w:kern w:val="0"/>
          <w:sz w:val="24"/>
        </w:rPr>
      </w:pPr>
      <w:r>
        <w:rPr>
          <w:snapToGrid w:val="0"/>
          <w:spacing w:val="4"/>
          <w:kern w:val="0"/>
          <w:sz w:val="24"/>
        </w:rPr>
        <w:t>b. 施工现场余留的材料、设备及临时工程的价值；</w:t>
      </w:r>
    </w:p>
    <w:p w14:paraId="0C0343E5">
      <w:pPr>
        <w:topLinePunct/>
        <w:adjustRightInd w:val="0"/>
        <w:snapToGrid w:val="0"/>
        <w:spacing w:line="480" w:lineRule="exact"/>
        <w:ind w:firstLine="620" w:firstLineChars="250"/>
        <w:rPr>
          <w:snapToGrid w:val="0"/>
          <w:spacing w:val="4"/>
          <w:kern w:val="0"/>
          <w:sz w:val="24"/>
        </w:rPr>
      </w:pPr>
      <w:r>
        <w:rPr>
          <w:snapToGrid w:val="0"/>
          <w:spacing w:val="4"/>
          <w:kern w:val="0"/>
          <w:sz w:val="24"/>
        </w:rPr>
        <w:t>c. 检查和验收已完工工程，移交工程资料和对该部分工程的清理、质量缺陷修复等所需的费用；</w:t>
      </w:r>
    </w:p>
    <w:p w14:paraId="7334557D">
      <w:pPr>
        <w:topLinePunct/>
        <w:adjustRightInd w:val="0"/>
        <w:snapToGrid w:val="0"/>
        <w:spacing w:line="480" w:lineRule="exact"/>
        <w:ind w:firstLine="620" w:firstLineChars="250"/>
        <w:rPr>
          <w:snapToGrid w:val="0"/>
          <w:spacing w:val="4"/>
          <w:kern w:val="0"/>
          <w:sz w:val="24"/>
        </w:rPr>
      </w:pPr>
      <w:r>
        <w:rPr>
          <w:snapToGrid w:val="0"/>
          <w:spacing w:val="4"/>
          <w:kern w:val="0"/>
          <w:sz w:val="24"/>
        </w:rPr>
        <w:t>d. 施工合同规定的承包人应支付的违约金；</w:t>
      </w:r>
    </w:p>
    <w:p w14:paraId="2076DC0B">
      <w:pPr>
        <w:topLinePunct/>
        <w:adjustRightInd w:val="0"/>
        <w:snapToGrid w:val="0"/>
        <w:spacing w:line="480" w:lineRule="exact"/>
        <w:ind w:firstLine="620" w:firstLineChars="250"/>
        <w:rPr>
          <w:snapToGrid w:val="0"/>
          <w:spacing w:val="4"/>
          <w:kern w:val="0"/>
          <w:sz w:val="24"/>
        </w:rPr>
      </w:pPr>
      <w:r>
        <w:rPr>
          <w:snapToGrid w:val="0"/>
          <w:spacing w:val="4"/>
          <w:kern w:val="0"/>
          <w:sz w:val="24"/>
        </w:rPr>
        <w:t>e. 总监理工程师按照施工合同的规定，在与委托人和承包人协商后，书面提交承包人应得款项或偿还委托人款项的证明。</w:t>
      </w:r>
    </w:p>
    <w:p w14:paraId="55E48736">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由于不可抗力或非委托人、承包人原因导致施工合同终止时，项目监理机构应按施工合同规定处理合同解除后的有关事宜。</w:t>
      </w:r>
    </w:p>
    <w:p w14:paraId="36D65E74">
      <w:pPr>
        <w:topLinePunct/>
        <w:adjustRightInd w:val="0"/>
        <w:snapToGrid w:val="0"/>
        <w:spacing w:line="480" w:lineRule="exact"/>
        <w:ind w:firstLine="498" w:firstLineChars="200"/>
        <w:outlineLvl w:val="4"/>
        <w:rPr>
          <w:b/>
          <w:bCs/>
          <w:snapToGrid w:val="0"/>
          <w:spacing w:val="4"/>
          <w:kern w:val="0"/>
          <w:sz w:val="24"/>
        </w:rPr>
      </w:pPr>
      <w:r>
        <w:rPr>
          <w:b/>
          <w:snapToGrid w:val="0"/>
          <w:spacing w:val="4"/>
          <w:kern w:val="0"/>
          <w:sz w:val="24"/>
        </w:rPr>
        <w:t>4.2.</w:t>
      </w:r>
      <w:r>
        <w:rPr>
          <w:rFonts w:hint="eastAsia"/>
          <w:b/>
          <w:snapToGrid w:val="0"/>
          <w:spacing w:val="4"/>
          <w:kern w:val="0"/>
          <w:sz w:val="24"/>
        </w:rPr>
        <w:t>4</w:t>
      </w:r>
      <w:r>
        <w:rPr>
          <w:b/>
          <w:snapToGrid w:val="0"/>
          <w:spacing w:val="4"/>
          <w:kern w:val="0"/>
          <w:sz w:val="24"/>
        </w:rPr>
        <w:t>.7  工程项目</w:t>
      </w:r>
      <w:r>
        <w:rPr>
          <w:b/>
          <w:bCs/>
          <w:snapToGrid w:val="0"/>
          <w:spacing w:val="4"/>
          <w:kern w:val="0"/>
          <w:sz w:val="24"/>
        </w:rPr>
        <w:t>信息化管理工作</w:t>
      </w:r>
    </w:p>
    <w:p w14:paraId="39174D39">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（1）项目信息化管理系统</w:t>
      </w:r>
    </w:p>
    <w:p w14:paraId="4418E8A5">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1）项目信息化管理系统的内容和基本要求</w:t>
      </w:r>
    </w:p>
    <w:p w14:paraId="6BB69AE9">
      <w:pPr>
        <w:topLinePunct/>
        <w:adjustRightInd w:val="0"/>
        <w:snapToGrid w:val="0"/>
        <w:spacing w:line="480" w:lineRule="exact"/>
        <w:ind w:firstLine="496" w:firstLineChars="200"/>
        <w:rPr>
          <w:snapToGrid w:val="0"/>
          <w:spacing w:val="4"/>
          <w:kern w:val="0"/>
          <w:sz w:val="24"/>
        </w:rPr>
      </w:pPr>
      <w:r>
        <w:rPr>
          <w:snapToGrid w:val="0"/>
          <w:spacing w:val="4"/>
          <w:kern w:val="0"/>
          <w:sz w:val="24"/>
        </w:rPr>
        <w:t>监理人应运用信息化技术对合同项目进行科学管理，全面提高合同工程施工管理水平。监理人应配置和运用项目信息化管理系统有效规范项目施工管理流程，包括但不限于进度、质量、安全、投资、资源、合同、结算、文档等管理系统。实现项目工程质量信息化评定与控制、项目进度实时跟踪、项目安全远程监控、项目异常情况预判、预警及动态上报应急处理、材料设备检测验收信息化管理、有效提高项目效率、加强成本控制等。</w:t>
      </w:r>
    </w:p>
    <w:p w14:paraId="2800E623">
      <w:pPr>
        <w:topLinePunct/>
        <w:adjustRightInd w:val="0"/>
        <w:spacing w:line="480" w:lineRule="exact"/>
        <w:ind w:firstLine="496" w:firstLineChars="200"/>
        <w:rPr>
          <w:snapToGrid w:val="0"/>
          <w:spacing w:val="4"/>
          <w:kern w:val="0"/>
          <w:sz w:val="24"/>
        </w:rPr>
      </w:pPr>
      <w:r>
        <w:rPr>
          <w:snapToGrid w:val="0"/>
          <w:spacing w:val="4"/>
          <w:kern w:val="0"/>
          <w:sz w:val="24"/>
        </w:rPr>
        <w:t>如监理人未按本条要求建立、运行或维护项目信息化管理系统，导致系统缺失、数据延迟、功能不全或无法实现远程监控与预警的，每发生一次，视为一般违约，承担一般违约责任1次；因系统失效导致重大管理漏洞、安全事故或投资失控的，视为严重违约，承担严重违约责任1次。</w:t>
      </w:r>
    </w:p>
    <w:p w14:paraId="59834F0F">
      <w:pPr>
        <w:topLinePunct/>
        <w:adjustRightInd w:val="0"/>
        <w:snapToGrid w:val="0"/>
        <w:spacing w:line="480" w:lineRule="exact"/>
        <w:ind w:firstLine="496" w:firstLineChars="200"/>
        <w:rPr>
          <w:bCs/>
          <w:snapToGrid w:val="0"/>
          <w:spacing w:val="4"/>
          <w:kern w:val="0"/>
          <w:sz w:val="24"/>
        </w:rPr>
      </w:pPr>
      <w:bookmarkStart w:id="507" w:name="_Toc3633678"/>
      <w:bookmarkStart w:id="508" w:name="_Toc522866708"/>
      <w:bookmarkStart w:id="509" w:name="_Toc479500871"/>
      <w:bookmarkStart w:id="510" w:name="_Toc523542708"/>
      <w:bookmarkStart w:id="511" w:name="_Toc2071540"/>
      <w:bookmarkStart w:id="512" w:name="_Toc480258780"/>
      <w:bookmarkStart w:id="513" w:name="_Toc4051044"/>
      <w:bookmarkStart w:id="514" w:name="_Toc523825993"/>
      <w:bookmarkStart w:id="515" w:name="_Toc3517701"/>
      <w:bookmarkStart w:id="516" w:name="_Toc4071355"/>
      <w:bookmarkStart w:id="517" w:name="_Toc3831327"/>
      <w:bookmarkStart w:id="518" w:name="_Toc522250426"/>
      <w:bookmarkStart w:id="519" w:name="_Toc3636827"/>
      <w:bookmarkStart w:id="520" w:name="_Toc1877125"/>
      <w:bookmarkStart w:id="521" w:name="_Toc521924606"/>
      <w:bookmarkStart w:id="522" w:name="_Toc923753"/>
      <w:bookmarkStart w:id="523" w:name="_Toc3908442"/>
      <w:bookmarkStart w:id="524" w:name="_Toc3518177"/>
      <w:bookmarkStart w:id="525" w:name="_Toc522249980"/>
      <w:bookmarkStart w:id="526" w:name="_Toc522940801"/>
      <w:bookmarkStart w:id="527" w:name="_Toc1876220"/>
      <w:bookmarkStart w:id="528" w:name="_Toc3979681"/>
      <w:r>
        <w:rPr>
          <w:bCs/>
          <w:snapToGrid w:val="0"/>
          <w:spacing w:val="4"/>
          <w:kern w:val="0"/>
          <w:sz w:val="24"/>
        </w:rPr>
        <w:t>2）人员配备</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7F50F9A1">
      <w:pPr>
        <w:topLinePunct/>
        <w:adjustRightInd w:val="0"/>
        <w:snapToGrid w:val="0"/>
        <w:spacing w:line="480" w:lineRule="exact"/>
        <w:ind w:firstLine="496" w:firstLineChars="200"/>
        <w:rPr>
          <w:snapToGrid w:val="0"/>
          <w:spacing w:val="4"/>
          <w:kern w:val="0"/>
          <w:sz w:val="24"/>
        </w:rPr>
      </w:pPr>
      <w:r>
        <w:rPr>
          <w:snapToGrid w:val="0"/>
          <w:spacing w:val="4"/>
          <w:kern w:val="0"/>
          <w:sz w:val="24"/>
        </w:rPr>
        <w:t>监理人应配备一定数量的专门人员负责支持和维护项目信息化管理系统，并报委托人备案。监理人至少应有如下人员：</w:t>
      </w:r>
    </w:p>
    <w:p w14:paraId="0CC330E7">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①</w:t>
      </w:r>
      <w:r>
        <w:rPr>
          <w:snapToGrid w:val="0"/>
          <w:spacing w:val="4"/>
          <w:kern w:val="0"/>
          <w:sz w:val="24"/>
        </w:rPr>
        <w:t xml:space="preserve"> 系统维护人员1～2名。要求熟悉计算机软硬件技术，能进行项目相关信息化管理系统的日常维护，负责与委托人计算机系统人员协调解决系统应用中出现的问题。</w:t>
      </w:r>
    </w:p>
    <w:p w14:paraId="1A3FEEE2">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②</w:t>
      </w:r>
      <w:r>
        <w:rPr>
          <w:snapToGrid w:val="0"/>
          <w:spacing w:val="4"/>
          <w:kern w:val="0"/>
          <w:sz w:val="24"/>
        </w:rPr>
        <w:t xml:space="preserve"> 数据管理和录入人员2～3名。负责采集、录入、核对委托人和监理工程师要求提供的信息，并保证数据的及时准确。</w:t>
      </w:r>
    </w:p>
    <w:p w14:paraId="052D6BBE">
      <w:pPr>
        <w:topLinePunct/>
        <w:adjustRightInd w:val="0"/>
        <w:snapToGrid w:val="0"/>
        <w:spacing w:line="480" w:lineRule="exact"/>
        <w:ind w:firstLine="496" w:firstLineChars="200"/>
        <w:rPr>
          <w:bCs/>
          <w:snapToGrid w:val="0"/>
          <w:spacing w:val="4"/>
          <w:kern w:val="0"/>
          <w:sz w:val="24"/>
        </w:rPr>
      </w:pPr>
      <w:bookmarkStart w:id="529" w:name="_Toc3633679"/>
      <w:bookmarkStart w:id="530" w:name="_Toc3979682"/>
      <w:bookmarkStart w:id="531" w:name="_Toc479500872"/>
      <w:bookmarkStart w:id="532" w:name="_Toc521924607"/>
      <w:bookmarkStart w:id="533" w:name="_Toc3517702"/>
      <w:bookmarkStart w:id="534" w:name="_Toc522249981"/>
      <w:bookmarkStart w:id="535" w:name="_Toc522250427"/>
      <w:bookmarkStart w:id="536" w:name="_Toc3908443"/>
      <w:bookmarkStart w:id="537" w:name="_Toc3831328"/>
      <w:bookmarkStart w:id="538" w:name="_Toc523825994"/>
      <w:bookmarkStart w:id="539" w:name="_Toc522866709"/>
      <w:bookmarkStart w:id="540" w:name="_Toc1876221"/>
      <w:bookmarkStart w:id="541" w:name="_Toc3518178"/>
      <w:bookmarkStart w:id="542" w:name="_Toc4071356"/>
      <w:bookmarkStart w:id="543" w:name="_Toc523542709"/>
      <w:bookmarkStart w:id="544" w:name="_Toc480258781"/>
      <w:bookmarkStart w:id="545" w:name="_Toc923754"/>
      <w:bookmarkStart w:id="546" w:name="_Toc2071541"/>
      <w:bookmarkStart w:id="547" w:name="_Toc522940802"/>
      <w:bookmarkStart w:id="548" w:name="_Toc1877126"/>
      <w:bookmarkStart w:id="549" w:name="_Toc3636828"/>
      <w:bookmarkStart w:id="550" w:name="_Toc4051045"/>
      <w:r>
        <w:rPr>
          <w:bCs/>
          <w:snapToGrid w:val="0"/>
          <w:spacing w:val="4"/>
          <w:kern w:val="0"/>
          <w:sz w:val="24"/>
        </w:rPr>
        <w:t>3）信息内容、格式及信息传递要求</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501B70BC">
      <w:pPr>
        <w:topLinePunct/>
        <w:adjustRightInd w:val="0"/>
        <w:snapToGrid w:val="0"/>
        <w:spacing w:line="480" w:lineRule="exact"/>
        <w:ind w:firstLine="496" w:firstLineChars="200"/>
        <w:rPr>
          <w:snapToGrid w:val="0"/>
          <w:spacing w:val="4"/>
          <w:kern w:val="0"/>
          <w:sz w:val="24"/>
        </w:rPr>
      </w:pPr>
      <w:r>
        <w:rPr>
          <w:snapToGrid w:val="0"/>
          <w:spacing w:val="4"/>
          <w:kern w:val="0"/>
          <w:sz w:val="24"/>
        </w:rPr>
        <w:t>监理人应及时准确地按委托人和监理工程师所要求的时限、内容和格式将相关工程信息录入并传递给委托人和监理工程师。监理人如未能按委托人的规定将信息录入或传递给委托人，可以成为委托人缓付或停付工程进度款的理由。</w:t>
      </w:r>
    </w:p>
    <w:p w14:paraId="7AAD2F0E">
      <w:pPr>
        <w:topLinePunct/>
        <w:adjustRightInd w:val="0"/>
        <w:snapToGrid w:val="0"/>
        <w:spacing w:line="480" w:lineRule="exact"/>
        <w:ind w:firstLine="496" w:firstLineChars="200"/>
        <w:rPr>
          <w:bCs/>
          <w:snapToGrid w:val="0"/>
          <w:spacing w:val="4"/>
          <w:kern w:val="0"/>
          <w:sz w:val="24"/>
        </w:rPr>
      </w:pPr>
      <w:bookmarkStart w:id="551" w:name="_Toc523542710"/>
      <w:bookmarkStart w:id="552" w:name="_Toc4051046"/>
      <w:bookmarkStart w:id="553" w:name="_Toc4071357"/>
      <w:bookmarkStart w:id="554" w:name="_Toc521924608"/>
      <w:bookmarkStart w:id="555" w:name="_Toc3908444"/>
      <w:bookmarkStart w:id="556" w:name="_Toc1876222"/>
      <w:bookmarkStart w:id="557" w:name="_Toc522249982"/>
      <w:bookmarkStart w:id="558" w:name="_Toc2071542"/>
      <w:bookmarkStart w:id="559" w:name="_Toc1877127"/>
      <w:bookmarkStart w:id="560" w:name="_Toc3636829"/>
      <w:bookmarkStart w:id="561" w:name="_Toc480258782"/>
      <w:bookmarkStart w:id="562" w:name="_Toc3979683"/>
      <w:bookmarkStart w:id="563" w:name="_Toc3518179"/>
      <w:bookmarkStart w:id="564" w:name="_Toc3831329"/>
      <w:bookmarkStart w:id="565" w:name="_Toc923755"/>
      <w:bookmarkStart w:id="566" w:name="_Toc522866710"/>
      <w:bookmarkStart w:id="567" w:name="_Toc522940803"/>
      <w:bookmarkStart w:id="568" w:name="_Toc3633680"/>
      <w:bookmarkStart w:id="569" w:name="_Toc522250428"/>
      <w:bookmarkStart w:id="570" w:name="_Toc523825995"/>
      <w:bookmarkStart w:id="571" w:name="_Toc3517703"/>
      <w:bookmarkStart w:id="572" w:name="_Toc479500873"/>
      <w:r>
        <w:rPr>
          <w:bCs/>
          <w:snapToGrid w:val="0"/>
          <w:spacing w:val="4"/>
          <w:kern w:val="0"/>
          <w:sz w:val="24"/>
        </w:rPr>
        <w:t>4）信息安全</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4510B118">
      <w:pPr>
        <w:topLinePunct/>
        <w:adjustRightInd w:val="0"/>
        <w:snapToGrid w:val="0"/>
        <w:spacing w:line="480" w:lineRule="exact"/>
        <w:ind w:firstLine="496" w:firstLineChars="200"/>
        <w:rPr>
          <w:snapToGrid w:val="0"/>
          <w:spacing w:val="4"/>
          <w:kern w:val="0"/>
          <w:sz w:val="24"/>
          <w:u w:val="single"/>
        </w:rPr>
      </w:pPr>
      <w:r>
        <w:rPr>
          <w:snapToGrid w:val="0"/>
          <w:spacing w:val="4"/>
          <w:kern w:val="0"/>
          <w:sz w:val="24"/>
        </w:rPr>
        <w:t>项目信息化管理系统采用授权用户及密码验证以保证合法用户使用。监理人在使用计算机工程信息管理系统过程中，应采取必要的措施，以确保信息的完整、准确和安全。计算机工程信息管理系统中的信息资源所有权属于委托人，在本合同履行过程中，监理人可以访问使用与本合同相关的信息。</w:t>
      </w:r>
    </w:p>
    <w:p w14:paraId="357F3C6A">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（2）工程信息管理</w:t>
      </w:r>
    </w:p>
    <w:p w14:paraId="5AFC726E">
      <w:pPr>
        <w:topLinePunct/>
        <w:adjustRightInd w:val="0"/>
        <w:snapToGrid w:val="0"/>
        <w:spacing w:line="480" w:lineRule="exact"/>
        <w:ind w:firstLine="496" w:firstLineChars="200"/>
        <w:rPr>
          <w:snapToGrid w:val="0"/>
          <w:spacing w:val="4"/>
          <w:kern w:val="0"/>
          <w:sz w:val="24"/>
        </w:rPr>
      </w:pPr>
      <w:r>
        <w:rPr>
          <w:snapToGrid w:val="0"/>
          <w:spacing w:val="4"/>
          <w:kern w:val="0"/>
          <w:sz w:val="24"/>
        </w:rPr>
        <w:t>监理人要全面掌握信息源，收集相关信息资料，监理人必须进行管理的工程信息资料包括但不限于：</w:t>
      </w:r>
    </w:p>
    <w:p w14:paraId="69FD6A42">
      <w:pPr>
        <w:topLinePunct/>
        <w:adjustRightInd w:val="0"/>
        <w:snapToGrid w:val="0"/>
        <w:spacing w:line="480" w:lineRule="exact"/>
        <w:ind w:firstLine="496" w:firstLineChars="200"/>
        <w:rPr>
          <w:snapToGrid w:val="0"/>
          <w:spacing w:val="4"/>
          <w:kern w:val="0"/>
          <w:sz w:val="24"/>
        </w:rPr>
      </w:pPr>
      <w:r>
        <w:rPr>
          <w:snapToGrid w:val="0"/>
          <w:spacing w:val="4"/>
          <w:kern w:val="0"/>
          <w:sz w:val="24"/>
        </w:rPr>
        <w:t>1）有关政策文件、法规、技术规范、质量标准等；</w:t>
      </w:r>
    </w:p>
    <w:p w14:paraId="410C10F3">
      <w:pPr>
        <w:topLinePunct/>
        <w:adjustRightInd w:val="0"/>
        <w:snapToGrid w:val="0"/>
        <w:spacing w:line="480" w:lineRule="exact"/>
        <w:ind w:firstLine="496" w:firstLineChars="200"/>
        <w:rPr>
          <w:snapToGrid w:val="0"/>
          <w:spacing w:val="4"/>
          <w:kern w:val="0"/>
          <w:sz w:val="24"/>
        </w:rPr>
      </w:pPr>
      <w:r>
        <w:rPr>
          <w:snapToGrid w:val="0"/>
          <w:spacing w:val="4"/>
          <w:kern w:val="0"/>
          <w:sz w:val="24"/>
        </w:rPr>
        <w:t>2）设计及有关批准文件、图纸会审记录、设计变更设计文件等；</w:t>
      </w:r>
    </w:p>
    <w:p w14:paraId="584365CA">
      <w:pPr>
        <w:topLinePunct/>
        <w:adjustRightInd w:val="0"/>
        <w:snapToGrid w:val="0"/>
        <w:spacing w:line="480" w:lineRule="exact"/>
        <w:ind w:firstLine="496" w:firstLineChars="200"/>
        <w:rPr>
          <w:snapToGrid w:val="0"/>
          <w:spacing w:val="4"/>
          <w:kern w:val="0"/>
          <w:sz w:val="24"/>
        </w:rPr>
      </w:pPr>
      <w:r>
        <w:rPr>
          <w:snapToGrid w:val="0"/>
          <w:spacing w:val="4"/>
          <w:kern w:val="0"/>
          <w:sz w:val="24"/>
        </w:rPr>
        <w:t>3）招投标文件、工程建设合同、协议、补充协议等；</w:t>
      </w:r>
    </w:p>
    <w:p w14:paraId="384CB090">
      <w:pPr>
        <w:topLinePunct/>
        <w:adjustRightInd w:val="0"/>
        <w:snapToGrid w:val="0"/>
        <w:spacing w:line="480" w:lineRule="exact"/>
        <w:ind w:firstLine="496" w:firstLineChars="200"/>
        <w:rPr>
          <w:snapToGrid w:val="0"/>
          <w:spacing w:val="4"/>
          <w:kern w:val="0"/>
          <w:sz w:val="24"/>
        </w:rPr>
      </w:pPr>
      <w:r>
        <w:rPr>
          <w:snapToGrid w:val="0"/>
          <w:spacing w:val="4"/>
          <w:kern w:val="0"/>
          <w:sz w:val="24"/>
        </w:rPr>
        <w:t>4）与委托人、承包人及工程有关单位之间的往来文件；</w:t>
      </w:r>
    </w:p>
    <w:p w14:paraId="3336D0CB">
      <w:pPr>
        <w:topLinePunct/>
        <w:adjustRightInd w:val="0"/>
        <w:snapToGrid w:val="0"/>
        <w:spacing w:line="480" w:lineRule="exact"/>
        <w:ind w:firstLine="496" w:firstLineChars="200"/>
        <w:rPr>
          <w:snapToGrid w:val="0"/>
          <w:spacing w:val="4"/>
          <w:kern w:val="0"/>
          <w:sz w:val="24"/>
        </w:rPr>
      </w:pPr>
      <w:r>
        <w:rPr>
          <w:snapToGrid w:val="0"/>
          <w:spacing w:val="4"/>
          <w:kern w:val="0"/>
          <w:sz w:val="24"/>
        </w:rPr>
        <w:t>5）承包人施工组织设计、临时工程设计、方案等资料；</w:t>
      </w:r>
    </w:p>
    <w:p w14:paraId="6A6B03EA">
      <w:pPr>
        <w:topLinePunct/>
        <w:adjustRightInd w:val="0"/>
        <w:snapToGrid w:val="0"/>
        <w:spacing w:line="480" w:lineRule="exact"/>
        <w:ind w:firstLine="496" w:firstLineChars="200"/>
        <w:rPr>
          <w:snapToGrid w:val="0"/>
          <w:spacing w:val="4"/>
          <w:kern w:val="0"/>
          <w:sz w:val="24"/>
        </w:rPr>
      </w:pPr>
      <w:r>
        <w:rPr>
          <w:snapToGrid w:val="0"/>
          <w:spacing w:val="4"/>
          <w:kern w:val="0"/>
          <w:sz w:val="24"/>
        </w:rPr>
        <w:t>6）各种材料报验、材料、构配件、机械设备的技术资料、检测、试验报告等资料；</w:t>
      </w:r>
    </w:p>
    <w:p w14:paraId="09F2F22C">
      <w:pPr>
        <w:topLinePunct/>
        <w:adjustRightInd w:val="0"/>
        <w:snapToGrid w:val="0"/>
        <w:spacing w:line="480" w:lineRule="exact"/>
        <w:ind w:firstLine="496" w:firstLineChars="200"/>
        <w:rPr>
          <w:snapToGrid w:val="0"/>
          <w:spacing w:val="4"/>
          <w:kern w:val="0"/>
          <w:sz w:val="24"/>
        </w:rPr>
      </w:pPr>
      <w:r>
        <w:rPr>
          <w:snapToGrid w:val="0"/>
          <w:spacing w:val="4"/>
          <w:kern w:val="0"/>
          <w:sz w:val="24"/>
        </w:rPr>
        <w:t>7）各种报验、验收、报告、报表、计量、支付、施工记录、现场签证、质量、进度状况记录等资料；</w:t>
      </w:r>
    </w:p>
    <w:p w14:paraId="50960B76">
      <w:pPr>
        <w:topLinePunct/>
        <w:adjustRightInd w:val="0"/>
        <w:snapToGrid w:val="0"/>
        <w:spacing w:line="480" w:lineRule="exact"/>
        <w:ind w:firstLine="496" w:firstLineChars="200"/>
        <w:rPr>
          <w:snapToGrid w:val="0"/>
          <w:spacing w:val="4"/>
          <w:kern w:val="0"/>
          <w:sz w:val="24"/>
        </w:rPr>
      </w:pPr>
      <w:r>
        <w:rPr>
          <w:snapToGrid w:val="0"/>
          <w:spacing w:val="4"/>
          <w:kern w:val="0"/>
          <w:sz w:val="24"/>
        </w:rPr>
        <w:t>8）监理日记、巡查、旁站记录、工程影像资料、事故处理资料、关键的检查资料；</w:t>
      </w:r>
    </w:p>
    <w:p w14:paraId="58A6A1CD">
      <w:pPr>
        <w:topLinePunct/>
        <w:adjustRightInd w:val="0"/>
        <w:snapToGrid w:val="0"/>
        <w:spacing w:line="480" w:lineRule="exact"/>
        <w:ind w:firstLine="496" w:firstLineChars="200"/>
        <w:rPr>
          <w:snapToGrid w:val="0"/>
          <w:spacing w:val="4"/>
          <w:kern w:val="0"/>
          <w:sz w:val="24"/>
        </w:rPr>
      </w:pPr>
      <w:r>
        <w:rPr>
          <w:snapToGrid w:val="0"/>
          <w:spacing w:val="4"/>
          <w:kern w:val="0"/>
          <w:sz w:val="24"/>
        </w:rPr>
        <w:t>9）监理通知、会议记要、备忘录、合同执行情况、监理月报、监理报告、总结、评估等；</w:t>
      </w:r>
    </w:p>
    <w:p w14:paraId="5B4BBBFE">
      <w:pPr>
        <w:topLinePunct/>
        <w:adjustRightInd w:val="0"/>
        <w:snapToGrid w:val="0"/>
        <w:spacing w:line="480" w:lineRule="exact"/>
        <w:ind w:firstLine="496" w:firstLineChars="200"/>
        <w:rPr>
          <w:snapToGrid w:val="0"/>
          <w:spacing w:val="4"/>
          <w:kern w:val="0"/>
          <w:sz w:val="24"/>
        </w:rPr>
      </w:pPr>
      <w:r>
        <w:rPr>
          <w:snapToGrid w:val="0"/>
          <w:spacing w:val="4"/>
          <w:kern w:val="0"/>
          <w:sz w:val="24"/>
        </w:rPr>
        <w:t>10）工序验收、检验批验收、分项验收、分部（或子分部）验收、中间验收、竣工验收资料；</w:t>
      </w:r>
    </w:p>
    <w:p w14:paraId="746CF108">
      <w:pPr>
        <w:topLinePunct/>
        <w:adjustRightInd w:val="0"/>
        <w:snapToGrid w:val="0"/>
        <w:spacing w:line="480" w:lineRule="exact"/>
        <w:ind w:firstLine="496" w:firstLineChars="200"/>
        <w:rPr>
          <w:snapToGrid w:val="0"/>
          <w:spacing w:val="4"/>
          <w:kern w:val="0"/>
          <w:sz w:val="24"/>
        </w:rPr>
      </w:pPr>
      <w:r>
        <w:rPr>
          <w:snapToGrid w:val="0"/>
          <w:spacing w:val="4"/>
          <w:kern w:val="0"/>
          <w:sz w:val="24"/>
        </w:rPr>
        <w:t>11）建设工程规划验收、建筑工程消防验收、环境保护验收、室内环境验收、卫生防疫验收、电梯安装工程质量验收、人防工程验收、燃气验收、建设工程竣工档案验收、防雷验收、建筑节能验收等专项验收资料；</w:t>
      </w:r>
    </w:p>
    <w:p w14:paraId="792B8613">
      <w:pPr>
        <w:topLinePunct/>
        <w:adjustRightInd w:val="0"/>
        <w:snapToGrid w:val="0"/>
        <w:spacing w:line="480" w:lineRule="exact"/>
        <w:ind w:firstLine="496" w:firstLineChars="200"/>
        <w:rPr>
          <w:snapToGrid w:val="0"/>
          <w:spacing w:val="4"/>
          <w:kern w:val="0"/>
          <w:sz w:val="24"/>
        </w:rPr>
      </w:pPr>
      <w:r>
        <w:rPr>
          <w:snapToGrid w:val="0"/>
          <w:spacing w:val="4"/>
          <w:kern w:val="0"/>
          <w:sz w:val="24"/>
        </w:rPr>
        <w:t>12）监理制度、规定与管理办法等内部文件；</w:t>
      </w:r>
    </w:p>
    <w:p w14:paraId="73FE2AE2">
      <w:pPr>
        <w:topLinePunct/>
        <w:adjustRightInd w:val="0"/>
        <w:snapToGrid w:val="0"/>
        <w:spacing w:line="480" w:lineRule="exact"/>
        <w:ind w:firstLine="496" w:firstLineChars="200"/>
        <w:rPr>
          <w:snapToGrid w:val="0"/>
          <w:spacing w:val="4"/>
          <w:kern w:val="0"/>
          <w:sz w:val="24"/>
        </w:rPr>
      </w:pPr>
      <w:r>
        <w:rPr>
          <w:snapToGrid w:val="0"/>
          <w:spacing w:val="4"/>
          <w:kern w:val="0"/>
          <w:sz w:val="24"/>
        </w:rPr>
        <w:t>13）安全、文明生产控制资料等。</w:t>
      </w:r>
    </w:p>
    <w:p w14:paraId="4C03754C">
      <w:pPr>
        <w:topLinePunct/>
        <w:adjustRightInd w:val="0"/>
        <w:snapToGrid w:val="0"/>
        <w:spacing w:line="480" w:lineRule="exact"/>
        <w:ind w:firstLine="496" w:firstLineChars="200"/>
        <w:rPr>
          <w:snapToGrid w:val="0"/>
          <w:spacing w:val="4"/>
          <w:kern w:val="0"/>
          <w:sz w:val="24"/>
        </w:rPr>
      </w:pPr>
      <w:r>
        <w:rPr>
          <w:bCs/>
          <w:snapToGrid w:val="0"/>
          <w:spacing w:val="4"/>
          <w:kern w:val="0"/>
          <w:sz w:val="24"/>
        </w:rPr>
        <w:t>（2）</w:t>
      </w:r>
      <w:r>
        <w:rPr>
          <w:snapToGrid w:val="0"/>
          <w:spacing w:val="4"/>
          <w:kern w:val="0"/>
          <w:sz w:val="24"/>
        </w:rPr>
        <w:t>建立信息管理制度，严格信息采集、编排、查阅、归档保存的管理办法，由专人实施。监理资料的管理必须满足以下要求：</w:t>
      </w:r>
    </w:p>
    <w:p w14:paraId="275FC777">
      <w:pPr>
        <w:topLinePunct/>
        <w:adjustRightInd w:val="0"/>
        <w:snapToGrid w:val="0"/>
        <w:spacing w:line="480" w:lineRule="exact"/>
        <w:ind w:firstLine="496" w:firstLineChars="200"/>
        <w:rPr>
          <w:snapToGrid w:val="0"/>
          <w:spacing w:val="4"/>
          <w:kern w:val="0"/>
          <w:sz w:val="24"/>
        </w:rPr>
      </w:pPr>
      <w:r>
        <w:rPr>
          <w:snapToGrid w:val="0"/>
          <w:spacing w:val="4"/>
          <w:kern w:val="0"/>
          <w:sz w:val="24"/>
        </w:rPr>
        <w:t>1）监理资料必须及时整理、真实完整、分类有序。</w:t>
      </w:r>
    </w:p>
    <w:p w14:paraId="40AA4313">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2）监理资料的管理应由总监理工程师负责，并指定专人具体实施。</w:t>
      </w:r>
    </w:p>
    <w:p w14:paraId="0247F548">
      <w:pPr>
        <w:topLinePunct/>
        <w:adjustRightInd w:val="0"/>
        <w:snapToGrid w:val="0"/>
        <w:spacing w:line="480" w:lineRule="exact"/>
        <w:ind w:firstLine="496" w:firstLineChars="200"/>
        <w:rPr>
          <w:snapToGrid w:val="0"/>
          <w:spacing w:val="4"/>
          <w:kern w:val="0"/>
          <w:sz w:val="24"/>
        </w:rPr>
      </w:pPr>
      <w:r>
        <w:rPr>
          <w:snapToGrid w:val="0"/>
          <w:spacing w:val="4"/>
          <w:kern w:val="0"/>
          <w:sz w:val="24"/>
        </w:rPr>
        <w:t>3）监理资料应在各阶段监理工作结束后及时整理归档。</w:t>
      </w:r>
    </w:p>
    <w:p w14:paraId="3C0CEAE3">
      <w:pPr>
        <w:topLinePunct/>
        <w:adjustRightInd w:val="0"/>
        <w:snapToGrid w:val="0"/>
        <w:spacing w:line="480" w:lineRule="exact"/>
        <w:ind w:firstLine="496" w:firstLineChars="200"/>
        <w:rPr>
          <w:snapToGrid w:val="0"/>
          <w:spacing w:val="4"/>
          <w:kern w:val="0"/>
          <w:sz w:val="24"/>
        </w:rPr>
      </w:pPr>
      <w:r>
        <w:rPr>
          <w:snapToGrid w:val="0"/>
          <w:spacing w:val="4"/>
          <w:kern w:val="0"/>
          <w:sz w:val="24"/>
        </w:rPr>
        <w:t>4）监理档案的编制及保存应按有关规定执行。</w:t>
      </w:r>
    </w:p>
    <w:p w14:paraId="0A4C05C1">
      <w:pPr>
        <w:topLinePunct/>
        <w:adjustRightInd w:val="0"/>
        <w:snapToGrid w:val="0"/>
        <w:spacing w:line="480" w:lineRule="exact"/>
        <w:ind w:firstLine="496" w:firstLineChars="200"/>
        <w:rPr>
          <w:snapToGrid w:val="0"/>
          <w:spacing w:val="4"/>
          <w:kern w:val="0"/>
          <w:sz w:val="24"/>
        </w:rPr>
      </w:pPr>
      <w:r>
        <w:rPr>
          <w:snapToGrid w:val="0"/>
          <w:spacing w:val="4"/>
          <w:kern w:val="0"/>
          <w:sz w:val="24"/>
        </w:rPr>
        <w:t>（3）对所收集的信息必须进行分析，确保其准确、全面、来源可靠，且要求为正式资料。</w:t>
      </w:r>
    </w:p>
    <w:p w14:paraId="0508CEA3">
      <w:pPr>
        <w:topLinePunct/>
        <w:adjustRightInd w:val="0"/>
        <w:snapToGrid w:val="0"/>
        <w:spacing w:line="480" w:lineRule="exact"/>
        <w:ind w:firstLine="496" w:firstLineChars="200"/>
        <w:rPr>
          <w:snapToGrid w:val="0"/>
          <w:spacing w:val="4"/>
          <w:kern w:val="0"/>
          <w:sz w:val="24"/>
        </w:rPr>
      </w:pPr>
      <w:r>
        <w:rPr>
          <w:bCs/>
          <w:snapToGrid w:val="0"/>
          <w:spacing w:val="4"/>
          <w:kern w:val="0"/>
          <w:sz w:val="24"/>
        </w:rPr>
        <w:t>（4）</w:t>
      </w:r>
      <w:r>
        <w:rPr>
          <w:snapToGrid w:val="0"/>
          <w:spacing w:val="4"/>
          <w:kern w:val="0"/>
          <w:sz w:val="24"/>
        </w:rPr>
        <w:t>及时将采集到的信息进行筛选分类，分别通报给有关领导、职能部门和有关人员审阅和签署意见。</w:t>
      </w:r>
    </w:p>
    <w:p w14:paraId="51D745B9">
      <w:pPr>
        <w:topLinePunct/>
        <w:adjustRightInd w:val="0"/>
        <w:snapToGrid w:val="0"/>
        <w:spacing w:line="480" w:lineRule="exact"/>
        <w:ind w:firstLine="496" w:firstLineChars="200"/>
        <w:rPr>
          <w:snapToGrid w:val="0"/>
          <w:spacing w:val="4"/>
          <w:kern w:val="0"/>
          <w:sz w:val="24"/>
        </w:rPr>
      </w:pPr>
      <w:r>
        <w:rPr>
          <w:bCs/>
          <w:snapToGrid w:val="0"/>
          <w:spacing w:val="4"/>
          <w:kern w:val="0"/>
          <w:sz w:val="24"/>
        </w:rPr>
        <w:t>（5）</w:t>
      </w:r>
      <w:r>
        <w:rPr>
          <w:snapToGrid w:val="0"/>
          <w:spacing w:val="4"/>
          <w:kern w:val="0"/>
          <w:sz w:val="24"/>
        </w:rPr>
        <w:t>建立主体数据库系统结构，及时对信息分类保存、要求列名事件、题目、来源、概要、经办人或其他基本情况。</w:t>
      </w:r>
    </w:p>
    <w:p w14:paraId="29F5C5FE">
      <w:pPr>
        <w:topLinePunct/>
        <w:adjustRightInd w:val="0"/>
        <w:snapToGrid w:val="0"/>
        <w:spacing w:line="480" w:lineRule="exact"/>
        <w:ind w:firstLine="496" w:firstLineChars="200"/>
        <w:rPr>
          <w:snapToGrid w:val="0"/>
          <w:spacing w:val="4"/>
          <w:kern w:val="0"/>
          <w:sz w:val="24"/>
        </w:rPr>
      </w:pPr>
      <w:r>
        <w:rPr>
          <w:bCs/>
          <w:snapToGrid w:val="0"/>
          <w:spacing w:val="4"/>
          <w:kern w:val="0"/>
          <w:sz w:val="24"/>
        </w:rPr>
        <w:t>（6）</w:t>
      </w:r>
      <w:r>
        <w:rPr>
          <w:snapToGrid w:val="0"/>
          <w:spacing w:val="4"/>
          <w:kern w:val="0"/>
          <w:sz w:val="24"/>
        </w:rPr>
        <w:t>对信息资料收集和反馈进行跟踪，对信息进行动态管理。</w:t>
      </w:r>
    </w:p>
    <w:p w14:paraId="64226D40">
      <w:pPr>
        <w:topLinePunct/>
        <w:adjustRightInd w:val="0"/>
        <w:snapToGrid w:val="0"/>
        <w:spacing w:line="480" w:lineRule="exact"/>
        <w:ind w:firstLine="496" w:firstLineChars="200"/>
        <w:rPr>
          <w:snapToGrid w:val="0"/>
          <w:spacing w:val="4"/>
          <w:kern w:val="0"/>
          <w:sz w:val="24"/>
        </w:rPr>
      </w:pPr>
      <w:r>
        <w:rPr>
          <w:bCs/>
          <w:snapToGrid w:val="0"/>
          <w:spacing w:val="4"/>
          <w:kern w:val="0"/>
          <w:sz w:val="24"/>
        </w:rPr>
        <w:t>（7）</w:t>
      </w:r>
      <w:r>
        <w:rPr>
          <w:snapToGrid w:val="0"/>
          <w:spacing w:val="4"/>
          <w:kern w:val="0"/>
          <w:sz w:val="24"/>
        </w:rPr>
        <w:t>涉及国家机密或各单位商业秘密的信息资料保管工作应制订保密管理细则，防止机密泄漏，避免造成经济损失和政治影响。</w:t>
      </w:r>
    </w:p>
    <w:p w14:paraId="3E05BA99">
      <w:pPr>
        <w:topLinePunct/>
        <w:adjustRightInd w:val="0"/>
        <w:snapToGrid w:val="0"/>
        <w:spacing w:line="480" w:lineRule="exact"/>
        <w:ind w:firstLine="496" w:firstLineChars="200"/>
        <w:rPr>
          <w:snapToGrid w:val="0"/>
          <w:spacing w:val="4"/>
          <w:kern w:val="0"/>
          <w:sz w:val="24"/>
        </w:rPr>
      </w:pPr>
      <w:r>
        <w:rPr>
          <w:bCs/>
          <w:snapToGrid w:val="0"/>
          <w:spacing w:val="4"/>
          <w:kern w:val="0"/>
          <w:sz w:val="24"/>
        </w:rPr>
        <w:t>（8）</w:t>
      </w:r>
      <w:r>
        <w:rPr>
          <w:snapToGrid w:val="0"/>
          <w:spacing w:val="4"/>
          <w:kern w:val="0"/>
          <w:sz w:val="24"/>
        </w:rPr>
        <w:t>有保留价值的信息，经请示有关领导后可以消除，但应做好登记。</w:t>
      </w:r>
    </w:p>
    <w:p w14:paraId="51BFCB6C">
      <w:pPr>
        <w:topLinePunct/>
        <w:adjustRightInd w:val="0"/>
        <w:snapToGrid w:val="0"/>
        <w:spacing w:line="480" w:lineRule="exact"/>
        <w:ind w:firstLine="496" w:firstLineChars="200"/>
        <w:rPr>
          <w:snapToGrid w:val="0"/>
          <w:spacing w:val="4"/>
          <w:kern w:val="0"/>
          <w:sz w:val="24"/>
        </w:rPr>
      </w:pPr>
      <w:r>
        <w:rPr>
          <w:bCs/>
          <w:snapToGrid w:val="0"/>
          <w:spacing w:val="4"/>
          <w:kern w:val="0"/>
          <w:sz w:val="24"/>
        </w:rPr>
        <w:t>（9）</w:t>
      </w:r>
      <w:r>
        <w:rPr>
          <w:snapToGrid w:val="0"/>
          <w:spacing w:val="4"/>
          <w:kern w:val="0"/>
          <w:sz w:val="24"/>
        </w:rPr>
        <w:t>工程结束后，按有关规定进行信息整理存档、移交，并办理好移交签收手续。</w:t>
      </w:r>
    </w:p>
    <w:p w14:paraId="1A1F7074">
      <w:pPr>
        <w:topLinePunct/>
        <w:adjustRightInd w:val="0"/>
        <w:snapToGrid w:val="0"/>
        <w:spacing w:line="480" w:lineRule="exact"/>
        <w:ind w:firstLine="496" w:firstLineChars="200"/>
        <w:rPr>
          <w:snapToGrid w:val="0"/>
          <w:spacing w:val="4"/>
          <w:kern w:val="0"/>
          <w:sz w:val="24"/>
        </w:rPr>
      </w:pPr>
      <w:r>
        <w:rPr>
          <w:snapToGrid w:val="0"/>
          <w:spacing w:val="4"/>
          <w:kern w:val="0"/>
          <w:sz w:val="24"/>
        </w:rPr>
        <w:t>（10）监理人在提交相关信息的纸质文件的同时，须根据委托人的要求提交（</w:t>
      </w:r>
      <w:r>
        <w:rPr>
          <w:rFonts w:eastAsia="黑体"/>
          <w:bCs/>
          <w:snapToGrid w:val="0"/>
          <w:spacing w:val="4"/>
          <w:kern w:val="0"/>
          <w:sz w:val="24"/>
          <w:bdr w:val="single" w:color="auto" w:sz="4" w:space="0"/>
        </w:rPr>
        <w:t>√</w:t>
      </w:r>
      <w:r>
        <w:rPr>
          <w:snapToGrid w:val="0"/>
          <w:spacing w:val="4"/>
          <w:kern w:val="0"/>
          <w:sz w:val="24"/>
        </w:rPr>
        <w:t xml:space="preserve"> 电子原版，</w:t>
      </w:r>
      <w:r>
        <w:rPr>
          <w:rFonts w:eastAsia="黑体"/>
          <w:bCs/>
          <w:snapToGrid w:val="0"/>
          <w:spacing w:val="4"/>
          <w:kern w:val="0"/>
          <w:sz w:val="24"/>
          <w:bdr w:val="single" w:color="auto" w:sz="4" w:space="0"/>
        </w:rPr>
        <w:t>√</w:t>
      </w:r>
      <w:r>
        <w:rPr>
          <w:snapToGrid w:val="0"/>
          <w:spacing w:val="4"/>
          <w:kern w:val="0"/>
          <w:sz w:val="24"/>
        </w:rPr>
        <w:t>纸质文件扫描版）。</w:t>
      </w:r>
    </w:p>
    <w:p w14:paraId="0F98E3CB">
      <w:pPr>
        <w:topLinePunct/>
        <w:adjustRightInd w:val="0"/>
        <w:snapToGrid w:val="0"/>
        <w:spacing w:line="480" w:lineRule="exact"/>
        <w:ind w:firstLine="498" w:firstLineChars="200"/>
        <w:outlineLvl w:val="4"/>
        <w:rPr>
          <w:b/>
          <w:bCs/>
          <w:snapToGrid w:val="0"/>
          <w:spacing w:val="4"/>
          <w:kern w:val="0"/>
          <w:sz w:val="24"/>
        </w:rPr>
      </w:pPr>
      <w:r>
        <w:rPr>
          <w:b/>
          <w:snapToGrid w:val="0"/>
          <w:spacing w:val="4"/>
          <w:kern w:val="0"/>
          <w:sz w:val="24"/>
        </w:rPr>
        <w:t>4.2.</w:t>
      </w:r>
      <w:r>
        <w:rPr>
          <w:rFonts w:hint="eastAsia"/>
          <w:b/>
          <w:snapToGrid w:val="0"/>
          <w:spacing w:val="4"/>
          <w:kern w:val="0"/>
          <w:sz w:val="24"/>
        </w:rPr>
        <w:t>4</w:t>
      </w:r>
      <w:r>
        <w:rPr>
          <w:b/>
          <w:snapToGrid w:val="0"/>
          <w:spacing w:val="4"/>
          <w:kern w:val="0"/>
          <w:sz w:val="24"/>
        </w:rPr>
        <w:t>.8 工程</w:t>
      </w:r>
      <w:r>
        <w:rPr>
          <w:b/>
          <w:bCs/>
          <w:snapToGrid w:val="0"/>
          <w:spacing w:val="4"/>
          <w:kern w:val="0"/>
          <w:sz w:val="24"/>
        </w:rPr>
        <w:t>项目沟通与协调</w:t>
      </w:r>
    </w:p>
    <w:p w14:paraId="6EDCD31C">
      <w:pPr>
        <w:topLinePunct/>
        <w:adjustRightInd w:val="0"/>
        <w:snapToGrid w:val="0"/>
        <w:spacing w:line="480" w:lineRule="exact"/>
        <w:ind w:firstLine="496" w:firstLineChars="200"/>
        <w:rPr>
          <w:snapToGrid w:val="0"/>
          <w:spacing w:val="4"/>
          <w:kern w:val="0"/>
          <w:sz w:val="24"/>
        </w:rPr>
      </w:pPr>
      <w:r>
        <w:rPr>
          <w:bCs/>
          <w:snapToGrid w:val="0"/>
          <w:spacing w:val="4"/>
          <w:kern w:val="0"/>
          <w:sz w:val="24"/>
        </w:rPr>
        <w:t>（1）</w:t>
      </w:r>
      <w:r>
        <w:rPr>
          <w:snapToGrid w:val="0"/>
          <w:spacing w:val="4"/>
          <w:kern w:val="0"/>
          <w:sz w:val="24"/>
        </w:rPr>
        <w:t>建立项目沟通与协调管理系统，健全各项制度，并本着“严格守法、遵守公德”的原则，以维护各相关方的利益为前提，应用先进、实用的方法和手段，有效解决项目实施过程中的问题。</w:t>
      </w:r>
    </w:p>
    <w:p w14:paraId="2B821CC0">
      <w:pPr>
        <w:topLinePunct/>
        <w:adjustRightInd w:val="0"/>
        <w:snapToGrid w:val="0"/>
        <w:spacing w:line="480" w:lineRule="exact"/>
        <w:ind w:firstLine="496" w:firstLineChars="200"/>
        <w:rPr>
          <w:snapToGrid w:val="0"/>
          <w:spacing w:val="4"/>
          <w:kern w:val="0"/>
          <w:sz w:val="24"/>
        </w:rPr>
      </w:pPr>
      <w:r>
        <w:rPr>
          <w:bCs/>
          <w:snapToGrid w:val="0"/>
          <w:spacing w:val="4"/>
          <w:kern w:val="0"/>
          <w:sz w:val="24"/>
        </w:rPr>
        <w:t>（2）</w:t>
      </w:r>
      <w:r>
        <w:rPr>
          <w:snapToGrid w:val="0"/>
          <w:spacing w:val="4"/>
          <w:kern w:val="0"/>
          <w:sz w:val="24"/>
        </w:rPr>
        <w:t>制定项目沟通管理计划，按内容划分主要有：施工进度、质量、安全、成本、资金、环保、设计变更、索赔、材料供应、设备使用、人力资源、文明工地建设、思想政治工作等；按时间划分主要有：项目管理实施规划、年度计划、半年计划、季度计划、月计划、旬计划、周计划等。</w:t>
      </w:r>
    </w:p>
    <w:p w14:paraId="0A4F1E4E">
      <w:pPr>
        <w:topLinePunct/>
        <w:adjustRightInd w:val="0"/>
        <w:snapToGrid w:val="0"/>
        <w:spacing w:line="480" w:lineRule="exact"/>
        <w:ind w:firstLine="496" w:firstLineChars="200"/>
        <w:rPr>
          <w:snapToGrid w:val="0"/>
          <w:spacing w:val="4"/>
          <w:kern w:val="0"/>
          <w:sz w:val="24"/>
        </w:rPr>
      </w:pPr>
      <w:r>
        <w:rPr>
          <w:bCs/>
          <w:snapToGrid w:val="0"/>
          <w:spacing w:val="4"/>
          <w:kern w:val="0"/>
          <w:sz w:val="24"/>
        </w:rPr>
        <w:t>（3）</w:t>
      </w:r>
      <w:r>
        <w:rPr>
          <w:snapToGrid w:val="0"/>
          <w:spacing w:val="4"/>
          <w:kern w:val="0"/>
          <w:sz w:val="24"/>
        </w:rPr>
        <w:t>项目沟通管理计划明确沟通的具体内容、对象、方式、目标、责任人、完成时间、奖罚措施等，并定期或不定期地进行检查、考核和评价，确保沟通计划落到实处。</w:t>
      </w:r>
    </w:p>
    <w:p w14:paraId="07CEEE6C">
      <w:pPr>
        <w:topLinePunct/>
        <w:adjustRightInd w:val="0"/>
        <w:snapToGrid w:val="0"/>
        <w:spacing w:line="480" w:lineRule="exact"/>
        <w:ind w:firstLine="496" w:firstLineChars="200"/>
        <w:rPr>
          <w:snapToGrid w:val="0"/>
          <w:spacing w:val="4"/>
          <w:kern w:val="0"/>
          <w:sz w:val="24"/>
        </w:rPr>
      </w:pPr>
      <w:r>
        <w:rPr>
          <w:bCs/>
          <w:snapToGrid w:val="0"/>
          <w:spacing w:val="4"/>
          <w:kern w:val="0"/>
          <w:sz w:val="24"/>
        </w:rPr>
        <w:t>（4）</w:t>
      </w:r>
      <w:r>
        <w:rPr>
          <w:snapToGrid w:val="0"/>
          <w:spacing w:val="4"/>
          <w:kern w:val="0"/>
          <w:sz w:val="24"/>
        </w:rPr>
        <w:t>对项目实施各阶段出现的矛盾和问题，根据沟通与协调的进展情况和结果，按程序要求通过各种方式及时将信息反馈给各相关方，实现共享，提高沟通与协调的效果。通过有效地计划、组织和协调，监督相关各方履行各自的职责，协调参与工程建设各方关系，充分利用各方优势为本合同工程建设服务。</w:t>
      </w:r>
    </w:p>
    <w:p w14:paraId="102125F4">
      <w:pPr>
        <w:topLinePunct/>
        <w:adjustRightInd w:val="0"/>
        <w:snapToGrid w:val="0"/>
        <w:spacing w:line="480" w:lineRule="exact"/>
        <w:ind w:firstLine="496" w:firstLineChars="200"/>
        <w:rPr>
          <w:snapToGrid w:val="0"/>
          <w:spacing w:val="4"/>
          <w:kern w:val="0"/>
          <w:sz w:val="24"/>
        </w:rPr>
      </w:pPr>
      <w:r>
        <w:rPr>
          <w:bCs/>
          <w:snapToGrid w:val="0"/>
          <w:spacing w:val="4"/>
          <w:kern w:val="0"/>
          <w:sz w:val="24"/>
        </w:rPr>
        <w:t>（5）</w:t>
      </w:r>
      <w:r>
        <w:rPr>
          <w:snapToGrid w:val="0"/>
          <w:spacing w:val="4"/>
          <w:kern w:val="0"/>
          <w:sz w:val="24"/>
        </w:rPr>
        <w:t>定期组织召开建设单位、设计、监理、质监站、安监站、承包人参加的工地现场会，协调施工过程中出现的各种矛盾和问题，会前一天，就质量、安全、进度、资金、技术、材料等需要协调的问题等议题征求意见，分送有关单位，以便会前做好充分准备，会后写出会议纪要发与会各单位，并督促执行。</w:t>
      </w:r>
    </w:p>
    <w:p w14:paraId="0398A511">
      <w:pPr>
        <w:topLinePunct/>
        <w:adjustRightInd w:val="0"/>
        <w:snapToGrid w:val="0"/>
        <w:spacing w:line="480" w:lineRule="exact"/>
        <w:ind w:firstLine="496" w:firstLineChars="200"/>
        <w:rPr>
          <w:snapToGrid w:val="0"/>
          <w:spacing w:val="4"/>
          <w:kern w:val="0"/>
          <w:sz w:val="24"/>
        </w:rPr>
      </w:pPr>
      <w:r>
        <w:rPr>
          <w:bCs/>
          <w:snapToGrid w:val="0"/>
          <w:spacing w:val="4"/>
          <w:kern w:val="0"/>
          <w:sz w:val="24"/>
        </w:rPr>
        <w:t>（6）</w:t>
      </w:r>
      <w:r>
        <w:rPr>
          <w:snapToGrid w:val="0"/>
          <w:spacing w:val="4"/>
          <w:kern w:val="0"/>
          <w:sz w:val="24"/>
        </w:rPr>
        <w:t>妥善处理各分项工程之间的施工配合，要求各承包人提出需要配合的问题，如施工场地的要求、施工用水、用电、交叉作业的相互影响，施工收口处理、建筑成品保护要求及需要采取的配合措施等。</w:t>
      </w:r>
    </w:p>
    <w:p w14:paraId="696F05B7">
      <w:pPr>
        <w:topLinePunct/>
        <w:adjustRightInd w:val="0"/>
        <w:snapToGrid w:val="0"/>
        <w:spacing w:line="480" w:lineRule="exact"/>
        <w:ind w:firstLine="498" w:firstLineChars="200"/>
        <w:outlineLvl w:val="4"/>
        <w:rPr>
          <w:b/>
          <w:snapToGrid w:val="0"/>
          <w:spacing w:val="4"/>
          <w:kern w:val="0"/>
          <w:sz w:val="24"/>
        </w:rPr>
      </w:pPr>
      <w:r>
        <w:rPr>
          <w:b/>
          <w:snapToGrid w:val="0"/>
          <w:spacing w:val="4"/>
          <w:kern w:val="0"/>
          <w:sz w:val="24"/>
        </w:rPr>
        <w:t>4.2.</w:t>
      </w:r>
      <w:r>
        <w:rPr>
          <w:rFonts w:hint="eastAsia"/>
          <w:b/>
          <w:snapToGrid w:val="0"/>
          <w:spacing w:val="4"/>
          <w:kern w:val="0"/>
          <w:sz w:val="24"/>
        </w:rPr>
        <w:t>4</w:t>
      </w:r>
      <w:r>
        <w:rPr>
          <w:b/>
          <w:snapToGrid w:val="0"/>
          <w:spacing w:val="4"/>
          <w:kern w:val="0"/>
          <w:sz w:val="24"/>
        </w:rPr>
        <w:t>.9  环境管理工作</w:t>
      </w:r>
    </w:p>
    <w:p w14:paraId="6319CA32">
      <w:pPr>
        <w:topLinePunct/>
        <w:adjustRightInd w:val="0"/>
        <w:snapToGrid w:val="0"/>
        <w:spacing w:line="480" w:lineRule="exact"/>
        <w:ind w:firstLine="496" w:firstLineChars="200"/>
        <w:rPr>
          <w:snapToGrid w:val="0"/>
          <w:spacing w:val="4"/>
          <w:kern w:val="0"/>
          <w:sz w:val="24"/>
        </w:rPr>
      </w:pPr>
      <w:r>
        <w:rPr>
          <w:snapToGrid w:val="0"/>
          <w:spacing w:val="4"/>
          <w:kern w:val="0"/>
          <w:sz w:val="24"/>
        </w:rPr>
        <w:t>监理人应对施工过程中影响环境的活动进行监督管理，以满足相关的法律法规对环境保护的要求。监理人环境管理工作的主要工作内容如下：</w:t>
      </w:r>
    </w:p>
    <w:p w14:paraId="43FD0FCC">
      <w:pPr>
        <w:topLinePunct/>
        <w:adjustRightInd w:val="0"/>
        <w:snapToGrid w:val="0"/>
        <w:spacing w:line="480" w:lineRule="exact"/>
        <w:ind w:firstLine="496" w:firstLineChars="200"/>
        <w:rPr>
          <w:snapToGrid w:val="0"/>
          <w:spacing w:val="4"/>
          <w:kern w:val="0"/>
          <w:sz w:val="24"/>
        </w:rPr>
      </w:pPr>
      <w:r>
        <w:rPr>
          <w:snapToGrid w:val="0"/>
          <w:spacing w:val="4"/>
          <w:kern w:val="0"/>
          <w:sz w:val="24"/>
        </w:rPr>
        <w:t>（1）制定相关的监督检查工作的程序及制度提交委托人及政府相关部门核准；</w:t>
      </w:r>
    </w:p>
    <w:p w14:paraId="61507A42">
      <w:pPr>
        <w:topLinePunct/>
        <w:adjustRightInd w:val="0"/>
        <w:snapToGrid w:val="0"/>
        <w:spacing w:line="480" w:lineRule="exact"/>
        <w:ind w:firstLine="496" w:firstLineChars="200"/>
        <w:rPr>
          <w:snapToGrid w:val="0"/>
          <w:spacing w:val="4"/>
          <w:kern w:val="0"/>
          <w:sz w:val="24"/>
        </w:rPr>
      </w:pPr>
      <w:r>
        <w:rPr>
          <w:snapToGrid w:val="0"/>
          <w:spacing w:val="4"/>
          <w:kern w:val="0"/>
          <w:sz w:val="24"/>
        </w:rPr>
        <w:t>（2）根据相关的法律、法规、制度及程序等，对工程建设过程中污染环境、破坏生态的行为进行监督管理，如噪声、废气、污水等污染物排放应达标、粉尘控制达标、减少水土流失和生态环境破坏；</w:t>
      </w:r>
    </w:p>
    <w:p w14:paraId="16C69896">
      <w:pPr>
        <w:topLinePunct/>
        <w:adjustRightInd w:val="0"/>
        <w:snapToGrid w:val="0"/>
        <w:spacing w:line="480" w:lineRule="exact"/>
        <w:ind w:firstLine="496" w:firstLineChars="200"/>
        <w:rPr>
          <w:snapToGrid w:val="0"/>
          <w:spacing w:val="4"/>
          <w:kern w:val="0"/>
          <w:sz w:val="24"/>
        </w:rPr>
      </w:pPr>
      <w:r>
        <w:rPr>
          <w:snapToGrid w:val="0"/>
          <w:spacing w:val="4"/>
          <w:kern w:val="0"/>
          <w:sz w:val="24"/>
        </w:rPr>
        <w:t>（3）对配套的环保工程进行施工监理，如对水处理设施、声屏障、绿化工程、水源保护区的保护等进行监理。</w:t>
      </w:r>
    </w:p>
    <w:p w14:paraId="04A982D4">
      <w:pPr>
        <w:topLinePunct/>
        <w:adjustRightInd w:val="0"/>
        <w:snapToGrid w:val="0"/>
        <w:spacing w:line="480" w:lineRule="exact"/>
        <w:ind w:firstLine="498" w:firstLineChars="200"/>
        <w:outlineLvl w:val="4"/>
        <w:rPr>
          <w:b/>
          <w:snapToGrid w:val="0"/>
          <w:spacing w:val="4"/>
          <w:kern w:val="0"/>
          <w:sz w:val="24"/>
        </w:rPr>
      </w:pPr>
      <w:r>
        <w:rPr>
          <w:b/>
          <w:snapToGrid w:val="0"/>
          <w:spacing w:val="4"/>
          <w:kern w:val="0"/>
          <w:sz w:val="24"/>
        </w:rPr>
        <w:t>4.2.</w:t>
      </w:r>
      <w:r>
        <w:rPr>
          <w:rFonts w:hint="eastAsia"/>
          <w:b/>
          <w:snapToGrid w:val="0"/>
          <w:spacing w:val="4"/>
          <w:kern w:val="0"/>
          <w:sz w:val="24"/>
        </w:rPr>
        <w:t>4</w:t>
      </w:r>
      <w:r>
        <w:rPr>
          <w:b/>
          <w:snapToGrid w:val="0"/>
          <w:spacing w:val="4"/>
          <w:kern w:val="0"/>
          <w:sz w:val="24"/>
        </w:rPr>
        <w:t>.10 提交监理月报</w:t>
      </w:r>
    </w:p>
    <w:p w14:paraId="6FD21B61">
      <w:pPr>
        <w:topLinePunct/>
        <w:adjustRightInd w:val="0"/>
        <w:snapToGrid w:val="0"/>
        <w:spacing w:line="480" w:lineRule="exact"/>
        <w:ind w:firstLine="496" w:firstLineChars="200"/>
        <w:rPr>
          <w:snapToGrid w:val="0"/>
          <w:spacing w:val="4"/>
          <w:kern w:val="0"/>
          <w:sz w:val="24"/>
        </w:rPr>
      </w:pPr>
      <w:r>
        <w:rPr>
          <w:snapToGrid w:val="0"/>
          <w:spacing w:val="4"/>
          <w:kern w:val="0"/>
          <w:sz w:val="24"/>
        </w:rPr>
        <w:t>监理月报应包括以下内容：</w:t>
      </w:r>
    </w:p>
    <w:p w14:paraId="5D0442B9">
      <w:pPr>
        <w:topLinePunct/>
        <w:adjustRightInd w:val="0"/>
        <w:snapToGrid w:val="0"/>
        <w:spacing w:line="480" w:lineRule="exact"/>
        <w:ind w:firstLine="496" w:firstLineChars="200"/>
        <w:rPr>
          <w:snapToGrid w:val="0"/>
          <w:spacing w:val="4"/>
          <w:kern w:val="0"/>
          <w:sz w:val="24"/>
        </w:rPr>
      </w:pPr>
      <w:r>
        <w:rPr>
          <w:snapToGrid w:val="0"/>
          <w:spacing w:val="4"/>
          <w:kern w:val="0"/>
          <w:sz w:val="24"/>
        </w:rPr>
        <w:t>（1）本月工程概况；</w:t>
      </w:r>
    </w:p>
    <w:p w14:paraId="09F42C21">
      <w:pPr>
        <w:topLinePunct/>
        <w:adjustRightInd w:val="0"/>
        <w:snapToGrid w:val="0"/>
        <w:spacing w:line="480" w:lineRule="exact"/>
        <w:ind w:firstLine="496" w:firstLineChars="200"/>
        <w:rPr>
          <w:snapToGrid w:val="0"/>
          <w:spacing w:val="4"/>
          <w:kern w:val="0"/>
          <w:sz w:val="24"/>
        </w:rPr>
      </w:pPr>
      <w:r>
        <w:rPr>
          <w:snapToGrid w:val="0"/>
          <w:spacing w:val="4"/>
          <w:kern w:val="0"/>
          <w:sz w:val="24"/>
        </w:rPr>
        <w:t>（2）本月工程形象进度；</w:t>
      </w:r>
    </w:p>
    <w:p w14:paraId="6D5788C8">
      <w:pPr>
        <w:topLinePunct/>
        <w:adjustRightInd w:val="0"/>
        <w:snapToGrid w:val="0"/>
        <w:spacing w:line="480" w:lineRule="exact"/>
        <w:ind w:firstLine="496" w:firstLineChars="200"/>
        <w:rPr>
          <w:snapToGrid w:val="0"/>
          <w:spacing w:val="4"/>
          <w:kern w:val="0"/>
          <w:sz w:val="24"/>
        </w:rPr>
      </w:pPr>
      <w:r>
        <w:rPr>
          <w:snapToGrid w:val="0"/>
          <w:spacing w:val="4"/>
          <w:kern w:val="0"/>
          <w:sz w:val="24"/>
        </w:rPr>
        <w:t>（3）工程进度，包括：</w:t>
      </w:r>
    </w:p>
    <w:p w14:paraId="5AB51882">
      <w:pPr>
        <w:topLinePunct/>
        <w:adjustRightInd w:val="0"/>
        <w:snapToGrid w:val="0"/>
        <w:spacing w:line="480" w:lineRule="exact"/>
        <w:ind w:firstLine="496" w:firstLineChars="200"/>
        <w:rPr>
          <w:snapToGrid w:val="0"/>
          <w:spacing w:val="4"/>
          <w:kern w:val="0"/>
          <w:sz w:val="24"/>
        </w:rPr>
      </w:pPr>
      <w:r>
        <w:rPr>
          <w:snapToGrid w:val="0"/>
          <w:spacing w:val="4"/>
          <w:kern w:val="0"/>
          <w:sz w:val="24"/>
        </w:rPr>
        <w:t>1）本月实际完成情况与计划进度比较</w:t>
      </w:r>
      <w:r>
        <w:rPr>
          <w:rFonts w:hint="eastAsia"/>
          <w:snapToGrid w:val="0"/>
          <w:spacing w:val="4"/>
          <w:kern w:val="0"/>
          <w:sz w:val="24"/>
        </w:rPr>
        <w:t>，明确偏差天数及影响因素</w:t>
      </w:r>
      <w:r>
        <w:rPr>
          <w:snapToGrid w:val="0"/>
          <w:spacing w:val="4"/>
          <w:kern w:val="0"/>
          <w:sz w:val="24"/>
        </w:rPr>
        <w:t>；</w:t>
      </w:r>
    </w:p>
    <w:p w14:paraId="50F29DE3">
      <w:pPr>
        <w:topLinePunct/>
        <w:adjustRightInd w:val="0"/>
        <w:snapToGrid w:val="0"/>
        <w:spacing w:line="480" w:lineRule="exact"/>
        <w:ind w:firstLine="496" w:firstLineChars="200"/>
        <w:rPr>
          <w:snapToGrid w:val="0"/>
          <w:spacing w:val="4"/>
          <w:kern w:val="0"/>
          <w:sz w:val="24"/>
        </w:rPr>
      </w:pPr>
      <w:r>
        <w:rPr>
          <w:snapToGrid w:val="0"/>
          <w:spacing w:val="4"/>
          <w:kern w:val="0"/>
          <w:sz w:val="24"/>
        </w:rPr>
        <w:t>2）对进度完成情况及采取措施效果的分析。</w:t>
      </w:r>
    </w:p>
    <w:p w14:paraId="60B32B35">
      <w:pPr>
        <w:topLinePunct/>
        <w:adjustRightInd w:val="0"/>
        <w:snapToGrid w:val="0"/>
        <w:spacing w:line="480" w:lineRule="exact"/>
        <w:ind w:firstLine="496" w:firstLineChars="200"/>
        <w:rPr>
          <w:snapToGrid w:val="0"/>
          <w:spacing w:val="4"/>
          <w:kern w:val="0"/>
          <w:sz w:val="24"/>
        </w:rPr>
      </w:pPr>
      <w:r>
        <w:rPr>
          <w:snapToGrid w:val="0"/>
          <w:spacing w:val="4"/>
          <w:kern w:val="0"/>
          <w:sz w:val="24"/>
        </w:rPr>
        <w:t>（4）工程质量，包括：</w:t>
      </w:r>
    </w:p>
    <w:p w14:paraId="47F1DD92">
      <w:pPr>
        <w:topLinePunct/>
        <w:adjustRightInd w:val="0"/>
        <w:snapToGrid w:val="0"/>
        <w:spacing w:line="480" w:lineRule="exact"/>
        <w:ind w:firstLine="496" w:firstLineChars="200"/>
        <w:rPr>
          <w:snapToGrid w:val="0"/>
          <w:spacing w:val="4"/>
          <w:kern w:val="0"/>
          <w:sz w:val="24"/>
        </w:rPr>
      </w:pPr>
      <w:r>
        <w:rPr>
          <w:snapToGrid w:val="0"/>
          <w:spacing w:val="4"/>
          <w:kern w:val="0"/>
          <w:sz w:val="24"/>
        </w:rPr>
        <w:t>1）本月工程质量情况分析；</w:t>
      </w:r>
    </w:p>
    <w:p w14:paraId="6AA1B786">
      <w:pPr>
        <w:topLinePunct/>
        <w:adjustRightInd w:val="0"/>
        <w:snapToGrid w:val="0"/>
        <w:spacing w:line="480" w:lineRule="exact"/>
        <w:ind w:firstLine="496" w:firstLineChars="200"/>
        <w:rPr>
          <w:snapToGrid w:val="0"/>
          <w:spacing w:val="4"/>
          <w:kern w:val="0"/>
          <w:sz w:val="24"/>
        </w:rPr>
      </w:pPr>
      <w:r>
        <w:rPr>
          <w:snapToGrid w:val="0"/>
          <w:spacing w:val="4"/>
          <w:kern w:val="0"/>
          <w:sz w:val="24"/>
        </w:rPr>
        <w:t>2）本月采取的工程质量措施及效果。</w:t>
      </w:r>
    </w:p>
    <w:p w14:paraId="022993BE">
      <w:pPr>
        <w:topLinePunct/>
        <w:adjustRightInd w:val="0"/>
        <w:snapToGrid w:val="0"/>
        <w:spacing w:line="480" w:lineRule="exact"/>
        <w:ind w:firstLine="496" w:firstLineChars="200"/>
        <w:rPr>
          <w:snapToGrid w:val="0"/>
          <w:spacing w:val="4"/>
          <w:kern w:val="0"/>
          <w:sz w:val="24"/>
        </w:rPr>
      </w:pPr>
      <w:r>
        <w:rPr>
          <w:snapToGrid w:val="0"/>
          <w:spacing w:val="4"/>
          <w:kern w:val="0"/>
          <w:sz w:val="24"/>
        </w:rPr>
        <w:t>（5）工程计量与工程款支付，包括：</w:t>
      </w:r>
    </w:p>
    <w:p w14:paraId="056E9E2B">
      <w:pPr>
        <w:topLinePunct/>
        <w:adjustRightInd w:val="0"/>
        <w:snapToGrid w:val="0"/>
        <w:spacing w:line="480" w:lineRule="exact"/>
        <w:ind w:firstLine="496" w:firstLineChars="200"/>
        <w:rPr>
          <w:snapToGrid w:val="0"/>
          <w:spacing w:val="4"/>
          <w:kern w:val="0"/>
          <w:sz w:val="24"/>
        </w:rPr>
      </w:pPr>
      <w:r>
        <w:rPr>
          <w:snapToGrid w:val="0"/>
          <w:spacing w:val="4"/>
          <w:kern w:val="0"/>
          <w:sz w:val="24"/>
        </w:rPr>
        <w:t>1）工程量审核情况；</w:t>
      </w:r>
    </w:p>
    <w:p w14:paraId="4A52D417">
      <w:pPr>
        <w:topLinePunct/>
        <w:adjustRightInd w:val="0"/>
        <w:snapToGrid w:val="0"/>
        <w:spacing w:line="480" w:lineRule="exact"/>
        <w:ind w:firstLine="496" w:firstLineChars="200"/>
        <w:rPr>
          <w:snapToGrid w:val="0"/>
          <w:spacing w:val="4"/>
          <w:kern w:val="0"/>
          <w:sz w:val="24"/>
        </w:rPr>
      </w:pPr>
      <w:r>
        <w:rPr>
          <w:snapToGrid w:val="0"/>
          <w:spacing w:val="4"/>
          <w:kern w:val="0"/>
          <w:sz w:val="24"/>
        </w:rPr>
        <w:t>2）工程款审批情况及月支付情况；</w:t>
      </w:r>
    </w:p>
    <w:p w14:paraId="1B72B73C">
      <w:pPr>
        <w:topLinePunct/>
        <w:adjustRightInd w:val="0"/>
        <w:snapToGrid w:val="0"/>
        <w:spacing w:line="480" w:lineRule="exact"/>
        <w:ind w:firstLine="496" w:firstLineChars="200"/>
        <w:rPr>
          <w:snapToGrid w:val="0"/>
          <w:spacing w:val="4"/>
          <w:kern w:val="0"/>
          <w:sz w:val="24"/>
        </w:rPr>
      </w:pPr>
      <w:r>
        <w:rPr>
          <w:snapToGrid w:val="0"/>
          <w:spacing w:val="4"/>
          <w:kern w:val="0"/>
          <w:sz w:val="24"/>
        </w:rPr>
        <w:t>3）工程款支付情况分析；</w:t>
      </w:r>
    </w:p>
    <w:p w14:paraId="42A18EB2">
      <w:pPr>
        <w:topLinePunct/>
        <w:adjustRightInd w:val="0"/>
        <w:snapToGrid w:val="0"/>
        <w:spacing w:line="480" w:lineRule="exact"/>
        <w:ind w:firstLine="496" w:firstLineChars="200"/>
        <w:rPr>
          <w:snapToGrid w:val="0"/>
          <w:spacing w:val="4"/>
          <w:kern w:val="0"/>
          <w:sz w:val="24"/>
        </w:rPr>
      </w:pPr>
      <w:r>
        <w:rPr>
          <w:snapToGrid w:val="0"/>
          <w:spacing w:val="4"/>
          <w:kern w:val="0"/>
          <w:sz w:val="24"/>
        </w:rPr>
        <w:t>4）本月采取的措施及效果。</w:t>
      </w:r>
    </w:p>
    <w:p w14:paraId="2A19BED8">
      <w:pPr>
        <w:topLinePunct/>
        <w:adjustRightInd w:val="0"/>
        <w:snapToGrid w:val="0"/>
        <w:spacing w:line="480" w:lineRule="exact"/>
        <w:ind w:firstLine="496" w:firstLineChars="200"/>
        <w:rPr>
          <w:snapToGrid w:val="0"/>
          <w:spacing w:val="4"/>
          <w:kern w:val="0"/>
          <w:sz w:val="24"/>
        </w:rPr>
      </w:pPr>
      <w:r>
        <w:rPr>
          <w:snapToGrid w:val="0"/>
          <w:spacing w:val="4"/>
          <w:kern w:val="0"/>
          <w:sz w:val="24"/>
        </w:rPr>
        <w:t>（6）合同其他事项的处理情况，包括：</w:t>
      </w:r>
    </w:p>
    <w:p w14:paraId="55CCD966">
      <w:pPr>
        <w:topLinePunct/>
        <w:adjustRightInd w:val="0"/>
        <w:snapToGrid w:val="0"/>
        <w:spacing w:line="480" w:lineRule="exact"/>
        <w:ind w:firstLine="496" w:firstLineChars="200"/>
        <w:rPr>
          <w:snapToGrid w:val="0"/>
          <w:spacing w:val="4"/>
          <w:kern w:val="0"/>
          <w:sz w:val="24"/>
        </w:rPr>
      </w:pPr>
      <w:r>
        <w:rPr>
          <w:snapToGrid w:val="0"/>
          <w:spacing w:val="4"/>
          <w:kern w:val="0"/>
          <w:sz w:val="24"/>
        </w:rPr>
        <w:t>1）工程变更；</w:t>
      </w:r>
    </w:p>
    <w:p w14:paraId="47CB7CD2">
      <w:pPr>
        <w:topLinePunct/>
        <w:adjustRightInd w:val="0"/>
        <w:snapToGrid w:val="0"/>
        <w:spacing w:line="480" w:lineRule="exact"/>
        <w:ind w:firstLine="496" w:firstLineChars="200"/>
        <w:rPr>
          <w:snapToGrid w:val="0"/>
          <w:spacing w:val="4"/>
          <w:kern w:val="0"/>
          <w:sz w:val="24"/>
        </w:rPr>
      </w:pPr>
      <w:r>
        <w:rPr>
          <w:snapToGrid w:val="0"/>
          <w:spacing w:val="4"/>
          <w:kern w:val="0"/>
          <w:sz w:val="24"/>
        </w:rPr>
        <w:t>2）工程延期；</w:t>
      </w:r>
    </w:p>
    <w:p w14:paraId="7BB01B74">
      <w:pPr>
        <w:topLinePunct/>
        <w:adjustRightInd w:val="0"/>
        <w:snapToGrid w:val="0"/>
        <w:spacing w:line="480" w:lineRule="exact"/>
        <w:ind w:firstLine="496" w:firstLineChars="200"/>
        <w:rPr>
          <w:snapToGrid w:val="0"/>
          <w:spacing w:val="4"/>
          <w:kern w:val="0"/>
          <w:sz w:val="24"/>
        </w:rPr>
      </w:pPr>
      <w:r>
        <w:rPr>
          <w:snapToGrid w:val="0"/>
          <w:spacing w:val="4"/>
          <w:kern w:val="0"/>
          <w:sz w:val="24"/>
        </w:rPr>
        <w:t>3）费用索赔。</w:t>
      </w:r>
    </w:p>
    <w:p w14:paraId="7F852028">
      <w:pPr>
        <w:topLinePunct/>
        <w:adjustRightInd w:val="0"/>
        <w:snapToGrid w:val="0"/>
        <w:spacing w:line="480" w:lineRule="exact"/>
        <w:ind w:firstLine="496" w:firstLineChars="200"/>
        <w:rPr>
          <w:snapToGrid w:val="0"/>
          <w:spacing w:val="4"/>
          <w:kern w:val="0"/>
          <w:sz w:val="24"/>
        </w:rPr>
      </w:pPr>
      <w:r>
        <w:rPr>
          <w:snapToGrid w:val="0"/>
          <w:spacing w:val="4"/>
          <w:kern w:val="0"/>
          <w:sz w:val="24"/>
        </w:rPr>
        <w:t>（7）本月职业健康安全及环境等情况的综合评价及相关意见或建议。</w:t>
      </w:r>
    </w:p>
    <w:p w14:paraId="40D81952">
      <w:pPr>
        <w:topLinePunct/>
        <w:adjustRightInd w:val="0"/>
        <w:snapToGrid w:val="0"/>
        <w:spacing w:line="480" w:lineRule="exact"/>
        <w:ind w:firstLine="496" w:firstLineChars="200"/>
        <w:rPr>
          <w:snapToGrid w:val="0"/>
          <w:spacing w:val="4"/>
          <w:kern w:val="0"/>
          <w:sz w:val="24"/>
        </w:rPr>
      </w:pPr>
      <w:r>
        <w:rPr>
          <w:snapToGrid w:val="0"/>
          <w:spacing w:val="4"/>
          <w:kern w:val="0"/>
          <w:sz w:val="24"/>
        </w:rPr>
        <w:t>（8）本月监理工作小结，包括：</w:t>
      </w:r>
    </w:p>
    <w:p w14:paraId="7E89461A">
      <w:pPr>
        <w:topLinePunct/>
        <w:adjustRightInd w:val="0"/>
        <w:snapToGrid w:val="0"/>
        <w:spacing w:line="480" w:lineRule="exact"/>
        <w:ind w:firstLine="496" w:firstLineChars="200"/>
        <w:rPr>
          <w:snapToGrid w:val="0"/>
          <w:spacing w:val="4"/>
          <w:kern w:val="0"/>
          <w:sz w:val="24"/>
        </w:rPr>
      </w:pPr>
      <w:r>
        <w:rPr>
          <w:snapToGrid w:val="0"/>
          <w:spacing w:val="4"/>
          <w:kern w:val="0"/>
          <w:sz w:val="24"/>
        </w:rPr>
        <w:t>1）对本月进度、质量、工程款支付、安全文明施工等方面情况的综合评价；</w:t>
      </w:r>
    </w:p>
    <w:p w14:paraId="126BBB7D">
      <w:pPr>
        <w:topLinePunct/>
        <w:adjustRightInd w:val="0"/>
        <w:snapToGrid w:val="0"/>
        <w:spacing w:line="480" w:lineRule="exact"/>
        <w:ind w:firstLine="496" w:firstLineChars="200"/>
        <w:rPr>
          <w:snapToGrid w:val="0"/>
          <w:spacing w:val="4"/>
          <w:kern w:val="0"/>
          <w:sz w:val="24"/>
        </w:rPr>
      </w:pPr>
      <w:r>
        <w:rPr>
          <w:snapToGrid w:val="0"/>
          <w:spacing w:val="4"/>
          <w:kern w:val="0"/>
          <w:sz w:val="24"/>
        </w:rPr>
        <w:t>2）本月监理工作情况；</w:t>
      </w:r>
    </w:p>
    <w:p w14:paraId="6DC4F9AF">
      <w:pPr>
        <w:topLinePunct/>
        <w:adjustRightInd w:val="0"/>
        <w:snapToGrid w:val="0"/>
        <w:spacing w:line="480" w:lineRule="exact"/>
        <w:ind w:firstLine="496" w:firstLineChars="200"/>
        <w:rPr>
          <w:snapToGrid w:val="0"/>
          <w:spacing w:val="4"/>
          <w:kern w:val="0"/>
          <w:sz w:val="24"/>
        </w:rPr>
      </w:pPr>
      <w:r>
        <w:rPr>
          <w:snapToGrid w:val="0"/>
          <w:spacing w:val="4"/>
          <w:kern w:val="0"/>
          <w:sz w:val="24"/>
        </w:rPr>
        <w:t>3）有关本工程的意见和建议；</w:t>
      </w:r>
    </w:p>
    <w:p w14:paraId="07432027">
      <w:pPr>
        <w:topLinePunct/>
        <w:adjustRightInd w:val="0"/>
        <w:snapToGrid w:val="0"/>
        <w:spacing w:line="480" w:lineRule="exact"/>
        <w:ind w:firstLine="496" w:firstLineChars="200"/>
        <w:rPr>
          <w:snapToGrid w:val="0"/>
          <w:spacing w:val="4"/>
          <w:kern w:val="0"/>
          <w:sz w:val="24"/>
        </w:rPr>
      </w:pPr>
      <w:r>
        <w:rPr>
          <w:snapToGrid w:val="0"/>
          <w:spacing w:val="4"/>
          <w:kern w:val="0"/>
          <w:sz w:val="24"/>
        </w:rPr>
        <w:t>4）下月监理工作的重点。</w:t>
      </w:r>
    </w:p>
    <w:p w14:paraId="5E122FA2">
      <w:pPr>
        <w:topLinePunct/>
        <w:adjustRightInd w:val="0"/>
        <w:snapToGrid w:val="0"/>
        <w:spacing w:line="480" w:lineRule="exact"/>
        <w:ind w:firstLine="496" w:firstLineChars="200"/>
        <w:rPr>
          <w:snapToGrid w:val="0"/>
          <w:spacing w:val="4"/>
          <w:kern w:val="0"/>
          <w:sz w:val="24"/>
        </w:rPr>
      </w:pPr>
      <w:r>
        <w:rPr>
          <w:snapToGrid w:val="0"/>
          <w:spacing w:val="4"/>
          <w:kern w:val="0"/>
          <w:sz w:val="24"/>
        </w:rPr>
        <w:t>监理月报应由总监理工程师组织编制及签认，签认后报委托人和本监理人总部。</w:t>
      </w:r>
    </w:p>
    <w:p w14:paraId="3E07E98B">
      <w:pPr>
        <w:topLinePunct/>
        <w:adjustRightInd w:val="0"/>
        <w:snapToGrid w:val="0"/>
        <w:spacing w:line="480" w:lineRule="exact"/>
        <w:ind w:firstLine="498" w:firstLineChars="200"/>
        <w:outlineLvl w:val="4"/>
        <w:rPr>
          <w:b/>
          <w:snapToGrid w:val="0"/>
          <w:spacing w:val="4"/>
          <w:kern w:val="0"/>
          <w:sz w:val="24"/>
        </w:rPr>
      </w:pPr>
      <w:r>
        <w:rPr>
          <w:b/>
          <w:snapToGrid w:val="0"/>
          <w:spacing w:val="4"/>
          <w:kern w:val="0"/>
          <w:sz w:val="24"/>
        </w:rPr>
        <w:t>4.2.</w:t>
      </w:r>
      <w:r>
        <w:rPr>
          <w:rFonts w:hint="eastAsia"/>
          <w:b/>
          <w:snapToGrid w:val="0"/>
          <w:spacing w:val="4"/>
          <w:kern w:val="0"/>
          <w:sz w:val="24"/>
        </w:rPr>
        <w:t>4</w:t>
      </w:r>
      <w:r>
        <w:rPr>
          <w:b/>
          <w:snapToGrid w:val="0"/>
          <w:spacing w:val="4"/>
          <w:kern w:val="0"/>
          <w:sz w:val="24"/>
        </w:rPr>
        <w:t>.11  施工阶段的其他监理工作</w:t>
      </w:r>
    </w:p>
    <w:p w14:paraId="022D9821">
      <w:pPr>
        <w:topLinePunct/>
        <w:adjustRightInd w:val="0"/>
        <w:snapToGrid w:val="0"/>
        <w:spacing w:line="480" w:lineRule="exact"/>
        <w:ind w:firstLine="496" w:firstLineChars="200"/>
        <w:rPr>
          <w:snapToGrid w:val="0"/>
          <w:spacing w:val="4"/>
          <w:kern w:val="0"/>
          <w:sz w:val="24"/>
        </w:rPr>
      </w:pPr>
      <w:r>
        <w:rPr>
          <w:snapToGrid w:val="0"/>
          <w:spacing w:val="4"/>
          <w:kern w:val="0"/>
          <w:sz w:val="24"/>
        </w:rPr>
        <w:t>（1）工地例会</w:t>
      </w:r>
    </w:p>
    <w:p w14:paraId="2AECE910">
      <w:pPr>
        <w:topLinePunct/>
        <w:adjustRightInd w:val="0"/>
        <w:snapToGrid w:val="0"/>
        <w:spacing w:line="480" w:lineRule="exact"/>
        <w:ind w:firstLine="496" w:firstLineChars="200"/>
        <w:rPr>
          <w:snapToGrid w:val="0"/>
          <w:spacing w:val="4"/>
          <w:kern w:val="0"/>
          <w:sz w:val="24"/>
        </w:rPr>
      </w:pPr>
      <w:r>
        <w:rPr>
          <w:snapToGrid w:val="0"/>
          <w:spacing w:val="4"/>
          <w:kern w:val="0"/>
          <w:sz w:val="24"/>
        </w:rPr>
        <w:t>1）在施工过程中，总监理工程师应定期主持召开工地例会。会议纪要应由项目监理机构负责起草，并经与会各方代表会签。</w:t>
      </w:r>
    </w:p>
    <w:p w14:paraId="7A7738B7">
      <w:pPr>
        <w:topLinePunct/>
        <w:adjustRightInd w:val="0"/>
        <w:snapToGrid w:val="0"/>
        <w:spacing w:line="480" w:lineRule="exact"/>
        <w:ind w:firstLine="496" w:firstLineChars="200"/>
        <w:rPr>
          <w:snapToGrid w:val="0"/>
          <w:spacing w:val="4"/>
          <w:kern w:val="0"/>
          <w:sz w:val="24"/>
        </w:rPr>
      </w:pPr>
      <w:r>
        <w:rPr>
          <w:snapToGrid w:val="0"/>
          <w:spacing w:val="4"/>
          <w:kern w:val="0"/>
          <w:sz w:val="24"/>
        </w:rPr>
        <w:t>2）工地例会应包括以下主要内容：</w:t>
      </w:r>
    </w:p>
    <w:p w14:paraId="0B4FA9C2">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①</w:t>
      </w:r>
      <w:r>
        <w:rPr>
          <w:snapToGrid w:val="0"/>
          <w:spacing w:val="4"/>
          <w:kern w:val="0"/>
          <w:sz w:val="24"/>
        </w:rPr>
        <w:t xml:space="preserve"> 检查上次例会议定事项的落实情况，分析未完事项原因；</w:t>
      </w:r>
    </w:p>
    <w:p w14:paraId="790E446E">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②</w:t>
      </w:r>
      <w:r>
        <w:rPr>
          <w:snapToGrid w:val="0"/>
          <w:spacing w:val="4"/>
          <w:kern w:val="0"/>
          <w:sz w:val="24"/>
        </w:rPr>
        <w:t xml:space="preserve"> 检查分析工程项目进度计划完成情况，提出下一阶段进度目标及其落实措施；</w:t>
      </w:r>
    </w:p>
    <w:p w14:paraId="746054F9">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③</w:t>
      </w:r>
      <w:r>
        <w:rPr>
          <w:snapToGrid w:val="0"/>
          <w:spacing w:val="4"/>
          <w:kern w:val="0"/>
          <w:sz w:val="24"/>
        </w:rPr>
        <w:t xml:space="preserve"> 检查分析工程项目质量状况，针对存在的质量问题提出改进措施；</w:t>
      </w:r>
    </w:p>
    <w:p w14:paraId="0776AB22">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④</w:t>
      </w:r>
      <w:r>
        <w:rPr>
          <w:snapToGrid w:val="0"/>
          <w:spacing w:val="4"/>
          <w:kern w:val="0"/>
          <w:sz w:val="24"/>
        </w:rPr>
        <w:t xml:space="preserve"> 检查工程量核定及工程款支付情况；</w:t>
      </w:r>
    </w:p>
    <w:p w14:paraId="1AABD51E">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⑤</w:t>
      </w:r>
      <w:r>
        <w:rPr>
          <w:snapToGrid w:val="0"/>
          <w:spacing w:val="4"/>
          <w:kern w:val="0"/>
          <w:sz w:val="24"/>
        </w:rPr>
        <w:t xml:space="preserve"> 检讨工作联系单的相关内容的执行情况，解决需要协调的有关事项；</w:t>
      </w:r>
    </w:p>
    <w:p w14:paraId="49BD01E8">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⑥</w:t>
      </w:r>
      <w:r>
        <w:rPr>
          <w:snapToGrid w:val="0"/>
          <w:spacing w:val="4"/>
          <w:kern w:val="0"/>
          <w:sz w:val="24"/>
        </w:rPr>
        <w:t xml:space="preserve"> 本月职业健康安全及环境、文明施工等方面的综合情况，解决需要协调的有关事项。</w:t>
      </w:r>
    </w:p>
    <w:p w14:paraId="7272CFF0">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⑦</w:t>
      </w:r>
      <w:r>
        <w:rPr>
          <w:snapToGrid w:val="0"/>
          <w:spacing w:val="4"/>
          <w:kern w:val="0"/>
          <w:sz w:val="24"/>
        </w:rPr>
        <w:t xml:space="preserve"> 其他有关事宜。</w:t>
      </w:r>
    </w:p>
    <w:p w14:paraId="69982C9B">
      <w:pPr>
        <w:topLinePunct/>
        <w:adjustRightInd w:val="0"/>
        <w:snapToGrid w:val="0"/>
        <w:spacing w:line="480" w:lineRule="exact"/>
        <w:ind w:firstLine="496" w:firstLineChars="200"/>
        <w:rPr>
          <w:snapToGrid w:val="0"/>
          <w:spacing w:val="4"/>
          <w:kern w:val="0"/>
          <w:sz w:val="24"/>
        </w:rPr>
      </w:pPr>
      <w:r>
        <w:rPr>
          <w:snapToGrid w:val="0"/>
          <w:spacing w:val="4"/>
          <w:kern w:val="0"/>
          <w:sz w:val="24"/>
        </w:rPr>
        <w:t>3）总监理工程师或专业监理工程师应根据需要及时组织专题会议，解决施工过程中的各种专项问题。</w:t>
      </w:r>
    </w:p>
    <w:p w14:paraId="71643D60">
      <w:pPr>
        <w:topLinePunct/>
        <w:adjustRightInd w:val="0"/>
        <w:snapToGrid w:val="0"/>
        <w:spacing w:line="480" w:lineRule="exact"/>
        <w:ind w:firstLine="496" w:firstLineChars="200"/>
        <w:rPr>
          <w:snapToGrid w:val="0"/>
          <w:spacing w:val="4"/>
          <w:kern w:val="0"/>
          <w:sz w:val="24"/>
        </w:rPr>
      </w:pPr>
      <w:r>
        <w:rPr>
          <w:snapToGrid w:val="0"/>
          <w:spacing w:val="4"/>
          <w:kern w:val="0"/>
          <w:sz w:val="24"/>
        </w:rPr>
        <w:t>4）对于工地例会上提出的有关设计问题，监理人应积极把关控制，不应随意对相关问题做出定论。工地例会上的相关结论必须以设计变更的方式确定后方可实施。</w:t>
      </w:r>
    </w:p>
    <w:p w14:paraId="7035FFC4">
      <w:pPr>
        <w:topLinePunct/>
        <w:adjustRightInd w:val="0"/>
        <w:snapToGrid w:val="0"/>
        <w:spacing w:line="480" w:lineRule="exact"/>
        <w:ind w:firstLine="496" w:firstLineChars="200"/>
        <w:rPr>
          <w:snapToGrid w:val="0"/>
          <w:spacing w:val="4"/>
          <w:kern w:val="0"/>
          <w:sz w:val="24"/>
        </w:rPr>
      </w:pPr>
      <w:r>
        <w:rPr>
          <w:snapToGrid w:val="0"/>
          <w:spacing w:val="4"/>
          <w:kern w:val="0"/>
          <w:sz w:val="24"/>
        </w:rPr>
        <w:t>5）监理人需参加由委托人组织的设计例会，提出合理化建议和配合完善设计变更手续等工作。</w:t>
      </w:r>
    </w:p>
    <w:p w14:paraId="7109532D">
      <w:pPr>
        <w:topLinePunct/>
        <w:adjustRightInd w:val="0"/>
        <w:snapToGrid w:val="0"/>
        <w:spacing w:line="480" w:lineRule="exact"/>
        <w:ind w:firstLine="496" w:firstLineChars="200"/>
        <w:rPr>
          <w:snapToGrid w:val="0"/>
          <w:spacing w:val="4"/>
          <w:kern w:val="0"/>
          <w:sz w:val="24"/>
        </w:rPr>
      </w:pPr>
      <w:r>
        <w:rPr>
          <w:snapToGrid w:val="0"/>
          <w:spacing w:val="4"/>
          <w:kern w:val="0"/>
          <w:sz w:val="24"/>
        </w:rPr>
        <w:t>（2）工程暂停及复工的相关工作</w:t>
      </w:r>
    </w:p>
    <w:p w14:paraId="0E17381C">
      <w:pPr>
        <w:topLinePunct/>
        <w:adjustRightInd w:val="0"/>
        <w:snapToGrid w:val="0"/>
        <w:spacing w:line="480" w:lineRule="exact"/>
        <w:ind w:firstLine="496" w:firstLineChars="200"/>
        <w:rPr>
          <w:snapToGrid w:val="0"/>
          <w:spacing w:val="4"/>
          <w:kern w:val="0"/>
          <w:sz w:val="24"/>
        </w:rPr>
      </w:pPr>
      <w:r>
        <w:rPr>
          <w:snapToGrid w:val="0"/>
          <w:spacing w:val="4"/>
          <w:kern w:val="0"/>
          <w:sz w:val="24"/>
        </w:rPr>
        <w:t>1）总监理工程师在签发工程暂停令时，应根据暂停工程的影响范围和影响程度，按照施工合同和委托监理合同的约定签发。</w:t>
      </w:r>
    </w:p>
    <w:p w14:paraId="046CB59D">
      <w:pPr>
        <w:topLinePunct/>
        <w:adjustRightInd w:val="0"/>
        <w:snapToGrid w:val="0"/>
        <w:spacing w:line="480" w:lineRule="exact"/>
        <w:ind w:firstLine="496" w:firstLineChars="200"/>
        <w:rPr>
          <w:snapToGrid w:val="0"/>
          <w:spacing w:val="4"/>
          <w:kern w:val="0"/>
          <w:sz w:val="24"/>
        </w:rPr>
      </w:pPr>
      <w:r>
        <w:rPr>
          <w:snapToGrid w:val="0"/>
          <w:spacing w:val="4"/>
          <w:kern w:val="0"/>
          <w:sz w:val="24"/>
        </w:rPr>
        <w:t>2）在发生下列情况之一时，总监理工程师可签发工程暂停令：</w:t>
      </w:r>
    </w:p>
    <w:p w14:paraId="589E2783">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①</w:t>
      </w:r>
      <w:r>
        <w:rPr>
          <w:snapToGrid w:val="0"/>
          <w:spacing w:val="4"/>
          <w:kern w:val="0"/>
          <w:sz w:val="24"/>
        </w:rPr>
        <w:t xml:space="preserve"> 委托人要求暂停施工且工程需要暂停施工；</w:t>
      </w:r>
    </w:p>
    <w:p w14:paraId="452092EE">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②</w:t>
      </w:r>
      <w:r>
        <w:rPr>
          <w:snapToGrid w:val="0"/>
          <w:spacing w:val="4"/>
          <w:kern w:val="0"/>
          <w:sz w:val="24"/>
        </w:rPr>
        <w:t xml:space="preserve"> 为了保证工程质量而需要进行停工处理；</w:t>
      </w:r>
    </w:p>
    <w:p w14:paraId="73F76C8D">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③</w:t>
      </w:r>
      <w:r>
        <w:rPr>
          <w:snapToGrid w:val="0"/>
          <w:spacing w:val="4"/>
          <w:kern w:val="0"/>
          <w:sz w:val="24"/>
        </w:rPr>
        <w:t xml:space="preserve"> 施工出现了安全隐患，总监理工程师认为有必要停工以消除隐患；</w:t>
      </w:r>
    </w:p>
    <w:p w14:paraId="6342DC81">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④</w:t>
      </w:r>
      <w:r>
        <w:rPr>
          <w:snapToGrid w:val="0"/>
          <w:spacing w:val="4"/>
          <w:kern w:val="0"/>
          <w:sz w:val="24"/>
        </w:rPr>
        <w:t xml:space="preserve"> 发生了必须暂时停止施工的紧急事件；</w:t>
      </w:r>
    </w:p>
    <w:p w14:paraId="40D8B446">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⑤</w:t>
      </w:r>
      <w:r>
        <w:rPr>
          <w:snapToGrid w:val="0"/>
          <w:spacing w:val="4"/>
          <w:kern w:val="0"/>
          <w:sz w:val="24"/>
        </w:rPr>
        <w:t xml:space="preserve"> 承包人未经许可擅自施工或拒绝项目监理机构管理。</w:t>
      </w:r>
    </w:p>
    <w:p w14:paraId="2015487A">
      <w:pPr>
        <w:topLinePunct/>
        <w:adjustRightInd w:val="0"/>
        <w:snapToGrid w:val="0"/>
        <w:spacing w:line="480" w:lineRule="exact"/>
        <w:ind w:firstLine="496" w:firstLineChars="200"/>
        <w:rPr>
          <w:snapToGrid w:val="0"/>
          <w:spacing w:val="4"/>
          <w:kern w:val="0"/>
          <w:sz w:val="24"/>
        </w:rPr>
      </w:pPr>
      <w:r>
        <w:rPr>
          <w:snapToGrid w:val="0"/>
          <w:spacing w:val="4"/>
          <w:kern w:val="0"/>
          <w:sz w:val="24"/>
        </w:rPr>
        <w:t>3）总监理工程师在签发工程暂停令时，应根据停工原因的影响范围和影响程度，确定工程项目停工范围。</w:t>
      </w:r>
    </w:p>
    <w:p w14:paraId="0E77ED41">
      <w:pPr>
        <w:topLinePunct/>
        <w:adjustRightInd w:val="0"/>
        <w:snapToGrid w:val="0"/>
        <w:spacing w:line="480" w:lineRule="exact"/>
        <w:ind w:firstLine="496" w:firstLineChars="200"/>
        <w:rPr>
          <w:snapToGrid w:val="0"/>
          <w:spacing w:val="4"/>
          <w:kern w:val="0"/>
          <w:sz w:val="24"/>
        </w:rPr>
      </w:pPr>
      <w:r>
        <w:rPr>
          <w:snapToGrid w:val="0"/>
          <w:spacing w:val="4"/>
          <w:kern w:val="0"/>
          <w:sz w:val="24"/>
        </w:rPr>
        <w:t>4）由于非承包人且非</w:t>
      </w:r>
      <w:r>
        <w:rPr>
          <w:snapToGrid w:val="0"/>
          <w:spacing w:val="4"/>
          <w:kern w:val="0"/>
          <w:sz w:val="24"/>
          <w:u w:val="wave"/>
        </w:rPr>
        <w:t>上述第2）-</w:t>
      </w:r>
      <w:r>
        <w:rPr>
          <w:rFonts w:hint="eastAsia" w:ascii="宋体" w:hAnsi="宋体" w:cs="宋体"/>
          <w:snapToGrid w:val="0"/>
          <w:spacing w:val="4"/>
          <w:kern w:val="0"/>
          <w:sz w:val="24"/>
          <w:u w:val="wave"/>
        </w:rPr>
        <w:t>②</w:t>
      </w:r>
      <w:r>
        <w:rPr>
          <w:snapToGrid w:val="0"/>
          <w:spacing w:val="4"/>
          <w:kern w:val="0"/>
          <w:sz w:val="24"/>
          <w:u w:val="wave"/>
        </w:rPr>
        <w:t>、</w:t>
      </w:r>
      <w:r>
        <w:rPr>
          <w:rFonts w:hint="eastAsia" w:ascii="宋体" w:hAnsi="宋体" w:cs="宋体"/>
          <w:snapToGrid w:val="0"/>
          <w:spacing w:val="4"/>
          <w:kern w:val="0"/>
          <w:sz w:val="24"/>
          <w:u w:val="wave"/>
        </w:rPr>
        <w:t>③</w:t>
      </w:r>
      <w:r>
        <w:rPr>
          <w:snapToGrid w:val="0"/>
          <w:spacing w:val="4"/>
          <w:kern w:val="0"/>
          <w:sz w:val="24"/>
          <w:u w:val="wave"/>
        </w:rPr>
        <w:t>、</w:t>
      </w:r>
      <w:r>
        <w:rPr>
          <w:rFonts w:hint="eastAsia" w:ascii="宋体" w:hAnsi="宋体" w:cs="宋体"/>
          <w:snapToGrid w:val="0"/>
          <w:spacing w:val="4"/>
          <w:kern w:val="0"/>
          <w:sz w:val="24"/>
          <w:u w:val="wave"/>
        </w:rPr>
        <w:t>④</w:t>
      </w:r>
      <w:r>
        <w:rPr>
          <w:snapToGrid w:val="0"/>
          <w:spacing w:val="4"/>
          <w:kern w:val="0"/>
          <w:sz w:val="24"/>
          <w:u w:val="wave"/>
        </w:rPr>
        <w:t>、</w:t>
      </w:r>
      <w:r>
        <w:rPr>
          <w:rFonts w:hint="eastAsia" w:ascii="宋体" w:hAnsi="宋体" w:cs="宋体"/>
          <w:snapToGrid w:val="0"/>
          <w:spacing w:val="4"/>
          <w:kern w:val="0"/>
          <w:sz w:val="24"/>
          <w:u w:val="wave"/>
        </w:rPr>
        <w:t>⑤</w:t>
      </w:r>
      <w:r>
        <w:rPr>
          <w:snapToGrid w:val="0"/>
          <w:spacing w:val="4"/>
          <w:kern w:val="0"/>
          <w:sz w:val="24"/>
          <w:u w:val="wave"/>
        </w:rPr>
        <w:t>项</w:t>
      </w:r>
      <w:r>
        <w:rPr>
          <w:snapToGrid w:val="0"/>
          <w:spacing w:val="4"/>
          <w:kern w:val="0"/>
          <w:sz w:val="24"/>
        </w:rPr>
        <w:t>原因时，总监理工程师在签发工程暂停令之前，应就有关工期和费用等事宜与承包人进行协商。</w:t>
      </w:r>
    </w:p>
    <w:p w14:paraId="29A6E03C">
      <w:pPr>
        <w:topLinePunct/>
        <w:adjustRightInd w:val="0"/>
        <w:snapToGrid w:val="0"/>
        <w:spacing w:line="480" w:lineRule="exact"/>
        <w:ind w:firstLine="496" w:firstLineChars="200"/>
        <w:rPr>
          <w:snapToGrid w:val="0"/>
          <w:spacing w:val="4"/>
          <w:kern w:val="0"/>
          <w:sz w:val="24"/>
        </w:rPr>
      </w:pPr>
      <w:r>
        <w:rPr>
          <w:snapToGrid w:val="0"/>
          <w:spacing w:val="4"/>
          <w:kern w:val="0"/>
          <w:sz w:val="24"/>
        </w:rPr>
        <w:t>5）由于委托人原因或其他非承包人原因导致工程暂停时，项目监理机构应如实记录所发生的实际情况。总监理工程师应在施工暂停原因消失、具备复工条件时，及时签署工程复工报审表，指令承包人继续施工。</w:t>
      </w:r>
    </w:p>
    <w:p w14:paraId="232E83AC">
      <w:pPr>
        <w:topLinePunct/>
        <w:adjustRightInd w:val="0"/>
        <w:snapToGrid w:val="0"/>
        <w:spacing w:line="480" w:lineRule="exact"/>
        <w:ind w:firstLine="496" w:firstLineChars="200"/>
        <w:rPr>
          <w:snapToGrid w:val="0"/>
          <w:spacing w:val="4"/>
          <w:kern w:val="0"/>
          <w:sz w:val="24"/>
        </w:rPr>
      </w:pPr>
      <w:r>
        <w:rPr>
          <w:snapToGrid w:val="0"/>
          <w:spacing w:val="4"/>
          <w:kern w:val="0"/>
          <w:sz w:val="24"/>
        </w:rPr>
        <w:t>6）由于承包人原因导致工程暂停，在具备恢复施工条件时，项目监理机构应审查承包人报送的复工申请及有关材料，同意后由总监理工程师签署工程复工报审表，指令承包人继续施工。</w:t>
      </w:r>
    </w:p>
    <w:p w14:paraId="06B8C489">
      <w:pPr>
        <w:topLinePunct/>
        <w:adjustRightInd w:val="0"/>
        <w:snapToGrid w:val="0"/>
        <w:spacing w:line="480" w:lineRule="exact"/>
        <w:ind w:firstLine="496" w:firstLineChars="200"/>
        <w:rPr>
          <w:snapToGrid w:val="0"/>
          <w:spacing w:val="4"/>
          <w:kern w:val="0"/>
          <w:sz w:val="24"/>
        </w:rPr>
      </w:pPr>
      <w:r>
        <w:rPr>
          <w:snapToGrid w:val="0"/>
          <w:spacing w:val="4"/>
          <w:kern w:val="0"/>
          <w:sz w:val="24"/>
        </w:rPr>
        <w:t>7）总监理工程师在签发工程暂停令到签发工程复工报审表之间的时间内，应会同有关各方按照施工合同的约定，处理因工程暂停引起的与工期、费用等有关的问题。</w:t>
      </w:r>
    </w:p>
    <w:p w14:paraId="4ACD5A1B">
      <w:pPr>
        <w:topLinePunct/>
        <w:adjustRightInd w:val="0"/>
        <w:snapToGrid w:val="0"/>
        <w:spacing w:line="480" w:lineRule="exact"/>
        <w:ind w:firstLine="496" w:firstLineChars="200"/>
        <w:rPr>
          <w:snapToGrid w:val="0"/>
          <w:spacing w:val="4"/>
          <w:kern w:val="0"/>
          <w:sz w:val="24"/>
        </w:rPr>
      </w:pPr>
      <w:r>
        <w:rPr>
          <w:snapToGrid w:val="0"/>
          <w:spacing w:val="4"/>
          <w:kern w:val="0"/>
          <w:sz w:val="24"/>
        </w:rPr>
        <w:t>（3）工程延期及工程延误的处理工作</w:t>
      </w:r>
    </w:p>
    <w:p w14:paraId="7F6D21C1">
      <w:pPr>
        <w:topLinePunct/>
        <w:adjustRightInd w:val="0"/>
        <w:snapToGrid w:val="0"/>
        <w:spacing w:line="480" w:lineRule="exact"/>
        <w:ind w:firstLine="496" w:firstLineChars="200"/>
        <w:rPr>
          <w:snapToGrid w:val="0"/>
          <w:spacing w:val="4"/>
          <w:kern w:val="0"/>
          <w:sz w:val="24"/>
        </w:rPr>
      </w:pPr>
      <w:r>
        <w:rPr>
          <w:snapToGrid w:val="0"/>
          <w:spacing w:val="4"/>
          <w:kern w:val="0"/>
          <w:sz w:val="24"/>
        </w:rPr>
        <w:t>1）当承包人提出工程延期要求符合施工合同文件的规定条件时，项目监理机构应予以受理。</w:t>
      </w:r>
    </w:p>
    <w:p w14:paraId="20B12B3B">
      <w:pPr>
        <w:topLinePunct/>
        <w:adjustRightInd w:val="0"/>
        <w:snapToGrid w:val="0"/>
        <w:spacing w:line="480" w:lineRule="exact"/>
        <w:ind w:firstLine="496" w:firstLineChars="200"/>
        <w:rPr>
          <w:snapToGrid w:val="0"/>
          <w:spacing w:val="4"/>
          <w:kern w:val="0"/>
          <w:sz w:val="24"/>
        </w:rPr>
      </w:pPr>
      <w:r>
        <w:rPr>
          <w:snapToGrid w:val="0"/>
          <w:spacing w:val="4"/>
          <w:kern w:val="0"/>
          <w:sz w:val="24"/>
        </w:rPr>
        <w:t>2）当影响工期事件具有持续性时，项目监理机构可在收到承包人提交的阶段性工程延期申请表并经过审查后，先由总监理工程师签署工程临时延期审批表并通报委托人。当承包人提交最终的工程延期申请表后，项目监理机构应复查工程延期及临时延期情况，并由总监理工程师签署工程最终延期审批表。</w:t>
      </w:r>
    </w:p>
    <w:p w14:paraId="5560EFC6">
      <w:pPr>
        <w:topLinePunct/>
        <w:adjustRightInd w:val="0"/>
        <w:snapToGrid w:val="0"/>
        <w:spacing w:line="480" w:lineRule="exact"/>
        <w:ind w:firstLine="496" w:firstLineChars="200"/>
        <w:rPr>
          <w:snapToGrid w:val="0"/>
          <w:spacing w:val="4"/>
          <w:kern w:val="0"/>
          <w:sz w:val="24"/>
        </w:rPr>
      </w:pPr>
      <w:r>
        <w:rPr>
          <w:snapToGrid w:val="0"/>
          <w:spacing w:val="4"/>
          <w:kern w:val="0"/>
          <w:sz w:val="24"/>
        </w:rPr>
        <w:t>3）项目监理机构在作出临时工程延期批准或最终的工程延期批准之前，均应与委托人和承包人进行协商。</w:t>
      </w:r>
    </w:p>
    <w:p w14:paraId="3B5918CF">
      <w:pPr>
        <w:topLinePunct/>
        <w:adjustRightInd w:val="0"/>
        <w:snapToGrid w:val="0"/>
        <w:spacing w:line="480" w:lineRule="exact"/>
        <w:ind w:firstLine="496" w:firstLineChars="200"/>
        <w:rPr>
          <w:snapToGrid w:val="0"/>
          <w:spacing w:val="4"/>
          <w:kern w:val="0"/>
          <w:sz w:val="24"/>
        </w:rPr>
      </w:pPr>
      <w:r>
        <w:rPr>
          <w:snapToGrid w:val="0"/>
          <w:spacing w:val="4"/>
          <w:kern w:val="0"/>
          <w:sz w:val="24"/>
        </w:rPr>
        <w:t>4）项目监理机构在审查工程延期时，应依下列情况确定批准工程延期的时间：</w:t>
      </w:r>
    </w:p>
    <w:p w14:paraId="2824F23B">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①</w:t>
      </w:r>
      <w:r>
        <w:rPr>
          <w:snapToGrid w:val="0"/>
          <w:spacing w:val="4"/>
          <w:kern w:val="0"/>
          <w:sz w:val="24"/>
        </w:rPr>
        <w:t xml:space="preserve"> 施工合同中有关工程延期的约定；</w:t>
      </w:r>
    </w:p>
    <w:p w14:paraId="0482E5BA">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②</w:t>
      </w:r>
      <w:r>
        <w:rPr>
          <w:snapToGrid w:val="0"/>
          <w:spacing w:val="4"/>
          <w:kern w:val="0"/>
          <w:sz w:val="24"/>
        </w:rPr>
        <w:t xml:space="preserve"> 工期拖延和影响工期事件的事实和程度；</w:t>
      </w:r>
    </w:p>
    <w:p w14:paraId="41B12DDF">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③</w:t>
      </w:r>
      <w:r>
        <w:rPr>
          <w:snapToGrid w:val="0"/>
          <w:spacing w:val="4"/>
          <w:kern w:val="0"/>
          <w:sz w:val="24"/>
        </w:rPr>
        <w:t xml:space="preserve"> 影响工期事件对工期影响的量化程度。</w:t>
      </w:r>
    </w:p>
    <w:p w14:paraId="77ED02C8">
      <w:pPr>
        <w:topLinePunct/>
        <w:adjustRightInd w:val="0"/>
        <w:snapToGrid w:val="0"/>
        <w:spacing w:line="480" w:lineRule="exact"/>
        <w:ind w:firstLine="496" w:firstLineChars="200"/>
        <w:rPr>
          <w:snapToGrid w:val="0"/>
          <w:spacing w:val="4"/>
          <w:kern w:val="0"/>
          <w:sz w:val="24"/>
        </w:rPr>
      </w:pPr>
      <w:r>
        <w:rPr>
          <w:snapToGrid w:val="0"/>
          <w:spacing w:val="4"/>
          <w:kern w:val="0"/>
          <w:sz w:val="24"/>
        </w:rPr>
        <w:t>5）工程延期造成承包人提出费用索赔时，项目监理机构应按</w:t>
      </w:r>
      <w:r>
        <w:rPr>
          <w:snapToGrid w:val="0"/>
          <w:spacing w:val="4"/>
          <w:kern w:val="0"/>
          <w:sz w:val="24"/>
          <w:u w:val="wave"/>
        </w:rPr>
        <w:t>本条第4.2.</w:t>
      </w:r>
      <w:r>
        <w:rPr>
          <w:rFonts w:hint="eastAsia"/>
          <w:snapToGrid w:val="0"/>
          <w:spacing w:val="4"/>
          <w:kern w:val="0"/>
          <w:sz w:val="24"/>
          <w:u w:val="wave"/>
        </w:rPr>
        <w:t>4</w:t>
      </w:r>
      <w:r>
        <w:rPr>
          <w:snapToGrid w:val="0"/>
          <w:spacing w:val="4"/>
          <w:kern w:val="0"/>
          <w:sz w:val="24"/>
          <w:u w:val="wave"/>
        </w:rPr>
        <w:t>.6-（10）-1）项</w:t>
      </w:r>
      <w:r>
        <w:rPr>
          <w:snapToGrid w:val="0"/>
          <w:spacing w:val="4"/>
          <w:kern w:val="0"/>
          <w:sz w:val="24"/>
        </w:rPr>
        <w:t>的约定处理。</w:t>
      </w:r>
    </w:p>
    <w:p w14:paraId="48726623">
      <w:pPr>
        <w:topLinePunct/>
        <w:adjustRightInd w:val="0"/>
        <w:snapToGrid w:val="0"/>
        <w:spacing w:line="480" w:lineRule="exact"/>
        <w:ind w:firstLine="496" w:firstLineChars="200"/>
        <w:rPr>
          <w:snapToGrid w:val="0"/>
          <w:spacing w:val="4"/>
          <w:kern w:val="0"/>
          <w:sz w:val="24"/>
        </w:rPr>
      </w:pPr>
      <w:r>
        <w:rPr>
          <w:snapToGrid w:val="0"/>
          <w:spacing w:val="4"/>
          <w:kern w:val="0"/>
          <w:sz w:val="24"/>
        </w:rPr>
        <w:t>6）当承包人未能按照施工合同要求的工期竣工交付造成工期延误时，项目监理机构应按施工合同规定从承包人应得款项中扣除误期损害赔偿费。</w:t>
      </w:r>
    </w:p>
    <w:p w14:paraId="39F71DF4">
      <w:pPr>
        <w:topLinePunct/>
        <w:adjustRightInd w:val="0"/>
        <w:snapToGrid w:val="0"/>
        <w:spacing w:line="480" w:lineRule="exact"/>
        <w:ind w:firstLine="498" w:firstLineChars="200"/>
        <w:outlineLvl w:val="3"/>
        <w:rPr>
          <w:b/>
          <w:snapToGrid w:val="0"/>
          <w:spacing w:val="4"/>
          <w:kern w:val="0"/>
          <w:sz w:val="24"/>
        </w:rPr>
      </w:pPr>
      <w:r>
        <w:rPr>
          <w:b/>
          <w:snapToGrid w:val="0"/>
          <w:spacing w:val="4"/>
          <w:kern w:val="0"/>
          <w:sz w:val="24"/>
        </w:rPr>
        <w:t>4.2.</w:t>
      </w:r>
      <w:r>
        <w:rPr>
          <w:rFonts w:hint="eastAsia"/>
          <w:b/>
          <w:snapToGrid w:val="0"/>
          <w:spacing w:val="4"/>
          <w:kern w:val="0"/>
          <w:sz w:val="24"/>
        </w:rPr>
        <w:t>5</w:t>
      </w:r>
      <w:r>
        <w:rPr>
          <w:b/>
          <w:snapToGrid w:val="0"/>
          <w:spacing w:val="4"/>
          <w:kern w:val="0"/>
          <w:sz w:val="24"/>
        </w:rPr>
        <w:t xml:space="preserve"> 工程收尾阶段的监理工作（包括但不限于以下内容）</w:t>
      </w:r>
    </w:p>
    <w:p w14:paraId="7A213562">
      <w:pPr>
        <w:topLinePunct/>
        <w:adjustRightInd w:val="0"/>
        <w:snapToGrid w:val="0"/>
        <w:spacing w:line="480" w:lineRule="exact"/>
        <w:ind w:firstLine="498" w:firstLineChars="200"/>
        <w:outlineLvl w:val="4"/>
        <w:rPr>
          <w:snapToGrid w:val="0"/>
          <w:spacing w:val="4"/>
          <w:kern w:val="0"/>
          <w:sz w:val="24"/>
        </w:rPr>
      </w:pPr>
      <w:r>
        <w:rPr>
          <w:b/>
          <w:snapToGrid w:val="0"/>
          <w:spacing w:val="4"/>
          <w:kern w:val="0"/>
          <w:sz w:val="24"/>
        </w:rPr>
        <w:t>4.2.</w:t>
      </w:r>
      <w:r>
        <w:rPr>
          <w:rFonts w:hint="eastAsia"/>
          <w:b/>
          <w:snapToGrid w:val="0"/>
          <w:spacing w:val="4"/>
          <w:kern w:val="0"/>
          <w:sz w:val="24"/>
        </w:rPr>
        <w:t>5</w:t>
      </w:r>
      <w:r>
        <w:rPr>
          <w:b/>
          <w:snapToGrid w:val="0"/>
          <w:spacing w:val="4"/>
          <w:kern w:val="0"/>
          <w:sz w:val="24"/>
        </w:rPr>
        <w:t>.1</w:t>
      </w:r>
      <w:r>
        <w:rPr>
          <w:snapToGrid w:val="0"/>
          <w:spacing w:val="4"/>
          <w:kern w:val="0"/>
          <w:sz w:val="24"/>
        </w:rPr>
        <w:t xml:space="preserve">  工程收尾阶段包括竣工扫尾、验收、整改、移交、结算、考核评价等方面的管理。监理人应制定工作计划，提出各项管理要求。工程收尾阶段管理应包括以下内容：</w:t>
      </w:r>
    </w:p>
    <w:p w14:paraId="6E80D62F">
      <w:pPr>
        <w:topLinePunct/>
        <w:adjustRightInd w:val="0"/>
        <w:snapToGrid w:val="0"/>
        <w:spacing w:line="480" w:lineRule="exact"/>
        <w:ind w:firstLine="496" w:firstLineChars="200"/>
        <w:rPr>
          <w:snapToGrid w:val="0"/>
          <w:spacing w:val="4"/>
          <w:kern w:val="0"/>
          <w:sz w:val="24"/>
        </w:rPr>
      </w:pPr>
      <w:r>
        <w:rPr>
          <w:bCs/>
          <w:snapToGrid w:val="0"/>
          <w:spacing w:val="4"/>
          <w:kern w:val="0"/>
          <w:sz w:val="24"/>
        </w:rPr>
        <w:t>（1）</w:t>
      </w:r>
      <w:r>
        <w:rPr>
          <w:snapToGrid w:val="0"/>
          <w:spacing w:val="4"/>
          <w:kern w:val="0"/>
          <w:sz w:val="24"/>
        </w:rPr>
        <w:t>项目的竣工扫尾；</w:t>
      </w:r>
    </w:p>
    <w:p w14:paraId="2BF198AC">
      <w:pPr>
        <w:topLinePunct/>
        <w:adjustRightInd w:val="0"/>
        <w:snapToGrid w:val="0"/>
        <w:spacing w:line="480" w:lineRule="exact"/>
        <w:ind w:firstLine="496" w:firstLineChars="200"/>
        <w:rPr>
          <w:snapToGrid w:val="0"/>
          <w:spacing w:val="4"/>
          <w:kern w:val="0"/>
          <w:sz w:val="24"/>
        </w:rPr>
      </w:pPr>
      <w:r>
        <w:rPr>
          <w:bCs/>
          <w:snapToGrid w:val="0"/>
          <w:spacing w:val="4"/>
          <w:kern w:val="0"/>
          <w:sz w:val="24"/>
        </w:rPr>
        <w:t>（2）</w:t>
      </w:r>
      <w:r>
        <w:rPr>
          <w:snapToGrid w:val="0"/>
          <w:spacing w:val="4"/>
          <w:kern w:val="0"/>
          <w:sz w:val="24"/>
        </w:rPr>
        <w:t>项目的竣工验收、整改及移交；</w:t>
      </w:r>
    </w:p>
    <w:p w14:paraId="5076C1DE">
      <w:pPr>
        <w:topLinePunct/>
        <w:adjustRightInd w:val="0"/>
        <w:snapToGrid w:val="0"/>
        <w:spacing w:line="480" w:lineRule="exact"/>
        <w:ind w:firstLine="496" w:firstLineChars="200"/>
        <w:rPr>
          <w:snapToGrid w:val="0"/>
          <w:spacing w:val="4"/>
          <w:kern w:val="0"/>
          <w:sz w:val="24"/>
        </w:rPr>
      </w:pPr>
      <w:r>
        <w:rPr>
          <w:bCs/>
          <w:snapToGrid w:val="0"/>
          <w:spacing w:val="4"/>
          <w:kern w:val="0"/>
          <w:sz w:val="24"/>
        </w:rPr>
        <w:t>（3）</w:t>
      </w:r>
      <w:r>
        <w:rPr>
          <w:snapToGrid w:val="0"/>
          <w:spacing w:val="4"/>
          <w:kern w:val="0"/>
          <w:sz w:val="24"/>
        </w:rPr>
        <w:t>项目的竣工结算；</w:t>
      </w:r>
    </w:p>
    <w:p w14:paraId="34B2ACF9">
      <w:pPr>
        <w:topLinePunct/>
        <w:adjustRightInd w:val="0"/>
        <w:snapToGrid w:val="0"/>
        <w:spacing w:line="480" w:lineRule="exact"/>
        <w:ind w:firstLine="496" w:firstLineChars="200"/>
        <w:rPr>
          <w:snapToGrid w:val="0"/>
          <w:spacing w:val="4"/>
          <w:kern w:val="0"/>
          <w:sz w:val="24"/>
        </w:rPr>
      </w:pPr>
      <w:r>
        <w:rPr>
          <w:bCs/>
          <w:snapToGrid w:val="0"/>
          <w:spacing w:val="4"/>
          <w:kern w:val="0"/>
          <w:sz w:val="24"/>
        </w:rPr>
        <w:t>（4）</w:t>
      </w:r>
      <w:r>
        <w:rPr>
          <w:snapToGrid w:val="0"/>
          <w:spacing w:val="4"/>
          <w:kern w:val="0"/>
          <w:sz w:val="24"/>
        </w:rPr>
        <w:t>项目的回访维护；</w:t>
      </w:r>
    </w:p>
    <w:p w14:paraId="41F55D5E">
      <w:pPr>
        <w:topLinePunct/>
        <w:adjustRightInd w:val="0"/>
        <w:snapToGrid w:val="0"/>
        <w:spacing w:line="480" w:lineRule="exact"/>
        <w:ind w:firstLine="496" w:firstLineChars="200"/>
        <w:rPr>
          <w:snapToGrid w:val="0"/>
          <w:spacing w:val="4"/>
          <w:kern w:val="0"/>
          <w:sz w:val="24"/>
        </w:rPr>
      </w:pPr>
      <w:r>
        <w:rPr>
          <w:bCs/>
          <w:snapToGrid w:val="0"/>
          <w:spacing w:val="4"/>
          <w:kern w:val="0"/>
          <w:sz w:val="24"/>
        </w:rPr>
        <w:t>（5）</w:t>
      </w:r>
      <w:r>
        <w:rPr>
          <w:snapToGrid w:val="0"/>
          <w:spacing w:val="4"/>
          <w:kern w:val="0"/>
          <w:sz w:val="24"/>
        </w:rPr>
        <w:t>项目的考核评价。</w:t>
      </w:r>
    </w:p>
    <w:p w14:paraId="7F85490C">
      <w:pPr>
        <w:topLinePunct/>
        <w:adjustRightInd w:val="0"/>
        <w:snapToGrid w:val="0"/>
        <w:spacing w:line="480" w:lineRule="exact"/>
        <w:ind w:firstLine="498" w:firstLineChars="200"/>
        <w:outlineLvl w:val="4"/>
        <w:rPr>
          <w:b/>
          <w:snapToGrid w:val="0"/>
          <w:spacing w:val="4"/>
          <w:kern w:val="0"/>
          <w:sz w:val="24"/>
        </w:rPr>
      </w:pPr>
      <w:r>
        <w:rPr>
          <w:b/>
          <w:snapToGrid w:val="0"/>
          <w:spacing w:val="4"/>
          <w:kern w:val="0"/>
          <w:sz w:val="24"/>
        </w:rPr>
        <w:t>4.2.</w:t>
      </w:r>
      <w:r>
        <w:rPr>
          <w:rFonts w:hint="eastAsia"/>
          <w:b/>
          <w:snapToGrid w:val="0"/>
          <w:spacing w:val="4"/>
          <w:kern w:val="0"/>
          <w:sz w:val="24"/>
        </w:rPr>
        <w:t>5</w:t>
      </w:r>
      <w:r>
        <w:rPr>
          <w:b/>
          <w:snapToGrid w:val="0"/>
          <w:spacing w:val="4"/>
          <w:kern w:val="0"/>
          <w:sz w:val="24"/>
        </w:rPr>
        <w:t>.2  竣工验收</w:t>
      </w:r>
    </w:p>
    <w:p w14:paraId="5B9CACCB">
      <w:pPr>
        <w:topLinePunct/>
        <w:adjustRightInd w:val="0"/>
        <w:snapToGrid w:val="0"/>
        <w:spacing w:line="480" w:lineRule="exact"/>
        <w:ind w:firstLine="496" w:firstLineChars="200"/>
        <w:rPr>
          <w:snapToGrid w:val="0"/>
          <w:spacing w:val="4"/>
          <w:kern w:val="0"/>
          <w:sz w:val="24"/>
        </w:rPr>
      </w:pPr>
      <w:r>
        <w:rPr>
          <w:snapToGrid w:val="0"/>
          <w:spacing w:val="4"/>
          <w:kern w:val="0"/>
          <w:sz w:val="24"/>
        </w:rPr>
        <w:t>（1）总监理工程师应组织专业监理工程师，依据有关法律、法规、工程建设强制性标准、设计文件及施工合同，对承包人报送的竣工资料进行审查，并对工程质量进行竣工预验收。对存在的问题，应及时要求承包人整改。整改完毕由总监理工程师签署工程竣工报验单，并应在此基础上提出工程质量评估报告。工程质量评估报告应经总监理工程师和监理人技术负责人审核签字。</w:t>
      </w:r>
    </w:p>
    <w:p w14:paraId="01E66C90">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人应负责组织系统联动调试、试运行及各专项验收及检测。项目监理机构应参加由委托人组织的竣工验收，并提供相关监理资料。对验收中提出的整改问题，项目监理机构应要求承包人进行整改。工程质量符合要求，由总监理工程师会同参加验收的各方签署竣工验收报告。</w:t>
      </w:r>
    </w:p>
    <w:p w14:paraId="28B1BA81">
      <w:pPr>
        <w:topLinePunct/>
        <w:adjustRightInd w:val="0"/>
        <w:snapToGrid w:val="0"/>
        <w:spacing w:line="480" w:lineRule="exact"/>
        <w:ind w:firstLine="496" w:firstLineChars="200"/>
        <w:rPr>
          <w:snapToGrid w:val="0"/>
          <w:spacing w:val="4"/>
          <w:kern w:val="0"/>
          <w:sz w:val="24"/>
        </w:rPr>
      </w:pPr>
      <w:r>
        <w:rPr>
          <w:snapToGrid w:val="0"/>
          <w:spacing w:val="4"/>
          <w:kern w:val="0"/>
          <w:sz w:val="24"/>
        </w:rPr>
        <w:t>（3）组织或协助委托人、承包人和产权管理单位对项目进行移交。</w:t>
      </w:r>
    </w:p>
    <w:p w14:paraId="4A17F213">
      <w:pPr>
        <w:topLinePunct/>
        <w:adjustRightInd w:val="0"/>
        <w:snapToGrid w:val="0"/>
        <w:spacing w:line="480" w:lineRule="exact"/>
        <w:ind w:firstLine="496" w:firstLineChars="200"/>
        <w:rPr>
          <w:snapToGrid w:val="0"/>
          <w:spacing w:val="4"/>
          <w:kern w:val="0"/>
          <w:sz w:val="24"/>
        </w:rPr>
      </w:pPr>
      <w:r>
        <w:rPr>
          <w:snapToGrid w:val="0"/>
          <w:spacing w:val="4"/>
          <w:kern w:val="0"/>
          <w:sz w:val="24"/>
        </w:rPr>
        <w:t>（4）根据现场的实际竣工情况对承包人提交的竣工图纸（包括设备移交资料等）进行复核确认。</w:t>
      </w:r>
    </w:p>
    <w:p w14:paraId="532C6735">
      <w:pPr>
        <w:topLinePunct/>
        <w:adjustRightInd w:val="0"/>
        <w:snapToGrid w:val="0"/>
        <w:spacing w:line="480" w:lineRule="exact"/>
        <w:ind w:firstLine="498" w:firstLineChars="200"/>
        <w:outlineLvl w:val="4"/>
        <w:rPr>
          <w:b/>
          <w:snapToGrid w:val="0"/>
          <w:spacing w:val="4"/>
          <w:kern w:val="0"/>
          <w:sz w:val="24"/>
        </w:rPr>
      </w:pPr>
      <w:r>
        <w:rPr>
          <w:b/>
          <w:snapToGrid w:val="0"/>
          <w:spacing w:val="4"/>
          <w:kern w:val="0"/>
          <w:sz w:val="24"/>
        </w:rPr>
        <w:t>4.2.</w:t>
      </w:r>
      <w:r>
        <w:rPr>
          <w:rFonts w:hint="eastAsia"/>
          <w:b/>
          <w:snapToGrid w:val="0"/>
          <w:spacing w:val="4"/>
          <w:kern w:val="0"/>
          <w:sz w:val="24"/>
        </w:rPr>
        <w:t>5</w:t>
      </w:r>
      <w:r>
        <w:rPr>
          <w:b/>
          <w:snapToGrid w:val="0"/>
          <w:spacing w:val="4"/>
          <w:kern w:val="0"/>
          <w:sz w:val="24"/>
        </w:rPr>
        <w:t>.3  审核竣工结算</w:t>
      </w:r>
    </w:p>
    <w:p w14:paraId="22C636FF">
      <w:pPr>
        <w:topLinePunct/>
        <w:adjustRightInd w:val="0"/>
        <w:snapToGrid w:val="0"/>
        <w:spacing w:line="480" w:lineRule="exact"/>
        <w:ind w:firstLine="496" w:firstLineChars="200"/>
        <w:rPr>
          <w:snapToGrid w:val="0"/>
          <w:spacing w:val="4"/>
          <w:kern w:val="0"/>
          <w:sz w:val="24"/>
        </w:rPr>
      </w:pPr>
      <w:r>
        <w:rPr>
          <w:snapToGrid w:val="0"/>
          <w:spacing w:val="4"/>
          <w:kern w:val="0"/>
          <w:sz w:val="24"/>
        </w:rPr>
        <w:t>（1）结算的总体要求</w:t>
      </w:r>
    </w:p>
    <w:p w14:paraId="5AAB1998">
      <w:pPr>
        <w:topLinePunct/>
        <w:adjustRightInd w:val="0"/>
        <w:snapToGrid w:val="0"/>
        <w:spacing w:line="480" w:lineRule="exact"/>
        <w:ind w:firstLine="496" w:firstLineChars="200"/>
        <w:rPr>
          <w:snapToGrid w:val="0"/>
          <w:spacing w:val="4"/>
          <w:kern w:val="0"/>
          <w:sz w:val="24"/>
        </w:rPr>
      </w:pPr>
      <w:r>
        <w:rPr>
          <w:snapToGrid w:val="0"/>
          <w:spacing w:val="4"/>
          <w:kern w:val="0"/>
          <w:sz w:val="24"/>
        </w:rPr>
        <w:t>监理人应根据有关合同约定及工程进展的实际情况，于竣工后2周内编制工程竣工结算计划报委托人批准后实施。监理人负责组织有关单位按核准的结算计划中的时间要求提交竣工结算书及竣工结算资料。监理人须根据委托人的要求审核承包人提交的工程结算书，确保工程结算资料的完整性，并对其提交给委托人的结算审核结果负责。工程结算以单个施工合同为结算对象，监理人应在完成全部合同结算的审核后形成结算汇总。总监理工程师应对监理人提交的《竣工结算审核意见书》进行签认并对由其审核的结算金额的准确性负责。</w:t>
      </w:r>
    </w:p>
    <w:p w14:paraId="497C9962">
      <w:pPr>
        <w:topLinePunct/>
        <w:adjustRightInd w:val="0"/>
        <w:snapToGrid w:val="0"/>
        <w:spacing w:line="480" w:lineRule="exact"/>
        <w:ind w:firstLine="496" w:firstLineChars="200"/>
        <w:rPr>
          <w:snapToGrid w:val="0"/>
          <w:spacing w:val="4"/>
          <w:kern w:val="0"/>
          <w:sz w:val="24"/>
        </w:rPr>
      </w:pPr>
      <w:r>
        <w:rPr>
          <w:snapToGrid w:val="0"/>
          <w:spacing w:val="4"/>
          <w:kern w:val="0"/>
          <w:sz w:val="24"/>
        </w:rPr>
        <w:t>（2）工程结算资料必须实事求是、完整、真实准确，工程资料的主要内容包括：</w:t>
      </w:r>
    </w:p>
    <w:p w14:paraId="7030EC2A">
      <w:pPr>
        <w:topLinePunct/>
        <w:adjustRightInd w:val="0"/>
        <w:snapToGrid w:val="0"/>
        <w:spacing w:line="480" w:lineRule="exact"/>
        <w:ind w:firstLine="496" w:firstLineChars="200"/>
        <w:rPr>
          <w:snapToGrid w:val="0"/>
          <w:spacing w:val="4"/>
          <w:kern w:val="0"/>
          <w:sz w:val="24"/>
        </w:rPr>
      </w:pPr>
      <w:r>
        <w:rPr>
          <w:snapToGrid w:val="0"/>
          <w:spacing w:val="4"/>
          <w:kern w:val="0"/>
          <w:sz w:val="24"/>
        </w:rPr>
        <w:t>1）合同（组成包括：协议书、中标通知书或委托书、投标文件澄清纪要、投标文件及其附件、合同专用条件、合同标准条件、招标文件及补遗书、本合同履行期间合同各方间签订的补充合同（协议）、其它）；</w:t>
      </w:r>
    </w:p>
    <w:p w14:paraId="038A7F33">
      <w:pPr>
        <w:topLinePunct/>
        <w:adjustRightInd w:val="0"/>
        <w:snapToGrid w:val="0"/>
        <w:spacing w:line="480" w:lineRule="exact"/>
        <w:ind w:firstLine="496" w:firstLineChars="200"/>
        <w:rPr>
          <w:snapToGrid w:val="0"/>
          <w:spacing w:val="4"/>
          <w:kern w:val="0"/>
          <w:sz w:val="24"/>
        </w:rPr>
      </w:pPr>
      <w:r>
        <w:rPr>
          <w:snapToGrid w:val="0"/>
          <w:spacing w:val="4"/>
          <w:kern w:val="0"/>
          <w:sz w:val="24"/>
        </w:rPr>
        <w:t>2）结算书及电子文档；</w:t>
      </w:r>
    </w:p>
    <w:p w14:paraId="15DFE37B">
      <w:pPr>
        <w:topLinePunct/>
        <w:adjustRightInd w:val="0"/>
        <w:snapToGrid w:val="0"/>
        <w:spacing w:line="480" w:lineRule="exact"/>
        <w:ind w:firstLine="496" w:firstLineChars="200"/>
        <w:rPr>
          <w:snapToGrid w:val="0"/>
          <w:spacing w:val="4"/>
          <w:kern w:val="0"/>
          <w:sz w:val="24"/>
        </w:rPr>
      </w:pPr>
      <w:r>
        <w:rPr>
          <w:snapToGrid w:val="0"/>
          <w:spacing w:val="4"/>
          <w:kern w:val="0"/>
          <w:sz w:val="24"/>
        </w:rPr>
        <w:t>3）招标图纸及竣工图纸；</w:t>
      </w:r>
    </w:p>
    <w:p w14:paraId="3599333D">
      <w:pPr>
        <w:topLinePunct/>
        <w:adjustRightInd w:val="0"/>
        <w:snapToGrid w:val="0"/>
        <w:spacing w:line="480" w:lineRule="exact"/>
        <w:ind w:firstLine="496" w:firstLineChars="200"/>
        <w:rPr>
          <w:snapToGrid w:val="0"/>
          <w:spacing w:val="4"/>
          <w:kern w:val="0"/>
          <w:sz w:val="24"/>
        </w:rPr>
      </w:pPr>
      <w:r>
        <w:rPr>
          <w:snapToGrid w:val="0"/>
          <w:spacing w:val="4"/>
          <w:kern w:val="0"/>
          <w:sz w:val="24"/>
        </w:rPr>
        <w:t>4）图纸会审（交底）的会议纪要；</w:t>
      </w:r>
    </w:p>
    <w:p w14:paraId="0D2524DB">
      <w:pPr>
        <w:topLinePunct/>
        <w:adjustRightInd w:val="0"/>
        <w:snapToGrid w:val="0"/>
        <w:spacing w:line="480" w:lineRule="exact"/>
        <w:ind w:firstLine="496" w:firstLineChars="200"/>
        <w:rPr>
          <w:snapToGrid w:val="0"/>
          <w:spacing w:val="4"/>
          <w:kern w:val="0"/>
          <w:sz w:val="24"/>
        </w:rPr>
      </w:pPr>
      <w:r>
        <w:rPr>
          <w:snapToGrid w:val="0"/>
          <w:spacing w:val="4"/>
          <w:kern w:val="0"/>
          <w:sz w:val="24"/>
        </w:rPr>
        <w:t>5）工程量计算书（或钢筋抽料表）及电子文档；</w:t>
      </w:r>
    </w:p>
    <w:p w14:paraId="759004BB">
      <w:pPr>
        <w:topLinePunct/>
        <w:adjustRightInd w:val="0"/>
        <w:snapToGrid w:val="0"/>
        <w:spacing w:line="480" w:lineRule="exact"/>
        <w:ind w:firstLine="496" w:firstLineChars="200"/>
        <w:rPr>
          <w:snapToGrid w:val="0"/>
          <w:spacing w:val="4"/>
          <w:kern w:val="0"/>
          <w:sz w:val="24"/>
        </w:rPr>
      </w:pPr>
      <w:r>
        <w:rPr>
          <w:snapToGrid w:val="0"/>
          <w:spacing w:val="4"/>
          <w:kern w:val="0"/>
          <w:sz w:val="24"/>
        </w:rPr>
        <w:t>6）工程变更图纸、变更指令及工程变更申报审批表；</w:t>
      </w:r>
    </w:p>
    <w:p w14:paraId="7D634379">
      <w:pPr>
        <w:topLinePunct/>
        <w:adjustRightInd w:val="0"/>
        <w:snapToGrid w:val="0"/>
        <w:spacing w:line="480" w:lineRule="exact"/>
        <w:ind w:firstLine="496" w:firstLineChars="200"/>
        <w:rPr>
          <w:snapToGrid w:val="0"/>
          <w:spacing w:val="4"/>
          <w:kern w:val="0"/>
          <w:sz w:val="24"/>
        </w:rPr>
      </w:pPr>
      <w:r>
        <w:rPr>
          <w:snapToGrid w:val="0"/>
          <w:spacing w:val="4"/>
          <w:kern w:val="0"/>
          <w:sz w:val="24"/>
        </w:rPr>
        <w:t>7）施工现场变更签证及工程变更申报审批表；</w:t>
      </w:r>
    </w:p>
    <w:p w14:paraId="50A53E5F">
      <w:pPr>
        <w:topLinePunct/>
        <w:adjustRightInd w:val="0"/>
        <w:snapToGrid w:val="0"/>
        <w:spacing w:line="480" w:lineRule="exact"/>
        <w:ind w:firstLine="496" w:firstLineChars="200"/>
        <w:rPr>
          <w:snapToGrid w:val="0"/>
          <w:spacing w:val="4"/>
          <w:kern w:val="0"/>
          <w:sz w:val="24"/>
        </w:rPr>
      </w:pPr>
      <w:r>
        <w:rPr>
          <w:snapToGrid w:val="0"/>
          <w:spacing w:val="4"/>
          <w:kern w:val="0"/>
          <w:sz w:val="24"/>
        </w:rPr>
        <w:t>8）工程竣工验收证明；</w:t>
      </w:r>
    </w:p>
    <w:p w14:paraId="521E7676">
      <w:pPr>
        <w:topLinePunct/>
        <w:adjustRightInd w:val="0"/>
        <w:snapToGrid w:val="0"/>
        <w:spacing w:line="480" w:lineRule="exact"/>
        <w:ind w:firstLine="496" w:firstLineChars="200"/>
        <w:rPr>
          <w:snapToGrid w:val="0"/>
          <w:spacing w:val="4"/>
          <w:kern w:val="0"/>
          <w:sz w:val="24"/>
        </w:rPr>
      </w:pPr>
      <w:r>
        <w:rPr>
          <w:snapToGrid w:val="0"/>
          <w:spacing w:val="4"/>
          <w:kern w:val="0"/>
          <w:sz w:val="24"/>
        </w:rPr>
        <w:t>9）开、竣工报告；</w:t>
      </w:r>
    </w:p>
    <w:p w14:paraId="58D7468F">
      <w:pPr>
        <w:topLinePunct/>
        <w:adjustRightInd w:val="0"/>
        <w:snapToGrid w:val="0"/>
        <w:spacing w:line="480" w:lineRule="exact"/>
        <w:ind w:firstLine="496" w:firstLineChars="200"/>
        <w:rPr>
          <w:snapToGrid w:val="0"/>
          <w:spacing w:val="4"/>
          <w:kern w:val="0"/>
          <w:sz w:val="24"/>
        </w:rPr>
      </w:pPr>
      <w:r>
        <w:rPr>
          <w:snapToGrid w:val="0"/>
          <w:spacing w:val="4"/>
          <w:kern w:val="0"/>
          <w:sz w:val="24"/>
        </w:rPr>
        <w:t>10）中间计量资料；</w:t>
      </w:r>
    </w:p>
    <w:p w14:paraId="3A2E3B79">
      <w:pPr>
        <w:topLinePunct/>
        <w:adjustRightInd w:val="0"/>
        <w:snapToGrid w:val="0"/>
        <w:spacing w:line="480" w:lineRule="exact"/>
        <w:ind w:firstLine="496" w:firstLineChars="200"/>
        <w:rPr>
          <w:snapToGrid w:val="0"/>
          <w:spacing w:val="4"/>
          <w:kern w:val="0"/>
          <w:sz w:val="24"/>
        </w:rPr>
      </w:pPr>
      <w:r>
        <w:rPr>
          <w:snapToGrid w:val="0"/>
          <w:spacing w:val="4"/>
          <w:kern w:val="0"/>
          <w:sz w:val="24"/>
        </w:rPr>
        <w:t>11）其它竣工结算资料。</w:t>
      </w:r>
    </w:p>
    <w:p w14:paraId="7366E6B2">
      <w:pPr>
        <w:topLinePunct/>
        <w:adjustRightInd w:val="0"/>
        <w:snapToGrid w:val="0"/>
        <w:spacing w:line="480" w:lineRule="exact"/>
        <w:ind w:firstLine="496" w:firstLineChars="200"/>
        <w:rPr>
          <w:snapToGrid w:val="0"/>
          <w:spacing w:val="4"/>
          <w:kern w:val="0"/>
          <w:sz w:val="24"/>
        </w:rPr>
      </w:pPr>
      <w:r>
        <w:rPr>
          <w:snapToGrid w:val="0"/>
          <w:spacing w:val="4"/>
          <w:kern w:val="0"/>
          <w:sz w:val="24"/>
        </w:rPr>
        <w:t>（3）有权终审部门结算审核过程中的相关工作</w:t>
      </w:r>
    </w:p>
    <w:p w14:paraId="2A227DEA">
      <w:pPr>
        <w:topLinePunct/>
        <w:adjustRightInd w:val="0"/>
        <w:snapToGrid w:val="0"/>
        <w:spacing w:line="480" w:lineRule="exact"/>
        <w:ind w:firstLine="496" w:firstLineChars="200"/>
        <w:rPr>
          <w:snapToGrid w:val="0"/>
          <w:spacing w:val="4"/>
          <w:kern w:val="0"/>
          <w:sz w:val="24"/>
        </w:rPr>
      </w:pPr>
      <w:r>
        <w:rPr>
          <w:snapToGrid w:val="0"/>
          <w:spacing w:val="4"/>
          <w:kern w:val="0"/>
          <w:sz w:val="24"/>
        </w:rPr>
        <w:t>1）监理人应积极组织并督促承包人配合政府主管部门对本合同工程结算书（结算资料）的审核工作，以推动结算工作的顺利进行。</w:t>
      </w:r>
    </w:p>
    <w:p w14:paraId="7A11E90D">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2）监理人应按委托人要求，派出相关人员参加政府主管部门组织的针对本合同工程结算审核工作的相关会议（如结算工作会议、结算工程量核对会议等）。</w:t>
      </w:r>
    </w:p>
    <w:p w14:paraId="3E7CD1E4">
      <w:pPr>
        <w:topLinePunct/>
        <w:adjustRightInd w:val="0"/>
        <w:snapToGrid w:val="0"/>
        <w:spacing w:line="480" w:lineRule="exact"/>
        <w:ind w:firstLine="496" w:firstLineChars="200"/>
        <w:rPr>
          <w:snapToGrid w:val="0"/>
          <w:spacing w:val="4"/>
          <w:kern w:val="0"/>
          <w:sz w:val="24"/>
        </w:rPr>
      </w:pPr>
      <w:r>
        <w:rPr>
          <w:snapToGrid w:val="0"/>
          <w:spacing w:val="4"/>
          <w:kern w:val="0"/>
          <w:sz w:val="24"/>
        </w:rPr>
        <w:t>3）监理人应根据政府主管部门对本合同工程结算提出的意见，向委托人提出解决本合同工程结算争议的合理建议。</w:t>
      </w:r>
    </w:p>
    <w:p w14:paraId="26E2C0F0">
      <w:pPr>
        <w:topLinePunct/>
        <w:adjustRightInd w:val="0"/>
        <w:snapToGrid w:val="0"/>
        <w:spacing w:line="480" w:lineRule="exact"/>
        <w:ind w:firstLine="498" w:firstLineChars="200"/>
        <w:outlineLvl w:val="4"/>
        <w:rPr>
          <w:b/>
          <w:snapToGrid w:val="0"/>
          <w:spacing w:val="4"/>
          <w:kern w:val="0"/>
          <w:sz w:val="24"/>
        </w:rPr>
      </w:pPr>
      <w:r>
        <w:rPr>
          <w:b/>
          <w:snapToGrid w:val="0"/>
          <w:spacing w:val="4"/>
          <w:kern w:val="0"/>
          <w:sz w:val="24"/>
        </w:rPr>
        <w:t>4.2.</w:t>
      </w:r>
      <w:r>
        <w:rPr>
          <w:rFonts w:hint="eastAsia"/>
          <w:b/>
          <w:snapToGrid w:val="0"/>
          <w:spacing w:val="4"/>
          <w:kern w:val="0"/>
          <w:sz w:val="24"/>
        </w:rPr>
        <w:t>5</w:t>
      </w:r>
      <w:r>
        <w:rPr>
          <w:b/>
          <w:snapToGrid w:val="0"/>
          <w:spacing w:val="4"/>
          <w:kern w:val="0"/>
          <w:sz w:val="24"/>
        </w:rPr>
        <w:t>.4  提交监理工作总结</w:t>
      </w:r>
    </w:p>
    <w:p w14:paraId="2B6926BB">
      <w:pPr>
        <w:topLinePunct/>
        <w:adjustRightInd w:val="0"/>
        <w:snapToGrid w:val="0"/>
        <w:spacing w:line="480" w:lineRule="exact"/>
        <w:ind w:firstLine="496" w:firstLineChars="200"/>
        <w:rPr>
          <w:snapToGrid w:val="0"/>
          <w:spacing w:val="4"/>
          <w:kern w:val="0"/>
          <w:sz w:val="24"/>
        </w:rPr>
      </w:pPr>
      <w:r>
        <w:rPr>
          <w:snapToGrid w:val="0"/>
          <w:spacing w:val="4"/>
          <w:kern w:val="0"/>
          <w:sz w:val="24"/>
        </w:rPr>
        <w:t>监理工作结束时，监理人应向委托人提交监理工作总结。监理工作总结包括但不限于以下内容：</w:t>
      </w:r>
    </w:p>
    <w:p w14:paraId="5AB22042">
      <w:pPr>
        <w:topLinePunct/>
        <w:adjustRightInd w:val="0"/>
        <w:snapToGrid w:val="0"/>
        <w:spacing w:line="480" w:lineRule="exact"/>
        <w:ind w:firstLine="496" w:firstLineChars="200"/>
        <w:rPr>
          <w:snapToGrid w:val="0"/>
          <w:spacing w:val="4"/>
          <w:kern w:val="0"/>
          <w:sz w:val="24"/>
        </w:rPr>
      </w:pPr>
      <w:r>
        <w:rPr>
          <w:snapToGrid w:val="0"/>
          <w:spacing w:val="4"/>
          <w:kern w:val="0"/>
          <w:sz w:val="24"/>
        </w:rPr>
        <w:t>（1）工程概况；</w:t>
      </w:r>
    </w:p>
    <w:p w14:paraId="15143561">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（2）监理组织机构、监理人员和投入的监理设施；</w:t>
      </w:r>
    </w:p>
    <w:p w14:paraId="00C63B34">
      <w:pPr>
        <w:topLinePunct/>
        <w:adjustRightInd w:val="0"/>
        <w:snapToGrid w:val="0"/>
        <w:spacing w:line="480" w:lineRule="exact"/>
        <w:ind w:firstLine="496" w:firstLineChars="200"/>
        <w:rPr>
          <w:snapToGrid w:val="0"/>
          <w:spacing w:val="4"/>
          <w:kern w:val="0"/>
          <w:sz w:val="24"/>
        </w:rPr>
      </w:pPr>
      <w:r>
        <w:rPr>
          <w:snapToGrid w:val="0"/>
          <w:spacing w:val="4"/>
          <w:kern w:val="0"/>
          <w:sz w:val="24"/>
        </w:rPr>
        <w:t>（3）监理合同履行情况；</w:t>
      </w:r>
    </w:p>
    <w:p w14:paraId="363BFD00">
      <w:pPr>
        <w:topLinePunct/>
        <w:adjustRightInd w:val="0"/>
        <w:snapToGrid w:val="0"/>
        <w:spacing w:line="480" w:lineRule="exact"/>
        <w:ind w:firstLine="496" w:firstLineChars="200"/>
        <w:rPr>
          <w:snapToGrid w:val="0"/>
          <w:spacing w:val="4"/>
          <w:kern w:val="0"/>
          <w:sz w:val="24"/>
        </w:rPr>
      </w:pPr>
      <w:r>
        <w:rPr>
          <w:snapToGrid w:val="0"/>
          <w:spacing w:val="4"/>
          <w:kern w:val="0"/>
          <w:sz w:val="24"/>
        </w:rPr>
        <w:t>（4）监理工作成效；</w:t>
      </w:r>
    </w:p>
    <w:p w14:paraId="27AEF643">
      <w:pPr>
        <w:topLinePunct/>
        <w:adjustRightInd w:val="0"/>
        <w:snapToGrid w:val="0"/>
        <w:spacing w:line="480" w:lineRule="exact"/>
        <w:ind w:firstLine="496" w:firstLineChars="200"/>
        <w:rPr>
          <w:snapToGrid w:val="0"/>
          <w:spacing w:val="4"/>
          <w:kern w:val="0"/>
          <w:sz w:val="24"/>
        </w:rPr>
      </w:pPr>
      <w:r>
        <w:rPr>
          <w:snapToGrid w:val="0"/>
          <w:spacing w:val="4"/>
          <w:kern w:val="0"/>
          <w:sz w:val="24"/>
        </w:rPr>
        <w:t>（5）施工过程中出现的问题及其处理情况和建议；</w:t>
      </w:r>
    </w:p>
    <w:p w14:paraId="26532798">
      <w:pPr>
        <w:topLinePunct/>
        <w:adjustRightInd w:val="0"/>
        <w:snapToGrid w:val="0"/>
        <w:spacing w:line="480" w:lineRule="exact"/>
        <w:ind w:firstLine="496" w:firstLineChars="200"/>
        <w:rPr>
          <w:snapToGrid w:val="0"/>
          <w:spacing w:val="4"/>
          <w:kern w:val="0"/>
          <w:sz w:val="24"/>
        </w:rPr>
      </w:pPr>
      <w:r>
        <w:rPr>
          <w:snapToGrid w:val="0"/>
          <w:spacing w:val="4"/>
          <w:kern w:val="0"/>
          <w:sz w:val="24"/>
        </w:rPr>
        <w:t>（6）工程照片（有必要时）。</w:t>
      </w:r>
    </w:p>
    <w:p w14:paraId="1A6E3F7E">
      <w:pPr>
        <w:adjustRightInd w:val="0"/>
        <w:snapToGrid w:val="0"/>
        <w:spacing w:line="480" w:lineRule="exact"/>
        <w:ind w:firstLine="482" w:firstLineChars="200"/>
        <w:outlineLvl w:val="3"/>
        <w:rPr>
          <w:b/>
          <w:snapToGrid w:val="0"/>
          <w:kern w:val="0"/>
          <w:sz w:val="24"/>
        </w:rPr>
      </w:pPr>
      <w:r>
        <w:rPr>
          <w:b/>
          <w:snapToGrid w:val="0"/>
          <w:kern w:val="0"/>
          <w:sz w:val="24"/>
        </w:rPr>
        <w:t>4.2.</w:t>
      </w:r>
      <w:r>
        <w:rPr>
          <w:rFonts w:hint="eastAsia"/>
          <w:b/>
          <w:snapToGrid w:val="0"/>
          <w:kern w:val="0"/>
          <w:sz w:val="24"/>
        </w:rPr>
        <w:t>6</w:t>
      </w:r>
      <w:r>
        <w:rPr>
          <w:b/>
          <w:snapToGrid w:val="0"/>
          <w:kern w:val="0"/>
          <w:sz w:val="24"/>
        </w:rPr>
        <w:t xml:space="preserve">  工程质量保修期的监理工作</w:t>
      </w:r>
    </w:p>
    <w:p w14:paraId="22B14A54">
      <w:pPr>
        <w:adjustRightInd w:val="0"/>
        <w:snapToGrid w:val="0"/>
        <w:spacing w:line="480" w:lineRule="exact"/>
        <w:ind w:firstLine="480" w:firstLineChars="200"/>
        <w:rPr>
          <w:snapToGrid w:val="0"/>
          <w:kern w:val="0"/>
          <w:sz w:val="24"/>
        </w:rPr>
      </w:pPr>
      <w:r>
        <w:rPr>
          <w:snapToGrid w:val="0"/>
          <w:kern w:val="0"/>
          <w:sz w:val="24"/>
        </w:rPr>
        <w:t>（1）</w:t>
      </w:r>
      <w:r>
        <w:rPr>
          <w:rFonts w:hint="eastAsia"/>
          <w:snapToGrid w:val="0"/>
          <w:kern w:val="0"/>
          <w:sz w:val="24"/>
        </w:rPr>
        <w:t>在工程质量保修期内，</w:t>
      </w:r>
      <w:r>
        <w:rPr>
          <w:snapToGrid w:val="0"/>
          <w:kern w:val="0"/>
          <w:sz w:val="24"/>
        </w:rPr>
        <w:t>监理人应依据委托监理合同约定的监理工作的时间、范围和内容开展工作。</w:t>
      </w:r>
      <w:r>
        <w:rPr>
          <w:rFonts w:hint="eastAsia"/>
          <w:snapToGrid w:val="0"/>
          <w:kern w:val="0"/>
          <w:sz w:val="24"/>
        </w:rPr>
        <w:t>该阶段监理服务费用已包含在本合同约定的监理酬金内，不再另行计费。</w:t>
      </w:r>
    </w:p>
    <w:p w14:paraId="27FEB029">
      <w:pPr>
        <w:adjustRightInd w:val="0"/>
        <w:snapToGrid w:val="0"/>
        <w:spacing w:line="480" w:lineRule="exact"/>
        <w:ind w:firstLine="480" w:firstLineChars="200"/>
        <w:rPr>
          <w:snapToGrid w:val="0"/>
          <w:kern w:val="0"/>
          <w:sz w:val="24"/>
        </w:rPr>
      </w:pPr>
      <w:r>
        <w:rPr>
          <w:snapToGrid w:val="0"/>
          <w:kern w:val="0"/>
          <w:sz w:val="24"/>
        </w:rPr>
        <w:t>（2）承担质量保修期监理工作时，监理人应安排监理人员对委托人提出的工程质量缺陷进行检查和记录，对承包人进行修复的工程质量进行验收，合格后予以签认。</w:t>
      </w:r>
    </w:p>
    <w:p w14:paraId="73183EE9">
      <w:pPr>
        <w:adjustRightInd w:val="0"/>
        <w:snapToGrid w:val="0"/>
        <w:spacing w:line="480" w:lineRule="exact"/>
        <w:ind w:firstLine="480" w:firstLineChars="200"/>
        <w:rPr>
          <w:snapToGrid w:val="0"/>
          <w:kern w:val="0"/>
          <w:sz w:val="24"/>
        </w:rPr>
      </w:pPr>
      <w:r>
        <w:rPr>
          <w:snapToGrid w:val="0"/>
          <w:kern w:val="0"/>
          <w:sz w:val="24"/>
        </w:rPr>
        <w:t>（3）监理人员应对工程质量缺陷原因进行调查分析并确定责任归属，对非承包人原因造成的工程质量缺陷，监理人员应核实修复工程的费用和签署工程款支付证书，并报委托人。</w:t>
      </w:r>
    </w:p>
    <w:p w14:paraId="4CAB345E">
      <w:pPr>
        <w:topLinePunct/>
        <w:adjustRightInd w:val="0"/>
        <w:snapToGrid w:val="0"/>
        <w:spacing w:line="480" w:lineRule="exact"/>
        <w:ind w:firstLine="498" w:firstLineChars="200"/>
        <w:outlineLvl w:val="2"/>
        <w:rPr>
          <w:b/>
          <w:snapToGrid w:val="0"/>
          <w:spacing w:val="4"/>
          <w:kern w:val="0"/>
          <w:sz w:val="24"/>
        </w:rPr>
      </w:pPr>
      <w:r>
        <w:rPr>
          <w:b/>
          <w:snapToGrid w:val="0"/>
          <w:spacing w:val="4"/>
          <w:kern w:val="0"/>
          <w:sz w:val="24"/>
        </w:rPr>
        <w:t>4.3  项目监理机构</w:t>
      </w:r>
    </w:p>
    <w:p w14:paraId="56262745">
      <w:pPr>
        <w:topLinePunct/>
        <w:adjustRightInd w:val="0"/>
        <w:snapToGrid w:val="0"/>
        <w:spacing w:line="480" w:lineRule="exact"/>
        <w:ind w:firstLine="498" w:firstLineChars="200"/>
        <w:outlineLvl w:val="2"/>
        <w:rPr>
          <w:b/>
          <w:snapToGrid w:val="0"/>
          <w:spacing w:val="4"/>
          <w:kern w:val="0"/>
          <w:sz w:val="24"/>
        </w:rPr>
      </w:pPr>
      <w:r>
        <w:rPr>
          <w:b/>
          <w:snapToGrid w:val="0"/>
          <w:spacing w:val="4"/>
          <w:kern w:val="0"/>
          <w:sz w:val="24"/>
        </w:rPr>
        <w:t>4.3.1  项目监理机构</w:t>
      </w:r>
    </w:p>
    <w:p w14:paraId="30148CC3">
      <w:pPr>
        <w:topLinePunct/>
        <w:adjustRightInd w:val="0"/>
        <w:snapToGrid w:val="0"/>
        <w:spacing w:line="480" w:lineRule="exact"/>
        <w:ind w:firstLine="496" w:firstLineChars="200"/>
        <w:rPr>
          <w:snapToGrid w:val="0"/>
          <w:spacing w:val="4"/>
          <w:kern w:val="0"/>
          <w:sz w:val="24"/>
        </w:rPr>
      </w:pPr>
      <w:r>
        <w:rPr>
          <w:snapToGrid w:val="0"/>
          <w:spacing w:val="4"/>
          <w:kern w:val="0"/>
          <w:sz w:val="24"/>
        </w:rPr>
        <w:t>（1）监理人必须在施工现场建立项目监理机构。项目监理机构在完成委托监理合同约定的监理工作后可撤离施工现场。</w:t>
      </w:r>
    </w:p>
    <w:p w14:paraId="754DEEE9">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（2）监理人必须在委托人发出进场通知后，按委托人具体的要求进场，并立即开始履行本合同约定的</w:t>
      </w:r>
      <w:r>
        <w:rPr>
          <w:rFonts w:hint="eastAsia"/>
          <w:snapToGrid w:val="0"/>
          <w:spacing w:val="4"/>
          <w:kern w:val="0"/>
          <w:sz w:val="24"/>
        </w:rPr>
        <w:t>监理</w:t>
      </w:r>
      <w:r>
        <w:rPr>
          <w:snapToGrid w:val="0"/>
          <w:spacing w:val="4"/>
          <w:kern w:val="0"/>
          <w:sz w:val="24"/>
        </w:rPr>
        <w:t>服务。监理人必须按照其投标文件和监理规划的承诺，足额、按时派驻监理人员和投入设备（见</w:t>
      </w:r>
      <w:r>
        <w:rPr>
          <w:snapToGrid w:val="0"/>
          <w:spacing w:val="4"/>
          <w:kern w:val="0"/>
          <w:sz w:val="24"/>
          <w:u w:val="wave"/>
        </w:rPr>
        <w:t>合同附件3、附件4</w:t>
      </w:r>
      <w:r>
        <w:rPr>
          <w:snapToGrid w:val="0"/>
          <w:spacing w:val="4"/>
          <w:kern w:val="0"/>
          <w:sz w:val="24"/>
        </w:rPr>
        <w:t>）。</w:t>
      </w:r>
    </w:p>
    <w:p w14:paraId="4EEF5114">
      <w:pPr>
        <w:topLinePunct/>
        <w:adjustRightInd w:val="0"/>
        <w:snapToGrid w:val="0"/>
        <w:spacing w:line="480" w:lineRule="exact"/>
        <w:ind w:firstLine="496" w:firstLineChars="200"/>
        <w:rPr>
          <w:snapToGrid w:val="0"/>
          <w:spacing w:val="4"/>
          <w:kern w:val="0"/>
          <w:sz w:val="24"/>
        </w:rPr>
      </w:pPr>
      <w:r>
        <w:rPr>
          <w:snapToGrid w:val="0"/>
          <w:spacing w:val="4"/>
          <w:kern w:val="0"/>
          <w:sz w:val="24"/>
        </w:rPr>
        <w:t>（3）监理人员应包括总监理工程师、总监理工程师代表</w:t>
      </w:r>
      <w:r>
        <w:rPr>
          <w:rFonts w:hint="eastAsia"/>
          <w:snapToGrid w:val="0"/>
          <w:spacing w:val="4"/>
          <w:kern w:val="0"/>
          <w:sz w:val="24"/>
        </w:rPr>
        <w:t>、</w:t>
      </w:r>
      <w:r>
        <w:rPr>
          <w:snapToGrid w:val="0"/>
          <w:spacing w:val="4"/>
          <w:kern w:val="0"/>
          <w:sz w:val="24"/>
        </w:rPr>
        <w:t>专业监理工程师和监理员</w:t>
      </w:r>
      <w:r>
        <w:rPr>
          <w:rFonts w:hint="eastAsia"/>
          <w:snapToGrid w:val="0"/>
          <w:spacing w:val="4"/>
          <w:kern w:val="0"/>
          <w:sz w:val="24"/>
        </w:rPr>
        <w:t>等</w:t>
      </w:r>
      <w:r>
        <w:rPr>
          <w:snapToGrid w:val="0"/>
          <w:spacing w:val="4"/>
          <w:kern w:val="0"/>
          <w:sz w:val="24"/>
        </w:rPr>
        <w:t>。</w:t>
      </w:r>
    </w:p>
    <w:p w14:paraId="55C22FEC">
      <w:pPr>
        <w:topLinePunct/>
        <w:adjustRightInd w:val="0"/>
        <w:snapToGrid w:val="0"/>
        <w:spacing w:line="480" w:lineRule="exact"/>
        <w:ind w:firstLine="496" w:firstLineChars="200"/>
        <w:rPr>
          <w:snapToGrid w:val="0"/>
          <w:spacing w:val="4"/>
          <w:kern w:val="0"/>
          <w:sz w:val="24"/>
        </w:rPr>
      </w:pPr>
      <w:r>
        <w:rPr>
          <w:snapToGrid w:val="0"/>
          <w:spacing w:val="4"/>
          <w:kern w:val="0"/>
          <w:sz w:val="24"/>
        </w:rPr>
        <w:t>（4）项目监理机构的监理人员应专业配套、数量满足工程项目监理工作的需要，保证足够的监理人员从事要求的施工准备期至工程收尾、工程整改、工程竣工、工程移交、工程结算、工程竣工备案、工程质量保修期的监理工作。</w:t>
      </w:r>
    </w:p>
    <w:p w14:paraId="44D3947D">
      <w:pPr>
        <w:topLinePunct/>
        <w:adjustRightInd w:val="0"/>
        <w:snapToGrid w:val="0"/>
        <w:spacing w:line="480" w:lineRule="exact"/>
        <w:ind w:firstLine="496" w:firstLineChars="200"/>
        <w:rPr>
          <w:snapToGrid w:val="0"/>
          <w:spacing w:val="4"/>
          <w:kern w:val="0"/>
          <w:sz w:val="24"/>
        </w:rPr>
      </w:pPr>
      <w:r>
        <w:rPr>
          <w:snapToGrid w:val="0"/>
          <w:spacing w:val="4"/>
          <w:kern w:val="0"/>
          <w:sz w:val="24"/>
        </w:rPr>
        <w:t>（5）监理人派驻到项目所在地履行监理服务的监理人员，必须常驻现场。</w:t>
      </w:r>
    </w:p>
    <w:p w14:paraId="591864C2">
      <w:pPr>
        <w:topLinePunct/>
        <w:adjustRightInd w:val="0"/>
        <w:snapToGrid w:val="0"/>
        <w:spacing w:line="480" w:lineRule="exact"/>
        <w:ind w:firstLine="496" w:firstLineChars="200"/>
        <w:rPr>
          <w:snapToGrid w:val="0"/>
          <w:spacing w:val="4"/>
          <w:kern w:val="0"/>
          <w:sz w:val="24"/>
        </w:rPr>
      </w:pPr>
      <w:r>
        <w:rPr>
          <w:snapToGrid w:val="0"/>
          <w:spacing w:val="4"/>
          <w:kern w:val="0"/>
          <w:sz w:val="24"/>
        </w:rPr>
        <w:t>（6）考虑到本合同项目的重要性、特殊性、复杂性，委托人将监理人的人员落实、驻场人员的到位作为监理管理工作考核的内容之一。如监理人的人员投入、驻场工作的安排、落实，未能达到合同要求，委托人将严格按本合同的相关约定作出处理。</w:t>
      </w:r>
    </w:p>
    <w:p w14:paraId="57499306">
      <w:pPr>
        <w:topLinePunct/>
        <w:adjustRightInd w:val="0"/>
        <w:snapToGrid w:val="0"/>
        <w:spacing w:line="480" w:lineRule="exact"/>
        <w:ind w:firstLine="496" w:firstLineChars="200"/>
        <w:rPr>
          <w:snapToGrid w:val="0"/>
          <w:spacing w:val="4"/>
          <w:kern w:val="0"/>
          <w:sz w:val="24"/>
        </w:rPr>
      </w:pPr>
      <w:r>
        <w:rPr>
          <w:snapToGrid w:val="0"/>
          <w:spacing w:val="4"/>
          <w:kern w:val="0"/>
          <w:sz w:val="24"/>
        </w:rPr>
        <w:t>（7）监理人必须保证参与本项目监理人员的稳定性，未征得委托人同意不可撤换，否则必须承担相应责任。监理人因工作安排或其他原因，需要更换派驻到项目所在地履行监理服务的主要监理人员的，应事先得到委托人的同意。</w:t>
      </w:r>
    </w:p>
    <w:p w14:paraId="06A937A5">
      <w:pPr>
        <w:topLinePunct/>
        <w:adjustRightInd w:val="0"/>
        <w:snapToGrid w:val="0"/>
        <w:spacing w:line="480" w:lineRule="exact"/>
        <w:ind w:firstLine="496" w:firstLineChars="200"/>
        <w:rPr>
          <w:snapToGrid w:val="0"/>
          <w:spacing w:val="4"/>
          <w:kern w:val="0"/>
          <w:sz w:val="24"/>
        </w:rPr>
      </w:pPr>
      <w:r>
        <w:rPr>
          <w:snapToGrid w:val="0"/>
          <w:spacing w:val="4"/>
          <w:kern w:val="0"/>
          <w:sz w:val="24"/>
        </w:rPr>
        <w:t>（8）委托人有权以书面形式要求监理人更换不能按照本合同约定履行监理服务的派驻人员。</w:t>
      </w:r>
    </w:p>
    <w:p w14:paraId="187C5C0B">
      <w:pPr>
        <w:topLinePunct/>
        <w:adjustRightInd w:val="0"/>
        <w:snapToGrid w:val="0"/>
        <w:spacing w:line="480" w:lineRule="exact"/>
        <w:ind w:firstLine="496" w:firstLineChars="200"/>
        <w:rPr>
          <w:snapToGrid w:val="0"/>
          <w:spacing w:val="4"/>
          <w:kern w:val="0"/>
          <w:sz w:val="24"/>
        </w:rPr>
      </w:pPr>
      <w:r>
        <w:rPr>
          <w:snapToGrid w:val="0"/>
          <w:spacing w:val="4"/>
          <w:kern w:val="0"/>
          <w:sz w:val="24"/>
        </w:rPr>
        <w:t>（9）即使是委托人要求或同意更换的监理人员，其替代人员的资质仍应得到委托人的认可。由于更换人员引起的费用由监理人承担。</w:t>
      </w:r>
    </w:p>
    <w:p w14:paraId="3CC7CCEA">
      <w:pPr>
        <w:topLinePunct/>
        <w:adjustRightInd w:val="0"/>
        <w:snapToGrid w:val="0"/>
        <w:spacing w:line="480" w:lineRule="exact"/>
        <w:ind w:firstLine="496" w:firstLineChars="200"/>
        <w:rPr>
          <w:snapToGrid w:val="0"/>
          <w:spacing w:val="4"/>
          <w:kern w:val="0"/>
          <w:sz w:val="24"/>
        </w:rPr>
      </w:pPr>
      <w:r>
        <w:rPr>
          <w:snapToGrid w:val="0"/>
          <w:spacing w:val="4"/>
          <w:kern w:val="0"/>
          <w:sz w:val="24"/>
        </w:rPr>
        <w:t>（10）监理工程师在本监理合同授权范围内行使合同规定的权利，履行相应的职责。</w:t>
      </w:r>
    </w:p>
    <w:p w14:paraId="7F43C05E">
      <w:pPr>
        <w:topLinePunct/>
        <w:adjustRightInd w:val="0"/>
        <w:snapToGrid w:val="0"/>
        <w:spacing w:line="480" w:lineRule="exact"/>
        <w:ind w:firstLine="496" w:firstLineChars="200"/>
        <w:rPr>
          <w:snapToGrid w:val="0"/>
          <w:spacing w:val="4"/>
          <w:kern w:val="0"/>
          <w:sz w:val="24"/>
        </w:rPr>
      </w:pPr>
      <w:r>
        <w:rPr>
          <w:snapToGrid w:val="0"/>
          <w:spacing w:val="4"/>
          <w:kern w:val="0"/>
          <w:sz w:val="24"/>
        </w:rPr>
        <w:t>（11）如委托人认为监理人员的数量、监理人员的业务水平、监理人员的专业配置不能满足监理工作所需时，委托人有权另行聘请符合工作需要的监理人员；所聘请监理人员的工资已包括在本合同监理酬金内，此费用由监理人向所聘监理人员支付。必要时委托人有权从本合同监理酬金中直接支付。</w:t>
      </w:r>
    </w:p>
    <w:p w14:paraId="36A790D5">
      <w:pPr>
        <w:topLinePunct/>
        <w:adjustRightInd w:val="0"/>
        <w:snapToGrid w:val="0"/>
        <w:spacing w:line="480" w:lineRule="exact"/>
        <w:ind w:firstLine="496" w:firstLineChars="200"/>
        <w:rPr>
          <w:snapToGrid w:val="0"/>
          <w:spacing w:val="4"/>
          <w:kern w:val="0"/>
          <w:sz w:val="24"/>
        </w:rPr>
      </w:pPr>
      <w:r>
        <w:rPr>
          <w:snapToGrid w:val="0"/>
          <w:spacing w:val="4"/>
          <w:kern w:val="0"/>
          <w:sz w:val="24"/>
        </w:rPr>
        <w:t>（12）委托人根据工程推进实际情况，有权要求监理人的项目负责人必须调用其资源保证落实本项目监理工作。</w:t>
      </w:r>
    </w:p>
    <w:p w14:paraId="3035E372">
      <w:pPr>
        <w:topLinePunct/>
        <w:adjustRightInd w:val="0"/>
        <w:snapToGrid w:val="0"/>
        <w:spacing w:line="480" w:lineRule="exact"/>
        <w:ind w:firstLine="496" w:firstLineChars="200"/>
        <w:rPr>
          <w:snapToGrid w:val="0"/>
          <w:spacing w:val="4"/>
          <w:kern w:val="0"/>
          <w:sz w:val="24"/>
        </w:rPr>
      </w:pPr>
      <w:r>
        <w:rPr>
          <w:snapToGrid w:val="0"/>
          <w:spacing w:val="4"/>
          <w:kern w:val="0"/>
          <w:sz w:val="24"/>
        </w:rPr>
        <w:t>（13）监理人应对其驻地监理人员的人身安全承担责任。</w:t>
      </w:r>
    </w:p>
    <w:p w14:paraId="459A2BDE">
      <w:pPr>
        <w:topLinePunct/>
        <w:adjustRightInd w:val="0"/>
        <w:snapToGrid w:val="0"/>
        <w:spacing w:line="480" w:lineRule="exact"/>
        <w:ind w:firstLine="496" w:firstLineChars="200"/>
        <w:rPr>
          <w:snapToGrid w:val="0"/>
          <w:spacing w:val="4"/>
          <w:kern w:val="0"/>
          <w:sz w:val="24"/>
        </w:rPr>
      </w:pPr>
      <w:r>
        <w:rPr>
          <w:snapToGrid w:val="0"/>
          <w:spacing w:val="4"/>
          <w:kern w:val="0"/>
          <w:sz w:val="24"/>
        </w:rPr>
        <w:t>（14）监理人应于委托监理合同签订后十天内将项目监理机构的组织形式、人员构成及对总监理工程师的任命书面通知委托人。当总监理工程师需要调整时，监理人应征事先书面征得得委托人的同意；当专业监理工程师需要调整时，总监理工程师应书面通知委托人和承包人。</w:t>
      </w:r>
    </w:p>
    <w:p w14:paraId="4D9DA78B">
      <w:pPr>
        <w:topLinePunct/>
        <w:adjustRightInd w:val="0"/>
        <w:snapToGrid w:val="0"/>
        <w:spacing w:line="480" w:lineRule="exact"/>
        <w:ind w:firstLine="496" w:firstLineChars="200"/>
        <w:rPr>
          <w:snapToGrid w:val="0"/>
          <w:spacing w:val="4"/>
          <w:kern w:val="0"/>
          <w:sz w:val="24"/>
        </w:rPr>
      </w:pPr>
      <w:r>
        <w:rPr>
          <w:snapToGrid w:val="0"/>
          <w:spacing w:val="4"/>
          <w:kern w:val="0"/>
          <w:sz w:val="24"/>
        </w:rPr>
        <w:t>（15）为了加强委托人与监理人的沟通与协调，委托人另行指定一名专业工程师（委托人监理代表）常驻项目监理机构，监督并协助项目监理机构工作。该名代表的主要职责是：</w:t>
      </w:r>
    </w:p>
    <w:p w14:paraId="6FFC1487">
      <w:pPr>
        <w:topLinePunct/>
        <w:adjustRightInd w:val="0"/>
        <w:snapToGrid w:val="0"/>
        <w:spacing w:line="480" w:lineRule="exact"/>
        <w:ind w:firstLine="496" w:firstLineChars="200"/>
        <w:rPr>
          <w:snapToGrid w:val="0"/>
          <w:spacing w:val="4"/>
          <w:kern w:val="0"/>
          <w:sz w:val="24"/>
        </w:rPr>
      </w:pPr>
      <w:r>
        <w:rPr>
          <w:snapToGrid w:val="0"/>
          <w:spacing w:val="4"/>
          <w:kern w:val="0"/>
          <w:sz w:val="24"/>
        </w:rPr>
        <w:t>1）监督监理人的日常监理工作；</w:t>
      </w:r>
    </w:p>
    <w:p w14:paraId="1603ACA6">
      <w:pPr>
        <w:topLinePunct/>
        <w:adjustRightInd w:val="0"/>
        <w:snapToGrid w:val="0"/>
        <w:spacing w:line="480" w:lineRule="exact"/>
        <w:ind w:firstLine="496" w:firstLineChars="200"/>
        <w:rPr>
          <w:snapToGrid w:val="0"/>
          <w:spacing w:val="4"/>
          <w:kern w:val="0"/>
          <w:sz w:val="24"/>
        </w:rPr>
      </w:pPr>
      <w:r>
        <w:rPr>
          <w:snapToGrid w:val="0"/>
          <w:spacing w:val="4"/>
          <w:kern w:val="0"/>
          <w:sz w:val="24"/>
        </w:rPr>
        <w:t>2）负责每天对监理人人员及仪器设备的投入进行考勤考核；</w:t>
      </w:r>
    </w:p>
    <w:p w14:paraId="25990730">
      <w:pPr>
        <w:topLinePunct/>
        <w:adjustRightInd w:val="0"/>
        <w:snapToGrid w:val="0"/>
        <w:spacing w:line="480" w:lineRule="exact"/>
        <w:ind w:firstLine="496" w:firstLineChars="200"/>
        <w:rPr>
          <w:snapToGrid w:val="0"/>
          <w:spacing w:val="4"/>
          <w:kern w:val="0"/>
          <w:sz w:val="24"/>
        </w:rPr>
      </w:pPr>
      <w:r>
        <w:rPr>
          <w:snapToGrid w:val="0"/>
          <w:spacing w:val="4"/>
          <w:kern w:val="0"/>
          <w:sz w:val="24"/>
        </w:rPr>
        <w:t>3）检查监理人的旁站计划及旁站工作记录；</w:t>
      </w:r>
    </w:p>
    <w:p w14:paraId="536F8B7B">
      <w:pPr>
        <w:topLinePunct/>
        <w:adjustRightInd w:val="0"/>
        <w:snapToGrid w:val="0"/>
        <w:spacing w:line="480" w:lineRule="exact"/>
        <w:ind w:firstLine="496" w:firstLineChars="200"/>
        <w:rPr>
          <w:snapToGrid w:val="0"/>
          <w:spacing w:val="4"/>
          <w:kern w:val="0"/>
          <w:sz w:val="24"/>
        </w:rPr>
      </w:pPr>
      <w:r>
        <w:rPr>
          <w:snapToGrid w:val="0"/>
          <w:spacing w:val="4"/>
          <w:kern w:val="0"/>
          <w:sz w:val="24"/>
        </w:rPr>
        <w:t>4）检查监理人的监理日志及隐蔽工程验收记录；</w:t>
      </w:r>
    </w:p>
    <w:p w14:paraId="31121CC3">
      <w:pPr>
        <w:topLinePunct/>
        <w:adjustRightInd w:val="0"/>
        <w:snapToGrid w:val="0"/>
        <w:spacing w:line="480" w:lineRule="exact"/>
        <w:ind w:firstLine="496" w:firstLineChars="200"/>
        <w:rPr>
          <w:snapToGrid w:val="0"/>
          <w:spacing w:val="4"/>
          <w:kern w:val="0"/>
          <w:sz w:val="24"/>
        </w:rPr>
      </w:pPr>
      <w:r>
        <w:rPr>
          <w:snapToGrid w:val="0"/>
          <w:spacing w:val="4"/>
          <w:kern w:val="0"/>
          <w:sz w:val="24"/>
        </w:rPr>
        <w:t>5）检查监理人编制的承包人人、材、机投入及实物工程量统计报表；</w:t>
      </w:r>
    </w:p>
    <w:p w14:paraId="53E81C84">
      <w:pPr>
        <w:topLinePunct/>
        <w:adjustRightInd w:val="0"/>
        <w:snapToGrid w:val="0"/>
        <w:spacing w:line="480" w:lineRule="exact"/>
        <w:ind w:firstLine="496" w:firstLineChars="200"/>
        <w:rPr>
          <w:snapToGrid w:val="0"/>
          <w:spacing w:val="4"/>
          <w:kern w:val="0"/>
          <w:sz w:val="24"/>
        </w:rPr>
      </w:pPr>
      <w:r>
        <w:rPr>
          <w:snapToGrid w:val="0"/>
          <w:spacing w:val="4"/>
          <w:kern w:val="0"/>
          <w:sz w:val="24"/>
        </w:rPr>
        <w:t>6）如发生安全质量事故，应立即向委托人工程部门领导汇报；</w:t>
      </w:r>
    </w:p>
    <w:p w14:paraId="617B1F10">
      <w:pPr>
        <w:topLinePunct/>
        <w:adjustRightInd w:val="0"/>
        <w:snapToGrid w:val="0"/>
        <w:spacing w:line="480" w:lineRule="exact"/>
        <w:ind w:firstLine="496" w:firstLineChars="200"/>
        <w:rPr>
          <w:snapToGrid w:val="0"/>
          <w:spacing w:val="4"/>
          <w:kern w:val="0"/>
          <w:sz w:val="24"/>
        </w:rPr>
      </w:pPr>
      <w:r>
        <w:rPr>
          <w:snapToGrid w:val="0"/>
          <w:spacing w:val="4"/>
          <w:kern w:val="0"/>
          <w:sz w:val="24"/>
        </w:rPr>
        <w:t>7）审核签认监理酬金支付申请表；</w:t>
      </w:r>
    </w:p>
    <w:p w14:paraId="649D780A">
      <w:pPr>
        <w:topLinePunct/>
        <w:adjustRightInd w:val="0"/>
        <w:snapToGrid w:val="0"/>
        <w:spacing w:line="480" w:lineRule="exact"/>
        <w:ind w:firstLine="496" w:firstLineChars="200"/>
        <w:rPr>
          <w:snapToGrid w:val="0"/>
          <w:spacing w:val="4"/>
          <w:kern w:val="0"/>
          <w:sz w:val="24"/>
        </w:rPr>
      </w:pPr>
      <w:r>
        <w:rPr>
          <w:snapToGrid w:val="0"/>
          <w:spacing w:val="4"/>
          <w:kern w:val="0"/>
          <w:sz w:val="24"/>
        </w:rPr>
        <w:t>8）每天填写工作日志，不定期接受委托人工程部门检查；</w:t>
      </w:r>
    </w:p>
    <w:p w14:paraId="67C06683">
      <w:pPr>
        <w:topLinePunct/>
        <w:adjustRightInd w:val="0"/>
        <w:snapToGrid w:val="0"/>
        <w:spacing w:line="480" w:lineRule="exact"/>
        <w:ind w:firstLine="496" w:firstLineChars="200"/>
        <w:rPr>
          <w:snapToGrid w:val="0"/>
          <w:spacing w:val="4"/>
          <w:kern w:val="0"/>
          <w:sz w:val="24"/>
        </w:rPr>
      </w:pPr>
      <w:r>
        <w:rPr>
          <w:snapToGrid w:val="0"/>
          <w:spacing w:val="4"/>
          <w:kern w:val="0"/>
          <w:sz w:val="24"/>
        </w:rPr>
        <w:t>9）委托人要求其履行的其他职责。</w:t>
      </w:r>
    </w:p>
    <w:p w14:paraId="7A7622D6">
      <w:pPr>
        <w:topLinePunct/>
        <w:adjustRightInd w:val="0"/>
        <w:snapToGrid w:val="0"/>
        <w:spacing w:line="480" w:lineRule="exact"/>
        <w:ind w:firstLine="496" w:firstLineChars="200"/>
        <w:rPr>
          <w:snapToGrid w:val="0"/>
          <w:spacing w:val="4"/>
          <w:kern w:val="0"/>
          <w:sz w:val="24"/>
        </w:rPr>
      </w:pPr>
      <w:r>
        <w:rPr>
          <w:snapToGrid w:val="0"/>
          <w:spacing w:val="4"/>
          <w:kern w:val="0"/>
          <w:sz w:val="24"/>
        </w:rPr>
        <w:t>（16）监理人应按照广州市建委的要求为监理人员办理平安卡。</w:t>
      </w:r>
    </w:p>
    <w:p w14:paraId="4F8371DD">
      <w:pPr>
        <w:topLinePunct/>
        <w:adjustRightInd w:val="0"/>
        <w:snapToGrid w:val="0"/>
        <w:spacing w:line="480" w:lineRule="exact"/>
        <w:ind w:firstLine="498" w:firstLineChars="200"/>
        <w:outlineLvl w:val="2"/>
        <w:rPr>
          <w:b/>
          <w:snapToGrid w:val="0"/>
          <w:spacing w:val="4"/>
          <w:kern w:val="0"/>
          <w:sz w:val="24"/>
        </w:rPr>
      </w:pPr>
      <w:r>
        <w:rPr>
          <w:b/>
          <w:snapToGrid w:val="0"/>
          <w:spacing w:val="4"/>
          <w:kern w:val="0"/>
          <w:sz w:val="24"/>
        </w:rPr>
        <w:t>4.3.2  总监理工程师的委派和指令</w:t>
      </w:r>
    </w:p>
    <w:p w14:paraId="59035F64">
      <w:pPr>
        <w:topLinePunct/>
        <w:adjustRightInd w:val="0"/>
        <w:snapToGrid w:val="0"/>
        <w:spacing w:line="480" w:lineRule="exact"/>
        <w:ind w:firstLine="496" w:firstLineChars="200"/>
        <w:rPr>
          <w:bCs/>
          <w:snapToGrid w:val="0"/>
          <w:spacing w:val="4"/>
          <w:kern w:val="0"/>
          <w:sz w:val="24"/>
        </w:rPr>
      </w:pPr>
      <w:r>
        <w:rPr>
          <w:snapToGrid w:val="0"/>
          <w:spacing w:val="4"/>
          <w:kern w:val="0"/>
          <w:sz w:val="24"/>
        </w:rPr>
        <w:t>（1）</w:t>
      </w:r>
      <w:r>
        <w:rPr>
          <w:bCs/>
          <w:snapToGrid w:val="0"/>
          <w:spacing w:val="4"/>
          <w:kern w:val="0"/>
          <w:sz w:val="24"/>
        </w:rPr>
        <w:t>总监理工程师可以授权监理人员负责执行其指派的一项或多项监管工作。总监理工程师应将这些监理人员的姓名及其授权范围通知承包人。被授权的监理人员在授权范围内发出的指令视为已得到总监理工程师的同意，与总监理工程师发出的指令具有同等效力。总监理工程师撤销对监理人员某项授权的，应将撤销授权的决定及时通知承包人。</w:t>
      </w:r>
    </w:p>
    <w:p w14:paraId="3FC8DCDD">
      <w:pPr>
        <w:topLinePunct/>
        <w:adjustRightInd w:val="0"/>
        <w:snapToGrid w:val="0"/>
        <w:spacing w:line="480" w:lineRule="exact"/>
        <w:ind w:firstLine="496" w:firstLineChars="200"/>
        <w:rPr>
          <w:bCs/>
          <w:snapToGrid w:val="0"/>
          <w:spacing w:val="4"/>
          <w:kern w:val="0"/>
          <w:sz w:val="24"/>
        </w:rPr>
      </w:pPr>
      <w:r>
        <w:rPr>
          <w:snapToGrid w:val="0"/>
          <w:spacing w:val="4"/>
          <w:kern w:val="0"/>
          <w:sz w:val="24"/>
        </w:rPr>
        <w:t>（2）</w:t>
      </w:r>
      <w:r>
        <w:rPr>
          <w:bCs/>
          <w:snapToGrid w:val="0"/>
          <w:spacing w:val="4"/>
          <w:kern w:val="0"/>
          <w:sz w:val="24"/>
        </w:rPr>
        <w:t>除特别指明外，监理人员对承包人的任何工作、工程或其采用的材料和工程设备未提出否定意见的，不应视为已获批准，也不影响总监理工程师或监理人员在以后拒绝该项工作、工程、材料或工程设备的权利。</w:t>
      </w:r>
    </w:p>
    <w:p w14:paraId="6496A8C0">
      <w:pPr>
        <w:topLinePunct/>
        <w:adjustRightInd w:val="0"/>
        <w:snapToGrid w:val="0"/>
        <w:spacing w:line="480" w:lineRule="exact"/>
        <w:ind w:firstLine="496" w:firstLineChars="200"/>
        <w:rPr>
          <w:bCs/>
          <w:snapToGrid w:val="0"/>
          <w:spacing w:val="4"/>
          <w:kern w:val="0"/>
          <w:sz w:val="24"/>
        </w:rPr>
      </w:pPr>
      <w:r>
        <w:rPr>
          <w:snapToGrid w:val="0"/>
          <w:spacing w:val="4"/>
          <w:kern w:val="0"/>
          <w:sz w:val="24"/>
        </w:rPr>
        <w:t>（3）</w:t>
      </w:r>
      <w:r>
        <w:rPr>
          <w:bCs/>
          <w:snapToGrid w:val="0"/>
          <w:spacing w:val="4"/>
          <w:kern w:val="0"/>
          <w:sz w:val="24"/>
        </w:rPr>
        <w:t>总监理工程师应按相关合同的约定向承包人发出指令，总监理工程师的指令应盖有监理人授权的施工场地机构章，并由总监理工程师或总监理工程师按</w:t>
      </w:r>
      <w:r>
        <w:rPr>
          <w:bCs/>
          <w:snapToGrid w:val="0"/>
          <w:spacing w:val="4"/>
          <w:kern w:val="0"/>
          <w:sz w:val="24"/>
          <w:u w:val="wave"/>
        </w:rPr>
        <w:t>上述（1）项约定</w:t>
      </w:r>
      <w:r>
        <w:rPr>
          <w:bCs/>
          <w:snapToGrid w:val="0"/>
          <w:spacing w:val="4"/>
          <w:kern w:val="0"/>
          <w:sz w:val="24"/>
        </w:rPr>
        <w:t>授权的监理人员签字。</w:t>
      </w:r>
    </w:p>
    <w:p w14:paraId="5DCF17AE">
      <w:pPr>
        <w:topLinePunct/>
        <w:adjustRightInd w:val="0"/>
        <w:snapToGrid w:val="0"/>
        <w:spacing w:line="480" w:lineRule="exact"/>
        <w:ind w:firstLine="496" w:firstLineChars="200"/>
        <w:rPr>
          <w:bCs/>
          <w:strike/>
          <w:snapToGrid w:val="0"/>
          <w:spacing w:val="4"/>
          <w:kern w:val="0"/>
          <w:sz w:val="24"/>
        </w:rPr>
      </w:pPr>
      <w:r>
        <w:rPr>
          <w:snapToGrid w:val="0"/>
          <w:spacing w:val="4"/>
          <w:kern w:val="0"/>
          <w:sz w:val="24"/>
        </w:rPr>
        <w:t>（4）</w:t>
      </w:r>
      <w:r>
        <w:rPr>
          <w:bCs/>
          <w:snapToGrid w:val="0"/>
          <w:spacing w:val="4"/>
          <w:kern w:val="0"/>
          <w:sz w:val="24"/>
        </w:rPr>
        <w:t>承包人收到总监理工程师按</w:t>
      </w:r>
      <w:r>
        <w:rPr>
          <w:bCs/>
          <w:snapToGrid w:val="0"/>
          <w:spacing w:val="4"/>
          <w:kern w:val="0"/>
          <w:sz w:val="24"/>
          <w:u w:val="wave"/>
        </w:rPr>
        <w:t>上述（3）项约定</w:t>
      </w:r>
      <w:r>
        <w:rPr>
          <w:bCs/>
          <w:snapToGrid w:val="0"/>
          <w:spacing w:val="4"/>
          <w:kern w:val="0"/>
          <w:sz w:val="24"/>
        </w:rPr>
        <w:t>作出的指令后应遵照执行。承包人对总监理工程师的指令有异议的，可向总监理工程师提出书面意见，但应先遵照执行。总监理工程师研究承包人的书面意见后，应在48小时内对该指令予以确认、更改或撤销，并通知承包人。若总监理工程师再次决定继续执行原指令，承包人应遵照执行，承包人如仍有异议，可报委托人裁决。</w:t>
      </w:r>
    </w:p>
    <w:p w14:paraId="18807118">
      <w:pPr>
        <w:topLinePunct/>
        <w:adjustRightInd w:val="0"/>
        <w:snapToGrid w:val="0"/>
        <w:spacing w:line="480" w:lineRule="exact"/>
        <w:ind w:firstLine="496" w:firstLineChars="200"/>
        <w:rPr>
          <w:bCs/>
          <w:snapToGrid w:val="0"/>
          <w:spacing w:val="4"/>
          <w:kern w:val="0"/>
          <w:sz w:val="24"/>
        </w:rPr>
      </w:pPr>
      <w:r>
        <w:rPr>
          <w:snapToGrid w:val="0"/>
          <w:spacing w:val="4"/>
          <w:kern w:val="0"/>
          <w:sz w:val="24"/>
        </w:rPr>
        <w:t>（5）</w:t>
      </w:r>
      <w:r>
        <w:rPr>
          <w:bCs/>
          <w:snapToGrid w:val="0"/>
          <w:spacing w:val="4"/>
          <w:kern w:val="0"/>
          <w:sz w:val="24"/>
        </w:rPr>
        <w:t>在紧急情况下，总监理工程师或被授权的监理人员可以当场发出口头指令，承包人应遵照执行。监理人应在发出口头指令后24小时内发出书面指令予以确认。</w:t>
      </w:r>
    </w:p>
    <w:p w14:paraId="513813AA">
      <w:pPr>
        <w:topLinePunct/>
        <w:adjustRightInd w:val="0"/>
        <w:snapToGrid w:val="0"/>
        <w:spacing w:line="480" w:lineRule="exact"/>
        <w:ind w:firstLine="496" w:firstLineChars="200"/>
        <w:rPr>
          <w:bCs/>
          <w:snapToGrid w:val="0"/>
          <w:spacing w:val="4"/>
          <w:kern w:val="0"/>
          <w:sz w:val="24"/>
        </w:rPr>
      </w:pPr>
      <w:r>
        <w:rPr>
          <w:snapToGrid w:val="0"/>
          <w:spacing w:val="4"/>
          <w:kern w:val="0"/>
          <w:sz w:val="24"/>
        </w:rPr>
        <w:t>（6）</w:t>
      </w:r>
      <w:r>
        <w:rPr>
          <w:bCs/>
          <w:snapToGrid w:val="0"/>
          <w:spacing w:val="4"/>
          <w:kern w:val="0"/>
          <w:sz w:val="24"/>
        </w:rPr>
        <w:t>除合同另有约定外，承包人只从总监理工程师或按</w:t>
      </w:r>
      <w:r>
        <w:rPr>
          <w:bCs/>
          <w:snapToGrid w:val="0"/>
          <w:spacing w:val="4"/>
          <w:kern w:val="0"/>
          <w:sz w:val="24"/>
          <w:u w:val="wave"/>
        </w:rPr>
        <w:t>上述（1）项</w:t>
      </w:r>
      <w:r>
        <w:rPr>
          <w:bCs/>
          <w:snapToGrid w:val="0"/>
          <w:spacing w:val="4"/>
          <w:kern w:val="0"/>
          <w:sz w:val="24"/>
        </w:rPr>
        <w:t>被授权的监理人员处取得指令。</w:t>
      </w:r>
    </w:p>
    <w:p w14:paraId="0D0540DE">
      <w:pPr>
        <w:topLinePunct/>
        <w:adjustRightInd w:val="0"/>
        <w:snapToGrid w:val="0"/>
        <w:spacing w:line="480" w:lineRule="exact"/>
        <w:ind w:firstLine="496" w:firstLineChars="200"/>
        <w:rPr>
          <w:bCs/>
          <w:snapToGrid w:val="0"/>
          <w:spacing w:val="4"/>
          <w:kern w:val="0"/>
          <w:sz w:val="24"/>
        </w:rPr>
      </w:pPr>
      <w:r>
        <w:rPr>
          <w:snapToGrid w:val="0"/>
          <w:spacing w:val="4"/>
          <w:kern w:val="0"/>
          <w:sz w:val="24"/>
        </w:rPr>
        <w:t>（7）</w:t>
      </w:r>
      <w:r>
        <w:rPr>
          <w:bCs/>
          <w:snapToGrid w:val="0"/>
          <w:spacing w:val="4"/>
          <w:kern w:val="0"/>
          <w:sz w:val="24"/>
        </w:rPr>
        <w:t>由于总监理工程师未能按合同约定履行职责或总监理工程师指令错误而延误工期的，工期顺延情形只适用于一般节点工期</w:t>
      </w:r>
      <w:r>
        <w:rPr>
          <w:rFonts w:hint="eastAsia"/>
          <w:bCs/>
          <w:snapToGrid w:val="0"/>
          <w:spacing w:val="4"/>
          <w:kern w:val="0"/>
          <w:sz w:val="24"/>
        </w:rPr>
        <w:t>，并视为监理人严重违约，并向委托人赔偿损失。</w:t>
      </w:r>
    </w:p>
    <w:p w14:paraId="4872E1C6">
      <w:pPr>
        <w:topLinePunct/>
        <w:adjustRightInd w:val="0"/>
        <w:snapToGrid w:val="0"/>
        <w:spacing w:line="480" w:lineRule="exact"/>
        <w:ind w:firstLine="498" w:firstLineChars="200"/>
        <w:outlineLvl w:val="1"/>
        <w:rPr>
          <w:snapToGrid w:val="0"/>
          <w:spacing w:val="4"/>
          <w:kern w:val="0"/>
          <w:sz w:val="24"/>
        </w:rPr>
      </w:pPr>
      <w:r>
        <w:rPr>
          <w:b/>
          <w:snapToGrid w:val="0"/>
          <w:spacing w:val="4"/>
          <w:kern w:val="0"/>
          <w:sz w:val="24"/>
        </w:rPr>
        <w:t>第五条　监理人义务</w:t>
      </w:r>
    </w:p>
    <w:p w14:paraId="2F041E6A">
      <w:pPr>
        <w:topLinePunct/>
        <w:adjustRightInd w:val="0"/>
        <w:snapToGrid w:val="0"/>
        <w:spacing w:line="480" w:lineRule="exact"/>
        <w:ind w:firstLine="498" w:firstLineChars="200"/>
        <w:outlineLvl w:val="2"/>
        <w:rPr>
          <w:snapToGrid w:val="0"/>
          <w:spacing w:val="4"/>
          <w:kern w:val="0"/>
          <w:sz w:val="24"/>
        </w:rPr>
      </w:pPr>
      <w:r>
        <w:rPr>
          <w:b/>
          <w:snapToGrid w:val="0"/>
          <w:spacing w:val="4"/>
          <w:kern w:val="0"/>
          <w:sz w:val="24"/>
        </w:rPr>
        <w:t>5.1</w:t>
      </w:r>
      <w:r>
        <w:rPr>
          <w:snapToGrid w:val="0"/>
          <w:spacing w:val="4"/>
          <w:kern w:val="0"/>
          <w:sz w:val="24"/>
        </w:rPr>
        <w:t xml:space="preserve">  监理人应对其派驻的项目监理机构在监理业务范围内的工作全面负责，并提供一切必要的支持。</w:t>
      </w:r>
    </w:p>
    <w:p w14:paraId="1D726CC6">
      <w:pPr>
        <w:topLinePunct/>
        <w:adjustRightInd w:val="0"/>
        <w:snapToGrid w:val="0"/>
        <w:spacing w:line="480" w:lineRule="exact"/>
        <w:ind w:firstLine="498" w:firstLineChars="200"/>
        <w:outlineLvl w:val="2"/>
        <w:rPr>
          <w:snapToGrid w:val="0"/>
          <w:spacing w:val="4"/>
          <w:kern w:val="0"/>
          <w:sz w:val="24"/>
        </w:rPr>
      </w:pPr>
      <w:r>
        <w:rPr>
          <w:b/>
          <w:snapToGrid w:val="0"/>
          <w:spacing w:val="4"/>
          <w:kern w:val="0"/>
          <w:sz w:val="24"/>
        </w:rPr>
        <w:t>5.2</w:t>
      </w:r>
      <w:r>
        <w:rPr>
          <w:snapToGrid w:val="0"/>
          <w:spacing w:val="4"/>
          <w:kern w:val="0"/>
          <w:sz w:val="24"/>
        </w:rPr>
        <w:t xml:space="preserve">  监理人在本合同履行期内必须接受委托人有关项目管理机构职权规定的约束，监理人应对提供给本项目服务的人员经常进行检查、指导、管理及后方支持，对他们完成的服务承担责任。</w:t>
      </w:r>
    </w:p>
    <w:p w14:paraId="5537480B">
      <w:pPr>
        <w:topLinePunct/>
        <w:adjustRightInd w:val="0"/>
        <w:snapToGrid w:val="0"/>
        <w:spacing w:line="480" w:lineRule="exact"/>
        <w:ind w:firstLine="498" w:firstLineChars="200"/>
        <w:outlineLvl w:val="2"/>
        <w:rPr>
          <w:snapToGrid w:val="0"/>
          <w:spacing w:val="4"/>
          <w:kern w:val="0"/>
          <w:sz w:val="24"/>
        </w:rPr>
      </w:pPr>
      <w:r>
        <w:rPr>
          <w:b/>
          <w:snapToGrid w:val="0"/>
          <w:spacing w:val="4"/>
          <w:kern w:val="0"/>
          <w:sz w:val="24"/>
        </w:rPr>
        <w:t>5.3</w:t>
      </w:r>
      <w:r>
        <w:rPr>
          <w:snapToGrid w:val="0"/>
          <w:spacing w:val="4"/>
          <w:kern w:val="0"/>
          <w:sz w:val="24"/>
        </w:rPr>
        <w:t xml:space="preserve">  监理人必须在收到图纸、勘察资料等技术文件后14个日内向委托人提供针对本合同工程特点、重点、难点的《监理规划》、相应的《监理实施细则》，经委托人审核批准后执行，委托人以此具体考核监理人的监理工作。如委托人要求监理人对《监理规划》等进行调整，监理人必须在3个日内完成调整并报委托人审批。</w:t>
      </w:r>
    </w:p>
    <w:p w14:paraId="748F0DE3">
      <w:pPr>
        <w:topLinePunct/>
        <w:adjustRightInd w:val="0"/>
        <w:snapToGrid w:val="0"/>
        <w:spacing w:line="480" w:lineRule="exact"/>
        <w:ind w:firstLine="498" w:firstLineChars="200"/>
        <w:outlineLvl w:val="2"/>
        <w:rPr>
          <w:snapToGrid w:val="0"/>
          <w:spacing w:val="4"/>
          <w:kern w:val="0"/>
          <w:sz w:val="24"/>
        </w:rPr>
      </w:pPr>
      <w:r>
        <w:rPr>
          <w:b/>
          <w:snapToGrid w:val="0"/>
          <w:spacing w:val="4"/>
          <w:kern w:val="0"/>
          <w:sz w:val="24"/>
        </w:rPr>
        <w:t>5.4</w:t>
      </w:r>
      <w:r>
        <w:rPr>
          <w:snapToGrid w:val="0"/>
          <w:spacing w:val="4"/>
          <w:kern w:val="0"/>
          <w:sz w:val="24"/>
        </w:rPr>
        <w:t xml:space="preserve">  委托人委托监理人代表委托人组织施工前期手续的办理工作，直至具备施工条件。委托人委托监理人承担本合同工程范围内的协调管理工作，包括工程施工的进场、设计、退场、质量、进度及其他相关工作。</w:t>
      </w:r>
    </w:p>
    <w:p w14:paraId="00E959E8">
      <w:pPr>
        <w:topLinePunct/>
        <w:adjustRightInd w:val="0"/>
        <w:snapToGrid w:val="0"/>
        <w:spacing w:line="480" w:lineRule="exact"/>
        <w:ind w:firstLine="498" w:firstLineChars="200"/>
        <w:outlineLvl w:val="2"/>
        <w:rPr>
          <w:snapToGrid w:val="0"/>
          <w:spacing w:val="4"/>
          <w:kern w:val="0"/>
          <w:sz w:val="24"/>
        </w:rPr>
      </w:pPr>
      <w:r>
        <w:rPr>
          <w:b/>
          <w:snapToGrid w:val="0"/>
          <w:spacing w:val="4"/>
          <w:kern w:val="0"/>
          <w:sz w:val="24"/>
        </w:rPr>
        <w:t>5.5</w:t>
      </w:r>
      <w:r>
        <w:rPr>
          <w:snapToGrid w:val="0"/>
          <w:spacing w:val="4"/>
          <w:kern w:val="0"/>
          <w:sz w:val="24"/>
        </w:rPr>
        <w:t xml:space="preserve">  监理工程师在本合同工程中，对工程质量、投资与进度进行控制，办理合同约定的各项手续。监理工程师在办理各种手续时，不得扣压和延误。</w:t>
      </w:r>
    </w:p>
    <w:p w14:paraId="7E402C6B">
      <w:pPr>
        <w:topLinePunct/>
        <w:adjustRightInd w:val="0"/>
        <w:snapToGrid w:val="0"/>
        <w:spacing w:line="480" w:lineRule="exact"/>
        <w:ind w:firstLine="498" w:firstLineChars="200"/>
        <w:outlineLvl w:val="2"/>
        <w:rPr>
          <w:snapToGrid w:val="0"/>
          <w:spacing w:val="4"/>
          <w:kern w:val="0"/>
          <w:sz w:val="24"/>
        </w:rPr>
      </w:pPr>
      <w:r>
        <w:rPr>
          <w:b/>
          <w:snapToGrid w:val="0"/>
          <w:spacing w:val="4"/>
          <w:kern w:val="0"/>
          <w:sz w:val="24"/>
        </w:rPr>
        <w:t>5.6</w:t>
      </w:r>
      <w:r>
        <w:rPr>
          <w:snapToGrid w:val="0"/>
          <w:spacing w:val="4"/>
          <w:kern w:val="0"/>
          <w:sz w:val="24"/>
        </w:rPr>
        <w:t xml:space="preserve">  在任何情况下（包括合同另有约定的情况），凡涉及工程变更、工程量增减、议价、索赔、处理事故、改变工期、改变技术标准、改变重大施工方案等及一切有关费用的问题，均需与委托人共同商定，报委托人批准。</w:t>
      </w:r>
      <w:r>
        <w:rPr>
          <w:rFonts w:hint="eastAsia"/>
          <w:snapToGrid w:val="0"/>
          <w:spacing w:val="4"/>
          <w:kern w:val="0"/>
          <w:sz w:val="24"/>
        </w:rPr>
        <w:t>如监理人未批委托人，导致委托人损失的，除承担相关发生费用外，每发生一次，视为一般违约，承担一般违约责任1次。</w:t>
      </w:r>
    </w:p>
    <w:p w14:paraId="37708A58">
      <w:pPr>
        <w:topLinePunct/>
        <w:adjustRightInd w:val="0"/>
        <w:snapToGrid w:val="0"/>
        <w:spacing w:line="480" w:lineRule="exact"/>
        <w:ind w:firstLine="498" w:firstLineChars="200"/>
        <w:outlineLvl w:val="2"/>
        <w:rPr>
          <w:snapToGrid w:val="0"/>
          <w:spacing w:val="4"/>
          <w:kern w:val="0"/>
          <w:sz w:val="24"/>
        </w:rPr>
      </w:pPr>
      <w:r>
        <w:rPr>
          <w:b/>
          <w:snapToGrid w:val="0"/>
          <w:spacing w:val="4"/>
          <w:kern w:val="0"/>
          <w:sz w:val="24"/>
        </w:rPr>
        <w:t>5.7</w:t>
      </w:r>
      <w:r>
        <w:rPr>
          <w:snapToGrid w:val="0"/>
          <w:spacing w:val="4"/>
          <w:kern w:val="0"/>
          <w:sz w:val="24"/>
        </w:rPr>
        <w:t xml:space="preserve">  本合同工程质量实行承包人自检、监理人、委托人和政府监督的多级管理体制。对工程质量出现问题返工而造成的一切经济和工期损失，由承包人承担，并按合同约定承担相应的违约责任。监理人根据本合同约定承担相应的责任。监理人对某一分部或分项工程的认可不影响政府监督机构或委托人在事后的否定。</w:t>
      </w:r>
    </w:p>
    <w:p w14:paraId="321586B4">
      <w:pPr>
        <w:topLinePunct/>
        <w:adjustRightInd w:val="0"/>
        <w:snapToGrid w:val="0"/>
        <w:spacing w:line="480" w:lineRule="exact"/>
        <w:ind w:firstLine="498" w:firstLineChars="200"/>
        <w:outlineLvl w:val="2"/>
        <w:rPr>
          <w:snapToGrid w:val="0"/>
          <w:spacing w:val="4"/>
          <w:kern w:val="0"/>
          <w:sz w:val="24"/>
        </w:rPr>
      </w:pPr>
      <w:r>
        <w:rPr>
          <w:b/>
          <w:snapToGrid w:val="0"/>
          <w:spacing w:val="4"/>
          <w:kern w:val="0"/>
          <w:sz w:val="24"/>
        </w:rPr>
        <w:t>5.8</w:t>
      </w:r>
      <w:r>
        <w:rPr>
          <w:snapToGrid w:val="0"/>
          <w:spacing w:val="4"/>
          <w:kern w:val="0"/>
          <w:sz w:val="24"/>
        </w:rPr>
        <w:t xml:space="preserve">  监理人应尽一切努力，高效又经济地按照合同约定及行业通常接受的技术和惯例履行服务，遵守正确的管理和工程惯例，使用适当的先进技术和安全有效的设备、仪器、材料和方法，就与施工合同中服务有关的事宜，监理人始终作为委托人的忠实顾问，认真、充分履行其监理职责。在与承包人的交往中维护委托人的合法利益，力争使其服务达到委托人满意。</w:t>
      </w:r>
    </w:p>
    <w:p w14:paraId="20B4AE12">
      <w:pPr>
        <w:topLinePunct/>
        <w:adjustRightInd w:val="0"/>
        <w:snapToGrid w:val="0"/>
        <w:spacing w:line="480" w:lineRule="exact"/>
        <w:ind w:firstLine="498" w:firstLineChars="200"/>
        <w:outlineLvl w:val="2"/>
        <w:rPr>
          <w:snapToGrid w:val="0"/>
          <w:spacing w:val="4"/>
          <w:kern w:val="0"/>
          <w:sz w:val="24"/>
        </w:rPr>
      </w:pPr>
      <w:r>
        <w:rPr>
          <w:b/>
          <w:snapToGrid w:val="0"/>
          <w:spacing w:val="4"/>
          <w:kern w:val="0"/>
          <w:sz w:val="24"/>
        </w:rPr>
        <w:t>5.9</w:t>
      </w:r>
      <w:r>
        <w:rPr>
          <w:snapToGrid w:val="0"/>
          <w:spacing w:val="4"/>
          <w:kern w:val="0"/>
          <w:sz w:val="24"/>
        </w:rPr>
        <w:t xml:space="preserve">  监理人必须不折不扣地履行其工作职责，不得推托或耽误，不能有不履行或不完全履行职务的行为，否则，必须承担相应的违约责任。</w:t>
      </w:r>
    </w:p>
    <w:p w14:paraId="5D0527B0">
      <w:pPr>
        <w:topLinePunct/>
        <w:adjustRightInd w:val="0"/>
        <w:snapToGrid w:val="0"/>
        <w:spacing w:line="480" w:lineRule="exact"/>
        <w:ind w:firstLine="498" w:firstLineChars="200"/>
        <w:outlineLvl w:val="2"/>
        <w:rPr>
          <w:snapToGrid w:val="0"/>
          <w:spacing w:val="4"/>
          <w:kern w:val="0"/>
          <w:sz w:val="24"/>
        </w:rPr>
      </w:pPr>
      <w:r>
        <w:rPr>
          <w:b/>
          <w:snapToGrid w:val="0"/>
          <w:spacing w:val="4"/>
          <w:kern w:val="0"/>
          <w:sz w:val="24"/>
        </w:rPr>
        <w:t>5.10</w:t>
      </w:r>
      <w:r>
        <w:rPr>
          <w:snapToGrid w:val="0"/>
          <w:spacing w:val="4"/>
          <w:kern w:val="0"/>
          <w:sz w:val="24"/>
        </w:rPr>
        <w:t xml:space="preserve">  对于委托人及承包人书面提交并要求作出决定的事宜，监理人应在3日内作出书面答复，对影响施工现场进度的事项应在24小时内作出具有明确处理意见的书面答复。</w:t>
      </w:r>
      <w:r>
        <w:rPr>
          <w:rFonts w:hint="eastAsia"/>
          <w:snapToGrid w:val="0"/>
          <w:spacing w:val="4"/>
          <w:kern w:val="0"/>
          <w:sz w:val="24"/>
        </w:rPr>
        <w:t>如监理人未按本条要求及时答复的，每发生一次，视为一般违约，承担一般违约责任1次。</w:t>
      </w:r>
    </w:p>
    <w:p w14:paraId="315E8A31">
      <w:pPr>
        <w:topLinePunct/>
        <w:adjustRightInd w:val="0"/>
        <w:snapToGrid w:val="0"/>
        <w:spacing w:line="480" w:lineRule="exact"/>
        <w:ind w:firstLine="498" w:firstLineChars="200"/>
        <w:outlineLvl w:val="2"/>
        <w:rPr>
          <w:snapToGrid w:val="0"/>
          <w:spacing w:val="4"/>
          <w:kern w:val="0"/>
          <w:sz w:val="24"/>
        </w:rPr>
      </w:pPr>
      <w:r>
        <w:rPr>
          <w:b/>
          <w:snapToGrid w:val="0"/>
          <w:spacing w:val="4"/>
          <w:kern w:val="0"/>
          <w:sz w:val="24"/>
        </w:rPr>
        <w:t>5.11</w:t>
      </w:r>
      <w:r>
        <w:rPr>
          <w:snapToGrid w:val="0"/>
          <w:spacing w:val="4"/>
          <w:kern w:val="0"/>
          <w:sz w:val="24"/>
        </w:rPr>
        <w:t xml:space="preserve">  监理人应在签订本合同后</w:t>
      </w:r>
      <w:r>
        <w:rPr>
          <w:rFonts w:hint="eastAsia"/>
          <w:snapToGrid w:val="0"/>
          <w:spacing w:val="4"/>
          <w:kern w:val="0"/>
          <w:sz w:val="24"/>
        </w:rPr>
        <w:t>7</w:t>
      </w:r>
      <w:r>
        <w:rPr>
          <w:snapToGrid w:val="0"/>
          <w:spacing w:val="4"/>
          <w:kern w:val="0"/>
          <w:sz w:val="24"/>
        </w:rPr>
        <w:t>天内按招标文件载明的格式向委托人提交由在中国注册的银行开出的</w:t>
      </w:r>
      <w:r>
        <w:rPr>
          <w:rFonts w:hint="eastAsia"/>
          <w:snapToGrid w:val="0"/>
          <w:spacing w:val="4"/>
          <w:kern w:val="0"/>
          <w:sz w:val="24"/>
        </w:rPr>
        <w:t>、</w:t>
      </w:r>
      <w:r>
        <w:rPr>
          <w:snapToGrid w:val="0"/>
          <w:spacing w:val="4"/>
          <w:kern w:val="0"/>
          <w:sz w:val="24"/>
        </w:rPr>
        <w:t>担保金额为合同价款的10%,即人民币     元的《履约银行保函》原件。</w:t>
      </w:r>
    </w:p>
    <w:p w14:paraId="20598292">
      <w:pPr>
        <w:topLinePunct/>
        <w:adjustRightInd w:val="0"/>
        <w:snapToGrid w:val="0"/>
        <w:spacing w:line="480" w:lineRule="exact"/>
        <w:ind w:firstLine="498" w:firstLineChars="200"/>
        <w:outlineLvl w:val="2"/>
        <w:rPr>
          <w:snapToGrid w:val="0"/>
          <w:spacing w:val="4"/>
          <w:kern w:val="0"/>
          <w:sz w:val="24"/>
        </w:rPr>
      </w:pPr>
      <w:r>
        <w:rPr>
          <w:b/>
          <w:snapToGrid w:val="0"/>
          <w:spacing w:val="4"/>
          <w:kern w:val="0"/>
          <w:sz w:val="24"/>
        </w:rPr>
        <w:t>5.12</w:t>
      </w:r>
      <w:r>
        <w:rPr>
          <w:snapToGrid w:val="0"/>
          <w:spacing w:val="4"/>
          <w:kern w:val="0"/>
          <w:sz w:val="24"/>
        </w:rPr>
        <w:t xml:space="preserve"> 监理人如未能在上述约定的时间内提交履约银行保函的，视为自动放弃中标资格，其所提交的投标保证金不予退还。</w:t>
      </w:r>
    </w:p>
    <w:p w14:paraId="65D9610A">
      <w:pPr>
        <w:topLinePunct/>
        <w:adjustRightInd w:val="0"/>
        <w:snapToGrid w:val="0"/>
        <w:spacing w:line="480" w:lineRule="exact"/>
        <w:ind w:firstLine="498" w:firstLineChars="200"/>
        <w:outlineLvl w:val="2"/>
        <w:rPr>
          <w:snapToGrid w:val="0"/>
          <w:spacing w:val="4"/>
          <w:kern w:val="0"/>
          <w:sz w:val="24"/>
        </w:rPr>
      </w:pPr>
      <w:r>
        <w:rPr>
          <w:b/>
          <w:snapToGrid w:val="0"/>
          <w:spacing w:val="4"/>
          <w:kern w:val="0"/>
          <w:sz w:val="24"/>
        </w:rPr>
        <w:t>5.13</w:t>
      </w:r>
      <w:r>
        <w:rPr>
          <w:snapToGrid w:val="0"/>
          <w:spacing w:val="4"/>
          <w:kern w:val="0"/>
          <w:sz w:val="24"/>
        </w:rPr>
        <w:t xml:space="preserve"> 监理人提交的履约银行保函是对本合同约定的监理人的全部义务（包括但不限于监理人违约后应支付的违约金和赔偿金）的担保，监理人的任何一次不履行或不完全履行合同义务的行为，委托人均有权向出函银行提出索赔。</w:t>
      </w:r>
    </w:p>
    <w:p w14:paraId="6F71A2C7">
      <w:pPr>
        <w:topLinePunct/>
        <w:adjustRightInd w:val="0"/>
        <w:snapToGrid w:val="0"/>
        <w:spacing w:line="480" w:lineRule="exact"/>
        <w:ind w:firstLine="498" w:firstLineChars="200"/>
        <w:outlineLvl w:val="2"/>
        <w:rPr>
          <w:snapToGrid w:val="0"/>
          <w:spacing w:val="4"/>
          <w:kern w:val="0"/>
          <w:sz w:val="24"/>
        </w:rPr>
      </w:pPr>
      <w:r>
        <w:rPr>
          <w:b/>
          <w:snapToGrid w:val="0"/>
          <w:spacing w:val="4"/>
          <w:kern w:val="0"/>
          <w:sz w:val="24"/>
        </w:rPr>
        <w:t>5.14</w:t>
      </w:r>
      <w:r>
        <w:rPr>
          <w:snapToGrid w:val="0"/>
          <w:spacing w:val="4"/>
          <w:kern w:val="0"/>
          <w:sz w:val="24"/>
        </w:rPr>
        <w:t xml:space="preserve"> 监理人不履行或不完全履行合同义务的行为导致委托人依据履约银行保函向银行索赔履约银行保函金额的一部分或者全部的，监理人必须在委托人规定的时间内补充提交履约银行保函，使得本合同履行期间有效的履约银行保函金额等于监理人第一次提交的履约银行保函金额。</w:t>
      </w:r>
    </w:p>
    <w:p w14:paraId="7DEF966E">
      <w:pPr>
        <w:topLinePunct/>
        <w:adjustRightInd w:val="0"/>
        <w:snapToGrid w:val="0"/>
        <w:spacing w:line="480" w:lineRule="exact"/>
        <w:ind w:firstLine="498" w:firstLineChars="200"/>
        <w:outlineLvl w:val="2"/>
        <w:rPr>
          <w:snapToGrid w:val="0"/>
          <w:spacing w:val="4"/>
          <w:kern w:val="0"/>
          <w:sz w:val="24"/>
        </w:rPr>
      </w:pPr>
      <w:r>
        <w:rPr>
          <w:b/>
          <w:snapToGrid w:val="0"/>
          <w:spacing w:val="4"/>
          <w:kern w:val="0"/>
          <w:sz w:val="24"/>
        </w:rPr>
        <w:t>5.15</w:t>
      </w:r>
      <w:r>
        <w:rPr>
          <w:snapToGrid w:val="0"/>
          <w:spacing w:val="4"/>
          <w:kern w:val="0"/>
          <w:sz w:val="24"/>
        </w:rPr>
        <w:t xml:space="preserve"> 如果监理人不按委托人的要求及时补充提交履约银行保函，则委托人有权单方面部分解除或解除本合同，</w:t>
      </w:r>
      <w:r>
        <w:rPr>
          <w:rFonts w:hint="eastAsia"/>
          <w:snapToGrid w:val="0"/>
          <w:spacing w:val="4"/>
          <w:kern w:val="0"/>
          <w:sz w:val="24"/>
        </w:rPr>
        <w:t>要求监理人赔偿给委托人造成的损失，</w:t>
      </w:r>
      <w:r>
        <w:rPr>
          <w:snapToGrid w:val="0"/>
          <w:spacing w:val="4"/>
          <w:kern w:val="0"/>
          <w:sz w:val="24"/>
        </w:rPr>
        <w:t>并按合同专用条件第</w:t>
      </w:r>
      <w:r>
        <w:rPr>
          <w:rFonts w:hint="eastAsia"/>
          <w:snapToGrid w:val="0"/>
          <w:spacing w:val="4"/>
          <w:kern w:val="0"/>
          <w:sz w:val="24"/>
        </w:rPr>
        <w:t>13.</w:t>
      </w:r>
      <w:r>
        <w:rPr>
          <w:snapToGrid w:val="0"/>
          <w:spacing w:val="4"/>
          <w:kern w:val="0"/>
          <w:sz w:val="24"/>
        </w:rPr>
        <w:t>1（4）、（5）</w:t>
      </w:r>
      <w:r>
        <w:rPr>
          <w:rFonts w:hint="eastAsia"/>
          <w:snapToGrid w:val="0"/>
          <w:spacing w:val="4"/>
          <w:kern w:val="0"/>
          <w:sz w:val="24"/>
        </w:rPr>
        <w:t>、（6）</w:t>
      </w:r>
      <w:r>
        <w:rPr>
          <w:snapToGrid w:val="0"/>
          <w:spacing w:val="4"/>
          <w:kern w:val="0"/>
          <w:sz w:val="24"/>
        </w:rPr>
        <w:t>款的有关约定执行。</w:t>
      </w:r>
    </w:p>
    <w:p w14:paraId="4D8E4704">
      <w:pPr>
        <w:topLinePunct/>
        <w:adjustRightInd w:val="0"/>
        <w:snapToGrid w:val="0"/>
        <w:spacing w:line="480" w:lineRule="exact"/>
        <w:ind w:firstLine="498" w:firstLineChars="200"/>
        <w:outlineLvl w:val="2"/>
        <w:rPr>
          <w:snapToGrid w:val="0"/>
          <w:spacing w:val="4"/>
          <w:kern w:val="0"/>
          <w:sz w:val="24"/>
        </w:rPr>
      </w:pPr>
      <w:r>
        <w:rPr>
          <w:b/>
          <w:snapToGrid w:val="0"/>
          <w:spacing w:val="4"/>
          <w:kern w:val="0"/>
          <w:sz w:val="24"/>
        </w:rPr>
        <w:t>5.16</w:t>
      </w:r>
      <w:r>
        <w:rPr>
          <w:snapToGrid w:val="0"/>
          <w:spacing w:val="4"/>
          <w:kern w:val="0"/>
          <w:sz w:val="24"/>
        </w:rPr>
        <w:t xml:space="preserve"> 工程结算最终定审</w:t>
      </w:r>
      <w:r>
        <w:rPr>
          <w:rFonts w:hint="eastAsia"/>
          <w:snapToGrid w:val="0"/>
          <w:spacing w:val="4"/>
          <w:kern w:val="0"/>
          <w:sz w:val="24"/>
        </w:rPr>
        <w:t>并结算完毕</w:t>
      </w:r>
      <w:r>
        <w:rPr>
          <w:snapToGrid w:val="0"/>
          <w:spacing w:val="4"/>
          <w:kern w:val="0"/>
          <w:sz w:val="24"/>
        </w:rPr>
        <w:t>后，监理人可以向委托人申请退还履约银行保函</w:t>
      </w:r>
      <w:r>
        <w:rPr>
          <w:rFonts w:hint="eastAsia"/>
          <w:snapToGrid w:val="0"/>
          <w:spacing w:val="4"/>
          <w:kern w:val="0"/>
          <w:sz w:val="24"/>
        </w:rPr>
        <w:t>，但前提是监理人已全面履行本合同项下所有义务，且无任何未决违约责任</w:t>
      </w:r>
      <w:r>
        <w:rPr>
          <w:snapToGrid w:val="0"/>
          <w:spacing w:val="4"/>
          <w:kern w:val="0"/>
          <w:sz w:val="24"/>
        </w:rPr>
        <w:t>。</w:t>
      </w:r>
    </w:p>
    <w:p w14:paraId="576FCDEB">
      <w:pPr>
        <w:topLinePunct/>
        <w:adjustRightInd w:val="0"/>
        <w:snapToGrid w:val="0"/>
        <w:spacing w:line="480" w:lineRule="exact"/>
        <w:ind w:firstLine="498" w:firstLineChars="200"/>
        <w:outlineLvl w:val="2"/>
        <w:rPr>
          <w:snapToGrid w:val="0"/>
          <w:spacing w:val="4"/>
          <w:kern w:val="0"/>
          <w:sz w:val="24"/>
        </w:rPr>
      </w:pPr>
      <w:r>
        <w:rPr>
          <w:b/>
          <w:snapToGrid w:val="0"/>
          <w:spacing w:val="4"/>
          <w:kern w:val="0"/>
          <w:sz w:val="24"/>
        </w:rPr>
        <w:t xml:space="preserve">5.17 </w:t>
      </w:r>
      <w:r>
        <w:rPr>
          <w:snapToGrid w:val="0"/>
          <w:spacing w:val="4"/>
          <w:kern w:val="0"/>
          <w:sz w:val="24"/>
        </w:rPr>
        <w:t>监理人应在监理服务期内，办理派驻到项目所在地人员人身和自备财产的有关保险，保险时间应随服务时间的延长而顺延，并在出险后自行办理索赔。如果监理人不办理上述保险，则应对有关风险及后果自负其责。同时，监理人应该尽一切合理的努力，按委托人可接受的条件对监理人的责任、第三方的责任以及委托人为监理服务提供的财产等进行保险。上述有关费用由监理人承担。</w:t>
      </w:r>
    </w:p>
    <w:p w14:paraId="4EDEAAFC">
      <w:pPr>
        <w:topLinePunct/>
        <w:adjustRightInd w:val="0"/>
        <w:snapToGrid w:val="0"/>
        <w:spacing w:line="480" w:lineRule="exact"/>
        <w:ind w:firstLine="498" w:firstLineChars="200"/>
        <w:outlineLvl w:val="2"/>
        <w:rPr>
          <w:snapToGrid w:val="0"/>
          <w:spacing w:val="4"/>
          <w:kern w:val="0"/>
          <w:sz w:val="24"/>
        </w:rPr>
      </w:pPr>
      <w:r>
        <w:rPr>
          <w:b/>
          <w:snapToGrid w:val="0"/>
          <w:spacing w:val="4"/>
          <w:kern w:val="0"/>
          <w:sz w:val="24"/>
        </w:rPr>
        <w:t xml:space="preserve">5.18 </w:t>
      </w:r>
      <w:r>
        <w:rPr>
          <w:snapToGrid w:val="0"/>
          <w:spacing w:val="4"/>
          <w:kern w:val="0"/>
          <w:sz w:val="24"/>
        </w:rPr>
        <w:t>监理人不按上述约定购买保险所产生的后果，由监理人自行承担。</w:t>
      </w:r>
    </w:p>
    <w:p w14:paraId="4DA226B0">
      <w:pPr>
        <w:topLinePunct/>
        <w:adjustRightInd w:val="0"/>
        <w:snapToGrid w:val="0"/>
        <w:spacing w:line="480" w:lineRule="exact"/>
        <w:ind w:firstLine="498" w:firstLineChars="200"/>
        <w:outlineLvl w:val="1"/>
        <w:rPr>
          <w:b/>
          <w:snapToGrid w:val="0"/>
          <w:spacing w:val="4"/>
          <w:kern w:val="0"/>
          <w:sz w:val="24"/>
        </w:rPr>
      </w:pPr>
      <w:r>
        <w:rPr>
          <w:b/>
          <w:snapToGrid w:val="0"/>
          <w:spacing w:val="4"/>
          <w:kern w:val="0"/>
          <w:sz w:val="24"/>
        </w:rPr>
        <w:t>第</w:t>
      </w:r>
      <w:r>
        <w:rPr>
          <w:rFonts w:hint="eastAsia"/>
          <w:b/>
          <w:snapToGrid w:val="0"/>
          <w:spacing w:val="4"/>
          <w:kern w:val="0"/>
          <w:sz w:val="24"/>
        </w:rPr>
        <w:t>六</w:t>
      </w:r>
      <w:r>
        <w:rPr>
          <w:b/>
          <w:snapToGrid w:val="0"/>
          <w:spacing w:val="4"/>
          <w:kern w:val="0"/>
          <w:sz w:val="24"/>
        </w:rPr>
        <w:t>条　外部关系的协调</w:t>
      </w:r>
    </w:p>
    <w:p w14:paraId="63C33B7B">
      <w:pPr>
        <w:topLinePunct/>
        <w:adjustRightInd w:val="0"/>
        <w:snapToGrid w:val="0"/>
        <w:spacing w:line="480" w:lineRule="exact"/>
        <w:ind w:firstLine="496" w:firstLineChars="200"/>
        <w:rPr>
          <w:snapToGrid w:val="0"/>
          <w:spacing w:val="4"/>
          <w:kern w:val="0"/>
          <w:sz w:val="24"/>
        </w:rPr>
      </w:pPr>
      <w:r>
        <w:rPr>
          <w:snapToGrid w:val="0"/>
          <w:spacing w:val="4"/>
          <w:kern w:val="0"/>
          <w:sz w:val="24"/>
        </w:rPr>
        <w:t>委托人根据需要有权指令监理人协调部分外部关系，委托人对此无需支付任何酬金。</w:t>
      </w:r>
    </w:p>
    <w:p w14:paraId="4926C316">
      <w:pPr>
        <w:topLinePunct/>
        <w:adjustRightInd w:val="0"/>
        <w:snapToGrid w:val="0"/>
        <w:spacing w:line="480" w:lineRule="exact"/>
        <w:ind w:firstLine="498" w:firstLineChars="200"/>
        <w:outlineLvl w:val="1"/>
        <w:rPr>
          <w:b/>
          <w:snapToGrid w:val="0"/>
          <w:spacing w:val="4"/>
          <w:kern w:val="0"/>
          <w:sz w:val="24"/>
        </w:rPr>
      </w:pPr>
      <w:r>
        <w:rPr>
          <w:b/>
          <w:bCs/>
          <w:snapToGrid w:val="0"/>
          <w:spacing w:val="4"/>
          <w:kern w:val="0"/>
          <w:sz w:val="24"/>
        </w:rPr>
        <w:t>第</w:t>
      </w:r>
      <w:r>
        <w:rPr>
          <w:rFonts w:hint="eastAsia"/>
          <w:b/>
          <w:bCs/>
          <w:snapToGrid w:val="0"/>
          <w:spacing w:val="4"/>
          <w:kern w:val="0"/>
          <w:sz w:val="24"/>
        </w:rPr>
        <w:t>七</w:t>
      </w:r>
      <w:r>
        <w:rPr>
          <w:b/>
          <w:bCs/>
          <w:snapToGrid w:val="0"/>
          <w:spacing w:val="4"/>
          <w:kern w:val="0"/>
          <w:sz w:val="24"/>
        </w:rPr>
        <w:t>条</w:t>
      </w:r>
      <w:r>
        <w:rPr>
          <w:b/>
          <w:snapToGrid w:val="0"/>
          <w:spacing w:val="4"/>
          <w:kern w:val="0"/>
          <w:sz w:val="24"/>
        </w:rPr>
        <w:t>　委托人向监理人提供的文件、资料</w:t>
      </w:r>
    </w:p>
    <w:p w14:paraId="0C81C357">
      <w:pPr>
        <w:topLinePunct/>
        <w:adjustRightInd w:val="0"/>
        <w:snapToGrid w:val="0"/>
        <w:spacing w:line="440" w:lineRule="exact"/>
        <w:ind w:firstLine="496" w:firstLineChars="200"/>
        <w:rPr>
          <w:snapToGrid w:val="0"/>
          <w:spacing w:val="4"/>
          <w:kern w:val="0"/>
          <w:sz w:val="24"/>
        </w:rPr>
      </w:pPr>
      <w:r>
        <w:rPr>
          <w:snapToGrid w:val="0"/>
          <w:spacing w:val="4"/>
          <w:kern w:val="0"/>
          <w:sz w:val="24"/>
        </w:rPr>
        <w:t>委托人在本合同生效后3日内向监理人免费提供下述文件、资料：</w:t>
      </w:r>
    </w:p>
    <w:p w14:paraId="05B795D9">
      <w:pPr>
        <w:topLinePunct/>
        <w:adjustRightInd w:val="0"/>
        <w:snapToGrid w:val="0"/>
        <w:spacing w:line="440" w:lineRule="exact"/>
        <w:ind w:firstLine="496" w:firstLineChars="200"/>
        <w:rPr>
          <w:snapToGrid w:val="0"/>
          <w:spacing w:val="4"/>
          <w:kern w:val="0"/>
          <w:sz w:val="24"/>
        </w:rPr>
      </w:pPr>
      <w:r>
        <w:rPr>
          <w:snapToGrid w:val="0"/>
          <w:spacing w:val="4"/>
          <w:kern w:val="0"/>
          <w:sz w:val="24"/>
        </w:rPr>
        <w:t>（1）委托人与承包人签订的合同文件1份；</w:t>
      </w:r>
    </w:p>
    <w:p w14:paraId="12BDFFE7">
      <w:pPr>
        <w:topLinePunct/>
        <w:adjustRightInd w:val="0"/>
        <w:snapToGrid w:val="0"/>
        <w:spacing w:line="440" w:lineRule="exact"/>
        <w:ind w:firstLine="496" w:firstLineChars="200"/>
        <w:rPr>
          <w:snapToGrid w:val="0"/>
          <w:spacing w:val="4"/>
          <w:kern w:val="0"/>
          <w:sz w:val="24"/>
        </w:rPr>
      </w:pPr>
      <w:r>
        <w:rPr>
          <w:snapToGrid w:val="0"/>
          <w:spacing w:val="4"/>
          <w:kern w:val="0"/>
          <w:sz w:val="24"/>
        </w:rPr>
        <w:t>（2）合同图纸和相关的标准图纸及说明3套；</w:t>
      </w:r>
    </w:p>
    <w:p w14:paraId="31A6F7CC">
      <w:pPr>
        <w:topLinePunct/>
        <w:adjustRightInd w:val="0"/>
        <w:snapToGrid w:val="0"/>
        <w:spacing w:line="440" w:lineRule="exact"/>
        <w:ind w:firstLine="496" w:firstLineChars="200"/>
        <w:rPr>
          <w:snapToGrid w:val="0"/>
          <w:spacing w:val="4"/>
          <w:kern w:val="0"/>
          <w:sz w:val="24"/>
        </w:rPr>
      </w:pPr>
      <w:r>
        <w:rPr>
          <w:snapToGrid w:val="0"/>
          <w:spacing w:val="4"/>
          <w:kern w:val="0"/>
          <w:sz w:val="24"/>
        </w:rPr>
        <w:t>（3）施工图纸及说明3套；</w:t>
      </w:r>
    </w:p>
    <w:p w14:paraId="7C9E2984">
      <w:pPr>
        <w:topLinePunct/>
        <w:adjustRightInd w:val="0"/>
        <w:snapToGrid w:val="0"/>
        <w:spacing w:line="440" w:lineRule="exact"/>
        <w:ind w:firstLine="496" w:firstLineChars="200"/>
        <w:rPr>
          <w:snapToGrid w:val="0"/>
          <w:spacing w:val="4"/>
          <w:kern w:val="0"/>
          <w:sz w:val="24"/>
        </w:rPr>
      </w:pPr>
      <w:r>
        <w:rPr>
          <w:snapToGrid w:val="0"/>
          <w:spacing w:val="4"/>
          <w:kern w:val="0"/>
          <w:sz w:val="24"/>
        </w:rPr>
        <w:t>（4）委托人结合本项目实际编写的技术规范1套；</w:t>
      </w:r>
    </w:p>
    <w:p w14:paraId="6E14853A">
      <w:pPr>
        <w:topLinePunct/>
        <w:adjustRightInd w:val="0"/>
        <w:snapToGrid w:val="0"/>
        <w:spacing w:line="440" w:lineRule="exact"/>
        <w:ind w:firstLine="496" w:firstLineChars="200"/>
        <w:rPr>
          <w:snapToGrid w:val="0"/>
          <w:spacing w:val="4"/>
          <w:kern w:val="0"/>
          <w:sz w:val="24"/>
        </w:rPr>
      </w:pPr>
      <w:r>
        <w:rPr>
          <w:snapToGrid w:val="0"/>
          <w:spacing w:val="4"/>
          <w:kern w:val="0"/>
          <w:sz w:val="24"/>
        </w:rPr>
        <w:t>（5）监理人完成本合同监理工作所必须的其他文件和资料。</w:t>
      </w:r>
    </w:p>
    <w:p w14:paraId="18CADDB0">
      <w:pPr>
        <w:topLinePunct/>
        <w:adjustRightInd w:val="0"/>
        <w:snapToGrid w:val="0"/>
        <w:spacing w:line="440" w:lineRule="exact"/>
        <w:ind w:firstLine="498" w:firstLineChars="200"/>
        <w:outlineLvl w:val="1"/>
        <w:rPr>
          <w:b/>
          <w:snapToGrid w:val="0"/>
          <w:spacing w:val="4"/>
          <w:kern w:val="0"/>
          <w:sz w:val="24"/>
        </w:rPr>
      </w:pPr>
      <w:r>
        <w:rPr>
          <w:b/>
          <w:bCs/>
          <w:snapToGrid w:val="0"/>
          <w:spacing w:val="4"/>
          <w:kern w:val="0"/>
          <w:sz w:val="24"/>
        </w:rPr>
        <w:t>第</w:t>
      </w:r>
      <w:r>
        <w:rPr>
          <w:rFonts w:hint="eastAsia"/>
          <w:b/>
          <w:bCs/>
          <w:snapToGrid w:val="0"/>
          <w:spacing w:val="4"/>
          <w:kern w:val="0"/>
          <w:sz w:val="24"/>
        </w:rPr>
        <w:t>八</w:t>
      </w:r>
      <w:r>
        <w:rPr>
          <w:b/>
          <w:bCs/>
          <w:snapToGrid w:val="0"/>
          <w:spacing w:val="4"/>
          <w:kern w:val="0"/>
          <w:sz w:val="24"/>
        </w:rPr>
        <w:t>条</w:t>
      </w:r>
      <w:r>
        <w:rPr>
          <w:b/>
          <w:snapToGrid w:val="0"/>
          <w:spacing w:val="4"/>
          <w:kern w:val="0"/>
          <w:sz w:val="24"/>
        </w:rPr>
        <w:t>　委托人书面答复的时间</w:t>
      </w:r>
    </w:p>
    <w:p w14:paraId="506C15A1">
      <w:pPr>
        <w:topLinePunct/>
        <w:adjustRightInd w:val="0"/>
        <w:snapToGrid w:val="0"/>
        <w:spacing w:line="440" w:lineRule="exact"/>
        <w:ind w:firstLine="496" w:firstLineChars="200"/>
        <w:rPr>
          <w:snapToGrid w:val="0"/>
          <w:spacing w:val="4"/>
          <w:kern w:val="0"/>
          <w:sz w:val="24"/>
        </w:rPr>
      </w:pPr>
      <w:r>
        <w:rPr>
          <w:snapToGrid w:val="0"/>
          <w:spacing w:val="4"/>
          <w:kern w:val="0"/>
          <w:sz w:val="24"/>
        </w:rPr>
        <w:t>委托人应在3日内对监理人书面提交并要求作出决定的事宜作出书面答复。</w:t>
      </w:r>
    </w:p>
    <w:p w14:paraId="65F6D968">
      <w:pPr>
        <w:topLinePunct/>
        <w:adjustRightInd w:val="0"/>
        <w:snapToGrid w:val="0"/>
        <w:spacing w:line="440" w:lineRule="exact"/>
        <w:ind w:firstLine="498" w:firstLineChars="200"/>
        <w:outlineLvl w:val="1"/>
        <w:rPr>
          <w:snapToGrid w:val="0"/>
          <w:spacing w:val="4"/>
          <w:kern w:val="0"/>
          <w:sz w:val="24"/>
        </w:rPr>
      </w:pPr>
      <w:r>
        <w:rPr>
          <w:b/>
          <w:snapToGrid w:val="0"/>
          <w:spacing w:val="4"/>
          <w:kern w:val="0"/>
          <w:sz w:val="24"/>
        </w:rPr>
        <w:t>第</w:t>
      </w:r>
      <w:r>
        <w:rPr>
          <w:rFonts w:hint="eastAsia"/>
          <w:b/>
          <w:snapToGrid w:val="0"/>
          <w:spacing w:val="4"/>
          <w:kern w:val="0"/>
          <w:sz w:val="24"/>
        </w:rPr>
        <w:t>九</w:t>
      </w:r>
      <w:r>
        <w:rPr>
          <w:b/>
          <w:snapToGrid w:val="0"/>
          <w:spacing w:val="4"/>
          <w:kern w:val="0"/>
          <w:sz w:val="24"/>
        </w:rPr>
        <w:t>条  委托人代表及委托人监理代表</w:t>
      </w:r>
    </w:p>
    <w:p w14:paraId="0B78FF71">
      <w:pPr>
        <w:topLinePunct/>
        <w:adjustRightInd w:val="0"/>
        <w:snapToGrid w:val="0"/>
        <w:spacing w:line="440" w:lineRule="exact"/>
        <w:ind w:firstLine="496" w:firstLineChars="200"/>
        <w:rPr>
          <w:snapToGrid w:val="0"/>
          <w:spacing w:val="4"/>
          <w:kern w:val="0"/>
          <w:sz w:val="24"/>
        </w:rPr>
      </w:pPr>
      <w:r>
        <w:rPr>
          <w:snapToGrid w:val="0"/>
          <w:spacing w:val="4"/>
          <w:kern w:val="0"/>
          <w:sz w:val="24"/>
        </w:rPr>
        <w:t>委托人代表由委托人现场项目部委派；委托人监理代表由委托人另行指定并对委托人现场项目部报告，其工作职责按本合同</w:t>
      </w:r>
      <w:r>
        <w:rPr>
          <w:snapToGrid w:val="0"/>
          <w:spacing w:val="4"/>
          <w:kern w:val="0"/>
          <w:sz w:val="24"/>
          <w:u w:val="wave"/>
        </w:rPr>
        <w:t>专用条件部分第4.3.1-（16）项</w:t>
      </w:r>
      <w:r>
        <w:rPr>
          <w:snapToGrid w:val="0"/>
          <w:spacing w:val="4"/>
          <w:kern w:val="0"/>
          <w:sz w:val="24"/>
        </w:rPr>
        <w:t>所述。</w:t>
      </w:r>
    </w:p>
    <w:p w14:paraId="245B7AA2">
      <w:pPr>
        <w:topLinePunct/>
        <w:adjustRightInd w:val="0"/>
        <w:snapToGrid w:val="0"/>
        <w:spacing w:line="440" w:lineRule="exact"/>
        <w:ind w:firstLine="498" w:firstLineChars="200"/>
        <w:outlineLvl w:val="1"/>
        <w:rPr>
          <w:b/>
          <w:snapToGrid w:val="0"/>
          <w:spacing w:val="4"/>
          <w:kern w:val="0"/>
          <w:sz w:val="24"/>
        </w:rPr>
      </w:pPr>
      <w:r>
        <w:rPr>
          <w:b/>
          <w:bCs/>
          <w:snapToGrid w:val="0"/>
          <w:spacing w:val="4"/>
          <w:kern w:val="0"/>
          <w:sz w:val="24"/>
        </w:rPr>
        <w:t>第十条  委托人提供的设备设施</w:t>
      </w:r>
    </w:p>
    <w:p w14:paraId="096C37C5">
      <w:pPr>
        <w:topLinePunct/>
        <w:adjustRightInd w:val="0"/>
        <w:snapToGrid w:val="0"/>
        <w:spacing w:line="440" w:lineRule="exact"/>
        <w:ind w:firstLine="496" w:firstLineChars="200"/>
        <w:rPr>
          <w:snapToGrid w:val="0"/>
          <w:spacing w:val="4"/>
          <w:kern w:val="0"/>
          <w:sz w:val="24"/>
        </w:rPr>
      </w:pPr>
      <w:r>
        <w:rPr>
          <w:snapToGrid w:val="0"/>
          <w:spacing w:val="4"/>
          <w:kern w:val="0"/>
          <w:sz w:val="24"/>
        </w:rPr>
        <w:t>委托人仅向监理人提供项目监理机构办公用房（不包括房内的办公设施）及接通水电，其他满足本合同约定监理工作需要的办公、交通、通讯、生活等设施全部由监理人自行解决，其费用已包含在监理酬金中。监理人应自行解决食宿，不得与承包人同食同住。</w:t>
      </w:r>
    </w:p>
    <w:p w14:paraId="78FBF680">
      <w:pPr>
        <w:topLinePunct/>
        <w:adjustRightInd w:val="0"/>
        <w:snapToGrid w:val="0"/>
        <w:spacing w:line="440" w:lineRule="exact"/>
        <w:ind w:firstLine="496" w:firstLineChars="200"/>
        <w:rPr>
          <w:snapToGrid w:val="0"/>
          <w:spacing w:val="4"/>
          <w:kern w:val="0"/>
          <w:sz w:val="24"/>
        </w:rPr>
      </w:pPr>
      <w:r>
        <w:rPr>
          <w:snapToGrid w:val="0"/>
          <w:spacing w:val="4"/>
          <w:kern w:val="0"/>
          <w:sz w:val="24"/>
        </w:rPr>
        <w:t>对监理人自备的设施，双方一致同意不适用本合同</w:t>
      </w:r>
      <w:r>
        <w:rPr>
          <w:snapToGrid w:val="0"/>
          <w:spacing w:val="4"/>
          <w:kern w:val="0"/>
          <w:sz w:val="24"/>
          <w:u w:val="wave"/>
        </w:rPr>
        <w:t>标准条件第十五条</w:t>
      </w:r>
      <w:r>
        <w:rPr>
          <w:snapToGrid w:val="0"/>
          <w:spacing w:val="4"/>
          <w:kern w:val="0"/>
          <w:sz w:val="24"/>
        </w:rPr>
        <w:t>的约定，监理人不得向委托人索取任何经济补偿。</w:t>
      </w:r>
    </w:p>
    <w:p w14:paraId="0F50A253">
      <w:pPr>
        <w:topLinePunct/>
        <w:adjustRightInd w:val="0"/>
        <w:snapToGrid w:val="0"/>
        <w:spacing w:line="440" w:lineRule="exact"/>
        <w:ind w:firstLine="496" w:firstLineChars="200"/>
        <w:rPr>
          <w:snapToGrid w:val="0"/>
          <w:spacing w:val="4"/>
          <w:kern w:val="0"/>
          <w:sz w:val="24"/>
        </w:rPr>
      </w:pPr>
      <w:r>
        <w:rPr>
          <w:snapToGrid w:val="0"/>
          <w:spacing w:val="4"/>
          <w:kern w:val="0"/>
          <w:sz w:val="24"/>
        </w:rPr>
        <w:t>项目监理机构应根据工程项目类别、规模、技术复杂程度、工程项目所在地的环境条件，按委托监理合同的约定，配备满足监理工作需要的常规检测设备和工具。</w:t>
      </w:r>
    </w:p>
    <w:p w14:paraId="765F9F7E">
      <w:pPr>
        <w:topLinePunct/>
        <w:adjustRightInd w:val="0"/>
        <w:snapToGrid w:val="0"/>
        <w:spacing w:line="440" w:lineRule="exact"/>
        <w:ind w:firstLine="496" w:firstLineChars="200"/>
        <w:rPr>
          <w:snapToGrid w:val="0"/>
          <w:spacing w:val="4"/>
          <w:kern w:val="0"/>
          <w:sz w:val="24"/>
        </w:rPr>
      </w:pPr>
      <w:r>
        <w:rPr>
          <w:snapToGrid w:val="0"/>
          <w:spacing w:val="4"/>
          <w:kern w:val="0"/>
          <w:sz w:val="24"/>
        </w:rPr>
        <w:t>项目监理机构应配备足够实施监理工作的计算机辅助管理。</w:t>
      </w:r>
    </w:p>
    <w:p w14:paraId="4A62A319">
      <w:pPr>
        <w:topLinePunct/>
        <w:adjustRightInd w:val="0"/>
        <w:snapToGrid w:val="0"/>
        <w:spacing w:line="440" w:lineRule="exact"/>
        <w:ind w:firstLine="498" w:firstLineChars="200"/>
        <w:outlineLvl w:val="1"/>
        <w:rPr>
          <w:snapToGrid w:val="0"/>
          <w:spacing w:val="4"/>
          <w:kern w:val="0"/>
          <w:sz w:val="24"/>
        </w:rPr>
      </w:pPr>
      <w:r>
        <w:rPr>
          <w:b/>
          <w:bCs/>
          <w:snapToGrid w:val="0"/>
          <w:spacing w:val="4"/>
          <w:kern w:val="0"/>
          <w:sz w:val="24"/>
        </w:rPr>
        <w:t>第十</w:t>
      </w:r>
      <w:r>
        <w:rPr>
          <w:rFonts w:hint="eastAsia"/>
          <w:b/>
          <w:bCs/>
          <w:snapToGrid w:val="0"/>
          <w:spacing w:val="4"/>
          <w:kern w:val="0"/>
          <w:sz w:val="24"/>
        </w:rPr>
        <w:t>一</w:t>
      </w:r>
      <w:r>
        <w:rPr>
          <w:b/>
          <w:bCs/>
          <w:snapToGrid w:val="0"/>
          <w:spacing w:val="4"/>
          <w:kern w:val="0"/>
          <w:sz w:val="24"/>
        </w:rPr>
        <w:t>条  监理人的服务、工作人员</w:t>
      </w:r>
    </w:p>
    <w:p w14:paraId="24FE2CDA">
      <w:pPr>
        <w:topLinePunct/>
        <w:adjustRightInd w:val="0"/>
        <w:snapToGrid w:val="0"/>
        <w:spacing w:line="440" w:lineRule="exact"/>
        <w:ind w:firstLine="496" w:firstLineChars="200"/>
        <w:rPr>
          <w:snapToGrid w:val="0"/>
          <w:spacing w:val="4"/>
          <w:kern w:val="0"/>
          <w:sz w:val="24"/>
        </w:rPr>
      </w:pPr>
      <w:r>
        <w:rPr>
          <w:snapToGrid w:val="0"/>
          <w:spacing w:val="4"/>
          <w:kern w:val="0"/>
          <w:sz w:val="24"/>
        </w:rPr>
        <w:t>在监理服务期间，委托人不免费向监理人提供工作人员和服务人员。</w:t>
      </w:r>
    </w:p>
    <w:p w14:paraId="025D2D56">
      <w:pPr>
        <w:topLinePunct/>
        <w:adjustRightInd w:val="0"/>
        <w:snapToGrid w:val="0"/>
        <w:spacing w:line="440" w:lineRule="exact"/>
        <w:ind w:firstLine="498" w:firstLineChars="200"/>
        <w:outlineLvl w:val="1"/>
        <w:rPr>
          <w:snapToGrid w:val="0"/>
          <w:spacing w:val="4"/>
          <w:kern w:val="0"/>
          <w:sz w:val="24"/>
        </w:rPr>
      </w:pPr>
      <w:r>
        <w:rPr>
          <w:b/>
          <w:snapToGrid w:val="0"/>
          <w:spacing w:val="4"/>
          <w:kern w:val="0"/>
          <w:sz w:val="24"/>
        </w:rPr>
        <w:t>第十</w:t>
      </w:r>
      <w:r>
        <w:rPr>
          <w:rFonts w:hint="eastAsia"/>
          <w:b/>
          <w:snapToGrid w:val="0"/>
          <w:spacing w:val="4"/>
          <w:kern w:val="0"/>
          <w:sz w:val="24"/>
        </w:rPr>
        <w:t>二</w:t>
      </w:r>
      <w:r>
        <w:rPr>
          <w:b/>
          <w:snapToGrid w:val="0"/>
          <w:spacing w:val="4"/>
          <w:kern w:val="0"/>
          <w:sz w:val="24"/>
        </w:rPr>
        <w:t>条  监理人的权利</w:t>
      </w:r>
    </w:p>
    <w:p w14:paraId="1BB2EE2B">
      <w:pPr>
        <w:topLinePunct/>
        <w:adjustRightInd w:val="0"/>
        <w:snapToGrid w:val="0"/>
        <w:spacing w:line="440" w:lineRule="exact"/>
        <w:ind w:firstLine="496" w:firstLineChars="200"/>
        <w:rPr>
          <w:snapToGrid w:val="0"/>
          <w:spacing w:val="4"/>
          <w:kern w:val="0"/>
          <w:sz w:val="24"/>
        </w:rPr>
      </w:pPr>
      <w:r>
        <w:rPr>
          <w:snapToGrid w:val="0"/>
          <w:spacing w:val="4"/>
          <w:kern w:val="0"/>
          <w:sz w:val="24"/>
        </w:rPr>
        <w:t>除选择工程分包单位的认可权由委托人行使外，监理人可以行使本合同</w:t>
      </w:r>
      <w:r>
        <w:rPr>
          <w:snapToGrid w:val="0"/>
          <w:spacing w:val="4"/>
          <w:kern w:val="0"/>
          <w:sz w:val="24"/>
          <w:u w:val="wave"/>
        </w:rPr>
        <w:t>标准条件第十七条</w:t>
      </w:r>
      <w:r>
        <w:rPr>
          <w:snapToGrid w:val="0"/>
          <w:spacing w:val="4"/>
          <w:kern w:val="0"/>
          <w:sz w:val="24"/>
        </w:rPr>
        <w:t>约定的其他权利及下列权利：</w:t>
      </w:r>
    </w:p>
    <w:p w14:paraId="3A729356">
      <w:pPr>
        <w:topLinePunct/>
        <w:adjustRightInd w:val="0"/>
        <w:snapToGrid w:val="0"/>
        <w:spacing w:line="440" w:lineRule="exact"/>
        <w:ind w:firstLine="496" w:firstLineChars="200"/>
        <w:rPr>
          <w:snapToGrid w:val="0"/>
          <w:spacing w:val="4"/>
          <w:kern w:val="0"/>
          <w:sz w:val="24"/>
        </w:rPr>
      </w:pPr>
      <w:r>
        <w:rPr>
          <w:snapToGrid w:val="0"/>
          <w:spacing w:val="4"/>
          <w:kern w:val="0"/>
          <w:sz w:val="24"/>
        </w:rPr>
        <w:t>（1）工程质量与分项分部工程（含隐蔽工程）质量的检验权。未经监理工程师现场检验确认质量的工程，</w:t>
      </w:r>
      <w:r>
        <w:rPr>
          <w:rFonts w:hint="eastAsia"/>
          <w:snapToGrid w:val="0"/>
          <w:spacing w:val="4"/>
          <w:kern w:val="0"/>
          <w:sz w:val="24"/>
        </w:rPr>
        <w:t>监理人</w:t>
      </w:r>
      <w:r>
        <w:rPr>
          <w:snapToGrid w:val="0"/>
          <w:spacing w:val="4"/>
          <w:kern w:val="0"/>
          <w:sz w:val="24"/>
        </w:rPr>
        <w:t>有权通知委托人拒绝支付工程款。</w:t>
      </w:r>
    </w:p>
    <w:p w14:paraId="203D2394">
      <w:pPr>
        <w:topLinePunct/>
        <w:adjustRightInd w:val="0"/>
        <w:snapToGrid w:val="0"/>
        <w:spacing w:line="440" w:lineRule="exact"/>
        <w:ind w:firstLine="496" w:firstLineChars="200"/>
        <w:rPr>
          <w:snapToGrid w:val="0"/>
          <w:spacing w:val="4"/>
          <w:kern w:val="0"/>
          <w:sz w:val="24"/>
        </w:rPr>
      </w:pPr>
      <w:r>
        <w:rPr>
          <w:snapToGrid w:val="0"/>
          <w:spacing w:val="4"/>
          <w:kern w:val="0"/>
          <w:sz w:val="24"/>
        </w:rPr>
        <w:t>（2）对完工的分项分部工程的计量权。承包人已完工且要求支付工程款的项目，应首先由监理工程师与承包人共同到现场进行计量。未经监理工程师计量的工程，</w:t>
      </w:r>
      <w:r>
        <w:rPr>
          <w:rFonts w:hint="eastAsia"/>
          <w:snapToGrid w:val="0"/>
          <w:spacing w:val="4"/>
          <w:kern w:val="0"/>
          <w:sz w:val="24"/>
        </w:rPr>
        <w:t>监理人</w:t>
      </w:r>
      <w:r>
        <w:rPr>
          <w:snapToGrid w:val="0"/>
          <w:spacing w:val="4"/>
          <w:kern w:val="0"/>
          <w:sz w:val="24"/>
        </w:rPr>
        <w:t>有权通知委托人不予支付工程款。</w:t>
      </w:r>
    </w:p>
    <w:p w14:paraId="2C103954">
      <w:pPr>
        <w:topLinePunct/>
        <w:adjustRightInd w:val="0"/>
        <w:snapToGrid w:val="0"/>
        <w:spacing w:line="480" w:lineRule="exact"/>
        <w:ind w:firstLine="496" w:firstLineChars="200"/>
        <w:rPr>
          <w:snapToGrid w:val="0"/>
          <w:spacing w:val="4"/>
          <w:kern w:val="0"/>
          <w:sz w:val="24"/>
        </w:rPr>
      </w:pPr>
      <w:r>
        <w:rPr>
          <w:snapToGrid w:val="0"/>
          <w:spacing w:val="4"/>
          <w:kern w:val="0"/>
          <w:sz w:val="24"/>
        </w:rPr>
        <w:t>（3）工程质量事故的调查权和处理建议权。当工程出现质量事故时，监理工程师应组织质量听证会，结合现场调查的结果，提出调查报告和处理建议。</w:t>
      </w:r>
    </w:p>
    <w:p w14:paraId="6EB6862B">
      <w:pPr>
        <w:topLinePunct/>
        <w:adjustRightInd w:val="0"/>
        <w:snapToGrid w:val="0"/>
        <w:spacing w:line="480" w:lineRule="exact"/>
        <w:ind w:firstLine="496" w:firstLineChars="200"/>
        <w:rPr>
          <w:snapToGrid w:val="0"/>
          <w:spacing w:val="4"/>
          <w:kern w:val="0"/>
          <w:sz w:val="24"/>
        </w:rPr>
      </w:pPr>
      <w:r>
        <w:rPr>
          <w:snapToGrid w:val="0"/>
          <w:spacing w:val="4"/>
          <w:kern w:val="0"/>
          <w:sz w:val="24"/>
        </w:rPr>
        <w:t>（4）监理人依据本合同约定的权限对承包人在施工质量、建设工期和建设资金使用等方面实施监管。但监理人行使职权时下列事项必须取得委托人的批准（包括但不限于）：</w:t>
      </w:r>
    </w:p>
    <w:p w14:paraId="4B980B69">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1）同意本合同工程任何部分的分包合同；</w:t>
      </w:r>
    </w:p>
    <w:p w14:paraId="114A2A31">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2）工程款、材料款以及其他费用的支付；</w:t>
      </w:r>
    </w:p>
    <w:p w14:paraId="5DFA3490">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3）施工进度更改或对工程延期的决定；</w:t>
      </w:r>
    </w:p>
    <w:p w14:paraId="6F808EFB">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4）发布变更指令及签发现场签证；</w:t>
      </w:r>
    </w:p>
    <w:p w14:paraId="328945DF">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5）确定变更工程和新增工程的单价、费率、价格；</w:t>
      </w:r>
    </w:p>
    <w:p w14:paraId="38E0BDFC">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6）承包人提出合理化建议或提出采用新工艺、新材料、新技术，涉及重大设计变更或施工方案调整的（这些变更或调整将改变原设计的基本功能或工期或投资等）；</w:t>
      </w:r>
    </w:p>
    <w:p w14:paraId="4119217F">
      <w:pPr>
        <w:topLinePunct/>
        <w:adjustRightInd w:val="0"/>
        <w:snapToGrid w:val="0"/>
        <w:spacing w:line="480" w:lineRule="exact"/>
        <w:ind w:firstLine="496" w:firstLineChars="200"/>
        <w:rPr>
          <w:bCs/>
          <w:snapToGrid w:val="0"/>
          <w:spacing w:val="4"/>
          <w:kern w:val="0"/>
          <w:sz w:val="24"/>
        </w:rPr>
      </w:pPr>
      <w:r>
        <w:rPr>
          <w:snapToGrid w:val="0"/>
          <w:spacing w:val="4"/>
          <w:kern w:val="0"/>
          <w:sz w:val="24"/>
        </w:rPr>
        <w:t>（5）监理人根据委托人的相关规定（制度、实施细则等）对所本合同工程范围内的技术督导单位、材料设备管理服务单位进行协调管理。</w:t>
      </w:r>
    </w:p>
    <w:p w14:paraId="3BB932D3">
      <w:pPr>
        <w:topLinePunct/>
        <w:adjustRightInd w:val="0"/>
        <w:snapToGrid w:val="0"/>
        <w:spacing w:line="480" w:lineRule="exact"/>
        <w:ind w:firstLine="496" w:firstLineChars="200"/>
        <w:rPr>
          <w:snapToGrid w:val="0"/>
          <w:spacing w:val="4"/>
          <w:kern w:val="0"/>
          <w:sz w:val="24"/>
        </w:rPr>
      </w:pPr>
      <w:r>
        <w:rPr>
          <w:snapToGrid w:val="0"/>
          <w:spacing w:val="4"/>
          <w:kern w:val="0"/>
          <w:sz w:val="24"/>
        </w:rPr>
        <w:t>（6）委托人授权监理人行使的其他职权。</w:t>
      </w:r>
    </w:p>
    <w:p w14:paraId="4970B60C">
      <w:pPr>
        <w:topLinePunct/>
        <w:adjustRightInd w:val="0"/>
        <w:snapToGrid w:val="0"/>
        <w:spacing w:line="480" w:lineRule="exact"/>
        <w:ind w:firstLine="496" w:firstLineChars="200"/>
        <w:rPr>
          <w:snapToGrid w:val="0"/>
          <w:spacing w:val="4"/>
          <w:kern w:val="0"/>
          <w:sz w:val="24"/>
        </w:rPr>
      </w:pPr>
      <w:r>
        <w:rPr>
          <w:snapToGrid w:val="0"/>
          <w:spacing w:val="4"/>
          <w:kern w:val="0"/>
          <w:sz w:val="24"/>
        </w:rPr>
        <w:t>监理人对工程款支付的审核必须在承包人申报计量后2日内完成</w:t>
      </w:r>
      <w:r>
        <w:rPr>
          <w:rFonts w:hint="eastAsia"/>
          <w:snapToGrid w:val="0"/>
          <w:spacing w:val="4"/>
          <w:kern w:val="0"/>
          <w:sz w:val="24"/>
        </w:rPr>
        <w:t>，并将审核结果及支持性资料完整提交委托人</w:t>
      </w:r>
      <w:r>
        <w:rPr>
          <w:snapToGrid w:val="0"/>
          <w:spacing w:val="4"/>
          <w:kern w:val="0"/>
          <w:sz w:val="24"/>
        </w:rPr>
        <w:t>。</w:t>
      </w:r>
      <w:r>
        <w:rPr>
          <w:rFonts w:hint="eastAsia"/>
          <w:snapToGrid w:val="0"/>
          <w:spacing w:val="4"/>
          <w:kern w:val="0"/>
          <w:sz w:val="24"/>
        </w:rPr>
        <w:t>委托人保留对工程款支付、工程量计量、变更费用核定等涉及资金支付事项的最终审核与决定权，监理人的审核意见仅为参考，不构成对委托人决策的约束。</w:t>
      </w:r>
    </w:p>
    <w:p w14:paraId="1F8AE8E1">
      <w:pPr>
        <w:topLinePunct/>
        <w:adjustRightInd w:val="0"/>
        <w:snapToGrid w:val="0"/>
        <w:spacing w:line="480" w:lineRule="exact"/>
        <w:ind w:firstLine="496" w:firstLineChars="200"/>
        <w:rPr>
          <w:snapToGrid w:val="0"/>
          <w:spacing w:val="4"/>
          <w:kern w:val="0"/>
          <w:sz w:val="24"/>
        </w:rPr>
      </w:pPr>
      <w:r>
        <w:rPr>
          <w:snapToGrid w:val="0"/>
          <w:spacing w:val="4"/>
          <w:kern w:val="0"/>
          <w:sz w:val="24"/>
        </w:rPr>
        <w:t>本合同中约定的监理人的权利应当理解为委托人赋予监理人的职权，监理人必须履行，委托人另有要求的除外。</w:t>
      </w:r>
    </w:p>
    <w:p w14:paraId="2E9A8DAA">
      <w:pPr>
        <w:topLinePunct/>
        <w:adjustRightInd w:val="0"/>
        <w:snapToGrid w:val="0"/>
        <w:spacing w:line="480" w:lineRule="exact"/>
        <w:ind w:firstLine="496" w:firstLineChars="200"/>
        <w:rPr>
          <w:snapToGrid w:val="0"/>
          <w:spacing w:val="4"/>
          <w:kern w:val="0"/>
          <w:sz w:val="24"/>
        </w:rPr>
      </w:pPr>
      <w:r>
        <w:rPr>
          <w:snapToGrid w:val="0"/>
          <w:spacing w:val="4"/>
          <w:kern w:val="0"/>
          <w:sz w:val="24"/>
        </w:rPr>
        <w:t>监理人对委托人有关人员（包括委托人授权代表）违规干扰其正常监理工作和吃拿卡要等行为，有权向委托人纪检监察部门投诉或举报。</w:t>
      </w:r>
    </w:p>
    <w:p w14:paraId="4EA3E1B7">
      <w:pPr>
        <w:topLinePunct/>
        <w:adjustRightInd w:val="0"/>
        <w:snapToGrid w:val="0"/>
        <w:spacing w:line="480" w:lineRule="exact"/>
        <w:ind w:firstLine="498" w:firstLineChars="200"/>
        <w:outlineLvl w:val="1"/>
        <w:rPr>
          <w:snapToGrid w:val="0"/>
          <w:spacing w:val="4"/>
          <w:kern w:val="0"/>
          <w:sz w:val="24"/>
        </w:rPr>
      </w:pPr>
      <w:r>
        <w:rPr>
          <w:b/>
          <w:bCs/>
          <w:snapToGrid w:val="0"/>
          <w:spacing w:val="4"/>
          <w:kern w:val="0"/>
          <w:sz w:val="24"/>
        </w:rPr>
        <w:t>第</w:t>
      </w:r>
      <w:r>
        <w:rPr>
          <w:b/>
          <w:snapToGrid w:val="0"/>
          <w:spacing w:val="4"/>
          <w:kern w:val="0"/>
          <w:sz w:val="24"/>
        </w:rPr>
        <w:t>十</w:t>
      </w:r>
      <w:r>
        <w:rPr>
          <w:rFonts w:hint="eastAsia"/>
          <w:b/>
          <w:snapToGrid w:val="0"/>
          <w:spacing w:val="4"/>
          <w:kern w:val="0"/>
          <w:sz w:val="24"/>
        </w:rPr>
        <w:t>三</w:t>
      </w:r>
      <w:r>
        <w:rPr>
          <w:b/>
          <w:bCs/>
          <w:snapToGrid w:val="0"/>
          <w:spacing w:val="4"/>
          <w:kern w:val="0"/>
          <w:sz w:val="24"/>
        </w:rPr>
        <w:t>条</w:t>
      </w:r>
      <w:r>
        <w:rPr>
          <w:snapToGrid w:val="0"/>
          <w:spacing w:val="4"/>
          <w:kern w:val="0"/>
          <w:sz w:val="24"/>
        </w:rPr>
        <w:t>　</w:t>
      </w:r>
      <w:r>
        <w:rPr>
          <w:b/>
          <w:snapToGrid w:val="0"/>
          <w:spacing w:val="4"/>
          <w:kern w:val="0"/>
          <w:sz w:val="24"/>
        </w:rPr>
        <w:t>监理人的违约责任（一）</w:t>
      </w:r>
    </w:p>
    <w:p w14:paraId="62E61DBE">
      <w:pPr>
        <w:topLinePunct/>
        <w:adjustRightInd w:val="0"/>
        <w:snapToGrid w:val="0"/>
        <w:spacing w:line="480" w:lineRule="exact"/>
        <w:ind w:firstLine="498" w:firstLineChars="200"/>
        <w:outlineLvl w:val="2"/>
        <w:rPr>
          <w:bCs/>
          <w:snapToGrid w:val="0"/>
          <w:spacing w:val="4"/>
          <w:kern w:val="0"/>
          <w:sz w:val="24"/>
        </w:rPr>
      </w:pPr>
      <w:r>
        <w:rPr>
          <w:rFonts w:hint="eastAsia"/>
          <w:b/>
          <w:bCs/>
          <w:snapToGrid w:val="0"/>
          <w:spacing w:val="4"/>
          <w:kern w:val="0"/>
          <w:sz w:val="24"/>
        </w:rPr>
        <w:t>13.</w:t>
      </w:r>
      <w:r>
        <w:rPr>
          <w:b/>
          <w:bCs/>
          <w:snapToGrid w:val="0"/>
          <w:spacing w:val="4"/>
          <w:kern w:val="0"/>
          <w:sz w:val="24"/>
        </w:rPr>
        <w:t xml:space="preserve">1  </w:t>
      </w:r>
      <w:r>
        <w:rPr>
          <w:bCs/>
          <w:snapToGrid w:val="0"/>
          <w:spacing w:val="4"/>
          <w:kern w:val="0"/>
          <w:sz w:val="24"/>
        </w:rPr>
        <w:t>监理人违反本合同的约定，应当按约定向委托人承担</w:t>
      </w:r>
      <w:r>
        <w:rPr>
          <w:rFonts w:hint="eastAsia"/>
          <w:bCs/>
          <w:snapToGrid w:val="0"/>
          <w:spacing w:val="4"/>
          <w:kern w:val="0"/>
          <w:sz w:val="24"/>
        </w:rPr>
        <w:t>以下一种或多种</w:t>
      </w:r>
      <w:r>
        <w:rPr>
          <w:bCs/>
          <w:snapToGrid w:val="0"/>
          <w:spacing w:val="4"/>
          <w:kern w:val="0"/>
          <w:sz w:val="24"/>
        </w:rPr>
        <w:t>违约责任，承担违约责任方式包括但不限于：</w:t>
      </w:r>
    </w:p>
    <w:p w14:paraId="73560DAD">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书面警告。监理人未履行或未按时履行或未按质履行义务或不执行委托人（含主管人员）的指令时，委托人有权向监理人发出书面警告。监理人必须在书面警告限定的时间内履行义务，否则应承担1次一般违约责任。</w:t>
      </w:r>
    </w:p>
    <w:p w14:paraId="5CC171F5">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（2）一般违约责任。监理人按本合同约定应当承担一般违约责任时，第一次必须向委托人交纳违约金</w:t>
      </w:r>
      <w:r>
        <w:rPr>
          <w:snapToGrid w:val="0"/>
          <w:spacing w:val="4"/>
          <w:kern w:val="0"/>
          <w:sz w:val="24"/>
        </w:rPr>
        <w:t>（</w:t>
      </w:r>
      <w:r>
        <w:rPr>
          <w:b/>
          <w:snapToGrid w:val="0"/>
          <w:spacing w:val="4"/>
          <w:kern w:val="0"/>
          <w:sz w:val="28"/>
          <w:szCs w:val="28"/>
        </w:rPr>
        <w:t>□</w:t>
      </w:r>
      <w:r>
        <w:rPr>
          <w:snapToGrid w:val="0"/>
          <w:spacing w:val="4"/>
          <w:kern w:val="0"/>
          <w:sz w:val="24"/>
        </w:rPr>
        <w:t>1000元、</w:t>
      </w:r>
      <w:r>
        <w:rPr>
          <w:rFonts w:eastAsia="黑体"/>
          <w:bCs/>
          <w:snapToGrid w:val="0"/>
          <w:spacing w:val="4"/>
          <w:kern w:val="0"/>
          <w:sz w:val="24"/>
          <w:bdr w:val="single" w:color="auto" w:sz="4" w:space="0"/>
        </w:rPr>
        <w:t>√</w:t>
      </w:r>
      <w:r>
        <w:rPr>
          <w:snapToGrid w:val="0"/>
          <w:spacing w:val="4"/>
          <w:kern w:val="0"/>
          <w:sz w:val="24"/>
        </w:rPr>
        <w:t>2000元、</w:t>
      </w:r>
      <w:r>
        <w:rPr>
          <w:rFonts w:eastAsia="黑体"/>
          <w:b/>
          <w:bCs/>
          <w:snapToGrid w:val="0"/>
          <w:spacing w:val="4"/>
          <w:kern w:val="0"/>
          <w:sz w:val="28"/>
          <w:szCs w:val="28"/>
        </w:rPr>
        <w:t>□</w:t>
      </w:r>
      <w:r>
        <w:rPr>
          <w:snapToGrid w:val="0"/>
          <w:spacing w:val="4"/>
          <w:kern w:val="0"/>
          <w:sz w:val="24"/>
        </w:rPr>
        <w:t>5000元）</w:t>
      </w:r>
      <w:r>
        <w:rPr>
          <w:bCs/>
          <w:snapToGrid w:val="0"/>
          <w:spacing w:val="4"/>
          <w:kern w:val="0"/>
          <w:sz w:val="24"/>
        </w:rPr>
        <w:t>/次；第二次承担同一违约性质的一般违约责任时，监理人应向委托人交纳的违约金为第一次交纳金额的2倍；第三次承担同一违约性质的一般违约责任时，监理人应向委托人交纳的违约金为第一次交纳金额的3倍；以此类推，但每次交纳的金额最高不超过第一次交纳金额的5倍。</w:t>
      </w:r>
    </w:p>
    <w:p w14:paraId="13C207E3">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（3）严重违约责任。监理人按本合同约定应当承担严重违约责任时，必须向委托人交纳违约金</w:t>
      </w:r>
      <w:r>
        <w:rPr>
          <w:snapToGrid w:val="0"/>
          <w:spacing w:val="4"/>
          <w:kern w:val="0"/>
          <w:sz w:val="24"/>
        </w:rPr>
        <w:t>（</w:t>
      </w:r>
      <w:r>
        <w:rPr>
          <w:b/>
          <w:snapToGrid w:val="0"/>
          <w:spacing w:val="4"/>
          <w:kern w:val="0"/>
          <w:sz w:val="28"/>
          <w:szCs w:val="28"/>
        </w:rPr>
        <w:t>□</w:t>
      </w:r>
      <w:r>
        <w:rPr>
          <w:snapToGrid w:val="0"/>
          <w:spacing w:val="4"/>
          <w:kern w:val="0"/>
          <w:sz w:val="24"/>
        </w:rPr>
        <w:t>5000元、</w:t>
      </w:r>
      <w:r>
        <w:rPr>
          <w:b/>
          <w:snapToGrid w:val="0"/>
          <w:spacing w:val="4"/>
          <w:kern w:val="0"/>
          <w:sz w:val="28"/>
          <w:szCs w:val="28"/>
        </w:rPr>
        <w:t>□</w:t>
      </w:r>
      <w:r>
        <w:rPr>
          <w:snapToGrid w:val="0"/>
          <w:spacing w:val="4"/>
          <w:kern w:val="0"/>
          <w:sz w:val="24"/>
        </w:rPr>
        <w:t>10000元、</w:t>
      </w:r>
      <w:r>
        <w:rPr>
          <w:rFonts w:eastAsia="黑体"/>
          <w:bCs/>
          <w:snapToGrid w:val="0"/>
          <w:spacing w:val="4"/>
          <w:kern w:val="0"/>
          <w:sz w:val="24"/>
          <w:bdr w:val="single" w:color="auto" w:sz="4" w:space="0"/>
        </w:rPr>
        <w:t>√</w:t>
      </w:r>
      <w:r>
        <w:rPr>
          <w:snapToGrid w:val="0"/>
          <w:spacing w:val="4"/>
          <w:kern w:val="0"/>
          <w:sz w:val="24"/>
        </w:rPr>
        <w:t>20000元）</w:t>
      </w:r>
      <w:r>
        <w:rPr>
          <w:bCs/>
          <w:snapToGrid w:val="0"/>
          <w:spacing w:val="4"/>
          <w:kern w:val="0"/>
          <w:sz w:val="24"/>
        </w:rPr>
        <w:t>/次。</w:t>
      </w:r>
    </w:p>
    <w:p w14:paraId="6E3A78F4">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4）部分解除合同。委托人依本合同约定向监理人发出部分解除合同的通知后，本合同部分解除即生效。于此情形下，监理人必须在收到委托人部分解除合同通知之日起3日内停止被解除部分的工作，5日内配合委托人完成现场工作和有关资料的移交，所交接资料必须完整。监理人无特殊原因未在要求期限内完成移交和撤出，或交接资料不完整的，委托人有权处理其留在现场的材料、设备和其他物件，处理费用由监理人承担，且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14:paraId="1D856061">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5）解除合同。委托人依本合同约定向监理人发出解除合同的通知后，本合同即宣告解除。于此情形下，监理人必须在收到委托人解除合同通知之日起3日内停止全部工作，5日内配合委托人完成现场工作和有关资料的移交，并于完成交接工作当日内离场。监理人应保证所移交的资料齐全完整，监理人无特殊原因未在要求期限内完成移交和离场或所移交的资料不完整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14:paraId="15F8715F">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（6）赔偿损失。因监理人违约</w:t>
      </w:r>
      <w:r>
        <w:rPr>
          <w:rFonts w:hint="eastAsia"/>
          <w:bCs/>
          <w:snapToGrid w:val="0"/>
          <w:spacing w:val="4"/>
          <w:kern w:val="0"/>
          <w:sz w:val="24"/>
        </w:rPr>
        <w:t>、故意、严重渎职或重大过失等情形</w:t>
      </w:r>
      <w:r>
        <w:rPr>
          <w:bCs/>
          <w:snapToGrid w:val="0"/>
          <w:spacing w:val="4"/>
          <w:kern w:val="0"/>
          <w:sz w:val="24"/>
        </w:rPr>
        <w:t>给委托人造成损失的，监理人应向委托人赔偿</w:t>
      </w:r>
      <w:r>
        <w:rPr>
          <w:rFonts w:hint="eastAsia"/>
          <w:bCs/>
          <w:snapToGrid w:val="0"/>
          <w:spacing w:val="4"/>
          <w:kern w:val="0"/>
          <w:sz w:val="24"/>
        </w:rPr>
        <w:t>全部</w:t>
      </w:r>
      <w:r>
        <w:rPr>
          <w:bCs/>
          <w:snapToGrid w:val="0"/>
          <w:spacing w:val="4"/>
          <w:kern w:val="0"/>
          <w:sz w:val="24"/>
        </w:rPr>
        <w:t>经济损失</w:t>
      </w:r>
      <w:r>
        <w:rPr>
          <w:rFonts w:hint="eastAsia"/>
          <w:bCs/>
          <w:snapToGrid w:val="0"/>
          <w:spacing w:val="4"/>
          <w:kern w:val="0"/>
          <w:sz w:val="24"/>
        </w:rPr>
        <w:t>，包括但不限于直接损失、间接损失和合同履行后可以获得的利益、预期利益、名誉损失及实现权益的一切费用（包括但不限于：调查费、评估费、鉴定费、公证费、诉讼费、交通费、律师费、保全费、保险费等相关费用）</w:t>
      </w:r>
      <w:r>
        <w:rPr>
          <w:bCs/>
          <w:snapToGrid w:val="0"/>
          <w:spacing w:val="4"/>
          <w:kern w:val="0"/>
          <w:sz w:val="24"/>
        </w:rPr>
        <w:t>。</w:t>
      </w:r>
    </w:p>
    <w:p w14:paraId="00F5F896">
      <w:pPr>
        <w:topLinePunct/>
        <w:adjustRightInd w:val="0"/>
        <w:snapToGrid w:val="0"/>
        <w:spacing w:line="480" w:lineRule="exact"/>
        <w:ind w:firstLine="498" w:firstLineChars="200"/>
        <w:outlineLvl w:val="2"/>
        <w:rPr>
          <w:bCs/>
          <w:snapToGrid w:val="0"/>
          <w:spacing w:val="4"/>
          <w:kern w:val="0"/>
          <w:sz w:val="24"/>
        </w:rPr>
      </w:pPr>
      <w:r>
        <w:rPr>
          <w:rFonts w:hint="eastAsia"/>
          <w:b/>
          <w:bCs/>
          <w:snapToGrid w:val="0"/>
          <w:spacing w:val="4"/>
          <w:kern w:val="0"/>
          <w:sz w:val="24"/>
        </w:rPr>
        <w:t>13.</w:t>
      </w:r>
      <w:r>
        <w:rPr>
          <w:b/>
          <w:bCs/>
          <w:snapToGrid w:val="0"/>
          <w:spacing w:val="4"/>
          <w:kern w:val="0"/>
          <w:sz w:val="24"/>
        </w:rPr>
        <w:t>2</w:t>
      </w:r>
      <w:r>
        <w:rPr>
          <w:bCs/>
          <w:snapToGrid w:val="0"/>
          <w:spacing w:val="4"/>
          <w:kern w:val="0"/>
          <w:sz w:val="24"/>
        </w:rPr>
        <w:t xml:space="preserve">  监理人累计承担书面警告达3次的，则另行追加一般违约责任1次；监理人累计承担一般违约责任达3次的，则另行追加严重违约责任1次；监理人累计承担严重违约责任达3次或者工程进度严重滞后的，委托人有权要求监理人的法定代表人驻场办公，代行项目总监职责，直至委托人满意其监理工作时方可离场。</w:t>
      </w:r>
    </w:p>
    <w:p w14:paraId="13D2BB02">
      <w:pPr>
        <w:topLinePunct/>
        <w:adjustRightInd w:val="0"/>
        <w:snapToGrid w:val="0"/>
        <w:spacing w:line="480" w:lineRule="exact"/>
        <w:ind w:firstLine="498" w:firstLineChars="200"/>
        <w:outlineLvl w:val="2"/>
        <w:rPr>
          <w:bCs/>
          <w:snapToGrid w:val="0"/>
          <w:spacing w:val="4"/>
          <w:kern w:val="0"/>
          <w:sz w:val="24"/>
        </w:rPr>
      </w:pPr>
      <w:r>
        <w:rPr>
          <w:rFonts w:hint="eastAsia"/>
          <w:b/>
          <w:bCs/>
          <w:snapToGrid w:val="0"/>
          <w:spacing w:val="4"/>
          <w:kern w:val="0"/>
          <w:sz w:val="24"/>
        </w:rPr>
        <w:t>13.</w:t>
      </w:r>
      <w:r>
        <w:rPr>
          <w:b/>
          <w:bCs/>
          <w:snapToGrid w:val="0"/>
          <w:spacing w:val="4"/>
          <w:kern w:val="0"/>
          <w:sz w:val="24"/>
        </w:rPr>
        <w:t>3</w:t>
      </w:r>
      <w:r>
        <w:rPr>
          <w:bCs/>
          <w:snapToGrid w:val="0"/>
          <w:spacing w:val="4"/>
          <w:kern w:val="0"/>
          <w:sz w:val="24"/>
        </w:rPr>
        <w:t xml:space="preserve">  当监理人违约需向委托人支付违约金或赔偿金时，委托人将书面通知监理人</w:t>
      </w:r>
      <w:r>
        <w:rPr>
          <w:rFonts w:hint="eastAsia"/>
          <w:bCs/>
          <w:snapToGrid w:val="0"/>
          <w:spacing w:val="4"/>
          <w:kern w:val="0"/>
          <w:sz w:val="24"/>
        </w:rPr>
        <w:t>交纳；若监理人在收到通知后3个工作日内拒绝交纳的，委托人将书面通知</w:t>
      </w:r>
      <w:r>
        <w:rPr>
          <w:bCs/>
          <w:snapToGrid w:val="0"/>
          <w:spacing w:val="4"/>
          <w:kern w:val="0"/>
          <w:sz w:val="24"/>
        </w:rPr>
        <w:t>其保证人交纳</w:t>
      </w:r>
      <w:r>
        <w:rPr>
          <w:rFonts w:hint="eastAsia"/>
          <w:bCs/>
          <w:snapToGrid w:val="0"/>
          <w:spacing w:val="4"/>
          <w:kern w:val="0"/>
          <w:sz w:val="24"/>
        </w:rPr>
        <w:t>；</w:t>
      </w:r>
      <w:r>
        <w:rPr>
          <w:bCs/>
          <w:snapToGrid w:val="0"/>
          <w:spacing w:val="4"/>
          <w:kern w:val="0"/>
          <w:sz w:val="24"/>
        </w:rPr>
        <w:t>其保证人</w:t>
      </w:r>
      <w:r>
        <w:rPr>
          <w:rFonts w:hint="eastAsia"/>
          <w:bCs/>
          <w:snapToGrid w:val="0"/>
          <w:spacing w:val="4"/>
          <w:kern w:val="0"/>
          <w:sz w:val="24"/>
        </w:rPr>
        <w:t>在收到通知后3个工作日内</w:t>
      </w:r>
      <w:r>
        <w:rPr>
          <w:bCs/>
          <w:snapToGrid w:val="0"/>
          <w:spacing w:val="4"/>
          <w:kern w:val="0"/>
          <w:sz w:val="24"/>
        </w:rPr>
        <w:t>拒绝交纳的，委托人</w:t>
      </w:r>
      <w:r>
        <w:rPr>
          <w:rFonts w:hint="eastAsia"/>
          <w:bCs/>
          <w:snapToGrid w:val="0"/>
          <w:spacing w:val="4"/>
          <w:kern w:val="0"/>
          <w:sz w:val="24"/>
        </w:rPr>
        <w:t>有权</w:t>
      </w:r>
      <w:r>
        <w:rPr>
          <w:bCs/>
          <w:snapToGrid w:val="0"/>
          <w:spacing w:val="4"/>
          <w:kern w:val="0"/>
          <w:sz w:val="24"/>
        </w:rPr>
        <w:t>从应支付给监理人的监理酬金中直接扣除，扣除款项计入累计监理酬金进度款，结算时不予退还，监理人不得有异议。同时，委托人保留进一步依法追究监理人及其保证人有关责任的权利。</w:t>
      </w:r>
    </w:p>
    <w:p w14:paraId="4DD4F201">
      <w:pPr>
        <w:topLinePunct/>
        <w:adjustRightInd w:val="0"/>
        <w:snapToGrid w:val="0"/>
        <w:spacing w:line="480" w:lineRule="exact"/>
        <w:ind w:firstLine="498" w:firstLineChars="200"/>
        <w:outlineLvl w:val="2"/>
        <w:rPr>
          <w:bCs/>
          <w:snapToGrid w:val="0"/>
          <w:spacing w:val="4"/>
          <w:kern w:val="0"/>
          <w:sz w:val="24"/>
        </w:rPr>
      </w:pPr>
      <w:r>
        <w:rPr>
          <w:rFonts w:hint="eastAsia"/>
          <w:b/>
          <w:bCs/>
          <w:snapToGrid w:val="0"/>
          <w:spacing w:val="4"/>
          <w:kern w:val="0"/>
          <w:sz w:val="24"/>
        </w:rPr>
        <w:t>13.</w:t>
      </w:r>
      <w:r>
        <w:rPr>
          <w:b/>
          <w:bCs/>
          <w:snapToGrid w:val="0"/>
          <w:spacing w:val="4"/>
          <w:kern w:val="0"/>
          <w:sz w:val="24"/>
        </w:rPr>
        <w:t>4</w:t>
      </w:r>
      <w:r>
        <w:rPr>
          <w:bCs/>
          <w:snapToGrid w:val="0"/>
          <w:spacing w:val="4"/>
          <w:kern w:val="0"/>
          <w:sz w:val="24"/>
        </w:rPr>
        <w:t xml:space="preserve">  当监理人无正当理由而不履行或没有全面且适当履行其相关承诺及监理义务时，委托人有权书面通知监理人，指明其未能履约的内容和委托人要求其承担违约责任的等级</w:t>
      </w:r>
      <w:r>
        <w:rPr>
          <w:rFonts w:hint="eastAsia"/>
          <w:bCs/>
          <w:snapToGrid w:val="0"/>
          <w:spacing w:val="4"/>
          <w:kern w:val="0"/>
          <w:sz w:val="24"/>
        </w:rPr>
        <w:t>和方式</w:t>
      </w:r>
      <w:r>
        <w:rPr>
          <w:bCs/>
          <w:snapToGrid w:val="0"/>
          <w:spacing w:val="4"/>
          <w:kern w:val="0"/>
          <w:sz w:val="24"/>
        </w:rPr>
        <w:t>。</w:t>
      </w:r>
    </w:p>
    <w:p w14:paraId="3920CAA7">
      <w:pPr>
        <w:topLinePunct/>
        <w:adjustRightInd w:val="0"/>
        <w:snapToGrid w:val="0"/>
        <w:spacing w:line="480" w:lineRule="exact"/>
        <w:ind w:firstLine="498" w:firstLineChars="200"/>
        <w:outlineLvl w:val="3"/>
        <w:rPr>
          <w:b/>
          <w:bCs/>
          <w:snapToGrid w:val="0"/>
          <w:spacing w:val="4"/>
          <w:kern w:val="0"/>
          <w:sz w:val="24"/>
        </w:rPr>
      </w:pPr>
      <w:r>
        <w:rPr>
          <w:rFonts w:hint="eastAsia"/>
          <w:b/>
          <w:bCs/>
          <w:snapToGrid w:val="0"/>
          <w:spacing w:val="4"/>
          <w:kern w:val="0"/>
          <w:sz w:val="24"/>
        </w:rPr>
        <w:t>13.</w:t>
      </w:r>
      <w:r>
        <w:rPr>
          <w:b/>
          <w:bCs/>
          <w:snapToGrid w:val="0"/>
          <w:spacing w:val="4"/>
          <w:kern w:val="0"/>
          <w:sz w:val="24"/>
        </w:rPr>
        <w:t>4.1  监理组织管理方面的违约责任</w:t>
      </w:r>
    </w:p>
    <w:p w14:paraId="5656CE3B">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监理人承诺主动支持委托人的工作。若无正当理由又未提前向委托人报告且未得到委托人同意的，而对委托人的指令和书面通知，公开或变相拒不执行的，属于违约，监理人承担一般违约1次；监理人因此而再次违约的，每违约一次，监理人承担严重违约责任1次；情节特别严重的，委托人有权单方面部分解除合同或解除合同。同时，监理人还须承担由此造成的一切经济损失。</w:t>
      </w:r>
    </w:p>
    <w:p w14:paraId="48E7DA78">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（2）监理人不遵守委托人依据本合同</w:t>
      </w:r>
      <w:r>
        <w:rPr>
          <w:bCs/>
          <w:snapToGrid w:val="0"/>
          <w:spacing w:val="4"/>
          <w:kern w:val="0"/>
          <w:sz w:val="24"/>
          <w:u w:val="wave"/>
        </w:rPr>
        <w:t>专用条件总则第6款</w:t>
      </w:r>
      <w:r>
        <w:rPr>
          <w:bCs/>
          <w:snapToGrid w:val="0"/>
          <w:spacing w:val="4"/>
          <w:kern w:val="0"/>
          <w:sz w:val="24"/>
        </w:rPr>
        <w:t>约定所制订的各项制度、规定的，由监理人按所违反制度、规定的有关规定承担违约责任。相应制度、规定没有明确规定的，由委托人参照</w:t>
      </w:r>
      <w:r>
        <w:rPr>
          <w:bCs/>
          <w:snapToGrid w:val="0"/>
          <w:spacing w:val="4"/>
          <w:kern w:val="0"/>
          <w:sz w:val="24"/>
          <w:u w:val="wave"/>
        </w:rPr>
        <w:t>本条第</w:t>
      </w:r>
      <w:r>
        <w:rPr>
          <w:rFonts w:hint="eastAsia"/>
          <w:bCs/>
          <w:snapToGrid w:val="0"/>
          <w:spacing w:val="4"/>
          <w:kern w:val="0"/>
          <w:sz w:val="24"/>
          <w:u w:val="wave"/>
        </w:rPr>
        <w:t>13.</w:t>
      </w:r>
      <w:r>
        <w:rPr>
          <w:bCs/>
          <w:snapToGrid w:val="0"/>
          <w:spacing w:val="4"/>
          <w:kern w:val="0"/>
          <w:sz w:val="24"/>
          <w:u w:val="wave"/>
        </w:rPr>
        <w:t>4.1-（1）项</w:t>
      </w:r>
      <w:r>
        <w:rPr>
          <w:bCs/>
          <w:snapToGrid w:val="0"/>
          <w:spacing w:val="4"/>
          <w:kern w:val="0"/>
          <w:sz w:val="24"/>
        </w:rPr>
        <w:t>的约定处理。</w:t>
      </w:r>
    </w:p>
    <w:p w14:paraId="1FF9BE15">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（3）监理人未按承诺建立组织架构、派驻监理人员和投入设备，监理人必须按委托人要求限期整改，并承担相应违约责任。具体约定为：</w:t>
      </w:r>
    </w:p>
    <w:p w14:paraId="36BBC77F">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在委托人书面通知监理人进场后3日内，监理人在投标文件中承诺的除项目总监、总监代表、造价人员、资料员4类人员以外的主要监理人员（指专业监理工程师等同等级别以上的监理人员）未能足额到位，或到位后又离开，造成该岗位空缺，或未按承诺依时、足额投入有关设备的，监理人应向委托人书面解释并保证人员、设备如期到位；如果监理人拒不配合，未在委托人提出限期改正的期限内</w:t>
      </w:r>
      <w:r>
        <w:rPr>
          <w:rFonts w:hint="eastAsia"/>
          <w:bCs/>
          <w:snapToGrid w:val="0"/>
          <w:spacing w:val="4"/>
          <w:kern w:val="0"/>
          <w:sz w:val="24"/>
        </w:rPr>
        <w:t>完成</w:t>
      </w:r>
      <w:r>
        <w:rPr>
          <w:bCs/>
          <w:snapToGrid w:val="0"/>
          <w:spacing w:val="4"/>
          <w:kern w:val="0"/>
          <w:sz w:val="24"/>
        </w:rPr>
        <w:t>整改的，监理人承担严重违约责任1次，于此情形下，委托人有权单方面解除合同，并要求监理人承担由此造成的损失。</w:t>
      </w:r>
    </w:p>
    <w:p w14:paraId="2791D63A">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4）监理人必须严格按照投标承诺投入监理人员，调换监理人员必须提出书面报告并附上替代人员的所有证明资料，经委托人审核书面同意后才能调换，虽经委托人书面同意更换，但监理人仍应按下表的约定承担违约责任。委托人要求监理人更换监理人员时，监理人</w:t>
      </w:r>
      <w:r>
        <w:rPr>
          <w:rFonts w:hint="eastAsia"/>
          <w:bCs/>
          <w:snapToGrid w:val="0"/>
          <w:spacing w:val="4"/>
          <w:kern w:val="0"/>
          <w:sz w:val="24"/>
        </w:rPr>
        <w:t>应</w:t>
      </w:r>
      <w:r>
        <w:rPr>
          <w:bCs/>
          <w:snapToGrid w:val="0"/>
          <w:spacing w:val="4"/>
          <w:kern w:val="0"/>
          <w:sz w:val="24"/>
        </w:rPr>
        <w:t>在接到委托人通知后三天内安排更换到位，</w:t>
      </w:r>
      <w:r>
        <w:rPr>
          <w:rFonts w:hint="eastAsia"/>
          <w:bCs/>
          <w:snapToGrid w:val="0"/>
          <w:spacing w:val="4"/>
          <w:kern w:val="0"/>
          <w:sz w:val="24"/>
        </w:rPr>
        <w:t>逾期未更换的</w:t>
      </w:r>
      <w:r>
        <w:rPr>
          <w:bCs/>
          <w:snapToGrid w:val="0"/>
          <w:spacing w:val="4"/>
          <w:kern w:val="0"/>
          <w:sz w:val="24"/>
        </w:rPr>
        <w:t>，委托人将有权延期支付监理酬金，并由委托人直接聘请</w:t>
      </w:r>
      <w:r>
        <w:rPr>
          <w:rFonts w:hint="eastAsia"/>
          <w:bCs/>
          <w:snapToGrid w:val="0"/>
          <w:spacing w:val="4"/>
          <w:kern w:val="0"/>
          <w:sz w:val="24"/>
        </w:rPr>
        <w:t>替代人员</w:t>
      </w:r>
      <w:r>
        <w:rPr>
          <w:bCs/>
          <w:snapToGrid w:val="0"/>
          <w:spacing w:val="4"/>
          <w:kern w:val="0"/>
          <w:sz w:val="24"/>
        </w:rPr>
        <w:t>，聘请人员所需费用按本合同</w:t>
      </w:r>
      <w:r>
        <w:rPr>
          <w:bCs/>
          <w:snapToGrid w:val="0"/>
          <w:spacing w:val="4"/>
          <w:kern w:val="0"/>
          <w:sz w:val="24"/>
          <w:u w:val="wave"/>
        </w:rPr>
        <w:t>专用条件第4.3.1-（12）项</w:t>
      </w:r>
      <w:r>
        <w:rPr>
          <w:bCs/>
          <w:snapToGrid w:val="0"/>
          <w:spacing w:val="4"/>
          <w:kern w:val="0"/>
          <w:sz w:val="24"/>
        </w:rPr>
        <w:t>的约定执行。同时，监理人按下表的约定承担违约责任；情节严重的，委托人有权单方面解除合同</w:t>
      </w:r>
      <w:r>
        <w:rPr>
          <w:rFonts w:hint="eastAsia"/>
          <w:bCs/>
          <w:snapToGrid w:val="0"/>
          <w:spacing w:val="4"/>
          <w:kern w:val="0"/>
          <w:sz w:val="24"/>
        </w:rPr>
        <w:t>，并要求监理人赔偿损失</w:t>
      </w:r>
      <w:r>
        <w:rPr>
          <w:bCs/>
          <w:snapToGrid w:val="0"/>
          <w:spacing w:val="4"/>
          <w:kern w:val="0"/>
          <w:sz w:val="24"/>
        </w:rPr>
        <w:t>。</w:t>
      </w:r>
    </w:p>
    <w:p w14:paraId="6E021855">
      <w:pPr>
        <w:topLinePunct/>
        <w:adjustRightInd w:val="0"/>
        <w:snapToGrid w:val="0"/>
        <w:spacing w:line="480" w:lineRule="exact"/>
        <w:ind w:firstLine="496" w:firstLineChars="200"/>
        <w:rPr>
          <w:bCs/>
          <w:snapToGrid w:val="0"/>
          <w:spacing w:val="4"/>
          <w:kern w:val="0"/>
          <w:sz w:val="24"/>
        </w:rPr>
      </w:pPr>
    </w:p>
    <w:tbl>
      <w:tblPr>
        <w:tblStyle w:val="21"/>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4484"/>
        <w:gridCol w:w="4058"/>
      </w:tblGrid>
      <w:tr w14:paraId="5CDC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717" w:type="dxa"/>
            <w:vAlign w:val="center"/>
          </w:tcPr>
          <w:p w14:paraId="3C3DF080">
            <w:pPr>
              <w:jc w:val="center"/>
              <w:rPr>
                <w:rFonts w:ascii="宋体" w:hAnsi="宋体" w:cs="宋体"/>
                <w:szCs w:val="21"/>
              </w:rPr>
            </w:pPr>
            <w:r>
              <w:rPr>
                <w:rFonts w:hint="eastAsia" w:ascii="宋体" w:hAnsi="宋体" w:cs="宋体"/>
                <w:szCs w:val="21"/>
              </w:rPr>
              <w:t>序号</w:t>
            </w:r>
          </w:p>
        </w:tc>
        <w:tc>
          <w:tcPr>
            <w:tcW w:w="4484" w:type="dxa"/>
            <w:vAlign w:val="center"/>
          </w:tcPr>
          <w:p w14:paraId="183530A4">
            <w:pPr>
              <w:jc w:val="center"/>
              <w:rPr>
                <w:rFonts w:ascii="宋体" w:hAnsi="宋体" w:cs="宋体"/>
                <w:szCs w:val="21"/>
              </w:rPr>
            </w:pPr>
            <w:r>
              <w:rPr>
                <w:rFonts w:hint="eastAsia" w:ascii="宋体" w:hAnsi="宋体" w:cs="宋体"/>
                <w:szCs w:val="21"/>
              </w:rPr>
              <w:t>违约项目</w:t>
            </w:r>
          </w:p>
        </w:tc>
        <w:tc>
          <w:tcPr>
            <w:tcW w:w="4058" w:type="dxa"/>
            <w:vAlign w:val="center"/>
          </w:tcPr>
          <w:p w14:paraId="32A038C0">
            <w:pPr>
              <w:jc w:val="center"/>
              <w:rPr>
                <w:rFonts w:ascii="宋体" w:hAnsi="宋体" w:cs="宋体"/>
                <w:szCs w:val="21"/>
              </w:rPr>
            </w:pPr>
            <w:r>
              <w:rPr>
                <w:rFonts w:hint="eastAsia" w:ascii="宋体" w:hAnsi="宋体" w:cs="宋体"/>
                <w:szCs w:val="21"/>
              </w:rPr>
              <w:t>违约金</w:t>
            </w:r>
          </w:p>
        </w:tc>
      </w:tr>
      <w:tr w14:paraId="3136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17" w:type="dxa"/>
            <w:vAlign w:val="center"/>
          </w:tcPr>
          <w:p w14:paraId="44C1C6B7">
            <w:pPr>
              <w:numPr>
                <w:ilvl w:val="0"/>
                <w:numId w:val="4"/>
              </w:numPr>
              <w:jc w:val="center"/>
              <w:rPr>
                <w:rFonts w:ascii="宋体" w:hAnsi="宋体" w:cs="宋体"/>
                <w:szCs w:val="21"/>
              </w:rPr>
            </w:pPr>
          </w:p>
        </w:tc>
        <w:tc>
          <w:tcPr>
            <w:tcW w:w="4484" w:type="dxa"/>
            <w:vAlign w:val="center"/>
          </w:tcPr>
          <w:p w14:paraId="2E9A5E94">
            <w:pPr>
              <w:jc w:val="left"/>
              <w:rPr>
                <w:rFonts w:ascii="宋体" w:hAnsi="宋体" w:cs="宋体"/>
                <w:szCs w:val="21"/>
              </w:rPr>
            </w:pPr>
            <w:r>
              <w:rPr>
                <w:rFonts w:hint="eastAsia" w:ascii="宋体" w:hAnsi="宋体" w:cs="宋体"/>
                <w:szCs w:val="21"/>
              </w:rPr>
              <w:t>经委托人同意，监理人调换监理人员</w:t>
            </w:r>
          </w:p>
        </w:tc>
        <w:tc>
          <w:tcPr>
            <w:tcW w:w="4058" w:type="dxa"/>
            <w:vAlign w:val="center"/>
          </w:tcPr>
          <w:p w14:paraId="2134F468">
            <w:pPr>
              <w:jc w:val="left"/>
              <w:rPr>
                <w:rFonts w:ascii="宋体" w:hAnsi="宋体" w:cs="宋体"/>
                <w:szCs w:val="21"/>
              </w:rPr>
            </w:pPr>
            <w:r>
              <w:rPr>
                <w:rFonts w:hint="eastAsia" w:ascii="宋体" w:hAnsi="宋体" w:cs="宋体"/>
                <w:szCs w:val="21"/>
              </w:rPr>
              <w:t>项目总监：10000（元/人·次）</w:t>
            </w:r>
          </w:p>
          <w:p w14:paraId="63A9EBAF">
            <w:pPr>
              <w:jc w:val="left"/>
              <w:rPr>
                <w:rFonts w:ascii="宋体" w:hAnsi="宋体" w:cs="宋体"/>
                <w:szCs w:val="21"/>
              </w:rPr>
            </w:pPr>
            <w:r>
              <w:rPr>
                <w:rFonts w:hint="eastAsia" w:ascii="宋体" w:hAnsi="宋体" w:cs="宋体"/>
                <w:szCs w:val="21"/>
              </w:rPr>
              <w:t>总监代表：10000（元/人·次）</w:t>
            </w:r>
          </w:p>
        </w:tc>
      </w:tr>
      <w:tr w14:paraId="0482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17" w:type="dxa"/>
            <w:vAlign w:val="center"/>
          </w:tcPr>
          <w:p w14:paraId="6ECB977F">
            <w:pPr>
              <w:numPr>
                <w:ilvl w:val="0"/>
                <w:numId w:val="4"/>
              </w:numPr>
              <w:jc w:val="center"/>
              <w:rPr>
                <w:rFonts w:ascii="宋体" w:hAnsi="宋体" w:cs="宋体"/>
                <w:szCs w:val="21"/>
              </w:rPr>
            </w:pPr>
          </w:p>
        </w:tc>
        <w:tc>
          <w:tcPr>
            <w:tcW w:w="4484" w:type="dxa"/>
            <w:vAlign w:val="center"/>
          </w:tcPr>
          <w:p w14:paraId="3FDE1C2B">
            <w:pPr>
              <w:jc w:val="left"/>
              <w:rPr>
                <w:rFonts w:ascii="宋体" w:hAnsi="宋体" w:cs="宋体"/>
                <w:szCs w:val="21"/>
              </w:rPr>
            </w:pPr>
            <w:r>
              <w:rPr>
                <w:rFonts w:hint="eastAsia" w:ascii="宋体" w:hAnsi="宋体" w:cs="宋体"/>
                <w:szCs w:val="21"/>
              </w:rPr>
              <w:t>监理人自行调换或未按照委托人要求及时更换项目总监</w:t>
            </w:r>
          </w:p>
        </w:tc>
        <w:tc>
          <w:tcPr>
            <w:tcW w:w="4058" w:type="dxa"/>
            <w:vAlign w:val="center"/>
          </w:tcPr>
          <w:p w14:paraId="7B6F6F83">
            <w:pPr>
              <w:jc w:val="left"/>
              <w:rPr>
                <w:rFonts w:ascii="宋体" w:hAnsi="宋体" w:cs="宋体"/>
                <w:szCs w:val="21"/>
              </w:rPr>
            </w:pPr>
            <w:r>
              <w:rPr>
                <w:rFonts w:hint="eastAsia" w:ascii="宋体" w:hAnsi="宋体" w:cs="宋体"/>
                <w:bCs/>
                <w:szCs w:val="21"/>
              </w:rPr>
              <w:t>本合同监理酬金总额的2%</w:t>
            </w:r>
          </w:p>
        </w:tc>
      </w:tr>
      <w:tr w14:paraId="2E5F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17" w:type="dxa"/>
            <w:vAlign w:val="center"/>
          </w:tcPr>
          <w:p w14:paraId="7291A075">
            <w:pPr>
              <w:numPr>
                <w:ilvl w:val="0"/>
                <w:numId w:val="4"/>
              </w:numPr>
              <w:jc w:val="center"/>
              <w:rPr>
                <w:rFonts w:ascii="宋体" w:hAnsi="宋体" w:cs="宋体"/>
                <w:szCs w:val="21"/>
              </w:rPr>
            </w:pPr>
          </w:p>
        </w:tc>
        <w:tc>
          <w:tcPr>
            <w:tcW w:w="4484" w:type="dxa"/>
            <w:vAlign w:val="center"/>
          </w:tcPr>
          <w:p w14:paraId="75EBCC2A">
            <w:pPr>
              <w:jc w:val="left"/>
              <w:rPr>
                <w:rFonts w:ascii="宋体" w:hAnsi="宋体" w:cs="宋体"/>
                <w:szCs w:val="21"/>
              </w:rPr>
            </w:pPr>
            <w:r>
              <w:rPr>
                <w:rFonts w:hint="eastAsia" w:ascii="宋体" w:hAnsi="宋体" w:cs="宋体"/>
                <w:szCs w:val="21"/>
              </w:rPr>
              <w:t>监理人自行调换或未按照委托人要求及时更换项目副总监、项目总工（如有）或总监代表</w:t>
            </w:r>
          </w:p>
        </w:tc>
        <w:tc>
          <w:tcPr>
            <w:tcW w:w="4058" w:type="dxa"/>
            <w:vAlign w:val="center"/>
          </w:tcPr>
          <w:p w14:paraId="65C1430A">
            <w:pPr>
              <w:jc w:val="left"/>
              <w:rPr>
                <w:rFonts w:ascii="宋体" w:hAnsi="宋体" w:cs="宋体"/>
                <w:szCs w:val="21"/>
              </w:rPr>
            </w:pPr>
            <w:r>
              <w:rPr>
                <w:rFonts w:hint="eastAsia" w:ascii="宋体" w:hAnsi="宋体" w:cs="宋体"/>
                <w:bCs/>
                <w:szCs w:val="21"/>
              </w:rPr>
              <w:t>本合同监理酬金总额的1%</w:t>
            </w:r>
          </w:p>
        </w:tc>
      </w:tr>
      <w:tr w14:paraId="319D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17" w:type="dxa"/>
            <w:vAlign w:val="center"/>
          </w:tcPr>
          <w:p w14:paraId="12AF8364">
            <w:pPr>
              <w:numPr>
                <w:ilvl w:val="0"/>
                <w:numId w:val="4"/>
              </w:numPr>
              <w:jc w:val="center"/>
              <w:rPr>
                <w:rFonts w:ascii="宋体" w:hAnsi="宋体" w:cs="宋体"/>
                <w:szCs w:val="21"/>
              </w:rPr>
            </w:pPr>
          </w:p>
        </w:tc>
        <w:tc>
          <w:tcPr>
            <w:tcW w:w="4484" w:type="dxa"/>
            <w:vAlign w:val="center"/>
          </w:tcPr>
          <w:p w14:paraId="2D2A30A3">
            <w:pPr>
              <w:jc w:val="left"/>
              <w:rPr>
                <w:rFonts w:ascii="宋体" w:hAnsi="宋体" w:cs="宋体"/>
                <w:szCs w:val="21"/>
              </w:rPr>
            </w:pPr>
            <w:r>
              <w:rPr>
                <w:rFonts w:hint="eastAsia" w:ascii="宋体" w:hAnsi="宋体" w:cs="宋体"/>
                <w:szCs w:val="21"/>
              </w:rPr>
              <w:t>监理人自行调换或未按照委托人要求及时更换专业监理工程师</w:t>
            </w:r>
          </w:p>
        </w:tc>
        <w:tc>
          <w:tcPr>
            <w:tcW w:w="4058" w:type="dxa"/>
            <w:vAlign w:val="center"/>
          </w:tcPr>
          <w:p w14:paraId="3FBEA190">
            <w:pPr>
              <w:jc w:val="left"/>
              <w:rPr>
                <w:rFonts w:ascii="宋体" w:hAnsi="宋体" w:cs="宋体"/>
                <w:szCs w:val="21"/>
              </w:rPr>
            </w:pPr>
            <w:r>
              <w:rPr>
                <w:rFonts w:hint="eastAsia" w:ascii="宋体" w:hAnsi="宋体" w:cs="宋体"/>
                <w:bCs/>
                <w:szCs w:val="21"/>
              </w:rPr>
              <w:t>本合同监理酬金总额的0.5%</w:t>
            </w:r>
          </w:p>
        </w:tc>
      </w:tr>
      <w:tr w14:paraId="32EB5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717" w:type="dxa"/>
            <w:vAlign w:val="center"/>
          </w:tcPr>
          <w:p w14:paraId="331B6D01">
            <w:pPr>
              <w:numPr>
                <w:ilvl w:val="0"/>
                <w:numId w:val="4"/>
              </w:numPr>
              <w:jc w:val="center"/>
              <w:rPr>
                <w:rFonts w:ascii="宋体" w:hAnsi="宋体" w:cs="宋体"/>
                <w:szCs w:val="21"/>
              </w:rPr>
            </w:pPr>
          </w:p>
        </w:tc>
        <w:tc>
          <w:tcPr>
            <w:tcW w:w="4484" w:type="dxa"/>
            <w:vAlign w:val="center"/>
          </w:tcPr>
          <w:p w14:paraId="06E672E7">
            <w:pPr>
              <w:jc w:val="left"/>
              <w:rPr>
                <w:rFonts w:ascii="宋体" w:hAnsi="宋体" w:cs="宋体"/>
                <w:szCs w:val="21"/>
              </w:rPr>
            </w:pPr>
            <w:r>
              <w:rPr>
                <w:rFonts w:hint="eastAsia" w:ascii="宋体" w:hAnsi="宋体" w:cs="宋体"/>
                <w:szCs w:val="21"/>
              </w:rPr>
              <w:t>监理人自行调换或未按照委托人要求及时更换造价工程师</w:t>
            </w:r>
          </w:p>
        </w:tc>
        <w:tc>
          <w:tcPr>
            <w:tcW w:w="4058" w:type="dxa"/>
            <w:vAlign w:val="center"/>
          </w:tcPr>
          <w:p w14:paraId="4A92CB96">
            <w:pPr>
              <w:jc w:val="left"/>
              <w:rPr>
                <w:rFonts w:ascii="宋体" w:hAnsi="宋体" w:cs="宋体"/>
                <w:szCs w:val="21"/>
              </w:rPr>
            </w:pPr>
            <w:r>
              <w:rPr>
                <w:rFonts w:hint="eastAsia" w:ascii="宋体" w:hAnsi="宋体" w:cs="宋体"/>
                <w:bCs/>
                <w:szCs w:val="21"/>
              </w:rPr>
              <w:t>本合同监理酬金总额的0.5%</w:t>
            </w:r>
          </w:p>
        </w:tc>
      </w:tr>
    </w:tbl>
    <w:p w14:paraId="34C704A5">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5）项目总监若需离开施工现场需报委托人批准，在其请假离开的时间段内应书面委托其他驻场监理工程师（需具有相应资质和能力）全权代表其行使职权；否则视为违约，每违约一次，监理人承担一般违约责任1次。</w:t>
      </w:r>
    </w:p>
    <w:p w14:paraId="21A44F8D">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（6）其他监理人员需离开施工现场1日以上需报委托人批准，在其请假离开的时间段内应书面委托其他驻场监理代表全权代表其行使相应职权；否则视为违约，每违约一次，监理人承担一般违约责任1次。</w:t>
      </w:r>
    </w:p>
    <w:p w14:paraId="60985DB3">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7）委托人将对驻场监理人员进行考勤。除项目总监、总监代表、造价人员、资料员4类人员以外的其他监理人员每月请假日数累计超过6日，且请假总人数全月累计超过监理人数的10%，视为违约，监理人承担一般违约责任1次。</w:t>
      </w:r>
    </w:p>
    <w:p w14:paraId="7BE19789">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8）对于委托人通知监理人参加的会议（包括但不限于进场会、现场问题处理会议、工程验收会议、结算问题处理会议、质保期工作的相关会议等），被通知人员（包括但不限于监理人的法定代表人、经报委托人批准同意的监理人法定代表人授权人、项目总监、项目副总监等）未经委托人书面同意自行缺席的，每缺席一人次监理人承担1次一般违约责任。</w:t>
      </w:r>
    </w:p>
    <w:p w14:paraId="6D70DEA1">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（9）监理人应该定期或不定期组织、主持召开工地例会及各种技术专题会，以及监理大纲、监理规划、监理实施细则和委托人要求必须召开的会议，否则视为违约，每违约一次，监理人承担一般违约责任1次。</w:t>
      </w:r>
    </w:p>
    <w:p w14:paraId="369B50C6">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（10）如监理人违反本委托监理协议书第七条、第八条的约定，未在相关信息发生变化时及时将变更情况书面报告委托人的，每确认1次，监理人承担1次一般违约责任。</w:t>
      </w:r>
    </w:p>
    <w:p w14:paraId="50670CC4">
      <w:pPr>
        <w:topLinePunct/>
        <w:adjustRightInd w:val="0"/>
        <w:snapToGrid w:val="0"/>
        <w:spacing w:line="480" w:lineRule="exact"/>
        <w:ind w:firstLine="498" w:firstLineChars="200"/>
        <w:outlineLvl w:val="3"/>
        <w:rPr>
          <w:bCs/>
          <w:snapToGrid w:val="0"/>
          <w:spacing w:val="4"/>
          <w:kern w:val="0"/>
          <w:sz w:val="24"/>
        </w:rPr>
      </w:pPr>
      <w:r>
        <w:rPr>
          <w:rFonts w:hint="eastAsia"/>
          <w:b/>
          <w:bCs/>
          <w:snapToGrid w:val="0"/>
          <w:spacing w:val="4"/>
          <w:kern w:val="0"/>
          <w:sz w:val="24"/>
        </w:rPr>
        <w:t>13.</w:t>
      </w:r>
      <w:r>
        <w:rPr>
          <w:b/>
          <w:bCs/>
          <w:snapToGrid w:val="0"/>
          <w:spacing w:val="4"/>
          <w:kern w:val="0"/>
          <w:sz w:val="24"/>
        </w:rPr>
        <w:t>4.2</w:t>
      </w:r>
      <w:r>
        <w:rPr>
          <w:bCs/>
          <w:snapToGrid w:val="0"/>
          <w:spacing w:val="4"/>
          <w:kern w:val="0"/>
          <w:sz w:val="24"/>
        </w:rPr>
        <w:t xml:space="preserve">  </w:t>
      </w:r>
      <w:r>
        <w:rPr>
          <w:b/>
          <w:bCs/>
          <w:snapToGrid w:val="0"/>
          <w:spacing w:val="4"/>
          <w:kern w:val="0"/>
          <w:sz w:val="24"/>
        </w:rPr>
        <w:t>履行监理职责方面的违约责任</w:t>
      </w:r>
    </w:p>
    <w:p w14:paraId="50D5D600">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（1）监理人在自己职责范围内对应当作出决定的事项故意拖延或者不作出明确的处理意见，在委托人书面警告后监理人在整改期限内仍不加以改正的，</w:t>
      </w:r>
      <w:r>
        <w:rPr>
          <w:rFonts w:hint="eastAsia"/>
          <w:bCs/>
          <w:snapToGrid w:val="0"/>
          <w:spacing w:val="4"/>
          <w:kern w:val="0"/>
          <w:sz w:val="24"/>
        </w:rPr>
        <w:t>视</w:t>
      </w:r>
      <w:r>
        <w:rPr>
          <w:bCs/>
          <w:snapToGrid w:val="0"/>
          <w:spacing w:val="4"/>
          <w:kern w:val="0"/>
          <w:sz w:val="24"/>
        </w:rPr>
        <w:t>为违约，监理人承担一般违约责任1次；因此造成损失的，监理人承担赔偿责任。</w:t>
      </w:r>
    </w:p>
    <w:p w14:paraId="7B7872B2">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2）监理人对于承包人现场的管理机构人员不到位、擅自离场，管理人员工作能力存在严重不足等存在的问题不进行有效检查、督促、处理，且不向委托人报告的，在委托人书面警告并要求限期改正后，拒不限期改正的，承担1次一般违约责任。</w:t>
      </w:r>
    </w:p>
    <w:p w14:paraId="43404B8C">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3）监理人对于承包人未按投标文件所作的承诺投入机械、设备、材料等存在的问题不进行有效检查、督促、处理，且不向委托人报告的，在委托人书面警告并要求限期改正后，拒不限期改正的，承担1次一般违约责任。</w:t>
      </w:r>
    </w:p>
    <w:p w14:paraId="34185EBE">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4）监理人对于承包人每次进场材料不进行检查和登记，或者对已进场的材料不按有关规定及时进行抽查、送检的，承担一般违约责任1次；如因此出现不合格材料使用于工程建设并造成质量缺陷的，监理人承担一般违约责任1次；如因此出现质量事故或经济损失达10万元/次以上的，监理人承担严重违约责任1次</w:t>
      </w:r>
      <w:r>
        <w:rPr>
          <w:rFonts w:hint="eastAsia"/>
          <w:bCs/>
          <w:snapToGrid w:val="0"/>
          <w:spacing w:val="4"/>
          <w:kern w:val="0"/>
          <w:sz w:val="24"/>
        </w:rPr>
        <w:t>并应赔偿委托人损失</w:t>
      </w:r>
      <w:r>
        <w:rPr>
          <w:bCs/>
          <w:snapToGrid w:val="0"/>
          <w:spacing w:val="4"/>
          <w:kern w:val="0"/>
          <w:sz w:val="24"/>
        </w:rPr>
        <w:t>；如因此造成重大质量安全事故（按国家规定界定）的，委托人有权视情况的严重程度部分解除合同或解除合同，</w:t>
      </w:r>
      <w:r>
        <w:rPr>
          <w:rFonts w:hint="eastAsia"/>
          <w:bCs/>
          <w:snapToGrid w:val="0"/>
          <w:spacing w:val="4"/>
          <w:kern w:val="0"/>
          <w:sz w:val="24"/>
        </w:rPr>
        <w:t>要求监理人赔偿损失，</w:t>
      </w:r>
      <w:r>
        <w:rPr>
          <w:bCs/>
          <w:snapToGrid w:val="0"/>
          <w:spacing w:val="4"/>
          <w:kern w:val="0"/>
          <w:sz w:val="24"/>
        </w:rPr>
        <w:t>同时，委托人保留追究监理人的其他法律责任的权利。</w:t>
      </w:r>
    </w:p>
    <w:p w14:paraId="01F76E1B">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5）监理人在编制项目实施细则中，应按监理规范列明需监理人旁站的工序，并应得到委托人的批准。工程勘察及施工过程中，需要监理人进行旁站监督的，监理人没有到场，或者到场后没有进行监督，或发现质量问题后没有及时处理，且没有向委托人报告，在委托人书面警告并要求限期改正后，拒不限期改正的，承担一般违约责任1次。</w:t>
      </w:r>
    </w:p>
    <w:p w14:paraId="05A71BB8">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（6）监理人不按本合同</w:t>
      </w:r>
      <w:r>
        <w:rPr>
          <w:bCs/>
          <w:snapToGrid w:val="0"/>
          <w:spacing w:val="4"/>
          <w:kern w:val="0"/>
          <w:sz w:val="24"/>
          <w:u w:val="wave"/>
        </w:rPr>
        <w:t>专用条件第</w:t>
      </w:r>
      <w:r>
        <w:rPr>
          <w:snapToGrid w:val="0"/>
          <w:spacing w:val="4"/>
          <w:kern w:val="0"/>
          <w:sz w:val="24"/>
          <w:u w:val="wave"/>
        </w:rPr>
        <w:t>5.17</w:t>
      </w:r>
      <w:r>
        <w:rPr>
          <w:bCs/>
          <w:snapToGrid w:val="0"/>
          <w:spacing w:val="4"/>
          <w:kern w:val="0"/>
          <w:sz w:val="24"/>
          <w:u w:val="wave"/>
        </w:rPr>
        <w:t>款</w:t>
      </w:r>
      <w:r>
        <w:rPr>
          <w:bCs/>
          <w:snapToGrid w:val="0"/>
          <w:spacing w:val="4"/>
          <w:kern w:val="0"/>
          <w:sz w:val="24"/>
        </w:rPr>
        <w:t>的约定办理有关保险事宜的，在委托人书面警告并要求限期改正后，监理人拒不限期改正的，承担严重违约责任1次，并承担由此产生的一切后果。</w:t>
      </w:r>
    </w:p>
    <w:p w14:paraId="4331F4B4">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7）监理人对承包人的施工质量应每月定期或不定期组织大检查并同时定期组织召开质量会议，将质量检查的情况报告委托人。承包人的施工质量经监理人检验为合格，但经委托人或工程质量监督机构抽查，发现存在质量不合格或未按设计要求和有关规范进行施工情形的，监理人承担一般违约1次；情节严重的，监理人承担严重违约责任1次。同时，监理人应赔偿委托人的经济损失。</w:t>
      </w:r>
    </w:p>
    <w:p w14:paraId="4FD69A6A">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8）由于监理人应当预见而未能及时预见，或已经预见但未及时向委托人报告，或未及时提出有效的整改措施，或未及时向承包人发出整改通知并积极督促承包人实施整改而对整个工程的按期完工不能起到有效监管作用，致使工程施工的关键线路工期比计划滞后3日（含3日）以上的，监理人承担一般违约责任1次；出现关键工期滞后5日（含5日）以上的，监理人承担严重违约责任1次；出现关键线路工期滞后10日（含10日）以上的，委托人有权部分解除合同或解除合同</w:t>
      </w:r>
      <w:r>
        <w:rPr>
          <w:rFonts w:hint="eastAsia"/>
          <w:bCs/>
          <w:snapToGrid w:val="0"/>
          <w:spacing w:val="4"/>
          <w:kern w:val="0"/>
          <w:sz w:val="24"/>
        </w:rPr>
        <w:t>，同时，监理人应赔偿委托人的全部损失</w:t>
      </w:r>
      <w:r>
        <w:rPr>
          <w:bCs/>
          <w:snapToGrid w:val="0"/>
          <w:spacing w:val="4"/>
          <w:kern w:val="0"/>
          <w:sz w:val="24"/>
        </w:rPr>
        <w:t>。</w:t>
      </w:r>
    </w:p>
    <w:p w14:paraId="0623E554">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9）对于承包人提交的现场签证资料，监理人没有准确、真实的现场原始记录或不进行现场复核即予签认，致使签认的文件有错误的，监理人应立即纠正，并承担一般违约责任1次；由于该签证错误因此可能给委托人造成10万元（含10万元）以上的经济损失的，监理人承担严重违约责任1次，</w:t>
      </w:r>
      <w:r>
        <w:rPr>
          <w:rFonts w:hint="eastAsia"/>
          <w:bCs/>
          <w:snapToGrid w:val="0"/>
          <w:spacing w:val="4"/>
          <w:kern w:val="0"/>
          <w:sz w:val="24"/>
        </w:rPr>
        <w:t>并赔偿由此给委托人造成的损失</w:t>
      </w:r>
      <w:r>
        <w:rPr>
          <w:bCs/>
          <w:snapToGrid w:val="0"/>
          <w:spacing w:val="4"/>
          <w:kern w:val="0"/>
          <w:sz w:val="24"/>
        </w:rPr>
        <w:t>，按本合同</w:t>
      </w:r>
      <w:r>
        <w:rPr>
          <w:bCs/>
          <w:snapToGrid w:val="0"/>
          <w:spacing w:val="4"/>
          <w:kern w:val="0"/>
          <w:sz w:val="24"/>
          <w:u w:val="wave"/>
        </w:rPr>
        <w:t>专用条件第</w:t>
      </w:r>
      <w:r>
        <w:rPr>
          <w:rFonts w:hint="eastAsia"/>
          <w:bCs/>
          <w:snapToGrid w:val="0"/>
          <w:spacing w:val="4"/>
          <w:kern w:val="0"/>
          <w:sz w:val="24"/>
          <w:u w:val="wave"/>
        </w:rPr>
        <w:t>13.</w:t>
      </w:r>
      <w:r>
        <w:rPr>
          <w:bCs/>
          <w:snapToGrid w:val="0"/>
          <w:spacing w:val="4"/>
          <w:kern w:val="0"/>
          <w:sz w:val="24"/>
          <w:u w:val="wave"/>
        </w:rPr>
        <w:t>1-（6）项</w:t>
      </w:r>
      <w:r>
        <w:rPr>
          <w:bCs/>
          <w:snapToGrid w:val="0"/>
          <w:spacing w:val="4"/>
          <w:kern w:val="0"/>
          <w:sz w:val="24"/>
        </w:rPr>
        <w:t>处理。</w:t>
      </w:r>
    </w:p>
    <w:p w14:paraId="7F4111D3">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对于现场签证（含工程数量、单价等）未经过注册造价工程师审核即报送委托人，或者虽经过注册造价工程师审核但未在规定时间内报送委托人的，监理人应限期改正；以上情形累计出现2次的，监理人承担一般违约责任1次。</w:t>
      </w:r>
    </w:p>
    <w:p w14:paraId="062DF47D">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10）监理人对承包人提交的施工方案、设计变更等技术文件中明显不符合现场实际的部分，或者与招投标文件不符，会引起委托人投资增加和工期延误的部分，不进行认真审核、不进行优化就给予同意的，应限期改正，并承担一般违约责任1次；情节严重的，承担严重违约责任1次。</w:t>
      </w:r>
    </w:p>
    <w:p w14:paraId="3173D58C">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监理人对承包人提交的施工方案、设计变更等技术文件，应当在3日内予以批复；须转报委托人审批的，监理人应在3日内出具审核意见报委托人。由于监理人未及时批复而影响工程进度或者工程质量的，监理人承担严重违约责任1次；须转报委托人审批的，监理人未在3日内报委托人或未出具审核意见的，应限期改正，承担一般违约责任1次。</w:t>
      </w:r>
    </w:p>
    <w:p w14:paraId="7F05D16A">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承包人提交给监理人审核的资料或文件存在错误须承包人改正的，监理人应将所有错误一次性要求承包人改正。监理人要求承包人反复修改拖延时间的，在委托人书面警告并要求限期改正后，监理人拒不限期改正的，承担一般违约责任1次。</w:t>
      </w:r>
    </w:p>
    <w:p w14:paraId="5106F715">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（11）监理人应当按时对承包人的申请计量事项予以审批，申请计量事项在正常情况下应在</w:t>
      </w:r>
      <w:r>
        <w:rPr>
          <w:b/>
          <w:bCs/>
          <w:snapToGrid w:val="0"/>
          <w:spacing w:val="4"/>
          <w:kern w:val="0"/>
          <w:sz w:val="24"/>
          <w:u w:val="single"/>
        </w:rPr>
        <w:t>_2_</w:t>
      </w:r>
      <w:r>
        <w:rPr>
          <w:bCs/>
          <w:snapToGrid w:val="0"/>
          <w:spacing w:val="4"/>
          <w:kern w:val="0"/>
          <w:sz w:val="24"/>
        </w:rPr>
        <w:t>个工作日内完成审批；监理人对申请计量事项的真实性、准确性负责；监理人派驻的专业工程师应对承包人提交的计量报表认真审核并予以确认。监理人对不合格工程却同意计量，或者计量数量严重不实、资料不齐全却同意计量的，应立即改正，承担一般违约责任1次；情节严重的，承担严重违约责任1次；给委托人造成损失的，应当赔偿损失。</w:t>
      </w:r>
    </w:p>
    <w:p w14:paraId="4192F59C">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12）监理人对于承包人提交的请款报告，不按实际完成的工作量进行审核，或不按本合同要求签署拨款意见的，应限期改正；累计出现达2次的，承担一般违约责任1次；如造成委托人超形象进度、超合同支付工程款达10万元（含10万元）以上，或监理人审核的当期支付金额与经过委托人复核的实际应付金额存在正负10％以上误差的，承担一般违约责任1次，情节严重的，承担严重违约责任1次；若由此给委托人造成10万元（含10万元）以上损失的，监理人应当赔偿委托人的损失，委托人将视情况部分解除合同或解除合同。</w:t>
      </w:r>
    </w:p>
    <w:p w14:paraId="708AACA1">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（13）监理人同时发生本合同</w:t>
      </w:r>
      <w:r>
        <w:rPr>
          <w:bCs/>
          <w:snapToGrid w:val="0"/>
          <w:spacing w:val="4"/>
          <w:kern w:val="0"/>
          <w:sz w:val="24"/>
          <w:u w:val="wave"/>
        </w:rPr>
        <w:t>专用条件第</w:t>
      </w:r>
      <w:r>
        <w:rPr>
          <w:rFonts w:hint="eastAsia"/>
          <w:bCs/>
          <w:snapToGrid w:val="0"/>
          <w:spacing w:val="4"/>
          <w:kern w:val="0"/>
          <w:sz w:val="24"/>
          <w:u w:val="wave"/>
        </w:rPr>
        <w:t>13.</w:t>
      </w:r>
      <w:r>
        <w:rPr>
          <w:bCs/>
          <w:snapToGrid w:val="0"/>
          <w:spacing w:val="4"/>
          <w:kern w:val="0"/>
          <w:sz w:val="24"/>
          <w:u w:val="wave"/>
        </w:rPr>
        <w:t>4.2-（9）、（10）、（11）、（12）项</w:t>
      </w:r>
      <w:r>
        <w:rPr>
          <w:bCs/>
          <w:snapToGrid w:val="0"/>
          <w:spacing w:val="4"/>
          <w:kern w:val="0"/>
          <w:sz w:val="24"/>
        </w:rPr>
        <w:t>约定的违约行为且情节严重的，视为监理人和承包人串通作假，委托人有权单方解除合同；因此造成委托人损失的，委托人有权按本合同</w:t>
      </w:r>
      <w:r>
        <w:rPr>
          <w:bCs/>
          <w:snapToGrid w:val="0"/>
          <w:spacing w:val="4"/>
          <w:kern w:val="0"/>
          <w:sz w:val="24"/>
          <w:u w:val="wave"/>
        </w:rPr>
        <w:t>专用条件第</w:t>
      </w:r>
      <w:r>
        <w:rPr>
          <w:rFonts w:hint="eastAsia"/>
          <w:bCs/>
          <w:snapToGrid w:val="0"/>
          <w:spacing w:val="4"/>
          <w:kern w:val="0"/>
          <w:sz w:val="24"/>
          <w:u w:val="wave"/>
        </w:rPr>
        <w:t>13.</w:t>
      </w:r>
      <w:r>
        <w:rPr>
          <w:bCs/>
          <w:snapToGrid w:val="0"/>
          <w:spacing w:val="4"/>
          <w:kern w:val="0"/>
          <w:sz w:val="24"/>
          <w:u w:val="wave"/>
        </w:rPr>
        <w:t>1-（6）项</w:t>
      </w:r>
      <w:r>
        <w:rPr>
          <w:bCs/>
          <w:snapToGrid w:val="0"/>
          <w:spacing w:val="4"/>
          <w:kern w:val="0"/>
          <w:sz w:val="24"/>
        </w:rPr>
        <w:t>的约定要求监理人承担赔偿责任。</w:t>
      </w:r>
    </w:p>
    <w:p w14:paraId="51AB420D">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14）监理人应设立专职的职业健康安全与环境管理人员，督促承包人建立安全生产保障体系，并要求各施工标段设立专职安全员，将安全责任制度落实到人；监理人应每月定期或不定期组织安全文明施工大检查，并将检查结果向委托人报告。对于承包人没有按投标承诺做好安全文明施工措施，或没有按有关规定进行安全生产，或存在安全隐患等问题，监理人未及时发现，或发现后不督促承包人进行整改，不作及时处理并及时向委托人报告，在委托人书面警告并要求限期改正后，监理人拒不限期改正的，承担一般违约责任1次；因此而发生安全生产事故，或被上级主管部门通报批评，或被新闻媒体曝光的，监理人承担严重违约责任1次；情节严重的，委托人有权部分解除合同或解除合同；</w:t>
      </w:r>
    </w:p>
    <w:p w14:paraId="03E3FB03">
      <w:pPr>
        <w:topLinePunct/>
        <w:adjustRightInd w:val="0"/>
        <w:snapToGrid w:val="0"/>
        <w:spacing w:line="480" w:lineRule="exact"/>
        <w:ind w:firstLine="496" w:firstLineChars="200"/>
        <w:rPr>
          <w:bCs/>
          <w:snapToGrid w:val="0"/>
          <w:spacing w:val="4"/>
          <w:kern w:val="0"/>
          <w:sz w:val="24"/>
        </w:rPr>
      </w:pPr>
      <w:r>
        <w:rPr>
          <w:rFonts w:hint="eastAsia"/>
          <w:bCs/>
          <w:snapToGrid w:val="0"/>
          <w:spacing w:val="4"/>
          <w:kern w:val="0"/>
          <w:sz w:val="24"/>
        </w:rPr>
        <w:t>若因发生</w:t>
      </w:r>
      <w:r>
        <w:rPr>
          <w:bCs/>
          <w:snapToGrid w:val="0"/>
          <w:spacing w:val="4"/>
          <w:kern w:val="0"/>
          <w:sz w:val="24"/>
        </w:rPr>
        <w:t>安全生产事故</w:t>
      </w:r>
      <w:r>
        <w:rPr>
          <w:rFonts w:hint="eastAsia"/>
          <w:bCs/>
          <w:snapToGrid w:val="0"/>
          <w:spacing w:val="4"/>
          <w:kern w:val="0"/>
          <w:sz w:val="24"/>
        </w:rPr>
        <w:t>（其中</w:t>
      </w:r>
      <w:r>
        <w:rPr>
          <w:bCs/>
          <w:snapToGrid w:val="0"/>
          <w:spacing w:val="4"/>
          <w:kern w:val="0"/>
          <w:sz w:val="24"/>
        </w:rPr>
        <w:t>重大安全质量事故按国家及本合同有关规定界定</w:t>
      </w:r>
      <w:r>
        <w:rPr>
          <w:rFonts w:hint="eastAsia"/>
          <w:bCs/>
          <w:snapToGrid w:val="0"/>
          <w:spacing w:val="4"/>
          <w:kern w:val="0"/>
          <w:sz w:val="24"/>
        </w:rPr>
        <w:t>）</w:t>
      </w:r>
      <w:r>
        <w:rPr>
          <w:bCs/>
          <w:snapToGrid w:val="0"/>
          <w:spacing w:val="4"/>
          <w:kern w:val="0"/>
          <w:sz w:val="24"/>
        </w:rPr>
        <w:t>，或被上级主管部门通报批评，或被新闻媒体曝光的，监理人</w:t>
      </w:r>
      <w:r>
        <w:rPr>
          <w:rFonts w:hint="eastAsia"/>
          <w:bCs/>
          <w:snapToGrid w:val="0"/>
          <w:spacing w:val="4"/>
          <w:kern w:val="0"/>
          <w:sz w:val="24"/>
        </w:rPr>
        <w:t>须</w:t>
      </w:r>
      <w:r>
        <w:rPr>
          <w:bCs/>
          <w:snapToGrid w:val="0"/>
          <w:spacing w:val="4"/>
          <w:kern w:val="0"/>
          <w:sz w:val="24"/>
        </w:rPr>
        <w:t>承担赔偿责任，赔偿金为本合同监理酬金的</w:t>
      </w:r>
      <w:r>
        <w:rPr>
          <w:rFonts w:hint="eastAsia"/>
          <w:bCs/>
          <w:snapToGrid w:val="0"/>
          <w:spacing w:val="4"/>
          <w:kern w:val="0"/>
          <w:sz w:val="24"/>
        </w:rPr>
        <w:t>0.5</w:t>
      </w:r>
      <w:r>
        <w:rPr>
          <w:bCs/>
          <w:snapToGrid w:val="0"/>
          <w:spacing w:val="4"/>
          <w:kern w:val="0"/>
          <w:sz w:val="24"/>
        </w:rPr>
        <w:t>%～5%</w:t>
      </w:r>
      <w:r>
        <w:rPr>
          <w:rFonts w:hint="eastAsia"/>
          <w:bCs/>
          <w:snapToGrid w:val="0"/>
          <w:spacing w:val="4"/>
          <w:kern w:val="0"/>
          <w:sz w:val="24"/>
        </w:rPr>
        <w:t>，赔偿金不足以弥补委托人损失的，还应赔偿损失。</w:t>
      </w:r>
    </w:p>
    <w:p w14:paraId="033D4678">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（15）由于下列原因，使本合同工程在投资、工期、质量等方面给委托人造成损失的，监理人承担赔偿：</w:t>
      </w:r>
    </w:p>
    <w:p w14:paraId="6A3372EF">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1）在施工过程中，监理人发出错误指令；</w:t>
      </w:r>
    </w:p>
    <w:p w14:paraId="6F78DC42">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2）监理人越权审批设计变更；</w:t>
      </w:r>
    </w:p>
    <w:p w14:paraId="3124B857">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3）其他因监理人自身失误或失职。</w:t>
      </w:r>
    </w:p>
    <w:p w14:paraId="788A6651">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具体约定为：</w:t>
      </w:r>
    </w:p>
    <w:p w14:paraId="74E1D79F">
      <w:pPr>
        <w:topLinePunct/>
        <w:adjustRightInd w:val="0"/>
        <w:snapToGrid w:val="0"/>
        <w:spacing w:line="480" w:lineRule="exact"/>
        <w:ind w:firstLine="496" w:firstLineChars="200"/>
        <w:rPr>
          <w:bCs/>
          <w:snapToGrid w:val="0"/>
          <w:spacing w:val="4"/>
          <w:kern w:val="0"/>
          <w:sz w:val="24"/>
        </w:rPr>
      </w:pPr>
      <w:r>
        <w:rPr>
          <w:rFonts w:hint="eastAsia" w:ascii="宋体" w:hAnsi="宋体" w:cs="宋体"/>
          <w:bCs/>
          <w:snapToGrid w:val="0"/>
          <w:spacing w:val="4"/>
          <w:kern w:val="0"/>
          <w:sz w:val="24"/>
        </w:rPr>
        <w:t>①</w:t>
      </w:r>
      <w:r>
        <w:rPr>
          <w:bCs/>
          <w:snapToGrid w:val="0"/>
          <w:spacing w:val="4"/>
          <w:kern w:val="0"/>
          <w:sz w:val="24"/>
        </w:rPr>
        <w:t xml:space="preserve"> 由于监理人上述原因致使工程投资额较原计划投资额增加的，委托人根据该增加额双倍扣减与之相应比例的监理酬金；若增加工程投资比例超过原计划投资额的20%时，委托人有权单方解除本合同，并要求监理人赔偿委托人由此遭受的</w:t>
      </w:r>
      <w:r>
        <w:rPr>
          <w:rFonts w:hint="eastAsia"/>
          <w:bCs/>
          <w:snapToGrid w:val="0"/>
          <w:spacing w:val="4"/>
          <w:kern w:val="0"/>
          <w:sz w:val="24"/>
        </w:rPr>
        <w:t>全部损失</w:t>
      </w:r>
      <w:r>
        <w:rPr>
          <w:bCs/>
          <w:snapToGrid w:val="0"/>
          <w:spacing w:val="4"/>
          <w:kern w:val="0"/>
          <w:sz w:val="24"/>
        </w:rPr>
        <w:t>。</w:t>
      </w:r>
    </w:p>
    <w:p w14:paraId="61C5AE55">
      <w:pPr>
        <w:topLinePunct/>
        <w:adjustRightInd w:val="0"/>
        <w:snapToGrid w:val="0"/>
        <w:spacing w:line="480" w:lineRule="exact"/>
        <w:ind w:firstLine="496" w:firstLineChars="200"/>
        <w:rPr>
          <w:bCs/>
          <w:snapToGrid w:val="0"/>
          <w:spacing w:val="4"/>
          <w:kern w:val="0"/>
          <w:sz w:val="24"/>
        </w:rPr>
      </w:pPr>
      <w:r>
        <w:rPr>
          <w:rFonts w:hint="eastAsia" w:ascii="宋体" w:hAnsi="宋体" w:cs="宋体"/>
          <w:bCs/>
          <w:snapToGrid w:val="0"/>
          <w:spacing w:val="4"/>
          <w:kern w:val="0"/>
          <w:sz w:val="24"/>
        </w:rPr>
        <w:t>②</w:t>
      </w:r>
      <w:r>
        <w:rPr>
          <w:bCs/>
          <w:snapToGrid w:val="0"/>
          <w:spacing w:val="4"/>
          <w:kern w:val="0"/>
          <w:sz w:val="24"/>
        </w:rPr>
        <w:t xml:space="preserve"> 因监理人责任导致工期延误，其中分段工期延误日数占该段总工期的30%时，则</w:t>
      </w:r>
      <w:r>
        <w:rPr>
          <w:rFonts w:hint="eastAsia"/>
          <w:bCs/>
          <w:snapToGrid w:val="0"/>
          <w:spacing w:val="4"/>
          <w:kern w:val="0"/>
          <w:sz w:val="24"/>
        </w:rPr>
        <w:t>委托人有权</w:t>
      </w:r>
      <w:r>
        <w:rPr>
          <w:bCs/>
          <w:snapToGrid w:val="0"/>
          <w:spacing w:val="4"/>
          <w:kern w:val="0"/>
          <w:sz w:val="24"/>
        </w:rPr>
        <w:t>扣除该分段工程监理酬金的60%；分段工期延误日数达到该段总工期的50%时，则委托人有权单方解除本合同</w:t>
      </w:r>
      <w:r>
        <w:rPr>
          <w:rFonts w:hint="eastAsia"/>
          <w:bCs/>
          <w:snapToGrid w:val="0"/>
          <w:spacing w:val="4"/>
          <w:kern w:val="0"/>
          <w:sz w:val="24"/>
        </w:rPr>
        <w:t>，并要求监理人赔偿委托人由此遭受的全部损失</w:t>
      </w:r>
      <w:r>
        <w:rPr>
          <w:bCs/>
          <w:snapToGrid w:val="0"/>
          <w:spacing w:val="4"/>
          <w:kern w:val="0"/>
          <w:sz w:val="24"/>
        </w:rPr>
        <w:t>。因监理人责任导致工程竣工拖延的，依据拖延的日数，监理人应每日按监理酬金总额的</w:t>
      </w:r>
      <w:r>
        <w:rPr>
          <w:rFonts w:hint="eastAsia"/>
          <w:bCs/>
          <w:snapToGrid w:val="0"/>
          <w:spacing w:val="4"/>
          <w:kern w:val="0"/>
          <w:sz w:val="24"/>
        </w:rPr>
        <w:t>0.02</w:t>
      </w:r>
      <w:r>
        <w:rPr>
          <w:bCs/>
          <w:snapToGrid w:val="0"/>
          <w:spacing w:val="4"/>
          <w:kern w:val="0"/>
          <w:sz w:val="24"/>
        </w:rPr>
        <w:t>%向委托人支付违约金。由于监理人责任导致工期延误，致使委托人要承担赔偿第三方责任的，监理人承担赔偿委托人由此遭受的</w:t>
      </w:r>
      <w:r>
        <w:rPr>
          <w:rFonts w:hint="eastAsia"/>
          <w:bCs/>
          <w:snapToGrid w:val="0"/>
          <w:spacing w:val="4"/>
          <w:kern w:val="0"/>
          <w:sz w:val="24"/>
        </w:rPr>
        <w:t>全部损失</w:t>
      </w:r>
      <w:r>
        <w:rPr>
          <w:bCs/>
          <w:snapToGrid w:val="0"/>
          <w:spacing w:val="4"/>
          <w:kern w:val="0"/>
          <w:sz w:val="24"/>
        </w:rPr>
        <w:t>。</w:t>
      </w:r>
    </w:p>
    <w:p w14:paraId="0E6181A6">
      <w:pPr>
        <w:topLinePunct/>
        <w:adjustRightInd w:val="0"/>
        <w:snapToGrid w:val="0"/>
        <w:spacing w:line="480" w:lineRule="exact"/>
        <w:ind w:firstLine="496" w:firstLineChars="200"/>
        <w:rPr>
          <w:bCs/>
          <w:snapToGrid w:val="0"/>
          <w:spacing w:val="4"/>
          <w:kern w:val="0"/>
          <w:sz w:val="24"/>
        </w:rPr>
      </w:pPr>
      <w:r>
        <w:rPr>
          <w:rFonts w:hint="eastAsia" w:ascii="宋体" w:hAnsi="宋体" w:cs="宋体"/>
          <w:bCs/>
          <w:snapToGrid w:val="0"/>
          <w:spacing w:val="4"/>
          <w:kern w:val="0"/>
          <w:sz w:val="24"/>
        </w:rPr>
        <w:t>③</w:t>
      </w:r>
      <w:r>
        <w:rPr>
          <w:bCs/>
          <w:snapToGrid w:val="0"/>
          <w:spacing w:val="4"/>
          <w:kern w:val="0"/>
          <w:sz w:val="24"/>
        </w:rPr>
        <w:t xml:space="preserve"> 因监理人责任造成质量事故，需要返工的，监理人承担严重违约责任1次，</w:t>
      </w:r>
      <w:r>
        <w:rPr>
          <w:rFonts w:hint="eastAsia"/>
          <w:bCs/>
          <w:snapToGrid w:val="0"/>
          <w:spacing w:val="4"/>
          <w:kern w:val="0"/>
          <w:sz w:val="24"/>
        </w:rPr>
        <w:t>由委托人</w:t>
      </w:r>
      <w:r>
        <w:rPr>
          <w:bCs/>
          <w:snapToGrid w:val="0"/>
          <w:spacing w:val="4"/>
          <w:kern w:val="0"/>
          <w:sz w:val="24"/>
        </w:rPr>
        <w:t>双倍扣减该部分的监理酬金，同时监理人应赔偿委托人的实际损失；情节严重的，委托人有权单方面解除合同，并有权要求监理人赔偿委托人由此遭受的经济损失。</w:t>
      </w:r>
    </w:p>
    <w:p w14:paraId="41D737CA">
      <w:pPr>
        <w:topLinePunct/>
        <w:adjustRightInd w:val="0"/>
        <w:snapToGrid w:val="0"/>
        <w:spacing w:line="480" w:lineRule="exact"/>
        <w:ind w:firstLine="496" w:firstLineChars="200"/>
        <w:rPr>
          <w:bCs/>
          <w:snapToGrid w:val="0"/>
          <w:spacing w:val="4"/>
          <w:kern w:val="0"/>
          <w:sz w:val="24"/>
        </w:rPr>
      </w:pPr>
      <w:r>
        <w:rPr>
          <w:rFonts w:hint="eastAsia" w:ascii="宋体" w:hAnsi="宋体" w:cs="宋体"/>
          <w:bCs/>
          <w:snapToGrid w:val="0"/>
          <w:spacing w:val="4"/>
          <w:kern w:val="0"/>
          <w:sz w:val="24"/>
        </w:rPr>
        <w:t>④</w:t>
      </w:r>
      <w:r>
        <w:rPr>
          <w:bCs/>
          <w:snapToGrid w:val="0"/>
          <w:spacing w:val="4"/>
          <w:kern w:val="0"/>
          <w:sz w:val="24"/>
        </w:rPr>
        <w:t xml:space="preserve"> 因监理人责任导致工程（含各分部、单位及整体工程，下同）质量一次性验收不符合质量目标的，</w:t>
      </w:r>
      <w:r>
        <w:rPr>
          <w:rFonts w:hint="eastAsia"/>
          <w:bCs/>
          <w:snapToGrid w:val="0"/>
          <w:spacing w:val="4"/>
          <w:kern w:val="0"/>
          <w:sz w:val="24"/>
        </w:rPr>
        <w:t>委托人</w:t>
      </w:r>
      <w:r>
        <w:rPr>
          <w:bCs/>
          <w:snapToGrid w:val="0"/>
          <w:spacing w:val="4"/>
          <w:kern w:val="0"/>
          <w:sz w:val="24"/>
        </w:rPr>
        <w:t>按相应工程占总工程的比例扣除监理人监理酬金；若导致工程质量一次性验收不合格而造成委托人的直接损失达100万元以上时，委托人有权单方解除本合同并要求监理人赔偿相应经济损失。</w:t>
      </w:r>
    </w:p>
    <w:p w14:paraId="68F671B5">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16）监理人提供的《监理规划》和相应的《监理实施细则》，经委托人审核认为未能针对本合同工程特点、难点和重点，需要退回修改的，若连续两次修改后仍未能达到委托人要求的，监理人应承担一般违约责任1次。</w:t>
      </w:r>
    </w:p>
    <w:p w14:paraId="440FF8D1">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（17）如果监理人在服务期内未能按要求提供本合同约定的监理服务（包括监理人员缺额、监理深度不足及监理资料不齐等）的，</w:t>
      </w:r>
      <w:r>
        <w:rPr>
          <w:rFonts w:hint="eastAsia"/>
          <w:bCs/>
          <w:snapToGrid w:val="0"/>
          <w:spacing w:val="4"/>
          <w:kern w:val="0"/>
          <w:sz w:val="24"/>
        </w:rPr>
        <w:t>委托人有权</w:t>
      </w:r>
      <w:r>
        <w:rPr>
          <w:bCs/>
          <w:snapToGrid w:val="0"/>
          <w:spacing w:val="4"/>
          <w:kern w:val="0"/>
          <w:sz w:val="24"/>
        </w:rPr>
        <w:t>酌情扣减监理酬金。</w:t>
      </w:r>
    </w:p>
    <w:p w14:paraId="1EE7CA9A">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18）对于工程施工过程中出现的工程变更，如当月由委托人确定的工程变更的单价较监理人审定的单价的差值大于正负10%以上的情况累计出现8宗以上，或由委托人确定的工程变更的总价较监理人审定的总价的差值大于正负10%以上的情况累计出现3宗以上，监理人承担一般违约责任1次。</w:t>
      </w:r>
    </w:p>
    <w:p w14:paraId="74DAD4C9">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19）因监理人原因，造成竣工图纸（包括设备移交资料等）与竣工时现场的实际情况不符，导致相关的工程结算出现偏差的，监理人承担一般违约责任1次；如由此可能给委托人造成直接经济损失10万元（含10万元）以上的，监理人承担严重违约责任1次</w:t>
      </w:r>
      <w:r>
        <w:rPr>
          <w:rFonts w:hint="eastAsia"/>
          <w:bCs/>
          <w:snapToGrid w:val="0"/>
          <w:spacing w:val="4"/>
          <w:kern w:val="0"/>
          <w:sz w:val="24"/>
        </w:rPr>
        <w:t>，并赔偿由此给委托人造成的损失</w:t>
      </w:r>
      <w:r>
        <w:rPr>
          <w:bCs/>
          <w:snapToGrid w:val="0"/>
          <w:spacing w:val="4"/>
          <w:kern w:val="0"/>
          <w:sz w:val="24"/>
        </w:rPr>
        <w:t>，按本合同</w:t>
      </w:r>
      <w:r>
        <w:rPr>
          <w:bCs/>
          <w:snapToGrid w:val="0"/>
          <w:spacing w:val="4"/>
          <w:kern w:val="0"/>
          <w:sz w:val="24"/>
          <w:u w:val="wave"/>
        </w:rPr>
        <w:t>专用条件第</w:t>
      </w:r>
      <w:r>
        <w:rPr>
          <w:rFonts w:hint="eastAsia"/>
          <w:bCs/>
          <w:snapToGrid w:val="0"/>
          <w:spacing w:val="4"/>
          <w:kern w:val="0"/>
          <w:sz w:val="24"/>
          <w:u w:val="wave"/>
        </w:rPr>
        <w:t>13.</w:t>
      </w:r>
      <w:r>
        <w:rPr>
          <w:bCs/>
          <w:snapToGrid w:val="0"/>
          <w:spacing w:val="4"/>
          <w:kern w:val="0"/>
          <w:sz w:val="24"/>
          <w:u w:val="wave"/>
        </w:rPr>
        <w:t>1-（6）项</w:t>
      </w:r>
      <w:r>
        <w:rPr>
          <w:bCs/>
          <w:snapToGrid w:val="0"/>
          <w:spacing w:val="4"/>
          <w:kern w:val="0"/>
          <w:sz w:val="24"/>
        </w:rPr>
        <w:t>执行。</w:t>
      </w:r>
    </w:p>
    <w:p w14:paraId="59DEB053">
      <w:pPr>
        <w:topLinePunct/>
        <w:adjustRightInd w:val="0"/>
        <w:snapToGrid w:val="0"/>
        <w:spacing w:line="480" w:lineRule="exact"/>
        <w:ind w:firstLine="496" w:firstLineChars="200"/>
        <w:rPr>
          <w:snapToGrid w:val="0"/>
          <w:spacing w:val="4"/>
          <w:kern w:val="0"/>
          <w:sz w:val="24"/>
        </w:rPr>
      </w:pPr>
      <w:r>
        <w:rPr>
          <w:bCs/>
          <w:snapToGrid w:val="0"/>
          <w:spacing w:val="4"/>
          <w:kern w:val="0"/>
          <w:sz w:val="24"/>
        </w:rPr>
        <w:t>（20）</w:t>
      </w:r>
      <w:r>
        <w:rPr>
          <w:rFonts w:hint="eastAsia"/>
          <w:bCs/>
          <w:snapToGrid w:val="0"/>
          <w:spacing w:val="4"/>
          <w:kern w:val="0"/>
          <w:sz w:val="24"/>
        </w:rPr>
        <w:t>监理人未有效督促承包人按计划时间提交分项工程的结算文件的，监理人除承担一般违约责任1次每分项外，还应按合同约定采取有效措施督促承包人提交。</w:t>
      </w:r>
    </w:p>
    <w:p w14:paraId="697D79E0">
      <w:pPr>
        <w:topLinePunct/>
        <w:adjustRightInd w:val="0"/>
        <w:snapToGrid w:val="0"/>
        <w:spacing w:line="360" w:lineRule="auto"/>
        <w:ind w:firstLine="496" w:firstLineChars="200"/>
        <w:rPr>
          <w:bCs/>
          <w:snapToGrid w:val="0"/>
          <w:spacing w:val="4"/>
          <w:kern w:val="0"/>
          <w:sz w:val="24"/>
        </w:rPr>
      </w:pPr>
      <w:r>
        <w:rPr>
          <w:bCs/>
          <w:snapToGrid w:val="0"/>
          <w:spacing w:val="4"/>
          <w:kern w:val="0"/>
          <w:sz w:val="24"/>
        </w:rPr>
        <w:t>（21）监理人根据合同约定对承包人提交的工程结算书（结算资料）进行审核，如最终由有权终审部门审定的结算金额较由监理人审定的结算金额的差值大于5%，则由监理人按下列计算方法向委托人支付违约金，最多不超过本合同监理酬金总额的10%：</w:t>
      </w:r>
    </w:p>
    <w:p w14:paraId="5A0852AF">
      <w:pPr>
        <w:topLinePunct/>
        <w:adjustRightInd w:val="0"/>
        <w:snapToGrid w:val="0"/>
        <w:spacing w:line="360" w:lineRule="auto"/>
        <w:ind w:firstLine="496" w:firstLineChars="200"/>
        <w:rPr>
          <w:bCs/>
          <w:snapToGrid w:val="0"/>
          <w:spacing w:val="4"/>
          <w:kern w:val="0"/>
          <w:sz w:val="24"/>
        </w:rPr>
      </w:pPr>
      <w:r>
        <w:rPr>
          <w:bCs/>
          <w:snapToGrid w:val="0"/>
          <w:spacing w:val="4"/>
          <w:kern w:val="0"/>
          <w:sz w:val="24"/>
        </w:rPr>
        <w:t>违约金=[（〡A－B〡/B）-5%]×C</w:t>
      </w:r>
    </w:p>
    <w:p w14:paraId="58AAA330">
      <w:pPr>
        <w:topLinePunct/>
        <w:adjustRightInd w:val="0"/>
        <w:snapToGrid w:val="0"/>
        <w:spacing w:line="360" w:lineRule="auto"/>
        <w:ind w:firstLine="496" w:firstLineChars="200"/>
        <w:rPr>
          <w:bCs/>
          <w:snapToGrid w:val="0"/>
          <w:spacing w:val="4"/>
          <w:kern w:val="0"/>
          <w:sz w:val="24"/>
        </w:rPr>
      </w:pPr>
      <w:r>
        <w:rPr>
          <w:bCs/>
          <w:snapToGrid w:val="0"/>
          <w:spacing w:val="4"/>
          <w:kern w:val="0"/>
          <w:sz w:val="24"/>
        </w:rPr>
        <w:t>其中：A-监理人审定的工程结算金额；</w:t>
      </w:r>
    </w:p>
    <w:p w14:paraId="2F2264E8">
      <w:pPr>
        <w:topLinePunct/>
        <w:adjustRightInd w:val="0"/>
        <w:snapToGrid w:val="0"/>
        <w:spacing w:line="360" w:lineRule="auto"/>
        <w:ind w:firstLine="496" w:firstLineChars="200"/>
        <w:rPr>
          <w:bCs/>
          <w:snapToGrid w:val="0"/>
          <w:spacing w:val="4"/>
          <w:kern w:val="0"/>
          <w:sz w:val="24"/>
        </w:rPr>
      </w:pPr>
      <w:r>
        <w:rPr>
          <w:bCs/>
          <w:snapToGrid w:val="0"/>
          <w:spacing w:val="4"/>
          <w:kern w:val="0"/>
          <w:sz w:val="24"/>
        </w:rPr>
        <w:t>B-有权终审部门审定的工程结算金额；</w:t>
      </w:r>
    </w:p>
    <w:p w14:paraId="250F92D7">
      <w:pPr>
        <w:topLinePunct/>
        <w:adjustRightInd w:val="0"/>
        <w:snapToGrid w:val="0"/>
        <w:spacing w:line="360" w:lineRule="auto"/>
        <w:ind w:firstLine="496" w:firstLineChars="200"/>
        <w:rPr>
          <w:bCs/>
          <w:snapToGrid w:val="0"/>
          <w:spacing w:val="4"/>
          <w:kern w:val="0"/>
          <w:sz w:val="24"/>
        </w:rPr>
      </w:pPr>
      <w:r>
        <w:rPr>
          <w:bCs/>
          <w:snapToGrid w:val="0"/>
          <w:spacing w:val="4"/>
          <w:kern w:val="0"/>
          <w:sz w:val="24"/>
        </w:rPr>
        <w:t>C-监理合同酬金总额。</w:t>
      </w:r>
    </w:p>
    <w:p w14:paraId="2B4ED0B1">
      <w:pPr>
        <w:widowControl/>
        <w:spacing w:line="360" w:lineRule="auto"/>
        <w:ind w:firstLine="496" w:firstLineChars="200"/>
        <w:jc w:val="left"/>
        <w:rPr>
          <w:rFonts w:ascii="宋体" w:hAnsi="宋体" w:cs="宋体"/>
          <w:bCs/>
          <w:snapToGrid w:val="0"/>
          <w:spacing w:val="4"/>
          <w:kern w:val="0"/>
          <w:sz w:val="24"/>
        </w:rPr>
      </w:pPr>
      <w:r>
        <w:rPr>
          <w:rFonts w:hint="eastAsia" w:ascii="宋体" w:hAnsi="宋体" w:cs="宋体"/>
          <w:bCs/>
          <w:snapToGrid w:val="0"/>
          <w:spacing w:val="4"/>
          <w:kern w:val="0"/>
          <w:sz w:val="24"/>
        </w:rPr>
        <w:t>（22）施工图预算审核</w:t>
      </w:r>
    </w:p>
    <w:p w14:paraId="64410891">
      <w:pPr>
        <w:pStyle w:val="7"/>
        <w:spacing w:line="360" w:lineRule="auto"/>
        <w:ind w:firstLine="496" w:firstLineChars="200"/>
        <w:rPr>
          <w:rFonts w:ascii="宋体" w:hAnsi="宋体" w:cs="宋体"/>
          <w:bCs/>
          <w:snapToGrid w:val="0"/>
          <w:spacing w:val="4"/>
          <w:sz w:val="24"/>
        </w:rPr>
      </w:pPr>
      <w:r>
        <w:rPr>
          <w:rFonts w:hint="eastAsia" w:ascii="宋体" w:hAnsi="宋体" w:cs="宋体"/>
          <w:bCs/>
          <w:snapToGrid w:val="0"/>
          <w:spacing w:val="4"/>
          <w:sz w:val="24"/>
        </w:rPr>
        <w:t>成果文件经委托人审核后的偏差超过一定范围时需承担的责任（偏差率=偏差金额/施工图预算审定金额，偏差金额=监理人提交的项目预算-施工图预算审定金额）：</w:t>
      </w:r>
    </w:p>
    <w:p w14:paraId="4392D848">
      <w:pPr>
        <w:widowControl/>
        <w:spacing w:line="360" w:lineRule="auto"/>
        <w:ind w:firstLine="496" w:firstLineChars="200"/>
        <w:jc w:val="left"/>
        <w:rPr>
          <w:rFonts w:ascii="宋体" w:hAnsi="宋体" w:cs="宋体"/>
          <w:bCs/>
          <w:snapToGrid w:val="0"/>
          <w:spacing w:val="4"/>
          <w:kern w:val="0"/>
          <w:sz w:val="24"/>
        </w:rPr>
      </w:pPr>
      <w:r>
        <w:rPr>
          <w:rFonts w:hint="eastAsia" w:ascii="宋体" w:hAnsi="宋体" w:cs="宋体"/>
          <w:bCs/>
          <w:snapToGrid w:val="0"/>
          <w:spacing w:val="4"/>
          <w:kern w:val="0"/>
          <w:sz w:val="24"/>
        </w:rPr>
        <w:t>5%≤偏差率＜10%，扣减人民币5万元；</w:t>
      </w:r>
    </w:p>
    <w:p w14:paraId="72D59AC7">
      <w:pPr>
        <w:widowControl/>
        <w:spacing w:line="360" w:lineRule="auto"/>
        <w:ind w:firstLine="496" w:firstLineChars="200"/>
        <w:jc w:val="left"/>
        <w:rPr>
          <w:rFonts w:ascii="宋体" w:hAnsi="宋体" w:cs="宋体"/>
          <w:bCs/>
          <w:snapToGrid w:val="0"/>
          <w:spacing w:val="4"/>
          <w:kern w:val="0"/>
          <w:sz w:val="24"/>
        </w:rPr>
      </w:pPr>
      <w:r>
        <w:rPr>
          <w:rFonts w:hint="eastAsia" w:ascii="宋体" w:hAnsi="宋体" w:cs="宋体"/>
          <w:bCs/>
          <w:snapToGrid w:val="0"/>
          <w:spacing w:val="4"/>
          <w:kern w:val="0"/>
          <w:sz w:val="24"/>
        </w:rPr>
        <w:t>偏差率≥10%，扣减人民币10万元。</w:t>
      </w:r>
    </w:p>
    <w:p w14:paraId="1F0A6CF3">
      <w:pPr>
        <w:pStyle w:val="2"/>
        <w:ind w:firstLine="496" w:firstLineChars="200"/>
        <w:rPr>
          <w:rFonts w:ascii="宋体" w:hAnsi="宋体" w:cs="宋体"/>
          <w:bCs/>
          <w:snapToGrid w:val="0"/>
          <w:spacing w:val="4"/>
          <w:sz w:val="24"/>
        </w:rPr>
      </w:pPr>
      <w:r>
        <w:rPr>
          <w:rFonts w:hint="eastAsia" w:ascii="宋体" w:hAnsi="宋体" w:cs="宋体"/>
          <w:bCs/>
          <w:snapToGrid w:val="0"/>
          <w:spacing w:val="4"/>
          <w:sz w:val="24"/>
        </w:rPr>
        <w:t>13.4.3</w:t>
      </w:r>
      <w:r>
        <w:rPr>
          <w:rFonts w:hint="eastAsia"/>
          <w:b/>
          <w:bCs/>
          <w:snapToGrid w:val="0"/>
          <w:spacing w:val="4"/>
          <w:sz w:val="24"/>
        </w:rPr>
        <w:t>因监理人把关不严，致使该部分工程签证所发生的费用超过合理费用的责任</w:t>
      </w:r>
    </w:p>
    <w:p w14:paraId="58685F28">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一、按超支幅度分级承担违约责任​</w:t>
      </w:r>
    </w:p>
    <w:p w14:paraId="10EB8C12">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（1）轻微超支（超支幅度＜5%）​</w:t>
      </w:r>
    </w:p>
    <w:p w14:paraId="447ACC12">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监理人应在收到委托人书面通知（附有权终审部门审定价文件）后 3 个工作日内，提交超支原因分析报告及整改方案；若未按时提交或整改方案未在委托人批复的 7 个工作日内落实，委托人有权按《监理（含项目管理）合同》专用条件第 13.1-（1）项发出书面警告；若同一季度内累计出现 3 次该类超支情形，按第 13.1-（2）项追加一般违约责任 1 次（违约金按合同约定标准执行，即 2000 元 / 次）。​</w:t>
      </w:r>
    </w:p>
    <w:p w14:paraId="22A58499">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（2）一般超支（5%≤超支幅度＜10%）​</w:t>
      </w:r>
    </w:p>
    <w:p w14:paraId="61908263">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监理人除提交原因分析报告及落实整改外，须按《监理（含项目管理）合同》专用条件第 13.1-（2）项承担一般违约责任 1 次；若超支费用金额达到 5 万元（含 5 万元）但不足 10 万元，额外向委托人赔偿超支费用的 30%（以有权终审部门审定的超支金额计算），赔偿款与违约金一并支付。​</w:t>
      </w:r>
    </w:p>
    <w:p w14:paraId="003C1E93">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严重超支（超支幅度≥10%）​</w:t>
      </w:r>
    </w:p>
    <w:p w14:paraId="3259BC02">
      <w:pPr>
        <w:topLinePunct/>
        <w:adjustRightInd w:val="0"/>
        <w:snapToGrid w:val="0"/>
        <w:spacing w:line="480" w:lineRule="exact"/>
        <w:ind w:left="479" w:leftChars="228"/>
        <w:rPr>
          <w:snapToGrid w:val="0"/>
          <w:spacing w:val="4"/>
          <w:kern w:val="0"/>
          <w:sz w:val="24"/>
        </w:rPr>
      </w:pPr>
      <w:r>
        <w:rPr>
          <w:rFonts w:hint="eastAsia"/>
          <w:snapToGrid w:val="0"/>
          <w:spacing w:val="4"/>
          <w:kern w:val="0"/>
          <w:sz w:val="24"/>
        </w:rPr>
        <w:t>无论超支费用金额大小，监理人须按《监理（含项目管理）合同》专用条件第 13.1-（3）项承担严重违约责任 1 次（违约金按合同约定标准执行，即 20000 元 / 次）；</w:t>
      </w:r>
    </w:p>
    <w:p w14:paraId="4B7210E9">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若超支费用金额达到 10 万元（含 10 万元），监理人需赔偿超支费用的 50%，同时委托人有权要求监理人项目总监向委托人提交书面检讨，并暂停支付当期监理酬金的 20%，直至超支问题整改验收合格；​</w:t>
      </w:r>
    </w:p>
    <w:p w14:paraId="5A22C691">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若超支费用金额达到 30 万元（含 30 万元）或同一工程范围内累计出现 2 次严重超支情形，委托人有权按第 13.1-（4）项启动 “部分解除合同” 程序，解除该签证涉及工程段的监理委托，监理人须在 5 日内完成该部分工作移交，否则按第 13.1-（5）项承担解除合同的全部责任。​</w:t>
      </w:r>
    </w:p>
    <w:p w14:paraId="2F1AC65D">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二、特殊违规情形的加重责任​</w:t>
      </w:r>
    </w:p>
    <w:p w14:paraId="0CE4590C">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虚假签证或重复签证导致超支​</w:t>
      </w:r>
    </w:p>
    <w:p w14:paraId="0FCE62AF">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若监理人审核通过的签证存在 “内容虚假（与现场施工实际不符）” 或 “同一工作重复签证” 情形，无论超支幅度及金额多少，均直接按《监理（含项目管理）合同》专用条件第 13.1-（3）项承担严重违约责任 1 次；若因此导致超支费用达到 5 万元（含 5 万元），视为 “监理人与承包人串通作假”，委托人有权按第 13.4.2-（13）项单方解除合同，同时要求监理人赔偿全部超支费用及委托人因核查、追责产生的调查费、鉴定费、律师费等（按第 13.1-（6）项约定范围执行）。​</w:t>
      </w:r>
    </w:p>
    <w:p w14:paraId="34842C0E">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未履行签证审核流程导致超支​</w:t>
      </w:r>
    </w:p>
    <w:p w14:paraId="47358FBD">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若监理人未按委托人规定的签证审核流程操作（如未经注册造价工程师签字确认即报送、审核资料缺失却签认、超过 7 个工作日审核时限未反馈等），且直接导致费用超支：​</w:t>
      </w:r>
    </w:p>
    <w:p w14:paraId="5B82FA99">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首次发生的，按第 13.1-（1）项发出书面警告，监理人须在 5 日内补正审核流程；</w:t>
      </w:r>
    </w:p>
    <w:p w14:paraId="34CEA9A5">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补正后仍存在超支或累计发生 2 次的，按第 13.1-（2）项承担一般违约责任 1 次；</w:t>
      </w:r>
    </w:p>
    <w:p w14:paraId="2BBE9DB6">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累计发生 3 次的，按第 13.1-（3）项承担严重违约责任 1 次，同时委托人有权要求更换该项目的负责人。</w:t>
      </w:r>
    </w:p>
    <w:p w14:paraId="1BB9BC6B">
      <w:pPr>
        <w:topLinePunct/>
        <w:adjustRightInd w:val="0"/>
        <w:snapToGrid w:val="0"/>
        <w:spacing w:line="480" w:lineRule="exact"/>
        <w:ind w:firstLine="498" w:firstLineChars="200"/>
        <w:outlineLvl w:val="3"/>
        <w:rPr>
          <w:bCs/>
          <w:snapToGrid w:val="0"/>
          <w:spacing w:val="4"/>
          <w:kern w:val="0"/>
          <w:sz w:val="24"/>
        </w:rPr>
      </w:pPr>
      <w:r>
        <w:rPr>
          <w:rFonts w:hint="eastAsia"/>
          <w:b/>
          <w:bCs/>
          <w:snapToGrid w:val="0"/>
          <w:spacing w:val="4"/>
          <w:kern w:val="0"/>
          <w:sz w:val="24"/>
        </w:rPr>
        <w:t>13.</w:t>
      </w:r>
      <w:r>
        <w:rPr>
          <w:b/>
          <w:bCs/>
          <w:snapToGrid w:val="0"/>
          <w:spacing w:val="4"/>
          <w:kern w:val="0"/>
          <w:sz w:val="24"/>
        </w:rPr>
        <w:t>4.</w:t>
      </w:r>
      <w:r>
        <w:rPr>
          <w:rFonts w:hint="eastAsia"/>
          <w:b/>
          <w:bCs/>
          <w:snapToGrid w:val="0"/>
          <w:spacing w:val="4"/>
          <w:kern w:val="0"/>
          <w:sz w:val="24"/>
        </w:rPr>
        <w:t>4</w:t>
      </w:r>
      <w:r>
        <w:rPr>
          <w:bCs/>
          <w:snapToGrid w:val="0"/>
          <w:spacing w:val="4"/>
          <w:kern w:val="0"/>
          <w:sz w:val="24"/>
        </w:rPr>
        <w:t xml:space="preserve">  </w:t>
      </w:r>
      <w:r>
        <w:rPr>
          <w:b/>
          <w:bCs/>
          <w:snapToGrid w:val="0"/>
          <w:spacing w:val="4"/>
          <w:kern w:val="0"/>
          <w:sz w:val="24"/>
        </w:rPr>
        <w:t>其他方面的违约责任</w:t>
      </w:r>
    </w:p>
    <w:p w14:paraId="08190AAF">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（1）监理人必须加强对监理人员职业操守、廉政建设的培训和教育，本项目监理人员需共同遵守监理人员职业道德守则，并严格遵守以下规定：</w:t>
      </w:r>
    </w:p>
    <w:p w14:paraId="39B5D67F">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1）禁止向委托人及承包人推销材料、设备，或以倾向性、排他性变相推销；</w:t>
      </w:r>
    </w:p>
    <w:p w14:paraId="28E3CE53">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2）禁止与承包人串通，对不合格材料、产品、工程进行包庇及验收；</w:t>
      </w:r>
    </w:p>
    <w:p w14:paraId="020E7BA5">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3）禁止与承包人串通，对材料用量、工程量进行虚假签认；</w:t>
      </w:r>
    </w:p>
    <w:p w14:paraId="6674B0B3">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4）禁止与承包人串通，不合理提高施工难度及增加材料用量，以增大施工费用，获取不正当收益；</w:t>
      </w:r>
    </w:p>
    <w:p w14:paraId="218C8D6E">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5）禁止接受承包人的请吃送礼或变相受礼；</w:t>
      </w:r>
    </w:p>
    <w:p w14:paraId="5CB66D24">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6）禁止向承包人介绍分包或推销材料、设备等；</w:t>
      </w:r>
    </w:p>
    <w:p w14:paraId="1FA75CE7">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7）禁止故意刁难承包人以谋取私利，损害委托人的合法利益。</w:t>
      </w:r>
    </w:p>
    <w:p w14:paraId="28EEF6C7">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凡违反以上任一项约定者，一经查实，监理人应立即清退该监理人员，承担严重违约责任 1次；情节严重的，委托人有权部分解除合同或解除合同，向有关部门反映情况，追究监理人及有关责任人相关责任，要求赔偿相应损失，同时将上述违反职业道德的行为通过新闻媒体公诸于众，甚至移交司法机关处理。</w:t>
      </w:r>
    </w:p>
    <w:p w14:paraId="6B971036">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2）监理人违约行为的直接责任人，其行为致使监理人承担严重违约责任（或相当于严重违约责任）1次，或主管人员因其下属的行为致使监理人承担严重违约责任（或相当于严重违约责任）累计次数达到3次，委托人认为该直接责任人或主管人员已不适于继续担任本合同工程的监理工作的，有权要求监理人限期更换该人员。于此情形下，监理人应无条件接受，并承担由此引起的后果及费用；如监理人拒不执行，则自向监理人发出更换要求7日后起算，委托人可认为该岗位已空缺，并按本合同</w:t>
      </w:r>
      <w:r>
        <w:rPr>
          <w:bCs/>
          <w:snapToGrid w:val="0"/>
          <w:spacing w:val="4"/>
          <w:kern w:val="0"/>
          <w:sz w:val="24"/>
          <w:u w:val="wave"/>
        </w:rPr>
        <w:t>专用条件第</w:t>
      </w:r>
      <w:r>
        <w:rPr>
          <w:rFonts w:hint="eastAsia"/>
          <w:bCs/>
          <w:snapToGrid w:val="0"/>
          <w:spacing w:val="4"/>
          <w:kern w:val="0"/>
          <w:sz w:val="24"/>
          <w:u w:val="wave"/>
        </w:rPr>
        <w:t>13.</w:t>
      </w:r>
      <w:r>
        <w:rPr>
          <w:bCs/>
          <w:snapToGrid w:val="0"/>
          <w:spacing w:val="4"/>
          <w:kern w:val="0"/>
          <w:sz w:val="24"/>
          <w:u w:val="wave"/>
        </w:rPr>
        <w:t>4.1-（3）项</w:t>
      </w:r>
      <w:r>
        <w:rPr>
          <w:bCs/>
          <w:snapToGrid w:val="0"/>
          <w:spacing w:val="4"/>
          <w:kern w:val="0"/>
          <w:sz w:val="24"/>
        </w:rPr>
        <w:t>的约定处理。</w:t>
      </w:r>
    </w:p>
    <w:p w14:paraId="1F3C127D">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3）除上述约定之外，监理人违反合同约定的其他义务的，均构成违约，委托人有权视具体情况给予监理人书面警告并要求限期改正。于此情形下，若监理人拒不限期改正的，承担一般违约责任1次；情节严重的，承担严重违约责任1次</w:t>
      </w:r>
      <w:r>
        <w:rPr>
          <w:rFonts w:hint="eastAsia"/>
          <w:bCs/>
          <w:snapToGrid w:val="0"/>
          <w:spacing w:val="4"/>
          <w:kern w:val="0"/>
          <w:sz w:val="24"/>
        </w:rPr>
        <w:t>，给委托人造成损失的还应赔偿损失</w:t>
      </w:r>
      <w:r>
        <w:rPr>
          <w:bCs/>
          <w:snapToGrid w:val="0"/>
          <w:spacing w:val="4"/>
          <w:kern w:val="0"/>
          <w:sz w:val="24"/>
        </w:rPr>
        <w:t>。</w:t>
      </w:r>
    </w:p>
    <w:p w14:paraId="0B531E6F">
      <w:pPr>
        <w:topLinePunct/>
        <w:adjustRightInd w:val="0"/>
        <w:snapToGrid w:val="0"/>
        <w:spacing w:line="480" w:lineRule="exact"/>
        <w:ind w:firstLine="498" w:firstLineChars="200"/>
        <w:outlineLvl w:val="2"/>
        <w:rPr>
          <w:b/>
          <w:snapToGrid w:val="0"/>
          <w:spacing w:val="4"/>
          <w:kern w:val="0"/>
          <w:sz w:val="24"/>
        </w:rPr>
      </w:pPr>
      <w:r>
        <w:rPr>
          <w:rFonts w:hint="eastAsia"/>
          <w:b/>
          <w:snapToGrid w:val="0"/>
          <w:spacing w:val="4"/>
          <w:kern w:val="0"/>
          <w:sz w:val="24"/>
        </w:rPr>
        <w:t>13.</w:t>
      </w:r>
      <w:r>
        <w:rPr>
          <w:b/>
          <w:snapToGrid w:val="0"/>
          <w:spacing w:val="4"/>
          <w:kern w:val="0"/>
          <w:sz w:val="24"/>
        </w:rPr>
        <w:t>5  监理人违约责任的认定方式及送达程序</w:t>
      </w:r>
    </w:p>
    <w:p w14:paraId="356E843E">
      <w:pPr>
        <w:topLinePunct/>
        <w:adjustRightInd w:val="0"/>
        <w:snapToGrid w:val="0"/>
        <w:spacing w:line="480" w:lineRule="exact"/>
        <w:ind w:firstLine="498" w:firstLineChars="200"/>
        <w:rPr>
          <w:snapToGrid w:val="0"/>
          <w:spacing w:val="4"/>
          <w:kern w:val="0"/>
          <w:sz w:val="24"/>
        </w:rPr>
      </w:pPr>
      <w:r>
        <w:rPr>
          <w:rFonts w:hint="eastAsia"/>
          <w:b/>
          <w:snapToGrid w:val="0"/>
          <w:spacing w:val="4"/>
          <w:kern w:val="0"/>
          <w:sz w:val="24"/>
        </w:rPr>
        <w:t>13.</w:t>
      </w:r>
      <w:r>
        <w:rPr>
          <w:b/>
          <w:snapToGrid w:val="0"/>
          <w:spacing w:val="4"/>
          <w:kern w:val="0"/>
          <w:sz w:val="24"/>
        </w:rPr>
        <w:t>5.1</w:t>
      </w:r>
      <w:r>
        <w:rPr>
          <w:snapToGrid w:val="0"/>
          <w:spacing w:val="4"/>
          <w:kern w:val="0"/>
          <w:sz w:val="24"/>
        </w:rPr>
        <w:t xml:space="preserve">  认定方式：以委托人发出的通知、通报、会议纪要等书面文件确定的内容为准。</w:t>
      </w:r>
    </w:p>
    <w:p w14:paraId="2C524445">
      <w:pPr>
        <w:topLinePunct/>
        <w:adjustRightInd w:val="0"/>
        <w:snapToGrid w:val="0"/>
        <w:spacing w:line="480" w:lineRule="exact"/>
        <w:ind w:firstLine="498" w:firstLineChars="200"/>
        <w:rPr>
          <w:snapToGrid w:val="0"/>
          <w:spacing w:val="4"/>
          <w:kern w:val="0"/>
          <w:sz w:val="24"/>
        </w:rPr>
      </w:pPr>
      <w:r>
        <w:rPr>
          <w:rFonts w:hint="eastAsia"/>
          <w:b/>
          <w:snapToGrid w:val="0"/>
          <w:spacing w:val="4"/>
          <w:kern w:val="0"/>
          <w:sz w:val="24"/>
        </w:rPr>
        <w:t>13.</w:t>
      </w:r>
      <w:r>
        <w:rPr>
          <w:b/>
          <w:snapToGrid w:val="0"/>
          <w:spacing w:val="4"/>
          <w:kern w:val="0"/>
          <w:sz w:val="24"/>
        </w:rPr>
        <w:t>5.2</w:t>
      </w:r>
      <w:r>
        <w:rPr>
          <w:snapToGrid w:val="0"/>
          <w:spacing w:val="4"/>
          <w:kern w:val="0"/>
          <w:sz w:val="24"/>
        </w:rPr>
        <w:t xml:space="preserve">  送达程序：委托人通过下列方式之一将书面违约处理决定送达监理人：</w:t>
      </w:r>
    </w:p>
    <w:p w14:paraId="0C9C0F17">
      <w:pPr>
        <w:topLinePunct/>
        <w:adjustRightInd w:val="0"/>
        <w:snapToGrid w:val="0"/>
        <w:spacing w:line="480" w:lineRule="exact"/>
        <w:ind w:firstLine="496" w:firstLineChars="200"/>
        <w:rPr>
          <w:snapToGrid w:val="0"/>
          <w:spacing w:val="4"/>
          <w:kern w:val="0"/>
          <w:sz w:val="24"/>
        </w:rPr>
      </w:pPr>
      <w:r>
        <w:rPr>
          <w:snapToGrid w:val="0"/>
          <w:spacing w:val="4"/>
          <w:kern w:val="0"/>
          <w:sz w:val="24"/>
        </w:rPr>
        <w:t>（1）监理人现场管理机构工作人员签收；</w:t>
      </w:r>
    </w:p>
    <w:p w14:paraId="7A7BBB91">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（2）监理人其他工作人员签收；</w:t>
      </w:r>
    </w:p>
    <w:p w14:paraId="1EB2151D">
      <w:pPr>
        <w:topLinePunct/>
        <w:adjustRightInd w:val="0"/>
        <w:snapToGrid w:val="0"/>
        <w:spacing w:line="480" w:lineRule="exact"/>
        <w:ind w:firstLine="496" w:firstLineChars="200"/>
        <w:rPr>
          <w:snapToGrid w:val="0"/>
          <w:spacing w:val="4"/>
          <w:kern w:val="0"/>
          <w:sz w:val="24"/>
        </w:rPr>
      </w:pPr>
      <w:r>
        <w:rPr>
          <w:snapToGrid w:val="0"/>
          <w:spacing w:val="4"/>
          <w:kern w:val="0"/>
          <w:sz w:val="24"/>
        </w:rPr>
        <w:t>（3）委托人邮寄送达。</w:t>
      </w:r>
    </w:p>
    <w:p w14:paraId="5901648A">
      <w:pPr>
        <w:topLinePunct/>
        <w:adjustRightInd w:val="0"/>
        <w:snapToGrid w:val="0"/>
        <w:spacing w:line="480" w:lineRule="exact"/>
        <w:ind w:firstLine="498" w:firstLineChars="200"/>
        <w:rPr>
          <w:snapToGrid w:val="0"/>
          <w:spacing w:val="4"/>
          <w:kern w:val="0"/>
          <w:sz w:val="24"/>
        </w:rPr>
      </w:pPr>
      <w:r>
        <w:rPr>
          <w:rFonts w:hint="eastAsia"/>
          <w:b/>
          <w:snapToGrid w:val="0"/>
          <w:spacing w:val="4"/>
          <w:kern w:val="0"/>
          <w:sz w:val="24"/>
        </w:rPr>
        <w:t>13.</w:t>
      </w:r>
      <w:r>
        <w:rPr>
          <w:b/>
          <w:snapToGrid w:val="0"/>
          <w:spacing w:val="4"/>
          <w:kern w:val="0"/>
          <w:sz w:val="24"/>
        </w:rPr>
        <w:t>5.3</w:t>
      </w:r>
      <w:r>
        <w:rPr>
          <w:snapToGrid w:val="0"/>
          <w:spacing w:val="4"/>
          <w:kern w:val="0"/>
          <w:sz w:val="24"/>
        </w:rPr>
        <w:t xml:space="preserve">  委托人以书面形式作出的违约处理决定一经送达监理人立即生效。监理人如有足够证据证明不应由其承担违约责任的，应在收到违约处理决定后3天内以书面形式向委托人提出异议并附上有关证据。委托人在收到监理人的异议后15天内审核完毕，作出书面决定并通知监理人。</w:t>
      </w:r>
    </w:p>
    <w:p w14:paraId="2717885B">
      <w:pPr>
        <w:topLinePunct/>
        <w:adjustRightInd w:val="0"/>
        <w:snapToGrid w:val="0"/>
        <w:spacing w:line="480" w:lineRule="exact"/>
        <w:ind w:firstLine="498" w:firstLineChars="200"/>
        <w:rPr>
          <w:snapToGrid w:val="0"/>
          <w:spacing w:val="4"/>
          <w:kern w:val="0"/>
          <w:sz w:val="24"/>
        </w:rPr>
      </w:pPr>
      <w:r>
        <w:rPr>
          <w:rFonts w:hint="eastAsia"/>
          <w:b/>
          <w:snapToGrid w:val="0"/>
          <w:spacing w:val="4"/>
          <w:kern w:val="0"/>
          <w:sz w:val="24"/>
        </w:rPr>
        <w:t>13.</w:t>
      </w:r>
      <w:r>
        <w:rPr>
          <w:b/>
          <w:snapToGrid w:val="0"/>
          <w:spacing w:val="4"/>
          <w:kern w:val="0"/>
          <w:sz w:val="24"/>
        </w:rPr>
        <w:t>5.4</w:t>
      </w:r>
      <w:r>
        <w:rPr>
          <w:snapToGrid w:val="0"/>
          <w:spacing w:val="4"/>
          <w:kern w:val="0"/>
          <w:sz w:val="24"/>
        </w:rPr>
        <w:t xml:space="preserve">  监理人承诺严格按照合同和招投标文件规定履行义务，并同意委托人将其执行国家强制性规范、标准和履行合同、招投标文件义务的情况（包括但不限于由委托人组织的考核、考评通报、违约责任处理决定等）在委托人网站和建设项目合法继承人网站及其他媒体上公开披露。</w:t>
      </w:r>
    </w:p>
    <w:p w14:paraId="29217751">
      <w:pPr>
        <w:topLinePunct/>
        <w:adjustRightInd w:val="0"/>
        <w:snapToGrid w:val="0"/>
        <w:spacing w:line="480" w:lineRule="exact"/>
        <w:ind w:firstLine="498" w:firstLineChars="200"/>
        <w:outlineLvl w:val="1"/>
        <w:rPr>
          <w:snapToGrid w:val="0"/>
          <w:spacing w:val="4"/>
          <w:kern w:val="0"/>
          <w:sz w:val="24"/>
        </w:rPr>
      </w:pPr>
      <w:r>
        <w:rPr>
          <w:b/>
          <w:bCs/>
          <w:snapToGrid w:val="0"/>
          <w:spacing w:val="4"/>
          <w:kern w:val="0"/>
          <w:sz w:val="24"/>
        </w:rPr>
        <w:t>第十</w:t>
      </w:r>
      <w:r>
        <w:rPr>
          <w:rFonts w:hint="eastAsia"/>
          <w:b/>
          <w:bCs/>
          <w:snapToGrid w:val="0"/>
          <w:spacing w:val="4"/>
          <w:kern w:val="0"/>
          <w:sz w:val="24"/>
        </w:rPr>
        <w:t>四</w:t>
      </w:r>
      <w:r>
        <w:rPr>
          <w:b/>
          <w:bCs/>
          <w:snapToGrid w:val="0"/>
          <w:spacing w:val="4"/>
          <w:kern w:val="0"/>
          <w:sz w:val="24"/>
        </w:rPr>
        <w:t>条  监理人的违约责任（二）</w:t>
      </w:r>
    </w:p>
    <w:p w14:paraId="6F2C4BA9">
      <w:pPr>
        <w:topLinePunct/>
        <w:adjustRightInd w:val="0"/>
        <w:snapToGrid w:val="0"/>
        <w:spacing w:line="480" w:lineRule="exact"/>
        <w:ind w:firstLine="496" w:firstLineChars="200"/>
        <w:rPr>
          <w:b/>
          <w:snapToGrid w:val="0"/>
          <w:spacing w:val="4"/>
          <w:kern w:val="0"/>
          <w:sz w:val="24"/>
        </w:rPr>
      </w:pPr>
      <w:r>
        <w:rPr>
          <w:snapToGrid w:val="0"/>
          <w:spacing w:val="4"/>
          <w:kern w:val="0"/>
          <w:sz w:val="24"/>
        </w:rPr>
        <w:t>双方一致同意不适用本合同</w:t>
      </w:r>
      <w:r>
        <w:rPr>
          <w:snapToGrid w:val="0"/>
          <w:spacing w:val="4"/>
          <w:kern w:val="0"/>
          <w:sz w:val="24"/>
          <w:u w:val="wave"/>
        </w:rPr>
        <w:t>标准条件第二十七条</w:t>
      </w:r>
      <w:r>
        <w:rPr>
          <w:snapToGrid w:val="0"/>
          <w:spacing w:val="4"/>
          <w:kern w:val="0"/>
          <w:sz w:val="24"/>
        </w:rPr>
        <w:t>的约定。监理人对承包人违反合同约定的质量、安全、文明施工等方面的要求时，监理人应按照本合同</w:t>
      </w:r>
      <w:r>
        <w:rPr>
          <w:snapToGrid w:val="0"/>
          <w:spacing w:val="4"/>
          <w:kern w:val="0"/>
          <w:sz w:val="24"/>
          <w:u w:val="wave"/>
        </w:rPr>
        <w:t>专用条件第</w:t>
      </w:r>
      <w:r>
        <w:rPr>
          <w:rFonts w:hint="eastAsia"/>
          <w:snapToGrid w:val="0"/>
          <w:spacing w:val="4"/>
          <w:kern w:val="0"/>
          <w:sz w:val="24"/>
          <w:u w:val="wave"/>
        </w:rPr>
        <w:t>13.</w:t>
      </w:r>
      <w:r>
        <w:rPr>
          <w:snapToGrid w:val="0"/>
          <w:spacing w:val="4"/>
          <w:kern w:val="0"/>
          <w:sz w:val="24"/>
          <w:u w:val="wave"/>
        </w:rPr>
        <w:t>4.2-（7）、（14）款</w:t>
      </w:r>
      <w:r>
        <w:rPr>
          <w:snapToGrid w:val="0"/>
          <w:spacing w:val="4"/>
          <w:kern w:val="0"/>
          <w:sz w:val="24"/>
        </w:rPr>
        <w:t>的有关约定承担违约责任。</w:t>
      </w:r>
    </w:p>
    <w:p w14:paraId="7C343549">
      <w:pPr>
        <w:topLinePunct/>
        <w:adjustRightInd w:val="0"/>
        <w:snapToGrid w:val="0"/>
        <w:spacing w:line="480" w:lineRule="exact"/>
        <w:ind w:firstLine="498" w:firstLineChars="200"/>
        <w:outlineLvl w:val="1"/>
        <w:rPr>
          <w:snapToGrid w:val="0"/>
          <w:spacing w:val="4"/>
          <w:kern w:val="0"/>
          <w:sz w:val="24"/>
        </w:rPr>
      </w:pPr>
      <w:r>
        <w:rPr>
          <w:b/>
          <w:bCs/>
          <w:snapToGrid w:val="0"/>
          <w:spacing w:val="4"/>
          <w:kern w:val="0"/>
          <w:sz w:val="24"/>
        </w:rPr>
        <w:t>第十</w:t>
      </w:r>
      <w:r>
        <w:rPr>
          <w:rFonts w:hint="eastAsia"/>
          <w:b/>
          <w:bCs/>
          <w:snapToGrid w:val="0"/>
          <w:spacing w:val="4"/>
          <w:kern w:val="0"/>
          <w:sz w:val="24"/>
        </w:rPr>
        <w:t>五</w:t>
      </w:r>
      <w:r>
        <w:rPr>
          <w:b/>
          <w:bCs/>
          <w:snapToGrid w:val="0"/>
          <w:spacing w:val="4"/>
          <w:kern w:val="0"/>
          <w:sz w:val="24"/>
        </w:rPr>
        <w:t>条</w:t>
      </w:r>
      <w:r>
        <w:rPr>
          <w:snapToGrid w:val="0"/>
          <w:spacing w:val="4"/>
          <w:kern w:val="0"/>
          <w:sz w:val="24"/>
        </w:rPr>
        <w:t>　</w:t>
      </w:r>
      <w:r>
        <w:rPr>
          <w:b/>
          <w:snapToGrid w:val="0"/>
          <w:spacing w:val="4"/>
          <w:kern w:val="0"/>
          <w:sz w:val="24"/>
        </w:rPr>
        <w:t>委托人的违约责任</w:t>
      </w:r>
    </w:p>
    <w:p w14:paraId="67345EF9">
      <w:pPr>
        <w:topLinePunct/>
        <w:adjustRightInd w:val="0"/>
        <w:snapToGrid w:val="0"/>
        <w:spacing w:line="480" w:lineRule="exact"/>
        <w:ind w:firstLine="498" w:firstLineChars="200"/>
        <w:rPr>
          <w:rFonts w:ascii="Times New Roman" w:hAnsi="Times New Roman"/>
          <w:snapToGrid w:val="0"/>
          <w:spacing w:val="4"/>
          <w:kern w:val="0"/>
          <w:sz w:val="24"/>
        </w:rPr>
      </w:pPr>
      <w:r>
        <w:rPr>
          <w:rFonts w:hint="eastAsia" w:ascii="Times New Roman" w:hAnsi="Times New Roman"/>
          <w:b/>
          <w:bCs/>
          <w:snapToGrid w:val="0"/>
          <w:spacing w:val="4"/>
          <w:kern w:val="0"/>
          <w:sz w:val="24"/>
        </w:rPr>
        <w:t>15</w:t>
      </w:r>
      <w:r>
        <w:rPr>
          <w:rFonts w:ascii="Times New Roman" w:hAnsi="Times New Roman"/>
          <w:b/>
          <w:bCs/>
          <w:snapToGrid w:val="0"/>
          <w:spacing w:val="4"/>
          <w:kern w:val="0"/>
          <w:sz w:val="24"/>
        </w:rPr>
        <w:t>.1</w:t>
      </w:r>
      <w:r>
        <w:rPr>
          <w:rFonts w:ascii="Times New Roman" w:hAnsi="Times New Roman"/>
          <w:snapToGrid w:val="0"/>
          <w:spacing w:val="4"/>
          <w:kern w:val="0"/>
          <w:sz w:val="24"/>
        </w:rPr>
        <w:t xml:space="preserve">  </w:t>
      </w:r>
      <w:r>
        <w:rPr>
          <w:rFonts w:hint="eastAsia" w:ascii="Times New Roman" w:hAnsi="Times New Roman"/>
          <w:snapToGrid w:val="0"/>
          <w:spacing w:val="4"/>
          <w:kern w:val="0"/>
          <w:sz w:val="24"/>
        </w:rPr>
        <w:t>如</w:t>
      </w:r>
      <w:r>
        <w:rPr>
          <w:rFonts w:hint="eastAsia"/>
          <w:snapToGrid w:val="0"/>
          <w:spacing w:val="4"/>
          <w:kern w:val="0"/>
          <w:sz w:val="24"/>
        </w:rPr>
        <w:t>监理人</w:t>
      </w:r>
      <w:r>
        <w:rPr>
          <w:rFonts w:hint="eastAsia" w:ascii="Times New Roman" w:hAnsi="Times New Roman"/>
          <w:snapToGrid w:val="0"/>
          <w:spacing w:val="4"/>
          <w:kern w:val="0"/>
          <w:sz w:val="24"/>
        </w:rPr>
        <w:t>无不履行或不适当履行其义务的情况下</w:t>
      </w:r>
      <w:r>
        <w:rPr>
          <w:rFonts w:hint="eastAsia"/>
          <w:snapToGrid w:val="0"/>
          <w:spacing w:val="4"/>
          <w:kern w:val="0"/>
          <w:sz w:val="24"/>
        </w:rPr>
        <w:t>，</w:t>
      </w:r>
      <w:r>
        <w:rPr>
          <w:rFonts w:ascii="Times New Roman" w:hAnsi="Times New Roman"/>
          <w:snapToGrid w:val="0"/>
          <w:spacing w:val="4"/>
          <w:kern w:val="0"/>
          <w:sz w:val="24"/>
        </w:rPr>
        <w:t>委托人不按合同约定支付监理酬金的（财政国库支付或其他不可抗力等原因除外）</w:t>
      </w:r>
      <w:r>
        <w:rPr>
          <w:rFonts w:hint="eastAsia" w:ascii="Times New Roman" w:hAnsi="Times New Roman"/>
          <w:snapToGrid w:val="0"/>
          <w:spacing w:val="4"/>
          <w:kern w:val="0"/>
          <w:sz w:val="24"/>
        </w:rPr>
        <w:t>，并</w:t>
      </w:r>
      <w:r>
        <w:rPr>
          <w:rFonts w:hint="eastAsia"/>
          <w:snapToGrid w:val="0"/>
          <w:spacing w:val="4"/>
          <w:kern w:val="0"/>
          <w:sz w:val="24"/>
        </w:rPr>
        <w:t>在监理人</w:t>
      </w:r>
      <w:r>
        <w:rPr>
          <w:rFonts w:hint="eastAsia" w:ascii="Times New Roman" w:hAnsi="Times New Roman"/>
          <w:snapToGrid w:val="0"/>
          <w:spacing w:val="4"/>
          <w:kern w:val="0"/>
          <w:sz w:val="24"/>
        </w:rPr>
        <w:t>书面催告后无正当理由仍不在合理期限内支付的</w:t>
      </w:r>
      <w:r>
        <w:rPr>
          <w:rFonts w:hint="eastAsia"/>
          <w:snapToGrid w:val="0"/>
          <w:spacing w:val="4"/>
          <w:kern w:val="0"/>
          <w:sz w:val="24"/>
        </w:rPr>
        <w:t>，</w:t>
      </w:r>
      <w:r>
        <w:rPr>
          <w:rFonts w:ascii="Times New Roman" w:hAnsi="Times New Roman"/>
          <w:snapToGrid w:val="0"/>
          <w:spacing w:val="4"/>
          <w:kern w:val="0"/>
          <w:sz w:val="24"/>
        </w:rPr>
        <w:t>除应支付本合同约定的监理酬金外，还应按</w:t>
      </w:r>
      <w:r>
        <w:rPr>
          <w:rFonts w:hint="eastAsia" w:ascii="Times New Roman" w:hAnsi="Times New Roman"/>
          <w:snapToGrid w:val="0"/>
          <w:spacing w:val="4"/>
          <w:kern w:val="0"/>
          <w:sz w:val="24"/>
        </w:rPr>
        <w:t>全国银行间同业拆借中心发布的贷款市场报价利率</w:t>
      </w:r>
      <w:r>
        <w:rPr>
          <w:rFonts w:ascii="Times New Roman" w:hAnsi="Times New Roman"/>
          <w:snapToGrid w:val="0"/>
          <w:spacing w:val="4"/>
          <w:kern w:val="0"/>
          <w:sz w:val="24"/>
        </w:rPr>
        <w:t>给监理人计付拖欠期间的利息</w:t>
      </w:r>
      <w:r>
        <w:rPr>
          <w:rFonts w:hint="eastAsia"/>
          <w:snapToGrid w:val="0"/>
          <w:spacing w:val="4"/>
          <w:kern w:val="0"/>
          <w:sz w:val="24"/>
        </w:rPr>
        <w:t>，利息总额不得超过应付未付金额的5%</w:t>
      </w:r>
      <w:r>
        <w:rPr>
          <w:rFonts w:ascii="Times New Roman" w:hAnsi="Times New Roman"/>
          <w:snapToGrid w:val="0"/>
          <w:spacing w:val="4"/>
          <w:kern w:val="0"/>
          <w:sz w:val="24"/>
        </w:rPr>
        <w:t>。</w:t>
      </w:r>
    </w:p>
    <w:p w14:paraId="3B1BF7BA">
      <w:pPr>
        <w:topLinePunct/>
        <w:adjustRightInd w:val="0"/>
        <w:snapToGrid w:val="0"/>
        <w:spacing w:line="480" w:lineRule="exact"/>
        <w:ind w:firstLine="498" w:firstLineChars="200"/>
        <w:rPr>
          <w:snapToGrid w:val="0"/>
          <w:spacing w:val="4"/>
          <w:kern w:val="0"/>
          <w:sz w:val="24"/>
        </w:rPr>
      </w:pPr>
      <w:r>
        <w:rPr>
          <w:rFonts w:hint="eastAsia"/>
          <w:b/>
          <w:snapToGrid w:val="0"/>
          <w:spacing w:val="4"/>
          <w:kern w:val="0"/>
          <w:sz w:val="24"/>
        </w:rPr>
        <w:t>15</w:t>
      </w:r>
      <w:r>
        <w:rPr>
          <w:b/>
          <w:snapToGrid w:val="0"/>
          <w:spacing w:val="4"/>
          <w:kern w:val="0"/>
          <w:sz w:val="24"/>
        </w:rPr>
        <w:t xml:space="preserve">.2  </w:t>
      </w:r>
      <w:r>
        <w:rPr>
          <w:snapToGrid w:val="0"/>
          <w:spacing w:val="4"/>
          <w:kern w:val="0"/>
          <w:sz w:val="24"/>
        </w:rPr>
        <w:t>因委托人</w:t>
      </w:r>
      <w:r>
        <w:rPr>
          <w:rFonts w:hint="eastAsia"/>
          <w:snapToGrid w:val="0"/>
          <w:spacing w:val="4"/>
          <w:kern w:val="0"/>
          <w:sz w:val="24"/>
        </w:rPr>
        <w:t>故意或重大过失</w:t>
      </w:r>
      <w:r>
        <w:rPr>
          <w:snapToGrid w:val="0"/>
          <w:spacing w:val="4"/>
          <w:kern w:val="0"/>
          <w:sz w:val="24"/>
        </w:rPr>
        <w:t>给监理人造成损失的，在监理人能够提交足够证据并经查证属实的情况下，委托人应赔偿其直接经济损失。</w:t>
      </w:r>
    </w:p>
    <w:p w14:paraId="0AF48C4F">
      <w:pPr>
        <w:topLinePunct/>
        <w:adjustRightInd w:val="0"/>
        <w:snapToGrid w:val="0"/>
        <w:spacing w:line="480" w:lineRule="exact"/>
        <w:ind w:firstLine="498" w:firstLineChars="200"/>
        <w:outlineLvl w:val="1"/>
        <w:rPr>
          <w:snapToGrid w:val="0"/>
          <w:spacing w:val="4"/>
          <w:kern w:val="0"/>
          <w:sz w:val="24"/>
        </w:rPr>
      </w:pPr>
      <w:r>
        <w:rPr>
          <w:b/>
          <w:bCs/>
          <w:snapToGrid w:val="0"/>
          <w:spacing w:val="4"/>
          <w:kern w:val="0"/>
          <w:sz w:val="24"/>
        </w:rPr>
        <w:t>第十</w:t>
      </w:r>
      <w:r>
        <w:rPr>
          <w:rFonts w:hint="eastAsia"/>
          <w:b/>
          <w:bCs/>
          <w:snapToGrid w:val="0"/>
          <w:spacing w:val="4"/>
          <w:kern w:val="0"/>
          <w:sz w:val="24"/>
        </w:rPr>
        <w:t>六</w:t>
      </w:r>
      <w:r>
        <w:rPr>
          <w:b/>
          <w:bCs/>
          <w:snapToGrid w:val="0"/>
          <w:spacing w:val="4"/>
          <w:kern w:val="0"/>
          <w:sz w:val="24"/>
        </w:rPr>
        <w:t>条  监理工作时间的延长</w:t>
      </w:r>
    </w:p>
    <w:p w14:paraId="7E845313">
      <w:pPr>
        <w:topLinePunct/>
        <w:adjustRightInd w:val="0"/>
        <w:snapToGrid w:val="0"/>
        <w:spacing w:line="480" w:lineRule="exact"/>
        <w:ind w:firstLine="496" w:firstLineChars="200"/>
        <w:rPr>
          <w:snapToGrid w:val="0"/>
          <w:spacing w:val="4"/>
          <w:kern w:val="0"/>
          <w:sz w:val="24"/>
        </w:rPr>
      </w:pPr>
      <w:r>
        <w:rPr>
          <w:snapToGrid w:val="0"/>
          <w:spacing w:val="4"/>
          <w:kern w:val="0"/>
          <w:sz w:val="24"/>
        </w:rPr>
        <w:t>双方一致同意不适用本合同</w:t>
      </w:r>
      <w:r>
        <w:rPr>
          <w:snapToGrid w:val="0"/>
          <w:spacing w:val="4"/>
          <w:kern w:val="0"/>
          <w:sz w:val="24"/>
          <w:u w:val="wave"/>
        </w:rPr>
        <w:t>标准条件第三十一条</w:t>
      </w:r>
      <w:r>
        <w:rPr>
          <w:snapToGrid w:val="0"/>
          <w:spacing w:val="4"/>
          <w:kern w:val="0"/>
          <w:sz w:val="24"/>
        </w:rPr>
        <w:t>的约定。由于委托人或承包人的原因使监理工作受到阻碍或延误，则监理人应当将此情况与可能产生的影响及时通知委托人，完成监理业务的时间相应延长，监理人的酬金不变。</w:t>
      </w:r>
    </w:p>
    <w:p w14:paraId="7CA91E19">
      <w:pPr>
        <w:topLinePunct/>
        <w:adjustRightInd w:val="0"/>
        <w:snapToGrid w:val="0"/>
        <w:spacing w:line="480" w:lineRule="exact"/>
        <w:ind w:firstLine="498" w:firstLineChars="200"/>
        <w:outlineLvl w:val="1"/>
        <w:rPr>
          <w:snapToGrid w:val="0"/>
          <w:spacing w:val="4"/>
          <w:kern w:val="0"/>
          <w:sz w:val="24"/>
        </w:rPr>
      </w:pPr>
      <w:r>
        <w:rPr>
          <w:b/>
          <w:bCs/>
          <w:snapToGrid w:val="0"/>
          <w:spacing w:val="4"/>
          <w:kern w:val="0"/>
          <w:sz w:val="24"/>
        </w:rPr>
        <w:t>第十</w:t>
      </w:r>
      <w:r>
        <w:rPr>
          <w:rFonts w:hint="eastAsia"/>
          <w:b/>
          <w:bCs/>
          <w:snapToGrid w:val="0"/>
          <w:spacing w:val="4"/>
          <w:kern w:val="0"/>
          <w:sz w:val="24"/>
        </w:rPr>
        <w:t>七</w:t>
      </w:r>
      <w:r>
        <w:rPr>
          <w:b/>
          <w:bCs/>
          <w:snapToGrid w:val="0"/>
          <w:spacing w:val="4"/>
          <w:kern w:val="0"/>
          <w:sz w:val="24"/>
        </w:rPr>
        <w:t>条  监理人无法履约或部分履约</w:t>
      </w:r>
    </w:p>
    <w:p w14:paraId="1E8C140D">
      <w:pPr>
        <w:topLinePunct/>
        <w:adjustRightInd w:val="0"/>
        <w:snapToGrid w:val="0"/>
        <w:spacing w:line="480" w:lineRule="exact"/>
        <w:ind w:firstLine="496" w:firstLineChars="200"/>
        <w:rPr>
          <w:snapToGrid w:val="0"/>
          <w:spacing w:val="4"/>
          <w:kern w:val="0"/>
          <w:sz w:val="24"/>
        </w:rPr>
      </w:pPr>
      <w:r>
        <w:rPr>
          <w:snapToGrid w:val="0"/>
          <w:spacing w:val="4"/>
          <w:kern w:val="0"/>
          <w:sz w:val="24"/>
        </w:rPr>
        <w:t>双方一致同意不适用本合同</w:t>
      </w:r>
      <w:r>
        <w:rPr>
          <w:snapToGrid w:val="0"/>
          <w:spacing w:val="4"/>
          <w:kern w:val="0"/>
          <w:sz w:val="24"/>
          <w:u w:val="wave"/>
        </w:rPr>
        <w:t>标准条件第三十二条</w:t>
      </w:r>
      <w:r>
        <w:rPr>
          <w:snapToGrid w:val="0"/>
          <w:spacing w:val="4"/>
          <w:kern w:val="0"/>
          <w:sz w:val="24"/>
        </w:rPr>
        <w:t>的约定。在</w:t>
      </w:r>
      <w:r>
        <w:rPr>
          <w:rFonts w:hint="eastAsia"/>
          <w:snapToGrid w:val="0"/>
          <w:spacing w:val="4"/>
          <w:kern w:val="0"/>
          <w:sz w:val="24"/>
        </w:rPr>
        <w:t>发生不可抗力的事由时</w:t>
      </w:r>
      <w:r>
        <w:rPr>
          <w:snapToGrid w:val="0"/>
          <w:spacing w:val="4"/>
          <w:kern w:val="0"/>
          <w:sz w:val="24"/>
        </w:rPr>
        <w:t>，使得监理人不能全部或部分执行监理业务时，监理人应当立即通知委托人，该监理业务的完成时间应予延长。当恢复执行监理业务时，监理人应当立即恢复执行监理业务，监理人的酬金不变。</w:t>
      </w:r>
    </w:p>
    <w:p w14:paraId="6180F0D8">
      <w:pPr>
        <w:topLinePunct/>
        <w:adjustRightInd w:val="0"/>
        <w:snapToGrid w:val="0"/>
        <w:spacing w:line="480" w:lineRule="exact"/>
        <w:ind w:firstLine="498" w:firstLineChars="200"/>
        <w:outlineLvl w:val="1"/>
        <w:rPr>
          <w:snapToGrid w:val="0"/>
          <w:spacing w:val="4"/>
          <w:kern w:val="0"/>
          <w:sz w:val="24"/>
        </w:rPr>
      </w:pPr>
      <w:r>
        <w:rPr>
          <w:b/>
          <w:bCs/>
          <w:snapToGrid w:val="0"/>
          <w:spacing w:val="4"/>
          <w:kern w:val="0"/>
          <w:sz w:val="24"/>
        </w:rPr>
        <w:t>第十</w:t>
      </w:r>
      <w:r>
        <w:rPr>
          <w:rFonts w:hint="eastAsia"/>
          <w:b/>
          <w:bCs/>
          <w:snapToGrid w:val="0"/>
          <w:spacing w:val="4"/>
          <w:kern w:val="0"/>
          <w:sz w:val="24"/>
        </w:rPr>
        <w:t>八</w:t>
      </w:r>
      <w:r>
        <w:rPr>
          <w:b/>
          <w:bCs/>
          <w:snapToGrid w:val="0"/>
          <w:spacing w:val="4"/>
          <w:kern w:val="0"/>
          <w:sz w:val="24"/>
        </w:rPr>
        <w:t>条  工程保修期间的监理责任</w:t>
      </w:r>
    </w:p>
    <w:p w14:paraId="44ECC89E">
      <w:pPr>
        <w:topLinePunct/>
        <w:adjustRightInd w:val="0"/>
        <w:snapToGrid w:val="0"/>
        <w:spacing w:line="480" w:lineRule="exact"/>
        <w:ind w:firstLine="496" w:firstLineChars="200"/>
        <w:rPr>
          <w:snapToGrid w:val="0"/>
          <w:spacing w:val="4"/>
          <w:kern w:val="0"/>
          <w:sz w:val="24"/>
        </w:rPr>
      </w:pPr>
      <w:r>
        <w:rPr>
          <w:snapToGrid w:val="0"/>
          <w:spacing w:val="4"/>
          <w:kern w:val="0"/>
          <w:sz w:val="24"/>
        </w:rPr>
        <w:t>双方一致同意不适用本合同</w:t>
      </w:r>
      <w:r>
        <w:rPr>
          <w:snapToGrid w:val="0"/>
          <w:spacing w:val="4"/>
          <w:kern w:val="0"/>
          <w:sz w:val="24"/>
          <w:u w:val="wave"/>
        </w:rPr>
        <w:t>标准条件第三十三条</w:t>
      </w:r>
      <w:r>
        <w:rPr>
          <w:snapToGrid w:val="0"/>
          <w:spacing w:val="4"/>
          <w:kern w:val="0"/>
          <w:sz w:val="24"/>
        </w:rPr>
        <w:t>的约定。本合同的有效期一直至本合同工程收尾期间届满且竣工结算完成并同时双方的责任、义务履行完毕时才终止。本合同工程维护期间，监理人仍须承担监理责任。</w:t>
      </w:r>
    </w:p>
    <w:p w14:paraId="645FB3FE">
      <w:pPr>
        <w:topLinePunct/>
        <w:adjustRightInd w:val="0"/>
        <w:snapToGrid w:val="0"/>
        <w:spacing w:line="480" w:lineRule="exact"/>
        <w:ind w:firstLine="498" w:firstLineChars="200"/>
        <w:outlineLvl w:val="1"/>
        <w:rPr>
          <w:snapToGrid w:val="0"/>
          <w:spacing w:val="4"/>
          <w:kern w:val="0"/>
          <w:sz w:val="24"/>
        </w:rPr>
      </w:pPr>
      <w:r>
        <w:rPr>
          <w:b/>
          <w:bCs/>
          <w:snapToGrid w:val="0"/>
          <w:spacing w:val="4"/>
          <w:kern w:val="0"/>
          <w:sz w:val="24"/>
        </w:rPr>
        <w:t>第十</w:t>
      </w:r>
      <w:r>
        <w:rPr>
          <w:rFonts w:hint="eastAsia"/>
          <w:b/>
          <w:bCs/>
          <w:snapToGrid w:val="0"/>
          <w:spacing w:val="4"/>
          <w:kern w:val="0"/>
          <w:sz w:val="24"/>
        </w:rPr>
        <w:t>九</w:t>
      </w:r>
      <w:r>
        <w:rPr>
          <w:b/>
          <w:bCs/>
          <w:snapToGrid w:val="0"/>
          <w:spacing w:val="4"/>
          <w:kern w:val="0"/>
          <w:sz w:val="24"/>
        </w:rPr>
        <w:t>条  合同的解释及合同的修改</w:t>
      </w:r>
    </w:p>
    <w:p w14:paraId="69ACA8F7">
      <w:pPr>
        <w:topLinePunct/>
        <w:adjustRightInd w:val="0"/>
        <w:snapToGrid w:val="0"/>
        <w:spacing w:line="480" w:lineRule="exact"/>
        <w:ind w:firstLine="496" w:firstLineChars="200"/>
        <w:rPr>
          <w:snapToGrid w:val="0"/>
          <w:spacing w:val="4"/>
          <w:kern w:val="0"/>
          <w:sz w:val="24"/>
        </w:rPr>
      </w:pPr>
      <w:r>
        <w:rPr>
          <w:snapToGrid w:val="0"/>
          <w:spacing w:val="4"/>
          <w:kern w:val="0"/>
          <w:sz w:val="24"/>
        </w:rPr>
        <w:t>双方一致同意不适用本合同</w:t>
      </w:r>
      <w:r>
        <w:rPr>
          <w:snapToGrid w:val="0"/>
          <w:spacing w:val="4"/>
          <w:kern w:val="0"/>
          <w:sz w:val="24"/>
          <w:u w:val="wave"/>
        </w:rPr>
        <w:t>标准条件第三十四条</w:t>
      </w:r>
      <w:r>
        <w:rPr>
          <w:snapToGrid w:val="0"/>
          <w:spacing w:val="4"/>
          <w:kern w:val="0"/>
          <w:sz w:val="24"/>
        </w:rPr>
        <w:t>的约定。本合同未经双方协商一致，不得变更或解除。委托人根据本合同的约定单方面部分或全部解除本合同的，自委托人书面通知监理人时起部分或全部解除本合同即生效。</w:t>
      </w:r>
    </w:p>
    <w:p w14:paraId="081C7EA5">
      <w:pPr>
        <w:topLinePunct/>
        <w:adjustRightInd w:val="0"/>
        <w:snapToGrid w:val="0"/>
        <w:spacing w:line="480" w:lineRule="exact"/>
        <w:ind w:firstLine="496" w:firstLineChars="200"/>
        <w:rPr>
          <w:snapToGrid w:val="0"/>
          <w:spacing w:val="4"/>
          <w:kern w:val="0"/>
          <w:sz w:val="24"/>
        </w:rPr>
      </w:pPr>
      <w:r>
        <w:rPr>
          <w:snapToGrid w:val="0"/>
          <w:spacing w:val="4"/>
          <w:kern w:val="0"/>
          <w:sz w:val="24"/>
        </w:rPr>
        <w:t>本合同的修改（包括服务范围的修改），只能</w:t>
      </w:r>
      <w:r>
        <w:rPr>
          <w:rFonts w:hint="eastAsia"/>
          <w:snapToGrid w:val="0"/>
          <w:spacing w:val="4"/>
          <w:kern w:val="0"/>
          <w:sz w:val="24"/>
        </w:rPr>
        <w:t>经过双方同意并以书面</w:t>
      </w:r>
      <w:r>
        <w:rPr>
          <w:snapToGrid w:val="0"/>
          <w:spacing w:val="4"/>
          <w:kern w:val="0"/>
          <w:sz w:val="24"/>
        </w:rPr>
        <w:t>的方式进行。但由于建设项目施工过程的特殊性，委托人有调整局部服务范围的权利，即部分解除或部分增加服务范围。部分解除的，按减少部分的工程造价的监理计费原则按比例扣减监理酬金；部分增加的，如不超过原监理部分工程造价10%的，不增加监理酬金。</w:t>
      </w:r>
    </w:p>
    <w:p w14:paraId="301FB61A">
      <w:pPr>
        <w:topLinePunct/>
        <w:adjustRightInd w:val="0"/>
        <w:snapToGrid w:val="0"/>
        <w:spacing w:line="480" w:lineRule="exact"/>
        <w:ind w:firstLine="498" w:firstLineChars="200"/>
        <w:outlineLvl w:val="1"/>
        <w:rPr>
          <w:snapToGrid w:val="0"/>
          <w:spacing w:val="4"/>
          <w:kern w:val="0"/>
          <w:sz w:val="24"/>
        </w:rPr>
      </w:pPr>
      <w:r>
        <w:rPr>
          <w:b/>
          <w:bCs/>
          <w:snapToGrid w:val="0"/>
          <w:spacing w:val="4"/>
          <w:kern w:val="0"/>
          <w:sz w:val="24"/>
        </w:rPr>
        <w:t>第</w:t>
      </w:r>
      <w:r>
        <w:rPr>
          <w:rFonts w:hint="eastAsia"/>
          <w:b/>
          <w:bCs/>
          <w:snapToGrid w:val="0"/>
          <w:spacing w:val="4"/>
          <w:kern w:val="0"/>
          <w:sz w:val="24"/>
        </w:rPr>
        <w:t>二</w:t>
      </w:r>
      <w:r>
        <w:rPr>
          <w:b/>
          <w:bCs/>
          <w:snapToGrid w:val="0"/>
          <w:spacing w:val="4"/>
          <w:kern w:val="0"/>
          <w:sz w:val="24"/>
        </w:rPr>
        <w:t>十条  标准条件第三十五条不适用</w:t>
      </w:r>
    </w:p>
    <w:p w14:paraId="581A8DCB">
      <w:pPr>
        <w:topLinePunct/>
        <w:adjustRightInd w:val="0"/>
        <w:snapToGrid w:val="0"/>
        <w:spacing w:line="480" w:lineRule="exact"/>
        <w:ind w:firstLine="496" w:firstLineChars="200"/>
        <w:rPr>
          <w:snapToGrid w:val="0"/>
          <w:spacing w:val="4"/>
          <w:kern w:val="0"/>
          <w:sz w:val="24"/>
        </w:rPr>
      </w:pPr>
      <w:r>
        <w:rPr>
          <w:snapToGrid w:val="0"/>
          <w:spacing w:val="4"/>
          <w:kern w:val="0"/>
          <w:sz w:val="24"/>
        </w:rPr>
        <w:t>双方一致同意不适用本合同</w:t>
      </w:r>
      <w:r>
        <w:rPr>
          <w:snapToGrid w:val="0"/>
          <w:spacing w:val="4"/>
          <w:kern w:val="0"/>
          <w:sz w:val="24"/>
          <w:u w:val="wave"/>
        </w:rPr>
        <w:t>标准条件第三十五条</w:t>
      </w:r>
      <w:r>
        <w:rPr>
          <w:snapToGrid w:val="0"/>
          <w:spacing w:val="4"/>
          <w:kern w:val="0"/>
          <w:sz w:val="24"/>
        </w:rPr>
        <w:t>的约定。</w:t>
      </w:r>
    </w:p>
    <w:p w14:paraId="0FB24074">
      <w:pPr>
        <w:topLinePunct/>
        <w:adjustRightInd w:val="0"/>
        <w:snapToGrid w:val="0"/>
        <w:spacing w:line="480" w:lineRule="exact"/>
        <w:ind w:firstLine="498" w:firstLineChars="200"/>
        <w:outlineLvl w:val="1"/>
        <w:rPr>
          <w:snapToGrid w:val="0"/>
          <w:spacing w:val="4"/>
          <w:kern w:val="0"/>
          <w:sz w:val="24"/>
        </w:rPr>
      </w:pPr>
      <w:r>
        <w:rPr>
          <w:b/>
          <w:bCs/>
          <w:snapToGrid w:val="0"/>
          <w:spacing w:val="4"/>
          <w:kern w:val="0"/>
          <w:sz w:val="24"/>
        </w:rPr>
        <w:t>第</w:t>
      </w:r>
      <w:r>
        <w:rPr>
          <w:rFonts w:hint="eastAsia"/>
          <w:b/>
          <w:bCs/>
          <w:snapToGrid w:val="0"/>
          <w:spacing w:val="4"/>
          <w:kern w:val="0"/>
          <w:sz w:val="24"/>
        </w:rPr>
        <w:t>二</w:t>
      </w:r>
      <w:r>
        <w:rPr>
          <w:b/>
          <w:bCs/>
          <w:snapToGrid w:val="0"/>
          <w:spacing w:val="4"/>
          <w:kern w:val="0"/>
          <w:sz w:val="24"/>
        </w:rPr>
        <w:t>十</w:t>
      </w:r>
      <w:r>
        <w:rPr>
          <w:rFonts w:hint="eastAsia"/>
          <w:b/>
          <w:bCs/>
          <w:snapToGrid w:val="0"/>
          <w:spacing w:val="4"/>
          <w:kern w:val="0"/>
          <w:sz w:val="24"/>
        </w:rPr>
        <w:t>一</w:t>
      </w:r>
      <w:r>
        <w:rPr>
          <w:b/>
          <w:bCs/>
          <w:snapToGrid w:val="0"/>
          <w:spacing w:val="4"/>
          <w:kern w:val="0"/>
          <w:sz w:val="24"/>
        </w:rPr>
        <w:t>条  标准条件第三十六条不适用</w:t>
      </w:r>
    </w:p>
    <w:p w14:paraId="240461CF">
      <w:pPr>
        <w:topLinePunct/>
        <w:adjustRightInd w:val="0"/>
        <w:snapToGrid w:val="0"/>
        <w:spacing w:line="480" w:lineRule="exact"/>
        <w:ind w:firstLine="496" w:firstLineChars="200"/>
        <w:rPr>
          <w:snapToGrid w:val="0"/>
          <w:spacing w:val="4"/>
          <w:kern w:val="0"/>
          <w:sz w:val="24"/>
        </w:rPr>
      </w:pPr>
      <w:r>
        <w:rPr>
          <w:snapToGrid w:val="0"/>
          <w:spacing w:val="4"/>
          <w:kern w:val="0"/>
          <w:sz w:val="24"/>
        </w:rPr>
        <w:t>双方一致同意不适用本合同</w:t>
      </w:r>
      <w:r>
        <w:rPr>
          <w:snapToGrid w:val="0"/>
          <w:spacing w:val="4"/>
          <w:kern w:val="0"/>
          <w:sz w:val="24"/>
          <w:u w:val="wave"/>
        </w:rPr>
        <w:t>标准条件第三十六条</w:t>
      </w:r>
      <w:r>
        <w:rPr>
          <w:snapToGrid w:val="0"/>
          <w:spacing w:val="4"/>
          <w:kern w:val="0"/>
          <w:sz w:val="24"/>
        </w:rPr>
        <w:t>的约定。</w:t>
      </w:r>
    </w:p>
    <w:p w14:paraId="290D493A">
      <w:pPr>
        <w:topLinePunct/>
        <w:adjustRightInd w:val="0"/>
        <w:snapToGrid w:val="0"/>
        <w:spacing w:line="480" w:lineRule="exact"/>
        <w:ind w:firstLine="498" w:firstLineChars="200"/>
        <w:outlineLvl w:val="1"/>
        <w:rPr>
          <w:snapToGrid w:val="0"/>
          <w:spacing w:val="4"/>
          <w:kern w:val="0"/>
          <w:sz w:val="24"/>
        </w:rPr>
      </w:pPr>
      <w:r>
        <w:rPr>
          <w:b/>
          <w:bCs/>
          <w:snapToGrid w:val="0"/>
          <w:spacing w:val="4"/>
          <w:kern w:val="0"/>
          <w:sz w:val="24"/>
        </w:rPr>
        <w:t>第</w:t>
      </w:r>
      <w:r>
        <w:rPr>
          <w:rFonts w:hint="eastAsia"/>
          <w:b/>
          <w:bCs/>
          <w:snapToGrid w:val="0"/>
          <w:spacing w:val="4"/>
          <w:kern w:val="0"/>
          <w:sz w:val="24"/>
        </w:rPr>
        <w:t>二</w:t>
      </w:r>
      <w:r>
        <w:rPr>
          <w:b/>
          <w:bCs/>
          <w:snapToGrid w:val="0"/>
          <w:spacing w:val="4"/>
          <w:kern w:val="0"/>
          <w:sz w:val="24"/>
        </w:rPr>
        <w:t>十</w:t>
      </w:r>
      <w:r>
        <w:rPr>
          <w:rFonts w:hint="eastAsia"/>
          <w:b/>
          <w:bCs/>
          <w:snapToGrid w:val="0"/>
          <w:spacing w:val="4"/>
          <w:kern w:val="0"/>
          <w:sz w:val="24"/>
        </w:rPr>
        <w:t>二</w:t>
      </w:r>
      <w:r>
        <w:rPr>
          <w:b/>
          <w:bCs/>
          <w:snapToGrid w:val="0"/>
          <w:spacing w:val="4"/>
          <w:kern w:val="0"/>
          <w:sz w:val="24"/>
        </w:rPr>
        <w:t>条  监理人未履行监理义务的约定</w:t>
      </w:r>
    </w:p>
    <w:p w14:paraId="4F2AACA3">
      <w:pPr>
        <w:topLinePunct/>
        <w:adjustRightInd w:val="0"/>
        <w:snapToGrid w:val="0"/>
        <w:spacing w:line="480" w:lineRule="exact"/>
        <w:ind w:firstLine="496" w:firstLineChars="200"/>
        <w:rPr>
          <w:snapToGrid w:val="0"/>
          <w:spacing w:val="4"/>
          <w:kern w:val="0"/>
          <w:sz w:val="24"/>
        </w:rPr>
      </w:pPr>
      <w:r>
        <w:rPr>
          <w:snapToGrid w:val="0"/>
          <w:spacing w:val="4"/>
          <w:kern w:val="0"/>
          <w:sz w:val="24"/>
        </w:rPr>
        <w:t>双方一致同意不适用本合同</w:t>
      </w:r>
      <w:r>
        <w:rPr>
          <w:snapToGrid w:val="0"/>
          <w:spacing w:val="4"/>
          <w:kern w:val="0"/>
          <w:sz w:val="24"/>
          <w:u w:val="wave"/>
        </w:rPr>
        <w:t>标准条件第三十七条</w:t>
      </w:r>
      <w:r>
        <w:rPr>
          <w:snapToGrid w:val="0"/>
          <w:spacing w:val="4"/>
          <w:kern w:val="0"/>
          <w:sz w:val="24"/>
        </w:rPr>
        <w:t>的约定。当委托人认为监理人无正当理由而又未履行监理义务时，按本合同</w:t>
      </w:r>
      <w:r>
        <w:rPr>
          <w:snapToGrid w:val="0"/>
          <w:spacing w:val="4"/>
          <w:kern w:val="0"/>
          <w:sz w:val="24"/>
          <w:u w:val="wave"/>
        </w:rPr>
        <w:t>专用条件</w:t>
      </w:r>
      <w:r>
        <w:rPr>
          <w:rFonts w:hint="eastAsia"/>
          <w:snapToGrid w:val="0"/>
          <w:spacing w:val="4"/>
          <w:kern w:val="0"/>
          <w:sz w:val="24"/>
          <w:u w:val="wave"/>
        </w:rPr>
        <w:t>第十三</w:t>
      </w:r>
      <w:r>
        <w:rPr>
          <w:snapToGrid w:val="0"/>
          <w:spacing w:val="4"/>
          <w:kern w:val="0"/>
          <w:sz w:val="24"/>
          <w:u w:val="wave"/>
        </w:rPr>
        <w:t>条</w:t>
      </w:r>
      <w:r>
        <w:rPr>
          <w:snapToGrid w:val="0"/>
          <w:spacing w:val="4"/>
          <w:kern w:val="0"/>
          <w:sz w:val="24"/>
        </w:rPr>
        <w:t>的约定处理。</w:t>
      </w:r>
    </w:p>
    <w:p w14:paraId="7172EBF0">
      <w:pPr>
        <w:topLinePunct/>
        <w:adjustRightInd w:val="0"/>
        <w:snapToGrid w:val="0"/>
        <w:spacing w:line="480" w:lineRule="exact"/>
        <w:ind w:firstLine="498" w:firstLineChars="200"/>
        <w:outlineLvl w:val="1"/>
        <w:rPr>
          <w:snapToGrid w:val="0"/>
          <w:spacing w:val="4"/>
          <w:kern w:val="0"/>
          <w:sz w:val="24"/>
        </w:rPr>
      </w:pPr>
      <w:r>
        <w:rPr>
          <w:b/>
          <w:bCs/>
          <w:snapToGrid w:val="0"/>
          <w:spacing w:val="4"/>
          <w:kern w:val="0"/>
          <w:sz w:val="24"/>
        </w:rPr>
        <w:t>第</w:t>
      </w:r>
      <w:r>
        <w:rPr>
          <w:rFonts w:hint="eastAsia"/>
          <w:b/>
          <w:bCs/>
          <w:snapToGrid w:val="0"/>
          <w:spacing w:val="4"/>
          <w:kern w:val="0"/>
          <w:sz w:val="24"/>
        </w:rPr>
        <w:t>二</w:t>
      </w:r>
      <w:r>
        <w:rPr>
          <w:b/>
          <w:bCs/>
          <w:snapToGrid w:val="0"/>
          <w:spacing w:val="4"/>
          <w:kern w:val="0"/>
          <w:sz w:val="24"/>
        </w:rPr>
        <w:t>十</w:t>
      </w:r>
      <w:r>
        <w:rPr>
          <w:rFonts w:hint="eastAsia"/>
          <w:b/>
          <w:bCs/>
          <w:snapToGrid w:val="0"/>
          <w:spacing w:val="4"/>
          <w:kern w:val="0"/>
          <w:sz w:val="24"/>
        </w:rPr>
        <w:t>三</w:t>
      </w:r>
      <w:r>
        <w:rPr>
          <w:b/>
          <w:bCs/>
          <w:snapToGrid w:val="0"/>
          <w:spacing w:val="4"/>
          <w:kern w:val="0"/>
          <w:sz w:val="24"/>
        </w:rPr>
        <w:t>条  监理酬金的计算方法、支付时间与金额的约定</w:t>
      </w:r>
    </w:p>
    <w:p w14:paraId="69546AD7">
      <w:pPr>
        <w:topLinePunct/>
        <w:adjustRightInd w:val="0"/>
        <w:snapToGrid w:val="0"/>
        <w:spacing w:line="480" w:lineRule="exact"/>
        <w:ind w:firstLine="496" w:firstLineChars="200"/>
        <w:rPr>
          <w:b/>
          <w:bCs/>
          <w:snapToGrid w:val="0"/>
          <w:spacing w:val="4"/>
          <w:kern w:val="0"/>
          <w:sz w:val="24"/>
        </w:rPr>
      </w:pPr>
      <w:r>
        <w:rPr>
          <w:bCs/>
          <w:snapToGrid w:val="0"/>
          <w:spacing w:val="4"/>
          <w:kern w:val="0"/>
          <w:sz w:val="24"/>
        </w:rPr>
        <w:t>双方一致同意不适用本合同</w:t>
      </w:r>
      <w:r>
        <w:rPr>
          <w:bCs/>
          <w:snapToGrid w:val="0"/>
          <w:spacing w:val="4"/>
          <w:kern w:val="0"/>
          <w:sz w:val="24"/>
          <w:u w:val="wave"/>
        </w:rPr>
        <w:t>标准条件第三十九条</w:t>
      </w:r>
      <w:r>
        <w:rPr>
          <w:bCs/>
          <w:snapToGrid w:val="0"/>
          <w:spacing w:val="4"/>
          <w:kern w:val="0"/>
          <w:sz w:val="24"/>
        </w:rPr>
        <w:t>的约定。监理酬金的计算方法、支付时间与金额按委托监理</w:t>
      </w:r>
      <w:r>
        <w:rPr>
          <w:bCs/>
          <w:snapToGrid w:val="0"/>
          <w:spacing w:val="4"/>
          <w:kern w:val="0"/>
          <w:sz w:val="24"/>
          <w:u w:val="wave"/>
        </w:rPr>
        <w:t>协议书第三条</w:t>
      </w:r>
      <w:r>
        <w:rPr>
          <w:bCs/>
          <w:snapToGrid w:val="0"/>
          <w:spacing w:val="4"/>
          <w:kern w:val="0"/>
          <w:sz w:val="24"/>
        </w:rPr>
        <w:t>的约定执行。</w:t>
      </w:r>
    </w:p>
    <w:p w14:paraId="3B674389">
      <w:pPr>
        <w:topLinePunct/>
        <w:adjustRightInd w:val="0"/>
        <w:snapToGrid w:val="0"/>
        <w:spacing w:line="480" w:lineRule="exact"/>
        <w:ind w:firstLine="498" w:firstLineChars="200"/>
        <w:rPr>
          <w:bCs/>
          <w:snapToGrid w:val="0"/>
          <w:spacing w:val="4"/>
          <w:kern w:val="0"/>
          <w:sz w:val="24"/>
        </w:rPr>
      </w:pPr>
      <w:r>
        <w:rPr>
          <w:b/>
          <w:bCs/>
          <w:snapToGrid w:val="0"/>
          <w:spacing w:val="4"/>
          <w:kern w:val="0"/>
          <w:sz w:val="24"/>
        </w:rPr>
        <w:t>第</w:t>
      </w:r>
      <w:r>
        <w:rPr>
          <w:rFonts w:hint="eastAsia"/>
          <w:b/>
          <w:bCs/>
          <w:snapToGrid w:val="0"/>
          <w:spacing w:val="4"/>
          <w:kern w:val="0"/>
          <w:sz w:val="24"/>
        </w:rPr>
        <w:t>二十</w:t>
      </w:r>
      <w:r>
        <w:rPr>
          <w:b/>
          <w:bCs/>
          <w:snapToGrid w:val="0"/>
          <w:spacing w:val="4"/>
          <w:kern w:val="0"/>
          <w:sz w:val="24"/>
        </w:rPr>
        <w:t>四条  滞纳金的约定</w:t>
      </w:r>
    </w:p>
    <w:p w14:paraId="36A9C5F2">
      <w:pPr>
        <w:topLinePunct/>
        <w:adjustRightInd w:val="0"/>
        <w:snapToGrid w:val="0"/>
        <w:spacing w:line="480" w:lineRule="exact"/>
        <w:ind w:firstLine="496" w:firstLineChars="200"/>
        <w:rPr>
          <w:b/>
          <w:bCs/>
          <w:snapToGrid w:val="0"/>
          <w:kern w:val="0"/>
          <w:sz w:val="24"/>
        </w:rPr>
      </w:pPr>
      <w:r>
        <w:rPr>
          <w:bCs/>
          <w:snapToGrid w:val="0"/>
          <w:spacing w:val="4"/>
          <w:kern w:val="0"/>
          <w:sz w:val="24"/>
        </w:rPr>
        <w:t>双方一致同意不适用本合同</w:t>
      </w:r>
      <w:r>
        <w:rPr>
          <w:bCs/>
          <w:snapToGrid w:val="0"/>
          <w:spacing w:val="4"/>
          <w:kern w:val="0"/>
          <w:sz w:val="24"/>
          <w:u w:val="wave"/>
        </w:rPr>
        <w:t>标准条件第四十条</w:t>
      </w:r>
      <w:r>
        <w:rPr>
          <w:bCs/>
          <w:snapToGrid w:val="0"/>
          <w:spacing w:val="4"/>
          <w:kern w:val="0"/>
          <w:sz w:val="24"/>
        </w:rPr>
        <w:t>的约定。当委托人未在约定的支付期限内支付监理酬金时，按本合同专用条件</w:t>
      </w:r>
      <w:r>
        <w:rPr>
          <w:rFonts w:hint="eastAsia"/>
          <w:bCs/>
          <w:snapToGrid w:val="0"/>
          <w:spacing w:val="4"/>
          <w:kern w:val="0"/>
          <w:sz w:val="24"/>
        </w:rPr>
        <w:t>第十五条</w:t>
      </w:r>
      <w:r>
        <w:rPr>
          <w:bCs/>
          <w:snapToGrid w:val="0"/>
          <w:spacing w:val="4"/>
          <w:kern w:val="0"/>
          <w:sz w:val="24"/>
        </w:rPr>
        <w:t>的约定处理。</w:t>
      </w:r>
    </w:p>
    <w:p w14:paraId="5B843AB4">
      <w:pPr>
        <w:topLinePunct/>
        <w:adjustRightInd w:val="0"/>
        <w:snapToGrid w:val="0"/>
        <w:spacing w:line="480" w:lineRule="exact"/>
        <w:ind w:firstLine="498" w:firstLineChars="200"/>
        <w:outlineLvl w:val="1"/>
        <w:rPr>
          <w:snapToGrid w:val="0"/>
          <w:spacing w:val="4"/>
          <w:kern w:val="0"/>
          <w:sz w:val="24"/>
        </w:rPr>
      </w:pPr>
      <w:r>
        <w:rPr>
          <w:b/>
          <w:bCs/>
          <w:snapToGrid w:val="0"/>
          <w:spacing w:val="4"/>
          <w:kern w:val="0"/>
          <w:sz w:val="24"/>
        </w:rPr>
        <w:t>第</w:t>
      </w:r>
      <w:r>
        <w:rPr>
          <w:rFonts w:hint="eastAsia"/>
          <w:b/>
          <w:bCs/>
          <w:snapToGrid w:val="0"/>
          <w:spacing w:val="4"/>
          <w:kern w:val="0"/>
          <w:sz w:val="24"/>
        </w:rPr>
        <w:t>二</w:t>
      </w:r>
      <w:r>
        <w:rPr>
          <w:b/>
          <w:bCs/>
          <w:snapToGrid w:val="0"/>
          <w:spacing w:val="4"/>
          <w:kern w:val="0"/>
          <w:sz w:val="24"/>
        </w:rPr>
        <w:t>十</w:t>
      </w:r>
      <w:r>
        <w:rPr>
          <w:rFonts w:hint="eastAsia"/>
          <w:b/>
          <w:bCs/>
          <w:snapToGrid w:val="0"/>
          <w:spacing w:val="4"/>
          <w:kern w:val="0"/>
          <w:sz w:val="24"/>
        </w:rPr>
        <w:t>五</w:t>
      </w:r>
      <w:r>
        <w:rPr>
          <w:b/>
          <w:bCs/>
          <w:snapToGrid w:val="0"/>
          <w:spacing w:val="4"/>
          <w:kern w:val="0"/>
          <w:sz w:val="24"/>
        </w:rPr>
        <w:t>条  合同款项支付的币种</w:t>
      </w:r>
    </w:p>
    <w:p w14:paraId="6079F27B">
      <w:pPr>
        <w:topLinePunct/>
        <w:adjustRightInd w:val="0"/>
        <w:snapToGrid w:val="0"/>
        <w:spacing w:line="480" w:lineRule="exact"/>
        <w:ind w:firstLine="464" w:firstLineChars="200"/>
        <w:rPr>
          <w:b/>
          <w:bCs/>
          <w:snapToGrid w:val="0"/>
          <w:spacing w:val="4"/>
          <w:kern w:val="0"/>
          <w:sz w:val="24"/>
        </w:rPr>
      </w:pPr>
      <w:r>
        <w:rPr>
          <w:bCs/>
          <w:snapToGrid w:val="0"/>
          <w:spacing w:val="-4"/>
          <w:kern w:val="0"/>
          <w:sz w:val="24"/>
        </w:rPr>
        <w:t>委托人与监理人双方同意用人民币支付本合同涉及的相关款项。</w:t>
      </w:r>
    </w:p>
    <w:p w14:paraId="6EC0F3ED">
      <w:pPr>
        <w:topLinePunct/>
        <w:adjustRightInd w:val="0"/>
        <w:snapToGrid w:val="0"/>
        <w:spacing w:line="480" w:lineRule="exact"/>
        <w:ind w:firstLine="498" w:firstLineChars="200"/>
        <w:outlineLvl w:val="1"/>
        <w:rPr>
          <w:snapToGrid w:val="0"/>
          <w:spacing w:val="4"/>
          <w:kern w:val="0"/>
          <w:sz w:val="24"/>
        </w:rPr>
      </w:pPr>
      <w:r>
        <w:rPr>
          <w:b/>
          <w:snapToGrid w:val="0"/>
          <w:spacing w:val="4"/>
          <w:kern w:val="0"/>
          <w:sz w:val="24"/>
        </w:rPr>
        <w:t>第</w:t>
      </w:r>
      <w:r>
        <w:rPr>
          <w:rFonts w:hint="eastAsia"/>
          <w:b/>
          <w:snapToGrid w:val="0"/>
          <w:spacing w:val="4"/>
          <w:kern w:val="0"/>
          <w:sz w:val="24"/>
        </w:rPr>
        <w:t>二十六</w:t>
      </w:r>
      <w:r>
        <w:rPr>
          <w:b/>
          <w:snapToGrid w:val="0"/>
          <w:spacing w:val="4"/>
          <w:kern w:val="0"/>
          <w:sz w:val="24"/>
        </w:rPr>
        <w:t>条  付款相关票据</w:t>
      </w:r>
    </w:p>
    <w:p w14:paraId="247BBBC4">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双方一致同意不适用本合同标准条件第四十二条的约定</w:t>
      </w:r>
      <w:r>
        <w:rPr>
          <w:snapToGrid w:val="0"/>
          <w:spacing w:val="4"/>
          <w:kern w:val="0"/>
          <w:sz w:val="24"/>
        </w:rPr>
        <w:t>，涉及本合同价款支付、发票开具等事项</w:t>
      </w:r>
      <w:r>
        <w:rPr>
          <w:rFonts w:hint="eastAsia"/>
          <w:snapToGrid w:val="0"/>
          <w:spacing w:val="4"/>
          <w:kern w:val="0"/>
          <w:sz w:val="24"/>
        </w:rPr>
        <w:t>按合同及委托人要求。如有特殊事项，可</w:t>
      </w:r>
      <w:r>
        <w:rPr>
          <w:snapToGrid w:val="0"/>
          <w:spacing w:val="4"/>
          <w:kern w:val="0"/>
          <w:sz w:val="24"/>
        </w:rPr>
        <w:t>另行签订补充</w:t>
      </w:r>
      <w:r>
        <w:rPr>
          <w:rFonts w:hint="eastAsia"/>
          <w:snapToGrid w:val="0"/>
          <w:spacing w:val="4"/>
          <w:kern w:val="0"/>
          <w:sz w:val="24"/>
        </w:rPr>
        <w:t>协议</w:t>
      </w:r>
      <w:r>
        <w:rPr>
          <w:snapToGrid w:val="0"/>
          <w:spacing w:val="4"/>
          <w:kern w:val="0"/>
          <w:sz w:val="24"/>
        </w:rPr>
        <w:t>予以约定</w:t>
      </w:r>
      <w:r>
        <w:rPr>
          <w:bCs/>
          <w:snapToGrid w:val="0"/>
          <w:spacing w:val="4"/>
          <w:kern w:val="0"/>
          <w:sz w:val="24"/>
        </w:rPr>
        <w:t>。</w:t>
      </w:r>
    </w:p>
    <w:p w14:paraId="00201D54">
      <w:pPr>
        <w:topLinePunct/>
        <w:adjustRightInd w:val="0"/>
        <w:snapToGrid w:val="0"/>
        <w:spacing w:line="480" w:lineRule="exact"/>
        <w:ind w:firstLine="498" w:firstLineChars="200"/>
        <w:outlineLvl w:val="1"/>
        <w:rPr>
          <w:snapToGrid w:val="0"/>
          <w:spacing w:val="4"/>
          <w:kern w:val="0"/>
          <w:sz w:val="24"/>
        </w:rPr>
      </w:pPr>
      <w:r>
        <w:rPr>
          <w:b/>
          <w:bCs/>
          <w:smallCaps/>
          <w:snapToGrid w:val="0"/>
          <w:spacing w:val="4"/>
          <w:kern w:val="0"/>
          <w:sz w:val="24"/>
        </w:rPr>
        <w:t>第</w:t>
      </w:r>
      <w:r>
        <w:rPr>
          <w:rFonts w:hint="eastAsia"/>
          <w:b/>
          <w:bCs/>
          <w:smallCaps/>
          <w:snapToGrid w:val="0"/>
          <w:spacing w:val="4"/>
          <w:kern w:val="0"/>
          <w:sz w:val="24"/>
        </w:rPr>
        <w:t>二十七</w:t>
      </w:r>
      <w:r>
        <w:rPr>
          <w:b/>
          <w:bCs/>
          <w:smallCaps/>
          <w:snapToGrid w:val="0"/>
          <w:spacing w:val="4"/>
          <w:kern w:val="0"/>
          <w:sz w:val="24"/>
        </w:rPr>
        <w:t>条  监理人员外出考察、监造等的费用</w:t>
      </w:r>
    </w:p>
    <w:p w14:paraId="648AACDA">
      <w:pPr>
        <w:topLinePunct/>
        <w:adjustRightInd w:val="0"/>
        <w:snapToGrid w:val="0"/>
        <w:spacing w:line="480" w:lineRule="exact"/>
        <w:ind w:firstLine="496" w:firstLineChars="200"/>
        <w:rPr>
          <w:snapToGrid w:val="0"/>
          <w:spacing w:val="4"/>
          <w:kern w:val="0"/>
          <w:sz w:val="24"/>
        </w:rPr>
      </w:pPr>
      <w:r>
        <w:rPr>
          <w:snapToGrid w:val="0"/>
          <w:spacing w:val="4"/>
          <w:kern w:val="0"/>
          <w:sz w:val="24"/>
        </w:rPr>
        <w:t>双方一致同意不适用本合同</w:t>
      </w:r>
      <w:r>
        <w:rPr>
          <w:snapToGrid w:val="0"/>
          <w:spacing w:val="4"/>
          <w:kern w:val="0"/>
          <w:sz w:val="24"/>
          <w:u w:val="wave"/>
        </w:rPr>
        <w:t>标准条件第四十三条</w:t>
      </w:r>
      <w:r>
        <w:rPr>
          <w:snapToGrid w:val="0"/>
          <w:spacing w:val="4"/>
          <w:kern w:val="0"/>
          <w:sz w:val="24"/>
        </w:rPr>
        <w:t>的约定。委托的建设工程监理所必要的监理人员出外考察、材料设备复试、设备监造，其费用支出由监理人负责解决。</w:t>
      </w:r>
    </w:p>
    <w:p w14:paraId="373E9762">
      <w:pPr>
        <w:topLinePunct/>
        <w:adjustRightInd w:val="0"/>
        <w:snapToGrid w:val="0"/>
        <w:spacing w:line="480" w:lineRule="exact"/>
        <w:ind w:firstLine="498" w:firstLineChars="200"/>
        <w:outlineLvl w:val="1"/>
        <w:rPr>
          <w:snapToGrid w:val="0"/>
          <w:spacing w:val="4"/>
          <w:kern w:val="0"/>
          <w:sz w:val="24"/>
        </w:rPr>
      </w:pPr>
      <w:r>
        <w:rPr>
          <w:b/>
          <w:bCs/>
          <w:smallCaps/>
          <w:snapToGrid w:val="0"/>
          <w:spacing w:val="4"/>
          <w:kern w:val="0"/>
          <w:sz w:val="24"/>
        </w:rPr>
        <w:t>第</w:t>
      </w:r>
      <w:r>
        <w:rPr>
          <w:rFonts w:hint="eastAsia"/>
          <w:b/>
          <w:bCs/>
          <w:smallCaps/>
          <w:snapToGrid w:val="0"/>
          <w:spacing w:val="4"/>
          <w:kern w:val="0"/>
          <w:sz w:val="24"/>
        </w:rPr>
        <w:t>二十八</w:t>
      </w:r>
      <w:r>
        <w:rPr>
          <w:b/>
          <w:bCs/>
          <w:smallCaps/>
          <w:snapToGrid w:val="0"/>
          <w:spacing w:val="4"/>
          <w:kern w:val="0"/>
          <w:sz w:val="24"/>
        </w:rPr>
        <w:t>条  监理范围、监理内容调整的约定</w:t>
      </w:r>
    </w:p>
    <w:p w14:paraId="1FED5FCA">
      <w:pPr>
        <w:topLinePunct/>
        <w:adjustRightInd w:val="0"/>
        <w:snapToGrid w:val="0"/>
        <w:spacing w:line="480" w:lineRule="exact"/>
        <w:ind w:firstLine="496" w:firstLineChars="200"/>
        <w:rPr>
          <w:snapToGrid w:val="0"/>
          <w:spacing w:val="4"/>
          <w:kern w:val="0"/>
          <w:sz w:val="24"/>
        </w:rPr>
      </w:pPr>
      <w:r>
        <w:rPr>
          <w:snapToGrid w:val="0"/>
          <w:spacing w:val="4"/>
          <w:kern w:val="0"/>
          <w:sz w:val="24"/>
        </w:rPr>
        <w:t>为了使建设项目施工监理工作更合理、有序地进行，委托人有权</w:t>
      </w:r>
      <w:r>
        <w:rPr>
          <w:bCs/>
          <w:snapToGrid w:val="0"/>
          <w:spacing w:val="4"/>
          <w:kern w:val="0"/>
          <w:sz w:val="24"/>
        </w:rPr>
        <w:t>对本合同约定的监理范围、监理内容作适当的调整，特别是对本合同监理范围内专业性较强的、有特殊要求的施工内容，委托人将视监理人能力、水平等实际情况，保留另行选择专业技术管理服务队伍的权利，但不因此免除本合同监理人应有的义务和责任。</w:t>
      </w:r>
      <w:r>
        <w:rPr>
          <w:snapToGrid w:val="0"/>
          <w:spacing w:val="4"/>
          <w:kern w:val="0"/>
          <w:sz w:val="24"/>
        </w:rPr>
        <w:t>监理人必须不折不扣地按照《建设工程监理规范》（GB/T 50319-2013）的规定</w:t>
      </w:r>
      <w:r>
        <w:rPr>
          <w:bCs/>
          <w:snapToGrid w:val="0"/>
          <w:spacing w:val="4"/>
          <w:kern w:val="0"/>
          <w:sz w:val="24"/>
        </w:rPr>
        <w:t>对本合同工程实施全过程监理，不因委托人另行委托了</w:t>
      </w:r>
      <w:r>
        <w:rPr>
          <w:snapToGrid w:val="0"/>
          <w:spacing w:val="4"/>
          <w:kern w:val="0"/>
          <w:sz w:val="24"/>
        </w:rPr>
        <w:t>技术督导等技术管理服务单位而减轻或免除监理人的任何责任及义务，并由其负责技术督导等技术管理服务单位的协调管理工作。</w:t>
      </w:r>
    </w:p>
    <w:p w14:paraId="0FC575C8">
      <w:pPr>
        <w:topLinePunct/>
        <w:adjustRightInd w:val="0"/>
        <w:snapToGrid w:val="0"/>
        <w:spacing w:line="480" w:lineRule="exact"/>
        <w:ind w:firstLine="498" w:firstLineChars="200"/>
        <w:outlineLvl w:val="1"/>
        <w:rPr>
          <w:snapToGrid w:val="0"/>
          <w:spacing w:val="4"/>
          <w:kern w:val="0"/>
          <w:sz w:val="24"/>
        </w:rPr>
      </w:pPr>
      <w:r>
        <w:rPr>
          <w:b/>
          <w:bCs/>
          <w:smallCaps/>
          <w:snapToGrid w:val="0"/>
          <w:spacing w:val="4"/>
          <w:kern w:val="0"/>
          <w:sz w:val="24"/>
        </w:rPr>
        <w:t>第</w:t>
      </w:r>
      <w:r>
        <w:rPr>
          <w:rFonts w:hint="eastAsia"/>
          <w:b/>
          <w:bCs/>
          <w:smallCaps/>
          <w:snapToGrid w:val="0"/>
          <w:spacing w:val="4"/>
          <w:kern w:val="0"/>
          <w:sz w:val="24"/>
        </w:rPr>
        <w:t>二</w:t>
      </w:r>
      <w:r>
        <w:rPr>
          <w:b/>
          <w:bCs/>
          <w:smallCaps/>
          <w:snapToGrid w:val="0"/>
          <w:spacing w:val="4"/>
          <w:kern w:val="0"/>
          <w:sz w:val="24"/>
        </w:rPr>
        <w:t>十九条  争议的解决方式</w:t>
      </w:r>
    </w:p>
    <w:p w14:paraId="11A063F0">
      <w:pPr>
        <w:topLinePunct/>
        <w:adjustRightInd w:val="0"/>
        <w:snapToGrid w:val="0"/>
        <w:spacing w:line="480" w:lineRule="exact"/>
        <w:ind w:firstLine="496" w:firstLineChars="200"/>
        <w:rPr>
          <w:bCs/>
          <w:smallCaps/>
          <w:snapToGrid w:val="0"/>
          <w:spacing w:val="4"/>
          <w:kern w:val="0"/>
          <w:sz w:val="24"/>
        </w:rPr>
      </w:pPr>
      <w:r>
        <w:rPr>
          <w:bCs/>
          <w:smallCaps/>
          <w:snapToGrid w:val="0"/>
          <w:spacing w:val="4"/>
          <w:kern w:val="0"/>
          <w:sz w:val="24"/>
        </w:rPr>
        <w:t>因履行本合同发生或与本合同有关的争议，双方当事人应友好协商解决。如在一周内未能解决，委托人可先行单方面作出处理决定，任何一方均可向委托人住所地人民法院提起诉讼，但诉讼不影响委托人同其他监理单位另行签订监理合同。</w:t>
      </w:r>
    </w:p>
    <w:p w14:paraId="2F328E48">
      <w:pPr>
        <w:topLinePunct/>
        <w:adjustRightInd w:val="0"/>
        <w:snapToGrid w:val="0"/>
        <w:spacing w:line="480" w:lineRule="exact"/>
        <w:jc w:val="center"/>
        <w:outlineLvl w:val="0"/>
        <w:rPr>
          <w:rFonts w:eastAsia="黑体"/>
          <w:b/>
          <w:snapToGrid w:val="0"/>
          <w:spacing w:val="4"/>
          <w:kern w:val="0"/>
          <w:sz w:val="30"/>
          <w:szCs w:val="30"/>
        </w:rPr>
      </w:pPr>
      <w:r>
        <w:rPr>
          <w:rFonts w:eastAsia="黑体"/>
          <w:b/>
          <w:snapToGrid w:val="0"/>
          <w:spacing w:val="4"/>
          <w:kern w:val="0"/>
          <w:sz w:val="44"/>
          <w:szCs w:val="44"/>
        </w:rPr>
        <w:br w:type="page"/>
      </w:r>
      <w:bookmarkStart w:id="573" w:name="_Toc191697647"/>
      <w:bookmarkStart w:id="574" w:name="_Toc313869534"/>
      <w:r>
        <w:rPr>
          <w:rFonts w:eastAsia="黑体"/>
          <w:b/>
          <w:snapToGrid w:val="0"/>
          <w:spacing w:val="4"/>
          <w:kern w:val="0"/>
          <w:sz w:val="30"/>
          <w:szCs w:val="30"/>
        </w:rPr>
        <w:t>第三篇  标准条件</w:t>
      </w:r>
      <w:bookmarkEnd w:id="573"/>
      <w:bookmarkEnd w:id="574"/>
    </w:p>
    <w:p w14:paraId="69663A84">
      <w:pPr>
        <w:topLinePunct/>
        <w:adjustRightInd w:val="0"/>
        <w:snapToGrid w:val="0"/>
        <w:spacing w:line="360" w:lineRule="auto"/>
        <w:ind w:firstLine="496" w:firstLineChars="200"/>
        <w:rPr>
          <w:snapToGrid w:val="0"/>
          <w:spacing w:val="4"/>
          <w:kern w:val="0"/>
          <w:sz w:val="24"/>
        </w:rPr>
      </w:pPr>
    </w:p>
    <w:p w14:paraId="6E60897E">
      <w:pPr>
        <w:topLinePunct/>
        <w:adjustRightInd w:val="0"/>
        <w:snapToGrid w:val="0"/>
        <w:spacing w:line="360" w:lineRule="auto"/>
        <w:ind w:firstLine="578" w:firstLineChars="200"/>
        <w:rPr>
          <w:snapToGrid w:val="0"/>
          <w:spacing w:val="4"/>
          <w:kern w:val="0"/>
          <w:sz w:val="28"/>
          <w:szCs w:val="28"/>
        </w:rPr>
      </w:pPr>
      <w:r>
        <w:rPr>
          <w:b/>
          <w:bCs/>
          <w:snapToGrid w:val="0"/>
          <w:spacing w:val="4"/>
          <w:kern w:val="0"/>
          <w:sz w:val="28"/>
          <w:szCs w:val="28"/>
        </w:rPr>
        <w:t>词语定义、适用范围和法规</w:t>
      </w:r>
    </w:p>
    <w:p w14:paraId="1998E389">
      <w:pPr>
        <w:topLinePunct/>
        <w:adjustRightInd w:val="0"/>
        <w:snapToGrid w:val="0"/>
        <w:spacing w:line="360" w:lineRule="auto"/>
        <w:ind w:firstLine="498" w:firstLineChars="200"/>
        <w:outlineLvl w:val="1"/>
        <w:rPr>
          <w:rFonts w:ascii="宋体" w:hAnsi="宋体" w:cs="宋体"/>
          <w:snapToGrid w:val="0"/>
          <w:spacing w:val="4"/>
          <w:kern w:val="0"/>
          <w:sz w:val="24"/>
        </w:rPr>
      </w:pPr>
      <w:r>
        <w:rPr>
          <w:rFonts w:hint="eastAsia" w:ascii="宋体" w:hAnsi="宋体" w:cs="宋体"/>
          <w:b/>
          <w:bCs/>
          <w:snapToGrid w:val="0"/>
          <w:spacing w:val="4"/>
          <w:kern w:val="0"/>
          <w:sz w:val="24"/>
        </w:rPr>
        <w:t>第一条</w:t>
      </w:r>
      <w:r>
        <w:rPr>
          <w:rFonts w:hint="eastAsia" w:ascii="宋体" w:hAnsi="宋体" w:cs="宋体"/>
          <w:snapToGrid w:val="0"/>
          <w:spacing w:val="4"/>
          <w:kern w:val="0"/>
          <w:sz w:val="24"/>
        </w:rPr>
        <w:t>　下列名词和用语，除上下文另有规定外，有如下含义：</w:t>
      </w:r>
    </w:p>
    <w:p w14:paraId="6303A7B0">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（1）“工程”是指委托人委托实施监理的工程。</w:t>
      </w:r>
    </w:p>
    <w:p w14:paraId="7751CF85">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（2）“委托人”是指承担直接投资责任和委托监理业务的一方以及其合法继承人。</w:t>
      </w:r>
    </w:p>
    <w:p w14:paraId="35BC3CCE">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（3）“监理人”是指承担监理业务和监理责任的一方以及其合法继承人。</w:t>
      </w:r>
    </w:p>
    <w:p w14:paraId="0F319A6E">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（4）“项目监理机构”是指监理人派驻本合同工程现场实施监理业务的组织。</w:t>
      </w:r>
    </w:p>
    <w:p w14:paraId="7A6802CD">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（5）“总监理工程师”是指经委托人同意，监理人派到项目监理机构全面履行本合同的全权负责人。</w:t>
      </w:r>
    </w:p>
    <w:p w14:paraId="55A95F7B">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（6）“承包人”是指除监理人以外，与委托人就工程建设有关事宜签订合同的当事人。</w:t>
      </w:r>
    </w:p>
    <w:p w14:paraId="7582A037">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（7）“工程监理的正常工作”是指双方在专用条件中约定，委托人委托的监理工作范围和内容。</w:t>
      </w:r>
    </w:p>
    <w:p w14:paraId="37B06E20">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（8）“工程监理的附加工作”是指：</w:t>
      </w:r>
    </w:p>
    <w:p w14:paraId="75957AEB">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1）委托人委托监理范围以外，通过双方书面协议另外增加的工作内容；</w:t>
      </w:r>
    </w:p>
    <w:p w14:paraId="7413193A">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2）由于委托人或承包人原因，使监理工作受到阻碍或延误，因增加工作量或持续时间而增加的工作。</w:t>
      </w:r>
    </w:p>
    <w:p w14:paraId="27B4D94B">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（9）“工程监理的额外工作”是指正常工作和附加工作以外，根据第三十八条规定监理人必须完成的工作，或非监理人自己的原因而暂停或终止监理业务，其善后工作及恢复监理业务的工作。</w:t>
      </w:r>
    </w:p>
    <w:p w14:paraId="0098AA16">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（10）“日”是指任何一日零时至第二日零时的时间段。</w:t>
      </w:r>
    </w:p>
    <w:p w14:paraId="6A4C6B4B">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（11）“月”是指根据公历从一个月份中任何一日开始到下一个月相应日期的前一日的时间段。</w:t>
      </w:r>
    </w:p>
    <w:p w14:paraId="1EE17F73">
      <w:pPr>
        <w:topLinePunct/>
        <w:adjustRightInd w:val="0"/>
        <w:snapToGrid w:val="0"/>
        <w:spacing w:line="360" w:lineRule="auto"/>
        <w:ind w:firstLine="498" w:firstLineChars="200"/>
        <w:outlineLvl w:val="1"/>
        <w:rPr>
          <w:rFonts w:ascii="宋体" w:hAnsi="宋体" w:cs="宋体"/>
          <w:snapToGrid w:val="0"/>
          <w:spacing w:val="4"/>
          <w:kern w:val="0"/>
          <w:sz w:val="24"/>
        </w:rPr>
      </w:pPr>
      <w:r>
        <w:rPr>
          <w:rFonts w:hint="eastAsia" w:ascii="宋体" w:hAnsi="宋体" w:cs="宋体"/>
          <w:b/>
          <w:bCs/>
          <w:snapToGrid w:val="0"/>
          <w:spacing w:val="4"/>
          <w:kern w:val="0"/>
          <w:sz w:val="24"/>
        </w:rPr>
        <w:t>第二条</w:t>
      </w:r>
      <w:r>
        <w:rPr>
          <w:rFonts w:hint="eastAsia" w:ascii="宋体" w:hAnsi="宋体" w:cs="宋体"/>
          <w:snapToGrid w:val="0"/>
          <w:spacing w:val="4"/>
          <w:kern w:val="0"/>
          <w:sz w:val="24"/>
        </w:rPr>
        <w:t>　建设工程施工监理合同适用的法律是指国家的法律、行政法规，以及专用条件中议定的部门规章或工程所在地的地方法规、地方规章。</w:t>
      </w:r>
    </w:p>
    <w:p w14:paraId="7F4DCB4A">
      <w:pPr>
        <w:topLinePunct/>
        <w:adjustRightInd w:val="0"/>
        <w:snapToGrid w:val="0"/>
        <w:spacing w:line="360" w:lineRule="auto"/>
        <w:ind w:firstLine="498" w:firstLineChars="200"/>
        <w:outlineLvl w:val="1"/>
        <w:rPr>
          <w:rFonts w:ascii="宋体" w:hAnsi="宋体" w:cs="宋体"/>
          <w:snapToGrid w:val="0"/>
          <w:spacing w:val="4"/>
          <w:kern w:val="0"/>
          <w:sz w:val="24"/>
        </w:rPr>
      </w:pPr>
      <w:r>
        <w:rPr>
          <w:rFonts w:hint="eastAsia" w:ascii="宋体" w:hAnsi="宋体" w:cs="宋体"/>
          <w:b/>
          <w:bCs/>
          <w:snapToGrid w:val="0"/>
          <w:spacing w:val="4"/>
          <w:kern w:val="0"/>
          <w:sz w:val="24"/>
        </w:rPr>
        <w:t>第三条</w:t>
      </w:r>
      <w:r>
        <w:rPr>
          <w:rFonts w:hint="eastAsia" w:ascii="宋体" w:hAnsi="宋体" w:cs="宋体"/>
          <w:snapToGrid w:val="0"/>
          <w:spacing w:val="4"/>
          <w:kern w:val="0"/>
          <w:sz w:val="24"/>
        </w:rPr>
        <w:t>　本合同文件使用汉语语言文字书写、解释和说明。如专用条件约定使用两种以上（含两种）语言文字时，汉语应为解释和说明本合同的标准语言文字。</w:t>
      </w:r>
    </w:p>
    <w:p w14:paraId="59A48E50">
      <w:pPr>
        <w:topLinePunct/>
        <w:adjustRightInd w:val="0"/>
        <w:snapToGrid w:val="0"/>
        <w:spacing w:line="360" w:lineRule="auto"/>
        <w:ind w:firstLine="496" w:firstLineChars="200"/>
        <w:rPr>
          <w:snapToGrid w:val="0"/>
          <w:spacing w:val="4"/>
          <w:kern w:val="0"/>
          <w:sz w:val="24"/>
        </w:rPr>
      </w:pPr>
    </w:p>
    <w:p w14:paraId="6647DAE8">
      <w:pPr>
        <w:topLinePunct/>
        <w:adjustRightInd w:val="0"/>
        <w:snapToGrid w:val="0"/>
        <w:spacing w:line="360" w:lineRule="auto"/>
        <w:ind w:firstLine="578" w:firstLineChars="200"/>
        <w:rPr>
          <w:b/>
          <w:bCs/>
          <w:snapToGrid w:val="0"/>
          <w:spacing w:val="4"/>
          <w:kern w:val="0"/>
          <w:sz w:val="28"/>
          <w:szCs w:val="28"/>
        </w:rPr>
      </w:pPr>
      <w:r>
        <w:rPr>
          <w:b/>
          <w:bCs/>
          <w:snapToGrid w:val="0"/>
          <w:spacing w:val="4"/>
          <w:kern w:val="0"/>
          <w:sz w:val="28"/>
          <w:szCs w:val="28"/>
        </w:rPr>
        <w:t>监理人义务</w:t>
      </w:r>
    </w:p>
    <w:p w14:paraId="63A4C955">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第四条</w:t>
      </w:r>
      <w:r>
        <w:rPr>
          <w:snapToGrid w:val="0"/>
          <w:spacing w:val="4"/>
          <w:kern w:val="0"/>
          <w:sz w:val="24"/>
        </w:rPr>
        <w:t>　监理人按合同约定派出监理工作需要的项目监理机构及监理人员，向委托人报送委派的总监理工程师及其项目监理机构主要成员名单、监理规划，完成监理合同专用条件中约定的监理工程范围内的监理业务。在履行合同义务期间，应按合同约定定期向委托人报告监理工作。</w:t>
      </w:r>
    </w:p>
    <w:p w14:paraId="523E6C64">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第五条</w:t>
      </w:r>
      <w:r>
        <w:rPr>
          <w:snapToGrid w:val="0"/>
          <w:spacing w:val="4"/>
          <w:kern w:val="0"/>
          <w:sz w:val="24"/>
        </w:rPr>
        <w:t>　监理人在履行本合同的义务期间，应认真、勤奋地工作，为委托人提供与其水平相适应的咨询意见，公正维护各方面的合法权益。</w:t>
      </w:r>
    </w:p>
    <w:p w14:paraId="4EF0F209">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第六条</w:t>
      </w:r>
      <w:r>
        <w:rPr>
          <w:snapToGrid w:val="0"/>
          <w:spacing w:val="4"/>
          <w:kern w:val="0"/>
          <w:sz w:val="24"/>
        </w:rPr>
        <w:t>　监理人使用委托人提供的设施和物品属委托人的财产。在监理工作完成或中止时，应将其设施和剩余的物品按合同约定的时间和方式移交给委托人。</w:t>
      </w:r>
    </w:p>
    <w:p w14:paraId="151825AB">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第七条</w:t>
      </w:r>
      <w:r>
        <w:rPr>
          <w:snapToGrid w:val="0"/>
          <w:spacing w:val="4"/>
          <w:kern w:val="0"/>
          <w:sz w:val="24"/>
        </w:rPr>
        <w:t>　在合同期内或合同终止后，未征得有关方同意，不得泄露与本合同工程、本合同业务有关的保密资料。</w:t>
      </w:r>
    </w:p>
    <w:p w14:paraId="2A23C5E3">
      <w:pPr>
        <w:topLinePunct/>
        <w:adjustRightInd w:val="0"/>
        <w:snapToGrid w:val="0"/>
        <w:spacing w:line="360" w:lineRule="auto"/>
        <w:ind w:firstLine="498" w:firstLineChars="200"/>
        <w:rPr>
          <w:b/>
          <w:bCs/>
          <w:snapToGrid w:val="0"/>
          <w:spacing w:val="4"/>
          <w:kern w:val="0"/>
          <w:sz w:val="24"/>
        </w:rPr>
      </w:pPr>
    </w:p>
    <w:p w14:paraId="73575A6A">
      <w:pPr>
        <w:topLinePunct/>
        <w:adjustRightInd w:val="0"/>
        <w:snapToGrid w:val="0"/>
        <w:spacing w:line="360" w:lineRule="auto"/>
        <w:ind w:firstLine="578" w:firstLineChars="200"/>
        <w:rPr>
          <w:b/>
          <w:bCs/>
          <w:snapToGrid w:val="0"/>
          <w:spacing w:val="4"/>
          <w:kern w:val="0"/>
          <w:sz w:val="28"/>
          <w:szCs w:val="28"/>
        </w:rPr>
      </w:pPr>
      <w:r>
        <w:rPr>
          <w:b/>
          <w:bCs/>
          <w:snapToGrid w:val="0"/>
          <w:spacing w:val="4"/>
          <w:kern w:val="0"/>
          <w:sz w:val="28"/>
          <w:szCs w:val="28"/>
        </w:rPr>
        <w:t>委托人、委托人义务</w:t>
      </w:r>
    </w:p>
    <w:p w14:paraId="0A9833BC">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第八条</w:t>
      </w:r>
      <w:r>
        <w:rPr>
          <w:snapToGrid w:val="0"/>
          <w:spacing w:val="4"/>
          <w:kern w:val="0"/>
          <w:sz w:val="24"/>
        </w:rPr>
        <w:t>　委托人在监理人开展监理业务之前应向监理人支付预付款。</w:t>
      </w:r>
    </w:p>
    <w:p w14:paraId="5B81A82E">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第九条</w:t>
      </w:r>
      <w:r>
        <w:rPr>
          <w:snapToGrid w:val="0"/>
          <w:spacing w:val="4"/>
          <w:kern w:val="0"/>
          <w:sz w:val="24"/>
        </w:rPr>
        <w:t>　委托人应当</w:t>
      </w:r>
      <w:r>
        <w:rPr>
          <w:rFonts w:hint="eastAsia"/>
          <w:snapToGrid w:val="0"/>
          <w:spacing w:val="4"/>
          <w:kern w:val="0"/>
          <w:sz w:val="24"/>
        </w:rPr>
        <w:t>协助</w:t>
      </w:r>
      <w:r>
        <w:rPr>
          <w:snapToGrid w:val="0"/>
          <w:spacing w:val="4"/>
          <w:kern w:val="0"/>
          <w:sz w:val="24"/>
        </w:rPr>
        <w:t>工程建设的外部关系的协调，为监理工作提供外部条件。根据需要，如将部分或全部协调工作委托监理人承担，则应在专用条件中明确委托的工作和相应的酬金。</w:t>
      </w:r>
    </w:p>
    <w:p w14:paraId="5CABC6AE">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第十条</w:t>
      </w:r>
      <w:r>
        <w:rPr>
          <w:snapToGrid w:val="0"/>
          <w:spacing w:val="4"/>
          <w:kern w:val="0"/>
          <w:sz w:val="24"/>
        </w:rPr>
        <w:t>　委托人应当在双方约定的时间内免费向监理人提供与工程有关的为监理工作所需要的工程资料。</w:t>
      </w:r>
    </w:p>
    <w:p w14:paraId="13327D5C">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第十一条</w:t>
      </w:r>
      <w:r>
        <w:rPr>
          <w:snapToGrid w:val="0"/>
          <w:spacing w:val="4"/>
          <w:kern w:val="0"/>
          <w:sz w:val="24"/>
        </w:rPr>
        <w:t>　委托人应当在专用条件约定的时间内就监理人书面提交并要求做出决定的一切事宜作出书面决定。</w:t>
      </w:r>
    </w:p>
    <w:p w14:paraId="7E095A03">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第十二条</w:t>
      </w:r>
      <w:r>
        <w:rPr>
          <w:snapToGrid w:val="0"/>
          <w:spacing w:val="4"/>
          <w:kern w:val="0"/>
          <w:sz w:val="24"/>
        </w:rPr>
        <w:t>　委托人应当授权一名熟悉工程情况、能在规定时间内做出决定的常驻代表（在专用条件中约定），负责与监理人联系。更换常驻代表，要提前通知监理人。</w:t>
      </w:r>
    </w:p>
    <w:p w14:paraId="0DBBE477">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第十三条</w:t>
      </w:r>
      <w:r>
        <w:rPr>
          <w:snapToGrid w:val="0"/>
          <w:spacing w:val="4"/>
          <w:kern w:val="0"/>
          <w:sz w:val="24"/>
        </w:rPr>
        <w:t>　委托人应当将授予监理人的监理权利，以及监理人主要成员的职能分工、监理权限及时书面通知已选定的承包合同的承包人，并在与第三人签订的合同中予以明确。</w:t>
      </w:r>
    </w:p>
    <w:p w14:paraId="4F89E10D">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第十四条</w:t>
      </w:r>
      <w:r>
        <w:rPr>
          <w:snapToGrid w:val="0"/>
          <w:spacing w:val="4"/>
          <w:kern w:val="0"/>
          <w:sz w:val="24"/>
        </w:rPr>
        <w:t>　委托人应在不影响监理人开展监理工作的时间内提供如下资料：</w:t>
      </w:r>
    </w:p>
    <w:p w14:paraId="63062A13">
      <w:pPr>
        <w:topLinePunct/>
        <w:adjustRightInd w:val="0"/>
        <w:snapToGrid w:val="0"/>
        <w:spacing w:line="360" w:lineRule="auto"/>
        <w:ind w:firstLine="496" w:firstLineChars="200"/>
        <w:rPr>
          <w:snapToGrid w:val="0"/>
          <w:spacing w:val="4"/>
          <w:kern w:val="0"/>
          <w:sz w:val="24"/>
        </w:rPr>
      </w:pPr>
      <w:r>
        <w:rPr>
          <w:snapToGrid w:val="0"/>
          <w:spacing w:val="4"/>
          <w:kern w:val="0"/>
          <w:sz w:val="24"/>
        </w:rPr>
        <w:t>（1）与本合同工程合作的原材料、构配件、设备等生产厂家名录。</w:t>
      </w:r>
    </w:p>
    <w:p w14:paraId="127DF8AD">
      <w:pPr>
        <w:topLinePunct/>
        <w:adjustRightInd w:val="0"/>
        <w:snapToGrid w:val="0"/>
        <w:spacing w:line="360" w:lineRule="auto"/>
        <w:ind w:firstLine="496" w:firstLineChars="200"/>
        <w:rPr>
          <w:snapToGrid w:val="0"/>
          <w:spacing w:val="4"/>
          <w:kern w:val="0"/>
          <w:sz w:val="24"/>
        </w:rPr>
      </w:pPr>
      <w:r>
        <w:rPr>
          <w:snapToGrid w:val="0"/>
          <w:spacing w:val="4"/>
          <w:kern w:val="0"/>
          <w:sz w:val="24"/>
        </w:rPr>
        <w:t>（2）提供与本合同工程有关的协作单位、配合单位的名录。</w:t>
      </w:r>
    </w:p>
    <w:p w14:paraId="3330690E">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第十五条</w:t>
      </w:r>
      <w:r>
        <w:rPr>
          <w:snapToGrid w:val="0"/>
          <w:spacing w:val="4"/>
          <w:kern w:val="0"/>
          <w:sz w:val="24"/>
        </w:rPr>
        <w:t>　委托人免费向监理人提供办公用房、通讯设施、监理人员工地住房及合同专用条件约定的设施，对监理人自备的设施给予合理的经济补偿（补偿金额=设施在工程使用时间占折旧年限的比例×设施原值+管理费）。</w:t>
      </w:r>
    </w:p>
    <w:p w14:paraId="0CFEF33A">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第十六条</w:t>
      </w:r>
      <w:r>
        <w:rPr>
          <w:snapToGrid w:val="0"/>
          <w:spacing w:val="4"/>
          <w:kern w:val="0"/>
          <w:sz w:val="24"/>
        </w:rPr>
        <w:t>　根据情况需要，如果双方约定，由委托人免费向监理人提供其他人员，应在监理合同专用条件中予以明确。</w:t>
      </w:r>
    </w:p>
    <w:p w14:paraId="287D2641">
      <w:pPr>
        <w:topLinePunct/>
        <w:adjustRightInd w:val="0"/>
        <w:snapToGrid w:val="0"/>
        <w:spacing w:line="360" w:lineRule="auto"/>
        <w:ind w:firstLine="498" w:firstLineChars="200"/>
        <w:rPr>
          <w:b/>
          <w:bCs/>
          <w:snapToGrid w:val="0"/>
          <w:spacing w:val="4"/>
          <w:kern w:val="0"/>
          <w:sz w:val="24"/>
        </w:rPr>
      </w:pPr>
    </w:p>
    <w:p w14:paraId="0660A470">
      <w:pPr>
        <w:topLinePunct/>
        <w:adjustRightInd w:val="0"/>
        <w:snapToGrid w:val="0"/>
        <w:spacing w:line="360" w:lineRule="auto"/>
        <w:ind w:firstLine="578" w:firstLineChars="200"/>
        <w:rPr>
          <w:b/>
          <w:bCs/>
          <w:snapToGrid w:val="0"/>
          <w:spacing w:val="4"/>
          <w:kern w:val="0"/>
          <w:sz w:val="28"/>
          <w:szCs w:val="28"/>
        </w:rPr>
      </w:pPr>
      <w:r>
        <w:rPr>
          <w:b/>
          <w:bCs/>
          <w:snapToGrid w:val="0"/>
          <w:spacing w:val="4"/>
          <w:kern w:val="0"/>
          <w:sz w:val="28"/>
          <w:szCs w:val="28"/>
        </w:rPr>
        <w:t>监理人权利</w:t>
      </w:r>
    </w:p>
    <w:p w14:paraId="3F2CDC3D">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第十七条</w:t>
      </w:r>
      <w:r>
        <w:rPr>
          <w:snapToGrid w:val="0"/>
          <w:spacing w:val="4"/>
          <w:kern w:val="0"/>
          <w:sz w:val="24"/>
        </w:rPr>
        <w:t>　监理人在委托人委托的工程范围内，享有以下权利：</w:t>
      </w:r>
    </w:p>
    <w:p w14:paraId="75CB2BB4">
      <w:pPr>
        <w:topLinePunct/>
        <w:adjustRightInd w:val="0"/>
        <w:snapToGrid w:val="0"/>
        <w:spacing w:line="360" w:lineRule="auto"/>
        <w:ind w:firstLine="496" w:firstLineChars="200"/>
        <w:rPr>
          <w:snapToGrid w:val="0"/>
          <w:spacing w:val="4"/>
          <w:kern w:val="0"/>
          <w:sz w:val="24"/>
        </w:rPr>
      </w:pPr>
      <w:r>
        <w:rPr>
          <w:snapToGrid w:val="0"/>
          <w:spacing w:val="4"/>
          <w:kern w:val="0"/>
          <w:sz w:val="24"/>
        </w:rPr>
        <w:t>（1）选择工程总承包人的建议权。</w:t>
      </w:r>
    </w:p>
    <w:p w14:paraId="0E77FC32">
      <w:pPr>
        <w:topLinePunct/>
        <w:adjustRightInd w:val="0"/>
        <w:snapToGrid w:val="0"/>
        <w:spacing w:line="360" w:lineRule="auto"/>
        <w:ind w:firstLine="496" w:firstLineChars="200"/>
        <w:rPr>
          <w:snapToGrid w:val="0"/>
          <w:spacing w:val="4"/>
          <w:kern w:val="0"/>
          <w:sz w:val="24"/>
        </w:rPr>
      </w:pPr>
      <w:r>
        <w:rPr>
          <w:snapToGrid w:val="0"/>
          <w:spacing w:val="4"/>
          <w:kern w:val="0"/>
          <w:sz w:val="24"/>
        </w:rPr>
        <w:t>（2）选择工程分包人的认可权。</w:t>
      </w:r>
    </w:p>
    <w:p w14:paraId="3E6FDBFA">
      <w:pPr>
        <w:topLinePunct/>
        <w:adjustRightInd w:val="0"/>
        <w:snapToGrid w:val="0"/>
        <w:spacing w:line="360" w:lineRule="auto"/>
        <w:ind w:firstLine="496" w:firstLineChars="200"/>
        <w:rPr>
          <w:snapToGrid w:val="0"/>
          <w:spacing w:val="4"/>
          <w:kern w:val="0"/>
          <w:sz w:val="24"/>
        </w:rPr>
      </w:pPr>
      <w:r>
        <w:rPr>
          <w:snapToGrid w:val="0"/>
          <w:spacing w:val="4"/>
          <w:kern w:val="0"/>
          <w:sz w:val="24"/>
        </w:rPr>
        <w:t>（3）对工程建设有关事项包括工程规模、设计标准、规划设计、生产工艺设计和使用功能要求，向委托人的建议权。</w:t>
      </w:r>
    </w:p>
    <w:p w14:paraId="16518FB2">
      <w:pPr>
        <w:topLinePunct/>
        <w:adjustRightInd w:val="0"/>
        <w:snapToGrid w:val="0"/>
        <w:spacing w:line="360" w:lineRule="auto"/>
        <w:ind w:firstLine="496" w:firstLineChars="200"/>
        <w:rPr>
          <w:snapToGrid w:val="0"/>
          <w:spacing w:val="4"/>
          <w:kern w:val="0"/>
          <w:sz w:val="24"/>
        </w:rPr>
      </w:pPr>
      <w:r>
        <w:rPr>
          <w:snapToGrid w:val="0"/>
          <w:spacing w:val="4"/>
          <w:kern w:val="0"/>
          <w:sz w:val="24"/>
        </w:rPr>
        <w:t>（4）对工程设计中的技术问题，按照安全和优化的原则，向委托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14:paraId="40CDE410">
      <w:pPr>
        <w:topLinePunct/>
        <w:adjustRightInd w:val="0"/>
        <w:snapToGrid w:val="0"/>
        <w:spacing w:line="360" w:lineRule="auto"/>
        <w:ind w:firstLine="496" w:firstLineChars="200"/>
        <w:rPr>
          <w:snapToGrid w:val="0"/>
          <w:spacing w:val="4"/>
          <w:kern w:val="0"/>
          <w:sz w:val="24"/>
        </w:rPr>
      </w:pPr>
      <w:r>
        <w:rPr>
          <w:snapToGrid w:val="0"/>
          <w:spacing w:val="4"/>
          <w:kern w:val="0"/>
          <w:sz w:val="24"/>
        </w:rPr>
        <w:t>（5）审批工程施工组织设计和技术方案，按照保质量、保工期和降低成本的原则，向承包人提出建议，并向委托人提出书面报告。</w:t>
      </w:r>
    </w:p>
    <w:p w14:paraId="5DF81620">
      <w:pPr>
        <w:topLinePunct/>
        <w:adjustRightInd w:val="0"/>
        <w:snapToGrid w:val="0"/>
        <w:spacing w:line="360" w:lineRule="auto"/>
        <w:ind w:firstLine="496" w:firstLineChars="200"/>
        <w:rPr>
          <w:snapToGrid w:val="0"/>
          <w:spacing w:val="4"/>
          <w:kern w:val="0"/>
          <w:sz w:val="24"/>
        </w:rPr>
      </w:pPr>
      <w:r>
        <w:rPr>
          <w:snapToGrid w:val="0"/>
          <w:spacing w:val="4"/>
          <w:kern w:val="0"/>
          <w:sz w:val="24"/>
        </w:rPr>
        <w:t>（6）主持工程建设有关协作单位的组织协调，重要协调事项应当事先向委托人报告。</w:t>
      </w:r>
    </w:p>
    <w:p w14:paraId="06FFFB8E">
      <w:pPr>
        <w:topLinePunct/>
        <w:adjustRightInd w:val="0"/>
        <w:snapToGrid w:val="0"/>
        <w:spacing w:line="360" w:lineRule="auto"/>
        <w:ind w:firstLine="496" w:firstLineChars="200"/>
        <w:rPr>
          <w:snapToGrid w:val="0"/>
          <w:spacing w:val="4"/>
          <w:kern w:val="0"/>
          <w:sz w:val="24"/>
        </w:rPr>
      </w:pPr>
      <w:r>
        <w:rPr>
          <w:snapToGrid w:val="0"/>
          <w:spacing w:val="4"/>
          <w:kern w:val="0"/>
          <w:sz w:val="24"/>
        </w:rPr>
        <w:t>（7）征得委托人同意，监理人有权发布开工令、停工令、复工令，但应当事先向委托人报告。如在紧急情况下未能事先</w:t>
      </w:r>
      <w:r>
        <w:rPr>
          <w:rFonts w:hint="eastAsia"/>
          <w:snapToGrid w:val="0"/>
          <w:spacing w:val="4"/>
          <w:kern w:val="0"/>
          <w:sz w:val="24"/>
        </w:rPr>
        <w:t>书面</w:t>
      </w:r>
      <w:r>
        <w:rPr>
          <w:snapToGrid w:val="0"/>
          <w:spacing w:val="4"/>
          <w:kern w:val="0"/>
          <w:sz w:val="24"/>
        </w:rPr>
        <w:t>报告时，</w:t>
      </w:r>
      <w:r>
        <w:rPr>
          <w:rFonts w:hint="eastAsia"/>
          <w:snapToGrid w:val="0"/>
          <w:spacing w:val="4"/>
          <w:kern w:val="0"/>
          <w:sz w:val="24"/>
        </w:rPr>
        <w:t>应及时通知委托人的常驻代表，并</w:t>
      </w:r>
      <w:r>
        <w:rPr>
          <w:snapToGrid w:val="0"/>
          <w:spacing w:val="4"/>
          <w:kern w:val="0"/>
          <w:sz w:val="24"/>
        </w:rPr>
        <w:t>应在24小时内向委托人做出书面报告。</w:t>
      </w:r>
    </w:p>
    <w:p w14:paraId="1CA4DFA2">
      <w:pPr>
        <w:topLinePunct/>
        <w:adjustRightInd w:val="0"/>
        <w:snapToGrid w:val="0"/>
        <w:spacing w:line="360" w:lineRule="auto"/>
        <w:ind w:firstLine="496" w:firstLineChars="200"/>
        <w:rPr>
          <w:snapToGrid w:val="0"/>
          <w:spacing w:val="4"/>
          <w:kern w:val="0"/>
          <w:sz w:val="24"/>
        </w:rPr>
      </w:pPr>
      <w:r>
        <w:rPr>
          <w:snapToGrid w:val="0"/>
          <w:spacing w:val="4"/>
          <w:kern w:val="0"/>
          <w:sz w:val="24"/>
        </w:rPr>
        <w:t>（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项目监理机构复工令后才能复工。</w:t>
      </w:r>
    </w:p>
    <w:p w14:paraId="71996424">
      <w:pPr>
        <w:topLinePunct/>
        <w:adjustRightInd w:val="0"/>
        <w:snapToGrid w:val="0"/>
        <w:spacing w:line="360" w:lineRule="auto"/>
        <w:ind w:firstLine="496" w:firstLineChars="200"/>
        <w:rPr>
          <w:snapToGrid w:val="0"/>
          <w:spacing w:val="4"/>
          <w:kern w:val="0"/>
          <w:sz w:val="24"/>
        </w:rPr>
      </w:pPr>
      <w:r>
        <w:rPr>
          <w:snapToGrid w:val="0"/>
          <w:spacing w:val="4"/>
          <w:kern w:val="0"/>
          <w:sz w:val="24"/>
        </w:rPr>
        <w:t>（9）工程施工进度的检查、监督权，以及工程实际竣工日期提前或超过工程施工合同规定的竣工期限的签认权。</w:t>
      </w:r>
    </w:p>
    <w:p w14:paraId="0394A47D">
      <w:pPr>
        <w:topLinePunct/>
        <w:adjustRightInd w:val="0"/>
        <w:snapToGrid w:val="0"/>
        <w:spacing w:line="360" w:lineRule="auto"/>
        <w:ind w:firstLine="496" w:firstLineChars="200"/>
        <w:rPr>
          <w:snapToGrid w:val="0"/>
          <w:spacing w:val="4"/>
          <w:kern w:val="0"/>
          <w:sz w:val="24"/>
        </w:rPr>
      </w:pPr>
      <w:r>
        <w:rPr>
          <w:snapToGrid w:val="0"/>
          <w:spacing w:val="4"/>
          <w:kern w:val="0"/>
          <w:sz w:val="24"/>
        </w:rPr>
        <w:t>（10）在工程施工合同约定的工程价格范围内，工程款支付的审核和签认权，以及工程结算的复核确认权与否决权。未经总监理工程师签字确认，委托人不支付工程款。</w:t>
      </w:r>
    </w:p>
    <w:p w14:paraId="18AA3DB1">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第十八条</w:t>
      </w:r>
      <w:r>
        <w:rPr>
          <w:snapToGrid w:val="0"/>
          <w:spacing w:val="4"/>
          <w:kern w:val="0"/>
          <w:sz w:val="24"/>
        </w:rPr>
        <w:t>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承包人人员工作不力，项目监理机构可要求承包人调换有关人员。</w:t>
      </w:r>
    </w:p>
    <w:p w14:paraId="29859122">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第十九条</w:t>
      </w:r>
      <w:r>
        <w:rPr>
          <w:snapToGrid w:val="0"/>
          <w:spacing w:val="4"/>
          <w:kern w:val="0"/>
          <w:sz w:val="24"/>
        </w:rPr>
        <w:t>　在委托的工程范围内，委托人或承包人对对方的任何意见和要求（包括索赔要求），均必须首先向项目监理机构提出，由项目监理机构研究处置意见，再同双方协商确定。当委托人和承包人发生争议时，项目监理机构应根据自己的职能，以独立的身份判断，公正地进行调解。当双方的争议由政府建设行政主管部门调解或仲裁机关仲裁时，监理人应当提供作证的事实材料。</w:t>
      </w:r>
    </w:p>
    <w:p w14:paraId="53940847">
      <w:pPr>
        <w:topLinePunct/>
        <w:adjustRightInd w:val="0"/>
        <w:snapToGrid w:val="0"/>
        <w:spacing w:line="360" w:lineRule="auto"/>
        <w:ind w:firstLine="498" w:firstLineChars="200"/>
        <w:rPr>
          <w:b/>
          <w:bCs/>
          <w:snapToGrid w:val="0"/>
          <w:spacing w:val="4"/>
          <w:kern w:val="0"/>
          <w:sz w:val="24"/>
        </w:rPr>
      </w:pPr>
    </w:p>
    <w:p w14:paraId="3EE263EA">
      <w:pPr>
        <w:topLinePunct/>
        <w:adjustRightInd w:val="0"/>
        <w:snapToGrid w:val="0"/>
        <w:spacing w:line="360" w:lineRule="auto"/>
        <w:ind w:firstLine="578" w:firstLineChars="200"/>
        <w:rPr>
          <w:b/>
          <w:bCs/>
          <w:snapToGrid w:val="0"/>
          <w:spacing w:val="4"/>
          <w:kern w:val="0"/>
          <w:sz w:val="28"/>
          <w:szCs w:val="28"/>
        </w:rPr>
      </w:pPr>
      <w:r>
        <w:rPr>
          <w:b/>
          <w:bCs/>
          <w:snapToGrid w:val="0"/>
          <w:spacing w:val="4"/>
          <w:kern w:val="0"/>
          <w:sz w:val="28"/>
          <w:szCs w:val="28"/>
        </w:rPr>
        <w:t>委托人权利</w:t>
      </w:r>
    </w:p>
    <w:p w14:paraId="4DEF8F78">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第二十条</w:t>
      </w:r>
      <w:r>
        <w:rPr>
          <w:snapToGrid w:val="0"/>
          <w:spacing w:val="4"/>
          <w:kern w:val="0"/>
          <w:sz w:val="24"/>
        </w:rPr>
        <w:t>　委托人有选定工程总承包人，以及与其订立合同的权利。</w:t>
      </w:r>
    </w:p>
    <w:p w14:paraId="13AA94A4">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第二十一条</w:t>
      </w:r>
      <w:r>
        <w:rPr>
          <w:snapToGrid w:val="0"/>
          <w:spacing w:val="4"/>
          <w:kern w:val="0"/>
          <w:sz w:val="24"/>
        </w:rPr>
        <w:t>　委托人有对工程规模、设计标准、规划设计、生产工艺设计和设计使用功能要求的认定权，以及对工程设计变更的审批权。</w:t>
      </w:r>
    </w:p>
    <w:p w14:paraId="1D27783A">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第二十二条</w:t>
      </w:r>
      <w:r>
        <w:rPr>
          <w:snapToGrid w:val="0"/>
          <w:spacing w:val="4"/>
          <w:kern w:val="0"/>
          <w:sz w:val="24"/>
        </w:rPr>
        <w:t>　监理人调换总监理工程师须事先经委托人同意。</w:t>
      </w:r>
    </w:p>
    <w:p w14:paraId="4BA6E85B">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第二十三条</w:t>
      </w:r>
      <w:r>
        <w:rPr>
          <w:snapToGrid w:val="0"/>
          <w:spacing w:val="4"/>
          <w:kern w:val="0"/>
          <w:sz w:val="24"/>
        </w:rPr>
        <w:t>　委托人有权要求监理人提交监理工作月报及监理业务范围内的专项报告。</w:t>
      </w:r>
    </w:p>
    <w:p w14:paraId="0F2A5089">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第二十四条</w:t>
      </w:r>
      <w:r>
        <w:rPr>
          <w:snapToGrid w:val="0"/>
          <w:spacing w:val="4"/>
          <w:kern w:val="0"/>
          <w:sz w:val="24"/>
        </w:rPr>
        <w:t>　当委托人发现监理人员不按监理合同履行监理职责，或与承包人串通给委托人或工程造成损失的，委托人有权要求监理人更换监理人员，直到终止合同并要求监理人承担相应的赔偿责任或连带赔偿责任。</w:t>
      </w:r>
    </w:p>
    <w:p w14:paraId="2A5FBB30">
      <w:pPr>
        <w:topLinePunct/>
        <w:adjustRightInd w:val="0"/>
        <w:snapToGrid w:val="0"/>
        <w:spacing w:line="360" w:lineRule="auto"/>
        <w:ind w:firstLine="498" w:firstLineChars="200"/>
        <w:rPr>
          <w:b/>
          <w:bCs/>
          <w:snapToGrid w:val="0"/>
          <w:spacing w:val="4"/>
          <w:kern w:val="0"/>
          <w:sz w:val="24"/>
        </w:rPr>
      </w:pPr>
    </w:p>
    <w:p w14:paraId="6A65BEA9">
      <w:pPr>
        <w:topLinePunct/>
        <w:adjustRightInd w:val="0"/>
        <w:snapToGrid w:val="0"/>
        <w:spacing w:line="360" w:lineRule="auto"/>
        <w:ind w:firstLine="578" w:firstLineChars="200"/>
        <w:rPr>
          <w:b/>
          <w:bCs/>
          <w:snapToGrid w:val="0"/>
          <w:spacing w:val="4"/>
          <w:kern w:val="0"/>
          <w:sz w:val="28"/>
          <w:szCs w:val="28"/>
        </w:rPr>
      </w:pPr>
      <w:r>
        <w:rPr>
          <w:b/>
          <w:bCs/>
          <w:snapToGrid w:val="0"/>
          <w:spacing w:val="4"/>
          <w:kern w:val="0"/>
          <w:sz w:val="28"/>
          <w:szCs w:val="28"/>
        </w:rPr>
        <w:t>监理人责任</w:t>
      </w:r>
    </w:p>
    <w:p w14:paraId="037D86B3">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第二十五条</w:t>
      </w:r>
      <w:r>
        <w:rPr>
          <w:snapToGrid w:val="0"/>
          <w:spacing w:val="4"/>
          <w:kern w:val="0"/>
          <w:sz w:val="24"/>
        </w:rPr>
        <w:t>　监理人的责任期即本施工监理合同有效期。在监理过程中，如果因工程建设进度的推迟或延误而超过书面约定的日期，双方应进一步约定相应延长的合同期。</w:t>
      </w:r>
    </w:p>
    <w:p w14:paraId="437F44DF">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第二十六条</w:t>
      </w:r>
      <w:r>
        <w:rPr>
          <w:snapToGrid w:val="0"/>
          <w:spacing w:val="4"/>
          <w:kern w:val="0"/>
          <w:sz w:val="24"/>
        </w:rPr>
        <w:t>　监理人在责任期内，应当履行约定的义务，如果因监理人过失而造成了委托人的经济损失，应当向委托人赔偿。累计赔偿总额（除本合同第二十四条规定以外）不应超过监理酬金总额（除去税金）。</w:t>
      </w:r>
    </w:p>
    <w:p w14:paraId="15A9C5E3">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第二十七条</w:t>
      </w:r>
      <w:r>
        <w:rPr>
          <w:snapToGrid w:val="0"/>
          <w:spacing w:val="4"/>
          <w:kern w:val="0"/>
          <w:sz w:val="24"/>
        </w:rPr>
        <w:t>　监理人对承包人违反合同规定的质量要求和完工（交图、交货）时限，不承担责任。因不可抗力导致施工监理合同不能全部或部分履行，监理人不承担责任。但对违反第五条规定引起的与之有关的事宜，向委托人承担赔偿责任。</w:t>
      </w:r>
    </w:p>
    <w:p w14:paraId="0A2F69DD">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第二十八条</w:t>
      </w:r>
      <w:r>
        <w:rPr>
          <w:snapToGrid w:val="0"/>
          <w:spacing w:val="4"/>
          <w:kern w:val="0"/>
          <w:sz w:val="24"/>
        </w:rPr>
        <w:t>　监理人向委托人提出赔偿要求不能成立时，监理人应当补偿由于该索赔所导致委托人的各种费用支出。</w:t>
      </w:r>
    </w:p>
    <w:p w14:paraId="613CEE98">
      <w:pPr>
        <w:topLinePunct/>
        <w:adjustRightInd w:val="0"/>
        <w:snapToGrid w:val="0"/>
        <w:spacing w:line="360" w:lineRule="auto"/>
        <w:ind w:firstLine="498" w:firstLineChars="200"/>
        <w:rPr>
          <w:b/>
          <w:bCs/>
          <w:snapToGrid w:val="0"/>
          <w:spacing w:val="4"/>
          <w:kern w:val="0"/>
          <w:sz w:val="24"/>
        </w:rPr>
      </w:pPr>
    </w:p>
    <w:p w14:paraId="49AFD308">
      <w:pPr>
        <w:topLinePunct/>
        <w:adjustRightInd w:val="0"/>
        <w:snapToGrid w:val="0"/>
        <w:spacing w:line="360" w:lineRule="auto"/>
        <w:ind w:firstLine="578" w:firstLineChars="200"/>
        <w:rPr>
          <w:b/>
          <w:bCs/>
          <w:snapToGrid w:val="0"/>
          <w:spacing w:val="4"/>
          <w:kern w:val="0"/>
          <w:sz w:val="28"/>
          <w:szCs w:val="28"/>
        </w:rPr>
      </w:pPr>
      <w:r>
        <w:rPr>
          <w:b/>
          <w:bCs/>
          <w:snapToGrid w:val="0"/>
          <w:spacing w:val="4"/>
          <w:kern w:val="0"/>
          <w:sz w:val="28"/>
          <w:szCs w:val="28"/>
        </w:rPr>
        <w:t>委托人责任</w:t>
      </w:r>
    </w:p>
    <w:p w14:paraId="0057E7E9">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第二十九条</w:t>
      </w:r>
      <w:r>
        <w:rPr>
          <w:snapToGrid w:val="0"/>
          <w:spacing w:val="4"/>
          <w:kern w:val="0"/>
          <w:sz w:val="24"/>
        </w:rPr>
        <w:t>　委托人应当履行本合同约定的义务，如有违反则应当承担违约责任，赔偿给监理人造成的经济损失。</w:t>
      </w:r>
    </w:p>
    <w:p w14:paraId="75A70222">
      <w:pPr>
        <w:topLinePunct/>
        <w:adjustRightInd w:val="0"/>
        <w:snapToGrid w:val="0"/>
        <w:spacing w:line="360" w:lineRule="auto"/>
        <w:ind w:firstLine="496" w:firstLineChars="200"/>
        <w:rPr>
          <w:snapToGrid w:val="0"/>
          <w:spacing w:val="4"/>
          <w:kern w:val="0"/>
          <w:sz w:val="24"/>
        </w:rPr>
      </w:pPr>
      <w:r>
        <w:rPr>
          <w:snapToGrid w:val="0"/>
          <w:spacing w:val="4"/>
          <w:kern w:val="0"/>
          <w:sz w:val="24"/>
        </w:rPr>
        <w:t>监理人处理委托业务时，因</w:t>
      </w:r>
      <w:r>
        <w:rPr>
          <w:rFonts w:hint="eastAsia"/>
          <w:snapToGrid w:val="0"/>
          <w:spacing w:val="4"/>
          <w:kern w:val="0"/>
          <w:sz w:val="24"/>
        </w:rPr>
        <w:t>委托人原因</w:t>
      </w:r>
      <w:r>
        <w:rPr>
          <w:snapToGrid w:val="0"/>
          <w:spacing w:val="4"/>
          <w:kern w:val="0"/>
          <w:sz w:val="24"/>
        </w:rPr>
        <w:t>的事由受到损失的，可以向委托人要求补偿损失。</w:t>
      </w:r>
    </w:p>
    <w:p w14:paraId="3EA2D331">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第三十条</w:t>
      </w:r>
      <w:r>
        <w:rPr>
          <w:snapToGrid w:val="0"/>
          <w:spacing w:val="4"/>
          <w:kern w:val="0"/>
          <w:sz w:val="24"/>
        </w:rPr>
        <w:t>　委托人如果向监理人提出赔偿的要求不能成立，则应当补偿由该索赔所引起的监理人的各种费用支出。</w:t>
      </w:r>
    </w:p>
    <w:p w14:paraId="47F37520">
      <w:pPr>
        <w:topLinePunct/>
        <w:adjustRightInd w:val="0"/>
        <w:snapToGrid w:val="0"/>
        <w:spacing w:line="360" w:lineRule="auto"/>
        <w:ind w:firstLine="498" w:firstLineChars="200"/>
        <w:rPr>
          <w:b/>
          <w:bCs/>
          <w:snapToGrid w:val="0"/>
          <w:spacing w:val="4"/>
          <w:kern w:val="0"/>
          <w:sz w:val="24"/>
        </w:rPr>
      </w:pPr>
    </w:p>
    <w:p w14:paraId="1EF83E61">
      <w:pPr>
        <w:topLinePunct/>
        <w:adjustRightInd w:val="0"/>
        <w:snapToGrid w:val="0"/>
        <w:spacing w:line="360" w:lineRule="auto"/>
        <w:ind w:firstLine="578" w:firstLineChars="200"/>
        <w:rPr>
          <w:b/>
          <w:bCs/>
          <w:snapToGrid w:val="0"/>
          <w:spacing w:val="4"/>
          <w:kern w:val="0"/>
          <w:sz w:val="28"/>
          <w:szCs w:val="28"/>
        </w:rPr>
      </w:pPr>
      <w:r>
        <w:rPr>
          <w:b/>
          <w:bCs/>
          <w:snapToGrid w:val="0"/>
          <w:spacing w:val="4"/>
          <w:kern w:val="0"/>
          <w:sz w:val="28"/>
          <w:szCs w:val="28"/>
        </w:rPr>
        <w:t>合同生效、变更与终止</w:t>
      </w:r>
    </w:p>
    <w:p w14:paraId="3576CF40">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第三十一条</w:t>
      </w:r>
      <w:r>
        <w:rPr>
          <w:snapToGrid w:val="0"/>
          <w:spacing w:val="4"/>
          <w:kern w:val="0"/>
          <w:sz w:val="24"/>
        </w:rPr>
        <w:t>　由于委托人或承包人的原因使监理工作受到阻碍或延误，以致发生了附加工作或延长了持续时间，则监理人应当将此情况与可能产生的影响及时通知委托人。完成监理业务的时间相应延长，并得到附加工作的酬金。</w:t>
      </w:r>
    </w:p>
    <w:p w14:paraId="3D4C1769">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第三十二条</w:t>
      </w:r>
      <w:r>
        <w:rPr>
          <w:snapToGrid w:val="0"/>
          <w:spacing w:val="4"/>
          <w:kern w:val="0"/>
          <w:sz w:val="24"/>
        </w:rPr>
        <w:t>　在本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量支付监理酬金。</w:t>
      </w:r>
    </w:p>
    <w:p w14:paraId="08853C4F">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第三十三条</w:t>
      </w:r>
      <w:r>
        <w:rPr>
          <w:snapToGrid w:val="0"/>
          <w:spacing w:val="4"/>
          <w:kern w:val="0"/>
          <w:sz w:val="24"/>
        </w:rPr>
        <w:t>　监理人向委托人办理完竣工验收或工程移交手续，承包人和委托人已签订工程维护责任书，监理人收到监理酬金尾款，本合同即终止。维护期间的责任，双方在专用条件中约定。</w:t>
      </w:r>
    </w:p>
    <w:p w14:paraId="0BDEAC52">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第三十四条</w:t>
      </w:r>
      <w:r>
        <w:rPr>
          <w:snapToGrid w:val="0"/>
          <w:spacing w:val="4"/>
          <w:kern w:val="0"/>
          <w:sz w:val="24"/>
        </w:rPr>
        <w:t>　当事人一方要求变更或解除合同时，应当在42日前通知对方，因解除合同使一方遭受损失的，除依法可以免除责任的外，应由责任方负责赔偿。</w:t>
      </w:r>
    </w:p>
    <w:p w14:paraId="203F50C1">
      <w:pPr>
        <w:topLinePunct/>
        <w:adjustRightInd w:val="0"/>
        <w:snapToGrid w:val="0"/>
        <w:spacing w:line="360" w:lineRule="auto"/>
        <w:ind w:firstLine="496" w:firstLineChars="200"/>
        <w:rPr>
          <w:snapToGrid w:val="0"/>
          <w:spacing w:val="4"/>
          <w:kern w:val="0"/>
          <w:sz w:val="24"/>
        </w:rPr>
      </w:pPr>
      <w:r>
        <w:rPr>
          <w:snapToGrid w:val="0"/>
          <w:spacing w:val="4"/>
          <w:kern w:val="0"/>
          <w:sz w:val="24"/>
        </w:rPr>
        <w:t>变更或解除合同的通知或协议必须采取书面形式，协议未达成之前，原合同仍然有效。</w:t>
      </w:r>
    </w:p>
    <w:p w14:paraId="3809CA96">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第三十五条</w:t>
      </w:r>
      <w:r>
        <w:rPr>
          <w:snapToGrid w:val="0"/>
          <w:spacing w:val="4"/>
          <w:kern w:val="0"/>
          <w:sz w:val="24"/>
        </w:rPr>
        <w:t>　监理人在应当获得监理酬金之日起30日内仍未收到支付单据，而委托人又未对监理人提出任何书面解释时，或根据第三十三条及第三十四条已暂停执行监理业务时限超过六个月的，监理人可向委托人发出</w:t>
      </w:r>
      <w:r>
        <w:rPr>
          <w:rFonts w:hint="eastAsia"/>
          <w:snapToGrid w:val="0"/>
          <w:spacing w:val="4"/>
          <w:kern w:val="0"/>
          <w:sz w:val="24"/>
        </w:rPr>
        <w:t>说明要求</w:t>
      </w:r>
      <w:r>
        <w:rPr>
          <w:snapToGrid w:val="0"/>
          <w:spacing w:val="4"/>
          <w:kern w:val="0"/>
          <w:sz w:val="24"/>
        </w:rPr>
        <w:t>通知，发出通知后14日内仍未得到委托人答复，可进一步发出终止合同的通知，如果第二份通知发出后42日内仍未得到委托人答复，可终止合同或自行暂停或继续暂停执行全部或部分监理业务。委托人承担违约责任。</w:t>
      </w:r>
    </w:p>
    <w:p w14:paraId="10735D3B">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第三十六条</w:t>
      </w:r>
      <w:r>
        <w:rPr>
          <w:snapToGrid w:val="0"/>
          <w:spacing w:val="4"/>
          <w:kern w:val="0"/>
          <w:sz w:val="24"/>
        </w:rPr>
        <w:t>　监理人由于非自己的原因而暂停或终止执行监理业务，其</w:t>
      </w:r>
      <w:r>
        <w:rPr>
          <w:rFonts w:hint="eastAsia"/>
          <w:snapToGrid w:val="0"/>
          <w:spacing w:val="4"/>
          <w:kern w:val="0"/>
          <w:sz w:val="24"/>
        </w:rPr>
        <w:t>为实现合同履行目的需要而进行的</w:t>
      </w:r>
      <w:r>
        <w:rPr>
          <w:snapToGrid w:val="0"/>
          <w:spacing w:val="4"/>
          <w:kern w:val="0"/>
          <w:sz w:val="24"/>
        </w:rPr>
        <w:t>善后工作以及恢复执行监理业务的工作，应当视为额外工作，有权得到额外的酬金。</w:t>
      </w:r>
    </w:p>
    <w:p w14:paraId="064BC4BE">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第三十七条</w:t>
      </w:r>
      <w:r>
        <w:rPr>
          <w:snapToGrid w:val="0"/>
          <w:spacing w:val="4"/>
          <w:kern w:val="0"/>
          <w:sz w:val="24"/>
        </w:rPr>
        <w:t>　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14:paraId="21D551B4">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第三十八条</w:t>
      </w:r>
      <w:r>
        <w:rPr>
          <w:snapToGrid w:val="0"/>
          <w:spacing w:val="4"/>
          <w:kern w:val="0"/>
          <w:sz w:val="24"/>
        </w:rPr>
        <w:t>　合同协议的终止并不影响各方应有的权利和应当承担的责任。</w:t>
      </w:r>
    </w:p>
    <w:p w14:paraId="40AD6088">
      <w:pPr>
        <w:topLinePunct/>
        <w:adjustRightInd w:val="0"/>
        <w:snapToGrid w:val="0"/>
        <w:spacing w:line="360" w:lineRule="auto"/>
        <w:ind w:firstLine="578" w:firstLineChars="200"/>
        <w:rPr>
          <w:b/>
          <w:bCs/>
          <w:snapToGrid w:val="0"/>
          <w:spacing w:val="4"/>
          <w:kern w:val="0"/>
          <w:sz w:val="28"/>
          <w:szCs w:val="28"/>
        </w:rPr>
      </w:pPr>
      <w:r>
        <w:rPr>
          <w:b/>
          <w:bCs/>
          <w:snapToGrid w:val="0"/>
          <w:spacing w:val="4"/>
          <w:kern w:val="0"/>
          <w:sz w:val="28"/>
          <w:szCs w:val="28"/>
        </w:rPr>
        <w:t>监理酬金</w:t>
      </w:r>
    </w:p>
    <w:p w14:paraId="7B0BDCBF">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第三十九条</w:t>
      </w:r>
      <w:r>
        <w:rPr>
          <w:snapToGrid w:val="0"/>
          <w:spacing w:val="4"/>
          <w:kern w:val="0"/>
          <w:sz w:val="24"/>
        </w:rPr>
        <w:t>　正常的监理工作、附加工作和额外工作的酬金，按照监理合同专用条件中第三十九条的方法计算，并按约定的时间和数额支付。</w:t>
      </w:r>
    </w:p>
    <w:p w14:paraId="490653FF">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第四十条</w:t>
      </w:r>
      <w:r>
        <w:rPr>
          <w:snapToGrid w:val="0"/>
          <w:spacing w:val="4"/>
          <w:kern w:val="0"/>
          <w:sz w:val="24"/>
        </w:rPr>
        <w:t>　如果委托人在规定的支付期限内未支付监理酬金，自规定之日起，还应向监理人支付滞纳金。滞纳金从规定支付期限最后一日起计算。</w:t>
      </w:r>
    </w:p>
    <w:p w14:paraId="5E58389B">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第四十一条</w:t>
      </w:r>
      <w:r>
        <w:rPr>
          <w:snapToGrid w:val="0"/>
          <w:spacing w:val="4"/>
          <w:kern w:val="0"/>
          <w:sz w:val="24"/>
        </w:rPr>
        <w:t>　支付监理酬金所采取的货币币种、汇率由合同专用条件约定。</w:t>
      </w:r>
    </w:p>
    <w:p w14:paraId="2654FD7E">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第四十二条</w:t>
      </w:r>
      <w:r>
        <w:rPr>
          <w:snapToGrid w:val="0"/>
          <w:spacing w:val="4"/>
          <w:kern w:val="0"/>
          <w:sz w:val="24"/>
        </w:rPr>
        <w:t>　如果委托人对监理人提交的支付通知中酬金或部分酬金项目提出异议，应当在收到支付通知书24小时内向监理人发出表示异议的通知，但委托人不得拖延其他无异议酬金项目的支付。</w:t>
      </w:r>
    </w:p>
    <w:p w14:paraId="3E98437E">
      <w:pPr>
        <w:topLinePunct/>
        <w:adjustRightInd w:val="0"/>
        <w:snapToGrid w:val="0"/>
        <w:spacing w:line="360" w:lineRule="auto"/>
        <w:ind w:firstLine="578" w:firstLineChars="200"/>
        <w:rPr>
          <w:b/>
          <w:bCs/>
          <w:snapToGrid w:val="0"/>
          <w:spacing w:val="4"/>
          <w:kern w:val="0"/>
          <w:sz w:val="28"/>
          <w:szCs w:val="28"/>
        </w:rPr>
      </w:pPr>
      <w:r>
        <w:rPr>
          <w:b/>
          <w:bCs/>
          <w:snapToGrid w:val="0"/>
          <w:spacing w:val="4"/>
          <w:kern w:val="0"/>
          <w:sz w:val="28"/>
          <w:szCs w:val="28"/>
        </w:rPr>
        <w:t>其他</w:t>
      </w:r>
    </w:p>
    <w:p w14:paraId="3E9F029D">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第四十三条</w:t>
      </w:r>
      <w:r>
        <w:rPr>
          <w:snapToGrid w:val="0"/>
          <w:spacing w:val="4"/>
          <w:kern w:val="0"/>
          <w:sz w:val="24"/>
        </w:rPr>
        <w:t>　委托的建设工程监理所必要的监理人员出外考察、材料设备复试，其费用支出经委托人同意的，在预算范围内向委托人实报实销。</w:t>
      </w:r>
    </w:p>
    <w:p w14:paraId="2CB510C5">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第四十四条</w:t>
      </w:r>
      <w:r>
        <w:rPr>
          <w:snapToGrid w:val="0"/>
          <w:spacing w:val="4"/>
          <w:kern w:val="0"/>
          <w:sz w:val="24"/>
        </w:rPr>
        <w:t>　在监理业务范围内，如需聘用专家咨询或协助，由监理人聘用的，其费用由监理人承担；由委托人聘用的，其费用由委托人承担。</w:t>
      </w:r>
    </w:p>
    <w:p w14:paraId="001FDA0E">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第四十五条</w:t>
      </w:r>
      <w:r>
        <w:rPr>
          <w:snapToGrid w:val="0"/>
          <w:spacing w:val="4"/>
          <w:kern w:val="0"/>
          <w:sz w:val="24"/>
        </w:rPr>
        <w:t>　监理人在监理工作过程中提出</w:t>
      </w:r>
      <w:r>
        <w:rPr>
          <w:rFonts w:hint="eastAsia"/>
          <w:snapToGrid w:val="0"/>
          <w:spacing w:val="4"/>
          <w:kern w:val="0"/>
          <w:sz w:val="24"/>
        </w:rPr>
        <w:t>非合同服务范围内容</w:t>
      </w:r>
      <w:r>
        <w:rPr>
          <w:snapToGrid w:val="0"/>
          <w:spacing w:val="4"/>
          <w:kern w:val="0"/>
          <w:sz w:val="24"/>
        </w:rPr>
        <w:t>的合理化建议，使委托人得到了经济效益，委托人应按专用条件中的约定给予经济奖励。</w:t>
      </w:r>
    </w:p>
    <w:p w14:paraId="68FC286A">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第四十六条</w:t>
      </w:r>
      <w:r>
        <w:rPr>
          <w:snapToGrid w:val="0"/>
          <w:spacing w:val="4"/>
          <w:kern w:val="0"/>
          <w:sz w:val="24"/>
        </w:rPr>
        <w:t>　监理人驻地项目监理机构及其职员不得接受监理工程项目承包人的任何酬金或者经济利益。</w:t>
      </w:r>
    </w:p>
    <w:p w14:paraId="31B432E2">
      <w:pPr>
        <w:topLinePunct/>
        <w:adjustRightInd w:val="0"/>
        <w:snapToGrid w:val="0"/>
        <w:spacing w:line="360" w:lineRule="auto"/>
        <w:ind w:firstLine="496" w:firstLineChars="200"/>
        <w:rPr>
          <w:snapToGrid w:val="0"/>
          <w:spacing w:val="4"/>
          <w:kern w:val="0"/>
          <w:sz w:val="24"/>
        </w:rPr>
      </w:pPr>
      <w:r>
        <w:rPr>
          <w:snapToGrid w:val="0"/>
          <w:spacing w:val="4"/>
          <w:kern w:val="0"/>
          <w:sz w:val="24"/>
        </w:rPr>
        <w:t>监理人不得参与可能与合同规定的与委托人的利益相冲突的任何活动。</w:t>
      </w:r>
    </w:p>
    <w:p w14:paraId="2528F51F">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第四十七条</w:t>
      </w:r>
      <w:r>
        <w:rPr>
          <w:snapToGrid w:val="0"/>
          <w:spacing w:val="4"/>
          <w:kern w:val="0"/>
          <w:sz w:val="24"/>
        </w:rPr>
        <w:t>　监理人在监理过程中，不得泄露委托人申明的秘密，监理人亦不得泄露设计人、承包人等提供并申明的秘密。</w:t>
      </w:r>
    </w:p>
    <w:p w14:paraId="2DA670FC">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第四十八条</w:t>
      </w:r>
      <w:r>
        <w:rPr>
          <w:snapToGrid w:val="0"/>
          <w:spacing w:val="4"/>
          <w:kern w:val="0"/>
          <w:sz w:val="24"/>
        </w:rPr>
        <w:t>　</w:t>
      </w:r>
      <w:r>
        <w:rPr>
          <w:rFonts w:hint="eastAsia"/>
          <w:snapToGrid w:val="0"/>
          <w:spacing w:val="4"/>
          <w:kern w:val="0"/>
          <w:sz w:val="24"/>
        </w:rPr>
        <w:t>委托人对于由监理人履行本合同项下义务所编制的所有文件拥有版权，委托人有权为本合同工程使用或复制此类文件。</w:t>
      </w:r>
    </w:p>
    <w:p w14:paraId="0CDA796C">
      <w:pPr>
        <w:topLinePunct/>
        <w:adjustRightInd w:val="0"/>
        <w:snapToGrid w:val="0"/>
        <w:spacing w:line="360" w:lineRule="auto"/>
        <w:ind w:firstLine="578" w:firstLineChars="200"/>
        <w:rPr>
          <w:b/>
          <w:bCs/>
          <w:snapToGrid w:val="0"/>
          <w:spacing w:val="4"/>
          <w:kern w:val="0"/>
          <w:sz w:val="28"/>
          <w:szCs w:val="28"/>
        </w:rPr>
      </w:pPr>
      <w:r>
        <w:rPr>
          <w:b/>
          <w:bCs/>
          <w:snapToGrid w:val="0"/>
          <w:spacing w:val="4"/>
          <w:kern w:val="0"/>
          <w:sz w:val="28"/>
          <w:szCs w:val="28"/>
        </w:rPr>
        <w:t>争议的解决</w:t>
      </w:r>
    </w:p>
    <w:p w14:paraId="49DC7038">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第四十九条</w:t>
      </w:r>
      <w:r>
        <w:rPr>
          <w:snapToGrid w:val="0"/>
          <w:spacing w:val="4"/>
          <w:kern w:val="0"/>
          <w:sz w:val="24"/>
        </w:rPr>
        <w:t>　因</w:t>
      </w:r>
      <w:r>
        <w:rPr>
          <w:rFonts w:hint="eastAsia"/>
          <w:snapToGrid w:val="0"/>
          <w:spacing w:val="4"/>
          <w:kern w:val="0"/>
          <w:sz w:val="24"/>
        </w:rPr>
        <w:t>本合同引起的纠纷，包括但不限于</w:t>
      </w:r>
      <w:r>
        <w:rPr>
          <w:snapToGrid w:val="0"/>
          <w:spacing w:val="4"/>
          <w:kern w:val="0"/>
          <w:sz w:val="24"/>
        </w:rPr>
        <w:t>违反或终止合同而引起的对对方损失和损害的赔偿，双方应当协商解决，如未能达成一致，可提交主管部门协调，如仍未能达成一致时，向</w:t>
      </w:r>
      <w:r>
        <w:rPr>
          <w:rFonts w:hint="eastAsia"/>
          <w:snapToGrid w:val="0"/>
          <w:spacing w:val="4"/>
          <w:kern w:val="0"/>
          <w:sz w:val="24"/>
        </w:rPr>
        <w:t>委托人所在地</w:t>
      </w:r>
      <w:r>
        <w:rPr>
          <w:snapToGrid w:val="0"/>
          <w:spacing w:val="4"/>
          <w:kern w:val="0"/>
          <w:sz w:val="24"/>
        </w:rPr>
        <w:t>人民法院起诉。</w:t>
      </w:r>
    </w:p>
    <w:p w14:paraId="3E1FF153">
      <w:pPr>
        <w:topLinePunct/>
        <w:adjustRightInd w:val="0"/>
        <w:snapToGrid w:val="0"/>
        <w:spacing w:before="120" w:after="120"/>
        <w:jc w:val="left"/>
        <w:outlineLvl w:val="0"/>
        <w:rPr>
          <w:rFonts w:eastAsia="黑体"/>
          <w:b/>
          <w:snapToGrid w:val="0"/>
          <w:spacing w:val="4"/>
          <w:kern w:val="0"/>
          <w:sz w:val="30"/>
          <w:szCs w:val="30"/>
        </w:rPr>
      </w:pPr>
      <w:r>
        <w:rPr>
          <w:snapToGrid w:val="0"/>
          <w:spacing w:val="4"/>
          <w:kern w:val="0"/>
          <w:sz w:val="24"/>
        </w:rPr>
        <w:t>（本页以下无正文）</w:t>
      </w:r>
      <w:r>
        <w:rPr>
          <w:rFonts w:eastAsia="黑体"/>
          <w:b/>
          <w:snapToGrid w:val="0"/>
          <w:spacing w:val="4"/>
          <w:kern w:val="0"/>
          <w:sz w:val="44"/>
          <w:szCs w:val="44"/>
        </w:rPr>
        <w:br w:type="page"/>
      </w:r>
      <w:bookmarkStart w:id="575" w:name="_Toc191697648"/>
      <w:bookmarkStart w:id="576" w:name="_Toc313869535"/>
      <w:r>
        <w:rPr>
          <w:rFonts w:eastAsia="黑体"/>
          <w:b/>
          <w:snapToGrid w:val="0"/>
          <w:spacing w:val="4"/>
          <w:kern w:val="0"/>
          <w:sz w:val="30"/>
          <w:szCs w:val="30"/>
        </w:rPr>
        <w:t>第四篇  合同附件</w:t>
      </w:r>
      <w:bookmarkEnd w:id="575"/>
      <w:bookmarkEnd w:id="576"/>
    </w:p>
    <w:p w14:paraId="70BB7334">
      <w:pPr>
        <w:topLinePunct/>
        <w:adjustRightInd w:val="0"/>
        <w:snapToGrid w:val="0"/>
        <w:spacing w:line="360" w:lineRule="auto"/>
        <w:ind w:firstLine="744" w:firstLineChars="300"/>
        <w:rPr>
          <w:bCs/>
          <w:snapToGrid w:val="0"/>
          <w:spacing w:val="4"/>
          <w:kern w:val="0"/>
          <w:sz w:val="24"/>
        </w:rPr>
      </w:pPr>
      <w:bookmarkStart w:id="577" w:name="_Toc191697649"/>
      <w:r>
        <w:rPr>
          <w:rFonts w:eastAsia="黑体"/>
          <w:bCs/>
          <w:snapToGrid w:val="0"/>
          <w:spacing w:val="4"/>
          <w:kern w:val="0"/>
          <w:sz w:val="24"/>
          <w:bdr w:val="single" w:color="auto" w:sz="4" w:space="0"/>
        </w:rPr>
        <w:t>√</w:t>
      </w:r>
      <w:r>
        <w:rPr>
          <w:bCs/>
          <w:snapToGrid w:val="0"/>
          <w:spacing w:val="4"/>
          <w:kern w:val="0"/>
          <w:sz w:val="24"/>
        </w:rPr>
        <w:t xml:space="preserve"> 附件1：工程建设廉洁协议书</w:t>
      </w:r>
    </w:p>
    <w:p w14:paraId="54A955D1">
      <w:pPr>
        <w:topLinePunct/>
        <w:adjustRightInd w:val="0"/>
        <w:snapToGrid w:val="0"/>
        <w:spacing w:line="360" w:lineRule="auto"/>
        <w:ind w:firstLine="744" w:firstLineChars="300"/>
        <w:rPr>
          <w:bCs/>
          <w:snapToGrid w:val="0"/>
          <w:spacing w:val="4"/>
          <w:kern w:val="0"/>
          <w:sz w:val="24"/>
        </w:rPr>
      </w:pPr>
      <w:r>
        <w:rPr>
          <w:rFonts w:eastAsia="黑体"/>
          <w:bCs/>
          <w:snapToGrid w:val="0"/>
          <w:spacing w:val="4"/>
          <w:kern w:val="0"/>
          <w:sz w:val="24"/>
          <w:bdr w:val="single" w:color="auto" w:sz="4" w:space="0"/>
        </w:rPr>
        <w:t>√</w:t>
      </w:r>
      <w:r>
        <w:rPr>
          <w:bCs/>
          <w:snapToGrid w:val="0"/>
          <w:spacing w:val="4"/>
          <w:kern w:val="0"/>
          <w:sz w:val="24"/>
        </w:rPr>
        <w:t xml:space="preserve"> 附件2：各阶段工作成果文件的要求</w:t>
      </w:r>
    </w:p>
    <w:p w14:paraId="5E9BE25A">
      <w:pPr>
        <w:topLinePunct/>
        <w:adjustRightInd w:val="0"/>
        <w:snapToGrid w:val="0"/>
        <w:spacing w:line="360" w:lineRule="auto"/>
        <w:ind w:firstLine="744" w:firstLineChars="300"/>
        <w:rPr>
          <w:bCs/>
          <w:snapToGrid w:val="0"/>
          <w:spacing w:val="4"/>
          <w:kern w:val="0"/>
          <w:sz w:val="24"/>
        </w:rPr>
      </w:pPr>
      <w:r>
        <w:rPr>
          <w:rFonts w:eastAsia="黑体"/>
          <w:bCs/>
          <w:snapToGrid w:val="0"/>
          <w:spacing w:val="4"/>
          <w:kern w:val="0"/>
          <w:sz w:val="24"/>
          <w:bdr w:val="single" w:color="auto" w:sz="4" w:space="0"/>
        </w:rPr>
        <w:t>√</w:t>
      </w:r>
      <w:r>
        <w:rPr>
          <w:bCs/>
          <w:snapToGrid w:val="0"/>
          <w:spacing w:val="4"/>
          <w:kern w:val="0"/>
          <w:sz w:val="24"/>
        </w:rPr>
        <w:t xml:space="preserve"> 附件3：项目监理机构及监理人员</w:t>
      </w:r>
    </w:p>
    <w:p w14:paraId="29B4FA44">
      <w:pPr>
        <w:topLinePunct/>
        <w:adjustRightInd w:val="0"/>
        <w:snapToGrid w:val="0"/>
        <w:spacing w:line="360" w:lineRule="auto"/>
        <w:ind w:firstLine="1612" w:firstLineChars="650"/>
        <w:rPr>
          <w:bCs/>
          <w:snapToGrid w:val="0"/>
          <w:spacing w:val="4"/>
          <w:kern w:val="0"/>
          <w:sz w:val="24"/>
        </w:rPr>
      </w:pPr>
      <w:r>
        <w:rPr>
          <w:bCs/>
          <w:snapToGrid w:val="0"/>
          <w:spacing w:val="4"/>
          <w:kern w:val="0"/>
          <w:sz w:val="24"/>
        </w:rPr>
        <w:t>（一）项目监理机构图</w:t>
      </w:r>
    </w:p>
    <w:p w14:paraId="44D6C6FA">
      <w:pPr>
        <w:topLinePunct/>
        <w:adjustRightInd w:val="0"/>
        <w:snapToGrid w:val="0"/>
        <w:spacing w:line="360" w:lineRule="auto"/>
        <w:ind w:firstLine="1612" w:firstLineChars="650"/>
        <w:rPr>
          <w:bCs/>
          <w:snapToGrid w:val="0"/>
          <w:spacing w:val="4"/>
          <w:kern w:val="0"/>
          <w:sz w:val="24"/>
        </w:rPr>
      </w:pPr>
      <w:r>
        <w:rPr>
          <w:rFonts w:hint="eastAsia"/>
          <w:bCs/>
          <w:snapToGrid w:val="0"/>
          <w:spacing w:val="4"/>
          <w:kern w:val="0"/>
          <w:sz w:val="24"/>
        </w:rPr>
        <w:t>（二）项目监理人员组成配备要求表</w:t>
      </w:r>
    </w:p>
    <w:p w14:paraId="3F449638">
      <w:pPr>
        <w:topLinePunct/>
        <w:adjustRightInd w:val="0"/>
        <w:snapToGrid w:val="0"/>
        <w:spacing w:line="360" w:lineRule="auto"/>
        <w:ind w:firstLine="1612" w:firstLineChars="650"/>
        <w:rPr>
          <w:snapToGrid w:val="0"/>
          <w:spacing w:val="4"/>
          <w:kern w:val="0"/>
          <w:sz w:val="24"/>
        </w:rPr>
      </w:pPr>
      <w:r>
        <w:rPr>
          <w:bCs/>
          <w:snapToGrid w:val="0"/>
          <w:spacing w:val="4"/>
          <w:kern w:val="0"/>
          <w:sz w:val="24"/>
        </w:rPr>
        <w:t>（</w:t>
      </w:r>
      <w:r>
        <w:rPr>
          <w:rFonts w:hint="eastAsia"/>
          <w:bCs/>
          <w:snapToGrid w:val="0"/>
          <w:spacing w:val="4"/>
          <w:kern w:val="0"/>
          <w:sz w:val="24"/>
        </w:rPr>
        <w:t>三</w:t>
      </w:r>
      <w:r>
        <w:rPr>
          <w:bCs/>
          <w:snapToGrid w:val="0"/>
          <w:spacing w:val="4"/>
          <w:kern w:val="0"/>
          <w:sz w:val="24"/>
        </w:rPr>
        <w:t>）施工准备阶段</w:t>
      </w:r>
      <w:r>
        <w:rPr>
          <w:snapToGrid w:val="0"/>
          <w:spacing w:val="4"/>
          <w:kern w:val="0"/>
          <w:sz w:val="24"/>
        </w:rPr>
        <w:t>监理人员投入一览表</w:t>
      </w:r>
    </w:p>
    <w:p w14:paraId="0A8745E1">
      <w:pPr>
        <w:topLinePunct/>
        <w:adjustRightInd w:val="0"/>
        <w:snapToGrid w:val="0"/>
        <w:spacing w:line="360" w:lineRule="auto"/>
        <w:ind w:firstLine="1612" w:firstLineChars="650"/>
        <w:rPr>
          <w:snapToGrid w:val="0"/>
          <w:spacing w:val="4"/>
          <w:kern w:val="0"/>
          <w:sz w:val="24"/>
        </w:rPr>
      </w:pPr>
      <w:r>
        <w:rPr>
          <w:snapToGrid w:val="0"/>
          <w:spacing w:val="4"/>
          <w:kern w:val="0"/>
          <w:sz w:val="24"/>
        </w:rPr>
        <w:t>（</w:t>
      </w:r>
      <w:r>
        <w:rPr>
          <w:rFonts w:hint="eastAsia"/>
          <w:snapToGrid w:val="0"/>
          <w:spacing w:val="4"/>
          <w:kern w:val="0"/>
          <w:sz w:val="24"/>
        </w:rPr>
        <w:t>四</w:t>
      </w:r>
      <w:r>
        <w:rPr>
          <w:snapToGrid w:val="0"/>
          <w:spacing w:val="4"/>
          <w:kern w:val="0"/>
          <w:sz w:val="24"/>
        </w:rPr>
        <w:t>）施工阶段监理人员投入一览表</w:t>
      </w:r>
    </w:p>
    <w:p w14:paraId="5C80A875">
      <w:pPr>
        <w:topLinePunct/>
        <w:adjustRightInd w:val="0"/>
        <w:snapToGrid w:val="0"/>
        <w:spacing w:line="360" w:lineRule="auto"/>
        <w:ind w:firstLine="1612" w:firstLineChars="650"/>
        <w:rPr>
          <w:bCs/>
          <w:snapToGrid w:val="0"/>
          <w:spacing w:val="4"/>
          <w:kern w:val="0"/>
          <w:sz w:val="24"/>
        </w:rPr>
      </w:pPr>
      <w:r>
        <w:rPr>
          <w:snapToGrid w:val="0"/>
          <w:spacing w:val="4"/>
          <w:kern w:val="0"/>
          <w:sz w:val="24"/>
        </w:rPr>
        <w:t>（</w:t>
      </w:r>
      <w:r>
        <w:rPr>
          <w:rFonts w:hint="eastAsia"/>
          <w:snapToGrid w:val="0"/>
          <w:spacing w:val="4"/>
          <w:kern w:val="0"/>
          <w:sz w:val="24"/>
        </w:rPr>
        <w:t>五</w:t>
      </w:r>
      <w:r>
        <w:rPr>
          <w:snapToGrid w:val="0"/>
          <w:spacing w:val="4"/>
          <w:kern w:val="0"/>
          <w:sz w:val="24"/>
        </w:rPr>
        <w:t>）工程收尾阶段监理人员投入一览表</w:t>
      </w:r>
    </w:p>
    <w:p w14:paraId="055FC679">
      <w:pPr>
        <w:topLinePunct/>
        <w:adjustRightInd w:val="0"/>
        <w:snapToGrid w:val="0"/>
        <w:spacing w:line="360" w:lineRule="auto"/>
        <w:ind w:firstLine="744" w:firstLineChars="300"/>
        <w:rPr>
          <w:bCs/>
          <w:snapToGrid w:val="0"/>
          <w:spacing w:val="4"/>
          <w:kern w:val="0"/>
          <w:sz w:val="24"/>
        </w:rPr>
      </w:pPr>
      <w:r>
        <w:rPr>
          <w:rFonts w:eastAsia="黑体"/>
          <w:bCs/>
          <w:snapToGrid w:val="0"/>
          <w:spacing w:val="4"/>
          <w:kern w:val="0"/>
          <w:sz w:val="24"/>
          <w:bdr w:val="single" w:color="auto" w:sz="4" w:space="0"/>
        </w:rPr>
        <w:t>√</w:t>
      </w:r>
      <w:r>
        <w:rPr>
          <w:bCs/>
          <w:snapToGrid w:val="0"/>
          <w:spacing w:val="4"/>
          <w:kern w:val="0"/>
          <w:sz w:val="24"/>
        </w:rPr>
        <w:t xml:space="preserve"> 附件4：监理人</w:t>
      </w:r>
      <w:r>
        <w:rPr>
          <w:snapToGrid w:val="0"/>
          <w:spacing w:val="4"/>
          <w:kern w:val="0"/>
          <w:sz w:val="24"/>
        </w:rPr>
        <w:t>拟投入本工程的通讯、办公、试验检测设备一览表</w:t>
      </w:r>
    </w:p>
    <w:p w14:paraId="49DFC06E">
      <w:pPr>
        <w:topLinePunct/>
        <w:adjustRightInd w:val="0"/>
        <w:snapToGrid w:val="0"/>
        <w:spacing w:line="360" w:lineRule="auto"/>
        <w:ind w:firstLine="744" w:firstLineChars="300"/>
        <w:rPr>
          <w:bCs/>
          <w:snapToGrid w:val="0"/>
          <w:spacing w:val="4"/>
          <w:kern w:val="0"/>
          <w:sz w:val="24"/>
        </w:rPr>
      </w:pPr>
      <w:r>
        <w:rPr>
          <w:rFonts w:eastAsia="黑体"/>
          <w:bCs/>
          <w:snapToGrid w:val="0"/>
          <w:spacing w:val="4"/>
          <w:kern w:val="0"/>
          <w:sz w:val="24"/>
          <w:bdr w:val="single" w:color="auto" w:sz="4" w:space="0"/>
        </w:rPr>
        <w:t>√</w:t>
      </w:r>
      <w:r>
        <w:rPr>
          <w:bCs/>
          <w:snapToGrid w:val="0"/>
          <w:spacing w:val="4"/>
          <w:kern w:val="0"/>
          <w:sz w:val="24"/>
        </w:rPr>
        <w:t xml:space="preserve"> 附件5：监理人承诺书</w:t>
      </w:r>
    </w:p>
    <w:p w14:paraId="7A0BBA21">
      <w:pPr>
        <w:topLinePunct/>
        <w:adjustRightInd w:val="0"/>
        <w:snapToGrid w:val="0"/>
        <w:spacing w:line="360" w:lineRule="auto"/>
        <w:ind w:firstLine="744" w:firstLineChars="300"/>
        <w:rPr>
          <w:bCs/>
          <w:snapToGrid w:val="0"/>
          <w:spacing w:val="4"/>
          <w:kern w:val="0"/>
          <w:sz w:val="24"/>
        </w:rPr>
      </w:pPr>
      <w:r>
        <w:rPr>
          <w:rFonts w:eastAsia="黑体"/>
          <w:bCs/>
          <w:snapToGrid w:val="0"/>
          <w:spacing w:val="4"/>
          <w:kern w:val="0"/>
          <w:sz w:val="24"/>
          <w:bdr w:val="single" w:color="auto" w:sz="4" w:space="0"/>
        </w:rPr>
        <w:t>√</w:t>
      </w:r>
      <w:r>
        <w:rPr>
          <w:bCs/>
          <w:snapToGrid w:val="0"/>
          <w:spacing w:val="4"/>
          <w:kern w:val="0"/>
          <w:sz w:val="24"/>
        </w:rPr>
        <w:t xml:space="preserve"> 附件6：监理人履约银行保函及其承诺书</w:t>
      </w:r>
      <w:r>
        <w:rPr>
          <w:bCs/>
          <w:snapToGrid w:val="0"/>
          <w:spacing w:val="-4"/>
          <w:kern w:val="0"/>
          <w:sz w:val="24"/>
        </w:rPr>
        <w:t>（格式）</w:t>
      </w:r>
    </w:p>
    <w:p w14:paraId="49171081">
      <w:pPr>
        <w:topLinePunct/>
        <w:adjustRightInd w:val="0"/>
        <w:snapToGrid w:val="0"/>
        <w:spacing w:line="360" w:lineRule="auto"/>
        <w:ind w:firstLine="744" w:firstLineChars="300"/>
        <w:rPr>
          <w:bCs/>
          <w:snapToGrid w:val="0"/>
          <w:spacing w:val="-4"/>
          <w:kern w:val="0"/>
          <w:sz w:val="24"/>
        </w:rPr>
      </w:pPr>
      <w:r>
        <w:rPr>
          <w:rFonts w:eastAsia="黑体"/>
          <w:bCs/>
          <w:snapToGrid w:val="0"/>
          <w:spacing w:val="4"/>
          <w:kern w:val="0"/>
          <w:sz w:val="24"/>
          <w:bdr w:val="single" w:color="auto" w:sz="4" w:space="0"/>
        </w:rPr>
        <w:t>√</w:t>
      </w:r>
      <w:r>
        <w:rPr>
          <w:bCs/>
          <w:snapToGrid w:val="0"/>
          <w:spacing w:val="4"/>
          <w:kern w:val="0"/>
          <w:sz w:val="24"/>
        </w:rPr>
        <w:t xml:space="preserve"> </w:t>
      </w:r>
      <w:r>
        <w:rPr>
          <w:bCs/>
          <w:snapToGrid w:val="0"/>
          <w:spacing w:val="-4"/>
          <w:kern w:val="0"/>
          <w:sz w:val="24"/>
        </w:rPr>
        <w:t>附件7：监理单位安全生产管理目标责任书</w:t>
      </w:r>
    </w:p>
    <w:p w14:paraId="7BF79A46">
      <w:pPr>
        <w:topLinePunct/>
        <w:adjustRightInd w:val="0"/>
        <w:snapToGrid w:val="0"/>
        <w:spacing w:line="360" w:lineRule="auto"/>
        <w:ind w:firstLine="744" w:firstLineChars="300"/>
        <w:rPr>
          <w:bCs/>
          <w:snapToGrid w:val="0"/>
          <w:spacing w:val="4"/>
          <w:kern w:val="0"/>
          <w:sz w:val="24"/>
        </w:rPr>
      </w:pPr>
      <w:r>
        <w:rPr>
          <w:rFonts w:eastAsia="黑体"/>
          <w:bCs/>
          <w:snapToGrid w:val="0"/>
          <w:spacing w:val="4"/>
          <w:kern w:val="0"/>
          <w:sz w:val="24"/>
          <w:bdr w:val="single" w:color="auto" w:sz="4" w:space="0"/>
        </w:rPr>
        <w:t>√</w:t>
      </w:r>
      <w:r>
        <w:rPr>
          <w:bCs/>
          <w:snapToGrid w:val="0"/>
          <w:spacing w:val="-4"/>
          <w:kern w:val="0"/>
          <w:sz w:val="24"/>
        </w:rPr>
        <w:t xml:space="preserve">  附件8：</w:t>
      </w:r>
      <w:r>
        <w:rPr>
          <w:bCs/>
          <w:snapToGrid w:val="0"/>
          <w:spacing w:val="4"/>
          <w:kern w:val="0"/>
          <w:sz w:val="24"/>
        </w:rPr>
        <w:t>本项目招标澄清、答疑文件</w:t>
      </w:r>
    </w:p>
    <w:p w14:paraId="43295A2C">
      <w:pPr>
        <w:topLinePunct/>
        <w:adjustRightInd w:val="0"/>
        <w:snapToGrid w:val="0"/>
        <w:spacing w:line="360" w:lineRule="auto"/>
        <w:ind w:firstLine="719" w:firstLineChars="290"/>
        <w:rPr>
          <w:bCs/>
          <w:snapToGrid w:val="0"/>
          <w:spacing w:val="-4"/>
          <w:kern w:val="0"/>
          <w:sz w:val="24"/>
        </w:rPr>
      </w:pPr>
      <w:r>
        <w:rPr>
          <w:rFonts w:eastAsia="黑体"/>
          <w:bCs/>
          <w:snapToGrid w:val="0"/>
          <w:spacing w:val="4"/>
          <w:kern w:val="0"/>
          <w:sz w:val="24"/>
          <w:bdr w:val="single" w:color="auto" w:sz="4" w:space="0"/>
        </w:rPr>
        <w:t>√</w:t>
      </w:r>
      <w:r>
        <w:rPr>
          <w:bCs/>
          <w:snapToGrid w:val="0"/>
          <w:spacing w:val="4"/>
          <w:kern w:val="0"/>
          <w:sz w:val="24"/>
        </w:rPr>
        <w:t xml:space="preserve"> </w:t>
      </w:r>
      <w:r>
        <w:rPr>
          <w:bCs/>
          <w:snapToGrid w:val="0"/>
          <w:spacing w:val="-4"/>
          <w:kern w:val="0"/>
          <w:sz w:val="24"/>
        </w:rPr>
        <w:t>附件9：监理人法定代表人、项目总监理工程师、项目总监理工程师代表的姓名、身份证复印件、职务、职称、联系方式</w:t>
      </w:r>
    </w:p>
    <w:p w14:paraId="2628457F">
      <w:pPr>
        <w:topLinePunct/>
        <w:adjustRightInd w:val="0"/>
        <w:snapToGrid w:val="0"/>
        <w:spacing w:line="360" w:lineRule="auto"/>
        <w:ind w:firstLine="716" w:firstLineChars="289"/>
        <w:rPr>
          <w:bCs/>
          <w:snapToGrid w:val="0"/>
          <w:spacing w:val="-4"/>
          <w:kern w:val="0"/>
          <w:sz w:val="24"/>
        </w:rPr>
      </w:pPr>
      <w:r>
        <w:rPr>
          <w:rFonts w:eastAsia="黑体"/>
          <w:bCs/>
          <w:snapToGrid w:val="0"/>
          <w:spacing w:val="4"/>
          <w:kern w:val="0"/>
          <w:sz w:val="24"/>
          <w:bdr w:val="single" w:color="auto" w:sz="4" w:space="0"/>
        </w:rPr>
        <w:t>√</w:t>
      </w:r>
      <w:r>
        <w:rPr>
          <w:bCs/>
          <w:snapToGrid w:val="0"/>
          <w:spacing w:val="-4"/>
          <w:kern w:val="0"/>
          <w:sz w:val="24"/>
        </w:rPr>
        <w:t xml:space="preserve"> 附件10：中标通知书</w:t>
      </w:r>
    </w:p>
    <w:p w14:paraId="65497A5D">
      <w:pPr>
        <w:topLinePunct/>
        <w:adjustRightInd w:val="0"/>
        <w:snapToGrid w:val="0"/>
        <w:spacing w:line="360" w:lineRule="auto"/>
        <w:ind w:firstLine="691" w:firstLineChars="279"/>
        <w:rPr>
          <w:bCs/>
          <w:snapToGrid w:val="0"/>
          <w:spacing w:val="-4"/>
          <w:kern w:val="0"/>
          <w:sz w:val="24"/>
        </w:rPr>
      </w:pPr>
      <w:r>
        <w:rPr>
          <w:rFonts w:eastAsia="黑体"/>
          <w:bCs/>
          <w:snapToGrid w:val="0"/>
          <w:spacing w:val="4"/>
          <w:kern w:val="0"/>
          <w:sz w:val="24"/>
          <w:bdr w:val="single" w:color="auto" w:sz="4" w:space="0"/>
        </w:rPr>
        <w:t>√</w:t>
      </w:r>
      <w:r>
        <w:rPr>
          <w:bCs/>
          <w:snapToGrid w:val="0"/>
          <w:spacing w:val="-4"/>
          <w:kern w:val="0"/>
          <w:sz w:val="24"/>
        </w:rPr>
        <w:t>附件11：工程质量终身责任承诺书（含法定代表人授权书）</w:t>
      </w:r>
    </w:p>
    <w:p w14:paraId="54E1C48A">
      <w:pPr>
        <w:topLinePunct/>
        <w:adjustRightInd w:val="0"/>
        <w:snapToGrid w:val="0"/>
        <w:spacing w:line="360" w:lineRule="auto"/>
        <w:ind w:firstLine="744" w:firstLineChars="300"/>
        <w:rPr>
          <w:bCs/>
          <w:snapToGrid w:val="0"/>
          <w:spacing w:val="4"/>
          <w:kern w:val="0"/>
          <w:sz w:val="24"/>
        </w:rPr>
      </w:pPr>
    </w:p>
    <w:p w14:paraId="10982D4D">
      <w:pPr>
        <w:topLinePunct/>
        <w:adjustRightInd w:val="0"/>
        <w:snapToGrid w:val="0"/>
        <w:spacing w:line="360" w:lineRule="auto"/>
        <w:rPr>
          <w:b/>
          <w:snapToGrid w:val="0"/>
          <w:spacing w:val="4"/>
          <w:kern w:val="0"/>
          <w:sz w:val="24"/>
        </w:rPr>
      </w:pPr>
    </w:p>
    <w:p w14:paraId="3C68C4B5">
      <w:pPr>
        <w:topLinePunct/>
        <w:adjustRightInd w:val="0"/>
        <w:snapToGrid w:val="0"/>
        <w:spacing w:line="360" w:lineRule="auto"/>
        <w:rPr>
          <w:b/>
          <w:snapToGrid w:val="0"/>
          <w:spacing w:val="4"/>
          <w:kern w:val="0"/>
          <w:sz w:val="24"/>
        </w:rPr>
      </w:pPr>
    </w:p>
    <w:p w14:paraId="0492BC58">
      <w:pPr>
        <w:spacing w:line="360" w:lineRule="auto"/>
        <w:outlineLvl w:val="1"/>
        <w:rPr>
          <w:sz w:val="24"/>
        </w:rPr>
      </w:pPr>
      <w:r>
        <w:rPr>
          <w:b/>
        </w:rPr>
        <w:br w:type="page"/>
      </w:r>
      <w:bookmarkEnd w:id="577"/>
      <w:bookmarkStart w:id="578" w:name="_Toc305848753"/>
      <w:r>
        <w:rPr>
          <w:b/>
          <w:sz w:val="24"/>
        </w:rPr>
        <w:t>附件1：</w:t>
      </w:r>
      <w:bookmarkEnd w:id="578"/>
      <w:r>
        <w:rPr>
          <w:b/>
          <w:sz w:val="24"/>
        </w:rPr>
        <w:t>工程建设廉洁协议书</w:t>
      </w:r>
    </w:p>
    <w:p w14:paraId="12106E66">
      <w:pPr>
        <w:jc w:val="center"/>
        <w:rPr>
          <w:rFonts w:eastAsia="华文中宋"/>
          <w:sz w:val="32"/>
          <w:szCs w:val="32"/>
        </w:rPr>
      </w:pPr>
      <w:bookmarkStart w:id="579" w:name="_Toc132199659"/>
      <w:r>
        <w:rPr>
          <w:rFonts w:eastAsia="华文中宋"/>
          <w:sz w:val="32"/>
          <w:szCs w:val="32"/>
        </w:rPr>
        <w:t>工程建设廉洁协议书</w:t>
      </w:r>
    </w:p>
    <w:p w14:paraId="6611C0E0">
      <w:pPr>
        <w:adjustRightInd w:val="0"/>
        <w:snapToGrid w:val="0"/>
        <w:spacing w:line="360" w:lineRule="auto"/>
        <w:rPr>
          <w:szCs w:val="21"/>
        </w:rPr>
      </w:pPr>
    </w:p>
    <w:p w14:paraId="0AA32760">
      <w:pPr>
        <w:adjustRightInd w:val="0"/>
        <w:snapToGrid w:val="0"/>
        <w:spacing w:line="360" w:lineRule="auto"/>
        <w:rPr>
          <w:sz w:val="24"/>
          <w:u w:val="single"/>
        </w:rPr>
      </w:pPr>
      <w:r>
        <w:rPr>
          <w:bCs/>
          <w:snapToGrid w:val="0"/>
          <w:kern w:val="0"/>
          <w:sz w:val="24"/>
        </w:rPr>
        <w:t>工程项目名称：</w:t>
      </w:r>
      <w:r>
        <w:rPr>
          <w:snapToGrid w:val="0"/>
          <w:spacing w:val="4"/>
          <w:kern w:val="0"/>
          <w:sz w:val="24"/>
        </w:rPr>
        <w:t>中山大学附属第一医院</w:t>
      </w:r>
      <w:r>
        <w:rPr>
          <w:rFonts w:hint="eastAsia"/>
          <w:snapToGrid w:val="0"/>
          <w:spacing w:val="4"/>
          <w:kern w:val="0"/>
          <w:sz w:val="24"/>
        </w:rPr>
        <w:t>病房改造建设及能力提升项目</w:t>
      </w:r>
    </w:p>
    <w:p w14:paraId="3F5B0472">
      <w:pPr>
        <w:adjustRightInd w:val="0"/>
        <w:snapToGrid w:val="0"/>
        <w:spacing w:line="360" w:lineRule="auto"/>
        <w:rPr>
          <w:sz w:val="24"/>
          <w:u w:val="single"/>
        </w:rPr>
      </w:pPr>
      <w:r>
        <w:rPr>
          <w:bCs/>
          <w:snapToGrid w:val="0"/>
          <w:kern w:val="0"/>
          <w:sz w:val="24"/>
        </w:rPr>
        <w:t>工程项目地址：</w:t>
      </w:r>
      <w:r>
        <w:rPr>
          <w:rFonts w:hint="eastAsia"/>
          <w:snapToGrid w:val="0"/>
          <w:spacing w:val="4"/>
          <w:kern w:val="0"/>
          <w:sz w:val="24"/>
        </w:rPr>
        <w:t>广州市越秀区中山二路58号</w:t>
      </w:r>
    </w:p>
    <w:p w14:paraId="4200460F">
      <w:pPr>
        <w:adjustRightInd w:val="0"/>
        <w:snapToGrid w:val="0"/>
        <w:spacing w:line="360" w:lineRule="auto"/>
        <w:rPr>
          <w:bCs/>
          <w:snapToGrid w:val="0"/>
          <w:kern w:val="0"/>
          <w:sz w:val="24"/>
        </w:rPr>
      </w:pPr>
      <w:r>
        <w:rPr>
          <w:rFonts w:hint="eastAsia"/>
          <w:bCs/>
          <w:snapToGrid w:val="0"/>
          <w:kern w:val="0"/>
          <w:sz w:val="24"/>
        </w:rPr>
        <w:t>委托人</w:t>
      </w:r>
      <w:r>
        <w:rPr>
          <w:bCs/>
          <w:snapToGrid w:val="0"/>
          <w:kern w:val="0"/>
          <w:sz w:val="24"/>
        </w:rPr>
        <w:t>：中山大学附属第一医院</w:t>
      </w:r>
    </w:p>
    <w:p w14:paraId="63BF5E82">
      <w:pPr>
        <w:adjustRightInd w:val="0"/>
        <w:snapToGrid w:val="0"/>
        <w:spacing w:line="360" w:lineRule="auto"/>
        <w:rPr>
          <w:bCs/>
          <w:snapToGrid w:val="0"/>
          <w:kern w:val="0"/>
          <w:sz w:val="24"/>
        </w:rPr>
      </w:pPr>
    </w:p>
    <w:p w14:paraId="71B40E27">
      <w:pPr>
        <w:adjustRightInd w:val="0"/>
        <w:snapToGrid w:val="0"/>
        <w:spacing w:line="360" w:lineRule="auto"/>
        <w:rPr>
          <w:bCs/>
          <w:snapToGrid w:val="0"/>
          <w:kern w:val="0"/>
          <w:sz w:val="24"/>
        </w:rPr>
      </w:pPr>
      <w:r>
        <w:rPr>
          <w:bCs/>
          <w:snapToGrid w:val="0"/>
          <w:kern w:val="0"/>
          <w:sz w:val="24"/>
        </w:rPr>
        <w:t xml:space="preserve">监理人： </w:t>
      </w:r>
    </w:p>
    <w:p w14:paraId="504034B9">
      <w:pPr>
        <w:adjustRightInd w:val="0"/>
        <w:snapToGrid w:val="0"/>
        <w:spacing w:line="360" w:lineRule="auto"/>
        <w:ind w:firstLine="480" w:firstLineChars="200"/>
        <w:rPr>
          <w:sz w:val="24"/>
        </w:rPr>
      </w:pPr>
      <w:r>
        <w:rPr>
          <w:sz w:val="24"/>
        </w:rPr>
        <w:t>为切实加强廉洁工程建设，规范委托人、监理人双方的各项建筑活动，预防本工程</w:t>
      </w:r>
      <w:r>
        <w:rPr>
          <w:snapToGrid w:val="0"/>
          <w:sz w:val="24"/>
        </w:rPr>
        <w:t>违法违纪等腐败现象的发生</w:t>
      </w:r>
      <w:r>
        <w:rPr>
          <w:sz w:val="24"/>
        </w:rPr>
        <w:t>，保障工程建设优质、安全和廉洁，根据《广州市建筑市场廉洁准入规定》及相关法律法规的规定，特订立协议书。</w:t>
      </w:r>
    </w:p>
    <w:p w14:paraId="42A3132D">
      <w:pPr>
        <w:spacing w:line="360" w:lineRule="auto"/>
        <w:ind w:firstLine="470" w:firstLineChars="196"/>
        <w:rPr>
          <w:sz w:val="24"/>
        </w:rPr>
      </w:pPr>
      <w:r>
        <w:rPr>
          <w:sz w:val="24"/>
        </w:rPr>
        <w:t>第一条双方责任</w:t>
      </w:r>
    </w:p>
    <w:p w14:paraId="4877DE82">
      <w:pPr>
        <w:spacing w:line="360" w:lineRule="auto"/>
        <w:ind w:firstLine="470" w:firstLineChars="196"/>
        <w:rPr>
          <w:sz w:val="24"/>
        </w:rPr>
      </w:pPr>
      <w:r>
        <w:rPr>
          <w:sz w:val="24"/>
        </w:rPr>
        <w:t>（一）严格遵守国家有关法律法规和政策规定，以及廉政建设的各项约定。</w:t>
      </w:r>
    </w:p>
    <w:p w14:paraId="1A8FA273">
      <w:pPr>
        <w:spacing w:line="360" w:lineRule="auto"/>
        <w:ind w:firstLine="470" w:firstLineChars="196"/>
        <w:rPr>
          <w:sz w:val="24"/>
        </w:rPr>
      </w:pPr>
      <w:r>
        <w:rPr>
          <w:sz w:val="24"/>
        </w:rPr>
        <w:t>（二）严格执行建设工程项目承发包合同文件，自觉按合同办事。</w:t>
      </w:r>
    </w:p>
    <w:p w14:paraId="572EA00F">
      <w:pPr>
        <w:spacing w:line="360" w:lineRule="auto"/>
        <w:ind w:firstLine="470" w:firstLineChars="196"/>
        <w:rPr>
          <w:sz w:val="24"/>
        </w:rPr>
      </w:pPr>
      <w:r>
        <w:rPr>
          <w:sz w:val="24"/>
        </w:rPr>
        <w:t>（三）建筑活动必须坚持公开、公平、公正、诚信、透明的原则（除法律法规另有规定者外），不得为获取不正当的利益，损害国家、集体和对方利益，不得违反国家、省、市和委托人有关工程建设管理的规章制度。</w:t>
      </w:r>
    </w:p>
    <w:p w14:paraId="5CC700B1">
      <w:pPr>
        <w:spacing w:line="360" w:lineRule="auto"/>
        <w:ind w:firstLine="470" w:firstLineChars="196"/>
        <w:rPr>
          <w:sz w:val="24"/>
        </w:rPr>
      </w:pPr>
      <w:r>
        <w:rPr>
          <w:sz w:val="24"/>
        </w:rPr>
        <w:t>（四）发现对方在建筑活动中存在违规、违纪、违法行为的，有权向其上级主管部门或纪检监察、检察等有关机关举报。</w:t>
      </w:r>
    </w:p>
    <w:p w14:paraId="294D1459">
      <w:pPr>
        <w:spacing w:line="360" w:lineRule="auto"/>
        <w:ind w:firstLine="480" w:firstLineChars="200"/>
        <w:rPr>
          <w:sz w:val="24"/>
        </w:rPr>
      </w:pPr>
      <w:r>
        <w:rPr>
          <w:sz w:val="24"/>
        </w:rPr>
        <w:t>（五）双方应充分发挥各自职能作用，积极互动形成纵向监督合力，依照本协议书规定，对本工程项目承发包合同履行情况实施监督，及时制止不廉洁行为的发生。</w:t>
      </w:r>
    </w:p>
    <w:p w14:paraId="2FF7AC9E">
      <w:pPr>
        <w:spacing w:line="360" w:lineRule="auto"/>
        <w:ind w:firstLine="470" w:firstLineChars="196"/>
        <w:rPr>
          <w:sz w:val="24"/>
        </w:rPr>
      </w:pPr>
      <w:r>
        <w:rPr>
          <w:sz w:val="24"/>
        </w:rPr>
        <w:t xml:space="preserve">第二条 </w:t>
      </w:r>
      <w:r>
        <w:rPr>
          <w:rFonts w:hint="eastAsia"/>
          <w:sz w:val="24"/>
        </w:rPr>
        <w:t>委托人</w:t>
      </w:r>
      <w:r>
        <w:rPr>
          <w:sz w:val="24"/>
        </w:rPr>
        <w:t>责任</w:t>
      </w:r>
    </w:p>
    <w:p w14:paraId="5926BF04">
      <w:pPr>
        <w:spacing w:line="360" w:lineRule="auto"/>
        <w:ind w:firstLine="480" w:firstLineChars="200"/>
        <w:rPr>
          <w:sz w:val="24"/>
        </w:rPr>
      </w:pPr>
      <w:r>
        <w:rPr>
          <w:sz w:val="24"/>
        </w:rPr>
        <w:t>（一）</w:t>
      </w:r>
      <w:r>
        <w:rPr>
          <w:rFonts w:hint="eastAsia"/>
          <w:sz w:val="24"/>
        </w:rPr>
        <w:t>委托人</w:t>
      </w:r>
      <w:r>
        <w:rPr>
          <w:sz w:val="24"/>
        </w:rPr>
        <w:t>领导干部和从事该工程建设的管理人员，在建筑活动中须严格遵守以下廉洁从业规定：</w:t>
      </w:r>
    </w:p>
    <w:p w14:paraId="44BC6A65">
      <w:pPr>
        <w:spacing w:line="360" w:lineRule="auto"/>
        <w:ind w:firstLine="480" w:firstLineChars="200"/>
        <w:rPr>
          <w:sz w:val="24"/>
        </w:rPr>
      </w:pPr>
      <w:r>
        <w:rPr>
          <w:sz w:val="24"/>
        </w:rPr>
        <w:t>1.不准向监理人和相关单位或个人索取钱物或接受回扣、礼金、各种有价证券、信用卡和好处费、感谢费以及其它支付凭证等。</w:t>
      </w:r>
    </w:p>
    <w:p w14:paraId="5499EB48">
      <w:pPr>
        <w:spacing w:line="360" w:lineRule="auto"/>
        <w:ind w:firstLine="480" w:firstLineChars="200"/>
        <w:rPr>
          <w:sz w:val="24"/>
        </w:rPr>
      </w:pPr>
      <w:r>
        <w:rPr>
          <w:sz w:val="24"/>
        </w:rPr>
        <w:t>2.不准接受可能影响公正执行公务的监理人和相关单位或个人的礼物馈赠、宴请、各种形式俱乐部会员资格、高消费娱乐活动。</w:t>
      </w:r>
    </w:p>
    <w:p w14:paraId="1E61CA3C">
      <w:pPr>
        <w:spacing w:line="360" w:lineRule="auto"/>
        <w:ind w:firstLine="480" w:firstLineChars="200"/>
        <w:rPr>
          <w:sz w:val="24"/>
        </w:rPr>
      </w:pPr>
      <w:r>
        <w:rPr>
          <w:sz w:val="24"/>
        </w:rPr>
        <w:t>3.不准在监理人和相关单位报销任何应由委托人或个人负担的费用。</w:t>
      </w:r>
    </w:p>
    <w:p w14:paraId="2AA83FE9">
      <w:pPr>
        <w:spacing w:line="360" w:lineRule="auto"/>
        <w:ind w:firstLine="480" w:firstLineChars="200"/>
        <w:rPr>
          <w:sz w:val="24"/>
        </w:rPr>
      </w:pPr>
      <w:r>
        <w:rPr>
          <w:sz w:val="24"/>
        </w:rPr>
        <w:t>4.不准要求、暗示或接受监理人和相关单位或个人为自己、配偶、子女、其他亲属朋友及身边工作人员的装修住房、婚丧嫁娶、工作安排、学习培训、经商办企业以及出国（境）、旅游、度假等支付费用。</w:t>
      </w:r>
    </w:p>
    <w:p w14:paraId="63364573">
      <w:pPr>
        <w:spacing w:line="360" w:lineRule="auto"/>
        <w:ind w:firstLine="480" w:firstLineChars="200"/>
        <w:rPr>
          <w:sz w:val="24"/>
        </w:rPr>
      </w:pPr>
      <w:r>
        <w:rPr>
          <w:sz w:val="24"/>
        </w:rPr>
        <w:t>5.不准向监理人介绍配偶、子女、其他亲属朋友及身边工作人员参与同委托人项目工程合同有关的设备、材料、工程分包、劳务等经济活动。</w:t>
      </w:r>
    </w:p>
    <w:p w14:paraId="1A784AF1">
      <w:pPr>
        <w:spacing w:line="360" w:lineRule="auto"/>
        <w:ind w:firstLine="480" w:firstLineChars="200"/>
        <w:rPr>
          <w:sz w:val="24"/>
        </w:rPr>
      </w:pPr>
      <w:r>
        <w:rPr>
          <w:sz w:val="24"/>
        </w:rPr>
        <w:t>6.不得以任何理由向监理人和相关单位推荐分包单位和要求或暗示监理人购买项目工程合同规定外的材料、设备等。</w:t>
      </w:r>
    </w:p>
    <w:p w14:paraId="637E0341">
      <w:pPr>
        <w:spacing w:line="360" w:lineRule="auto"/>
        <w:ind w:firstLine="480" w:firstLineChars="200"/>
        <w:rPr>
          <w:sz w:val="24"/>
        </w:rPr>
      </w:pPr>
      <w:r>
        <w:rPr>
          <w:sz w:val="24"/>
        </w:rPr>
        <w:t>（二）合同签订后组织与监理人相关廉洁责任人见面会，进行廉洁工程建设交底，明确廉洁工程建设责任和目标任务、举报方式。</w:t>
      </w:r>
    </w:p>
    <w:p w14:paraId="54029AEE">
      <w:pPr>
        <w:spacing w:line="360" w:lineRule="auto"/>
        <w:ind w:firstLine="480" w:firstLineChars="200"/>
        <w:rPr>
          <w:sz w:val="24"/>
        </w:rPr>
      </w:pPr>
      <w:r>
        <w:rPr>
          <w:sz w:val="24"/>
        </w:rPr>
        <w:t>（三）加强对合同支付、合同结算等建设管理环节的监督管理，特别是审批效能方面的监察检查，提高建设管理服务水平。</w:t>
      </w:r>
    </w:p>
    <w:p w14:paraId="43E25396">
      <w:pPr>
        <w:spacing w:line="360" w:lineRule="auto"/>
        <w:ind w:firstLine="480" w:firstLineChars="200"/>
        <w:rPr>
          <w:sz w:val="24"/>
        </w:rPr>
      </w:pPr>
      <w:r>
        <w:rPr>
          <w:sz w:val="24"/>
        </w:rPr>
        <w:t>（四）组织开展图片展览、法制讲座、参观监狱等活动，加强对员工的法律法规、廉洁和职业道德教育。</w:t>
      </w:r>
    </w:p>
    <w:p w14:paraId="149295AE">
      <w:pPr>
        <w:spacing w:line="360" w:lineRule="auto"/>
        <w:ind w:firstLine="480" w:firstLineChars="200"/>
        <w:rPr>
          <w:sz w:val="24"/>
        </w:rPr>
      </w:pPr>
      <w:r>
        <w:rPr>
          <w:sz w:val="24"/>
        </w:rPr>
        <w:t>（五）成立监督工作机构，不定期对合同履行情况开展监督检查，对发现的有关问题，及时协调给予解决。</w:t>
      </w:r>
    </w:p>
    <w:p w14:paraId="17D33C4F">
      <w:pPr>
        <w:spacing w:line="360" w:lineRule="auto"/>
        <w:ind w:firstLine="480" w:firstLineChars="200"/>
        <w:rPr>
          <w:sz w:val="24"/>
        </w:rPr>
      </w:pPr>
      <w:r>
        <w:rPr>
          <w:sz w:val="24"/>
        </w:rPr>
        <w:t>第三条 监理人责任</w:t>
      </w:r>
    </w:p>
    <w:p w14:paraId="7F227077">
      <w:pPr>
        <w:spacing w:line="360" w:lineRule="auto"/>
        <w:ind w:firstLine="480" w:firstLineChars="200"/>
        <w:rPr>
          <w:sz w:val="24"/>
        </w:rPr>
      </w:pPr>
      <w:r>
        <w:rPr>
          <w:sz w:val="24"/>
        </w:rPr>
        <w:t>（一）与</w:t>
      </w:r>
      <w:r>
        <w:rPr>
          <w:rFonts w:hint="eastAsia"/>
          <w:sz w:val="24"/>
        </w:rPr>
        <w:t>委托人</w:t>
      </w:r>
      <w:r>
        <w:rPr>
          <w:sz w:val="24"/>
        </w:rPr>
        <w:t>保持正常的业务交往，遵守以下规定：</w:t>
      </w:r>
    </w:p>
    <w:p w14:paraId="70FBD543">
      <w:pPr>
        <w:spacing w:line="360" w:lineRule="auto"/>
        <w:ind w:firstLine="480" w:firstLineChars="200"/>
        <w:rPr>
          <w:sz w:val="24"/>
        </w:rPr>
      </w:pPr>
      <w:r>
        <w:rPr>
          <w:sz w:val="24"/>
        </w:rPr>
        <w:t>1.不准以任何理由向</w:t>
      </w:r>
      <w:r>
        <w:rPr>
          <w:rFonts w:hint="eastAsia"/>
          <w:sz w:val="24"/>
        </w:rPr>
        <w:t>委托人</w:t>
      </w:r>
      <w:r>
        <w:rPr>
          <w:sz w:val="24"/>
        </w:rPr>
        <w:t>人员行贿或赠送回扣、礼金、各种有价证券、信用卡和好处费、感谢费及其它支付凭证等。</w:t>
      </w:r>
    </w:p>
    <w:p w14:paraId="07BDA561">
      <w:pPr>
        <w:spacing w:line="360" w:lineRule="auto"/>
        <w:ind w:firstLine="480" w:firstLineChars="200"/>
        <w:rPr>
          <w:sz w:val="24"/>
        </w:rPr>
      </w:pPr>
      <w:r>
        <w:rPr>
          <w:sz w:val="24"/>
        </w:rPr>
        <w:t>2.不准以任何理由为</w:t>
      </w:r>
      <w:r>
        <w:rPr>
          <w:rFonts w:hint="eastAsia"/>
          <w:sz w:val="24"/>
        </w:rPr>
        <w:t>委托人</w:t>
      </w:r>
      <w:r>
        <w:rPr>
          <w:sz w:val="24"/>
        </w:rPr>
        <w:t>人员组织有可能影响公正执行公务的宴请、各种形式俱乐部及高消费娱乐等活动。</w:t>
      </w:r>
    </w:p>
    <w:p w14:paraId="581BD4A3">
      <w:pPr>
        <w:spacing w:line="360" w:lineRule="auto"/>
        <w:ind w:firstLine="480" w:firstLineChars="200"/>
        <w:rPr>
          <w:sz w:val="24"/>
        </w:rPr>
      </w:pPr>
      <w:r>
        <w:rPr>
          <w:sz w:val="24"/>
        </w:rPr>
        <w:t>3.不准以任何理由为</w:t>
      </w:r>
      <w:r>
        <w:rPr>
          <w:rFonts w:hint="eastAsia"/>
          <w:sz w:val="24"/>
        </w:rPr>
        <w:t>委托人</w:t>
      </w:r>
      <w:r>
        <w:rPr>
          <w:sz w:val="24"/>
        </w:rPr>
        <w:t>或个人报销应由对方或个人支付的费用。</w:t>
      </w:r>
    </w:p>
    <w:p w14:paraId="4863D8D6">
      <w:pPr>
        <w:spacing w:line="360" w:lineRule="auto"/>
        <w:ind w:firstLine="480" w:firstLineChars="200"/>
        <w:rPr>
          <w:sz w:val="24"/>
        </w:rPr>
      </w:pPr>
      <w:r>
        <w:rPr>
          <w:sz w:val="24"/>
        </w:rPr>
        <w:t>4.不准暗示或要求为</w:t>
      </w:r>
      <w:r>
        <w:rPr>
          <w:rFonts w:hint="eastAsia"/>
          <w:sz w:val="24"/>
        </w:rPr>
        <w:t>委托人</w:t>
      </w:r>
      <w:r>
        <w:rPr>
          <w:sz w:val="24"/>
        </w:rPr>
        <w:t>人员及其配偶、子女、其他亲属朋友及身边工作人员的装修住房、婚丧嫁娶、工作安排、学习培训、经商办企业以及出国（境）、旅游、度假提供方便和支付费用。</w:t>
      </w:r>
    </w:p>
    <w:p w14:paraId="611167F5">
      <w:pPr>
        <w:spacing w:line="360" w:lineRule="auto"/>
        <w:ind w:firstLine="480" w:firstLineChars="200"/>
        <w:rPr>
          <w:sz w:val="24"/>
        </w:rPr>
      </w:pPr>
      <w:r>
        <w:rPr>
          <w:sz w:val="24"/>
        </w:rPr>
        <w:t>5.不准介绍和安排</w:t>
      </w:r>
      <w:r>
        <w:rPr>
          <w:rFonts w:hint="eastAsia"/>
          <w:sz w:val="24"/>
        </w:rPr>
        <w:t>委托人</w:t>
      </w:r>
      <w:r>
        <w:rPr>
          <w:sz w:val="24"/>
        </w:rPr>
        <w:t>人员及其配偶、子女、其他亲属朋友及身边工作人员参与同委托人工程项目有关的设备、材料、工程分包、劳务等经济活动。</w:t>
      </w:r>
    </w:p>
    <w:p w14:paraId="3689F668">
      <w:pPr>
        <w:spacing w:line="360" w:lineRule="auto"/>
        <w:ind w:firstLine="480" w:firstLineChars="200"/>
        <w:rPr>
          <w:sz w:val="24"/>
        </w:rPr>
      </w:pPr>
      <w:r>
        <w:rPr>
          <w:sz w:val="24"/>
        </w:rPr>
        <w:t>（二）组织项目负责人及相关管理人员层层签订廉洁从业责任状，明确廉洁责任，形成有效的内部监督管理机制。</w:t>
      </w:r>
    </w:p>
    <w:p w14:paraId="0089C81B">
      <w:pPr>
        <w:spacing w:line="360" w:lineRule="auto"/>
        <w:ind w:firstLine="480" w:firstLineChars="200"/>
        <w:rPr>
          <w:sz w:val="24"/>
        </w:rPr>
      </w:pPr>
      <w:r>
        <w:rPr>
          <w:sz w:val="24"/>
        </w:rPr>
        <w:t>（三）按</w:t>
      </w:r>
      <w:r>
        <w:rPr>
          <w:rFonts w:hint="eastAsia"/>
          <w:sz w:val="24"/>
        </w:rPr>
        <w:t>委托人</w:t>
      </w:r>
      <w:r>
        <w:rPr>
          <w:sz w:val="24"/>
        </w:rPr>
        <w:t>要求参加廉政座谈、法制讲座、参观监狱等活动，加强对项目负责人及相关管理人员的法律法规、廉洁和职业道德教育，共同筑牢防腐防线。</w:t>
      </w:r>
    </w:p>
    <w:p w14:paraId="0201E1D6">
      <w:pPr>
        <w:spacing w:line="360" w:lineRule="auto"/>
        <w:ind w:firstLine="480" w:firstLineChars="200"/>
        <w:rPr>
          <w:sz w:val="24"/>
        </w:rPr>
      </w:pPr>
      <w:r>
        <w:rPr>
          <w:sz w:val="24"/>
        </w:rPr>
        <w:t>第四条 违约责任</w:t>
      </w:r>
    </w:p>
    <w:p w14:paraId="29C9D8E3">
      <w:pPr>
        <w:spacing w:line="360" w:lineRule="auto"/>
        <w:ind w:firstLine="480" w:firstLineChars="200"/>
        <w:rPr>
          <w:sz w:val="24"/>
        </w:rPr>
      </w:pPr>
      <w:r>
        <w:rPr>
          <w:sz w:val="24"/>
        </w:rPr>
        <w:t>（一）</w:t>
      </w:r>
      <w:r>
        <w:rPr>
          <w:rFonts w:hint="eastAsia"/>
          <w:sz w:val="24"/>
        </w:rPr>
        <w:t>委托人</w:t>
      </w:r>
      <w:r>
        <w:rPr>
          <w:sz w:val="24"/>
        </w:rPr>
        <w:t>违约责任</w:t>
      </w:r>
    </w:p>
    <w:p w14:paraId="61BD2790">
      <w:pPr>
        <w:spacing w:line="360" w:lineRule="auto"/>
        <w:ind w:firstLine="480" w:firstLineChars="200"/>
        <w:rPr>
          <w:bCs/>
          <w:sz w:val="24"/>
        </w:rPr>
      </w:pPr>
      <w:r>
        <w:rPr>
          <w:sz w:val="24"/>
        </w:rPr>
        <w:t>1.</w:t>
      </w:r>
      <w:r>
        <w:rPr>
          <w:rFonts w:hint="eastAsia"/>
          <w:sz w:val="24"/>
        </w:rPr>
        <w:t>委托人</w:t>
      </w:r>
      <w:r>
        <w:rPr>
          <w:bCs/>
          <w:sz w:val="24"/>
        </w:rPr>
        <w:t>不履行或不完全履行本协议书有关责任义务给监理人造成损失的，在监理人提交足够证据并经查证属实的情况下，委托人赔偿其直接经济损失。</w:t>
      </w:r>
    </w:p>
    <w:p w14:paraId="39F827AA">
      <w:pPr>
        <w:spacing w:line="360" w:lineRule="auto"/>
        <w:ind w:firstLine="480" w:firstLineChars="200"/>
        <w:rPr>
          <w:sz w:val="24"/>
        </w:rPr>
      </w:pPr>
      <w:r>
        <w:rPr>
          <w:sz w:val="24"/>
        </w:rPr>
        <w:t>2.委托人人员出现受贿等严重违法违纪违规行为的，按照管理权限，依据有关法律法规和规定给予党纪、政纪处分或组织处理；涉嫌犯罪的，移交司法机关追究刑事责任。</w:t>
      </w:r>
    </w:p>
    <w:p w14:paraId="3B9FBB53">
      <w:pPr>
        <w:spacing w:line="360" w:lineRule="auto"/>
        <w:ind w:firstLine="480" w:firstLineChars="200"/>
        <w:rPr>
          <w:sz w:val="24"/>
        </w:rPr>
      </w:pPr>
      <w:r>
        <w:rPr>
          <w:sz w:val="24"/>
        </w:rPr>
        <w:t>（二）监理人违约责任</w:t>
      </w:r>
    </w:p>
    <w:p w14:paraId="3CCD0B42">
      <w:pPr>
        <w:spacing w:line="360" w:lineRule="auto"/>
        <w:ind w:firstLine="480" w:firstLineChars="200"/>
        <w:rPr>
          <w:bCs/>
          <w:sz w:val="24"/>
        </w:rPr>
      </w:pPr>
      <w:r>
        <w:rPr>
          <w:sz w:val="24"/>
        </w:rPr>
        <w:t>1.</w:t>
      </w:r>
      <w:r>
        <w:rPr>
          <w:bCs/>
          <w:sz w:val="24"/>
        </w:rPr>
        <w:t>监理人不履行或不完全履行本协议书有关责任义务的，</w:t>
      </w:r>
      <w:r>
        <w:rPr>
          <w:sz w:val="24"/>
        </w:rPr>
        <w:t>按本工程合同</w:t>
      </w:r>
      <w:r>
        <w:rPr>
          <w:bCs/>
          <w:sz w:val="24"/>
        </w:rPr>
        <w:t>规定须承担一次一般违约责任。情节较轻的，可给予书面警告；情节较重的，须承担一次严重违约责任。</w:t>
      </w:r>
    </w:p>
    <w:p w14:paraId="20C768A1">
      <w:pPr>
        <w:spacing w:line="360" w:lineRule="auto"/>
        <w:ind w:firstLine="480" w:firstLineChars="200"/>
        <w:rPr>
          <w:sz w:val="24"/>
        </w:rPr>
      </w:pPr>
      <w:r>
        <w:rPr>
          <w:bCs/>
          <w:sz w:val="24"/>
        </w:rPr>
        <w:t>2.监理人</w:t>
      </w:r>
      <w:r>
        <w:rPr>
          <w:sz w:val="24"/>
        </w:rPr>
        <w:t>出现严重违法违纪违规行为的，委托人将上报市检察院或监察机关依法查处，并提请建设行政主管部门根据《广州市建筑市场廉洁准入规定》进行处理。</w:t>
      </w:r>
    </w:p>
    <w:p w14:paraId="4B508ECE">
      <w:pPr>
        <w:spacing w:line="360" w:lineRule="auto"/>
        <w:ind w:firstLine="480" w:firstLineChars="200"/>
        <w:rPr>
          <w:sz w:val="24"/>
        </w:rPr>
      </w:pPr>
      <w:r>
        <w:rPr>
          <w:sz w:val="24"/>
        </w:rPr>
        <w:t>第五条 甲乙双方监管部门</w:t>
      </w:r>
    </w:p>
    <w:p w14:paraId="7C1B58FD">
      <w:pPr>
        <w:spacing w:line="360" w:lineRule="auto"/>
        <w:ind w:firstLine="480" w:firstLineChars="200"/>
        <w:rPr>
          <w:sz w:val="24"/>
        </w:rPr>
      </w:pPr>
      <w:r>
        <w:rPr>
          <w:sz w:val="24"/>
        </w:rPr>
        <w:t>1.委托人监督部门：纪检监察室，举报电话/电子邮箱：020-（纪委书记信箱）。</w:t>
      </w:r>
    </w:p>
    <w:p w14:paraId="669996C1">
      <w:pPr>
        <w:spacing w:line="360" w:lineRule="auto"/>
        <w:ind w:firstLine="480" w:firstLineChars="200"/>
        <w:rPr>
          <w:sz w:val="24"/>
        </w:rPr>
      </w:pPr>
      <w:r>
        <w:rPr>
          <w:sz w:val="24"/>
        </w:rPr>
        <w:t xml:space="preserve">2.监理人监督部门：     ，举报电话     </w:t>
      </w:r>
    </w:p>
    <w:p w14:paraId="55C84DA5">
      <w:pPr>
        <w:spacing w:line="360" w:lineRule="auto"/>
        <w:ind w:firstLine="600" w:firstLineChars="250"/>
        <w:rPr>
          <w:sz w:val="24"/>
        </w:rPr>
      </w:pPr>
      <w:r>
        <w:rPr>
          <w:sz w:val="24"/>
        </w:rPr>
        <w:t xml:space="preserve">廉政责任人：   ，职务：总经理       </w:t>
      </w:r>
    </w:p>
    <w:p w14:paraId="1CBE9703">
      <w:pPr>
        <w:spacing w:line="360" w:lineRule="auto"/>
        <w:ind w:firstLine="600" w:firstLineChars="250"/>
        <w:rPr>
          <w:sz w:val="24"/>
        </w:rPr>
      </w:pPr>
      <w:r>
        <w:rPr>
          <w:sz w:val="24"/>
        </w:rPr>
        <w:t xml:space="preserve">上级主管部门：   。 </w:t>
      </w:r>
    </w:p>
    <w:p w14:paraId="7CF45C83">
      <w:pPr>
        <w:spacing w:line="360" w:lineRule="auto"/>
        <w:ind w:firstLine="480" w:firstLineChars="200"/>
        <w:rPr>
          <w:sz w:val="24"/>
        </w:rPr>
      </w:pPr>
      <w:r>
        <w:rPr>
          <w:sz w:val="24"/>
        </w:rPr>
        <w:t>第六条 本协议书作为工程施工监理合同的附件，与工程施工监理合同具有同等法律效力。经双方签字盖章后生效。</w:t>
      </w:r>
    </w:p>
    <w:p w14:paraId="0CF35B02">
      <w:pPr>
        <w:spacing w:line="360" w:lineRule="auto"/>
        <w:ind w:firstLine="480" w:firstLineChars="200"/>
        <w:rPr>
          <w:sz w:val="24"/>
        </w:rPr>
      </w:pPr>
      <w:r>
        <w:rPr>
          <w:sz w:val="24"/>
        </w:rPr>
        <w:t>第七条 本协议书壹式  份，双方各执  份，有效期为双方签字盖章之日起至所属工程项目合同履行完毕时止。</w:t>
      </w:r>
    </w:p>
    <w:p w14:paraId="49041D68">
      <w:pPr>
        <w:adjustRightInd w:val="0"/>
        <w:snapToGrid w:val="0"/>
        <w:spacing w:line="360" w:lineRule="auto"/>
        <w:ind w:firstLine="480" w:firstLineChars="200"/>
        <w:rPr>
          <w:sz w:val="24"/>
        </w:rPr>
      </w:pPr>
      <w:r>
        <w:rPr>
          <w:sz w:val="24"/>
        </w:rPr>
        <w:t>第八条 未尽事宜，由双方协商解决。</w:t>
      </w:r>
    </w:p>
    <w:p w14:paraId="655F7D7C">
      <w:pPr>
        <w:adjustRightInd w:val="0"/>
        <w:snapToGrid w:val="0"/>
        <w:spacing w:line="360" w:lineRule="auto"/>
        <w:ind w:firstLine="480" w:firstLineChars="200"/>
        <w:rPr>
          <w:sz w:val="24"/>
        </w:rPr>
      </w:pPr>
    </w:p>
    <w:p w14:paraId="288E29D7">
      <w:pPr>
        <w:adjustRightInd w:val="0"/>
        <w:snapToGrid w:val="0"/>
        <w:spacing w:line="360" w:lineRule="auto"/>
        <w:ind w:left="3960" w:hanging="3960" w:hangingChars="1650"/>
        <w:rPr>
          <w:sz w:val="24"/>
        </w:rPr>
      </w:pPr>
      <w:r>
        <w:rPr>
          <w:sz w:val="24"/>
        </w:rPr>
        <w:t xml:space="preserve">委托人：中山大学附属第一医院   </w:t>
      </w:r>
      <w:r>
        <w:rPr>
          <w:rFonts w:hint="eastAsia"/>
          <w:sz w:val="24"/>
        </w:rPr>
        <w:t xml:space="preserve">          </w:t>
      </w:r>
      <w:r>
        <w:rPr>
          <w:sz w:val="24"/>
        </w:rPr>
        <w:t xml:space="preserve">监理人： </w:t>
      </w:r>
    </w:p>
    <w:p w14:paraId="1D483FAD">
      <w:pPr>
        <w:adjustRightInd w:val="0"/>
        <w:snapToGrid w:val="0"/>
        <w:spacing w:line="360" w:lineRule="auto"/>
        <w:rPr>
          <w:sz w:val="24"/>
        </w:rPr>
      </w:pPr>
      <w:r>
        <w:rPr>
          <w:sz w:val="24"/>
        </w:rPr>
        <w:t xml:space="preserve">            （盖章）                              （盖章）</w:t>
      </w:r>
    </w:p>
    <w:p w14:paraId="263A0942">
      <w:pPr>
        <w:adjustRightInd w:val="0"/>
        <w:snapToGrid w:val="0"/>
        <w:spacing w:line="360" w:lineRule="auto"/>
        <w:rPr>
          <w:sz w:val="24"/>
        </w:rPr>
      </w:pPr>
    </w:p>
    <w:p w14:paraId="0F1A7453">
      <w:pPr>
        <w:adjustRightInd w:val="0"/>
        <w:snapToGrid w:val="0"/>
        <w:spacing w:line="360" w:lineRule="auto"/>
        <w:rPr>
          <w:sz w:val="24"/>
        </w:rPr>
      </w:pPr>
      <w:r>
        <w:rPr>
          <w:sz w:val="24"/>
        </w:rPr>
        <w:t xml:space="preserve">法定代表人                             </w:t>
      </w:r>
      <w:r>
        <w:rPr>
          <w:rFonts w:hint="eastAsia"/>
          <w:sz w:val="24"/>
        </w:rPr>
        <w:t xml:space="preserve">  </w:t>
      </w:r>
      <w:r>
        <w:rPr>
          <w:sz w:val="24"/>
        </w:rPr>
        <w:t>法定代表人</w:t>
      </w:r>
    </w:p>
    <w:p w14:paraId="763719D6">
      <w:pPr>
        <w:adjustRightInd w:val="0"/>
        <w:snapToGrid w:val="0"/>
        <w:spacing w:line="360" w:lineRule="auto"/>
        <w:rPr>
          <w:sz w:val="24"/>
        </w:rPr>
      </w:pPr>
    </w:p>
    <w:p w14:paraId="11E9045D">
      <w:pPr>
        <w:adjustRightInd w:val="0"/>
        <w:snapToGrid w:val="0"/>
        <w:spacing w:line="360" w:lineRule="auto"/>
        <w:rPr>
          <w:sz w:val="24"/>
        </w:rPr>
      </w:pPr>
      <w:r>
        <w:rPr>
          <w:rFonts w:hint="eastAsia"/>
          <w:sz w:val="24"/>
        </w:rPr>
        <w:t>或</w:t>
      </w:r>
      <w:r>
        <w:rPr>
          <w:sz w:val="24"/>
        </w:rPr>
        <w:t xml:space="preserve">委托代理人：                           </w:t>
      </w:r>
      <w:r>
        <w:rPr>
          <w:rFonts w:hint="eastAsia"/>
          <w:sz w:val="24"/>
        </w:rPr>
        <w:t>或</w:t>
      </w:r>
      <w:r>
        <w:rPr>
          <w:sz w:val="24"/>
        </w:rPr>
        <w:t>委托代理人：</w:t>
      </w:r>
    </w:p>
    <w:p w14:paraId="1B211FB3">
      <w:pPr>
        <w:tabs>
          <w:tab w:val="left" w:pos="5460"/>
        </w:tabs>
        <w:adjustRightInd w:val="0"/>
        <w:snapToGrid w:val="0"/>
        <w:spacing w:line="360" w:lineRule="auto"/>
        <w:ind w:left="-2" w:leftChars="-1" w:right="11"/>
        <w:rPr>
          <w:sz w:val="24"/>
        </w:rPr>
      </w:pPr>
    </w:p>
    <w:p w14:paraId="5B5FD90D">
      <w:pPr>
        <w:tabs>
          <w:tab w:val="left" w:pos="5460"/>
        </w:tabs>
        <w:adjustRightInd w:val="0"/>
        <w:snapToGrid w:val="0"/>
        <w:spacing w:line="360" w:lineRule="auto"/>
        <w:ind w:left="-2" w:leftChars="-1" w:right="11"/>
        <w:rPr>
          <w:sz w:val="24"/>
        </w:rPr>
      </w:pPr>
      <w:r>
        <w:rPr>
          <w:rFonts w:hint="eastAsia"/>
          <w:sz w:val="24"/>
        </w:rPr>
        <w:t xml:space="preserve">      年</w:t>
      </w:r>
      <w:r>
        <w:rPr>
          <w:sz w:val="24"/>
        </w:rPr>
        <w:t xml:space="preserve">   </w:t>
      </w:r>
      <w:r>
        <w:rPr>
          <w:rFonts w:hint="eastAsia"/>
          <w:sz w:val="24"/>
        </w:rPr>
        <w:t xml:space="preserve"> </w:t>
      </w:r>
      <w:r>
        <w:rPr>
          <w:sz w:val="24"/>
        </w:rPr>
        <w:t xml:space="preserve">月   </w:t>
      </w:r>
      <w:r>
        <w:rPr>
          <w:rFonts w:hint="eastAsia"/>
          <w:sz w:val="24"/>
        </w:rPr>
        <w:t xml:space="preserve"> </w:t>
      </w:r>
      <w:r>
        <w:rPr>
          <w:sz w:val="24"/>
        </w:rPr>
        <w:t xml:space="preserve">日                        </w:t>
      </w:r>
      <w:r>
        <w:rPr>
          <w:rFonts w:hint="eastAsia"/>
          <w:sz w:val="24"/>
        </w:rPr>
        <w:t xml:space="preserve">     年</w:t>
      </w:r>
      <w:r>
        <w:rPr>
          <w:sz w:val="24"/>
        </w:rPr>
        <w:t xml:space="preserve">   </w:t>
      </w:r>
      <w:r>
        <w:rPr>
          <w:rFonts w:hint="eastAsia"/>
          <w:sz w:val="24"/>
        </w:rPr>
        <w:t xml:space="preserve"> </w:t>
      </w:r>
      <w:r>
        <w:rPr>
          <w:sz w:val="24"/>
        </w:rPr>
        <w:t xml:space="preserve">月   </w:t>
      </w:r>
      <w:r>
        <w:rPr>
          <w:rFonts w:hint="eastAsia"/>
          <w:sz w:val="24"/>
        </w:rPr>
        <w:t xml:space="preserve"> </w:t>
      </w:r>
      <w:r>
        <w:rPr>
          <w:sz w:val="24"/>
        </w:rPr>
        <w:t>日</w:t>
      </w:r>
    </w:p>
    <w:p w14:paraId="61A03688">
      <w:pPr>
        <w:tabs>
          <w:tab w:val="left" w:pos="5460"/>
        </w:tabs>
        <w:adjustRightInd w:val="0"/>
        <w:snapToGrid w:val="0"/>
        <w:spacing w:line="360" w:lineRule="auto"/>
        <w:ind w:left="-2" w:leftChars="-1" w:right="11"/>
        <w:rPr>
          <w:snapToGrid w:val="0"/>
          <w:sz w:val="24"/>
        </w:rPr>
      </w:pPr>
    </w:p>
    <w:p w14:paraId="6FD51F4A">
      <w:pPr>
        <w:tabs>
          <w:tab w:val="left" w:pos="5460"/>
        </w:tabs>
        <w:adjustRightInd w:val="0"/>
        <w:snapToGrid w:val="0"/>
        <w:spacing w:line="360" w:lineRule="auto"/>
        <w:ind w:left="-2" w:leftChars="-1" w:right="11"/>
        <w:rPr>
          <w:snapToGrid w:val="0"/>
          <w:sz w:val="24"/>
        </w:rPr>
      </w:pPr>
    </w:p>
    <w:p w14:paraId="63D382B3">
      <w:pPr>
        <w:topLinePunct/>
        <w:adjustRightInd w:val="0"/>
        <w:snapToGrid w:val="0"/>
        <w:spacing w:line="360" w:lineRule="auto"/>
        <w:rPr>
          <w:bCs/>
          <w:snapToGrid w:val="0"/>
          <w:spacing w:val="4"/>
          <w:kern w:val="0"/>
          <w:sz w:val="24"/>
        </w:rPr>
        <w:sectPr>
          <w:footerReference r:id="rId3" w:type="default"/>
          <w:footerReference r:id="rId4" w:type="even"/>
          <w:pgSz w:w="11906" w:h="16838"/>
          <w:pgMar w:top="709" w:right="1134" w:bottom="1134" w:left="1134" w:header="851" w:footer="454" w:gutter="0"/>
          <w:cols w:space="720" w:num="1"/>
          <w:titlePg/>
          <w:docGrid w:type="lines" w:linePitch="312" w:charSpace="0"/>
        </w:sectPr>
      </w:pPr>
    </w:p>
    <w:bookmarkEnd w:id="579"/>
    <w:p w14:paraId="1AE3A671">
      <w:pPr>
        <w:topLinePunct/>
        <w:adjustRightInd w:val="0"/>
        <w:snapToGrid w:val="0"/>
        <w:spacing w:line="360" w:lineRule="auto"/>
        <w:outlineLvl w:val="1"/>
        <w:rPr>
          <w:b/>
          <w:snapToGrid w:val="0"/>
          <w:spacing w:val="4"/>
          <w:kern w:val="0"/>
          <w:sz w:val="24"/>
        </w:rPr>
      </w:pPr>
      <w:bookmarkStart w:id="580" w:name="_Toc313869537"/>
      <w:bookmarkStart w:id="581" w:name="_Toc191697650"/>
      <w:r>
        <w:rPr>
          <w:b/>
          <w:snapToGrid w:val="0"/>
          <w:spacing w:val="4"/>
          <w:kern w:val="0"/>
          <w:sz w:val="24"/>
        </w:rPr>
        <w:t>附件2：</w:t>
      </w:r>
      <w:bookmarkEnd w:id="580"/>
      <w:bookmarkEnd w:id="581"/>
      <w:r>
        <w:rPr>
          <w:b/>
          <w:snapToGrid w:val="0"/>
          <w:spacing w:val="4"/>
          <w:kern w:val="0"/>
          <w:sz w:val="24"/>
        </w:rPr>
        <w:t xml:space="preserve"> </w:t>
      </w:r>
    </w:p>
    <w:p w14:paraId="12438D6A">
      <w:pPr>
        <w:topLinePunct/>
        <w:adjustRightInd w:val="0"/>
        <w:snapToGrid w:val="0"/>
        <w:spacing w:line="360" w:lineRule="auto"/>
        <w:jc w:val="center"/>
        <w:outlineLvl w:val="1"/>
        <w:rPr>
          <w:b/>
          <w:snapToGrid w:val="0"/>
          <w:spacing w:val="4"/>
          <w:kern w:val="0"/>
          <w:sz w:val="24"/>
        </w:rPr>
      </w:pPr>
      <w:r>
        <w:rPr>
          <w:b/>
          <w:snapToGrid w:val="0"/>
          <w:spacing w:val="4"/>
          <w:kern w:val="0"/>
          <w:sz w:val="24"/>
        </w:rPr>
        <w:t>各阶段工作成果文件的要求</w:t>
      </w:r>
    </w:p>
    <w:p w14:paraId="62168B0F"/>
    <w:tbl>
      <w:tblPr>
        <w:tblStyle w:val="21"/>
        <w:tblW w:w="9386" w:type="dxa"/>
        <w:tblInd w:w="78" w:type="dxa"/>
        <w:tblLayout w:type="fixed"/>
        <w:tblCellMar>
          <w:top w:w="0" w:type="dxa"/>
          <w:left w:w="108" w:type="dxa"/>
          <w:bottom w:w="0" w:type="dxa"/>
          <w:right w:w="108" w:type="dxa"/>
        </w:tblCellMar>
      </w:tblPr>
      <w:tblGrid>
        <w:gridCol w:w="739"/>
        <w:gridCol w:w="3119"/>
        <w:gridCol w:w="4110"/>
        <w:gridCol w:w="1418"/>
      </w:tblGrid>
      <w:tr w14:paraId="5281104B">
        <w:tblPrEx>
          <w:tblCellMar>
            <w:top w:w="0" w:type="dxa"/>
            <w:left w:w="108" w:type="dxa"/>
            <w:bottom w:w="0" w:type="dxa"/>
            <w:right w:w="108" w:type="dxa"/>
          </w:tblCellMar>
        </w:tblPrEx>
        <w:trPr>
          <w:cantSplit/>
          <w:trHeight w:val="830" w:hRule="atLeast"/>
          <w:tblHeader/>
        </w:trPr>
        <w:tc>
          <w:tcPr>
            <w:tcW w:w="739" w:type="dxa"/>
            <w:tcBorders>
              <w:top w:val="single" w:color="auto" w:sz="12" w:space="0"/>
              <w:left w:val="single" w:color="auto" w:sz="6" w:space="0"/>
              <w:bottom w:val="single" w:color="auto" w:sz="6" w:space="0"/>
              <w:right w:val="single" w:color="auto" w:sz="6" w:space="0"/>
            </w:tcBorders>
            <w:shd w:val="clear" w:color="auto" w:fill="C0C0C0"/>
            <w:vAlign w:val="center"/>
          </w:tcPr>
          <w:p w14:paraId="03260306">
            <w:pPr>
              <w:rPr>
                <w:sz w:val="18"/>
                <w:szCs w:val="18"/>
              </w:rPr>
            </w:pPr>
            <w:r>
              <w:rPr>
                <w:sz w:val="18"/>
                <w:szCs w:val="18"/>
              </w:rPr>
              <w:t>序号</w:t>
            </w:r>
          </w:p>
        </w:tc>
        <w:tc>
          <w:tcPr>
            <w:tcW w:w="3119" w:type="dxa"/>
            <w:tcBorders>
              <w:top w:val="single" w:color="auto" w:sz="12" w:space="0"/>
              <w:left w:val="single" w:color="auto" w:sz="6" w:space="0"/>
              <w:bottom w:val="single" w:color="auto" w:sz="6" w:space="0"/>
              <w:right w:val="single" w:color="auto" w:sz="6" w:space="0"/>
            </w:tcBorders>
            <w:shd w:val="clear" w:color="auto" w:fill="C0C0C0"/>
            <w:vAlign w:val="center"/>
          </w:tcPr>
          <w:p w14:paraId="2669AA31">
            <w:pPr>
              <w:rPr>
                <w:sz w:val="18"/>
                <w:szCs w:val="18"/>
              </w:rPr>
            </w:pPr>
            <w:r>
              <w:rPr>
                <w:sz w:val="18"/>
                <w:szCs w:val="18"/>
              </w:rPr>
              <w:t>工作成果（报告、记录、计划书、审核书等）</w:t>
            </w:r>
          </w:p>
        </w:tc>
        <w:tc>
          <w:tcPr>
            <w:tcW w:w="4110" w:type="dxa"/>
            <w:tcBorders>
              <w:top w:val="single" w:color="auto" w:sz="12" w:space="0"/>
              <w:left w:val="single" w:color="auto" w:sz="6" w:space="0"/>
              <w:bottom w:val="single" w:color="auto" w:sz="6" w:space="0"/>
              <w:right w:val="single" w:color="auto" w:sz="6" w:space="0"/>
            </w:tcBorders>
            <w:shd w:val="clear" w:color="auto" w:fill="C0C0C0"/>
            <w:vAlign w:val="center"/>
          </w:tcPr>
          <w:p w14:paraId="10C30C3F">
            <w:pPr>
              <w:rPr>
                <w:sz w:val="18"/>
                <w:szCs w:val="18"/>
              </w:rPr>
            </w:pPr>
            <w:r>
              <w:rPr>
                <w:sz w:val="18"/>
                <w:szCs w:val="18"/>
              </w:rPr>
              <w:t>时间及要求</w:t>
            </w:r>
          </w:p>
        </w:tc>
        <w:tc>
          <w:tcPr>
            <w:tcW w:w="1418" w:type="dxa"/>
            <w:tcBorders>
              <w:top w:val="single" w:color="auto" w:sz="12" w:space="0"/>
              <w:left w:val="single" w:color="auto" w:sz="6" w:space="0"/>
              <w:bottom w:val="single" w:color="auto" w:sz="6" w:space="0"/>
              <w:right w:val="single" w:color="auto" w:sz="6" w:space="0"/>
            </w:tcBorders>
            <w:shd w:val="clear" w:color="auto" w:fill="C0C0C0"/>
            <w:vAlign w:val="center"/>
          </w:tcPr>
          <w:p w14:paraId="492A21B0">
            <w:pPr>
              <w:rPr>
                <w:sz w:val="18"/>
                <w:szCs w:val="18"/>
              </w:rPr>
            </w:pPr>
            <w:r>
              <w:rPr>
                <w:sz w:val="18"/>
                <w:szCs w:val="18"/>
              </w:rPr>
              <w:t>备注</w:t>
            </w:r>
          </w:p>
        </w:tc>
      </w:tr>
      <w:tr w14:paraId="398DBEAD">
        <w:tblPrEx>
          <w:tblCellMar>
            <w:top w:w="0" w:type="dxa"/>
            <w:left w:w="108" w:type="dxa"/>
            <w:bottom w:w="0" w:type="dxa"/>
            <w:right w:w="108" w:type="dxa"/>
          </w:tblCellMar>
        </w:tblPrEx>
        <w:trPr>
          <w:cantSplit/>
          <w:trHeight w:val="680" w:hRule="atLeast"/>
        </w:trPr>
        <w:tc>
          <w:tcPr>
            <w:tcW w:w="739" w:type="dxa"/>
            <w:tcBorders>
              <w:top w:val="single" w:color="auto" w:sz="6" w:space="0"/>
              <w:left w:val="single" w:color="auto" w:sz="6" w:space="0"/>
              <w:bottom w:val="single" w:color="auto" w:sz="6" w:space="0"/>
              <w:right w:val="single" w:color="auto" w:sz="6" w:space="0"/>
            </w:tcBorders>
            <w:vAlign w:val="center"/>
          </w:tcPr>
          <w:p w14:paraId="3F2B6DD6">
            <w:pPr>
              <w:rPr>
                <w:b/>
                <w:sz w:val="24"/>
              </w:rPr>
            </w:pPr>
            <w:r>
              <w:rPr>
                <w:b/>
                <w:sz w:val="24"/>
              </w:rPr>
              <w:t>一</w:t>
            </w:r>
          </w:p>
        </w:tc>
        <w:tc>
          <w:tcPr>
            <w:tcW w:w="8647" w:type="dxa"/>
            <w:gridSpan w:val="3"/>
            <w:tcBorders>
              <w:top w:val="single" w:color="auto" w:sz="6" w:space="0"/>
              <w:left w:val="single" w:color="auto" w:sz="6" w:space="0"/>
              <w:bottom w:val="single" w:color="auto" w:sz="6" w:space="0"/>
              <w:right w:val="single" w:color="auto" w:sz="6" w:space="0"/>
            </w:tcBorders>
            <w:vAlign w:val="center"/>
          </w:tcPr>
          <w:p w14:paraId="30A6F8E3">
            <w:pPr>
              <w:rPr>
                <w:b/>
                <w:sz w:val="24"/>
              </w:rPr>
            </w:pPr>
            <w:r>
              <w:rPr>
                <w:b/>
                <w:sz w:val="24"/>
              </w:rPr>
              <w:t>设计阶段及工程施工准备阶段</w:t>
            </w:r>
          </w:p>
        </w:tc>
      </w:tr>
      <w:tr w14:paraId="5B9D2A75">
        <w:tblPrEx>
          <w:tblCellMar>
            <w:top w:w="0" w:type="dxa"/>
            <w:left w:w="108" w:type="dxa"/>
            <w:bottom w:w="0" w:type="dxa"/>
            <w:right w:w="108" w:type="dxa"/>
          </w:tblCellMar>
        </w:tblPrEx>
        <w:trPr>
          <w:cantSplit/>
          <w:trHeight w:val="680" w:hRule="atLeast"/>
        </w:trPr>
        <w:tc>
          <w:tcPr>
            <w:tcW w:w="739" w:type="dxa"/>
            <w:tcBorders>
              <w:top w:val="single" w:color="auto" w:sz="6" w:space="0"/>
              <w:left w:val="single" w:color="auto" w:sz="6" w:space="0"/>
              <w:bottom w:val="single" w:color="auto" w:sz="6" w:space="0"/>
              <w:right w:val="single" w:color="auto" w:sz="6" w:space="0"/>
            </w:tcBorders>
            <w:vAlign w:val="center"/>
          </w:tcPr>
          <w:p w14:paraId="145B4BE2">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33A3788C">
            <w:pPr>
              <w:rPr>
                <w:sz w:val="18"/>
                <w:szCs w:val="18"/>
              </w:rPr>
            </w:pPr>
            <w:bookmarkStart w:id="582" w:name="_Hlk179968792"/>
            <w:bookmarkStart w:id="583" w:name="_Hlk410831434"/>
            <w:r>
              <w:rPr>
                <w:sz w:val="18"/>
                <w:szCs w:val="18"/>
              </w:rPr>
              <w:t>提交项目总体管理方案及各阶段目标计划</w:t>
            </w:r>
          </w:p>
        </w:tc>
        <w:tc>
          <w:tcPr>
            <w:tcW w:w="4110" w:type="dxa"/>
            <w:tcBorders>
              <w:top w:val="single" w:color="auto" w:sz="6" w:space="0"/>
              <w:left w:val="single" w:color="auto" w:sz="6" w:space="0"/>
              <w:bottom w:val="single" w:color="auto" w:sz="6" w:space="0"/>
              <w:right w:val="single" w:color="auto" w:sz="6" w:space="0"/>
            </w:tcBorders>
            <w:vAlign w:val="center"/>
          </w:tcPr>
          <w:p w14:paraId="30F3D734">
            <w:pPr>
              <w:rPr>
                <w:sz w:val="18"/>
                <w:szCs w:val="18"/>
              </w:rPr>
            </w:pPr>
            <w:r>
              <w:rPr>
                <w:sz w:val="18"/>
                <w:szCs w:val="18"/>
              </w:rPr>
              <w:t>签订合同并按委托人要求进场工作10天内提交成果文件。</w:t>
            </w:r>
          </w:p>
        </w:tc>
        <w:tc>
          <w:tcPr>
            <w:tcW w:w="1418" w:type="dxa"/>
            <w:tcBorders>
              <w:top w:val="single" w:color="auto" w:sz="6" w:space="0"/>
              <w:left w:val="single" w:color="auto" w:sz="6" w:space="0"/>
              <w:bottom w:val="single" w:color="auto" w:sz="6" w:space="0"/>
              <w:right w:val="single" w:color="auto" w:sz="6" w:space="0"/>
            </w:tcBorders>
            <w:vAlign w:val="center"/>
          </w:tcPr>
          <w:p w14:paraId="115ABF58">
            <w:pPr>
              <w:rPr>
                <w:sz w:val="18"/>
                <w:szCs w:val="18"/>
              </w:rPr>
            </w:pPr>
          </w:p>
        </w:tc>
      </w:tr>
      <w:tr w14:paraId="3452471C">
        <w:tblPrEx>
          <w:tblCellMar>
            <w:top w:w="0" w:type="dxa"/>
            <w:left w:w="108" w:type="dxa"/>
            <w:bottom w:w="0" w:type="dxa"/>
            <w:right w:w="108" w:type="dxa"/>
          </w:tblCellMar>
        </w:tblPrEx>
        <w:trPr>
          <w:cantSplit/>
          <w:trHeight w:val="680" w:hRule="atLeast"/>
        </w:trPr>
        <w:tc>
          <w:tcPr>
            <w:tcW w:w="739" w:type="dxa"/>
            <w:tcBorders>
              <w:top w:val="single" w:color="auto" w:sz="6" w:space="0"/>
              <w:left w:val="single" w:color="auto" w:sz="6" w:space="0"/>
              <w:bottom w:val="single" w:color="auto" w:sz="6" w:space="0"/>
              <w:right w:val="single" w:color="auto" w:sz="6" w:space="0"/>
            </w:tcBorders>
            <w:vAlign w:val="center"/>
          </w:tcPr>
          <w:p w14:paraId="08901AD4">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0D947DD4">
            <w:pPr>
              <w:rPr>
                <w:sz w:val="18"/>
                <w:szCs w:val="18"/>
              </w:rPr>
            </w:pPr>
            <w:r>
              <w:rPr>
                <w:sz w:val="18"/>
                <w:szCs w:val="18"/>
              </w:rPr>
              <w:t>负责审核承包单位提交的既有建筑物（构筑物）拆除方案，配合完成拆除手续的办理；对拆除工程的进度、安全文明施工进行全过程旁站监理；完成拆除工作的计量计价审核工作。</w:t>
            </w:r>
          </w:p>
        </w:tc>
        <w:tc>
          <w:tcPr>
            <w:tcW w:w="4110" w:type="dxa"/>
            <w:tcBorders>
              <w:top w:val="single" w:color="auto" w:sz="6" w:space="0"/>
              <w:left w:val="single" w:color="auto" w:sz="6" w:space="0"/>
              <w:bottom w:val="single" w:color="auto" w:sz="6" w:space="0"/>
              <w:right w:val="single" w:color="auto" w:sz="6" w:space="0"/>
            </w:tcBorders>
            <w:vAlign w:val="center"/>
          </w:tcPr>
          <w:p w14:paraId="77870D6E">
            <w:pPr>
              <w:rPr>
                <w:sz w:val="18"/>
                <w:szCs w:val="18"/>
              </w:rPr>
            </w:pPr>
            <w:r>
              <w:rPr>
                <w:sz w:val="18"/>
                <w:szCs w:val="18"/>
              </w:rPr>
              <w:t>提交相关成果文件并获得委托人认可。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2E4BBF12">
            <w:pPr>
              <w:rPr>
                <w:sz w:val="18"/>
                <w:szCs w:val="18"/>
              </w:rPr>
            </w:pPr>
          </w:p>
        </w:tc>
      </w:tr>
      <w:bookmarkEnd w:id="582"/>
      <w:bookmarkEnd w:id="583"/>
      <w:tr w14:paraId="3CB0D80F">
        <w:tblPrEx>
          <w:tblCellMar>
            <w:top w:w="0" w:type="dxa"/>
            <w:left w:w="108" w:type="dxa"/>
            <w:bottom w:w="0" w:type="dxa"/>
            <w:right w:w="108" w:type="dxa"/>
          </w:tblCellMar>
        </w:tblPrEx>
        <w:trPr>
          <w:cantSplit/>
          <w:trHeight w:val="680" w:hRule="atLeast"/>
        </w:trPr>
        <w:tc>
          <w:tcPr>
            <w:tcW w:w="739" w:type="dxa"/>
            <w:tcBorders>
              <w:top w:val="single" w:color="auto" w:sz="6" w:space="0"/>
              <w:left w:val="single" w:color="auto" w:sz="6" w:space="0"/>
              <w:bottom w:val="single" w:color="auto" w:sz="6" w:space="0"/>
              <w:right w:val="single" w:color="auto" w:sz="6" w:space="0"/>
            </w:tcBorders>
            <w:vAlign w:val="center"/>
          </w:tcPr>
          <w:p w14:paraId="7D2329B5">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3B1B8AE0">
            <w:pPr>
              <w:rPr>
                <w:sz w:val="18"/>
                <w:szCs w:val="18"/>
              </w:rPr>
            </w:pPr>
            <w:r>
              <w:rPr>
                <w:sz w:val="18"/>
                <w:szCs w:val="18"/>
              </w:rPr>
              <w:t>提交《对（各专业）设计文件的意见及建议》</w:t>
            </w:r>
          </w:p>
        </w:tc>
        <w:tc>
          <w:tcPr>
            <w:tcW w:w="4110" w:type="dxa"/>
            <w:tcBorders>
              <w:top w:val="single" w:color="auto" w:sz="6" w:space="0"/>
              <w:left w:val="single" w:color="auto" w:sz="6" w:space="0"/>
              <w:bottom w:val="single" w:color="auto" w:sz="6" w:space="0"/>
              <w:right w:val="single" w:color="auto" w:sz="6" w:space="0"/>
            </w:tcBorders>
            <w:vAlign w:val="center"/>
          </w:tcPr>
          <w:p w14:paraId="65B1C213">
            <w:pPr>
              <w:rPr>
                <w:sz w:val="18"/>
                <w:szCs w:val="18"/>
              </w:rPr>
            </w:pPr>
            <w:r>
              <w:rPr>
                <w:sz w:val="18"/>
                <w:szCs w:val="18"/>
              </w:rPr>
              <w:t>提交对各专业设计文件的意见及建议书并获得委托人认可。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79A1F7E1">
            <w:pPr>
              <w:rPr>
                <w:sz w:val="18"/>
                <w:szCs w:val="18"/>
              </w:rPr>
            </w:pPr>
          </w:p>
        </w:tc>
      </w:tr>
      <w:tr w14:paraId="411F734B">
        <w:tblPrEx>
          <w:tblCellMar>
            <w:top w:w="0" w:type="dxa"/>
            <w:left w:w="108" w:type="dxa"/>
            <w:bottom w:w="0" w:type="dxa"/>
            <w:right w:w="108" w:type="dxa"/>
          </w:tblCellMar>
        </w:tblPrEx>
        <w:trPr>
          <w:cantSplit/>
          <w:trHeight w:val="590" w:hRule="atLeast"/>
        </w:trPr>
        <w:tc>
          <w:tcPr>
            <w:tcW w:w="739" w:type="dxa"/>
            <w:tcBorders>
              <w:top w:val="single" w:color="auto" w:sz="6" w:space="0"/>
              <w:left w:val="single" w:color="auto" w:sz="6" w:space="0"/>
              <w:bottom w:val="single" w:color="auto" w:sz="6" w:space="0"/>
              <w:right w:val="single" w:color="auto" w:sz="6" w:space="0"/>
            </w:tcBorders>
            <w:vAlign w:val="center"/>
          </w:tcPr>
          <w:p w14:paraId="730D0A16">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1CE44606">
            <w:pPr>
              <w:rPr>
                <w:sz w:val="18"/>
                <w:szCs w:val="18"/>
              </w:rPr>
            </w:pPr>
            <w:r>
              <w:rPr>
                <w:sz w:val="18"/>
                <w:szCs w:val="18"/>
              </w:rPr>
              <w:t>提交《（各专业）设计技术交底会议纪要》</w:t>
            </w:r>
          </w:p>
        </w:tc>
        <w:tc>
          <w:tcPr>
            <w:tcW w:w="4110" w:type="dxa"/>
            <w:tcBorders>
              <w:top w:val="single" w:color="auto" w:sz="6" w:space="0"/>
              <w:left w:val="single" w:color="auto" w:sz="6" w:space="0"/>
              <w:bottom w:val="single" w:color="auto" w:sz="6" w:space="0"/>
              <w:right w:val="single" w:color="auto" w:sz="6" w:space="0"/>
            </w:tcBorders>
            <w:vAlign w:val="center"/>
          </w:tcPr>
          <w:p w14:paraId="55776AD3">
            <w:pPr>
              <w:rPr>
                <w:sz w:val="18"/>
                <w:szCs w:val="18"/>
              </w:rPr>
            </w:pPr>
            <w:r>
              <w:rPr>
                <w:sz w:val="18"/>
                <w:szCs w:val="18"/>
              </w:rPr>
              <w:t>提交《设计技术交底会议纪要》。</w:t>
            </w:r>
          </w:p>
        </w:tc>
        <w:tc>
          <w:tcPr>
            <w:tcW w:w="1418" w:type="dxa"/>
            <w:tcBorders>
              <w:top w:val="single" w:color="auto" w:sz="6" w:space="0"/>
              <w:left w:val="single" w:color="auto" w:sz="6" w:space="0"/>
              <w:bottom w:val="single" w:color="auto" w:sz="6" w:space="0"/>
              <w:right w:val="single" w:color="auto" w:sz="6" w:space="0"/>
            </w:tcBorders>
            <w:vAlign w:val="center"/>
          </w:tcPr>
          <w:p w14:paraId="79D82C3C">
            <w:pPr>
              <w:rPr>
                <w:sz w:val="18"/>
                <w:szCs w:val="18"/>
              </w:rPr>
            </w:pPr>
          </w:p>
        </w:tc>
      </w:tr>
      <w:tr w14:paraId="3F99008F">
        <w:tblPrEx>
          <w:tblCellMar>
            <w:top w:w="0" w:type="dxa"/>
            <w:left w:w="108" w:type="dxa"/>
            <w:bottom w:w="0" w:type="dxa"/>
            <w:right w:w="108" w:type="dxa"/>
          </w:tblCellMar>
        </w:tblPrEx>
        <w:trPr>
          <w:cantSplit/>
          <w:trHeight w:val="937" w:hRule="atLeast"/>
        </w:trPr>
        <w:tc>
          <w:tcPr>
            <w:tcW w:w="739" w:type="dxa"/>
            <w:tcBorders>
              <w:top w:val="single" w:color="auto" w:sz="6" w:space="0"/>
              <w:left w:val="single" w:color="auto" w:sz="6" w:space="0"/>
              <w:bottom w:val="single" w:color="auto" w:sz="6" w:space="0"/>
              <w:right w:val="single" w:color="auto" w:sz="6" w:space="0"/>
            </w:tcBorders>
            <w:vAlign w:val="center"/>
          </w:tcPr>
          <w:p w14:paraId="62DA0069">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40FC483A">
            <w:pPr>
              <w:rPr>
                <w:sz w:val="18"/>
                <w:szCs w:val="18"/>
              </w:rPr>
            </w:pPr>
            <w:r>
              <w:rPr>
                <w:sz w:val="18"/>
                <w:szCs w:val="18"/>
              </w:rPr>
              <w:t>提交《（各专业）施工图会审记录》</w:t>
            </w:r>
          </w:p>
        </w:tc>
        <w:tc>
          <w:tcPr>
            <w:tcW w:w="4110" w:type="dxa"/>
            <w:tcBorders>
              <w:top w:val="single" w:color="auto" w:sz="6" w:space="0"/>
              <w:left w:val="single" w:color="auto" w:sz="6" w:space="0"/>
              <w:bottom w:val="single" w:color="auto" w:sz="6" w:space="0"/>
              <w:right w:val="single" w:color="auto" w:sz="6" w:space="0"/>
            </w:tcBorders>
            <w:vAlign w:val="center"/>
          </w:tcPr>
          <w:p w14:paraId="717DE7C5">
            <w:pPr>
              <w:rPr>
                <w:sz w:val="18"/>
                <w:szCs w:val="18"/>
              </w:rPr>
            </w:pPr>
            <w:r>
              <w:rPr>
                <w:sz w:val="18"/>
                <w:szCs w:val="18"/>
              </w:rPr>
              <w:t>提交全部各专业的图纸会审记录，提交时间不迟于（各专业）施工图会审结束后第7日。</w:t>
            </w:r>
          </w:p>
        </w:tc>
        <w:tc>
          <w:tcPr>
            <w:tcW w:w="1418" w:type="dxa"/>
            <w:tcBorders>
              <w:top w:val="single" w:color="auto" w:sz="6" w:space="0"/>
              <w:left w:val="single" w:color="auto" w:sz="6" w:space="0"/>
              <w:bottom w:val="single" w:color="auto" w:sz="6" w:space="0"/>
              <w:right w:val="single" w:color="auto" w:sz="6" w:space="0"/>
            </w:tcBorders>
            <w:vAlign w:val="center"/>
          </w:tcPr>
          <w:p w14:paraId="08B31218">
            <w:pPr>
              <w:rPr>
                <w:sz w:val="18"/>
                <w:szCs w:val="18"/>
              </w:rPr>
            </w:pPr>
          </w:p>
        </w:tc>
      </w:tr>
      <w:tr w14:paraId="3AFE9CD7">
        <w:tblPrEx>
          <w:tblCellMar>
            <w:top w:w="0" w:type="dxa"/>
            <w:left w:w="108" w:type="dxa"/>
            <w:bottom w:w="0" w:type="dxa"/>
            <w:right w:w="108" w:type="dxa"/>
          </w:tblCellMar>
        </w:tblPrEx>
        <w:trPr>
          <w:cantSplit/>
          <w:trHeight w:val="1077" w:hRule="atLeast"/>
        </w:trPr>
        <w:tc>
          <w:tcPr>
            <w:tcW w:w="739" w:type="dxa"/>
            <w:tcBorders>
              <w:top w:val="single" w:color="auto" w:sz="6" w:space="0"/>
              <w:left w:val="single" w:color="auto" w:sz="6" w:space="0"/>
              <w:bottom w:val="single" w:color="auto" w:sz="6" w:space="0"/>
              <w:right w:val="single" w:color="auto" w:sz="6" w:space="0"/>
            </w:tcBorders>
            <w:vAlign w:val="center"/>
          </w:tcPr>
          <w:p w14:paraId="183BB6D6">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3E5133A8">
            <w:pPr>
              <w:rPr>
                <w:sz w:val="18"/>
                <w:szCs w:val="18"/>
              </w:rPr>
            </w:pPr>
            <w:r>
              <w:rPr>
                <w:sz w:val="18"/>
                <w:szCs w:val="18"/>
              </w:rPr>
              <w:t>提交《对承包人提交的施工组织设计方案的审查报告》</w:t>
            </w:r>
          </w:p>
        </w:tc>
        <w:tc>
          <w:tcPr>
            <w:tcW w:w="4110" w:type="dxa"/>
            <w:tcBorders>
              <w:top w:val="single" w:color="auto" w:sz="6" w:space="0"/>
              <w:left w:val="single" w:color="auto" w:sz="6" w:space="0"/>
              <w:bottom w:val="single" w:color="auto" w:sz="6" w:space="0"/>
              <w:right w:val="single" w:color="auto" w:sz="6" w:space="0"/>
            </w:tcBorders>
            <w:vAlign w:val="center"/>
          </w:tcPr>
          <w:p w14:paraId="2455E228">
            <w:pPr>
              <w:rPr>
                <w:sz w:val="18"/>
                <w:szCs w:val="18"/>
              </w:rPr>
            </w:pPr>
            <w:r>
              <w:rPr>
                <w:sz w:val="18"/>
                <w:szCs w:val="18"/>
              </w:rPr>
              <w:t>提交施工组织设计方案审查报告并获得委托人认可，提交时间不迟于承包人提交施工组织设计方案后第14日。。</w:t>
            </w:r>
          </w:p>
        </w:tc>
        <w:tc>
          <w:tcPr>
            <w:tcW w:w="1418" w:type="dxa"/>
            <w:tcBorders>
              <w:top w:val="single" w:color="auto" w:sz="6" w:space="0"/>
              <w:left w:val="single" w:color="auto" w:sz="6" w:space="0"/>
              <w:bottom w:val="single" w:color="auto" w:sz="6" w:space="0"/>
              <w:right w:val="single" w:color="auto" w:sz="6" w:space="0"/>
            </w:tcBorders>
            <w:vAlign w:val="center"/>
          </w:tcPr>
          <w:p w14:paraId="16D92315">
            <w:pPr>
              <w:rPr>
                <w:sz w:val="18"/>
                <w:szCs w:val="18"/>
              </w:rPr>
            </w:pPr>
          </w:p>
        </w:tc>
      </w:tr>
      <w:tr w14:paraId="183B19AD">
        <w:tblPrEx>
          <w:tblCellMar>
            <w:top w:w="0" w:type="dxa"/>
            <w:left w:w="108" w:type="dxa"/>
            <w:bottom w:w="0" w:type="dxa"/>
            <w:right w:w="108" w:type="dxa"/>
          </w:tblCellMar>
        </w:tblPrEx>
        <w:trPr>
          <w:cantSplit/>
          <w:trHeight w:val="1077" w:hRule="atLeast"/>
        </w:trPr>
        <w:tc>
          <w:tcPr>
            <w:tcW w:w="739" w:type="dxa"/>
            <w:tcBorders>
              <w:top w:val="single" w:color="auto" w:sz="6" w:space="0"/>
              <w:left w:val="single" w:color="auto" w:sz="6" w:space="0"/>
              <w:bottom w:val="single" w:color="auto" w:sz="6" w:space="0"/>
              <w:right w:val="single" w:color="auto" w:sz="6" w:space="0"/>
            </w:tcBorders>
            <w:vAlign w:val="center"/>
          </w:tcPr>
          <w:p w14:paraId="3E7E1DD3">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7919D4B0">
            <w:pPr>
              <w:rPr>
                <w:sz w:val="18"/>
                <w:szCs w:val="18"/>
              </w:rPr>
            </w:pPr>
            <w:r>
              <w:rPr>
                <w:sz w:val="18"/>
                <w:szCs w:val="18"/>
              </w:rPr>
              <w:t>提交《对承包人提交的质量管理体系、环境管理体系及安全管理体系的检查审核报告》</w:t>
            </w:r>
          </w:p>
        </w:tc>
        <w:tc>
          <w:tcPr>
            <w:tcW w:w="4110" w:type="dxa"/>
            <w:tcBorders>
              <w:top w:val="single" w:color="auto" w:sz="6" w:space="0"/>
              <w:left w:val="single" w:color="auto" w:sz="6" w:space="0"/>
              <w:bottom w:val="single" w:color="auto" w:sz="6" w:space="0"/>
              <w:right w:val="single" w:color="auto" w:sz="6" w:space="0"/>
            </w:tcBorders>
            <w:vAlign w:val="center"/>
          </w:tcPr>
          <w:p w14:paraId="39E5ED5B">
            <w:pPr>
              <w:rPr>
                <w:sz w:val="18"/>
                <w:szCs w:val="18"/>
              </w:rPr>
            </w:pPr>
            <w:r>
              <w:rPr>
                <w:sz w:val="18"/>
                <w:szCs w:val="18"/>
              </w:rPr>
              <w:t>满足相关合同条件中的要求且获得委托人认可为。</w:t>
            </w:r>
          </w:p>
        </w:tc>
        <w:tc>
          <w:tcPr>
            <w:tcW w:w="1418" w:type="dxa"/>
            <w:tcBorders>
              <w:top w:val="single" w:color="auto" w:sz="6" w:space="0"/>
              <w:left w:val="single" w:color="auto" w:sz="6" w:space="0"/>
              <w:bottom w:val="single" w:color="auto" w:sz="6" w:space="0"/>
              <w:right w:val="single" w:color="auto" w:sz="6" w:space="0"/>
            </w:tcBorders>
            <w:vAlign w:val="center"/>
          </w:tcPr>
          <w:p w14:paraId="0AD22238">
            <w:pPr>
              <w:rPr>
                <w:sz w:val="18"/>
                <w:szCs w:val="18"/>
              </w:rPr>
            </w:pPr>
          </w:p>
        </w:tc>
      </w:tr>
      <w:tr w14:paraId="56E9C069">
        <w:tblPrEx>
          <w:tblCellMar>
            <w:top w:w="0" w:type="dxa"/>
            <w:left w:w="108" w:type="dxa"/>
            <w:bottom w:w="0" w:type="dxa"/>
            <w:right w:w="108" w:type="dxa"/>
          </w:tblCellMar>
        </w:tblPrEx>
        <w:trPr>
          <w:cantSplit/>
          <w:trHeight w:val="614" w:hRule="atLeast"/>
        </w:trPr>
        <w:tc>
          <w:tcPr>
            <w:tcW w:w="739" w:type="dxa"/>
            <w:tcBorders>
              <w:top w:val="single" w:color="auto" w:sz="6" w:space="0"/>
              <w:left w:val="single" w:color="auto" w:sz="6" w:space="0"/>
              <w:bottom w:val="single" w:color="auto" w:sz="6" w:space="0"/>
              <w:right w:val="single" w:color="auto" w:sz="6" w:space="0"/>
            </w:tcBorders>
            <w:vAlign w:val="center"/>
          </w:tcPr>
          <w:p w14:paraId="22D855D5">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68F869CA">
            <w:pPr>
              <w:rPr>
                <w:sz w:val="18"/>
                <w:szCs w:val="18"/>
              </w:rPr>
            </w:pPr>
            <w:r>
              <w:rPr>
                <w:sz w:val="18"/>
                <w:szCs w:val="18"/>
              </w:rPr>
              <w:t>提交《对承包人的资格（资质）报审表》的审核的报告</w:t>
            </w:r>
          </w:p>
        </w:tc>
        <w:tc>
          <w:tcPr>
            <w:tcW w:w="4110" w:type="dxa"/>
            <w:tcBorders>
              <w:top w:val="single" w:color="auto" w:sz="6" w:space="0"/>
              <w:left w:val="single" w:color="auto" w:sz="6" w:space="0"/>
              <w:bottom w:val="single" w:color="auto" w:sz="6" w:space="0"/>
              <w:right w:val="single" w:color="auto" w:sz="6" w:space="0"/>
            </w:tcBorders>
            <w:vAlign w:val="center"/>
          </w:tcPr>
          <w:p w14:paraId="45338468">
            <w:pPr>
              <w:rPr>
                <w:sz w:val="18"/>
                <w:szCs w:val="18"/>
              </w:rPr>
            </w:pPr>
            <w:r>
              <w:rPr>
                <w:sz w:val="18"/>
                <w:szCs w:val="18"/>
              </w:rPr>
              <w:t>提交报告并获得委托人认可。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7FEF467B">
            <w:pPr>
              <w:rPr>
                <w:sz w:val="18"/>
                <w:szCs w:val="18"/>
              </w:rPr>
            </w:pPr>
          </w:p>
        </w:tc>
      </w:tr>
      <w:tr w14:paraId="08058565">
        <w:tblPrEx>
          <w:tblCellMar>
            <w:top w:w="0" w:type="dxa"/>
            <w:left w:w="108" w:type="dxa"/>
            <w:bottom w:w="0" w:type="dxa"/>
            <w:right w:w="108" w:type="dxa"/>
          </w:tblCellMar>
        </w:tblPrEx>
        <w:trPr>
          <w:cantSplit/>
          <w:trHeight w:val="610" w:hRule="atLeast"/>
        </w:trPr>
        <w:tc>
          <w:tcPr>
            <w:tcW w:w="739" w:type="dxa"/>
            <w:tcBorders>
              <w:top w:val="single" w:color="auto" w:sz="6" w:space="0"/>
              <w:left w:val="single" w:color="auto" w:sz="6" w:space="0"/>
              <w:bottom w:val="single" w:color="auto" w:sz="6" w:space="0"/>
              <w:right w:val="single" w:color="auto" w:sz="6" w:space="0"/>
            </w:tcBorders>
            <w:vAlign w:val="center"/>
          </w:tcPr>
          <w:p w14:paraId="2FA8AB8F">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175A80C5">
            <w:pPr>
              <w:rPr>
                <w:sz w:val="18"/>
                <w:szCs w:val="18"/>
              </w:rPr>
            </w:pPr>
            <w:r>
              <w:rPr>
                <w:sz w:val="18"/>
                <w:szCs w:val="18"/>
              </w:rPr>
              <w:t>提交对承包人提交的《进场施工测量成果报验申请表》的审核报告</w:t>
            </w:r>
          </w:p>
        </w:tc>
        <w:tc>
          <w:tcPr>
            <w:tcW w:w="4110" w:type="dxa"/>
            <w:tcBorders>
              <w:top w:val="single" w:color="auto" w:sz="6" w:space="0"/>
              <w:left w:val="single" w:color="auto" w:sz="6" w:space="0"/>
              <w:bottom w:val="single" w:color="auto" w:sz="6" w:space="0"/>
              <w:right w:val="single" w:color="auto" w:sz="6" w:space="0"/>
            </w:tcBorders>
            <w:vAlign w:val="center"/>
          </w:tcPr>
          <w:p w14:paraId="5F852F85">
            <w:pPr>
              <w:rPr>
                <w:sz w:val="18"/>
                <w:szCs w:val="18"/>
              </w:rPr>
            </w:pPr>
            <w:r>
              <w:rPr>
                <w:sz w:val="18"/>
                <w:szCs w:val="18"/>
              </w:rPr>
              <w:t>提交放线测量成果并获得委托人认可。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116441D7">
            <w:pPr>
              <w:rPr>
                <w:sz w:val="18"/>
                <w:szCs w:val="18"/>
              </w:rPr>
            </w:pPr>
          </w:p>
        </w:tc>
      </w:tr>
      <w:tr w14:paraId="7CEF9370">
        <w:tblPrEx>
          <w:tblCellMar>
            <w:top w:w="0" w:type="dxa"/>
            <w:left w:w="108" w:type="dxa"/>
            <w:bottom w:w="0" w:type="dxa"/>
            <w:right w:w="108" w:type="dxa"/>
          </w:tblCellMar>
        </w:tblPrEx>
        <w:trPr>
          <w:cantSplit/>
          <w:trHeight w:val="656" w:hRule="atLeast"/>
        </w:trPr>
        <w:tc>
          <w:tcPr>
            <w:tcW w:w="739" w:type="dxa"/>
            <w:tcBorders>
              <w:top w:val="single" w:color="auto" w:sz="6" w:space="0"/>
              <w:left w:val="single" w:color="auto" w:sz="6" w:space="0"/>
              <w:bottom w:val="single" w:color="auto" w:sz="6" w:space="0"/>
              <w:right w:val="single" w:color="auto" w:sz="6" w:space="0"/>
            </w:tcBorders>
            <w:vAlign w:val="center"/>
          </w:tcPr>
          <w:p w14:paraId="154E7154">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1313102D">
            <w:pPr>
              <w:rPr>
                <w:sz w:val="18"/>
                <w:szCs w:val="18"/>
              </w:rPr>
            </w:pPr>
            <w:r>
              <w:rPr>
                <w:sz w:val="18"/>
                <w:szCs w:val="18"/>
              </w:rPr>
              <w:t>提交经过批核的《工程开工报审表》</w:t>
            </w:r>
          </w:p>
        </w:tc>
        <w:tc>
          <w:tcPr>
            <w:tcW w:w="4110" w:type="dxa"/>
            <w:tcBorders>
              <w:top w:val="single" w:color="auto" w:sz="6" w:space="0"/>
              <w:left w:val="single" w:color="auto" w:sz="6" w:space="0"/>
              <w:bottom w:val="single" w:color="auto" w:sz="6" w:space="0"/>
              <w:right w:val="single" w:color="auto" w:sz="6" w:space="0"/>
            </w:tcBorders>
            <w:vAlign w:val="center"/>
          </w:tcPr>
          <w:p w14:paraId="5A9EA667">
            <w:pPr>
              <w:rPr>
                <w:sz w:val="18"/>
                <w:szCs w:val="18"/>
              </w:rPr>
            </w:pPr>
            <w:r>
              <w:rPr>
                <w:sz w:val="18"/>
                <w:szCs w:val="18"/>
              </w:rPr>
              <w:t>施工许可证已发出且报审表获得委托人认可。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0A9657DA">
            <w:pPr>
              <w:rPr>
                <w:sz w:val="18"/>
                <w:szCs w:val="18"/>
              </w:rPr>
            </w:pPr>
          </w:p>
        </w:tc>
      </w:tr>
      <w:tr w14:paraId="6B829B1A">
        <w:tblPrEx>
          <w:tblCellMar>
            <w:top w:w="0" w:type="dxa"/>
            <w:left w:w="108" w:type="dxa"/>
            <w:bottom w:w="0" w:type="dxa"/>
            <w:right w:w="108" w:type="dxa"/>
          </w:tblCellMar>
        </w:tblPrEx>
        <w:trPr>
          <w:cantSplit/>
          <w:trHeight w:val="554" w:hRule="atLeast"/>
        </w:trPr>
        <w:tc>
          <w:tcPr>
            <w:tcW w:w="739" w:type="dxa"/>
            <w:tcBorders>
              <w:top w:val="single" w:color="auto" w:sz="6" w:space="0"/>
              <w:left w:val="single" w:color="auto" w:sz="6" w:space="0"/>
              <w:bottom w:val="single" w:color="auto" w:sz="6" w:space="0"/>
              <w:right w:val="single" w:color="auto" w:sz="6" w:space="0"/>
            </w:tcBorders>
            <w:vAlign w:val="center"/>
          </w:tcPr>
          <w:p w14:paraId="41191F12">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333E90C2">
            <w:pPr>
              <w:rPr>
                <w:sz w:val="18"/>
                <w:szCs w:val="18"/>
              </w:rPr>
            </w:pPr>
            <w:r>
              <w:rPr>
                <w:sz w:val="18"/>
                <w:szCs w:val="18"/>
              </w:rPr>
              <w:t>提交首次工地会议的会议记录</w:t>
            </w:r>
          </w:p>
        </w:tc>
        <w:tc>
          <w:tcPr>
            <w:tcW w:w="4110" w:type="dxa"/>
            <w:tcBorders>
              <w:top w:val="single" w:color="auto" w:sz="6" w:space="0"/>
              <w:left w:val="single" w:color="auto" w:sz="6" w:space="0"/>
              <w:bottom w:val="single" w:color="auto" w:sz="6" w:space="0"/>
              <w:right w:val="single" w:color="auto" w:sz="6" w:space="0"/>
            </w:tcBorders>
            <w:vAlign w:val="center"/>
          </w:tcPr>
          <w:p w14:paraId="048B8FAB">
            <w:pPr>
              <w:rPr>
                <w:sz w:val="18"/>
                <w:szCs w:val="18"/>
              </w:rPr>
            </w:pPr>
            <w:r>
              <w:rPr>
                <w:sz w:val="18"/>
                <w:szCs w:val="18"/>
              </w:rPr>
              <w:t>提交首次工地会议记录并获得委托人认可，提交时间不迟于工地会议结束后第3日。</w:t>
            </w:r>
          </w:p>
        </w:tc>
        <w:tc>
          <w:tcPr>
            <w:tcW w:w="1418" w:type="dxa"/>
            <w:tcBorders>
              <w:top w:val="single" w:color="auto" w:sz="6" w:space="0"/>
              <w:left w:val="single" w:color="auto" w:sz="6" w:space="0"/>
              <w:bottom w:val="single" w:color="auto" w:sz="6" w:space="0"/>
              <w:right w:val="single" w:color="auto" w:sz="6" w:space="0"/>
            </w:tcBorders>
            <w:vAlign w:val="center"/>
          </w:tcPr>
          <w:p w14:paraId="1F668573">
            <w:pPr>
              <w:rPr>
                <w:sz w:val="18"/>
                <w:szCs w:val="18"/>
              </w:rPr>
            </w:pPr>
          </w:p>
        </w:tc>
      </w:tr>
      <w:tr w14:paraId="466CF9F0">
        <w:tblPrEx>
          <w:tblCellMar>
            <w:top w:w="0" w:type="dxa"/>
            <w:left w:w="108" w:type="dxa"/>
            <w:bottom w:w="0" w:type="dxa"/>
            <w:right w:w="108" w:type="dxa"/>
          </w:tblCellMar>
        </w:tblPrEx>
        <w:trPr>
          <w:cantSplit/>
          <w:trHeight w:val="894" w:hRule="atLeast"/>
        </w:trPr>
        <w:tc>
          <w:tcPr>
            <w:tcW w:w="739" w:type="dxa"/>
            <w:tcBorders>
              <w:top w:val="single" w:color="auto" w:sz="6" w:space="0"/>
              <w:left w:val="single" w:color="auto" w:sz="6" w:space="0"/>
              <w:bottom w:val="single" w:color="auto" w:sz="6" w:space="0"/>
              <w:right w:val="single" w:color="auto" w:sz="6" w:space="0"/>
            </w:tcBorders>
            <w:vAlign w:val="center"/>
          </w:tcPr>
          <w:p w14:paraId="7DC3F2B2">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4D893873">
            <w:pPr>
              <w:rPr>
                <w:sz w:val="18"/>
                <w:szCs w:val="18"/>
              </w:rPr>
            </w:pPr>
            <w:r>
              <w:rPr>
                <w:sz w:val="18"/>
                <w:szCs w:val="18"/>
              </w:rPr>
              <w:t>提交《监理规划报告》</w:t>
            </w:r>
          </w:p>
        </w:tc>
        <w:tc>
          <w:tcPr>
            <w:tcW w:w="4110" w:type="dxa"/>
            <w:tcBorders>
              <w:top w:val="single" w:color="auto" w:sz="6" w:space="0"/>
              <w:left w:val="single" w:color="auto" w:sz="6" w:space="0"/>
              <w:bottom w:val="single" w:color="auto" w:sz="6" w:space="0"/>
              <w:right w:val="single" w:color="auto" w:sz="6" w:space="0"/>
            </w:tcBorders>
            <w:vAlign w:val="center"/>
          </w:tcPr>
          <w:p w14:paraId="56F59C3B">
            <w:pPr>
              <w:rPr>
                <w:sz w:val="18"/>
                <w:szCs w:val="18"/>
              </w:rPr>
            </w:pPr>
            <w:r>
              <w:rPr>
                <w:sz w:val="18"/>
                <w:szCs w:val="18"/>
              </w:rPr>
              <w:t>满足本合同文件内的相关要求且获委托人认可。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6F14C33E">
            <w:pPr>
              <w:rPr>
                <w:sz w:val="18"/>
                <w:szCs w:val="18"/>
              </w:rPr>
            </w:pPr>
          </w:p>
        </w:tc>
      </w:tr>
      <w:tr w14:paraId="2265DE65">
        <w:tblPrEx>
          <w:tblCellMar>
            <w:top w:w="0" w:type="dxa"/>
            <w:left w:w="108" w:type="dxa"/>
            <w:bottom w:w="0" w:type="dxa"/>
            <w:right w:w="108" w:type="dxa"/>
          </w:tblCellMar>
        </w:tblPrEx>
        <w:trPr>
          <w:cantSplit/>
          <w:trHeight w:val="920" w:hRule="atLeast"/>
        </w:trPr>
        <w:tc>
          <w:tcPr>
            <w:tcW w:w="739" w:type="dxa"/>
            <w:tcBorders>
              <w:top w:val="single" w:color="auto" w:sz="6" w:space="0"/>
              <w:left w:val="single" w:color="auto" w:sz="6" w:space="0"/>
              <w:bottom w:val="single" w:color="auto" w:sz="6" w:space="0"/>
              <w:right w:val="single" w:color="auto" w:sz="6" w:space="0"/>
            </w:tcBorders>
            <w:vAlign w:val="center"/>
          </w:tcPr>
          <w:p w14:paraId="4CBA15A2">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349A33AE">
            <w:pPr>
              <w:rPr>
                <w:sz w:val="18"/>
                <w:szCs w:val="18"/>
              </w:rPr>
            </w:pPr>
            <w:r>
              <w:rPr>
                <w:sz w:val="18"/>
                <w:szCs w:val="18"/>
              </w:rPr>
              <w:t>提交《监理实施细则》</w:t>
            </w:r>
          </w:p>
        </w:tc>
        <w:tc>
          <w:tcPr>
            <w:tcW w:w="4110" w:type="dxa"/>
            <w:tcBorders>
              <w:top w:val="single" w:color="auto" w:sz="6" w:space="0"/>
              <w:left w:val="single" w:color="auto" w:sz="6" w:space="0"/>
              <w:bottom w:val="single" w:color="auto" w:sz="6" w:space="0"/>
              <w:right w:val="single" w:color="auto" w:sz="6" w:space="0"/>
            </w:tcBorders>
            <w:vAlign w:val="center"/>
          </w:tcPr>
          <w:p w14:paraId="2147A563">
            <w:pPr>
              <w:rPr>
                <w:sz w:val="18"/>
                <w:szCs w:val="18"/>
              </w:rPr>
            </w:pPr>
            <w:r>
              <w:rPr>
                <w:sz w:val="18"/>
                <w:szCs w:val="18"/>
              </w:rPr>
              <w:t>满足本合同文件内的相关要求且获委托人认可。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348BF169">
            <w:pPr>
              <w:rPr>
                <w:sz w:val="18"/>
                <w:szCs w:val="18"/>
              </w:rPr>
            </w:pPr>
          </w:p>
        </w:tc>
      </w:tr>
      <w:tr w14:paraId="7EC90F67">
        <w:tblPrEx>
          <w:tblCellMar>
            <w:top w:w="0" w:type="dxa"/>
            <w:left w:w="108" w:type="dxa"/>
            <w:bottom w:w="0" w:type="dxa"/>
            <w:right w:w="108" w:type="dxa"/>
          </w:tblCellMar>
        </w:tblPrEx>
        <w:trPr>
          <w:cantSplit/>
          <w:trHeight w:val="2279" w:hRule="atLeast"/>
        </w:trPr>
        <w:tc>
          <w:tcPr>
            <w:tcW w:w="739" w:type="dxa"/>
            <w:tcBorders>
              <w:top w:val="single" w:color="auto" w:sz="6" w:space="0"/>
              <w:left w:val="single" w:color="auto" w:sz="6" w:space="0"/>
              <w:bottom w:val="single" w:color="auto" w:sz="6" w:space="0"/>
              <w:right w:val="single" w:color="auto" w:sz="6" w:space="0"/>
            </w:tcBorders>
            <w:vAlign w:val="center"/>
          </w:tcPr>
          <w:p w14:paraId="54D92DC7">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4E6F63F4">
            <w:pPr>
              <w:rPr>
                <w:sz w:val="18"/>
                <w:szCs w:val="18"/>
              </w:rPr>
            </w:pPr>
            <w:r>
              <w:rPr>
                <w:sz w:val="18"/>
                <w:szCs w:val="18"/>
              </w:rPr>
              <w:t>确立并提交以下程序的相关表格：图纸批准程序、工程变更程序、承包人索赔程序、承包人的账单审查程序、进度付款账单的审查批准程序、工程问题的请示报告程序。</w:t>
            </w:r>
          </w:p>
        </w:tc>
        <w:tc>
          <w:tcPr>
            <w:tcW w:w="4110" w:type="dxa"/>
            <w:tcBorders>
              <w:top w:val="single" w:color="auto" w:sz="6" w:space="0"/>
              <w:left w:val="single" w:color="auto" w:sz="6" w:space="0"/>
              <w:bottom w:val="single" w:color="auto" w:sz="6" w:space="0"/>
              <w:right w:val="single" w:color="auto" w:sz="6" w:space="0"/>
            </w:tcBorders>
            <w:vAlign w:val="center"/>
          </w:tcPr>
          <w:p w14:paraId="45EF5B5B">
            <w:pPr>
              <w:rPr>
                <w:sz w:val="18"/>
                <w:szCs w:val="18"/>
              </w:rPr>
            </w:pPr>
            <w:r>
              <w:rPr>
                <w:sz w:val="18"/>
                <w:szCs w:val="18"/>
              </w:rPr>
              <w:t>各工作程序的所有附件表格获得委托人认可。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3EE3CA22">
            <w:pPr>
              <w:rPr>
                <w:sz w:val="18"/>
                <w:szCs w:val="18"/>
              </w:rPr>
            </w:pPr>
          </w:p>
        </w:tc>
      </w:tr>
      <w:tr w14:paraId="63EDF15A">
        <w:tblPrEx>
          <w:tblCellMar>
            <w:top w:w="0" w:type="dxa"/>
            <w:left w:w="108" w:type="dxa"/>
            <w:bottom w:w="0" w:type="dxa"/>
            <w:right w:w="108" w:type="dxa"/>
          </w:tblCellMar>
        </w:tblPrEx>
        <w:trPr>
          <w:cantSplit/>
          <w:trHeight w:val="719" w:hRule="atLeast"/>
        </w:trPr>
        <w:tc>
          <w:tcPr>
            <w:tcW w:w="739" w:type="dxa"/>
            <w:tcBorders>
              <w:top w:val="single" w:color="auto" w:sz="6" w:space="0"/>
              <w:left w:val="single" w:color="auto" w:sz="6" w:space="0"/>
              <w:bottom w:val="single" w:color="auto" w:sz="6" w:space="0"/>
              <w:right w:val="single" w:color="auto" w:sz="6" w:space="0"/>
            </w:tcBorders>
            <w:vAlign w:val="center"/>
          </w:tcPr>
          <w:p w14:paraId="094B2148">
            <w:pPr>
              <w:rPr>
                <w:b/>
                <w:sz w:val="28"/>
                <w:szCs w:val="28"/>
              </w:rPr>
            </w:pPr>
            <w:r>
              <w:rPr>
                <w:b/>
                <w:sz w:val="28"/>
                <w:szCs w:val="28"/>
              </w:rPr>
              <w:t>二</w:t>
            </w:r>
          </w:p>
        </w:tc>
        <w:tc>
          <w:tcPr>
            <w:tcW w:w="8647" w:type="dxa"/>
            <w:gridSpan w:val="3"/>
            <w:tcBorders>
              <w:top w:val="single" w:color="auto" w:sz="6" w:space="0"/>
              <w:left w:val="single" w:color="auto" w:sz="6" w:space="0"/>
              <w:bottom w:val="single" w:color="auto" w:sz="6" w:space="0"/>
              <w:right w:val="single" w:color="auto" w:sz="6" w:space="0"/>
            </w:tcBorders>
            <w:vAlign w:val="center"/>
          </w:tcPr>
          <w:p w14:paraId="70D6685A">
            <w:pPr>
              <w:rPr>
                <w:b/>
                <w:sz w:val="28"/>
                <w:szCs w:val="28"/>
              </w:rPr>
            </w:pPr>
            <w:r>
              <w:rPr>
                <w:b/>
                <w:sz w:val="28"/>
                <w:szCs w:val="28"/>
              </w:rPr>
              <w:t>工程施工阶段</w:t>
            </w:r>
          </w:p>
        </w:tc>
      </w:tr>
      <w:tr w14:paraId="20AF272D">
        <w:tblPrEx>
          <w:tblCellMar>
            <w:top w:w="0" w:type="dxa"/>
            <w:left w:w="108" w:type="dxa"/>
            <w:bottom w:w="0" w:type="dxa"/>
            <w:right w:w="108" w:type="dxa"/>
          </w:tblCellMar>
        </w:tblPrEx>
        <w:trPr>
          <w:cantSplit/>
          <w:trHeight w:val="719" w:hRule="atLeast"/>
        </w:trPr>
        <w:tc>
          <w:tcPr>
            <w:tcW w:w="739" w:type="dxa"/>
            <w:tcBorders>
              <w:top w:val="single" w:color="auto" w:sz="6" w:space="0"/>
              <w:left w:val="single" w:color="auto" w:sz="6" w:space="0"/>
              <w:bottom w:val="single" w:color="auto" w:sz="6" w:space="0"/>
              <w:right w:val="single" w:color="auto" w:sz="6" w:space="0"/>
            </w:tcBorders>
            <w:vAlign w:val="center"/>
          </w:tcPr>
          <w:p w14:paraId="5B189939">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072A1341">
            <w:pPr>
              <w:rPr>
                <w:sz w:val="18"/>
                <w:szCs w:val="18"/>
              </w:rPr>
            </w:pPr>
            <w:r>
              <w:rPr>
                <w:sz w:val="18"/>
                <w:szCs w:val="18"/>
              </w:rPr>
              <w:t>提交《对承包人提交的施工组织设计方案变更的审查报告》</w:t>
            </w:r>
          </w:p>
        </w:tc>
        <w:tc>
          <w:tcPr>
            <w:tcW w:w="4110" w:type="dxa"/>
            <w:tcBorders>
              <w:top w:val="single" w:color="auto" w:sz="6" w:space="0"/>
              <w:left w:val="single" w:color="auto" w:sz="6" w:space="0"/>
              <w:bottom w:val="single" w:color="auto" w:sz="6" w:space="0"/>
              <w:right w:val="single" w:color="auto" w:sz="6" w:space="0"/>
            </w:tcBorders>
            <w:vAlign w:val="center"/>
          </w:tcPr>
          <w:p w14:paraId="23A78AA6">
            <w:pPr>
              <w:rPr>
                <w:sz w:val="18"/>
                <w:szCs w:val="18"/>
              </w:rPr>
            </w:pPr>
            <w:r>
              <w:rPr>
                <w:sz w:val="18"/>
                <w:szCs w:val="18"/>
              </w:rPr>
              <w:t>委托人根据实际情况检查认可。</w:t>
            </w:r>
          </w:p>
        </w:tc>
        <w:tc>
          <w:tcPr>
            <w:tcW w:w="1418" w:type="dxa"/>
            <w:tcBorders>
              <w:top w:val="single" w:color="auto" w:sz="6" w:space="0"/>
              <w:left w:val="single" w:color="auto" w:sz="6" w:space="0"/>
              <w:bottom w:val="single" w:color="auto" w:sz="6" w:space="0"/>
              <w:right w:val="single" w:color="auto" w:sz="6" w:space="0"/>
            </w:tcBorders>
            <w:vAlign w:val="center"/>
          </w:tcPr>
          <w:p w14:paraId="2EBF8AB5">
            <w:pPr>
              <w:rPr>
                <w:sz w:val="18"/>
                <w:szCs w:val="18"/>
              </w:rPr>
            </w:pPr>
          </w:p>
        </w:tc>
      </w:tr>
      <w:tr w14:paraId="42F5DDBF">
        <w:tblPrEx>
          <w:tblCellMar>
            <w:top w:w="0" w:type="dxa"/>
            <w:left w:w="108" w:type="dxa"/>
            <w:bottom w:w="0" w:type="dxa"/>
            <w:right w:w="108" w:type="dxa"/>
          </w:tblCellMar>
        </w:tblPrEx>
        <w:trPr>
          <w:cantSplit/>
          <w:trHeight w:val="638" w:hRule="atLeast"/>
        </w:trPr>
        <w:tc>
          <w:tcPr>
            <w:tcW w:w="739" w:type="dxa"/>
            <w:tcBorders>
              <w:top w:val="single" w:color="auto" w:sz="6" w:space="0"/>
              <w:left w:val="single" w:color="auto" w:sz="6" w:space="0"/>
              <w:bottom w:val="single" w:color="auto" w:sz="6" w:space="0"/>
              <w:right w:val="single" w:color="auto" w:sz="6" w:space="0"/>
            </w:tcBorders>
            <w:vAlign w:val="center"/>
          </w:tcPr>
          <w:p w14:paraId="202971F9">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1023764B">
            <w:pPr>
              <w:rPr>
                <w:sz w:val="18"/>
                <w:szCs w:val="18"/>
              </w:rPr>
            </w:pPr>
            <w:r>
              <w:rPr>
                <w:sz w:val="18"/>
                <w:szCs w:val="18"/>
              </w:rPr>
              <w:t>提交对承包人提交的《进场施工测量成果报验申请表》的审核报告</w:t>
            </w:r>
          </w:p>
        </w:tc>
        <w:tc>
          <w:tcPr>
            <w:tcW w:w="4110" w:type="dxa"/>
            <w:tcBorders>
              <w:top w:val="single" w:color="auto" w:sz="6" w:space="0"/>
              <w:left w:val="single" w:color="auto" w:sz="6" w:space="0"/>
              <w:bottom w:val="single" w:color="auto" w:sz="6" w:space="0"/>
              <w:right w:val="single" w:color="auto" w:sz="6" w:space="0"/>
            </w:tcBorders>
            <w:vAlign w:val="center"/>
          </w:tcPr>
          <w:p w14:paraId="314FDB01">
            <w:pPr>
              <w:rPr>
                <w:sz w:val="18"/>
                <w:szCs w:val="18"/>
              </w:rPr>
            </w:pPr>
            <w:r>
              <w:rPr>
                <w:sz w:val="18"/>
                <w:szCs w:val="18"/>
              </w:rPr>
              <w:t>提交放线测量成果并获得委托人认可。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28B2004C">
            <w:pPr>
              <w:rPr>
                <w:sz w:val="18"/>
                <w:szCs w:val="18"/>
              </w:rPr>
            </w:pPr>
          </w:p>
        </w:tc>
      </w:tr>
      <w:tr w14:paraId="4EE67F50">
        <w:tblPrEx>
          <w:tblCellMar>
            <w:top w:w="0" w:type="dxa"/>
            <w:left w:w="108" w:type="dxa"/>
            <w:bottom w:w="0" w:type="dxa"/>
            <w:right w:w="108" w:type="dxa"/>
          </w:tblCellMar>
        </w:tblPrEx>
        <w:trPr>
          <w:cantSplit/>
          <w:trHeight w:val="392" w:hRule="atLeast"/>
        </w:trPr>
        <w:tc>
          <w:tcPr>
            <w:tcW w:w="739" w:type="dxa"/>
            <w:tcBorders>
              <w:top w:val="single" w:color="auto" w:sz="6" w:space="0"/>
              <w:left w:val="single" w:color="auto" w:sz="6" w:space="0"/>
              <w:bottom w:val="single" w:color="auto" w:sz="6" w:space="0"/>
              <w:right w:val="single" w:color="auto" w:sz="6" w:space="0"/>
            </w:tcBorders>
            <w:vAlign w:val="center"/>
          </w:tcPr>
          <w:p w14:paraId="2C531289">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10DF1C82">
            <w:pPr>
              <w:rPr>
                <w:sz w:val="18"/>
                <w:szCs w:val="18"/>
              </w:rPr>
            </w:pPr>
            <w:r>
              <w:rPr>
                <w:sz w:val="18"/>
                <w:szCs w:val="18"/>
              </w:rPr>
              <w:t>提交《到货验收报告》</w:t>
            </w:r>
          </w:p>
        </w:tc>
        <w:tc>
          <w:tcPr>
            <w:tcW w:w="4110" w:type="dxa"/>
            <w:tcBorders>
              <w:top w:val="single" w:color="auto" w:sz="6" w:space="0"/>
              <w:left w:val="single" w:color="auto" w:sz="6" w:space="0"/>
              <w:bottom w:val="single" w:color="auto" w:sz="6" w:space="0"/>
              <w:right w:val="single" w:color="auto" w:sz="6" w:space="0"/>
            </w:tcBorders>
            <w:vAlign w:val="center"/>
          </w:tcPr>
          <w:p w14:paraId="2582C413">
            <w:pPr>
              <w:rPr>
                <w:sz w:val="18"/>
                <w:szCs w:val="18"/>
              </w:rPr>
            </w:pPr>
            <w:r>
              <w:rPr>
                <w:sz w:val="18"/>
                <w:szCs w:val="18"/>
              </w:rPr>
              <w:t>提交当期进场到货之验收报告。</w:t>
            </w:r>
          </w:p>
        </w:tc>
        <w:tc>
          <w:tcPr>
            <w:tcW w:w="1418" w:type="dxa"/>
            <w:tcBorders>
              <w:top w:val="single" w:color="auto" w:sz="6" w:space="0"/>
              <w:left w:val="single" w:color="auto" w:sz="6" w:space="0"/>
              <w:bottom w:val="single" w:color="auto" w:sz="6" w:space="0"/>
              <w:right w:val="single" w:color="auto" w:sz="6" w:space="0"/>
            </w:tcBorders>
            <w:vAlign w:val="center"/>
          </w:tcPr>
          <w:p w14:paraId="13D44A10">
            <w:pPr>
              <w:rPr>
                <w:sz w:val="18"/>
                <w:szCs w:val="18"/>
              </w:rPr>
            </w:pPr>
          </w:p>
        </w:tc>
      </w:tr>
      <w:tr w14:paraId="483C3731">
        <w:tblPrEx>
          <w:tblCellMar>
            <w:top w:w="0" w:type="dxa"/>
            <w:left w:w="108" w:type="dxa"/>
            <w:bottom w:w="0" w:type="dxa"/>
            <w:right w:w="108" w:type="dxa"/>
          </w:tblCellMar>
        </w:tblPrEx>
        <w:trPr>
          <w:cantSplit/>
          <w:trHeight w:val="558" w:hRule="atLeast"/>
        </w:trPr>
        <w:tc>
          <w:tcPr>
            <w:tcW w:w="739" w:type="dxa"/>
            <w:tcBorders>
              <w:top w:val="single" w:color="auto" w:sz="6" w:space="0"/>
              <w:left w:val="single" w:color="auto" w:sz="6" w:space="0"/>
              <w:bottom w:val="single" w:color="auto" w:sz="6" w:space="0"/>
              <w:right w:val="single" w:color="auto" w:sz="6" w:space="0"/>
            </w:tcBorders>
            <w:vAlign w:val="center"/>
          </w:tcPr>
          <w:p w14:paraId="64500DB6">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35A573A7">
            <w:pPr>
              <w:rPr>
                <w:sz w:val="18"/>
                <w:szCs w:val="18"/>
              </w:rPr>
            </w:pPr>
            <w:r>
              <w:rPr>
                <w:sz w:val="18"/>
                <w:szCs w:val="18"/>
              </w:rPr>
              <w:t>《旁站监理记录》；《监理日记》；</w:t>
            </w:r>
          </w:p>
        </w:tc>
        <w:tc>
          <w:tcPr>
            <w:tcW w:w="4110" w:type="dxa"/>
            <w:tcBorders>
              <w:top w:val="single" w:color="auto" w:sz="6" w:space="0"/>
              <w:left w:val="single" w:color="auto" w:sz="6" w:space="0"/>
              <w:bottom w:val="single" w:color="auto" w:sz="6" w:space="0"/>
              <w:right w:val="single" w:color="auto" w:sz="6" w:space="0"/>
            </w:tcBorders>
            <w:vAlign w:val="center"/>
          </w:tcPr>
          <w:p w14:paraId="72360EBE">
            <w:pPr>
              <w:rPr>
                <w:sz w:val="18"/>
                <w:szCs w:val="18"/>
              </w:rPr>
            </w:pPr>
            <w:r>
              <w:rPr>
                <w:sz w:val="18"/>
                <w:szCs w:val="18"/>
              </w:rPr>
              <w:t>提交当期需要实施旁站监理的关键部位、关键工序的相关记录文件及完整监理日记。</w:t>
            </w:r>
          </w:p>
        </w:tc>
        <w:tc>
          <w:tcPr>
            <w:tcW w:w="1418" w:type="dxa"/>
            <w:tcBorders>
              <w:top w:val="single" w:color="auto" w:sz="6" w:space="0"/>
              <w:left w:val="single" w:color="auto" w:sz="6" w:space="0"/>
              <w:bottom w:val="single" w:color="auto" w:sz="6" w:space="0"/>
              <w:right w:val="single" w:color="auto" w:sz="6" w:space="0"/>
            </w:tcBorders>
            <w:vAlign w:val="center"/>
          </w:tcPr>
          <w:p w14:paraId="7F942362">
            <w:pPr>
              <w:rPr>
                <w:sz w:val="18"/>
                <w:szCs w:val="18"/>
              </w:rPr>
            </w:pPr>
          </w:p>
        </w:tc>
      </w:tr>
      <w:tr w14:paraId="6BB07D99">
        <w:tblPrEx>
          <w:tblCellMar>
            <w:top w:w="0" w:type="dxa"/>
            <w:left w:w="108" w:type="dxa"/>
            <w:bottom w:w="0" w:type="dxa"/>
            <w:right w:w="108" w:type="dxa"/>
          </w:tblCellMar>
        </w:tblPrEx>
        <w:trPr>
          <w:cantSplit/>
          <w:trHeight w:val="313" w:hRule="atLeast"/>
        </w:trPr>
        <w:tc>
          <w:tcPr>
            <w:tcW w:w="739" w:type="dxa"/>
            <w:tcBorders>
              <w:top w:val="single" w:color="auto" w:sz="6" w:space="0"/>
              <w:left w:val="single" w:color="auto" w:sz="6" w:space="0"/>
              <w:bottom w:val="single" w:color="auto" w:sz="6" w:space="0"/>
              <w:right w:val="single" w:color="auto" w:sz="6" w:space="0"/>
            </w:tcBorders>
            <w:vAlign w:val="center"/>
          </w:tcPr>
          <w:p w14:paraId="6BC262F6">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55CD0126">
            <w:pPr>
              <w:rPr>
                <w:sz w:val="18"/>
                <w:szCs w:val="18"/>
              </w:rPr>
            </w:pPr>
            <w:r>
              <w:rPr>
                <w:sz w:val="18"/>
                <w:szCs w:val="18"/>
              </w:rPr>
              <w:t>批核由承包人提交的《隐蔽工程报验申请表》</w:t>
            </w:r>
          </w:p>
        </w:tc>
        <w:tc>
          <w:tcPr>
            <w:tcW w:w="4110" w:type="dxa"/>
            <w:tcBorders>
              <w:top w:val="single" w:color="auto" w:sz="6" w:space="0"/>
              <w:left w:val="single" w:color="auto" w:sz="6" w:space="0"/>
              <w:bottom w:val="single" w:color="auto" w:sz="6" w:space="0"/>
              <w:right w:val="single" w:color="auto" w:sz="6" w:space="0"/>
            </w:tcBorders>
            <w:vAlign w:val="center"/>
          </w:tcPr>
          <w:p w14:paraId="16A90E1D">
            <w:pPr>
              <w:rPr>
                <w:sz w:val="18"/>
                <w:szCs w:val="18"/>
              </w:rPr>
            </w:pPr>
            <w:r>
              <w:rPr>
                <w:sz w:val="18"/>
                <w:szCs w:val="18"/>
              </w:rPr>
              <w:t>提交当期相关验评记录并经委托人检查认可。</w:t>
            </w:r>
          </w:p>
        </w:tc>
        <w:tc>
          <w:tcPr>
            <w:tcW w:w="1418" w:type="dxa"/>
            <w:tcBorders>
              <w:top w:val="single" w:color="auto" w:sz="6" w:space="0"/>
              <w:left w:val="single" w:color="auto" w:sz="6" w:space="0"/>
              <w:bottom w:val="single" w:color="auto" w:sz="6" w:space="0"/>
              <w:right w:val="single" w:color="auto" w:sz="6" w:space="0"/>
            </w:tcBorders>
            <w:vAlign w:val="center"/>
          </w:tcPr>
          <w:p w14:paraId="73183193">
            <w:pPr>
              <w:rPr>
                <w:sz w:val="18"/>
                <w:szCs w:val="18"/>
              </w:rPr>
            </w:pPr>
          </w:p>
        </w:tc>
      </w:tr>
      <w:tr w14:paraId="3B8BC128">
        <w:tblPrEx>
          <w:tblCellMar>
            <w:top w:w="0" w:type="dxa"/>
            <w:left w:w="108" w:type="dxa"/>
            <w:bottom w:w="0" w:type="dxa"/>
            <w:right w:w="108" w:type="dxa"/>
          </w:tblCellMar>
        </w:tblPrEx>
        <w:trPr>
          <w:cantSplit/>
          <w:trHeight w:val="601" w:hRule="atLeast"/>
        </w:trPr>
        <w:tc>
          <w:tcPr>
            <w:tcW w:w="739" w:type="dxa"/>
            <w:tcBorders>
              <w:top w:val="single" w:color="auto" w:sz="6" w:space="0"/>
              <w:left w:val="single" w:color="auto" w:sz="6" w:space="0"/>
              <w:bottom w:val="single" w:color="auto" w:sz="6" w:space="0"/>
              <w:right w:val="single" w:color="auto" w:sz="6" w:space="0"/>
            </w:tcBorders>
            <w:vAlign w:val="center"/>
          </w:tcPr>
          <w:p w14:paraId="21F98C73">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4C880764">
            <w:pPr>
              <w:rPr>
                <w:sz w:val="18"/>
                <w:szCs w:val="18"/>
              </w:rPr>
            </w:pPr>
            <w:r>
              <w:rPr>
                <w:sz w:val="18"/>
                <w:szCs w:val="18"/>
              </w:rPr>
              <w:t>批核由承包人提交的《分项工程质量验评记录》</w:t>
            </w:r>
          </w:p>
        </w:tc>
        <w:tc>
          <w:tcPr>
            <w:tcW w:w="4110" w:type="dxa"/>
            <w:tcBorders>
              <w:top w:val="single" w:color="auto" w:sz="6" w:space="0"/>
              <w:left w:val="single" w:color="auto" w:sz="6" w:space="0"/>
              <w:bottom w:val="single" w:color="auto" w:sz="6" w:space="0"/>
              <w:right w:val="single" w:color="auto" w:sz="6" w:space="0"/>
            </w:tcBorders>
            <w:vAlign w:val="center"/>
          </w:tcPr>
          <w:p w14:paraId="0473AA48">
            <w:pPr>
              <w:rPr>
                <w:sz w:val="18"/>
                <w:szCs w:val="18"/>
              </w:rPr>
            </w:pPr>
            <w:r>
              <w:rPr>
                <w:sz w:val="18"/>
                <w:szCs w:val="18"/>
              </w:rPr>
              <w:t>提交当期相关验评记录并经委托人检查认可。</w:t>
            </w:r>
          </w:p>
        </w:tc>
        <w:tc>
          <w:tcPr>
            <w:tcW w:w="1418" w:type="dxa"/>
            <w:tcBorders>
              <w:top w:val="single" w:color="auto" w:sz="6" w:space="0"/>
              <w:left w:val="single" w:color="auto" w:sz="6" w:space="0"/>
              <w:bottom w:val="single" w:color="auto" w:sz="6" w:space="0"/>
              <w:right w:val="single" w:color="auto" w:sz="6" w:space="0"/>
            </w:tcBorders>
            <w:vAlign w:val="center"/>
          </w:tcPr>
          <w:p w14:paraId="60815CDD">
            <w:pPr>
              <w:rPr>
                <w:sz w:val="18"/>
                <w:szCs w:val="18"/>
              </w:rPr>
            </w:pPr>
          </w:p>
        </w:tc>
      </w:tr>
      <w:tr w14:paraId="7DE613A7">
        <w:tblPrEx>
          <w:tblCellMar>
            <w:top w:w="0" w:type="dxa"/>
            <w:left w:w="108" w:type="dxa"/>
            <w:bottom w:w="0" w:type="dxa"/>
            <w:right w:w="108" w:type="dxa"/>
          </w:tblCellMar>
        </w:tblPrEx>
        <w:trPr>
          <w:cantSplit/>
          <w:trHeight w:val="298" w:hRule="atLeast"/>
        </w:trPr>
        <w:tc>
          <w:tcPr>
            <w:tcW w:w="739" w:type="dxa"/>
            <w:tcBorders>
              <w:top w:val="single" w:color="auto" w:sz="6" w:space="0"/>
              <w:left w:val="single" w:color="auto" w:sz="6" w:space="0"/>
              <w:bottom w:val="single" w:color="auto" w:sz="6" w:space="0"/>
              <w:right w:val="single" w:color="auto" w:sz="6" w:space="0"/>
            </w:tcBorders>
            <w:vAlign w:val="center"/>
          </w:tcPr>
          <w:p w14:paraId="36C957E9">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0E44CC10">
            <w:pPr>
              <w:rPr>
                <w:sz w:val="18"/>
                <w:szCs w:val="18"/>
              </w:rPr>
            </w:pPr>
            <w:r>
              <w:rPr>
                <w:sz w:val="18"/>
                <w:szCs w:val="18"/>
              </w:rPr>
              <w:t>提交《月度施工质量检查报告》</w:t>
            </w:r>
          </w:p>
        </w:tc>
        <w:tc>
          <w:tcPr>
            <w:tcW w:w="4110" w:type="dxa"/>
            <w:tcBorders>
              <w:top w:val="single" w:color="auto" w:sz="6" w:space="0"/>
              <w:left w:val="single" w:color="auto" w:sz="6" w:space="0"/>
              <w:bottom w:val="single" w:color="auto" w:sz="6" w:space="0"/>
              <w:right w:val="single" w:color="auto" w:sz="6" w:space="0"/>
            </w:tcBorders>
            <w:vAlign w:val="center"/>
          </w:tcPr>
          <w:p w14:paraId="5C24925C">
            <w:pPr>
              <w:rPr>
                <w:sz w:val="18"/>
                <w:szCs w:val="18"/>
              </w:rPr>
            </w:pPr>
            <w:r>
              <w:rPr>
                <w:sz w:val="18"/>
                <w:szCs w:val="18"/>
              </w:rPr>
              <w:t>提交《月度施工质量检查报告》并获得委托人认可。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3AA1EED7">
            <w:pPr>
              <w:rPr>
                <w:sz w:val="18"/>
                <w:szCs w:val="18"/>
              </w:rPr>
            </w:pPr>
          </w:p>
        </w:tc>
      </w:tr>
      <w:tr w14:paraId="3A46058A">
        <w:tblPrEx>
          <w:tblCellMar>
            <w:top w:w="0" w:type="dxa"/>
            <w:left w:w="108" w:type="dxa"/>
            <w:bottom w:w="0" w:type="dxa"/>
            <w:right w:w="108" w:type="dxa"/>
          </w:tblCellMar>
        </w:tblPrEx>
        <w:trPr>
          <w:cantSplit/>
          <w:trHeight w:val="578" w:hRule="atLeast"/>
        </w:trPr>
        <w:tc>
          <w:tcPr>
            <w:tcW w:w="739" w:type="dxa"/>
            <w:tcBorders>
              <w:top w:val="single" w:color="auto" w:sz="6" w:space="0"/>
              <w:left w:val="single" w:color="auto" w:sz="6" w:space="0"/>
              <w:bottom w:val="single" w:color="auto" w:sz="6" w:space="0"/>
              <w:right w:val="single" w:color="auto" w:sz="6" w:space="0"/>
            </w:tcBorders>
            <w:vAlign w:val="center"/>
          </w:tcPr>
          <w:p w14:paraId="0F9FF9FA">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15F6AF00">
            <w:pPr>
              <w:rPr>
                <w:sz w:val="18"/>
                <w:szCs w:val="18"/>
              </w:rPr>
            </w:pPr>
            <w:r>
              <w:rPr>
                <w:sz w:val="18"/>
                <w:szCs w:val="18"/>
              </w:rPr>
              <w:t>按月提交工程款支付建议报告（连资金支付计划）</w:t>
            </w:r>
          </w:p>
        </w:tc>
        <w:tc>
          <w:tcPr>
            <w:tcW w:w="4110" w:type="dxa"/>
            <w:tcBorders>
              <w:top w:val="single" w:color="auto" w:sz="6" w:space="0"/>
              <w:left w:val="single" w:color="auto" w:sz="6" w:space="0"/>
              <w:bottom w:val="single" w:color="auto" w:sz="6" w:space="0"/>
              <w:right w:val="single" w:color="auto" w:sz="6" w:space="0"/>
            </w:tcBorders>
            <w:vAlign w:val="center"/>
          </w:tcPr>
          <w:p w14:paraId="11F981B2">
            <w:pPr>
              <w:rPr>
                <w:sz w:val="18"/>
                <w:szCs w:val="18"/>
              </w:rPr>
            </w:pPr>
            <w:r>
              <w:rPr>
                <w:sz w:val="18"/>
                <w:szCs w:val="18"/>
              </w:rPr>
              <w:t>提交当月之支付报告并获得委托人认可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7F92E7D6">
            <w:pPr>
              <w:rPr>
                <w:sz w:val="18"/>
                <w:szCs w:val="18"/>
              </w:rPr>
            </w:pPr>
          </w:p>
        </w:tc>
      </w:tr>
      <w:tr w14:paraId="0A23C3AF">
        <w:tblPrEx>
          <w:tblCellMar>
            <w:top w:w="0" w:type="dxa"/>
            <w:left w:w="108" w:type="dxa"/>
            <w:bottom w:w="0" w:type="dxa"/>
            <w:right w:w="108" w:type="dxa"/>
          </w:tblCellMar>
        </w:tblPrEx>
        <w:trPr>
          <w:cantSplit/>
          <w:trHeight w:val="444" w:hRule="atLeast"/>
        </w:trPr>
        <w:tc>
          <w:tcPr>
            <w:tcW w:w="739" w:type="dxa"/>
            <w:tcBorders>
              <w:top w:val="single" w:color="auto" w:sz="6" w:space="0"/>
              <w:left w:val="single" w:color="auto" w:sz="6" w:space="0"/>
              <w:bottom w:val="single" w:color="auto" w:sz="6" w:space="0"/>
              <w:right w:val="single" w:color="auto" w:sz="6" w:space="0"/>
            </w:tcBorders>
            <w:vAlign w:val="center"/>
          </w:tcPr>
          <w:p w14:paraId="29A4CC67">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37D11685">
            <w:pPr>
              <w:rPr>
                <w:sz w:val="18"/>
                <w:szCs w:val="18"/>
              </w:rPr>
            </w:pPr>
            <w:r>
              <w:rPr>
                <w:sz w:val="18"/>
                <w:szCs w:val="18"/>
              </w:rPr>
              <w:t>按月提交《当月造价风险分析报告》</w:t>
            </w:r>
          </w:p>
        </w:tc>
        <w:tc>
          <w:tcPr>
            <w:tcW w:w="4110" w:type="dxa"/>
            <w:tcBorders>
              <w:top w:val="single" w:color="auto" w:sz="6" w:space="0"/>
              <w:left w:val="single" w:color="auto" w:sz="6" w:space="0"/>
              <w:bottom w:val="single" w:color="auto" w:sz="6" w:space="0"/>
              <w:right w:val="single" w:color="auto" w:sz="6" w:space="0"/>
            </w:tcBorders>
            <w:vAlign w:val="center"/>
          </w:tcPr>
          <w:p w14:paraId="31B8F0E1">
            <w:pPr>
              <w:rPr>
                <w:sz w:val="18"/>
                <w:szCs w:val="18"/>
              </w:rPr>
            </w:pPr>
            <w:r>
              <w:rPr>
                <w:sz w:val="18"/>
                <w:szCs w:val="18"/>
              </w:rPr>
              <w:t>提交当月报告并获得委托人认可。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587CFEFD">
            <w:pPr>
              <w:rPr>
                <w:sz w:val="18"/>
                <w:szCs w:val="18"/>
              </w:rPr>
            </w:pPr>
          </w:p>
        </w:tc>
      </w:tr>
      <w:tr w14:paraId="642F482E">
        <w:tblPrEx>
          <w:tblCellMar>
            <w:top w:w="0" w:type="dxa"/>
            <w:left w:w="108" w:type="dxa"/>
            <w:bottom w:w="0" w:type="dxa"/>
            <w:right w:w="108" w:type="dxa"/>
          </w:tblCellMar>
        </w:tblPrEx>
        <w:trPr>
          <w:cantSplit/>
          <w:trHeight w:val="1361" w:hRule="atLeast"/>
        </w:trPr>
        <w:tc>
          <w:tcPr>
            <w:tcW w:w="739" w:type="dxa"/>
            <w:tcBorders>
              <w:top w:val="single" w:color="auto" w:sz="6" w:space="0"/>
              <w:left w:val="single" w:color="auto" w:sz="6" w:space="0"/>
              <w:bottom w:val="single" w:color="auto" w:sz="6" w:space="0"/>
              <w:right w:val="single" w:color="auto" w:sz="6" w:space="0"/>
            </w:tcBorders>
            <w:vAlign w:val="center"/>
          </w:tcPr>
          <w:p w14:paraId="03ACD1E2">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713C8AA8">
            <w:pPr>
              <w:rPr>
                <w:sz w:val="18"/>
                <w:szCs w:val="18"/>
              </w:rPr>
            </w:pPr>
            <w:r>
              <w:rPr>
                <w:sz w:val="18"/>
                <w:szCs w:val="18"/>
              </w:rPr>
              <w:t>提交《月度工程变更造价统计表》</w:t>
            </w:r>
          </w:p>
        </w:tc>
        <w:tc>
          <w:tcPr>
            <w:tcW w:w="4110" w:type="dxa"/>
            <w:tcBorders>
              <w:top w:val="single" w:color="auto" w:sz="6" w:space="0"/>
              <w:left w:val="single" w:color="auto" w:sz="6" w:space="0"/>
              <w:bottom w:val="single" w:color="auto" w:sz="6" w:space="0"/>
              <w:right w:val="single" w:color="auto" w:sz="6" w:space="0"/>
            </w:tcBorders>
            <w:vAlign w:val="center"/>
          </w:tcPr>
          <w:p w14:paraId="1DBE90D7">
            <w:pPr>
              <w:rPr>
                <w:sz w:val="18"/>
                <w:szCs w:val="18"/>
              </w:rPr>
            </w:pPr>
            <w:r>
              <w:rPr>
                <w:sz w:val="18"/>
                <w:szCs w:val="18"/>
              </w:rPr>
              <w:t>提交月度统计表并获得委托人认可。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05A71658">
            <w:pPr>
              <w:rPr>
                <w:sz w:val="18"/>
                <w:szCs w:val="18"/>
              </w:rPr>
            </w:pPr>
          </w:p>
        </w:tc>
      </w:tr>
      <w:tr w14:paraId="4718CA34">
        <w:tblPrEx>
          <w:tblCellMar>
            <w:top w:w="0" w:type="dxa"/>
            <w:left w:w="108" w:type="dxa"/>
            <w:bottom w:w="0" w:type="dxa"/>
            <w:right w:w="108" w:type="dxa"/>
          </w:tblCellMar>
        </w:tblPrEx>
        <w:trPr>
          <w:cantSplit/>
          <w:trHeight w:val="997" w:hRule="atLeast"/>
        </w:trPr>
        <w:tc>
          <w:tcPr>
            <w:tcW w:w="739" w:type="dxa"/>
            <w:tcBorders>
              <w:top w:val="single" w:color="auto" w:sz="6" w:space="0"/>
              <w:left w:val="single" w:color="auto" w:sz="6" w:space="0"/>
              <w:bottom w:val="single" w:color="auto" w:sz="6" w:space="0"/>
              <w:right w:val="single" w:color="auto" w:sz="6" w:space="0"/>
            </w:tcBorders>
            <w:vAlign w:val="center"/>
          </w:tcPr>
          <w:p w14:paraId="0815A051">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6042E976">
            <w:pPr>
              <w:rPr>
                <w:sz w:val="18"/>
                <w:szCs w:val="18"/>
              </w:rPr>
            </w:pPr>
            <w:r>
              <w:rPr>
                <w:sz w:val="18"/>
                <w:szCs w:val="18"/>
              </w:rPr>
              <w:t>提交分部工程（如有）结算审核意见书（包括相关结算资料）。</w:t>
            </w:r>
          </w:p>
        </w:tc>
        <w:tc>
          <w:tcPr>
            <w:tcW w:w="4110" w:type="dxa"/>
            <w:tcBorders>
              <w:top w:val="single" w:color="auto" w:sz="6" w:space="0"/>
              <w:left w:val="single" w:color="auto" w:sz="6" w:space="0"/>
              <w:bottom w:val="single" w:color="auto" w:sz="6" w:space="0"/>
              <w:right w:val="single" w:color="auto" w:sz="6" w:space="0"/>
            </w:tcBorders>
            <w:vAlign w:val="center"/>
          </w:tcPr>
          <w:p w14:paraId="3F44BE2D">
            <w:pPr>
              <w:rPr>
                <w:sz w:val="18"/>
                <w:szCs w:val="18"/>
              </w:rPr>
            </w:pPr>
            <w:r>
              <w:rPr>
                <w:sz w:val="18"/>
                <w:szCs w:val="18"/>
              </w:rPr>
              <w:t>提交审核意见书并获得委托人认可。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69C9CDD0">
            <w:pPr>
              <w:rPr>
                <w:sz w:val="18"/>
                <w:szCs w:val="18"/>
              </w:rPr>
            </w:pPr>
          </w:p>
        </w:tc>
      </w:tr>
      <w:tr w14:paraId="763D4F78">
        <w:tblPrEx>
          <w:tblCellMar>
            <w:top w:w="0" w:type="dxa"/>
            <w:left w:w="108" w:type="dxa"/>
            <w:bottom w:w="0" w:type="dxa"/>
            <w:right w:w="108" w:type="dxa"/>
          </w:tblCellMar>
        </w:tblPrEx>
        <w:trPr>
          <w:cantSplit/>
          <w:trHeight w:val="321" w:hRule="atLeast"/>
        </w:trPr>
        <w:tc>
          <w:tcPr>
            <w:tcW w:w="739" w:type="dxa"/>
            <w:tcBorders>
              <w:top w:val="single" w:color="auto" w:sz="6" w:space="0"/>
              <w:left w:val="single" w:color="auto" w:sz="6" w:space="0"/>
              <w:bottom w:val="single" w:color="auto" w:sz="6" w:space="0"/>
              <w:right w:val="single" w:color="auto" w:sz="6" w:space="0"/>
            </w:tcBorders>
            <w:vAlign w:val="center"/>
          </w:tcPr>
          <w:p w14:paraId="559B4D6A">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1108A61B">
            <w:pPr>
              <w:rPr>
                <w:sz w:val="18"/>
                <w:szCs w:val="18"/>
              </w:rPr>
            </w:pPr>
            <w:r>
              <w:rPr>
                <w:sz w:val="18"/>
                <w:szCs w:val="18"/>
              </w:rPr>
              <w:t>按月提交《进度控制方案》</w:t>
            </w:r>
          </w:p>
        </w:tc>
        <w:tc>
          <w:tcPr>
            <w:tcW w:w="4110" w:type="dxa"/>
            <w:tcBorders>
              <w:top w:val="single" w:color="auto" w:sz="6" w:space="0"/>
              <w:left w:val="single" w:color="auto" w:sz="6" w:space="0"/>
              <w:bottom w:val="single" w:color="auto" w:sz="6" w:space="0"/>
              <w:right w:val="single" w:color="auto" w:sz="6" w:space="0"/>
            </w:tcBorders>
            <w:vAlign w:val="center"/>
          </w:tcPr>
          <w:p w14:paraId="22F5132E">
            <w:pPr>
              <w:rPr>
                <w:sz w:val="18"/>
                <w:szCs w:val="18"/>
              </w:rPr>
            </w:pPr>
            <w:r>
              <w:rPr>
                <w:sz w:val="18"/>
                <w:szCs w:val="18"/>
              </w:rPr>
              <w:t>提交当月进度控制方案并获得委托人认可。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3747ED2D">
            <w:pPr>
              <w:rPr>
                <w:sz w:val="18"/>
                <w:szCs w:val="18"/>
              </w:rPr>
            </w:pPr>
          </w:p>
        </w:tc>
      </w:tr>
      <w:tr w14:paraId="248252D3">
        <w:tblPrEx>
          <w:tblCellMar>
            <w:top w:w="0" w:type="dxa"/>
            <w:left w:w="108" w:type="dxa"/>
            <w:bottom w:w="0" w:type="dxa"/>
            <w:right w:w="108" w:type="dxa"/>
          </w:tblCellMar>
        </w:tblPrEx>
        <w:trPr>
          <w:cantSplit/>
          <w:trHeight w:val="554" w:hRule="atLeast"/>
        </w:trPr>
        <w:tc>
          <w:tcPr>
            <w:tcW w:w="739" w:type="dxa"/>
            <w:tcBorders>
              <w:top w:val="single" w:color="auto" w:sz="6" w:space="0"/>
              <w:left w:val="single" w:color="auto" w:sz="6" w:space="0"/>
              <w:bottom w:val="single" w:color="auto" w:sz="6" w:space="0"/>
              <w:right w:val="single" w:color="auto" w:sz="6" w:space="0"/>
            </w:tcBorders>
            <w:vAlign w:val="center"/>
          </w:tcPr>
          <w:p w14:paraId="1B264D30">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68639282">
            <w:pPr>
              <w:rPr>
                <w:sz w:val="18"/>
                <w:szCs w:val="18"/>
              </w:rPr>
            </w:pPr>
            <w:r>
              <w:rPr>
                <w:sz w:val="18"/>
                <w:szCs w:val="18"/>
              </w:rPr>
              <w:t>按月提交《进度风险分析报告》</w:t>
            </w:r>
          </w:p>
        </w:tc>
        <w:tc>
          <w:tcPr>
            <w:tcW w:w="4110" w:type="dxa"/>
            <w:tcBorders>
              <w:top w:val="single" w:color="auto" w:sz="6" w:space="0"/>
              <w:left w:val="single" w:color="auto" w:sz="6" w:space="0"/>
              <w:bottom w:val="single" w:color="auto" w:sz="6" w:space="0"/>
              <w:right w:val="single" w:color="auto" w:sz="6" w:space="0"/>
            </w:tcBorders>
            <w:vAlign w:val="center"/>
          </w:tcPr>
          <w:p w14:paraId="517B1B64">
            <w:pPr>
              <w:rPr>
                <w:sz w:val="18"/>
                <w:szCs w:val="18"/>
              </w:rPr>
            </w:pPr>
            <w:r>
              <w:rPr>
                <w:sz w:val="18"/>
                <w:szCs w:val="18"/>
              </w:rPr>
              <w:t>提交当月之报告并获得委托人认可。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2F880478">
            <w:pPr>
              <w:rPr>
                <w:sz w:val="18"/>
                <w:szCs w:val="18"/>
              </w:rPr>
            </w:pPr>
          </w:p>
        </w:tc>
      </w:tr>
      <w:tr w14:paraId="1065A336">
        <w:tblPrEx>
          <w:tblCellMar>
            <w:top w:w="0" w:type="dxa"/>
            <w:left w:w="108" w:type="dxa"/>
            <w:bottom w:w="0" w:type="dxa"/>
            <w:right w:w="108" w:type="dxa"/>
          </w:tblCellMar>
        </w:tblPrEx>
        <w:trPr>
          <w:cantSplit/>
          <w:trHeight w:val="554" w:hRule="atLeast"/>
        </w:trPr>
        <w:tc>
          <w:tcPr>
            <w:tcW w:w="739" w:type="dxa"/>
            <w:tcBorders>
              <w:top w:val="single" w:color="auto" w:sz="6" w:space="0"/>
              <w:left w:val="single" w:color="auto" w:sz="6" w:space="0"/>
              <w:bottom w:val="single" w:color="auto" w:sz="6" w:space="0"/>
              <w:right w:val="single" w:color="auto" w:sz="6" w:space="0"/>
            </w:tcBorders>
            <w:vAlign w:val="center"/>
          </w:tcPr>
          <w:p w14:paraId="7A023463">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18200066">
            <w:pPr>
              <w:rPr>
                <w:sz w:val="18"/>
                <w:szCs w:val="18"/>
              </w:rPr>
            </w:pPr>
            <w:r>
              <w:rPr>
                <w:sz w:val="18"/>
                <w:szCs w:val="18"/>
              </w:rPr>
              <w:t>提交《安全监理实施细则》</w:t>
            </w:r>
          </w:p>
        </w:tc>
        <w:tc>
          <w:tcPr>
            <w:tcW w:w="4110" w:type="dxa"/>
            <w:tcBorders>
              <w:top w:val="single" w:color="auto" w:sz="6" w:space="0"/>
              <w:left w:val="single" w:color="auto" w:sz="6" w:space="0"/>
              <w:bottom w:val="single" w:color="auto" w:sz="6" w:space="0"/>
              <w:right w:val="single" w:color="auto" w:sz="6" w:space="0"/>
            </w:tcBorders>
            <w:vAlign w:val="center"/>
          </w:tcPr>
          <w:p w14:paraId="062DECD2">
            <w:pPr>
              <w:rPr>
                <w:sz w:val="18"/>
                <w:szCs w:val="18"/>
              </w:rPr>
            </w:pPr>
            <w:r>
              <w:rPr>
                <w:sz w:val="18"/>
                <w:szCs w:val="18"/>
              </w:rPr>
              <w:t>提交的《安全监理实施细则》并获得委托人认可。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5FBB29A8">
            <w:pPr>
              <w:rPr>
                <w:sz w:val="18"/>
                <w:szCs w:val="18"/>
              </w:rPr>
            </w:pPr>
          </w:p>
        </w:tc>
      </w:tr>
      <w:tr w14:paraId="6F7C7D3F">
        <w:tblPrEx>
          <w:tblCellMar>
            <w:top w:w="0" w:type="dxa"/>
            <w:left w:w="108" w:type="dxa"/>
            <w:bottom w:w="0" w:type="dxa"/>
            <w:right w:w="108" w:type="dxa"/>
          </w:tblCellMar>
        </w:tblPrEx>
        <w:trPr>
          <w:cantSplit/>
          <w:trHeight w:val="897" w:hRule="atLeast"/>
        </w:trPr>
        <w:tc>
          <w:tcPr>
            <w:tcW w:w="739" w:type="dxa"/>
            <w:tcBorders>
              <w:top w:val="single" w:color="auto" w:sz="6" w:space="0"/>
              <w:left w:val="single" w:color="auto" w:sz="6" w:space="0"/>
              <w:bottom w:val="single" w:color="auto" w:sz="6" w:space="0"/>
              <w:right w:val="single" w:color="auto" w:sz="6" w:space="0"/>
            </w:tcBorders>
            <w:vAlign w:val="center"/>
          </w:tcPr>
          <w:p w14:paraId="3507461B">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02E1069C">
            <w:pPr>
              <w:rPr>
                <w:sz w:val="18"/>
                <w:szCs w:val="18"/>
              </w:rPr>
            </w:pPr>
            <w:r>
              <w:rPr>
                <w:sz w:val="18"/>
                <w:szCs w:val="18"/>
              </w:rPr>
              <w:t>对承包人编制的机电设备安装、调试、验收计划的审核报告</w:t>
            </w:r>
          </w:p>
        </w:tc>
        <w:tc>
          <w:tcPr>
            <w:tcW w:w="4110" w:type="dxa"/>
            <w:tcBorders>
              <w:top w:val="single" w:color="auto" w:sz="6" w:space="0"/>
              <w:left w:val="single" w:color="auto" w:sz="6" w:space="0"/>
              <w:bottom w:val="single" w:color="auto" w:sz="6" w:space="0"/>
              <w:right w:val="single" w:color="auto" w:sz="6" w:space="0"/>
            </w:tcBorders>
            <w:vAlign w:val="center"/>
          </w:tcPr>
          <w:p w14:paraId="746C07D3">
            <w:pPr>
              <w:rPr>
                <w:sz w:val="18"/>
                <w:szCs w:val="18"/>
              </w:rPr>
            </w:pPr>
            <w:r>
              <w:rPr>
                <w:sz w:val="18"/>
                <w:szCs w:val="18"/>
              </w:rPr>
              <w:t>委托人根据实际情况检查认可。</w:t>
            </w:r>
          </w:p>
        </w:tc>
        <w:tc>
          <w:tcPr>
            <w:tcW w:w="1418" w:type="dxa"/>
            <w:tcBorders>
              <w:top w:val="single" w:color="auto" w:sz="6" w:space="0"/>
              <w:left w:val="single" w:color="auto" w:sz="6" w:space="0"/>
              <w:bottom w:val="single" w:color="auto" w:sz="6" w:space="0"/>
              <w:right w:val="single" w:color="auto" w:sz="6" w:space="0"/>
            </w:tcBorders>
            <w:vAlign w:val="center"/>
          </w:tcPr>
          <w:p w14:paraId="41DA0834">
            <w:pPr>
              <w:rPr>
                <w:sz w:val="18"/>
                <w:szCs w:val="18"/>
              </w:rPr>
            </w:pPr>
          </w:p>
        </w:tc>
      </w:tr>
      <w:tr w14:paraId="5C98DA04">
        <w:tblPrEx>
          <w:tblCellMar>
            <w:top w:w="0" w:type="dxa"/>
            <w:left w:w="108" w:type="dxa"/>
            <w:bottom w:w="0" w:type="dxa"/>
            <w:right w:w="108" w:type="dxa"/>
          </w:tblCellMar>
        </w:tblPrEx>
        <w:trPr>
          <w:cantSplit/>
          <w:trHeight w:val="711" w:hRule="atLeast"/>
        </w:trPr>
        <w:tc>
          <w:tcPr>
            <w:tcW w:w="739" w:type="dxa"/>
            <w:tcBorders>
              <w:top w:val="single" w:color="auto" w:sz="6" w:space="0"/>
              <w:left w:val="single" w:color="auto" w:sz="6" w:space="0"/>
              <w:bottom w:val="single" w:color="auto" w:sz="6" w:space="0"/>
              <w:right w:val="single" w:color="auto" w:sz="6" w:space="0"/>
            </w:tcBorders>
            <w:vAlign w:val="center"/>
          </w:tcPr>
          <w:p w14:paraId="4CE086E2">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0B3A6307">
            <w:pPr>
              <w:rPr>
                <w:sz w:val="18"/>
                <w:szCs w:val="18"/>
              </w:rPr>
            </w:pPr>
            <w:r>
              <w:rPr>
                <w:sz w:val="18"/>
                <w:szCs w:val="18"/>
              </w:rPr>
              <w:t>对承包人编制的机电设备安装、调试、验收计划的审核报告</w:t>
            </w:r>
          </w:p>
        </w:tc>
        <w:tc>
          <w:tcPr>
            <w:tcW w:w="4110" w:type="dxa"/>
            <w:tcBorders>
              <w:top w:val="single" w:color="auto" w:sz="6" w:space="0"/>
              <w:left w:val="single" w:color="auto" w:sz="6" w:space="0"/>
              <w:bottom w:val="single" w:color="auto" w:sz="6" w:space="0"/>
              <w:right w:val="single" w:color="auto" w:sz="6" w:space="0"/>
            </w:tcBorders>
            <w:vAlign w:val="center"/>
          </w:tcPr>
          <w:p w14:paraId="166E4DB7">
            <w:pPr>
              <w:rPr>
                <w:sz w:val="18"/>
                <w:szCs w:val="18"/>
              </w:rPr>
            </w:pPr>
            <w:r>
              <w:rPr>
                <w:sz w:val="18"/>
                <w:szCs w:val="18"/>
              </w:rPr>
              <w:t>委托人根据实际情况检查认可。</w:t>
            </w:r>
          </w:p>
        </w:tc>
        <w:tc>
          <w:tcPr>
            <w:tcW w:w="1418" w:type="dxa"/>
            <w:tcBorders>
              <w:top w:val="single" w:color="auto" w:sz="6" w:space="0"/>
              <w:left w:val="single" w:color="auto" w:sz="6" w:space="0"/>
              <w:bottom w:val="single" w:color="auto" w:sz="6" w:space="0"/>
              <w:right w:val="single" w:color="auto" w:sz="6" w:space="0"/>
            </w:tcBorders>
            <w:vAlign w:val="center"/>
          </w:tcPr>
          <w:p w14:paraId="0089BCEC">
            <w:pPr>
              <w:rPr>
                <w:sz w:val="18"/>
                <w:szCs w:val="18"/>
              </w:rPr>
            </w:pPr>
          </w:p>
        </w:tc>
      </w:tr>
      <w:tr w14:paraId="0ED0E598">
        <w:tblPrEx>
          <w:tblCellMar>
            <w:top w:w="0" w:type="dxa"/>
            <w:left w:w="108" w:type="dxa"/>
            <w:bottom w:w="0" w:type="dxa"/>
            <w:right w:w="108" w:type="dxa"/>
          </w:tblCellMar>
        </w:tblPrEx>
        <w:trPr>
          <w:cantSplit/>
          <w:trHeight w:val="866" w:hRule="atLeast"/>
        </w:trPr>
        <w:tc>
          <w:tcPr>
            <w:tcW w:w="739" w:type="dxa"/>
            <w:tcBorders>
              <w:top w:val="single" w:color="auto" w:sz="6" w:space="0"/>
              <w:left w:val="single" w:color="auto" w:sz="6" w:space="0"/>
              <w:bottom w:val="single" w:color="auto" w:sz="6" w:space="0"/>
              <w:right w:val="single" w:color="auto" w:sz="6" w:space="0"/>
            </w:tcBorders>
            <w:vAlign w:val="center"/>
          </w:tcPr>
          <w:p w14:paraId="733B38B7">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53538ACE">
            <w:pPr>
              <w:rPr>
                <w:sz w:val="18"/>
                <w:szCs w:val="18"/>
              </w:rPr>
            </w:pPr>
            <w:r>
              <w:rPr>
                <w:sz w:val="18"/>
                <w:szCs w:val="18"/>
              </w:rPr>
              <w:t>对承包人编制的机电设备安装、调试、验收计划的审核报告</w:t>
            </w:r>
          </w:p>
        </w:tc>
        <w:tc>
          <w:tcPr>
            <w:tcW w:w="4110" w:type="dxa"/>
            <w:tcBorders>
              <w:top w:val="single" w:color="auto" w:sz="6" w:space="0"/>
              <w:left w:val="single" w:color="auto" w:sz="6" w:space="0"/>
              <w:bottom w:val="single" w:color="auto" w:sz="6" w:space="0"/>
              <w:right w:val="single" w:color="auto" w:sz="6" w:space="0"/>
            </w:tcBorders>
            <w:vAlign w:val="center"/>
          </w:tcPr>
          <w:p w14:paraId="05B13D67">
            <w:pPr>
              <w:rPr>
                <w:sz w:val="18"/>
                <w:szCs w:val="18"/>
              </w:rPr>
            </w:pPr>
            <w:r>
              <w:rPr>
                <w:sz w:val="18"/>
                <w:szCs w:val="18"/>
              </w:rPr>
              <w:t>委托人根据实际情况检查认可。</w:t>
            </w:r>
          </w:p>
        </w:tc>
        <w:tc>
          <w:tcPr>
            <w:tcW w:w="1418" w:type="dxa"/>
            <w:tcBorders>
              <w:top w:val="single" w:color="auto" w:sz="6" w:space="0"/>
              <w:left w:val="single" w:color="auto" w:sz="6" w:space="0"/>
              <w:bottom w:val="single" w:color="auto" w:sz="6" w:space="0"/>
              <w:right w:val="single" w:color="auto" w:sz="6" w:space="0"/>
            </w:tcBorders>
            <w:vAlign w:val="center"/>
          </w:tcPr>
          <w:p w14:paraId="00AC8098">
            <w:pPr>
              <w:rPr>
                <w:sz w:val="18"/>
                <w:szCs w:val="18"/>
              </w:rPr>
            </w:pPr>
          </w:p>
        </w:tc>
      </w:tr>
      <w:tr w14:paraId="116B7863">
        <w:tblPrEx>
          <w:tblCellMar>
            <w:top w:w="0" w:type="dxa"/>
            <w:left w:w="108" w:type="dxa"/>
            <w:bottom w:w="0" w:type="dxa"/>
            <w:right w:w="108" w:type="dxa"/>
          </w:tblCellMar>
        </w:tblPrEx>
        <w:trPr>
          <w:cantSplit/>
          <w:trHeight w:val="836" w:hRule="atLeast"/>
        </w:trPr>
        <w:tc>
          <w:tcPr>
            <w:tcW w:w="739" w:type="dxa"/>
            <w:tcBorders>
              <w:top w:val="single" w:color="auto" w:sz="6" w:space="0"/>
              <w:left w:val="single" w:color="auto" w:sz="6" w:space="0"/>
              <w:bottom w:val="single" w:color="auto" w:sz="6" w:space="0"/>
              <w:right w:val="single" w:color="auto" w:sz="6" w:space="0"/>
            </w:tcBorders>
            <w:vAlign w:val="center"/>
          </w:tcPr>
          <w:p w14:paraId="7901C105">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4A044A22">
            <w:pPr>
              <w:rPr>
                <w:sz w:val="18"/>
                <w:szCs w:val="18"/>
              </w:rPr>
            </w:pPr>
            <w:r>
              <w:rPr>
                <w:sz w:val="18"/>
                <w:szCs w:val="18"/>
              </w:rPr>
              <w:t>审核承包人提交的工程材料设备使用计划。</w:t>
            </w:r>
          </w:p>
        </w:tc>
        <w:tc>
          <w:tcPr>
            <w:tcW w:w="4110" w:type="dxa"/>
            <w:tcBorders>
              <w:top w:val="single" w:color="auto" w:sz="6" w:space="0"/>
              <w:left w:val="single" w:color="auto" w:sz="6" w:space="0"/>
              <w:bottom w:val="single" w:color="auto" w:sz="6" w:space="0"/>
              <w:right w:val="single" w:color="auto" w:sz="6" w:space="0"/>
            </w:tcBorders>
            <w:vAlign w:val="center"/>
          </w:tcPr>
          <w:p w14:paraId="3374B4D4">
            <w:pPr>
              <w:rPr>
                <w:sz w:val="18"/>
                <w:szCs w:val="18"/>
              </w:rPr>
            </w:pPr>
            <w:r>
              <w:rPr>
                <w:sz w:val="18"/>
                <w:szCs w:val="18"/>
              </w:rPr>
              <w:t>委托人根据实际情况检查认可。</w:t>
            </w:r>
          </w:p>
        </w:tc>
        <w:tc>
          <w:tcPr>
            <w:tcW w:w="1418" w:type="dxa"/>
            <w:tcBorders>
              <w:top w:val="single" w:color="auto" w:sz="6" w:space="0"/>
              <w:left w:val="single" w:color="auto" w:sz="6" w:space="0"/>
              <w:bottom w:val="single" w:color="auto" w:sz="6" w:space="0"/>
              <w:right w:val="single" w:color="auto" w:sz="6" w:space="0"/>
            </w:tcBorders>
            <w:vAlign w:val="center"/>
          </w:tcPr>
          <w:p w14:paraId="696EC298">
            <w:pPr>
              <w:rPr>
                <w:sz w:val="18"/>
                <w:szCs w:val="18"/>
              </w:rPr>
            </w:pPr>
          </w:p>
        </w:tc>
      </w:tr>
      <w:tr w14:paraId="27B3D12B">
        <w:tblPrEx>
          <w:tblCellMar>
            <w:top w:w="0" w:type="dxa"/>
            <w:left w:w="108" w:type="dxa"/>
            <w:bottom w:w="0" w:type="dxa"/>
            <w:right w:w="108" w:type="dxa"/>
          </w:tblCellMar>
        </w:tblPrEx>
        <w:trPr>
          <w:cantSplit/>
          <w:trHeight w:val="1517" w:hRule="atLeast"/>
        </w:trPr>
        <w:tc>
          <w:tcPr>
            <w:tcW w:w="739" w:type="dxa"/>
            <w:tcBorders>
              <w:top w:val="single" w:color="auto" w:sz="6" w:space="0"/>
              <w:left w:val="single" w:color="auto" w:sz="6" w:space="0"/>
              <w:bottom w:val="single" w:color="auto" w:sz="6" w:space="0"/>
              <w:right w:val="single" w:color="auto" w:sz="6" w:space="0"/>
            </w:tcBorders>
            <w:vAlign w:val="center"/>
          </w:tcPr>
          <w:p w14:paraId="56370302">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0AF159C0">
            <w:pPr>
              <w:rPr>
                <w:sz w:val="18"/>
                <w:szCs w:val="18"/>
              </w:rPr>
            </w:pPr>
            <w:r>
              <w:rPr>
                <w:sz w:val="18"/>
                <w:szCs w:val="18"/>
              </w:rPr>
              <w:t>提交设备监造规划；设备制造的生产计划及工艺方案；设备制造的检验计划和检验要求；设备监造工作总结报告</w:t>
            </w:r>
          </w:p>
        </w:tc>
        <w:tc>
          <w:tcPr>
            <w:tcW w:w="4110" w:type="dxa"/>
            <w:tcBorders>
              <w:top w:val="single" w:color="auto" w:sz="6" w:space="0"/>
              <w:left w:val="single" w:color="auto" w:sz="6" w:space="0"/>
              <w:bottom w:val="single" w:color="auto" w:sz="6" w:space="0"/>
              <w:right w:val="single" w:color="auto" w:sz="6" w:space="0"/>
            </w:tcBorders>
            <w:vAlign w:val="center"/>
          </w:tcPr>
          <w:p w14:paraId="2B0292EB">
            <w:pPr>
              <w:rPr>
                <w:sz w:val="18"/>
                <w:szCs w:val="18"/>
              </w:rPr>
            </w:pPr>
            <w:r>
              <w:rPr>
                <w:sz w:val="18"/>
                <w:szCs w:val="18"/>
              </w:rPr>
              <w:t>监造规划、生产计划、设备检验计划和检验要求获得委托人认可。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092B17DD">
            <w:pPr>
              <w:rPr>
                <w:sz w:val="18"/>
                <w:szCs w:val="18"/>
              </w:rPr>
            </w:pPr>
          </w:p>
        </w:tc>
      </w:tr>
      <w:tr w14:paraId="091F09B3">
        <w:tblPrEx>
          <w:tblCellMar>
            <w:top w:w="0" w:type="dxa"/>
            <w:left w:w="108" w:type="dxa"/>
            <w:bottom w:w="0" w:type="dxa"/>
            <w:right w:w="108" w:type="dxa"/>
          </w:tblCellMar>
        </w:tblPrEx>
        <w:trPr>
          <w:cantSplit/>
          <w:trHeight w:val="334" w:hRule="atLeast"/>
        </w:trPr>
        <w:tc>
          <w:tcPr>
            <w:tcW w:w="739" w:type="dxa"/>
            <w:tcBorders>
              <w:top w:val="single" w:color="auto" w:sz="6" w:space="0"/>
              <w:left w:val="single" w:color="auto" w:sz="6" w:space="0"/>
              <w:bottom w:val="single" w:color="auto" w:sz="6" w:space="0"/>
              <w:right w:val="single" w:color="auto" w:sz="6" w:space="0"/>
            </w:tcBorders>
            <w:vAlign w:val="center"/>
          </w:tcPr>
          <w:p w14:paraId="50BBFCC0">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4B42A038">
            <w:pPr>
              <w:rPr>
                <w:sz w:val="18"/>
                <w:szCs w:val="18"/>
              </w:rPr>
            </w:pPr>
            <w:r>
              <w:rPr>
                <w:sz w:val="18"/>
                <w:szCs w:val="18"/>
              </w:rPr>
              <w:t>提交《项目合同体系保证体系手册》</w:t>
            </w:r>
          </w:p>
        </w:tc>
        <w:tc>
          <w:tcPr>
            <w:tcW w:w="4110" w:type="dxa"/>
            <w:tcBorders>
              <w:top w:val="single" w:color="auto" w:sz="6" w:space="0"/>
              <w:left w:val="single" w:color="auto" w:sz="6" w:space="0"/>
              <w:bottom w:val="single" w:color="auto" w:sz="6" w:space="0"/>
              <w:right w:val="single" w:color="auto" w:sz="6" w:space="0"/>
            </w:tcBorders>
            <w:vAlign w:val="center"/>
          </w:tcPr>
          <w:p w14:paraId="154421DD">
            <w:pPr>
              <w:rPr>
                <w:sz w:val="18"/>
                <w:szCs w:val="18"/>
              </w:rPr>
            </w:pPr>
            <w:r>
              <w:rPr>
                <w:sz w:val="18"/>
                <w:szCs w:val="18"/>
              </w:rPr>
              <w:t>提交《项目合同体系保证体系手册》并获得委托人认可。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45C1165B">
            <w:pPr>
              <w:rPr>
                <w:sz w:val="18"/>
                <w:szCs w:val="18"/>
              </w:rPr>
            </w:pPr>
          </w:p>
        </w:tc>
      </w:tr>
      <w:tr w14:paraId="35B4A014">
        <w:tblPrEx>
          <w:tblCellMar>
            <w:top w:w="0" w:type="dxa"/>
            <w:left w:w="108" w:type="dxa"/>
            <w:bottom w:w="0" w:type="dxa"/>
            <w:right w:w="108" w:type="dxa"/>
          </w:tblCellMar>
        </w:tblPrEx>
        <w:trPr>
          <w:cantSplit/>
          <w:trHeight w:val="919" w:hRule="atLeast"/>
        </w:trPr>
        <w:tc>
          <w:tcPr>
            <w:tcW w:w="739" w:type="dxa"/>
            <w:tcBorders>
              <w:top w:val="single" w:color="auto" w:sz="6" w:space="0"/>
              <w:left w:val="single" w:color="auto" w:sz="6" w:space="0"/>
              <w:bottom w:val="single" w:color="auto" w:sz="6" w:space="0"/>
              <w:right w:val="single" w:color="auto" w:sz="6" w:space="0"/>
            </w:tcBorders>
            <w:vAlign w:val="center"/>
          </w:tcPr>
          <w:p w14:paraId="4343E243">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2910012B">
            <w:pPr>
              <w:rPr>
                <w:sz w:val="18"/>
                <w:szCs w:val="18"/>
              </w:rPr>
            </w:pPr>
            <w:r>
              <w:rPr>
                <w:sz w:val="18"/>
                <w:szCs w:val="18"/>
              </w:rPr>
              <w:t>提交经过审核的由施工单位提出的费用索赔申请</w:t>
            </w:r>
          </w:p>
        </w:tc>
        <w:tc>
          <w:tcPr>
            <w:tcW w:w="4110" w:type="dxa"/>
            <w:tcBorders>
              <w:top w:val="single" w:color="auto" w:sz="6" w:space="0"/>
              <w:left w:val="single" w:color="auto" w:sz="6" w:space="0"/>
              <w:bottom w:val="single" w:color="auto" w:sz="6" w:space="0"/>
              <w:right w:val="single" w:color="auto" w:sz="6" w:space="0"/>
            </w:tcBorders>
            <w:vAlign w:val="center"/>
          </w:tcPr>
          <w:p w14:paraId="2489A54C">
            <w:pPr>
              <w:rPr>
                <w:sz w:val="18"/>
                <w:szCs w:val="18"/>
              </w:rPr>
            </w:pPr>
            <w:r>
              <w:rPr>
                <w:sz w:val="18"/>
                <w:szCs w:val="18"/>
              </w:rPr>
              <w:t>提交并获得委托人认可。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120D84DC">
            <w:pPr>
              <w:rPr>
                <w:sz w:val="18"/>
                <w:szCs w:val="18"/>
              </w:rPr>
            </w:pPr>
          </w:p>
        </w:tc>
      </w:tr>
      <w:tr w14:paraId="3CA475C8">
        <w:tblPrEx>
          <w:tblCellMar>
            <w:top w:w="0" w:type="dxa"/>
            <w:left w:w="108" w:type="dxa"/>
            <w:bottom w:w="0" w:type="dxa"/>
            <w:right w:w="108" w:type="dxa"/>
          </w:tblCellMar>
        </w:tblPrEx>
        <w:trPr>
          <w:cantSplit/>
          <w:trHeight w:val="510" w:hRule="atLeast"/>
        </w:trPr>
        <w:tc>
          <w:tcPr>
            <w:tcW w:w="739" w:type="dxa"/>
            <w:tcBorders>
              <w:top w:val="single" w:color="auto" w:sz="6" w:space="0"/>
              <w:left w:val="single" w:color="auto" w:sz="6" w:space="0"/>
              <w:bottom w:val="single" w:color="auto" w:sz="6" w:space="0"/>
              <w:right w:val="single" w:color="auto" w:sz="6" w:space="0"/>
            </w:tcBorders>
            <w:vAlign w:val="center"/>
          </w:tcPr>
          <w:p w14:paraId="1018294F">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644C466E">
            <w:pPr>
              <w:rPr>
                <w:sz w:val="18"/>
                <w:szCs w:val="18"/>
              </w:rPr>
            </w:pPr>
            <w:r>
              <w:rPr>
                <w:sz w:val="18"/>
                <w:szCs w:val="18"/>
              </w:rPr>
              <w:t>提交《合同争议调解方案》</w:t>
            </w:r>
          </w:p>
        </w:tc>
        <w:tc>
          <w:tcPr>
            <w:tcW w:w="4110" w:type="dxa"/>
            <w:tcBorders>
              <w:top w:val="single" w:color="auto" w:sz="6" w:space="0"/>
              <w:left w:val="single" w:color="auto" w:sz="6" w:space="0"/>
              <w:bottom w:val="single" w:color="auto" w:sz="6" w:space="0"/>
              <w:right w:val="single" w:color="auto" w:sz="6" w:space="0"/>
            </w:tcBorders>
            <w:vAlign w:val="center"/>
          </w:tcPr>
          <w:p w14:paraId="06A0C688">
            <w:pPr>
              <w:rPr>
                <w:sz w:val="18"/>
                <w:szCs w:val="18"/>
              </w:rPr>
            </w:pPr>
            <w:r>
              <w:rPr>
                <w:sz w:val="18"/>
                <w:szCs w:val="18"/>
              </w:rPr>
              <w:t>提交相关成果文件并获得委托人认可。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5383B0BB">
            <w:pPr>
              <w:rPr>
                <w:sz w:val="18"/>
                <w:szCs w:val="18"/>
              </w:rPr>
            </w:pPr>
          </w:p>
        </w:tc>
      </w:tr>
      <w:tr w14:paraId="0708A26B">
        <w:tblPrEx>
          <w:tblCellMar>
            <w:top w:w="0" w:type="dxa"/>
            <w:left w:w="108" w:type="dxa"/>
            <w:bottom w:w="0" w:type="dxa"/>
            <w:right w:w="108" w:type="dxa"/>
          </w:tblCellMar>
        </w:tblPrEx>
        <w:trPr>
          <w:cantSplit/>
          <w:trHeight w:val="874" w:hRule="atLeast"/>
        </w:trPr>
        <w:tc>
          <w:tcPr>
            <w:tcW w:w="739" w:type="dxa"/>
            <w:tcBorders>
              <w:top w:val="single" w:color="auto" w:sz="6" w:space="0"/>
              <w:left w:val="single" w:color="auto" w:sz="6" w:space="0"/>
              <w:bottom w:val="single" w:color="auto" w:sz="6" w:space="0"/>
              <w:right w:val="single" w:color="auto" w:sz="6" w:space="0"/>
            </w:tcBorders>
            <w:vAlign w:val="center"/>
          </w:tcPr>
          <w:p w14:paraId="1BA1A5B0">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4C36F926">
            <w:pPr>
              <w:rPr>
                <w:sz w:val="18"/>
                <w:szCs w:val="18"/>
              </w:rPr>
            </w:pPr>
            <w:r>
              <w:rPr>
                <w:sz w:val="18"/>
                <w:szCs w:val="18"/>
              </w:rPr>
              <w:t>提交《合同解除（终止）处理方案书》</w:t>
            </w:r>
          </w:p>
        </w:tc>
        <w:tc>
          <w:tcPr>
            <w:tcW w:w="4110" w:type="dxa"/>
            <w:tcBorders>
              <w:top w:val="single" w:color="auto" w:sz="6" w:space="0"/>
              <w:left w:val="single" w:color="auto" w:sz="6" w:space="0"/>
              <w:bottom w:val="single" w:color="auto" w:sz="6" w:space="0"/>
              <w:right w:val="single" w:color="auto" w:sz="6" w:space="0"/>
            </w:tcBorders>
            <w:vAlign w:val="center"/>
          </w:tcPr>
          <w:p w14:paraId="5360DDA0">
            <w:pPr>
              <w:rPr>
                <w:sz w:val="18"/>
                <w:szCs w:val="18"/>
              </w:rPr>
            </w:pPr>
            <w:r>
              <w:rPr>
                <w:sz w:val="18"/>
                <w:szCs w:val="18"/>
              </w:rPr>
              <w:t>所涉及合同关系方的合同款项、材料、设备等各类钱款、费用得到正式确认且合同关系亦已正式解除。</w:t>
            </w:r>
          </w:p>
        </w:tc>
        <w:tc>
          <w:tcPr>
            <w:tcW w:w="1418" w:type="dxa"/>
            <w:tcBorders>
              <w:top w:val="single" w:color="auto" w:sz="6" w:space="0"/>
              <w:left w:val="single" w:color="auto" w:sz="6" w:space="0"/>
              <w:bottom w:val="single" w:color="auto" w:sz="6" w:space="0"/>
              <w:right w:val="single" w:color="auto" w:sz="6" w:space="0"/>
            </w:tcBorders>
            <w:vAlign w:val="center"/>
          </w:tcPr>
          <w:p w14:paraId="75B3FD49">
            <w:pPr>
              <w:rPr>
                <w:sz w:val="18"/>
                <w:szCs w:val="18"/>
              </w:rPr>
            </w:pPr>
          </w:p>
        </w:tc>
      </w:tr>
      <w:tr w14:paraId="13E69A01">
        <w:tblPrEx>
          <w:tblCellMar>
            <w:top w:w="0" w:type="dxa"/>
            <w:left w:w="108" w:type="dxa"/>
            <w:bottom w:w="0" w:type="dxa"/>
            <w:right w:w="108" w:type="dxa"/>
          </w:tblCellMar>
        </w:tblPrEx>
        <w:trPr>
          <w:cantSplit/>
          <w:trHeight w:val="287" w:hRule="atLeast"/>
        </w:trPr>
        <w:tc>
          <w:tcPr>
            <w:tcW w:w="739" w:type="dxa"/>
            <w:tcBorders>
              <w:top w:val="single" w:color="auto" w:sz="6" w:space="0"/>
              <w:left w:val="single" w:color="auto" w:sz="6" w:space="0"/>
              <w:bottom w:val="single" w:color="auto" w:sz="6" w:space="0"/>
              <w:right w:val="single" w:color="auto" w:sz="6" w:space="0"/>
            </w:tcBorders>
            <w:vAlign w:val="center"/>
          </w:tcPr>
          <w:p w14:paraId="66DA81C3">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3FDFBFAF">
            <w:pPr>
              <w:rPr>
                <w:sz w:val="18"/>
                <w:szCs w:val="18"/>
              </w:rPr>
            </w:pPr>
            <w:r>
              <w:rPr>
                <w:sz w:val="18"/>
                <w:szCs w:val="18"/>
              </w:rPr>
              <w:t>监理月报中须有反映</w:t>
            </w:r>
          </w:p>
        </w:tc>
        <w:tc>
          <w:tcPr>
            <w:tcW w:w="4110" w:type="dxa"/>
            <w:tcBorders>
              <w:top w:val="single" w:color="auto" w:sz="6" w:space="0"/>
              <w:left w:val="single" w:color="auto" w:sz="6" w:space="0"/>
              <w:bottom w:val="single" w:color="auto" w:sz="6" w:space="0"/>
              <w:right w:val="single" w:color="auto" w:sz="6" w:space="0"/>
            </w:tcBorders>
            <w:vAlign w:val="center"/>
          </w:tcPr>
          <w:p w14:paraId="36C3AB48">
            <w:pPr>
              <w:rPr>
                <w:sz w:val="18"/>
                <w:szCs w:val="18"/>
              </w:rPr>
            </w:pPr>
            <w:r>
              <w:rPr>
                <w:sz w:val="18"/>
                <w:szCs w:val="18"/>
              </w:rPr>
              <w:t>委托人根据实际情况检查认可。</w:t>
            </w:r>
          </w:p>
        </w:tc>
        <w:tc>
          <w:tcPr>
            <w:tcW w:w="1418" w:type="dxa"/>
            <w:tcBorders>
              <w:top w:val="single" w:color="auto" w:sz="6" w:space="0"/>
              <w:left w:val="single" w:color="auto" w:sz="6" w:space="0"/>
              <w:bottom w:val="single" w:color="auto" w:sz="6" w:space="0"/>
              <w:right w:val="single" w:color="auto" w:sz="6" w:space="0"/>
            </w:tcBorders>
            <w:vAlign w:val="center"/>
          </w:tcPr>
          <w:p w14:paraId="6C230564">
            <w:pPr>
              <w:rPr>
                <w:sz w:val="18"/>
                <w:szCs w:val="18"/>
              </w:rPr>
            </w:pPr>
          </w:p>
        </w:tc>
      </w:tr>
      <w:tr w14:paraId="2355FD51">
        <w:tblPrEx>
          <w:tblCellMar>
            <w:top w:w="0" w:type="dxa"/>
            <w:left w:w="108" w:type="dxa"/>
            <w:bottom w:w="0" w:type="dxa"/>
            <w:right w:w="108" w:type="dxa"/>
          </w:tblCellMar>
        </w:tblPrEx>
        <w:trPr>
          <w:cantSplit/>
          <w:trHeight w:val="460" w:hRule="atLeast"/>
        </w:trPr>
        <w:tc>
          <w:tcPr>
            <w:tcW w:w="739" w:type="dxa"/>
            <w:tcBorders>
              <w:top w:val="single" w:color="auto" w:sz="6" w:space="0"/>
              <w:left w:val="single" w:color="auto" w:sz="6" w:space="0"/>
              <w:bottom w:val="single" w:color="auto" w:sz="6" w:space="0"/>
              <w:right w:val="single" w:color="auto" w:sz="6" w:space="0"/>
            </w:tcBorders>
            <w:vAlign w:val="center"/>
          </w:tcPr>
          <w:p w14:paraId="5E1790F3">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701A92BD">
            <w:pPr>
              <w:rPr>
                <w:sz w:val="18"/>
                <w:szCs w:val="18"/>
              </w:rPr>
            </w:pPr>
            <w:r>
              <w:rPr>
                <w:sz w:val="18"/>
                <w:szCs w:val="18"/>
              </w:rPr>
              <w:t>提交监理月报</w:t>
            </w:r>
          </w:p>
        </w:tc>
        <w:tc>
          <w:tcPr>
            <w:tcW w:w="4110" w:type="dxa"/>
            <w:tcBorders>
              <w:top w:val="single" w:color="auto" w:sz="6" w:space="0"/>
              <w:left w:val="single" w:color="auto" w:sz="6" w:space="0"/>
              <w:bottom w:val="single" w:color="auto" w:sz="6" w:space="0"/>
              <w:right w:val="single" w:color="auto" w:sz="6" w:space="0"/>
            </w:tcBorders>
            <w:vAlign w:val="center"/>
          </w:tcPr>
          <w:p w14:paraId="27C5B8F8">
            <w:pPr>
              <w:rPr>
                <w:sz w:val="18"/>
                <w:szCs w:val="18"/>
              </w:rPr>
            </w:pPr>
            <w:r>
              <w:rPr>
                <w:sz w:val="18"/>
                <w:szCs w:val="18"/>
              </w:rPr>
              <w:t>提交当月监理月报且经委托人认可为。</w:t>
            </w:r>
          </w:p>
        </w:tc>
        <w:tc>
          <w:tcPr>
            <w:tcW w:w="1418" w:type="dxa"/>
            <w:tcBorders>
              <w:top w:val="single" w:color="auto" w:sz="6" w:space="0"/>
              <w:left w:val="single" w:color="auto" w:sz="6" w:space="0"/>
              <w:bottom w:val="single" w:color="auto" w:sz="6" w:space="0"/>
              <w:right w:val="single" w:color="auto" w:sz="6" w:space="0"/>
            </w:tcBorders>
            <w:vAlign w:val="center"/>
          </w:tcPr>
          <w:p w14:paraId="0686A790">
            <w:pPr>
              <w:rPr>
                <w:sz w:val="18"/>
                <w:szCs w:val="18"/>
              </w:rPr>
            </w:pPr>
          </w:p>
        </w:tc>
      </w:tr>
      <w:tr w14:paraId="1A665B5E">
        <w:tblPrEx>
          <w:tblCellMar>
            <w:top w:w="0" w:type="dxa"/>
            <w:left w:w="108" w:type="dxa"/>
            <w:bottom w:w="0" w:type="dxa"/>
            <w:right w:w="108" w:type="dxa"/>
          </w:tblCellMar>
        </w:tblPrEx>
        <w:trPr>
          <w:cantSplit/>
          <w:trHeight w:val="739" w:hRule="atLeast"/>
        </w:trPr>
        <w:tc>
          <w:tcPr>
            <w:tcW w:w="739" w:type="dxa"/>
            <w:tcBorders>
              <w:top w:val="single" w:color="auto" w:sz="6" w:space="0"/>
              <w:left w:val="single" w:color="auto" w:sz="6" w:space="0"/>
              <w:bottom w:val="single" w:color="auto" w:sz="6" w:space="0"/>
              <w:right w:val="single" w:color="auto" w:sz="6" w:space="0"/>
            </w:tcBorders>
            <w:vAlign w:val="center"/>
          </w:tcPr>
          <w:p w14:paraId="08E6A196">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7D6BB738">
            <w:pPr>
              <w:rPr>
                <w:sz w:val="18"/>
                <w:szCs w:val="18"/>
              </w:rPr>
            </w:pPr>
            <w:r>
              <w:rPr>
                <w:sz w:val="18"/>
                <w:szCs w:val="18"/>
              </w:rPr>
              <w:t>提交例会的会议纪要；</w:t>
            </w:r>
          </w:p>
        </w:tc>
        <w:tc>
          <w:tcPr>
            <w:tcW w:w="4110" w:type="dxa"/>
            <w:tcBorders>
              <w:top w:val="single" w:color="auto" w:sz="6" w:space="0"/>
              <w:left w:val="single" w:color="auto" w:sz="6" w:space="0"/>
              <w:bottom w:val="single" w:color="auto" w:sz="6" w:space="0"/>
              <w:right w:val="single" w:color="auto" w:sz="6" w:space="0"/>
            </w:tcBorders>
            <w:vAlign w:val="center"/>
          </w:tcPr>
          <w:p w14:paraId="788B9F01">
            <w:pPr>
              <w:rPr>
                <w:sz w:val="18"/>
                <w:szCs w:val="18"/>
              </w:rPr>
            </w:pPr>
            <w:r>
              <w:rPr>
                <w:sz w:val="18"/>
                <w:szCs w:val="18"/>
              </w:rPr>
              <w:t>当月例会的召开符合委托人要求、例会的实际效果及会议纪要经委托人认可。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7C24AEF6">
            <w:pPr>
              <w:rPr>
                <w:sz w:val="18"/>
                <w:szCs w:val="18"/>
              </w:rPr>
            </w:pPr>
          </w:p>
        </w:tc>
      </w:tr>
      <w:tr w14:paraId="1915DF62">
        <w:tblPrEx>
          <w:tblCellMar>
            <w:top w:w="0" w:type="dxa"/>
            <w:left w:w="108" w:type="dxa"/>
            <w:bottom w:w="0" w:type="dxa"/>
            <w:right w:w="108" w:type="dxa"/>
          </w:tblCellMar>
        </w:tblPrEx>
        <w:trPr>
          <w:cantSplit/>
          <w:trHeight w:val="719" w:hRule="atLeast"/>
        </w:trPr>
        <w:tc>
          <w:tcPr>
            <w:tcW w:w="739" w:type="dxa"/>
            <w:tcBorders>
              <w:top w:val="single" w:color="auto" w:sz="6" w:space="0"/>
              <w:left w:val="single" w:color="auto" w:sz="6" w:space="0"/>
              <w:bottom w:val="single" w:color="auto" w:sz="6" w:space="0"/>
              <w:right w:val="single" w:color="auto" w:sz="6" w:space="0"/>
            </w:tcBorders>
            <w:vAlign w:val="center"/>
          </w:tcPr>
          <w:p w14:paraId="4D3DC5AA">
            <w:pPr>
              <w:rPr>
                <w:b/>
                <w:sz w:val="28"/>
                <w:szCs w:val="28"/>
              </w:rPr>
            </w:pPr>
            <w:r>
              <w:rPr>
                <w:b/>
                <w:sz w:val="28"/>
                <w:szCs w:val="28"/>
              </w:rPr>
              <w:t>三</w:t>
            </w:r>
          </w:p>
        </w:tc>
        <w:tc>
          <w:tcPr>
            <w:tcW w:w="8647" w:type="dxa"/>
            <w:gridSpan w:val="3"/>
            <w:tcBorders>
              <w:top w:val="single" w:color="auto" w:sz="6" w:space="0"/>
              <w:left w:val="single" w:color="auto" w:sz="6" w:space="0"/>
              <w:bottom w:val="single" w:color="auto" w:sz="6" w:space="0"/>
              <w:right w:val="single" w:color="auto" w:sz="6" w:space="0"/>
            </w:tcBorders>
            <w:vAlign w:val="center"/>
          </w:tcPr>
          <w:p w14:paraId="2E73FB0C">
            <w:pPr>
              <w:rPr>
                <w:b/>
                <w:sz w:val="28"/>
                <w:szCs w:val="28"/>
              </w:rPr>
            </w:pPr>
            <w:r>
              <w:rPr>
                <w:b/>
                <w:sz w:val="28"/>
                <w:szCs w:val="28"/>
              </w:rPr>
              <w:t>收尾阶段</w:t>
            </w:r>
          </w:p>
        </w:tc>
      </w:tr>
      <w:tr w14:paraId="79193A8A">
        <w:tblPrEx>
          <w:tblCellMar>
            <w:top w:w="0" w:type="dxa"/>
            <w:left w:w="108" w:type="dxa"/>
            <w:bottom w:w="0" w:type="dxa"/>
            <w:right w:w="108" w:type="dxa"/>
          </w:tblCellMar>
        </w:tblPrEx>
        <w:trPr>
          <w:cantSplit/>
          <w:trHeight w:val="739" w:hRule="atLeast"/>
        </w:trPr>
        <w:tc>
          <w:tcPr>
            <w:tcW w:w="739" w:type="dxa"/>
            <w:tcBorders>
              <w:top w:val="single" w:color="auto" w:sz="6" w:space="0"/>
              <w:left w:val="single" w:color="auto" w:sz="6" w:space="0"/>
              <w:bottom w:val="single" w:color="auto" w:sz="6" w:space="0"/>
              <w:right w:val="single" w:color="auto" w:sz="6" w:space="0"/>
            </w:tcBorders>
            <w:vAlign w:val="center"/>
          </w:tcPr>
          <w:p w14:paraId="30CD43A0">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36ADB70C">
            <w:pPr>
              <w:rPr>
                <w:sz w:val="18"/>
                <w:szCs w:val="18"/>
              </w:rPr>
            </w:pPr>
            <w:r>
              <w:rPr>
                <w:sz w:val="18"/>
                <w:szCs w:val="18"/>
              </w:rPr>
              <w:t>提交《工程结束阶段监理工作计划》</w:t>
            </w:r>
          </w:p>
        </w:tc>
        <w:tc>
          <w:tcPr>
            <w:tcW w:w="4110" w:type="dxa"/>
            <w:tcBorders>
              <w:top w:val="single" w:color="auto" w:sz="6" w:space="0"/>
              <w:left w:val="single" w:color="auto" w:sz="6" w:space="0"/>
              <w:bottom w:val="single" w:color="auto" w:sz="6" w:space="0"/>
              <w:right w:val="single" w:color="auto" w:sz="6" w:space="0"/>
            </w:tcBorders>
            <w:vAlign w:val="center"/>
          </w:tcPr>
          <w:p w14:paraId="5E0F186C">
            <w:pPr>
              <w:rPr>
                <w:sz w:val="18"/>
                <w:szCs w:val="18"/>
              </w:rPr>
            </w:pPr>
            <w:r>
              <w:rPr>
                <w:sz w:val="18"/>
                <w:szCs w:val="18"/>
              </w:rPr>
              <w:t>提交并获得委托人认可。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7BE9A809">
            <w:pPr>
              <w:rPr>
                <w:sz w:val="18"/>
                <w:szCs w:val="18"/>
              </w:rPr>
            </w:pPr>
          </w:p>
        </w:tc>
      </w:tr>
      <w:tr w14:paraId="74BAACBF">
        <w:tblPrEx>
          <w:tblCellMar>
            <w:top w:w="0" w:type="dxa"/>
            <w:left w:w="108" w:type="dxa"/>
            <w:bottom w:w="0" w:type="dxa"/>
            <w:right w:w="108" w:type="dxa"/>
          </w:tblCellMar>
        </w:tblPrEx>
        <w:trPr>
          <w:cantSplit/>
          <w:trHeight w:val="739" w:hRule="atLeast"/>
        </w:trPr>
        <w:tc>
          <w:tcPr>
            <w:tcW w:w="739" w:type="dxa"/>
            <w:tcBorders>
              <w:top w:val="single" w:color="auto" w:sz="6" w:space="0"/>
              <w:left w:val="single" w:color="auto" w:sz="6" w:space="0"/>
              <w:bottom w:val="single" w:color="auto" w:sz="6" w:space="0"/>
              <w:right w:val="single" w:color="auto" w:sz="6" w:space="0"/>
            </w:tcBorders>
            <w:vAlign w:val="center"/>
          </w:tcPr>
          <w:p w14:paraId="4AAFC7FE">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6896710C">
            <w:pPr>
              <w:rPr>
                <w:sz w:val="18"/>
                <w:szCs w:val="18"/>
              </w:rPr>
            </w:pPr>
            <w:r>
              <w:rPr>
                <w:sz w:val="18"/>
                <w:szCs w:val="18"/>
              </w:rPr>
              <w:t>提交工程《工程质量评估报告》；提交完整的项目竣工资料</w:t>
            </w:r>
          </w:p>
        </w:tc>
        <w:tc>
          <w:tcPr>
            <w:tcW w:w="4110" w:type="dxa"/>
            <w:tcBorders>
              <w:top w:val="single" w:color="auto" w:sz="6" w:space="0"/>
              <w:left w:val="single" w:color="auto" w:sz="6" w:space="0"/>
              <w:bottom w:val="single" w:color="auto" w:sz="6" w:space="0"/>
              <w:right w:val="single" w:color="auto" w:sz="6" w:space="0"/>
            </w:tcBorders>
            <w:vAlign w:val="center"/>
          </w:tcPr>
          <w:p w14:paraId="5B9B504F">
            <w:pPr>
              <w:rPr>
                <w:sz w:val="18"/>
                <w:szCs w:val="18"/>
              </w:rPr>
            </w:pPr>
            <w:r>
              <w:rPr>
                <w:sz w:val="18"/>
                <w:szCs w:val="18"/>
              </w:rPr>
              <w:t>提交并获得委托人认可。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1191CE81">
            <w:pPr>
              <w:rPr>
                <w:sz w:val="18"/>
                <w:szCs w:val="18"/>
              </w:rPr>
            </w:pPr>
          </w:p>
        </w:tc>
      </w:tr>
      <w:tr w14:paraId="48B39057">
        <w:tblPrEx>
          <w:tblCellMar>
            <w:top w:w="0" w:type="dxa"/>
            <w:left w:w="108" w:type="dxa"/>
            <w:bottom w:w="0" w:type="dxa"/>
            <w:right w:w="108" w:type="dxa"/>
          </w:tblCellMar>
        </w:tblPrEx>
        <w:trPr>
          <w:cantSplit/>
          <w:trHeight w:val="739" w:hRule="atLeast"/>
        </w:trPr>
        <w:tc>
          <w:tcPr>
            <w:tcW w:w="739" w:type="dxa"/>
            <w:tcBorders>
              <w:top w:val="single" w:color="auto" w:sz="6" w:space="0"/>
              <w:left w:val="single" w:color="auto" w:sz="6" w:space="0"/>
              <w:bottom w:val="single" w:color="auto" w:sz="6" w:space="0"/>
              <w:right w:val="single" w:color="auto" w:sz="6" w:space="0"/>
            </w:tcBorders>
            <w:vAlign w:val="center"/>
          </w:tcPr>
          <w:p w14:paraId="74736B7A">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69C78AB1">
            <w:pPr>
              <w:rPr>
                <w:sz w:val="18"/>
                <w:szCs w:val="18"/>
              </w:rPr>
            </w:pPr>
            <w:r>
              <w:rPr>
                <w:sz w:val="18"/>
                <w:szCs w:val="18"/>
              </w:rPr>
              <w:t>按分项提交《竣工结算审核意见书》</w:t>
            </w:r>
          </w:p>
        </w:tc>
        <w:tc>
          <w:tcPr>
            <w:tcW w:w="4110" w:type="dxa"/>
            <w:tcBorders>
              <w:top w:val="single" w:color="auto" w:sz="6" w:space="0"/>
              <w:left w:val="single" w:color="auto" w:sz="6" w:space="0"/>
              <w:bottom w:val="single" w:color="auto" w:sz="6" w:space="0"/>
              <w:right w:val="single" w:color="auto" w:sz="6" w:space="0"/>
            </w:tcBorders>
            <w:vAlign w:val="center"/>
          </w:tcPr>
          <w:p w14:paraId="18B52184">
            <w:pPr>
              <w:rPr>
                <w:sz w:val="18"/>
                <w:szCs w:val="18"/>
              </w:rPr>
            </w:pPr>
            <w:r>
              <w:rPr>
                <w:sz w:val="18"/>
                <w:szCs w:val="18"/>
              </w:rPr>
              <w:t>提交并获得委托人认可。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470C27F2">
            <w:pPr>
              <w:rPr>
                <w:sz w:val="18"/>
                <w:szCs w:val="18"/>
              </w:rPr>
            </w:pPr>
          </w:p>
        </w:tc>
      </w:tr>
      <w:tr w14:paraId="44D0C0C6">
        <w:tblPrEx>
          <w:tblCellMar>
            <w:top w:w="0" w:type="dxa"/>
            <w:left w:w="108" w:type="dxa"/>
            <w:bottom w:w="0" w:type="dxa"/>
            <w:right w:w="108" w:type="dxa"/>
          </w:tblCellMar>
        </w:tblPrEx>
        <w:trPr>
          <w:cantSplit/>
          <w:trHeight w:val="739" w:hRule="atLeast"/>
        </w:trPr>
        <w:tc>
          <w:tcPr>
            <w:tcW w:w="739" w:type="dxa"/>
            <w:tcBorders>
              <w:top w:val="single" w:color="auto" w:sz="6" w:space="0"/>
              <w:left w:val="single" w:color="auto" w:sz="6" w:space="0"/>
              <w:bottom w:val="single" w:color="auto" w:sz="6" w:space="0"/>
              <w:right w:val="single" w:color="auto" w:sz="6" w:space="0"/>
            </w:tcBorders>
            <w:vAlign w:val="center"/>
          </w:tcPr>
          <w:p w14:paraId="29DE1D8D">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5FB17532">
            <w:pPr>
              <w:rPr>
                <w:sz w:val="18"/>
                <w:szCs w:val="18"/>
              </w:rPr>
            </w:pPr>
            <w:r>
              <w:rPr>
                <w:sz w:val="18"/>
                <w:szCs w:val="18"/>
              </w:rPr>
              <w:t>配合有关部门的结算审核工作</w:t>
            </w:r>
          </w:p>
        </w:tc>
        <w:tc>
          <w:tcPr>
            <w:tcW w:w="4110" w:type="dxa"/>
            <w:tcBorders>
              <w:top w:val="single" w:color="auto" w:sz="6" w:space="0"/>
              <w:left w:val="single" w:color="auto" w:sz="6" w:space="0"/>
              <w:bottom w:val="single" w:color="auto" w:sz="6" w:space="0"/>
              <w:right w:val="single" w:color="auto" w:sz="6" w:space="0"/>
            </w:tcBorders>
            <w:vAlign w:val="center"/>
          </w:tcPr>
          <w:p w14:paraId="663D1855">
            <w:pPr>
              <w:rPr>
                <w:sz w:val="18"/>
                <w:szCs w:val="18"/>
              </w:rPr>
            </w:pPr>
            <w:r>
              <w:rPr>
                <w:sz w:val="18"/>
                <w:szCs w:val="18"/>
              </w:rPr>
              <w:t>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234A49E3">
            <w:pPr>
              <w:rPr>
                <w:sz w:val="18"/>
                <w:szCs w:val="18"/>
              </w:rPr>
            </w:pPr>
          </w:p>
        </w:tc>
      </w:tr>
      <w:tr w14:paraId="050F79B3">
        <w:tblPrEx>
          <w:tblCellMar>
            <w:top w:w="0" w:type="dxa"/>
            <w:left w:w="108" w:type="dxa"/>
            <w:bottom w:w="0" w:type="dxa"/>
            <w:right w:w="108" w:type="dxa"/>
          </w:tblCellMar>
        </w:tblPrEx>
        <w:trPr>
          <w:cantSplit/>
          <w:trHeight w:val="739" w:hRule="atLeast"/>
        </w:trPr>
        <w:tc>
          <w:tcPr>
            <w:tcW w:w="739" w:type="dxa"/>
            <w:tcBorders>
              <w:top w:val="single" w:color="auto" w:sz="6" w:space="0"/>
              <w:left w:val="single" w:color="auto" w:sz="6" w:space="0"/>
              <w:bottom w:val="single" w:color="auto" w:sz="6" w:space="0"/>
              <w:right w:val="single" w:color="auto" w:sz="6" w:space="0"/>
            </w:tcBorders>
            <w:vAlign w:val="center"/>
          </w:tcPr>
          <w:p w14:paraId="3FB7773D">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3708C9DA">
            <w:pPr>
              <w:rPr>
                <w:sz w:val="18"/>
                <w:szCs w:val="18"/>
              </w:rPr>
            </w:pPr>
            <w:r>
              <w:rPr>
                <w:sz w:val="18"/>
                <w:szCs w:val="18"/>
              </w:rPr>
              <w:t>提交《项目工程监理（含项目管理）工作总结》</w:t>
            </w:r>
          </w:p>
        </w:tc>
        <w:tc>
          <w:tcPr>
            <w:tcW w:w="4110" w:type="dxa"/>
            <w:tcBorders>
              <w:top w:val="single" w:color="auto" w:sz="6" w:space="0"/>
              <w:left w:val="single" w:color="auto" w:sz="6" w:space="0"/>
              <w:bottom w:val="single" w:color="auto" w:sz="6" w:space="0"/>
              <w:right w:val="single" w:color="auto" w:sz="6" w:space="0"/>
            </w:tcBorders>
            <w:vAlign w:val="center"/>
          </w:tcPr>
          <w:p w14:paraId="0F6C0186">
            <w:pPr>
              <w:rPr>
                <w:sz w:val="18"/>
                <w:szCs w:val="18"/>
              </w:rPr>
            </w:pPr>
            <w:r>
              <w:rPr>
                <w:sz w:val="18"/>
                <w:szCs w:val="18"/>
              </w:rPr>
              <w:t>提交并获得委托人认可。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3F437E7E">
            <w:pPr>
              <w:rPr>
                <w:sz w:val="18"/>
                <w:szCs w:val="18"/>
              </w:rPr>
            </w:pPr>
          </w:p>
        </w:tc>
      </w:tr>
    </w:tbl>
    <w:p w14:paraId="4B8AB319"/>
    <w:p w14:paraId="7EE3B3E6">
      <w:pPr>
        <w:topLinePunct/>
        <w:adjustRightInd w:val="0"/>
        <w:snapToGrid w:val="0"/>
        <w:spacing w:line="360" w:lineRule="auto"/>
        <w:outlineLvl w:val="1"/>
        <w:rPr>
          <w:b/>
          <w:snapToGrid w:val="0"/>
          <w:spacing w:val="4"/>
          <w:kern w:val="0"/>
          <w:sz w:val="24"/>
        </w:rPr>
      </w:pPr>
      <w:r>
        <w:rPr>
          <w:b/>
          <w:snapToGrid w:val="0"/>
          <w:spacing w:val="4"/>
          <w:kern w:val="0"/>
          <w:sz w:val="24"/>
        </w:rPr>
        <w:br w:type="page"/>
      </w:r>
    </w:p>
    <w:p w14:paraId="20272E3E">
      <w:pPr>
        <w:topLinePunct/>
        <w:adjustRightInd w:val="0"/>
        <w:snapToGrid w:val="0"/>
        <w:spacing w:before="120" w:after="120"/>
        <w:jc w:val="left"/>
        <w:outlineLvl w:val="1"/>
        <w:rPr>
          <w:b/>
          <w:snapToGrid w:val="0"/>
          <w:spacing w:val="4"/>
          <w:kern w:val="0"/>
          <w:sz w:val="24"/>
        </w:rPr>
      </w:pPr>
      <w:bookmarkStart w:id="584" w:name="_Toc191697651"/>
      <w:bookmarkStart w:id="585" w:name="_Toc115711043"/>
      <w:bookmarkStart w:id="586" w:name="_Toc115711403"/>
      <w:bookmarkStart w:id="587" w:name="_Toc313869538"/>
      <w:r>
        <w:rPr>
          <w:b/>
          <w:snapToGrid w:val="0"/>
          <w:spacing w:val="4"/>
          <w:kern w:val="0"/>
          <w:sz w:val="24"/>
        </w:rPr>
        <w:t>附件3：项目监理机构及监理人员</w:t>
      </w:r>
    </w:p>
    <w:bookmarkEnd w:id="584"/>
    <w:bookmarkEnd w:id="585"/>
    <w:bookmarkEnd w:id="586"/>
    <w:bookmarkEnd w:id="587"/>
    <w:p w14:paraId="045E0A7E">
      <w:pPr>
        <w:topLinePunct/>
        <w:adjustRightInd w:val="0"/>
        <w:snapToGrid w:val="0"/>
        <w:spacing w:line="360" w:lineRule="auto"/>
        <w:ind w:firstLine="496" w:firstLineChars="200"/>
        <w:rPr>
          <w:b/>
          <w:snapToGrid w:val="0"/>
          <w:spacing w:val="4"/>
          <w:kern w:val="0"/>
          <w:sz w:val="28"/>
          <w:szCs w:val="28"/>
        </w:rPr>
      </w:pPr>
      <w:r>
        <w:rPr>
          <w:bCs/>
          <w:snapToGrid w:val="0"/>
          <w:spacing w:val="4"/>
          <w:kern w:val="0"/>
          <w:sz w:val="24"/>
        </w:rPr>
        <w:br w:type="page"/>
      </w:r>
    </w:p>
    <w:p w14:paraId="0AE1E728">
      <w:pPr>
        <w:topLinePunct/>
        <w:adjustRightInd w:val="0"/>
        <w:snapToGrid w:val="0"/>
        <w:spacing w:before="120" w:after="120"/>
        <w:jc w:val="left"/>
        <w:outlineLvl w:val="1"/>
        <w:rPr>
          <w:b/>
          <w:snapToGrid w:val="0"/>
          <w:spacing w:val="4"/>
          <w:kern w:val="0"/>
          <w:sz w:val="24"/>
        </w:rPr>
      </w:pPr>
      <w:bookmarkStart w:id="588" w:name="_Toc191697652"/>
      <w:bookmarkStart w:id="589" w:name="_Toc313869539"/>
      <w:r>
        <w:rPr>
          <w:b/>
          <w:snapToGrid w:val="0"/>
          <w:spacing w:val="4"/>
          <w:kern w:val="0"/>
          <w:sz w:val="24"/>
        </w:rPr>
        <w:t>附件4：监理人拟投入本工程的通讯、办公、试验检测设备一览表</w:t>
      </w:r>
    </w:p>
    <w:p w14:paraId="695CCE02">
      <w:pPr>
        <w:topLinePunct/>
        <w:adjustRightInd w:val="0"/>
        <w:snapToGrid w:val="0"/>
        <w:rPr>
          <w:rFonts w:eastAsia="黑体"/>
          <w:b/>
          <w:snapToGrid w:val="0"/>
          <w:spacing w:val="4"/>
          <w:kern w:val="0"/>
          <w:sz w:val="36"/>
          <w:szCs w:val="36"/>
        </w:rPr>
      </w:pPr>
    </w:p>
    <w:p w14:paraId="6046F875">
      <w:pPr>
        <w:topLinePunct/>
        <w:adjustRightInd w:val="0"/>
        <w:snapToGrid w:val="0"/>
        <w:spacing w:before="120" w:after="120"/>
        <w:jc w:val="left"/>
        <w:outlineLvl w:val="1"/>
        <w:rPr>
          <w:b/>
          <w:snapToGrid w:val="0"/>
          <w:spacing w:val="4"/>
          <w:kern w:val="0"/>
          <w:sz w:val="24"/>
        </w:rPr>
      </w:pPr>
      <w:r>
        <w:rPr>
          <w:rFonts w:eastAsia="黑体"/>
          <w:snapToGrid w:val="0"/>
          <w:spacing w:val="4"/>
          <w:kern w:val="0"/>
          <w:sz w:val="36"/>
          <w:szCs w:val="36"/>
        </w:rPr>
        <w:br w:type="page"/>
      </w:r>
      <w:r>
        <w:rPr>
          <w:b/>
          <w:snapToGrid w:val="0"/>
          <w:spacing w:val="4"/>
          <w:kern w:val="0"/>
          <w:sz w:val="24"/>
        </w:rPr>
        <w:t>附件5：监理人承诺书</w:t>
      </w:r>
    </w:p>
    <w:p w14:paraId="678AD9EB">
      <w:pPr>
        <w:topLinePunct/>
        <w:adjustRightInd w:val="0"/>
        <w:snapToGrid w:val="0"/>
        <w:spacing w:before="120" w:after="120"/>
        <w:jc w:val="left"/>
        <w:outlineLvl w:val="1"/>
        <w:rPr>
          <w:b/>
          <w:snapToGrid w:val="0"/>
          <w:spacing w:val="4"/>
          <w:kern w:val="0"/>
          <w:sz w:val="24"/>
        </w:rPr>
      </w:pPr>
    </w:p>
    <w:p w14:paraId="7F6A4E03">
      <w:pPr>
        <w:adjustRightInd w:val="0"/>
        <w:snapToGrid w:val="0"/>
        <w:spacing w:line="360" w:lineRule="auto"/>
        <w:jc w:val="center"/>
        <w:rPr>
          <w:b/>
          <w:snapToGrid w:val="0"/>
          <w:kern w:val="0"/>
          <w:sz w:val="44"/>
          <w:szCs w:val="44"/>
        </w:rPr>
      </w:pPr>
      <w:r>
        <w:rPr>
          <w:b/>
          <w:snapToGrid w:val="0"/>
          <w:kern w:val="0"/>
          <w:sz w:val="44"/>
          <w:szCs w:val="44"/>
        </w:rPr>
        <w:t>承诺书（格式）</w:t>
      </w:r>
    </w:p>
    <w:p w14:paraId="3DCC68E4">
      <w:pPr>
        <w:autoSpaceDE w:val="0"/>
        <w:autoSpaceDN w:val="0"/>
        <w:adjustRightInd w:val="0"/>
        <w:snapToGrid w:val="0"/>
        <w:spacing w:line="360" w:lineRule="auto"/>
        <w:ind w:firstLine="480"/>
        <w:rPr>
          <w:snapToGrid w:val="0"/>
          <w:kern w:val="0"/>
          <w:sz w:val="24"/>
          <w:szCs w:val="21"/>
          <w:lang w:val="zh-CN"/>
        </w:rPr>
      </w:pPr>
    </w:p>
    <w:p w14:paraId="35990331">
      <w:pPr>
        <w:autoSpaceDE w:val="0"/>
        <w:autoSpaceDN w:val="0"/>
        <w:adjustRightInd w:val="0"/>
        <w:snapToGrid w:val="0"/>
        <w:spacing w:line="360" w:lineRule="auto"/>
        <w:rPr>
          <w:b/>
          <w:snapToGrid w:val="0"/>
          <w:kern w:val="0"/>
          <w:sz w:val="24"/>
          <w:szCs w:val="21"/>
          <w:lang w:val="zh-CN"/>
        </w:rPr>
      </w:pPr>
      <w:r>
        <w:rPr>
          <w:b/>
          <w:snapToGrid w:val="0"/>
          <w:kern w:val="0"/>
          <w:sz w:val="24"/>
          <w:szCs w:val="21"/>
          <w:lang w:val="zh-CN"/>
        </w:rPr>
        <w:t>中山大学附属第一医院：</w:t>
      </w:r>
    </w:p>
    <w:p w14:paraId="7DA62004">
      <w:pPr>
        <w:autoSpaceDE w:val="0"/>
        <w:autoSpaceDN w:val="0"/>
        <w:adjustRightInd w:val="0"/>
        <w:snapToGrid w:val="0"/>
        <w:spacing w:line="360" w:lineRule="auto"/>
        <w:ind w:firstLine="480"/>
        <w:rPr>
          <w:snapToGrid w:val="0"/>
          <w:kern w:val="0"/>
          <w:sz w:val="24"/>
          <w:szCs w:val="21"/>
          <w:lang w:val="zh-CN"/>
        </w:rPr>
      </w:pPr>
      <w:r>
        <w:rPr>
          <w:snapToGrid w:val="0"/>
          <w:kern w:val="0"/>
          <w:sz w:val="24"/>
          <w:szCs w:val="21"/>
          <w:lang w:val="zh-CN"/>
        </w:rPr>
        <w:t>我司已于</w:t>
      </w:r>
      <w:r>
        <w:rPr>
          <w:b/>
          <w:snapToGrid w:val="0"/>
          <w:spacing w:val="-4"/>
          <w:kern w:val="0"/>
          <w:sz w:val="24"/>
          <w:u w:val="single"/>
        </w:rPr>
        <w:t xml:space="preserve">     </w:t>
      </w:r>
      <w:r>
        <w:rPr>
          <w:snapToGrid w:val="0"/>
          <w:kern w:val="0"/>
          <w:sz w:val="24"/>
          <w:szCs w:val="21"/>
          <w:lang w:val="zh-CN"/>
        </w:rPr>
        <w:t>年</w:t>
      </w:r>
      <w:r>
        <w:rPr>
          <w:b/>
          <w:snapToGrid w:val="0"/>
          <w:spacing w:val="-4"/>
          <w:kern w:val="0"/>
          <w:sz w:val="24"/>
          <w:u w:val="single"/>
        </w:rPr>
        <w:t xml:space="preserve">   </w:t>
      </w:r>
      <w:r>
        <w:rPr>
          <w:snapToGrid w:val="0"/>
          <w:kern w:val="0"/>
          <w:sz w:val="24"/>
          <w:szCs w:val="21"/>
          <w:lang w:val="zh-CN"/>
        </w:rPr>
        <w:t>月</w:t>
      </w:r>
      <w:r>
        <w:rPr>
          <w:b/>
          <w:snapToGrid w:val="0"/>
          <w:spacing w:val="-4"/>
          <w:kern w:val="0"/>
          <w:sz w:val="24"/>
          <w:u w:val="single"/>
        </w:rPr>
        <w:t xml:space="preserve">   </w:t>
      </w:r>
      <w:r>
        <w:rPr>
          <w:snapToGrid w:val="0"/>
          <w:kern w:val="0"/>
          <w:sz w:val="24"/>
          <w:szCs w:val="21"/>
          <w:lang w:val="zh-CN"/>
        </w:rPr>
        <w:t>日向贵局提交了</w:t>
      </w:r>
      <w:r>
        <w:rPr>
          <w:sz w:val="24"/>
          <w:u w:val="single"/>
        </w:rPr>
        <w:t xml:space="preserve">    </w:t>
      </w:r>
      <w:r>
        <w:rPr>
          <w:snapToGrid w:val="0"/>
          <w:kern w:val="0"/>
          <w:sz w:val="24"/>
          <w:szCs w:val="21"/>
          <w:lang w:val="zh-CN"/>
        </w:rPr>
        <w:t>的履约银行保函，保函最长有效期至</w:t>
      </w:r>
      <w:r>
        <w:rPr>
          <w:b/>
          <w:snapToGrid w:val="0"/>
          <w:spacing w:val="-4"/>
          <w:kern w:val="0"/>
          <w:sz w:val="24"/>
          <w:u w:val="single"/>
        </w:rPr>
        <w:t xml:space="preserve">   </w:t>
      </w:r>
      <w:r>
        <w:rPr>
          <w:snapToGrid w:val="0"/>
          <w:kern w:val="0"/>
          <w:sz w:val="24"/>
        </w:rPr>
        <w:t>年</w:t>
      </w:r>
      <w:r>
        <w:rPr>
          <w:b/>
          <w:snapToGrid w:val="0"/>
          <w:spacing w:val="-4"/>
          <w:kern w:val="0"/>
          <w:sz w:val="24"/>
          <w:u w:val="single"/>
        </w:rPr>
        <w:t xml:space="preserve">    </w:t>
      </w:r>
      <w:r>
        <w:rPr>
          <w:snapToGrid w:val="0"/>
          <w:kern w:val="0"/>
          <w:sz w:val="24"/>
        </w:rPr>
        <w:t>月</w:t>
      </w:r>
      <w:r>
        <w:rPr>
          <w:b/>
          <w:snapToGrid w:val="0"/>
          <w:spacing w:val="-4"/>
          <w:kern w:val="0"/>
          <w:sz w:val="24"/>
          <w:u w:val="single"/>
        </w:rPr>
        <w:t xml:space="preserve">    </w:t>
      </w:r>
      <w:r>
        <w:rPr>
          <w:snapToGrid w:val="0"/>
          <w:kern w:val="0"/>
          <w:sz w:val="24"/>
        </w:rPr>
        <w:t>日</w:t>
      </w:r>
      <w:r>
        <w:rPr>
          <w:snapToGrid w:val="0"/>
          <w:kern w:val="0"/>
          <w:sz w:val="24"/>
          <w:szCs w:val="21"/>
          <w:lang w:val="zh-CN"/>
        </w:rPr>
        <w:t xml:space="preserve">。 </w:t>
      </w:r>
    </w:p>
    <w:p w14:paraId="7D7FD3D7">
      <w:pPr>
        <w:autoSpaceDE w:val="0"/>
        <w:autoSpaceDN w:val="0"/>
        <w:adjustRightInd w:val="0"/>
        <w:snapToGrid w:val="0"/>
        <w:spacing w:line="360" w:lineRule="auto"/>
        <w:ind w:firstLine="480"/>
        <w:rPr>
          <w:snapToGrid w:val="0"/>
          <w:kern w:val="0"/>
          <w:sz w:val="24"/>
          <w:szCs w:val="21"/>
          <w:lang w:val="zh-CN"/>
        </w:rPr>
      </w:pPr>
      <w:r>
        <w:rPr>
          <w:snapToGrid w:val="0"/>
          <w:kern w:val="0"/>
          <w:sz w:val="24"/>
          <w:szCs w:val="21"/>
          <w:lang w:val="zh-CN"/>
        </w:rPr>
        <w:t>如在保函最长有效期届满时</w:t>
      </w:r>
      <w:r>
        <w:rPr>
          <w:snapToGrid w:val="0"/>
          <w:kern w:val="0"/>
          <w:sz w:val="24"/>
          <w:u w:val="single"/>
          <w:lang w:val="zh-CN"/>
        </w:rPr>
        <w:t>合同约定项目</w:t>
      </w:r>
      <w:r>
        <w:rPr>
          <w:snapToGrid w:val="0"/>
          <w:kern w:val="0"/>
          <w:sz w:val="24"/>
          <w:u w:val="single"/>
        </w:rPr>
        <w:t>工程未完成竣工验收备案的</w:t>
      </w:r>
      <w:r>
        <w:rPr>
          <w:snapToGrid w:val="0"/>
          <w:kern w:val="0"/>
          <w:sz w:val="24"/>
          <w:szCs w:val="21"/>
          <w:lang w:val="zh-CN"/>
        </w:rPr>
        <w:t>，我司将在保函最长有效期届满三天前按原保函格式提交新的保函，否则，贵局有权暂停支付余下的合同价款，直至我司提交新的保函或</w:t>
      </w:r>
      <w:r>
        <w:rPr>
          <w:snapToGrid w:val="0"/>
          <w:kern w:val="0"/>
          <w:sz w:val="24"/>
          <w:u w:val="single"/>
        </w:rPr>
        <w:t>完成竣工验收备案</w:t>
      </w:r>
      <w:r>
        <w:rPr>
          <w:snapToGrid w:val="0"/>
          <w:kern w:val="0"/>
          <w:sz w:val="24"/>
          <w:szCs w:val="21"/>
          <w:lang w:val="zh-CN"/>
        </w:rPr>
        <w:t xml:space="preserve">。 </w:t>
      </w:r>
    </w:p>
    <w:p w14:paraId="6332BDAE">
      <w:pPr>
        <w:autoSpaceDE w:val="0"/>
        <w:autoSpaceDN w:val="0"/>
        <w:adjustRightInd w:val="0"/>
        <w:snapToGrid w:val="0"/>
        <w:spacing w:line="360" w:lineRule="auto"/>
        <w:ind w:firstLine="480"/>
        <w:rPr>
          <w:snapToGrid w:val="0"/>
          <w:kern w:val="0"/>
          <w:sz w:val="24"/>
          <w:szCs w:val="21"/>
          <w:lang w:val="zh-CN"/>
        </w:rPr>
      </w:pPr>
      <w:r>
        <w:rPr>
          <w:snapToGrid w:val="0"/>
          <w:kern w:val="0"/>
          <w:sz w:val="24"/>
          <w:szCs w:val="21"/>
          <w:lang w:val="zh-CN"/>
        </w:rPr>
        <w:t>特此承诺。</w:t>
      </w:r>
    </w:p>
    <w:p w14:paraId="3757275E">
      <w:pPr>
        <w:autoSpaceDE w:val="0"/>
        <w:autoSpaceDN w:val="0"/>
        <w:adjustRightInd w:val="0"/>
        <w:snapToGrid w:val="0"/>
        <w:spacing w:line="360" w:lineRule="auto"/>
        <w:rPr>
          <w:snapToGrid w:val="0"/>
          <w:kern w:val="0"/>
          <w:sz w:val="24"/>
          <w:szCs w:val="21"/>
          <w:lang w:val="zh-CN"/>
        </w:rPr>
      </w:pPr>
    </w:p>
    <w:p w14:paraId="49AEC44C">
      <w:pPr>
        <w:autoSpaceDE w:val="0"/>
        <w:autoSpaceDN w:val="0"/>
        <w:adjustRightInd w:val="0"/>
        <w:snapToGrid w:val="0"/>
        <w:spacing w:line="360" w:lineRule="auto"/>
        <w:rPr>
          <w:snapToGrid w:val="0"/>
          <w:kern w:val="0"/>
          <w:sz w:val="24"/>
          <w:szCs w:val="21"/>
          <w:lang w:val="zh-CN"/>
        </w:rPr>
      </w:pPr>
    </w:p>
    <w:p w14:paraId="23D5AA36">
      <w:pPr>
        <w:autoSpaceDE w:val="0"/>
        <w:autoSpaceDN w:val="0"/>
        <w:adjustRightInd w:val="0"/>
        <w:snapToGrid w:val="0"/>
        <w:spacing w:line="360" w:lineRule="auto"/>
        <w:jc w:val="center"/>
        <w:rPr>
          <w:b/>
          <w:snapToGrid w:val="0"/>
          <w:kern w:val="0"/>
          <w:sz w:val="24"/>
          <w:szCs w:val="21"/>
          <w:lang w:val="zh-CN"/>
        </w:rPr>
      </w:pPr>
      <w:r>
        <w:rPr>
          <w:b/>
          <w:snapToGrid w:val="0"/>
          <w:kern w:val="0"/>
          <w:sz w:val="24"/>
          <w:szCs w:val="21"/>
          <w:lang w:val="zh-CN"/>
        </w:rPr>
        <w:t xml:space="preserve">    承诺人：</w:t>
      </w:r>
    </w:p>
    <w:p w14:paraId="14214769">
      <w:pPr>
        <w:autoSpaceDE w:val="0"/>
        <w:autoSpaceDN w:val="0"/>
        <w:adjustRightInd w:val="0"/>
        <w:snapToGrid w:val="0"/>
        <w:spacing w:line="360" w:lineRule="auto"/>
        <w:ind w:right="480"/>
        <w:rPr>
          <w:snapToGrid w:val="0"/>
          <w:kern w:val="0"/>
          <w:sz w:val="24"/>
          <w:szCs w:val="21"/>
          <w:lang w:val="zh-CN"/>
        </w:rPr>
      </w:pPr>
      <w:r>
        <w:rPr>
          <w:snapToGrid w:val="0"/>
          <w:kern w:val="0"/>
          <w:sz w:val="24"/>
          <w:szCs w:val="21"/>
          <w:lang w:val="zh-CN"/>
        </w:rPr>
        <w:t xml:space="preserve">                                                             （盖章）</w:t>
      </w:r>
    </w:p>
    <w:p w14:paraId="1C051E37">
      <w:pPr>
        <w:adjustRightInd w:val="0"/>
        <w:snapToGrid w:val="0"/>
        <w:spacing w:line="360" w:lineRule="auto"/>
        <w:ind w:firstLine="7080" w:firstLineChars="2950"/>
        <w:rPr>
          <w:u w:val="single"/>
        </w:rPr>
      </w:pPr>
      <w:r>
        <w:rPr>
          <w:snapToGrid w:val="0"/>
          <w:kern w:val="0"/>
          <w:sz w:val="24"/>
        </w:rPr>
        <w:t>______年___月___</w:t>
      </w:r>
      <w:r>
        <w:rPr>
          <w:snapToGrid w:val="0"/>
          <w:kern w:val="0"/>
          <w:sz w:val="24"/>
          <w:szCs w:val="21"/>
          <w:lang w:val="zh-CN"/>
        </w:rPr>
        <w:t>日</w:t>
      </w:r>
    </w:p>
    <w:p w14:paraId="0FA8CE84">
      <w:pPr>
        <w:topLinePunct/>
        <w:adjustRightInd w:val="0"/>
        <w:snapToGrid w:val="0"/>
        <w:spacing w:line="360" w:lineRule="auto"/>
        <w:rPr>
          <w:snapToGrid w:val="0"/>
          <w:spacing w:val="4"/>
          <w:kern w:val="0"/>
          <w:sz w:val="24"/>
        </w:rPr>
      </w:pPr>
    </w:p>
    <w:p w14:paraId="0150AA3B">
      <w:pPr>
        <w:topLinePunct/>
        <w:adjustRightInd w:val="0"/>
        <w:snapToGrid w:val="0"/>
        <w:spacing w:line="360" w:lineRule="auto"/>
        <w:rPr>
          <w:snapToGrid w:val="0"/>
          <w:spacing w:val="4"/>
          <w:kern w:val="0"/>
          <w:sz w:val="24"/>
        </w:rPr>
      </w:pPr>
    </w:p>
    <w:p w14:paraId="42E64A00">
      <w:pPr>
        <w:topLinePunct/>
        <w:adjustRightInd w:val="0"/>
        <w:snapToGrid w:val="0"/>
        <w:spacing w:line="360" w:lineRule="auto"/>
        <w:rPr>
          <w:snapToGrid w:val="0"/>
          <w:spacing w:val="4"/>
          <w:kern w:val="0"/>
          <w:sz w:val="24"/>
        </w:rPr>
      </w:pPr>
    </w:p>
    <w:p w14:paraId="0B6431CE">
      <w:pPr>
        <w:topLinePunct/>
        <w:adjustRightInd w:val="0"/>
        <w:snapToGrid w:val="0"/>
        <w:spacing w:line="360" w:lineRule="auto"/>
        <w:rPr>
          <w:snapToGrid w:val="0"/>
          <w:spacing w:val="4"/>
          <w:kern w:val="0"/>
          <w:sz w:val="24"/>
        </w:rPr>
      </w:pPr>
    </w:p>
    <w:p w14:paraId="41A6E8AE">
      <w:pPr>
        <w:topLinePunct/>
        <w:adjustRightInd w:val="0"/>
        <w:snapToGrid w:val="0"/>
        <w:spacing w:line="360" w:lineRule="auto"/>
        <w:rPr>
          <w:snapToGrid w:val="0"/>
          <w:spacing w:val="4"/>
          <w:kern w:val="0"/>
          <w:sz w:val="24"/>
        </w:rPr>
      </w:pPr>
    </w:p>
    <w:p w14:paraId="776E7FF5">
      <w:pPr>
        <w:pageBreakBefore/>
        <w:outlineLvl w:val="1"/>
        <w:rPr>
          <w:b/>
          <w:snapToGrid w:val="0"/>
          <w:spacing w:val="4"/>
          <w:kern w:val="0"/>
          <w:sz w:val="24"/>
        </w:rPr>
      </w:pPr>
      <w:r>
        <w:rPr>
          <w:b/>
          <w:snapToGrid w:val="0"/>
          <w:spacing w:val="4"/>
          <w:kern w:val="0"/>
          <w:sz w:val="24"/>
        </w:rPr>
        <w:t>附件6：监理人履约银行保函及其承诺书（格式）</w:t>
      </w:r>
    </w:p>
    <w:p w14:paraId="5A6C4231">
      <w:pPr>
        <w:topLinePunct/>
        <w:adjustRightInd w:val="0"/>
        <w:snapToGrid w:val="0"/>
        <w:spacing w:line="360" w:lineRule="auto"/>
        <w:jc w:val="center"/>
        <w:rPr>
          <w:rFonts w:eastAsia="黑体"/>
          <w:b/>
          <w:snapToGrid w:val="0"/>
          <w:spacing w:val="4"/>
          <w:kern w:val="0"/>
          <w:sz w:val="36"/>
          <w:szCs w:val="36"/>
        </w:rPr>
      </w:pPr>
    </w:p>
    <w:bookmarkEnd w:id="588"/>
    <w:bookmarkEnd w:id="589"/>
    <w:p w14:paraId="1A562E56">
      <w:pPr>
        <w:topLinePunct/>
        <w:adjustRightInd w:val="0"/>
        <w:snapToGrid w:val="0"/>
        <w:spacing w:line="440" w:lineRule="exact"/>
        <w:ind w:firstLine="496"/>
        <w:jc w:val="center"/>
        <w:rPr>
          <w:b/>
          <w:snapToGrid w:val="0"/>
          <w:spacing w:val="4"/>
          <w:kern w:val="0"/>
          <w:sz w:val="36"/>
          <w:szCs w:val="36"/>
        </w:rPr>
      </w:pPr>
      <w:bookmarkStart w:id="590" w:name="_Toc313869542"/>
      <w:r>
        <w:rPr>
          <w:b/>
          <w:snapToGrid w:val="0"/>
          <w:spacing w:val="4"/>
          <w:kern w:val="0"/>
          <w:sz w:val="36"/>
          <w:szCs w:val="36"/>
        </w:rPr>
        <w:t>履约银行保函</w:t>
      </w:r>
    </w:p>
    <w:p w14:paraId="311B34A0">
      <w:pPr>
        <w:adjustRightInd w:val="0"/>
        <w:snapToGrid w:val="0"/>
        <w:spacing w:line="440" w:lineRule="exact"/>
        <w:jc w:val="center"/>
        <w:rPr>
          <w:b/>
          <w:snapToGrid w:val="0"/>
          <w:kern w:val="0"/>
          <w:szCs w:val="21"/>
        </w:rPr>
      </w:pPr>
      <w:r>
        <w:rPr>
          <w:b/>
          <w:snapToGrid w:val="0"/>
          <w:kern w:val="0"/>
          <w:szCs w:val="21"/>
        </w:rPr>
        <w:t>编号</w:t>
      </w:r>
    </w:p>
    <w:p w14:paraId="2161C491">
      <w:pPr>
        <w:adjustRightInd w:val="0"/>
        <w:snapToGrid w:val="0"/>
        <w:spacing w:line="400" w:lineRule="exact"/>
        <w:rPr>
          <w:snapToGrid w:val="0"/>
          <w:kern w:val="0"/>
          <w:sz w:val="24"/>
        </w:rPr>
      </w:pPr>
      <w:r>
        <w:rPr>
          <w:snapToGrid w:val="0"/>
          <w:kern w:val="0"/>
          <w:sz w:val="24"/>
        </w:rPr>
        <w:t>中山大学附属第一医院：</w:t>
      </w:r>
    </w:p>
    <w:p w14:paraId="18A10DB0">
      <w:pPr>
        <w:adjustRightInd w:val="0"/>
        <w:snapToGrid w:val="0"/>
        <w:spacing w:line="400" w:lineRule="exact"/>
        <w:ind w:firstLine="480" w:firstLineChars="200"/>
        <w:rPr>
          <w:b/>
          <w:snapToGrid w:val="0"/>
          <w:kern w:val="0"/>
          <w:sz w:val="24"/>
          <w:lang w:val="zh-CN"/>
        </w:rPr>
      </w:pPr>
      <w:r>
        <w:rPr>
          <w:snapToGrid w:val="0"/>
          <w:kern w:val="0"/>
          <w:sz w:val="24"/>
        </w:rPr>
        <w:t>鉴于</w:t>
      </w:r>
      <w:r>
        <w:rPr>
          <w:snapToGrid w:val="0"/>
          <w:kern w:val="0"/>
          <w:sz w:val="24"/>
          <w:u w:val="single"/>
        </w:rPr>
        <w:t xml:space="preserve">              </w:t>
      </w:r>
      <w:r>
        <w:rPr>
          <w:snapToGrid w:val="0"/>
          <w:kern w:val="0"/>
          <w:sz w:val="24"/>
        </w:rPr>
        <w:t>（以下称监理人）已于      年</w:t>
      </w:r>
      <w:r>
        <w:rPr>
          <w:snapToGrid w:val="0"/>
          <w:spacing w:val="-4"/>
          <w:kern w:val="0"/>
          <w:sz w:val="24"/>
          <w:u w:val="single"/>
        </w:rPr>
        <w:t xml:space="preserve">  </w:t>
      </w:r>
      <w:r>
        <w:rPr>
          <w:snapToGrid w:val="0"/>
          <w:kern w:val="0"/>
          <w:sz w:val="24"/>
        </w:rPr>
        <w:t>月</w:t>
      </w:r>
      <w:r>
        <w:rPr>
          <w:snapToGrid w:val="0"/>
          <w:spacing w:val="-4"/>
          <w:kern w:val="0"/>
          <w:sz w:val="24"/>
          <w:u w:val="single"/>
        </w:rPr>
        <w:t xml:space="preserve">  </w:t>
      </w:r>
      <w:r>
        <w:rPr>
          <w:snapToGrid w:val="0"/>
          <w:kern w:val="0"/>
          <w:sz w:val="24"/>
        </w:rPr>
        <w:t>日与贵局订立合同编号为</w:t>
      </w:r>
      <w:r>
        <w:rPr>
          <w:snapToGrid w:val="0"/>
          <w:kern w:val="0"/>
          <w:sz w:val="24"/>
          <w:u w:val="single"/>
        </w:rPr>
        <w:t xml:space="preserve">  </w:t>
      </w:r>
      <w:r>
        <w:rPr>
          <w:snapToGrid w:val="0"/>
          <w:kern w:val="0"/>
          <w:sz w:val="24"/>
        </w:rPr>
        <w:t>的《</w:t>
      </w:r>
      <w:r>
        <w:rPr>
          <w:snapToGrid w:val="0"/>
          <w:kern w:val="0"/>
          <w:sz w:val="24"/>
          <w:u w:val="single"/>
        </w:rPr>
        <w:t xml:space="preserve">            </w:t>
      </w:r>
      <w:r>
        <w:rPr>
          <w:snapToGrid w:val="0"/>
          <w:spacing w:val="-4"/>
          <w:kern w:val="0"/>
          <w:sz w:val="24"/>
        </w:rPr>
        <w:t>监理</w:t>
      </w:r>
      <w:r>
        <w:rPr>
          <w:snapToGrid w:val="0"/>
          <w:kern w:val="0"/>
          <w:sz w:val="24"/>
        </w:rPr>
        <w:t>合同》（以下简称合同）。</w:t>
      </w:r>
      <w:r>
        <w:rPr>
          <w:b/>
          <w:snapToGrid w:val="0"/>
          <w:kern w:val="0"/>
          <w:sz w:val="24"/>
        </w:rPr>
        <w:t>我行</w:t>
      </w:r>
      <w:r>
        <w:rPr>
          <w:b/>
          <w:snapToGrid w:val="0"/>
          <w:kern w:val="0"/>
          <w:sz w:val="24"/>
          <w:lang w:val="zh-CN"/>
        </w:rPr>
        <w:t>同意为监理人出具</w:t>
      </w:r>
      <w:r>
        <w:rPr>
          <w:b/>
          <w:snapToGrid w:val="0"/>
          <w:kern w:val="0"/>
          <w:sz w:val="24"/>
        </w:rPr>
        <w:t>担保金额为人民币</w:t>
      </w:r>
      <w:r>
        <w:rPr>
          <w:b/>
          <w:snapToGrid w:val="0"/>
          <w:kern w:val="0"/>
          <w:sz w:val="24"/>
          <w:u w:val="single"/>
        </w:rPr>
        <w:t xml:space="preserve">    </w:t>
      </w:r>
      <w:r>
        <w:rPr>
          <w:bCs/>
          <w:snapToGrid w:val="0"/>
          <w:kern w:val="0"/>
          <w:sz w:val="24"/>
        </w:rPr>
        <w:t>元整</w:t>
      </w:r>
      <w:r>
        <w:rPr>
          <w:snapToGrid w:val="0"/>
          <w:kern w:val="0"/>
          <w:sz w:val="24"/>
        </w:rPr>
        <w:t>（￥</w:t>
      </w:r>
      <w:r>
        <w:rPr>
          <w:b/>
          <w:snapToGrid w:val="0"/>
          <w:kern w:val="0"/>
          <w:sz w:val="24"/>
          <w:u w:val="single"/>
        </w:rPr>
        <w:t xml:space="preserve">  </w:t>
      </w:r>
      <w:r>
        <w:rPr>
          <w:snapToGrid w:val="0"/>
          <w:kern w:val="0"/>
          <w:sz w:val="24"/>
          <w:u w:val="single"/>
        </w:rPr>
        <w:t>元</w:t>
      </w:r>
      <w:r>
        <w:rPr>
          <w:snapToGrid w:val="0"/>
          <w:kern w:val="0"/>
          <w:sz w:val="24"/>
        </w:rPr>
        <w:t>）</w:t>
      </w:r>
      <w:r>
        <w:rPr>
          <w:snapToGrid w:val="0"/>
          <w:kern w:val="0"/>
          <w:sz w:val="24"/>
          <w:lang w:val="zh-CN"/>
        </w:rPr>
        <w:t>的保函作为监理人向贵局履约的担保，</w:t>
      </w:r>
      <w:r>
        <w:rPr>
          <w:snapToGrid w:val="0"/>
          <w:kern w:val="0"/>
          <w:sz w:val="24"/>
        </w:rPr>
        <w:t>担保的范围为：监理人按合同约定应向贵局履行的全部债务，</w:t>
      </w:r>
      <w:r>
        <w:rPr>
          <w:b/>
          <w:snapToGrid w:val="0"/>
          <w:kern w:val="0"/>
          <w:sz w:val="24"/>
          <w:lang w:val="zh-CN"/>
        </w:rPr>
        <w:t>包括但不限于合同约定的债务，应向贵局支付的利息，在人力资源、仪器设备、监理服务职责、监理服务质量及监理服务期等方面的违约金，损害赔偿金，实现债权的费用</w:t>
      </w:r>
      <w:r>
        <w:rPr>
          <w:snapToGrid w:val="0"/>
          <w:kern w:val="0"/>
          <w:sz w:val="24"/>
          <w:lang w:val="zh-CN"/>
        </w:rPr>
        <w:t>。</w:t>
      </w:r>
      <w:r>
        <w:rPr>
          <w:b/>
          <w:snapToGrid w:val="0"/>
          <w:kern w:val="0"/>
          <w:sz w:val="24"/>
          <w:lang w:val="zh-CN"/>
        </w:rPr>
        <w:t xml:space="preserve"> </w:t>
      </w:r>
    </w:p>
    <w:p w14:paraId="59D29021">
      <w:pPr>
        <w:autoSpaceDE w:val="0"/>
        <w:autoSpaceDN w:val="0"/>
        <w:adjustRightInd w:val="0"/>
        <w:snapToGrid w:val="0"/>
        <w:spacing w:line="400" w:lineRule="exact"/>
        <w:ind w:firstLine="480"/>
        <w:rPr>
          <w:snapToGrid w:val="0"/>
          <w:kern w:val="0"/>
          <w:sz w:val="24"/>
          <w:lang w:val="zh-CN"/>
        </w:rPr>
      </w:pPr>
      <w:r>
        <w:rPr>
          <w:snapToGrid w:val="0"/>
          <w:kern w:val="0"/>
          <w:sz w:val="24"/>
          <w:lang w:val="zh-CN"/>
        </w:rPr>
        <w:t>我行承诺如下：</w:t>
      </w:r>
    </w:p>
    <w:p w14:paraId="12E321D6">
      <w:pPr>
        <w:autoSpaceDE w:val="0"/>
        <w:autoSpaceDN w:val="0"/>
        <w:adjustRightInd w:val="0"/>
        <w:snapToGrid w:val="0"/>
        <w:spacing w:line="400" w:lineRule="exact"/>
        <w:ind w:firstLine="480"/>
        <w:rPr>
          <w:snapToGrid w:val="0"/>
          <w:kern w:val="0"/>
          <w:sz w:val="24"/>
          <w:lang w:val="zh-CN"/>
        </w:rPr>
      </w:pPr>
      <w:r>
        <w:rPr>
          <w:snapToGrid w:val="0"/>
          <w:kern w:val="0"/>
          <w:sz w:val="24"/>
          <w:lang w:val="zh-CN"/>
        </w:rPr>
        <w:t>1．监理人在履行合同中，由于资金、技术、质量或非不可抗力及违约等原因需向贵局支付违约金或赔偿金时，在贵局</w:t>
      </w:r>
      <w:r>
        <w:rPr>
          <w:sz w:val="24"/>
        </w:rPr>
        <w:t>以书面索赔通知纸质原件形式提出要求得到上述金额内的任何付款时（需提供本保函正本原件供我行核对），我行在7个工作日内予以支付累计不超过上述担保金额的款项</w:t>
      </w:r>
      <w:r>
        <w:rPr>
          <w:snapToGrid w:val="0"/>
          <w:kern w:val="0"/>
          <w:sz w:val="24"/>
          <w:lang w:val="zh-CN"/>
        </w:rPr>
        <w:t>，不挑剔、不争辩，也不要求贵局出具证明或说明背景、理由。</w:t>
      </w:r>
    </w:p>
    <w:p w14:paraId="2EA9CFBB">
      <w:pPr>
        <w:autoSpaceDE w:val="0"/>
        <w:autoSpaceDN w:val="0"/>
        <w:adjustRightInd w:val="0"/>
        <w:snapToGrid w:val="0"/>
        <w:spacing w:line="400" w:lineRule="exact"/>
        <w:ind w:firstLine="480"/>
        <w:rPr>
          <w:snapToGrid w:val="0"/>
          <w:kern w:val="0"/>
          <w:sz w:val="24"/>
          <w:lang w:val="zh-CN"/>
        </w:rPr>
      </w:pPr>
      <w:r>
        <w:rPr>
          <w:snapToGrid w:val="0"/>
          <w:kern w:val="0"/>
          <w:sz w:val="24"/>
          <w:lang w:val="zh-CN"/>
        </w:rPr>
        <w:t>2．我行放弃贵局应先向监理人要求赔偿上述金额然后再向我行提出要求的权利。</w:t>
      </w:r>
    </w:p>
    <w:p w14:paraId="4330ED52">
      <w:pPr>
        <w:autoSpaceDE w:val="0"/>
        <w:autoSpaceDN w:val="0"/>
        <w:adjustRightInd w:val="0"/>
        <w:snapToGrid w:val="0"/>
        <w:spacing w:line="400" w:lineRule="exact"/>
        <w:ind w:firstLine="480"/>
        <w:rPr>
          <w:snapToGrid w:val="0"/>
          <w:kern w:val="0"/>
          <w:sz w:val="24"/>
          <w:lang w:val="zh-CN"/>
        </w:rPr>
      </w:pPr>
      <w:r>
        <w:rPr>
          <w:snapToGrid w:val="0"/>
          <w:kern w:val="0"/>
          <w:sz w:val="24"/>
          <w:lang w:val="zh-CN"/>
        </w:rPr>
        <w:t>3．我行进一步同意，在贵局和监理人之间的合同条件、合同项下的服务或合同发生变化、补充或修改，</w:t>
      </w:r>
      <w:r>
        <w:rPr>
          <w:sz w:val="24"/>
        </w:rPr>
        <w:t>在不加重我行担保责任的情况下，</w:t>
      </w:r>
      <w:r>
        <w:rPr>
          <w:snapToGrid w:val="0"/>
          <w:kern w:val="0"/>
          <w:sz w:val="24"/>
          <w:lang w:val="zh-CN"/>
        </w:rPr>
        <w:t>我行承担本保函的责任也不改变。有关上述变化、补充和修改也无须通知我行。</w:t>
      </w:r>
    </w:p>
    <w:p w14:paraId="1E81A10B">
      <w:pPr>
        <w:autoSpaceDE w:val="0"/>
        <w:autoSpaceDN w:val="0"/>
        <w:adjustRightInd w:val="0"/>
        <w:snapToGrid w:val="0"/>
        <w:spacing w:line="400" w:lineRule="exact"/>
        <w:ind w:firstLine="480"/>
        <w:rPr>
          <w:snapToGrid w:val="0"/>
          <w:spacing w:val="-4"/>
          <w:kern w:val="0"/>
          <w:sz w:val="24"/>
          <w:lang w:val="zh-CN"/>
        </w:rPr>
      </w:pPr>
      <w:r>
        <w:rPr>
          <w:snapToGrid w:val="0"/>
          <w:kern w:val="0"/>
          <w:sz w:val="24"/>
          <w:lang w:val="zh-CN"/>
        </w:rPr>
        <w:t>4．</w:t>
      </w:r>
      <w:r>
        <w:rPr>
          <w:snapToGrid w:val="0"/>
          <w:spacing w:val="-4"/>
          <w:kern w:val="0"/>
          <w:sz w:val="24"/>
          <w:lang w:val="zh-CN"/>
        </w:rPr>
        <w:t>我行的保函有效期间为：自本保函签署之日起至</w:t>
      </w:r>
      <w:r>
        <w:rPr>
          <w:snapToGrid w:val="0"/>
          <w:kern w:val="0"/>
          <w:sz w:val="24"/>
          <w:u w:val="single"/>
          <w:lang w:val="zh-CN"/>
        </w:rPr>
        <w:t>合同约定项目</w:t>
      </w:r>
      <w:r>
        <w:rPr>
          <w:snapToGrid w:val="0"/>
          <w:kern w:val="0"/>
          <w:sz w:val="24"/>
          <w:u w:val="single"/>
        </w:rPr>
        <w:t>工程竣工验收且竣工验收备案完成之日止</w:t>
      </w:r>
      <w:r>
        <w:rPr>
          <w:snapToGrid w:val="0"/>
          <w:spacing w:val="-4"/>
          <w:kern w:val="0"/>
          <w:sz w:val="24"/>
          <w:lang w:val="zh-CN"/>
        </w:rPr>
        <w:t>，但最迟不超过</w:t>
      </w:r>
      <w:r>
        <w:rPr>
          <w:snapToGrid w:val="0"/>
          <w:kern w:val="0"/>
          <w:sz w:val="24"/>
          <w:u w:val="single"/>
        </w:rPr>
        <w:t xml:space="preserve">  </w:t>
      </w:r>
      <w:r>
        <w:rPr>
          <w:snapToGrid w:val="0"/>
          <w:kern w:val="0"/>
          <w:sz w:val="24"/>
        </w:rPr>
        <w:t>年</w:t>
      </w:r>
      <w:r>
        <w:rPr>
          <w:snapToGrid w:val="0"/>
          <w:kern w:val="0"/>
          <w:sz w:val="24"/>
          <w:u w:val="single"/>
        </w:rPr>
        <w:t xml:space="preserve">  </w:t>
      </w:r>
      <w:r>
        <w:rPr>
          <w:snapToGrid w:val="0"/>
          <w:kern w:val="0"/>
          <w:sz w:val="24"/>
        </w:rPr>
        <w:t>月</w:t>
      </w:r>
      <w:r>
        <w:rPr>
          <w:snapToGrid w:val="0"/>
          <w:kern w:val="0"/>
          <w:sz w:val="24"/>
          <w:u w:val="single"/>
        </w:rPr>
        <w:t xml:space="preserve">  </w:t>
      </w:r>
      <w:r>
        <w:rPr>
          <w:snapToGrid w:val="0"/>
          <w:kern w:val="0"/>
          <w:sz w:val="24"/>
        </w:rPr>
        <w:t>日</w:t>
      </w:r>
      <w:r>
        <w:rPr>
          <w:snapToGrid w:val="0"/>
          <w:spacing w:val="-4"/>
          <w:kern w:val="0"/>
          <w:sz w:val="24"/>
          <w:lang w:val="zh-CN"/>
        </w:rPr>
        <w:t xml:space="preserve">。 </w:t>
      </w:r>
    </w:p>
    <w:p w14:paraId="19B2F323">
      <w:pPr>
        <w:autoSpaceDE w:val="0"/>
        <w:autoSpaceDN w:val="0"/>
        <w:adjustRightInd w:val="0"/>
        <w:snapToGrid w:val="0"/>
        <w:spacing w:line="400" w:lineRule="exact"/>
        <w:ind w:firstLine="480"/>
        <w:rPr>
          <w:sz w:val="24"/>
        </w:rPr>
      </w:pPr>
      <w:r>
        <w:rPr>
          <w:sz w:val="24"/>
        </w:rPr>
        <w:t>5、本保函适用中华人民共和国法律管辖，任何与本保函有关的争议均需提交工程项目所在地人民法院提起诉讼。</w:t>
      </w:r>
    </w:p>
    <w:p w14:paraId="2859966A">
      <w:pPr>
        <w:autoSpaceDE w:val="0"/>
        <w:autoSpaceDN w:val="0"/>
        <w:adjustRightInd w:val="0"/>
        <w:snapToGrid w:val="0"/>
        <w:spacing w:line="400" w:lineRule="exact"/>
        <w:ind w:firstLine="480"/>
        <w:rPr>
          <w:sz w:val="24"/>
        </w:rPr>
      </w:pPr>
      <w:r>
        <w:rPr>
          <w:sz w:val="24"/>
        </w:rPr>
        <w:t>本保函自我行负责人（或委托代理人）签字并加盖公章之日起生效。</w:t>
      </w:r>
    </w:p>
    <w:p w14:paraId="2F0FFDB3">
      <w:pPr>
        <w:autoSpaceDE w:val="0"/>
        <w:autoSpaceDN w:val="0"/>
        <w:adjustRightInd w:val="0"/>
        <w:snapToGrid w:val="0"/>
        <w:spacing w:line="400" w:lineRule="exact"/>
        <w:rPr>
          <w:snapToGrid w:val="0"/>
          <w:kern w:val="0"/>
          <w:sz w:val="24"/>
          <w:lang w:val="zh-CN"/>
        </w:rPr>
      </w:pPr>
    </w:p>
    <w:p w14:paraId="78A536D0">
      <w:pPr>
        <w:autoSpaceDE w:val="0"/>
        <w:autoSpaceDN w:val="0"/>
        <w:adjustRightInd w:val="0"/>
        <w:snapToGrid w:val="0"/>
        <w:spacing w:line="400" w:lineRule="exact"/>
        <w:ind w:firstLine="4298" w:firstLineChars="1791"/>
        <w:rPr>
          <w:snapToGrid w:val="0"/>
          <w:kern w:val="0"/>
          <w:sz w:val="24"/>
          <w:lang w:val="zh-CN"/>
        </w:rPr>
      </w:pPr>
      <w:r>
        <w:rPr>
          <w:snapToGrid w:val="0"/>
          <w:kern w:val="0"/>
          <w:sz w:val="24"/>
          <w:lang w:val="zh-CN"/>
        </w:rPr>
        <w:t>担保人：（盖章）</w:t>
      </w:r>
    </w:p>
    <w:p w14:paraId="3B7A83D0">
      <w:pPr>
        <w:autoSpaceDE w:val="0"/>
        <w:autoSpaceDN w:val="0"/>
        <w:adjustRightInd w:val="0"/>
        <w:snapToGrid w:val="0"/>
        <w:spacing w:line="400" w:lineRule="exact"/>
        <w:ind w:firstLine="4301" w:firstLineChars="1854"/>
        <w:rPr>
          <w:snapToGrid w:val="0"/>
          <w:kern w:val="0"/>
          <w:sz w:val="24"/>
          <w:lang w:val="zh-CN"/>
        </w:rPr>
      </w:pPr>
      <w:r>
        <w:rPr>
          <w:snapToGrid w:val="0"/>
          <w:spacing w:val="-4"/>
          <w:kern w:val="0"/>
          <w:sz w:val="24"/>
          <w:lang w:val="zh-CN"/>
        </w:rPr>
        <w:t>负责人</w:t>
      </w:r>
      <w:r>
        <w:rPr>
          <w:snapToGrid w:val="0"/>
          <w:kern w:val="0"/>
          <w:sz w:val="24"/>
          <w:lang w:val="zh-CN"/>
        </w:rPr>
        <w:t>（或委托代理人）：</w:t>
      </w:r>
    </w:p>
    <w:p w14:paraId="5D8F4E75">
      <w:pPr>
        <w:autoSpaceDE w:val="0"/>
        <w:autoSpaceDN w:val="0"/>
        <w:adjustRightInd w:val="0"/>
        <w:snapToGrid w:val="0"/>
        <w:spacing w:line="400" w:lineRule="exact"/>
        <w:ind w:firstLine="4300" w:firstLineChars="1792"/>
        <w:rPr>
          <w:snapToGrid w:val="0"/>
          <w:kern w:val="0"/>
          <w:sz w:val="24"/>
          <w:lang w:val="zh-CN"/>
        </w:rPr>
      </w:pPr>
      <w:r>
        <w:rPr>
          <w:snapToGrid w:val="0"/>
          <w:kern w:val="0"/>
          <w:sz w:val="24"/>
          <w:lang w:val="zh-CN"/>
        </w:rPr>
        <w:t>地址：</w:t>
      </w:r>
    </w:p>
    <w:p w14:paraId="3299158D">
      <w:pPr>
        <w:autoSpaceDE w:val="0"/>
        <w:autoSpaceDN w:val="0"/>
        <w:adjustRightInd w:val="0"/>
        <w:snapToGrid w:val="0"/>
        <w:spacing w:line="400" w:lineRule="exact"/>
        <w:ind w:firstLine="4300" w:firstLineChars="1792"/>
        <w:rPr>
          <w:snapToGrid w:val="0"/>
          <w:kern w:val="0"/>
          <w:sz w:val="24"/>
          <w:lang w:val="zh-CN"/>
        </w:rPr>
      </w:pPr>
      <w:r>
        <w:rPr>
          <w:snapToGrid w:val="0"/>
          <w:kern w:val="0"/>
          <w:sz w:val="24"/>
          <w:lang w:val="zh-CN"/>
        </w:rPr>
        <w:t>邮政编码：</w:t>
      </w:r>
    </w:p>
    <w:p w14:paraId="0FE15095">
      <w:pPr>
        <w:adjustRightInd w:val="0"/>
        <w:snapToGrid w:val="0"/>
        <w:spacing w:line="360" w:lineRule="auto"/>
        <w:ind w:firstLine="4320" w:firstLineChars="1800"/>
        <w:rPr>
          <w:sz w:val="44"/>
          <w:szCs w:val="44"/>
        </w:rPr>
      </w:pPr>
      <w:r>
        <w:rPr>
          <w:snapToGrid w:val="0"/>
          <w:kern w:val="0"/>
          <w:sz w:val="24"/>
          <w:lang w:val="zh-CN"/>
        </w:rPr>
        <w:t>联系电话：</w:t>
      </w:r>
    </w:p>
    <w:p w14:paraId="21CB4C97">
      <w:pPr>
        <w:adjustRightInd w:val="0"/>
        <w:snapToGrid w:val="0"/>
        <w:spacing w:line="360" w:lineRule="auto"/>
        <w:jc w:val="center"/>
        <w:rPr>
          <w:b/>
          <w:snapToGrid w:val="0"/>
          <w:kern w:val="0"/>
          <w:sz w:val="44"/>
          <w:szCs w:val="44"/>
        </w:rPr>
      </w:pPr>
    </w:p>
    <w:p w14:paraId="6B517C4F">
      <w:pPr>
        <w:adjustRightInd w:val="0"/>
        <w:snapToGrid w:val="0"/>
        <w:spacing w:line="360" w:lineRule="auto"/>
        <w:jc w:val="center"/>
        <w:rPr>
          <w:b/>
          <w:snapToGrid w:val="0"/>
          <w:kern w:val="0"/>
          <w:sz w:val="44"/>
          <w:szCs w:val="44"/>
        </w:rPr>
      </w:pPr>
    </w:p>
    <w:bookmarkEnd w:id="590"/>
    <w:p w14:paraId="2F272E3C">
      <w:pPr>
        <w:topLinePunct/>
        <w:adjustRightInd w:val="0"/>
        <w:snapToGrid w:val="0"/>
        <w:spacing w:line="360" w:lineRule="auto"/>
        <w:ind w:firstLine="896" w:firstLineChars="200"/>
        <w:rPr>
          <w:rFonts w:eastAsia="黑体"/>
          <w:snapToGrid w:val="0"/>
          <w:spacing w:val="4"/>
          <w:kern w:val="0"/>
          <w:sz w:val="44"/>
          <w:szCs w:val="44"/>
        </w:rPr>
        <w:sectPr>
          <w:footerReference r:id="rId6" w:type="first"/>
          <w:footerReference r:id="rId5" w:type="default"/>
          <w:pgSz w:w="11907" w:h="16840"/>
          <w:pgMar w:top="1134" w:right="1134" w:bottom="1134" w:left="1134" w:header="851" w:footer="851" w:gutter="340"/>
          <w:cols w:space="720" w:num="1"/>
        </w:sectPr>
      </w:pPr>
    </w:p>
    <w:p w14:paraId="632D0ACC">
      <w:pPr>
        <w:outlineLvl w:val="1"/>
        <w:rPr>
          <w:b/>
          <w:sz w:val="24"/>
        </w:rPr>
      </w:pPr>
      <w:bookmarkStart w:id="591" w:name="_Toc313869543"/>
      <w:r>
        <w:rPr>
          <w:b/>
          <w:sz w:val="24"/>
        </w:rPr>
        <w:t>附件7：监理单位安全生产管理目标责任书</w:t>
      </w:r>
    </w:p>
    <w:p w14:paraId="0E65456B">
      <w:pPr>
        <w:rPr>
          <w:rFonts w:eastAsia="华文中宋"/>
          <w:sz w:val="48"/>
          <w:szCs w:val="48"/>
        </w:rPr>
      </w:pPr>
    </w:p>
    <w:p w14:paraId="1C96378A">
      <w:pPr>
        <w:jc w:val="center"/>
        <w:rPr>
          <w:rFonts w:eastAsia="华文中宋"/>
          <w:sz w:val="48"/>
          <w:szCs w:val="48"/>
        </w:rPr>
      </w:pPr>
    </w:p>
    <w:p w14:paraId="051AD2BD">
      <w:pPr>
        <w:jc w:val="center"/>
        <w:rPr>
          <w:rFonts w:eastAsia="华文中宋"/>
          <w:sz w:val="48"/>
          <w:szCs w:val="48"/>
        </w:rPr>
      </w:pPr>
    </w:p>
    <w:p w14:paraId="00F3E0EF">
      <w:pPr>
        <w:jc w:val="center"/>
        <w:rPr>
          <w:sz w:val="72"/>
          <w:szCs w:val="72"/>
        </w:rPr>
      </w:pPr>
    </w:p>
    <w:p w14:paraId="7BD9941E">
      <w:pPr>
        <w:jc w:val="center"/>
        <w:rPr>
          <w:b/>
          <w:sz w:val="72"/>
          <w:szCs w:val="72"/>
        </w:rPr>
      </w:pPr>
      <w:r>
        <w:rPr>
          <w:b/>
          <w:sz w:val="48"/>
          <w:szCs w:val="48"/>
        </w:rPr>
        <w:t>监理单位安全生产管理目标责任书</w:t>
      </w:r>
    </w:p>
    <w:p w14:paraId="34176392"/>
    <w:p w14:paraId="6A05FC58"/>
    <w:p w14:paraId="1C95056D"/>
    <w:p w14:paraId="1EAB283A">
      <w:pPr>
        <w:rPr>
          <w:sz w:val="36"/>
          <w:szCs w:val="36"/>
        </w:rPr>
      </w:pPr>
    </w:p>
    <w:p w14:paraId="65AAA11D">
      <w:pPr>
        <w:rPr>
          <w:sz w:val="36"/>
          <w:szCs w:val="36"/>
        </w:rPr>
      </w:pPr>
    </w:p>
    <w:p w14:paraId="18F3C4C1">
      <w:pPr>
        <w:rPr>
          <w:sz w:val="36"/>
          <w:szCs w:val="36"/>
        </w:rPr>
      </w:pPr>
    </w:p>
    <w:p w14:paraId="2E3DA8EB">
      <w:pPr>
        <w:rPr>
          <w:sz w:val="36"/>
          <w:szCs w:val="36"/>
        </w:rPr>
      </w:pPr>
    </w:p>
    <w:p w14:paraId="38B9BEC7">
      <w:pPr>
        <w:rPr>
          <w:sz w:val="36"/>
          <w:szCs w:val="36"/>
        </w:rPr>
      </w:pPr>
    </w:p>
    <w:p w14:paraId="3666B998">
      <w:pPr>
        <w:rPr>
          <w:sz w:val="36"/>
          <w:szCs w:val="36"/>
        </w:rPr>
      </w:pPr>
    </w:p>
    <w:p w14:paraId="6570B9A6">
      <w:pPr>
        <w:rPr>
          <w:sz w:val="36"/>
          <w:szCs w:val="36"/>
        </w:rPr>
      </w:pPr>
    </w:p>
    <w:p w14:paraId="163BE664">
      <w:pPr>
        <w:rPr>
          <w:sz w:val="36"/>
          <w:szCs w:val="36"/>
        </w:rPr>
      </w:pPr>
    </w:p>
    <w:p w14:paraId="031BF8F4">
      <w:pPr>
        <w:rPr>
          <w:sz w:val="36"/>
          <w:szCs w:val="36"/>
        </w:rPr>
      </w:pPr>
    </w:p>
    <w:p w14:paraId="1373B46A">
      <w:pPr>
        <w:rPr>
          <w:sz w:val="32"/>
          <w:szCs w:val="32"/>
        </w:rPr>
      </w:pPr>
      <w:r>
        <w:rPr>
          <w:sz w:val="32"/>
          <w:szCs w:val="32"/>
        </w:rPr>
        <w:t xml:space="preserve">年  度： </w:t>
      </w:r>
    </w:p>
    <w:p w14:paraId="4A115DC2">
      <w:pPr>
        <w:rPr>
          <w:sz w:val="32"/>
          <w:szCs w:val="32"/>
        </w:rPr>
      </w:pPr>
    </w:p>
    <w:p w14:paraId="46362C14">
      <w:pPr>
        <w:rPr>
          <w:sz w:val="32"/>
          <w:szCs w:val="32"/>
        </w:rPr>
      </w:pPr>
      <w:r>
        <w:rPr>
          <w:sz w:val="32"/>
          <w:szCs w:val="32"/>
        </w:rPr>
        <w:t xml:space="preserve">项目名称： </w:t>
      </w:r>
    </w:p>
    <w:p w14:paraId="34A560C9">
      <w:pPr>
        <w:ind w:left="1440" w:hanging="1440" w:hangingChars="450"/>
        <w:rPr>
          <w:sz w:val="32"/>
          <w:szCs w:val="32"/>
        </w:rPr>
      </w:pPr>
    </w:p>
    <w:p w14:paraId="5805D6E9">
      <w:pPr>
        <w:ind w:left="1440" w:hanging="1440" w:hangingChars="450"/>
        <w:rPr>
          <w:sz w:val="32"/>
          <w:szCs w:val="32"/>
        </w:rPr>
      </w:pPr>
      <w:r>
        <w:rPr>
          <w:sz w:val="32"/>
          <w:szCs w:val="32"/>
        </w:rPr>
        <w:t xml:space="preserve">监理单位：  </w:t>
      </w:r>
    </w:p>
    <w:p w14:paraId="4EB7D980">
      <w:pPr>
        <w:spacing w:line="360" w:lineRule="auto"/>
        <w:jc w:val="center"/>
        <w:rPr>
          <w:b/>
          <w:bCs/>
          <w:sz w:val="24"/>
        </w:rPr>
      </w:pPr>
      <w:r>
        <w:rPr>
          <w:b/>
          <w:sz w:val="32"/>
          <w:szCs w:val="32"/>
        </w:rPr>
        <w:br w:type="page"/>
      </w:r>
      <w:r>
        <w:rPr>
          <w:b/>
          <w:bCs/>
          <w:sz w:val="24"/>
        </w:rPr>
        <w:t>监理单位安全生产管理目标责任书</w:t>
      </w:r>
    </w:p>
    <w:p w14:paraId="52C72B7A">
      <w:pPr>
        <w:spacing w:line="360" w:lineRule="auto"/>
        <w:ind w:firstLine="480" w:firstLineChars="200"/>
        <w:rPr>
          <w:sz w:val="24"/>
        </w:rPr>
      </w:pPr>
      <w:r>
        <w:rPr>
          <w:sz w:val="24"/>
        </w:rPr>
        <w:t>为保证中山大学附属第一医院安全责任目标的实现，特签订本责任书。</w:t>
      </w:r>
    </w:p>
    <w:p w14:paraId="63200982">
      <w:pPr>
        <w:spacing w:line="360" w:lineRule="auto"/>
        <w:ind w:firstLine="480" w:firstLineChars="200"/>
        <w:rPr>
          <w:sz w:val="24"/>
        </w:rPr>
      </w:pPr>
      <w:r>
        <w:rPr>
          <w:sz w:val="24"/>
        </w:rPr>
        <w:t>本责任书由监理单位法定代表人向中山大学附属第一医院法定代表人签订。</w:t>
      </w:r>
    </w:p>
    <w:p w14:paraId="37C2CF35">
      <w:pPr>
        <w:spacing w:line="360" w:lineRule="auto"/>
        <w:ind w:firstLine="480" w:firstLineChars="200"/>
        <w:outlineLvl w:val="0"/>
        <w:rPr>
          <w:sz w:val="24"/>
        </w:rPr>
      </w:pPr>
      <w:r>
        <w:rPr>
          <w:sz w:val="24"/>
        </w:rPr>
        <w:t>一、责任目标</w:t>
      </w:r>
    </w:p>
    <w:p w14:paraId="56A1D26B">
      <w:pPr>
        <w:spacing w:line="360" w:lineRule="auto"/>
        <w:ind w:firstLine="480" w:firstLineChars="200"/>
        <w:rPr>
          <w:sz w:val="24"/>
        </w:rPr>
      </w:pPr>
      <w:r>
        <w:rPr>
          <w:sz w:val="24"/>
        </w:rPr>
        <w:t>目标一：事故隐患排查治理覆盖率90%以上，一般事故隐患整改率95%以上，重大事故隐患挂牌督办率100%、整改率90%以上；安全生产非法违法行为举报投诉查办率达到100%。杜绝发生一般事故等级及以上的伤亡事故且工伤责任事故死亡人数为零。</w:t>
      </w:r>
    </w:p>
    <w:p w14:paraId="2D808B7C">
      <w:pPr>
        <w:spacing w:line="360" w:lineRule="auto"/>
        <w:ind w:firstLine="480" w:firstLineChars="200"/>
        <w:rPr>
          <w:sz w:val="24"/>
        </w:rPr>
      </w:pPr>
      <w:r>
        <w:rPr>
          <w:sz w:val="24"/>
        </w:rPr>
        <w:t>目标二：争创广东省安全文明样板工地。</w:t>
      </w:r>
    </w:p>
    <w:p w14:paraId="4103F695">
      <w:pPr>
        <w:spacing w:line="360" w:lineRule="auto"/>
        <w:ind w:firstLine="480" w:firstLineChars="200"/>
        <w:rPr>
          <w:sz w:val="24"/>
        </w:rPr>
      </w:pPr>
      <w:r>
        <w:rPr>
          <w:sz w:val="24"/>
        </w:rPr>
        <w:t>目标三：督促确保及时支付工人工资，不出现劳资纠纷或群体维稳事件。</w:t>
      </w:r>
    </w:p>
    <w:p w14:paraId="63389C0C">
      <w:pPr>
        <w:spacing w:line="360" w:lineRule="auto"/>
        <w:ind w:firstLine="480" w:firstLineChars="200"/>
        <w:outlineLvl w:val="0"/>
        <w:rPr>
          <w:sz w:val="24"/>
        </w:rPr>
      </w:pPr>
      <w:r>
        <w:rPr>
          <w:sz w:val="24"/>
        </w:rPr>
        <w:t>二、责任单位和责任人</w:t>
      </w:r>
    </w:p>
    <w:p w14:paraId="22CAFBED">
      <w:pPr>
        <w:spacing w:line="360" w:lineRule="auto"/>
        <w:ind w:firstLine="480" w:firstLineChars="200"/>
        <w:outlineLvl w:val="0"/>
        <w:rPr>
          <w:sz w:val="24"/>
        </w:rPr>
      </w:pPr>
      <w:r>
        <w:rPr>
          <w:sz w:val="24"/>
        </w:rPr>
        <w:t>监理单位法定代表人依法对本单位安全生产工作全面负责，项目总监对工程项目的安全施工监理工作负责。</w:t>
      </w:r>
    </w:p>
    <w:p w14:paraId="6102D48C">
      <w:pPr>
        <w:spacing w:line="360" w:lineRule="auto"/>
        <w:ind w:firstLine="480" w:firstLineChars="200"/>
        <w:outlineLvl w:val="0"/>
        <w:rPr>
          <w:sz w:val="24"/>
        </w:rPr>
      </w:pPr>
      <w:r>
        <w:rPr>
          <w:sz w:val="24"/>
        </w:rPr>
        <w:t>三、责任事项</w:t>
      </w:r>
    </w:p>
    <w:p w14:paraId="0A90EF62">
      <w:pPr>
        <w:spacing w:line="360" w:lineRule="auto"/>
        <w:ind w:firstLine="480" w:firstLineChars="200"/>
        <w:rPr>
          <w:sz w:val="24"/>
        </w:rPr>
      </w:pPr>
      <w:r>
        <w:rPr>
          <w:sz w:val="24"/>
        </w:rPr>
        <w:t>（一）监理单位是安全生产的主体责任单位之一，要切实履行全国人大及其常委会、国务院、住建部、广东省、广州市等颁布的法律、法规、部门规章、地方性法规规定之安全生产义务。</w:t>
      </w:r>
    </w:p>
    <w:p w14:paraId="1045AF4F">
      <w:pPr>
        <w:spacing w:line="360" w:lineRule="auto"/>
        <w:ind w:firstLine="480" w:firstLineChars="200"/>
        <w:rPr>
          <w:sz w:val="24"/>
        </w:rPr>
      </w:pPr>
      <w:r>
        <w:rPr>
          <w:sz w:val="24"/>
        </w:rPr>
        <w:t>（二）监理单位要认真做好《</w:t>
      </w:r>
      <w:r>
        <w:rPr>
          <w:sz w:val="24"/>
          <w:u w:val="single"/>
        </w:rPr>
        <w:t xml:space="preserve">                                       </w:t>
      </w:r>
      <w:r>
        <w:rPr>
          <w:sz w:val="24"/>
        </w:rPr>
        <w:t>合同》中明确的安全与环境控制工作并履行职责。认真做到安全事故处理“四不放过”（事故原因未查清不放过；事故责任人未受到处理不放过；事故责任人和广大群众没有受到教育不放过；事故没有制订切实可行的整改措施不放过）；认真做到重大危险源、重大隐患要有预测、有预警、有预案；认真做到要生产就必须安全，不安全就不能生产。</w:t>
      </w:r>
    </w:p>
    <w:p w14:paraId="7468F5BE">
      <w:pPr>
        <w:spacing w:line="360" w:lineRule="auto"/>
        <w:ind w:firstLine="480" w:firstLineChars="200"/>
        <w:outlineLvl w:val="0"/>
        <w:rPr>
          <w:sz w:val="24"/>
        </w:rPr>
      </w:pPr>
      <w:r>
        <w:rPr>
          <w:sz w:val="24"/>
        </w:rPr>
        <w:t>四、落实责任的组织架构和措施</w:t>
      </w:r>
    </w:p>
    <w:p w14:paraId="2512E74E">
      <w:pPr>
        <w:spacing w:line="360" w:lineRule="auto"/>
        <w:ind w:firstLine="480" w:firstLineChars="200"/>
        <w:rPr>
          <w:sz w:val="24"/>
        </w:rPr>
      </w:pPr>
      <w:r>
        <w:rPr>
          <w:sz w:val="24"/>
        </w:rPr>
        <w:t>（一）监理单位要设立在法定代表人指导下，以项目总监为主的安全生产管理组织架构，保证安全生产责任制度的落实。</w:t>
      </w:r>
    </w:p>
    <w:p w14:paraId="70F7AC2D">
      <w:pPr>
        <w:spacing w:line="360" w:lineRule="auto"/>
        <w:ind w:firstLine="480" w:firstLineChars="200"/>
        <w:rPr>
          <w:sz w:val="24"/>
        </w:rPr>
      </w:pPr>
      <w:r>
        <w:rPr>
          <w:sz w:val="24"/>
        </w:rPr>
        <w:t>（二）监理单位要按合同约定确保项目总监和专职安全管理人员到岗履职，并由单位法定代表人与其签署安全责任授权书。</w:t>
      </w:r>
    </w:p>
    <w:p w14:paraId="4F91EFEB">
      <w:pPr>
        <w:spacing w:line="360" w:lineRule="auto"/>
        <w:ind w:firstLine="480" w:firstLineChars="200"/>
        <w:rPr>
          <w:sz w:val="24"/>
        </w:rPr>
      </w:pPr>
      <w:r>
        <w:rPr>
          <w:sz w:val="24"/>
        </w:rPr>
        <w:t>（三）监理单位要确保项目总监依据《建筑工程项目总监理工程师质量安全责任六项规定》（建市〔2015〕35号）的要求落实安全责任。</w:t>
      </w:r>
    </w:p>
    <w:p w14:paraId="4316286D">
      <w:pPr>
        <w:spacing w:line="360" w:lineRule="auto"/>
        <w:ind w:firstLine="480" w:firstLineChars="200"/>
        <w:rPr>
          <w:sz w:val="24"/>
        </w:rPr>
      </w:pPr>
      <w:r>
        <w:rPr>
          <w:sz w:val="24"/>
        </w:rPr>
        <w:t>（四）监理单位要按《关于印发&lt;广东省建设厅建筑工程安全防护、文明施工措施费用管理办法&gt;的通知》（粤建管字〔2007〕39号）、《关于印发广州市建筑工程安全生产措施费管理办法的通知》（穗建筑［2003］106号）的要求督促措施费足额用于安全防护和安全措施，不得挪作他用。</w:t>
      </w:r>
    </w:p>
    <w:p w14:paraId="0F52966F">
      <w:pPr>
        <w:spacing w:line="360" w:lineRule="auto"/>
        <w:ind w:firstLine="480" w:firstLineChars="200"/>
        <w:rPr>
          <w:sz w:val="24"/>
        </w:rPr>
      </w:pPr>
      <w:r>
        <w:rPr>
          <w:sz w:val="24"/>
        </w:rPr>
        <w:t>（五）监理单位要督促施工单位必须按《关于印发广东省建设领域工人工资支付分账管理暂行办法的通知》（粤人社规[2015]3号）执行，切实将工人工资支付专用账户的资金用于发放工人工资，不得挪作他用。</w:t>
      </w:r>
    </w:p>
    <w:p w14:paraId="419CE957">
      <w:pPr>
        <w:spacing w:line="360" w:lineRule="auto"/>
        <w:ind w:firstLine="480" w:firstLineChars="200"/>
        <w:outlineLvl w:val="0"/>
        <w:rPr>
          <w:sz w:val="24"/>
        </w:rPr>
      </w:pPr>
      <w:r>
        <w:rPr>
          <w:sz w:val="24"/>
        </w:rPr>
        <w:t>五、责任追究</w:t>
      </w:r>
    </w:p>
    <w:p w14:paraId="239EF3E8">
      <w:pPr>
        <w:spacing w:line="360" w:lineRule="auto"/>
        <w:ind w:firstLine="480" w:firstLineChars="200"/>
        <w:rPr>
          <w:sz w:val="24"/>
        </w:rPr>
      </w:pPr>
      <w:r>
        <w:rPr>
          <w:sz w:val="24"/>
        </w:rPr>
        <w:t>（一）如工程未能实现承诺的</w:t>
      </w:r>
      <w:r>
        <w:rPr>
          <w:rFonts w:hint="eastAsia"/>
          <w:sz w:val="24"/>
        </w:rPr>
        <w:t>“</w:t>
      </w:r>
      <w:r>
        <w:rPr>
          <w:sz w:val="24"/>
        </w:rPr>
        <w:t>责任目标</w:t>
      </w:r>
      <w:r>
        <w:rPr>
          <w:rFonts w:hint="eastAsia"/>
          <w:sz w:val="24"/>
        </w:rPr>
        <w:t>”</w:t>
      </w:r>
      <w:r>
        <w:rPr>
          <w:sz w:val="24"/>
        </w:rPr>
        <w:t>时，当属严重失责行为，按照以下违约处理：</w:t>
      </w:r>
    </w:p>
    <w:p w14:paraId="2F8FC6C0">
      <w:pPr>
        <w:spacing w:line="360" w:lineRule="auto"/>
        <w:ind w:firstLine="480" w:firstLineChars="200"/>
        <w:rPr>
          <w:sz w:val="24"/>
        </w:rPr>
      </w:pPr>
      <w:r>
        <w:rPr>
          <w:sz w:val="24"/>
        </w:rPr>
        <w:sym w:font="Wingdings 2" w:char="F052"/>
      </w:r>
      <w:r>
        <w:rPr>
          <w:sz w:val="24"/>
        </w:rPr>
        <w:t>1、</w:t>
      </w:r>
      <w:r>
        <w:rPr>
          <w:rFonts w:hint="eastAsia"/>
          <w:sz w:val="24"/>
        </w:rPr>
        <w:t>“</w:t>
      </w:r>
      <w:r>
        <w:rPr>
          <w:sz w:val="24"/>
        </w:rPr>
        <w:t>目标一</w:t>
      </w:r>
      <w:r>
        <w:rPr>
          <w:rFonts w:hint="eastAsia"/>
          <w:sz w:val="24"/>
        </w:rPr>
        <w:t>”</w:t>
      </w:r>
      <w:r>
        <w:rPr>
          <w:sz w:val="24"/>
        </w:rPr>
        <w:t>未能实现时，除按国家、省、市有关规定处罚外，按合同监理单位承担严重违约责任1次；</w:t>
      </w:r>
      <w:r>
        <w:rPr>
          <w:rFonts w:hint="eastAsia"/>
        </w:rPr>
        <w:t>若因发生安全生产事故（其中重大安全质量事故按国家及本合同有关规定界定），或被上级主管部门通报批评，或被新闻媒体曝光的，监理人须承担赔偿责任，赔偿金为本合同监理酬金的0.5%～5%，赔偿金不足以弥补委托人损失的，还应赔偿损失。</w:t>
      </w:r>
    </w:p>
    <w:p w14:paraId="1C0EC0B2">
      <w:pPr>
        <w:spacing w:line="360" w:lineRule="auto"/>
        <w:ind w:firstLine="480" w:firstLineChars="200"/>
        <w:rPr>
          <w:sz w:val="24"/>
        </w:rPr>
      </w:pPr>
      <w:r>
        <w:rPr>
          <w:sz w:val="24"/>
        </w:rPr>
        <w:t>（二）在责任期内，市代建局检查发现有违本书“三、责任事项”中约定的法律法规、合同、制度的规定时，属失责行为，按照相应条款进行处罚。</w:t>
      </w:r>
    </w:p>
    <w:p w14:paraId="39E883AA">
      <w:pPr>
        <w:spacing w:line="360" w:lineRule="auto"/>
        <w:ind w:firstLine="480" w:firstLineChars="200"/>
        <w:outlineLvl w:val="0"/>
        <w:rPr>
          <w:sz w:val="24"/>
        </w:rPr>
      </w:pPr>
      <w:r>
        <w:rPr>
          <w:sz w:val="24"/>
        </w:rPr>
        <w:t>六、其他事项</w:t>
      </w:r>
    </w:p>
    <w:p w14:paraId="3512C845">
      <w:pPr>
        <w:numPr>
          <w:ilvl w:val="0"/>
          <w:numId w:val="6"/>
        </w:numPr>
        <w:tabs>
          <w:tab w:val="left" w:pos="360"/>
        </w:tabs>
        <w:spacing w:line="360" w:lineRule="auto"/>
        <w:ind w:firstLine="480" w:firstLineChars="200"/>
        <w:rPr>
          <w:sz w:val="24"/>
        </w:rPr>
      </w:pPr>
      <w:r>
        <w:rPr>
          <w:sz w:val="24"/>
        </w:rPr>
        <w:t>中山大学附属第一医院将全力支持与促成“责任目标”的实现，与此同时，将严格督促监理方承担安全责任，发现失责时，必按本责任书的条文予以处罚。</w:t>
      </w:r>
    </w:p>
    <w:p w14:paraId="621F72D7">
      <w:pPr>
        <w:numPr>
          <w:ilvl w:val="0"/>
          <w:numId w:val="6"/>
        </w:numPr>
        <w:tabs>
          <w:tab w:val="left" w:pos="360"/>
        </w:tabs>
        <w:spacing w:line="360" w:lineRule="auto"/>
        <w:ind w:firstLine="480" w:firstLineChars="200"/>
        <w:rPr>
          <w:sz w:val="24"/>
        </w:rPr>
      </w:pPr>
      <w:r>
        <w:rPr>
          <w:sz w:val="24"/>
        </w:rPr>
        <w:t>本责任书之责任期限由签订之日起至该项目取得《建设工程施工安全评价书》日期为止。</w:t>
      </w:r>
    </w:p>
    <w:p w14:paraId="53C30374">
      <w:pPr>
        <w:numPr>
          <w:ilvl w:val="0"/>
          <w:numId w:val="6"/>
        </w:numPr>
        <w:tabs>
          <w:tab w:val="left" w:pos="360"/>
        </w:tabs>
        <w:spacing w:line="360" w:lineRule="auto"/>
        <w:ind w:firstLine="480" w:firstLineChars="200"/>
        <w:rPr>
          <w:sz w:val="24"/>
        </w:rPr>
      </w:pPr>
      <w:r>
        <w:rPr>
          <w:sz w:val="24"/>
        </w:rPr>
        <w:t>本责任书作为合同附件一式两份，签订方各执一份。如签订人离任，安全责任则由继任人承担。</w:t>
      </w:r>
    </w:p>
    <w:p w14:paraId="4E2FBBDF">
      <w:pPr>
        <w:spacing w:line="360" w:lineRule="auto"/>
        <w:rPr>
          <w:sz w:val="24"/>
        </w:rPr>
      </w:pPr>
    </w:p>
    <w:p w14:paraId="25F30100">
      <w:pPr>
        <w:tabs>
          <w:tab w:val="left" w:pos="6300"/>
        </w:tabs>
        <w:spacing w:line="360" w:lineRule="auto"/>
        <w:ind w:firstLine="4800" w:firstLineChars="2000"/>
        <w:rPr>
          <w:sz w:val="24"/>
        </w:rPr>
      </w:pPr>
      <w:r>
        <w:rPr>
          <w:sz w:val="24"/>
        </w:rPr>
        <w:t xml:space="preserve">监理单位名称（章）： </w:t>
      </w:r>
    </w:p>
    <w:p w14:paraId="35CDB55B">
      <w:pPr>
        <w:spacing w:line="360" w:lineRule="auto"/>
        <w:ind w:firstLine="4800" w:firstLineChars="2000"/>
        <w:rPr>
          <w:spacing w:val="-20"/>
          <w:sz w:val="24"/>
        </w:rPr>
      </w:pPr>
      <w:r>
        <w:rPr>
          <w:sz w:val="24"/>
        </w:rPr>
        <w:t>法定代表人</w:t>
      </w:r>
      <w:r>
        <w:rPr>
          <w:spacing w:val="-20"/>
          <w:sz w:val="24"/>
        </w:rPr>
        <w:t>签名：</w:t>
      </w:r>
    </w:p>
    <w:p w14:paraId="7DC175D7">
      <w:pPr>
        <w:spacing w:line="360" w:lineRule="auto"/>
        <w:rPr>
          <w:sz w:val="24"/>
        </w:rPr>
      </w:pPr>
      <w:r>
        <w:rPr>
          <w:spacing w:val="-20"/>
          <w:sz w:val="24"/>
        </w:rPr>
        <w:t xml:space="preserve">                             </w:t>
      </w:r>
      <w:r>
        <w:rPr>
          <w:sz w:val="24"/>
        </w:rPr>
        <w:t xml:space="preserve">    </w:t>
      </w:r>
    </w:p>
    <w:p w14:paraId="0D713E6F">
      <w:pPr>
        <w:widowControl/>
        <w:ind w:firstLine="4800" w:firstLineChars="2000"/>
        <w:jc w:val="left"/>
        <w:rPr>
          <w:b/>
          <w:snapToGrid w:val="0"/>
          <w:spacing w:val="4"/>
          <w:kern w:val="0"/>
          <w:sz w:val="24"/>
        </w:rPr>
      </w:pPr>
      <w:r>
        <w:rPr>
          <w:sz w:val="24"/>
        </w:rPr>
        <w:t>签订时间：</w:t>
      </w:r>
      <w:r>
        <w:rPr>
          <w:rFonts w:hint="eastAsia"/>
          <w:sz w:val="24"/>
        </w:rPr>
        <w:t xml:space="preserve">           年</w:t>
      </w:r>
      <w:r>
        <w:rPr>
          <w:sz w:val="24"/>
        </w:rPr>
        <w:t xml:space="preserve">    月    日</w:t>
      </w:r>
      <w:r>
        <w:rPr>
          <w:b/>
          <w:snapToGrid w:val="0"/>
          <w:spacing w:val="4"/>
          <w:kern w:val="0"/>
          <w:sz w:val="24"/>
        </w:rPr>
        <w:br w:type="page"/>
      </w:r>
    </w:p>
    <w:bookmarkEnd w:id="591"/>
    <w:p w14:paraId="4DA8D519">
      <w:pPr>
        <w:topLinePunct/>
        <w:adjustRightInd w:val="0"/>
        <w:snapToGrid w:val="0"/>
        <w:spacing w:before="120" w:after="120"/>
        <w:jc w:val="left"/>
        <w:outlineLvl w:val="1"/>
        <w:rPr>
          <w:rFonts w:eastAsia="黑体"/>
          <w:b/>
          <w:snapToGrid w:val="0"/>
          <w:spacing w:val="4"/>
          <w:kern w:val="0"/>
          <w:sz w:val="24"/>
        </w:rPr>
      </w:pPr>
      <w:bookmarkStart w:id="592" w:name="_Toc313869544"/>
      <w:r>
        <w:rPr>
          <w:b/>
          <w:snapToGrid w:val="0"/>
          <w:spacing w:val="4"/>
          <w:kern w:val="0"/>
          <w:sz w:val="24"/>
        </w:rPr>
        <w:t>附件8：本项目招标澄清、答疑文件</w:t>
      </w:r>
    </w:p>
    <w:p w14:paraId="1B434BA2">
      <w:pPr>
        <w:topLinePunct/>
        <w:adjustRightInd w:val="0"/>
        <w:snapToGrid w:val="0"/>
        <w:spacing w:before="120" w:after="120"/>
        <w:jc w:val="left"/>
        <w:outlineLvl w:val="1"/>
        <w:rPr>
          <w:b/>
          <w:snapToGrid w:val="0"/>
          <w:spacing w:val="4"/>
          <w:kern w:val="0"/>
          <w:sz w:val="24"/>
        </w:rPr>
      </w:pPr>
      <w:r>
        <w:rPr>
          <w:rFonts w:eastAsia="黑体"/>
          <w:b/>
          <w:snapToGrid w:val="0"/>
          <w:spacing w:val="4"/>
          <w:kern w:val="0"/>
          <w:sz w:val="24"/>
        </w:rPr>
        <w:br w:type="page"/>
      </w:r>
      <w:r>
        <w:rPr>
          <w:b/>
          <w:snapToGrid w:val="0"/>
          <w:spacing w:val="4"/>
          <w:kern w:val="0"/>
          <w:sz w:val="24"/>
        </w:rPr>
        <w:t>附件9：法定代表人、项目总监理工程师、</w:t>
      </w:r>
      <w:r>
        <w:rPr>
          <w:b/>
          <w:bCs/>
          <w:snapToGrid w:val="0"/>
          <w:spacing w:val="-4"/>
          <w:kern w:val="0"/>
          <w:sz w:val="24"/>
        </w:rPr>
        <w:t>项目总监理工程师代表</w:t>
      </w:r>
      <w:r>
        <w:rPr>
          <w:b/>
          <w:snapToGrid w:val="0"/>
          <w:spacing w:val="4"/>
          <w:kern w:val="0"/>
          <w:sz w:val="24"/>
        </w:rPr>
        <w:t>的姓名、身份证复印件、职务、职称、联系方式</w:t>
      </w:r>
      <w:bookmarkEnd w:id="592"/>
    </w:p>
    <w:p w14:paraId="350452C0">
      <w:pPr>
        <w:topLinePunct/>
        <w:adjustRightInd w:val="0"/>
        <w:snapToGrid w:val="0"/>
        <w:spacing w:line="360" w:lineRule="auto"/>
        <w:rPr>
          <w:snapToGrid w:val="0"/>
          <w:spacing w:val="4"/>
          <w:kern w:val="0"/>
          <w:sz w:val="24"/>
        </w:rPr>
      </w:pPr>
      <w:r>
        <w:rPr>
          <w:snapToGrid w:val="0"/>
          <w:spacing w:val="4"/>
          <w:kern w:val="0"/>
          <w:sz w:val="24"/>
        </w:rPr>
        <w:br w:type="page"/>
      </w:r>
    </w:p>
    <w:p w14:paraId="45E853BB">
      <w:pPr>
        <w:topLinePunct/>
        <w:adjustRightInd w:val="0"/>
        <w:snapToGrid w:val="0"/>
        <w:spacing w:before="120" w:after="120"/>
        <w:jc w:val="left"/>
        <w:outlineLvl w:val="1"/>
        <w:rPr>
          <w:b/>
          <w:snapToGrid w:val="0"/>
          <w:spacing w:val="4"/>
          <w:kern w:val="0"/>
          <w:sz w:val="24"/>
        </w:rPr>
      </w:pPr>
      <w:bookmarkStart w:id="593" w:name="_Toc313869545"/>
      <w:r>
        <w:rPr>
          <w:b/>
          <w:snapToGrid w:val="0"/>
          <w:spacing w:val="4"/>
          <w:kern w:val="0"/>
          <w:sz w:val="24"/>
        </w:rPr>
        <w:t>附件10：中标通知书</w:t>
      </w:r>
      <w:bookmarkEnd w:id="593"/>
    </w:p>
    <w:p w14:paraId="72512C03">
      <w:pPr>
        <w:topLinePunct/>
        <w:adjustRightInd w:val="0"/>
        <w:snapToGrid w:val="0"/>
        <w:spacing w:before="120" w:after="120"/>
        <w:jc w:val="left"/>
        <w:outlineLvl w:val="1"/>
        <w:rPr>
          <w:rFonts w:eastAsia="黑体"/>
          <w:b/>
          <w:snapToGrid w:val="0"/>
          <w:spacing w:val="4"/>
          <w:kern w:val="0"/>
          <w:sz w:val="24"/>
        </w:rPr>
      </w:pPr>
    </w:p>
    <w:p w14:paraId="015FF379">
      <w:pPr>
        <w:topLinePunct/>
        <w:adjustRightInd w:val="0"/>
        <w:snapToGrid w:val="0"/>
        <w:spacing w:line="360" w:lineRule="auto"/>
        <w:rPr>
          <w:snapToGrid w:val="0"/>
          <w:spacing w:val="4"/>
          <w:kern w:val="0"/>
          <w:sz w:val="24"/>
        </w:rPr>
      </w:pPr>
    </w:p>
    <w:p w14:paraId="36C2911B">
      <w:pPr>
        <w:topLinePunct/>
        <w:adjustRightInd w:val="0"/>
        <w:snapToGrid w:val="0"/>
        <w:spacing w:line="360" w:lineRule="auto"/>
        <w:rPr>
          <w:snapToGrid w:val="0"/>
          <w:spacing w:val="4"/>
          <w:kern w:val="0"/>
          <w:sz w:val="24"/>
        </w:rPr>
      </w:pPr>
    </w:p>
    <w:p w14:paraId="2A9C90E3">
      <w:pPr>
        <w:topLinePunct/>
        <w:adjustRightInd w:val="0"/>
        <w:snapToGrid w:val="0"/>
        <w:spacing w:line="360" w:lineRule="auto"/>
        <w:rPr>
          <w:snapToGrid w:val="0"/>
          <w:spacing w:val="4"/>
          <w:kern w:val="0"/>
          <w:sz w:val="24"/>
        </w:rPr>
      </w:pPr>
    </w:p>
    <w:p w14:paraId="632856F7">
      <w:pPr>
        <w:topLinePunct/>
        <w:adjustRightInd w:val="0"/>
        <w:snapToGrid w:val="0"/>
        <w:spacing w:line="360" w:lineRule="auto"/>
        <w:rPr>
          <w:snapToGrid w:val="0"/>
          <w:spacing w:val="4"/>
          <w:kern w:val="0"/>
          <w:sz w:val="24"/>
        </w:rPr>
      </w:pPr>
    </w:p>
    <w:p w14:paraId="647ADD62">
      <w:pPr>
        <w:topLinePunct/>
        <w:adjustRightInd w:val="0"/>
        <w:snapToGrid w:val="0"/>
        <w:spacing w:line="360" w:lineRule="auto"/>
        <w:rPr>
          <w:snapToGrid w:val="0"/>
          <w:spacing w:val="4"/>
          <w:kern w:val="0"/>
          <w:sz w:val="24"/>
        </w:rPr>
      </w:pPr>
    </w:p>
    <w:p w14:paraId="601AF4C1">
      <w:pPr>
        <w:topLinePunct/>
        <w:adjustRightInd w:val="0"/>
        <w:snapToGrid w:val="0"/>
        <w:spacing w:line="360" w:lineRule="auto"/>
        <w:rPr>
          <w:snapToGrid w:val="0"/>
          <w:spacing w:val="4"/>
          <w:kern w:val="0"/>
          <w:sz w:val="24"/>
        </w:rPr>
      </w:pPr>
    </w:p>
    <w:p w14:paraId="35D304AC">
      <w:pPr>
        <w:topLinePunct/>
        <w:adjustRightInd w:val="0"/>
        <w:snapToGrid w:val="0"/>
        <w:spacing w:line="360" w:lineRule="auto"/>
        <w:rPr>
          <w:snapToGrid w:val="0"/>
          <w:spacing w:val="4"/>
          <w:kern w:val="0"/>
          <w:sz w:val="24"/>
        </w:rPr>
      </w:pPr>
    </w:p>
    <w:p w14:paraId="5E23809F">
      <w:pPr>
        <w:topLinePunct/>
        <w:adjustRightInd w:val="0"/>
        <w:snapToGrid w:val="0"/>
        <w:spacing w:line="360" w:lineRule="auto"/>
        <w:rPr>
          <w:snapToGrid w:val="0"/>
          <w:spacing w:val="4"/>
          <w:kern w:val="0"/>
          <w:sz w:val="24"/>
        </w:rPr>
      </w:pPr>
    </w:p>
    <w:p w14:paraId="20B6886E">
      <w:pPr>
        <w:topLinePunct/>
        <w:adjustRightInd w:val="0"/>
        <w:snapToGrid w:val="0"/>
        <w:spacing w:line="360" w:lineRule="auto"/>
        <w:rPr>
          <w:snapToGrid w:val="0"/>
          <w:spacing w:val="4"/>
          <w:kern w:val="0"/>
          <w:sz w:val="24"/>
        </w:rPr>
      </w:pPr>
    </w:p>
    <w:p w14:paraId="2A3E6417">
      <w:pPr>
        <w:topLinePunct/>
        <w:adjustRightInd w:val="0"/>
        <w:snapToGrid w:val="0"/>
        <w:spacing w:line="360" w:lineRule="auto"/>
        <w:rPr>
          <w:snapToGrid w:val="0"/>
          <w:spacing w:val="4"/>
          <w:kern w:val="0"/>
          <w:sz w:val="24"/>
        </w:rPr>
      </w:pPr>
    </w:p>
    <w:p w14:paraId="4C5AD103">
      <w:pPr>
        <w:topLinePunct/>
        <w:adjustRightInd w:val="0"/>
        <w:snapToGrid w:val="0"/>
        <w:spacing w:line="360" w:lineRule="auto"/>
        <w:rPr>
          <w:snapToGrid w:val="0"/>
          <w:spacing w:val="4"/>
          <w:kern w:val="0"/>
          <w:sz w:val="24"/>
        </w:rPr>
      </w:pPr>
    </w:p>
    <w:p w14:paraId="03228AA8">
      <w:pPr>
        <w:topLinePunct/>
        <w:adjustRightInd w:val="0"/>
        <w:snapToGrid w:val="0"/>
        <w:spacing w:line="360" w:lineRule="auto"/>
        <w:rPr>
          <w:snapToGrid w:val="0"/>
          <w:spacing w:val="4"/>
          <w:kern w:val="0"/>
          <w:sz w:val="24"/>
        </w:rPr>
      </w:pPr>
    </w:p>
    <w:p w14:paraId="552A17B9">
      <w:pPr>
        <w:topLinePunct/>
        <w:adjustRightInd w:val="0"/>
        <w:snapToGrid w:val="0"/>
        <w:spacing w:line="360" w:lineRule="auto"/>
        <w:rPr>
          <w:snapToGrid w:val="0"/>
          <w:spacing w:val="4"/>
          <w:kern w:val="0"/>
          <w:sz w:val="24"/>
        </w:rPr>
      </w:pPr>
    </w:p>
    <w:p w14:paraId="20EDA1F8">
      <w:pPr>
        <w:topLinePunct/>
        <w:adjustRightInd w:val="0"/>
        <w:snapToGrid w:val="0"/>
        <w:spacing w:line="360" w:lineRule="auto"/>
        <w:rPr>
          <w:snapToGrid w:val="0"/>
          <w:spacing w:val="4"/>
          <w:kern w:val="0"/>
          <w:sz w:val="24"/>
        </w:rPr>
      </w:pPr>
    </w:p>
    <w:p w14:paraId="502CAB80">
      <w:pPr>
        <w:topLinePunct/>
        <w:adjustRightInd w:val="0"/>
        <w:snapToGrid w:val="0"/>
        <w:spacing w:line="360" w:lineRule="auto"/>
        <w:rPr>
          <w:snapToGrid w:val="0"/>
          <w:spacing w:val="4"/>
          <w:kern w:val="0"/>
          <w:sz w:val="24"/>
        </w:rPr>
      </w:pPr>
    </w:p>
    <w:p w14:paraId="68AD6F08">
      <w:pPr>
        <w:topLinePunct/>
        <w:adjustRightInd w:val="0"/>
        <w:snapToGrid w:val="0"/>
        <w:spacing w:line="360" w:lineRule="auto"/>
        <w:rPr>
          <w:snapToGrid w:val="0"/>
          <w:spacing w:val="4"/>
          <w:kern w:val="0"/>
          <w:sz w:val="24"/>
        </w:rPr>
      </w:pPr>
    </w:p>
    <w:p w14:paraId="39E3E1DD">
      <w:pPr>
        <w:topLinePunct/>
        <w:adjustRightInd w:val="0"/>
        <w:snapToGrid w:val="0"/>
        <w:spacing w:line="360" w:lineRule="auto"/>
        <w:rPr>
          <w:snapToGrid w:val="0"/>
          <w:spacing w:val="4"/>
          <w:kern w:val="0"/>
          <w:sz w:val="24"/>
        </w:rPr>
      </w:pPr>
    </w:p>
    <w:p w14:paraId="340FB660">
      <w:pPr>
        <w:topLinePunct/>
        <w:adjustRightInd w:val="0"/>
        <w:snapToGrid w:val="0"/>
        <w:spacing w:line="360" w:lineRule="auto"/>
        <w:rPr>
          <w:snapToGrid w:val="0"/>
          <w:spacing w:val="4"/>
          <w:kern w:val="0"/>
          <w:sz w:val="24"/>
        </w:rPr>
      </w:pPr>
    </w:p>
    <w:p w14:paraId="5ECB9060">
      <w:pPr>
        <w:topLinePunct/>
        <w:adjustRightInd w:val="0"/>
        <w:snapToGrid w:val="0"/>
        <w:spacing w:line="360" w:lineRule="auto"/>
        <w:rPr>
          <w:snapToGrid w:val="0"/>
          <w:spacing w:val="4"/>
          <w:kern w:val="0"/>
          <w:sz w:val="24"/>
        </w:rPr>
      </w:pPr>
    </w:p>
    <w:p w14:paraId="552EDB31">
      <w:pPr>
        <w:topLinePunct/>
        <w:adjustRightInd w:val="0"/>
        <w:snapToGrid w:val="0"/>
        <w:spacing w:line="360" w:lineRule="auto"/>
        <w:rPr>
          <w:snapToGrid w:val="0"/>
          <w:spacing w:val="4"/>
          <w:kern w:val="0"/>
          <w:sz w:val="24"/>
        </w:rPr>
      </w:pPr>
    </w:p>
    <w:p w14:paraId="1F4391C0">
      <w:pPr>
        <w:topLinePunct/>
        <w:adjustRightInd w:val="0"/>
        <w:snapToGrid w:val="0"/>
        <w:spacing w:line="360" w:lineRule="auto"/>
        <w:rPr>
          <w:snapToGrid w:val="0"/>
          <w:spacing w:val="4"/>
          <w:kern w:val="0"/>
          <w:sz w:val="24"/>
        </w:rPr>
      </w:pPr>
    </w:p>
    <w:p w14:paraId="22D14F80">
      <w:pPr>
        <w:topLinePunct/>
        <w:adjustRightInd w:val="0"/>
        <w:snapToGrid w:val="0"/>
        <w:spacing w:line="360" w:lineRule="auto"/>
        <w:rPr>
          <w:snapToGrid w:val="0"/>
          <w:spacing w:val="4"/>
          <w:kern w:val="0"/>
          <w:sz w:val="24"/>
        </w:rPr>
      </w:pPr>
    </w:p>
    <w:p w14:paraId="530090E2">
      <w:pPr>
        <w:topLinePunct/>
        <w:adjustRightInd w:val="0"/>
        <w:snapToGrid w:val="0"/>
        <w:spacing w:line="360" w:lineRule="auto"/>
        <w:rPr>
          <w:snapToGrid w:val="0"/>
          <w:spacing w:val="4"/>
          <w:kern w:val="0"/>
          <w:sz w:val="24"/>
        </w:rPr>
      </w:pPr>
    </w:p>
    <w:p w14:paraId="768C0B01">
      <w:pPr>
        <w:topLinePunct/>
        <w:adjustRightInd w:val="0"/>
        <w:snapToGrid w:val="0"/>
        <w:spacing w:line="360" w:lineRule="auto"/>
        <w:rPr>
          <w:snapToGrid w:val="0"/>
          <w:spacing w:val="4"/>
          <w:kern w:val="0"/>
          <w:sz w:val="24"/>
        </w:rPr>
      </w:pPr>
    </w:p>
    <w:p w14:paraId="7911182F">
      <w:pPr>
        <w:topLinePunct/>
        <w:adjustRightInd w:val="0"/>
        <w:snapToGrid w:val="0"/>
        <w:spacing w:line="360" w:lineRule="auto"/>
        <w:rPr>
          <w:snapToGrid w:val="0"/>
          <w:spacing w:val="4"/>
          <w:kern w:val="0"/>
          <w:sz w:val="24"/>
        </w:rPr>
      </w:pPr>
    </w:p>
    <w:p w14:paraId="2162A7A7">
      <w:pPr>
        <w:topLinePunct/>
        <w:adjustRightInd w:val="0"/>
        <w:snapToGrid w:val="0"/>
        <w:spacing w:line="360" w:lineRule="auto"/>
        <w:rPr>
          <w:snapToGrid w:val="0"/>
          <w:spacing w:val="4"/>
          <w:kern w:val="0"/>
          <w:sz w:val="24"/>
        </w:rPr>
      </w:pPr>
    </w:p>
    <w:p w14:paraId="17F97CFC">
      <w:pPr>
        <w:topLinePunct/>
        <w:adjustRightInd w:val="0"/>
        <w:snapToGrid w:val="0"/>
        <w:spacing w:line="360" w:lineRule="auto"/>
        <w:rPr>
          <w:snapToGrid w:val="0"/>
          <w:spacing w:val="4"/>
          <w:kern w:val="0"/>
          <w:sz w:val="24"/>
        </w:rPr>
      </w:pPr>
    </w:p>
    <w:p w14:paraId="523E03FF">
      <w:pPr>
        <w:topLinePunct/>
        <w:adjustRightInd w:val="0"/>
        <w:snapToGrid w:val="0"/>
        <w:spacing w:line="360" w:lineRule="auto"/>
        <w:rPr>
          <w:snapToGrid w:val="0"/>
          <w:spacing w:val="4"/>
          <w:kern w:val="0"/>
          <w:sz w:val="24"/>
        </w:rPr>
      </w:pPr>
    </w:p>
    <w:p w14:paraId="65AF7930">
      <w:pPr>
        <w:topLinePunct/>
        <w:adjustRightInd w:val="0"/>
        <w:snapToGrid w:val="0"/>
        <w:spacing w:line="360" w:lineRule="auto"/>
        <w:rPr>
          <w:snapToGrid w:val="0"/>
          <w:spacing w:val="4"/>
          <w:kern w:val="0"/>
          <w:sz w:val="24"/>
        </w:rPr>
      </w:pPr>
    </w:p>
    <w:p w14:paraId="20CDE82D">
      <w:pPr>
        <w:topLinePunct/>
        <w:adjustRightInd w:val="0"/>
        <w:snapToGrid w:val="0"/>
        <w:spacing w:before="120" w:after="120"/>
        <w:jc w:val="left"/>
        <w:outlineLvl w:val="1"/>
        <w:rPr>
          <w:b/>
          <w:snapToGrid w:val="0"/>
          <w:spacing w:val="4"/>
          <w:kern w:val="0"/>
          <w:sz w:val="24"/>
        </w:rPr>
      </w:pPr>
      <w:r>
        <w:rPr>
          <w:rFonts w:eastAsia="黑体"/>
          <w:b/>
          <w:snapToGrid w:val="0"/>
          <w:spacing w:val="4"/>
          <w:kern w:val="0"/>
          <w:sz w:val="24"/>
        </w:rPr>
        <w:br w:type="page"/>
      </w:r>
      <w:r>
        <w:rPr>
          <w:b/>
          <w:snapToGrid w:val="0"/>
          <w:spacing w:val="4"/>
          <w:kern w:val="0"/>
          <w:sz w:val="24"/>
        </w:rPr>
        <w:t>附件11：工程质量终身责任承诺书</w:t>
      </w:r>
    </w:p>
    <w:p w14:paraId="2FC19826">
      <w:pPr>
        <w:spacing w:line="360" w:lineRule="auto"/>
        <w:jc w:val="left"/>
        <w:rPr>
          <w:bCs/>
          <w:snapToGrid w:val="0"/>
          <w:kern w:val="0"/>
          <w:sz w:val="24"/>
        </w:rPr>
      </w:pPr>
    </w:p>
    <w:p w14:paraId="25EE188C">
      <w:pPr>
        <w:spacing w:before="240" w:beforeLines="100" w:after="240" w:afterLines="100"/>
        <w:jc w:val="center"/>
        <w:rPr>
          <w:b/>
          <w:sz w:val="44"/>
          <w:szCs w:val="44"/>
        </w:rPr>
      </w:pPr>
      <w:r>
        <w:rPr>
          <w:b/>
          <w:sz w:val="44"/>
          <w:szCs w:val="44"/>
        </w:rPr>
        <w:t>法定代表人授权书</w:t>
      </w:r>
    </w:p>
    <w:p w14:paraId="0DCD0DE8">
      <w:pPr>
        <w:spacing w:before="360" w:beforeLines="150" w:line="360" w:lineRule="auto"/>
        <w:ind w:firstLine="480" w:firstLineChars="200"/>
        <w:rPr>
          <w:sz w:val="28"/>
        </w:rPr>
      </w:pPr>
      <w:r>
        <w:rPr>
          <w:sz w:val="24"/>
        </w:rPr>
        <w:t xml:space="preserve"> </w:t>
      </w:r>
      <w:r>
        <w:rPr>
          <w:sz w:val="28"/>
        </w:rPr>
        <w:t>兹授权我单位</w:t>
      </w:r>
      <w:r>
        <w:rPr>
          <w:sz w:val="28"/>
          <w:u w:val="single"/>
        </w:rPr>
        <w:t xml:space="preserve">                   </w:t>
      </w:r>
      <w:r>
        <w:rPr>
          <w:sz w:val="28"/>
        </w:rPr>
        <w:t>担任</w:t>
      </w:r>
      <w:r>
        <w:rPr>
          <w:sz w:val="28"/>
          <w:u w:val="single"/>
        </w:rPr>
        <w:t xml:space="preserve">                             项目</w:t>
      </w:r>
      <w:r>
        <w:rPr>
          <w:sz w:val="28"/>
        </w:rPr>
        <w:t>的监理项目负责人，对该工程项目的监理工作实施组织管理，依据国家有关法律法规及标准规范履行职责，并依法对设计使用年限内的工程质量承担相应终身责任。</w:t>
      </w:r>
    </w:p>
    <w:p w14:paraId="1966AE78">
      <w:pPr>
        <w:spacing w:line="360" w:lineRule="auto"/>
        <w:ind w:firstLine="560" w:firstLineChars="200"/>
        <w:rPr>
          <w:sz w:val="28"/>
        </w:rPr>
      </w:pPr>
      <w:r>
        <w:rPr>
          <w:sz w:val="28"/>
        </w:rPr>
        <w:t>本授权书自授权之日起生效。</w:t>
      </w:r>
    </w:p>
    <w:p w14:paraId="680DA627">
      <w:pPr>
        <w:spacing w:line="360" w:lineRule="auto"/>
        <w:ind w:firstLine="560" w:firstLineChars="200"/>
        <w:rPr>
          <w:sz w:val="28"/>
        </w:rPr>
      </w:pP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011"/>
        <w:gridCol w:w="1567"/>
        <w:gridCol w:w="2814"/>
      </w:tblGrid>
      <w:tr w14:paraId="1F66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center"/>
          </w:tcPr>
          <w:p w14:paraId="30658FA6">
            <w:pPr>
              <w:spacing w:line="360" w:lineRule="auto"/>
              <w:jc w:val="center"/>
              <w:rPr>
                <w:sz w:val="28"/>
              </w:rPr>
            </w:pPr>
            <w:r>
              <w:rPr>
                <w:b/>
                <w:bCs/>
                <w:sz w:val="28"/>
              </w:rPr>
              <w:t>被授权人基本情况</w:t>
            </w:r>
          </w:p>
        </w:tc>
      </w:tr>
      <w:tr w14:paraId="7E94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77E9993">
            <w:pPr>
              <w:spacing w:line="360" w:lineRule="auto"/>
              <w:jc w:val="center"/>
              <w:rPr>
                <w:sz w:val="28"/>
              </w:rPr>
            </w:pPr>
            <w:r>
              <w:rPr>
                <w:sz w:val="28"/>
              </w:rPr>
              <w:t>姓  名</w:t>
            </w:r>
          </w:p>
        </w:tc>
        <w:tc>
          <w:tcPr>
            <w:tcW w:w="2011" w:type="dxa"/>
            <w:vAlign w:val="center"/>
          </w:tcPr>
          <w:p w14:paraId="627D242C">
            <w:pPr>
              <w:spacing w:line="360" w:lineRule="auto"/>
              <w:jc w:val="center"/>
              <w:rPr>
                <w:sz w:val="28"/>
              </w:rPr>
            </w:pPr>
          </w:p>
        </w:tc>
        <w:tc>
          <w:tcPr>
            <w:tcW w:w="1567" w:type="dxa"/>
            <w:vAlign w:val="center"/>
          </w:tcPr>
          <w:p w14:paraId="3E1FEA40">
            <w:pPr>
              <w:spacing w:line="360" w:lineRule="auto"/>
              <w:jc w:val="center"/>
              <w:rPr>
                <w:sz w:val="28"/>
              </w:rPr>
            </w:pPr>
            <w:r>
              <w:rPr>
                <w:sz w:val="28"/>
              </w:rPr>
              <w:t>身份证号</w:t>
            </w:r>
          </w:p>
        </w:tc>
        <w:tc>
          <w:tcPr>
            <w:tcW w:w="2814" w:type="dxa"/>
            <w:vAlign w:val="center"/>
          </w:tcPr>
          <w:p w14:paraId="23AE547F">
            <w:pPr>
              <w:spacing w:line="360" w:lineRule="auto"/>
              <w:jc w:val="center"/>
              <w:rPr>
                <w:sz w:val="28"/>
              </w:rPr>
            </w:pPr>
          </w:p>
        </w:tc>
      </w:tr>
      <w:tr w14:paraId="2DF2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CC791EC">
            <w:pPr>
              <w:spacing w:line="360" w:lineRule="auto"/>
              <w:jc w:val="center"/>
              <w:rPr>
                <w:sz w:val="28"/>
              </w:rPr>
            </w:pPr>
            <w:r>
              <w:rPr>
                <w:sz w:val="28"/>
              </w:rPr>
              <w:t>注册执业资格</w:t>
            </w:r>
          </w:p>
        </w:tc>
        <w:tc>
          <w:tcPr>
            <w:tcW w:w="2011" w:type="dxa"/>
            <w:vAlign w:val="center"/>
          </w:tcPr>
          <w:p w14:paraId="18CB4096">
            <w:pPr>
              <w:spacing w:line="360" w:lineRule="auto"/>
              <w:jc w:val="center"/>
              <w:rPr>
                <w:sz w:val="28"/>
              </w:rPr>
            </w:pPr>
          </w:p>
        </w:tc>
        <w:tc>
          <w:tcPr>
            <w:tcW w:w="1567" w:type="dxa"/>
            <w:vAlign w:val="center"/>
          </w:tcPr>
          <w:p w14:paraId="45812BA2">
            <w:pPr>
              <w:spacing w:line="360" w:lineRule="auto"/>
              <w:jc w:val="center"/>
              <w:rPr>
                <w:sz w:val="28"/>
              </w:rPr>
            </w:pPr>
            <w:r>
              <w:rPr>
                <w:sz w:val="28"/>
              </w:rPr>
              <w:t>注册执业证号</w:t>
            </w:r>
          </w:p>
        </w:tc>
        <w:tc>
          <w:tcPr>
            <w:tcW w:w="2814" w:type="dxa"/>
            <w:vAlign w:val="center"/>
          </w:tcPr>
          <w:p w14:paraId="741D073C">
            <w:pPr>
              <w:spacing w:line="360" w:lineRule="auto"/>
              <w:jc w:val="center"/>
              <w:rPr>
                <w:sz w:val="28"/>
              </w:rPr>
            </w:pPr>
          </w:p>
        </w:tc>
      </w:tr>
      <w:tr w14:paraId="13E6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center"/>
          </w:tcPr>
          <w:p w14:paraId="2B89AB3D">
            <w:pPr>
              <w:spacing w:line="360" w:lineRule="auto"/>
              <w:jc w:val="center"/>
              <w:rPr>
                <w:sz w:val="28"/>
              </w:rPr>
            </w:pPr>
            <w:r>
              <w:rPr>
                <w:sz w:val="28"/>
              </w:rPr>
              <w:t>被授权人签字：</w:t>
            </w:r>
          </w:p>
        </w:tc>
      </w:tr>
    </w:tbl>
    <w:p w14:paraId="65BDC7F7">
      <w:pPr>
        <w:spacing w:line="360" w:lineRule="auto"/>
        <w:ind w:firstLine="560" w:firstLineChars="200"/>
        <w:rPr>
          <w:sz w:val="28"/>
        </w:rPr>
      </w:pPr>
    </w:p>
    <w:p w14:paraId="663664B0">
      <w:pPr>
        <w:spacing w:line="360" w:lineRule="auto"/>
        <w:ind w:firstLine="560" w:firstLineChars="200"/>
        <w:rPr>
          <w:sz w:val="28"/>
          <w:u w:val="single"/>
        </w:rPr>
      </w:pPr>
      <w:r>
        <w:rPr>
          <w:sz w:val="28"/>
        </w:rPr>
        <w:t xml:space="preserve">            </w:t>
      </w:r>
      <w:r>
        <w:rPr>
          <w:spacing w:val="21"/>
          <w:sz w:val="28"/>
        </w:rPr>
        <w:t>授权单位（盖章）</w:t>
      </w:r>
      <w:r>
        <w:rPr>
          <w:sz w:val="28"/>
        </w:rPr>
        <w:t>：</w:t>
      </w:r>
      <w:r>
        <w:rPr>
          <w:sz w:val="28"/>
          <w:u w:val="single"/>
        </w:rPr>
        <w:t xml:space="preserve">                        </w:t>
      </w:r>
    </w:p>
    <w:p w14:paraId="27022CB7">
      <w:pPr>
        <w:spacing w:line="360" w:lineRule="auto"/>
        <w:ind w:firstLine="560" w:firstLineChars="200"/>
        <w:rPr>
          <w:sz w:val="28"/>
          <w:u w:val="single"/>
        </w:rPr>
      </w:pPr>
      <w:r>
        <w:rPr>
          <w:sz w:val="28"/>
        </w:rPr>
        <w:t xml:space="preserve">            法定代表人（签字）：</w:t>
      </w:r>
      <w:r>
        <w:rPr>
          <w:sz w:val="28"/>
          <w:u w:val="single"/>
        </w:rPr>
        <w:t xml:space="preserve">                        </w:t>
      </w:r>
    </w:p>
    <w:p w14:paraId="6D726BEB">
      <w:pPr>
        <w:spacing w:line="360" w:lineRule="auto"/>
        <w:ind w:firstLine="560" w:firstLineChars="200"/>
        <w:rPr>
          <w:sz w:val="28"/>
        </w:rPr>
      </w:pPr>
      <w:r>
        <w:rPr>
          <w:sz w:val="28"/>
        </w:rPr>
        <w:t xml:space="preserve">            </w:t>
      </w:r>
      <w:r>
        <w:rPr>
          <w:spacing w:val="21"/>
          <w:sz w:val="28"/>
        </w:rPr>
        <w:t>授权日期：</w:t>
      </w:r>
      <w:r>
        <w:rPr>
          <w:sz w:val="28"/>
          <w:u w:val="single"/>
        </w:rPr>
        <w:t xml:space="preserve">     </w:t>
      </w:r>
      <w:r>
        <w:rPr>
          <w:sz w:val="28"/>
        </w:rPr>
        <w:t>年</w:t>
      </w:r>
      <w:r>
        <w:rPr>
          <w:sz w:val="28"/>
          <w:u w:val="single"/>
        </w:rPr>
        <w:t xml:space="preserve">    </w:t>
      </w:r>
      <w:r>
        <w:rPr>
          <w:sz w:val="28"/>
        </w:rPr>
        <w:t>月</w:t>
      </w:r>
      <w:r>
        <w:rPr>
          <w:sz w:val="28"/>
          <w:u w:val="single"/>
        </w:rPr>
        <w:t xml:space="preserve">   </w:t>
      </w:r>
      <w:r>
        <w:rPr>
          <w:sz w:val="28"/>
        </w:rPr>
        <w:t>日</w:t>
      </w:r>
    </w:p>
    <w:p w14:paraId="4D63F659">
      <w:pPr>
        <w:ind w:firstLine="420" w:firstLineChars="200"/>
        <w:rPr>
          <w:b/>
          <w:sz w:val="44"/>
          <w:szCs w:val="44"/>
        </w:rPr>
      </w:pPr>
      <w:r>
        <w:rPr>
          <w:szCs w:val="21"/>
        </w:rPr>
        <w:br w:type="page"/>
      </w:r>
    </w:p>
    <w:p w14:paraId="6FD17086">
      <w:pPr>
        <w:spacing w:before="240" w:beforeLines="100" w:after="240" w:afterLines="100" w:line="360" w:lineRule="auto"/>
        <w:jc w:val="center"/>
        <w:rPr>
          <w:b/>
          <w:sz w:val="44"/>
          <w:szCs w:val="44"/>
        </w:rPr>
      </w:pPr>
      <w:r>
        <w:rPr>
          <w:b/>
          <w:sz w:val="44"/>
          <w:szCs w:val="44"/>
        </w:rPr>
        <w:t>工程质量终身责任承诺书</w:t>
      </w:r>
    </w:p>
    <w:p w14:paraId="7DB37BBE">
      <w:pPr>
        <w:spacing w:before="360" w:beforeLines="150" w:line="360" w:lineRule="auto"/>
        <w:ind w:firstLine="560" w:firstLineChars="200"/>
        <w:rPr>
          <w:sz w:val="28"/>
          <w:szCs w:val="28"/>
        </w:rPr>
      </w:pPr>
      <w:r>
        <w:rPr>
          <w:sz w:val="28"/>
          <w:szCs w:val="28"/>
        </w:rPr>
        <w:t>本人受</w:t>
      </w:r>
      <w:r>
        <w:rPr>
          <w:sz w:val="28"/>
          <w:szCs w:val="28"/>
          <w:u w:val="single"/>
        </w:rPr>
        <w:t xml:space="preserve">           </w:t>
      </w:r>
      <w:r>
        <w:rPr>
          <w:sz w:val="28"/>
          <w:szCs w:val="28"/>
        </w:rPr>
        <w:t>（法定代表人</w:t>
      </w:r>
      <w:r>
        <w:rPr>
          <w:sz w:val="28"/>
          <w:szCs w:val="28"/>
          <w:u w:val="single"/>
        </w:rPr>
        <w:t xml:space="preserve">    </w:t>
      </w:r>
      <w:r>
        <w:rPr>
          <w:sz w:val="28"/>
          <w:szCs w:val="28"/>
        </w:rPr>
        <w:t>）授权，担任</w:t>
      </w:r>
      <w:r>
        <w:rPr>
          <w:sz w:val="28"/>
          <w:szCs w:val="28"/>
          <w:u w:val="single"/>
        </w:rPr>
        <w:t xml:space="preserve">     </w:t>
      </w:r>
      <w:r>
        <w:rPr>
          <w:sz w:val="28"/>
          <w:szCs w:val="28"/>
        </w:rPr>
        <w:t>项目的监理项目负责人，对该工程项目的监理工作实施组织管理。本人承诺严格依据国家有关法律法规及标准规范履行职责，并对设计使用年限内的工程质量承担相应终身责任。</w:t>
      </w:r>
    </w:p>
    <w:p w14:paraId="6C86E1E2">
      <w:pPr>
        <w:spacing w:line="360" w:lineRule="auto"/>
        <w:ind w:firstLine="560" w:firstLineChars="200"/>
        <w:rPr>
          <w:sz w:val="28"/>
          <w:szCs w:val="28"/>
        </w:rPr>
      </w:pPr>
    </w:p>
    <w:p w14:paraId="16E0189F">
      <w:pPr>
        <w:spacing w:line="360" w:lineRule="auto"/>
        <w:ind w:firstLine="560" w:firstLineChars="200"/>
        <w:rPr>
          <w:sz w:val="28"/>
          <w:szCs w:val="28"/>
        </w:rPr>
      </w:pPr>
    </w:p>
    <w:p w14:paraId="3861973A">
      <w:pPr>
        <w:spacing w:line="360" w:lineRule="auto"/>
        <w:ind w:firstLine="560" w:firstLineChars="200"/>
        <w:rPr>
          <w:sz w:val="28"/>
          <w:szCs w:val="28"/>
          <w:u w:val="single"/>
        </w:rPr>
      </w:pPr>
      <w:r>
        <w:rPr>
          <w:sz w:val="28"/>
          <w:szCs w:val="28"/>
        </w:rPr>
        <w:t xml:space="preserve">               </w:t>
      </w:r>
      <w:r>
        <w:rPr>
          <w:spacing w:val="30"/>
          <w:sz w:val="28"/>
          <w:szCs w:val="28"/>
        </w:rPr>
        <w:t>承诺人签字</w:t>
      </w:r>
      <w:r>
        <w:rPr>
          <w:sz w:val="28"/>
          <w:szCs w:val="28"/>
        </w:rPr>
        <w:t>：</w:t>
      </w:r>
      <w:r>
        <w:rPr>
          <w:sz w:val="28"/>
          <w:szCs w:val="28"/>
          <w:u w:val="single"/>
        </w:rPr>
        <w:t xml:space="preserve">                  </w:t>
      </w:r>
    </w:p>
    <w:p w14:paraId="34224E7D">
      <w:pPr>
        <w:spacing w:line="360" w:lineRule="auto"/>
        <w:ind w:firstLine="560" w:firstLineChars="200"/>
        <w:rPr>
          <w:sz w:val="28"/>
          <w:szCs w:val="28"/>
          <w:u w:val="single"/>
        </w:rPr>
      </w:pPr>
      <w:r>
        <w:rPr>
          <w:sz w:val="28"/>
          <w:szCs w:val="28"/>
        </w:rPr>
        <w:t xml:space="preserve">                </w:t>
      </w:r>
      <w:r>
        <w:rPr>
          <w:spacing w:val="28"/>
          <w:sz w:val="28"/>
          <w:szCs w:val="28"/>
        </w:rPr>
        <w:t>身份证号</w:t>
      </w:r>
      <w:r>
        <w:rPr>
          <w:sz w:val="28"/>
          <w:szCs w:val="28"/>
        </w:rPr>
        <w:t>：</w:t>
      </w:r>
      <w:r>
        <w:rPr>
          <w:sz w:val="28"/>
          <w:szCs w:val="28"/>
          <w:u w:val="single"/>
        </w:rPr>
        <w:t xml:space="preserve">                    </w:t>
      </w:r>
    </w:p>
    <w:p w14:paraId="439575E1">
      <w:pPr>
        <w:spacing w:line="360" w:lineRule="auto"/>
        <w:ind w:firstLine="560" w:firstLineChars="200"/>
        <w:rPr>
          <w:sz w:val="28"/>
          <w:szCs w:val="28"/>
          <w:u w:val="single"/>
        </w:rPr>
      </w:pPr>
      <w:r>
        <w:rPr>
          <w:sz w:val="28"/>
          <w:szCs w:val="28"/>
        </w:rPr>
        <w:t xml:space="preserve">                注册执业资格：</w:t>
      </w:r>
      <w:r>
        <w:rPr>
          <w:sz w:val="28"/>
          <w:szCs w:val="28"/>
          <w:u w:val="single"/>
        </w:rPr>
        <w:t xml:space="preserve">                 </w:t>
      </w:r>
    </w:p>
    <w:p w14:paraId="5F83E721">
      <w:pPr>
        <w:spacing w:line="360" w:lineRule="auto"/>
        <w:ind w:firstLine="560" w:firstLineChars="200"/>
        <w:rPr>
          <w:sz w:val="28"/>
          <w:szCs w:val="28"/>
          <w:u w:val="single"/>
        </w:rPr>
      </w:pPr>
      <w:r>
        <w:rPr>
          <w:sz w:val="28"/>
          <w:szCs w:val="28"/>
        </w:rPr>
        <w:t xml:space="preserve">                注册执业证号：</w:t>
      </w:r>
      <w:r>
        <w:rPr>
          <w:sz w:val="28"/>
          <w:szCs w:val="28"/>
          <w:u w:val="single"/>
        </w:rPr>
        <w:t xml:space="preserve">                </w:t>
      </w:r>
    </w:p>
    <w:p w14:paraId="6D6CDF32">
      <w:pPr>
        <w:spacing w:line="360" w:lineRule="auto"/>
        <w:ind w:firstLine="560" w:firstLineChars="200"/>
        <w:jc w:val="left"/>
        <w:rPr>
          <w:bCs/>
          <w:snapToGrid w:val="0"/>
          <w:kern w:val="0"/>
          <w:sz w:val="24"/>
        </w:rPr>
      </w:pPr>
      <w:r>
        <w:rPr>
          <w:sz w:val="28"/>
          <w:szCs w:val="28"/>
        </w:rPr>
        <w:t xml:space="preserve">                </w:t>
      </w:r>
      <w:r>
        <w:rPr>
          <w:spacing w:val="28"/>
          <w:sz w:val="28"/>
          <w:szCs w:val="28"/>
        </w:rPr>
        <w:t>签字日期</w:t>
      </w:r>
      <w:r>
        <w:rPr>
          <w:sz w:val="28"/>
          <w:szCs w:val="28"/>
        </w:rPr>
        <w:t xml:space="preserve">： </w:t>
      </w:r>
      <w:r>
        <w:rPr>
          <w:sz w:val="28"/>
          <w:szCs w:val="28"/>
          <w:u w:val="single"/>
        </w:rPr>
        <w:t xml:space="preserve">     </w:t>
      </w:r>
      <w:r>
        <w:rPr>
          <w:sz w:val="28"/>
          <w:szCs w:val="28"/>
        </w:rPr>
        <w:t>年</w:t>
      </w:r>
      <w:r>
        <w:rPr>
          <w:sz w:val="28"/>
          <w:szCs w:val="28"/>
          <w:u w:val="single"/>
        </w:rPr>
        <w:t xml:space="preserve">    </w:t>
      </w:r>
      <w:r>
        <w:rPr>
          <w:sz w:val="28"/>
          <w:szCs w:val="28"/>
        </w:rPr>
        <w:t>月</w:t>
      </w:r>
      <w:r>
        <w:rPr>
          <w:sz w:val="28"/>
          <w:szCs w:val="28"/>
          <w:u w:val="single"/>
        </w:rPr>
        <w:t xml:space="preserve">    </w:t>
      </w:r>
      <w:r>
        <w:rPr>
          <w:sz w:val="28"/>
          <w:szCs w:val="28"/>
        </w:rPr>
        <w:t>日</w:t>
      </w:r>
    </w:p>
    <w:p w14:paraId="4021E4C3">
      <w:pPr>
        <w:spacing w:line="360" w:lineRule="auto"/>
        <w:jc w:val="left"/>
        <w:rPr>
          <w:bCs/>
          <w:snapToGrid w:val="0"/>
          <w:kern w:val="0"/>
          <w:szCs w:val="21"/>
        </w:rPr>
      </w:pPr>
    </w:p>
    <w:p w14:paraId="4653C9B4">
      <w:pPr>
        <w:spacing w:line="360" w:lineRule="auto"/>
        <w:ind w:firstLine="420"/>
        <w:jc w:val="left"/>
        <w:rPr>
          <w:bCs/>
          <w:snapToGrid w:val="0"/>
          <w:kern w:val="0"/>
          <w:szCs w:val="21"/>
        </w:rPr>
      </w:pPr>
    </w:p>
    <w:p w14:paraId="106B247C">
      <w:pPr>
        <w:spacing w:line="360" w:lineRule="auto"/>
        <w:ind w:firstLine="420"/>
        <w:jc w:val="left"/>
        <w:rPr>
          <w:bCs/>
          <w:snapToGrid w:val="0"/>
          <w:kern w:val="0"/>
          <w:szCs w:val="21"/>
        </w:rPr>
      </w:pPr>
    </w:p>
    <w:p w14:paraId="1F3FAAC2">
      <w:pPr>
        <w:spacing w:line="360" w:lineRule="auto"/>
        <w:ind w:firstLine="4230" w:firstLineChars="2350"/>
        <w:jc w:val="left"/>
        <w:rPr>
          <w:bCs/>
          <w:kern w:val="0"/>
          <w:sz w:val="18"/>
          <w:szCs w:val="18"/>
        </w:rPr>
      </w:pPr>
    </w:p>
    <w:p w14:paraId="303F0A74">
      <w:pPr>
        <w:adjustRightInd w:val="0"/>
        <w:snapToGrid w:val="0"/>
        <w:spacing w:line="360" w:lineRule="auto"/>
        <w:jc w:val="center"/>
        <w:rPr>
          <w:szCs w:val="21"/>
        </w:rPr>
      </w:pPr>
    </w:p>
    <w:p w14:paraId="2C6B137C">
      <w:pPr>
        <w:adjustRightInd w:val="0"/>
        <w:snapToGrid w:val="0"/>
        <w:spacing w:line="360" w:lineRule="auto"/>
        <w:jc w:val="left"/>
      </w:pPr>
    </w:p>
    <w:p w14:paraId="494DBE1E"/>
    <w:p w14:paraId="38982A6A">
      <w:pPr>
        <w:rPr>
          <w:rFonts w:ascii="宋体" w:hAnsi="宋体" w:cs="宋体"/>
          <w:szCs w:val="21"/>
        </w:rPr>
      </w:pPr>
    </w:p>
    <w:p w14:paraId="00EA4D91">
      <w:pPr>
        <w:spacing w:line="360" w:lineRule="auto"/>
        <w:jc w:val="left"/>
        <w:rPr>
          <w:bCs/>
          <w:snapToGrid w:val="0"/>
          <w:kern w:val="0"/>
          <w:szCs w:val="21"/>
        </w:rPr>
      </w:pPr>
    </w:p>
    <w:p w14:paraId="534AAD64">
      <w:pPr>
        <w:spacing w:line="360" w:lineRule="auto"/>
        <w:ind w:firstLine="420"/>
        <w:jc w:val="left"/>
        <w:rPr>
          <w:bCs/>
          <w:snapToGrid w:val="0"/>
          <w:kern w:val="0"/>
          <w:szCs w:val="21"/>
        </w:rPr>
      </w:pPr>
    </w:p>
    <w:p w14:paraId="7E808DF0">
      <w:pPr>
        <w:spacing w:line="360" w:lineRule="auto"/>
        <w:ind w:firstLine="420"/>
        <w:jc w:val="left"/>
        <w:rPr>
          <w:bCs/>
          <w:snapToGrid w:val="0"/>
          <w:kern w:val="0"/>
          <w:szCs w:val="21"/>
        </w:rPr>
      </w:pPr>
    </w:p>
    <w:p w14:paraId="1548330A">
      <w:pPr>
        <w:spacing w:line="360" w:lineRule="auto"/>
        <w:ind w:firstLine="4230" w:firstLineChars="2350"/>
        <w:jc w:val="left"/>
        <w:rPr>
          <w:bCs/>
          <w:kern w:val="0"/>
          <w:sz w:val="18"/>
          <w:szCs w:val="18"/>
        </w:rPr>
      </w:pPr>
    </w:p>
    <w:p w14:paraId="64A0C2F1">
      <w:pPr>
        <w:adjustRightInd w:val="0"/>
        <w:snapToGrid w:val="0"/>
        <w:spacing w:line="360" w:lineRule="auto"/>
        <w:jc w:val="center"/>
        <w:rPr>
          <w:szCs w:val="21"/>
        </w:rPr>
      </w:pPr>
    </w:p>
    <w:p w14:paraId="1ED58C50">
      <w:pPr>
        <w:adjustRightInd w:val="0"/>
        <w:snapToGrid w:val="0"/>
        <w:spacing w:line="360" w:lineRule="auto"/>
        <w:jc w:val="left"/>
      </w:pPr>
    </w:p>
    <w:p w14:paraId="56BCDC24"/>
    <w:p w14:paraId="7DF66CDD">
      <w:pPr>
        <w:pStyle w:val="3"/>
        <w:keepNext w:val="0"/>
        <w:keepLines w:val="0"/>
        <w:spacing w:after="0" w:line="360" w:lineRule="auto"/>
        <w:jc w:val="center"/>
        <w:rPr>
          <w:rFonts w:ascii="宋体" w:hAnsi="宋体" w:cs="宋体"/>
        </w:rPr>
      </w:pPr>
      <w:r>
        <w:rPr>
          <w:rFonts w:hint="eastAsia" w:ascii="宋体" w:hAnsi="宋体" w:cs="宋体"/>
        </w:rPr>
        <w:br w:type="page"/>
      </w:r>
      <w:bookmarkStart w:id="594" w:name="_Toc28123"/>
      <w:r>
        <w:rPr>
          <w:rFonts w:hint="eastAsia" w:ascii="宋体" w:hAnsi="宋体" w:cs="宋体"/>
        </w:rPr>
        <w:t>第二卷</w:t>
      </w:r>
      <w:bookmarkEnd w:id="594"/>
    </w:p>
    <w:p w14:paraId="71BB53F7">
      <w:pPr>
        <w:pStyle w:val="3"/>
        <w:keepNext w:val="0"/>
        <w:keepLines w:val="0"/>
        <w:spacing w:before="0" w:after="0" w:line="360" w:lineRule="auto"/>
        <w:jc w:val="center"/>
        <w:rPr>
          <w:sz w:val="36"/>
          <w:szCs w:val="16"/>
          <w:highlight w:val="yellow"/>
        </w:rPr>
      </w:pPr>
      <w:bookmarkStart w:id="595" w:name="_Toc5550"/>
      <w:r>
        <w:rPr>
          <w:rFonts w:hint="eastAsia"/>
          <w:sz w:val="36"/>
          <w:szCs w:val="16"/>
        </w:rPr>
        <w:t>第五章 委托人要求</w:t>
      </w:r>
    </w:p>
    <w:p w14:paraId="3A912A56">
      <w:pPr>
        <w:spacing w:line="360" w:lineRule="auto"/>
        <w:rPr>
          <w:rFonts w:ascii="宋体" w:hAnsi="宋体" w:cs="宋体"/>
          <w:sz w:val="24"/>
          <w:szCs w:val="24"/>
        </w:rPr>
      </w:pPr>
      <w:r>
        <w:rPr>
          <w:rFonts w:hint="eastAsia" w:ascii="宋体" w:hAnsi="宋体" w:cs="宋体"/>
          <w:sz w:val="24"/>
          <w:szCs w:val="24"/>
          <w:lang w:bidi="ar"/>
        </w:rPr>
        <w:t>委托人要求包括但不限于以下内容：</w:t>
      </w:r>
    </w:p>
    <w:p w14:paraId="6E11E59A">
      <w:pPr>
        <w:pStyle w:val="4"/>
        <w:spacing w:before="0" w:after="0" w:line="360" w:lineRule="auto"/>
        <w:rPr>
          <w:rFonts w:ascii="宋体" w:hAnsi="宋体" w:eastAsia="宋体" w:cs="宋体"/>
          <w:b w:val="0"/>
          <w:sz w:val="28"/>
          <w:szCs w:val="28"/>
        </w:rPr>
      </w:pPr>
      <w:r>
        <w:rPr>
          <w:rFonts w:hint="eastAsia" w:ascii="宋体" w:hAnsi="宋体" w:eastAsia="宋体" w:cs="宋体"/>
          <w:b w:val="0"/>
          <w:sz w:val="28"/>
          <w:szCs w:val="28"/>
        </w:rPr>
        <w:t>一、监理要求</w:t>
      </w:r>
    </w:p>
    <w:p w14:paraId="3FA24646">
      <w:pPr>
        <w:spacing w:line="360" w:lineRule="auto"/>
        <w:ind w:firstLine="480" w:firstLineChars="200"/>
        <w:rPr>
          <w:rFonts w:ascii="宋体" w:hAnsi="宋体" w:cs="宋体"/>
          <w:sz w:val="24"/>
          <w:szCs w:val="24"/>
        </w:rPr>
      </w:pPr>
      <w:r>
        <w:rPr>
          <w:rFonts w:hint="eastAsia" w:ascii="宋体" w:hAnsi="宋体" w:cs="宋体"/>
          <w:sz w:val="24"/>
          <w:szCs w:val="24"/>
          <w:lang w:bidi="ar"/>
        </w:rPr>
        <w:t>1. 项目概况：</w:t>
      </w:r>
      <w:r>
        <w:rPr>
          <w:rFonts w:hint="eastAsia" w:ascii="宋体" w:hAnsi="宋体" w:cs="宋体"/>
          <w:sz w:val="24"/>
          <w:szCs w:val="24"/>
          <w:u w:val="single"/>
          <w:lang w:bidi="ar"/>
        </w:rPr>
        <w:t>详见招标公告</w:t>
      </w:r>
    </w:p>
    <w:p w14:paraId="4F6EB2B0">
      <w:pPr>
        <w:spacing w:line="360" w:lineRule="auto"/>
        <w:ind w:firstLine="480" w:firstLineChars="200"/>
        <w:rPr>
          <w:rFonts w:ascii="宋体" w:hAnsi="宋体" w:cs="宋体"/>
          <w:sz w:val="24"/>
          <w:szCs w:val="24"/>
        </w:rPr>
      </w:pPr>
      <w:r>
        <w:rPr>
          <w:rFonts w:hint="eastAsia" w:ascii="宋体" w:hAnsi="宋体" w:cs="宋体"/>
          <w:sz w:val="24"/>
          <w:szCs w:val="24"/>
          <w:lang w:bidi="ar"/>
        </w:rPr>
        <w:t>2. 监理范围及内容：</w:t>
      </w:r>
      <w:r>
        <w:rPr>
          <w:rFonts w:hint="eastAsia" w:ascii="宋体" w:hAnsi="宋体" w:cs="宋体"/>
          <w:sz w:val="24"/>
          <w:szCs w:val="24"/>
          <w:u w:val="single"/>
          <w:lang w:bidi="ar"/>
        </w:rPr>
        <w:t>详见招标公告</w:t>
      </w:r>
    </w:p>
    <w:p w14:paraId="64C9D9CF">
      <w:pPr>
        <w:spacing w:line="360" w:lineRule="auto"/>
        <w:ind w:firstLine="480" w:firstLineChars="200"/>
        <w:rPr>
          <w:rFonts w:ascii="宋体" w:hAnsi="宋体" w:cs="宋体"/>
          <w:sz w:val="24"/>
          <w:szCs w:val="24"/>
        </w:rPr>
      </w:pPr>
      <w:r>
        <w:rPr>
          <w:rFonts w:hint="eastAsia" w:ascii="宋体" w:hAnsi="宋体" w:cs="宋体"/>
          <w:sz w:val="24"/>
          <w:szCs w:val="24"/>
          <w:lang w:bidi="ar"/>
        </w:rPr>
        <w:t>3.监理依据：</w:t>
      </w:r>
      <w:r>
        <w:rPr>
          <w:rFonts w:hint="eastAsia" w:ascii="宋体" w:hAnsi="宋体" w:cs="宋体"/>
          <w:sz w:val="24"/>
          <w:szCs w:val="24"/>
          <w:u w:val="single"/>
          <w:lang w:bidi="ar"/>
        </w:rPr>
        <w:t>满足本项目监理服务要求。</w:t>
      </w:r>
    </w:p>
    <w:p w14:paraId="2EB5CC2B">
      <w:pPr>
        <w:spacing w:line="360" w:lineRule="auto"/>
        <w:ind w:firstLine="480" w:firstLineChars="200"/>
        <w:rPr>
          <w:rFonts w:ascii="宋体" w:hAnsi="宋体" w:cs="宋体"/>
          <w:sz w:val="24"/>
          <w:szCs w:val="24"/>
        </w:rPr>
      </w:pPr>
      <w:r>
        <w:rPr>
          <w:rFonts w:hint="eastAsia" w:ascii="宋体" w:hAnsi="宋体" w:cs="宋体"/>
          <w:sz w:val="24"/>
          <w:szCs w:val="24"/>
          <w:lang w:bidi="ar"/>
        </w:rPr>
        <w:t>4.监理的技术要求：</w:t>
      </w:r>
      <w:r>
        <w:rPr>
          <w:rFonts w:hint="eastAsia" w:ascii="宋体" w:hAnsi="宋体" w:cs="宋体"/>
          <w:sz w:val="24"/>
          <w:szCs w:val="24"/>
          <w:u w:val="single"/>
          <w:lang w:bidi="ar"/>
        </w:rPr>
        <w:t>满足本项目监理服务要求。</w:t>
      </w:r>
    </w:p>
    <w:p w14:paraId="0F664BAA">
      <w:pPr>
        <w:spacing w:line="360" w:lineRule="auto"/>
        <w:ind w:firstLine="480" w:firstLineChars="200"/>
        <w:rPr>
          <w:rFonts w:ascii="宋体" w:hAnsi="宋体" w:cs="宋体"/>
          <w:sz w:val="24"/>
          <w:szCs w:val="24"/>
        </w:rPr>
      </w:pPr>
      <w:r>
        <w:rPr>
          <w:rFonts w:hint="eastAsia" w:ascii="宋体" w:hAnsi="宋体" w:cs="宋体"/>
          <w:sz w:val="24"/>
          <w:szCs w:val="24"/>
          <w:lang w:bidi="ar"/>
        </w:rPr>
        <w:t>5.监理人员和试验检测仪器设备：</w:t>
      </w:r>
      <w:r>
        <w:rPr>
          <w:rFonts w:hint="eastAsia" w:ascii="宋体" w:hAnsi="宋体" w:cs="宋体"/>
          <w:sz w:val="24"/>
          <w:szCs w:val="24"/>
          <w:u w:val="single"/>
          <w:lang w:bidi="ar"/>
        </w:rPr>
        <w:t>详见本项目招标文件和招标公告。</w:t>
      </w:r>
    </w:p>
    <w:p w14:paraId="62717B84">
      <w:pPr>
        <w:spacing w:line="360" w:lineRule="auto"/>
        <w:ind w:firstLine="480" w:firstLineChars="200"/>
        <w:rPr>
          <w:rFonts w:ascii="宋体" w:hAnsi="宋体" w:cs="宋体"/>
          <w:sz w:val="24"/>
          <w:szCs w:val="24"/>
        </w:rPr>
      </w:pPr>
      <w:r>
        <w:rPr>
          <w:rFonts w:hint="eastAsia" w:ascii="宋体" w:hAnsi="宋体" w:cs="宋体"/>
          <w:sz w:val="24"/>
          <w:szCs w:val="24"/>
          <w:lang w:bidi="ar"/>
        </w:rPr>
        <w:t>6.监理文件要求：</w:t>
      </w:r>
      <w:r>
        <w:rPr>
          <w:rFonts w:hint="eastAsia" w:ascii="宋体" w:hAnsi="宋体" w:cs="宋体"/>
          <w:sz w:val="24"/>
          <w:szCs w:val="24"/>
          <w:u w:val="single"/>
          <w:lang w:bidi="ar"/>
        </w:rPr>
        <w:t>详见本项目招标文件和招标公告。</w:t>
      </w:r>
    </w:p>
    <w:p w14:paraId="369C7116">
      <w:pPr>
        <w:spacing w:line="360" w:lineRule="auto"/>
        <w:ind w:firstLine="480" w:firstLineChars="200"/>
        <w:rPr>
          <w:rFonts w:ascii="宋体" w:hAnsi="宋体" w:cs="宋体"/>
          <w:sz w:val="24"/>
          <w:szCs w:val="24"/>
        </w:rPr>
      </w:pPr>
      <w:r>
        <w:rPr>
          <w:rFonts w:hint="eastAsia" w:ascii="宋体" w:hAnsi="宋体" w:cs="宋体"/>
          <w:sz w:val="24"/>
          <w:szCs w:val="24"/>
          <w:lang w:bidi="ar"/>
        </w:rPr>
        <w:t>7.监理工作目标要求：</w:t>
      </w:r>
    </w:p>
    <w:p w14:paraId="2AAB35AE">
      <w:pPr>
        <w:adjustRightInd w:val="0"/>
        <w:snapToGrid w:val="0"/>
        <w:spacing w:line="360" w:lineRule="auto"/>
        <w:outlineLvl w:val="2"/>
        <w:rPr>
          <w:rFonts w:ascii="Times New Roman" w:hAnsi="Times New Roman"/>
          <w:b/>
          <w:bCs/>
          <w:sz w:val="24"/>
        </w:rPr>
      </w:pPr>
      <w:r>
        <w:rPr>
          <w:rFonts w:hint="eastAsia" w:ascii="Times New Roman" w:hAnsi="Times New Roman"/>
          <w:b/>
          <w:bCs/>
          <w:sz w:val="24"/>
        </w:rPr>
        <w:t>（一）总则</w:t>
      </w:r>
    </w:p>
    <w:p w14:paraId="05372224">
      <w:pPr>
        <w:topLinePunct/>
        <w:adjustRightInd w:val="0"/>
        <w:snapToGrid w:val="0"/>
        <w:spacing w:line="480" w:lineRule="exact"/>
        <w:ind w:firstLine="496" w:firstLineChars="200"/>
        <w:rPr>
          <w:rFonts w:ascii="Times New Roman" w:hAnsi="Times New Roman"/>
          <w:snapToGrid w:val="0"/>
          <w:spacing w:val="4"/>
          <w:kern w:val="0"/>
          <w:sz w:val="24"/>
        </w:rPr>
      </w:pPr>
      <w:r>
        <w:rPr>
          <w:rFonts w:ascii="Times New Roman" w:hAnsi="Times New Roman"/>
          <w:snapToGrid w:val="0"/>
          <w:spacing w:val="4"/>
          <w:kern w:val="0"/>
          <w:sz w:val="24"/>
        </w:rPr>
        <w:t>1．根据监理规范和建设项目管理实际，本项目将实行社会化、专业化、系统化的管理模式。委托人将授权监理人，依据有关法律、法规、政策及标准，充分行使其严格控制工程进度、质量、安全和投资的权力，充分行使工程合同、工程信息管理和协调处理现场有关工程问题的权力。</w:t>
      </w:r>
    </w:p>
    <w:p w14:paraId="2F256EF5">
      <w:pPr>
        <w:topLinePunct/>
        <w:adjustRightInd w:val="0"/>
        <w:snapToGrid w:val="0"/>
        <w:spacing w:line="480" w:lineRule="exact"/>
        <w:ind w:firstLine="496" w:firstLineChars="200"/>
        <w:rPr>
          <w:snapToGrid w:val="0"/>
          <w:spacing w:val="4"/>
          <w:kern w:val="0"/>
          <w:sz w:val="24"/>
        </w:rPr>
      </w:pPr>
      <w:r>
        <w:rPr>
          <w:snapToGrid w:val="0"/>
          <w:spacing w:val="4"/>
          <w:kern w:val="0"/>
          <w:sz w:val="24"/>
        </w:rPr>
        <w:t>2．委托人通过监理人下达指令，监督承包人履约行为，承包人所有请求事项由监理人协调并在一般情况下均通过监理人接受或提出处理意见（委托人有特别要求和规定的除外）。</w:t>
      </w:r>
    </w:p>
    <w:p w14:paraId="4A1E8977">
      <w:pPr>
        <w:topLinePunct/>
        <w:adjustRightInd w:val="0"/>
        <w:snapToGrid w:val="0"/>
        <w:spacing w:line="480" w:lineRule="exact"/>
        <w:ind w:firstLine="420" w:firstLineChars="200"/>
        <w:rPr>
          <w:snapToGrid w:val="0"/>
          <w:spacing w:val="4"/>
          <w:kern w:val="0"/>
          <w:sz w:val="24"/>
        </w:rPr>
      </w:pPr>
      <w:r>
        <w:rPr>
          <w:rFonts w:hint="eastAsia" w:ascii="宋体" w:hAnsi="宋体" w:cs="宋体"/>
          <w:szCs w:val="21"/>
        </w:rPr>
        <w:t>▲</w:t>
      </w:r>
      <w:r>
        <w:rPr>
          <w:snapToGrid w:val="0"/>
          <w:spacing w:val="4"/>
          <w:kern w:val="0"/>
          <w:sz w:val="24"/>
        </w:rPr>
        <w:t>3．</w:t>
      </w:r>
      <w:r>
        <w:rPr>
          <w:rFonts w:hint="eastAsia"/>
          <w:snapToGrid w:val="0"/>
          <w:spacing w:val="4"/>
          <w:kern w:val="0"/>
          <w:sz w:val="24"/>
        </w:rPr>
        <w:t>本项目包含9个子工程，存在多个子工程同时开展，部分工程需夜间连续作业实施，且需在春节、五一、国庆等假期时间不间断施工，项目时间管理与监理服务协调面临极高要求。监理人必须承诺投入充足且具备相应资质的专业监理人员，制定并执行专项监理排班计划与应急预案，确保在任何施工时段（包括节假日及夜间连续作业期间）均能提供及时、有效、不间断的全过程现场监理服务，满足高强度、多节点并行的项目管理需求。</w:t>
      </w:r>
    </w:p>
    <w:p w14:paraId="108C799E">
      <w:pPr>
        <w:topLinePunct/>
        <w:adjustRightInd w:val="0"/>
        <w:snapToGrid w:val="0"/>
        <w:spacing w:line="480" w:lineRule="exact"/>
        <w:ind w:firstLine="420" w:firstLineChars="200"/>
        <w:rPr>
          <w:snapToGrid w:val="0"/>
          <w:spacing w:val="4"/>
          <w:kern w:val="0"/>
          <w:sz w:val="24"/>
        </w:rPr>
      </w:pPr>
      <w:r>
        <w:rPr>
          <w:rFonts w:hint="eastAsia" w:ascii="宋体" w:hAnsi="宋体" w:cs="宋体"/>
          <w:szCs w:val="21"/>
        </w:rPr>
        <w:t>▲</w:t>
      </w:r>
      <w:r>
        <w:rPr>
          <w:rFonts w:hint="eastAsia"/>
          <w:snapToGrid w:val="0"/>
          <w:spacing w:val="4"/>
          <w:kern w:val="0"/>
          <w:sz w:val="24"/>
        </w:rPr>
        <w:t>4. 监理人员配置要求</w:t>
      </w:r>
    </w:p>
    <w:tbl>
      <w:tblPr>
        <w:tblStyle w:val="21"/>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84"/>
        <w:gridCol w:w="901"/>
        <w:gridCol w:w="1398"/>
        <w:gridCol w:w="648"/>
        <w:gridCol w:w="3216"/>
        <w:gridCol w:w="2605"/>
      </w:tblGrid>
      <w:tr w14:paraId="31701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84" w:type="dxa"/>
            <w:vAlign w:val="center"/>
          </w:tcPr>
          <w:p w14:paraId="78225EA3">
            <w:pPr>
              <w:adjustRightInd w:val="0"/>
              <w:snapToGrid w:val="0"/>
              <w:jc w:val="center"/>
              <w:rPr>
                <w:b/>
                <w:kern w:val="44"/>
                <w:szCs w:val="21"/>
              </w:rPr>
            </w:pPr>
            <w:r>
              <w:rPr>
                <w:b/>
                <w:kern w:val="44"/>
                <w:szCs w:val="21"/>
              </w:rPr>
              <w:t>序号</w:t>
            </w:r>
          </w:p>
        </w:tc>
        <w:tc>
          <w:tcPr>
            <w:tcW w:w="2299" w:type="dxa"/>
            <w:gridSpan w:val="2"/>
            <w:vAlign w:val="center"/>
          </w:tcPr>
          <w:p w14:paraId="599594EA">
            <w:pPr>
              <w:adjustRightInd w:val="0"/>
              <w:snapToGrid w:val="0"/>
              <w:jc w:val="center"/>
              <w:rPr>
                <w:kern w:val="44"/>
                <w:szCs w:val="21"/>
              </w:rPr>
            </w:pPr>
            <w:r>
              <w:rPr>
                <w:b/>
                <w:kern w:val="44"/>
                <w:szCs w:val="21"/>
              </w:rPr>
              <w:t>专业类别</w:t>
            </w:r>
          </w:p>
        </w:tc>
        <w:tc>
          <w:tcPr>
            <w:tcW w:w="648" w:type="dxa"/>
            <w:vAlign w:val="center"/>
          </w:tcPr>
          <w:p w14:paraId="5A7EBF08">
            <w:pPr>
              <w:adjustRightInd w:val="0"/>
              <w:snapToGrid w:val="0"/>
              <w:jc w:val="center"/>
              <w:rPr>
                <w:kern w:val="44"/>
                <w:szCs w:val="21"/>
              </w:rPr>
            </w:pPr>
            <w:r>
              <w:rPr>
                <w:b/>
                <w:kern w:val="44"/>
                <w:szCs w:val="21"/>
              </w:rPr>
              <w:t>数量</w:t>
            </w:r>
          </w:p>
        </w:tc>
        <w:tc>
          <w:tcPr>
            <w:tcW w:w="3216" w:type="dxa"/>
            <w:vAlign w:val="center"/>
          </w:tcPr>
          <w:p w14:paraId="4B737092">
            <w:pPr>
              <w:adjustRightInd w:val="0"/>
              <w:snapToGrid w:val="0"/>
              <w:jc w:val="center"/>
              <w:rPr>
                <w:kern w:val="44"/>
                <w:szCs w:val="21"/>
              </w:rPr>
            </w:pPr>
            <w:r>
              <w:rPr>
                <w:b/>
                <w:kern w:val="44"/>
                <w:szCs w:val="21"/>
              </w:rPr>
              <w:t>基本要求</w:t>
            </w:r>
          </w:p>
        </w:tc>
        <w:tc>
          <w:tcPr>
            <w:tcW w:w="2605" w:type="dxa"/>
            <w:vAlign w:val="center"/>
          </w:tcPr>
          <w:p w14:paraId="26B262A3">
            <w:pPr>
              <w:adjustRightInd w:val="0"/>
              <w:snapToGrid w:val="0"/>
              <w:jc w:val="center"/>
              <w:rPr>
                <w:b/>
                <w:kern w:val="44"/>
                <w:szCs w:val="21"/>
              </w:rPr>
            </w:pPr>
            <w:r>
              <w:rPr>
                <w:b/>
                <w:kern w:val="44"/>
                <w:szCs w:val="21"/>
              </w:rPr>
              <w:t>备注</w:t>
            </w:r>
          </w:p>
          <w:p w14:paraId="247ED9A3">
            <w:pPr>
              <w:adjustRightInd w:val="0"/>
              <w:snapToGrid w:val="0"/>
              <w:jc w:val="center"/>
              <w:rPr>
                <w:b/>
                <w:kern w:val="44"/>
                <w:szCs w:val="21"/>
              </w:rPr>
            </w:pPr>
            <w:r>
              <w:rPr>
                <w:b/>
                <w:kern w:val="44"/>
                <w:szCs w:val="21"/>
              </w:rPr>
              <w:t>（应提供如下证明材料等）</w:t>
            </w:r>
          </w:p>
        </w:tc>
      </w:tr>
      <w:tr w14:paraId="3DBC1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33D1A3B1">
            <w:pPr>
              <w:widowControl/>
              <w:adjustRightInd w:val="0"/>
              <w:snapToGrid w:val="0"/>
              <w:ind w:left="-361" w:leftChars="-172" w:firstLine="420" w:firstLineChars="200"/>
              <w:jc w:val="center"/>
              <w:rPr>
                <w:kern w:val="0"/>
                <w:szCs w:val="21"/>
              </w:rPr>
            </w:pPr>
            <w:r>
              <w:rPr>
                <w:rFonts w:hint="eastAsia"/>
                <w:kern w:val="0"/>
                <w:szCs w:val="21"/>
              </w:rPr>
              <w:t>1</w:t>
            </w:r>
          </w:p>
        </w:tc>
        <w:tc>
          <w:tcPr>
            <w:tcW w:w="2299" w:type="dxa"/>
            <w:gridSpan w:val="2"/>
            <w:vAlign w:val="center"/>
          </w:tcPr>
          <w:p w14:paraId="0C818CCE">
            <w:pPr>
              <w:adjustRightInd w:val="0"/>
              <w:snapToGrid w:val="0"/>
              <w:spacing w:line="300" w:lineRule="exact"/>
              <w:jc w:val="center"/>
              <w:rPr>
                <w:szCs w:val="21"/>
              </w:rPr>
            </w:pPr>
            <w:r>
              <w:rPr>
                <w:szCs w:val="21"/>
              </w:rPr>
              <w:t>总监理工程师</w:t>
            </w:r>
          </w:p>
        </w:tc>
        <w:tc>
          <w:tcPr>
            <w:tcW w:w="648" w:type="dxa"/>
            <w:vAlign w:val="center"/>
          </w:tcPr>
          <w:p w14:paraId="61036398">
            <w:pPr>
              <w:adjustRightInd w:val="0"/>
              <w:snapToGrid w:val="0"/>
              <w:spacing w:line="300" w:lineRule="exact"/>
              <w:jc w:val="center"/>
              <w:rPr>
                <w:szCs w:val="21"/>
              </w:rPr>
            </w:pPr>
            <w:r>
              <w:rPr>
                <w:szCs w:val="21"/>
              </w:rPr>
              <w:t>1</w:t>
            </w:r>
          </w:p>
        </w:tc>
        <w:tc>
          <w:tcPr>
            <w:tcW w:w="3216" w:type="dxa"/>
            <w:vAlign w:val="center"/>
          </w:tcPr>
          <w:p w14:paraId="5A10B73A">
            <w:pPr>
              <w:adjustRightInd w:val="0"/>
              <w:snapToGrid w:val="0"/>
              <w:spacing w:line="300" w:lineRule="exact"/>
              <w:rPr>
                <w:szCs w:val="21"/>
              </w:rPr>
            </w:pPr>
            <w:r>
              <w:rPr>
                <w:rFonts w:hint="eastAsia"/>
                <w:szCs w:val="21"/>
              </w:rPr>
              <w:t>详见本招标文件第3部分3. 投标人资格要求中的第3.3</w:t>
            </w:r>
          </w:p>
        </w:tc>
        <w:tc>
          <w:tcPr>
            <w:tcW w:w="2605" w:type="dxa"/>
            <w:vAlign w:val="center"/>
          </w:tcPr>
          <w:p w14:paraId="4E521352">
            <w:pPr>
              <w:adjustRightInd w:val="0"/>
              <w:snapToGrid w:val="0"/>
              <w:spacing w:line="300" w:lineRule="exact"/>
              <w:rPr>
                <w:szCs w:val="21"/>
              </w:rPr>
            </w:pPr>
            <w:r>
              <w:rPr>
                <w:szCs w:val="21"/>
              </w:rPr>
              <w:t>职称证</w:t>
            </w:r>
            <w:r>
              <w:rPr>
                <w:rFonts w:hint="eastAsia"/>
                <w:szCs w:val="21"/>
              </w:rPr>
              <w:t>书</w:t>
            </w:r>
            <w:r>
              <w:rPr>
                <w:szCs w:val="21"/>
              </w:rPr>
              <w:t>、</w:t>
            </w:r>
            <w:r>
              <w:rPr>
                <w:rFonts w:hint="eastAsia"/>
                <w:szCs w:val="21"/>
              </w:rPr>
              <w:t>注册监理工程师注册证书</w:t>
            </w:r>
          </w:p>
        </w:tc>
      </w:tr>
      <w:tr w14:paraId="5B3FC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73AB403E">
            <w:pPr>
              <w:widowControl/>
              <w:adjustRightInd w:val="0"/>
              <w:snapToGrid w:val="0"/>
              <w:ind w:left="-361" w:leftChars="-172" w:firstLine="420" w:firstLineChars="200"/>
              <w:jc w:val="center"/>
              <w:rPr>
                <w:kern w:val="0"/>
                <w:szCs w:val="21"/>
              </w:rPr>
            </w:pPr>
            <w:r>
              <w:rPr>
                <w:rFonts w:hint="eastAsia"/>
                <w:kern w:val="0"/>
                <w:szCs w:val="21"/>
              </w:rPr>
              <w:t>2</w:t>
            </w:r>
          </w:p>
        </w:tc>
        <w:tc>
          <w:tcPr>
            <w:tcW w:w="2299" w:type="dxa"/>
            <w:gridSpan w:val="2"/>
            <w:vAlign w:val="center"/>
          </w:tcPr>
          <w:p w14:paraId="0BCC7573">
            <w:pPr>
              <w:adjustRightInd w:val="0"/>
              <w:snapToGrid w:val="0"/>
              <w:spacing w:line="300" w:lineRule="exact"/>
              <w:jc w:val="center"/>
              <w:rPr>
                <w:szCs w:val="21"/>
              </w:rPr>
            </w:pPr>
            <w:r>
              <w:rPr>
                <w:szCs w:val="21"/>
              </w:rPr>
              <w:t>总监代表</w:t>
            </w:r>
          </w:p>
        </w:tc>
        <w:tc>
          <w:tcPr>
            <w:tcW w:w="648" w:type="dxa"/>
            <w:vAlign w:val="center"/>
          </w:tcPr>
          <w:p w14:paraId="3DC2780C">
            <w:pPr>
              <w:adjustRightInd w:val="0"/>
              <w:snapToGrid w:val="0"/>
              <w:spacing w:line="300" w:lineRule="exact"/>
              <w:jc w:val="center"/>
              <w:rPr>
                <w:szCs w:val="21"/>
              </w:rPr>
            </w:pPr>
            <w:r>
              <w:rPr>
                <w:szCs w:val="21"/>
              </w:rPr>
              <w:t>1</w:t>
            </w:r>
          </w:p>
        </w:tc>
        <w:tc>
          <w:tcPr>
            <w:tcW w:w="3216" w:type="dxa"/>
            <w:vAlign w:val="center"/>
          </w:tcPr>
          <w:p w14:paraId="688431D5">
            <w:pPr>
              <w:adjustRightInd w:val="0"/>
              <w:snapToGrid w:val="0"/>
              <w:spacing w:line="300" w:lineRule="exact"/>
              <w:rPr>
                <w:rFonts w:ascii="宋体" w:hAnsi="宋体" w:cs="宋体"/>
                <w:szCs w:val="21"/>
              </w:rPr>
            </w:pPr>
            <w:r>
              <w:rPr>
                <w:rFonts w:hint="eastAsia" w:ascii="宋体" w:hAnsi="宋体" w:cs="宋体"/>
                <w:szCs w:val="21"/>
              </w:rPr>
              <w:t>具有建筑工程类中级工程师或以上技术职称；具有建设部2006年4月1日后颁发的中华人民共和国注册监理工程师注册执业证书，注册执业单位为本公司。</w:t>
            </w:r>
          </w:p>
        </w:tc>
        <w:tc>
          <w:tcPr>
            <w:tcW w:w="2605" w:type="dxa"/>
            <w:vAlign w:val="center"/>
          </w:tcPr>
          <w:p w14:paraId="3278B18A">
            <w:pPr>
              <w:adjustRightInd w:val="0"/>
              <w:snapToGrid w:val="0"/>
              <w:spacing w:line="300" w:lineRule="exact"/>
              <w:rPr>
                <w:rFonts w:ascii="宋体" w:hAnsi="宋体" w:cs="宋体"/>
                <w:szCs w:val="21"/>
              </w:rPr>
            </w:pPr>
            <w:r>
              <w:rPr>
                <w:rFonts w:hint="eastAsia" w:ascii="宋体" w:hAnsi="宋体" w:cs="宋体"/>
                <w:szCs w:val="21"/>
              </w:rPr>
              <w:t>职称证书、注册监理工程师注册证书</w:t>
            </w:r>
          </w:p>
        </w:tc>
      </w:tr>
      <w:tr w14:paraId="568B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39339924">
            <w:pPr>
              <w:widowControl/>
              <w:adjustRightInd w:val="0"/>
              <w:snapToGrid w:val="0"/>
              <w:ind w:left="-361" w:leftChars="-172" w:firstLine="420" w:firstLineChars="200"/>
              <w:jc w:val="center"/>
              <w:rPr>
                <w:kern w:val="0"/>
                <w:szCs w:val="21"/>
              </w:rPr>
            </w:pPr>
            <w:r>
              <w:rPr>
                <w:rFonts w:hint="eastAsia"/>
                <w:kern w:val="0"/>
                <w:szCs w:val="21"/>
              </w:rPr>
              <w:t>3</w:t>
            </w:r>
          </w:p>
        </w:tc>
        <w:tc>
          <w:tcPr>
            <w:tcW w:w="2299" w:type="dxa"/>
            <w:gridSpan w:val="2"/>
            <w:vAlign w:val="center"/>
          </w:tcPr>
          <w:p w14:paraId="0B86CB74">
            <w:pPr>
              <w:adjustRightInd w:val="0"/>
              <w:snapToGrid w:val="0"/>
              <w:spacing w:line="300" w:lineRule="exact"/>
              <w:jc w:val="center"/>
              <w:rPr>
                <w:szCs w:val="21"/>
              </w:rPr>
            </w:pPr>
            <w:r>
              <w:rPr>
                <w:szCs w:val="21"/>
              </w:rPr>
              <w:t>BIM专业工程师</w:t>
            </w:r>
          </w:p>
        </w:tc>
        <w:tc>
          <w:tcPr>
            <w:tcW w:w="648" w:type="dxa"/>
            <w:vAlign w:val="center"/>
          </w:tcPr>
          <w:p w14:paraId="4D37DEA8">
            <w:pPr>
              <w:adjustRightInd w:val="0"/>
              <w:snapToGrid w:val="0"/>
              <w:spacing w:line="300" w:lineRule="exact"/>
              <w:jc w:val="center"/>
              <w:rPr>
                <w:szCs w:val="21"/>
              </w:rPr>
            </w:pPr>
            <w:r>
              <w:rPr>
                <w:szCs w:val="21"/>
              </w:rPr>
              <w:t>1</w:t>
            </w:r>
          </w:p>
        </w:tc>
        <w:tc>
          <w:tcPr>
            <w:tcW w:w="3216" w:type="dxa"/>
            <w:vAlign w:val="center"/>
          </w:tcPr>
          <w:p w14:paraId="7365B1BD">
            <w:pPr>
              <w:adjustRightInd w:val="0"/>
              <w:snapToGrid w:val="0"/>
              <w:spacing w:line="300" w:lineRule="exact"/>
              <w:rPr>
                <w:rFonts w:ascii="宋体" w:hAnsi="宋体" w:cs="宋体"/>
                <w:szCs w:val="21"/>
              </w:rPr>
            </w:pPr>
            <w:r>
              <w:rPr>
                <w:rFonts w:hint="eastAsia" w:ascii="宋体" w:hAnsi="宋体" w:cs="宋体"/>
                <w:szCs w:val="21"/>
              </w:rPr>
              <w:t>具有建筑工程类中级工程师或以上技术职称，具有BIM专业技能证书。</w:t>
            </w:r>
          </w:p>
        </w:tc>
        <w:tc>
          <w:tcPr>
            <w:tcW w:w="2605" w:type="dxa"/>
            <w:vAlign w:val="center"/>
          </w:tcPr>
          <w:p w14:paraId="1F609048">
            <w:pPr>
              <w:adjustRightInd w:val="0"/>
              <w:snapToGrid w:val="0"/>
              <w:spacing w:line="300" w:lineRule="exact"/>
              <w:rPr>
                <w:rFonts w:ascii="宋体" w:hAnsi="宋体" w:cs="宋体"/>
                <w:szCs w:val="21"/>
              </w:rPr>
            </w:pPr>
            <w:r>
              <w:rPr>
                <w:rFonts w:hint="eastAsia" w:ascii="宋体" w:hAnsi="宋体" w:cs="宋体"/>
                <w:szCs w:val="21"/>
              </w:rPr>
              <w:t>职称证书、专业技能证书</w:t>
            </w:r>
          </w:p>
        </w:tc>
      </w:tr>
      <w:tr w14:paraId="100A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4C681101">
            <w:pPr>
              <w:widowControl/>
              <w:adjustRightInd w:val="0"/>
              <w:snapToGrid w:val="0"/>
              <w:ind w:left="-361" w:leftChars="-172" w:firstLine="420" w:firstLineChars="200"/>
              <w:jc w:val="center"/>
              <w:rPr>
                <w:kern w:val="0"/>
                <w:szCs w:val="21"/>
              </w:rPr>
            </w:pPr>
            <w:r>
              <w:rPr>
                <w:rFonts w:hint="eastAsia"/>
                <w:kern w:val="0"/>
                <w:szCs w:val="21"/>
              </w:rPr>
              <w:t>4</w:t>
            </w:r>
          </w:p>
        </w:tc>
        <w:tc>
          <w:tcPr>
            <w:tcW w:w="2299" w:type="dxa"/>
            <w:gridSpan w:val="2"/>
            <w:vAlign w:val="center"/>
          </w:tcPr>
          <w:p w14:paraId="4F6142A2">
            <w:pPr>
              <w:adjustRightInd w:val="0"/>
              <w:snapToGrid w:val="0"/>
              <w:spacing w:line="300" w:lineRule="exact"/>
              <w:jc w:val="center"/>
              <w:rPr>
                <w:szCs w:val="21"/>
              </w:rPr>
            </w:pPr>
            <w:r>
              <w:rPr>
                <w:szCs w:val="21"/>
              </w:rPr>
              <w:t>造价工程师</w:t>
            </w:r>
          </w:p>
        </w:tc>
        <w:tc>
          <w:tcPr>
            <w:tcW w:w="648" w:type="dxa"/>
            <w:vAlign w:val="center"/>
          </w:tcPr>
          <w:p w14:paraId="61461093">
            <w:pPr>
              <w:widowControl/>
              <w:adjustRightInd w:val="0"/>
              <w:snapToGrid w:val="0"/>
              <w:spacing w:line="360" w:lineRule="auto"/>
              <w:ind w:firstLine="210" w:firstLineChars="100"/>
              <w:rPr>
                <w:szCs w:val="21"/>
              </w:rPr>
            </w:pPr>
            <w:r>
              <w:rPr>
                <w:szCs w:val="21"/>
              </w:rPr>
              <w:t>2</w:t>
            </w:r>
          </w:p>
        </w:tc>
        <w:tc>
          <w:tcPr>
            <w:tcW w:w="3216" w:type="dxa"/>
            <w:vAlign w:val="center"/>
          </w:tcPr>
          <w:p w14:paraId="57F6BB6E">
            <w:pPr>
              <w:adjustRightInd w:val="0"/>
              <w:snapToGrid w:val="0"/>
              <w:spacing w:line="300" w:lineRule="exact"/>
              <w:rPr>
                <w:rFonts w:ascii="宋体" w:hAnsi="宋体" w:cs="宋体"/>
                <w:szCs w:val="21"/>
              </w:rPr>
            </w:pPr>
            <w:r>
              <w:rPr>
                <w:rFonts w:hint="eastAsia" w:ascii="宋体" w:hAnsi="宋体" w:cs="宋体"/>
                <w:szCs w:val="21"/>
              </w:rPr>
              <w:t>具有一级注册造价工程师资格（土建、安装专业各一名）。</w:t>
            </w:r>
          </w:p>
        </w:tc>
        <w:tc>
          <w:tcPr>
            <w:tcW w:w="2605" w:type="dxa"/>
            <w:vAlign w:val="center"/>
          </w:tcPr>
          <w:p w14:paraId="2F81579C">
            <w:pPr>
              <w:adjustRightInd w:val="0"/>
              <w:snapToGrid w:val="0"/>
              <w:spacing w:line="300" w:lineRule="exact"/>
              <w:rPr>
                <w:rFonts w:ascii="宋体" w:hAnsi="宋体" w:cs="宋体"/>
                <w:szCs w:val="21"/>
              </w:rPr>
            </w:pPr>
            <w:r>
              <w:rPr>
                <w:rFonts w:hint="eastAsia" w:ascii="宋体" w:hAnsi="宋体" w:cs="宋体"/>
                <w:szCs w:val="21"/>
              </w:rPr>
              <w:t>注册造价工程师注册证书</w:t>
            </w:r>
          </w:p>
        </w:tc>
      </w:tr>
      <w:tr w14:paraId="610D1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91" w:hRule="atLeast"/>
          <w:jc w:val="center"/>
        </w:trPr>
        <w:tc>
          <w:tcPr>
            <w:tcW w:w="584" w:type="dxa"/>
            <w:vAlign w:val="center"/>
          </w:tcPr>
          <w:p w14:paraId="071BBD64">
            <w:pPr>
              <w:widowControl/>
              <w:adjustRightInd w:val="0"/>
              <w:snapToGrid w:val="0"/>
              <w:ind w:left="-361" w:leftChars="-172" w:firstLine="420" w:firstLineChars="200"/>
              <w:jc w:val="center"/>
              <w:rPr>
                <w:kern w:val="0"/>
                <w:szCs w:val="21"/>
              </w:rPr>
            </w:pPr>
            <w:r>
              <w:rPr>
                <w:rFonts w:hint="eastAsia"/>
                <w:kern w:val="0"/>
                <w:szCs w:val="21"/>
              </w:rPr>
              <w:t>5</w:t>
            </w:r>
          </w:p>
        </w:tc>
        <w:tc>
          <w:tcPr>
            <w:tcW w:w="901" w:type="dxa"/>
            <w:vMerge w:val="restart"/>
            <w:vAlign w:val="center"/>
          </w:tcPr>
          <w:p w14:paraId="4E3D5E7F">
            <w:pPr>
              <w:adjustRightInd w:val="0"/>
              <w:snapToGrid w:val="0"/>
              <w:spacing w:line="300" w:lineRule="exact"/>
              <w:jc w:val="center"/>
              <w:rPr>
                <w:szCs w:val="21"/>
              </w:rPr>
            </w:pPr>
            <w:r>
              <w:rPr>
                <w:rFonts w:hint="eastAsia"/>
                <w:szCs w:val="21"/>
              </w:rPr>
              <w:t>房屋建筑</w:t>
            </w:r>
            <w:r>
              <w:rPr>
                <w:rFonts w:hint="eastAsia"/>
                <w:snapToGrid w:val="0"/>
                <w:spacing w:val="4"/>
                <w:kern w:val="0"/>
                <w:szCs w:val="21"/>
              </w:rPr>
              <w:t>专业监理工程师</w:t>
            </w:r>
          </w:p>
        </w:tc>
        <w:tc>
          <w:tcPr>
            <w:tcW w:w="1398" w:type="dxa"/>
            <w:vAlign w:val="center"/>
          </w:tcPr>
          <w:p w14:paraId="235F1EAE">
            <w:pPr>
              <w:adjustRightInd w:val="0"/>
              <w:snapToGrid w:val="0"/>
              <w:spacing w:line="300" w:lineRule="exact"/>
              <w:jc w:val="center"/>
              <w:rPr>
                <w:szCs w:val="21"/>
              </w:rPr>
            </w:pPr>
            <w:r>
              <w:rPr>
                <w:szCs w:val="21"/>
              </w:rPr>
              <w:t>土建专业监理工程师</w:t>
            </w:r>
          </w:p>
        </w:tc>
        <w:tc>
          <w:tcPr>
            <w:tcW w:w="648" w:type="dxa"/>
            <w:vAlign w:val="center"/>
          </w:tcPr>
          <w:p w14:paraId="1328CC4F">
            <w:pPr>
              <w:adjustRightInd w:val="0"/>
              <w:snapToGrid w:val="0"/>
              <w:spacing w:line="300" w:lineRule="exact"/>
              <w:jc w:val="center"/>
              <w:rPr>
                <w:szCs w:val="21"/>
              </w:rPr>
            </w:pPr>
            <w:r>
              <w:rPr>
                <w:rFonts w:hint="eastAsia"/>
                <w:szCs w:val="21"/>
              </w:rPr>
              <w:t>1</w:t>
            </w:r>
          </w:p>
        </w:tc>
        <w:tc>
          <w:tcPr>
            <w:tcW w:w="3216" w:type="dxa"/>
            <w:vAlign w:val="center"/>
          </w:tcPr>
          <w:p w14:paraId="1F32B709">
            <w:pPr>
              <w:adjustRightInd w:val="0"/>
              <w:snapToGrid w:val="0"/>
              <w:spacing w:line="300" w:lineRule="exact"/>
              <w:rPr>
                <w:rFonts w:ascii="宋体" w:hAnsi="宋体" w:cs="宋体"/>
                <w:szCs w:val="21"/>
              </w:rPr>
            </w:pPr>
            <w:r>
              <w:rPr>
                <w:rFonts w:hint="eastAsia" w:ascii="宋体" w:hAnsi="宋体" w:cs="宋体"/>
                <w:szCs w:val="21"/>
              </w:rPr>
              <w:t>专业为房屋建筑工程类（或相关专业），具有专业监理工程师或</w:t>
            </w:r>
            <w:r>
              <w:rPr>
                <w:rFonts w:hint="eastAsia" w:ascii="宋体" w:hAnsi="宋体" w:cs="宋体"/>
                <w:szCs w:val="21"/>
                <w:lang w:bidi="ar"/>
              </w:rPr>
              <w:t>注册监理工程师注册执业证书</w:t>
            </w:r>
            <w:r>
              <w:rPr>
                <w:rFonts w:hint="eastAsia" w:ascii="宋体" w:hAnsi="宋体" w:cs="宋体"/>
                <w:szCs w:val="21"/>
              </w:rPr>
              <w:t>；并具有建筑工程类中级工程师或以上技术职称。</w:t>
            </w:r>
          </w:p>
        </w:tc>
        <w:tc>
          <w:tcPr>
            <w:tcW w:w="2605" w:type="dxa"/>
            <w:vMerge w:val="restart"/>
            <w:vAlign w:val="center"/>
          </w:tcPr>
          <w:p w14:paraId="77A4A0EB">
            <w:pPr>
              <w:rPr>
                <w:rFonts w:ascii="宋体" w:hAnsi="宋体" w:cs="宋体"/>
                <w:szCs w:val="21"/>
              </w:rPr>
            </w:pPr>
            <w:r>
              <w:rPr>
                <w:rFonts w:hint="eastAsia" w:ascii="宋体" w:hAnsi="宋体" w:cs="宋体"/>
                <w:kern w:val="0"/>
                <w:szCs w:val="21"/>
                <w:lang w:bidi="ar"/>
              </w:rPr>
              <w:t>1.</w:t>
            </w:r>
            <w:r>
              <w:rPr>
                <w:rFonts w:hint="eastAsia" w:ascii="宋体" w:hAnsi="宋体" w:cs="宋体"/>
                <w:szCs w:val="21"/>
              </w:rPr>
              <w:t>专业监理工程师证书或注册监理工程师注册证书。</w:t>
            </w:r>
            <w:r>
              <w:rPr>
                <w:rFonts w:hint="eastAsia" w:ascii="宋体" w:hAnsi="宋体" w:cs="宋体"/>
                <w:kern w:val="0"/>
                <w:szCs w:val="21"/>
                <w:lang w:bidi="ar"/>
              </w:rPr>
              <w:t>其中</w:t>
            </w:r>
            <w:r>
              <w:rPr>
                <w:rFonts w:cs="宋体"/>
                <w:kern w:val="0"/>
                <w:szCs w:val="21"/>
                <w:lang w:bidi="ar"/>
              </w:rPr>
              <w:t>1</w:t>
            </w:r>
            <w:r>
              <w:rPr>
                <w:rFonts w:hint="eastAsia" w:ascii="宋体" w:hAnsi="宋体" w:cs="宋体"/>
                <w:kern w:val="0"/>
                <w:szCs w:val="21"/>
                <w:lang w:bidi="ar"/>
              </w:rPr>
              <w:t>人需</w:t>
            </w:r>
            <w:r>
              <w:rPr>
                <w:rFonts w:hint="eastAsia" w:ascii="宋体" w:hAnsi="宋体" w:cs="宋体"/>
                <w:szCs w:val="21"/>
                <w:lang w:bidi="ar"/>
              </w:rPr>
              <w:t>具有建设部</w:t>
            </w:r>
            <w:r>
              <w:rPr>
                <w:rFonts w:cs="宋体"/>
                <w:szCs w:val="21"/>
                <w:lang w:bidi="ar"/>
              </w:rPr>
              <w:t>2006</w:t>
            </w:r>
            <w:r>
              <w:rPr>
                <w:rFonts w:hint="eastAsia" w:ascii="宋体" w:hAnsi="宋体" w:cs="宋体"/>
                <w:szCs w:val="21"/>
                <w:lang w:bidi="ar"/>
              </w:rPr>
              <w:t>年4月1日后颁发的中华人民共和国注册监理工程师注册执业证书，且其注册证书专业为房屋建筑工程，注册执业单位为本公司。</w:t>
            </w:r>
          </w:p>
          <w:p w14:paraId="01BE509C">
            <w:pPr>
              <w:adjustRightInd w:val="0"/>
              <w:snapToGrid w:val="0"/>
              <w:spacing w:line="300" w:lineRule="exact"/>
              <w:rPr>
                <w:rFonts w:ascii="宋体" w:hAnsi="宋体" w:cs="宋体"/>
                <w:szCs w:val="21"/>
              </w:rPr>
            </w:pPr>
            <w:r>
              <w:rPr>
                <w:rFonts w:hint="eastAsia" w:ascii="宋体" w:hAnsi="宋体" w:cs="宋体"/>
                <w:szCs w:val="21"/>
              </w:rPr>
              <w:t>2.毕业证书、职称证书。</w:t>
            </w:r>
          </w:p>
          <w:p w14:paraId="7D27203F">
            <w:pPr>
              <w:adjustRightInd w:val="0"/>
              <w:snapToGrid w:val="0"/>
              <w:spacing w:line="300" w:lineRule="exact"/>
            </w:pPr>
            <w:r>
              <w:rPr>
                <w:rFonts w:hint="eastAsia" w:ascii="宋体" w:hAnsi="宋体" w:cs="宋体"/>
                <w:szCs w:val="21"/>
              </w:rPr>
              <w:t>3.根据项目现场开展情况合理安排相关专业监理工程师到场。</w:t>
            </w:r>
          </w:p>
        </w:tc>
      </w:tr>
      <w:tr w14:paraId="7779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4F4C9179">
            <w:pPr>
              <w:widowControl/>
              <w:adjustRightInd w:val="0"/>
              <w:snapToGrid w:val="0"/>
              <w:ind w:left="-361" w:leftChars="-172" w:firstLine="420" w:firstLineChars="200"/>
              <w:jc w:val="center"/>
              <w:rPr>
                <w:kern w:val="0"/>
                <w:szCs w:val="21"/>
              </w:rPr>
            </w:pPr>
            <w:r>
              <w:rPr>
                <w:rFonts w:hint="eastAsia"/>
                <w:kern w:val="0"/>
                <w:szCs w:val="21"/>
              </w:rPr>
              <w:t>6</w:t>
            </w:r>
          </w:p>
        </w:tc>
        <w:tc>
          <w:tcPr>
            <w:tcW w:w="901" w:type="dxa"/>
            <w:vMerge w:val="continue"/>
            <w:vAlign w:val="center"/>
          </w:tcPr>
          <w:p w14:paraId="4775ADF7">
            <w:pPr>
              <w:adjustRightInd w:val="0"/>
              <w:snapToGrid w:val="0"/>
              <w:spacing w:line="300" w:lineRule="exact"/>
              <w:jc w:val="center"/>
              <w:rPr>
                <w:szCs w:val="21"/>
              </w:rPr>
            </w:pPr>
          </w:p>
        </w:tc>
        <w:tc>
          <w:tcPr>
            <w:tcW w:w="1398" w:type="dxa"/>
            <w:vAlign w:val="center"/>
          </w:tcPr>
          <w:p w14:paraId="089FC2DD">
            <w:pPr>
              <w:adjustRightInd w:val="0"/>
              <w:snapToGrid w:val="0"/>
              <w:spacing w:line="300" w:lineRule="exact"/>
              <w:jc w:val="center"/>
              <w:rPr>
                <w:szCs w:val="21"/>
              </w:rPr>
            </w:pPr>
            <w:r>
              <w:rPr>
                <w:szCs w:val="21"/>
              </w:rPr>
              <w:t>装饰装修</w:t>
            </w:r>
            <w:r>
              <w:rPr>
                <w:rFonts w:hint="eastAsia"/>
                <w:szCs w:val="21"/>
              </w:rPr>
              <w:t>专业</w:t>
            </w:r>
            <w:r>
              <w:rPr>
                <w:szCs w:val="21"/>
              </w:rPr>
              <w:t>监理工程师</w:t>
            </w:r>
          </w:p>
        </w:tc>
        <w:tc>
          <w:tcPr>
            <w:tcW w:w="648" w:type="dxa"/>
            <w:vAlign w:val="center"/>
          </w:tcPr>
          <w:p w14:paraId="74033B80">
            <w:pPr>
              <w:adjustRightInd w:val="0"/>
              <w:snapToGrid w:val="0"/>
              <w:spacing w:line="300" w:lineRule="exact"/>
              <w:jc w:val="center"/>
              <w:rPr>
                <w:szCs w:val="21"/>
              </w:rPr>
            </w:pPr>
            <w:r>
              <w:rPr>
                <w:rFonts w:hint="eastAsia"/>
                <w:szCs w:val="21"/>
              </w:rPr>
              <w:t>1</w:t>
            </w:r>
          </w:p>
        </w:tc>
        <w:tc>
          <w:tcPr>
            <w:tcW w:w="3216" w:type="dxa"/>
            <w:vAlign w:val="center"/>
          </w:tcPr>
          <w:p w14:paraId="3B0E8593">
            <w:pPr>
              <w:adjustRightInd w:val="0"/>
              <w:snapToGrid w:val="0"/>
              <w:spacing w:line="300" w:lineRule="exact"/>
              <w:rPr>
                <w:rFonts w:ascii="宋体" w:hAnsi="宋体" w:cs="宋体"/>
                <w:szCs w:val="21"/>
              </w:rPr>
            </w:pPr>
            <w:r>
              <w:rPr>
                <w:rFonts w:hint="eastAsia" w:ascii="宋体" w:hAnsi="宋体" w:cs="宋体"/>
                <w:szCs w:val="21"/>
              </w:rPr>
              <w:t>专业为房屋建筑工程类（或相关专业），具有专业监理工程师或</w:t>
            </w:r>
            <w:r>
              <w:rPr>
                <w:rFonts w:hint="eastAsia" w:ascii="宋体" w:hAnsi="宋体" w:cs="宋体"/>
                <w:szCs w:val="21"/>
                <w:lang w:bidi="ar"/>
              </w:rPr>
              <w:t>注册监理工程师注册执业证书</w:t>
            </w:r>
            <w:r>
              <w:rPr>
                <w:rFonts w:hint="eastAsia" w:ascii="宋体" w:hAnsi="宋体" w:cs="宋体"/>
                <w:szCs w:val="21"/>
              </w:rPr>
              <w:t>；并具有建筑工程类中级工程师或以上技术职称。</w:t>
            </w:r>
          </w:p>
        </w:tc>
        <w:tc>
          <w:tcPr>
            <w:tcW w:w="2605" w:type="dxa"/>
            <w:vMerge w:val="continue"/>
            <w:vAlign w:val="center"/>
          </w:tcPr>
          <w:p w14:paraId="37273DC8">
            <w:pPr>
              <w:adjustRightInd w:val="0"/>
              <w:snapToGrid w:val="0"/>
              <w:spacing w:line="300" w:lineRule="exact"/>
              <w:rPr>
                <w:rFonts w:ascii="宋体" w:hAnsi="宋体" w:cs="宋体"/>
                <w:szCs w:val="21"/>
              </w:rPr>
            </w:pPr>
          </w:p>
        </w:tc>
      </w:tr>
      <w:tr w14:paraId="2571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1C5078B8">
            <w:pPr>
              <w:widowControl/>
              <w:adjustRightInd w:val="0"/>
              <w:snapToGrid w:val="0"/>
              <w:ind w:left="-361" w:leftChars="-172" w:firstLine="420" w:firstLineChars="200"/>
              <w:jc w:val="center"/>
              <w:rPr>
                <w:kern w:val="0"/>
                <w:szCs w:val="21"/>
              </w:rPr>
            </w:pPr>
            <w:r>
              <w:rPr>
                <w:rFonts w:hint="eastAsia"/>
                <w:kern w:val="0"/>
                <w:szCs w:val="21"/>
              </w:rPr>
              <w:t>7</w:t>
            </w:r>
          </w:p>
        </w:tc>
        <w:tc>
          <w:tcPr>
            <w:tcW w:w="901" w:type="dxa"/>
            <w:vMerge w:val="restart"/>
            <w:vAlign w:val="center"/>
          </w:tcPr>
          <w:p w14:paraId="5633E61C">
            <w:pPr>
              <w:adjustRightInd w:val="0"/>
              <w:snapToGrid w:val="0"/>
              <w:spacing w:line="300" w:lineRule="exact"/>
              <w:jc w:val="center"/>
              <w:rPr>
                <w:szCs w:val="21"/>
              </w:rPr>
            </w:pPr>
            <w:r>
              <w:rPr>
                <w:rFonts w:hint="eastAsia"/>
                <w:snapToGrid w:val="0"/>
                <w:spacing w:val="4"/>
                <w:kern w:val="0"/>
                <w:szCs w:val="21"/>
              </w:rPr>
              <w:t>机电安装专业监理工程师</w:t>
            </w:r>
          </w:p>
        </w:tc>
        <w:tc>
          <w:tcPr>
            <w:tcW w:w="1398" w:type="dxa"/>
            <w:vAlign w:val="center"/>
          </w:tcPr>
          <w:p w14:paraId="200FB403">
            <w:pPr>
              <w:adjustRightInd w:val="0"/>
              <w:snapToGrid w:val="0"/>
              <w:spacing w:line="300" w:lineRule="exact"/>
              <w:jc w:val="center"/>
              <w:rPr>
                <w:szCs w:val="21"/>
              </w:rPr>
            </w:pPr>
            <w:r>
              <w:rPr>
                <w:szCs w:val="21"/>
              </w:rPr>
              <w:t>电气专业</w:t>
            </w:r>
            <w:r>
              <w:rPr>
                <w:rFonts w:hint="eastAsia"/>
                <w:szCs w:val="21"/>
              </w:rPr>
              <w:t>监理</w:t>
            </w:r>
            <w:r>
              <w:rPr>
                <w:szCs w:val="21"/>
              </w:rPr>
              <w:t>工程师</w:t>
            </w:r>
          </w:p>
        </w:tc>
        <w:tc>
          <w:tcPr>
            <w:tcW w:w="648" w:type="dxa"/>
            <w:vAlign w:val="center"/>
          </w:tcPr>
          <w:p w14:paraId="1579A9E3">
            <w:pPr>
              <w:adjustRightInd w:val="0"/>
              <w:snapToGrid w:val="0"/>
              <w:spacing w:line="300" w:lineRule="exact"/>
              <w:jc w:val="center"/>
              <w:rPr>
                <w:szCs w:val="21"/>
              </w:rPr>
            </w:pPr>
            <w:r>
              <w:rPr>
                <w:rFonts w:hint="eastAsia"/>
                <w:szCs w:val="21"/>
              </w:rPr>
              <w:t>1</w:t>
            </w:r>
          </w:p>
        </w:tc>
        <w:tc>
          <w:tcPr>
            <w:tcW w:w="3216" w:type="dxa"/>
            <w:vAlign w:val="center"/>
          </w:tcPr>
          <w:p w14:paraId="77773849">
            <w:pPr>
              <w:adjustRightInd w:val="0"/>
              <w:snapToGrid w:val="0"/>
              <w:spacing w:line="300" w:lineRule="exact"/>
              <w:rPr>
                <w:rFonts w:ascii="宋体" w:hAnsi="宋体" w:cs="宋体"/>
                <w:szCs w:val="21"/>
              </w:rPr>
            </w:pPr>
            <w:r>
              <w:rPr>
                <w:rFonts w:hint="eastAsia" w:ascii="宋体" w:hAnsi="宋体" w:cs="宋体"/>
                <w:szCs w:val="21"/>
              </w:rPr>
              <w:t>专业为电气工程（或相关专业），具有专业监理工程师或</w:t>
            </w:r>
            <w:r>
              <w:rPr>
                <w:rFonts w:hint="eastAsia" w:ascii="宋体" w:hAnsi="宋体" w:cs="宋体"/>
                <w:szCs w:val="21"/>
                <w:lang w:bidi="ar"/>
              </w:rPr>
              <w:t>注册监理工程师注册执业证书</w:t>
            </w:r>
            <w:r>
              <w:rPr>
                <w:rFonts w:hint="eastAsia" w:ascii="宋体" w:hAnsi="宋体" w:cs="宋体"/>
                <w:szCs w:val="21"/>
              </w:rPr>
              <w:t>；并具有建筑工程类中级工程师或以上技术职称。</w:t>
            </w:r>
          </w:p>
        </w:tc>
        <w:tc>
          <w:tcPr>
            <w:tcW w:w="2605" w:type="dxa"/>
            <w:vMerge w:val="restart"/>
            <w:vAlign w:val="center"/>
          </w:tcPr>
          <w:p w14:paraId="33B74C05">
            <w:pPr>
              <w:rPr>
                <w:rFonts w:ascii="宋体" w:hAnsi="宋体" w:cs="宋体"/>
                <w:szCs w:val="21"/>
              </w:rPr>
            </w:pPr>
            <w:r>
              <w:rPr>
                <w:rFonts w:hint="eastAsia" w:ascii="宋体" w:hAnsi="宋体" w:cs="宋体"/>
                <w:kern w:val="0"/>
                <w:szCs w:val="21"/>
                <w:lang w:bidi="ar"/>
              </w:rPr>
              <w:t>1.其中</w:t>
            </w:r>
            <w:r>
              <w:rPr>
                <w:rFonts w:cs="宋体"/>
                <w:kern w:val="0"/>
                <w:szCs w:val="21"/>
                <w:lang w:bidi="ar"/>
              </w:rPr>
              <w:t>1</w:t>
            </w:r>
            <w:r>
              <w:rPr>
                <w:rFonts w:hint="eastAsia" w:ascii="宋体" w:hAnsi="宋体" w:cs="宋体"/>
                <w:kern w:val="0"/>
                <w:szCs w:val="21"/>
                <w:lang w:bidi="ar"/>
              </w:rPr>
              <w:t>人需</w:t>
            </w:r>
            <w:r>
              <w:rPr>
                <w:rFonts w:hint="eastAsia" w:ascii="宋体" w:hAnsi="宋体" w:cs="宋体"/>
                <w:szCs w:val="21"/>
                <w:lang w:bidi="ar"/>
              </w:rPr>
              <w:t>具有建设部</w:t>
            </w:r>
            <w:r>
              <w:rPr>
                <w:rFonts w:cs="宋体"/>
                <w:szCs w:val="21"/>
                <w:lang w:bidi="ar"/>
              </w:rPr>
              <w:t>2006</w:t>
            </w:r>
            <w:r>
              <w:rPr>
                <w:rFonts w:hint="eastAsia" w:ascii="宋体" w:hAnsi="宋体" w:cs="宋体"/>
                <w:szCs w:val="21"/>
                <w:lang w:bidi="ar"/>
              </w:rPr>
              <w:t>年4月1日后颁发的中华人民共和国注册监理工程师注册执业证书，且其注册证书专业为机电安装专业，注册执业单位为本公司。</w:t>
            </w:r>
          </w:p>
          <w:p w14:paraId="19EC2D44">
            <w:pPr>
              <w:adjustRightInd w:val="0"/>
              <w:snapToGrid w:val="0"/>
              <w:spacing w:line="300" w:lineRule="exact"/>
              <w:rPr>
                <w:rFonts w:ascii="宋体" w:hAnsi="宋体" w:cs="宋体"/>
                <w:szCs w:val="21"/>
              </w:rPr>
            </w:pPr>
            <w:r>
              <w:rPr>
                <w:rFonts w:hint="eastAsia" w:ascii="宋体" w:hAnsi="宋体" w:cs="宋体"/>
                <w:szCs w:val="21"/>
              </w:rPr>
              <w:t>2.毕业证书、职称证书、专业监理工程师证书或注册监理工程师注册证书。</w:t>
            </w:r>
          </w:p>
          <w:p w14:paraId="14914E31">
            <w:pPr>
              <w:adjustRightInd w:val="0"/>
              <w:snapToGrid w:val="0"/>
              <w:spacing w:line="300" w:lineRule="exact"/>
            </w:pPr>
            <w:r>
              <w:rPr>
                <w:rFonts w:hint="eastAsia" w:ascii="宋体" w:hAnsi="宋体" w:cs="宋体"/>
                <w:szCs w:val="21"/>
              </w:rPr>
              <w:t>3.根据项目现场开展情况合理安排相关专业监理工程师到场。</w:t>
            </w:r>
          </w:p>
        </w:tc>
      </w:tr>
      <w:tr w14:paraId="5A5ED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09CA712D">
            <w:pPr>
              <w:widowControl/>
              <w:adjustRightInd w:val="0"/>
              <w:snapToGrid w:val="0"/>
              <w:ind w:left="-361" w:leftChars="-172" w:firstLine="420" w:firstLineChars="200"/>
              <w:jc w:val="center"/>
              <w:rPr>
                <w:kern w:val="0"/>
                <w:szCs w:val="21"/>
              </w:rPr>
            </w:pPr>
            <w:r>
              <w:rPr>
                <w:rFonts w:hint="eastAsia"/>
                <w:kern w:val="0"/>
                <w:szCs w:val="21"/>
              </w:rPr>
              <w:t>8</w:t>
            </w:r>
          </w:p>
        </w:tc>
        <w:tc>
          <w:tcPr>
            <w:tcW w:w="901" w:type="dxa"/>
            <w:vMerge w:val="continue"/>
            <w:vAlign w:val="center"/>
          </w:tcPr>
          <w:p w14:paraId="36647B87">
            <w:pPr>
              <w:adjustRightInd w:val="0"/>
              <w:snapToGrid w:val="0"/>
              <w:spacing w:line="300" w:lineRule="exact"/>
              <w:jc w:val="center"/>
              <w:rPr>
                <w:szCs w:val="21"/>
              </w:rPr>
            </w:pPr>
          </w:p>
        </w:tc>
        <w:tc>
          <w:tcPr>
            <w:tcW w:w="1398" w:type="dxa"/>
            <w:vAlign w:val="center"/>
          </w:tcPr>
          <w:p w14:paraId="47E3BC04">
            <w:pPr>
              <w:adjustRightInd w:val="0"/>
              <w:snapToGrid w:val="0"/>
              <w:spacing w:line="300" w:lineRule="exact"/>
              <w:jc w:val="center"/>
              <w:rPr>
                <w:szCs w:val="21"/>
              </w:rPr>
            </w:pPr>
            <w:r>
              <w:rPr>
                <w:szCs w:val="21"/>
              </w:rPr>
              <w:t>给排水专业</w:t>
            </w:r>
            <w:r>
              <w:rPr>
                <w:rFonts w:hint="eastAsia"/>
                <w:szCs w:val="21"/>
              </w:rPr>
              <w:t>监理</w:t>
            </w:r>
            <w:r>
              <w:rPr>
                <w:szCs w:val="21"/>
              </w:rPr>
              <w:t>工程师</w:t>
            </w:r>
          </w:p>
        </w:tc>
        <w:tc>
          <w:tcPr>
            <w:tcW w:w="648" w:type="dxa"/>
            <w:vAlign w:val="center"/>
          </w:tcPr>
          <w:p w14:paraId="06B0B45B">
            <w:pPr>
              <w:adjustRightInd w:val="0"/>
              <w:snapToGrid w:val="0"/>
              <w:spacing w:line="300" w:lineRule="exact"/>
              <w:jc w:val="center"/>
              <w:rPr>
                <w:szCs w:val="21"/>
              </w:rPr>
            </w:pPr>
            <w:r>
              <w:rPr>
                <w:rFonts w:hint="eastAsia"/>
                <w:szCs w:val="21"/>
              </w:rPr>
              <w:t>1</w:t>
            </w:r>
          </w:p>
        </w:tc>
        <w:tc>
          <w:tcPr>
            <w:tcW w:w="3216" w:type="dxa"/>
            <w:vAlign w:val="center"/>
          </w:tcPr>
          <w:p w14:paraId="4403C4CD">
            <w:pPr>
              <w:adjustRightInd w:val="0"/>
              <w:snapToGrid w:val="0"/>
              <w:spacing w:line="300" w:lineRule="exact"/>
              <w:rPr>
                <w:rFonts w:ascii="宋体" w:hAnsi="宋体" w:cs="宋体"/>
                <w:szCs w:val="21"/>
              </w:rPr>
            </w:pPr>
            <w:r>
              <w:rPr>
                <w:rFonts w:hint="eastAsia" w:ascii="宋体" w:hAnsi="宋体" w:cs="宋体"/>
                <w:szCs w:val="21"/>
              </w:rPr>
              <w:t>专业为给排水工程（或相关专业），具有</w:t>
            </w:r>
            <w:r>
              <w:t>专业监理工程师</w:t>
            </w:r>
            <w:r>
              <w:rPr>
                <w:rFonts w:hint="eastAsia" w:ascii="宋体" w:hAnsi="宋体" w:cs="宋体"/>
                <w:szCs w:val="21"/>
              </w:rPr>
              <w:t>或</w:t>
            </w:r>
            <w:r>
              <w:rPr>
                <w:rFonts w:hint="eastAsia" w:ascii="宋体" w:hAnsi="宋体" w:cs="宋体"/>
                <w:szCs w:val="21"/>
                <w:lang w:bidi="ar"/>
              </w:rPr>
              <w:t>注册监理工程师注册执业证书</w:t>
            </w:r>
            <w:r>
              <w:rPr>
                <w:rFonts w:hint="eastAsia" w:ascii="宋体" w:hAnsi="宋体" w:cs="宋体"/>
                <w:szCs w:val="21"/>
              </w:rPr>
              <w:t>；并具有建筑工程类中级工程师或以上技术职称。</w:t>
            </w:r>
          </w:p>
        </w:tc>
        <w:tc>
          <w:tcPr>
            <w:tcW w:w="2605" w:type="dxa"/>
            <w:vMerge w:val="continue"/>
            <w:vAlign w:val="center"/>
          </w:tcPr>
          <w:p w14:paraId="5FA1B9B9">
            <w:pPr>
              <w:adjustRightInd w:val="0"/>
              <w:snapToGrid w:val="0"/>
              <w:spacing w:line="300" w:lineRule="exact"/>
              <w:rPr>
                <w:rFonts w:ascii="宋体" w:hAnsi="宋体" w:cs="宋体"/>
                <w:szCs w:val="21"/>
              </w:rPr>
            </w:pPr>
          </w:p>
        </w:tc>
      </w:tr>
      <w:tr w14:paraId="2B795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84" w:type="dxa"/>
            <w:vAlign w:val="center"/>
          </w:tcPr>
          <w:p w14:paraId="02BCD40F">
            <w:pPr>
              <w:widowControl/>
              <w:adjustRightInd w:val="0"/>
              <w:snapToGrid w:val="0"/>
              <w:ind w:left="-361" w:leftChars="-172" w:firstLine="420" w:firstLineChars="200"/>
              <w:jc w:val="center"/>
              <w:rPr>
                <w:kern w:val="0"/>
                <w:szCs w:val="21"/>
              </w:rPr>
            </w:pPr>
            <w:r>
              <w:rPr>
                <w:rFonts w:hint="eastAsia"/>
                <w:kern w:val="0"/>
                <w:szCs w:val="21"/>
              </w:rPr>
              <w:t>9</w:t>
            </w:r>
          </w:p>
        </w:tc>
        <w:tc>
          <w:tcPr>
            <w:tcW w:w="901" w:type="dxa"/>
            <w:vMerge w:val="continue"/>
            <w:vAlign w:val="center"/>
          </w:tcPr>
          <w:p w14:paraId="211FF91A">
            <w:pPr>
              <w:adjustRightInd w:val="0"/>
              <w:snapToGrid w:val="0"/>
              <w:spacing w:line="300" w:lineRule="exact"/>
              <w:jc w:val="center"/>
              <w:rPr>
                <w:szCs w:val="21"/>
              </w:rPr>
            </w:pPr>
          </w:p>
        </w:tc>
        <w:tc>
          <w:tcPr>
            <w:tcW w:w="1398" w:type="dxa"/>
            <w:vAlign w:val="center"/>
          </w:tcPr>
          <w:p w14:paraId="62A41005">
            <w:pPr>
              <w:adjustRightInd w:val="0"/>
              <w:snapToGrid w:val="0"/>
              <w:spacing w:line="300" w:lineRule="exact"/>
              <w:jc w:val="center"/>
              <w:rPr>
                <w:szCs w:val="21"/>
              </w:rPr>
            </w:pPr>
            <w:r>
              <w:rPr>
                <w:szCs w:val="21"/>
              </w:rPr>
              <w:t>暖通专业</w:t>
            </w:r>
            <w:r>
              <w:rPr>
                <w:rFonts w:hint="eastAsia"/>
                <w:szCs w:val="21"/>
              </w:rPr>
              <w:t>监理</w:t>
            </w:r>
            <w:r>
              <w:rPr>
                <w:szCs w:val="21"/>
              </w:rPr>
              <w:t>工程师</w:t>
            </w:r>
          </w:p>
        </w:tc>
        <w:tc>
          <w:tcPr>
            <w:tcW w:w="648" w:type="dxa"/>
            <w:vAlign w:val="center"/>
          </w:tcPr>
          <w:p w14:paraId="4B077BCA">
            <w:pPr>
              <w:adjustRightInd w:val="0"/>
              <w:snapToGrid w:val="0"/>
              <w:spacing w:line="300" w:lineRule="exact"/>
              <w:jc w:val="center"/>
              <w:rPr>
                <w:szCs w:val="21"/>
              </w:rPr>
            </w:pPr>
            <w:r>
              <w:rPr>
                <w:rFonts w:hint="eastAsia"/>
                <w:szCs w:val="21"/>
              </w:rPr>
              <w:t>1</w:t>
            </w:r>
          </w:p>
        </w:tc>
        <w:tc>
          <w:tcPr>
            <w:tcW w:w="3216" w:type="dxa"/>
            <w:vAlign w:val="center"/>
          </w:tcPr>
          <w:p w14:paraId="7924C467">
            <w:pPr>
              <w:adjustRightInd w:val="0"/>
              <w:snapToGrid w:val="0"/>
              <w:spacing w:line="300" w:lineRule="exact"/>
              <w:rPr>
                <w:rFonts w:ascii="宋体" w:hAnsi="宋体" w:cs="宋体"/>
                <w:szCs w:val="21"/>
              </w:rPr>
            </w:pPr>
            <w:r>
              <w:rPr>
                <w:rFonts w:hint="eastAsia" w:ascii="宋体" w:hAnsi="宋体" w:cs="宋体"/>
                <w:szCs w:val="21"/>
              </w:rPr>
              <w:t>专业为暖通工程（或相关专业），具有专业监理工程师或</w:t>
            </w:r>
            <w:r>
              <w:rPr>
                <w:rFonts w:hint="eastAsia" w:ascii="宋体" w:hAnsi="宋体" w:cs="宋体"/>
                <w:szCs w:val="21"/>
                <w:lang w:bidi="ar"/>
              </w:rPr>
              <w:t>注册监理工程师注册执业证书</w:t>
            </w:r>
            <w:r>
              <w:rPr>
                <w:rFonts w:hint="eastAsia" w:ascii="宋体" w:hAnsi="宋体" w:cs="宋体"/>
                <w:szCs w:val="21"/>
              </w:rPr>
              <w:t>；并具有建筑工程类中级工程师或以上技术职称。</w:t>
            </w:r>
          </w:p>
        </w:tc>
        <w:tc>
          <w:tcPr>
            <w:tcW w:w="2605" w:type="dxa"/>
            <w:vMerge w:val="continue"/>
            <w:vAlign w:val="center"/>
          </w:tcPr>
          <w:p w14:paraId="128FA353">
            <w:pPr>
              <w:adjustRightInd w:val="0"/>
              <w:snapToGrid w:val="0"/>
              <w:spacing w:line="300" w:lineRule="exact"/>
              <w:rPr>
                <w:rFonts w:ascii="宋体" w:hAnsi="宋体" w:cs="宋体"/>
                <w:szCs w:val="21"/>
              </w:rPr>
            </w:pPr>
          </w:p>
        </w:tc>
      </w:tr>
      <w:tr w14:paraId="5952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69F2A005">
            <w:pPr>
              <w:widowControl/>
              <w:adjustRightInd w:val="0"/>
              <w:snapToGrid w:val="0"/>
              <w:ind w:left="-361" w:leftChars="-172" w:firstLine="420" w:firstLineChars="200"/>
              <w:jc w:val="center"/>
              <w:rPr>
                <w:kern w:val="0"/>
                <w:szCs w:val="21"/>
              </w:rPr>
            </w:pPr>
            <w:r>
              <w:rPr>
                <w:rFonts w:hint="eastAsia"/>
                <w:kern w:val="0"/>
                <w:szCs w:val="21"/>
              </w:rPr>
              <w:t>10</w:t>
            </w:r>
          </w:p>
        </w:tc>
        <w:tc>
          <w:tcPr>
            <w:tcW w:w="901" w:type="dxa"/>
            <w:vMerge w:val="continue"/>
            <w:vAlign w:val="center"/>
          </w:tcPr>
          <w:p w14:paraId="1BF1CECA">
            <w:pPr>
              <w:adjustRightInd w:val="0"/>
              <w:snapToGrid w:val="0"/>
              <w:spacing w:line="300" w:lineRule="exact"/>
              <w:jc w:val="center"/>
              <w:rPr>
                <w:szCs w:val="21"/>
              </w:rPr>
            </w:pPr>
          </w:p>
        </w:tc>
        <w:tc>
          <w:tcPr>
            <w:tcW w:w="1398" w:type="dxa"/>
            <w:vAlign w:val="center"/>
          </w:tcPr>
          <w:p w14:paraId="2696CF3C">
            <w:pPr>
              <w:adjustRightInd w:val="0"/>
              <w:snapToGrid w:val="0"/>
              <w:spacing w:line="300" w:lineRule="exact"/>
              <w:jc w:val="center"/>
              <w:rPr>
                <w:szCs w:val="21"/>
              </w:rPr>
            </w:pPr>
            <w:r>
              <w:rPr>
                <w:szCs w:val="21"/>
              </w:rPr>
              <w:t>弱电专业</w:t>
            </w:r>
            <w:r>
              <w:rPr>
                <w:rFonts w:hint="eastAsia"/>
                <w:szCs w:val="21"/>
              </w:rPr>
              <w:t>监理</w:t>
            </w:r>
            <w:r>
              <w:rPr>
                <w:szCs w:val="21"/>
              </w:rPr>
              <w:t>工程师</w:t>
            </w:r>
          </w:p>
        </w:tc>
        <w:tc>
          <w:tcPr>
            <w:tcW w:w="648" w:type="dxa"/>
            <w:vAlign w:val="center"/>
          </w:tcPr>
          <w:p w14:paraId="0298FEF3">
            <w:pPr>
              <w:adjustRightInd w:val="0"/>
              <w:snapToGrid w:val="0"/>
              <w:spacing w:line="300" w:lineRule="exact"/>
              <w:jc w:val="center"/>
              <w:rPr>
                <w:szCs w:val="21"/>
              </w:rPr>
            </w:pPr>
            <w:r>
              <w:rPr>
                <w:rFonts w:hint="eastAsia"/>
                <w:szCs w:val="21"/>
              </w:rPr>
              <w:t>1</w:t>
            </w:r>
          </w:p>
        </w:tc>
        <w:tc>
          <w:tcPr>
            <w:tcW w:w="3216" w:type="dxa"/>
            <w:vAlign w:val="center"/>
          </w:tcPr>
          <w:p w14:paraId="42797510">
            <w:pPr>
              <w:adjustRightInd w:val="0"/>
              <w:snapToGrid w:val="0"/>
              <w:spacing w:line="300" w:lineRule="exact"/>
              <w:rPr>
                <w:rFonts w:ascii="宋体" w:hAnsi="宋体" w:cs="宋体"/>
                <w:szCs w:val="21"/>
              </w:rPr>
            </w:pPr>
            <w:r>
              <w:rPr>
                <w:rFonts w:hint="eastAsia" w:ascii="宋体" w:hAnsi="宋体" w:cs="宋体"/>
                <w:szCs w:val="21"/>
              </w:rPr>
              <w:t>专业为弱电工程（或相关专业，包括计算机、电子、通信、自动化、电气等），具有专业监理工程师或</w:t>
            </w:r>
            <w:r>
              <w:rPr>
                <w:rFonts w:hint="eastAsia" w:ascii="宋体" w:hAnsi="宋体" w:cs="宋体"/>
                <w:szCs w:val="21"/>
                <w:lang w:bidi="ar"/>
              </w:rPr>
              <w:t>注册监理工程师注册执业证书</w:t>
            </w:r>
            <w:r>
              <w:rPr>
                <w:rFonts w:hint="eastAsia" w:ascii="宋体" w:hAnsi="宋体" w:cs="宋体"/>
                <w:szCs w:val="21"/>
              </w:rPr>
              <w:t>；并具有机电类中级工程师或以上技术职称。</w:t>
            </w:r>
          </w:p>
        </w:tc>
        <w:tc>
          <w:tcPr>
            <w:tcW w:w="2605" w:type="dxa"/>
            <w:vMerge w:val="continue"/>
            <w:vAlign w:val="center"/>
          </w:tcPr>
          <w:p w14:paraId="488CB6EA">
            <w:pPr>
              <w:adjustRightInd w:val="0"/>
              <w:snapToGrid w:val="0"/>
              <w:spacing w:line="300" w:lineRule="exact"/>
              <w:rPr>
                <w:rFonts w:ascii="宋体" w:hAnsi="宋体" w:cs="宋体"/>
                <w:szCs w:val="21"/>
              </w:rPr>
            </w:pPr>
          </w:p>
        </w:tc>
      </w:tr>
      <w:tr w14:paraId="4B5C2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39DCCD82">
            <w:pPr>
              <w:widowControl/>
              <w:adjustRightInd w:val="0"/>
              <w:snapToGrid w:val="0"/>
              <w:ind w:left="-361" w:leftChars="-172" w:firstLine="420" w:firstLineChars="200"/>
              <w:jc w:val="center"/>
              <w:rPr>
                <w:kern w:val="0"/>
                <w:szCs w:val="21"/>
              </w:rPr>
            </w:pPr>
            <w:r>
              <w:rPr>
                <w:rFonts w:hint="eastAsia"/>
                <w:kern w:val="0"/>
                <w:szCs w:val="21"/>
              </w:rPr>
              <w:t>11</w:t>
            </w:r>
          </w:p>
        </w:tc>
        <w:tc>
          <w:tcPr>
            <w:tcW w:w="2299" w:type="dxa"/>
            <w:gridSpan w:val="2"/>
            <w:vAlign w:val="center"/>
          </w:tcPr>
          <w:p w14:paraId="66C4B8EF">
            <w:pPr>
              <w:adjustRightInd w:val="0"/>
              <w:snapToGrid w:val="0"/>
              <w:spacing w:line="300" w:lineRule="exact"/>
              <w:jc w:val="center"/>
              <w:rPr>
                <w:szCs w:val="21"/>
              </w:rPr>
            </w:pPr>
            <w:r>
              <w:rPr>
                <w:szCs w:val="21"/>
              </w:rPr>
              <w:t>安全工程师</w:t>
            </w:r>
          </w:p>
        </w:tc>
        <w:tc>
          <w:tcPr>
            <w:tcW w:w="648" w:type="dxa"/>
            <w:vAlign w:val="center"/>
          </w:tcPr>
          <w:p w14:paraId="23F79852">
            <w:pPr>
              <w:adjustRightInd w:val="0"/>
              <w:snapToGrid w:val="0"/>
              <w:spacing w:line="300" w:lineRule="exact"/>
              <w:jc w:val="center"/>
              <w:rPr>
                <w:szCs w:val="21"/>
              </w:rPr>
            </w:pPr>
            <w:r>
              <w:rPr>
                <w:szCs w:val="21"/>
              </w:rPr>
              <w:t>2</w:t>
            </w:r>
          </w:p>
        </w:tc>
        <w:tc>
          <w:tcPr>
            <w:tcW w:w="3216" w:type="dxa"/>
            <w:vAlign w:val="center"/>
          </w:tcPr>
          <w:p w14:paraId="6C9B400D">
            <w:pPr>
              <w:adjustRightInd w:val="0"/>
              <w:snapToGrid w:val="0"/>
              <w:spacing w:line="300" w:lineRule="exact"/>
              <w:rPr>
                <w:rFonts w:ascii="宋体" w:hAnsi="宋体" w:cs="宋体"/>
                <w:szCs w:val="21"/>
              </w:rPr>
            </w:pPr>
            <w:r>
              <w:rPr>
                <w:rFonts w:hint="eastAsia" w:ascii="宋体" w:hAnsi="宋体" w:cs="宋体"/>
                <w:szCs w:val="21"/>
              </w:rPr>
              <w:t>具备建筑工程类中级工程师或以上技术职称，并具有注册安全工程师证书（建筑施工安全专业）或安全监理员证书（建筑工程类或机电安装类）。</w:t>
            </w:r>
          </w:p>
        </w:tc>
        <w:tc>
          <w:tcPr>
            <w:tcW w:w="2605" w:type="dxa"/>
            <w:vAlign w:val="center"/>
          </w:tcPr>
          <w:p w14:paraId="1AF530C1">
            <w:pPr>
              <w:adjustRightInd w:val="0"/>
              <w:snapToGrid w:val="0"/>
              <w:spacing w:line="300" w:lineRule="exact"/>
              <w:rPr>
                <w:rFonts w:ascii="宋体" w:hAnsi="宋体" w:cs="宋体"/>
                <w:szCs w:val="21"/>
              </w:rPr>
            </w:pPr>
            <w:r>
              <w:rPr>
                <w:rFonts w:hint="eastAsia" w:ascii="宋体" w:hAnsi="宋体" w:cs="宋体"/>
                <w:szCs w:val="21"/>
              </w:rPr>
              <w:t>职称证书、注册安全工程师证书或安全监理员证书</w:t>
            </w:r>
          </w:p>
        </w:tc>
      </w:tr>
      <w:tr w14:paraId="00361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28D142DF">
            <w:pPr>
              <w:widowControl/>
              <w:adjustRightInd w:val="0"/>
              <w:snapToGrid w:val="0"/>
              <w:ind w:left="-361" w:leftChars="-172" w:firstLine="420" w:firstLineChars="200"/>
              <w:jc w:val="center"/>
              <w:rPr>
                <w:kern w:val="0"/>
                <w:szCs w:val="21"/>
              </w:rPr>
            </w:pPr>
            <w:r>
              <w:rPr>
                <w:rFonts w:hint="eastAsia"/>
                <w:kern w:val="0"/>
                <w:szCs w:val="21"/>
              </w:rPr>
              <w:t>12</w:t>
            </w:r>
          </w:p>
        </w:tc>
        <w:tc>
          <w:tcPr>
            <w:tcW w:w="2299" w:type="dxa"/>
            <w:gridSpan w:val="2"/>
            <w:vAlign w:val="center"/>
          </w:tcPr>
          <w:p w14:paraId="7EFF2020">
            <w:pPr>
              <w:adjustRightInd w:val="0"/>
              <w:snapToGrid w:val="0"/>
              <w:spacing w:line="300" w:lineRule="exact"/>
              <w:jc w:val="center"/>
              <w:rPr>
                <w:szCs w:val="21"/>
              </w:rPr>
            </w:pPr>
            <w:r>
              <w:rPr>
                <w:szCs w:val="21"/>
              </w:rPr>
              <w:t>监理员</w:t>
            </w:r>
          </w:p>
        </w:tc>
        <w:tc>
          <w:tcPr>
            <w:tcW w:w="648" w:type="dxa"/>
            <w:vAlign w:val="center"/>
          </w:tcPr>
          <w:p w14:paraId="1C8077E5">
            <w:pPr>
              <w:adjustRightInd w:val="0"/>
              <w:snapToGrid w:val="0"/>
              <w:spacing w:line="300" w:lineRule="exact"/>
              <w:jc w:val="center"/>
              <w:rPr>
                <w:szCs w:val="21"/>
              </w:rPr>
            </w:pPr>
            <w:r>
              <w:rPr>
                <w:rFonts w:hint="eastAsia"/>
                <w:szCs w:val="21"/>
              </w:rPr>
              <w:t>8</w:t>
            </w:r>
          </w:p>
        </w:tc>
        <w:tc>
          <w:tcPr>
            <w:tcW w:w="3216" w:type="dxa"/>
            <w:vAlign w:val="center"/>
          </w:tcPr>
          <w:p w14:paraId="078440DF">
            <w:pPr>
              <w:adjustRightInd w:val="0"/>
              <w:snapToGrid w:val="0"/>
              <w:spacing w:line="300" w:lineRule="exact"/>
              <w:rPr>
                <w:rFonts w:ascii="宋体" w:hAnsi="宋体" w:cs="宋体"/>
                <w:szCs w:val="21"/>
              </w:rPr>
            </w:pPr>
            <w:r>
              <w:rPr>
                <w:rFonts w:hint="eastAsia" w:ascii="宋体" w:hAnsi="宋体" w:cs="宋体"/>
                <w:szCs w:val="21"/>
              </w:rPr>
              <w:t>具有土建或机电类相关专业助理工程师或以上技术职称和监理员证书。</w:t>
            </w:r>
          </w:p>
        </w:tc>
        <w:tc>
          <w:tcPr>
            <w:tcW w:w="2605" w:type="dxa"/>
            <w:vAlign w:val="center"/>
          </w:tcPr>
          <w:p w14:paraId="77B952B8">
            <w:pPr>
              <w:adjustRightInd w:val="0"/>
              <w:snapToGrid w:val="0"/>
              <w:spacing w:line="300" w:lineRule="exact"/>
              <w:rPr>
                <w:rFonts w:ascii="宋体" w:hAnsi="宋体" w:cs="宋体"/>
                <w:szCs w:val="21"/>
              </w:rPr>
            </w:pPr>
            <w:r>
              <w:rPr>
                <w:rFonts w:hint="eastAsia" w:ascii="宋体" w:hAnsi="宋体" w:cs="宋体"/>
                <w:szCs w:val="21"/>
              </w:rPr>
              <w:t>职称证书、监理员证书</w:t>
            </w:r>
          </w:p>
          <w:p w14:paraId="1BA76764">
            <w:pPr>
              <w:adjustRightInd w:val="0"/>
              <w:snapToGrid w:val="0"/>
              <w:spacing w:line="300" w:lineRule="exact"/>
              <w:rPr>
                <w:rFonts w:ascii="宋体" w:hAnsi="宋体" w:cs="宋体"/>
                <w:szCs w:val="21"/>
              </w:rPr>
            </w:pPr>
            <w:r>
              <w:rPr>
                <w:rFonts w:hint="eastAsia" w:ascii="宋体" w:hAnsi="宋体" w:cs="宋体"/>
                <w:szCs w:val="21"/>
              </w:rPr>
              <w:t>（考虑项目多个子项同时施工，且需夜间不间断施工，考虑三班四运作工作机制。）</w:t>
            </w:r>
          </w:p>
        </w:tc>
      </w:tr>
      <w:tr w14:paraId="2125A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35DA6C14">
            <w:pPr>
              <w:widowControl/>
              <w:adjustRightInd w:val="0"/>
              <w:snapToGrid w:val="0"/>
              <w:ind w:left="-361" w:leftChars="-172" w:firstLine="420" w:firstLineChars="200"/>
              <w:jc w:val="center"/>
              <w:rPr>
                <w:kern w:val="0"/>
                <w:szCs w:val="21"/>
              </w:rPr>
            </w:pPr>
            <w:r>
              <w:rPr>
                <w:rFonts w:hint="eastAsia"/>
                <w:kern w:val="0"/>
                <w:szCs w:val="21"/>
              </w:rPr>
              <w:t>13</w:t>
            </w:r>
          </w:p>
        </w:tc>
        <w:tc>
          <w:tcPr>
            <w:tcW w:w="2299" w:type="dxa"/>
            <w:gridSpan w:val="2"/>
            <w:vAlign w:val="center"/>
          </w:tcPr>
          <w:p w14:paraId="177112B6">
            <w:pPr>
              <w:adjustRightInd w:val="0"/>
              <w:snapToGrid w:val="0"/>
              <w:spacing w:line="300" w:lineRule="exact"/>
              <w:jc w:val="center"/>
              <w:rPr>
                <w:szCs w:val="21"/>
              </w:rPr>
            </w:pPr>
            <w:r>
              <w:rPr>
                <w:szCs w:val="21"/>
              </w:rPr>
              <w:t>图档资料管理员</w:t>
            </w:r>
          </w:p>
        </w:tc>
        <w:tc>
          <w:tcPr>
            <w:tcW w:w="648" w:type="dxa"/>
            <w:vAlign w:val="center"/>
          </w:tcPr>
          <w:p w14:paraId="67E79101">
            <w:pPr>
              <w:adjustRightInd w:val="0"/>
              <w:snapToGrid w:val="0"/>
              <w:spacing w:line="360" w:lineRule="auto"/>
              <w:jc w:val="center"/>
              <w:rPr>
                <w:szCs w:val="21"/>
              </w:rPr>
            </w:pPr>
            <w:r>
              <w:rPr>
                <w:rFonts w:hint="eastAsia"/>
                <w:szCs w:val="21"/>
              </w:rPr>
              <w:t>1</w:t>
            </w:r>
          </w:p>
        </w:tc>
        <w:tc>
          <w:tcPr>
            <w:tcW w:w="3216" w:type="dxa"/>
            <w:vAlign w:val="center"/>
          </w:tcPr>
          <w:p w14:paraId="39B2B8BE">
            <w:pPr>
              <w:adjustRightInd w:val="0"/>
              <w:snapToGrid w:val="0"/>
              <w:spacing w:line="300" w:lineRule="exact"/>
              <w:rPr>
                <w:rFonts w:ascii="宋体" w:hAnsi="宋体" w:cs="宋体"/>
                <w:szCs w:val="21"/>
              </w:rPr>
            </w:pPr>
          </w:p>
        </w:tc>
        <w:tc>
          <w:tcPr>
            <w:tcW w:w="2605" w:type="dxa"/>
            <w:vAlign w:val="center"/>
          </w:tcPr>
          <w:p w14:paraId="186621A6">
            <w:pPr>
              <w:adjustRightInd w:val="0"/>
              <w:snapToGrid w:val="0"/>
              <w:spacing w:line="300" w:lineRule="exact"/>
              <w:rPr>
                <w:rFonts w:ascii="宋体" w:hAnsi="宋体" w:cs="宋体"/>
                <w:szCs w:val="21"/>
              </w:rPr>
            </w:pPr>
          </w:p>
        </w:tc>
      </w:tr>
      <w:tr w14:paraId="2486A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3BBF7CD8">
            <w:pPr>
              <w:widowControl/>
              <w:adjustRightInd w:val="0"/>
              <w:snapToGrid w:val="0"/>
              <w:ind w:left="-361" w:leftChars="-172" w:firstLine="420" w:firstLineChars="200"/>
              <w:jc w:val="center"/>
              <w:rPr>
                <w:kern w:val="0"/>
                <w:szCs w:val="21"/>
              </w:rPr>
            </w:pPr>
          </w:p>
        </w:tc>
        <w:tc>
          <w:tcPr>
            <w:tcW w:w="2299" w:type="dxa"/>
            <w:gridSpan w:val="2"/>
            <w:vAlign w:val="center"/>
          </w:tcPr>
          <w:p w14:paraId="3C2530FA">
            <w:pPr>
              <w:adjustRightInd w:val="0"/>
              <w:snapToGrid w:val="0"/>
              <w:spacing w:line="300" w:lineRule="exact"/>
              <w:jc w:val="center"/>
              <w:rPr>
                <w:szCs w:val="21"/>
              </w:rPr>
            </w:pPr>
            <w:r>
              <w:rPr>
                <w:szCs w:val="21"/>
              </w:rPr>
              <w:t>合计</w:t>
            </w:r>
          </w:p>
        </w:tc>
        <w:tc>
          <w:tcPr>
            <w:tcW w:w="648" w:type="dxa"/>
            <w:vAlign w:val="center"/>
          </w:tcPr>
          <w:p w14:paraId="79D4BDBC">
            <w:pPr>
              <w:adjustRightInd w:val="0"/>
              <w:snapToGrid w:val="0"/>
              <w:spacing w:line="300" w:lineRule="exact"/>
              <w:jc w:val="center"/>
              <w:rPr>
                <w:szCs w:val="21"/>
              </w:rPr>
            </w:pPr>
            <w:r>
              <w:rPr>
                <w:rFonts w:hint="eastAsia"/>
                <w:szCs w:val="21"/>
              </w:rPr>
              <w:t>22</w:t>
            </w:r>
          </w:p>
        </w:tc>
        <w:tc>
          <w:tcPr>
            <w:tcW w:w="3216" w:type="dxa"/>
            <w:vAlign w:val="center"/>
          </w:tcPr>
          <w:p w14:paraId="717FCA1B">
            <w:pPr>
              <w:adjustRightInd w:val="0"/>
              <w:snapToGrid w:val="0"/>
              <w:spacing w:line="360" w:lineRule="auto"/>
              <w:rPr>
                <w:snapToGrid w:val="0"/>
                <w:spacing w:val="4"/>
                <w:kern w:val="0"/>
                <w:szCs w:val="21"/>
              </w:rPr>
            </w:pPr>
            <w:r>
              <w:rPr>
                <w:rFonts w:hint="eastAsia"/>
                <w:snapToGrid w:val="0"/>
                <w:spacing w:val="4"/>
                <w:kern w:val="0"/>
                <w:szCs w:val="21"/>
              </w:rPr>
              <w:t>/</w:t>
            </w:r>
          </w:p>
        </w:tc>
        <w:tc>
          <w:tcPr>
            <w:tcW w:w="2605" w:type="dxa"/>
          </w:tcPr>
          <w:p w14:paraId="4E7974E7">
            <w:pPr>
              <w:adjustRightInd w:val="0"/>
              <w:snapToGrid w:val="0"/>
              <w:spacing w:line="360" w:lineRule="auto"/>
              <w:rPr>
                <w:snapToGrid w:val="0"/>
                <w:spacing w:val="4"/>
                <w:kern w:val="0"/>
                <w:szCs w:val="21"/>
              </w:rPr>
            </w:pPr>
            <w:r>
              <w:rPr>
                <w:rFonts w:hint="eastAsia"/>
                <w:snapToGrid w:val="0"/>
                <w:spacing w:val="4"/>
                <w:kern w:val="0"/>
                <w:szCs w:val="21"/>
              </w:rPr>
              <w:t>/</w:t>
            </w:r>
          </w:p>
        </w:tc>
      </w:tr>
    </w:tbl>
    <w:p w14:paraId="5DF2120A">
      <w:pPr>
        <w:spacing w:line="360" w:lineRule="auto"/>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注：</w:t>
      </w:r>
      <w:r>
        <w:rPr>
          <w:rFonts w:hint="eastAsia" w:ascii="宋体" w:hAnsi="宋体" w:cs="宋体"/>
          <w:szCs w:val="21"/>
          <w:lang w:bidi="ar"/>
        </w:rPr>
        <w:t>以上人员应同时提供近1个月（含2025年7月）在投标单位（不含投标人的子公司或母公司人员，含分公司）缴纳社保的证明材料，未按要求提供完整相关资料的人员，该人员不作为评分依据。</w:t>
      </w:r>
    </w:p>
    <w:p w14:paraId="2AAAF635">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（1）</w:t>
      </w:r>
      <w:r>
        <w:rPr>
          <w:rFonts w:ascii="宋体" w:hAnsi="宋体"/>
          <w:snapToGrid w:val="0"/>
          <w:spacing w:val="4"/>
          <w:kern w:val="0"/>
          <w:sz w:val="24"/>
          <w:szCs w:val="24"/>
        </w:rPr>
        <w:t>驻场要求：施工期间常驻现场</w:t>
      </w:r>
      <w:r>
        <w:rPr>
          <w:rFonts w:hint="eastAsia" w:ascii="宋体" w:hAnsi="宋体"/>
          <w:snapToGrid w:val="0"/>
          <w:spacing w:val="4"/>
          <w:kern w:val="0"/>
          <w:sz w:val="24"/>
          <w:szCs w:val="24"/>
        </w:rPr>
        <w:t>人员</w:t>
      </w:r>
      <w:r>
        <w:rPr>
          <w:rFonts w:ascii="宋体" w:hAnsi="宋体"/>
          <w:snapToGrid w:val="0"/>
          <w:spacing w:val="4"/>
          <w:kern w:val="0"/>
          <w:sz w:val="24"/>
          <w:szCs w:val="24"/>
        </w:rPr>
        <w:t>不少于4人（含</w:t>
      </w:r>
      <w:r>
        <w:rPr>
          <w:rFonts w:hint="eastAsia" w:ascii="宋体" w:hAnsi="宋体"/>
          <w:snapToGrid w:val="0"/>
          <w:spacing w:val="4"/>
          <w:kern w:val="0"/>
          <w:sz w:val="24"/>
          <w:szCs w:val="24"/>
        </w:rPr>
        <w:t>总监理工程师或总监代表、</w:t>
      </w:r>
      <w:r>
        <w:rPr>
          <w:rFonts w:ascii="宋体" w:hAnsi="宋体"/>
          <w:snapToGrid w:val="0"/>
          <w:spacing w:val="4"/>
          <w:kern w:val="0"/>
          <w:sz w:val="24"/>
          <w:szCs w:val="24"/>
        </w:rPr>
        <w:t>专业</w:t>
      </w:r>
      <w:r>
        <w:rPr>
          <w:rFonts w:hint="eastAsia" w:ascii="宋体" w:hAnsi="宋体"/>
          <w:snapToGrid w:val="0"/>
          <w:spacing w:val="4"/>
          <w:kern w:val="0"/>
          <w:sz w:val="24"/>
          <w:szCs w:val="24"/>
        </w:rPr>
        <w:t>监理</w:t>
      </w:r>
      <w:r>
        <w:rPr>
          <w:rFonts w:ascii="宋体" w:hAnsi="宋体"/>
          <w:snapToGrid w:val="0"/>
          <w:spacing w:val="4"/>
          <w:kern w:val="0"/>
          <w:sz w:val="24"/>
          <w:szCs w:val="24"/>
        </w:rPr>
        <w:t>工程师（房屋建筑专业、机电安装专业各1名）、安全员等）；24小时连续作业期间须实行轮班制，确保全程监督。</w:t>
      </w:r>
    </w:p>
    <w:p w14:paraId="7BB40A4B">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（2）</w:t>
      </w:r>
      <w:r>
        <w:rPr>
          <w:rFonts w:ascii="宋体" w:hAnsi="宋体"/>
          <w:snapToGrid w:val="0"/>
          <w:spacing w:val="4"/>
          <w:kern w:val="0"/>
          <w:sz w:val="24"/>
          <w:szCs w:val="24"/>
        </w:rPr>
        <w:t>合同履约过程中，未经委托人同意，不得随意更换人员。如监理人派出工作人员不能胜任工作，委托人保留更换人员的权利。实际投入本项目监理人员配备标准不得低于投标文件承诺配备人员标准。</w:t>
      </w:r>
    </w:p>
    <w:p w14:paraId="1A73D184">
      <w:pPr>
        <w:topLinePunct/>
        <w:adjustRightInd w:val="0"/>
        <w:snapToGrid w:val="0"/>
        <w:spacing w:line="360" w:lineRule="auto"/>
        <w:ind w:firstLine="496" w:firstLineChars="200"/>
        <w:rPr>
          <w:bCs/>
          <w:snapToGrid w:val="0"/>
          <w:spacing w:val="4"/>
          <w:kern w:val="0"/>
          <w:sz w:val="24"/>
        </w:rPr>
      </w:pPr>
      <w:r>
        <w:rPr>
          <w:rFonts w:hint="eastAsia" w:ascii="宋体" w:hAnsi="宋体"/>
          <w:snapToGrid w:val="0"/>
          <w:spacing w:val="4"/>
          <w:kern w:val="0"/>
          <w:sz w:val="24"/>
          <w:szCs w:val="24"/>
        </w:rPr>
        <w:t>（3）</w:t>
      </w:r>
      <w:r>
        <w:rPr>
          <w:bCs/>
          <w:snapToGrid w:val="0"/>
          <w:spacing w:val="4"/>
          <w:kern w:val="0"/>
          <w:sz w:val="24"/>
        </w:rPr>
        <w:t>在本合同有效期内，监理人更换项目总监理工程师、</w:t>
      </w:r>
      <w:r>
        <w:rPr>
          <w:bCs/>
          <w:snapToGrid w:val="0"/>
          <w:spacing w:val="-4"/>
          <w:kern w:val="0"/>
          <w:sz w:val="24"/>
        </w:rPr>
        <w:t>项目总监理工程师代表</w:t>
      </w:r>
      <w:r>
        <w:rPr>
          <w:bCs/>
          <w:snapToGrid w:val="0"/>
          <w:spacing w:val="4"/>
          <w:kern w:val="0"/>
          <w:sz w:val="24"/>
        </w:rPr>
        <w:t>的，应</w:t>
      </w:r>
      <w:r>
        <w:rPr>
          <w:rFonts w:hint="eastAsia"/>
          <w:bCs/>
          <w:snapToGrid w:val="0"/>
          <w:spacing w:val="4"/>
          <w:kern w:val="0"/>
          <w:sz w:val="24"/>
        </w:rPr>
        <w:t>提前</w:t>
      </w:r>
      <w:r>
        <w:rPr>
          <w:bCs/>
          <w:snapToGrid w:val="0"/>
          <w:spacing w:val="4"/>
          <w:kern w:val="0"/>
          <w:sz w:val="24"/>
        </w:rPr>
        <w:t>7日内将新项目总监理工程师、新</w:t>
      </w:r>
      <w:r>
        <w:rPr>
          <w:bCs/>
          <w:snapToGrid w:val="0"/>
          <w:spacing w:val="-4"/>
          <w:kern w:val="0"/>
          <w:sz w:val="24"/>
        </w:rPr>
        <w:t>项目总监理工程师代表</w:t>
      </w:r>
      <w:r>
        <w:rPr>
          <w:bCs/>
          <w:snapToGrid w:val="0"/>
          <w:spacing w:val="4"/>
          <w:kern w:val="0"/>
          <w:sz w:val="24"/>
        </w:rPr>
        <w:t>的姓名、职务、职称、联系电话、通信地址</w:t>
      </w:r>
      <w:r>
        <w:rPr>
          <w:rFonts w:hint="eastAsia"/>
          <w:bCs/>
          <w:snapToGrid w:val="0"/>
          <w:spacing w:val="4"/>
          <w:kern w:val="0"/>
          <w:sz w:val="24"/>
        </w:rPr>
        <w:t>、执业资格、工作履历</w:t>
      </w:r>
      <w:r>
        <w:rPr>
          <w:bCs/>
          <w:snapToGrid w:val="0"/>
          <w:spacing w:val="4"/>
          <w:kern w:val="0"/>
          <w:sz w:val="24"/>
        </w:rPr>
        <w:t>等信息</w:t>
      </w:r>
      <w:r>
        <w:rPr>
          <w:rFonts w:hint="eastAsia"/>
          <w:bCs/>
          <w:snapToGrid w:val="0"/>
          <w:spacing w:val="4"/>
          <w:kern w:val="0"/>
          <w:sz w:val="24"/>
        </w:rPr>
        <w:t>书面</w:t>
      </w:r>
      <w:r>
        <w:rPr>
          <w:bCs/>
          <w:snapToGrid w:val="0"/>
          <w:spacing w:val="4"/>
          <w:kern w:val="0"/>
          <w:sz w:val="24"/>
        </w:rPr>
        <w:t>提交给委托人</w:t>
      </w:r>
      <w:r>
        <w:rPr>
          <w:rFonts w:hint="eastAsia"/>
          <w:bCs/>
          <w:snapToGrid w:val="0"/>
          <w:spacing w:val="4"/>
          <w:kern w:val="0"/>
          <w:sz w:val="24"/>
        </w:rPr>
        <w:t>，经委托人审核同意且拟更换人员已到达项目现场交接完毕后，方可正式更换</w:t>
      </w:r>
      <w:r>
        <w:rPr>
          <w:bCs/>
          <w:snapToGrid w:val="0"/>
          <w:spacing w:val="4"/>
          <w:kern w:val="0"/>
          <w:sz w:val="24"/>
        </w:rPr>
        <w:t>。</w:t>
      </w:r>
    </w:p>
    <w:p w14:paraId="0AAEEF40">
      <w:pPr>
        <w:topLinePunct/>
        <w:adjustRightInd w:val="0"/>
        <w:snapToGrid w:val="0"/>
        <w:spacing w:line="360" w:lineRule="auto"/>
        <w:ind w:firstLine="496" w:firstLineChars="200"/>
        <w:rPr>
          <w:bCs/>
          <w:snapToGrid w:val="0"/>
          <w:spacing w:val="4"/>
          <w:kern w:val="0"/>
          <w:sz w:val="24"/>
        </w:rPr>
      </w:pPr>
      <w:r>
        <w:rPr>
          <w:rFonts w:hint="eastAsia"/>
          <w:bCs/>
          <w:snapToGrid w:val="0"/>
          <w:spacing w:val="4"/>
          <w:kern w:val="0"/>
          <w:sz w:val="24"/>
        </w:rPr>
        <w:t>若实际投入的监理人员数量不足或资质不符合投标文件承诺标准，每发生一次，监理人应在收到委托人通知后3日内完成整改。若3日内未完成整改的，视为一般违约，承担一般违约责任1次；累计发生3次的，委托人有权解除本合同，并要求监理人支付合同金额10%的违约金，赔偿由此给委托人造成的损失。</w:t>
      </w:r>
    </w:p>
    <w:p w14:paraId="0E7B87BC">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snapToGrid w:val="0"/>
          <w:spacing w:val="4"/>
          <w:kern w:val="0"/>
          <w:sz w:val="24"/>
        </w:rPr>
        <w:t>5</w:t>
      </w:r>
      <w:r>
        <w:rPr>
          <w:snapToGrid w:val="0"/>
          <w:spacing w:val="4"/>
          <w:kern w:val="0"/>
          <w:sz w:val="24"/>
        </w:rPr>
        <w:t>．</w:t>
      </w:r>
      <w:r>
        <w:rPr>
          <w:rFonts w:ascii="宋体" w:hAnsi="宋体"/>
          <w:snapToGrid w:val="0"/>
          <w:spacing w:val="4"/>
          <w:kern w:val="0"/>
          <w:sz w:val="24"/>
          <w:szCs w:val="24"/>
        </w:rPr>
        <w:t>全员培训是工程管理的重要组成部分，监理人承诺按照工程推进的情况，不间断地对监理人员进行培训。</w:t>
      </w:r>
    </w:p>
    <w:p w14:paraId="3412E59B">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6</w:t>
      </w:r>
      <w:r>
        <w:rPr>
          <w:snapToGrid w:val="0"/>
          <w:spacing w:val="4"/>
          <w:kern w:val="0"/>
          <w:sz w:val="24"/>
        </w:rPr>
        <w:t>．</w:t>
      </w:r>
      <w:r>
        <w:rPr>
          <w:rFonts w:ascii="宋体" w:hAnsi="宋体"/>
          <w:snapToGrid w:val="0"/>
          <w:spacing w:val="4"/>
          <w:kern w:val="0"/>
          <w:sz w:val="24"/>
          <w:szCs w:val="24"/>
        </w:rPr>
        <w:t>为保证建设项目有序、规范和顺利进行，监理人必须主动支持委托人工作，对委托人的指令和书面通知，若无正当理由又未提前报告、得到认可，而公开或变相拒不执行，由监理人承担违约责任并赔偿由此给委托人所造成的一切损失。</w:t>
      </w:r>
    </w:p>
    <w:p w14:paraId="53FF2886">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snapToGrid w:val="0"/>
          <w:spacing w:val="4"/>
          <w:kern w:val="0"/>
          <w:sz w:val="24"/>
        </w:rPr>
        <w:t>7</w:t>
      </w:r>
      <w:r>
        <w:rPr>
          <w:rFonts w:hint="eastAsia" w:ascii="Times New Roman" w:hAnsi="Times New Roman"/>
          <w:snapToGrid w:val="0"/>
          <w:spacing w:val="4"/>
          <w:kern w:val="0"/>
          <w:sz w:val="24"/>
        </w:rPr>
        <w:t xml:space="preserve">. </w:t>
      </w:r>
      <w:r>
        <w:rPr>
          <w:rFonts w:ascii="宋体" w:hAnsi="宋体"/>
          <w:snapToGrid w:val="0"/>
          <w:spacing w:val="4"/>
          <w:kern w:val="0"/>
          <w:sz w:val="24"/>
          <w:szCs w:val="24"/>
        </w:rPr>
        <w:t>项目计划统筹及总体管理工作内容</w:t>
      </w:r>
    </w:p>
    <w:p w14:paraId="7EC285E0">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建立工程监理（含项目管理）组织机构，制订项目总体控制目标，及各阶段目标；协调各项目各层面、各相关单位、各项工作关系，协调项目外部关系；定期（每周）组织召开工程例会或各项专题会，汇报项目总体进展，研究解决存在问题。具体包括：</w:t>
      </w:r>
    </w:p>
    <w:p w14:paraId="0796E37B">
      <w:pPr>
        <w:topLinePunct/>
        <w:adjustRightInd w:val="0"/>
        <w:snapToGrid w:val="0"/>
        <w:spacing w:line="480" w:lineRule="exact"/>
        <w:ind w:firstLine="498" w:firstLineChars="200"/>
        <w:rPr>
          <w:rFonts w:ascii="Times New Roman" w:hAnsi="Times New Roman"/>
          <w:b/>
          <w:bCs/>
          <w:snapToGrid w:val="0"/>
          <w:spacing w:val="4"/>
          <w:kern w:val="0"/>
          <w:sz w:val="24"/>
        </w:rPr>
      </w:pPr>
      <w:r>
        <w:rPr>
          <w:rFonts w:hint="eastAsia" w:ascii="Times New Roman" w:hAnsi="Times New Roman"/>
          <w:b/>
          <w:bCs/>
          <w:snapToGrid w:val="0"/>
          <w:spacing w:val="4"/>
          <w:kern w:val="0"/>
          <w:sz w:val="24"/>
        </w:rPr>
        <w:t>（1）需求管理</w:t>
      </w:r>
    </w:p>
    <w:p w14:paraId="42A197F6">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①对项目建设功能、规模、标准进行充分研究，实施过程中与委托人的沟通协调，将业主的功能需求落实到设计任务书、设计文件、造价文件中。</w:t>
      </w:r>
    </w:p>
    <w:p w14:paraId="4C4F8DA3">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②对项目初步设计与概算文件、施工图设计与施工图预算进行分析，确保在不突破项目投资概算的前提下完成建设内容。</w:t>
      </w:r>
    </w:p>
    <w:p w14:paraId="22F974D1">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③对项目的建设条件进行分析，了解场地周边情况，如交通、临时设施、施工条件向承包人作好交底工作，会同承包人共同研究施工组织方案的可行性。</w:t>
      </w:r>
    </w:p>
    <w:p w14:paraId="57033E28">
      <w:pPr>
        <w:topLinePunct/>
        <w:adjustRightInd w:val="0"/>
        <w:snapToGrid w:val="0"/>
        <w:spacing w:line="480" w:lineRule="exact"/>
        <w:ind w:firstLine="420" w:firstLineChars="200"/>
        <w:rPr>
          <w:rFonts w:ascii="Times New Roman" w:hAnsi="Times New Roman"/>
          <w:b/>
          <w:bCs/>
          <w:snapToGrid w:val="0"/>
          <w:spacing w:val="4"/>
          <w:kern w:val="0"/>
          <w:sz w:val="24"/>
        </w:rPr>
      </w:pPr>
      <w:r>
        <w:rPr>
          <w:rFonts w:hint="eastAsia" w:ascii="宋体" w:hAnsi="宋体" w:cs="宋体"/>
          <w:szCs w:val="21"/>
        </w:rPr>
        <w:t>▲</w:t>
      </w:r>
      <w:r>
        <w:rPr>
          <w:rFonts w:hint="eastAsia" w:ascii="Times New Roman" w:hAnsi="Times New Roman"/>
          <w:b/>
          <w:bCs/>
          <w:snapToGrid w:val="0"/>
          <w:spacing w:val="4"/>
          <w:kern w:val="0"/>
          <w:sz w:val="24"/>
        </w:rPr>
        <w:t>（</w:t>
      </w:r>
      <w:r>
        <w:rPr>
          <w:rFonts w:hint="eastAsia"/>
          <w:b/>
          <w:bCs/>
          <w:snapToGrid w:val="0"/>
          <w:spacing w:val="4"/>
          <w:kern w:val="0"/>
          <w:sz w:val="24"/>
        </w:rPr>
        <w:t>2</w:t>
      </w:r>
      <w:r>
        <w:rPr>
          <w:rFonts w:hint="eastAsia" w:ascii="Times New Roman" w:hAnsi="Times New Roman"/>
          <w:b/>
          <w:bCs/>
          <w:snapToGrid w:val="0"/>
          <w:spacing w:val="4"/>
          <w:kern w:val="0"/>
          <w:sz w:val="24"/>
        </w:rPr>
        <w:t>）全过程工程档案管理</w:t>
      </w:r>
    </w:p>
    <w:p w14:paraId="32746245">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监理人须制定并监督项目全过程工程可视化档案管理，对项目相关资料（施工合同、支付凭证、现场照片等）做好电子化建档管理；规范项目进展照片的拍摄内容（主体工程/控制性节点），确保照片清晰，主题突出，能准确反应主要或代表性工程/点位建设进度，每月/季度协助委托人在国家重大项目库平台上传项目照片，汇报项目进展等工作。</w:t>
      </w:r>
    </w:p>
    <w:p w14:paraId="797CF615">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如监理人未按本款要求建立或维护工程档案，导致资料缺失、上传延误或信息失实，每发生一次，视为一般违约，承担一般违约责任1次；情节严重或造成委托人被上级主管部门通报、影响项目验收或审计的，视为严重违约，承担严重违约责任1次。</w:t>
      </w:r>
    </w:p>
    <w:p w14:paraId="35EAAD76">
      <w:pPr>
        <w:topLinePunct/>
        <w:adjustRightInd w:val="0"/>
        <w:snapToGrid w:val="0"/>
        <w:spacing w:line="480" w:lineRule="exact"/>
        <w:ind w:firstLine="498" w:firstLineChars="200"/>
        <w:rPr>
          <w:rFonts w:ascii="Times New Roman" w:hAnsi="Times New Roman"/>
          <w:b/>
          <w:bCs/>
          <w:snapToGrid w:val="0"/>
          <w:spacing w:val="4"/>
          <w:kern w:val="0"/>
          <w:sz w:val="24"/>
        </w:rPr>
      </w:pPr>
      <w:r>
        <w:rPr>
          <w:rFonts w:hint="eastAsia" w:ascii="Times New Roman" w:hAnsi="Times New Roman"/>
          <w:b/>
          <w:bCs/>
          <w:snapToGrid w:val="0"/>
          <w:spacing w:val="4"/>
          <w:kern w:val="0"/>
          <w:sz w:val="24"/>
        </w:rPr>
        <w:t>（</w:t>
      </w:r>
      <w:r>
        <w:rPr>
          <w:rFonts w:hint="eastAsia"/>
          <w:b/>
          <w:bCs/>
          <w:snapToGrid w:val="0"/>
          <w:spacing w:val="4"/>
          <w:kern w:val="0"/>
          <w:sz w:val="24"/>
        </w:rPr>
        <w:t>3</w:t>
      </w:r>
      <w:r>
        <w:rPr>
          <w:rFonts w:hint="eastAsia" w:ascii="Times New Roman" w:hAnsi="Times New Roman"/>
          <w:b/>
          <w:bCs/>
          <w:snapToGrid w:val="0"/>
          <w:spacing w:val="4"/>
          <w:kern w:val="0"/>
          <w:sz w:val="24"/>
        </w:rPr>
        <w:t>）设计管理</w:t>
      </w:r>
    </w:p>
    <w:p w14:paraId="070D4AC8">
      <w:pPr>
        <w:topLinePunct/>
        <w:adjustRightInd w:val="0"/>
        <w:snapToGrid w:val="0"/>
        <w:spacing w:line="480" w:lineRule="exact"/>
        <w:ind w:firstLine="496" w:firstLineChars="200"/>
        <w:rPr>
          <w:rFonts w:ascii="宋体" w:hAnsi="宋体"/>
          <w:snapToGrid w:val="0"/>
          <w:spacing w:val="4"/>
          <w:kern w:val="0"/>
          <w:sz w:val="24"/>
          <w:szCs w:val="24"/>
          <w:highlight w:val="none"/>
        </w:rPr>
      </w:pPr>
      <w:r>
        <w:rPr>
          <w:rFonts w:hint="eastAsia" w:ascii="宋体" w:hAnsi="宋体"/>
          <w:snapToGrid w:val="0"/>
          <w:spacing w:val="4"/>
          <w:kern w:val="0"/>
          <w:sz w:val="24"/>
          <w:szCs w:val="24"/>
          <w:highlight w:val="none"/>
        </w:rPr>
        <w:t>①对本工程设计全过程的设计</w:t>
      </w:r>
      <w:r>
        <w:rPr>
          <w:rFonts w:hint="eastAsia" w:ascii="宋体" w:hAnsi="宋体" w:cs="宋体"/>
          <w:sz w:val="24"/>
          <w:szCs w:val="24"/>
          <w:highlight w:val="none"/>
          <w:u w:val="single"/>
        </w:rPr>
        <w:t>（造价编控服务、施工图技术审查服务除外）</w:t>
      </w:r>
      <w:r>
        <w:rPr>
          <w:rFonts w:hint="eastAsia" w:ascii="宋体" w:hAnsi="宋体"/>
          <w:snapToGrid w:val="0"/>
          <w:spacing w:val="4"/>
          <w:kern w:val="0"/>
          <w:sz w:val="24"/>
          <w:szCs w:val="24"/>
          <w:highlight w:val="none"/>
        </w:rPr>
        <w:t>质量和进度、投资控制、合同、信息管理等进行全过程管理，制定设计管理工作各项制度，明确设计管理的工作目标、管理模式、管理方法等，使工程项目建设达到预期的质量、工期和经济目标。审查设计进度计划，若与阶段目标相违背，应采取纠偏措施。</w:t>
      </w:r>
    </w:p>
    <w:p w14:paraId="23FA9600">
      <w:pPr>
        <w:topLinePunct/>
        <w:adjustRightInd w:val="0"/>
        <w:snapToGrid w:val="0"/>
        <w:spacing w:line="480" w:lineRule="exact"/>
        <w:ind w:firstLine="496" w:firstLineChars="200"/>
        <w:rPr>
          <w:rFonts w:ascii="宋体" w:hAnsi="宋体"/>
          <w:snapToGrid w:val="0"/>
          <w:spacing w:val="4"/>
          <w:kern w:val="0"/>
          <w:sz w:val="24"/>
          <w:szCs w:val="24"/>
          <w:highlight w:val="none"/>
        </w:rPr>
      </w:pPr>
      <w:r>
        <w:rPr>
          <w:rFonts w:hint="eastAsia" w:ascii="宋体" w:hAnsi="宋体"/>
          <w:snapToGrid w:val="0"/>
          <w:spacing w:val="4"/>
          <w:kern w:val="0"/>
          <w:sz w:val="24"/>
          <w:szCs w:val="24"/>
          <w:highlight w:val="none"/>
        </w:rPr>
        <w:t>②根据使用功能需求条件，要求设计单位按时提交合格的设计成果，检查并控制设计单位的设计进度，检查设计的功能性是否满足使用要求。</w:t>
      </w:r>
    </w:p>
    <w:p w14:paraId="5F595271">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highlight w:val="none"/>
        </w:rPr>
        <w:t>③参与各阶段设计图纸评审或专题会议，提出相关人优化意见。跟踪方案设计评审意见的落实及修改情况，并跟进设计工作进度。审核设计变更的技术、经济合理性、设</w:t>
      </w:r>
      <w:r>
        <w:rPr>
          <w:rFonts w:hint="eastAsia" w:ascii="宋体" w:hAnsi="宋体"/>
          <w:snapToGrid w:val="0"/>
          <w:spacing w:val="4"/>
          <w:kern w:val="0"/>
          <w:sz w:val="24"/>
          <w:szCs w:val="24"/>
        </w:rPr>
        <w:t>计质量和深度，发布变更指令，对重大设计变更要有详细报告，包括涉及的费用变更、技术问题、承包人案的变化和工期影响等，必要时开展价值工程研究解决。</w:t>
      </w:r>
    </w:p>
    <w:p w14:paraId="00BCAE18">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④协助委托人组织专项审查，包括但不限于：交通评估的审查、环境影响评价的审查、消防性能化论证、建筑节能审查等。</w:t>
      </w:r>
    </w:p>
    <w:p w14:paraId="616F778E">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⑤负责编写设计阶段各类管理文件、设置预控要点,制定有关设计管理工作制度及工作标准,编写设计管理规划等，并采用各项设计管理控制措施以保证设计管理工作的顺利实施。</w:t>
      </w:r>
    </w:p>
    <w:p w14:paraId="0C4A5C34">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宋体" w:hAnsi="宋体"/>
          <w:snapToGrid w:val="0"/>
          <w:spacing w:val="4"/>
          <w:kern w:val="0"/>
          <w:sz w:val="24"/>
          <w:szCs w:val="24"/>
        </w:rPr>
        <w:t>⑥组织周/月进度例会、设计例会，按时向委托人报送设计管理简报和管理专项报告。定期进行设计阶段管理小结，定期向委托人报告设计进展情况，设计中存在的问题及整改措施以及上个周期的整改措施落实情况。参与重大、疑难技术问题的处理。</w:t>
      </w:r>
    </w:p>
    <w:p w14:paraId="1BBFFF20">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⑦对项目全过程进行投资控制管理。负责组织施工总承包单位/设计单位进行工程设计优化、技术经济方案比选并进行投资控制，要求限额设计。</w:t>
      </w:r>
    </w:p>
    <w:p w14:paraId="2FAB2600">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⑧处理设计合同条款中有关的索赔与反索赔事宜，处理设计合同纠纷，为仲裁提供正确的全面的维护委托人正当权益的法律凭证。</w:t>
      </w:r>
    </w:p>
    <w:p w14:paraId="53DD8A64">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⑨对重要的需求、设计调整及相关的专题会议、协调会议应做好完备的台帐管理，做到易查看、可追溯。</w:t>
      </w:r>
    </w:p>
    <w:p w14:paraId="75130799">
      <w:pPr>
        <w:topLinePunct/>
        <w:adjustRightInd w:val="0"/>
        <w:snapToGrid w:val="0"/>
        <w:spacing w:line="480" w:lineRule="exact"/>
        <w:ind w:firstLine="420" w:firstLineChars="200"/>
        <w:rPr>
          <w:rFonts w:ascii="Times New Roman" w:hAnsi="Times New Roman"/>
          <w:b/>
          <w:bCs/>
          <w:snapToGrid w:val="0"/>
          <w:spacing w:val="4"/>
          <w:kern w:val="0"/>
          <w:sz w:val="24"/>
        </w:rPr>
      </w:pPr>
      <w:r>
        <w:rPr>
          <w:rFonts w:hint="eastAsia" w:ascii="宋体" w:hAnsi="宋体" w:cs="宋体"/>
          <w:szCs w:val="21"/>
        </w:rPr>
        <w:t>▲</w:t>
      </w:r>
      <w:r>
        <w:rPr>
          <w:rFonts w:hint="eastAsia" w:ascii="Times New Roman" w:hAnsi="Times New Roman"/>
          <w:b/>
          <w:bCs/>
          <w:snapToGrid w:val="0"/>
          <w:spacing w:val="4"/>
          <w:kern w:val="0"/>
          <w:sz w:val="24"/>
        </w:rPr>
        <w:t>（</w:t>
      </w:r>
      <w:r>
        <w:rPr>
          <w:rFonts w:hint="eastAsia"/>
          <w:b/>
          <w:bCs/>
          <w:snapToGrid w:val="0"/>
          <w:spacing w:val="4"/>
          <w:kern w:val="0"/>
          <w:sz w:val="24"/>
        </w:rPr>
        <w:t>4</w:t>
      </w:r>
      <w:r>
        <w:rPr>
          <w:rFonts w:hint="eastAsia" w:ascii="Times New Roman" w:hAnsi="Times New Roman"/>
          <w:b/>
          <w:bCs/>
          <w:snapToGrid w:val="0"/>
          <w:spacing w:val="4"/>
          <w:kern w:val="0"/>
          <w:sz w:val="24"/>
        </w:rPr>
        <w:t>）项目总体进度计划管理</w:t>
      </w:r>
    </w:p>
    <w:p w14:paraId="761780A6">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①确定进度管理总体目标及节点目标，编制项目进度计划及控制措施，分析影响进度的主要因素，对进度计划的实施进行检查和调整，确保项目进展符合总体目标要求。</w:t>
      </w:r>
    </w:p>
    <w:p w14:paraId="7EAF5B1C">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②审核施工总承包人编制的工作进度计划和保证措施，分析节点目标的可实现性，动态跟踪计划实施进展并进行分析，并提出应对措施和意见，最后形成项目的总体进度计划报委托人审批，并负责按审批后的计划落实，落实相关单位实施。</w:t>
      </w:r>
    </w:p>
    <w:p w14:paraId="28473649">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③记录各节点要求进度的具体时间，对预判工期超出的情况应及时预警；对非承包人原因造成工期延误的情况，应及时办理工期延期记录和工期签证（在延误事件发生时当天记录，结束后10日内办结，包括相关单位签认并形成书面记录）。</w:t>
      </w:r>
    </w:p>
    <w:p w14:paraId="4EFA64C3">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④须按照经审核的进度网络图对关键线路严格管控，每周向委托人提供各项目进度分析报告和进度纠偏建议。</w:t>
      </w:r>
    </w:p>
    <w:p w14:paraId="76F8694C">
      <w:pPr>
        <w:topLinePunct/>
        <w:adjustRightInd w:val="0"/>
        <w:snapToGrid w:val="0"/>
        <w:spacing w:line="480" w:lineRule="exact"/>
        <w:ind w:firstLine="420" w:firstLineChars="200"/>
        <w:rPr>
          <w:rFonts w:ascii="Times New Roman" w:hAnsi="Times New Roman"/>
          <w:b/>
          <w:bCs/>
          <w:snapToGrid w:val="0"/>
          <w:spacing w:val="4"/>
          <w:kern w:val="0"/>
          <w:sz w:val="24"/>
        </w:rPr>
      </w:pPr>
      <w:r>
        <w:rPr>
          <w:rFonts w:hint="eastAsia" w:ascii="宋体" w:hAnsi="宋体" w:cs="宋体"/>
          <w:szCs w:val="21"/>
        </w:rPr>
        <w:t>▲</w:t>
      </w:r>
      <w:r>
        <w:rPr>
          <w:rFonts w:hint="eastAsia" w:ascii="Times New Roman" w:hAnsi="Times New Roman"/>
          <w:b/>
          <w:bCs/>
          <w:snapToGrid w:val="0"/>
          <w:spacing w:val="4"/>
          <w:kern w:val="0"/>
          <w:sz w:val="24"/>
        </w:rPr>
        <w:t>（</w:t>
      </w:r>
      <w:r>
        <w:rPr>
          <w:rFonts w:hint="eastAsia"/>
          <w:b/>
          <w:bCs/>
          <w:snapToGrid w:val="0"/>
          <w:spacing w:val="4"/>
          <w:kern w:val="0"/>
          <w:sz w:val="24"/>
        </w:rPr>
        <w:t>5</w:t>
      </w:r>
      <w:r>
        <w:rPr>
          <w:rFonts w:hint="eastAsia" w:ascii="Times New Roman" w:hAnsi="Times New Roman"/>
          <w:b/>
          <w:bCs/>
          <w:snapToGrid w:val="0"/>
          <w:spacing w:val="4"/>
          <w:kern w:val="0"/>
          <w:sz w:val="24"/>
        </w:rPr>
        <w:t>）投资管理</w:t>
      </w:r>
    </w:p>
    <w:p w14:paraId="32EC8E5C">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①确定投资控制目标，制订投资管理制度、措施和工作程序，做好决策、设计、招标、施工、结算各阶段的投资控制。对施工图预算、工程量清单等经济技术指标进行审核。各年的投资控制应结合委托人年度投资计划实施。</w:t>
      </w:r>
    </w:p>
    <w:p w14:paraId="381E1BBD">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 xml:space="preserve">②按委托人要求和规定审批工程进度款支付，审核工程变更及签证并送委托人审批，做好用款计划、月报、年报、年度投资计划等统计工作，建立各项目的合同、支付、变更、预结算等各种台帐； </w:t>
      </w:r>
    </w:p>
    <w:p w14:paraId="761B03F7">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③工程投资控制月报制度</w:t>
      </w:r>
    </w:p>
    <w:p w14:paraId="05740090">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Times New Roman" w:hAnsi="Times New Roman"/>
          <w:snapToGrid w:val="0"/>
          <w:spacing w:val="4"/>
          <w:kern w:val="0"/>
          <w:sz w:val="24"/>
        </w:rPr>
        <w:t xml:space="preserve">  </w:t>
      </w:r>
      <w:r>
        <w:rPr>
          <w:rFonts w:hint="eastAsia" w:ascii="宋体" w:hAnsi="宋体"/>
          <w:snapToGrid w:val="0"/>
          <w:spacing w:val="4"/>
          <w:kern w:val="0"/>
          <w:sz w:val="24"/>
          <w:szCs w:val="24"/>
        </w:rPr>
        <w:t xml:space="preserve"> 1） 每月25日前，应向委托人提供当月的投资控制月报。</w:t>
      </w:r>
    </w:p>
    <w:p w14:paraId="4E464218">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 xml:space="preserve">   2） 投资控制月报应包括上月工程款支付情况、工程形象进度、工程完成投资额、承包商人员和机械设备投入情况、工程质量情况、检测资料、数据、工程设计变更及投资增加情况，提出问题，查找原因，并提出下月的工作建议。</w:t>
      </w:r>
    </w:p>
    <w:p w14:paraId="78626BE1">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 xml:space="preserve">   3） 对于委托人有特殊要求的情况，应向委托人及时提供投资控制报告，如周报、专题报告等。</w:t>
      </w:r>
    </w:p>
    <w:p w14:paraId="72D19CC8">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④投资控制工作总结制度</w:t>
      </w:r>
    </w:p>
    <w:p w14:paraId="6E78A335">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 xml:space="preserve">   1） 在工程竣工验收后，应向委托人提交该项目的工程投资工作总结，该总结作为工程咨询工作的一项竣工验收资料，并报送委托人资料室备案。</w:t>
      </w:r>
    </w:p>
    <w:p w14:paraId="251A2084">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 xml:space="preserve">   2） 投资控制工作总结报告内容应包括并不限于：工程概况及建设全过程情况、造价咨询工作手段、造价管理情况，设计变更的内容、原因、造价审计中存在的问题及解决办法，对项目造价管理工作的评价与分析（包括但不限于概算与结算情况对比分析），工程遗留问题的总结与分析等，并提出合理的建议。</w:t>
      </w:r>
    </w:p>
    <w:p w14:paraId="765E2FF5">
      <w:pPr>
        <w:topLinePunct/>
        <w:adjustRightInd w:val="0"/>
        <w:snapToGrid w:val="0"/>
        <w:spacing w:line="480" w:lineRule="exact"/>
        <w:ind w:firstLine="498" w:firstLineChars="200"/>
        <w:rPr>
          <w:rFonts w:ascii="Times New Roman" w:hAnsi="Times New Roman"/>
          <w:b/>
          <w:bCs/>
          <w:snapToGrid w:val="0"/>
          <w:spacing w:val="4"/>
          <w:kern w:val="0"/>
          <w:sz w:val="24"/>
        </w:rPr>
      </w:pPr>
      <w:r>
        <w:rPr>
          <w:rFonts w:hint="eastAsia" w:ascii="Times New Roman" w:hAnsi="Times New Roman"/>
          <w:b/>
          <w:bCs/>
          <w:snapToGrid w:val="0"/>
          <w:spacing w:val="4"/>
          <w:kern w:val="0"/>
          <w:sz w:val="24"/>
        </w:rPr>
        <w:t>（</w:t>
      </w:r>
      <w:r>
        <w:rPr>
          <w:rFonts w:hint="eastAsia"/>
          <w:b/>
          <w:bCs/>
          <w:snapToGrid w:val="0"/>
          <w:spacing w:val="4"/>
          <w:kern w:val="0"/>
          <w:sz w:val="24"/>
        </w:rPr>
        <w:t>6</w:t>
      </w:r>
      <w:r>
        <w:rPr>
          <w:rFonts w:hint="eastAsia" w:ascii="Times New Roman" w:hAnsi="Times New Roman"/>
          <w:b/>
          <w:bCs/>
          <w:snapToGrid w:val="0"/>
          <w:spacing w:val="4"/>
          <w:kern w:val="0"/>
          <w:sz w:val="24"/>
        </w:rPr>
        <w:t>） BIM技术管理</w:t>
      </w:r>
    </w:p>
    <w:p w14:paraId="1662B933">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督促并检查施工总承包单位运用BIM技术完成相关工作（包括各专业模型创建及深化、管线综合、场地布置模拟、材料设备工程量统计等）并收集相关应用成果；督促施工总承包单位在项目不同阶段基于各BIM模型进行可视化交底、施工；监督施工总承包单位对BIM模型进行实时更新与维护，准确反映施工实际情况；根据项目实际进度等情况，制定BIM实施计划并实时调整，为项目部署BIM工作和制定BIM工作决策向委托人提供建议和参考。监督施工总承包单位在安全文明施工和智慧工地充分应用BIM技术。协助委托人对BIM应用成果进行验收；督促施工总承包按要求提交模型、资料等，并负责归档。</w:t>
      </w:r>
    </w:p>
    <w:p w14:paraId="6467A248">
      <w:pPr>
        <w:topLinePunct/>
        <w:adjustRightInd w:val="0"/>
        <w:snapToGrid w:val="0"/>
        <w:spacing w:line="480" w:lineRule="exact"/>
        <w:ind w:firstLine="498" w:firstLineChars="200"/>
        <w:rPr>
          <w:rFonts w:ascii="Times New Roman" w:hAnsi="Times New Roman"/>
          <w:b/>
          <w:bCs/>
          <w:snapToGrid w:val="0"/>
          <w:spacing w:val="4"/>
          <w:kern w:val="0"/>
          <w:sz w:val="24"/>
        </w:rPr>
      </w:pPr>
      <w:r>
        <w:rPr>
          <w:rFonts w:hint="eastAsia" w:ascii="Times New Roman" w:hAnsi="Times New Roman"/>
          <w:b/>
          <w:bCs/>
          <w:snapToGrid w:val="0"/>
          <w:spacing w:val="4"/>
          <w:kern w:val="0"/>
          <w:sz w:val="24"/>
        </w:rPr>
        <w:t>（</w:t>
      </w:r>
      <w:r>
        <w:rPr>
          <w:rFonts w:hint="eastAsia"/>
          <w:b/>
          <w:bCs/>
          <w:snapToGrid w:val="0"/>
          <w:spacing w:val="4"/>
          <w:kern w:val="0"/>
          <w:sz w:val="24"/>
        </w:rPr>
        <w:t>7</w:t>
      </w:r>
      <w:r>
        <w:rPr>
          <w:rFonts w:hint="eastAsia" w:ascii="Times New Roman" w:hAnsi="Times New Roman"/>
          <w:b/>
          <w:bCs/>
          <w:snapToGrid w:val="0"/>
          <w:spacing w:val="4"/>
          <w:kern w:val="0"/>
          <w:sz w:val="24"/>
        </w:rPr>
        <w:t>）报建报批管理</w:t>
      </w:r>
    </w:p>
    <w:p w14:paraId="76C98C4E">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必要时对项目建设需要开展的相关专题研究以及需要办理的相关手续进行梳理，督促审核施工总承包单位及时办理项目前期及工程建设期间的各项报批报建手续（必要时，包括但不限于：办理土地、规划、建设、环保、人防、消防、气象、用电、用水、路口、水土保持、市政接驳等）。</w:t>
      </w:r>
    </w:p>
    <w:p w14:paraId="2D18789C">
      <w:pPr>
        <w:topLinePunct/>
        <w:adjustRightInd w:val="0"/>
        <w:snapToGrid w:val="0"/>
        <w:spacing w:line="480" w:lineRule="exact"/>
        <w:ind w:firstLine="498" w:firstLineChars="200"/>
        <w:rPr>
          <w:rFonts w:ascii="Times New Roman" w:hAnsi="Times New Roman"/>
          <w:b/>
          <w:bCs/>
          <w:snapToGrid w:val="0"/>
          <w:spacing w:val="4"/>
          <w:kern w:val="0"/>
          <w:sz w:val="24"/>
        </w:rPr>
      </w:pPr>
      <w:r>
        <w:rPr>
          <w:rFonts w:hint="eastAsia"/>
          <w:b/>
          <w:bCs/>
          <w:snapToGrid w:val="0"/>
          <w:spacing w:val="4"/>
          <w:kern w:val="0"/>
          <w:sz w:val="24"/>
        </w:rPr>
        <w:t>（8）</w:t>
      </w:r>
      <w:r>
        <w:rPr>
          <w:rFonts w:hint="eastAsia" w:ascii="Times New Roman" w:hAnsi="Times New Roman"/>
          <w:b/>
          <w:bCs/>
          <w:snapToGrid w:val="0"/>
          <w:spacing w:val="4"/>
          <w:kern w:val="0"/>
          <w:sz w:val="24"/>
        </w:rPr>
        <w:t>具体监理服务内容</w:t>
      </w:r>
      <w:r>
        <w:rPr>
          <w:rFonts w:hint="eastAsia"/>
          <w:b/>
          <w:bCs/>
          <w:snapToGrid w:val="0"/>
          <w:spacing w:val="4"/>
          <w:kern w:val="0"/>
          <w:sz w:val="24"/>
        </w:rPr>
        <w:t>及项目监理机构的建立</w:t>
      </w:r>
      <w:r>
        <w:rPr>
          <w:rFonts w:hint="eastAsia" w:ascii="Times New Roman" w:hAnsi="Times New Roman"/>
          <w:b/>
          <w:bCs/>
          <w:snapToGrid w:val="0"/>
          <w:spacing w:val="4"/>
          <w:kern w:val="0"/>
          <w:sz w:val="24"/>
        </w:rPr>
        <w:t>详见附件1。</w:t>
      </w:r>
    </w:p>
    <w:p w14:paraId="1ED7BE48">
      <w:pPr>
        <w:topLinePunct/>
        <w:adjustRightInd w:val="0"/>
        <w:snapToGrid w:val="0"/>
        <w:spacing w:line="480" w:lineRule="exact"/>
        <w:outlineLvl w:val="1"/>
        <w:rPr>
          <w:b/>
          <w:snapToGrid w:val="0"/>
          <w:spacing w:val="4"/>
          <w:kern w:val="0"/>
          <w:sz w:val="24"/>
        </w:rPr>
      </w:pPr>
    </w:p>
    <w:p w14:paraId="55ABA02E">
      <w:pPr>
        <w:topLinePunct/>
        <w:adjustRightInd w:val="0"/>
        <w:snapToGrid w:val="0"/>
        <w:spacing w:line="480" w:lineRule="exact"/>
        <w:outlineLvl w:val="1"/>
        <w:rPr>
          <w:rFonts w:ascii="Times New Roman" w:hAnsi="Times New Roman"/>
          <w:b/>
          <w:snapToGrid w:val="0"/>
          <w:spacing w:val="4"/>
          <w:kern w:val="0"/>
          <w:sz w:val="24"/>
        </w:rPr>
      </w:pPr>
      <w:r>
        <w:rPr>
          <w:rFonts w:hint="eastAsia"/>
          <w:b/>
          <w:snapToGrid w:val="0"/>
          <w:spacing w:val="4"/>
          <w:kern w:val="0"/>
          <w:sz w:val="24"/>
        </w:rPr>
        <w:t>二</w:t>
      </w:r>
      <w:r>
        <w:rPr>
          <w:rFonts w:hint="eastAsia" w:ascii="Times New Roman" w:hAnsi="Times New Roman"/>
          <w:b/>
          <w:snapToGrid w:val="0"/>
          <w:spacing w:val="4"/>
          <w:kern w:val="0"/>
          <w:sz w:val="24"/>
        </w:rPr>
        <w:t>、适用的法律法规及监理依据</w:t>
      </w:r>
    </w:p>
    <w:p w14:paraId="342CDE40">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 xml:space="preserve">1. </w:t>
      </w:r>
      <w:r>
        <w:rPr>
          <w:snapToGrid w:val="0"/>
          <w:spacing w:val="4"/>
          <w:kern w:val="0"/>
          <w:sz w:val="24"/>
        </w:rPr>
        <w:t>中华人民共和国的法律、法规、</w:t>
      </w:r>
      <w:r>
        <w:rPr>
          <w:rFonts w:hint="eastAsia"/>
          <w:snapToGrid w:val="0"/>
          <w:spacing w:val="4"/>
          <w:kern w:val="0"/>
          <w:sz w:val="24"/>
        </w:rPr>
        <w:t>本项目</w:t>
      </w:r>
      <w:r>
        <w:rPr>
          <w:snapToGrid w:val="0"/>
          <w:spacing w:val="4"/>
          <w:kern w:val="0"/>
          <w:sz w:val="24"/>
        </w:rPr>
        <w:t>约定的部门规章及工程所在地的地方法规和规章</w:t>
      </w:r>
      <w:r>
        <w:rPr>
          <w:rFonts w:hint="eastAsia"/>
          <w:snapToGrid w:val="0"/>
          <w:spacing w:val="4"/>
          <w:kern w:val="0"/>
          <w:sz w:val="24"/>
        </w:rPr>
        <w:t>，以及《广州市建设工程监理合同》（SF-2019-0206）相关约定</w:t>
      </w:r>
      <w:r>
        <w:rPr>
          <w:snapToGrid w:val="0"/>
          <w:spacing w:val="4"/>
          <w:kern w:val="0"/>
          <w:sz w:val="24"/>
        </w:rPr>
        <w:t>；</w:t>
      </w:r>
    </w:p>
    <w:p w14:paraId="3857196A">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 xml:space="preserve">2. </w:t>
      </w:r>
      <w:r>
        <w:rPr>
          <w:snapToGrid w:val="0"/>
          <w:spacing w:val="4"/>
          <w:kern w:val="0"/>
          <w:sz w:val="24"/>
        </w:rPr>
        <w:t>《建设工程监理规范》（GB/T 50319-2013）；</w:t>
      </w:r>
    </w:p>
    <w:p w14:paraId="0076BB06">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 xml:space="preserve">3. </w:t>
      </w:r>
      <w:r>
        <w:rPr>
          <w:snapToGrid w:val="0"/>
          <w:spacing w:val="4"/>
          <w:kern w:val="0"/>
          <w:sz w:val="24"/>
        </w:rPr>
        <w:t>国家和地方现行的建设工程质量评定标准、设计及施工验收规范；</w:t>
      </w:r>
    </w:p>
    <w:p w14:paraId="65F17B8A">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 xml:space="preserve">4. </w:t>
      </w:r>
      <w:r>
        <w:rPr>
          <w:snapToGrid w:val="0"/>
          <w:spacing w:val="4"/>
          <w:kern w:val="0"/>
          <w:sz w:val="24"/>
        </w:rPr>
        <w:t>经批准的施工图纸及说明，以及经图纸会审确定的修改设计通知书；</w:t>
      </w:r>
    </w:p>
    <w:p w14:paraId="7C1D5D55">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5. 本项目</w:t>
      </w:r>
      <w:r>
        <w:rPr>
          <w:snapToGrid w:val="0"/>
          <w:spacing w:val="4"/>
          <w:kern w:val="0"/>
          <w:sz w:val="24"/>
        </w:rPr>
        <w:t>工程的设计、施工、安装、招投标文件及合同；</w:t>
      </w:r>
    </w:p>
    <w:p w14:paraId="0D928962">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 xml:space="preserve">6. </w:t>
      </w:r>
      <w:r>
        <w:rPr>
          <w:snapToGrid w:val="0"/>
          <w:spacing w:val="4"/>
          <w:kern w:val="0"/>
          <w:sz w:val="24"/>
        </w:rPr>
        <w:t>委托人发出的有关</w:t>
      </w:r>
      <w:r>
        <w:rPr>
          <w:rFonts w:hint="eastAsia"/>
          <w:snapToGrid w:val="0"/>
          <w:spacing w:val="4"/>
          <w:kern w:val="0"/>
          <w:sz w:val="24"/>
        </w:rPr>
        <w:t>本项目</w:t>
      </w:r>
      <w:r>
        <w:rPr>
          <w:snapToGrid w:val="0"/>
          <w:spacing w:val="4"/>
          <w:kern w:val="0"/>
          <w:sz w:val="24"/>
        </w:rPr>
        <w:t>工程建设的指令；</w:t>
      </w:r>
    </w:p>
    <w:p w14:paraId="49AD1FAF">
      <w:pPr>
        <w:topLinePunct/>
        <w:adjustRightInd w:val="0"/>
        <w:snapToGrid w:val="0"/>
        <w:spacing w:line="480" w:lineRule="exact"/>
        <w:ind w:firstLine="496" w:firstLineChars="200"/>
        <w:rPr>
          <w:rFonts w:ascii="宋体" w:hAnsi="宋体" w:cs="宋体"/>
        </w:rPr>
      </w:pPr>
      <w:r>
        <w:rPr>
          <w:rFonts w:hint="eastAsia"/>
          <w:snapToGrid w:val="0"/>
          <w:spacing w:val="4"/>
          <w:kern w:val="0"/>
          <w:sz w:val="24"/>
        </w:rPr>
        <w:t xml:space="preserve">7. </w:t>
      </w:r>
      <w:r>
        <w:rPr>
          <w:snapToGrid w:val="0"/>
          <w:spacing w:val="4"/>
          <w:kern w:val="0"/>
          <w:sz w:val="24"/>
        </w:rPr>
        <w:t>委托人制定的有关</w:t>
      </w:r>
      <w:r>
        <w:rPr>
          <w:rFonts w:hint="eastAsia"/>
          <w:snapToGrid w:val="0"/>
          <w:spacing w:val="4"/>
          <w:kern w:val="0"/>
          <w:sz w:val="24"/>
        </w:rPr>
        <w:t>本项目</w:t>
      </w:r>
      <w:r>
        <w:rPr>
          <w:snapToGrid w:val="0"/>
          <w:spacing w:val="4"/>
          <w:kern w:val="0"/>
          <w:sz w:val="24"/>
        </w:rPr>
        <w:t>工程建设的管理制度。</w:t>
      </w:r>
    </w:p>
    <w:p w14:paraId="11A5676D">
      <w:pPr>
        <w:topLinePunct/>
        <w:adjustRightInd w:val="0"/>
        <w:snapToGrid w:val="0"/>
        <w:spacing w:line="480" w:lineRule="exact"/>
        <w:outlineLvl w:val="1"/>
        <w:rPr>
          <w:rFonts w:ascii="Times New Roman" w:hAnsi="Times New Roman"/>
          <w:b/>
          <w:snapToGrid w:val="0"/>
          <w:spacing w:val="4"/>
          <w:kern w:val="0"/>
          <w:sz w:val="24"/>
        </w:rPr>
      </w:pPr>
      <w:r>
        <w:rPr>
          <w:rFonts w:hint="eastAsia"/>
          <w:b/>
          <w:snapToGrid w:val="0"/>
          <w:spacing w:val="4"/>
          <w:kern w:val="0"/>
          <w:sz w:val="24"/>
        </w:rPr>
        <w:t>三</w:t>
      </w:r>
      <w:r>
        <w:rPr>
          <w:rFonts w:hint="eastAsia" w:ascii="Times New Roman" w:hAnsi="Times New Roman"/>
          <w:b/>
          <w:snapToGrid w:val="0"/>
          <w:spacing w:val="4"/>
          <w:kern w:val="0"/>
          <w:sz w:val="24"/>
        </w:rPr>
        <w:t>、成果文件要求</w:t>
      </w:r>
    </w:p>
    <w:p w14:paraId="117D74D3">
      <w:pPr>
        <w:topLinePunct/>
        <w:adjustRightInd w:val="0"/>
        <w:snapToGrid w:val="0"/>
        <w:spacing w:line="480" w:lineRule="exact"/>
        <w:ind w:firstLine="496" w:firstLineChars="200"/>
        <w:outlineLvl w:val="2"/>
        <w:rPr>
          <w:rFonts w:ascii="Times New Roman" w:hAnsi="Times New Roman"/>
          <w:snapToGrid w:val="0"/>
          <w:spacing w:val="4"/>
          <w:kern w:val="0"/>
          <w:sz w:val="24"/>
        </w:rPr>
      </w:pPr>
      <w:r>
        <w:rPr>
          <w:rFonts w:hint="eastAsia" w:ascii="Times New Roman" w:hAnsi="Times New Roman"/>
          <w:snapToGrid w:val="0"/>
          <w:spacing w:val="4"/>
          <w:kern w:val="0"/>
          <w:sz w:val="24"/>
        </w:rPr>
        <w:t>按《建设工程监理规范》（GB/T50319-2013）要求执行，成果文件的组成包括但不限于：</w:t>
      </w:r>
    </w:p>
    <w:p w14:paraId="14F78D49">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（1）设计文件、建设工程监理合同及其他合同文件；</w:t>
      </w:r>
    </w:p>
    <w:p w14:paraId="77F3D9B2">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（2）监理规划、监理实施细则；</w:t>
      </w:r>
    </w:p>
    <w:p w14:paraId="60F379FF">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（3）设计交底和图纸会审会议纪要；</w:t>
      </w:r>
    </w:p>
    <w:p w14:paraId="779C210C">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（4）施工组织设计、（专项）施工方案、施工进度计划报审文件资料；</w:t>
      </w:r>
    </w:p>
    <w:p w14:paraId="3BACBB67">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（5）分包单位资格报审文件资料；</w:t>
      </w:r>
    </w:p>
    <w:p w14:paraId="6C9E2393">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（6）施工控制测量成果报验文件资料；</w:t>
      </w:r>
    </w:p>
    <w:p w14:paraId="09C7B159">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（7）总监理工程师任命书、工程开工令、暂停令、复工令、开工或复工报审文件资料；</w:t>
      </w:r>
    </w:p>
    <w:p w14:paraId="4CEB4905">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（8）工程材料、设备、构配件报验文件资料；</w:t>
      </w:r>
    </w:p>
    <w:p w14:paraId="795D2CAA">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（9）见证取样和平行检验文件资料；</w:t>
      </w:r>
    </w:p>
    <w:p w14:paraId="06876C86">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（10）工程质量检查报验资料及工程有关验收资料；</w:t>
      </w:r>
    </w:p>
    <w:p w14:paraId="145B0069">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（11）工程变更、费用索赔及工程延期文件资料；</w:t>
      </w:r>
    </w:p>
    <w:p w14:paraId="022B8AAC">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（12）工程计量、工程款支付文件资料；</w:t>
      </w:r>
    </w:p>
    <w:p w14:paraId="5B73A9BF">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（13）监理通知单、工作联系单与监理报告；</w:t>
      </w:r>
    </w:p>
    <w:p w14:paraId="7F43E63E">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（14）第一次工地会议、监理例会、专题会议等会议纪要；</w:t>
      </w:r>
    </w:p>
    <w:p w14:paraId="6AE4D1E8">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（15）监理月报、监理日志、旁站记录；</w:t>
      </w:r>
    </w:p>
    <w:p w14:paraId="67559502">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（16）工程质量或生产安全事故处理文件资料；</w:t>
      </w:r>
    </w:p>
    <w:p w14:paraId="594264F0">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（17）工程质量评估报告及竣工验收监理文件资料；</w:t>
      </w:r>
    </w:p>
    <w:p w14:paraId="632724A6">
      <w:pPr>
        <w:topLinePunct/>
        <w:adjustRightInd w:val="0"/>
        <w:snapToGrid w:val="0"/>
        <w:spacing w:line="480" w:lineRule="exact"/>
        <w:ind w:firstLine="496" w:firstLineChars="200"/>
        <w:rPr>
          <w:rFonts w:ascii="Times New Roman" w:hAnsi="Times New Roman"/>
          <w:b/>
          <w:snapToGrid w:val="0"/>
          <w:spacing w:val="4"/>
          <w:kern w:val="0"/>
          <w:sz w:val="24"/>
        </w:rPr>
      </w:pPr>
      <w:r>
        <w:rPr>
          <w:rFonts w:hint="eastAsia" w:ascii="Times New Roman" w:hAnsi="Times New Roman"/>
          <w:snapToGrid w:val="0"/>
          <w:spacing w:val="4"/>
          <w:kern w:val="0"/>
          <w:sz w:val="24"/>
        </w:rPr>
        <w:t xml:space="preserve">（18）监理工作总结。 </w:t>
      </w:r>
    </w:p>
    <w:p w14:paraId="6FB5EFDC">
      <w:pPr>
        <w:topLinePunct/>
        <w:adjustRightInd w:val="0"/>
        <w:snapToGrid w:val="0"/>
        <w:spacing w:line="480" w:lineRule="exact"/>
        <w:outlineLvl w:val="1"/>
        <w:rPr>
          <w:rFonts w:ascii="Times New Roman" w:hAnsi="Times New Roman"/>
          <w:b/>
          <w:snapToGrid w:val="0"/>
          <w:spacing w:val="4"/>
          <w:kern w:val="0"/>
          <w:sz w:val="24"/>
        </w:rPr>
      </w:pPr>
      <w:r>
        <w:rPr>
          <w:rFonts w:hint="eastAsia"/>
          <w:b/>
          <w:snapToGrid w:val="0"/>
          <w:spacing w:val="4"/>
          <w:kern w:val="0"/>
          <w:sz w:val="24"/>
        </w:rPr>
        <w:t>四</w:t>
      </w:r>
      <w:r>
        <w:rPr>
          <w:rFonts w:hint="eastAsia" w:ascii="Times New Roman" w:hAnsi="Times New Roman"/>
          <w:b/>
          <w:snapToGrid w:val="0"/>
          <w:spacing w:val="4"/>
          <w:kern w:val="0"/>
          <w:sz w:val="24"/>
        </w:rPr>
        <w:t>、监理酬金计取</w:t>
      </w:r>
      <w:r>
        <w:rPr>
          <w:rFonts w:hint="eastAsia"/>
          <w:b/>
          <w:snapToGrid w:val="0"/>
          <w:spacing w:val="4"/>
          <w:kern w:val="0"/>
          <w:sz w:val="24"/>
        </w:rPr>
        <w:t>、报价及</w:t>
      </w:r>
      <w:r>
        <w:rPr>
          <w:rFonts w:hint="eastAsia" w:ascii="Times New Roman" w:hAnsi="Times New Roman"/>
          <w:b/>
          <w:snapToGrid w:val="0"/>
          <w:spacing w:val="4"/>
          <w:kern w:val="0"/>
          <w:sz w:val="24"/>
        </w:rPr>
        <w:t>支付方式</w:t>
      </w:r>
    </w:p>
    <w:p w14:paraId="31BFB8EB">
      <w:pPr>
        <w:topLinePunct/>
        <w:adjustRightInd w:val="0"/>
        <w:snapToGrid w:val="0"/>
        <w:spacing w:line="480" w:lineRule="exact"/>
        <w:ind w:firstLine="498" w:firstLineChars="200"/>
        <w:rPr>
          <w:rFonts w:ascii="Times New Roman" w:hAnsi="Times New Roman"/>
          <w:b/>
          <w:bCs/>
          <w:snapToGrid w:val="0"/>
          <w:spacing w:val="4"/>
          <w:kern w:val="0"/>
          <w:sz w:val="24"/>
        </w:rPr>
      </w:pPr>
      <w:r>
        <w:rPr>
          <w:rFonts w:hint="eastAsia" w:ascii="Times New Roman" w:hAnsi="Times New Roman"/>
          <w:b/>
          <w:bCs/>
          <w:snapToGrid w:val="0"/>
          <w:spacing w:val="4"/>
          <w:kern w:val="0"/>
          <w:sz w:val="24"/>
        </w:rPr>
        <w:t>1. 监理酬金的计取</w:t>
      </w:r>
      <w:r>
        <w:rPr>
          <w:rFonts w:hint="eastAsia"/>
          <w:b/>
          <w:bCs/>
          <w:snapToGrid w:val="0"/>
          <w:spacing w:val="4"/>
          <w:kern w:val="0"/>
          <w:sz w:val="24"/>
        </w:rPr>
        <w:t>、报价</w:t>
      </w:r>
    </w:p>
    <w:p w14:paraId="2325DBBA">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snapToGrid w:val="0"/>
          <w:spacing w:val="4"/>
          <w:kern w:val="0"/>
          <w:sz w:val="24"/>
        </w:rPr>
        <w:t>（1）委托人</w:t>
      </w:r>
      <w:r>
        <w:rPr>
          <w:rFonts w:hint="eastAsia" w:ascii="Times New Roman" w:hAnsi="Times New Roman"/>
          <w:snapToGrid w:val="0"/>
          <w:spacing w:val="4"/>
          <w:kern w:val="0"/>
          <w:sz w:val="24"/>
        </w:rPr>
        <w:t>根据《建设工程监理与相关服务收费管理规定》（发改价格〔20</w:t>
      </w:r>
      <w:r>
        <w:rPr>
          <w:rFonts w:hint="eastAsia"/>
          <w:snapToGrid w:val="0"/>
          <w:spacing w:val="4"/>
          <w:kern w:val="0"/>
          <w:sz w:val="24"/>
        </w:rPr>
        <w:t>07</w:t>
      </w:r>
      <w:r>
        <w:rPr>
          <w:rFonts w:hint="eastAsia" w:ascii="Times New Roman" w:hAnsi="Times New Roman"/>
          <w:snapToGrid w:val="0"/>
          <w:spacing w:val="4"/>
          <w:kern w:val="0"/>
          <w:sz w:val="24"/>
        </w:rPr>
        <w:t>〕670号），规定本工程监理费率最高报价为</w:t>
      </w:r>
      <w:r>
        <w:rPr>
          <w:rFonts w:hint="eastAsia"/>
          <w:snapToGrid w:val="0"/>
          <w:spacing w:val="4"/>
          <w:kern w:val="0"/>
          <w:sz w:val="24"/>
          <w:u w:val="single"/>
        </w:rPr>
        <w:t xml:space="preserve">       </w:t>
      </w:r>
      <w:r>
        <w:rPr>
          <w:rFonts w:hint="eastAsia" w:ascii="Times New Roman" w:hAnsi="Times New Roman"/>
          <w:snapToGrid w:val="0"/>
          <w:spacing w:val="4"/>
          <w:kern w:val="0"/>
          <w:sz w:val="24"/>
        </w:rPr>
        <w:t>%（保留两位小数），监理人所报监理费率不得高于</w:t>
      </w:r>
      <w:r>
        <w:rPr>
          <w:rFonts w:hint="eastAsia"/>
          <w:snapToGrid w:val="0"/>
          <w:spacing w:val="4"/>
          <w:kern w:val="0"/>
          <w:sz w:val="24"/>
        </w:rPr>
        <w:t>委托人</w:t>
      </w:r>
      <w:r>
        <w:rPr>
          <w:rFonts w:hint="eastAsia" w:ascii="Times New Roman" w:hAnsi="Times New Roman"/>
          <w:snapToGrid w:val="0"/>
          <w:spacing w:val="4"/>
          <w:kern w:val="0"/>
          <w:sz w:val="24"/>
        </w:rPr>
        <w:t>规定监理费率。报价时精确到百分点后两位（*.**%），如有违反，委托人予以拒绝。监理人根据自身实力结合本工程实际情况自定报价。（注：本工程专业调整系数为1，工程复杂程度调整系数为1，高程调整系数为1）</w:t>
      </w:r>
    </w:p>
    <w:p w14:paraId="7E6B2590">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（2）病房改造建设及能力提升项目暂定建筑安装工程费为</w:t>
      </w:r>
      <w:r>
        <w:rPr>
          <w:rFonts w:hint="eastAsia" w:ascii="Times New Roman" w:hAnsi="Times New Roman"/>
          <w:snapToGrid w:val="0"/>
          <w:spacing w:val="4"/>
          <w:kern w:val="0"/>
          <w:sz w:val="24"/>
          <w:u w:val="single"/>
        </w:rPr>
        <w:t>20526.31</w:t>
      </w:r>
      <w:r>
        <w:rPr>
          <w:rFonts w:hint="eastAsia" w:ascii="Times New Roman" w:hAnsi="Times New Roman"/>
          <w:snapToGrid w:val="0"/>
          <w:spacing w:val="4"/>
          <w:kern w:val="0"/>
          <w:sz w:val="24"/>
        </w:rPr>
        <w:t>万元</w:t>
      </w:r>
      <w:r>
        <w:rPr>
          <w:rFonts w:hint="eastAsia"/>
          <w:snapToGrid w:val="0"/>
          <w:spacing w:val="4"/>
          <w:kern w:val="0"/>
          <w:sz w:val="24"/>
        </w:rPr>
        <w:t>（初设概算批复金额）</w:t>
      </w:r>
      <w:r>
        <w:rPr>
          <w:rFonts w:hint="eastAsia" w:ascii="Times New Roman" w:hAnsi="Times New Roman"/>
          <w:snapToGrid w:val="0"/>
          <w:spacing w:val="4"/>
          <w:kern w:val="0"/>
          <w:sz w:val="24"/>
        </w:rPr>
        <w:t>，监理酬金暂定金额为</w:t>
      </w:r>
      <w:r>
        <w:rPr>
          <w:rFonts w:hint="eastAsia" w:ascii="Times New Roman" w:hAnsi="Times New Roman"/>
          <w:snapToGrid w:val="0"/>
          <w:spacing w:val="4"/>
          <w:kern w:val="0"/>
          <w:sz w:val="24"/>
          <w:u w:val="single"/>
        </w:rPr>
        <w:t xml:space="preserve">           </w:t>
      </w:r>
      <w:r>
        <w:rPr>
          <w:rFonts w:hint="eastAsia" w:ascii="Times New Roman" w:hAnsi="Times New Roman"/>
          <w:snapToGrid w:val="0"/>
          <w:spacing w:val="4"/>
          <w:kern w:val="0"/>
          <w:sz w:val="24"/>
        </w:rPr>
        <w:t>万元（中标价，即监理酬金暂定金额=建筑安装工程费</w:t>
      </w:r>
      <w:r>
        <w:rPr>
          <w:rFonts w:hint="eastAsia"/>
          <w:snapToGrid w:val="0"/>
          <w:spacing w:val="4"/>
          <w:kern w:val="0"/>
          <w:sz w:val="24"/>
        </w:rPr>
        <w:t>（概算批复为准）</w:t>
      </w:r>
      <w:r>
        <w:rPr>
          <w:rFonts w:hint="eastAsia" w:ascii="Times New Roman" w:hAnsi="Times New Roman"/>
          <w:snapToGrid w:val="0"/>
          <w:spacing w:val="4"/>
          <w:kern w:val="0"/>
          <w:sz w:val="24"/>
        </w:rPr>
        <w:t>*中标监理费率）</w:t>
      </w:r>
      <w:r>
        <w:rPr>
          <w:rFonts w:hint="eastAsia"/>
          <w:snapToGrid w:val="0"/>
          <w:spacing w:val="4"/>
          <w:kern w:val="0"/>
          <w:sz w:val="24"/>
        </w:rPr>
        <w:t>。</w:t>
      </w:r>
    </w:p>
    <w:p w14:paraId="6F8D11F3">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（3）监理酬金结算时按审批部门审批的本项目监理人实际服务范围内所有单位工程结算金额乘以本项目中标监理费率计取。如监理酬金最终结算</w:t>
      </w:r>
      <w:r>
        <w:rPr>
          <w:rFonts w:hint="eastAsia"/>
          <w:snapToGrid w:val="0"/>
          <w:spacing w:val="4"/>
          <w:kern w:val="0"/>
          <w:sz w:val="24"/>
        </w:rPr>
        <w:t>金额（经有权审核部门审定）</w:t>
      </w:r>
      <w:r>
        <w:rPr>
          <w:rFonts w:hint="eastAsia" w:ascii="Times New Roman" w:hAnsi="Times New Roman"/>
          <w:snapToGrid w:val="0"/>
          <w:spacing w:val="4"/>
          <w:kern w:val="0"/>
          <w:sz w:val="24"/>
        </w:rPr>
        <w:t>超出概算批复的监理费用，以概算批复的监理费用为准。</w:t>
      </w:r>
    </w:p>
    <w:p w14:paraId="11F6953C">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（4）监理酬金最终结算</w:t>
      </w:r>
      <w:r>
        <w:rPr>
          <w:rFonts w:hint="eastAsia"/>
          <w:snapToGrid w:val="0"/>
          <w:spacing w:val="4"/>
          <w:kern w:val="0"/>
          <w:sz w:val="24"/>
        </w:rPr>
        <w:t>金额（经有权审核部门审定）不能</w:t>
      </w:r>
      <w:r>
        <w:rPr>
          <w:rFonts w:hint="eastAsia" w:ascii="Times New Roman" w:hAnsi="Times New Roman"/>
          <w:snapToGrid w:val="0"/>
          <w:spacing w:val="4"/>
          <w:kern w:val="0"/>
          <w:sz w:val="24"/>
        </w:rPr>
        <w:t>超</w:t>
      </w:r>
      <w:r>
        <w:rPr>
          <w:rFonts w:hint="eastAsia"/>
          <w:snapToGrid w:val="0"/>
          <w:spacing w:val="4"/>
          <w:kern w:val="0"/>
          <w:sz w:val="24"/>
        </w:rPr>
        <w:t>过合同</w:t>
      </w:r>
      <w:r>
        <w:rPr>
          <w:rFonts w:hint="eastAsia" w:ascii="Times New Roman" w:hAnsi="Times New Roman"/>
          <w:snapToGrid w:val="0"/>
          <w:spacing w:val="4"/>
          <w:kern w:val="0"/>
          <w:sz w:val="24"/>
        </w:rPr>
        <w:t>监理酬金暂定金额。</w:t>
      </w:r>
    </w:p>
    <w:p w14:paraId="3BC7DF50">
      <w:pPr>
        <w:topLinePunct/>
        <w:adjustRightInd w:val="0"/>
        <w:snapToGrid w:val="0"/>
        <w:spacing w:line="480" w:lineRule="exact"/>
        <w:ind w:firstLine="498" w:firstLineChars="200"/>
        <w:rPr>
          <w:b/>
          <w:bCs/>
          <w:snapToGrid w:val="0"/>
          <w:spacing w:val="4"/>
          <w:kern w:val="0"/>
          <w:sz w:val="24"/>
        </w:rPr>
      </w:pPr>
      <w:r>
        <w:rPr>
          <w:rFonts w:hint="eastAsia" w:ascii="Times New Roman" w:hAnsi="Times New Roman"/>
          <w:b/>
          <w:bCs/>
          <w:snapToGrid w:val="0"/>
          <w:spacing w:val="4"/>
          <w:kern w:val="0"/>
          <w:sz w:val="24"/>
        </w:rPr>
        <w:t xml:space="preserve">2. </w:t>
      </w:r>
      <w:r>
        <w:rPr>
          <w:rFonts w:hint="eastAsia"/>
          <w:b/>
          <w:bCs/>
          <w:snapToGrid w:val="0"/>
          <w:spacing w:val="4"/>
          <w:kern w:val="0"/>
          <w:sz w:val="24"/>
        </w:rPr>
        <w:t>履约</w:t>
      </w:r>
      <w:r>
        <w:rPr>
          <w:rFonts w:hint="eastAsia" w:ascii="Times New Roman" w:hAnsi="Times New Roman"/>
          <w:snapToGrid w:val="0"/>
          <w:spacing w:val="4"/>
          <w:kern w:val="0"/>
          <w:sz w:val="24"/>
        </w:rPr>
        <w:t>保证金</w:t>
      </w:r>
    </w:p>
    <w:p w14:paraId="363FDEEA">
      <w:pPr>
        <w:topLinePunct/>
        <w:adjustRightIn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（1）履约保证金的金额为合同暂定总价的10%，即（大写）             （小写 ￥          元 ）。</w:t>
      </w:r>
    </w:p>
    <w:p w14:paraId="0172E421">
      <w:pPr>
        <w:topLinePunct/>
        <w:adjustRightIn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（2）提供履约保证金的时间及履约担保形式</w:t>
      </w:r>
    </w:p>
    <w:p w14:paraId="023625CE">
      <w:pPr>
        <w:topLinePunct/>
        <w:adjustRightIn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合同签订后7日内，监理人应以支票、汇票、本票或者金融机构、担保机构出具的保函等非现金形式向甲方提交合同价款10%的履约保证金（含履约保函）。每次委托人扣除履约保证金后，监理人均应于【3】个工作日内予以补足全额履约保证金。若是提供履约保函的，保函需保持持续有效，若保函到期而本项目服务未完成（或终止）的，监理人应延长履约保函有效期直至全部服务终止，而相应的费用由监理人自行承担。</w:t>
      </w:r>
    </w:p>
    <w:p w14:paraId="5814BCA7">
      <w:pPr>
        <w:topLinePunct/>
        <w:adjustRightIn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（3）履约保证金退还时间的约定</w:t>
      </w:r>
    </w:p>
    <w:p w14:paraId="2BB07BE1">
      <w:pPr>
        <w:topLinePunct/>
        <w:adjustRightIn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本合同结算完成，监理人可以向委托人申请无息退还履约保证金（含履约保函）。</w:t>
      </w:r>
    </w:p>
    <w:p w14:paraId="000C4CD0">
      <w:pPr>
        <w:topLinePunct/>
        <w:adjustRightInd w:val="0"/>
        <w:snapToGrid w:val="0"/>
        <w:spacing w:line="480" w:lineRule="exact"/>
        <w:ind w:firstLine="498" w:firstLineChars="200"/>
        <w:rPr>
          <w:rFonts w:ascii="Times New Roman" w:hAnsi="Times New Roman"/>
          <w:b/>
          <w:bCs/>
          <w:snapToGrid w:val="0"/>
          <w:spacing w:val="4"/>
          <w:kern w:val="0"/>
          <w:sz w:val="24"/>
        </w:rPr>
      </w:pPr>
      <w:r>
        <w:rPr>
          <w:rFonts w:hint="eastAsia" w:ascii="Times New Roman" w:hAnsi="Times New Roman"/>
          <w:b/>
          <w:bCs/>
          <w:snapToGrid w:val="0"/>
          <w:spacing w:val="4"/>
          <w:kern w:val="0"/>
          <w:sz w:val="24"/>
        </w:rPr>
        <w:t>3. 监理酬金的支付</w:t>
      </w:r>
    </w:p>
    <w:tbl>
      <w:tblPr>
        <w:tblStyle w:val="21"/>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5885"/>
        <w:gridCol w:w="2826"/>
      </w:tblGrid>
      <w:tr w14:paraId="1105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923" w:type="dxa"/>
            <w:vAlign w:val="center"/>
          </w:tcPr>
          <w:p w14:paraId="72EB8A52">
            <w:pPr>
              <w:autoSpaceDE w:val="0"/>
              <w:autoSpaceDN w:val="0"/>
              <w:adjustRightInd w:val="0"/>
              <w:jc w:val="center"/>
              <w:rPr>
                <w:rFonts w:ascii="Times New Roman" w:hAnsi="Times New Roman"/>
                <w:b/>
                <w:bCs/>
                <w:kern w:val="0"/>
                <w:szCs w:val="21"/>
              </w:rPr>
            </w:pPr>
            <w:r>
              <w:rPr>
                <w:rFonts w:hint="eastAsia" w:ascii="Times New Roman" w:hAnsi="Times New Roman"/>
                <w:b/>
                <w:bCs/>
                <w:kern w:val="0"/>
                <w:szCs w:val="21"/>
              </w:rPr>
              <w:t>序号</w:t>
            </w:r>
          </w:p>
        </w:tc>
        <w:tc>
          <w:tcPr>
            <w:tcW w:w="5885" w:type="dxa"/>
            <w:vAlign w:val="center"/>
          </w:tcPr>
          <w:p w14:paraId="512665EC">
            <w:pPr>
              <w:autoSpaceDE w:val="0"/>
              <w:autoSpaceDN w:val="0"/>
              <w:adjustRightInd w:val="0"/>
              <w:jc w:val="center"/>
              <w:rPr>
                <w:rFonts w:ascii="Times New Roman" w:hAnsi="Times New Roman"/>
                <w:b/>
                <w:bCs/>
                <w:kern w:val="0"/>
                <w:szCs w:val="21"/>
              </w:rPr>
            </w:pPr>
            <w:r>
              <w:rPr>
                <w:rFonts w:ascii="Times New Roman" w:hAnsi="Times New Roman"/>
                <w:b/>
                <w:bCs/>
                <w:kern w:val="0"/>
                <w:szCs w:val="21"/>
              </w:rPr>
              <w:t>支付条件</w:t>
            </w:r>
          </w:p>
        </w:tc>
        <w:tc>
          <w:tcPr>
            <w:tcW w:w="2826" w:type="dxa"/>
            <w:vAlign w:val="center"/>
          </w:tcPr>
          <w:p w14:paraId="4920F935">
            <w:pPr>
              <w:autoSpaceDE w:val="0"/>
              <w:autoSpaceDN w:val="0"/>
              <w:adjustRightInd w:val="0"/>
              <w:jc w:val="center"/>
              <w:rPr>
                <w:rFonts w:ascii="Times New Roman" w:hAnsi="Times New Roman"/>
                <w:b/>
                <w:bCs/>
                <w:kern w:val="0"/>
                <w:szCs w:val="21"/>
              </w:rPr>
            </w:pPr>
            <w:r>
              <w:rPr>
                <w:rFonts w:ascii="Times New Roman" w:hAnsi="Times New Roman"/>
                <w:b/>
                <w:bCs/>
                <w:kern w:val="0"/>
                <w:szCs w:val="21"/>
              </w:rPr>
              <w:t>支付比例</w:t>
            </w:r>
          </w:p>
        </w:tc>
      </w:tr>
      <w:tr w14:paraId="6B373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3" w:type="dxa"/>
            <w:vAlign w:val="center"/>
          </w:tcPr>
          <w:p w14:paraId="121C8306">
            <w:pPr>
              <w:autoSpaceDE w:val="0"/>
              <w:autoSpaceDN w:val="0"/>
              <w:adjustRightInd w:val="0"/>
              <w:jc w:val="center"/>
              <w:rPr>
                <w:rFonts w:ascii="Times New Roman" w:hAnsi="Times New Roman"/>
                <w:kern w:val="0"/>
                <w:szCs w:val="21"/>
              </w:rPr>
            </w:pPr>
            <w:r>
              <w:rPr>
                <w:rFonts w:hint="eastAsia" w:ascii="Times New Roman" w:hAnsi="Times New Roman"/>
                <w:kern w:val="0"/>
                <w:szCs w:val="21"/>
              </w:rPr>
              <w:t>1</w:t>
            </w:r>
          </w:p>
        </w:tc>
        <w:tc>
          <w:tcPr>
            <w:tcW w:w="5885" w:type="dxa"/>
            <w:vAlign w:val="center"/>
          </w:tcPr>
          <w:p w14:paraId="6ADB2B7C">
            <w:pPr>
              <w:autoSpaceDE w:val="0"/>
              <w:autoSpaceDN w:val="0"/>
              <w:adjustRightInd w:val="0"/>
              <w:rPr>
                <w:rFonts w:ascii="Times New Roman" w:hAnsi="Times New Roman"/>
                <w:kern w:val="0"/>
                <w:szCs w:val="21"/>
              </w:rPr>
            </w:pPr>
            <w:r>
              <w:rPr>
                <w:rFonts w:ascii="Times New Roman" w:hAnsi="Times New Roman"/>
                <w:kern w:val="0"/>
                <w:szCs w:val="21"/>
              </w:rPr>
              <w:t>本合同签订生效，监理人提交有效履约保证金，</w:t>
            </w:r>
            <w:r>
              <w:rPr>
                <w:rFonts w:hint="eastAsia" w:ascii="Times New Roman" w:hAnsi="Times New Roman"/>
                <w:kern w:val="0"/>
                <w:szCs w:val="21"/>
              </w:rPr>
              <w:t>并按要求提供付款申请资料后，</w:t>
            </w:r>
            <w:r>
              <w:rPr>
                <w:rFonts w:ascii="Times New Roman" w:hAnsi="Times New Roman"/>
                <w:kern w:val="0"/>
                <w:szCs w:val="21"/>
              </w:rPr>
              <w:t>可提出支付申请。</w:t>
            </w:r>
          </w:p>
        </w:tc>
        <w:tc>
          <w:tcPr>
            <w:tcW w:w="2826" w:type="dxa"/>
            <w:vAlign w:val="center"/>
          </w:tcPr>
          <w:p w14:paraId="752017A0">
            <w:pPr>
              <w:autoSpaceDE w:val="0"/>
              <w:autoSpaceDN w:val="0"/>
              <w:adjustRightInd w:val="0"/>
              <w:rPr>
                <w:rFonts w:ascii="Times New Roman" w:hAnsi="Times New Roman"/>
                <w:kern w:val="0"/>
                <w:szCs w:val="21"/>
              </w:rPr>
            </w:pPr>
            <w:r>
              <w:rPr>
                <w:rFonts w:ascii="Times New Roman" w:hAnsi="Times New Roman"/>
                <w:kern w:val="0"/>
                <w:szCs w:val="21"/>
              </w:rPr>
              <w:t>支付暂定监理酬金的</w:t>
            </w:r>
            <w:r>
              <w:rPr>
                <w:rFonts w:hint="eastAsia" w:ascii="Times New Roman" w:hAnsi="Times New Roman"/>
                <w:kern w:val="0"/>
                <w:szCs w:val="21"/>
              </w:rPr>
              <w:t>3</w:t>
            </w:r>
            <w:r>
              <w:rPr>
                <w:rFonts w:ascii="Times New Roman" w:hAnsi="Times New Roman"/>
                <w:kern w:val="0"/>
                <w:szCs w:val="21"/>
              </w:rPr>
              <w:t>0%</w:t>
            </w:r>
          </w:p>
        </w:tc>
      </w:tr>
      <w:tr w14:paraId="1508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jc w:val="center"/>
        </w:trPr>
        <w:tc>
          <w:tcPr>
            <w:tcW w:w="923" w:type="dxa"/>
            <w:vAlign w:val="center"/>
          </w:tcPr>
          <w:p w14:paraId="4161B0D6">
            <w:pPr>
              <w:autoSpaceDE w:val="0"/>
              <w:autoSpaceDN w:val="0"/>
              <w:adjustRightInd w:val="0"/>
              <w:jc w:val="center"/>
              <w:rPr>
                <w:rFonts w:ascii="Times New Roman" w:hAnsi="Times New Roman"/>
                <w:kern w:val="0"/>
                <w:szCs w:val="21"/>
              </w:rPr>
            </w:pPr>
            <w:r>
              <w:rPr>
                <w:rFonts w:hint="eastAsia" w:ascii="Times New Roman" w:hAnsi="Times New Roman"/>
                <w:kern w:val="0"/>
                <w:szCs w:val="21"/>
              </w:rPr>
              <w:t>2</w:t>
            </w:r>
          </w:p>
        </w:tc>
        <w:tc>
          <w:tcPr>
            <w:tcW w:w="5885" w:type="dxa"/>
            <w:vAlign w:val="center"/>
          </w:tcPr>
          <w:p w14:paraId="5BC9DD3A">
            <w:pPr>
              <w:autoSpaceDE w:val="0"/>
              <w:autoSpaceDN w:val="0"/>
              <w:adjustRightInd w:val="0"/>
              <w:rPr>
                <w:rFonts w:ascii="Times New Roman" w:hAnsi="Times New Roman"/>
                <w:kern w:val="0"/>
                <w:szCs w:val="21"/>
              </w:rPr>
            </w:pPr>
            <w:r>
              <w:rPr>
                <w:rFonts w:hint="eastAsia" w:ascii="Times New Roman" w:hAnsi="Times New Roman"/>
                <w:kern w:val="0"/>
                <w:szCs w:val="21"/>
              </w:rPr>
              <w:t>子项工程</w:t>
            </w:r>
            <w:r>
              <w:rPr>
                <w:rFonts w:hint="eastAsia"/>
                <w:kern w:val="0"/>
                <w:szCs w:val="21"/>
              </w:rPr>
              <w:t>形象进度达到50%</w:t>
            </w:r>
            <w:r>
              <w:rPr>
                <w:rFonts w:hint="eastAsia" w:ascii="Times New Roman" w:hAnsi="Times New Roman"/>
                <w:kern w:val="0"/>
                <w:szCs w:val="21"/>
              </w:rPr>
              <w:t>，提交满足委托人要求的完整请款资料</w:t>
            </w:r>
            <w:r>
              <w:rPr>
                <w:rFonts w:ascii="Times New Roman" w:hAnsi="Times New Roman"/>
                <w:kern w:val="0"/>
                <w:szCs w:val="21"/>
              </w:rPr>
              <w:t>，监理人可提交付款申请。</w:t>
            </w:r>
          </w:p>
          <w:p w14:paraId="6A38F1F4">
            <w:pPr>
              <w:autoSpaceDE w:val="0"/>
              <w:autoSpaceDN w:val="0"/>
              <w:adjustRightInd w:val="0"/>
              <w:rPr>
                <w:rFonts w:ascii="Times New Roman" w:hAnsi="Times New Roman"/>
                <w:kern w:val="0"/>
                <w:szCs w:val="21"/>
              </w:rPr>
            </w:pPr>
            <w:r>
              <w:rPr>
                <w:rFonts w:hint="eastAsia" w:ascii="Times New Roman" w:hAnsi="Times New Roman"/>
                <w:kern w:val="0"/>
                <w:szCs w:val="21"/>
              </w:rPr>
              <w:t>注：各子项工程达到支付条件后可单独申请，单独支付。</w:t>
            </w:r>
          </w:p>
        </w:tc>
        <w:tc>
          <w:tcPr>
            <w:tcW w:w="2826" w:type="dxa"/>
            <w:vAlign w:val="center"/>
          </w:tcPr>
          <w:p w14:paraId="25A70F75">
            <w:pPr>
              <w:autoSpaceDE w:val="0"/>
              <w:autoSpaceDN w:val="0"/>
              <w:adjustRightInd w:val="0"/>
              <w:rPr>
                <w:rFonts w:ascii="Times New Roman" w:hAnsi="Times New Roman"/>
                <w:kern w:val="0"/>
                <w:szCs w:val="21"/>
              </w:rPr>
            </w:pPr>
            <w:r>
              <w:rPr>
                <w:rFonts w:ascii="Times New Roman" w:hAnsi="Times New Roman"/>
                <w:kern w:val="0"/>
                <w:szCs w:val="21"/>
              </w:rPr>
              <w:t>支付暂定监理酬金</w:t>
            </w:r>
            <w:r>
              <w:rPr>
                <w:rFonts w:hint="eastAsia" w:ascii="Times New Roman" w:hAnsi="Times New Roman"/>
                <w:kern w:val="0"/>
                <w:szCs w:val="21"/>
              </w:rPr>
              <w:t>=子项工程</w:t>
            </w:r>
            <w:r>
              <w:rPr>
                <w:rFonts w:hint="eastAsia"/>
                <w:kern w:val="0"/>
                <w:szCs w:val="21"/>
              </w:rPr>
              <w:t>签订合同金额</w:t>
            </w:r>
            <w:r>
              <w:rPr>
                <w:rFonts w:hint="eastAsia" w:ascii="Times New Roman" w:hAnsi="Times New Roman"/>
                <w:kern w:val="0"/>
                <w:szCs w:val="21"/>
              </w:rPr>
              <w:t>*中标监理费率*</w:t>
            </w:r>
            <w:r>
              <w:rPr>
                <w:rFonts w:hint="eastAsia"/>
                <w:kern w:val="0"/>
                <w:szCs w:val="21"/>
              </w:rPr>
              <w:t>30</w:t>
            </w:r>
            <w:r>
              <w:rPr>
                <w:rFonts w:hint="eastAsia" w:ascii="Times New Roman" w:hAnsi="Times New Roman"/>
                <w:kern w:val="0"/>
                <w:szCs w:val="21"/>
              </w:rPr>
              <w:t>%</w:t>
            </w:r>
          </w:p>
        </w:tc>
      </w:tr>
      <w:tr w14:paraId="730C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3" w:type="dxa"/>
            <w:vAlign w:val="center"/>
          </w:tcPr>
          <w:p w14:paraId="0E6C0877">
            <w:pPr>
              <w:autoSpaceDE w:val="0"/>
              <w:autoSpaceDN w:val="0"/>
              <w:adjustRightInd w:val="0"/>
              <w:jc w:val="center"/>
              <w:rPr>
                <w:rFonts w:ascii="Times New Roman" w:hAnsi="Times New Roman"/>
                <w:kern w:val="0"/>
                <w:szCs w:val="21"/>
              </w:rPr>
            </w:pPr>
            <w:r>
              <w:rPr>
                <w:rFonts w:hint="eastAsia"/>
                <w:kern w:val="0"/>
                <w:szCs w:val="21"/>
              </w:rPr>
              <w:t>3</w:t>
            </w:r>
          </w:p>
        </w:tc>
        <w:tc>
          <w:tcPr>
            <w:tcW w:w="5885" w:type="dxa"/>
            <w:vAlign w:val="center"/>
          </w:tcPr>
          <w:p w14:paraId="618D69E3">
            <w:pPr>
              <w:autoSpaceDE w:val="0"/>
              <w:autoSpaceDN w:val="0"/>
              <w:adjustRightInd w:val="0"/>
              <w:rPr>
                <w:rFonts w:ascii="Times New Roman" w:hAnsi="Times New Roman"/>
                <w:kern w:val="0"/>
                <w:szCs w:val="21"/>
              </w:rPr>
            </w:pPr>
            <w:r>
              <w:rPr>
                <w:rFonts w:hint="eastAsia" w:ascii="Times New Roman" w:hAnsi="Times New Roman"/>
                <w:kern w:val="0"/>
                <w:szCs w:val="21"/>
              </w:rPr>
              <w:t>子项工程</w:t>
            </w:r>
            <w:r>
              <w:rPr>
                <w:rFonts w:hint="eastAsia"/>
                <w:kern w:val="0"/>
                <w:szCs w:val="21"/>
              </w:rPr>
              <w:t>形象进度达到</w:t>
            </w:r>
            <w:r>
              <w:rPr>
                <w:rFonts w:hint="eastAsia" w:ascii="Times New Roman" w:hAnsi="Times New Roman"/>
                <w:kern w:val="0"/>
                <w:szCs w:val="21"/>
              </w:rPr>
              <w:t>100%，完成</w:t>
            </w:r>
            <w:r>
              <w:rPr>
                <w:rFonts w:hint="eastAsia"/>
                <w:kern w:val="0"/>
                <w:szCs w:val="21"/>
              </w:rPr>
              <w:t>竣工验收</w:t>
            </w:r>
            <w:r>
              <w:rPr>
                <w:rFonts w:ascii="Times New Roman" w:hAnsi="Times New Roman"/>
                <w:kern w:val="0"/>
                <w:szCs w:val="21"/>
              </w:rPr>
              <w:t>后</w:t>
            </w:r>
            <w:r>
              <w:rPr>
                <w:rFonts w:hint="eastAsia" w:ascii="Times New Roman" w:hAnsi="Times New Roman"/>
                <w:kern w:val="0"/>
                <w:szCs w:val="21"/>
              </w:rPr>
              <w:t>（经医院有权审核部门审定），提交满足委托人要求的完整请款资料</w:t>
            </w:r>
            <w:r>
              <w:rPr>
                <w:rFonts w:ascii="Times New Roman" w:hAnsi="Times New Roman"/>
                <w:kern w:val="0"/>
                <w:szCs w:val="21"/>
              </w:rPr>
              <w:t>，监理人可提交付款申请。</w:t>
            </w:r>
          </w:p>
          <w:p w14:paraId="09240D33">
            <w:pPr>
              <w:autoSpaceDE w:val="0"/>
              <w:autoSpaceDN w:val="0"/>
              <w:adjustRightInd w:val="0"/>
              <w:rPr>
                <w:rFonts w:ascii="Times New Roman" w:hAnsi="Times New Roman"/>
                <w:kern w:val="0"/>
                <w:szCs w:val="21"/>
              </w:rPr>
            </w:pPr>
            <w:r>
              <w:rPr>
                <w:rFonts w:hint="eastAsia" w:ascii="Times New Roman" w:hAnsi="Times New Roman"/>
                <w:kern w:val="0"/>
                <w:szCs w:val="21"/>
              </w:rPr>
              <w:t>注：各子项工程达到支付条件后可单独申请，单独支付。</w:t>
            </w:r>
          </w:p>
        </w:tc>
        <w:tc>
          <w:tcPr>
            <w:tcW w:w="2826" w:type="dxa"/>
            <w:vAlign w:val="center"/>
          </w:tcPr>
          <w:p w14:paraId="471B07F0">
            <w:pPr>
              <w:autoSpaceDE w:val="0"/>
              <w:autoSpaceDN w:val="0"/>
              <w:adjustRightInd w:val="0"/>
              <w:rPr>
                <w:rFonts w:ascii="Times New Roman" w:hAnsi="Times New Roman"/>
                <w:kern w:val="0"/>
                <w:szCs w:val="21"/>
              </w:rPr>
            </w:pPr>
            <w:r>
              <w:rPr>
                <w:rFonts w:ascii="Times New Roman" w:hAnsi="Times New Roman"/>
                <w:kern w:val="0"/>
                <w:szCs w:val="21"/>
              </w:rPr>
              <w:t>支付暂定监理酬金</w:t>
            </w:r>
            <w:r>
              <w:rPr>
                <w:rFonts w:hint="eastAsia" w:ascii="Times New Roman" w:hAnsi="Times New Roman"/>
                <w:kern w:val="0"/>
                <w:szCs w:val="21"/>
              </w:rPr>
              <w:t>=子项工程</w:t>
            </w:r>
            <w:r>
              <w:rPr>
                <w:rFonts w:hint="eastAsia"/>
                <w:kern w:val="0"/>
                <w:szCs w:val="21"/>
              </w:rPr>
              <w:t>签订合同金额</w:t>
            </w:r>
            <w:r>
              <w:rPr>
                <w:rFonts w:hint="eastAsia" w:ascii="Times New Roman" w:hAnsi="Times New Roman"/>
                <w:kern w:val="0"/>
                <w:szCs w:val="21"/>
              </w:rPr>
              <w:t>*中标监理费率*</w:t>
            </w:r>
            <w:r>
              <w:rPr>
                <w:rFonts w:hint="eastAsia"/>
                <w:kern w:val="0"/>
                <w:szCs w:val="21"/>
              </w:rPr>
              <w:t>30</w:t>
            </w:r>
            <w:r>
              <w:rPr>
                <w:rFonts w:hint="eastAsia" w:ascii="Times New Roman" w:hAnsi="Times New Roman"/>
                <w:kern w:val="0"/>
                <w:szCs w:val="21"/>
              </w:rPr>
              <w:t>%</w:t>
            </w:r>
          </w:p>
        </w:tc>
      </w:tr>
      <w:tr w14:paraId="293FC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3" w:type="dxa"/>
            <w:vAlign w:val="center"/>
          </w:tcPr>
          <w:p w14:paraId="3B1996E4">
            <w:pPr>
              <w:autoSpaceDE w:val="0"/>
              <w:autoSpaceDN w:val="0"/>
              <w:adjustRightInd w:val="0"/>
              <w:jc w:val="center"/>
              <w:rPr>
                <w:kern w:val="0"/>
                <w:szCs w:val="21"/>
              </w:rPr>
            </w:pPr>
            <w:r>
              <w:rPr>
                <w:rFonts w:hint="eastAsia"/>
                <w:kern w:val="0"/>
                <w:szCs w:val="21"/>
              </w:rPr>
              <w:t>4</w:t>
            </w:r>
          </w:p>
        </w:tc>
        <w:tc>
          <w:tcPr>
            <w:tcW w:w="5885" w:type="dxa"/>
            <w:vAlign w:val="center"/>
          </w:tcPr>
          <w:p w14:paraId="5FBE7015">
            <w:pPr>
              <w:autoSpaceDE w:val="0"/>
              <w:autoSpaceDN w:val="0"/>
              <w:adjustRightInd w:val="0"/>
              <w:rPr>
                <w:rFonts w:ascii="Times New Roman" w:hAnsi="Times New Roman"/>
                <w:kern w:val="0"/>
                <w:szCs w:val="21"/>
              </w:rPr>
            </w:pPr>
            <w:r>
              <w:rPr>
                <w:rFonts w:hint="eastAsia"/>
                <w:kern w:val="0"/>
                <w:szCs w:val="21"/>
              </w:rPr>
              <w:t>各子项</w:t>
            </w:r>
            <w:r>
              <w:rPr>
                <w:rFonts w:ascii="Times New Roman" w:hAnsi="Times New Roman"/>
                <w:kern w:val="0"/>
                <w:szCs w:val="21"/>
              </w:rPr>
              <w:t>完成</w:t>
            </w:r>
            <w:r>
              <w:rPr>
                <w:rFonts w:hint="eastAsia"/>
                <w:kern w:val="0"/>
                <w:szCs w:val="21"/>
              </w:rPr>
              <w:t>工程结算审批（经</w:t>
            </w:r>
            <w:r>
              <w:rPr>
                <w:rFonts w:ascii="Times New Roman" w:hAnsi="Times New Roman"/>
                <w:kern w:val="0"/>
                <w:szCs w:val="21"/>
              </w:rPr>
              <w:t>有权审核部门审定</w:t>
            </w:r>
            <w:r>
              <w:rPr>
                <w:rFonts w:hint="eastAsia"/>
                <w:kern w:val="0"/>
                <w:szCs w:val="21"/>
              </w:rPr>
              <w:t>），各子项</w:t>
            </w:r>
            <w:r>
              <w:rPr>
                <w:rFonts w:ascii="Times New Roman" w:hAnsi="Times New Roman"/>
                <w:kern w:val="0"/>
                <w:szCs w:val="21"/>
              </w:rPr>
              <w:t>工程竣工验收合格后满两年且本合同监理范围内所有工程项目整体竣工结算被确认后监理人提交完整监理成果文件后（包括但不限于督促承包人按时完整移交工程竣工档案、完整移交工程</w:t>
            </w:r>
            <w:r>
              <w:rPr>
                <w:rFonts w:hint="eastAsia" w:ascii="Times New Roman" w:hAnsi="Times New Roman"/>
                <w:kern w:val="0"/>
                <w:szCs w:val="21"/>
              </w:rPr>
              <w:t>等</w:t>
            </w:r>
            <w:r>
              <w:rPr>
                <w:rFonts w:ascii="Times New Roman" w:hAnsi="Times New Roman"/>
                <w:kern w:val="0"/>
                <w:szCs w:val="21"/>
              </w:rPr>
              <w:t>相关工作），</w:t>
            </w:r>
            <w:r>
              <w:rPr>
                <w:rFonts w:hint="eastAsia"/>
                <w:kern w:val="0"/>
                <w:szCs w:val="21"/>
              </w:rPr>
              <w:t>监理服务合同结算审批（经</w:t>
            </w:r>
            <w:r>
              <w:rPr>
                <w:rFonts w:ascii="Times New Roman" w:hAnsi="Times New Roman"/>
                <w:kern w:val="0"/>
                <w:szCs w:val="21"/>
              </w:rPr>
              <w:t>有权审核部门审定</w:t>
            </w:r>
            <w:r>
              <w:rPr>
                <w:rFonts w:hint="eastAsia"/>
                <w:kern w:val="0"/>
                <w:szCs w:val="21"/>
              </w:rPr>
              <w:t>），</w:t>
            </w:r>
            <w:r>
              <w:rPr>
                <w:rFonts w:ascii="Times New Roman" w:hAnsi="Times New Roman"/>
                <w:kern w:val="0"/>
                <w:szCs w:val="21"/>
              </w:rPr>
              <w:t>监理人可提交付款申请。</w:t>
            </w:r>
          </w:p>
        </w:tc>
        <w:tc>
          <w:tcPr>
            <w:tcW w:w="2826" w:type="dxa"/>
            <w:vAlign w:val="center"/>
          </w:tcPr>
          <w:p w14:paraId="27DECBDE">
            <w:pPr>
              <w:autoSpaceDE w:val="0"/>
              <w:autoSpaceDN w:val="0"/>
              <w:adjustRightInd w:val="0"/>
              <w:rPr>
                <w:rFonts w:ascii="Times New Roman" w:hAnsi="Times New Roman"/>
                <w:kern w:val="0"/>
                <w:szCs w:val="21"/>
              </w:rPr>
            </w:pPr>
            <w:r>
              <w:rPr>
                <w:rFonts w:ascii="Times New Roman" w:hAnsi="Times New Roman"/>
                <w:kern w:val="0"/>
                <w:szCs w:val="21"/>
              </w:rPr>
              <w:t>支付至经有权审核部门审定的监理酬金结算金额的100%</w:t>
            </w:r>
          </w:p>
        </w:tc>
      </w:tr>
    </w:tbl>
    <w:p w14:paraId="0FFEAEA8">
      <w:pPr>
        <w:topLinePunct/>
        <w:adjustRightInd w:val="0"/>
        <w:snapToGrid w:val="0"/>
        <w:spacing w:line="480" w:lineRule="exact"/>
        <w:outlineLvl w:val="1"/>
        <w:rPr>
          <w:b/>
          <w:snapToGrid w:val="0"/>
          <w:spacing w:val="4"/>
          <w:kern w:val="0"/>
          <w:sz w:val="24"/>
        </w:rPr>
      </w:pPr>
    </w:p>
    <w:p w14:paraId="387F25CB">
      <w:pPr>
        <w:topLinePunct/>
        <w:adjustRightInd w:val="0"/>
        <w:snapToGrid w:val="0"/>
        <w:spacing w:line="480" w:lineRule="exact"/>
        <w:outlineLvl w:val="1"/>
        <w:rPr>
          <w:snapToGrid w:val="0"/>
          <w:spacing w:val="4"/>
          <w:kern w:val="0"/>
          <w:sz w:val="24"/>
        </w:rPr>
      </w:pPr>
      <w:r>
        <w:rPr>
          <w:rFonts w:hint="eastAsia"/>
          <w:b/>
          <w:snapToGrid w:val="0"/>
          <w:spacing w:val="4"/>
          <w:kern w:val="0"/>
          <w:sz w:val="24"/>
        </w:rPr>
        <w:t>五、其他约定</w:t>
      </w:r>
    </w:p>
    <w:p w14:paraId="00D9B085">
      <w:pPr>
        <w:topLinePunct/>
        <w:adjustRightInd w:val="0"/>
        <w:snapToGrid w:val="0"/>
        <w:spacing w:line="480" w:lineRule="exact"/>
        <w:ind w:firstLine="496" w:firstLineChars="200"/>
        <w:outlineLvl w:val="2"/>
        <w:rPr>
          <w:rFonts w:ascii="宋体" w:hAnsi="宋体" w:cs="宋体"/>
          <w:snapToGrid w:val="0"/>
          <w:spacing w:val="4"/>
          <w:kern w:val="0"/>
          <w:sz w:val="24"/>
        </w:rPr>
      </w:pPr>
      <w:r>
        <w:rPr>
          <w:rFonts w:hint="eastAsia" w:ascii="宋体" w:hAnsi="宋体" w:cs="宋体"/>
          <w:snapToGrid w:val="0"/>
          <w:spacing w:val="4"/>
          <w:kern w:val="0"/>
          <w:sz w:val="24"/>
        </w:rPr>
        <w:t>1. 监理人应对其派驻的项目监理机构在监理业务范围内的工作全面负责，并提供一切必要的支持。</w:t>
      </w:r>
    </w:p>
    <w:p w14:paraId="3A5594A4">
      <w:pPr>
        <w:topLinePunct/>
        <w:adjustRightInd w:val="0"/>
        <w:snapToGrid w:val="0"/>
        <w:spacing w:line="480" w:lineRule="exact"/>
        <w:ind w:firstLine="496" w:firstLineChars="200"/>
        <w:outlineLvl w:val="2"/>
        <w:rPr>
          <w:rFonts w:ascii="宋体" w:hAnsi="宋体" w:cs="宋体"/>
          <w:snapToGrid w:val="0"/>
          <w:spacing w:val="4"/>
          <w:kern w:val="0"/>
          <w:sz w:val="24"/>
        </w:rPr>
      </w:pPr>
      <w:r>
        <w:rPr>
          <w:rFonts w:hint="eastAsia" w:ascii="宋体" w:hAnsi="宋体" w:cs="宋体"/>
          <w:snapToGrid w:val="0"/>
          <w:spacing w:val="4"/>
          <w:kern w:val="0"/>
          <w:sz w:val="24"/>
        </w:rPr>
        <w:t>2. 监理人在本合同履行期内必须接受委托人有关项目管理机构职权规定的约束，监理人应对提供给本项目服务的人员经常进行检查、指导、管理及后方支持，对他们完成的服务承担责任。</w:t>
      </w:r>
    </w:p>
    <w:p w14:paraId="00342582">
      <w:pPr>
        <w:topLinePunct/>
        <w:adjustRightInd w:val="0"/>
        <w:snapToGrid w:val="0"/>
        <w:spacing w:line="480" w:lineRule="exact"/>
        <w:ind w:firstLine="496" w:firstLineChars="200"/>
        <w:outlineLvl w:val="2"/>
        <w:rPr>
          <w:rFonts w:ascii="宋体" w:hAnsi="宋体" w:cs="宋体"/>
          <w:snapToGrid w:val="0"/>
          <w:spacing w:val="4"/>
          <w:kern w:val="0"/>
          <w:sz w:val="24"/>
        </w:rPr>
      </w:pPr>
      <w:r>
        <w:rPr>
          <w:rFonts w:hint="eastAsia" w:ascii="宋体" w:hAnsi="宋体" w:cs="宋体"/>
          <w:snapToGrid w:val="0"/>
          <w:spacing w:val="4"/>
          <w:kern w:val="0"/>
          <w:sz w:val="24"/>
        </w:rPr>
        <w:t>3. 监理人必须在收到图纸等技术文件后14个日内向委托人提供针对本合同工程特点、重点、难点的《监理规划》、相应的《监理实施细则》，经委托人审核批准后执行，委托人以此具体考核监理人的监理工作。如委托人要求监理人对《监理规划》等进行调整，监理人必须在3个日内完成调整并报委托人审批。</w:t>
      </w:r>
    </w:p>
    <w:p w14:paraId="6B8FA791">
      <w:pPr>
        <w:topLinePunct/>
        <w:adjustRightInd w:val="0"/>
        <w:snapToGrid w:val="0"/>
        <w:spacing w:line="480" w:lineRule="exact"/>
        <w:ind w:firstLine="496" w:firstLineChars="200"/>
        <w:outlineLvl w:val="2"/>
        <w:rPr>
          <w:rFonts w:ascii="宋体" w:hAnsi="宋体" w:cs="宋体"/>
          <w:snapToGrid w:val="0"/>
          <w:spacing w:val="4"/>
          <w:kern w:val="0"/>
          <w:sz w:val="24"/>
        </w:rPr>
      </w:pPr>
      <w:r>
        <w:rPr>
          <w:rFonts w:hint="eastAsia" w:ascii="宋体" w:hAnsi="宋体" w:cs="宋体"/>
          <w:snapToGrid w:val="0"/>
          <w:spacing w:val="4"/>
          <w:kern w:val="0"/>
          <w:sz w:val="24"/>
        </w:rPr>
        <w:t>4. 委托人委托监理人代表委托人组织施工前期手续的办理工作，直至具备施工条件。委托人委托监理人承担本合同工程范围内的协调管理工作，包括工程施工的进场、设计、退场、质量、进度及其他相关工作。</w:t>
      </w:r>
    </w:p>
    <w:p w14:paraId="011C607D">
      <w:pPr>
        <w:topLinePunct/>
        <w:adjustRightInd w:val="0"/>
        <w:snapToGrid w:val="0"/>
        <w:spacing w:line="480" w:lineRule="exact"/>
        <w:ind w:firstLine="496" w:firstLineChars="200"/>
        <w:outlineLvl w:val="2"/>
        <w:rPr>
          <w:rFonts w:ascii="宋体" w:hAnsi="宋体" w:cs="宋体"/>
          <w:snapToGrid w:val="0"/>
          <w:spacing w:val="4"/>
          <w:kern w:val="0"/>
          <w:sz w:val="24"/>
        </w:rPr>
      </w:pPr>
      <w:r>
        <w:rPr>
          <w:rFonts w:hint="eastAsia" w:ascii="宋体" w:hAnsi="宋体" w:cs="宋体"/>
          <w:snapToGrid w:val="0"/>
          <w:spacing w:val="4"/>
          <w:kern w:val="0"/>
          <w:sz w:val="24"/>
        </w:rPr>
        <w:t>5. 监理工程师在本合同工程中，对工程质量、投资与进度进行控制，办理合同约定的各项手续。监理工程师在办理各种手续时，不得扣压和延误。</w:t>
      </w:r>
    </w:p>
    <w:p w14:paraId="38AE522F">
      <w:pPr>
        <w:topLinePunct/>
        <w:adjustRightInd w:val="0"/>
        <w:snapToGrid w:val="0"/>
        <w:spacing w:line="480" w:lineRule="exact"/>
        <w:ind w:firstLine="496" w:firstLineChars="200"/>
        <w:outlineLvl w:val="2"/>
        <w:rPr>
          <w:rFonts w:ascii="宋体" w:hAnsi="宋体" w:cs="宋体"/>
          <w:snapToGrid w:val="0"/>
          <w:spacing w:val="4"/>
          <w:kern w:val="0"/>
          <w:sz w:val="24"/>
        </w:rPr>
      </w:pPr>
      <w:r>
        <w:rPr>
          <w:rFonts w:hint="eastAsia" w:ascii="宋体" w:hAnsi="宋体" w:cs="宋体"/>
          <w:snapToGrid w:val="0"/>
          <w:spacing w:val="4"/>
          <w:kern w:val="0"/>
          <w:sz w:val="24"/>
        </w:rPr>
        <w:t>6. 在任何情况下（包括合同另有约定的情况），凡涉及工程变更、工程量增减、议价、索赔、处理事故、改变工期、改变技术标准、改变重大施工方案等及一切有关费用的问题，均需与委托人共同商定，报委托人批准</w:t>
      </w:r>
      <w:r>
        <w:rPr>
          <w:rFonts w:hint="eastAsia"/>
          <w:snapToGrid w:val="0"/>
          <w:spacing w:val="4"/>
          <w:kern w:val="0"/>
          <w:sz w:val="24"/>
        </w:rPr>
        <w:t>。如监理人未批委托人，导致委托人损失的，除承担相关发生费用外，每发生一次，视为一般违约，承担一般违约责任1次</w:t>
      </w:r>
      <w:r>
        <w:rPr>
          <w:rFonts w:hint="eastAsia" w:ascii="宋体" w:hAnsi="宋体" w:cs="宋体"/>
          <w:snapToGrid w:val="0"/>
          <w:spacing w:val="4"/>
          <w:kern w:val="0"/>
          <w:sz w:val="24"/>
        </w:rPr>
        <w:t>。</w:t>
      </w:r>
    </w:p>
    <w:p w14:paraId="1293A673">
      <w:pPr>
        <w:topLinePunct/>
        <w:adjustRightInd w:val="0"/>
        <w:snapToGrid w:val="0"/>
        <w:spacing w:line="480" w:lineRule="exact"/>
        <w:ind w:firstLine="496" w:firstLineChars="200"/>
        <w:outlineLvl w:val="2"/>
        <w:rPr>
          <w:rFonts w:ascii="宋体" w:hAnsi="宋体" w:cs="宋体"/>
          <w:snapToGrid w:val="0"/>
          <w:spacing w:val="4"/>
          <w:kern w:val="0"/>
          <w:sz w:val="24"/>
        </w:rPr>
      </w:pPr>
      <w:r>
        <w:rPr>
          <w:rFonts w:hint="eastAsia" w:ascii="宋体" w:hAnsi="宋体" w:cs="宋体"/>
          <w:snapToGrid w:val="0"/>
          <w:spacing w:val="4"/>
          <w:kern w:val="0"/>
          <w:sz w:val="24"/>
        </w:rPr>
        <w:t>7. 本项目工程质量实行承包人自检、监理人、委托人和政府监督的多级管理体制。对工程质量出现问题返工而造成的一切经济和工期损失，由承包人承担，并按合同约定承担相应的违约责任。监理人根据本合同约定承担相应的责任。监理人对某一分部或分项工程的认可不影响政府监督机构或委托人在事后的否定。</w:t>
      </w:r>
    </w:p>
    <w:p w14:paraId="456552C2">
      <w:pPr>
        <w:topLinePunct/>
        <w:adjustRightInd w:val="0"/>
        <w:snapToGrid w:val="0"/>
        <w:spacing w:line="480" w:lineRule="exact"/>
        <w:ind w:firstLine="496" w:firstLineChars="200"/>
        <w:outlineLvl w:val="2"/>
        <w:rPr>
          <w:rFonts w:ascii="宋体" w:hAnsi="宋体" w:cs="宋体"/>
          <w:snapToGrid w:val="0"/>
          <w:spacing w:val="4"/>
          <w:kern w:val="0"/>
          <w:sz w:val="24"/>
        </w:rPr>
      </w:pPr>
      <w:r>
        <w:rPr>
          <w:rFonts w:hint="eastAsia" w:ascii="宋体" w:hAnsi="宋体" w:cs="宋体"/>
          <w:snapToGrid w:val="0"/>
          <w:spacing w:val="4"/>
          <w:kern w:val="0"/>
          <w:sz w:val="24"/>
        </w:rPr>
        <w:t>8. 监理人应尽一切努力，高效又经济地按照合同约定及行业通常接受的技术和惯例履行服务，遵守正确的管理和工程惯例，使用适当的先进技术和安全有效的设备、仪器、材料和方法，就与施工合同中服务有关的事宜，监理人始终作为委托人的忠实顾问，认真、充分履行其监理职责。在与承包人的交往中维护委托人的合法利益，力争使其服务达到委托人满意。</w:t>
      </w:r>
    </w:p>
    <w:p w14:paraId="5B24B32B">
      <w:pPr>
        <w:topLinePunct/>
        <w:adjustRightInd w:val="0"/>
        <w:snapToGrid w:val="0"/>
        <w:spacing w:line="480" w:lineRule="exact"/>
        <w:ind w:firstLine="496" w:firstLineChars="200"/>
        <w:outlineLvl w:val="2"/>
        <w:rPr>
          <w:rFonts w:ascii="宋体" w:hAnsi="宋体" w:cs="宋体"/>
          <w:snapToGrid w:val="0"/>
          <w:spacing w:val="4"/>
          <w:kern w:val="0"/>
          <w:sz w:val="24"/>
        </w:rPr>
      </w:pPr>
      <w:r>
        <w:rPr>
          <w:rFonts w:hint="eastAsia" w:ascii="宋体" w:hAnsi="宋体" w:cs="宋体"/>
          <w:snapToGrid w:val="0"/>
          <w:spacing w:val="4"/>
          <w:kern w:val="0"/>
          <w:sz w:val="24"/>
        </w:rPr>
        <w:t>9. 监理人必须不折不扣地履行其工作职责，不得推托或耽误，不能有不履行或不完全履行职务的行为，否则，必须承担相应的违约责任。</w:t>
      </w:r>
    </w:p>
    <w:p w14:paraId="29FA5888">
      <w:pPr>
        <w:topLinePunct/>
        <w:adjustRightInd w:val="0"/>
        <w:snapToGrid w:val="0"/>
        <w:spacing w:line="480" w:lineRule="exact"/>
        <w:ind w:firstLine="496" w:firstLineChars="200"/>
        <w:outlineLvl w:val="2"/>
        <w:rPr>
          <w:rFonts w:ascii="宋体" w:hAnsi="宋体" w:cs="宋体"/>
          <w:snapToGrid w:val="0"/>
          <w:spacing w:val="4"/>
          <w:kern w:val="0"/>
          <w:sz w:val="24"/>
        </w:rPr>
      </w:pPr>
      <w:r>
        <w:rPr>
          <w:rFonts w:hint="eastAsia" w:ascii="宋体" w:hAnsi="宋体" w:cs="宋体"/>
          <w:snapToGrid w:val="0"/>
          <w:spacing w:val="4"/>
          <w:kern w:val="0"/>
          <w:sz w:val="24"/>
        </w:rPr>
        <w:t>10. 对于委托人及承包人书面提交并要求作出决定的事宜，监理人应在3日内作出书面答复，对影响施工现场进度的事项应在24小时内作出具有明确处理意见的书面答复。如监理人未按本条要求及时答复的，每发生一次，视为一般违约，承担一般违约责任1次。</w:t>
      </w:r>
    </w:p>
    <w:p w14:paraId="04232011">
      <w:pPr>
        <w:topLinePunct/>
        <w:adjustRightInd w:val="0"/>
        <w:snapToGrid w:val="0"/>
        <w:spacing w:line="480" w:lineRule="exact"/>
        <w:ind w:firstLine="496" w:firstLineChars="200"/>
        <w:outlineLvl w:val="2"/>
        <w:rPr>
          <w:rFonts w:ascii="宋体" w:hAnsi="宋体" w:cs="宋体"/>
          <w:snapToGrid w:val="0"/>
          <w:spacing w:val="4"/>
          <w:kern w:val="0"/>
          <w:sz w:val="24"/>
        </w:rPr>
      </w:pPr>
      <w:r>
        <w:rPr>
          <w:rFonts w:hint="eastAsia" w:ascii="宋体" w:hAnsi="宋体" w:cs="宋体"/>
          <w:snapToGrid w:val="0"/>
          <w:spacing w:val="4"/>
          <w:kern w:val="0"/>
          <w:sz w:val="24"/>
        </w:rPr>
        <w:t>11. 监理人应在监理服务期内，办理派驻到项目所在地人员人身和自备财产的有关保险，保险时间应随服务时间的延长而顺延，并在出险后自行办理索赔。如果监理人不办理上述保险，则应对有关风险及后果自负其责。同时，监理人应该尽一切合理的努力，按委托人可接受的条件对监理人的责任、第三方的责任以及委托人为监理服务提供的财产等进行保险。上述有关费用由监理人承担。监理人不按上述约定购买保险所产生的后果，由监理人自行承担。</w:t>
      </w:r>
    </w:p>
    <w:p w14:paraId="5291EAAA">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12. 委托人根据项目实际情况需求提供的办公房屋、设备及冷暖设施。</w:t>
      </w:r>
    </w:p>
    <w:p w14:paraId="42E46854">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13. 委托人根据项目实际情况需求，提供相关项目资料，包括：</w:t>
      </w:r>
    </w:p>
    <w:p w14:paraId="4F833FEC">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（1）施工场地及毗邻区域内的供水、排水、供电、供气、供热、通信、广播电视等地下管线资料、气象和水文观测资料，相邻建筑物和构筑物、地下工程的有关资料，以及其他与建设工程有关的原始资料</w:t>
      </w:r>
    </w:p>
    <w:p w14:paraId="79381FAA">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（2）定位放线的基准点、基准线和基准标高</w:t>
      </w:r>
    </w:p>
    <w:p w14:paraId="7923C247">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（3）委托人取得的有关审批、核准和备案材料</w:t>
      </w:r>
    </w:p>
    <w:p w14:paraId="6BE11201">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（4）勘察文件、设计文件等资料</w:t>
      </w:r>
    </w:p>
    <w:p w14:paraId="347CA614">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（5）技术标准、规范</w:t>
      </w:r>
    </w:p>
    <w:p w14:paraId="2CFC0E88">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（6）工程承包合同及其他相关合同</w:t>
      </w:r>
    </w:p>
    <w:p w14:paraId="5CC632E6">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14. 监理人对委托人提供的财产须保存完好，避免有损坏或丢失等情况发生,工程完工后监理人将委托人财产全数完好地退还给委托人。</w:t>
      </w:r>
    </w:p>
    <w:p w14:paraId="3A9B83F0">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15. 监理人需要自备工作条件，包括：</w:t>
      </w:r>
    </w:p>
    <w:p w14:paraId="7B21549E">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（1）监理人自备的工作手册：</w:t>
      </w:r>
      <w:r>
        <w:rPr>
          <w:rFonts w:hint="eastAsia" w:ascii="宋体" w:hAnsi="宋体" w:cs="宋体"/>
          <w:snapToGrid w:val="0"/>
          <w:spacing w:val="4"/>
          <w:kern w:val="0"/>
          <w:sz w:val="24"/>
          <w:u w:val="single"/>
        </w:rPr>
        <w:t>本项目必备的规范标准、图集等</w:t>
      </w:r>
      <w:r>
        <w:rPr>
          <w:rFonts w:hint="eastAsia" w:ascii="宋体" w:hAnsi="宋体" w:cs="宋体"/>
          <w:snapToGrid w:val="0"/>
          <w:spacing w:val="4"/>
          <w:kern w:val="0"/>
          <w:sz w:val="24"/>
        </w:rPr>
        <w:t>。</w:t>
      </w:r>
    </w:p>
    <w:p w14:paraId="48B827B6">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（2）监理人自备的办公设备：</w:t>
      </w:r>
      <w:r>
        <w:rPr>
          <w:rFonts w:hint="eastAsia" w:ascii="宋体" w:hAnsi="宋体" w:cs="宋体"/>
          <w:snapToGrid w:val="0"/>
          <w:spacing w:val="4"/>
          <w:kern w:val="0"/>
          <w:sz w:val="24"/>
          <w:u w:val="single"/>
        </w:rPr>
        <w:t>电脑、软件、投影、打印机、复印机、照相机等</w:t>
      </w:r>
      <w:r>
        <w:rPr>
          <w:rFonts w:hint="eastAsia" w:ascii="宋体" w:hAnsi="宋体" w:cs="宋体"/>
          <w:snapToGrid w:val="0"/>
          <w:spacing w:val="4"/>
          <w:kern w:val="0"/>
          <w:sz w:val="24"/>
        </w:rPr>
        <w:t>。</w:t>
      </w:r>
    </w:p>
    <w:p w14:paraId="5BD843C3">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（3）监理人自备的交通工具：</w:t>
      </w:r>
      <w:r>
        <w:rPr>
          <w:rFonts w:hint="eastAsia" w:ascii="宋体" w:hAnsi="宋体" w:cs="宋体"/>
          <w:snapToGrid w:val="0"/>
          <w:spacing w:val="4"/>
          <w:kern w:val="0"/>
          <w:sz w:val="24"/>
          <w:u w:val="single"/>
        </w:rPr>
        <w:t>出行车辆等</w:t>
      </w:r>
      <w:r>
        <w:rPr>
          <w:rFonts w:hint="eastAsia" w:ascii="宋体" w:hAnsi="宋体" w:cs="宋体"/>
          <w:snapToGrid w:val="0"/>
          <w:spacing w:val="4"/>
          <w:kern w:val="0"/>
          <w:sz w:val="24"/>
        </w:rPr>
        <w:t>。</w:t>
      </w:r>
    </w:p>
    <w:p w14:paraId="12AC7718">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（4）监理人自备的现场办公设施：</w:t>
      </w:r>
      <w:r>
        <w:rPr>
          <w:rFonts w:hint="eastAsia" w:ascii="宋体" w:hAnsi="宋体" w:cs="宋体"/>
          <w:snapToGrid w:val="0"/>
          <w:spacing w:val="4"/>
          <w:kern w:val="0"/>
          <w:sz w:val="24"/>
          <w:u w:val="single"/>
        </w:rPr>
        <w:t>除委托人提供的办公桌椅、文件柜外的相关设施</w:t>
      </w:r>
      <w:r>
        <w:rPr>
          <w:rFonts w:hint="eastAsia" w:ascii="宋体" w:hAnsi="宋体" w:cs="宋体"/>
          <w:snapToGrid w:val="0"/>
          <w:spacing w:val="4"/>
          <w:kern w:val="0"/>
          <w:sz w:val="24"/>
        </w:rPr>
        <w:t>。</w:t>
      </w:r>
    </w:p>
    <w:p w14:paraId="7D6192BB">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（5）监理人自备的安全设施：</w:t>
      </w:r>
      <w:r>
        <w:rPr>
          <w:rFonts w:hint="eastAsia" w:ascii="宋体" w:hAnsi="宋体" w:cs="宋体"/>
          <w:snapToGrid w:val="0"/>
          <w:spacing w:val="4"/>
          <w:kern w:val="0"/>
          <w:sz w:val="24"/>
          <w:u w:val="single"/>
        </w:rPr>
        <w:t>安全帽、安全鞋、手电筒等</w:t>
      </w:r>
      <w:r>
        <w:rPr>
          <w:rFonts w:hint="eastAsia" w:ascii="宋体" w:hAnsi="宋体" w:cs="宋体"/>
          <w:snapToGrid w:val="0"/>
          <w:spacing w:val="4"/>
          <w:kern w:val="0"/>
          <w:sz w:val="24"/>
        </w:rPr>
        <w:t>。</w:t>
      </w:r>
    </w:p>
    <w:p w14:paraId="234706EC">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（6）监理人自备的试验检测仪器、设备、工具：</w:t>
      </w:r>
      <w:r>
        <w:rPr>
          <w:rFonts w:hint="eastAsia" w:ascii="宋体" w:hAnsi="宋体" w:cs="宋体"/>
          <w:snapToGrid w:val="0"/>
          <w:spacing w:val="4"/>
          <w:kern w:val="0"/>
          <w:sz w:val="24"/>
          <w:u w:val="single"/>
        </w:rPr>
        <w:t>满足本项目监理服务要求，由投标人根据项目内容提交清单</w:t>
      </w:r>
      <w:r>
        <w:rPr>
          <w:rFonts w:hint="eastAsia" w:ascii="宋体" w:hAnsi="宋体" w:cs="宋体"/>
          <w:snapToGrid w:val="0"/>
          <w:spacing w:val="4"/>
          <w:kern w:val="0"/>
          <w:sz w:val="24"/>
        </w:rPr>
        <w:t>。</w:t>
      </w:r>
    </w:p>
    <w:p w14:paraId="76E1504A">
      <w:pPr>
        <w:topLinePunct/>
        <w:adjustRightInd w:val="0"/>
        <w:snapToGrid w:val="0"/>
        <w:spacing w:line="360" w:lineRule="auto"/>
        <w:ind w:firstLine="496" w:firstLineChars="200"/>
        <w:rPr>
          <w:rFonts w:ascii="宋体" w:hAnsi="宋体" w:cs="宋体"/>
          <w:snapToGrid w:val="0"/>
          <w:spacing w:val="4"/>
          <w:kern w:val="0"/>
          <w:sz w:val="24"/>
          <w:u w:val="single"/>
        </w:rPr>
      </w:pPr>
      <w:r>
        <w:rPr>
          <w:rFonts w:hint="eastAsia" w:ascii="宋体" w:hAnsi="宋体" w:cs="宋体"/>
          <w:snapToGrid w:val="0"/>
          <w:spacing w:val="4"/>
          <w:kern w:val="0"/>
          <w:sz w:val="24"/>
        </w:rPr>
        <w:t>（7）监理人自备的试验用房、样品用房：</w:t>
      </w:r>
      <w:r>
        <w:rPr>
          <w:rFonts w:hint="eastAsia" w:ascii="宋体" w:hAnsi="宋体" w:cs="宋体"/>
          <w:snapToGrid w:val="0"/>
          <w:spacing w:val="4"/>
          <w:kern w:val="0"/>
          <w:sz w:val="24"/>
          <w:u w:val="single"/>
        </w:rPr>
        <w:t xml:space="preserve">    /    </w:t>
      </w:r>
    </w:p>
    <w:p w14:paraId="3CD22ECE">
      <w:pPr>
        <w:jc w:val="left"/>
        <w:rPr>
          <w:rFonts w:ascii="宋体" w:hAnsi="宋体" w:cs="宋体"/>
          <w:snapToGrid w:val="0"/>
          <w:spacing w:val="4"/>
          <w:kern w:val="0"/>
          <w:sz w:val="24"/>
        </w:rPr>
      </w:pPr>
      <w:r>
        <w:rPr>
          <w:rFonts w:hint="eastAsia" w:ascii="宋体" w:hAnsi="宋体" w:cs="宋体"/>
          <w:snapToGrid w:val="0"/>
          <w:spacing w:val="4"/>
          <w:kern w:val="0"/>
          <w:sz w:val="24"/>
        </w:rPr>
        <w:br w:type="page"/>
      </w:r>
    </w:p>
    <w:p w14:paraId="665A5B7E">
      <w:pPr>
        <w:rPr>
          <w:b/>
          <w:snapToGrid w:val="0"/>
          <w:spacing w:val="4"/>
          <w:kern w:val="0"/>
          <w:sz w:val="24"/>
        </w:rPr>
      </w:pPr>
      <w:r>
        <w:rPr>
          <w:rFonts w:hint="eastAsia"/>
          <w:b/>
          <w:snapToGrid w:val="0"/>
          <w:spacing w:val="4"/>
          <w:kern w:val="0"/>
          <w:sz w:val="24"/>
        </w:rPr>
        <w:t xml:space="preserve">附件1 </w:t>
      </w:r>
      <w:r>
        <w:rPr>
          <w:b/>
          <w:snapToGrid w:val="0"/>
          <w:spacing w:val="4"/>
          <w:kern w:val="0"/>
          <w:sz w:val="24"/>
        </w:rPr>
        <w:t>监理服务工作内容</w:t>
      </w:r>
      <w:r>
        <w:rPr>
          <w:rFonts w:hint="eastAsia"/>
          <w:b/>
          <w:snapToGrid w:val="0"/>
          <w:spacing w:val="4"/>
          <w:kern w:val="0"/>
          <w:sz w:val="24"/>
        </w:rPr>
        <w:t>及项目监理机构的建立</w:t>
      </w:r>
    </w:p>
    <w:p w14:paraId="3374D5A1">
      <w:pPr>
        <w:topLinePunct/>
        <w:adjustRightInd w:val="0"/>
        <w:snapToGrid w:val="0"/>
        <w:spacing w:line="480" w:lineRule="exact"/>
        <w:outlineLvl w:val="3"/>
        <w:rPr>
          <w:b/>
          <w:snapToGrid w:val="0"/>
          <w:spacing w:val="4"/>
          <w:kern w:val="0"/>
          <w:sz w:val="24"/>
        </w:rPr>
      </w:pPr>
      <w:r>
        <w:rPr>
          <w:rFonts w:hint="eastAsia"/>
          <w:b/>
          <w:snapToGrid w:val="0"/>
          <w:spacing w:val="4"/>
          <w:kern w:val="0"/>
          <w:sz w:val="24"/>
        </w:rPr>
        <w:t>一、</w:t>
      </w:r>
      <w:r>
        <w:rPr>
          <w:b/>
          <w:snapToGrid w:val="0"/>
          <w:spacing w:val="4"/>
          <w:kern w:val="0"/>
          <w:sz w:val="24"/>
        </w:rPr>
        <w:t>监理服务工作内容</w:t>
      </w:r>
    </w:p>
    <w:p w14:paraId="243447B3">
      <w:pPr>
        <w:topLinePunct/>
        <w:adjustRightInd w:val="0"/>
        <w:snapToGrid w:val="0"/>
        <w:spacing w:line="480" w:lineRule="exact"/>
        <w:outlineLvl w:val="3"/>
        <w:rPr>
          <w:b/>
          <w:snapToGrid w:val="0"/>
          <w:spacing w:val="4"/>
          <w:kern w:val="0"/>
          <w:sz w:val="24"/>
        </w:rPr>
      </w:pPr>
      <w:r>
        <w:rPr>
          <w:rFonts w:hint="eastAsia"/>
          <w:b/>
          <w:snapToGrid w:val="0"/>
          <w:spacing w:val="4"/>
          <w:kern w:val="0"/>
          <w:sz w:val="24"/>
        </w:rPr>
        <w:t xml:space="preserve">1. </w:t>
      </w:r>
      <w:r>
        <w:rPr>
          <w:b/>
          <w:snapToGrid w:val="0"/>
          <w:spacing w:val="4"/>
          <w:kern w:val="0"/>
          <w:sz w:val="24"/>
        </w:rPr>
        <w:t>建设工程监理一般规定</w:t>
      </w:r>
    </w:p>
    <w:p w14:paraId="04AF5913">
      <w:pPr>
        <w:topLinePunct/>
        <w:adjustRightInd w:val="0"/>
        <w:snapToGrid w:val="0"/>
        <w:spacing w:line="480" w:lineRule="exact"/>
        <w:ind w:firstLine="496" w:firstLineChars="200"/>
        <w:rPr>
          <w:snapToGrid w:val="0"/>
          <w:spacing w:val="4"/>
          <w:kern w:val="0"/>
          <w:sz w:val="24"/>
        </w:rPr>
      </w:pPr>
      <w:r>
        <w:rPr>
          <w:snapToGrid w:val="0"/>
          <w:spacing w:val="4"/>
          <w:kern w:val="0"/>
          <w:sz w:val="24"/>
        </w:rPr>
        <w:t>（1）实行总监理工程师负责制。</w:t>
      </w:r>
    </w:p>
    <w:p w14:paraId="55F8E679">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（2）监理人应公正、独立、自主地开展监理工作，维护委托人和承包人的合法权益。</w:t>
      </w:r>
    </w:p>
    <w:p w14:paraId="48AE8F1E">
      <w:pPr>
        <w:topLinePunct/>
        <w:adjustRightInd w:val="0"/>
        <w:snapToGrid w:val="0"/>
        <w:spacing w:line="480" w:lineRule="exact"/>
        <w:ind w:firstLine="496" w:firstLineChars="200"/>
        <w:rPr>
          <w:snapToGrid w:val="0"/>
          <w:spacing w:val="4"/>
          <w:kern w:val="0"/>
          <w:sz w:val="24"/>
        </w:rPr>
      </w:pPr>
      <w:r>
        <w:rPr>
          <w:snapToGrid w:val="0"/>
          <w:spacing w:val="4"/>
          <w:kern w:val="0"/>
          <w:sz w:val="24"/>
        </w:rPr>
        <w:t>（3）建设工程监理除应符合《建设工程监理规范》（GB/T 50319-2013）外，还应符合国家现行的有关强制性标准、规范的规定。</w:t>
      </w:r>
    </w:p>
    <w:p w14:paraId="6BB53F99">
      <w:pPr>
        <w:topLinePunct/>
        <w:adjustRightInd w:val="0"/>
        <w:snapToGrid w:val="0"/>
        <w:spacing w:line="480" w:lineRule="exact"/>
        <w:outlineLvl w:val="3"/>
        <w:rPr>
          <w:b/>
          <w:snapToGrid w:val="0"/>
          <w:spacing w:val="4"/>
          <w:kern w:val="0"/>
          <w:sz w:val="24"/>
        </w:rPr>
      </w:pPr>
      <w:r>
        <w:rPr>
          <w:rFonts w:hint="eastAsia"/>
          <w:b/>
          <w:snapToGrid w:val="0"/>
          <w:spacing w:val="4"/>
          <w:kern w:val="0"/>
          <w:sz w:val="24"/>
        </w:rPr>
        <w:t>2. 原建筑物拆除工程、勘察工程（如有）、超前钻（如有）工程旁站监理工作</w:t>
      </w:r>
    </w:p>
    <w:p w14:paraId="2355B849">
      <w:pPr>
        <w:pStyle w:val="16"/>
        <w:spacing w:line="480" w:lineRule="exact"/>
        <w:ind w:left="0" w:leftChars="0" w:firstLine="480" w:firstLineChars="200"/>
        <w:rPr>
          <w:sz w:val="24"/>
          <w:szCs w:val="24"/>
        </w:rPr>
      </w:pPr>
      <w:r>
        <w:rPr>
          <w:rFonts w:hint="eastAsia"/>
          <w:sz w:val="24"/>
          <w:szCs w:val="24"/>
        </w:rPr>
        <w:t>原建筑物拆除工程、勘察工程（如有）、超前钻（如有）工程旁站监理工作包括但不限于以下内容：</w:t>
      </w:r>
    </w:p>
    <w:p w14:paraId="2A8B8AFC">
      <w:pPr>
        <w:spacing w:line="480" w:lineRule="exact"/>
        <w:ind w:firstLine="480" w:firstLineChars="200"/>
        <w:rPr>
          <w:sz w:val="24"/>
          <w:szCs w:val="24"/>
        </w:rPr>
      </w:pPr>
      <w:r>
        <w:rPr>
          <w:rFonts w:hint="eastAsia"/>
          <w:sz w:val="24"/>
          <w:szCs w:val="24"/>
        </w:rPr>
        <w:t>（1）原建筑物拆除工程监理工作内容</w:t>
      </w:r>
    </w:p>
    <w:p w14:paraId="465F9D71">
      <w:pPr>
        <w:pStyle w:val="16"/>
        <w:spacing w:line="480" w:lineRule="exact"/>
        <w:ind w:left="0" w:leftChars="0" w:firstLine="480" w:firstLineChars="200"/>
        <w:rPr>
          <w:sz w:val="24"/>
        </w:rPr>
      </w:pPr>
      <w:r>
        <w:rPr>
          <w:rFonts w:hint="eastAsia"/>
          <w:sz w:val="24"/>
          <w:szCs w:val="24"/>
        </w:rPr>
        <w:t>1）</w:t>
      </w:r>
      <w:r>
        <w:rPr>
          <w:rFonts w:hint="eastAsia"/>
          <w:sz w:val="24"/>
        </w:rPr>
        <w:t>施工安全、被拆除建筑物及相邻建筑物、构筑物、综合管线等安全。监理人员应当在施工前认真核查工程项目的实在内容，并推动全部相关方面的手续齐全，如权属证明、拆迁手续等；</w:t>
      </w:r>
    </w:p>
    <w:p w14:paraId="5D27E538">
      <w:pPr>
        <w:spacing w:line="400" w:lineRule="exact"/>
        <w:ind w:firstLine="480" w:firstLineChars="200"/>
        <w:rPr>
          <w:sz w:val="24"/>
        </w:rPr>
      </w:pPr>
      <w:r>
        <w:rPr>
          <w:rFonts w:hint="eastAsia"/>
          <w:sz w:val="24"/>
        </w:rPr>
        <w:t>2）房屋拆除工程进行时，检查拆除区域四周环境；</w:t>
      </w:r>
    </w:p>
    <w:p w14:paraId="5E918822">
      <w:pPr>
        <w:pStyle w:val="16"/>
        <w:spacing w:line="360" w:lineRule="auto"/>
        <w:ind w:left="0" w:leftChars="0" w:firstLine="480" w:firstLineChars="200"/>
        <w:rPr>
          <w:sz w:val="24"/>
        </w:rPr>
      </w:pPr>
      <w:r>
        <w:rPr>
          <w:rFonts w:hint="eastAsia"/>
          <w:sz w:val="24"/>
        </w:rPr>
        <w:t>3）确保拆除物料处理规范，做好拆除物料计量，订立施工程序和安全措施；</w:t>
      </w:r>
    </w:p>
    <w:p w14:paraId="102064AF">
      <w:pPr>
        <w:spacing w:line="360" w:lineRule="auto"/>
        <w:ind w:firstLine="480" w:firstLineChars="200"/>
        <w:rPr>
          <w:sz w:val="24"/>
        </w:rPr>
      </w:pPr>
      <w:r>
        <w:rPr>
          <w:rFonts w:hint="eastAsia"/>
          <w:sz w:val="24"/>
        </w:rPr>
        <w:t>4）拆除工程施工组织设计和安全专项施工方案，应经审批后实施; 当施工过程中发生变更情况时，应履行相应的审批和论证程序。</w:t>
      </w:r>
    </w:p>
    <w:p w14:paraId="45C3495E">
      <w:pPr>
        <w:spacing w:line="360" w:lineRule="auto"/>
        <w:ind w:firstLine="480" w:firstLineChars="200"/>
        <w:rPr>
          <w:sz w:val="24"/>
        </w:rPr>
      </w:pPr>
      <w:r>
        <w:rPr>
          <w:rFonts w:hint="eastAsia"/>
          <w:sz w:val="24"/>
        </w:rPr>
        <w:t>5）拆除工程施工前，应对作业人员进行岗前安全教育和培训，考核合格后方可上岗作业。</w:t>
      </w:r>
    </w:p>
    <w:p w14:paraId="6FE27309">
      <w:pPr>
        <w:spacing w:line="360" w:lineRule="auto"/>
        <w:ind w:firstLine="480" w:firstLineChars="200"/>
        <w:rPr>
          <w:sz w:val="24"/>
        </w:rPr>
      </w:pPr>
      <w:r>
        <w:rPr>
          <w:rFonts w:hint="eastAsia"/>
          <w:sz w:val="24"/>
        </w:rPr>
        <w:t>6）拆除工程施工前，必须对施工作业人员进行书面安全技术交底，且应有记录并签字确认。</w:t>
      </w:r>
    </w:p>
    <w:p w14:paraId="5D6422F1">
      <w:pPr>
        <w:spacing w:line="360" w:lineRule="auto"/>
        <w:ind w:firstLine="480" w:firstLineChars="200"/>
        <w:rPr>
          <w:sz w:val="24"/>
        </w:rPr>
      </w:pPr>
      <w:r>
        <w:rPr>
          <w:rFonts w:hint="eastAsia"/>
          <w:sz w:val="24"/>
        </w:rPr>
        <w:t>7）拆除工程施工必须按施工组织设计、安全专项施工方案实施;、在拆除施工现场划定危险区域，设置警戒线和相关的安全警示标志，并应由专人监护。</w:t>
      </w:r>
    </w:p>
    <w:p w14:paraId="659D6F5C">
      <w:pPr>
        <w:spacing w:line="360" w:lineRule="auto"/>
        <w:ind w:firstLine="480" w:firstLineChars="200"/>
        <w:rPr>
          <w:sz w:val="24"/>
        </w:rPr>
      </w:pPr>
      <w:r>
        <w:rPr>
          <w:rFonts w:hint="eastAsia"/>
          <w:sz w:val="24"/>
        </w:rPr>
        <w:t>8）拆除工程使用的脚手架、安全网，必须由专业人员按专项施工方案搭设，经验收合格后方可使用。</w:t>
      </w:r>
    </w:p>
    <w:p w14:paraId="63C60745">
      <w:pPr>
        <w:spacing w:line="360" w:lineRule="auto"/>
        <w:ind w:firstLine="480" w:firstLineChars="200"/>
        <w:rPr>
          <w:sz w:val="24"/>
        </w:rPr>
      </w:pPr>
      <w:r>
        <w:rPr>
          <w:rFonts w:hint="eastAsia"/>
          <w:sz w:val="24"/>
        </w:rPr>
        <w:t>9）安全防护设施验收时，应按类别逐项查验，并应有验收记录。</w:t>
      </w:r>
    </w:p>
    <w:p w14:paraId="3F11BCA8">
      <w:pPr>
        <w:spacing w:line="360" w:lineRule="auto"/>
        <w:ind w:firstLine="480" w:firstLineChars="200"/>
        <w:rPr>
          <w:sz w:val="24"/>
        </w:rPr>
      </w:pPr>
      <w:r>
        <w:rPr>
          <w:rFonts w:hint="eastAsia"/>
          <w:sz w:val="24"/>
        </w:rPr>
        <w:t>10）拆除工程施工作业人员应按现行行业标准《建筑施工作业劳动防护用品配备及使用标准》JGJ 184 的规定，配备相应的劳动防护用品，并应正确使用。</w:t>
      </w:r>
    </w:p>
    <w:p w14:paraId="267F43A9">
      <w:pPr>
        <w:spacing w:line="360" w:lineRule="auto"/>
        <w:ind w:firstLine="480" w:firstLineChars="200"/>
        <w:rPr>
          <w:sz w:val="24"/>
        </w:rPr>
      </w:pPr>
      <w:r>
        <w:rPr>
          <w:rFonts w:hint="eastAsia"/>
          <w:sz w:val="24"/>
        </w:rPr>
        <w:t>11）当遇大雨、大雪、大雾或六级及以上风力等影响施工安全的恶劣天气时，严禁进行露天拆除作业。</w:t>
      </w:r>
    </w:p>
    <w:p w14:paraId="7B5380EF">
      <w:pPr>
        <w:spacing w:line="360" w:lineRule="auto"/>
        <w:ind w:firstLine="480" w:firstLineChars="200"/>
        <w:rPr>
          <w:sz w:val="24"/>
        </w:rPr>
      </w:pPr>
      <w:r>
        <w:rPr>
          <w:rFonts w:hint="eastAsia"/>
          <w:sz w:val="24"/>
        </w:rPr>
        <w:t>12）当日拆除施工结束后或暂停施工时，机械设备应停放在安全位置，并应采取固定措施。</w:t>
      </w:r>
    </w:p>
    <w:p w14:paraId="4D864929">
      <w:pPr>
        <w:spacing w:line="360" w:lineRule="auto"/>
        <w:ind w:firstLine="480" w:firstLineChars="200"/>
        <w:rPr>
          <w:sz w:val="24"/>
        </w:rPr>
      </w:pPr>
      <w:r>
        <w:rPr>
          <w:rFonts w:hint="eastAsia"/>
          <w:sz w:val="24"/>
        </w:rPr>
        <w:t>13）拆除工程施工必须建立消防管理制度。</w:t>
      </w:r>
    </w:p>
    <w:p w14:paraId="33B178F2">
      <w:pPr>
        <w:spacing w:line="360" w:lineRule="auto"/>
        <w:ind w:firstLine="480" w:firstLineChars="200"/>
        <w:rPr>
          <w:sz w:val="24"/>
        </w:rPr>
      </w:pPr>
      <w:r>
        <w:rPr>
          <w:rFonts w:hint="eastAsia"/>
          <w:sz w:val="24"/>
        </w:rPr>
        <w:t>14）拆除工程应根据施工现场作业环境，制定相应的消防安全措施。现场消防设施应按现行国家标准《建设工程施工现场消防安全技术规范》GB 50720 的规定执行。</w:t>
      </w:r>
    </w:p>
    <w:p w14:paraId="3A79A798">
      <w:pPr>
        <w:spacing w:line="360" w:lineRule="auto"/>
        <w:ind w:firstLine="480" w:firstLineChars="200"/>
        <w:rPr>
          <w:sz w:val="24"/>
        </w:rPr>
      </w:pPr>
      <w:r>
        <w:rPr>
          <w:rFonts w:hint="eastAsia"/>
          <w:sz w:val="24"/>
        </w:rPr>
        <w:t>15）当拆除作业遇有易燃易爆材料时，应采取有效的防火防爆措施。</w:t>
      </w:r>
    </w:p>
    <w:p w14:paraId="681F373A">
      <w:pPr>
        <w:spacing w:line="360" w:lineRule="auto"/>
        <w:ind w:firstLine="480" w:firstLineChars="200"/>
        <w:rPr>
          <w:sz w:val="24"/>
        </w:rPr>
      </w:pPr>
      <w:r>
        <w:rPr>
          <w:rFonts w:hint="eastAsia"/>
          <w:sz w:val="24"/>
        </w:rPr>
        <w:t>16）对管道或容器进行切割作业前，应检查并确认管道或容器内无可燃气体或爆炸性粉尘等残留物。</w:t>
      </w:r>
    </w:p>
    <w:p w14:paraId="10969114">
      <w:pPr>
        <w:spacing w:line="360" w:lineRule="auto"/>
        <w:ind w:firstLine="480" w:firstLineChars="200"/>
        <w:rPr>
          <w:sz w:val="24"/>
        </w:rPr>
      </w:pPr>
      <w:r>
        <w:rPr>
          <w:rFonts w:hint="eastAsia"/>
          <w:sz w:val="24"/>
        </w:rPr>
        <w:t>17）施工现场临时用电应按现行行业标准《施工现场临时用电安全技术规范》JGJ 46 的规定执行。</w:t>
      </w:r>
    </w:p>
    <w:p w14:paraId="7B485A0B">
      <w:pPr>
        <w:spacing w:line="360" w:lineRule="auto"/>
        <w:ind w:firstLine="480" w:firstLineChars="200"/>
        <w:rPr>
          <w:sz w:val="24"/>
        </w:rPr>
      </w:pPr>
      <w:r>
        <w:rPr>
          <w:rFonts w:hint="eastAsia"/>
          <w:sz w:val="24"/>
        </w:rPr>
        <w:t>18）当拆除工程施工过程中发生事故时，应及时启动生产安全事故应急预案，抢救伤员、保护现场，并应向有关部门报告。</w:t>
      </w:r>
    </w:p>
    <w:p w14:paraId="21B35787">
      <w:pPr>
        <w:spacing w:line="360" w:lineRule="auto"/>
        <w:ind w:firstLine="480" w:firstLineChars="200"/>
      </w:pPr>
      <w:r>
        <w:rPr>
          <w:rFonts w:hint="eastAsia"/>
          <w:sz w:val="24"/>
        </w:rPr>
        <w:t>19）拆除工程施工应建立安全技术档案</w:t>
      </w:r>
    </w:p>
    <w:p w14:paraId="78318F83">
      <w:pPr>
        <w:pStyle w:val="16"/>
        <w:spacing w:line="480" w:lineRule="exact"/>
        <w:ind w:left="420"/>
        <w:rPr>
          <w:sz w:val="24"/>
        </w:rPr>
      </w:pPr>
      <w:r>
        <w:rPr>
          <w:rFonts w:hint="eastAsia"/>
          <w:sz w:val="24"/>
        </w:rPr>
        <w:t>（2）勘察（如有）工程监理工作内容</w:t>
      </w:r>
    </w:p>
    <w:p w14:paraId="205B7AA5">
      <w:pPr>
        <w:spacing w:line="480" w:lineRule="exact"/>
        <w:ind w:firstLine="480" w:firstLineChars="200"/>
        <w:rPr>
          <w:sz w:val="24"/>
        </w:rPr>
      </w:pPr>
      <w:r>
        <w:rPr>
          <w:rFonts w:hint="eastAsia"/>
          <w:sz w:val="24"/>
        </w:rPr>
        <w:t>具体包括但不限于：</w:t>
      </w:r>
    </w:p>
    <w:p w14:paraId="707CCEB3">
      <w:pPr>
        <w:spacing w:line="480" w:lineRule="exact"/>
        <w:ind w:firstLine="480" w:firstLineChars="200"/>
        <w:rPr>
          <w:sz w:val="24"/>
        </w:rPr>
      </w:pPr>
      <w:r>
        <w:rPr>
          <w:rFonts w:hint="eastAsia"/>
          <w:sz w:val="24"/>
        </w:rPr>
        <w:t>1）进度监理</w:t>
      </w:r>
    </w:p>
    <w:p w14:paraId="7F12A328">
      <w:pPr>
        <w:spacing w:line="480" w:lineRule="exact"/>
        <w:ind w:firstLine="480" w:firstLineChars="200"/>
        <w:rPr>
          <w:sz w:val="24"/>
        </w:rPr>
      </w:pPr>
      <w:r>
        <w:rPr>
          <w:rFonts w:hint="eastAsia"/>
          <w:sz w:val="24"/>
        </w:rPr>
        <w:t>勘察单位人员、设备是否按计划进场：记录进场时间，根据实际勘察速度预测勘察进度，必要时应及时通知承包商子以调整。</w:t>
      </w:r>
    </w:p>
    <w:p w14:paraId="090A38BC">
      <w:pPr>
        <w:spacing w:line="480" w:lineRule="exact"/>
        <w:ind w:firstLine="480" w:firstLineChars="200"/>
        <w:rPr>
          <w:sz w:val="24"/>
        </w:rPr>
      </w:pPr>
      <w:r>
        <w:rPr>
          <w:rFonts w:hint="eastAsia"/>
          <w:sz w:val="24"/>
        </w:rPr>
        <w:t>2）质量监理</w:t>
      </w:r>
    </w:p>
    <w:p w14:paraId="682F39DE">
      <w:pPr>
        <w:spacing w:line="480" w:lineRule="exact"/>
        <w:ind w:firstLine="480" w:firstLineChars="200"/>
        <w:rPr>
          <w:sz w:val="24"/>
        </w:rPr>
      </w:pPr>
      <w:r>
        <w:rPr>
          <w:rFonts w:hint="eastAsia"/>
          <w:sz w:val="24"/>
        </w:rPr>
        <w:t>督查勘察单位是否按勘察纲要实施，主要督查如下几项内容：</w:t>
      </w:r>
    </w:p>
    <w:p w14:paraId="76CBF4FA">
      <w:pPr>
        <w:spacing w:line="480" w:lineRule="exact"/>
        <w:ind w:firstLine="480" w:firstLineChars="200"/>
        <w:rPr>
          <w:sz w:val="24"/>
        </w:rPr>
      </w:pPr>
      <w:r>
        <w:rPr>
          <w:rFonts w:hint="eastAsia"/>
          <w:sz w:val="24"/>
        </w:rPr>
        <w:t>a.勘察项目是否完全；</w:t>
      </w:r>
    </w:p>
    <w:p w14:paraId="09821A47">
      <w:pPr>
        <w:spacing w:line="480" w:lineRule="exact"/>
        <w:ind w:firstLine="480" w:firstLineChars="200"/>
        <w:rPr>
          <w:sz w:val="24"/>
        </w:rPr>
      </w:pPr>
      <w:r>
        <w:rPr>
          <w:rFonts w:hint="eastAsia"/>
          <w:sz w:val="24"/>
        </w:rPr>
        <w:t>b.勘察点线有无偏、错、漏；</w:t>
      </w:r>
    </w:p>
    <w:p w14:paraId="5F36C838">
      <w:pPr>
        <w:spacing w:line="480" w:lineRule="exact"/>
        <w:ind w:firstLine="480" w:firstLineChars="200"/>
        <w:rPr>
          <w:sz w:val="24"/>
        </w:rPr>
      </w:pPr>
      <w:r>
        <w:rPr>
          <w:rFonts w:hint="eastAsia"/>
          <w:sz w:val="24"/>
        </w:rPr>
        <w:t>c.操作是否符合规范;；</w:t>
      </w:r>
    </w:p>
    <w:p w14:paraId="53ABEF8C">
      <w:pPr>
        <w:spacing w:line="480" w:lineRule="exact"/>
        <w:ind w:firstLine="480" w:firstLineChars="200"/>
        <w:rPr>
          <w:sz w:val="24"/>
        </w:rPr>
      </w:pPr>
      <w:r>
        <w:rPr>
          <w:rFonts w:hint="eastAsia"/>
          <w:sz w:val="24"/>
        </w:rPr>
        <w:t>d.钻探深度、取样位置及样品保护是否得当；</w:t>
      </w:r>
    </w:p>
    <w:p w14:paraId="0611BA96">
      <w:pPr>
        <w:spacing w:line="480" w:lineRule="exact"/>
        <w:ind w:firstLine="480" w:firstLineChars="200"/>
        <w:rPr>
          <w:sz w:val="24"/>
        </w:rPr>
      </w:pPr>
      <w:r>
        <w:rPr>
          <w:rFonts w:hint="eastAsia"/>
          <w:sz w:val="24"/>
        </w:rPr>
        <w:t>e.对大型或复杂的工程，还要对其内业工作进行监理(试验条件、试验项目、试验操作等)。</w:t>
      </w:r>
    </w:p>
    <w:p w14:paraId="712FAF1B">
      <w:pPr>
        <w:spacing w:line="480" w:lineRule="exact"/>
        <w:ind w:firstLine="480" w:firstLineChars="200"/>
        <w:rPr>
          <w:sz w:val="24"/>
        </w:rPr>
      </w:pPr>
      <w:r>
        <w:rPr>
          <w:rFonts w:hint="eastAsia"/>
          <w:sz w:val="24"/>
        </w:rPr>
        <w:t>3）检查勘察报告</w:t>
      </w:r>
    </w:p>
    <w:p w14:paraId="4D5D9BDD">
      <w:pPr>
        <w:spacing w:line="480" w:lineRule="exact"/>
        <w:ind w:left="479" w:leftChars="228"/>
        <w:rPr>
          <w:sz w:val="24"/>
        </w:rPr>
      </w:pPr>
      <w:r>
        <w:rPr>
          <w:rFonts w:hint="eastAsia"/>
          <w:sz w:val="24"/>
        </w:rPr>
        <w:t>检查勘察报告的完整性、合理性、可靠性和实用性，以及对施工要求的满足程度。</w:t>
      </w:r>
    </w:p>
    <w:p w14:paraId="1B314D45">
      <w:pPr>
        <w:spacing w:line="480" w:lineRule="exact"/>
        <w:ind w:left="479" w:leftChars="228"/>
        <w:rPr>
          <w:sz w:val="24"/>
        </w:rPr>
      </w:pPr>
      <w:r>
        <w:rPr>
          <w:rFonts w:hint="eastAsia"/>
          <w:sz w:val="24"/>
        </w:rPr>
        <w:t>4）审核勘察费的结算</w:t>
      </w:r>
    </w:p>
    <w:p w14:paraId="4D6E1DB1">
      <w:pPr>
        <w:spacing w:line="480" w:lineRule="exact"/>
        <w:ind w:firstLine="480" w:firstLineChars="200"/>
        <w:rPr>
          <w:sz w:val="24"/>
        </w:rPr>
      </w:pPr>
      <w:r>
        <w:rPr>
          <w:rFonts w:hint="eastAsia"/>
          <w:sz w:val="24"/>
        </w:rPr>
        <w:t>根据勘察进度，按合同规定签发支付费用通知。</w:t>
      </w:r>
    </w:p>
    <w:p w14:paraId="1475F009">
      <w:pPr>
        <w:spacing w:line="480" w:lineRule="exact"/>
        <w:ind w:firstLine="480" w:firstLineChars="200"/>
        <w:rPr>
          <w:sz w:val="24"/>
        </w:rPr>
      </w:pPr>
      <w:r>
        <w:rPr>
          <w:rFonts w:hint="eastAsia"/>
          <w:sz w:val="24"/>
        </w:rPr>
        <w:t>（3）超前钻（如有）工程旁站监理工作</w:t>
      </w:r>
    </w:p>
    <w:p w14:paraId="0B864FDB">
      <w:pPr>
        <w:pStyle w:val="16"/>
        <w:spacing w:line="360" w:lineRule="auto"/>
        <w:ind w:left="0" w:leftChars="0" w:firstLine="480" w:firstLineChars="200"/>
        <w:rPr>
          <w:sz w:val="24"/>
        </w:rPr>
      </w:pPr>
      <w:r>
        <w:rPr>
          <w:rFonts w:hint="eastAsia"/>
          <w:sz w:val="24"/>
        </w:rPr>
        <w:t>1）熟悉委托方与勘探超前钻施工单位签订的施工合同，熟悉开发项目图纸，参加技术部位对勘探超前钻施工技术交底，审核项目地勘报告、施工图会审纪要，施工方案、放线测量定位复核、勘探超前钻机械设备进场开工。</w:t>
      </w:r>
    </w:p>
    <w:p w14:paraId="3AB23C15">
      <w:pPr>
        <w:pStyle w:val="16"/>
        <w:spacing w:line="360" w:lineRule="auto"/>
        <w:ind w:left="0" w:leftChars="0" w:firstLine="480" w:firstLineChars="200"/>
        <w:rPr>
          <w:sz w:val="24"/>
        </w:rPr>
      </w:pPr>
      <w:r>
        <w:rPr>
          <w:rFonts w:hint="eastAsia"/>
          <w:sz w:val="24"/>
        </w:rPr>
        <w:t>2）检查施工单位现场质检员到岗情况、特殊工种人员持证上岗情况以及施工机械设备、工程材料准备情况。</w:t>
      </w:r>
    </w:p>
    <w:p w14:paraId="62B7BBF5">
      <w:pPr>
        <w:pStyle w:val="16"/>
        <w:spacing w:line="360" w:lineRule="auto"/>
        <w:ind w:left="0" w:leftChars="0" w:firstLine="480" w:firstLineChars="200"/>
        <w:rPr>
          <w:sz w:val="24"/>
        </w:rPr>
      </w:pPr>
      <w:r>
        <w:rPr>
          <w:rFonts w:hint="eastAsia"/>
          <w:sz w:val="24"/>
        </w:rPr>
        <w:t>3）在现场跟班监督关键部位、关键工序的施工，执行施工方案以及工程建设强制性标准情况。</w:t>
      </w:r>
    </w:p>
    <w:p w14:paraId="3DB28709">
      <w:pPr>
        <w:pStyle w:val="16"/>
        <w:spacing w:line="360" w:lineRule="auto"/>
        <w:ind w:left="0" w:leftChars="0" w:firstLine="480" w:firstLineChars="200"/>
        <w:rPr>
          <w:sz w:val="24"/>
        </w:rPr>
      </w:pPr>
      <w:r>
        <w:rPr>
          <w:rFonts w:hint="eastAsia"/>
          <w:sz w:val="24"/>
        </w:rPr>
        <w:t>4）检查上道工序施工质量情况，并检查施工单位对前工序完成后进行自检的情况以及有关施工资料情况。</w:t>
      </w:r>
    </w:p>
    <w:p w14:paraId="04F346BB">
      <w:pPr>
        <w:pStyle w:val="16"/>
        <w:spacing w:line="360" w:lineRule="auto"/>
        <w:ind w:left="0" w:leftChars="0" w:firstLine="480" w:firstLineChars="200"/>
        <w:rPr>
          <w:sz w:val="24"/>
        </w:rPr>
      </w:pPr>
      <w:r>
        <w:rPr>
          <w:rFonts w:hint="eastAsia"/>
          <w:sz w:val="24"/>
        </w:rPr>
        <w:t>5）做好旁站监理记录和监理日记，保存旁站监理原始资料。</w:t>
      </w:r>
    </w:p>
    <w:p w14:paraId="03ED1AFA">
      <w:pPr>
        <w:topLinePunct/>
        <w:adjustRightInd w:val="0"/>
        <w:snapToGrid w:val="0"/>
        <w:spacing w:line="480" w:lineRule="exact"/>
        <w:outlineLvl w:val="3"/>
        <w:rPr>
          <w:b/>
          <w:snapToGrid w:val="0"/>
          <w:spacing w:val="4"/>
          <w:kern w:val="0"/>
          <w:sz w:val="24"/>
        </w:rPr>
      </w:pPr>
      <w:r>
        <w:rPr>
          <w:rFonts w:hint="eastAsia"/>
          <w:b/>
          <w:snapToGrid w:val="0"/>
          <w:spacing w:val="4"/>
          <w:kern w:val="0"/>
          <w:sz w:val="24"/>
        </w:rPr>
        <w:t xml:space="preserve">3. </w:t>
      </w:r>
      <w:r>
        <w:rPr>
          <w:b/>
          <w:snapToGrid w:val="0"/>
          <w:spacing w:val="4"/>
          <w:kern w:val="0"/>
          <w:sz w:val="24"/>
        </w:rPr>
        <w:t>施工准备阶段的监理工作</w:t>
      </w:r>
    </w:p>
    <w:p w14:paraId="3A308E49">
      <w:pPr>
        <w:topLinePunct/>
        <w:adjustRightInd w:val="0"/>
        <w:snapToGrid w:val="0"/>
        <w:spacing w:line="480" w:lineRule="exact"/>
        <w:ind w:firstLine="496" w:firstLineChars="200"/>
        <w:rPr>
          <w:snapToGrid w:val="0"/>
          <w:spacing w:val="4"/>
          <w:kern w:val="0"/>
          <w:sz w:val="24"/>
        </w:rPr>
      </w:pPr>
      <w:r>
        <w:rPr>
          <w:snapToGrid w:val="0"/>
          <w:spacing w:val="4"/>
          <w:kern w:val="0"/>
          <w:sz w:val="24"/>
        </w:rPr>
        <w:t>施工准备阶段的监理工作包括但不限于以下内容：</w:t>
      </w:r>
    </w:p>
    <w:p w14:paraId="73CF5976">
      <w:pPr>
        <w:topLinePunct/>
        <w:adjustRightInd w:val="0"/>
        <w:snapToGrid w:val="0"/>
        <w:spacing w:line="480" w:lineRule="exact"/>
        <w:ind w:firstLine="496" w:firstLineChars="200"/>
        <w:rPr>
          <w:snapToGrid w:val="0"/>
          <w:spacing w:val="4"/>
          <w:kern w:val="0"/>
          <w:sz w:val="24"/>
        </w:rPr>
      </w:pPr>
      <w:r>
        <w:rPr>
          <w:snapToGrid w:val="0"/>
          <w:spacing w:val="4"/>
          <w:kern w:val="0"/>
          <w:sz w:val="24"/>
        </w:rPr>
        <w:t>（1）在设计交底前，总监理工程师应组织监理人员熟悉设计文件，并对图纸中存在的问题通过委托人向设计单位提出书面意见和建议。</w:t>
      </w:r>
    </w:p>
    <w:p w14:paraId="74A806FD">
      <w:pPr>
        <w:topLinePunct/>
        <w:adjustRightInd w:val="0"/>
        <w:snapToGrid w:val="0"/>
        <w:spacing w:line="480" w:lineRule="exact"/>
        <w:ind w:firstLine="496" w:firstLineChars="200"/>
        <w:rPr>
          <w:snapToGrid w:val="0"/>
          <w:spacing w:val="4"/>
          <w:kern w:val="0"/>
          <w:sz w:val="24"/>
        </w:rPr>
      </w:pPr>
      <w:r>
        <w:rPr>
          <w:snapToGrid w:val="0"/>
          <w:spacing w:val="4"/>
          <w:kern w:val="0"/>
          <w:sz w:val="24"/>
        </w:rPr>
        <w:t>（2）项目监理人员应参加由委托人组织的设计技术交底会，总监理工程师应组织人员编写设计技术交底会议纪要并提交给委托人。</w:t>
      </w:r>
    </w:p>
    <w:p w14:paraId="6D211351">
      <w:pPr>
        <w:topLinePunct/>
        <w:adjustRightInd w:val="0"/>
        <w:snapToGrid w:val="0"/>
        <w:spacing w:line="480" w:lineRule="exact"/>
        <w:ind w:firstLine="496" w:firstLineChars="200"/>
        <w:rPr>
          <w:snapToGrid w:val="0"/>
          <w:spacing w:val="4"/>
          <w:kern w:val="0"/>
          <w:sz w:val="24"/>
        </w:rPr>
      </w:pPr>
      <w:r>
        <w:rPr>
          <w:snapToGrid w:val="0"/>
          <w:spacing w:val="4"/>
          <w:kern w:val="0"/>
          <w:sz w:val="24"/>
        </w:rPr>
        <w:t>（3）图纸会审由委托人组织，总监理工程师应组织人员做好图纸会审记录并提交给委托人。</w:t>
      </w:r>
    </w:p>
    <w:p w14:paraId="28EEEA8F">
      <w:pPr>
        <w:topLinePunct/>
        <w:adjustRightInd w:val="0"/>
        <w:snapToGrid w:val="0"/>
        <w:spacing w:line="480" w:lineRule="exact"/>
        <w:ind w:firstLine="496" w:firstLineChars="200"/>
        <w:rPr>
          <w:snapToGrid w:val="0"/>
          <w:spacing w:val="4"/>
          <w:kern w:val="0"/>
          <w:sz w:val="24"/>
        </w:rPr>
      </w:pPr>
      <w:r>
        <w:rPr>
          <w:snapToGrid w:val="0"/>
          <w:spacing w:val="4"/>
          <w:kern w:val="0"/>
          <w:sz w:val="24"/>
        </w:rPr>
        <w:t>（4）工程项目开工前，总监理工程师应组织专业监理工程师审查承包人报送的施工组织设计（方案）报审表，提出审查意见，并经总监理工程师审核、签认后报委托人。</w:t>
      </w:r>
    </w:p>
    <w:p w14:paraId="70A94B95">
      <w:pPr>
        <w:topLinePunct/>
        <w:adjustRightInd w:val="0"/>
        <w:snapToGrid w:val="0"/>
        <w:spacing w:line="480" w:lineRule="exact"/>
        <w:ind w:firstLine="496" w:firstLineChars="200"/>
        <w:rPr>
          <w:snapToGrid w:val="0"/>
          <w:spacing w:val="4"/>
          <w:kern w:val="0"/>
          <w:sz w:val="24"/>
        </w:rPr>
      </w:pPr>
      <w:r>
        <w:rPr>
          <w:snapToGrid w:val="0"/>
          <w:spacing w:val="4"/>
          <w:kern w:val="0"/>
          <w:sz w:val="24"/>
        </w:rPr>
        <w:t>（5）工程项目开工前，总监理工程师应审查承包人现场项目管理机构的质量管理体系、环境管理体系和安全管理体系，在确能保证工程项目施工质量时予以确认。对质量管理体系、环境管理体系和安全管理体系应审核以下内容：</w:t>
      </w:r>
    </w:p>
    <w:p w14:paraId="29C598F4">
      <w:pPr>
        <w:topLinePunct/>
        <w:adjustRightInd w:val="0"/>
        <w:snapToGrid w:val="0"/>
        <w:spacing w:line="480" w:lineRule="exact"/>
        <w:ind w:firstLine="496" w:firstLineChars="200"/>
        <w:rPr>
          <w:snapToGrid w:val="0"/>
          <w:spacing w:val="4"/>
          <w:kern w:val="0"/>
          <w:sz w:val="24"/>
        </w:rPr>
      </w:pPr>
      <w:r>
        <w:rPr>
          <w:snapToGrid w:val="0"/>
          <w:spacing w:val="4"/>
          <w:kern w:val="0"/>
          <w:sz w:val="24"/>
        </w:rPr>
        <w:t>1）质量管理体系、环境管理体系和安全管理体系的组织及职责；</w:t>
      </w:r>
    </w:p>
    <w:p w14:paraId="1C898C01">
      <w:pPr>
        <w:topLinePunct/>
        <w:adjustRightInd w:val="0"/>
        <w:snapToGrid w:val="0"/>
        <w:spacing w:line="480" w:lineRule="exact"/>
        <w:ind w:firstLine="496" w:firstLineChars="200"/>
        <w:rPr>
          <w:snapToGrid w:val="0"/>
          <w:spacing w:val="4"/>
          <w:kern w:val="0"/>
          <w:sz w:val="24"/>
        </w:rPr>
      </w:pPr>
      <w:r>
        <w:rPr>
          <w:snapToGrid w:val="0"/>
          <w:spacing w:val="4"/>
          <w:kern w:val="0"/>
          <w:sz w:val="24"/>
        </w:rPr>
        <w:t>2）质量管理体系、环境管理体系和安全管理体系各过程的识别与管理；</w:t>
      </w:r>
    </w:p>
    <w:p w14:paraId="63CCC127">
      <w:pPr>
        <w:topLinePunct/>
        <w:adjustRightInd w:val="0"/>
        <w:snapToGrid w:val="0"/>
        <w:spacing w:line="480" w:lineRule="exact"/>
        <w:ind w:firstLine="496" w:firstLineChars="200"/>
        <w:rPr>
          <w:snapToGrid w:val="0"/>
          <w:spacing w:val="4"/>
          <w:kern w:val="0"/>
          <w:sz w:val="24"/>
        </w:rPr>
      </w:pPr>
      <w:r>
        <w:rPr>
          <w:snapToGrid w:val="0"/>
          <w:spacing w:val="4"/>
          <w:kern w:val="0"/>
          <w:sz w:val="24"/>
        </w:rPr>
        <w:t>3）质量管理体系、环境管理体系和安全管理体系的持续改进措施。</w:t>
      </w:r>
    </w:p>
    <w:p w14:paraId="411AD740">
      <w:pPr>
        <w:topLinePunct/>
        <w:adjustRightInd w:val="0"/>
        <w:snapToGrid w:val="0"/>
        <w:spacing w:line="480" w:lineRule="exact"/>
        <w:ind w:firstLine="496" w:firstLineChars="200"/>
        <w:rPr>
          <w:snapToGrid w:val="0"/>
          <w:spacing w:val="4"/>
          <w:kern w:val="0"/>
          <w:sz w:val="24"/>
        </w:rPr>
      </w:pPr>
      <w:r>
        <w:rPr>
          <w:snapToGrid w:val="0"/>
          <w:spacing w:val="4"/>
          <w:kern w:val="0"/>
          <w:sz w:val="24"/>
        </w:rPr>
        <w:t>（6）分包工程开工前，专业监理工程师应审查承包人报送的分包单位资格报审表和分包单位有关资质资料，符合有关规定后，由总监理工程师予以签认。对分包单位资格应审核以下内容：</w:t>
      </w:r>
    </w:p>
    <w:p w14:paraId="3DC0832C">
      <w:pPr>
        <w:topLinePunct/>
        <w:adjustRightInd w:val="0"/>
        <w:snapToGrid w:val="0"/>
        <w:spacing w:line="480" w:lineRule="exact"/>
        <w:ind w:firstLine="496" w:firstLineChars="200"/>
        <w:rPr>
          <w:snapToGrid w:val="0"/>
          <w:spacing w:val="4"/>
          <w:kern w:val="0"/>
          <w:sz w:val="24"/>
        </w:rPr>
      </w:pPr>
      <w:r>
        <w:rPr>
          <w:snapToGrid w:val="0"/>
          <w:spacing w:val="4"/>
          <w:kern w:val="0"/>
          <w:sz w:val="24"/>
        </w:rPr>
        <w:t>1）分包单位的营业执照、企业资质等级证书、特殊行业施工许可证、国外（境外）企业在国内承包工程许可证；</w:t>
      </w:r>
    </w:p>
    <w:p w14:paraId="1D750F6B">
      <w:pPr>
        <w:topLinePunct/>
        <w:adjustRightInd w:val="0"/>
        <w:snapToGrid w:val="0"/>
        <w:spacing w:line="480" w:lineRule="exact"/>
        <w:ind w:firstLine="496" w:firstLineChars="200"/>
        <w:rPr>
          <w:snapToGrid w:val="0"/>
          <w:spacing w:val="4"/>
          <w:kern w:val="0"/>
          <w:sz w:val="24"/>
        </w:rPr>
      </w:pPr>
      <w:r>
        <w:rPr>
          <w:snapToGrid w:val="0"/>
          <w:spacing w:val="4"/>
          <w:kern w:val="0"/>
          <w:sz w:val="24"/>
        </w:rPr>
        <w:t>2）分包单位的业绩，尤其是类似工程施工的经验；</w:t>
      </w:r>
    </w:p>
    <w:p w14:paraId="2EDD4CF2">
      <w:pPr>
        <w:topLinePunct/>
        <w:adjustRightInd w:val="0"/>
        <w:snapToGrid w:val="0"/>
        <w:spacing w:line="480" w:lineRule="exact"/>
        <w:ind w:firstLine="496" w:firstLineChars="200"/>
        <w:rPr>
          <w:snapToGrid w:val="0"/>
          <w:spacing w:val="4"/>
          <w:kern w:val="0"/>
          <w:sz w:val="24"/>
        </w:rPr>
      </w:pPr>
      <w:r>
        <w:rPr>
          <w:snapToGrid w:val="0"/>
          <w:spacing w:val="4"/>
          <w:kern w:val="0"/>
          <w:sz w:val="24"/>
        </w:rPr>
        <w:t>3）拟分包工程的内容和范围；</w:t>
      </w:r>
    </w:p>
    <w:p w14:paraId="7ADDA7EB">
      <w:pPr>
        <w:topLinePunct/>
        <w:adjustRightInd w:val="0"/>
        <w:snapToGrid w:val="0"/>
        <w:spacing w:line="480" w:lineRule="exact"/>
        <w:ind w:firstLine="496" w:firstLineChars="200"/>
        <w:rPr>
          <w:snapToGrid w:val="0"/>
          <w:spacing w:val="4"/>
          <w:kern w:val="0"/>
          <w:sz w:val="24"/>
        </w:rPr>
      </w:pPr>
      <w:r>
        <w:rPr>
          <w:snapToGrid w:val="0"/>
          <w:spacing w:val="4"/>
          <w:kern w:val="0"/>
          <w:sz w:val="24"/>
        </w:rPr>
        <w:t>4）专职管理人员和特种作业人员的资格证、上岗证。</w:t>
      </w:r>
    </w:p>
    <w:p w14:paraId="247FD191">
      <w:pPr>
        <w:topLinePunct/>
        <w:adjustRightInd w:val="0"/>
        <w:snapToGrid w:val="0"/>
        <w:spacing w:line="480" w:lineRule="exact"/>
        <w:ind w:firstLine="496" w:firstLineChars="200"/>
        <w:rPr>
          <w:snapToGrid w:val="0"/>
          <w:spacing w:val="4"/>
          <w:kern w:val="0"/>
          <w:sz w:val="24"/>
        </w:rPr>
      </w:pPr>
      <w:r>
        <w:rPr>
          <w:snapToGrid w:val="0"/>
          <w:spacing w:val="4"/>
          <w:kern w:val="0"/>
          <w:sz w:val="24"/>
        </w:rPr>
        <w:t>（7）专业监理工程师应按以下要求对承包人报送的测量放线控制方案成果及保护措施进行检查，符合要求时，专业监理工程师对承包人报送的施工测量资料予以签认：</w:t>
      </w:r>
    </w:p>
    <w:p w14:paraId="5697706E">
      <w:pPr>
        <w:topLinePunct/>
        <w:adjustRightInd w:val="0"/>
        <w:snapToGrid w:val="0"/>
        <w:spacing w:line="480" w:lineRule="exact"/>
        <w:ind w:firstLine="496" w:firstLineChars="200"/>
        <w:rPr>
          <w:snapToGrid w:val="0"/>
          <w:spacing w:val="4"/>
          <w:kern w:val="0"/>
          <w:sz w:val="24"/>
        </w:rPr>
      </w:pPr>
      <w:r>
        <w:rPr>
          <w:snapToGrid w:val="0"/>
          <w:spacing w:val="4"/>
          <w:kern w:val="0"/>
          <w:sz w:val="24"/>
        </w:rPr>
        <w:t>1）检查承包人专职测量人员的岗位证书及测量设备检定证书；</w:t>
      </w:r>
    </w:p>
    <w:p w14:paraId="0AC1141D">
      <w:pPr>
        <w:topLinePunct/>
        <w:adjustRightInd w:val="0"/>
        <w:snapToGrid w:val="0"/>
        <w:spacing w:line="480" w:lineRule="exact"/>
        <w:ind w:firstLine="496" w:firstLineChars="200"/>
        <w:rPr>
          <w:snapToGrid w:val="0"/>
          <w:spacing w:val="4"/>
          <w:kern w:val="0"/>
          <w:sz w:val="24"/>
        </w:rPr>
      </w:pPr>
      <w:r>
        <w:rPr>
          <w:snapToGrid w:val="0"/>
          <w:spacing w:val="4"/>
          <w:kern w:val="0"/>
          <w:sz w:val="24"/>
        </w:rPr>
        <w:t>2）审核承包人提交的控制测量方案；</w:t>
      </w:r>
    </w:p>
    <w:p w14:paraId="2C2D6272">
      <w:pPr>
        <w:topLinePunct/>
        <w:adjustRightInd w:val="0"/>
        <w:snapToGrid w:val="0"/>
        <w:spacing w:line="480" w:lineRule="exact"/>
        <w:ind w:firstLine="496" w:firstLineChars="200"/>
        <w:rPr>
          <w:snapToGrid w:val="0"/>
          <w:spacing w:val="4"/>
          <w:kern w:val="0"/>
          <w:sz w:val="24"/>
        </w:rPr>
      </w:pPr>
      <w:r>
        <w:rPr>
          <w:snapToGrid w:val="0"/>
          <w:spacing w:val="4"/>
          <w:kern w:val="0"/>
          <w:sz w:val="24"/>
        </w:rPr>
        <w:t>3）复核控制桩的校核成果、控制桩的保护措施以及平面控制网、高程控制网和临时水准点的测量成果。</w:t>
      </w:r>
    </w:p>
    <w:p w14:paraId="642674F2">
      <w:pPr>
        <w:topLinePunct/>
        <w:adjustRightInd w:val="0"/>
        <w:snapToGrid w:val="0"/>
        <w:spacing w:line="480" w:lineRule="exact"/>
        <w:ind w:firstLine="496" w:firstLineChars="200"/>
        <w:rPr>
          <w:snapToGrid w:val="0"/>
          <w:spacing w:val="4"/>
          <w:kern w:val="0"/>
          <w:sz w:val="24"/>
        </w:rPr>
      </w:pPr>
      <w:r>
        <w:rPr>
          <w:snapToGrid w:val="0"/>
          <w:spacing w:val="4"/>
          <w:kern w:val="0"/>
          <w:sz w:val="24"/>
        </w:rPr>
        <w:t>（8）专业监理工程师应审查承包人报送的工程开工报审表及相关资料，具备以下开工条件时，由总监理工程师签发，并报委托人：</w:t>
      </w:r>
    </w:p>
    <w:p w14:paraId="32615755">
      <w:pPr>
        <w:topLinePunct/>
        <w:adjustRightInd w:val="0"/>
        <w:snapToGrid w:val="0"/>
        <w:spacing w:line="480" w:lineRule="exact"/>
        <w:ind w:firstLine="496" w:firstLineChars="200"/>
        <w:rPr>
          <w:snapToGrid w:val="0"/>
          <w:spacing w:val="4"/>
          <w:kern w:val="0"/>
          <w:sz w:val="24"/>
        </w:rPr>
      </w:pPr>
      <w:r>
        <w:rPr>
          <w:snapToGrid w:val="0"/>
          <w:spacing w:val="4"/>
          <w:kern w:val="0"/>
          <w:sz w:val="24"/>
        </w:rPr>
        <w:t>1）施工许可证已获政府主管部门批准；</w:t>
      </w:r>
    </w:p>
    <w:p w14:paraId="5B60358A">
      <w:pPr>
        <w:topLinePunct/>
        <w:adjustRightInd w:val="0"/>
        <w:snapToGrid w:val="0"/>
        <w:spacing w:line="480" w:lineRule="exact"/>
        <w:ind w:firstLine="496" w:firstLineChars="200"/>
        <w:rPr>
          <w:snapToGrid w:val="0"/>
          <w:spacing w:val="4"/>
          <w:kern w:val="0"/>
          <w:sz w:val="24"/>
        </w:rPr>
      </w:pPr>
      <w:r>
        <w:rPr>
          <w:snapToGrid w:val="0"/>
          <w:spacing w:val="4"/>
          <w:kern w:val="0"/>
          <w:sz w:val="24"/>
        </w:rPr>
        <w:t>2）征地拆迁工作能满足工程进度的需要；</w:t>
      </w:r>
    </w:p>
    <w:p w14:paraId="14F2CAEC">
      <w:pPr>
        <w:topLinePunct/>
        <w:adjustRightInd w:val="0"/>
        <w:snapToGrid w:val="0"/>
        <w:spacing w:line="480" w:lineRule="exact"/>
        <w:ind w:firstLine="496" w:firstLineChars="200"/>
        <w:rPr>
          <w:snapToGrid w:val="0"/>
          <w:spacing w:val="4"/>
          <w:kern w:val="0"/>
          <w:sz w:val="24"/>
        </w:rPr>
      </w:pPr>
      <w:r>
        <w:rPr>
          <w:snapToGrid w:val="0"/>
          <w:spacing w:val="4"/>
          <w:kern w:val="0"/>
          <w:sz w:val="24"/>
        </w:rPr>
        <w:t>3）施工组织设计已获总监理工程师批准；</w:t>
      </w:r>
    </w:p>
    <w:p w14:paraId="415F86C4">
      <w:pPr>
        <w:topLinePunct/>
        <w:adjustRightInd w:val="0"/>
        <w:snapToGrid w:val="0"/>
        <w:spacing w:line="480" w:lineRule="exact"/>
        <w:ind w:firstLine="496" w:firstLineChars="200"/>
        <w:rPr>
          <w:snapToGrid w:val="0"/>
          <w:spacing w:val="4"/>
          <w:kern w:val="0"/>
          <w:sz w:val="24"/>
        </w:rPr>
      </w:pPr>
      <w:r>
        <w:rPr>
          <w:snapToGrid w:val="0"/>
          <w:spacing w:val="4"/>
          <w:kern w:val="0"/>
          <w:sz w:val="24"/>
        </w:rPr>
        <w:t>4）承包人现场管理人员已到位，机具、施工人员已进场，主要工程材料已落实；</w:t>
      </w:r>
    </w:p>
    <w:p w14:paraId="08C1EE8A">
      <w:pPr>
        <w:topLinePunct/>
        <w:adjustRightInd w:val="0"/>
        <w:snapToGrid w:val="0"/>
        <w:spacing w:line="480" w:lineRule="exact"/>
        <w:ind w:firstLine="496" w:firstLineChars="200"/>
        <w:rPr>
          <w:snapToGrid w:val="0"/>
          <w:spacing w:val="4"/>
          <w:kern w:val="0"/>
          <w:sz w:val="24"/>
        </w:rPr>
      </w:pPr>
      <w:r>
        <w:rPr>
          <w:snapToGrid w:val="0"/>
          <w:spacing w:val="4"/>
          <w:kern w:val="0"/>
          <w:sz w:val="24"/>
        </w:rPr>
        <w:t>5）进场道路及水、电、通讯等已满足开工要求；</w:t>
      </w:r>
    </w:p>
    <w:p w14:paraId="12E8D5BD">
      <w:pPr>
        <w:topLinePunct/>
        <w:adjustRightInd w:val="0"/>
        <w:snapToGrid w:val="0"/>
        <w:spacing w:line="480" w:lineRule="exact"/>
        <w:ind w:firstLine="496" w:firstLineChars="200"/>
        <w:rPr>
          <w:snapToGrid w:val="0"/>
          <w:spacing w:val="4"/>
          <w:kern w:val="0"/>
          <w:sz w:val="24"/>
        </w:rPr>
      </w:pPr>
      <w:r>
        <w:rPr>
          <w:snapToGrid w:val="0"/>
          <w:spacing w:val="4"/>
          <w:kern w:val="0"/>
          <w:sz w:val="24"/>
        </w:rPr>
        <w:t>6）施工测量、技术交底、作业指导书等各项技术准备工作已经完成。</w:t>
      </w:r>
    </w:p>
    <w:p w14:paraId="095C7095">
      <w:pPr>
        <w:topLinePunct/>
        <w:adjustRightInd w:val="0"/>
        <w:snapToGrid w:val="0"/>
        <w:spacing w:line="480" w:lineRule="exact"/>
        <w:ind w:firstLine="496" w:firstLineChars="200"/>
        <w:rPr>
          <w:snapToGrid w:val="0"/>
          <w:spacing w:val="4"/>
          <w:kern w:val="0"/>
          <w:sz w:val="24"/>
        </w:rPr>
      </w:pPr>
      <w:r>
        <w:rPr>
          <w:snapToGrid w:val="0"/>
          <w:spacing w:val="4"/>
          <w:kern w:val="0"/>
          <w:sz w:val="24"/>
        </w:rPr>
        <w:t>（9）工程项目开工前，监理人员应参加由委托人主持召开的第一次工地会议。工地会议应包括以下主要内容：</w:t>
      </w:r>
    </w:p>
    <w:p w14:paraId="3A57AB18">
      <w:pPr>
        <w:topLinePunct/>
        <w:adjustRightInd w:val="0"/>
        <w:snapToGrid w:val="0"/>
        <w:spacing w:line="480" w:lineRule="exact"/>
        <w:ind w:firstLine="496" w:firstLineChars="200"/>
        <w:rPr>
          <w:snapToGrid w:val="0"/>
          <w:spacing w:val="4"/>
          <w:kern w:val="0"/>
          <w:sz w:val="24"/>
        </w:rPr>
      </w:pPr>
      <w:r>
        <w:rPr>
          <w:snapToGrid w:val="0"/>
          <w:spacing w:val="4"/>
          <w:kern w:val="0"/>
          <w:sz w:val="24"/>
        </w:rPr>
        <w:t>1）委托人、承包人和监理人分别介绍各自派驻现场的组织机构、人员及其分工；</w:t>
      </w:r>
    </w:p>
    <w:p w14:paraId="504B7C94">
      <w:pPr>
        <w:topLinePunct/>
        <w:adjustRightInd w:val="0"/>
        <w:snapToGrid w:val="0"/>
        <w:spacing w:line="480" w:lineRule="exact"/>
        <w:ind w:firstLine="496" w:firstLineChars="200"/>
        <w:rPr>
          <w:snapToGrid w:val="0"/>
          <w:spacing w:val="4"/>
          <w:kern w:val="0"/>
          <w:sz w:val="24"/>
        </w:rPr>
      </w:pPr>
      <w:r>
        <w:rPr>
          <w:snapToGrid w:val="0"/>
          <w:spacing w:val="4"/>
          <w:kern w:val="0"/>
          <w:sz w:val="24"/>
        </w:rPr>
        <w:t>2）委托人根据委托监理合同宣布对总监理工程师的授权；</w:t>
      </w:r>
    </w:p>
    <w:p w14:paraId="7AF710D4">
      <w:pPr>
        <w:topLinePunct/>
        <w:adjustRightInd w:val="0"/>
        <w:snapToGrid w:val="0"/>
        <w:spacing w:line="480" w:lineRule="exact"/>
        <w:ind w:firstLine="496" w:firstLineChars="200"/>
        <w:rPr>
          <w:snapToGrid w:val="0"/>
          <w:spacing w:val="4"/>
          <w:kern w:val="0"/>
          <w:sz w:val="24"/>
        </w:rPr>
      </w:pPr>
      <w:r>
        <w:rPr>
          <w:snapToGrid w:val="0"/>
          <w:spacing w:val="4"/>
          <w:kern w:val="0"/>
          <w:sz w:val="24"/>
        </w:rPr>
        <w:t>3）委托人介绍工程开工准备情况；</w:t>
      </w:r>
    </w:p>
    <w:p w14:paraId="734D97C3">
      <w:pPr>
        <w:topLinePunct/>
        <w:adjustRightInd w:val="0"/>
        <w:snapToGrid w:val="0"/>
        <w:spacing w:line="480" w:lineRule="exact"/>
        <w:ind w:firstLine="496" w:firstLineChars="200"/>
        <w:rPr>
          <w:snapToGrid w:val="0"/>
          <w:spacing w:val="4"/>
          <w:kern w:val="0"/>
          <w:sz w:val="24"/>
        </w:rPr>
      </w:pPr>
      <w:r>
        <w:rPr>
          <w:snapToGrid w:val="0"/>
          <w:spacing w:val="4"/>
          <w:kern w:val="0"/>
          <w:sz w:val="24"/>
        </w:rPr>
        <w:t>4）承包人介绍施工准备情况；</w:t>
      </w:r>
    </w:p>
    <w:p w14:paraId="02C412B3">
      <w:pPr>
        <w:topLinePunct/>
        <w:adjustRightInd w:val="0"/>
        <w:snapToGrid w:val="0"/>
        <w:spacing w:line="480" w:lineRule="exact"/>
        <w:ind w:firstLine="496" w:firstLineChars="200"/>
        <w:rPr>
          <w:snapToGrid w:val="0"/>
          <w:spacing w:val="4"/>
          <w:kern w:val="0"/>
          <w:sz w:val="24"/>
        </w:rPr>
      </w:pPr>
      <w:r>
        <w:rPr>
          <w:snapToGrid w:val="0"/>
          <w:spacing w:val="4"/>
          <w:kern w:val="0"/>
          <w:sz w:val="24"/>
        </w:rPr>
        <w:t>5）委托人和总监理工程师对施工准备情况提出意见和要求；</w:t>
      </w:r>
    </w:p>
    <w:p w14:paraId="370DFE12">
      <w:pPr>
        <w:topLinePunct/>
        <w:adjustRightInd w:val="0"/>
        <w:snapToGrid w:val="0"/>
        <w:spacing w:line="480" w:lineRule="exact"/>
        <w:ind w:firstLine="496" w:firstLineChars="200"/>
        <w:rPr>
          <w:snapToGrid w:val="0"/>
          <w:spacing w:val="4"/>
          <w:kern w:val="0"/>
          <w:sz w:val="24"/>
        </w:rPr>
      </w:pPr>
      <w:r>
        <w:rPr>
          <w:snapToGrid w:val="0"/>
          <w:spacing w:val="4"/>
          <w:kern w:val="0"/>
          <w:sz w:val="24"/>
        </w:rPr>
        <w:t>6）总监理工程师介绍监理规划的主要内容；</w:t>
      </w:r>
    </w:p>
    <w:p w14:paraId="2ED8D65A">
      <w:pPr>
        <w:topLinePunct/>
        <w:adjustRightInd w:val="0"/>
        <w:snapToGrid w:val="0"/>
        <w:spacing w:line="480" w:lineRule="exact"/>
        <w:ind w:firstLine="496" w:firstLineChars="200"/>
        <w:rPr>
          <w:snapToGrid w:val="0"/>
          <w:spacing w:val="4"/>
          <w:kern w:val="0"/>
          <w:sz w:val="24"/>
        </w:rPr>
      </w:pPr>
      <w:r>
        <w:rPr>
          <w:snapToGrid w:val="0"/>
          <w:spacing w:val="4"/>
          <w:kern w:val="0"/>
          <w:sz w:val="24"/>
        </w:rPr>
        <w:t>7）研究确定各方在施工过程中参加工地例会的主要人员，召开工地例会周期、地点及主要议题。</w:t>
      </w:r>
    </w:p>
    <w:p w14:paraId="4FA4150F">
      <w:pPr>
        <w:topLinePunct/>
        <w:adjustRightInd w:val="0"/>
        <w:snapToGrid w:val="0"/>
        <w:spacing w:line="480" w:lineRule="exact"/>
        <w:ind w:firstLine="496" w:firstLineChars="200"/>
        <w:rPr>
          <w:snapToGrid w:val="0"/>
          <w:spacing w:val="4"/>
          <w:kern w:val="0"/>
          <w:sz w:val="24"/>
        </w:rPr>
      </w:pPr>
      <w:r>
        <w:rPr>
          <w:snapToGrid w:val="0"/>
          <w:spacing w:val="4"/>
          <w:kern w:val="0"/>
          <w:sz w:val="24"/>
        </w:rPr>
        <w:t>第一次工地会议纪要应由项目监理机构负责起草，并经与会各方代表会签。</w:t>
      </w:r>
    </w:p>
    <w:p w14:paraId="64C8BC89">
      <w:pPr>
        <w:topLinePunct/>
        <w:adjustRightInd w:val="0"/>
        <w:snapToGrid w:val="0"/>
        <w:spacing w:line="480" w:lineRule="exact"/>
        <w:ind w:firstLine="496" w:firstLineChars="200"/>
        <w:rPr>
          <w:snapToGrid w:val="0"/>
          <w:spacing w:val="4"/>
          <w:kern w:val="0"/>
          <w:sz w:val="24"/>
        </w:rPr>
      </w:pPr>
      <w:r>
        <w:rPr>
          <w:snapToGrid w:val="0"/>
          <w:spacing w:val="4"/>
          <w:kern w:val="0"/>
          <w:sz w:val="24"/>
        </w:rPr>
        <w:t>（10）制定监理规划</w:t>
      </w:r>
    </w:p>
    <w:p w14:paraId="03F5B6AE">
      <w:pPr>
        <w:topLinePunct/>
        <w:adjustRightInd w:val="0"/>
        <w:snapToGrid w:val="0"/>
        <w:spacing w:line="480" w:lineRule="exact"/>
        <w:ind w:firstLine="496" w:firstLineChars="200"/>
        <w:rPr>
          <w:snapToGrid w:val="0"/>
          <w:spacing w:val="4"/>
          <w:kern w:val="0"/>
          <w:sz w:val="24"/>
        </w:rPr>
      </w:pPr>
      <w:r>
        <w:rPr>
          <w:snapToGrid w:val="0"/>
          <w:spacing w:val="4"/>
          <w:kern w:val="0"/>
          <w:sz w:val="24"/>
        </w:rPr>
        <w:t>1）监理规划的编制应针对项目的实际情况，明确项目监理机构的工作目标，确定具体的监理工作制度、程序、方法和措施，并应具有可操作性。</w:t>
      </w:r>
    </w:p>
    <w:p w14:paraId="046DDBB3">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2）监理规划编制的程序与依据应符合下列规定：</w:t>
      </w:r>
    </w:p>
    <w:p w14:paraId="05921522">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监理规划应在签订委托监理合同及收到设计文件后开始编制，完成后必须经监理人技术负责人审核批准，并应在召开第一次工地会议前报送委托人；</w:t>
      </w:r>
    </w:p>
    <w:p w14:paraId="5041682E">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监理规划应由总监理工程师主持、专业监理工程师参加编制；</w:t>
      </w:r>
    </w:p>
    <w:p w14:paraId="78469AB4">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编制监理规划应依据为以下各项：</w:t>
      </w:r>
    </w:p>
    <w:p w14:paraId="47A9DE1B">
      <w:pPr>
        <w:topLinePunct/>
        <w:adjustRightInd w:val="0"/>
        <w:snapToGrid w:val="0"/>
        <w:spacing w:line="480" w:lineRule="exact"/>
        <w:ind w:firstLine="620" w:firstLineChars="250"/>
        <w:rPr>
          <w:snapToGrid w:val="0"/>
          <w:spacing w:val="4"/>
          <w:kern w:val="0"/>
          <w:sz w:val="24"/>
        </w:rPr>
      </w:pPr>
      <w:r>
        <w:rPr>
          <w:snapToGrid w:val="0"/>
          <w:spacing w:val="4"/>
          <w:kern w:val="0"/>
          <w:sz w:val="24"/>
        </w:rPr>
        <w:t>a. 建设工程的相关法律、法规及项目审批文件；</w:t>
      </w:r>
    </w:p>
    <w:p w14:paraId="5ABA8F3E">
      <w:pPr>
        <w:topLinePunct/>
        <w:adjustRightInd w:val="0"/>
        <w:snapToGrid w:val="0"/>
        <w:spacing w:line="480" w:lineRule="exact"/>
        <w:ind w:firstLine="620" w:firstLineChars="250"/>
        <w:rPr>
          <w:snapToGrid w:val="0"/>
          <w:spacing w:val="4"/>
          <w:kern w:val="0"/>
          <w:sz w:val="24"/>
        </w:rPr>
      </w:pPr>
      <w:r>
        <w:rPr>
          <w:snapToGrid w:val="0"/>
          <w:spacing w:val="4"/>
          <w:kern w:val="0"/>
          <w:sz w:val="24"/>
        </w:rPr>
        <w:t>b. 与建设工程项目有关的标准、设计文件、技术资料；</w:t>
      </w:r>
    </w:p>
    <w:p w14:paraId="42162AC5">
      <w:pPr>
        <w:topLinePunct/>
        <w:adjustRightInd w:val="0"/>
        <w:snapToGrid w:val="0"/>
        <w:spacing w:line="480" w:lineRule="exact"/>
        <w:ind w:firstLine="620" w:firstLineChars="250"/>
        <w:rPr>
          <w:snapToGrid w:val="0"/>
          <w:spacing w:val="4"/>
          <w:kern w:val="0"/>
          <w:sz w:val="24"/>
        </w:rPr>
      </w:pPr>
      <w:r>
        <w:rPr>
          <w:snapToGrid w:val="0"/>
          <w:spacing w:val="4"/>
          <w:kern w:val="0"/>
          <w:sz w:val="24"/>
        </w:rPr>
        <w:t>c. 监理大纲、委托监理合同文件以及与建设工程项目相关的合同文件；</w:t>
      </w:r>
    </w:p>
    <w:p w14:paraId="67739AF6">
      <w:pPr>
        <w:topLinePunct/>
        <w:adjustRightInd w:val="0"/>
        <w:snapToGrid w:val="0"/>
        <w:spacing w:line="480" w:lineRule="exact"/>
        <w:ind w:firstLine="620" w:firstLineChars="250"/>
        <w:rPr>
          <w:snapToGrid w:val="0"/>
          <w:spacing w:val="4"/>
          <w:kern w:val="0"/>
          <w:sz w:val="24"/>
        </w:rPr>
      </w:pPr>
      <w:r>
        <w:rPr>
          <w:snapToGrid w:val="0"/>
          <w:spacing w:val="4"/>
          <w:kern w:val="0"/>
          <w:sz w:val="24"/>
        </w:rPr>
        <w:t>d. 委托人制定的有关本合同工程建设的管理制度。</w:t>
      </w:r>
    </w:p>
    <w:p w14:paraId="590CAF93">
      <w:pPr>
        <w:topLinePunct/>
        <w:adjustRightInd w:val="0"/>
        <w:snapToGrid w:val="0"/>
        <w:spacing w:line="480" w:lineRule="exact"/>
        <w:ind w:firstLine="496" w:firstLineChars="200"/>
        <w:rPr>
          <w:snapToGrid w:val="0"/>
          <w:spacing w:val="4"/>
          <w:kern w:val="0"/>
          <w:sz w:val="24"/>
        </w:rPr>
      </w:pPr>
      <w:r>
        <w:rPr>
          <w:snapToGrid w:val="0"/>
          <w:spacing w:val="4"/>
          <w:kern w:val="0"/>
          <w:sz w:val="24"/>
        </w:rPr>
        <w:t>3）监理规划应包括以下主要内容：</w:t>
      </w:r>
    </w:p>
    <w:p w14:paraId="56B87CEF">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工程项目概况；</w:t>
      </w:r>
    </w:p>
    <w:p w14:paraId="7E9DB131">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监理工作范围；</w:t>
      </w:r>
    </w:p>
    <w:p w14:paraId="02A392E0">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监理工作内容；</w:t>
      </w:r>
    </w:p>
    <w:p w14:paraId="58464868">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监理工作目标；</w:t>
      </w:r>
    </w:p>
    <w:p w14:paraId="1B549DFE">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⑤</w:t>
      </w:r>
      <w:r>
        <w:rPr>
          <w:snapToGrid w:val="0"/>
          <w:spacing w:val="4"/>
          <w:kern w:val="0"/>
          <w:sz w:val="24"/>
        </w:rPr>
        <w:t xml:space="preserve"> 监理工作依据；</w:t>
      </w:r>
    </w:p>
    <w:p w14:paraId="183DEC72">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⑥</w:t>
      </w:r>
      <w:r>
        <w:rPr>
          <w:snapToGrid w:val="0"/>
          <w:spacing w:val="4"/>
          <w:kern w:val="0"/>
          <w:sz w:val="24"/>
        </w:rPr>
        <w:t xml:space="preserve"> 项目监理机构的组织形式；</w:t>
      </w:r>
    </w:p>
    <w:p w14:paraId="1AA49CB8">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⑦</w:t>
      </w:r>
      <w:r>
        <w:rPr>
          <w:snapToGrid w:val="0"/>
          <w:spacing w:val="4"/>
          <w:kern w:val="0"/>
          <w:sz w:val="24"/>
        </w:rPr>
        <w:t xml:space="preserve"> 项目监理机构的人员配备计划；</w:t>
      </w:r>
    </w:p>
    <w:p w14:paraId="381D0760">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⑧</w:t>
      </w:r>
      <w:r>
        <w:rPr>
          <w:snapToGrid w:val="0"/>
          <w:spacing w:val="4"/>
          <w:kern w:val="0"/>
          <w:sz w:val="24"/>
        </w:rPr>
        <w:t xml:space="preserve"> 项目监理机构的人员岗位职责；</w:t>
      </w:r>
    </w:p>
    <w:p w14:paraId="4CB0C11F">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⑨</w:t>
      </w:r>
      <w:r>
        <w:rPr>
          <w:snapToGrid w:val="0"/>
          <w:spacing w:val="4"/>
          <w:kern w:val="0"/>
          <w:sz w:val="24"/>
        </w:rPr>
        <w:t xml:space="preserve"> 监理工作程序；</w:t>
      </w:r>
    </w:p>
    <w:p w14:paraId="33ED9489">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⑩</w:t>
      </w:r>
      <w:r>
        <w:rPr>
          <w:snapToGrid w:val="0"/>
          <w:spacing w:val="4"/>
          <w:kern w:val="0"/>
          <w:sz w:val="24"/>
        </w:rPr>
        <w:t xml:space="preserve"> 监理工作方法及措施；</w:t>
      </w:r>
    </w:p>
    <w:p w14:paraId="3C68102E">
      <w:pPr>
        <w:topLinePunct/>
        <w:adjustRightInd w:val="0"/>
        <w:snapToGrid w:val="0"/>
        <w:spacing w:line="480" w:lineRule="exact"/>
        <w:ind w:firstLine="558" w:firstLineChars="225"/>
        <w:rPr>
          <w:snapToGrid w:val="0"/>
          <w:spacing w:val="4"/>
          <w:kern w:val="0"/>
          <w:sz w:val="24"/>
        </w:rPr>
      </w:pPr>
      <w:r>
        <w:rPr>
          <w:rFonts w:ascii="宋体" w:hAnsi="宋体"/>
          <w:snapToGrid w:val="0"/>
          <w:spacing w:val="4"/>
          <w:kern w:val="0"/>
          <w:sz w:val="24"/>
        </w:rPr>
        <w:fldChar w:fldCharType="begin"/>
      </w:r>
      <w:r>
        <w:rPr>
          <w:rFonts w:ascii="宋体" w:hAnsi="宋体"/>
          <w:snapToGrid w:val="0"/>
          <w:spacing w:val="4"/>
          <w:kern w:val="0"/>
          <w:sz w:val="24"/>
        </w:rPr>
        <w:instrText xml:space="preserve"> eq \o\ac(</w:instrText>
      </w:r>
      <w:r>
        <w:rPr>
          <w:rFonts w:ascii="宋体" w:hAnsi="宋体"/>
          <w:snapToGrid w:val="0"/>
          <w:spacing w:val="4"/>
          <w:kern w:val="0"/>
          <w:position w:val="-4"/>
          <w:sz w:val="36"/>
        </w:rPr>
        <w:instrText xml:space="preserve">○</w:instrText>
      </w:r>
      <w:r>
        <w:rPr>
          <w:rFonts w:ascii="宋体" w:hAnsi="宋体"/>
          <w:snapToGrid w:val="0"/>
          <w:spacing w:val="4"/>
          <w:kern w:val="0"/>
          <w:sz w:val="24"/>
        </w:rPr>
        <w:instrText xml:space="preserve">,11)</w:instrText>
      </w:r>
      <w:r>
        <w:rPr>
          <w:rFonts w:ascii="宋体" w:hAnsi="宋体"/>
          <w:snapToGrid w:val="0"/>
          <w:spacing w:val="4"/>
          <w:kern w:val="0"/>
          <w:sz w:val="24"/>
        </w:rPr>
        <w:fldChar w:fldCharType="end"/>
      </w:r>
      <w:r>
        <w:rPr>
          <w:snapToGrid w:val="0"/>
          <w:spacing w:val="4"/>
          <w:kern w:val="0"/>
          <w:sz w:val="24"/>
        </w:rPr>
        <w:t xml:space="preserve"> 监理工作制度；</w:t>
      </w:r>
    </w:p>
    <w:p w14:paraId="7F418854">
      <w:pPr>
        <w:topLinePunct/>
        <w:adjustRightInd w:val="0"/>
        <w:snapToGrid w:val="0"/>
        <w:spacing w:line="480" w:lineRule="exact"/>
        <w:ind w:firstLine="558" w:firstLineChars="225"/>
        <w:rPr>
          <w:snapToGrid w:val="0"/>
          <w:spacing w:val="4"/>
          <w:kern w:val="0"/>
          <w:sz w:val="24"/>
        </w:rPr>
      </w:pPr>
      <w:r>
        <w:rPr>
          <w:rFonts w:ascii="宋体" w:hAnsi="宋体"/>
          <w:snapToGrid w:val="0"/>
          <w:spacing w:val="4"/>
          <w:kern w:val="0"/>
          <w:sz w:val="24"/>
        </w:rPr>
        <w:fldChar w:fldCharType="begin"/>
      </w:r>
      <w:r>
        <w:rPr>
          <w:rFonts w:ascii="宋体" w:hAnsi="宋体"/>
          <w:snapToGrid w:val="0"/>
          <w:spacing w:val="4"/>
          <w:kern w:val="0"/>
          <w:sz w:val="24"/>
        </w:rPr>
        <w:instrText xml:space="preserve"> eq \o\ac(</w:instrText>
      </w:r>
      <w:r>
        <w:rPr>
          <w:rFonts w:ascii="宋体" w:hAnsi="宋体"/>
          <w:snapToGrid w:val="0"/>
          <w:spacing w:val="4"/>
          <w:kern w:val="0"/>
          <w:position w:val="-4"/>
          <w:sz w:val="36"/>
        </w:rPr>
        <w:instrText xml:space="preserve">○</w:instrText>
      </w:r>
      <w:r>
        <w:rPr>
          <w:rFonts w:ascii="宋体" w:hAnsi="宋体"/>
          <w:snapToGrid w:val="0"/>
          <w:spacing w:val="4"/>
          <w:kern w:val="0"/>
          <w:sz w:val="24"/>
        </w:rPr>
        <w:instrText xml:space="preserve">,12)</w:instrText>
      </w:r>
      <w:r>
        <w:rPr>
          <w:rFonts w:ascii="宋体" w:hAnsi="宋体"/>
          <w:snapToGrid w:val="0"/>
          <w:spacing w:val="4"/>
          <w:kern w:val="0"/>
          <w:sz w:val="24"/>
        </w:rPr>
        <w:fldChar w:fldCharType="end"/>
      </w:r>
      <w:r>
        <w:rPr>
          <w:rFonts w:ascii="宋体" w:hAnsi="宋体"/>
          <w:snapToGrid w:val="0"/>
          <w:spacing w:val="4"/>
          <w:kern w:val="0"/>
          <w:sz w:val="24"/>
        </w:rPr>
        <w:t xml:space="preserve"> </w:t>
      </w:r>
      <w:r>
        <w:rPr>
          <w:snapToGrid w:val="0"/>
          <w:spacing w:val="4"/>
          <w:kern w:val="0"/>
          <w:sz w:val="24"/>
        </w:rPr>
        <w:t>监理设施。</w:t>
      </w:r>
    </w:p>
    <w:p w14:paraId="1017F3A2">
      <w:pPr>
        <w:topLinePunct/>
        <w:adjustRightInd w:val="0"/>
        <w:snapToGrid w:val="0"/>
        <w:spacing w:line="480" w:lineRule="exact"/>
        <w:ind w:firstLine="496" w:firstLineChars="200"/>
        <w:rPr>
          <w:snapToGrid w:val="0"/>
          <w:spacing w:val="4"/>
          <w:kern w:val="0"/>
          <w:sz w:val="24"/>
        </w:rPr>
      </w:pPr>
      <w:r>
        <w:rPr>
          <w:snapToGrid w:val="0"/>
          <w:spacing w:val="4"/>
          <w:kern w:val="0"/>
          <w:sz w:val="24"/>
        </w:rPr>
        <w:t>4）在监理工作实施过程中，如实际情况或条件发生重大变化而需要调整监理规划时，应由总监理工程师组织专业监理工程师研究修改，按原报审程序经过批准后报委托人。</w:t>
      </w:r>
    </w:p>
    <w:p w14:paraId="01EA3DBC">
      <w:pPr>
        <w:topLinePunct/>
        <w:adjustRightInd w:val="0"/>
        <w:snapToGrid w:val="0"/>
        <w:spacing w:line="480" w:lineRule="exact"/>
        <w:ind w:firstLine="496" w:firstLineChars="200"/>
        <w:rPr>
          <w:snapToGrid w:val="0"/>
          <w:spacing w:val="4"/>
          <w:kern w:val="0"/>
          <w:sz w:val="24"/>
        </w:rPr>
      </w:pPr>
      <w:r>
        <w:rPr>
          <w:snapToGrid w:val="0"/>
          <w:spacing w:val="4"/>
          <w:kern w:val="0"/>
          <w:sz w:val="24"/>
        </w:rPr>
        <w:t>（11）制定监理实施细则</w:t>
      </w:r>
    </w:p>
    <w:p w14:paraId="124F0B66">
      <w:pPr>
        <w:topLinePunct/>
        <w:adjustRightInd w:val="0"/>
        <w:snapToGrid w:val="0"/>
        <w:spacing w:line="480" w:lineRule="exact"/>
        <w:ind w:firstLine="496" w:firstLineChars="200"/>
        <w:rPr>
          <w:snapToGrid w:val="0"/>
          <w:spacing w:val="4"/>
          <w:kern w:val="0"/>
          <w:sz w:val="24"/>
        </w:rPr>
      </w:pPr>
      <w:r>
        <w:rPr>
          <w:snapToGrid w:val="0"/>
          <w:spacing w:val="4"/>
          <w:kern w:val="0"/>
          <w:sz w:val="24"/>
        </w:rPr>
        <w:t>1）项目监理机构应编制监理实施细则。监理实施细则应符合监理规划的要求，并应结合工程项目的专业特点，做到详细具体、具有可操作性。</w:t>
      </w:r>
    </w:p>
    <w:p w14:paraId="7D750113">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2）监理实施细则的编制程序与依据应符合下列规定：</w:t>
      </w:r>
    </w:p>
    <w:p w14:paraId="0CB72F84">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监理实施细则应在相应工程施工开始前编制完成，并必须经总监理工程师批准；</w:t>
      </w:r>
    </w:p>
    <w:p w14:paraId="6AA686EF">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监理实施细则应由专业监理工程师编制；</w:t>
      </w:r>
    </w:p>
    <w:p w14:paraId="11937092">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编制监理实施细则的依据为以下各项：</w:t>
      </w:r>
    </w:p>
    <w:p w14:paraId="60523A2C">
      <w:pPr>
        <w:topLinePunct/>
        <w:adjustRightInd w:val="0"/>
        <w:snapToGrid w:val="0"/>
        <w:spacing w:line="480" w:lineRule="exact"/>
        <w:ind w:firstLine="620" w:firstLineChars="250"/>
        <w:rPr>
          <w:snapToGrid w:val="0"/>
          <w:spacing w:val="4"/>
          <w:kern w:val="0"/>
          <w:sz w:val="24"/>
        </w:rPr>
      </w:pPr>
      <w:r>
        <w:rPr>
          <w:snapToGrid w:val="0"/>
          <w:spacing w:val="4"/>
          <w:kern w:val="0"/>
          <w:sz w:val="24"/>
        </w:rPr>
        <w:t>a. 已批准的监理规划；</w:t>
      </w:r>
    </w:p>
    <w:p w14:paraId="4D8E9F79">
      <w:pPr>
        <w:topLinePunct/>
        <w:adjustRightInd w:val="0"/>
        <w:snapToGrid w:val="0"/>
        <w:spacing w:line="480" w:lineRule="exact"/>
        <w:ind w:firstLine="620" w:firstLineChars="250"/>
        <w:rPr>
          <w:snapToGrid w:val="0"/>
          <w:spacing w:val="4"/>
          <w:kern w:val="0"/>
          <w:sz w:val="24"/>
        </w:rPr>
      </w:pPr>
      <w:r>
        <w:rPr>
          <w:snapToGrid w:val="0"/>
          <w:spacing w:val="4"/>
          <w:kern w:val="0"/>
          <w:sz w:val="24"/>
        </w:rPr>
        <w:t>b. 与专业工程相关的标准、设计文件和技术资料；</w:t>
      </w:r>
    </w:p>
    <w:p w14:paraId="7388B79A">
      <w:pPr>
        <w:topLinePunct/>
        <w:adjustRightInd w:val="0"/>
        <w:snapToGrid w:val="0"/>
        <w:spacing w:line="480" w:lineRule="exact"/>
        <w:ind w:firstLine="620" w:firstLineChars="250"/>
        <w:rPr>
          <w:snapToGrid w:val="0"/>
          <w:spacing w:val="4"/>
          <w:kern w:val="0"/>
          <w:sz w:val="24"/>
        </w:rPr>
      </w:pPr>
      <w:r>
        <w:rPr>
          <w:snapToGrid w:val="0"/>
          <w:spacing w:val="4"/>
          <w:kern w:val="0"/>
          <w:sz w:val="24"/>
        </w:rPr>
        <w:t>c. 施工组织设计；</w:t>
      </w:r>
    </w:p>
    <w:p w14:paraId="5EF87632">
      <w:pPr>
        <w:topLinePunct/>
        <w:adjustRightInd w:val="0"/>
        <w:snapToGrid w:val="0"/>
        <w:spacing w:line="480" w:lineRule="exact"/>
        <w:ind w:firstLine="620" w:firstLineChars="250"/>
        <w:rPr>
          <w:snapToGrid w:val="0"/>
          <w:spacing w:val="4"/>
          <w:kern w:val="0"/>
          <w:sz w:val="24"/>
        </w:rPr>
      </w:pPr>
      <w:r>
        <w:rPr>
          <w:snapToGrid w:val="0"/>
          <w:spacing w:val="4"/>
          <w:kern w:val="0"/>
          <w:sz w:val="24"/>
        </w:rPr>
        <w:t>d. 本合同工程的设计、施工、安装招投标文件及合同；</w:t>
      </w:r>
    </w:p>
    <w:p w14:paraId="7CDB41B0">
      <w:pPr>
        <w:topLinePunct/>
        <w:adjustRightInd w:val="0"/>
        <w:snapToGrid w:val="0"/>
        <w:spacing w:line="480" w:lineRule="exact"/>
        <w:ind w:firstLine="620" w:firstLineChars="250"/>
        <w:rPr>
          <w:snapToGrid w:val="0"/>
          <w:spacing w:val="4"/>
          <w:kern w:val="0"/>
          <w:sz w:val="24"/>
        </w:rPr>
      </w:pPr>
      <w:r>
        <w:rPr>
          <w:snapToGrid w:val="0"/>
          <w:spacing w:val="4"/>
          <w:kern w:val="0"/>
          <w:sz w:val="24"/>
        </w:rPr>
        <w:t>e. 委托人制定的有关本合同工程建设的管理制度。</w:t>
      </w:r>
    </w:p>
    <w:p w14:paraId="027401DD">
      <w:pPr>
        <w:topLinePunct/>
        <w:adjustRightInd w:val="0"/>
        <w:snapToGrid w:val="0"/>
        <w:spacing w:line="480" w:lineRule="exact"/>
        <w:ind w:firstLine="496" w:firstLineChars="200"/>
        <w:rPr>
          <w:snapToGrid w:val="0"/>
          <w:spacing w:val="4"/>
          <w:kern w:val="0"/>
          <w:sz w:val="24"/>
        </w:rPr>
      </w:pPr>
      <w:r>
        <w:rPr>
          <w:snapToGrid w:val="0"/>
          <w:spacing w:val="4"/>
          <w:kern w:val="0"/>
          <w:sz w:val="24"/>
        </w:rPr>
        <w:t>3）监理实施细则应包括下列主要内容：</w:t>
      </w:r>
    </w:p>
    <w:p w14:paraId="377837C1">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专业工程的特点；</w:t>
      </w:r>
    </w:p>
    <w:p w14:paraId="19FFB0FF">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监理工作的流程；</w:t>
      </w:r>
    </w:p>
    <w:p w14:paraId="0135F4DE">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监理工作的控制要点及目标值；</w:t>
      </w:r>
    </w:p>
    <w:p w14:paraId="0DFF8E0B">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监理工作的方法及措施。</w:t>
      </w:r>
    </w:p>
    <w:p w14:paraId="1FF8E19D">
      <w:pPr>
        <w:topLinePunct/>
        <w:adjustRightInd w:val="0"/>
        <w:snapToGrid w:val="0"/>
        <w:spacing w:line="480" w:lineRule="exact"/>
        <w:ind w:firstLine="496" w:firstLineChars="200"/>
        <w:rPr>
          <w:snapToGrid w:val="0"/>
          <w:spacing w:val="4"/>
          <w:kern w:val="0"/>
          <w:sz w:val="24"/>
        </w:rPr>
      </w:pPr>
      <w:r>
        <w:rPr>
          <w:snapToGrid w:val="0"/>
          <w:spacing w:val="4"/>
          <w:kern w:val="0"/>
          <w:sz w:val="24"/>
        </w:rPr>
        <w:t>4）在监理工作实施过程中，监理实施细则应根据实际情况进行补充、修改和完善。</w:t>
      </w:r>
    </w:p>
    <w:p w14:paraId="29F40A0F">
      <w:pPr>
        <w:topLinePunct/>
        <w:adjustRightInd w:val="0"/>
        <w:snapToGrid w:val="0"/>
        <w:spacing w:line="480" w:lineRule="exact"/>
        <w:ind w:firstLine="496" w:firstLineChars="200"/>
        <w:rPr>
          <w:snapToGrid w:val="0"/>
          <w:spacing w:val="4"/>
          <w:kern w:val="0"/>
          <w:sz w:val="24"/>
        </w:rPr>
      </w:pPr>
      <w:r>
        <w:rPr>
          <w:bCs/>
          <w:snapToGrid w:val="0"/>
          <w:spacing w:val="4"/>
          <w:kern w:val="0"/>
          <w:sz w:val="24"/>
        </w:rPr>
        <w:t>（12）</w:t>
      </w:r>
      <w:r>
        <w:rPr>
          <w:snapToGrid w:val="0"/>
          <w:spacing w:val="4"/>
          <w:kern w:val="0"/>
          <w:sz w:val="24"/>
        </w:rPr>
        <w:t>对合同管理实施控制工作程序化、规范化，建立定期和不定期的协商会办制度，根据合同文件的约定及委托人要求的图纸批准程序、工程变更程序、承包人索赔程序、承包人的账单审查程序、进度付款账单的审查批准程序、工程问题的请示报告程序等制定相关表格。</w:t>
      </w:r>
    </w:p>
    <w:p w14:paraId="12329E42">
      <w:pPr>
        <w:topLinePunct/>
        <w:adjustRightInd w:val="0"/>
        <w:snapToGrid w:val="0"/>
        <w:spacing w:line="480" w:lineRule="exact"/>
        <w:outlineLvl w:val="3"/>
        <w:rPr>
          <w:b/>
          <w:snapToGrid w:val="0"/>
          <w:spacing w:val="4"/>
          <w:kern w:val="0"/>
          <w:sz w:val="24"/>
        </w:rPr>
      </w:pPr>
      <w:r>
        <w:rPr>
          <w:rFonts w:hint="eastAsia"/>
          <w:b/>
          <w:snapToGrid w:val="0"/>
          <w:spacing w:val="4"/>
          <w:kern w:val="0"/>
          <w:sz w:val="24"/>
        </w:rPr>
        <w:t xml:space="preserve">4. </w:t>
      </w:r>
      <w:r>
        <w:rPr>
          <w:b/>
          <w:snapToGrid w:val="0"/>
          <w:spacing w:val="4"/>
          <w:kern w:val="0"/>
          <w:sz w:val="24"/>
        </w:rPr>
        <w:t>施工阶段的监理工作</w:t>
      </w:r>
    </w:p>
    <w:p w14:paraId="3AEDF9AB">
      <w:pPr>
        <w:topLinePunct/>
        <w:adjustRightInd w:val="0"/>
        <w:snapToGrid w:val="0"/>
        <w:spacing w:line="480" w:lineRule="exact"/>
        <w:outlineLvl w:val="4"/>
        <w:rPr>
          <w:b/>
          <w:snapToGrid w:val="0"/>
          <w:spacing w:val="4"/>
          <w:kern w:val="0"/>
          <w:sz w:val="24"/>
        </w:rPr>
      </w:pPr>
      <w:r>
        <w:rPr>
          <w:rFonts w:hint="eastAsia"/>
          <w:b/>
          <w:snapToGrid w:val="0"/>
          <w:spacing w:val="4"/>
          <w:kern w:val="0"/>
          <w:sz w:val="24"/>
        </w:rPr>
        <w:t xml:space="preserve">4.1 </w:t>
      </w:r>
      <w:r>
        <w:rPr>
          <w:b/>
          <w:snapToGrid w:val="0"/>
          <w:spacing w:val="4"/>
          <w:kern w:val="0"/>
          <w:sz w:val="24"/>
        </w:rPr>
        <w:t>工程质量控制工作</w:t>
      </w:r>
    </w:p>
    <w:p w14:paraId="568FF358">
      <w:pPr>
        <w:topLinePunct/>
        <w:adjustRightInd w:val="0"/>
        <w:snapToGrid w:val="0"/>
        <w:spacing w:line="480" w:lineRule="exact"/>
        <w:ind w:firstLine="496" w:firstLineChars="200"/>
        <w:rPr>
          <w:snapToGrid w:val="0"/>
          <w:spacing w:val="4"/>
          <w:kern w:val="0"/>
          <w:sz w:val="24"/>
        </w:rPr>
      </w:pPr>
      <w:r>
        <w:rPr>
          <w:snapToGrid w:val="0"/>
          <w:spacing w:val="4"/>
          <w:kern w:val="0"/>
          <w:sz w:val="24"/>
        </w:rPr>
        <w:t>（1）在施工过程中，当承包人对已批准的施工组织设计进行调整、补充或变动时，应经专业监理工程师审查，并应由总监理工程师签认。</w:t>
      </w:r>
    </w:p>
    <w:p w14:paraId="6B774D6F">
      <w:pPr>
        <w:topLinePunct/>
        <w:adjustRightInd w:val="0"/>
        <w:snapToGrid w:val="0"/>
        <w:spacing w:line="480" w:lineRule="exact"/>
        <w:ind w:firstLine="496" w:firstLineChars="200"/>
        <w:rPr>
          <w:snapToGrid w:val="0"/>
          <w:spacing w:val="4"/>
          <w:kern w:val="0"/>
          <w:sz w:val="24"/>
        </w:rPr>
      </w:pPr>
      <w:r>
        <w:rPr>
          <w:snapToGrid w:val="0"/>
          <w:spacing w:val="4"/>
          <w:kern w:val="0"/>
          <w:sz w:val="24"/>
        </w:rPr>
        <w:t>（2）专业监理工程师应要求承包人报送重点部位、关键工序的施工方案或作业指导和确保工程质量的措施，审核同意后予以签认。</w:t>
      </w:r>
    </w:p>
    <w:p w14:paraId="5AE28CB0">
      <w:pPr>
        <w:topLinePunct/>
        <w:adjustRightInd w:val="0"/>
        <w:snapToGrid w:val="0"/>
        <w:spacing w:line="480" w:lineRule="exact"/>
        <w:ind w:firstLine="496" w:firstLineChars="200"/>
        <w:rPr>
          <w:snapToGrid w:val="0"/>
          <w:spacing w:val="4"/>
          <w:kern w:val="0"/>
          <w:sz w:val="24"/>
        </w:rPr>
      </w:pPr>
      <w:r>
        <w:rPr>
          <w:snapToGrid w:val="0"/>
          <w:spacing w:val="4"/>
          <w:kern w:val="0"/>
          <w:sz w:val="24"/>
        </w:rPr>
        <w:t>（3）当承包人采用新材料、新工艺、新技术、新设备时，专业监理工程师应要求承包人报送相应的施工工艺措施和证明材料，组织专题论证，经审定后予以签认。</w:t>
      </w:r>
    </w:p>
    <w:p w14:paraId="403C3566">
      <w:pPr>
        <w:topLinePunct/>
        <w:adjustRightInd w:val="0"/>
        <w:snapToGrid w:val="0"/>
        <w:spacing w:line="480" w:lineRule="exact"/>
        <w:ind w:firstLine="496" w:firstLineChars="200"/>
        <w:rPr>
          <w:snapToGrid w:val="0"/>
          <w:spacing w:val="4"/>
          <w:kern w:val="0"/>
          <w:sz w:val="24"/>
        </w:rPr>
      </w:pPr>
      <w:r>
        <w:rPr>
          <w:snapToGrid w:val="0"/>
          <w:spacing w:val="4"/>
          <w:kern w:val="0"/>
          <w:sz w:val="24"/>
        </w:rPr>
        <w:t>（4）项目监理机构应对承包人在施工过程中报送的施工测量放线成果进行复验和确认。</w:t>
      </w:r>
    </w:p>
    <w:p w14:paraId="60D94E63">
      <w:pPr>
        <w:topLinePunct/>
        <w:adjustRightInd w:val="0"/>
        <w:snapToGrid w:val="0"/>
        <w:spacing w:line="480" w:lineRule="exact"/>
        <w:ind w:firstLine="496" w:firstLineChars="200"/>
        <w:rPr>
          <w:snapToGrid w:val="0"/>
          <w:spacing w:val="4"/>
          <w:kern w:val="0"/>
          <w:sz w:val="24"/>
        </w:rPr>
      </w:pPr>
      <w:r>
        <w:rPr>
          <w:snapToGrid w:val="0"/>
          <w:spacing w:val="4"/>
          <w:kern w:val="0"/>
          <w:sz w:val="24"/>
        </w:rPr>
        <w:t>（5）监理人应对材料、设备的进场验收负主要责任。专业监理工程师应对承包人报送的拟进场工程材料、构配件和设备的工程材料/构配件/设备报审表及其质量证明资料进行审核，并对进场的实物按照委托监理合同约定或有关工程质量管理文件规定的比例采用平行检验或见证取样方式进行抽检。</w:t>
      </w:r>
    </w:p>
    <w:p w14:paraId="0BA11EFC">
      <w:pPr>
        <w:topLinePunct/>
        <w:adjustRightInd w:val="0"/>
        <w:snapToGrid w:val="0"/>
        <w:spacing w:line="480" w:lineRule="exact"/>
        <w:ind w:firstLine="496" w:firstLineChars="200"/>
        <w:rPr>
          <w:snapToGrid w:val="0"/>
          <w:spacing w:val="4"/>
          <w:kern w:val="0"/>
          <w:sz w:val="24"/>
        </w:rPr>
      </w:pPr>
      <w:r>
        <w:rPr>
          <w:snapToGrid w:val="0"/>
          <w:spacing w:val="4"/>
          <w:kern w:val="0"/>
          <w:sz w:val="24"/>
        </w:rPr>
        <w:t>对未经监理人员验收或验收不合格的工程材料、构配件、设备，监理人员应拒绝签认，并应签发监理工程师通知单，书面通知承包人限期将不合格的工程材料、构配件、设备撤出现场。</w:t>
      </w:r>
    </w:p>
    <w:p w14:paraId="3F2E560E">
      <w:pPr>
        <w:topLinePunct/>
        <w:adjustRightInd w:val="0"/>
        <w:snapToGrid w:val="0"/>
        <w:spacing w:line="480" w:lineRule="exact"/>
        <w:ind w:firstLine="496" w:firstLineChars="200"/>
        <w:rPr>
          <w:snapToGrid w:val="0"/>
          <w:spacing w:val="4"/>
          <w:kern w:val="0"/>
          <w:sz w:val="24"/>
        </w:rPr>
      </w:pPr>
      <w:r>
        <w:rPr>
          <w:snapToGrid w:val="0"/>
          <w:spacing w:val="4"/>
          <w:kern w:val="0"/>
          <w:sz w:val="24"/>
        </w:rPr>
        <w:t>（6）项目监理机构应定期检查承包人的直接影响工程质量的计量设备的技术状况。</w:t>
      </w:r>
    </w:p>
    <w:p w14:paraId="6FA82CE0">
      <w:pPr>
        <w:topLinePunct/>
        <w:adjustRightInd w:val="0"/>
        <w:snapToGrid w:val="0"/>
        <w:spacing w:line="480" w:lineRule="exact"/>
        <w:ind w:firstLine="496" w:firstLineChars="200"/>
        <w:rPr>
          <w:snapToGrid w:val="0"/>
          <w:spacing w:val="4"/>
          <w:kern w:val="0"/>
          <w:sz w:val="24"/>
        </w:rPr>
      </w:pPr>
      <w:r>
        <w:rPr>
          <w:snapToGrid w:val="0"/>
          <w:spacing w:val="4"/>
          <w:kern w:val="0"/>
          <w:sz w:val="24"/>
        </w:rPr>
        <w:t>（7）总监理工程师应安排监理人员对建筑材料设备的进场检验的全过程进行见证，对施工过程进行巡视和检查（包括重点检查、抽查及专项检查）。对基础工程中土方回填，混凝土灌注桩浇筑，地下连续墙、土钉墙、后浇带及其他结构混凝土、防水混凝土浇筑，卷材防水层细部构造处理，钢结构安装和主体结构工程中梁柱节点钢筋隐蔽过程，混凝土浇筑，预应力张拉，装配式结构安装，钢结构安装，网架结构安装，索膜安装及委托人要求的其它旁站工作等，专业监理工程师应安排监理员进行旁站，主要职责是：</w:t>
      </w:r>
    </w:p>
    <w:p w14:paraId="21CE8CC1">
      <w:pPr>
        <w:topLinePunct/>
        <w:adjustRightInd w:val="0"/>
        <w:snapToGrid w:val="0"/>
        <w:spacing w:line="480" w:lineRule="exact"/>
        <w:ind w:firstLine="496" w:firstLineChars="200"/>
        <w:rPr>
          <w:snapToGrid w:val="0"/>
          <w:spacing w:val="4"/>
          <w:kern w:val="0"/>
          <w:sz w:val="24"/>
        </w:rPr>
      </w:pPr>
      <w:r>
        <w:rPr>
          <w:snapToGrid w:val="0"/>
          <w:spacing w:val="4"/>
          <w:kern w:val="0"/>
          <w:sz w:val="24"/>
        </w:rPr>
        <w:t>1）检查施工企业现场质检人员到岗、特殊工种人员持证上岗以及施工机械、建筑材料准备情况；</w:t>
      </w:r>
    </w:p>
    <w:p w14:paraId="0BFA99DD">
      <w:pPr>
        <w:topLinePunct/>
        <w:adjustRightInd w:val="0"/>
        <w:snapToGrid w:val="0"/>
        <w:spacing w:line="480" w:lineRule="exact"/>
        <w:ind w:firstLine="496" w:firstLineChars="200"/>
        <w:rPr>
          <w:snapToGrid w:val="0"/>
          <w:spacing w:val="4"/>
          <w:kern w:val="0"/>
          <w:sz w:val="24"/>
        </w:rPr>
      </w:pPr>
      <w:r>
        <w:rPr>
          <w:snapToGrid w:val="0"/>
          <w:spacing w:val="4"/>
          <w:kern w:val="0"/>
          <w:sz w:val="24"/>
        </w:rPr>
        <w:t>2）在现场跟班监督关键部位、关键工序的施工执行施工方案以及工程建设强制性标准情况；</w:t>
      </w:r>
    </w:p>
    <w:p w14:paraId="27ED6D48">
      <w:pPr>
        <w:topLinePunct/>
        <w:adjustRightInd w:val="0"/>
        <w:snapToGrid w:val="0"/>
        <w:spacing w:line="480" w:lineRule="exact"/>
        <w:ind w:firstLine="496" w:firstLineChars="200"/>
        <w:rPr>
          <w:snapToGrid w:val="0"/>
          <w:spacing w:val="4"/>
          <w:kern w:val="0"/>
          <w:sz w:val="24"/>
        </w:rPr>
      </w:pPr>
      <w:r>
        <w:rPr>
          <w:snapToGrid w:val="0"/>
          <w:spacing w:val="4"/>
          <w:kern w:val="0"/>
          <w:sz w:val="24"/>
        </w:rPr>
        <w:t>3）核查进场建筑材料、建筑构配件、设备和商品混凝土的质量检验报告等，并可在现场监督施工企业进行检验或者委托具有资格的第三方进行复验；</w:t>
      </w:r>
    </w:p>
    <w:p w14:paraId="5A862D42">
      <w:pPr>
        <w:topLinePunct/>
        <w:adjustRightInd w:val="0"/>
        <w:snapToGrid w:val="0"/>
        <w:spacing w:line="480" w:lineRule="exact"/>
        <w:ind w:firstLine="496" w:firstLineChars="200"/>
        <w:rPr>
          <w:snapToGrid w:val="0"/>
          <w:spacing w:val="4"/>
          <w:kern w:val="0"/>
          <w:sz w:val="24"/>
        </w:rPr>
      </w:pPr>
      <w:r>
        <w:rPr>
          <w:snapToGrid w:val="0"/>
          <w:spacing w:val="4"/>
          <w:kern w:val="0"/>
          <w:sz w:val="24"/>
        </w:rPr>
        <w:t>4）做好旁站监理记录和监理日记，保存旁站监理原始资料。</w:t>
      </w:r>
    </w:p>
    <w:p w14:paraId="68832F77">
      <w:pPr>
        <w:topLinePunct/>
        <w:adjustRightInd w:val="0"/>
        <w:snapToGrid w:val="0"/>
        <w:spacing w:line="480" w:lineRule="exact"/>
        <w:ind w:firstLine="496" w:firstLineChars="200"/>
        <w:rPr>
          <w:snapToGrid w:val="0"/>
          <w:spacing w:val="4"/>
          <w:kern w:val="0"/>
          <w:sz w:val="24"/>
        </w:rPr>
      </w:pPr>
      <w:r>
        <w:rPr>
          <w:snapToGrid w:val="0"/>
          <w:spacing w:val="4"/>
          <w:kern w:val="0"/>
          <w:sz w:val="24"/>
        </w:rPr>
        <w:t>旁站监理人员应当认真履行职责，对需要实施旁站监理的关键部位、关键工序在施工现场跟班监督，及时发现和处理旁站监理过程中出现的质量问题，如实准确地做好旁站监理记录。凡旁站监理人员和施工企业现场质检人员未在旁站监理记录上签字的，不得进行下一道工序施工。</w:t>
      </w:r>
    </w:p>
    <w:p w14:paraId="0BC0D70E">
      <w:pPr>
        <w:topLinePunct/>
        <w:adjustRightInd w:val="0"/>
        <w:snapToGrid w:val="0"/>
        <w:spacing w:line="480" w:lineRule="exact"/>
        <w:ind w:firstLine="496" w:firstLineChars="200"/>
        <w:rPr>
          <w:snapToGrid w:val="0"/>
          <w:spacing w:val="4"/>
          <w:kern w:val="0"/>
          <w:sz w:val="24"/>
        </w:rPr>
      </w:pPr>
      <w:r>
        <w:rPr>
          <w:snapToGrid w:val="0"/>
          <w:spacing w:val="4"/>
          <w:kern w:val="0"/>
          <w:sz w:val="24"/>
        </w:rPr>
        <w:t>旁站监理人员实施旁站监理时，发现施工企业有违反工程建设强制性标准行为的，有权责令施工企业立即整改；发现其施工活动已经或者可能危及工程质量的，应当及时向监理工程师或者总监理工程师报告，由总监理工程师下达局部暂停施工指令或者采取其他应急措施。</w:t>
      </w:r>
    </w:p>
    <w:p w14:paraId="0006DA01">
      <w:pPr>
        <w:topLinePunct/>
        <w:adjustRightInd w:val="0"/>
        <w:snapToGrid w:val="0"/>
        <w:spacing w:line="480" w:lineRule="exact"/>
        <w:ind w:firstLine="496" w:firstLineChars="200"/>
        <w:rPr>
          <w:snapToGrid w:val="0"/>
          <w:spacing w:val="4"/>
          <w:kern w:val="0"/>
          <w:sz w:val="24"/>
        </w:rPr>
      </w:pPr>
      <w:r>
        <w:rPr>
          <w:snapToGrid w:val="0"/>
          <w:spacing w:val="4"/>
          <w:kern w:val="0"/>
          <w:sz w:val="24"/>
        </w:rPr>
        <w:t>旁站监理记录是监理工程师或者总监理工程师依法行使有关签字权的重要依据。对于需要旁站监理的关键部位、关键工序施工，凡没有实施旁站监理或者没有旁站监理记录的，监理工程师或者总监理工程师不得在相应文件上签字。在工程竣工验收后，监理企业应当将旁站监理记录存档备查。</w:t>
      </w:r>
    </w:p>
    <w:p w14:paraId="21E60865">
      <w:pPr>
        <w:topLinePunct/>
        <w:adjustRightInd w:val="0"/>
        <w:snapToGrid w:val="0"/>
        <w:spacing w:line="480" w:lineRule="exact"/>
        <w:ind w:firstLine="496" w:firstLineChars="200"/>
        <w:rPr>
          <w:snapToGrid w:val="0"/>
          <w:spacing w:val="4"/>
          <w:kern w:val="0"/>
          <w:sz w:val="24"/>
        </w:rPr>
      </w:pPr>
      <w:r>
        <w:rPr>
          <w:snapToGrid w:val="0"/>
          <w:spacing w:val="4"/>
          <w:kern w:val="0"/>
          <w:sz w:val="24"/>
        </w:rPr>
        <w:t>（8）专业监理工程师应根据承包人报送的隐蔽工程报验申请表和自检结果进行现场检查，符合要求后予以签认。</w:t>
      </w:r>
    </w:p>
    <w:p w14:paraId="10DCCEBB">
      <w:pPr>
        <w:topLinePunct/>
        <w:adjustRightInd w:val="0"/>
        <w:snapToGrid w:val="0"/>
        <w:spacing w:line="480" w:lineRule="exact"/>
        <w:ind w:firstLine="496" w:firstLineChars="200"/>
        <w:rPr>
          <w:snapToGrid w:val="0"/>
          <w:spacing w:val="4"/>
          <w:kern w:val="0"/>
          <w:sz w:val="24"/>
        </w:rPr>
      </w:pPr>
      <w:r>
        <w:rPr>
          <w:snapToGrid w:val="0"/>
          <w:spacing w:val="4"/>
          <w:kern w:val="0"/>
          <w:sz w:val="24"/>
        </w:rPr>
        <w:t>对未经监理人员验收或验收不合格的工序，监理人员应拒绝签认，并要求承包人严禁进行下一道工序的施工。</w:t>
      </w:r>
    </w:p>
    <w:p w14:paraId="01F39A5A">
      <w:pPr>
        <w:topLinePunct/>
        <w:adjustRightInd w:val="0"/>
        <w:snapToGrid w:val="0"/>
        <w:spacing w:line="480" w:lineRule="exact"/>
        <w:ind w:firstLine="496" w:firstLineChars="200"/>
        <w:rPr>
          <w:snapToGrid w:val="0"/>
          <w:spacing w:val="4"/>
          <w:kern w:val="0"/>
          <w:sz w:val="24"/>
        </w:rPr>
      </w:pPr>
      <w:r>
        <w:rPr>
          <w:snapToGrid w:val="0"/>
          <w:spacing w:val="4"/>
          <w:kern w:val="0"/>
          <w:sz w:val="24"/>
        </w:rPr>
        <w:t>（9）专业监理工程师应对承包人报送的分项工程质量验评资料进行审核，符合要求后予以签认；总监理工程师应组织监理人员对承包人报送的分部工程和单位工程质量验评资料进行审核和现场检查，符合要求后予以签认。</w:t>
      </w:r>
    </w:p>
    <w:p w14:paraId="79752DEE">
      <w:pPr>
        <w:topLinePunct/>
        <w:adjustRightInd w:val="0"/>
        <w:snapToGrid w:val="0"/>
        <w:spacing w:line="480" w:lineRule="exact"/>
        <w:ind w:firstLine="496" w:firstLineChars="200"/>
        <w:rPr>
          <w:snapToGrid w:val="0"/>
          <w:spacing w:val="4"/>
          <w:kern w:val="0"/>
          <w:sz w:val="24"/>
        </w:rPr>
      </w:pPr>
      <w:r>
        <w:rPr>
          <w:snapToGrid w:val="0"/>
          <w:spacing w:val="4"/>
          <w:kern w:val="0"/>
          <w:sz w:val="24"/>
        </w:rPr>
        <w:t>（10）质量网络视频监控管理内容</w:t>
      </w:r>
    </w:p>
    <w:p w14:paraId="1F700F5B">
      <w:pPr>
        <w:topLinePunct/>
        <w:adjustRightInd w:val="0"/>
        <w:snapToGrid w:val="0"/>
        <w:spacing w:line="480" w:lineRule="exact"/>
        <w:ind w:firstLine="496" w:firstLineChars="200"/>
        <w:rPr>
          <w:dstrike/>
          <w:spacing w:val="4"/>
          <w:kern w:val="0"/>
          <w:sz w:val="24"/>
        </w:rPr>
      </w:pPr>
      <w:r>
        <w:rPr>
          <w:snapToGrid w:val="0"/>
          <w:spacing w:val="4"/>
          <w:kern w:val="0"/>
          <w:sz w:val="24"/>
        </w:rPr>
        <w:t>1）监理单位组织监督施工单位必须遵照《关于广州市建筑工地安装视频监控装置的通知》（穗建筑[2006]551号）和《关于全面启动广州市社会治安视频监控系统建设有关问题的通知》（穗视频建字〔2006〕1号）文件的要求，满足隐蔽工程、关键工序</w:t>
      </w:r>
      <w:r>
        <w:rPr>
          <w:spacing w:val="4"/>
          <w:kern w:val="0"/>
          <w:sz w:val="24"/>
        </w:rPr>
        <w:t>、重点部位的质量监控、隐蔽工程可视化验收的需要。</w:t>
      </w:r>
    </w:p>
    <w:p w14:paraId="2909E542">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2）监理单位对视频监控系统反馈信息的分析、上报、决策、实施，严格按照质量控制流程及相关规定进行处理。</w:t>
      </w:r>
    </w:p>
    <w:p w14:paraId="7BACEE96">
      <w:pPr>
        <w:topLinePunct/>
        <w:adjustRightInd w:val="0"/>
        <w:snapToGrid w:val="0"/>
        <w:spacing w:line="480" w:lineRule="exact"/>
        <w:ind w:firstLine="496" w:firstLineChars="200"/>
        <w:rPr>
          <w:snapToGrid w:val="0"/>
          <w:spacing w:val="4"/>
          <w:kern w:val="0"/>
          <w:sz w:val="24"/>
        </w:rPr>
      </w:pPr>
      <w:r>
        <w:rPr>
          <w:snapToGrid w:val="0"/>
          <w:spacing w:val="4"/>
          <w:kern w:val="0"/>
          <w:sz w:val="24"/>
        </w:rPr>
        <w:t>3）监理单位建立专门的视频监控系统资料收集、查阅、检索、档案系统，并设置专人专职负责。</w:t>
      </w:r>
    </w:p>
    <w:p w14:paraId="3449F9FD">
      <w:pPr>
        <w:topLinePunct/>
        <w:adjustRightInd w:val="0"/>
        <w:snapToGrid w:val="0"/>
        <w:spacing w:line="480" w:lineRule="exact"/>
        <w:ind w:firstLine="496" w:firstLineChars="200"/>
        <w:rPr>
          <w:snapToGrid w:val="0"/>
          <w:spacing w:val="4"/>
          <w:kern w:val="0"/>
          <w:sz w:val="24"/>
        </w:rPr>
      </w:pPr>
      <w:r>
        <w:rPr>
          <w:snapToGrid w:val="0"/>
          <w:spacing w:val="4"/>
          <w:kern w:val="0"/>
          <w:sz w:val="24"/>
        </w:rPr>
        <w:t>（11）监理单位按照基建程序从工程建设前期法定建设程序资料、施工过程质量控制技术资料、工程验收及备案资料按照与工程同步的原则进行及时收集，保证保管一套完整的工程技术资料。</w:t>
      </w:r>
    </w:p>
    <w:p w14:paraId="15081E61">
      <w:pPr>
        <w:topLinePunct/>
        <w:adjustRightInd w:val="0"/>
        <w:snapToGrid w:val="0"/>
        <w:spacing w:line="480" w:lineRule="exact"/>
        <w:ind w:firstLine="496" w:firstLineChars="200"/>
        <w:rPr>
          <w:snapToGrid w:val="0"/>
          <w:spacing w:val="4"/>
          <w:kern w:val="0"/>
          <w:sz w:val="24"/>
        </w:rPr>
      </w:pPr>
      <w:r>
        <w:rPr>
          <w:snapToGrid w:val="0"/>
          <w:spacing w:val="4"/>
          <w:kern w:val="0"/>
          <w:sz w:val="24"/>
        </w:rPr>
        <w:t>（12）施工阶段的工程质量控制中的其他监理工作</w:t>
      </w:r>
    </w:p>
    <w:p w14:paraId="73821CF1">
      <w:pPr>
        <w:topLinePunct/>
        <w:adjustRightInd w:val="0"/>
        <w:snapToGrid w:val="0"/>
        <w:spacing w:line="480" w:lineRule="exact"/>
        <w:ind w:firstLine="496" w:firstLineChars="200"/>
        <w:rPr>
          <w:snapToGrid w:val="0"/>
          <w:spacing w:val="4"/>
          <w:kern w:val="0"/>
          <w:sz w:val="24"/>
        </w:rPr>
      </w:pPr>
      <w:r>
        <w:rPr>
          <w:snapToGrid w:val="0"/>
          <w:spacing w:val="4"/>
          <w:kern w:val="0"/>
          <w:sz w:val="24"/>
        </w:rPr>
        <w:t>1）对施工过程中出现的质量缺陷，专业监理工程师应及时下达监理工程师通知，要求承包人整改，并检查整改结果。</w:t>
      </w:r>
    </w:p>
    <w:p w14:paraId="619D421C">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人应在本合同工程的施工阶段开始之前向委托人提交质量事故处理程序。监理人员发现施工存在重大质量隐患，可能造成质量事故或已经造成质量事故时，应通过总监理工程师及时下达工程暂停令，要求承包人停工整改。整改完毕并经监理人员复查，符合规定要求后，总监理工程师应及时签署工程复工报审表。总监理工程师下达工程暂停令和签署工程复工报审表，应事先向委托人报告。</w:t>
      </w:r>
    </w:p>
    <w:p w14:paraId="68FE100D">
      <w:pPr>
        <w:topLinePunct/>
        <w:adjustRightInd w:val="0"/>
        <w:snapToGrid w:val="0"/>
        <w:spacing w:line="480" w:lineRule="exact"/>
        <w:ind w:firstLine="496" w:firstLineChars="200"/>
        <w:rPr>
          <w:snapToGrid w:val="0"/>
          <w:spacing w:val="4"/>
          <w:kern w:val="0"/>
          <w:sz w:val="24"/>
        </w:rPr>
      </w:pPr>
      <w:r>
        <w:rPr>
          <w:snapToGrid w:val="0"/>
          <w:spacing w:val="4"/>
          <w:kern w:val="0"/>
          <w:sz w:val="24"/>
        </w:rPr>
        <w:t>3）对需要返工处理或加固补强的质量事故，总监理工程师应责令承包人报送质量事故调查报告和经设计单位等相关单位认可的处理方案，项目监理机构应对质量事故的处理过程和处理结果进行跟踪检查和验收。</w:t>
      </w:r>
    </w:p>
    <w:p w14:paraId="75BAA16E">
      <w:pPr>
        <w:topLinePunct/>
        <w:adjustRightInd w:val="0"/>
        <w:snapToGrid w:val="0"/>
        <w:spacing w:line="480" w:lineRule="exact"/>
        <w:ind w:firstLine="496" w:firstLineChars="200"/>
        <w:rPr>
          <w:snapToGrid w:val="0"/>
          <w:spacing w:val="4"/>
          <w:kern w:val="0"/>
          <w:sz w:val="24"/>
        </w:rPr>
      </w:pPr>
      <w:r>
        <w:rPr>
          <w:snapToGrid w:val="0"/>
          <w:spacing w:val="4"/>
          <w:kern w:val="0"/>
          <w:sz w:val="24"/>
        </w:rPr>
        <w:t>4）总监理工程师应及时向委托人及本监理单位提交有关质量事故的书面报告，并应将完整的质量事故处理记录整理归档。</w:t>
      </w:r>
    </w:p>
    <w:p w14:paraId="13CFE995">
      <w:pPr>
        <w:topLinePunct/>
        <w:adjustRightInd w:val="0"/>
        <w:snapToGrid w:val="0"/>
        <w:spacing w:line="480" w:lineRule="exact"/>
        <w:ind w:firstLine="496" w:firstLineChars="200"/>
        <w:rPr>
          <w:snapToGrid w:val="0"/>
          <w:spacing w:val="4"/>
          <w:kern w:val="0"/>
          <w:sz w:val="24"/>
        </w:rPr>
      </w:pPr>
      <w:r>
        <w:rPr>
          <w:snapToGrid w:val="0"/>
          <w:spacing w:val="4"/>
          <w:kern w:val="0"/>
          <w:sz w:val="24"/>
        </w:rPr>
        <w:t>5）对承包人的试验室进行考核</w:t>
      </w:r>
    </w:p>
    <w:p w14:paraId="2A40ACE8">
      <w:pPr>
        <w:topLinePunct/>
        <w:adjustRightInd w:val="0"/>
        <w:snapToGrid w:val="0"/>
        <w:spacing w:line="480" w:lineRule="exact"/>
        <w:ind w:firstLine="496" w:firstLineChars="200"/>
        <w:rPr>
          <w:snapToGrid w:val="0"/>
          <w:spacing w:val="4"/>
          <w:kern w:val="0"/>
          <w:sz w:val="24"/>
        </w:rPr>
      </w:pPr>
      <w:r>
        <w:rPr>
          <w:snapToGrid w:val="0"/>
          <w:spacing w:val="4"/>
          <w:kern w:val="0"/>
          <w:sz w:val="24"/>
        </w:rPr>
        <w:t>对承包人的试验室，专业监理工程师应从以下五个方面进行考核：</w:t>
      </w:r>
    </w:p>
    <w:p w14:paraId="0E360777">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试验室的资质等级及其试验范围；</w:t>
      </w:r>
    </w:p>
    <w:p w14:paraId="49C92923">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法定计量部门对试验设备出具的计量检定证明；</w:t>
      </w:r>
    </w:p>
    <w:p w14:paraId="453BF370">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试验室的管理制度；</w:t>
      </w:r>
    </w:p>
    <w:p w14:paraId="27F6F3B8">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试验人员的资格证书；</w:t>
      </w:r>
    </w:p>
    <w:p w14:paraId="47F0A020">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⑤</w:t>
      </w:r>
      <w:r>
        <w:rPr>
          <w:snapToGrid w:val="0"/>
          <w:spacing w:val="4"/>
          <w:kern w:val="0"/>
          <w:sz w:val="24"/>
        </w:rPr>
        <w:t xml:space="preserve"> 本工程的试验项目及其要求。</w:t>
      </w:r>
    </w:p>
    <w:p w14:paraId="753BD3FF">
      <w:pPr>
        <w:topLinePunct/>
        <w:adjustRightInd w:val="0"/>
        <w:snapToGrid w:val="0"/>
        <w:spacing w:line="480" w:lineRule="exact"/>
        <w:outlineLvl w:val="4"/>
        <w:rPr>
          <w:b/>
          <w:snapToGrid w:val="0"/>
          <w:spacing w:val="4"/>
          <w:kern w:val="0"/>
          <w:sz w:val="24"/>
        </w:rPr>
      </w:pPr>
      <w:r>
        <w:rPr>
          <w:rFonts w:hint="eastAsia"/>
          <w:b/>
          <w:snapToGrid w:val="0"/>
          <w:spacing w:val="4"/>
          <w:kern w:val="0"/>
          <w:sz w:val="24"/>
        </w:rPr>
        <w:t xml:space="preserve">4.2 </w:t>
      </w:r>
      <w:r>
        <w:rPr>
          <w:b/>
          <w:snapToGrid w:val="0"/>
          <w:spacing w:val="4"/>
          <w:kern w:val="0"/>
          <w:sz w:val="24"/>
        </w:rPr>
        <w:t>工程造价控制工作</w:t>
      </w:r>
    </w:p>
    <w:p w14:paraId="1340DED1">
      <w:pPr>
        <w:topLinePunct/>
        <w:adjustRightInd w:val="0"/>
        <w:snapToGrid w:val="0"/>
        <w:spacing w:line="480" w:lineRule="exact"/>
        <w:ind w:firstLine="496" w:firstLineChars="200"/>
        <w:rPr>
          <w:snapToGrid w:val="0"/>
          <w:spacing w:val="4"/>
          <w:kern w:val="0"/>
          <w:sz w:val="24"/>
        </w:rPr>
      </w:pPr>
      <w:r>
        <w:rPr>
          <w:snapToGrid w:val="0"/>
          <w:spacing w:val="4"/>
          <w:kern w:val="0"/>
          <w:sz w:val="24"/>
        </w:rPr>
        <w:t>监理人负责的投资控制工作为项目施工阶段造价控制，包括但不限于：主材单价、综合单价、签证费用、</w:t>
      </w:r>
      <w:r>
        <w:rPr>
          <w:rFonts w:hint="eastAsia"/>
          <w:snapToGrid w:val="0"/>
          <w:spacing w:val="4"/>
          <w:kern w:val="0"/>
          <w:sz w:val="24"/>
        </w:rPr>
        <w:t>初步设计概算审核、</w:t>
      </w:r>
      <w:r>
        <w:rPr>
          <w:snapToGrid w:val="0"/>
          <w:spacing w:val="4"/>
          <w:kern w:val="0"/>
          <w:sz w:val="24"/>
        </w:rPr>
        <w:t>工程预算审核</w:t>
      </w:r>
      <w:r>
        <w:rPr>
          <w:rFonts w:hint="eastAsia"/>
          <w:snapToGrid w:val="0"/>
          <w:spacing w:val="4"/>
          <w:kern w:val="0"/>
          <w:sz w:val="24"/>
        </w:rPr>
        <w:t>（含施工图预算审核）</w:t>
      </w:r>
      <w:r>
        <w:rPr>
          <w:snapToGrid w:val="0"/>
          <w:spacing w:val="4"/>
          <w:kern w:val="0"/>
          <w:sz w:val="24"/>
        </w:rPr>
        <w:t>、结算审核、工程量（含钢筋抽料）审核、费用索赔等。</w:t>
      </w:r>
    </w:p>
    <w:p w14:paraId="3AB0B119">
      <w:pPr>
        <w:topLinePunct/>
        <w:adjustRightInd w:val="0"/>
        <w:snapToGrid w:val="0"/>
        <w:spacing w:line="480" w:lineRule="exact"/>
        <w:ind w:firstLine="496" w:firstLineChars="200"/>
        <w:rPr>
          <w:snapToGrid w:val="0"/>
          <w:spacing w:val="4"/>
          <w:kern w:val="0"/>
          <w:sz w:val="24"/>
        </w:rPr>
      </w:pPr>
      <w:r>
        <w:rPr>
          <w:snapToGrid w:val="0"/>
          <w:spacing w:val="4"/>
          <w:kern w:val="0"/>
          <w:sz w:val="24"/>
        </w:rPr>
        <w:t>（1）项目监理机构应按下列程序进行工程计量和工程款支付工作：</w:t>
      </w:r>
    </w:p>
    <w:p w14:paraId="2786D643">
      <w:pPr>
        <w:topLinePunct/>
        <w:adjustRightInd w:val="0"/>
        <w:snapToGrid w:val="0"/>
        <w:spacing w:line="480" w:lineRule="exact"/>
        <w:ind w:firstLine="496" w:firstLineChars="200"/>
        <w:rPr>
          <w:snapToGrid w:val="0"/>
          <w:spacing w:val="4"/>
          <w:kern w:val="0"/>
          <w:sz w:val="24"/>
        </w:rPr>
      </w:pPr>
      <w:r>
        <w:rPr>
          <w:snapToGrid w:val="0"/>
          <w:spacing w:val="4"/>
          <w:kern w:val="0"/>
          <w:sz w:val="24"/>
        </w:rPr>
        <w:t>1）监理人应每日统计承包人实际完成的工程量，并记录于监理日志中；</w:t>
      </w:r>
    </w:p>
    <w:p w14:paraId="7AD69B6F">
      <w:pPr>
        <w:topLinePunct/>
        <w:adjustRightInd w:val="0"/>
        <w:snapToGrid w:val="0"/>
        <w:spacing w:line="480" w:lineRule="exact"/>
        <w:ind w:firstLine="496" w:firstLineChars="200"/>
        <w:rPr>
          <w:snapToGrid w:val="0"/>
          <w:spacing w:val="4"/>
          <w:kern w:val="0"/>
          <w:sz w:val="24"/>
        </w:rPr>
      </w:pPr>
      <w:r>
        <w:rPr>
          <w:snapToGrid w:val="0"/>
          <w:spacing w:val="4"/>
          <w:kern w:val="0"/>
          <w:sz w:val="24"/>
        </w:rPr>
        <w:t>2）专业监理工程师进行现场计量，复核当期验收合格的工程量，按施工合同的约定审核承包人提交的工程量清单和工程款支付申请表，并报总监理工程师审定；</w:t>
      </w:r>
    </w:p>
    <w:p w14:paraId="1615DC06">
      <w:pPr>
        <w:topLinePunct/>
        <w:adjustRightInd w:val="0"/>
        <w:snapToGrid w:val="0"/>
        <w:spacing w:line="480" w:lineRule="exact"/>
        <w:ind w:firstLine="496" w:firstLineChars="200"/>
        <w:rPr>
          <w:snapToGrid w:val="0"/>
          <w:spacing w:val="4"/>
          <w:kern w:val="0"/>
          <w:sz w:val="24"/>
        </w:rPr>
      </w:pPr>
      <w:r>
        <w:rPr>
          <w:snapToGrid w:val="0"/>
          <w:spacing w:val="4"/>
          <w:kern w:val="0"/>
          <w:sz w:val="24"/>
        </w:rPr>
        <w:t>3）总监理工程师对工程量清单和工程款支付申请表进行复核，并报委托人；</w:t>
      </w:r>
    </w:p>
    <w:p w14:paraId="5FA69ED4">
      <w:pPr>
        <w:topLinePunct/>
        <w:adjustRightInd w:val="0"/>
        <w:snapToGrid w:val="0"/>
        <w:spacing w:line="480" w:lineRule="exact"/>
        <w:ind w:firstLine="496" w:firstLineChars="200"/>
        <w:rPr>
          <w:snapToGrid w:val="0"/>
          <w:spacing w:val="4"/>
          <w:kern w:val="0"/>
          <w:sz w:val="24"/>
        </w:rPr>
      </w:pPr>
      <w:r>
        <w:rPr>
          <w:snapToGrid w:val="0"/>
          <w:spacing w:val="4"/>
          <w:kern w:val="0"/>
          <w:sz w:val="24"/>
        </w:rPr>
        <w:t>4）提交月度分包工程支付建议书给委托人。</w:t>
      </w:r>
    </w:p>
    <w:p w14:paraId="16282441">
      <w:pPr>
        <w:topLinePunct/>
        <w:adjustRightInd w:val="0"/>
        <w:snapToGrid w:val="0"/>
        <w:spacing w:line="480" w:lineRule="exact"/>
        <w:ind w:firstLine="496" w:firstLineChars="200"/>
        <w:rPr>
          <w:snapToGrid w:val="0"/>
          <w:spacing w:val="4"/>
          <w:kern w:val="0"/>
          <w:sz w:val="24"/>
        </w:rPr>
      </w:pPr>
      <w:r>
        <w:rPr>
          <w:snapToGrid w:val="0"/>
          <w:spacing w:val="4"/>
          <w:kern w:val="0"/>
          <w:sz w:val="24"/>
        </w:rPr>
        <w:t>（2）项目监理机构应依据施工合同有关条款、施工图，对工程项目造价目标进行风险分析，并应制定防范性对策。</w:t>
      </w:r>
    </w:p>
    <w:p w14:paraId="1D03810C">
      <w:pPr>
        <w:topLinePunct/>
        <w:adjustRightInd w:val="0"/>
        <w:snapToGrid w:val="0"/>
        <w:spacing w:line="480" w:lineRule="exact"/>
        <w:ind w:firstLine="496" w:firstLineChars="200"/>
        <w:rPr>
          <w:snapToGrid w:val="0"/>
          <w:spacing w:val="4"/>
          <w:kern w:val="0"/>
          <w:sz w:val="24"/>
        </w:rPr>
      </w:pPr>
      <w:r>
        <w:rPr>
          <w:snapToGrid w:val="0"/>
          <w:spacing w:val="4"/>
          <w:kern w:val="0"/>
          <w:sz w:val="24"/>
        </w:rPr>
        <w:t>（3）项目监理机构应按施工合同约定的工程量计算规则和支付条款进行工程量计量和工程款支付。</w:t>
      </w:r>
    </w:p>
    <w:p w14:paraId="2A7A5C03">
      <w:pPr>
        <w:topLinePunct/>
        <w:adjustRightInd w:val="0"/>
        <w:snapToGrid w:val="0"/>
        <w:spacing w:line="480" w:lineRule="exact"/>
        <w:ind w:firstLine="496" w:firstLineChars="200"/>
        <w:rPr>
          <w:snapToGrid w:val="0"/>
          <w:spacing w:val="4"/>
          <w:kern w:val="0"/>
          <w:sz w:val="24"/>
        </w:rPr>
      </w:pPr>
      <w:r>
        <w:rPr>
          <w:snapToGrid w:val="0"/>
          <w:spacing w:val="4"/>
          <w:kern w:val="0"/>
          <w:sz w:val="24"/>
        </w:rPr>
        <w:t>（4）专业监理工程师应及时建立月完成工程量和工作量统计表，对实际完成量与计划完成量进行比较、分析，制定调整措施，并应在监理月报中向委托人报告。</w:t>
      </w:r>
    </w:p>
    <w:p w14:paraId="3328B0D6">
      <w:pPr>
        <w:topLinePunct/>
        <w:adjustRightInd w:val="0"/>
        <w:snapToGrid w:val="0"/>
        <w:spacing w:line="480" w:lineRule="exact"/>
        <w:ind w:firstLine="496" w:firstLineChars="200"/>
        <w:rPr>
          <w:snapToGrid w:val="0"/>
          <w:spacing w:val="4"/>
          <w:kern w:val="0"/>
          <w:sz w:val="24"/>
        </w:rPr>
      </w:pPr>
      <w:r>
        <w:rPr>
          <w:snapToGrid w:val="0"/>
          <w:spacing w:val="4"/>
          <w:kern w:val="0"/>
          <w:sz w:val="24"/>
        </w:rPr>
        <w:t>（5）未经监理人员质量验收合格的工程量，或不符合施工合同规定的工程量，监理人员应拒绝计量和该部分的工程款支付申请。</w:t>
      </w:r>
    </w:p>
    <w:p w14:paraId="3B14E21A">
      <w:pPr>
        <w:topLinePunct/>
        <w:adjustRightInd w:val="0"/>
        <w:snapToGrid w:val="0"/>
        <w:spacing w:line="480" w:lineRule="exact"/>
        <w:ind w:firstLine="496" w:firstLineChars="200"/>
        <w:rPr>
          <w:snapToGrid w:val="0"/>
          <w:spacing w:val="4"/>
          <w:kern w:val="0"/>
          <w:sz w:val="24"/>
        </w:rPr>
      </w:pPr>
      <w:r>
        <w:rPr>
          <w:snapToGrid w:val="0"/>
          <w:spacing w:val="4"/>
          <w:kern w:val="0"/>
          <w:sz w:val="24"/>
        </w:rPr>
        <w:t>（6）工程变更的管理</w:t>
      </w:r>
    </w:p>
    <w:p w14:paraId="2B32C98D">
      <w:pPr>
        <w:topLinePunct/>
        <w:adjustRightInd w:val="0"/>
        <w:snapToGrid w:val="0"/>
        <w:spacing w:line="480" w:lineRule="exact"/>
        <w:ind w:firstLine="496" w:firstLineChars="200"/>
        <w:rPr>
          <w:snapToGrid w:val="0"/>
          <w:spacing w:val="4"/>
          <w:kern w:val="0"/>
          <w:sz w:val="24"/>
        </w:rPr>
      </w:pPr>
      <w:r>
        <w:rPr>
          <w:snapToGrid w:val="0"/>
          <w:spacing w:val="4"/>
          <w:kern w:val="0"/>
          <w:sz w:val="24"/>
        </w:rPr>
        <w:t>总监理工程师应从造价、项目的功能要求、质量和工期等方面审查工程变更的方案，并在工程变更实施前与委托人、承包人协商确定工程变更的价款。</w:t>
      </w:r>
    </w:p>
    <w:p w14:paraId="566AF259">
      <w:pPr>
        <w:topLinePunct/>
        <w:adjustRightInd w:val="0"/>
        <w:snapToGrid w:val="0"/>
        <w:spacing w:line="480" w:lineRule="exact"/>
        <w:ind w:firstLine="496" w:firstLineChars="200"/>
        <w:rPr>
          <w:snapToGrid w:val="0"/>
          <w:spacing w:val="4"/>
          <w:kern w:val="0"/>
          <w:sz w:val="24"/>
        </w:rPr>
      </w:pPr>
      <w:r>
        <w:rPr>
          <w:snapToGrid w:val="0"/>
          <w:spacing w:val="4"/>
          <w:kern w:val="0"/>
          <w:sz w:val="24"/>
        </w:rPr>
        <w:t>1）项目监理机构应按下列程序处理工程变更：</w:t>
      </w:r>
    </w:p>
    <w:p w14:paraId="5FE02F26">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对承包人提出的工程变更，应提交总监理工程师，由总监理工程师组织专业监理工程师审查。审查同意后，应由委托人转交原设计单位编制设计变更文件。当工程变更涉及安全、环保等内容时，应按规定经有关部门审定。</w:t>
      </w:r>
    </w:p>
    <w:p w14:paraId="367DB772">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项目监理机构应了解实际情况和收集与工程变更有关的资料。</w:t>
      </w:r>
    </w:p>
    <w:p w14:paraId="0FF366CF">
      <w:pPr>
        <w:spacing w:line="480" w:lineRule="exact"/>
        <w:ind w:firstLine="560" w:firstLineChars="200"/>
        <w:rPr>
          <w:sz w:val="24"/>
        </w:rPr>
      </w:pPr>
      <w:r>
        <w:rPr>
          <w:rFonts w:hint="eastAsia" w:ascii="宋体" w:hAnsi="宋体" w:cs="宋体"/>
          <w:sz w:val="28"/>
          <w:szCs w:val="28"/>
        </w:rPr>
        <w:t>③</w:t>
      </w:r>
      <w:r>
        <w:rPr>
          <w:sz w:val="24"/>
        </w:rPr>
        <w:t xml:space="preserve"> 总监理工程师必须根据实际情况、设计变更文件和其他有关资料，按照施工合同的有关条款，在指定专业监理工程师完成下列各项工作后，对工程变更的费用和工期作出评估：</w:t>
      </w:r>
    </w:p>
    <w:p w14:paraId="07BBD73D">
      <w:pPr>
        <w:topLinePunct/>
        <w:adjustRightInd w:val="0"/>
        <w:snapToGrid w:val="0"/>
        <w:spacing w:line="480" w:lineRule="exact"/>
        <w:ind w:firstLine="620" w:firstLineChars="250"/>
        <w:rPr>
          <w:snapToGrid w:val="0"/>
          <w:spacing w:val="4"/>
          <w:kern w:val="0"/>
          <w:sz w:val="24"/>
        </w:rPr>
      </w:pPr>
      <w:r>
        <w:rPr>
          <w:snapToGrid w:val="0"/>
          <w:spacing w:val="4"/>
          <w:kern w:val="0"/>
          <w:sz w:val="24"/>
        </w:rPr>
        <w:t>a. 审核工程变更项目与原工程项目之间的类似程度和难易程度；</w:t>
      </w:r>
    </w:p>
    <w:p w14:paraId="4C3CEFF0">
      <w:pPr>
        <w:topLinePunct/>
        <w:adjustRightInd w:val="0"/>
        <w:snapToGrid w:val="0"/>
        <w:spacing w:line="480" w:lineRule="exact"/>
        <w:ind w:firstLine="620" w:firstLineChars="250"/>
        <w:rPr>
          <w:snapToGrid w:val="0"/>
          <w:spacing w:val="4"/>
          <w:kern w:val="0"/>
          <w:sz w:val="24"/>
        </w:rPr>
      </w:pPr>
      <w:r>
        <w:rPr>
          <w:snapToGrid w:val="0"/>
          <w:spacing w:val="4"/>
          <w:kern w:val="0"/>
          <w:sz w:val="24"/>
        </w:rPr>
        <w:t>b. 审核工程变更项目的工程量；</w:t>
      </w:r>
    </w:p>
    <w:p w14:paraId="58CDAD8B">
      <w:pPr>
        <w:topLinePunct/>
        <w:adjustRightInd w:val="0"/>
        <w:snapToGrid w:val="0"/>
        <w:spacing w:line="480" w:lineRule="exact"/>
        <w:ind w:firstLine="620" w:firstLineChars="250"/>
        <w:rPr>
          <w:snapToGrid w:val="0"/>
          <w:spacing w:val="4"/>
          <w:kern w:val="0"/>
          <w:sz w:val="24"/>
        </w:rPr>
      </w:pPr>
      <w:r>
        <w:rPr>
          <w:snapToGrid w:val="0"/>
          <w:spacing w:val="4"/>
          <w:kern w:val="0"/>
          <w:sz w:val="24"/>
        </w:rPr>
        <w:t>c. 审核工程变更的单价和总价；</w:t>
      </w:r>
    </w:p>
    <w:p w14:paraId="658781CA">
      <w:pPr>
        <w:topLinePunct/>
        <w:adjustRightInd w:val="0"/>
        <w:snapToGrid w:val="0"/>
        <w:spacing w:line="480" w:lineRule="exact"/>
        <w:ind w:firstLine="620" w:firstLineChars="250"/>
        <w:rPr>
          <w:snapToGrid w:val="0"/>
          <w:spacing w:val="4"/>
          <w:kern w:val="0"/>
          <w:sz w:val="24"/>
        </w:rPr>
      </w:pPr>
      <w:r>
        <w:rPr>
          <w:snapToGrid w:val="0"/>
          <w:spacing w:val="4"/>
          <w:kern w:val="0"/>
          <w:sz w:val="24"/>
        </w:rPr>
        <w:t>d. 审核工程变更所引起的工期变化。</w:t>
      </w:r>
    </w:p>
    <w:p w14:paraId="1A8B097D">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总监理工程师应就工程变更费用及工期的评估情况与承包人和委托人进行协调。</w:t>
      </w:r>
    </w:p>
    <w:p w14:paraId="62F7B17D">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⑤</w:t>
      </w:r>
      <w:r>
        <w:rPr>
          <w:snapToGrid w:val="0"/>
          <w:spacing w:val="4"/>
          <w:kern w:val="0"/>
          <w:sz w:val="24"/>
        </w:rPr>
        <w:t xml:space="preserve"> 总监理工程师签发工程变更单。工程变更单应包括工程变更要求、工程变更说明、工程变更费用和工期、必要的附件等内容，有设计变更文件的工程变更应附设计变更文件。</w:t>
      </w:r>
    </w:p>
    <w:p w14:paraId="5360E146">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⑥</w:t>
      </w:r>
      <w:r>
        <w:rPr>
          <w:snapToGrid w:val="0"/>
          <w:spacing w:val="4"/>
          <w:kern w:val="0"/>
          <w:sz w:val="24"/>
        </w:rPr>
        <w:t xml:space="preserve"> 项目监理机构应根据工程变更单监督承包人实施。</w:t>
      </w:r>
    </w:p>
    <w:p w14:paraId="46AF249A">
      <w:pPr>
        <w:topLinePunct/>
        <w:adjustRightInd w:val="0"/>
        <w:snapToGrid w:val="0"/>
        <w:spacing w:line="480" w:lineRule="exact"/>
        <w:ind w:firstLine="496" w:firstLineChars="200"/>
        <w:rPr>
          <w:snapToGrid w:val="0"/>
          <w:spacing w:val="4"/>
          <w:kern w:val="0"/>
          <w:sz w:val="24"/>
        </w:rPr>
      </w:pPr>
      <w:r>
        <w:rPr>
          <w:snapToGrid w:val="0"/>
          <w:spacing w:val="4"/>
          <w:kern w:val="0"/>
          <w:sz w:val="24"/>
        </w:rPr>
        <w:t>2）项目监理机构处理工程变更应符合下列要求：</w:t>
      </w:r>
    </w:p>
    <w:p w14:paraId="481C108C">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项目监理机构在工程变更的质量、费用和工期方面取得委托人授权后，应按施工合同规定与承包人进行协商，经协商达成一致后，总监理工程师应将协商结果向委托人通报，并由委托人与承包人在变更文件上签字；</w:t>
      </w:r>
    </w:p>
    <w:p w14:paraId="77B39436">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在项目监理机构未能就工程变更的质量、费用和工期方面取得委托人授权时，总监理工程师应协助委托人和承包人进行协商，并达成一致；</w:t>
      </w:r>
    </w:p>
    <w:p w14:paraId="3F49D527">
      <w:pPr>
        <w:topLinePunct/>
        <w:adjustRightInd w:val="0"/>
        <w:snapToGrid w:val="0"/>
        <w:spacing w:line="480" w:lineRule="exact"/>
        <w:ind w:firstLine="496" w:firstLineChars="200"/>
        <w:rPr>
          <w:snapToGrid w:val="0"/>
          <w:spacing w:val="4"/>
          <w:kern w:val="0"/>
          <w:sz w:val="24"/>
        </w:rPr>
      </w:pPr>
      <w:r>
        <w:rPr>
          <w:snapToGrid w:val="0"/>
          <w:spacing w:val="4"/>
          <w:kern w:val="0"/>
          <w:sz w:val="24"/>
        </w:rPr>
        <w:t>3）在总监理工程师签发工程变更单之前，承包人不得实施工程变更。</w:t>
      </w:r>
    </w:p>
    <w:p w14:paraId="0E8304A0">
      <w:pPr>
        <w:topLinePunct/>
        <w:adjustRightInd w:val="0"/>
        <w:snapToGrid w:val="0"/>
        <w:spacing w:line="480" w:lineRule="exact"/>
        <w:ind w:firstLine="496" w:firstLineChars="200"/>
        <w:rPr>
          <w:snapToGrid w:val="0"/>
          <w:spacing w:val="4"/>
          <w:kern w:val="0"/>
          <w:sz w:val="24"/>
        </w:rPr>
      </w:pPr>
      <w:r>
        <w:rPr>
          <w:snapToGrid w:val="0"/>
          <w:spacing w:val="4"/>
          <w:kern w:val="0"/>
          <w:sz w:val="24"/>
        </w:rPr>
        <w:t>4）未经总监理工程师审查同意而实施的工程变更，项目监理机构不得予以计量。</w:t>
      </w:r>
    </w:p>
    <w:p w14:paraId="53551E3A">
      <w:pPr>
        <w:topLinePunct/>
        <w:adjustRightInd w:val="0"/>
        <w:snapToGrid w:val="0"/>
        <w:spacing w:line="480" w:lineRule="exact"/>
        <w:ind w:firstLine="496" w:firstLineChars="200"/>
        <w:rPr>
          <w:snapToGrid w:val="0"/>
          <w:spacing w:val="4"/>
          <w:kern w:val="0"/>
          <w:sz w:val="24"/>
        </w:rPr>
      </w:pPr>
      <w:r>
        <w:rPr>
          <w:snapToGrid w:val="0"/>
          <w:spacing w:val="4"/>
          <w:kern w:val="0"/>
          <w:sz w:val="24"/>
        </w:rPr>
        <w:t>5） 监理人必须按月度提交项目造价变更统计表给委托人。</w:t>
      </w:r>
    </w:p>
    <w:p w14:paraId="03758871">
      <w:pPr>
        <w:topLinePunct/>
        <w:adjustRightInd w:val="0"/>
        <w:snapToGrid w:val="0"/>
        <w:spacing w:line="480" w:lineRule="exact"/>
        <w:ind w:firstLine="496" w:firstLineChars="200"/>
        <w:rPr>
          <w:snapToGrid w:val="0"/>
          <w:spacing w:val="4"/>
          <w:kern w:val="0"/>
          <w:sz w:val="24"/>
        </w:rPr>
      </w:pPr>
      <w:r>
        <w:rPr>
          <w:snapToGrid w:val="0"/>
          <w:spacing w:val="4"/>
          <w:kern w:val="0"/>
          <w:sz w:val="24"/>
        </w:rPr>
        <w:t>（7）工程签证的管理</w:t>
      </w:r>
    </w:p>
    <w:p w14:paraId="7E508ED9">
      <w:pPr>
        <w:topLinePunct/>
        <w:adjustRightInd w:val="0"/>
        <w:snapToGrid w:val="0"/>
        <w:spacing w:line="480" w:lineRule="exact"/>
        <w:ind w:firstLine="496" w:firstLineChars="200"/>
        <w:rPr>
          <w:snapToGrid w:val="0"/>
          <w:spacing w:val="4"/>
          <w:kern w:val="0"/>
          <w:sz w:val="24"/>
        </w:rPr>
      </w:pPr>
      <w:r>
        <w:rPr>
          <w:snapToGrid w:val="0"/>
          <w:spacing w:val="4"/>
          <w:kern w:val="0"/>
          <w:sz w:val="24"/>
        </w:rPr>
        <w:t>按委托人工程签证管理的相关规定对工程的现场签证进行管理，因监理人把关不严，致使该部分工程签证所发生的费用超过合理费用的（以有权终审部门审定价对照为准），由监理人按</w:t>
      </w:r>
      <w:r>
        <w:rPr>
          <w:rFonts w:hint="eastAsia"/>
          <w:snapToGrid w:val="0"/>
          <w:spacing w:val="4"/>
          <w:kern w:val="0"/>
          <w:sz w:val="24"/>
        </w:rPr>
        <w:t>下述</w:t>
      </w:r>
      <w:r>
        <w:rPr>
          <w:snapToGrid w:val="0"/>
          <w:spacing w:val="4"/>
          <w:kern w:val="0"/>
          <w:sz w:val="24"/>
        </w:rPr>
        <w:t>约定承担违约责任</w:t>
      </w:r>
      <w:r>
        <w:rPr>
          <w:rFonts w:hint="eastAsia"/>
          <w:snapToGrid w:val="0"/>
          <w:spacing w:val="4"/>
          <w:kern w:val="0"/>
          <w:sz w:val="24"/>
        </w:rPr>
        <w:t>：</w:t>
      </w:r>
      <w:r>
        <w:rPr>
          <w:snapToGrid w:val="0"/>
          <w:spacing w:val="4"/>
          <w:kern w:val="0"/>
          <w:sz w:val="24"/>
        </w:rPr>
        <w:br w:type="textWrapping"/>
      </w:r>
      <w:r>
        <w:rPr>
          <w:rFonts w:hint="eastAsia"/>
          <w:snapToGrid w:val="0"/>
          <w:spacing w:val="4"/>
          <w:kern w:val="0"/>
          <w:sz w:val="24"/>
        </w:rPr>
        <w:t xml:space="preserve">    1）按超支幅度分级承担违约责任​</w:t>
      </w:r>
    </w:p>
    <w:p w14:paraId="4AB80B2D">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a）轻微超支（超支幅度＜</w:t>
      </w:r>
      <w:r>
        <w:rPr>
          <w:snapToGrid w:val="0"/>
          <w:spacing w:val="4"/>
          <w:kern w:val="0"/>
          <w:sz w:val="24"/>
        </w:rPr>
        <w:t>5%</w:t>
      </w:r>
      <w:r>
        <w:rPr>
          <w:rFonts w:hint="eastAsia"/>
          <w:snapToGrid w:val="0"/>
          <w:spacing w:val="4"/>
          <w:kern w:val="0"/>
          <w:sz w:val="24"/>
        </w:rPr>
        <w:t>）​</w:t>
      </w:r>
    </w:p>
    <w:p w14:paraId="22E97DE9">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监理人应在收到委托人书面通知（附有权终审部门审定价文件）后</w:t>
      </w:r>
      <w:r>
        <w:rPr>
          <w:snapToGrid w:val="0"/>
          <w:spacing w:val="4"/>
          <w:kern w:val="0"/>
          <w:sz w:val="24"/>
        </w:rPr>
        <w:t xml:space="preserve"> 3 </w:t>
      </w:r>
      <w:r>
        <w:rPr>
          <w:rFonts w:hint="eastAsia"/>
          <w:snapToGrid w:val="0"/>
          <w:spacing w:val="4"/>
          <w:kern w:val="0"/>
          <w:sz w:val="24"/>
        </w:rPr>
        <w:t>个工作日内，提交超支原因分析报告及整改方案；若未按时提交或整改方案未在委托人批复的</w:t>
      </w:r>
      <w:r>
        <w:rPr>
          <w:snapToGrid w:val="0"/>
          <w:spacing w:val="4"/>
          <w:kern w:val="0"/>
          <w:sz w:val="24"/>
        </w:rPr>
        <w:t xml:space="preserve"> 7 </w:t>
      </w:r>
      <w:r>
        <w:rPr>
          <w:rFonts w:hint="eastAsia"/>
          <w:snapToGrid w:val="0"/>
          <w:spacing w:val="4"/>
          <w:kern w:val="0"/>
          <w:sz w:val="24"/>
        </w:rPr>
        <w:t>个工作日内落实，委托人有权按《监理（含项目管理）合同》专用条件第</w:t>
      </w:r>
      <w:r>
        <w:rPr>
          <w:snapToGrid w:val="0"/>
          <w:spacing w:val="4"/>
          <w:kern w:val="0"/>
          <w:sz w:val="24"/>
        </w:rPr>
        <w:t xml:space="preserve"> 13.1-</w:t>
      </w:r>
      <w:r>
        <w:rPr>
          <w:rFonts w:hint="eastAsia"/>
          <w:snapToGrid w:val="0"/>
          <w:spacing w:val="4"/>
          <w:kern w:val="0"/>
          <w:sz w:val="24"/>
        </w:rPr>
        <w:t>（</w:t>
      </w:r>
      <w:r>
        <w:rPr>
          <w:snapToGrid w:val="0"/>
          <w:spacing w:val="4"/>
          <w:kern w:val="0"/>
          <w:sz w:val="24"/>
        </w:rPr>
        <w:t>1</w:t>
      </w:r>
      <w:r>
        <w:rPr>
          <w:rFonts w:hint="eastAsia"/>
          <w:snapToGrid w:val="0"/>
          <w:spacing w:val="4"/>
          <w:kern w:val="0"/>
          <w:sz w:val="24"/>
        </w:rPr>
        <w:t>）项发出书面警告；若同一季度内累计出现</w:t>
      </w:r>
      <w:r>
        <w:rPr>
          <w:snapToGrid w:val="0"/>
          <w:spacing w:val="4"/>
          <w:kern w:val="0"/>
          <w:sz w:val="24"/>
        </w:rPr>
        <w:t xml:space="preserve"> 3 </w:t>
      </w:r>
      <w:r>
        <w:rPr>
          <w:rFonts w:hint="eastAsia"/>
          <w:snapToGrid w:val="0"/>
          <w:spacing w:val="4"/>
          <w:kern w:val="0"/>
          <w:sz w:val="24"/>
        </w:rPr>
        <w:t>次该类超支情形，按第</w:t>
      </w:r>
      <w:r>
        <w:rPr>
          <w:snapToGrid w:val="0"/>
          <w:spacing w:val="4"/>
          <w:kern w:val="0"/>
          <w:sz w:val="24"/>
        </w:rPr>
        <w:t xml:space="preserve"> 13.1-</w:t>
      </w:r>
      <w:r>
        <w:rPr>
          <w:rFonts w:hint="eastAsia"/>
          <w:snapToGrid w:val="0"/>
          <w:spacing w:val="4"/>
          <w:kern w:val="0"/>
          <w:sz w:val="24"/>
        </w:rPr>
        <w:t>（</w:t>
      </w:r>
      <w:r>
        <w:rPr>
          <w:snapToGrid w:val="0"/>
          <w:spacing w:val="4"/>
          <w:kern w:val="0"/>
          <w:sz w:val="24"/>
        </w:rPr>
        <w:t>2</w:t>
      </w:r>
      <w:r>
        <w:rPr>
          <w:rFonts w:hint="eastAsia"/>
          <w:snapToGrid w:val="0"/>
          <w:spacing w:val="4"/>
          <w:kern w:val="0"/>
          <w:sz w:val="24"/>
        </w:rPr>
        <w:t>）项追加一般违约责任</w:t>
      </w:r>
      <w:r>
        <w:rPr>
          <w:snapToGrid w:val="0"/>
          <w:spacing w:val="4"/>
          <w:kern w:val="0"/>
          <w:sz w:val="24"/>
        </w:rPr>
        <w:t xml:space="preserve"> 1 </w:t>
      </w:r>
      <w:r>
        <w:rPr>
          <w:rFonts w:hint="eastAsia"/>
          <w:snapToGrid w:val="0"/>
          <w:spacing w:val="4"/>
          <w:kern w:val="0"/>
          <w:sz w:val="24"/>
        </w:rPr>
        <w:t>次（违约金按合同约定标准执行，即</w:t>
      </w:r>
      <w:r>
        <w:rPr>
          <w:snapToGrid w:val="0"/>
          <w:spacing w:val="4"/>
          <w:kern w:val="0"/>
          <w:sz w:val="24"/>
        </w:rPr>
        <w:t xml:space="preserve"> 2000 </w:t>
      </w:r>
      <w:r>
        <w:rPr>
          <w:rFonts w:hint="eastAsia"/>
          <w:snapToGrid w:val="0"/>
          <w:spacing w:val="4"/>
          <w:kern w:val="0"/>
          <w:sz w:val="24"/>
        </w:rPr>
        <w:t>元</w:t>
      </w:r>
      <w:r>
        <w:rPr>
          <w:snapToGrid w:val="0"/>
          <w:spacing w:val="4"/>
          <w:kern w:val="0"/>
          <w:sz w:val="24"/>
        </w:rPr>
        <w:t xml:space="preserve"> / </w:t>
      </w:r>
      <w:r>
        <w:rPr>
          <w:rFonts w:hint="eastAsia"/>
          <w:snapToGrid w:val="0"/>
          <w:spacing w:val="4"/>
          <w:kern w:val="0"/>
          <w:sz w:val="24"/>
        </w:rPr>
        <w:t>次）。​</w:t>
      </w:r>
    </w:p>
    <w:p w14:paraId="0B19F883">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b）一般超支（</w:t>
      </w:r>
      <w:r>
        <w:rPr>
          <w:snapToGrid w:val="0"/>
          <w:spacing w:val="4"/>
          <w:kern w:val="0"/>
          <w:sz w:val="24"/>
        </w:rPr>
        <w:t>5%</w:t>
      </w:r>
      <w:r>
        <w:rPr>
          <w:rFonts w:hint="eastAsia"/>
          <w:snapToGrid w:val="0"/>
          <w:spacing w:val="4"/>
          <w:kern w:val="0"/>
          <w:sz w:val="24"/>
        </w:rPr>
        <w:t>≤超支幅度＜</w:t>
      </w:r>
      <w:r>
        <w:rPr>
          <w:snapToGrid w:val="0"/>
          <w:spacing w:val="4"/>
          <w:kern w:val="0"/>
          <w:sz w:val="24"/>
        </w:rPr>
        <w:t>10%</w:t>
      </w:r>
      <w:r>
        <w:rPr>
          <w:rFonts w:hint="eastAsia"/>
          <w:snapToGrid w:val="0"/>
          <w:spacing w:val="4"/>
          <w:kern w:val="0"/>
          <w:sz w:val="24"/>
        </w:rPr>
        <w:t>）​</w:t>
      </w:r>
    </w:p>
    <w:p w14:paraId="4350B856">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监理人除提交原因分析报告及落实整改外，须按《监理（含项目管理）合同》专用条件第</w:t>
      </w:r>
      <w:r>
        <w:rPr>
          <w:snapToGrid w:val="0"/>
          <w:spacing w:val="4"/>
          <w:kern w:val="0"/>
          <w:sz w:val="24"/>
        </w:rPr>
        <w:t xml:space="preserve"> 13.1-</w:t>
      </w:r>
      <w:r>
        <w:rPr>
          <w:rFonts w:hint="eastAsia"/>
          <w:snapToGrid w:val="0"/>
          <w:spacing w:val="4"/>
          <w:kern w:val="0"/>
          <w:sz w:val="24"/>
        </w:rPr>
        <w:t>（</w:t>
      </w:r>
      <w:r>
        <w:rPr>
          <w:snapToGrid w:val="0"/>
          <w:spacing w:val="4"/>
          <w:kern w:val="0"/>
          <w:sz w:val="24"/>
        </w:rPr>
        <w:t>2</w:t>
      </w:r>
      <w:r>
        <w:rPr>
          <w:rFonts w:hint="eastAsia"/>
          <w:snapToGrid w:val="0"/>
          <w:spacing w:val="4"/>
          <w:kern w:val="0"/>
          <w:sz w:val="24"/>
        </w:rPr>
        <w:t>）项承担一般违约责任</w:t>
      </w:r>
      <w:r>
        <w:rPr>
          <w:snapToGrid w:val="0"/>
          <w:spacing w:val="4"/>
          <w:kern w:val="0"/>
          <w:sz w:val="24"/>
        </w:rPr>
        <w:t xml:space="preserve"> 1 </w:t>
      </w:r>
      <w:r>
        <w:rPr>
          <w:rFonts w:hint="eastAsia"/>
          <w:snapToGrid w:val="0"/>
          <w:spacing w:val="4"/>
          <w:kern w:val="0"/>
          <w:sz w:val="24"/>
        </w:rPr>
        <w:t>次；若超支费用金额达到</w:t>
      </w:r>
      <w:r>
        <w:rPr>
          <w:snapToGrid w:val="0"/>
          <w:spacing w:val="4"/>
          <w:kern w:val="0"/>
          <w:sz w:val="24"/>
        </w:rPr>
        <w:t xml:space="preserve"> 5 </w:t>
      </w:r>
      <w:r>
        <w:rPr>
          <w:rFonts w:hint="eastAsia"/>
          <w:snapToGrid w:val="0"/>
          <w:spacing w:val="4"/>
          <w:kern w:val="0"/>
          <w:sz w:val="24"/>
        </w:rPr>
        <w:t>万元（含</w:t>
      </w:r>
      <w:r>
        <w:rPr>
          <w:snapToGrid w:val="0"/>
          <w:spacing w:val="4"/>
          <w:kern w:val="0"/>
          <w:sz w:val="24"/>
        </w:rPr>
        <w:t xml:space="preserve"> 5 </w:t>
      </w:r>
      <w:r>
        <w:rPr>
          <w:rFonts w:hint="eastAsia"/>
          <w:snapToGrid w:val="0"/>
          <w:spacing w:val="4"/>
          <w:kern w:val="0"/>
          <w:sz w:val="24"/>
        </w:rPr>
        <w:t>万元）但不足</w:t>
      </w:r>
      <w:r>
        <w:rPr>
          <w:snapToGrid w:val="0"/>
          <w:spacing w:val="4"/>
          <w:kern w:val="0"/>
          <w:sz w:val="24"/>
        </w:rPr>
        <w:t xml:space="preserve"> 10 </w:t>
      </w:r>
      <w:r>
        <w:rPr>
          <w:rFonts w:hint="eastAsia"/>
          <w:snapToGrid w:val="0"/>
          <w:spacing w:val="4"/>
          <w:kern w:val="0"/>
          <w:sz w:val="24"/>
        </w:rPr>
        <w:t>万元，额外向委托人赔偿超支费用的</w:t>
      </w:r>
      <w:r>
        <w:rPr>
          <w:snapToGrid w:val="0"/>
          <w:spacing w:val="4"/>
          <w:kern w:val="0"/>
          <w:sz w:val="24"/>
        </w:rPr>
        <w:t xml:space="preserve"> 30%</w:t>
      </w:r>
      <w:r>
        <w:rPr>
          <w:rFonts w:hint="eastAsia"/>
          <w:snapToGrid w:val="0"/>
          <w:spacing w:val="4"/>
          <w:kern w:val="0"/>
          <w:sz w:val="24"/>
        </w:rPr>
        <w:t>（以有权终审部门审定的超支金额计算），赔偿款与违约金一并支付。​</w:t>
      </w:r>
    </w:p>
    <w:p w14:paraId="37101386">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c）严重超支（超支幅度≥</w:t>
      </w:r>
      <w:r>
        <w:rPr>
          <w:snapToGrid w:val="0"/>
          <w:spacing w:val="4"/>
          <w:kern w:val="0"/>
          <w:sz w:val="24"/>
        </w:rPr>
        <w:t>10%</w:t>
      </w:r>
      <w:r>
        <w:rPr>
          <w:rFonts w:hint="eastAsia"/>
          <w:snapToGrid w:val="0"/>
          <w:spacing w:val="4"/>
          <w:kern w:val="0"/>
          <w:sz w:val="24"/>
        </w:rPr>
        <w:t>）​</w:t>
      </w:r>
    </w:p>
    <w:p w14:paraId="0FCE6604">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无论超支费用金额大小，监理人须按《监理（含项目管理）合同》专用条件第</w:t>
      </w:r>
      <w:r>
        <w:rPr>
          <w:snapToGrid w:val="0"/>
          <w:spacing w:val="4"/>
          <w:kern w:val="0"/>
          <w:sz w:val="24"/>
        </w:rPr>
        <w:t xml:space="preserve"> 13.1-</w:t>
      </w:r>
      <w:r>
        <w:rPr>
          <w:rFonts w:hint="eastAsia"/>
          <w:snapToGrid w:val="0"/>
          <w:spacing w:val="4"/>
          <w:kern w:val="0"/>
          <w:sz w:val="24"/>
        </w:rPr>
        <w:t>（</w:t>
      </w:r>
      <w:r>
        <w:rPr>
          <w:snapToGrid w:val="0"/>
          <w:spacing w:val="4"/>
          <w:kern w:val="0"/>
          <w:sz w:val="24"/>
        </w:rPr>
        <w:t>3</w:t>
      </w:r>
      <w:r>
        <w:rPr>
          <w:rFonts w:hint="eastAsia"/>
          <w:snapToGrid w:val="0"/>
          <w:spacing w:val="4"/>
          <w:kern w:val="0"/>
          <w:sz w:val="24"/>
        </w:rPr>
        <w:t>）项承担严重违约责任</w:t>
      </w:r>
      <w:r>
        <w:rPr>
          <w:snapToGrid w:val="0"/>
          <w:spacing w:val="4"/>
          <w:kern w:val="0"/>
          <w:sz w:val="24"/>
        </w:rPr>
        <w:t xml:space="preserve"> 1 </w:t>
      </w:r>
      <w:r>
        <w:rPr>
          <w:rFonts w:hint="eastAsia"/>
          <w:snapToGrid w:val="0"/>
          <w:spacing w:val="4"/>
          <w:kern w:val="0"/>
          <w:sz w:val="24"/>
        </w:rPr>
        <w:t>次（违约金按合同约定标准执行，即</w:t>
      </w:r>
      <w:r>
        <w:rPr>
          <w:snapToGrid w:val="0"/>
          <w:spacing w:val="4"/>
          <w:kern w:val="0"/>
          <w:sz w:val="24"/>
        </w:rPr>
        <w:t xml:space="preserve"> 20000 </w:t>
      </w:r>
      <w:r>
        <w:rPr>
          <w:rFonts w:hint="eastAsia"/>
          <w:snapToGrid w:val="0"/>
          <w:spacing w:val="4"/>
          <w:kern w:val="0"/>
          <w:sz w:val="24"/>
        </w:rPr>
        <w:t>元</w:t>
      </w:r>
      <w:r>
        <w:rPr>
          <w:snapToGrid w:val="0"/>
          <w:spacing w:val="4"/>
          <w:kern w:val="0"/>
          <w:sz w:val="24"/>
        </w:rPr>
        <w:t xml:space="preserve"> / </w:t>
      </w:r>
      <w:r>
        <w:rPr>
          <w:rFonts w:hint="eastAsia"/>
          <w:snapToGrid w:val="0"/>
          <w:spacing w:val="4"/>
          <w:kern w:val="0"/>
          <w:sz w:val="24"/>
        </w:rPr>
        <w:t>次）；</w:t>
      </w:r>
    </w:p>
    <w:p w14:paraId="151CACDB">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若超支费用金额达到</w:t>
      </w:r>
      <w:r>
        <w:rPr>
          <w:snapToGrid w:val="0"/>
          <w:spacing w:val="4"/>
          <w:kern w:val="0"/>
          <w:sz w:val="24"/>
        </w:rPr>
        <w:t xml:space="preserve"> 10 </w:t>
      </w:r>
      <w:r>
        <w:rPr>
          <w:rFonts w:hint="eastAsia"/>
          <w:snapToGrid w:val="0"/>
          <w:spacing w:val="4"/>
          <w:kern w:val="0"/>
          <w:sz w:val="24"/>
        </w:rPr>
        <w:t>万元（含</w:t>
      </w:r>
      <w:r>
        <w:rPr>
          <w:snapToGrid w:val="0"/>
          <w:spacing w:val="4"/>
          <w:kern w:val="0"/>
          <w:sz w:val="24"/>
        </w:rPr>
        <w:t xml:space="preserve"> 10 </w:t>
      </w:r>
      <w:r>
        <w:rPr>
          <w:rFonts w:hint="eastAsia"/>
          <w:snapToGrid w:val="0"/>
          <w:spacing w:val="4"/>
          <w:kern w:val="0"/>
          <w:sz w:val="24"/>
        </w:rPr>
        <w:t>万元），监理人需赔偿超支费用的</w:t>
      </w:r>
      <w:r>
        <w:rPr>
          <w:snapToGrid w:val="0"/>
          <w:spacing w:val="4"/>
          <w:kern w:val="0"/>
          <w:sz w:val="24"/>
        </w:rPr>
        <w:t xml:space="preserve"> 50%</w:t>
      </w:r>
      <w:r>
        <w:rPr>
          <w:rFonts w:hint="eastAsia"/>
          <w:snapToGrid w:val="0"/>
          <w:spacing w:val="4"/>
          <w:kern w:val="0"/>
          <w:sz w:val="24"/>
        </w:rPr>
        <w:t>，同时委托人有权要求监理人项目总监向委托人提交书面检讨，并暂停支付当期监理酬金的</w:t>
      </w:r>
      <w:r>
        <w:rPr>
          <w:snapToGrid w:val="0"/>
          <w:spacing w:val="4"/>
          <w:kern w:val="0"/>
          <w:sz w:val="24"/>
        </w:rPr>
        <w:t xml:space="preserve"> 20%</w:t>
      </w:r>
      <w:r>
        <w:rPr>
          <w:rFonts w:hint="eastAsia"/>
          <w:snapToGrid w:val="0"/>
          <w:spacing w:val="4"/>
          <w:kern w:val="0"/>
          <w:sz w:val="24"/>
        </w:rPr>
        <w:t>，直至超支问题整改验收合格；​</w:t>
      </w:r>
    </w:p>
    <w:p w14:paraId="2381C72E">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若超支费用金额达到</w:t>
      </w:r>
      <w:r>
        <w:rPr>
          <w:snapToGrid w:val="0"/>
          <w:spacing w:val="4"/>
          <w:kern w:val="0"/>
          <w:sz w:val="24"/>
        </w:rPr>
        <w:t xml:space="preserve"> 30 </w:t>
      </w:r>
      <w:r>
        <w:rPr>
          <w:rFonts w:hint="eastAsia"/>
          <w:snapToGrid w:val="0"/>
          <w:spacing w:val="4"/>
          <w:kern w:val="0"/>
          <w:sz w:val="24"/>
        </w:rPr>
        <w:t>万元（含</w:t>
      </w:r>
      <w:r>
        <w:rPr>
          <w:snapToGrid w:val="0"/>
          <w:spacing w:val="4"/>
          <w:kern w:val="0"/>
          <w:sz w:val="24"/>
        </w:rPr>
        <w:t xml:space="preserve"> 30 </w:t>
      </w:r>
      <w:r>
        <w:rPr>
          <w:rFonts w:hint="eastAsia"/>
          <w:snapToGrid w:val="0"/>
          <w:spacing w:val="4"/>
          <w:kern w:val="0"/>
          <w:sz w:val="24"/>
        </w:rPr>
        <w:t>万元）或同一工程范围内累计出现</w:t>
      </w:r>
      <w:r>
        <w:rPr>
          <w:snapToGrid w:val="0"/>
          <w:spacing w:val="4"/>
          <w:kern w:val="0"/>
          <w:sz w:val="24"/>
        </w:rPr>
        <w:t xml:space="preserve"> 2 </w:t>
      </w:r>
      <w:r>
        <w:rPr>
          <w:rFonts w:hint="eastAsia"/>
          <w:snapToGrid w:val="0"/>
          <w:spacing w:val="4"/>
          <w:kern w:val="0"/>
          <w:sz w:val="24"/>
        </w:rPr>
        <w:t>次严重超支情形，委托人有权按第</w:t>
      </w:r>
      <w:r>
        <w:rPr>
          <w:snapToGrid w:val="0"/>
          <w:spacing w:val="4"/>
          <w:kern w:val="0"/>
          <w:sz w:val="24"/>
        </w:rPr>
        <w:t xml:space="preserve"> 13.1-</w:t>
      </w:r>
      <w:r>
        <w:rPr>
          <w:rFonts w:hint="eastAsia"/>
          <w:snapToGrid w:val="0"/>
          <w:spacing w:val="4"/>
          <w:kern w:val="0"/>
          <w:sz w:val="24"/>
        </w:rPr>
        <w:t>（</w:t>
      </w:r>
      <w:r>
        <w:rPr>
          <w:snapToGrid w:val="0"/>
          <w:spacing w:val="4"/>
          <w:kern w:val="0"/>
          <w:sz w:val="24"/>
        </w:rPr>
        <w:t>4</w:t>
      </w:r>
      <w:r>
        <w:rPr>
          <w:rFonts w:hint="eastAsia"/>
          <w:snapToGrid w:val="0"/>
          <w:spacing w:val="4"/>
          <w:kern w:val="0"/>
          <w:sz w:val="24"/>
        </w:rPr>
        <w:t>）项启动</w:t>
      </w:r>
      <w:r>
        <w:rPr>
          <w:snapToGrid w:val="0"/>
          <w:spacing w:val="4"/>
          <w:kern w:val="0"/>
          <w:sz w:val="24"/>
        </w:rPr>
        <w:t xml:space="preserve"> </w:t>
      </w:r>
      <w:r>
        <w:rPr>
          <w:rFonts w:hint="eastAsia"/>
          <w:snapToGrid w:val="0"/>
          <w:spacing w:val="4"/>
          <w:kern w:val="0"/>
          <w:sz w:val="24"/>
        </w:rPr>
        <w:t>“部分解除合同”</w:t>
      </w:r>
      <w:r>
        <w:rPr>
          <w:snapToGrid w:val="0"/>
          <w:spacing w:val="4"/>
          <w:kern w:val="0"/>
          <w:sz w:val="24"/>
        </w:rPr>
        <w:t xml:space="preserve"> </w:t>
      </w:r>
      <w:r>
        <w:rPr>
          <w:rFonts w:hint="eastAsia"/>
          <w:snapToGrid w:val="0"/>
          <w:spacing w:val="4"/>
          <w:kern w:val="0"/>
          <w:sz w:val="24"/>
        </w:rPr>
        <w:t>程序，解除该签证涉及工程段的监理委托，监理人须在</w:t>
      </w:r>
      <w:r>
        <w:rPr>
          <w:snapToGrid w:val="0"/>
          <w:spacing w:val="4"/>
          <w:kern w:val="0"/>
          <w:sz w:val="24"/>
        </w:rPr>
        <w:t xml:space="preserve"> 5 </w:t>
      </w:r>
      <w:r>
        <w:rPr>
          <w:rFonts w:hint="eastAsia"/>
          <w:snapToGrid w:val="0"/>
          <w:spacing w:val="4"/>
          <w:kern w:val="0"/>
          <w:sz w:val="24"/>
        </w:rPr>
        <w:t>日内完成该部分工作移交，否则按第</w:t>
      </w:r>
      <w:r>
        <w:rPr>
          <w:snapToGrid w:val="0"/>
          <w:spacing w:val="4"/>
          <w:kern w:val="0"/>
          <w:sz w:val="24"/>
        </w:rPr>
        <w:t xml:space="preserve"> 13.1-</w:t>
      </w:r>
      <w:r>
        <w:rPr>
          <w:rFonts w:hint="eastAsia"/>
          <w:snapToGrid w:val="0"/>
          <w:spacing w:val="4"/>
          <w:kern w:val="0"/>
          <w:sz w:val="24"/>
        </w:rPr>
        <w:t>（</w:t>
      </w:r>
      <w:r>
        <w:rPr>
          <w:snapToGrid w:val="0"/>
          <w:spacing w:val="4"/>
          <w:kern w:val="0"/>
          <w:sz w:val="24"/>
        </w:rPr>
        <w:t>5</w:t>
      </w:r>
      <w:r>
        <w:rPr>
          <w:rFonts w:hint="eastAsia"/>
          <w:snapToGrid w:val="0"/>
          <w:spacing w:val="4"/>
          <w:kern w:val="0"/>
          <w:sz w:val="24"/>
        </w:rPr>
        <w:t>）项承担解除合同的全部责任。​</w:t>
      </w:r>
    </w:p>
    <w:p w14:paraId="58E365B1">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2）特殊违规情形的加重责任​</w:t>
      </w:r>
    </w:p>
    <w:p w14:paraId="0F492DD1">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a）虚假签证或重复签证导致超支​</w:t>
      </w:r>
    </w:p>
    <w:p w14:paraId="3E07626E">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若监理人审核通过的签证存在</w:t>
      </w:r>
      <w:r>
        <w:rPr>
          <w:snapToGrid w:val="0"/>
          <w:spacing w:val="4"/>
          <w:kern w:val="0"/>
          <w:sz w:val="24"/>
        </w:rPr>
        <w:t xml:space="preserve"> </w:t>
      </w:r>
      <w:r>
        <w:rPr>
          <w:rFonts w:hint="eastAsia"/>
          <w:snapToGrid w:val="0"/>
          <w:spacing w:val="4"/>
          <w:kern w:val="0"/>
          <w:sz w:val="24"/>
        </w:rPr>
        <w:t>“内容虚假（与现场施工实际不符）”</w:t>
      </w:r>
      <w:r>
        <w:rPr>
          <w:snapToGrid w:val="0"/>
          <w:spacing w:val="4"/>
          <w:kern w:val="0"/>
          <w:sz w:val="24"/>
        </w:rPr>
        <w:t xml:space="preserve"> </w:t>
      </w:r>
      <w:r>
        <w:rPr>
          <w:rFonts w:hint="eastAsia"/>
          <w:snapToGrid w:val="0"/>
          <w:spacing w:val="4"/>
          <w:kern w:val="0"/>
          <w:sz w:val="24"/>
        </w:rPr>
        <w:t>或</w:t>
      </w:r>
      <w:r>
        <w:rPr>
          <w:snapToGrid w:val="0"/>
          <w:spacing w:val="4"/>
          <w:kern w:val="0"/>
          <w:sz w:val="24"/>
        </w:rPr>
        <w:t xml:space="preserve"> </w:t>
      </w:r>
      <w:r>
        <w:rPr>
          <w:rFonts w:hint="eastAsia"/>
          <w:snapToGrid w:val="0"/>
          <w:spacing w:val="4"/>
          <w:kern w:val="0"/>
          <w:sz w:val="24"/>
        </w:rPr>
        <w:t>“同一工作重复签证”</w:t>
      </w:r>
      <w:r>
        <w:rPr>
          <w:snapToGrid w:val="0"/>
          <w:spacing w:val="4"/>
          <w:kern w:val="0"/>
          <w:sz w:val="24"/>
        </w:rPr>
        <w:t xml:space="preserve"> </w:t>
      </w:r>
      <w:r>
        <w:rPr>
          <w:rFonts w:hint="eastAsia"/>
          <w:snapToGrid w:val="0"/>
          <w:spacing w:val="4"/>
          <w:kern w:val="0"/>
          <w:sz w:val="24"/>
        </w:rPr>
        <w:t>情形，无论超支幅度及金额多少，均直接按《监理（含项目管理）合同》专用条件第</w:t>
      </w:r>
      <w:r>
        <w:rPr>
          <w:snapToGrid w:val="0"/>
          <w:spacing w:val="4"/>
          <w:kern w:val="0"/>
          <w:sz w:val="24"/>
        </w:rPr>
        <w:t xml:space="preserve"> 13.1-</w:t>
      </w:r>
      <w:r>
        <w:rPr>
          <w:rFonts w:hint="eastAsia"/>
          <w:snapToGrid w:val="0"/>
          <w:spacing w:val="4"/>
          <w:kern w:val="0"/>
          <w:sz w:val="24"/>
        </w:rPr>
        <w:t>（</w:t>
      </w:r>
      <w:r>
        <w:rPr>
          <w:snapToGrid w:val="0"/>
          <w:spacing w:val="4"/>
          <w:kern w:val="0"/>
          <w:sz w:val="24"/>
        </w:rPr>
        <w:t>3</w:t>
      </w:r>
      <w:r>
        <w:rPr>
          <w:rFonts w:hint="eastAsia"/>
          <w:snapToGrid w:val="0"/>
          <w:spacing w:val="4"/>
          <w:kern w:val="0"/>
          <w:sz w:val="24"/>
        </w:rPr>
        <w:t>）项承担严重违约责任</w:t>
      </w:r>
      <w:r>
        <w:rPr>
          <w:snapToGrid w:val="0"/>
          <w:spacing w:val="4"/>
          <w:kern w:val="0"/>
          <w:sz w:val="24"/>
        </w:rPr>
        <w:t xml:space="preserve"> 1 </w:t>
      </w:r>
      <w:r>
        <w:rPr>
          <w:rFonts w:hint="eastAsia"/>
          <w:snapToGrid w:val="0"/>
          <w:spacing w:val="4"/>
          <w:kern w:val="0"/>
          <w:sz w:val="24"/>
        </w:rPr>
        <w:t>次；若因此导致超支费用达到</w:t>
      </w:r>
      <w:r>
        <w:rPr>
          <w:snapToGrid w:val="0"/>
          <w:spacing w:val="4"/>
          <w:kern w:val="0"/>
          <w:sz w:val="24"/>
        </w:rPr>
        <w:t xml:space="preserve"> 5 </w:t>
      </w:r>
      <w:r>
        <w:rPr>
          <w:rFonts w:hint="eastAsia"/>
          <w:snapToGrid w:val="0"/>
          <w:spacing w:val="4"/>
          <w:kern w:val="0"/>
          <w:sz w:val="24"/>
        </w:rPr>
        <w:t>万元（含</w:t>
      </w:r>
      <w:r>
        <w:rPr>
          <w:snapToGrid w:val="0"/>
          <w:spacing w:val="4"/>
          <w:kern w:val="0"/>
          <w:sz w:val="24"/>
        </w:rPr>
        <w:t xml:space="preserve"> 5 </w:t>
      </w:r>
      <w:r>
        <w:rPr>
          <w:rFonts w:hint="eastAsia"/>
          <w:snapToGrid w:val="0"/>
          <w:spacing w:val="4"/>
          <w:kern w:val="0"/>
          <w:sz w:val="24"/>
        </w:rPr>
        <w:t>万元），视为</w:t>
      </w:r>
      <w:r>
        <w:rPr>
          <w:snapToGrid w:val="0"/>
          <w:spacing w:val="4"/>
          <w:kern w:val="0"/>
          <w:sz w:val="24"/>
        </w:rPr>
        <w:t xml:space="preserve"> </w:t>
      </w:r>
      <w:r>
        <w:rPr>
          <w:rFonts w:hint="eastAsia"/>
          <w:snapToGrid w:val="0"/>
          <w:spacing w:val="4"/>
          <w:kern w:val="0"/>
          <w:sz w:val="24"/>
        </w:rPr>
        <w:t>“监理人与承包人串通作假”，委托人有权按第</w:t>
      </w:r>
      <w:r>
        <w:rPr>
          <w:snapToGrid w:val="0"/>
          <w:spacing w:val="4"/>
          <w:kern w:val="0"/>
          <w:sz w:val="24"/>
        </w:rPr>
        <w:t xml:space="preserve"> 13.4.2-</w:t>
      </w:r>
      <w:r>
        <w:rPr>
          <w:rFonts w:hint="eastAsia"/>
          <w:snapToGrid w:val="0"/>
          <w:spacing w:val="4"/>
          <w:kern w:val="0"/>
          <w:sz w:val="24"/>
        </w:rPr>
        <w:t>（</w:t>
      </w:r>
      <w:r>
        <w:rPr>
          <w:snapToGrid w:val="0"/>
          <w:spacing w:val="4"/>
          <w:kern w:val="0"/>
          <w:sz w:val="24"/>
        </w:rPr>
        <w:t>13</w:t>
      </w:r>
      <w:r>
        <w:rPr>
          <w:rFonts w:hint="eastAsia"/>
          <w:snapToGrid w:val="0"/>
          <w:spacing w:val="4"/>
          <w:kern w:val="0"/>
          <w:sz w:val="24"/>
        </w:rPr>
        <w:t>）项单方解除合同，同时要求监理人赔偿全部超支费用及委托人因核查、追责产生的调查费、鉴定费、律师费等（按第</w:t>
      </w:r>
      <w:r>
        <w:rPr>
          <w:snapToGrid w:val="0"/>
          <w:spacing w:val="4"/>
          <w:kern w:val="0"/>
          <w:sz w:val="24"/>
        </w:rPr>
        <w:t xml:space="preserve"> 13.1-</w:t>
      </w:r>
      <w:r>
        <w:rPr>
          <w:rFonts w:hint="eastAsia"/>
          <w:snapToGrid w:val="0"/>
          <w:spacing w:val="4"/>
          <w:kern w:val="0"/>
          <w:sz w:val="24"/>
        </w:rPr>
        <w:t>（</w:t>
      </w:r>
      <w:r>
        <w:rPr>
          <w:snapToGrid w:val="0"/>
          <w:spacing w:val="4"/>
          <w:kern w:val="0"/>
          <w:sz w:val="24"/>
        </w:rPr>
        <w:t>6</w:t>
      </w:r>
      <w:r>
        <w:rPr>
          <w:rFonts w:hint="eastAsia"/>
          <w:snapToGrid w:val="0"/>
          <w:spacing w:val="4"/>
          <w:kern w:val="0"/>
          <w:sz w:val="24"/>
        </w:rPr>
        <w:t>）项约定范围执行）。​</w:t>
      </w:r>
    </w:p>
    <w:p w14:paraId="60CE1AB6">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b）未履行签证审核流程导致超支​</w:t>
      </w:r>
    </w:p>
    <w:p w14:paraId="347D8B2F">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若监理人未按委托人规定的签证审核流程操作（如未经注册造价工程师签字确认即报送、审核资料缺失却签认、超过</w:t>
      </w:r>
      <w:r>
        <w:rPr>
          <w:snapToGrid w:val="0"/>
          <w:spacing w:val="4"/>
          <w:kern w:val="0"/>
          <w:sz w:val="24"/>
        </w:rPr>
        <w:t xml:space="preserve"> 7 </w:t>
      </w:r>
      <w:r>
        <w:rPr>
          <w:rFonts w:hint="eastAsia"/>
          <w:snapToGrid w:val="0"/>
          <w:spacing w:val="4"/>
          <w:kern w:val="0"/>
          <w:sz w:val="24"/>
        </w:rPr>
        <w:t>个工作日审核时限未反馈等），且直接导致费用超支：​</w:t>
      </w:r>
    </w:p>
    <w:p w14:paraId="7B167912">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首次发生的，按第</w:t>
      </w:r>
      <w:r>
        <w:rPr>
          <w:snapToGrid w:val="0"/>
          <w:spacing w:val="4"/>
          <w:kern w:val="0"/>
          <w:sz w:val="24"/>
        </w:rPr>
        <w:t xml:space="preserve"> 13.1-</w:t>
      </w:r>
      <w:r>
        <w:rPr>
          <w:rFonts w:hint="eastAsia"/>
          <w:snapToGrid w:val="0"/>
          <w:spacing w:val="4"/>
          <w:kern w:val="0"/>
          <w:sz w:val="24"/>
        </w:rPr>
        <w:t>（</w:t>
      </w:r>
      <w:r>
        <w:rPr>
          <w:snapToGrid w:val="0"/>
          <w:spacing w:val="4"/>
          <w:kern w:val="0"/>
          <w:sz w:val="24"/>
        </w:rPr>
        <w:t>1</w:t>
      </w:r>
      <w:r>
        <w:rPr>
          <w:rFonts w:hint="eastAsia"/>
          <w:snapToGrid w:val="0"/>
          <w:spacing w:val="4"/>
          <w:kern w:val="0"/>
          <w:sz w:val="24"/>
        </w:rPr>
        <w:t>）项发出书面警告，监理人须在</w:t>
      </w:r>
      <w:r>
        <w:rPr>
          <w:snapToGrid w:val="0"/>
          <w:spacing w:val="4"/>
          <w:kern w:val="0"/>
          <w:sz w:val="24"/>
        </w:rPr>
        <w:t xml:space="preserve"> 5 </w:t>
      </w:r>
      <w:r>
        <w:rPr>
          <w:rFonts w:hint="eastAsia"/>
          <w:snapToGrid w:val="0"/>
          <w:spacing w:val="4"/>
          <w:kern w:val="0"/>
          <w:sz w:val="24"/>
        </w:rPr>
        <w:t>日内补正审核流程；</w:t>
      </w:r>
    </w:p>
    <w:p w14:paraId="55D73277">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补正后仍存在超支或累计发生</w:t>
      </w:r>
      <w:r>
        <w:rPr>
          <w:snapToGrid w:val="0"/>
          <w:spacing w:val="4"/>
          <w:kern w:val="0"/>
          <w:sz w:val="24"/>
        </w:rPr>
        <w:t xml:space="preserve"> 2 </w:t>
      </w:r>
      <w:r>
        <w:rPr>
          <w:rFonts w:hint="eastAsia"/>
          <w:snapToGrid w:val="0"/>
          <w:spacing w:val="4"/>
          <w:kern w:val="0"/>
          <w:sz w:val="24"/>
        </w:rPr>
        <w:t>次的，按第</w:t>
      </w:r>
      <w:r>
        <w:rPr>
          <w:snapToGrid w:val="0"/>
          <w:spacing w:val="4"/>
          <w:kern w:val="0"/>
          <w:sz w:val="24"/>
        </w:rPr>
        <w:t xml:space="preserve"> 13.1-</w:t>
      </w:r>
      <w:r>
        <w:rPr>
          <w:rFonts w:hint="eastAsia"/>
          <w:snapToGrid w:val="0"/>
          <w:spacing w:val="4"/>
          <w:kern w:val="0"/>
          <w:sz w:val="24"/>
        </w:rPr>
        <w:t>（</w:t>
      </w:r>
      <w:r>
        <w:rPr>
          <w:snapToGrid w:val="0"/>
          <w:spacing w:val="4"/>
          <w:kern w:val="0"/>
          <w:sz w:val="24"/>
        </w:rPr>
        <w:t>2</w:t>
      </w:r>
      <w:r>
        <w:rPr>
          <w:rFonts w:hint="eastAsia"/>
          <w:snapToGrid w:val="0"/>
          <w:spacing w:val="4"/>
          <w:kern w:val="0"/>
          <w:sz w:val="24"/>
        </w:rPr>
        <w:t>）项承担一般违约责任</w:t>
      </w:r>
      <w:r>
        <w:rPr>
          <w:snapToGrid w:val="0"/>
          <w:spacing w:val="4"/>
          <w:kern w:val="0"/>
          <w:sz w:val="24"/>
        </w:rPr>
        <w:t xml:space="preserve"> 1 </w:t>
      </w:r>
      <w:r>
        <w:rPr>
          <w:rFonts w:hint="eastAsia"/>
          <w:snapToGrid w:val="0"/>
          <w:spacing w:val="4"/>
          <w:kern w:val="0"/>
          <w:sz w:val="24"/>
        </w:rPr>
        <w:t>次；</w:t>
      </w:r>
    </w:p>
    <w:p w14:paraId="4F0003B5">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累计发生</w:t>
      </w:r>
      <w:r>
        <w:rPr>
          <w:snapToGrid w:val="0"/>
          <w:spacing w:val="4"/>
          <w:kern w:val="0"/>
          <w:sz w:val="24"/>
        </w:rPr>
        <w:t xml:space="preserve"> 3 </w:t>
      </w:r>
      <w:r>
        <w:rPr>
          <w:rFonts w:hint="eastAsia"/>
          <w:snapToGrid w:val="0"/>
          <w:spacing w:val="4"/>
          <w:kern w:val="0"/>
          <w:sz w:val="24"/>
        </w:rPr>
        <w:t>次的，按第</w:t>
      </w:r>
      <w:r>
        <w:rPr>
          <w:snapToGrid w:val="0"/>
          <w:spacing w:val="4"/>
          <w:kern w:val="0"/>
          <w:sz w:val="24"/>
        </w:rPr>
        <w:t xml:space="preserve"> 13.1-</w:t>
      </w:r>
      <w:r>
        <w:rPr>
          <w:rFonts w:hint="eastAsia"/>
          <w:snapToGrid w:val="0"/>
          <w:spacing w:val="4"/>
          <w:kern w:val="0"/>
          <w:sz w:val="24"/>
        </w:rPr>
        <w:t>（</w:t>
      </w:r>
      <w:r>
        <w:rPr>
          <w:snapToGrid w:val="0"/>
          <w:spacing w:val="4"/>
          <w:kern w:val="0"/>
          <w:sz w:val="24"/>
        </w:rPr>
        <w:t>3</w:t>
      </w:r>
      <w:r>
        <w:rPr>
          <w:rFonts w:hint="eastAsia"/>
          <w:snapToGrid w:val="0"/>
          <w:spacing w:val="4"/>
          <w:kern w:val="0"/>
          <w:sz w:val="24"/>
        </w:rPr>
        <w:t>）项承担严重违约责任</w:t>
      </w:r>
      <w:r>
        <w:rPr>
          <w:snapToGrid w:val="0"/>
          <w:spacing w:val="4"/>
          <w:kern w:val="0"/>
          <w:sz w:val="24"/>
        </w:rPr>
        <w:t xml:space="preserve"> 1 </w:t>
      </w:r>
      <w:r>
        <w:rPr>
          <w:rFonts w:hint="eastAsia"/>
          <w:snapToGrid w:val="0"/>
          <w:spacing w:val="4"/>
          <w:kern w:val="0"/>
          <w:sz w:val="24"/>
        </w:rPr>
        <w:t>次，同时委托人有权要求更换该项目的负责人。</w:t>
      </w:r>
    </w:p>
    <w:p w14:paraId="4E9B1A7C">
      <w:pPr>
        <w:topLinePunct/>
        <w:adjustRightInd w:val="0"/>
        <w:snapToGrid w:val="0"/>
        <w:spacing w:line="480" w:lineRule="exact"/>
        <w:ind w:firstLine="496" w:firstLineChars="200"/>
        <w:rPr>
          <w:snapToGrid w:val="0"/>
          <w:spacing w:val="4"/>
          <w:kern w:val="0"/>
          <w:sz w:val="24"/>
        </w:rPr>
      </w:pPr>
      <w:r>
        <w:rPr>
          <w:snapToGrid w:val="0"/>
          <w:spacing w:val="4"/>
          <w:kern w:val="0"/>
          <w:sz w:val="24"/>
        </w:rPr>
        <w:t>（8）分段结算工作的管理</w:t>
      </w:r>
    </w:p>
    <w:p w14:paraId="2F53D7D2">
      <w:pPr>
        <w:topLinePunct/>
        <w:adjustRightInd w:val="0"/>
        <w:snapToGrid w:val="0"/>
        <w:spacing w:line="480" w:lineRule="exact"/>
        <w:ind w:firstLine="496" w:firstLineChars="200"/>
        <w:rPr>
          <w:snapToGrid w:val="0"/>
          <w:spacing w:val="4"/>
          <w:kern w:val="0"/>
          <w:sz w:val="24"/>
        </w:rPr>
      </w:pPr>
      <w:r>
        <w:rPr>
          <w:snapToGrid w:val="0"/>
          <w:spacing w:val="4"/>
          <w:kern w:val="0"/>
          <w:sz w:val="24"/>
        </w:rPr>
        <w:t>1）为确保本合同工程结算的顺利进行，委托人可能对本合同工程按分部分项或单位工程进行分段结算（单位工程、分部工程或分项工程），监理人在接到委托人关于分段结算配合工作的指令后7天内向委托人提交相关的分段结算配合服务工作计划，监理人应根据经过委托人批准的分段结算配合服务工作计划积极配合相关的分段结算工作。</w:t>
      </w:r>
    </w:p>
    <w:p w14:paraId="3E8B65C9">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人应在承包人提交所完成的分部工程的结算文件（包括相关的结算资料）后15天内完成分段结算的审核工作并将向委托人提交审核报告。如承包人未能在施工合同规定的期限内提交相关结算文件，监理人应立即报告委托人裁处。</w:t>
      </w:r>
    </w:p>
    <w:p w14:paraId="04CCA957">
      <w:pPr>
        <w:topLinePunct/>
        <w:adjustRightInd w:val="0"/>
        <w:snapToGrid w:val="0"/>
        <w:spacing w:line="480" w:lineRule="exact"/>
        <w:ind w:firstLine="496" w:firstLineChars="200"/>
        <w:rPr>
          <w:snapToGrid w:val="0"/>
          <w:spacing w:val="4"/>
          <w:kern w:val="0"/>
          <w:sz w:val="24"/>
        </w:rPr>
      </w:pPr>
      <w:r>
        <w:rPr>
          <w:snapToGrid w:val="0"/>
          <w:spacing w:val="4"/>
          <w:kern w:val="0"/>
          <w:sz w:val="24"/>
        </w:rPr>
        <w:t>3）如在施工过程中发生设计变更、新增工程等情况导致已经审定的分段结算的单位工程（分部或分项工程）发生变化的，监理人应在原审定的分段结算的基础上对变更、新增部分按本条约定的程序和要求进行结算审核，形成分段结算补充报告报送委托人。</w:t>
      </w:r>
    </w:p>
    <w:p w14:paraId="3A890F80">
      <w:pPr>
        <w:topLinePunct/>
        <w:adjustRightInd w:val="0"/>
        <w:snapToGrid w:val="0"/>
        <w:spacing w:line="480" w:lineRule="exact"/>
        <w:ind w:firstLine="496" w:firstLineChars="200"/>
        <w:rPr>
          <w:snapToGrid w:val="0"/>
          <w:spacing w:val="4"/>
          <w:kern w:val="0"/>
          <w:sz w:val="24"/>
        </w:rPr>
      </w:pPr>
      <w:r>
        <w:rPr>
          <w:snapToGrid w:val="0"/>
          <w:spacing w:val="4"/>
          <w:kern w:val="0"/>
          <w:sz w:val="24"/>
        </w:rPr>
        <w:t>4）分段结算涉及到的资料（但不限于以下）：</w:t>
      </w:r>
    </w:p>
    <w:p w14:paraId="37247160">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结算书；</w:t>
      </w:r>
    </w:p>
    <w:p w14:paraId="0C1E3B7B">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工程量计算书（即计算底稿）；</w:t>
      </w:r>
    </w:p>
    <w:p w14:paraId="7EDC9BB9">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钢筋抽料表（建筑、市政、园林景观等工程适用）；</w:t>
      </w:r>
    </w:p>
    <w:p w14:paraId="704EF154">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图纸会审记录；</w:t>
      </w:r>
    </w:p>
    <w:p w14:paraId="1F8D1DBA">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⑤</w:t>
      </w:r>
      <w:r>
        <w:rPr>
          <w:snapToGrid w:val="0"/>
          <w:spacing w:val="4"/>
          <w:kern w:val="0"/>
          <w:sz w:val="24"/>
        </w:rPr>
        <w:t xml:space="preserve"> 设计变更单；</w:t>
      </w:r>
    </w:p>
    <w:p w14:paraId="03BA25F1">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⑥</w:t>
      </w:r>
      <w:r>
        <w:rPr>
          <w:snapToGrid w:val="0"/>
          <w:spacing w:val="4"/>
          <w:kern w:val="0"/>
          <w:sz w:val="24"/>
        </w:rPr>
        <w:t xml:space="preserve"> 工程洽商记录；</w:t>
      </w:r>
    </w:p>
    <w:p w14:paraId="174E38F7">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⑦</w:t>
      </w:r>
      <w:r>
        <w:rPr>
          <w:snapToGrid w:val="0"/>
          <w:spacing w:val="4"/>
          <w:kern w:val="0"/>
          <w:sz w:val="24"/>
        </w:rPr>
        <w:t xml:space="preserve"> 总监理工程师通知或委托人施工指令；</w:t>
      </w:r>
    </w:p>
    <w:p w14:paraId="2EEC07DD">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⑧</w:t>
      </w:r>
      <w:r>
        <w:rPr>
          <w:snapToGrid w:val="0"/>
          <w:spacing w:val="4"/>
          <w:kern w:val="0"/>
          <w:sz w:val="24"/>
        </w:rPr>
        <w:t xml:space="preserve"> 会议纪要；</w:t>
      </w:r>
    </w:p>
    <w:p w14:paraId="2FF6829A">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⑨</w:t>
      </w:r>
      <w:r>
        <w:rPr>
          <w:snapToGrid w:val="0"/>
          <w:spacing w:val="4"/>
          <w:kern w:val="0"/>
          <w:sz w:val="24"/>
        </w:rPr>
        <w:t xml:space="preserve"> 工程签证；</w:t>
      </w:r>
    </w:p>
    <w:p w14:paraId="1EFD1534">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⑩</w:t>
      </w:r>
      <w:r>
        <w:rPr>
          <w:snapToGrid w:val="0"/>
          <w:spacing w:val="4"/>
          <w:kern w:val="0"/>
          <w:sz w:val="24"/>
        </w:rPr>
        <w:t xml:space="preserve"> 材料设备单价呈批审核单；</w:t>
      </w:r>
    </w:p>
    <w:p w14:paraId="6E233BC3">
      <w:pPr>
        <w:topLinePunct/>
        <w:adjustRightInd w:val="0"/>
        <w:snapToGrid w:val="0"/>
        <w:spacing w:line="480" w:lineRule="exact"/>
        <w:ind w:firstLine="558" w:firstLineChars="225"/>
        <w:rPr>
          <w:snapToGrid w:val="0"/>
          <w:spacing w:val="4"/>
          <w:kern w:val="0"/>
          <w:sz w:val="24"/>
        </w:rPr>
      </w:pPr>
      <w:r>
        <w:rPr>
          <w:rFonts w:ascii="宋体" w:hAnsi="宋体"/>
          <w:snapToGrid w:val="0"/>
          <w:spacing w:val="4"/>
          <w:kern w:val="0"/>
          <w:sz w:val="24"/>
        </w:rPr>
        <w:fldChar w:fldCharType="begin"/>
      </w:r>
      <w:r>
        <w:rPr>
          <w:rFonts w:ascii="宋体" w:hAnsi="宋体"/>
          <w:snapToGrid w:val="0"/>
          <w:spacing w:val="4"/>
          <w:kern w:val="0"/>
          <w:sz w:val="24"/>
        </w:rPr>
        <w:instrText xml:space="preserve"> eq \o\ac(</w:instrText>
      </w:r>
      <w:r>
        <w:rPr>
          <w:rFonts w:ascii="宋体" w:hAnsi="宋体"/>
          <w:snapToGrid w:val="0"/>
          <w:spacing w:val="4"/>
          <w:kern w:val="0"/>
          <w:position w:val="-4"/>
          <w:sz w:val="36"/>
        </w:rPr>
        <w:instrText xml:space="preserve">○</w:instrText>
      </w:r>
      <w:r>
        <w:rPr>
          <w:rFonts w:ascii="宋体" w:hAnsi="宋体"/>
          <w:snapToGrid w:val="0"/>
          <w:spacing w:val="4"/>
          <w:kern w:val="0"/>
          <w:sz w:val="24"/>
        </w:rPr>
        <w:instrText xml:space="preserve">,</w:instrText>
      </w:r>
      <w:r>
        <w:rPr>
          <w:rFonts w:ascii="宋体" w:hAnsi="宋体"/>
          <w:snapToGrid w:val="0"/>
          <w:kern w:val="0"/>
          <w:sz w:val="24"/>
        </w:rPr>
        <w:instrText xml:space="preserve">11</w:instrText>
      </w:r>
      <w:r>
        <w:rPr>
          <w:rFonts w:ascii="宋体" w:hAnsi="宋体"/>
          <w:snapToGrid w:val="0"/>
          <w:spacing w:val="4"/>
          <w:kern w:val="0"/>
          <w:sz w:val="24"/>
        </w:rPr>
        <w:instrText xml:space="preserve">)</w:instrText>
      </w:r>
      <w:r>
        <w:rPr>
          <w:rFonts w:ascii="宋体" w:hAnsi="宋体"/>
          <w:snapToGrid w:val="0"/>
          <w:spacing w:val="4"/>
          <w:kern w:val="0"/>
          <w:sz w:val="24"/>
        </w:rPr>
        <w:fldChar w:fldCharType="end"/>
      </w:r>
      <w:r>
        <w:rPr>
          <w:snapToGrid w:val="0"/>
          <w:spacing w:val="4"/>
          <w:kern w:val="0"/>
          <w:sz w:val="24"/>
        </w:rPr>
        <w:t xml:space="preserve"> 综合单价呈批审核单；</w:t>
      </w:r>
    </w:p>
    <w:p w14:paraId="58B899CE">
      <w:pPr>
        <w:topLinePunct/>
        <w:adjustRightInd w:val="0"/>
        <w:snapToGrid w:val="0"/>
        <w:spacing w:line="480" w:lineRule="exact"/>
        <w:ind w:firstLine="558" w:firstLineChars="225"/>
        <w:rPr>
          <w:snapToGrid w:val="0"/>
          <w:spacing w:val="4"/>
          <w:kern w:val="0"/>
          <w:sz w:val="24"/>
        </w:rPr>
      </w:pPr>
      <w:r>
        <w:rPr>
          <w:rFonts w:ascii="宋体" w:hAnsi="宋体"/>
          <w:snapToGrid w:val="0"/>
          <w:spacing w:val="4"/>
          <w:kern w:val="0"/>
          <w:sz w:val="24"/>
        </w:rPr>
        <w:fldChar w:fldCharType="begin"/>
      </w:r>
      <w:r>
        <w:rPr>
          <w:rFonts w:ascii="宋体" w:hAnsi="宋体"/>
          <w:snapToGrid w:val="0"/>
          <w:spacing w:val="4"/>
          <w:kern w:val="0"/>
          <w:sz w:val="24"/>
        </w:rPr>
        <w:instrText xml:space="preserve"> eq \o\ac(</w:instrText>
      </w:r>
      <w:r>
        <w:rPr>
          <w:rFonts w:ascii="宋体" w:hAnsi="宋体"/>
          <w:snapToGrid w:val="0"/>
          <w:spacing w:val="4"/>
          <w:kern w:val="0"/>
          <w:position w:val="-4"/>
          <w:sz w:val="36"/>
        </w:rPr>
        <w:instrText xml:space="preserve">○</w:instrText>
      </w:r>
      <w:r>
        <w:rPr>
          <w:rFonts w:ascii="宋体" w:hAnsi="宋体"/>
          <w:snapToGrid w:val="0"/>
          <w:spacing w:val="4"/>
          <w:kern w:val="0"/>
          <w:sz w:val="24"/>
        </w:rPr>
        <w:instrText xml:space="preserve">,</w:instrText>
      </w:r>
      <w:r>
        <w:rPr>
          <w:rFonts w:ascii="宋体" w:hAnsi="宋体"/>
          <w:snapToGrid w:val="0"/>
          <w:kern w:val="0"/>
          <w:sz w:val="24"/>
        </w:rPr>
        <w:instrText xml:space="preserve">12</w:instrText>
      </w:r>
      <w:r>
        <w:rPr>
          <w:rFonts w:ascii="宋体" w:hAnsi="宋体"/>
          <w:snapToGrid w:val="0"/>
          <w:spacing w:val="4"/>
          <w:kern w:val="0"/>
          <w:sz w:val="24"/>
        </w:rPr>
        <w:instrText xml:space="preserve">)</w:instrText>
      </w:r>
      <w:r>
        <w:rPr>
          <w:rFonts w:ascii="宋体" w:hAnsi="宋体"/>
          <w:snapToGrid w:val="0"/>
          <w:spacing w:val="4"/>
          <w:kern w:val="0"/>
          <w:sz w:val="24"/>
        </w:rPr>
        <w:fldChar w:fldCharType="end"/>
      </w:r>
      <w:r>
        <w:rPr>
          <w:snapToGrid w:val="0"/>
          <w:spacing w:val="4"/>
          <w:kern w:val="0"/>
          <w:sz w:val="24"/>
        </w:rPr>
        <w:t xml:space="preserve"> 委托人供应材料收货验收签收单；</w:t>
      </w:r>
    </w:p>
    <w:p w14:paraId="3CF15851">
      <w:pPr>
        <w:topLinePunct/>
        <w:adjustRightInd w:val="0"/>
        <w:snapToGrid w:val="0"/>
        <w:spacing w:line="480" w:lineRule="exact"/>
        <w:ind w:firstLine="558" w:firstLineChars="225"/>
        <w:rPr>
          <w:snapToGrid w:val="0"/>
          <w:spacing w:val="4"/>
          <w:kern w:val="0"/>
          <w:sz w:val="24"/>
        </w:rPr>
      </w:pPr>
      <w:r>
        <w:rPr>
          <w:rFonts w:ascii="宋体" w:hAnsi="宋体"/>
          <w:snapToGrid w:val="0"/>
          <w:spacing w:val="4"/>
          <w:kern w:val="0"/>
          <w:sz w:val="24"/>
        </w:rPr>
        <w:fldChar w:fldCharType="begin"/>
      </w:r>
      <w:r>
        <w:rPr>
          <w:rFonts w:ascii="宋体" w:hAnsi="宋体"/>
          <w:snapToGrid w:val="0"/>
          <w:spacing w:val="4"/>
          <w:kern w:val="0"/>
          <w:sz w:val="24"/>
        </w:rPr>
        <w:instrText xml:space="preserve"> eq \o\ac(</w:instrText>
      </w:r>
      <w:r>
        <w:rPr>
          <w:rFonts w:ascii="宋体" w:hAnsi="宋体"/>
          <w:snapToGrid w:val="0"/>
          <w:spacing w:val="4"/>
          <w:kern w:val="0"/>
          <w:position w:val="-4"/>
          <w:sz w:val="36"/>
        </w:rPr>
        <w:instrText xml:space="preserve">○</w:instrText>
      </w:r>
      <w:r>
        <w:rPr>
          <w:rFonts w:ascii="宋体" w:hAnsi="宋体"/>
          <w:snapToGrid w:val="0"/>
          <w:spacing w:val="4"/>
          <w:kern w:val="0"/>
          <w:sz w:val="24"/>
        </w:rPr>
        <w:instrText xml:space="preserve">,</w:instrText>
      </w:r>
      <w:r>
        <w:rPr>
          <w:rFonts w:ascii="宋体" w:hAnsi="宋体"/>
          <w:snapToGrid w:val="0"/>
          <w:kern w:val="0"/>
          <w:sz w:val="24"/>
        </w:rPr>
        <w:instrText xml:space="preserve">13</w:instrText>
      </w:r>
      <w:r>
        <w:rPr>
          <w:rFonts w:ascii="宋体" w:hAnsi="宋体"/>
          <w:snapToGrid w:val="0"/>
          <w:spacing w:val="4"/>
          <w:kern w:val="0"/>
          <w:sz w:val="24"/>
        </w:rPr>
        <w:instrText xml:space="preserve">)</w:instrText>
      </w:r>
      <w:r>
        <w:rPr>
          <w:rFonts w:ascii="宋体" w:hAnsi="宋体"/>
          <w:snapToGrid w:val="0"/>
          <w:spacing w:val="4"/>
          <w:kern w:val="0"/>
          <w:sz w:val="24"/>
        </w:rPr>
        <w:fldChar w:fldCharType="end"/>
      </w:r>
      <w:r>
        <w:rPr>
          <w:rFonts w:ascii="宋体" w:hAnsi="宋体"/>
          <w:snapToGrid w:val="0"/>
          <w:spacing w:val="4"/>
          <w:kern w:val="0"/>
          <w:sz w:val="24"/>
        </w:rPr>
        <w:t xml:space="preserve"> </w:t>
      </w:r>
      <w:r>
        <w:rPr>
          <w:snapToGrid w:val="0"/>
          <w:spacing w:val="4"/>
          <w:kern w:val="0"/>
          <w:sz w:val="24"/>
        </w:rPr>
        <w:t>验收记录或验收报告；</w:t>
      </w:r>
    </w:p>
    <w:p w14:paraId="11D5E529">
      <w:pPr>
        <w:topLinePunct/>
        <w:adjustRightInd w:val="0"/>
        <w:snapToGrid w:val="0"/>
        <w:spacing w:line="480" w:lineRule="exact"/>
        <w:ind w:firstLine="558" w:firstLineChars="225"/>
        <w:rPr>
          <w:snapToGrid w:val="0"/>
          <w:spacing w:val="4"/>
          <w:kern w:val="0"/>
          <w:sz w:val="24"/>
        </w:rPr>
      </w:pPr>
      <w:r>
        <w:rPr>
          <w:rFonts w:ascii="宋体" w:hAnsi="宋体"/>
          <w:snapToGrid w:val="0"/>
          <w:spacing w:val="4"/>
          <w:kern w:val="0"/>
          <w:sz w:val="24"/>
        </w:rPr>
        <w:fldChar w:fldCharType="begin"/>
      </w:r>
      <w:r>
        <w:rPr>
          <w:rFonts w:ascii="宋体" w:hAnsi="宋体"/>
          <w:snapToGrid w:val="0"/>
          <w:spacing w:val="4"/>
          <w:kern w:val="0"/>
          <w:sz w:val="24"/>
        </w:rPr>
        <w:instrText xml:space="preserve"> eq \o\ac(</w:instrText>
      </w:r>
      <w:r>
        <w:rPr>
          <w:rFonts w:ascii="宋体" w:hAnsi="宋体"/>
          <w:snapToGrid w:val="0"/>
          <w:spacing w:val="4"/>
          <w:kern w:val="0"/>
          <w:position w:val="-4"/>
          <w:sz w:val="36"/>
        </w:rPr>
        <w:instrText xml:space="preserve">○</w:instrText>
      </w:r>
      <w:r>
        <w:rPr>
          <w:rFonts w:ascii="宋体" w:hAnsi="宋体"/>
          <w:snapToGrid w:val="0"/>
          <w:spacing w:val="4"/>
          <w:kern w:val="0"/>
          <w:sz w:val="24"/>
        </w:rPr>
        <w:instrText xml:space="preserve">,</w:instrText>
      </w:r>
      <w:r>
        <w:rPr>
          <w:rFonts w:ascii="宋体" w:hAnsi="宋体"/>
          <w:snapToGrid w:val="0"/>
          <w:kern w:val="0"/>
          <w:sz w:val="24"/>
        </w:rPr>
        <w:instrText xml:space="preserve">14</w:instrText>
      </w:r>
      <w:r>
        <w:rPr>
          <w:rFonts w:ascii="宋体" w:hAnsi="宋体"/>
          <w:snapToGrid w:val="0"/>
          <w:spacing w:val="4"/>
          <w:kern w:val="0"/>
          <w:sz w:val="24"/>
        </w:rPr>
        <w:instrText xml:space="preserve">)</w:instrText>
      </w:r>
      <w:r>
        <w:rPr>
          <w:rFonts w:ascii="宋体" w:hAnsi="宋体"/>
          <w:snapToGrid w:val="0"/>
          <w:spacing w:val="4"/>
          <w:kern w:val="0"/>
          <w:sz w:val="24"/>
        </w:rPr>
        <w:fldChar w:fldCharType="end"/>
      </w:r>
      <w:r>
        <w:rPr>
          <w:rFonts w:ascii="宋体" w:hAnsi="宋体"/>
          <w:snapToGrid w:val="0"/>
          <w:spacing w:val="4"/>
          <w:kern w:val="0"/>
          <w:sz w:val="24"/>
        </w:rPr>
        <w:t xml:space="preserve"> </w:t>
      </w:r>
      <w:r>
        <w:rPr>
          <w:snapToGrid w:val="0"/>
          <w:spacing w:val="4"/>
          <w:kern w:val="0"/>
          <w:sz w:val="24"/>
        </w:rPr>
        <w:t>其他分段结算资料；</w:t>
      </w:r>
    </w:p>
    <w:p w14:paraId="55C4FF2E">
      <w:pPr>
        <w:topLinePunct/>
        <w:adjustRightInd w:val="0"/>
        <w:snapToGrid w:val="0"/>
        <w:spacing w:line="480" w:lineRule="exact"/>
        <w:ind w:firstLine="558" w:firstLineChars="225"/>
        <w:rPr>
          <w:snapToGrid w:val="0"/>
          <w:spacing w:val="4"/>
          <w:kern w:val="0"/>
          <w:sz w:val="24"/>
        </w:rPr>
      </w:pPr>
      <w:r>
        <w:rPr>
          <w:rFonts w:ascii="宋体" w:hAnsi="宋体"/>
          <w:snapToGrid w:val="0"/>
          <w:spacing w:val="4"/>
          <w:kern w:val="0"/>
          <w:sz w:val="24"/>
        </w:rPr>
        <w:fldChar w:fldCharType="begin"/>
      </w:r>
      <w:r>
        <w:rPr>
          <w:rFonts w:ascii="宋体" w:hAnsi="宋体"/>
          <w:snapToGrid w:val="0"/>
          <w:spacing w:val="4"/>
          <w:kern w:val="0"/>
          <w:sz w:val="24"/>
        </w:rPr>
        <w:instrText xml:space="preserve"> eq \o\ac(</w:instrText>
      </w:r>
      <w:r>
        <w:rPr>
          <w:rFonts w:ascii="宋体" w:hAnsi="宋体"/>
          <w:snapToGrid w:val="0"/>
          <w:spacing w:val="4"/>
          <w:kern w:val="0"/>
          <w:position w:val="-4"/>
          <w:sz w:val="36"/>
        </w:rPr>
        <w:instrText xml:space="preserve">○</w:instrText>
      </w:r>
      <w:r>
        <w:rPr>
          <w:rFonts w:ascii="宋体" w:hAnsi="宋体"/>
          <w:snapToGrid w:val="0"/>
          <w:spacing w:val="4"/>
          <w:kern w:val="0"/>
          <w:sz w:val="24"/>
        </w:rPr>
        <w:instrText xml:space="preserve">,</w:instrText>
      </w:r>
      <w:r>
        <w:rPr>
          <w:rFonts w:ascii="宋体" w:hAnsi="宋体"/>
          <w:snapToGrid w:val="0"/>
          <w:kern w:val="0"/>
          <w:sz w:val="24"/>
        </w:rPr>
        <w:instrText xml:space="preserve">15</w:instrText>
      </w:r>
      <w:r>
        <w:rPr>
          <w:rFonts w:ascii="宋体" w:hAnsi="宋体"/>
          <w:snapToGrid w:val="0"/>
          <w:spacing w:val="4"/>
          <w:kern w:val="0"/>
          <w:sz w:val="24"/>
        </w:rPr>
        <w:instrText xml:space="preserve">)</w:instrText>
      </w:r>
      <w:r>
        <w:rPr>
          <w:rFonts w:ascii="宋体" w:hAnsi="宋体"/>
          <w:snapToGrid w:val="0"/>
          <w:spacing w:val="4"/>
          <w:kern w:val="0"/>
          <w:sz w:val="24"/>
        </w:rPr>
        <w:fldChar w:fldCharType="end"/>
      </w:r>
      <w:r>
        <w:rPr>
          <w:rFonts w:ascii="宋体" w:hAnsi="宋体"/>
          <w:snapToGrid w:val="0"/>
          <w:spacing w:val="4"/>
          <w:kern w:val="0"/>
          <w:sz w:val="24"/>
        </w:rPr>
        <w:t xml:space="preserve"> </w:t>
      </w:r>
      <w:r>
        <w:rPr>
          <w:snapToGrid w:val="0"/>
          <w:spacing w:val="4"/>
          <w:kern w:val="0"/>
          <w:sz w:val="24"/>
        </w:rPr>
        <w:t>移交资料签收表。</w:t>
      </w:r>
    </w:p>
    <w:p w14:paraId="017E64C7">
      <w:pPr>
        <w:topLinePunct/>
        <w:adjustRightInd w:val="0"/>
        <w:snapToGrid w:val="0"/>
        <w:spacing w:line="480" w:lineRule="exact"/>
        <w:outlineLvl w:val="4"/>
        <w:rPr>
          <w:b/>
          <w:snapToGrid w:val="0"/>
          <w:spacing w:val="4"/>
          <w:kern w:val="0"/>
          <w:sz w:val="24"/>
        </w:rPr>
      </w:pPr>
      <w:r>
        <w:rPr>
          <w:rFonts w:hint="eastAsia"/>
          <w:b/>
          <w:snapToGrid w:val="0"/>
          <w:spacing w:val="4"/>
          <w:kern w:val="0"/>
          <w:sz w:val="24"/>
        </w:rPr>
        <w:t xml:space="preserve">4.3 </w:t>
      </w:r>
      <w:r>
        <w:rPr>
          <w:b/>
          <w:snapToGrid w:val="0"/>
          <w:spacing w:val="4"/>
          <w:kern w:val="0"/>
          <w:sz w:val="24"/>
        </w:rPr>
        <w:t>工程进度控制工作</w:t>
      </w:r>
    </w:p>
    <w:p w14:paraId="68ECCA55">
      <w:pPr>
        <w:topLinePunct/>
        <w:adjustRightInd w:val="0"/>
        <w:snapToGrid w:val="0"/>
        <w:spacing w:line="480" w:lineRule="exact"/>
        <w:ind w:firstLine="496" w:firstLineChars="200"/>
        <w:rPr>
          <w:snapToGrid w:val="0"/>
          <w:spacing w:val="4"/>
          <w:kern w:val="0"/>
          <w:sz w:val="24"/>
        </w:rPr>
      </w:pPr>
      <w:r>
        <w:rPr>
          <w:snapToGrid w:val="0"/>
          <w:spacing w:val="4"/>
          <w:kern w:val="0"/>
          <w:sz w:val="24"/>
        </w:rPr>
        <w:t>（1）项目监理机构应按下列程序进行工程进度控制：</w:t>
      </w:r>
    </w:p>
    <w:p w14:paraId="5F1B06E1">
      <w:pPr>
        <w:topLinePunct/>
        <w:adjustRightInd w:val="0"/>
        <w:snapToGrid w:val="0"/>
        <w:spacing w:line="480" w:lineRule="exact"/>
        <w:ind w:firstLine="496" w:firstLineChars="200"/>
        <w:rPr>
          <w:snapToGrid w:val="0"/>
          <w:spacing w:val="4"/>
          <w:kern w:val="0"/>
          <w:sz w:val="24"/>
        </w:rPr>
      </w:pPr>
      <w:r>
        <w:rPr>
          <w:snapToGrid w:val="0"/>
          <w:spacing w:val="4"/>
          <w:kern w:val="0"/>
          <w:sz w:val="24"/>
        </w:rPr>
        <w:t>1）总监理工程师审批承包人报送的施工总进度计划；</w:t>
      </w:r>
    </w:p>
    <w:p w14:paraId="2AE3CF8A">
      <w:pPr>
        <w:topLinePunct/>
        <w:adjustRightInd w:val="0"/>
        <w:snapToGrid w:val="0"/>
        <w:spacing w:line="480" w:lineRule="exact"/>
        <w:ind w:firstLine="496" w:firstLineChars="200"/>
        <w:rPr>
          <w:snapToGrid w:val="0"/>
          <w:spacing w:val="4"/>
          <w:kern w:val="0"/>
          <w:sz w:val="24"/>
        </w:rPr>
      </w:pPr>
      <w:r>
        <w:rPr>
          <w:snapToGrid w:val="0"/>
          <w:spacing w:val="4"/>
          <w:kern w:val="0"/>
          <w:sz w:val="24"/>
        </w:rPr>
        <w:t>2）总监理工程师审批承包人编制的年、季、月度施工进度计划；</w:t>
      </w:r>
    </w:p>
    <w:p w14:paraId="009DA6E5">
      <w:pPr>
        <w:topLinePunct/>
        <w:adjustRightInd w:val="0"/>
        <w:snapToGrid w:val="0"/>
        <w:spacing w:line="480" w:lineRule="exact"/>
        <w:ind w:firstLine="496" w:firstLineChars="200"/>
        <w:rPr>
          <w:snapToGrid w:val="0"/>
          <w:spacing w:val="4"/>
          <w:kern w:val="0"/>
          <w:sz w:val="24"/>
        </w:rPr>
      </w:pPr>
      <w:r>
        <w:rPr>
          <w:snapToGrid w:val="0"/>
          <w:spacing w:val="4"/>
          <w:kern w:val="0"/>
          <w:sz w:val="24"/>
        </w:rPr>
        <w:t>3）专业监理工程师对进度计划实施情况检查、分析；</w:t>
      </w:r>
    </w:p>
    <w:p w14:paraId="3B1856CA">
      <w:pPr>
        <w:topLinePunct/>
        <w:adjustRightInd w:val="0"/>
        <w:snapToGrid w:val="0"/>
        <w:spacing w:line="480" w:lineRule="exact"/>
        <w:ind w:firstLine="496" w:firstLineChars="200"/>
        <w:rPr>
          <w:snapToGrid w:val="0"/>
          <w:spacing w:val="4"/>
          <w:kern w:val="0"/>
          <w:sz w:val="24"/>
        </w:rPr>
      </w:pPr>
      <w:r>
        <w:rPr>
          <w:snapToGrid w:val="0"/>
          <w:spacing w:val="4"/>
          <w:kern w:val="0"/>
          <w:sz w:val="24"/>
        </w:rPr>
        <w:t>4）当实际进度符合计划进度时，应要求承包人编制下一期进度计划；当实际进度滞后于计划进度时，专业监理工程师应书面通知承包人采取纠偏措施并监督实施。</w:t>
      </w:r>
    </w:p>
    <w:p w14:paraId="2FC654AF">
      <w:pPr>
        <w:topLinePunct/>
        <w:adjustRightInd w:val="0"/>
        <w:snapToGrid w:val="0"/>
        <w:spacing w:line="480" w:lineRule="exact"/>
        <w:ind w:firstLine="496" w:firstLineChars="200"/>
        <w:rPr>
          <w:snapToGrid w:val="0"/>
          <w:spacing w:val="4"/>
          <w:kern w:val="0"/>
          <w:sz w:val="24"/>
        </w:rPr>
      </w:pPr>
      <w:r>
        <w:rPr>
          <w:snapToGrid w:val="0"/>
          <w:spacing w:val="4"/>
          <w:kern w:val="0"/>
          <w:sz w:val="24"/>
        </w:rPr>
        <w:t>（2）专业监理工程师应依据施工合同有关条款、施工图及经过批准的施工组织设计制定进度控制方案，对进度目标进行风险分析，制定防范性对策，经总监理工程师审定后报送委托人。</w:t>
      </w:r>
    </w:p>
    <w:p w14:paraId="66AB7F96">
      <w:pPr>
        <w:topLinePunct/>
        <w:adjustRightInd w:val="0"/>
        <w:snapToGrid w:val="0"/>
        <w:spacing w:line="480" w:lineRule="exact"/>
        <w:ind w:firstLine="496" w:firstLineChars="200"/>
        <w:rPr>
          <w:snapToGrid w:val="0"/>
          <w:spacing w:val="4"/>
          <w:kern w:val="0"/>
          <w:sz w:val="24"/>
        </w:rPr>
      </w:pPr>
      <w:r>
        <w:rPr>
          <w:snapToGrid w:val="0"/>
          <w:spacing w:val="4"/>
          <w:kern w:val="0"/>
          <w:sz w:val="24"/>
        </w:rPr>
        <w:t>（3）专业监理工程师应检查进度计划的实施，并记录实际进度及其相关情况。</w:t>
      </w:r>
    </w:p>
    <w:p w14:paraId="5C4A784E">
      <w:pPr>
        <w:topLinePunct/>
        <w:adjustRightInd w:val="0"/>
        <w:snapToGrid w:val="0"/>
        <w:spacing w:line="480" w:lineRule="exact"/>
        <w:ind w:firstLine="496" w:firstLineChars="200"/>
        <w:rPr>
          <w:snapToGrid w:val="0"/>
          <w:spacing w:val="4"/>
          <w:kern w:val="0"/>
          <w:sz w:val="24"/>
        </w:rPr>
      </w:pPr>
      <w:r>
        <w:rPr>
          <w:snapToGrid w:val="0"/>
          <w:spacing w:val="4"/>
          <w:kern w:val="0"/>
          <w:sz w:val="24"/>
        </w:rPr>
        <w:t>（4）施工阶段的工程进度控制中的其他监理工作</w:t>
      </w:r>
    </w:p>
    <w:p w14:paraId="2FF627DF">
      <w:pPr>
        <w:topLinePunct/>
        <w:adjustRightInd w:val="0"/>
        <w:snapToGrid w:val="0"/>
        <w:spacing w:line="480" w:lineRule="exact"/>
        <w:ind w:firstLine="496" w:firstLineChars="200"/>
        <w:rPr>
          <w:snapToGrid w:val="0"/>
          <w:spacing w:val="4"/>
          <w:kern w:val="0"/>
          <w:sz w:val="24"/>
        </w:rPr>
      </w:pPr>
      <w:r>
        <w:rPr>
          <w:snapToGrid w:val="0"/>
          <w:spacing w:val="4"/>
          <w:kern w:val="0"/>
          <w:sz w:val="24"/>
        </w:rPr>
        <w:t>当发现实际进度滞后于计划进度时，应签发监理工程师通知单指令承包人采取调整措施。当实际进度严重滞后于计划进度时应及时报总监理工程师，由总监理工程师与委托人商定采取进一步措施。</w:t>
      </w:r>
    </w:p>
    <w:p w14:paraId="11646032">
      <w:pPr>
        <w:topLinePunct/>
        <w:adjustRightInd w:val="0"/>
        <w:snapToGrid w:val="0"/>
        <w:spacing w:line="480" w:lineRule="exact"/>
        <w:ind w:firstLine="496" w:firstLineChars="200"/>
        <w:rPr>
          <w:snapToGrid w:val="0"/>
          <w:spacing w:val="4"/>
          <w:kern w:val="0"/>
          <w:sz w:val="24"/>
        </w:rPr>
      </w:pPr>
      <w:r>
        <w:rPr>
          <w:snapToGrid w:val="0"/>
          <w:spacing w:val="4"/>
          <w:kern w:val="0"/>
          <w:sz w:val="24"/>
        </w:rPr>
        <w:t>总监理工程师应在监理月报中向委托人报告工程进度和所采取进度控制措施的执行情况，并提出合理预防由于委托人原因导致的工程延期及其相关费用索赔的建议。</w:t>
      </w:r>
    </w:p>
    <w:p w14:paraId="52CB0AE5">
      <w:pPr>
        <w:topLinePunct/>
        <w:adjustRightInd w:val="0"/>
        <w:snapToGrid w:val="0"/>
        <w:spacing w:line="480" w:lineRule="exact"/>
        <w:outlineLvl w:val="4"/>
        <w:rPr>
          <w:b/>
          <w:bCs/>
          <w:snapToGrid w:val="0"/>
          <w:spacing w:val="4"/>
          <w:kern w:val="0"/>
          <w:sz w:val="24"/>
        </w:rPr>
      </w:pPr>
      <w:r>
        <w:rPr>
          <w:rFonts w:hint="eastAsia"/>
          <w:b/>
          <w:snapToGrid w:val="0"/>
          <w:spacing w:val="4"/>
          <w:kern w:val="0"/>
          <w:sz w:val="24"/>
        </w:rPr>
        <w:t xml:space="preserve">4.4 </w:t>
      </w:r>
      <w:r>
        <w:rPr>
          <w:b/>
          <w:snapToGrid w:val="0"/>
          <w:spacing w:val="4"/>
          <w:kern w:val="0"/>
          <w:sz w:val="24"/>
        </w:rPr>
        <w:t>工程职业健康安全控制工作</w:t>
      </w:r>
    </w:p>
    <w:p w14:paraId="526DDDE3">
      <w:pPr>
        <w:topLinePunct/>
        <w:adjustRightInd w:val="0"/>
        <w:snapToGrid w:val="0"/>
        <w:spacing w:line="480" w:lineRule="exact"/>
        <w:ind w:firstLine="496" w:firstLineChars="200"/>
        <w:rPr>
          <w:snapToGrid w:val="0"/>
          <w:spacing w:val="4"/>
          <w:kern w:val="0"/>
          <w:sz w:val="24"/>
        </w:rPr>
      </w:pPr>
      <w:r>
        <w:rPr>
          <w:snapToGrid w:val="0"/>
          <w:spacing w:val="4"/>
          <w:kern w:val="0"/>
          <w:sz w:val="24"/>
        </w:rPr>
        <w:t>（1）工程职业健康安全控制应遵循下列程序：</w:t>
      </w:r>
    </w:p>
    <w:p w14:paraId="5BE6407A">
      <w:pPr>
        <w:topLinePunct/>
        <w:adjustRightInd w:val="0"/>
        <w:snapToGrid w:val="0"/>
        <w:spacing w:line="480" w:lineRule="exact"/>
        <w:ind w:firstLine="496" w:firstLineChars="200"/>
        <w:rPr>
          <w:snapToGrid w:val="0"/>
          <w:spacing w:val="4"/>
          <w:kern w:val="0"/>
          <w:sz w:val="24"/>
        </w:rPr>
      </w:pPr>
      <w:r>
        <w:rPr>
          <w:snapToGrid w:val="0"/>
          <w:spacing w:val="4"/>
          <w:kern w:val="0"/>
          <w:sz w:val="24"/>
        </w:rPr>
        <w:t>1）确定施工职业健康安全目标；</w:t>
      </w:r>
    </w:p>
    <w:p w14:paraId="2B44818E">
      <w:pPr>
        <w:topLinePunct/>
        <w:adjustRightInd w:val="0"/>
        <w:snapToGrid w:val="0"/>
        <w:spacing w:line="480" w:lineRule="exact"/>
        <w:ind w:firstLine="496" w:firstLineChars="200"/>
        <w:rPr>
          <w:snapToGrid w:val="0"/>
          <w:spacing w:val="4"/>
          <w:kern w:val="0"/>
          <w:sz w:val="24"/>
        </w:rPr>
      </w:pPr>
      <w:r>
        <w:rPr>
          <w:snapToGrid w:val="0"/>
          <w:spacing w:val="4"/>
          <w:kern w:val="0"/>
          <w:sz w:val="24"/>
        </w:rPr>
        <w:t>2）编制工程职业健康安全保证计划；</w:t>
      </w:r>
    </w:p>
    <w:p w14:paraId="7E2AFA60">
      <w:pPr>
        <w:topLinePunct/>
        <w:adjustRightInd w:val="0"/>
        <w:snapToGrid w:val="0"/>
        <w:spacing w:line="480" w:lineRule="exact"/>
        <w:ind w:firstLine="496" w:firstLineChars="200"/>
        <w:rPr>
          <w:snapToGrid w:val="0"/>
          <w:spacing w:val="4"/>
          <w:kern w:val="0"/>
          <w:sz w:val="24"/>
        </w:rPr>
      </w:pPr>
      <w:r>
        <w:rPr>
          <w:snapToGrid w:val="0"/>
          <w:spacing w:val="4"/>
          <w:kern w:val="0"/>
          <w:sz w:val="24"/>
        </w:rPr>
        <w:t>3）实施工程职业健康安全计划；</w:t>
      </w:r>
    </w:p>
    <w:p w14:paraId="51D43441">
      <w:pPr>
        <w:topLinePunct/>
        <w:adjustRightInd w:val="0"/>
        <w:snapToGrid w:val="0"/>
        <w:spacing w:line="480" w:lineRule="exact"/>
        <w:ind w:firstLine="496" w:firstLineChars="200"/>
        <w:rPr>
          <w:snapToGrid w:val="0"/>
          <w:spacing w:val="4"/>
          <w:kern w:val="0"/>
          <w:sz w:val="24"/>
        </w:rPr>
      </w:pPr>
      <w:r>
        <w:rPr>
          <w:snapToGrid w:val="0"/>
          <w:spacing w:val="4"/>
          <w:kern w:val="0"/>
          <w:sz w:val="24"/>
        </w:rPr>
        <w:t>4）工程职业健康安全保证计划验证；</w:t>
      </w:r>
    </w:p>
    <w:p w14:paraId="54E5735C">
      <w:pPr>
        <w:topLinePunct/>
        <w:adjustRightInd w:val="0"/>
        <w:snapToGrid w:val="0"/>
        <w:spacing w:line="480" w:lineRule="exact"/>
        <w:ind w:firstLine="496" w:firstLineChars="200"/>
        <w:rPr>
          <w:snapToGrid w:val="0"/>
          <w:spacing w:val="4"/>
          <w:kern w:val="0"/>
          <w:sz w:val="24"/>
        </w:rPr>
      </w:pPr>
      <w:r>
        <w:rPr>
          <w:snapToGrid w:val="0"/>
          <w:spacing w:val="4"/>
          <w:kern w:val="0"/>
          <w:sz w:val="24"/>
        </w:rPr>
        <w:t>5）持续改进。</w:t>
      </w:r>
    </w:p>
    <w:p w14:paraId="018770C9">
      <w:pPr>
        <w:topLinePunct/>
        <w:adjustRightInd w:val="0"/>
        <w:snapToGrid w:val="0"/>
        <w:spacing w:line="480" w:lineRule="exact"/>
        <w:ind w:firstLine="496" w:firstLineChars="200"/>
        <w:rPr>
          <w:snapToGrid w:val="0"/>
          <w:spacing w:val="4"/>
          <w:kern w:val="0"/>
          <w:sz w:val="24"/>
        </w:rPr>
      </w:pPr>
      <w:r>
        <w:rPr>
          <w:snapToGrid w:val="0"/>
          <w:spacing w:val="4"/>
          <w:kern w:val="0"/>
          <w:sz w:val="24"/>
        </w:rPr>
        <w:t>（2）编制安全监理实施细则，对施工中人的不安全行为、物的不安全状态、作业环境的不安全因素和管理缺陷进行相应的安全控制。</w:t>
      </w:r>
    </w:p>
    <w:p w14:paraId="43FE72C3">
      <w:pPr>
        <w:topLinePunct/>
        <w:adjustRightInd w:val="0"/>
        <w:snapToGrid w:val="0"/>
        <w:spacing w:line="480" w:lineRule="exact"/>
        <w:ind w:firstLine="496" w:firstLineChars="200"/>
        <w:rPr>
          <w:snapToGrid w:val="0"/>
          <w:spacing w:val="4"/>
          <w:kern w:val="0"/>
          <w:sz w:val="24"/>
        </w:rPr>
      </w:pPr>
      <w:r>
        <w:rPr>
          <w:snapToGrid w:val="0"/>
          <w:spacing w:val="4"/>
          <w:kern w:val="0"/>
          <w:sz w:val="24"/>
        </w:rPr>
        <w:t>（3）检查项目施工安全目标的要求配置的资源是否满足需要。</w:t>
      </w:r>
    </w:p>
    <w:p w14:paraId="13856EF9">
      <w:pPr>
        <w:topLinePunct/>
        <w:adjustRightInd w:val="0"/>
        <w:snapToGrid w:val="0"/>
        <w:spacing w:line="480" w:lineRule="exact"/>
        <w:ind w:firstLine="496" w:firstLineChars="200"/>
        <w:rPr>
          <w:snapToGrid w:val="0"/>
          <w:spacing w:val="4"/>
          <w:kern w:val="0"/>
          <w:sz w:val="24"/>
        </w:rPr>
      </w:pPr>
      <w:r>
        <w:rPr>
          <w:snapToGrid w:val="0"/>
          <w:spacing w:val="4"/>
          <w:kern w:val="0"/>
          <w:sz w:val="24"/>
        </w:rPr>
        <w:t>（4）要求承包人对结构复杂、施工难度大、专业性强的项目和达到一定规模的危险性较大的分部分项工程编制专项施工方案，必要时，组织专家进行论证、审查：</w:t>
      </w:r>
    </w:p>
    <w:p w14:paraId="00FEF405">
      <w:pPr>
        <w:topLinePunct/>
        <w:adjustRightInd w:val="0"/>
        <w:snapToGrid w:val="0"/>
        <w:spacing w:line="480" w:lineRule="exact"/>
        <w:ind w:firstLine="496" w:firstLineChars="200"/>
        <w:rPr>
          <w:snapToGrid w:val="0"/>
          <w:spacing w:val="4"/>
          <w:kern w:val="0"/>
          <w:sz w:val="24"/>
        </w:rPr>
      </w:pPr>
      <w:r>
        <w:rPr>
          <w:snapToGrid w:val="0"/>
          <w:spacing w:val="4"/>
          <w:kern w:val="0"/>
          <w:sz w:val="24"/>
        </w:rPr>
        <w:t>1）基坑支护及降水工程；</w:t>
      </w:r>
    </w:p>
    <w:p w14:paraId="4FE401B6">
      <w:pPr>
        <w:topLinePunct/>
        <w:adjustRightInd w:val="0"/>
        <w:snapToGrid w:val="0"/>
        <w:spacing w:line="480" w:lineRule="exact"/>
        <w:ind w:firstLine="496" w:firstLineChars="200"/>
        <w:rPr>
          <w:snapToGrid w:val="0"/>
          <w:spacing w:val="4"/>
          <w:kern w:val="0"/>
          <w:sz w:val="24"/>
        </w:rPr>
      </w:pPr>
      <w:r>
        <w:rPr>
          <w:snapToGrid w:val="0"/>
          <w:spacing w:val="4"/>
          <w:kern w:val="0"/>
          <w:sz w:val="24"/>
        </w:rPr>
        <w:t>2）土方开挖工程；</w:t>
      </w:r>
    </w:p>
    <w:p w14:paraId="79228F29">
      <w:pPr>
        <w:topLinePunct/>
        <w:adjustRightInd w:val="0"/>
        <w:snapToGrid w:val="0"/>
        <w:spacing w:line="480" w:lineRule="exact"/>
        <w:ind w:firstLine="496" w:firstLineChars="200"/>
        <w:rPr>
          <w:snapToGrid w:val="0"/>
          <w:spacing w:val="4"/>
          <w:kern w:val="0"/>
          <w:sz w:val="24"/>
        </w:rPr>
      </w:pPr>
      <w:r>
        <w:rPr>
          <w:snapToGrid w:val="0"/>
          <w:spacing w:val="4"/>
          <w:kern w:val="0"/>
          <w:sz w:val="24"/>
        </w:rPr>
        <w:t>3）模板工程；</w:t>
      </w:r>
    </w:p>
    <w:p w14:paraId="3DDB20B7">
      <w:pPr>
        <w:topLinePunct/>
        <w:adjustRightInd w:val="0"/>
        <w:snapToGrid w:val="0"/>
        <w:spacing w:line="480" w:lineRule="exact"/>
        <w:ind w:firstLine="496" w:firstLineChars="200"/>
        <w:rPr>
          <w:snapToGrid w:val="0"/>
          <w:spacing w:val="4"/>
          <w:kern w:val="0"/>
          <w:sz w:val="24"/>
        </w:rPr>
      </w:pPr>
      <w:r>
        <w:rPr>
          <w:snapToGrid w:val="0"/>
          <w:spacing w:val="4"/>
          <w:kern w:val="0"/>
          <w:sz w:val="24"/>
        </w:rPr>
        <w:t>4）起重吊装工程；</w:t>
      </w:r>
    </w:p>
    <w:p w14:paraId="1A82DA09">
      <w:pPr>
        <w:topLinePunct/>
        <w:adjustRightInd w:val="0"/>
        <w:snapToGrid w:val="0"/>
        <w:spacing w:line="480" w:lineRule="exact"/>
        <w:ind w:firstLine="496" w:firstLineChars="200"/>
        <w:rPr>
          <w:snapToGrid w:val="0"/>
          <w:spacing w:val="4"/>
          <w:kern w:val="0"/>
          <w:sz w:val="24"/>
        </w:rPr>
      </w:pPr>
      <w:r>
        <w:rPr>
          <w:snapToGrid w:val="0"/>
          <w:spacing w:val="4"/>
          <w:kern w:val="0"/>
          <w:sz w:val="24"/>
        </w:rPr>
        <w:t>5）脚手架工程；</w:t>
      </w:r>
    </w:p>
    <w:p w14:paraId="28F33EAC">
      <w:pPr>
        <w:topLinePunct/>
        <w:adjustRightInd w:val="0"/>
        <w:snapToGrid w:val="0"/>
        <w:spacing w:line="480" w:lineRule="exact"/>
        <w:ind w:firstLine="496" w:firstLineChars="200"/>
        <w:rPr>
          <w:snapToGrid w:val="0"/>
          <w:spacing w:val="4"/>
          <w:kern w:val="0"/>
          <w:sz w:val="24"/>
        </w:rPr>
      </w:pPr>
      <w:r>
        <w:rPr>
          <w:snapToGrid w:val="0"/>
          <w:spacing w:val="4"/>
          <w:kern w:val="0"/>
          <w:sz w:val="24"/>
        </w:rPr>
        <w:t>6）拆除、爆破工程；</w:t>
      </w:r>
    </w:p>
    <w:p w14:paraId="16B81731">
      <w:pPr>
        <w:topLinePunct/>
        <w:adjustRightInd w:val="0"/>
        <w:snapToGrid w:val="0"/>
        <w:spacing w:line="480" w:lineRule="exact"/>
        <w:ind w:firstLine="496" w:firstLineChars="200"/>
        <w:rPr>
          <w:snapToGrid w:val="0"/>
          <w:spacing w:val="4"/>
          <w:kern w:val="0"/>
          <w:sz w:val="24"/>
        </w:rPr>
      </w:pPr>
      <w:r>
        <w:rPr>
          <w:snapToGrid w:val="0"/>
          <w:spacing w:val="4"/>
          <w:kern w:val="0"/>
          <w:sz w:val="24"/>
        </w:rPr>
        <w:t>7）其他危险性较大的工程。</w:t>
      </w:r>
    </w:p>
    <w:p w14:paraId="2F5E69F3">
      <w:pPr>
        <w:topLinePunct/>
        <w:adjustRightInd w:val="0"/>
        <w:snapToGrid w:val="0"/>
        <w:spacing w:line="480" w:lineRule="exact"/>
        <w:ind w:firstLine="496" w:firstLineChars="200"/>
        <w:rPr>
          <w:snapToGrid w:val="0"/>
          <w:spacing w:val="4"/>
          <w:kern w:val="0"/>
          <w:sz w:val="24"/>
        </w:rPr>
      </w:pPr>
      <w:r>
        <w:rPr>
          <w:snapToGrid w:val="0"/>
          <w:spacing w:val="4"/>
          <w:kern w:val="0"/>
          <w:sz w:val="24"/>
        </w:rPr>
        <w:t>（5）定期组织安全控制计划的执行情况并进行检查考核和评价，对施工中存在的不安全行为和隐患，分析原因并制定相应整改防范措施。</w:t>
      </w:r>
    </w:p>
    <w:p w14:paraId="54135D20">
      <w:pPr>
        <w:topLinePunct/>
        <w:adjustRightInd w:val="0"/>
        <w:snapToGrid w:val="0"/>
        <w:spacing w:line="480" w:lineRule="exact"/>
        <w:ind w:firstLine="496" w:firstLineChars="200"/>
        <w:rPr>
          <w:snapToGrid w:val="0"/>
          <w:spacing w:val="4"/>
          <w:kern w:val="0"/>
          <w:sz w:val="24"/>
        </w:rPr>
      </w:pPr>
      <w:r>
        <w:rPr>
          <w:snapToGrid w:val="0"/>
          <w:spacing w:val="4"/>
          <w:kern w:val="0"/>
          <w:sz w:val="24"/>
        </w:rPr>
        <w:t>（6）采取随机抽样、现场观察、实地检测相结合的方法进行安全检查，并记录检测结果。对现场管理人员的违章指挥和操作人员的违章作业行为应进行纠正。</w:t>
      </w:r>
    </w:p>
    <w:p w14:paraId="05E88A44">
      <w:pPr>
        <w:topLinePunct/>
        <w:adjustRightInd w:val="0"/>
        <w:snapToGrid w:val="0"/>
        <w:spacing w:line="480" w:lineRule="exact"/>
        <w:ind w:firstLine="496" w:firstLineChars="200"/>
        <w:rPr>
          <w:snapToGrid w:val="0"/>
          <w:spacing w:val="4"/>
          <w:kern w:val="0"/>
          <w:sz w:val="24"/>
        </w:rPr>
      </w:pPr>
      <w:r>
        <w:rPr>
          <w:snapToGrid w:val="0"/>
          <w:spacing w:val="4"/>
          <w:kern w:val="0"/>
          <w:sz w:val="24"/>
        </w:rPr>
        <w:t>（7）对检查结果进行分析，找出安全隐患部位，确定危险程度。</w:t>
      </w:r>
    </w:p>
    <w:p w14:paraId="450D0CEC">
      <w:pPr>
        <w:topLinePunct/>
        <w:adjustRightInd w:val="0"/>
        <w:snapToGrid w:val="0"/>
        <w:spacing w:line="480" w:lineRule="exact"/>
        <w:ind w:firstLine="496" w:firstLineChars="200"/>
        <w:rPr>
          <w:snapToGrid w:val="0"/>
          <w:spacing w:val="4"/>
          <w:kern w:val="0"/>
          <w:sz w:val="24"/>
        </w:rPr>
      </w:pPr>
      <w:r>
        <w:rPr>
          <w:snapToGrid w:val="0"/>
          <w:spacing w:val="4"/>
          <w:kern w:val="0"/>
          <w:sz w:val="24"/>
        </w:rPr>
        <w:t>（8）对检查出的隐患立即发出安全隐患整改通知单。受检单位应对安全隐患原因进行分析，制定和落实纠正和预防措施。</w:t>
      </w:r>
    </w:p>
    <w:p w14:paraId="20B598BF">
      <w:pPr>
        <w:topLinePunct/>
        <w:adjustRightInd w:val="0"/>
        <w:snapToGrid w:val="0"/>
        <w:spacing w:line="480" w:lineRule="exact"/>
        <w:ind w:firstLine="496" w:firstLineChars="200"/>
        <w:rPr>
          <w:snapToGrid w:val="0"/>
          <w:spacing w:val="4"/>
          <w:kern w:val="0"/>
          <w:sz w:val="24"/>
        </w:rPr>
      </w:pPr>
      <w:r>
        <w:rPr>
          <w:snapToGrid w:val="0"/>
          <w:spacing w:val="4"/>
          <w:kern w:val="0"/>
          <w:sz w:val="24"/>
        </w:rPr>
        <w:t>（9）对纠正预防措施的实施过程和实施效果应进行跟踪检查，保存验证记录。</w:t>
      </w:r>
    </w:p>
    <w:p w14:paraId="71B19726">
      <w:pPr>
        <w:topLinePunct/>
        <w:adjustRightInd w:val="0"/>
        <w:snapToGrid w:val="0"/>
        <w:spacing w:line="480" w:lineRule="exact"/>
        <w:ind w:firstLine="496" w:firstLineChars="200"/>
        <w:rPr>
          <w:snapToGrid w:val="0"/>
          <w:spacing w:val="4"/>
          <w:kern w:val="0"/>
          <w:sz w:val="24"/>
        </w:rPr>
      </w:pPr>
      <w:r>
        <w:rPr>
          <w:snapToGrid w:val="0"/>
          <w:spacing w:val="4"/>
          <w:kern w:val="0"/>
          <w:sz w:val="24"/>
        </w:rPr>
        <w:t>（10）安全网络视频监控管理内容</w:t>
      </w:r>
    </w:p>
    <w:p w14:paraId="45007CBF">
      <w:pPr>
        <w:topLinePunct/>
        <w:adjustRightInd w:val="0"/>
        <w:snapToGrid w:val="0"/>
        <w:spacing w:line="480" w:lineRule="exact"/>
        <w:ind w:firstLine="496" w:firstLineChars="200"/>
        <w:rPr>
          <w:snapToGrid w:val="0"/>
          <w:spacing w:val="4"/>
          <w:kern w:val="0"/>
          <w:sz w:val="24"/>
        </w:rPr>
      </w:pPr>
      <w:r>
        <w:rPr>
          <w:snapToGrid w:val="0"/>
          <w:spacing w:val="4"/>
          <w:kern w:val="0"/>
          <w:sz w:val="24"/>
        </w:rPr>
        <w:t>1）监理单位监督施工单位必须遵照《关于广州市建筑工地安装视频监控装置的通知》（穗建筑[2006]551号）和《关于全面启动广州市社会治安视频监控系统建设有关问题的通知》（穗视频建字〔2006〕1号）文件的要求，满足安全文明监控的需要。</w:t>
      </w:r>
    </w:p>
    <w:p w14:paraId="3EBE939D">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2）监理单位对视频监控系统反馈信息的分析、上报、决策、实施，严格按照安全控制流程及相关规定进行处理。</w:t>
      </w:r>
    </w:p>
    <w:p w14:paraId="3031BAEA">
      <w:pPr>
        <w:topLinePunct/>
        <w:adjustRightInd w:val="0"/>
        <w:snapToGrid w:val="0"/>
        <w:spacing w:line="480" w:lineRule="exact"/>
        <w:ind w:firstLine="496" w:firstLineChars="200"/>
        <w:rPr>
          <w:snapToGrid w:val="0"/>
          <w:spacing w:val="4"/>
          <w:kern w:val="0"/>
          <w:sz w:val="24"/>
        </w:rPr>
      </w:pPr>
      <w:r>
        <w:rPr>
          <w:snapToGrid w:val="0"/>
          <w:spacing w:val="4"/>
          <w:kern w:val="0"/>
          <w:sz w:val="24"/>
        </w:rPr>
        <w:t>3）监理单位建立专门的视频监控系统资料收集、查阅、检索、档案系统，并设置专人专职负责。</w:t>
      </w:r>
    </w:p>
    <w:p w14:paraId="7EDC646B">
      <w:pPr>
        <w:topLinePunct/>
        <w:adjustRightInd w:val="0"/>
        <w:snapToGrid w:val="0"/>
        <w:spacing w:line="480" w:lineRule="exact"/>
        <w:ind w:firstLine="496" w:firstLineChars="200"/>
        <w:rPr>
          <w:snapToGrid w:val="0"/>
          <w:spacing w:val="4"/>
          <w:kern w:val="0"/>
          <w:sz w:val="24"/>
        </w:rPr>
      </w:pPr>
      <w:r>
        <w:rPr>
          <w:snapToGrid w:val="0"/>
          <w:spacing w:val="4"/>
          <w:kern w:val="0"/>
          <w:sz w:val="24"/>
        </w:rPr>
        <w:t>（11）职业健康安全质量事故的处理</w:t>
      </w:r>
    </w:p>
    <w:p w14:paraId="68054CA9">
      <w:pPr>
        <w:topLinePunct/>
        <w:adjustRightInd w:val="0"/>
        <w:snapToGrid w:val="0"/>
        <w:spacing w:line="480" w:lineRule="exact"/>
        <w:ind w:firstLine="496" w:firstLineChars="200"/>
        <w:rPr>
          <w:snapToGrid w:val="0"/>
          <w:spacing w:val="4"/>
          <w:kern w:val="0"/>
          <w:sz w:val="24"/>
        </w:rPr>
      </w:pPr>
      <w:r>
        <w:rPr>
          <w:snapToGrid w:val="0"/>
          <w:spacing w:val="4"/>
          <w:kern w:val="0"/>
          <w:sz w:val="24"/>
        </w:rPr>
        <w:t>对于发生的安全质量事故，监理人及时的向委托人及政府相关部门报告，同时应积极保护事故现场，收集相关的原始资料。监理人在调查事故情况并分析原因、责任后，并将事故调查分析报告提交委托人及政府相关部门。监理人同时应提交相应的防范措施建议书以防止同类事故再次发生。</w:t>
      </w:r>
    </w:p>
    <w:p w14:paraId="2E5AEFE6">
      <w:pPr>
        <w:topLinePunct/>
        <w:adjustRightInd w:val="0"/>
        <w:snapToGrid w:val="0"/>
        <w:spacing w:line="480" w:lineRule="exact"/>
        <w:outlineLvl w:val="4"/>
        <w:rPr>
          <w:b/>
          <w:bCs/>
          <w:snapToGrid w:val="0"/>
          <w:spacing w:val="4"/>
          <w:kern w:val="0"/>
          <w:sz w:val="24"/>
        </w:rPr>
      </w:pPr>
      <w:r>
        <w:rPr>
          <w:rFonts w:hint="eastAsia"/>
          <w:b/>
          <w:snapToGrid w:val="0"/>
          <w:spacing w:val="4"/>
          <w:kern w:val="0"/>
          <w:sz w:val="24"/>
        </w:rPr>
        <w:t xml:space="preserve">4.5 </w:t>
      </w:r>
      <w:r>
        <w:rPr>
          <w:b/>
          <w:snapToGrid w:val="0"/>
          <w:spacing w:val="4"/>
          <w:kern w:val="0"/>
          <w:sz w:val="24"/>
        </w:rPr>
        <w:t>工程材料设备控制工作</w:t>
      </w:r>
    </w:p>
    <w:p w14:paraId="71B211BC">
      <w:pPr>
        <w:topLinePunct/>
        <w:adjustRightInd w:val="0"/>
        <w:snapToGrid w:val="0"/>
        <w:spacing w:line="480" w:lineRule="exact"/>
        <w:ind w:firstLine="496" w:firstLineChars="200"/>
        <w:rPr>
          <w:snapToGrid w:val="0"/>
          <w:spacing w:val="4"/>
          <w:kern w:val="0"/>
          <w:sz w:val="24"/>
        </w:rPr>
      </w:pPr>
      <w:r>
        <w:rPr>
          <w:snapToGrid w:val="0"/>
          <w:spacing w:val="4"/>
          <w:kern w:val="0"/>
          <w:sz w:val="24"/>
        </w:rPr>
        <w:t>（1）甲供材料设备的管理，包括：</w:t>
      </w:r>
    </w:p>
    <w:p w14:paraId="575F4890">
      <w:pPr>
        <w:topLinePunct/>
        <w:adjustRightInd w:val="0"/>
        <w:snapToGrid w:val="0"/>
        <w:spacing w:line="480" w:lineRule="exact"/>
        <w:ind w:firstLine="496" w:firstLineChars="200"/>
        <w:rPr>
          <w:snapToGrid w:val="0"/>
          <w:spacing w:val="4"/>
          <w:kern w:val="0"/>
          <w:sz w:val="24"/>
        </w:rPr>
      </w:pPr>
      <w:r>
        <w:rPr>
          <w:snapToGrid w:val="0"/>
          <w:spacing w:val="4"/>
          <w:kern w:val="0"/>
          <w:sz w:val="24"/>
        </w:rPr>
        <w:t>1）审核施工单位编制的机电设备安装、调试、验收计划；</w:t>
      </w:r>
    </w:p>
    <w:p w14:paraId="7D6FB279">
      <w:pPr>
        <w:topLinePunct/>
        <w:adjustRightInd w:val="0"/>
        <w:snapToGrid w:val="0"/>
        <w:spacing w:line="480" w:lineRule="exact"/>
        <w:ind w:firstLine="496" w:firstLineChars="200"/>
        <w:rPr>
          <w:snapToGrid w:val="0"/>
          <w:spacing w:val="4"/>
          <w:kern w:val="0"/>
          <w:sz w:val="24"/>
        </w:rPr>
      </w:pPr>
      <w:r>
        <w:rPr>
          <w:snapToGrid w:val="0"/>
          <w:spacing w:val="4"/>
          <w:kern w:val="0"/>
          <w:sz w:val="24"/>
        </w:rPr>
        <w:t>2）主持施工图交底审查会；</w:t>
      </w:r>
    </w:p>
    <w:p w14:paraId="411EB6F4">
      <w:pPr>
        <w:topLinePunct/>
        <w:adjustRightInd w:val="0"/>
        <w:snapToGrid w:val="0"/>
        <w:spacing w:line="480" w:lineRule="exact"/>
        <w:ind w:firstLine="496" w:firstLineChars="200"/>
        <w:rPr>
          <w:snapToGrid w:val="0"/>
          <w:spacing w:val="4"/>
          <w:kern w:val="0"/>
          <w:sz w:val="24"/>
        </w:rPr>
      </w:pPr>
      <w:r>
        <w:rPr>
          <w:snapToGrid w:val="0"/>
          <w:spacing w:val="4"/>
          <w:kern w:val="0"/>
          <w:sz w:val="24"/>
        </w:rPr>
        <w:t>3）检查施工单位为设备提供运输所需通道和卸货作业场地及设备仓库或符合要求的材料堆放场地的落实情况；</w:t>
      </w:r>
    </w:p>
    <w:p w14:paraId="525D972A">
      <w:pPr>
        <w:topLinePunct/>
        <w:adjustRightInd w:val="0"/>
        <w:snapToGrid w:val="0"/>
        <w:spacing w:line="480" w:lineRule="exact"/>
        <w:ind w:firstLine="496" w:firstLineChars="200"/>
        <w:rPr>
          <w:snapToGrid w:val="0"/>
          <w:spacing w:val="4"/>
          <w:kern w:val="0"/>
          <w:sz w:val="24"/>
        </w:rPr>
      </w:pPr>
      <w:r>
        <w:rPr>
          <w:snapToGrid w:val="0"/>
          <w:spacing w:val="4"/>
          <w:kern w:val="0"/>
          <w:sz w:val="24"/>
        </w:rPr>
        <w:t>4）参加设备的到货验收、开箱检验，并签署相关文件；</w:t>
      </w:r>
    </w:p>
    <w:p w14:paraId="6B7D0F01">
      <w:pPr>
        <w:topLinePunct/>
        <w:adjustRightInd w:val="0"/>
        <w:snapToGrid w:val="0"/>
        <w:spacing w:line="480" w:lineRule="exact"/>
        <w:ind w:firstLine="496" w:firstLineChars="200"/>
        <w:rPr>
          <w:snapToGrid w:val="0"/>
          <w:spacing w:val="4"/>
          <w:kern w:val="0"/>
          <w:sz w:val="24"/>
        </w:rPr>
      </w:pPr>
      <w:r>
        <w:rPr>
          <w:snapToGrid w:val="0"/>
          <w:spacing w:val="4"/>
          <w:kern w:val="0"/>
          <w:sz w:val="24"/>
        </w:rPr>
        <w:t>5）负责机电设备安装、调试、验收过程中的质量、安全、进度控制。</w:t>
      </w:r>
    </w:p>
    <w:p w14:paraId="37B59705">
      <w:pPr>
        <w:topLinePunct/>
        <w:adjustRightInd w:val="0"/>
        <w:snapToGrid w:val="0"/>
        <w:spacing w:line="480" w:lineRule="exact"/>
        <w:ind w:firstLine="496" w:firstLineChars="200"/>
        <w:rPr>
          <w:snapToGrid w:val="0"/>
          <w:spacing w:val="4"/>
          <w:kern w:val="0"/>
          <w:sz w:val="24"/>
        </w:rPr>
      </w:pPr>
      <w:r>
        <w:rPr>
          <w:snapToGrid w:val="0"/>
          <w:spacing w:val="4"/>
          <w:kern w:val="0"/>
          <w:sz w:val="24"/>
        </w:rPr>
        <w:t>（2）甲招乙供材料设备的管理，包括：</w:t>
      </w:r>
    </w:p>
    <w:p w14:paraId="4C6F65D2">
      <w:pPr>
        <w:topLinePunct/>
        <w:adjustRightInd w:val="0"/>
        <w:snapToGrid w:val="0"/>
        <w:spacing w:line="480" w:lineRule="exact"/>
        <w:ind w:firstLine="496" w:firstLineChars="200"/>
        <w:rPr>
          <w:snapToGrid w:val="0"/>
          <w:spacing w:val="4"/>
          <w:kern w:val="0"/>
          <w:sz w:val="24"/>
        </w:rPr>
      </w:pPr>
      <w:r>
        <w:rPr>
          <w:snapToGrid w:val="0"/>
          <w:spacing w:val="4"/>
          <w:kern w:val="0"/>
          <w:sz w:val="24"/>
        </w:rPr>
        <w:t>1）协助委托人针对甲招乙供材料设备开展的公开招标活动；</w:t>
      </w:r>
    </w:p>
    <w:p w14:paraId="68A1FC4F">
      <w:pPr>
        <w:topLinePunct/>
        <w:adjustRightInd w:val="0"/>
        <w:snapToGrid w:val="0"/>
        <w:spacing w:line="480" w:lineRule="exact"/>
        <w:ind w:firstLine="496" w:firstLineChars="200"/>
        <w:rPr>
          <w:snapToGrid w:val="0"/>
          <w:spacing w:val="4"/>
          <w:kern w:val="0"/>
          <w:sz w:val="24"/>
        </w:rPr>
      </w:pPr>
      <w:r>
        <w:rPr>
          <w:snapToGrid w:val="0"/>
          <w:spacing w:val="4"/>
          <w:kern w:val="0"/>
          <w:sz w:val="24"/>
        </w:rPr>
        <w:t>2）督促并审核施工单位签订材料设备供货合同及合同款的支付情况；</w:t>
      </w:r>
    </w:p>
    <w:p w14:paraId="2959466E">
      <w:pPr>
        <w:topLinePunct/>
        <w:adjustRightInd w:val="0"/>
        <w:snapToGrid w:val="0"/>
        <w:spacing w:line="480" w:lineRule="exact"/>
        <w:ind w:firstLine="496" w:firstLineChars="200"/>
        <w:rPr>
          <w:snapToGrid w:val="0"/>
          <w:spacing w:val="4"/>
          <w:kern w:val="0"/>
          <w:sz w:val="24"/>
        </w:rPr>
      </w:pPr>
      <w:r>
        <w:rPr>
          <w:snapToGrid w:val="0"/>
          <w:spacing w:val="4"/>
          <w:kern w:val="0"/>
          <w:sz w:val="24"/>
        </w:rPr>
        <w:t>3）审核并批准施工单位编制的材料设备生产和到货进度计划；</w:t>
      </w:r>
    </w:p>
    <w:p w14:paraId="60EFBABB">
      <w:pPr>
        <w:topLinePunct/>
        <w:adjustRightInd w:val="0"/>
        <w:snapToGrid w:val="0"/>
        <w:spacing w:line="480" w:lineRule="exact"/>
        <w:ind w:firstLine="496" w:firstLineChars="200"/>
        <w:rPr>
          <w:snapToGrid w:val="0"/>
          <w:spacing w:val="4"/>
          <w:kern w:val="0"/>
          <w:sz w:val="24"/>
        </w:rPr>
      </w:pPr>
      <w:r>
        <w:rPr>
          <w:snapToGrid w:val="0"/>
          <w:spacing w:val="4"/>
          <w:kern w:val="0"/>
          <w:sz w:val="24"/>
        </w:rPr>
        <w:t>4）审核施工单位编制的机电设备安装、调试、验收计划；</w:t>
      </w:r>
    </w:p>
    <w:p w14:paraId="67DB90CA">
      <w:pPr>
        <w:topLinePunct/>
        <w:adjustRightInd w:val="0"/>
        <w:snapToGrid w:val="0"/>
        <w:spacing w:line="480" w:lineRule="exact"/>
        <w:ind w:firstLine="496" w:firstLineChars="200"/>
        <w:rPr>
          <w:snapToGrid w:val="0"/>
          <w:spacing w:val="4"/>
          <w:kern w:val="0"/>
          <w:sz w:val="24"/>
        </w:rPr>
      </w:pPr>
      <w:r>
        <w:rPr>
          <w:snapToGrid w:val="0"/>
          <w:spacing w:val="4"/>
          <w:kern w:val="0"/>
          <w:sz w:val="24"/>
        </w:rPr>
        <w:t>5）检查施工单位为设备提供运输所需通道和卸货作业场地及设备仓库或符合要求的材料堆放场地的落实情况；</w:t>
      </w:r>
    </w:p>
    <w:p w14:paraId="6D4E950F">
      <w:pPr>
        <w:topLinePunct/>
        <w:adjustRightInd w:val="0"/>
        <w:snapToGrid w:val="0"/>
        <w:spacing w:line="480" w:lineRule="exact"/>
        <w:ind w:firstLine="496" w:firstLineChars="200"/>
        <w:rPr>
          <w:snapToGrid w:val="0"/>
          <w:spacing w:val="4"/>
          <w:kern w:val="0"/>
          <w:sz w:val="24"/>
        </w:rPr>
      </w:pPr>
      <w:r>
        <w:rPr>
          <w:snapToGrid w:val="0"/>
          <w:spacing w:val="4"/>
          <w:kern w:val="0"/>
          <w:sz w:val="24"/>
        </w:rPr>
        <w:t>6）参加设备的到货验收、开箱检验，并签署相关文件；</w:t>
      </w:r>
    </w:p>
    <w:p w14:paraId="7AB94E11">
      <w:pPr>
        <w:topLinePunct/>
        <w:adjustRightInd w:val="0"/>
        <w:snapToGrid w:val="0"/>
        <w:spacing w:line="480" w:lineRule="exact"/>
        <w:ind w:firstLine="496" w:firstLineChars="200"/>
        <w:rPr>
          <w:snapToGrid w:val="0"/>
          <w:spacing w:val="4"/>
          <w:kern w:val="0"/>
          <w:sz w:val="24"/>
        </w:rPr>
      </w:pPr>
      <w:r>
        <w:rPr>
          <w:snapToGrid w:val="0"/>
          <w:spacing w:val="4"/>
          <w:kern w:val="0"/>
          <w:sz w:val="24"/>
        </w:rPr>
        <w:t>7）负责机电设备安装、调试、验收过程中的投资、质量、进度控制；</w:t>
      </w:r>
    </w:p>
    <w:p w14:paraId="31F4D87D">
      <w:pPr>
        <w:topLinePunct/>
        <w:adjustRightInd w:val="0"/>
        <w:snapToGrid w:val="0"/>
        <w:spacing w:line="480" w:lineRule="exact"/>
        <w:ind w:firstLine="496" w:firstLineChars="200"/>
        <w:rPr>
          <w:snapToGrid w:val="0"/>
          <w:spacing w:val="4"/>
          <w:kern w:val="0"/>
          <w:sz w:val="24"/>
        </w:rPr>
      </w:pPr>
      <w:r>
        <w:rPr>
          <w:snapToGrid w:val="0"/>
          <w:spacing w:val="4"/>
          <w:kern w:val="0"/>
          <w:sz w:val="24"/>
        </w:rPr>
        <w:t>8）审核施工单位提供的材料设备的结算资料。</w:t>
      </w:r>
    </w:p>
    <w:p w14:paraId="1922060F">
      <w:pPr>
        <w:topLinePunct/>
        <w:adjustRightInd w:val="0"/>
        <w:snapToGrid w:val="0"/>
        <w:spacing w:line="480" w:lineRule="exact"/>
        <w:ind w:firstLine="496" w:firstLineChars="200"/>
        <w:rPr>
          <w:snapToGrid w:val="0"/>
          <w:spacing w:val="4"/>
          <w:kern w:val="0"/>
          <w:sz w:val="24"/>
        </w:rPr>
      </w:pPr>
      <w:r>
        <w:rPr>
          <w:snapToGrid w:val="0"/>
          <w:spacing w:val="4"/>
          <w:kern w:val="0"/>
          <w:sz w:val="24"/>
        </w:rPr>
        <w:t>（3）甲管乙供材料设备的管理，包括：</w:t>
      </w:r>
    </w:p>
    <w:p w14:paraId="494F2E56">
      <w:pPr>
        <w:topLinePunct/>
        <w:adjustRightInd w:val="0"/>
        <w:snapToGrid w:val="0"/>
        <w:spacing w:line="480" w:lineRule="exact"/>
        <w:ind w:firstLine="496" w:firstLineChars="200"/>
        <w:rPr>
          <w:snapToGrid w:val="0"/>
          <w:spacing w:val="4"/>
          <w:kern w:val="0"/>
          <w:sz w:val="24"/>
        </w:rPr>
      </w:pPr>
      <w:r>
        <w:rPr>
          <w:snapToGrid w:val="0"/>
          <w:spacing w:val="4"/>
          <w:kern w:val="0"/>
          <w:sz w:val="24"/>
        </w:rPr>
        <w:t>1）协助委托人针对甲管乙供材料设备的公开择优竞价活动；</w:t>
      </w:r>
    </w:p>
    <w:p w14:paraId="7DB17E9E">
      <w:pPr>
        <w:topLinePunct/>
        <w:adjustRightInd w:val="0"/>
        <w:snapToGrid w:val="0"/>
        <w:spacing w:line="480" w:lineRule="exact"/>
        <w:ind w:firstLine="496" w:firstLineChars="200"/>
        <w:rPr>
          <w:snapToGrid w:val="0"/>
          <w:spacing w:val="4"/>
          <w:kern w:val="0"/>
          <w:sz w:val="24"/>
        </w:rPr>
      </w:pPr>
      <w:r>
        <w:rPr>
          <w:snapToGrid w:val="0"/>
          <w:spacing w:val="4"/>
          <w:kern w:val="0"/>
          <w:sz w:val="24"/>
        </w:rPr>
        <w:t>2）督促并审核施工单位签订材料设备供货合同及合同款的支付情况；</w:t>
      </w:r>
    </w:p>
    <w:p w14:paraId="1D536A63">
      <w:pPr>
        <w:topLinePunct/>
        <w:adjustRightInd w:val="0"/>
        <w:snapToGrid w:val="0"/>
        <w:spacing w:line="480" w:lineRule="exact"/>
        <w:ind w:firstLine="496" w:firstLineChars="200"/>
        <w:rPr>
          <w:snapToGrid w:val="0"/>
          <w:spacing w:val="4"/>
          <w:kern w:val="0"/>
          <w:sz w:val="24"/>
        </w:rPr>
      </w:pPr>
      <w:r>
        <w:rPr>
          <w:snapToGrid w:val="0"/>
          <w:spacing w:val="4"/>
          <w:kern w:val="0"/>
          <w:sz w:val="24"/>
        </w:rPr>
        <w:t>3）审核施工单位提供的材料设备数量；</w:t>
      </w:r>
    </w:p>
    <w:p w14:paraId="24251C87">
      <w:pPr>
        <w:topLinePunct/>
        <w:adjustRightInd w:val="0"/>
        <w:snapToGrid w:val="0"/>
        <w:spacing w:line="480" w:lineRule="exact"/>
        <w:ind w:firstLine="496" w:firstLineChars="200"/>
        <w:rPr>
          <w:snapToGrid w:val="0"/>
          <w:spacing w:val="4"/>
          <w:kern w:val="0"/>
          <w:sz w:val="24"/>
        </w:rPr>
      </w:pPr>
      <w:r>
        <w:rPr>
          <w:snapToGrid w:val="0"/>
          <w:spacing w:val="4"/>
          <w:kern w:val="0"/>
          <w:sz w:val="24"/>
        </w:rPr>
        <w:t>4）审核并批准施工单位编制的材料设备生产和到货进度计划；</w:t>
      </w:r>
    </w:p>
    <w:p w14:paraId="3EC4223D">
      <w:pPr>
        <w:topLinePunct/>
        <w:adjustRightInd w:val="0"/>
        <w:snapToGrid w:val="0"/>
        <w:spacing w:line="480" w:lineRule="exact"/>
        <w:ind w:firstLine="496" w:firstLineChars="200"/>
        <w:rPr>
          <w:snapToGrid w:val="0"/>
          <w:spacing w:val="4"/>
          <w:kern w:val="0"/>
          <w:sz w:val="24"/>
        </w:rPr>
      </w:pPr>
      <w:r>
        <w:rPr>
          <w:snapToGrid w:val="0"/>
          <w:spacing w:val="4"/>
          <w:kern w:val="0"/>
          <w:sz w:val="24"/>
        </w:rPr>
        <w:t>5）监督检查施工单位对材料设备生产的质量控制；</w:t>
      </w:r>
    </w:p>
    <w:p w14:paraId="056244AC">
      <w:pPr>
        <w:topLinePunct/>
        <w:adjustRightInd w:val="0"/>
        <w:snapToGrid w:val="0"/>
        <w:spacing w:line="480" w:lineRule="exact"/>
        <w:ind w:firstLine="496" w:firstLineChars="200"/>
        <w:rPr>
          <w:snapToGrid w:val="0"/>
          <w:spacing w:val="4"/>
          <w:kern w:val="0"/>
          <w:sz w:val="24"/>
        </w:rPr>
      </w:pPr>
      <w:r>
        <w:rPr>
          <w:snapToGrid w:val="0"/>
          <w:spacing w:val="4"/>
          <w:kern w:val="0"/>
          <w:sz w:val="24"/>
        </w:rPr>
        <w:t>6）参加出厂验收；</w:t>
      </w:r>
    </w:p>
    <w:p w14:paraId="25F12B0A">
      <w:pPr>
        <w:topLinePunct/>
        <w:adjustRightInd w:val="0"/>
        <w:snapToGrid w:val="0"/>
        <w:spacing w:line="480" w:lineRule="exact"/>
        <w:ind w:firstLine="496" w:firstLineChars="200"/>
        <w:rPr>
          <w:snapToGrid w:val="0"/>
          <w:spacing w:val="4"/>
          <w:kern w:val="0"/>
          <w:sz w:val="24"/>
        </w:rPr>
      </w:pPr>
      <w:r>
        <w:rPr>
          <w:snapToGrid w:val="0"/>
          <w:spacing w:val="4"/>
          <w:kern w:val="0"/>
          <w:sz w:val="24"/>
        </w:rPr>
        <w:t>7）审核施工单位编制的材料设备安装、调试、验收计划；</w:t>
      </w:r>
    </w:p>
    <w:p w14:paraId="300CED16">
      <w:pPr>
        <w:topLinePunct/>
        <w:adjustRightInd w:val="0"/>
        <w:snapToGrid w:val="0"/>
        <w:spacing w:line="480" w:lineRule="exact"/>
        <w:ind w:firstLine="496" w:firstLineChars="200"/>
        <w:rPr>
          <w:snapToGrid w:val="0"/>
          <w:spacing w:val="4"/>
          <w:kern w:val="0"/>
          <w:sz w:val="24"/>
        </w:rPr>
      </w:pPr>
      <w:r>
        <w:rPr>
          <w:snapToGrid w:val="0"/>
          <w:spacing w:val="4"/>
          <w:kern w:val="0"/>
          <w:sz w:val="24"/>
        </w:rPr>
        <w:t>8）主持施工图交底审查会；</w:t>
      </w:r>
    </w:p>
    <w:p w14:paraId="7AF01F48">
      <w:pPr>
        <w:topLinePunct/>
        <w:adjustRightInd w:val="0"/>
        <w:snapToGrid w:val="0"/>
        <w:spacing w:line="480" w:lineRule="exact"/>
        <w:ind w:firstLine="496" w:firstLineChars="200"/>
        <w:rPr>
          <w:snapToGrid w:val="0"/>
          <w:spacing w:val="4"/>
          <w:kern w:val="0"/>
          <w:sz w:val="24"/>
        </w:rPr>
      </w:pPr>
      <w:r>
        <w:rPr>
          <w:snapToGrid w:val="0"/>
          <w:spacing w:val="4"/>
          <w:kern w:val="0"/>
          <w:sz w:val="24"/>
        </w:rPr>
        <w:t>9）检查施工单位为材料设备提供运输所需通道和卸货作业场地及材料设备仓库或符合要求的材料堆放场地的落实情况；</w:t>
      </w:r>
    </w:p>
    <w:p w14:paraId="68ED197F">
      <w:pPr>
        <w:topLinePunct/>
        <w:adjustRightInd w:val="0"/>
        <w:snapToGrid w:val="0"/>
        <w:spacing w:line="480" w:lineRule="exact"/>
        <w:ind w:firstLine="496" w:firstLineChars="200"/>
        <w:rPr>
          <w:snapToGrid w:val="0"/>
          <w:spacing w:val="4"/>
          <w:kern w:val="0"/>
          <w:sz w:val="24"/>
        </w:rPr>
      </w:pPr>
      <w:r>
        <w:rPr>
          <w:snapToGrid w:val="0"/>
          <w:spacing w:val="4"/>
          <w:kern w:val="0"/>
          <w:sz w:val="24"/>
        </w:rPr>
        <w:t>10）参加材料设备的到货验收、开箱检验，并签署相关文件；</w:t>
      </w:r>
    </w:p>
    <w:p w14:paraId="6AF7FF37">
      <w:pPr>
        <w:topLinePunct/>
        <w:adjustRightInd w:val="0"/>
        <w:snapToGrid w:val="0"/>
        <w:spacing w:line="480" w:lineRule="exact"/>
        <w:ind w:firstLine="496" w:firstLineChars="200"/>
        <w:rPr>
          <w:snapToGrid w:val="0"/>
          <w:spacing w:val="4"/>
          <w:kern w:val="0"/>
          <w:sz w:val="24"/>
        </w:rPr>
      </w:pPr>
      <w:r>
        <w:rPr>
          <w:snapToGrid w:val="0"/>
          <w:spacing w:val="4"/>
          <w:kern w:val="0"/>
          <w:sz w:val="24"/>
        </w:rPr>
        <w:t>11）负责材料设备安装、调试、验收过程中的投资、质量、进度控制；</w:t>
      </w:r>
    </w:p>
    <w:p w14:paraId="4706D844">
      <w:pPr>
        <w:topLinePunct/>
        <w:adjustRightInd w:val="0"/>
        <w:snapToGrid w:val="0"/>
        <w:spacing w:line="480" w:lineRule="exact"/>
        <w:ind w:firstLine="496" w:firstLineChars="200"/>
        <w:rPr>
          <w:snapToGrid w:val="0"/>
          <w:spacing w:val="4"/>
          <w:kern w:val="0"/>
          <w:sz w:val="24"/>
        </w:rPr>
      </w:pPr>
      <w:r>
        <w:rPr>
          <w:snapToGrid w:val="0"/>
          <w:spacing w:val="4"/>
          <w:kern w:val="0"/>
          <w:sz w:val="24"/>
        </w:rPr>
        <w:t>12）审核施工单位提供的材料设备的结算资料；</w:t>
      </w:r>
    </w:p>
    <w:p w14:paraId="6CA38922">
      <w:pPr>
        <w:topLinePunct/>
        <w:adjustRightInd w:val="0"/>
        <w:snapToGrid w:val="0"/>
        <w:spacing w:line="480" w:lineRule="exact"/>
        <w:ind w:firstLine="496" w:firstLineChars="200"/>
        <w:rPr>
          <w:snapToGrid w:val="0"/>
          <w:spacing w:val="4"/>
          <w:kern w:val="0"/>
          <w:sz w:val="24"/>
        </w:rPr>
      </w:pPr>
      <w:r>
        <w:rPr>
          <w:snapToGrid w:val="0"/>
          <w:spacing w:val="4"/>
          <w:kern w:val="0"/>
          <w:sz w:val="24"/>
        </w:rPr>
        <w:t>13）检查质量保证期工作。</w:t>
      </w:r>
    </w:p>
    <w:p w14:paraId="58D0D4C9">
      <w:pPr>
        <w:topLinePunct/>
        <w:adjustRightInd w:val="0"/>
        <w:snapToGrid w:val="0"/>
        <w:spacing w:line="480" w:lineRule="exact"/>
        <w:ind w:firstLine="496" w:firstLineChars="200"/>
        <w:rPr>
          <w:snapToGrid w:val="0"/>
          <w:spacing w:val="4"/>
          <w:kern w:val="0"/>
          <w:sz w:val="24"/>
        </w:rPr>
      </w:pPr>
      <w:r>
        <w:rPr>
          <w:snapToGrid w:val="0"/>
          <w:spacing w:val="4"/>
          <w:kern w:val="0"/>
          <w:sz w:val="24"/>
        </w:rPr>
        <w:t>（4）乙供材料设备的管理，包括：</w:t>
      </w:r>
    </w:p>
    <w:p w14:paraId="5E80118A">
      <w:pPr>
        <w:topLinePunct/>
        <w:adjustRightInd w:val="0"/>
        <w:snapToGrid w:val="0"/>
        <w:spacing w:line="480" w:lineRule="exact"/>
        <w:ind w:firstLine="496" w:firstLineChars="200"/>
        <w:rPr>
          <w:snapToGrid w:val="0"/>
          <w:spacing w:val="4"/>
          <w:kern w:val="0"/>
          <w:sz w:val="24"/>
        </w:rPr>
      </w:pPr>
      <w:r>
        <w:rPr>
          <w:snapToGrid w:val="0"/>
          <w:spacing w:val="4"/>
          <w:kern w:val="0"/>
          <w:sz w:val="24"/>
        </w:rPr>
        <w:t>1）审核工程总体材料设备使用计划和月度材料设备分批使用计划；</w:t>
      </w:r>
    </w:p>
    <w:p w14:paraId="722DB1E6">
      <w:pPr>
        <w:topLinePunct/>
        <w:adjustRightInd w:val="0"/>
        <w:snapToGrid w:val="0"/>
        <w:spacing w:line="480" w:lineRule="exact"/>
        <w:ind w:firstLine="496" w:firstLineChars="200"/>
        <w:rPr>
          <w:snapToGrid w:val="0"/>
          <w:spacing w:val="4"/>
          <w:kern w:val="0"/>
          <w:sz w:val="24"/>
        </w:rPr>
      </w:pPr>
      <w:r>
        <w:rPr>
          <w:snapToGrid w:val="0"/>
          <w:spacing w:val="4"/>
          <w:kern w:val="0"/>
          <w:sz w:val="24"/>
        </w:rPr>
        <w:t>2）审核施工单位选定的材料设备合格供货商并对样品进行封存；</w:t>
      </w:r>
    </w:p>
    <w:p w14:paraId="5E0EAB6E">
      <w:pPr>
        <w:topLinePunct/>
        <w:adjustRightInd w:val="0"/>
        <w:snapToGrid w:val="0"/>
        <w:spacing w:line="480" w:lineRule="exact"/>
        <w:ind w:firstLine="496" w:firstLineChars="200"/>
        <w:rPr>
          <w:snapToGrid w:val="0"/>
          <w:spacing w:val="4"/>
          <w:kern w:val="0"/>
          <w:sz w:val="24"/>
        </w:rPr>
      </w:pPr>
      <w:r>
        <w:rPr>
          <w:snapToGrid w:val="0"/>
          <w:spacing w:val="4"/>
          <w:kern w:val="0"/>
          <w:sz w:val="24"/>
        </w:rPr>
        <w:t>3）督促并审核施工单位签订材料设备供货合同；</w:t>
      </w:r>
    </w:p>
    <w:p w14:paraId="73D383EF">
      <w:pPr>
        <w:topLinePunct/>
        <w:adjustRightInd w:val="0"/>
        <w:snapToGrid w:val="0"/>
        <w:spacing w:line="480" w:lineRule="exact"/>
        <w:ind w:firstLine="496" w:firstLineChars="200"/>
        <w:rPr>
          <w:snapToGrid w:val="0"/>
          <w:spacing w:val="4"/>
          <w:kern w:val="0"/>
          <w:sz w:val="24"/>
        </w:rPr>
      </w:pPr>
      <w:r>
        <w:rPr>
          <w:snapToGrid w:val="0"/>
          <w:spacing w:val="4"/>
          <w:kern w:val="0"/>
          <w:sz w:val="24"/>
        </w:rPr>
        <w:t>4）组织施工单位拟定准确的材料设备进场计划，及时进行材料设备的采购及供货；</w:t>
      </w:r>
    </w:p>
    <w:p w14:paraId="14795406">
      <w:pPr>
        <w:topLinePunct/>
        <w:adjustRightInd w:val="0"/>
        <w:snapToGrid w:val="0"/>
        <w:spacing w:line="480" w:lineRule="exact"/>
        <w:ind w:firstLine="496" w:firstLineChars="200"/>
        <w:rPr>
          <w:snapToGrid w:val="0"/>
          <w:spacing w:val="4"/>
          <w:kern w:val="0"/>
          <w:sz w:val="24"/>
        </w:rPr>
      </w:pPr>
      <w:r>
        <w:rPr>
          <w:snapToGrid w:val="0"/>
          <w:spacing w:val="4"/>
          <w:kern w:val="0"/>
          <w:sz w:val="24"/>
        </w:rPr>
        <w:t>5）组织施工单位认真清点到货材料设备，在安装材料设备过程中及安装后应进行监督、检验，把好质量关；</w:t>
      </w:r>
    </w:p>
    <w:p w14:paraId="0D9928C0">
      <w:pPr>
        <w:topLinePunct/>
        <w:adjustRightInd w:val="0"/>
        <w:snapToGrid w:val="0"/>
        <w:spacing w:line="480" w:lineRule="exact"/>
        <w:ind w:firstLine="496" w:firstLineChars="200"/>
        <w:rPr>
          <w:snapToGrid w:val="0"/>
          <w:spacing w:val="4"/>
          <w:kern w:val="0"/>
          <w:sz w:val="24"/>
        </w:rPr>
      </w:pPr>
      <w:r>
        <w:rPr>
          <w:snapToGrid w:val="0"/>
          <w:spacing w:val="4"/>
          <w:kern w:val="0"/>
          <w:sz w:val="24"/>
        </w:rPr>
        <w:t>6）对施工单位所定材料设备规格、型号、数量、质量必须严格把关，发现货不对板情况应及时向委托人汇报；</w:t>
      </w:r>
    </w:p>
    <w:p w14:paraId="47BCF490">
      <w:pPr>
        <w:topLinePunct/>
        <w:adjustRightInd w:val="0"/>
        <w:snapToGrid w:val="0"/>
        <w:spacing w:line="480" w:lineRule="exact"/>
        <w:ind w:firstLine="496" w:firstLineChars="200"/>
        <w:rPr>
          <w:snapToGrid w:val="0"/>
          <w:spacing w:val="4"/>
          <w:kern w:val="0"/>
          <w:sz w:val="24"/>
        </w:rPr>
      </w:pPr>
      <w:r>
        <w:rPr>
          <w:snapToGrid w:val="0"/>
          <w:spacing w:val="4"/>
          <w:kern w:val="0"/>
          <w:sz w:val="24"/>
        </w:rPr>
        <w:t>7）负责材料设备安装、调试、验收过程中的投资、质量、进度控制；</w:t>
      </w:r>
    </w:p>
    <w:p w14:paraId="36FF1599">
      <w:pPr>
        <w:topLinePunct/>
        <w:adjustRightInd w:val="0"/>
        <w:snapToGrid w:val="0"/>
        <w:spacing w:line="480" w:lineRule="exact"/>
        <w:ind w:firstLine="496" w:firstLineChars="200"/>
        <w:rPr>
          <w:snapToGrid w:val="0"/>
          <w:spacing w:val="4"/>
          <w:kern w:val="0"/>
          <w:sz w:val="24"/>
        </w:rPr>
      </w:pPr>
      <w:r>
        <w:rPr>
          <w:snapToGrid w:val="0"/>
          <w:spacing w:val="4"/>
          <w:kern w:val="0"/>
          <w:sz w:val="24"/>
        </w:rPr>
        <w:t>8）审核施工单位提供的材料设备的结算资料；</w:t>
      </w:r>
    </w:p>
    <w:p w14:paraId="72EC6DE3">
      <w:pPr>
        <w:topLinePunct/>
        <w:adjustRightInd w:val="0"/>
        <w:snapToGrid w:val="0"/>
        <w:spacing w:line="480" w:lineRule="exact"/>
        <w:ind w:firstLine="496" w:firstLineChars="200"/>
        <w:rPr>
          <w:snapToGrid w:val="0"/>
          <w:spacing w:val="4"/>
          <w:kern w:val="0"/>
          <w:sz w:val="24"/>
        </w:rPr>
      </w:pPr>
      <w:r>
        <w:rPr>
          <w:snapToGrid w:val="0"/>
          <w:spacing w:val="4"/>
          <w:kern w:val="0"/>
          <w:sz w:val="24"/>
        </w:rPr>
        <w:t>9）检查质量保证期工作。</w:t>
      </w:r>
    </w:p>
    <w:p w14:paraId="73409F76">
      <w:pPr>
        <w:topLinePunct/>
        <w:adjustRightInd w:val="0"/>
        <w:snapToGrid w:val="0"/>
        <w:spacing w:line="480" w:lineRule="exact"/>
        <w:ind w:firstLine="496" w:firstLineChars="200"/>
        <w:rPr>
          <w:snapToGrid w:val="0"/>
          <w:spacing w:val="4"/>
          <w:kern w:val="0"/>
          <w:sz w:val="24"/>
        </w:rPr>
      </w:pPr>
      <w:r>
        <w:rPr>
          <w:snapToGrid w:val="0"/>
          <w:spacing w:val="4"/>
          <w:kern w:val="0"/>
          <w:sz w:val="24"/>
        </w:rPr>
        <w:t>（5）建筑装饰材料的管理，包括：</w:t>
      </w:r>
    </w:p>
    <w:p w14:paraId="113277C4">
      <w:pPr>
        <w:topLinePunct/>
        <w:adjustRightInd w:val="0"/>
        <w:snapToGrid w:val="0"/>
        <w:spacing w:line="480" w:lineRule="exact"/>
        <w:ind w:firstLine="496" w:firstLineChars="200"/>
        <w:rPr>
          <w:snapToGrid w:val="0"/>
          <w:spacing w:val="4"/>
          <w:kern w:val="0"/>
          <w:sz w:val="24"/>
        </w:rPr>
      </w:pPr>
      <w:r>
        <w:rPr>
          <w:snapToGrid w:val="0"/>
          <w:spacing w:val="4"/>
          <w:kern w:val="0"/>
          <w:sz w:val="24"/>
        </w:rPr>
        <w:t>1）协助委托人进行材料管理及采购策划；</w:t>
      </w:r>
    </w:p>
    <w:p w14:paraId="58296475">
      <w:pPr>
        <w:topLinePunct/>
        <w:adjustRightInd w:val="0"/>
        <w:snapToGrid w:val="0"/>
        <w:spacing w:line="480" w:lineRule="exact"/>
        <w:ind w:firstLine="496" w:firstLineChars="200"/>
        <w:rPr>
          <w:snapToGrid w:val="0"/>
          <w:spacing w:val="4"/>
          <w:kern w:val="0"/>
          <w:sz w:val="24"/>
        </w:rPr>
      </w:pPr>
      <w:r>
        <w:rPr>
          <w:snapToGrid w:val="0"/>
          <w:spacing w:val="4"/>
          <w:kern w:val="0"/>
          <w:sz w:val="24"/>
        </w:rPr>
        <w:t>2）协助委托人选定合格材料供货商；</w:t>
      </w:r>
    </w:p>
    <w:p w14:paraId="46FFB691">
      <w:pPr>
        <w:topLinePunct/>
        <w:adjustRightInd w:val="0"/>
        <w:snapToGrid w:val="0"/>
        <w:spacing w:line="480" w:lineRule="exact"/>
        <w:ind w:firstLine="496" w:firstLineChars="200"/>
        <w:rPr>
          <w:snapToGrid w:val="0"/>
          <w:spacing w:val="4"/>
          <w:kern w:val="0"/>
          <w:sz w:val="24"/>
        </w:rPr>
      </w:pPr>
      <w:r>
        <w:rPr>
          <w:snapToGrid w:val="0"/>
          <w:spacing w:val="4"/>
          <w:kern w:val="0"/>
          <w:sz w:val="24"/>
        </w:rPr>
        <w:t>3）协助并督促施工单位签订材料供货合同；</w:t>
      </w:r>
    </w:p>
    <w:p w14:paraId="5B0BBF40">
      <w:pPr>
        <w:topLinePunct/>
        <w:adjustRightInd w:val="0"/>
        <w:snapToGrid w:val="0"/>
        <w:spacing w:line="480" w:lineRule="exact"/>
        <w:ind w:firstLine="496" w:firstLineChars="200"/>
        <w:rPr>
          <w:snapToGrid w:val="0"/>
          <w:spacing w:val="4"/>
          <w:kern w:val="0"/>
          <w:sz w:val="24"/>
        </w:rPr>
      </w:pPr>
      <w:r>
        <w:rPr>
          <w:snapToGrid w:val="0"/>
          <w:spacing w:val="4"/>
          <w:kern w:val="0"/>
          <w:sz w:val="24"/>
        </w:rPr>
        <w:t>4）督促施工单位拟定准确的分批次订货计划，及时进行材料的采购及供货；</w:t>
      </w:r>
    </w:p>
    <w:p w14:paraId="6CB4EDA3">
      <w:pPr>
        <w:topLinePunct/>
        <w:adjustRightInd w:val="0"/>
        <w:snapToGrid w:val="0"/>
        <w:spacing w:line="480" w:lineRule="exact"/>
        <w:ind w:firstLine="496" w:firstLineChars="200"/>
        <w:rPr>
          <w:snapToGrid w:val="0"/>
          <w:spacing w:val="4"/>
          <w:kern w:val="0"/>
          <w:sz w:val="24"/>
        </w:rPr>
      </w:pPr>
      <w:r>
        <w:rPr>
          <w:snapToGrid w:val="0"/>
          <w:spacing w:val="4"/>
          <w:kern w:val="0"/>
          <w:sz w:val="24"/>
        </w:rPr>
        <w:t>5）对材料到货、施工过程中及施工后进行监督、检验，把好材料质量关；</w:t>
      </w:r>
    </w:p>
    <w:p w14:paraId="740D7BED">
      <w:pPr>
        <w:topLinePunct/>
        <w:adjustRightInd w:val="0"/>
        <w:snapToGrid w:val="0"/>
        <w:spacing w:line="480" w:lineRule="exact"/>
        <w:ind w:firstLine="496" w:firstLineChars="200"/>
        <w:rPr>
          <w:snapToGrid w:val="0"/>
          <w:spacing w:val="4"/>
          <w:kern w:val="0"/>
          <w:sz w:val="24"/>
        </w:rPr>
      </w:pPr>
      <w:r>
        <w:rPr>
          <w:snapToGrid w:val="0"/>
          <w:spacing w:val="4"/>
          <w:kern w:val="0"/>
          <w:sz w:val="24"/>
        </w:rPr>
        <w:t>6）对材料变更费用进行预测及审核，提出专业意见及建议；</w:t>
      </w:r>
    </w:p>
    <w:p w14:paraId="44581AB9">
      <w:pPr>
        <w:topLinePunct/>
        <w:adjustRightInd w:val="0"/>
        <w:snapToGrid w:val="0"/>
        <w:spacing w:line="480" w:lineRule="exact"/>
        <w:ind w:firstLine="496" w:firstLineChars="200"/>
        <w:rPr>
          <w:snapToGrid w:val="0"/>
          <w:spacing w:val="4"/>
          <w:kern w:val="0"/>
          <w:sz w:val="24"/>
        </w:rPr>
      </w:pPr>
      <w:r>
        <w:rPr>
          <w:snapToGrid w:val="0"/>
          <w:spacing w:val="4"/>
          <w:kern w:val="0"/>
          <w:sz w:val="24"/>
        </w:rPr>
        <w:t>7）负责供货单位与施工单位的协调。</w:t>
      </w:r>
    </w:p>
    <w:p w14:paraId="03060D24">
      <w:pPr>
        <w:topLinePunct/>
        <w:adjustRightInd w:val="0"/>
        <w:snapToGrid w:val="0"/>
        <w:spacing w:line="480" w:lineRule="exact"/>
        <w:ind w:firstLine="496" w:firstLineChars="200"/>
        <w:rPr>
          <w:snapToGrid w:val="0"/>
          <w:spacing w:val="4"/>
          <w:kern w:val="0"/>
          <w:sz w:val="24"/>
        </w:rPr>
      </w:pPr>
      <w:r>
        <w:rPr>
          <w:snapToGrid w:val="0"/>
          <w:spacing w:val="4"/>
          <w:kern w:val="0"/>
          <w:sz w:val="24"/>
        </w:rPr>
        <w:t>（6）材料设备采购监理，包括：</w:t>
      </w:r>
    </w:p>
    <w:p w14:paraId="1A32E111">
      <w:pPr>
        <w:topLinePunct/>
        <w:adjustRightInd w:val="0"/>
        <w:snapToGrid w:val="0"/>
        <w:spacing w:line="480" w:lineRule="exact"/>
        <w:ind w:firstLine="496" w:firstLineChars="200"/>
        <w:rPr>
          <w:snapToGrid w:val="0"/>
          <w:spacing w:val="4"/>
          <w:kern w:val="0"/>
          <w:sz w:val="24"/>
        </w:rPr>
      </w:pPr>
      <w:r>
        <w:rPr>
          <w:snapToGrid w:val="0"/>
          <w:spacing w:val="4"/>
          <w:kern w:val="0"/>
          <w:sz w:val="24"/>
        </w:rPr>
        <w:t>1）委托监理合同；</w:t>
      </w:r>
    </w:p>
    <w:p w14:paraId="2CF10B7E">
      <w:pPr>
        <w:topLinePunct/>
        <w:adjustRightInd w:val="0"/>
        <w:snapToGrid w:val="0"/>
        <w:spacing w:line="480" w:lineRule="exact"/>
        <w:ind w:firstLine="496" w:firstLineChars="200"/>
        <w:rPr>
          <w:snapToGrid w:val="0"/>
          <w:spacing w:val="4"/>
          <w:kern w:val="0"/>
          <w:sz w:val="24"/>
        </w:rPr>
      </w:pPr>
      <w:r>
        <w:rPr>
          <w:snapToGrid w:val="0"/>
          <w:spacing w:val="4"/>
          <w:kern w:val="0"/>
          <w:sz w:val="24"/>
        </w:rPr>
        <w:t>2）设备采购方案计划；</w:t>
      </w:r>
    </w:p>
    <w:p w14:paraId="3652A1BD">
      <w:pPr>
        <w:topLinePunct/>
        <w:adjustRightInd w:val="0"/>
        <w:snapToGrid w:val="0"/>
        <w:spacing w:line="480" w:lineRule="exact"/>
        <w:ind w:firstLine="496" w:firstLineChars="200"/>
        <w:rPr>
          <w:snapToGrid w:val="0"/>
          <w:spacing w:val="4"/>
          <w:kern w:val="0"/>
          <w:sz w:val="24"/>
        </w:rPr>
      </w:pPr>
      <w:r>
        <w:rPr>
          <w:snapToGrid w:val="0"/>
          <w:spacing w:val="4"/>
          <w:kern w:val="0"/>
          <w:sz w:val="24"/>
        </w:rPr>
        <w:t>3）设计图纸和文件；</w:t>
      </w:r>
    </w:p>
    <w:p w14:paraId="1B1395A5">
      <w:pPr>
        <w:topLinePunct/>
        <w:adjustRightInd w:val="0"/>
        <w:snapToGrid w:val="0"/>
        <w:spacing w:line="480" w:lineRule="exact"/>
        <w:ind w:firstLine="496" w:firstLineChars="200"/>
        <w:rPr>
          <w:snapToGrid w:val="0"/>
          <w:spacing w:val="4"/>
          <w:kern w:val="0"/>
          <w:sz w:val="24"/>
        </w:rPr>
      </w:pPr>
      <w:r>
        <w:rPr>
          <w:snapToGrid w:val="0"/>
          <w:spacing w:val="4"/>
          <w:kern w:val="0"/>
          <w:sz w:val="24"/>
        </w:rPr>
        <w:t>4）市场调查、考察报告；</w:t>
      </w:r>
    </w:p>
    <w:p w14:paraId="5960A771">
      <w:pPr>
        <w:topLinePunct/>
        <w:adjustRightInd w:val="0"/>
        <w:snapToGrid w:val="0"/>
        <w:spacing w:line="480" w:lineRule="exact"/>
        <w:ind w:firstLine="496" w:firstLineChars="200"/>
        <w:rPr>
          <w:snapToGrid w:val="0"/>
          <w:spacing w:val="4"/>
          <w:kern w:val="0"/>
          <w:sz w:val="24"/>
        </w:rPr>
      </w:pPr>
      <w:r>
        <w:rPr>
          <w:snapToGrid w:val="0"/>
          <w:spacing w:val="4"/>
          <w:kern w:val="0"/>
          <w:sz w:val="24"/>
        </w:rPr>
        <w:t>5）设备采购招投标文件；</w:t>
      </w:r>
    </w:p>
    <w:p w14:paraId="6C048559">
      <w:pPr>
        <w:topLinePunct/>
        <w:adjustRightInd w:val="0"/>
        <w:snapToGrid w:val="0"/>
        <w:spacing w:line="480" w:lineRule="exact"/>
        <w:ind w:firstLine="496" w:firstLineChars="200"/>
        <w:rPr>
          <w:snapToGrid w:val="0"/>
          <w:spacing w:val="4"/>
          <w:kern w:val="0"/>
          <w:sz w:val="24"/>
        </w:rPr>
      </w:pPr>
      <w:r>
        <w:rPr>
          <w:snapToGrid w:val="0"/>
          <w:spacing w:val="4"/>
          <w:kern w:val="0"/>
          <w:sz w:val="24"/>
        </w:rPr>
        <w:t>6）设备采购订货合同；</w:t>
      </w:r>
    </w:p>
    <w:p w14:paraId="047C855F">
      <w:pPr>
        <w:topLinePunct/>
        <w:adjustRightInd w:val="0"/>
        <w:snapToGrid w:val="0"/>
        <w:spacing w:line="480" w:lineRule="exact"/>
        <w:ind w:firstLine="496" w:firstLineChars="200"/>
        <w:rPr>
          <w:snapToGrid w:val="0"/>
          <w:spacing w:val="4"/>
          <w:kern w:val="0"/>
          <w:sz w:val="24"/>
        </w:rPr>
      </w:pPr>
      <w:r>
        <w:rPr>
          <w:snapToGrid w:val="0"/>
          <w:spacing w:val="4"/>
          <w:kern w:val="0"/>
          <w:sz w:val="24"/>
        </w:rPr>
        <w:t>7）设备采购监理工作总结。</w:t>
      </w:r>
    </w:p>
    <w:p w14:paraId="38153F7D">
      <w:pPr>
        <w:topLinePunct/>
        <w:adjustRightInd w:val="0"/>
        <w:snapToGrid w:val="0"/>
        <w:spacing w:line="480" w:lineRule="exact"/>
        <w:ind w:firstLine="496" w:firstLineChars="200"/>
        <w:rPr>
          <w:snapToGrid w:val="0"/>
          <w:spacing w:val="4"/>
          <w:kern w:val="0"/>
          <w:sz w:val="24"/>
        </w:rPr>
      </w:pPr>
      <w:r>
        <w:rPr>
          <w:snapToGrid w:val="0"/>
          <w:spacing w:val="4"/>
          <w:kern w:val="0"/>
          <w:sz w:val="24"/>
        </w:rPr>
        <w:t>（7）施工阶段材料设备控制中的其它监理工作，包括：</w:t>
      </w:r>
    </w:p>
    <w:p w14:paraId="22317E2C">
      <w:pPr>
        <w:topLinePunct/>
        <w:adjustRightInd w:val="0"/>
        <w:snapToGrid w:val="0"/>
        <w:spacing w:line="480" w:lineRule="exact"/>
        <w:ind w:firstLine="496" w:firstLineChars="200"/>
        <w:rPr>
          <w:snapToGrid w:val="0"/>
          <w:spacing w:val="4"/>
          <w:kern w:val="0"/>
          <w:sz w:val="24"/>
        </w:rPr>
      </w:pPr>
      <w:r>
        <w:rPr>
          <w:snapToGrid w:val="0"/>
          <w:spacing w:val="4"/>
          <w:kern w:val="0"/>
          <w:sz w:val="24"/>
        </w:rPr>
        <w:t>1）根据委托人的委托实施设备监造工作（设备监造酬金包括在本合同价款中），具体工作如下：</w:t>
      </w:r>
    </w:p>
    <w:p w14:paraId="5FC216B4">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监理人应根据设备监造阶段的监理工作内容，成立由总监理工程师和专业监理工程师组成的项目监理机构。项目监理机构应进驻设备制造现场。</w:t>
      </w:r>
    </w:p>
    <w:p w14:paraId="33EDE47D">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总监理工程师应组织专业监理工程师熟悉设备制造图纸及有关技术说明和标准，掌握设计意图和各项设备制造的工艺规程以及设备采购订货合同中的各项规定，并应组织或参加委托人组织的设备制造图纸的设计交底。</w:t>
      </w:r>
    </w:p>
    <w:p w14:paraId="486354DE">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总监理工程师应组织专业监理工程师编制设备监造规划，经监理人技术负责人审核批准后，在设备制造开始前十天内报送委托人。</w:t>
      </w:r>
    </w:p>
    <w:p w14:paraId="25BBB11A">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总监理工程师应审查设备制造单位报送的设备制造生产计划和工艺方案，提出审查意见，符合要求后予以批准，并报委托人。</w:t>
      </w:r>
    </w:p>
    <w:p w14:paraId="2C85EDDD">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⑤</w:t>
      </w:r>
      <w:r>
        <w:rPr>
          <w:snapToGrid w:val="0"/>
          <w:spacing w:val="4"/>
          <w:kern w:val="0"/>
          <w:sz w:val="24"/>
        </w:rPr>
        <w:t xml:space="preserve"> 总监理工程师应审核设备制造分包单位的资质情况、实际生产能力和质量保证体系，符合要求后予以确认。</w:t>
      </w:r>
    </w:p>
    <w:p w14:paraId="290312B3">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⑥</w:t>
      </w:r>
      <w:r>
        <w:rPr>
          <w:snapToGrid w:val="0"/>
          <w:spacing w:val="4"/>
          <w:kern w:val="0"/>
          <w:sz w:val="24"/>
        </w:rPr>
        <w:t xml:space="preserve"> 专业监理工程师应审查设备制造的检验计划和检验要求，确认各阶段的检验时间、内容、方法、标准以及检测手段、检测设备和仪器。</w:t>
      </w:r>
    </w:p>
    <w:p w14:paraId="75F12794">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⑦</w:t>
      </w:r>
      <w:r>
        <w:rPr>
          <w:snapToGrid w:val="0"/>
          <w:spacing w:val="4"/>
          <w:kern w:val="0"/>
          <w:sz w:val="24"/>
        </w:rPr>
        <w:t xml:space="preserve"> 专业监理工程师必须对设备制造过程中拟采用的新技术、新材料、新工艺的鉴定书和试验报告进行审核，并签署意见。</w:t>
      </w:r>
    </w:p>
    <w:p w14:paraId="3F884EB4">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⑧</w:t>
      </w:r>
      <w:r>
        <w:rPr>
          <w:snapToGrid w:val="0"/>
          <w:spacing w:val="4"/>
          <w:kern w:val="0"/>
          <w:sz w:val="24"/>
        </w:rPr>
        <w:t xml:space="preserve"> 专业监理工程师应审查主要及关键零件的生产工艺设备、操作规程和相关生产人员的上岗资格，并对设备制造和装配场所的环境进行检查。</w:t>
      </w:r>
    </w:p>
    <w:p w14:paraId="6B4025A1">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⑨</w:t>
      </w:r>
      <w:r>
        <w:rPr>
          <w:snapToGrid w:val="0"/>
          <w:spacing w:val="4"/>
          <w:kern w:val="0"/>
          <w:sz w:val="24"/>
        </w:rPr>
        <w:t xml:space="preserve"> 专业监理工程师应审查设备制造的原材料、外购配套件、元器件、标准件以及坯料的质量证明文件及检验报告，检查设备制造单位对外购器件、外协作加工件和材料的质量验收，并由专业监理工程师审查设备制造单位提交的报验资料，符合规定要求时予以签认。</w:t>
      </w:r>
    </w:p>
    <w:p w14:paraId="16F09451">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⑩</w:t>
      </w:r>
      <w:r>
        <w:rPr>
          <w:snapToGrid w:val="0"/>
          <w:spacing w:val="4"/>
          <w:kern w:val="0"/>
          <w:sz w:val="24"/>
        </w:rPr>
        <w:t xml:space="preserve"> 专业监理工程师应对设备制造过程进行监督和检查，对主要及关键零部件的制造工序应进行抽检或检验。</w:t>
      </w:r>
    </w:p>
    <w:p w14:paraId="2676A099">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,11)</w:instrText>
      </w:r>
      <w:r>
        <w:rPr>
          <w:snapToGrid w:val="0"/>
          <w:spacing w:val="4"/>
          <w:kern w:val="0"/>
          <w:sz w:val="24"/>
        </w:rPr>
        <w:fldChar w:fldCharType="end"/>
      </w:r>
      <w:r>
        <w:rPr>
          <w:snapToGrid w:val="0"/>
          <w:spacing w:val="4"/>
          <w:kern w:val="0"/>
          <w:sz w:val="24"/>
        </w:rPr>
        <w:t xml:space="preserve"> 专业监理工程师应要求设备制造单位按批准的检验计划和检验要求进行设备制造过程的检验工作，做好检验记录，并对检验结果进行审核。专业监理工程师认为不符合质量要求时，指令设备制造单位进行整改、返修或返工。当发生质量失控或重大质量事故时，必须由总监理工程师下达暂停制造指令，提出处理意见，并及时报告委托人。</w:t>
      </w:r>
    </w:p>
    <w:p w14:paraId="2FFBD7C3">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,12)</w:instrText>
      </w:r>
      <w:r>
        <w:rPr>
          <w:snapToGrid w:val="0"/>
          <w:spacing w:val="4"/>
          <w:kern w:val="0"/>
          <w:sz w:val="24"/>
        </w:rPr>
        <w:fldChar w:fldCharType="end"/>
      </w:r>
      <w:r>
        <w:rPr>
          <w:snapToGrid w:val="0"/>
          <w:spacing w:val="4"/>
          <w:kern w:val="0"/>
          <w:sz w:val="24"/>
        </w:rPr>
        <w:t xml:space="preserve"> 专业监理工程师应检查和监督设备的装配过程，符合要求后予以签认。</w:t>
      </w:r>
    </w:p>
    <w:p w14:paraId="6B9126EF">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,13)</w:instrText>
      </w:r>
      <w:r>
        <w:rPr>
          <w:snapToGrid w:val="0"/>
          <w:spacing w:val="4"/>
          <w:kern w:val="0"/>
          <w:sz w:val="24"/>
        </w:rPr>
        <w:fldChar w:fldCharType="end"/>
      </w:r>
      <w:r>
        <w:rPr>
          <w:snapToGrid w:val="0"/>
          <w:spacing w:val="4"/>
          <w:kern w:val="0"/>
          <w:sz w:val="24"/>
        </w:rPr>
        <w:t xml:space="preserve"> 在设备制造过程中如需要对设备的原设计进行变更，专业监理工程师应审核设计变更，并审查因变更引起的费用增减和制造工期的变化。</w:t>
      </w:r>
    </w:p>
    <w:p w14:paraId="3A8F8986">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,14)</w:instrText>
      </w:r>
      <w:r>
        <w:rPr>
          <w:snapToGrid w:val="0"/>
          <w:spacing w:val="4"/>
          <w:kern w:val="0"/>
          <w:sz w:val="24"/>
        </w:rPr>
        <w:fldChar w:fldCharType="end"/>
      </w:r>
      <w:r>
        <w:rPr>
          <w:snapToGrid w:val="0"/>
          <w:spacing w:val="4"/>
          <w:kern w:val="0"/>
          <w:sz w:val="24"/>
        </w:rPr>
        <w:t xml:space="preserve"> 总监理工程师应组织专业监理工程师参加设备制造过程中的调试、整机性能检测和验证，符合要求后予以签认。</w:t>
      </w:r>
    </w:p>
    <w:p w14:paraId="2F9BA655">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,15)</w:instrText>
      </w:r>
      <w:r>
        <w:rPr>
          <w:snapToGrid w:val="0"/>
          <w:spacing w:val="4"/>
          <w:kern w:val="0"/>
          <w:sz w:val="24"/>
        </w:rPr>
        <w:fldChar w:fldCharType="end"/>
      </w:r>
      <w:r>
        <w:rPr>
          <w:snapToGrid w:val="0"/>
          <w:spacing w:val="4"/>
          <w:kern w:val="0"/>
          <w:sz w:val="24"/>
        </w:rPr>
        <w:t xml:space="preserve"> 在设备运往现场前，专业监理工程师应检查设备制造单位对待运设备采取的防护和包装措施，并应检查是否符合运输、装卸、储存、安装的要求，以及相关的随机文件、装箱单和附件是否齐全。</w:t>
      </w:r>
    </w:p>
    <w:p w14:paraId="0148DDC1">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,16)</w:instrText>
      </w:r>
      <w:r>
        <w:rPr>
          <w:snapToGrid w:val="0"/>
          <w:spacing w:val="4"/>
          <w:kern w:val="0"/>
          <w:sz w:val="24"/>
        </w:rPr>
        <w:fldChar w:fldCharType="end"/>
      </w:r>
      <w:r>
        <w:rPr>
          <w:snapToGrid w:val="0"/>
          <w:spacing w:val="4"/>
          <w:kern w:val="0"/>
          <w:sz w:val="24"/>
        </w:rPr>
        <w:t xml:space="preserve"> 设备全部运到现场后，总监理工程师应组织专业监理工程师参加由设备制造单位按合同规定与安装单位的交接工作，开箱清点、检查、验收、移交。</w:t>
      </w:r>
    </w:p>
    <w:p w14:paraId="636FE48B">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,17)</w:instrText>
      </w:r>
      <w:r>
        <w:rPr>
          <w:snapToGrid w:val="0"/>
          <w:spacing w:val="4"/>
          <w:kern w:val="0"/>
          <w:sz w:val="24"/>
        </w:rPr>
        <w:fldChar w:fldCharType="end"/>
      </w:r>
      <w:r>
        <w:rPr>
          <w:snapToGrid w:val="0"/>
          <w:spacing w:val="4"/>
          <w:kern w:val="0"/>
          <w:sz w:val="24"/>
        </w:rPr>
        <w:t xml:space="preserve"> 专业监理工程师应按设备采购合同的规定审核设备制造单位提交的进度付款单，提出审核意见，由总监理工程师复核后报委托人。</w:t>
      </w:r>
    </w:p>
    <w:p w14:paraId="569F8183">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,18)</w:instrText>
      </w:r>
      <w:r>
        <w:rPr>
          <w:snapToGrid w:val="0"/>
          <w:spacing w:val="4"/>
          <w:kern w:val="0"/>
          <w:sz w:val="24"/>
        </w:rPr>
        <w:fldChar w:fldCharType="end"/>
      </w:r>
      <w:r>
        <w:rPr>
          <w:snapToGrid w:val="0"/>
          <w:spacing w:val="4"/>
          <w:kern w:val="0"/>
          <w:sz w:val="24"/>
        </w:rPr>
        <w:t xml:space="preserve"> 专业监理工程师应审查委托人或设备制造单位提出的索赔文件，提出意见后报总监理工程师，由总监理工程师与委托人、设备制造单位进行协商，并提出审核报告。</w:t>
      </w:r>
    </w:p>
    <w:p w14:paraId="40385BCD">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,19)</w:instrText>
      </w:r>
      <w:r>
        <w:rPr>
          <w:snapToGrid w:val="0"/>
          <w:spacing w:val="4"/>
          <w:kern w:val="0"/>
          <w:sz w:val="24"/>
        </w:rPr>
        <w:fldChar w:fldCharType="end"/>
      </w:r>
      <w:r>
        <w:rPr>
          <w:snapToGrid w:val="0"/>
          <w:spacing w:val="4"/>
          <w:kern w:val="0"/>
          <w:sz w:val="24"/>
        </w:rPr>
        <w:t xml:space="preserve"> 专业监理工程师应审核设备制造单位报送的设备制造结算文件，并提出审核意见，报总监理工程师审核，由总监理工程师与委托人、设备制造单位进行协商，并提出审核报告。</w:t>
      </w:r>
    </w:p>
    <w:p w14:paraId="4D269FD0">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,20)</w:instrText>
      </w:r>
      <w:r>
        <w:rPr>
          <w:snapToGrid w:val="0"/>
          <w:spacing w:val="4"/>
          <w:kern w:val="0"/>
          <w:sz w:val="24"/>
        </w:rPr>
        <w:fldChar w:fldCharType="end"/>
      </w:r>
      <w:r>
        <w:rPr>
          <w:snapToGrid w:val="0"/>
          <w:spacing w:val="4"/>
          <w:kern w:val="0"/>
          <w:sz w:val="24"/>
        </w:rPr>
        <w:t xml:space="preserve"> 在设备监造工作结束后，总监理工程师应组织编写设备监造工作总结。</w:t>
      </w:r>
    </w:p>
    <w:p w14:paraId="5DCDCE52">
      <w:pPr>
        <w:topLinePunct/>
        <w:adjustRightInd w:val="0"/>
        <w:snapToGrid w:val="0"/>
        <w:spacing w:line="480" w:lineRule="exact"/>
        <w:ind w:firstLine="496" w:firstLineChars="200"/>
        <w:rPr>
          <w:snapToGrid w:val="0"/>
          <w:spacing w:val="4"/>
          <w:kern w:val="0"/>
          <w:sz w:val="24"/>
        </w:rPr>
      </w:pPr>
      <w:r>
        <w:rPr>
          <w:snapToGrid w:val="0"/>
          <w:spacing w:val="4"/>
          <w:kern w:val="0"/>
          <w:sz w:val="24"/>
        </w:rPr>
        <w:t>2）根据委托人委托的设备监造工作提交相关的监理资料（相关费用已包含在设备监造酬金之内），包括：</w:t>
      </w:r>
    </w:p>
    <w:p w14:paraId="3B70FEE0">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设备采购合同及委托监理合同；</w:t>
      </w:r>
    </w:p>
    <w:p w14:paraId="78EE9E1B">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设备监造规划；</w:t>
      </w:r>
    </w:p>
    <w:p w14:paraId="75345DA1">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设备制造的生产计划和工艺方案；</w:t>
      </w:r>
    </w:p>
    <w:p w14:paraId="74F8D203">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设备制造的检验计划和检验要求；</w:t>
      </w:r>
    </w:p>
    <w:p w14:paraId="089DA5EB">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⑤</w:t>
      </w:r>
      <w:r>
        <w:rPr>
          <w:snapToGrid w:val="0"/>
          <w:spacing w:val="4"/>
          <w:kern w:val="0"/>
          <w:sz w:val="24"/>
        </w:rPr>
        <w:t xml:space="preserve"> 分包单位资格报审表；</w:t>
      </w:r>
    </w:p>
    <w:p w14:paraId="22F2E058">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⑥</w:t>
      </w:r>
      <w:r>
        <w:rPr>
          <w:snapToGrid w:val="0"/>
          <w:spacing w:val="4"/>
          <w:kern w:val="0"/>
          <w:sz w:val="24"/>
        </w:rPr>
        <w:t xml:space="preserve"> 原材料、零配件等的质量证明文件和检验报告；</w:t>
      </w:r>
    </w:p>
    <w:p w14:paraId="5A955DBE">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⑦</w:t>
      </w:r>
      <w:r>
        <w:rPr>
          <w:snapToGrid w:val="0"/>
          <w:spacing w:val="4"/>
          <w:kern w:val="0"/>
          <w:sz w:val="24"/>
        </w:rPr>
        <w:t xml:space="preserve"> 开工／复工报审表、暂停令；</w:t>
      </w:r>
    </w:p>
    <w:p w14:paraId="2F3A30B2">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⑧</w:t>
      </w:r>
      <w:r>
        <w:rPr>
          <w:snapToGrid w:val="0"/>
          <w:spacing w:val="4"/>
          <w:kern w:val="0"/>
          <w:sz w:val="24"/>
        </w:rPr>
        <w:t xml:space="preserve"> 检验记录及试验报告；</w:t>
      </w:r>
    </w:p>
    <w:p w14:paraId="666ADB01">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⑨</w:t>
      </w:r>
      <w:r>
        <w:rPr>
          <w:snapToGrid w:val="0"/>
          <w:spacing w:val="4"/>
          <w:kern w:val="0"/>
          <w:sz w:val="24"/>
        </w:rPr>
        <w:t xml:space="preserve"> 报验申请表；</w:t>
      </w:r>
    </w:p>
    <w:p w14:paraId="2C609400">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⑩</w:t>
      </w:r>
      <w:r>
        <w:rPr>
          <w:snapToGrid w:val="0"/>
          <w:spacing w:val="4"/>
          <w:kern w:val="0"/>
          <w:sz w:val="24"/>
        </w:rPr>
        <w:t xml:space="preserve"> 设计变更文件；</w:t>
      </w:r>
    </w:p>
    <w:p w14:paraId="101A874A">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,11)</w:instrText>
      </w:r>
      <w:r>
        <w:rPr>
          <w:snapToGrid w:val="0"/>
          <w:spacing w:val="4"/>
          <w:kern w:val="0"/>
          <w:sz w:val="24"/>
        </w:rPr>
        <w:fldChar w:fldCharType="end"/>
      </w:r>
      <w:r>
        <w:rPr>
          <w:snapToGrid w:val="0"/>
          <w:spacing w:val="4"/>
          <w:kern w:val="0"/>
          <w:sz w:val="24"/>
        </w:rPr>
        <w:t xml:space="preserve"> 会议纪要；</w:t>
      </w:r>
    </w:p>
    <w:p w14:paraId="64C4D9B4">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,12)</w:instrText>
      </w:r>
      <w:r>
        <w:rPr>
          <w:snapToGrid w:val="0"/>
          <w:spacing w:val="4"/>
          <w:kern w:val="0"/>
          <w:sz w:val="24"/>
        </w:rPr>
        <w:fldChar w:fldCharType="end"/>
      </w:r>
      <w:r>
        <w:rPr>
          <w:snapToGrid w:val="0"/>
          <w:spacing w:val="4"/>
          <w:kern w:val="0"/>
          <w:sz w:val="24"/>
        </w:rPr>
        <w:t xml:space="preserve"> 来往文件；</w:t>
      </w:r>
    </w:p>
    <w:p w14:paraId="6EE0B497">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,13)</w:instrText>
      </w:r>
      <w:r>
        <w:rPr>
          <w:snapToGrid w:val="0"/>
          <w:spacing w:val="4"/>
          <w:kern w:val="0"/>
          <w:sz w:val="24"/>
        </w:rPr>
        <w:fldChar w:fldCharType="end"/>
      </w:r>
      <w:r>
        <w:rPr>
          <w:snapToGrid w:val="0"/>
          <w:spacing w:val="4"/>
          <w:kern w:val="0"/>
          <w:sz w:val="24"/>
        </w:rPr>
        <w:t xml:space="preserve"> 监理日记；</w:t>
      </w:r>
    </w:p>
    <w:p w14:paraId="3D7CFBC4">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,14)</w:instrText>
      </w:r>
      <w:r>
        <w:rPr>
          <w:snapToGrid w:val="0"/>
          <w:spacing w:val="4"/>
          <w:kern w:val="0"/>
          <w:sz w:val="24"/>
        </w:rPr>
        <w:fldChar w:fldCharType="end"/>
      </w:r>
      <w:r>
        <w:rPr>
          <w:snapToGrid w:val="0"/>
          <w:spacing w:val="4"/>
          <w:kern w:val="0"/>
          <w:sz w:val="24"/>
        </w:rPr>
        <w:t xml:space="preserve"> 监理工程师通知单；</w:t>
      </w:r>
    </w:p>
    <w:p w14:paraId="7ED3723B">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,15)</w:instrText>
      </w:r>
      <w:r>
        <w:rPr>
          <w:snapToGrid w:val="0"/>
          <w:spacing w:val="4"/>
          <w:kern w:val="0"/>
          <w:sz w:val="24"/>
        </w:rPr>
        <w:fldChar w:fldCharType="end"/>
      </w:r>
      <w:r>
        <w:rPr>
          <w:snapToGrid w:val="0"/>
          <w:spacing w:val="4"/>
          <w:kern w:val="0"/>
          <w:sz w:val="24"/>
        </w:rPr>
        <w:t xml:space="preserve"> 监理工作联系单；</w:t>
      </w:r>
    </w:p>
    <w:p w14:paraId="10D22E15">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,16)</w:instrText>
      </w:r>
      <w:r>
        <w:rPr>
          <w:snapToGrid w:val="0"/>
          <w:spacing w:val="4"/>
          <w:kern w:val="0"/>
          <w:sz w:val="24"/>
        </w:rPr>
        <w:fldChar w:fldCharType="end"/>
      </w:r>
      <w:r>
        <w:rPr>
          <w:snapToGrid w:val="0"/>
          <w:spacing w:val="4"/>
          <w:kern w:val="0"/>
          <w:sz w:val="24"/>
        </w:rPr>
        <w:t xml:space="preserve"> 监理月报；</w:t>
      </w:r>
    </w:p>
    <w:p w14:paraId="6A3E9DCA">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,17)</w:instrText>
      </w:r>
      <w:r>
        <w:rPr>
          <w:snapToGrid w:val="0"/>
          <w:spacing w:val="4"/>
          <w:kern w:val="0"/>
          <w:sz w:val="24"/>
        </w:rPr>
        <w:fldChar w:fldCharType="end"/>
      </w:r>
      <w:r>
        <w:rPr>
          <w:snapToGrid w:val="0"/>
          <w:spacing w:val="4"/>
          <w:kern w:val="0"/>
          <w:sz w:val="24"/>
        </w:rPr>
        <w:t xml:space="preserve"> 质量事故处理文件；</w:t>
      </w:r>
    </w:p>
    <w:p w14:paraId="7F383721">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,18)</w:instrText>
      </w:r>
      <w:r>
        <w:rPr>
          <w:snapToGrid w:val="0"/>
          <w:spacing w:val="4"/>
          <w:kern w:val="0"/>
          <w:sz w:val="24"/>
        </w:rPr>
        <w:fldChar w:fldCharType="end"/>
      </w:r>
      <w:r>
        <w:rPr>
          <w:snapToGrid w:val="0"/>
          <w:spacing w:val="4"/>
          <w:kern w:val="0"/>
          <w:sz w:val="24"/>
        </w:rPr>
        <w:t xml:space="preserve"> 设备制造索赔文件；</w:t>
      </w:r>
    </w:p>
    <w:p w14:paraId="2AA7EAA5">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,19)</w:instrText>
      </w:r>
      <w:r>
        <w:rPr>
          <w:snapToGrid w:val="0"/>
          <w:spacing w:val="4"/>
          <w:kern w:val="0"/>
          <w:sz w:val="24"/>
        </w:rPr>
        <w:fldChar w:fldCharType="end"/>
      </w:r>
      <w:r>
        <w:rPr>
          <w:snapToGrid w:val="0"/>
          <w:spacing w:val="4"/>
          <w:kern w:val="0"/>
          <w:sz w:val="24"/>
        </w:rPr>
        <w:t xml:space="preserve"> 设备验收文件；</w:t>
      </w:r>
    </w:p>
    <w:p w14:paraId="06E186F3">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,20)</w:instrText>
      </w:r>
      <w:r>
        <w:rPr>
          <w:snapToGrid w:val="0"/>
          <w:spacing w:val="4"/>
          <w:kern w:val="0"/>
          <w:sz w:val="24"/>
        </w:rPr>
        <w:fldChar w:fldCharType="end"/>
      </w:r>
      <w:r>
        <w:rPr>
          <w:snapToGrid w:val="0"/>
          <w:spacing w:val="4"/>
          <w:kern w:val="0"/>
          <w:sz w:val="24"/>
        </w:rPr>
        <w:t xml:space="preserve"> 设备交接文件；</w:t>
      </w:r>
    </w:p>
    <w:p w14:paraId="1502C4F0">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,21)</w:instrText>
      </w:r>
      <w:r>
        <w:rPr>
          <w:snapToGrid w:val="0"/>
          <w:spacing w:val="4"/>
          <w:kern w:val="0"/>
          <w:sz w:val="24"/>
        </w:rPr>
        <w:fldChar w:fldCharType="end"/>
      </w:r>
      <w:r>
        <w:rPr>
          <w:snapToGrid w:val="0"/>
          <w:spacing w:val="4"/>
          <w:kern w:val="0"/>
          <w:sz w:val="24"/>
        </w:rPr>
        <w:t xml:space="preserve"> 支付证书和设备制造结算审核文件；</w:t>
      </w:r>
    </w:p>
    <w:p w14:paraId="2649E88E">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,22)</w:instrText>
      </w:r>
      <w:r>
        <w:rPr>
          <w:snapToGrid w:val="0"/>
          <w:spacing w:val="4"/>
          <w:kern w:val="0"/>
          <w:sz w:val="24"/>
        </w:rPr>
        <w:fldChar w:fldCharType="end"/>
      </w:r>
      <w:r>
        <w:rPr>
          <w:snapToGrid w:val="0"/>
          <w:spacing w:val="4"/>
          <w:kern w:val="0"/>
          <w:sz w:val="24"/>
        </w:rPr>
        <w:t xml:space="preserve"> 设备监造工作总结。</w:t>
      </w:r>
    </w:p>
    <w:p w14:paraId="7C6B605B">
      <w:pPr>
        <w:topLinePunct/>
        <w:adjustRightInd w:val="0"/>
        <w:snapToGrid w:val="0"/>
        <w:spacing w:line="480" w:lineRule="exact"/>
        <w:outlineLvl w:val="4"/>
        <w:rPr>
          <w:b/>
          <w:bCs/>
          <w:snapToGrid w:val="0"/>
          <w:spacing w:val="4"/>
          <w:kern w:val="0"/>
          <w:sz w:val="24"/>
        </w:rPr>
      </w:pPr>
      <w:r>
        <w:rPr>
          <w:rFonts w:hint="eastAsia"/>
          <w:b/>
          <w:snapToGrid w:val="0"/>
          <w:spacing w:val="4"/>
          <w:kern w:val="0"/>
          <w:sz w:val="24"/>
        </w:rPr>
        <w:t xml:space="preserve">4.6 </w:t>
      </w:r>
      <w:r>
        <w:rPr>
          <w:b/>
          <w:snapToGrid w:val="0"/>
          <w:spacing w:val="4"/>
          <w:kern w:val="0"/>
          <w:sz w:val="24"/>
        </w:rPr>
        <w:t>工程</w:t>
      </w:r>
      <w:r>
        <w:rPr>
          <w:b/>
          <w:bCs/>
          <w:snapToGrid w:val="0"/>
          <w:spacing w:val="4"/>
          <w:kern w:val="0"/>
          <w:sz w:val="24"/>
        </w:rPr>
        <w:t>合同管理工作</w:t>
      </w:r>
    </w:p>
    <w:p w14:paraId="3E5C7BEB">
      <w:pPr>
        <w:topLinePunct/>
        <w:adjustRightInd w:val="0"/>
        <w:snapToGrid w:val="0"/>
        <w:spacing w:line="480" w:lineRule="exact"/>
        <w:ind w:firstLine="496" w:firstLineChars="200"/>
        <w:rPr>
          <w:snapToGrid w:val="0"/>
          <w:spacing w:val="4"/>
          <w:kern w:val="0"/>
          <w:sz w:val="24"/>
        </w:rPr>
      </w:pPr>
      <w:r>
        <w:rPr>
          <w:snapToGrid w:val="0"/>
          <w:spacing w:val="4"/>
          <w:kern w:val="0"/>
          <w:sz w:val="24"/>
        </w:rPr>
        <w:t>（1）建立合同实施的保证体系，使工程项目的全部合同事件处于控制中，保证合同目标的实现。</w:t>
      </w:r>
    </w:p>
    <w:p w14:paraId="7D0ABFC2">
      <w:pPr>
        <w:topLinePunct/>
        <w:adjustRightInd w:val="0"/>
        <w:snapToGrid w:val="0"/>
        <w:spacing w:line="480" w:lineRule="exact"/>
        <w:ind w:firstLine="496" w:firstLineChars="200"/>
        <w:rPr>
          <w:snapToGrid w:val="0"/>
          <w:spacing w:val="4"/>
          <w:kern w:val="0"/>
          <w:sz w:val="24"/>
        </w:rPr>
      </w:pPr>
      <w:r>
        <w:rPr>
          <w:bCs/>
          <w:snapToGrid w:val="0"/>
          <w:spacing w:val="4"/>
          <w:kern w:val="0"/>
          <w:sz w:val="24"/>
        </w:rPr>
        <w:t>（2）</w:t>
      </w:r>
      <w:r>
        <w:rPr>
          <w:snapToGrid w:val="0"/>
          <w:spacing w:val="4"/>
          <w:kern w:val="0"/>
          <w:sz w:val="24"/>
        </w:rPr>
        <w:t>建立合同管理文档系统。应建立与相适应的编码系统和文档系统，便于各种合同资料的保存与查询。</w:t>
      </w:r>
    </w:p>
    <w:p w14:paraId="206B6A11">
      <w:pPr>
        <w:topLinePunct/>
        <w:adjustRightInd w:val="0"/>
        <w:snapToGrid w:val="0"/>
        <w:spacing w:line="480" w:lineRule="exact"/>
        <w:ind w:firstLine="496" w:firstLineChars="200"/>
        <w:rPr>
          <w:snapToGrid w:val="0"/>
          <w:spacing w:val="4"/>
          <w:kern w:val="0"/>
          <w:sz w:val="24"/>
        </w:rPr>
      </w:pPr>
      <w:r>
        <w:rPr>
          <w:bCs/>
          <w:snapToGrid w:val="0"/>
          <w:spacing w:val="4"/>
          <w:kern w:val="0"/>
          <w:sz w:val="24"/>
        </w:rPr>
        <w:t>（3）</w:t>
      </w:r>
      <w:r>
        <w:rPr>
          <w:snapToGrid w:val="0"/>
          <w:spacing w:val="4"/>
          <w:kern w:val="0"/>
          <w:sz w:val="24"/>
        </w:rPr>
        <w:t>建立合同文件沟通方式。承包人和委托人、监理工程师、分包人之间的有关合同的文件沟通都应以书面形式进行。</w:t>
      </w:r>
    </w:p>
    <w:p w14:paraId="53D0D9ED">
      <w:pPr>
        <w:topLinePunct/>
        <w:adjustRightInd w:val="0"/>
        <w:snapToGrid w:val="0"/>
        <w:spacing w:line="480" w:lineRule="exact"/>
        <w:ind w:firstLine="496" w:firstLineChars="200"/>
        <w:rPr>
          <w:snapToGrid w:val="0"/>
          <w:spacing w:val="4"/>
          <w:kern w:val="0"/>
          <w:sz w:val="24"/>
        </w:rPr>
      </w:pPr>
      <w:r>
        <w:rPr>
          <w:bCs/>
          <w:snapToGrid w:val="0"/>
          <w:spacing w:val="4"/>
          <w:kern w:val="0"/>
          <w:sz w:val="24"/>
        </w:rPr>
        <w:t>（4）</w:t>
      </w:r>
      <w:r>
        <w:rPr>
          <w:snapToGrid w:val="0"/>
          <w:spacing w:val="4"/>
          <w:kern w:val="0"/>
          <w:sz w:val="24"/>
        </w:rPr>
        <w:t>合同实施监督。包括：监督总承包人、分包人严格执行合同，并做好各分包人的协调和管理工作。同时也应督促委托人执行其合同责任，以保证工程顺利进行。</w:t>
      </w:r>
    </w:p>
    <w:p w14:paraId="0E454B71">
      <w:pPr>
        <w:topLinePunct/>
        <w:adjustRightInd w:val="0"/>
        <w:snapToGrid w:val="0"/>
        <w:spacing w:line="480" w:lineRule="exact"/>
        <w:ind w:firstLine="496" w:firstLineChars="200"/>
        <w:rPr>
          <w:snapToGrid w:val="0"/>
          <w:spacing w:val="4"/>
          <w:kern w:val="0"/>
          <w:sz w:val="24"/>
        </w:rPr>
      </w:pPr>
      <w:r>
        <w:rPr>
          <w:bCs/>
          <w:snapToGrid w:val="0"/>
          <w:spacing w:val="4"/>
          <w:kern w:val="0"/>
          <w:sz w:val="24"/>
        </w:rPr>
        <w:t>（5）</w:t>
      </w:r>
      <w:r>
        <w:rPr>
          <w:snapToGrid w:val="0"/>
          <w:spacing w:val="4"/>
          <w:kern w:val="0"/>
          <w:sz w:val="24"/>
        </w:rPr>
        <w:t>合同跟踪和诊断。包括：</w:t>
      </w:r>
    </w:p>
    <w:p w14:paraId="136BE893">
      <w:pPr>
        <w:topLinePunct/>
        <w:adjustRightInd w:val="0"/>
        <w:snapToGrid w:val="0"/>
        <w:spacing w:line="480" w:lineRule="exact"/>
        <w:ind w:firstLine="496" w:firstLineChars="200"/>
        <w:rPr>
          <w:snapToGrid w:val="0"/>
          <w:spacing w:val="4"/>
          <w:kern w:val="0"/>
          <w:sz w:val="24"/>
        </w:rPr>
      </w:pPr>
      <w:r>
        <w:rPr>
          <w:snapToGrid w:val="0"/>
          <w:spacing w:val="4"/>
          <w:kern w:val="0"/>
          <w:sz w:val="24"/>
        </w:rPr>
        <w:t>1）全面收集并分析合同实施的信息与工程资料，将合同实施情况与合同分析资料进行对比分析，找出其中的偏离。</w:t>
      </w:r>
    </w:p>
    <w:p w14:paraId="2DC5FD8F">
      <w:pPr>
        <w:topLinePunct/>
        <w:adjustRightInd w:val="0"/>
        <w:snapToGrid w:val="0"/>
        <w:spacing w:line="480" w:lineRule="exact"/>
        <w:ind w:firstLine="496" w:firstLineChars="200"/>
        <w:rPr>
          <w:snapToGrid w:val="0"/>
          <w:spacing w:val="4"/>
          <w:kern w:val="0"/>
          <w:sz w:val="24"/>
        </w:rPr>
      </w:pPr>
      <w:r>
        <w:rPr>
          <w:snapToGrid w:val="0"/>
          <w:spacing w:val="4"/>
          <w:kern w:val="0"/>
          <w:sz w:val="24"/>
        </w:rPr>
        <w:t>2）对合同履行情况做出诊断。合同诊断包括：合同执行差异的原因分析、合同差异责任分析、合同实施趋向预测。及时通报合同实施情况及问题，提出合同实施方面的意见、建议、甚至警告。</w:t>
      </w:r>
    </w:p>
    <w:p w14:paraId="1F9D2C98">
      <w:pPr>
        <w:topLinePunct/>
        <w:adjustRightInd w:val="0"/>
        <w:snapToGrid w:val="0"/>
        <w:spacing w:line="480" w:lineRule="exact"/>
        <w:ind w:firstLine="496" w:firstLineChars="200"/>
        <w:rPr>
          <w:snapToGrid w:val="0"/>
          <w:spacing w:val="4"/>
          <w:kern w:val="0"/>
          <w:sz w:val="24"/>
        </w:rPr>
      </w:pPr>
      <w:r>
        <w:rPr>
          <w:snapToGrid w:val="0"/>
          <w:spacing w:val="4"/>
          <w:kern w:val="0"/>
          <w:sz w:val="24"/>
        </w:rPr>
        <w:t>3）对于发现的问题，及时采取对应的管理措施，防止问题的扩大和重复发生。</w:t>
      </w:r>
    </w:p>
    <w:p w14:paraId="6BC48E4B">
      <w:pPr>
        <w:topLinePunct/>
        <w:adjustRightInd w:val="0"/>
        <w:snapToGrid w:val="0"/>
        <w:spacing w:line="480" w:lineRule="exact"/>
        <w:ind w:firstLine="496" w:firstLineChars="200"/>
        <w:rPr>
          <w:snapToGrid w:val="0"/>
          <w:spacing w:val="4"/>
          <w:kern w:val="0"/>
          <w:sz w:val="24"/>
        </w:rPr>
      </w:pPr>
      <w:r>
        <w:rPr>
          <w:snapToGrid w:val="0"/>
          <w:spacing w:val="4"/>
          <w:kern w:val="0"/>
          <w:sz w:val="24"/>
        </w:rPr>
        <w:t>（6）严格合同变更管理。包括：变更谈判、变更的处理程序，落实变更的措施，修改变更相关的资料，检查变更措施的落实情况。</w:t>
      </w:r>
    </w:p>
    <w:p w14:paraId="6E93D399">
      <w:pPr>
        <w:topLinePunct/>
        <w:adjustRightInd w:val="0"/>
        <w:snapToGrid w:val="0"/>
        <w:spacing w:line="480" w:lineRule="exact"/>
        <w:ind w:firstLine="496" w:firstLineChars="200"/>
        <w:rPr>
          <w:snapToGrid w:val="0"/>
          <w:spacing w:val="4"/>
          <w:kern w:val="0"/>
          <w:sz w:val="24"/>
        </w:rPr>
      </w:pPr>
      <w:r>
        <w:rPr>
          <w:bCs/>
          <w:snapToGrid w:val="0"/>
          <w:spacing w:val="4"/>
          <w:kern w:val="0"/>
          <w:sz w:val="24"/>
        </w:rPr>
        <w:t>（7）</w:t>
      </w:r>
      <w:r>
        <w:rPr>
          <w:snapToGrid w:val="0"/>
          <w:spacing w:val="4"/>
          <w:kern w:val="0"/>
          <w:sz w:val="24"/>
        </w:rPr>
        <w:t>监理人应按委托人的要求参与本合同工程施工、采购等招投标文件（含招投标修改、澄清等文件）的审查工作，对相关合同及施工组织设计等文件进行审核，确定可能引起争议的合同条款等内容，向委托人提交关于合同执行过程的可能存在的索赔风险的报告。对收到的承包人的索赔报告应进行审查分析，收集反驳理由和证据，复核索赔值；如具备反索赔条件，应及时提出反索赔报告并附上相关证据。</w:t>
      </w:r>
    </w:p>
    <w:p w14:paraId="38297444">
      <w:pPr>
        <w:topLinePunct/>
        <w:adjustRightInd w:val="0"/>
        <w:snapToGrid w:val="0"/>
        <w:spacing w:line="480" w:lineRule="exact"/>
        <w:ind w:firstLine="496" w:firstLineChars="200"/>
        <w:rPr>
          <w:snapToGrid w:val="0"/>
          <w:spacing w:val="4"/>
          <w:kern w:val="0"/>
          <w:sz w:val="24"/>
        </w:rPr>
      </w:pPr>
      <w:r>
        <w:rPr>
          <w:bCs/>
          <w:snapToGrid w:val="0"/>
          <w:spacing w:val="4"/>
          <w:kern w:val="0"/>
          <w:sz w:val="24"/>
        </w:rPr>
        <w:t>（8）</w:t>
      </w:r>
      <w:r>
        <w:rPr>
          <w:snapToGrid w:val="0"/>
          <w:spacing w:val="4"/>
          <w:kern w:val="0"/>
          <w:sz w:val="24"/>
        </w:rPr>
        <w:t>合同终止和后评价工作，包括：合同按约定履行结束后，合同即告终止。监理人应及时进行合同后评价，总结合同签订和执行过程中的利弊得失、经验教训，作为改进以后工程合同管理工作的借鉴。</w:t>
      </w:r>
    </w:p>
    <w:p w14:paraId="295E2CE5">
      <w:pPr>
        <w:topLinePunct/>
        <w:adjustRightInd w:val="0"/>
        <w:snapToGrid w:val="0"/>
        <w:spacing w:line="480" w:lineRule="exact"/>
        <w:ind w:firstLine="496" w:firstLineChars="200"/>
        <w:rPr>
          <w:snapToGrid w:val="0"/>
          <w:spacing w:val="4"/>
          <w:kern w:val="0"/>
          <w:sz w:val="24"/>
        </w:rPr>
      </w:pPr>
      <w:r>
        <w:rPr>
          <w:bCs/>
          <w:snapToGrid w:val="0"/>
          <w:spacing w:val="4"/>
          <w:kern w:val="0"/>
          <w:sz w:val="24"/>
        </w:rPr>
        <w:t>（9）</w:t>
      </w:r>
      <w:r>
        <w:rPr>
          <w:snapToGrid w:val="0"/>
          <w:spacing w:val="4"/>
          <w:kern w:val="0"/>
          <w:sz w:val="24"/>
        </w:rPr>
        <w:t>合同后评估应包括如下内容：</w:t>
      </w:r>
    </w:p>
    <w:p w14:paraId="1CED1F04">
      <w:pPr>
        <w:topLinePunct/>
        <w:adjustRightInd w:val="0"/>
        <w:snapToGrid w:val="0"/>
        <w:spacing w:line="480" w:lineRule="exact"/>
        <w:ind w:firstLine="496" w:firstLineChars="200"/>
        <w:rPr>
          <w:snapToGrid w:val="0"/>
          <w:spacing w:val="4"/>
          <w:kern w:val="0"/>
          <w:sz w:val="24"/>
        </w:rPr>
      </w:pPr>
      <w:r>
        <w:rPr>
          <w:snapToGrid w:val="0"/>
          <w:spacing w:val="4"/>
          <w:kern w:val="0"/>
          <w:sz w:val="24"/>
        </w:rPr>
        <w:t>1）合同签订情况评价；</w:t>
      </w:r>
    </w:p>
    <w:p w14:paraId="4FCB9D6A">
      <w:pPr>
        <w:topLinePunct/>
        <w:adjustRightInd w:val="0"/>
        <w:snapToGrid w:val="0"/>
        <w:spacing w:line="480" w:lineRule="exact"/>
        <w:ind w:firstLine="496" w:firstLineChars="200"/>
        <w:rPr>
          <w:snapToGrid w:val="0"/>
          <w:spacing w:val="4"/>
          <w:kern w:val="0"/>
          <w:sz w:val="24"/>
        </w:rPr>
      </w:pPr>
      <w:r>
        <w:rPr>
          <w:snapToGrid w:val="0"/>
          <w:spacing w:val="4"/>
          <w:kern w:val="0"/>
          <w:sz w:val="24"/>
        </w:rPr>
        <w:t>2）合同执行情况评价；</w:t>
      </w:r>
    </w:p>
    <w:p w14:paraId="5162D7DA">
      <w:pPr>
        <w:topLinePunct/>
        <w:adjustRightInd w:val="0"/>
        <w:snapToGrid w:val="0"/>
        <w:spacing w:line="480" w:lineRule="exact"/>
        <w:ind w:firstLine="496" w:firstLineChars="200"/>
        <w:rPr>
          <w:snapToGrid w:val="0"/>
          <w:spacing w:val="4"/>
          <w:kern w:val="0"/>
          <w:sz w:val="24"/>
        </w:rPr>
      </w:pPr>
      <w:r>
        <w:rPr>
          <w:snapToGrid w:val="0"/>
          <w:spacing w:val="4"/>
          <w:kern w:val="0"/>
          <w:sz w:val="24"/>
        </w:rPr>
        <w:t>3）合同管理工作评价；</w:t>
      </w:r>
    </w:p>
    <w:p w14:paraId="57FFB90F">
      <w:pPr>
        <w:topLinePunct/>
        <w:adjustRightInd w:val="0"/>
        <w:snapToGrid w:val="0"/>
        <w:spacing w:line="480" w:lineRule="exact"/>
        <w:ind w:firstLine="496" w:firstLineChars="200"/>
        <w:rPr>
          <w:snapToGrid w:val="0"/>
          <w:spacing w:val="4"/>
          <w:kern w:val="0"/>
          <w:sz w:val="24"/>
        </w:rPr>
      </w:pPr>
      <w:r>
        <w:rPr>
          <w:snapToGrid w:val="0"/>
          <w:spacing w:val="4"/>
          <w:kern w:val="0"/>
          <w:sz w:val="24"/>
        </w:rPr>
        <w:t>4）对本项目有重大影响的合同条款的评价。</w:t>
      </w:r>
    </w:p>
    <w:p w14:paraId="086B5FC0">
      <w:pPr>
        <w:topLinePunct/>
        <w:adjustRightInd w:val="0"/>
        <w:snapToGrid w:val="0"/>
        <w:spacing w:line="480" w:lineRule="exact"/>
        <w:ind w:firstLine="496" w:firstLineChars="200"/>
        <w:rPr>
          <w:snapToGrid w:val="0"/>
          <w:spacing w:val="4"/>
          <w:kern w:val="0"/>
          <w:sz w:val="24"/>
        </w:rPr>
      </w:pPr>
      <w:r>
        <w:rPr>
          <w:snapToGrid w:val="0"/>
          <w:spacing w:val="4"/>
          <w:kern w:val="0"/>
          <w:sz w:val="24"/>
        </w:rPr>
        <w:t>（10）合同管理中的其他监理工作，包括：</w:t>
      </w:r>
    </w:p>
    <w:p w14:paraId="1A45006D">
      <w:pPr>
        <w:topLinePunct/>
        <w:adjustRightInd w:val="0"/>
        <w:snapToGrid w:val="0"/>
        <w:spacing w:line="480" w:lineRule="exact"/>
        <w:ind w:firstLine="496" w:firstLineChars="200"/>
        <w:rPr>
          <w:snapToGrid w:val="0"/>
          <w:spacing w:val="4"/>
          <w:kern w:val="0"/>
          <w:sz w:val="24"/>
        </w:rPr>
      </w:pPr>
      <w:r>
        <w:rPr>
          <w:snapToGrid w:val="0"/>
          <w:spacing w:val="4"/>
          <w:kern w:val="0"/>
          <w:sz w:val="24"/>
        </w:rPr>
        <w:t>1）费用索赔的处理</w:t>
      </w:r>
    </w:p>
    <w:p w14:paraId="642E077F">
      <w:pPr>
        <w:topLinePunct/>
        <w:adjustRightInd w:val="0"/>
        <w:snapToGrid w:val="0"/>
        <w:spacing w:line="480" w:lineRule="exact"/>
        <w:ind w:firstLine="496" w:firstLineChars="200"/>
        <w:rPr>
          <w:snapToGrid w:val="0"/>
          <w:spacing w:val="4"/>
          <w:kern w:val="0"/>
          <w:sz w:val="24"/>
        </w:rPr>
      </w:pPr>
      <w:r>
        <w:rPr>
          <w:snapToGrid w:val="0"/>
          <w:spacing w:val="4"/>
          <w:kern w:val="0"/>
          <w:sz w:val="24"/>
        </w:rPr>
        <w:t>专业监理工程师应及时收集、整理有关的施工和监理资料，为处理可能发生的费用索赔提供证据。</w:t>
      </w:r>
      <w:r>
        <w:rPr>
          <w:rFonts w:hint="eastAsia"/>
          <w:snapToGrid w:val="0"/>
          <w:spacing w:val="4"/>
          <w:kern w:val="0"/>
          <w:sz w:val="24"/>
        </w:rPr>
        <w:t>若因监理人未按合同约定及时、真实、完整归档相关资料，导致索赔或反索赔所需凭证缺失，进而造成委托人经济损失的，监理人应承担相应赔偿责任。</w:t>
      </w:r>
    </w:p>
    <w:p w14:paraId="54E2924A">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项目监理机构处理费用索赔应依据下列内容：</w:t>
      </w:r>
    </w:p>
    <w:p w14:paraId="13130417">
      <w:pPr>
        <w:topLinePunct/>
        <w:adjustRightInd w:val="0"/>
        <w:snapToGrid w:val="0"/>
        <w:spacing w:line="480" w:lineRule="exact"/>
        <w:ind w:firstLine="620" w:firstLineChars="250"/>
        <w:rPr>
          <w:snapToGrid w:val="0"/>
          <w:spacing w:val="4"/>
          <w:kern w:val="0"/>
          <w:sz w:val="24"/>
        </w:rPr>
      </w:pPr>
      <w:r>
        <w:rPr>
          <w:snapToGrid w:val="0"/>
          <w:spacing w:val="4"/>
          <w:kern w:val="0"/>
          <w:sz w:val="24"/>
        </w:rPr>
        <w:t>a. 国家有关的法律、法规和工程项目所在地的地方法规；</w:t>
      </w:r>
    </w:p>
    <w:p w14:paraId="5B90ACB6">
      <w:pPr>
        <w:topLinePunct/>
        <w:adjustRightInd w:val="0"/>
        <w:snapToGrid w:val="0"/>
        <w:spacing w:line="480" w:lineRule="exact"/>
        <w:ind w:firstLine="620" w:firstLineChars="250"/>
        <w:rPr>
          <w:snapToGrid w:val="0"/>
          <w:spacing w:val="4"/>
          <w:kern w:val="0"/>
          <w:sz w:val="24"/>
        </w:rPr>
      </w:pPr>
      <w:r>
        <w:rPr>
          <w:snapToGrid w:val="0"/>
          <w:spacing w:val="4"/>
          <w:kern w:val="0"/>
          <w:sz w:val="24"/>
        </w:rPr>
        <w:t>b. 本工程的施工合同文件；</w:t>
      </w:r>
    </w:p>
    <w:p w14:paraId="583EB176">
      <w:pPr>
        <w:topLinePunct/>
        <w:adjustRightInd w:val="0"/>
        <w:snapToGrid w:val="0"/>
        <w:spacing w:line="480" w:lineRule="exact"/>
        <w:ind w:firstLine="620" w:firstLineChars="250"/>
        <w:rPr>
          <w:snapToGrid w:val="0"/>
          <w:spacing w:val="4"/>
          <w:kern w:val="0"/>
          <w:sz w:val="24"/>
        </w:rPr>
      </w:pPr>
      <w:r>
        <w:rPr>
          <w:snapToGrid w:val="0"/>
          <w:spacing w:val="4"/>
          <w:kern w:val="0"/>
          <w:sz w:val="24"/>
        </w:rPr>
        <w:t>c. 国家、部门和地方有关的标准、规范和定额；</w:t>
      </w:r>
    </w:p>
    <w:p w14:paraId="782AD28E">
      <w:pPr>
        <w:topLinePunct/>
        <w:adjustRightInd w:val="0"/>
        <w:snapToGrid w:val="0"/>
        <w:spacing w:line="480" w:lineRule="exact"/>
        <w:ind w:firstLine="620" w:firstLineChars="250"/>
        <w:rPr>
          <w:snapToGrid w:val="0"/>
          <w:spacing w:val="4"/>
          <w:kern w:val="0"/>
          <w:sz w:val="24"/>
        </w:rPr>
      </w:pPr>
      <w:r>
        <w:rPr>
          <w:snapToGrid w:val="0"/>
          <w:spacing w:val="4"/>
          <w:kern w:val="0"/>
          <w:sz w:val="24"/>
        </w:rPr>
        <w:t>d. 施工合同履行过程中与索赔事件有关的凭证。</w:t>
      </w:r>
    </w:p>
    <w:p w14:paraId="1DDC97DC">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当承包人提出费用索赔的理由同时满足以下条件时，项目监理机构应予以受理：</w:t>
      </w:r>
    </w:p>
    <w:p w14:paraId="32BA9995">
      <w:pPr>
        <w:topLinePunct/>
        <w:adjustRightInd w:val="0"/>
        <w:snapToGrid w:val="0"/>
        <w:spacing w:line="480" w:lineRule="exact"/>
        <w:ind w:firstLine="620" w:firstLineChars="250"/>
        <w:rPr>
          <w:snapToGrid w:val="0"/>
          <w:spacing w:val="4"/>
          <w:kern w:val="0"/>
          <w:sz w:val="24"/>
        </w:rPr>
      </w:pPr>
      <w:r>
        <w:rPr>
          <w:snapToGrid w:val="0"/>
          <w:spacing w:val="4"/>
          <w:kern w:val="0"/>
          <w:sz w:val="24"/>
        </w:rPr>
        <w:t>a. 索赔事件造成了承包人直接经济损失；</w:t>
      </w:r>
    </w:p>
    <w:p w14:paraId="3BA2A79F">
      <w:pPr>
        <w:topLinePunct/>
        <w:adjustRightInd w:val="0"/>
        <w:snapToGrid w:val="0"/>
        <w:spacing w:line="480" w:lineRule="exact"/>
        <w:ind w:firstLine="620" w:firstLineChars="250"/>
        <w:rPr>
          <w:snapToGrid w:val="0"/>
          <w:spacing w:val="4"/>
          <w:kern w:val="0"/>
          <w:sz w:val="24"/>
        </w:rPr>
      </w:pPr>
      <w:r>
        <w:rPr>
          <w:snapToGrid w:val="0"/>
          <w:spacing w:val="4"/>
          <w:kern w:val="0"/>
          <w:sz w:val="24"/>
        </w:rPr>
        <w:t>b. 索赔事件是由于非承包人的责任发生的；</w:t>
      </w:r>
    </w:p>
    <w:p w14:paraId="6A0544F8">
      <w:pPr>
        <w:topLinePunct/>
        <w:adjustRightInd w:val="0"/>
        <w:snapToGrid w:val="0"/>
        <w:spacing w:line="480" w:lineRule="exact"/>
        <w:ind w:firstLine="620" w:firstLineChars="250"/>
        <w:rPr>
          <w:snapToGrid w:val="0"/>
          <w:spacing w:val="4"/>
          <w:kern w:val="0"/>
          <w:sz w:val="24"/>
        </w:rPr>
      </w:pPr>
      <w:r>
        <w:rPr>
          <w:snapToGrid w:val="0"/>
          <w:spacing w:val="4"/>
          <w:kern w:val="0"/>
          <w:sz w:val="24"/>
        </w:rPr>
        <w:t>c. 承包人已按照施工合同规定的期限和程序提出费用索赔申请表，并附有索赔凭证材料。</w:t>
      </w:r>
    </w:p>
    <w:p w14:paraId="6733BF80">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承包人向委托人提出费用索赔，项目监理机构应按下列程序处理：</w:t>
      </w:r>
    </w:p>
    <w:p w14:paraId="4746706F">
      <w:pPr>
        <w:topLinePunct/>
        <w:adjustRightInd w:val="0"/>
        <w:snapToGrid w:val="0"/>
        <w:spacing w:line="480" w:lineRule="exact"/>
        <w:ind w:firstLine="620" w:firstLineChars="250"/>
        <w:rPr>
          <w:snapToGrid w:val="0"/>
          <w:spacing w:val="4"/>
          <w:kern w:val="0"/>
          <w:sz w:val="24"/>
        </w:rPr>
      </w:pPr>
      <w:r>
        <w:rPr>
          <w:snapToGrid w:val="0"/>
          <w:spacing w:val="4"/>
          <w:kern w:val="0"/>
          <w:sz w:val="24"/>
        </w:rPr>
        <w:t>a. 承包人在施工合同规定的期限内向项目监理机构提交对委托人的费用索赔意向通知书；</w:t>
      </w:r>
    </w:p>
    <w:p w14:paraId="7454317B">
      <w:pPr>
        <w:topLinePunct/>
        <w:adjustRightInd w:val="0"/>
        <w:snapToGrid w:val="0"/>
        <w:spacing w:line="480" w:lineRule="exact"/>
        <w:ind w:firstLine="620" w:firstLineChars="250"/>
        <w:rPr>
          <w:snapToGrid w:val="0"/>
          <w:spacing w:val="4"/>
          <w:kern w:val="0"/>
          <w:sz w:val="24"/>
        </w:rPr>
      </w:pPr>
      <w:r>
        <w:rPr>
          <w:snapToGrid w:val="0"/>
          <w:spacing w:val="4"/>
          <w:kern w:val="0"/>
          <w:sz w:val="24"/>
        </w:rPr>
        <w:t>b. 总监理工程师指定专业监理工程师收集与索赔有关的资料；</w:t>
      </w:r>
    </w:p>
    <w:p w14:paraId="5CFB2FBF">
      <w:pPr>
        <w:topLinePunct/>
        <w:adjustRightInd w:val="0"/>
        <w:snapToGrid w:val="0"/>
        <w:spacing w:line="480" w:lineRule="exact"/>
        <w:ind w:firstLine="620" w:firstLineChars="250"/>
        <w:rPr>
          <w:snapToGrid w:val="0"/>
          <w:spacing w:val="4"/>
          <w:kern w:val="0"/>
          <w:sz w:val="24"/>
        </w:rPr>
      </w:pPr>
      <w:r>
        <w:rPr>
          <w:snapToGrid w:val="0"/>
          <w:spacing w:val="4"/>
          <w:kern w:val="0"/>
          <w:sz w:val="24"/>
        </w:rPr>
        <w:t>c. 承包人在承包合同规定的期限内向项目监理机构提交对委托人的费用索赔申请表；</w:t>
      </w:r>
    </w:p>
    <w:p w14:paraId="2B639A2A">
      <w:pPr>
        <w:topLinePunct/>
        <w:adjustRightInd w:val="0"/>
        <w:snapToGrid w:val="0"/>
        <w:spacing w:line="480" w:lineRule="exact"/>
        <w:ind w:firstLine="620" w:firstLineChars="250"/>
        <w:rPr>
          <w:snapToGrid w:val="0"/>
          <w:spacing w:val="4"/>
          <w:kern w:val="0"/>
          <w:sz w:val="24"/>
        </w:rPr>
      </w:pPr>
      <w:r>
        <w:rPr>
          <w:snapToGrid w:val="0"/>
          <w:spacing w:val="4"/>
          <w:kern w:val="0"/>
          <w:sz w:val="24"/>
        </w:rPr>
        <w:t>d. 总监理工程师初步审查费用索赔申请表，符合</w:t>
      </w:r>
      <w:r>
        <w:rPr>
          <w:snapToGrid w:val="0"/>
          <w:spacing w:val="4"/>
          <w:kern w:val="0"/>
          <w:sz w:val="24"/>
          <w:u w:val="wave"/>
        </w:rPr>
        <w:t>上述</w:t>
      </w:r>
      <w:r>
        <w:rPr>
          <w:rFonts w:hint="eastAsia" w:ascii="宋体" w:hAnsi="宋体" w:cs="宋体"/>
          <w:snapToGrid w:val="0"/>
          <w:spacing w:val="4"/>
          <w:kern w:val="0"/>
          <w:sz w:val="24"/>
          <w:u w:val="wave"/>
        </w:rPr>
        <w:t>②</w:t>
      </w:r>
      <w:r>
        <w:rPr>
          <w:snapToGrid w:val="0"/>
          <w:spacing w:val="4"/>
          <w:kern w:val="0"/>
          <w:sz w:val="24"/>
          <w:u w:val="wave"/>
        </w:rPr>
        <w:t>款</w:t>
      </w:r>
      <w:r>
        <w:rPr>
          <w:snapToGrid w:val="0"/>
          <w:spacing w:val="4"/>
          <w:kern w:val="0"/>
          <w:sz w:val="24"/>
        </w:rPr>
        <w:t>规定的条件时予以受理；</w:t>
      </w:r>
    </w:p>
    <w:p w14:paraId="271E06B0">
      <w:pPr>
        <w:topLinePunct/>
        <w:adjustRightInd w:val="0"/>
        <w:snapToGrid w:val="0"/>
        <w:spacing w:line="480" w:lineRule="exact"/>
        <w:ind w:firstLine="620" w:firstLineChars="250"/>
        <w:rPr>
          <w:snapToGrid w:val="0"/>
          <w:spacing w:val="4"/>
          <w:kern w:val="0"/>
          <w:sz w:val="24"/>
        </w:rPr>
      </w:pPr>
      <w:r>
        <w:rPr>
          <w:snapToGrid w:val="0"/>
          <w:spacing w:val="4"/>
          <w:kern w:val="0"/>
          <w:sz w:val="24"/>
        </w:rPr>
        <w:t>e. 总监理工程师进行费用索赔审查，并在初步确定一个额度后，与承包人和委托人进行协商；</w:t>
      </w:r>
    </w:p>
    <w:p w14:paraId="45F36814">
      <w:pPr>
        <w:topLinePunct/>
        <w:adjustRightInd w:val="0"/>
        <w:snapToGrid w:val="0"/>
        <w:spacing w:line="480" w:lineRule="exact"/>
        <w:ind w:firstLine="620" w:firstLineChars="250"/>
        <w:rPr>
          <w:snapToGrid w:val="0"/>
          <w:spacing w:val="4"/>
          <w:kern w:val="0"/>
          <w:sz w:val="24"/>
        </w:rPr>
      </w:pPr>
      <w:r>
        <w:rPr>
          <w:snapToGrid w:val="0"/>
          <w:spacing w:val="4"/>
          <w:kern w:val="0"/>
          <w:sz w:val="24"/>
        </w:rPr>
        <w:t>f. 总监理工程师应在施工合同规定的期限内签署费用索赔审批表，或在施工合同规定的期限内发出要求承包人提交有关索赔报告的进一步详细资料的通知，待收到承包人提交的详细资料后，按</w:t>
      </w:r>
      <w:r>
        <w:rPr>
          <w:snapToGrid w:val="0"/>
          <w:spacing w:val="4"/>
          <w:kern w:val="0"/>
          <w:sz w:val="24"/>
          <w:u w:val="wave"/>
        </w:rPr>
        <w:t>上述的第d、e项</w:t>
      </w:r>
      <w:r>
        <w:rPr>
          <w:snapToGrid w:val="0"/>
          <w:spacing w:val="4"/>
          <w:kern w:val="0"/>
          <w:sz w:val="24"/>
        </w:rPr>
        <w:t>的程序进行。</w:t>
      </w:r>
    </w:p>
    <w:p w14:paraId="25EC8E73">
      <w:pPr>
        <w:topLinePunct/>
        <w:adjustRightInd w:val="0"/>
        <w:snapToGrid w:val="0"/>
        <w:spacing w:line="480" w:lineRule="exact"/>
        <w:ind w:firstLine="720" w:firstLineChars="25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当承包人的费用索赔要求与工程延期要求相关联时，总监理工程师在作出费用索赔的批准决定时，应与工程延期的批准联系起来，综合作出费用索赔和工程延期的决定。</w:t>
      </w:r>
    </w:p>
    <w:p w14:paraId="7F219AAE">
      <w:pPr>
        <w:topLinePunct/>
        <w:adjustRightInd w:val="0"/>
        <w:snapToGrid w:val="0"/>
        <w:spacing w:line="480" w:lineRule="exact"/>
        <w:ind w:firstLine="720" w:firstLineChars="250"/>
        <w:rPr>
          <w:snapToGrid w:val="0"/>
          <w:spacing w:val="4"/>
          <w:kern w:val="0"/>
          <w:sz w:val="24"/>
        </w:rPr>
      </w:pPr>
      <w:r>
        <w:rPr>
          <w:rFonts w:hint="eastAsia" w:ascii="宋体" w:hAnsi="宋体" w:cs="宋体"/>
          <w:snapToGrid w:val="0"/>
          <w:spacing w:val="4"/>
          <w:kern w:val="0"/>
          <w:sz w:val="28"/>
          <w:szCs w:val="28"/>
        </w:rPr>
        <w:t>⑤</w:t>
      </w:r>
      <w:r>
        <w:rPr>
          <w:snapToGrid w:val="0"/>
          <w:spacing w:val="4"/>
          <w:kern w:val="0"/>
          <w:sz w:val="24"/>
        </w:rPr>
        <w:t xml:space="preserve"> 由于承包人的原因造成委托人的额外损失，委托人向承包人提出费用索赔时，总监理工程师在审查索赔报告后，应公正地与委托人和承包人进行协商，并及时作出答复。</w:t>
      </w:r>
    </w:p>
    <w:p w14:paraId="4737FB4C">
      <w:pPr>
        <w:topLinePunct/>
        <w:adjustRightInd w:val="0"/>
        <w:snapToGrid w:val="0"/>
        <w:spacing w:line="480" w:lineRule="exact"/>
        <w:ind w:firstLine="496" w:firstLineChars="200"/>
        <w:rPr>
          <w:snapToGrid w:val="0"/>
          <w:spacing w:val="4"/>
          <w:kern w:val="0"/>
          <w:sz w:val="24"/>
        </w:rPr>
      </w:pPr>
      <w:r>
        <w:rPr>
          <w:snapToGrid w:val="0"/>
          <w:spacing w:val="4"/>
          <w:kern w:val="0"/>
          <w:sz w:val="24"/>
        </w:rPr>
        <w:t>2）合同争议的调解</w:t>
      </w:r>
    </w:p>
    <w:p w14:paraId="49B076A3">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项目监理机构接到合同争议的调解要求后应进行以下工作：</w:t>
      </w:r>
    </w:p>
    <w:p w14:paraId="11C437DD">
      <w:pPr>
        <w:topLinePunct/>
        <w:adjustRightInd w:val="0"/>
        <w:snapToGrid w:val="0"/>
        <w:spacing w:line="480" w:lineRule="exact"/>
        <w:ind w:firstLine="620" w:firstLineChars="250"/>
        <w:rPr>
          <w:snapToGrid w:val="0"/>
          <w:spacing w:val="4"/>
          <w:kern w:val="0"/>
          <w:sz w:val="24"/>
        </w:rPr>
      </w:pPr>
      <w:r>
        <w:rPr>
          <w:snapToGrid w:val="0"/>
          <w:spacing w:val="4"/>
          <w:kern w:val="0"/>
          <w:sz w:val="24"/>
        </w:rPr>
        <w:t>a. 及时了解合同争议的全部情况，包括进行调查和取证；</w:t>
      </w:r>
    </w:p>
    <w:p w14:paraId="2F9FDB4C">
      <w:pPr>
        <w:topLinePunct/>
        <w:adjustRightInd w:val="0"/>
        <w:snapToGrid w:val="0"/>
        <w:spacing w:line="480" w:lineRule="exact"/>
        <w:ind w:firstLine="620" w:firstLineChars="250"/>
        <w:rPr>
          <w:snapToGrid w:val="0"/>
          <w:spacing w:val="4"/>
          <w:kern w:val="0"/>
          <w:sz w:val="24"/>
        </w:rPr>
      </w:pPr>
      <w:r>
        <w:rPr>
          <w:snapToGrid w:val="0"/>
          <w:spacing w:val="4"/>
          <w:kern w:val="0"/>
          <w:sz w:val="24"/>
        </w:rPr>
        <w:t>b. 及时与合同争议的双方进行磋商；</w:t>
      </w:r>
    </w:p>
    <w:p w14:paraId="22ACCD6D">
      <w:pPr>
        <w:topLinePunct/>
        <w:adjustRightInd w:val="0"/>
        <w:snapToGrid w:val="0"/>
        <w:spacing w:line="480" w:lineRule="exact"/>
        <w:ind w:firstLine="620" w:firstLineChars="250"/>
        <w:rPr>
          <w:snapToGrid w:val="0"/>
          <w:spacing w:val="4"/>
          <w:kern w:val="0"/>
          <w:sz w:val="24"/>
        </w:rPr>
      </w:pPr>
      <w:r>
        <w:rPr>
          <w:snapToGrid w:val="0"/>
          <w:spacing w:val="4"/>
          <w:kern w:val="0"/>
          <w:sz w:val="24"/>
        </w:rPr>
        <w:t>c. 在项目监理机构提出调解方案后，由总监理工程师进行争议调解；</w:t>
      </w:r>
    </w:p>
    <w:p w14:paraId="5A5187C4">
      <w:pPr>
        <w:topLinePunct/>
        <w:adjustRightInd w:val="0"/>
        <w:snapToGrid w:val="0"/>
        <w:spacing w:line="480" w:lineRule="exact"/>
        <w:ind w:firstLine="620" w:firstLineChars="250"/>
        <w:rPr>
          <w:snapToGrid w:val="0"/>
          <w:spacing w:val="4"/>
          <w:kern w:val="0"/>
          <w:sz w:val="24"/>
        </w:rPr>
      </w:pPr>
      <w:r>
        <w:rPr>
          <w:snapToGrid w:val="0"/>
          <w:spacing w:val="4"/>
          <w:kern w:val="0"/>
          <w:sz w:val="24"/>
        </w:rPr>
        <w:t>d. 当调解未能达成一致时，总监理工程师应在施工合同规定的期限内提出处理该合同争议的意见；</w:t>
      </w:r>
    </w:p>
    <w:p w14:paraId="04D25AC0">
      <w:pPr>
        <w:topLinePunct/>
        <w:adjustRightInd w:val="0"/>
        <w:snapToGrid w:val="0"/>
        <w:spacing w:line="480" w:lineRule="exact"/>
        <w:ind w:firstLine="620" w:firstLineChars="250"/>
        <w:rPr>
          <w:snapToGrid w:val="0"/>
          <w:spacing w:val="4"/>
          <w:kern w:val="0"/>
          <w:sz w:val="24"/>
        </w:rPr>
      </w:pPr>
      <w:r>
        <w:rPr>
          <w:snapToGrid w:val="0"/>
          <w:spacing w:val="4"/>
          <w:kern w:val="0"/>
          <w:sz w:val="24"/>
        </w:rPr>
        <w:t>e. 在争议调解过程中，除已达到了施工合同规定的暂停履行合同的条件之外，项目监理机构应要求施工合同的双方继续履行施工合同。</w:t>
      </w:r>
    </w:p>
    <w:p w14:paraId="14F0247C">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在总监理工程师签发合同争议处理意见后，委托人或承包人在施工合同规定的期限内未对合同争议处理决定提出异议，在符合施工合同的前提下，此意见应成为最后的决定，双方必须执行。</w:t>
      </w:r>
    </w:p>
    <w:p w14:paraId="5BB46D61">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在合同争议的仲裁或诉讼过程中，项目监理机构接到仲裁机关或法院要求提供有关证据的通知后，应公正地向仲裁机关或法院提供与争议有关的证据。</w:t>
      </w:r>
    </w:p>
    <w:p w14:paraId="33D51541">
      <w:pPr>
        <w:topLinePunct/>
        <w:adjustRightInd w:val="0"/>
        <w:snapToGrid w:val="0"/>
        <w:spacing w:line="480" w:lineRule="exact"/>
        <w:ind w:firstLine="496" w:firstLineChars="200"/>
        <w:rPr>
          <w:snapToGrid w:val="0"/>
          <w:spacing w:val="4"/>
          <w:kern w:val="0"/>
          <w:sz w:val="24"/>
        </w:rPr>
      </w:pPr>
      <w:r>
        <w:rPr>
          <w:snapToGrid w:val="0"/>
          <w:spacing w:val="4"/>
          <w:kern w:val="0"/>
          <w:sz w:val="24"/>
        </w:rPr>
        <w:t>3）合同解除的相关工作</w:t>
      </w:r>
    </w:p>
    <w:p w14:paraId="109D317D">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施工合同的解除必须符合法律程序。</w:t>
      </w:r>
    </w:p>
    <w:p w14:paraId="798037D6">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当委托人违约导致施工合同最终解除时，项目监理机构应就承包人按施工合同规定应得到的款项与委托人和承包人进行协商，并应按施工合同的规定从下列应得的款项中确定承包人应得到的全部款项，并书面通知委托人和承包人：</w:t>
      </w:r>
    </w:p>
    <w:p w14:paraId="46EB0C1F">
      <w:pPr>
        <w:topLinePunct/>
        <w:adjustRightInd w:val="0"/>
        <w:snapToGrid w:val="0"/>
        <w:spacing w:line="480" w:lineRule="exact"/>
        <w:ind w:firstLine="620" w:firstLineChars="250"/>
        <w:rPr>
          <w:snapToGrid w:val="0"/>
          <w:spacing w:val="4"/>
          <w:kern w:val="0"/>
          <w:sz w:val="24"/>
        </w:rPr>
      </w:pPr>
      <w:r>
        <w:rPr>
          <w:snapToGrid w:val="0"/>
          <w:spacing w:val="4"/>
          <w:kern w:val="0"/>
          <w:sz w:val="24"/>
        </w:rPr>
        <w:t>a. 承包人已完成的工程量表中所列的各项工作所应得的款项；</w:t>
      </w:r>
    </w:p>
    <w:p w14:paraId="423CD302">
      <w:pPr>
        <w:topLinePunct/>
        <w:adjustRightInd w:val="0"/>
        <w:snapToGrid w:val="0"/>
        <w:spacing w:line="480" w:lineRule="exact"/>
        <w:ind w:firstLine="620" w:firstLineChars="250"/>
        <w:rPr>
          <w:snapToGrid w:val="0"/>
          <w:spacing w:val="4"/>
          <w:kern w:val="0"/>
          <w:sz w:val="24"/>
        </w:rPr>
      </w:pPr>
      <w:r>
        <w:rPr>
          <w:snapToGrid w:val="0"/>
          <w:spacing w:val="4"/>
          <w:kern w:val="0"/>
          <w:sz w:val="24"/>
        </w:rPr>
        <w:t>b. 按批准的采购计划订购工程材料、设备、构配件的款项；</w:t>
      </w:r>
    </w:p>
    <w:p w14:paraId="3277D416">
      <w:pPr>
        <w:topLinePunct/>
        <w:adjustRightInd w:val="0"/>
        <w:snapToGrid w:val="0"/>
        <w:spacing w:line="480" w:lineRule="exact"/>
        <w:ind w:firstLine="620" w:firstLineChars="250"/>
        <w:rPr>
          <w:snapToGrid w:val="0"/>
          <w:spacing w:val="4"/>
          <w:kern w:val="0"/>
          <w:sz w:val="24"/>
        </w:rPr>
      </w:pPr>
      <w:r>
        <w:rPr>
          <w:snapToGrid w:val="0"/>
          <w:spacing w:val="4"/>
          <w:kern w:val="0"/>
          <w:sz w:val="24"/>
        </w:rPr>
        <w:t>c. 承包人撤离施工设备至原基地或其他目的地的合理费用；</w:t>
      </w:r>
    </w:p>
    <w:p w14:paraId="3A101A19">
      <w:pPr>
        <w:topLinePunct/>
        <w:adjustRightInd w:val="0"/>
        <w:snapToGrid w:val="0"/>
        <w:spacing w:line="480" w:lineRule="exact"/>
        <w:ind w:firstLine="620" w:firstLineChars="250"/>
        <w:rPr>
          <w:snapToGrid w:val="0"/>
          <w:spacing w:val="4"/>
          <w:kern w:val="0"/>
          <w:sz w:val="24"/>
        </w:rPr>
      </w:pPr>
      <w:r>
        <w:rPr>
          <w:snapToGrid w:val="0"/>
          <w:spacing w:val="4"/>
          <w:kern w:val="0"/>
          <w:sz w:val="24"/>
        </w:rPr>
        <w:t>d. 承包人所有人员的合理遣返费用；</w:t>
      </w:r>
    </w:p>
    <w:p w14:paraId="16C5FD36">
      <w:pPr>
        <w:topLinePunct/>
        <w:adjustRightInd w:val="0"/>
        <w:snapToGrid w:val="0"/>
        <w:spacing w:line="480" w:lineRule="exact"/>
        <w:ind w:firstLine="620" w:firstLineChars="250"/>
        <w:rPr>
          <w:snapToGrid w:val="0"/>
          <w:spacing w:val="4"/>
          <w:kern w:val="0"/>
          <w:sz w:val="24"/>
        </w:rPr>
      </w:pPr>
      <w:r>
        <w:rPr>
          <w:snapToGrid w:val="0"/>
          <w:spacing w:val="4"/>
          <w:kern w:val="0"/>
          <w:sz w:val="24"/>
        </w:rPr>
        <w:t>e. 合理的利润补偿；</w:t>
      </w:r>
    </w:p>
    <w:p w14:paraId="448FC913">
      <w:pPr>
        <w:topLinePunct/>
        <w:adjustRightInd w:val="0"/>
        <w:snapToGrid w:val="0"/>
        <w:spacing w:line="480" w:lineRule="exact"/>
        <w:ind w:firstLine="620" w:firstLineChars="250"/>
        <w:rPr>
          <w:snapToGrid w:val="0"/>
          <w:spacing w:val="4"/>
          <w:kern w:val="0"/>
          <w:sz w:val="24"/>
        </w:rPr>
      </w:pPr>
      <w:r>
        <w:rPr>
          <w:snapToGrid w:val="0"/>
          <w:spacing w:val="4"/>
          <w:kern w:val="0"/>
          <w:sz w:val="24"/>
        </w:rPr>
        <w:t>f. 施工合同规定的委托人应支付的违约金。</w:t>
      </w:r>
    </w:p>
    <w:p w14:paraId="5B21AA2E">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由于承包人违约导致施工合同终止后，项目监理机构应按下列程序清理承包人的应得款项，或偿还委托人的相关款项，并书面通知委托人和承包人：</w:t>
      </w:r>
    </w:p>
    <w:p w14:paraId="358A7D1B">
      <w:pPr>
        <w:topLinePunct/>
        <w:adjustRightInd w:val="0"/>
        <w:snapToGrid w:val="0"/>
        <w:spacing w:line="480" w:lineRule="exact"/>
        <w:ind w:firstLine="620" w:firstLineChars="250"/>
        <w:rPr>
          <w:snapToGrid w:val="0"/>
          <w:spacing w:val="4"/>
          <w:kern w:val="0"/>
          <w:sz w:val="24"/>
        </w:rPr>
      </w:pPr>
      <w:r>
        <w:rPr>
          <w:snapToGrid w:val="0"/>
          <w:spacing w:val="4"/>
          <w:kern w:val="0"/>
          <w:sz w:val="24"/>
        </w:rPr>
        <w:t>a. 施工合同终止时，清理承包人已按施工合同规定实际完成的工作所应得的款项和已经得到支付的款项；</w:t>
      </w:r>
    </w:p>
    <w:p w14:paraId="1CEE38D9">
      <w:pPr>
        <w:topLinePunct/>
        <w:adjustRightInd w:val="0"/>
        <w:snapToGrid w:val="0"/>
        <w:spacing w:line="480" w:lineRule="exact"/>
        <w:ind w:firstLine="620" w:firstLineChars="250"/>
        <w:rPr>
          <w:snapToGrid w:val="0"/>
          <w:spacing w:val="4"/>
          <w:kern w:val="0"/>
          <w:sz w:val="24"/>
        </w:rPr>
      </w:pPr>
      <w:r>
        <w:rPr>
          <w:snapToGrid w:val="0"/>
          <w:spacing w:val="4"/>
          <w:kern w:val="0"/>
          <w:sz w:val="24"/>
        </w:rPr>
        <w:t>b. 施工现场余留的材料、设备及临时工程的价值；</w:t>
      </w:r>
    </w:p>
    <w:p w14:paraId="7A078D9B">
      <w:pPr>
        <w:topLinePunct/>
        <w:adjustRightInd w:val="0"/>
        <w:snapToGrid w:val="0"/>
        <w:spacing w:line="480" w:lineRule="exact"/>
        <w:ind w:firstLine="620" w:firstLineChars="250"/>
        <w:rPr>
          <w:snapToGrid w:val="0"/>
          <w:spacing w:val="4"/>
          <w:kern w:val="0"/>
          <w:sz w:val="24"/>
        </w:rPr>
      </w:pPr>
      <w:r>
        <w:rPr>
          <w:snapToGrid w:val="0"/>
          <w:spacing w:val="4"/>
          <w:kern w:val="0"/>
          <w:sz w:val="24"/>
        </w:rPr>
        <w:t>c. 检查和验收已完工工程，移交工程资料和对该部分工程的清理、质量缺陷修复等所需的费用；</w:t>
      </w:r>
    </w:p>
    <w:p w14:paraId="0ED07D08">
      <w:pPr>
        <w:topLinePunct/>
        <w:adjustRightInd w:val="0"/>
        <w:snapToGrid w:val="0"/>
        <w:spacing w:line="480" w:lineRule="exact"/>
        <w:ind w:firstLine="620" w:firstLineChars="250"/>
        <w:rPr>
          <w:snapToGrid w:val="0"/>
          <w:spacing w:val="4"/>
          <w:kern w:val="0"/>
          <w:sz w:val="24"/>
        </w:rPr>
      </w:pPr>
      <w:r>
        <w:rPr>
          <w:snapToGrid w:val="0"/>
          <w:spacing w:val="4"/>
          <w:kern w:val="0"/>
          <w:sz w:val="24"/>
        </w:rPr>
        <w:t>d. 施工合同规定的承包人应支付的违约金；</w:t>
      </w:r>
    </w:p>
    <w:p w14:paraId="6F5949FC">
      <w:pPr>
        <w:topLinePunct/>
        <w:adjustRightInd w:val="0"/>
        <w:snapToGrid w:val="0"/>
        <w:spacing w:line="480" w:lineRule="exact"/>
        <w:ind w:firstLine="620" w:firstLineChars="250"/>
        <w:rPr>
          <w:snapToGrid w:val="0"/>
          <w:spacing w:val="4"/>
          <w:kern w:val="0"/>
          <w:sz w:val="24"/>
        </w:rPr>
      </w:pPr>
      <w:r>
        <w:rPr>
          <w:snapToGrid w:val="0"/>
          <w:spacing w:val="4"/>
          <w:kern w:val="0"/>
          <w:sz w:val="24"/>
        </w:rPr>
        <w:t>e. 总监理工程师按照施工合同的规定，在与委托人和承包人协商后，书面提交承包人应得款项或偿还委托人款项的证明。</w:t>
      </w:r>
    </w:p>
    <w:p w14:paraId="4F783D96">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由于不可抗力或非委托人、承包人原因导致施工合同终止时，项目监理机构应按施工合同规定处理合同解除后的有关事宜。</w:t>
      </w:r>
    </w:p>
    <w:p w14:paraId="52DF72D7">
      <w:pPr>
        <w:topLinePunct/>
        <w:adjustRightInd w:val="0"/>
        <w:snapToGrid w:val="0"/>
        <w:spacing w:line="480" w:lineRule="exact"/>
        <w:outlineLvl w:val="4"/>
        <w:rPr>
          <w:b/>
          <w:bCs/>
          <w:snapToGrid w:val="0"/>
          <w:spacing w:val="4"/>
          <w:kern w:val="0"/>
          <w:sz w:val="24"/>
        </w:rPr>
      </w:pPr>
      <w:r>
        <w:rPr>
          <w:rFonts w:hint="eastAsia"/>
          <w:b/>
          <w:snapToGrid w:val="0"/>
          <w:spacing w:val="4"/>
          <w:kern w:val="0"/>
          <w:sz w:val="24"/>
        </w:rPr>
        <w:t xml:space="preserve">4.7 </w:t>
      </w:r>
      <w:r>
        <w:rPr>
          <w:b/>
          <w:snapToGrid w:val="0"/>
          <w:spacing w:val="4"/>
          <w:kern w:val="0"/>
          <w:sz w:val="24"/>
        </w:rPr>
        <w:t>工程项目</w:t>
      </w:r>
      <w:r>
        <w:rPr>
          <w:b/>
          <w:bCs/>
          <w:snapToGrid w:val="0"/>
          <w:spacing w:val="4"/>
          <w:kern w:val="0"/>
          <w:sz w:val="24"/>
        </w:rPr>
        <w:t>信息化管理工作</w:t>
      </w:r>
    </w:p>
    <w:p w14:paraId="614589A8">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（1）项目信息化管理系统</w:t>
      </w:r>
    </w:p>
    <w:p w14:paraId="43BECCEB">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1）项目信息化管理系统的内容和基本要求</w:t>
      </w:r>
    </w:p>
    <w:p w14:paraId="09C839E0">
      <w:pPr>
        <w:topLinePunct/>
        <w:adjustRightInd w:val="0"/>
        <w:snapToGrid w:val="0"/>
        <w:spacing w:line="480" w:lineRule="exact"/>
        <w:ind w:firstLine="496" w:firstLineChars="200"/>
        <w:rPr>
          <w:snapToGrid w:val="0"/>
          <w:spacing w:val="4"/>
          <w:kern w:val="0"/>
          <w:sz w:val="24"/>
        </w:rPr>
      </w:pPr>
      <w:r>
        <w:rPr>
          <w:snapToGrid w:val="0"/>
          <w:spacing w:val="4"/>
          <w:kern w:val="0"/>
          <w:sz w:val="24"/>
        </w:rPr>
        <w:t>监理人应运用信息化技术对合同项目进行科学管理，全面提高合同工程施工管理水平。监理人应配置和运用项目信息化管理系统有效规范项目施工管理流程，包括但不限于进度、质量、安全、投资、资源、合同、结算、文档等管理系统。实现项目工程质量信息化评定与控制、项目进度实时跟踪、项目安全远程监控、项目异常情况预判、预警及动态上报应急处理、材料设备检测验收信息化管理、有效提高项目效率、加强成本控制等。</w:t>
      </w:r>
    </w:p>
    <w:p w14:paraId="0EDA9CFF">
      <w:pPr>
        <w:topLinePunct/>
        <w:adjustRightInd w:val="0"/>
        <w:spacing w:line="480" w:lineRule="exact"/>
        <w:ind w:firstLine="496" w:firstLineChars="200"/>
        <w:rPr>
          <w:snapToGrid w:val="0"/>
          <w:spacing w:val="4"/>
          <w:kern w:val="0"/>
          <w:sz w:val="24"/>
        </w:rPr>
      </w:pPr>
      <w:r>
        <w:rPr>
          <w:snapToGrid w:val="0"/>
          <w:spacing w:val="4"/>
          <w:kern w:val="0"/>
          <w:sz w:val="24"/>
        </w:rPr>
        <w:t>如监理人未按本条要求建立、运行或维护项目信息化管理系统，导致系统缺失、数据延迟、功能不全或无法实现远程监控与预警的，每发生一次，视为一般违约，承担一般违约责任1次；因系统失效导致重大管理漏洞、安全事故或投资失控的，视为严重违约，承担严重违约责任1次。</w:t>
      </w:r>
    </w:p>
    <w:p w14:paraId="0C3EA9F4">
      <w:pPr>
        <w:pStyle w:val="2"/>
      </w:pPr>
    </w:p>
    <w:p w14:paraId="61610C6E">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2）人员配备</w:t>
      </w:r>
    </w:p>
    <w:p w14:paraId="6326D1CB">
      <w:pPr>
        <w:topLinePunct/>
        <w:adjustRightInd w:val="0"/>
        <w:snapToGrid w:val="0"/>
        <w:spacing w:line="480" w:lineRule="exact"/>
        <w:ind w:firstLine="496" w:firstLineChars="200"/>
        <w:rPr>
          <w:snapToGrid w:val="0"/>
          <w:spacing w:val="4"/>
          <w:kern w:val="0"/>
          <w:sz w:val="24"/>
        </w:rPr>
      </w:pPr>
      <w:r>
        <w:rPr>
          <w:snapToGrid w:val="0"/>
          <w:spacing w:val="4"/>
          <w:kern w:val="0"/>
          <w:sz w:val="24"/>
        </w:rPr>
        <w:t>监理人应配备一定数量的专门人员负责支持和维护项目信息化管理系统，并报委托人备案。监理人至少应有如下人员：</w:t>
      </w:r>
    </w:p>
    <w:p w14:paraId="634B3FEC">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①</w:t>
      </w:r>
      <w:r>
        <w:rPr>
          <w:snapToGrid w:val="0"/>
          <w:spacing w:val="4"/>
          <w:kern w:val="0"/>
          <w:sz w:val="24"/>
        </w:rPr>
        <w:t xml:space="preserve"> 系统维护人员1～2名。要求熟悉计算机软硬件技术，能进行项目相关信息化管理系统的日常维护，负责与委托人计算机系统人员协调解决系统应用中出现的问题。</w:t>
      </w:r>
    </w:p>
    <w:p w14:paraId="58E01F25">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②</w:t>
      </w:r>
      <w:r>
        <w:rPr>
          <w:snapToGrid w:val="0"/>
          <w:spacing w:val="4"/>
          <w:kern w:val="0"/>
          <w:sz w:val="24"/>
        </w:rPr>
        <w:t xml:space="preserve"> 数据管理和录入人员2～3名。负责采集、录入、核对委托人和监理工程师要求提供的信息，并保证数据的及时准确。</w:t>
      </w:r>
    </w:p>
    <w:p w14:paraId="2917A330">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3）信息内容、格式及信息传递要求</w:t>
      </w:r>
    </w:p>
    <w:p w14:paraId="0ADC2CA0">
      <w:pPr>
        <w:topLinePunct/>
        <w:adjustRightInd w:val="0"/>
        <w:snapToGrid w:val="0"/>
        <w:spacing w:line="480" w:lineRule="exact"/>
        <w:ind w:firstLine="496" w:firstLineChars="200"/>
        <w:rPr>
          <w:snapToGrid w:val="0"/>
          <w:spacing w:val="4"/>
          <w:kern w:val="0"/>
          <w:sz w:val="24"/>
        </w:rPr>
      </w:pPr>
      <w:r>
        <w:rPr>
          <w:snapToGrid w:val="0"/>
          <w:spacing w:val="4"/>
          <w:kern w:val="0"/>
          <w:sz w:val="24"/>
        </w:rPr>
        <w:t>监理人应及时准确地按委托人和监理工程师所要求的时限、内容和格式将相关工程信息录入并传递给委托人和监理工程师。监理人如未能按委托人的规定将信息录入或传递给委托人，可以成为委托人缓付或停付工程进度款的理由。</w:t>
      </w:r>
    </w:p>
    <w:p w14:paraId="3BA8B4D7">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4）信息安全</w:t>
      </w:r>
    </w:p>
    <w:p w14:paraId="522E7738">
      <w:pPr>
        <w:topLinePunct/>
        <w:adjustRightInd w:val="0"/>
        <w:snapToGrid w:val="0"/>
        <w:spacing w:line="480" w:lineRule="exact"/>
        <w:ind w:firstLine="496" w:firstLineChars="200"/>
        <w:rPr>
          <w:snapToGrid w:val="0"/>
          <w:spacing w:val="4"/>
          <w:kern w:val="0"/>
          <w:sz w:val="24"/>
          <w:u w:val="single"/>
        </w:rPr>
      </w:pPr>
      <w:r>
        <w:rPr>
          <w:snapToGrid w:val="0"/>
          <w:spacing w:val="4"/>
          <w:kern w:val="0"/>
          <w:sz w:val="24"/>
        </w:rPr>
        <w:t>项目信息化管理系统采用授权用户及密码验证以保证合法用户使用。监理人在使用计算机工程信息管理系统过程中，应采取必要的措施，以确保信息的完整、准确和安全。计算机工程信息管理系统中的信息资源所有权属于委托人，在本合同履行过程中，监理人可以访问使用与本合同相关的信息。</w:t>
      </w:r>
    </w:p>
    <w:p w14:paraId="5BA07463">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（2）工程信息管理</w:t>
      </w:r>
    </w:p>
    <w:p w14:paraId="359DDA06">
      <w:pPr>
        <w:topLinePunct/>
        <w:adjustRightInd w:val="0"/>
        <w:snapToGrid w:val="0"/>
        <w:spacing w:line="480" w:lineRule="exact"/>
        <w:ind w:firstLine="496" w:firstLineChars="200"/>
        <w:rPr>
          <w:snapToGrid w:val="0"/>
          <w:spacing w:val="4"/>
          <w:kern w:val="0"/>
          <w:sz w:val="24"/>
        </w:rPr>
      </w:pPr>
      <w:r>
        <w:rPr>
          <w:snapToGrid w:val="0"/>
          <w:spacing w:val="4"/>
          <w:kern w:val="0"/>
          <w:sz w:val="24"/>
        </w:rPr>
        <w:t>监理人要全面掌握信息源，收集相关信息资料，监理人必须进行管理的工程信息资料包括但不限于：</w:t>
      </w:r>
    </w:p>
    <w:p w14:paraId="03C1ECC7">
      <w:pPr>
        <w:topLinePunct/>
        <w:adjustRightInd w:val="0"/>
        <w:snapToGrid w:val="0"/>
        <w:spacing w:line="480" w:lineRule="exact"/>
        <w:ind w:firstLine="496" w:firstLineChars="200"/>
        <w:rPr>
          <w:snapToGrid w:val="0"/>
          <w:spacing w:val="4"/>
          <w:kern w:val="0"/>
          <w:sz w:val="24"/>
        </w:rPr>
      </w:pPr>
      <w:r>
        <w:rPr>
          <w:snapToGrid w:val="0"/>
          <w:spacing w:val="4"/>
          <w:kern w:val="0"/>
          <w:sz w:val="24"/>
        </w:rPr>
        <w:t>1）有关政策文件、法规、技术规范、质量标准等；</w:t>
      </w:r>
    </w:p>
    <w:p w14:paraId="41A5448B">
      <w:pPr>
        <w:topLinePunct/>
        <w:adjustRightInd w:val="0"/>
        <w:snapToGrid w:val="0"/>
        <w:spacing w:line="480" w:lineRule="exact"/>
        <w:ind w:firstLine="496" w:firstLineChars="200"/>
        <w:rPr>
          <w:snapToGrid w:val="0"/>
          <w:spacing w:val="4"/>
          <w:kern w:val="0"/>
          <w:sz w:val="24"/>
        </w:rPr>
      </w:pPr>
      <w:r>
        <w:rPr>
          <w:snapToGrid w:val="0"/>
          <w:spacing w:val="4"/>
          <w:kern w:val="0"/>
          <w:sz w:val="24"/>
        </w:rPr>
        <w:t>2）设计及有关批准文件、图纸会审记录、设计变更设计文件等；</w:t>
      </w:r>
    </w:p>
    <w:p w14:paraId="7C434F73">
      <w:pPr>
        <w:topLinePunct/>
        <w:adjustRightInd w:val="0"/>
        <w:snapToGrid w:val="0"/>
        <w:spacing w:line="480" w:lineRule="exact"/>
        <w:ind w:firstLine="496" w:firstLineChars="200"/>
        <w:rPr>
          <w:snapToGrid w:val="0"/>
          <w:spacing w:val="4"/>
          <w:kern w:val="0"/>
          <w:sz w:val="24"/>
        </w:rPr>
      </w:pPr>
      <w:r>
        <w:rPr>
          <w:snapToGrid w:val="0"/>
          <w:spacing w:val="4"/>
          <w:kern w:val="0"/>
          <w:sz w:val="24"/>
        </w:rPr>
        <w:t>3）招投标文件、工程建设合同、协议、补充协议等；</w:t>
      </w:r>
    </w:p>
    <w:p w14:paraId="3D4BEF81">
      <w:pPr>
        <w:topLinePunct/>
        <w:adjustRightInd w:val="0"/>
        <w:snapToGrid w:val="0"/>
        <w:spacing w:line="480" w:lineRule="exact"/>
        <w:ind w:firstLine="496" w:firstLineChars="200"/>
        <w:rPr>
          <w:snapToGrid w:val="0"/>
          <w:spacing w:val="4"/>
          <w:kern w:val="0"/>
          <w:sz w:val="24"/>
        </w:rPr>
      </w:pPr>
      <w:r>
        <w:rPr>
          <w:snapToGrid w:val="0"/>
          <w:spacing w:val="4"/>
          <w:kern w:val="0"/>
          <w:sz w:val="24"/>
        </w:rPr>
        <w:t>4）与委托人、承包人及工程有关单位之间的往来文件；</w:t>
      </w:r>
    </w:p>
    <w:p w14:paraId="2530041A">
      <w:pPr>
        <w:topLinePunct/>
        <w:adjustRightInd w:val="0"/>
        <w:snapToGrid w:val="0"/>
        <w:spacing w:line="480" w:lineRule="exact"/>
        <w:ind w:firstLine="496" w:firstLineChars="200"/>
        <w:rPr>
          <w:snapToGrid w:val="0"/>
          <w:spacing w:val="4"/>
          <w:kern w:val="0"/>
          <w:sz w:val="24"/>
        </w:rPr>
      </w:pPr>
      <w:r>
        <w:rPr>
          <w:snapToGrid w:val="0"/>
          <w:spacing w:val="4"/>
          <w:kern w:val="0"/>
          <w:sz w:val="24"/>
        </w:rPr>
        <w:t>5）承包人施工组织设计、临时工程设计、方案等资料；</w:t>
      </w:r>
    </w:p>
    <w:p w14:paraId="3E1A23ED">
      <w:pPr>
        <w:topLinePunct/>
        <w:adjustRightInd w:val="0"/>
        <w:snapToGrid w:val="0"/>
        <w:spacing w:line="480" w:lineRule="exact"/>
        <w:ind w:firstLine="496" w:firstLineChars="200"/>
        <w:rPr>
          <w:snapToGrid w:val="0"/>
          <w:spacing w:val="4"/>
          <w:kern w:val="0"/>
          <w:sz w:val="24"/>
        </w:rPr>
      </w:pPr>
      <w:r>
        <w:rPr>
          <w:snapToGrid w:val="0"/>
          <w:spacing w:val="4"/>
          <w:kern w:val="0"/>
          <w:sz w:val="24"/>
        </w:rPr>
        <w:t>6）各种材料报验、材料、构配件、机械设备的技术资料、检测、试验报告等资料；</w:t>
      </w:r>
    </w:p>
    <w:p w14:paraId="0BE103B5">
      <w:pPr>
        <w:topLinePunct/>
        <w:adjustRightInd w:val="0"/>
        <w:snapToGrid w:val="0"/>
        <w:spacing w:line="480" w:lineRule="exact"/>
        <w:ind w:firstLine="496" w:firstLineChars="200"/>
        <w:rPr>
          <w:snapToGrid w:val="0"/>
          <w:spacing w:val="4"/>
          <w:kern w:val="0"/>
          <w:sz w:val="24"/>
        </w:rPr>
      </w:pPr>
      <w:r>
        <w:rPr>
          <w:snapToGrid w:val="0"/>
          <w:spacing w:val="4"/>
          <w:kern w:val="0"/>
          <w:sz w:val="24"/>
        </w:rPr>
        <w:t>7）各种报验、验收、报告、报表、计量、支付、施工记录、现场签证、质量、进度状况记录等资料；</w:t>
      </w:r>
    </w:p>
    <w:p w14:paraId="5257EA9A">
      <w:pPr>
        <w:topLinePunct/>
        <w:adjustRightInd w:val="0"/>
        <w:snapToGrid w:val="0"/>
        <w:spacing w:line="480" w:lineRule="exact"/>
        <w:ind w:firstLine="496" w:firstLineChars="200"/>
        <w:rPr>
          <w:snapToGrid w:val="0"/>
          <w:spacing w:val="4"/>
          <w:kern w:val="0"/>
          <w:sz w:val="24"/>
        </w:rPr>
      </w:pPr>
      <w:r>
        <w:rPr>
          <w:snapToGrid w:val="0"/>
          <w:spacing w:val="4"/>
          <w:kern w:val="0"/>
          <w:sz w:val="24"/>
        </w:rPr>
        <w:t>8）监理日记、巡查、旁站记录、工程影像资料、事故处理资料、关键的检查资料；</w:t>
      </w:r>
    </w:p>
    <w:p w14:paraId="11D00A76">
      <w:pPr>
        <w:topLinePunct/>
        <w:adjustRightInd w:val="0"/>
        <w:snapToGrid w:val="0"/>
        <w:spacing w:line="480" w:lineRule="exact"/>
        <w:ind w:firstLine="496" w:firstLineChars="200"/>
        <w:rPr>
          <w:snapToGrid w:val="0"/>
          <w:spacing w:val="4"/>
          <w:kern w:val="0"/>
          <w:sz w:val="24"/>
        </w:rPr>
      </w:pPr>
      <w:r>
        <w:rPr>
          <w:snapToGrid w:val="0"/>
          <w:spacing w:val="4"/>
          <w:kern w:val="0"/>
          <w:sz w:val="24"/>
        </w:rPr>
        <w:t>9）监理通知、会议记要、备忘录、合同执行情况、监理月报、监理报告、总结、评估等；</w:t>
      </w:r>
    </w:p>
    <w:p w14:paraId="752E15A6">
      <w:pPr>
        <w:topLinePunct/>
        <w:adjustRightInd w:val="0"/>
        <w:snapToGrid w:val="0"/>
        <w:spacing w:line="480" w:lineRule="exact"/>
        <w:ind w:firstLine="496" w:firstLineChars="200"/>
        <w:rPr>
          <w:snapToGrid w:val="0"/>
          <w:spacing w:val="4"/>
          <w:kern w:val="0"/>
          <w:sz w:val="24"/>
        </w:rPr>
      </w:pPr>
      <w:r>
        <w:rPr>
          <w:snapToGrid w:val="0"/>
          <w:spacing w:val="4"/>
          <w:kern w:val="0"/>
          <w:sz w:val="24"/>
        </w:rPr>
        <w:t>10）工序验收、检验批验收、分项验收、分部（或子分部）验收、中间验收、竣工验收资料；</w:t>
      </w:r>
    </w:p>
    <w:p w14:paraId="040177C5">
      <w:pPr>
        <w:topLinePunct/>
        <w:adjustRightInd w:val="0"/>
        <w:snapToGrid w:val="0"/>
        <w:spacing w:line="480" w:lineRule="exact"/>
        <w:ind w:firstLine="496" w:firstLineChars="200"/>
        <w:rPr>
          <w:snapToGrid w:val="0"/>
          <w:spacing w:val="4"/>
          <w:kern w:val="0"/>
          <w:sz w:val="24"/>
        </w:rPr>
      </w:pPr>
      <w:r>
        <w:rPr>
          <w:snapToGrid w:val="0"/>
          <w:spacing w:val="4"/>
          <w:kern w:val="0"/>
          <w:sz w:val="24"/>
        </w:rPr>
        <w:t>11）建设工程规划验收、建筑工程消防验收、环境保护验收、室内环境验收、卫生防疫验收、电梯安装工程质量验收、人防工程验收、燃气验收、建设工程竣工档案验收、防雷验收、建筑节能验收等专项验收资料；</w:t>
      </w:r>
    </w:p>
    <w:p w14:paraId="475C7AC9">
      <w:pPr>
        <w:topLinePunct/>
        <w:adjustRightInd w:val="0"/>
        <w:snapToGrid w:val="0"/>
        <w:spacing w:line="480" w:lineRule="exact"/>
        <w:ind w:firstLine="496" w:firstLineChars="200"/>
        <w:rPr>
          <w:snapToGrid w:val="0"/>
          <w:spacing w:val="4"/>
          <w:kern w:val="0"/>
          <w:sz w:val="24"/>
        </w:rPr>
      </w:pPr>
      <w:r>
        <w:rPr>
          <w:snapToGrid w:val="0"/>
          <w:spacing w:val="4"/>
          <w:kern w:val="0"/>
          <w:sz w:val="24"/>
        </w:rPr>
        <w:t>12）监理制度、规定与管理办法等内部文件；</w:t>
      </w:r>
    </w:p>
    <w:p w14:paraId="41DF5007">
      <w:pPr>
        <w:topLinePunct/>
        <w:adjustRightInd w:val="0"/>
        <w:snapToGrid w:val="0"/>
        <w:spacing w:line="480" w:lineRule="exact"/>
        <w:ind w:firstLine="496" w:firstLineChars="200"/>
        <w:rPr>
          <w:snapToGrid w:val="0"/>
          <w:spacing w:val="4"/>
          <w:kern w:val="0"/>
          <w:sz w:val="24"/>
        </w:rPr>
      </w:pPr>
      <w:r>
        <w:rPr>
          <w:snapToGrid w:val="0"/>
          <w:spacing w:val="4"/>
          <w:kern w:val="0"/>
          <w:sz w:val="24"/>
        </w:rPr>
        <w:t>13）安全、文明生产控制资料等。</w:t>
      </w:r>
    </w:p>
    <w:p w14:paraId="2F0E02AC">
      <w:pPr>
        <w:topLinePunct/>
        <w:adjustRightInd w:val="0"/>
        <w:snapToGrid w:val="0"/>
        <w:spacing w:line="480" w:lineRule="exact"/>
        <w:ind w:firstLine="496" w:firstLineChars="200"/>
        <w:rPr>
          <w:snapToGrid w:val="0"/>
          <w:spacing w:val="4"/>
          <w:kern w:val="0"/>
          <w:sz w:val="24"/>
        </w:rPr>
      </w:pPr>
      <w:r>
        <w:rPr>
          <w:bCs/>
          <w:snapToGrid w:val="0"/>
          <w:spacing w:val="4"/>
          <w:kern w:val="0"/>
          <w:sz w:val="24"/>
        </w:rPr>
        <w:t>（2）</w:t>
      </w:r>
      <w:r>
        <w:rPr>
          <w:snapToGrid w:val="0"/>
          <w:spacing w:val="4"/>
          <w:kern w:val="0"/>
          <w:sz w:val="24"/>
        </w:rPr>
        <w:t>建立信息管理制度，严格信息采集、编排、查阅、归档保存的管理办法，由专人实施。监理资料的管理必须满足以下要求：</w:t>
      </w:r>
    </w:p>
    <w:p w14:paraId="47894A10">
      <w:pPr>
        <w:topLinePunct/>
        <w:adjustRightInd w:val="0"/>
        <w:snapToGrid w:val="0"/>
        <w:spacing w:line="480" w:lineRule="exact"/>
        <w:ind w:firstLine="496" w:firstLineChars="200"/>
        <w:rPr>
          <w:snapToGrid w:val="0"/>
          <w:spacing w:val="4"/>
          <w:kern w:val="0"/>
          <w:sz w:val="24"/>
        </w:rPr>
      </w:pPr>
      <w:r>
        <w:rPr>
          <w:snapToGrid w:val="0"/>
          <w:spacing w:val="4"/>
          <w:kern w:val="0"/>
          <w:sz w:val="24"/>
        </w:rPr>
        <w:t>1）监理资料必须及时整理、真实完整、分类有序。</w:t>
      </w:r>
    </w:p>
    <w:p w14:paraId="78EB2FE2">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2）监理资料的管理应由总监理工程师负责，并指定专人具体实施。</w:t>
      </w:r>
    </w:p>
    <w:p w14:paraId="7198FCC4">
      <w:pPr>
        <w:topLinePunct/>
        <w:adjustRightInd w:val="0"/>
        <w:snapToGrid w:val="0"/>
        <w:spacing w:line="480" w:lineRule="exact"/>
        <w:ind w:firstLine="496" w:firstLineChars="200"/>
        <w:rPr>
          <w:snapToGrid w:val="0"/>
          <w:spacing w:val="4"/>
          <w:kern w:val="0"/>
          <w:sz w:val="24"/>
        </w:rPr>
      </w:pPr>
      <w:r>
        <w:rPr>
          <w:snapToGrid w:val="0"/>
          <w:spacing w:val="4"/>
          <w:kern w:val="0"/>
          <w:sz w:val="24"/>
        </w:rPr>
        <w:t>3）监理资料应在各阶段监理工作结束后及时整理归档。</w:t>
      </w:r>
    </w:p>
    <w:p w14:paraId="1525DB39">
      <w:pPr>
        <w:topLinePunct/>
        <w:adjustRightInd w:val="0"/>
        <w:snapToGrid w:val="0"/>
        <w:spacing w:line="480" w:lineRule="exact"/>
        <w:ind w:firstLine="496" w:firstLineChars="200"/>
        <w:rPr>
          <w:snapToGrid w:val="0"/>
          <w:spacing w:val="4"/>
          <w:kern w:val="0"/>
          <w:sz w:val="24"/>
        </w:rPr>
      </w:pPr>
      <w:r>
        <w:rPr>
          <w:snapToGrid w:val="0"/>
          <w:spacing w:val="4"/>
          <w:kern w:val="0"/>
          <w:sz w:val="24"/>
        </w:rPr>
        <w:t>4）监理档案的编制及保存应按有关规定执行。</w:t>
      </w:r>
    </w:p>
    <w:p w14:paraId="6857E276">
      <w:pPr>
        <w:topLinePunct/>
        <w:adjustRightInd w:val="0"/>
        <w:snapToGrid w:val="0"/>
        <w:spacing w:line="480" w:lineRule="exact"/>
        <w:ind w:firstLine="496" w:firstLineChars="200"/>
        <w:rPr>
          <w:snapToGrid w:val="0"/>
          <w:spacing w:val="4"/>
          <w:kern w:val="0"/>
          <w:sz w:val="24"/>
        </w:rPr>
      </w:pPr>
      <w:r>
        <w:rPr>
          <w:snapToGrid w:val="0"/>
          <w:spacing w:val="4"/>
          <w:kern w:val="0"/>
          <w:sz w:val="24"/>
        </w:rPr>
        <w:t>（3）对所收集的信息必须进行分析，确保其准确、全面、来源可靠，且要求为正式资料。</w:t>
      </w:r>
    </w:p>
    <w:p w14:paraId="0E97B105">
      <w:pPr>
        <w:topLinePunct/>
        <w:adjustRightInd w:val="0"/>
        <w:snapToGrid w:val="0"/>
        <w:spacing w:line="480" w:lineRule="exact"/>
        <w:ind w:firstLine="496" w:firstLineChars="200"/>
        <w:rPr>
          <w:snapToGrid w:val="0"/>
          <w:spacing w:val="4"/>
          <w:kern w:val="0"/>
          <w:sz w:val="24"/>
        </w:rPr>
      </w:pPr>
      <w:r>
        <w:rPr>
          <w:bCs/>
          <w:snapToGrid w:val="0"/>
          <w:spacing w:val="4"/>
          <w:kern w:val="0"/>
          <w:sz w:val="24"/>
        </w:rPr>
        <w:t>（4）</w:t>
      </w:r>
      <w:r>
        <w:rPr>
          <w:snapToGrid w:val="0"/>
          <w:spacing w:val="4"/>
          <w:kern w:val="0"/>
          <w:sz w:val="24"/>
        </w:rPr>
        <w:t>及时将采集到的信息进行筛选分类，分别通报给有关领导、职能部门和有关人员审阅和签署意见。</w:t>
      </w:r>
    </w:p>
    <w:p w14:paraId="6C6ED2B9">
      <w:pPr>
        <w:topLinePunct/>
        <w:adjustRightInd w:val="0"/>
        <w:snapToGrid w:val="0"/>
        <w:spacing w:line="480" w:lineRule="exact"/>
        <w:ind w:firstLine="496" w:firstLineChars="200"/>
        <w:rPr>
          <w:snapToGrid w:val="0"/>
          <w:spacing w:val="4"/>
          <w:kern w:val="0"/>
          <w:sz w:val="24"/>
        </w:rPr>
      </w:pPr>
      <w:r>
        <w:rPr>
          <w:bCs/>
          <w:snapToGrid w:val="0"/>
          <w:spacing w:val="4"/>
          <w:kern w:val="0"/>
          <w:sz w:val="24"/>
        </w:rPr>
        <w:t>（5）</w:t>
      </w:r>
      <w:r>
        <w:rPr>
          <w:snapToGrid w:val="0"/>
          <w:spacing w:val="4"/>
          <w:kern w:val="0"/>
          <w:sz w:val="24"/>
        </w:rPr>
        <w:t>建立主体数据库系统结构，及时对信息分类保存、要求列名事件、题目、来源、概要、经办人或其他基本情况。</w:t>
      </w:r>
    </w:p>
    <w:p w14:paraId="7296EF1A">
      <w:pPr>
        <w:topLinePunct/>
        <w:adjustRightInd w:val="0"/>
        <w:snapToGrid w:val="0"/>
        <w:spacing w:line="480" w:lineRule="exact"/>
        <w:ind w:firstLine="496" w:firstLineChars="200"/>
        <w:rPr>
          <w:snapToGrid w:val="0"/>
          <w:spacing w:val="4"/>
          <w:kern w:val="0"/>
          <w:sz w:val="24"/>
        </w:rPr>
      </w:pPr>
      <w:r>
        <w:rPr>
          <w:bCs/>
          <w:snapToGrid w:val="0"/>
          <w:spacing w:val="4"/>
          <w:kern w:val="0"/>
          <w:sz w:val="24"/>
        </w:rPr>
        <w:t>（6）</w:t>
      </w:r>
      <w:r>
        <w:rPr>
          <w:snapToGrid w:val="0"/>
          <w:spacing w:val="4"/>
          <w:kern w:val="0"/>
          <w:sz w:val="24"/>
        </w:rPr>
        <w:t>对信息资料收集和反馈进行跟踪，对信息进行动态管理。</w:t>
      </w:r>
    </w:p>
    <w:p w14:paraId="235FA7DE">
      <w:pPr>
        <w:topLinePunct/>
        <w:adjustRightInd w:val="0"/>
        <w:snapToGrid w:val="0"/>
        <w:spacing w:line="480" w:lineRule="exact"/>
        <w:ind w:firstLine="496" w:firstLineChars="200"/>
        <w:rPr>
          <w:snapToGrid w:val="0"/>
          <w:spacing w:val="4"/>
          <w:kern w:val="0"/>
          <w:sz w:val="24"/>
        </w:rPr>
      </w:pPr>
      <w:r>
        <w:rPr>
          <w:bCs/>
          <w:snapToGrid w:val="0"/>
          <w:spacing w:val="4"/>
          <w:kern w:val="0"/>
          <w:sz w:val="24"/>
        </w:rPr>
        <w:t>（7）</w:t>
      </w:r>
      <w:r>
        <w:rPr>
          <w:snapToGrid w:val="0"/>
          <w:spacing w:val="4"/>
          <w:kern w:val="0"/>
          <w:sz w:val="24"/>
        </w:rPr>
        <w:t>涉及国家机密或各单位商业秘密的信息资料保管工作应制订保密管理细则，防止机密泄漏，避免造成经济损失和政治影响。</w:t>
      </w:r>
    </w:p>
    <w:p w14:paraId="27B7A706">
      <w:pPr>
        <w:topLinePunct/>
        <w:adjustRightInd w:val="0"/>
        <w:snapToGrid w:val="0"/>
        <w:spacing w:line="480" w:lineRule="exact"/>
        <w:ind w:firstLine="496" w:firstLineChars="200"/>
        <w:rPr>
          <w:snapToGrid w:val="0"/>
          <w:spacing w:val="4"/>
          <w:kern w:val="0"/>
          <w:sz w:val="24"/>
        </w:rPr>
      </w:pPr>
      <w:r>
        <w:rPr>
          <w:bCs/>
          <w:snapToGrid w:val="0"/>
          <w:spacing w:val="4"/>
          <w:kern w:val="0"/>
          <w:sz w:val="24"/>
        </w:rPr>
        <w:t>（8）</w:t>
      </w:r>
      <w:r>
        <w:rPr>
          <w:snapToGrid w:val="0"/>
          <w:spacing w:val="4"/>
          <w:kern w:val="0"/>
          <w:sz w:val="24"/>
        </w:rPr>
        <w:t>有保留价值的信息，经请示有关领导后可以消除，但应做好登记。</w:t>
      </w:r>
    </w:p>
    <w:p w14:paraId="4B8F4D92">
      <w:pPr>
        <w:topLinePunct/>
        <w:adjustRightInd w:val="0"/>
        <w:snapToGrid w:val="0"/>
        <w:spacing w:line="480" w:lineRule="exact"/>
        <w:ind w:firstLine="496" w:firstLineChars="200"/>
        <w:rPr>
          <w:snapToGrid w:val="0"/>
          <w:spacing w:val="4"/>
          <w:kern w:val="0"/>
          <w:sz w:val="24"/>
        </w:rPr>
      </w:pPr>
      <w:r>
        <w:rPr>
          <w:bCs/>
          <w:snapToGrid w:val="0"/>
          <w:spacing w:val="4"/>
          <w:kern w:val="0"/>
          <w:sz w:val="24"/>
        </w:rPr>
        <w:t>（9）</w:t>
      </w:r>
      <w:r>
        <w:rPr>
          <w:snapToGrid w:val="0"/>
          <w:spacing w:val="4"/>
          <w:kern w:val="0"/>
          <w:sz w:val="24"/>
        </w:rPr>
        <w:t>工程结束后，按有关规定进行信息整理存档、移交，并办理好移交签收手续。</w:t>
      </w:r>
    </w:p>
    <w:p w14:paraId="539FC350">
      <w:pPr>
        <w:topLinePunct/>
        <w:adjustRightInd w:val="0"/>
        <w:snapToGrid w:val="0"/>
        <w:spacing w:line="480" w:lineRule="exact"/>
        <w:ind w:firstLine="496" w:firstLineChars="200"/>
        <w:rPr>
          <w:snapToGrid w:val="0"/>
          <w:spacing w:val="4"/>
          <w:kern w:val="0"/>
          <w:sz w:val="24"/>
        </w:rPr>
      </w:pPr>
      <w:r>
        <w:rPr>
          <w:snapToGrid w:val="0"/>
          <w:spacing w:val="4"/>
          <w:kern w:val="0"/>
          <w:sz w:val="24"/>
        </w:rPr>
        <w:t>（10）监理人在提交相关信息的纸质文件的同时，须根据委托人的要求提交（</w:t>
      </w:r>
      <w:r>
        <w:rPr>
          <w:rFonts w:eastAsia="黑体"/>
          <w:bCs/>
          <w:snapToGrid w:val="0"/>
          <w:spacing w:val="4"/>
          <w:kern w:val="0"/>
          <w:sz w:val="24"/>
          <w:bdr w:val="single" w:color="auto" w:sz="4" w:space="0"/>
        </w:rPr>
        <w:t>√</w:t>
      </w:r>
      <w:r>
        <w:rPr>
          <w:snapToGrid w:val="0"/>
          <w:spacing w:val="4"/>
          <w:kern w:val="0"/>
          <w:sz w:val="24"/>
        </w:rPr>
        <w:t xml:space="preserve"> 电子原版，</w:t>
      </w:r>
      <w:r>
        <w:rPr>
          <w:rFonts w:eastAsia="黑体"/>
          <w:bCs/>
          <w:snapToGrid w:val="0"/>
          <w:spacing w:val="4"/>
          <w:kern w:val="0"/>
          <w:sz w:val="24"/>
          <w:bdr w:val="single" w:color="auto" w:sz="4" w:space="0"/>
        </w:rPr>
        <w:t>√</w:t>
      </w:r>
      <w:r>
        <w:rPr>
          <w:snapToGrid w:val="0"/>
          <w:spacing w:val="4"/>
          <w:kern w:val="0"/>
          <w:sz w:val="24"/>
        </w:rPr>
        <w:t>纸质文件扫描版）。</w:t>
      </w:r>
    </w:p>
    <w:p w14:paraId="3314B5C5">
      <w:pPr>
        <w:topLinePunct/>
        <w:adjustRightInd w:val="0"/>
        <w:snapToGrid w:val="0"/>
        <w:spacing w:line="480" w:lineRule="exact"/>
        <w:outlineLvl w:val="4"/>
        <w:rPr>
          <w:b/>
          <w:bCs/>
          <w:snapToGrid w:val="0"/>
          <w:spacing w:val="4"/>
          <w:kern w:val="0"/>
          <w:sz w:val="24"/>
        </w:rPr>
      </w:pPr>
      <w:r>
        <w:rPr>
          <w:rFonts w:hint="eastAsia"/>
          <w:b/>
          <w:snapToGrid w:val="0"/>
          <w:spacing w:val="4"/>
          <w:kern w:val="0"/>
          <w:sz w:val="24"/>
        </w:rPr>
        <w:t xml:space="preserve">4.8 </w:t>
      </w:r>
      <w:r>
        <w:rPr>
          <w:b/>
          <w:snapToGrid w:val="0"/>
          <w:spacing w:val="4"/>
          <w:kern w:val="0"/>
          <w:sz w:val="24"/>
        </w:rPr>
        <w:t>工程</w:t>
      </w:r>
      <w:r>
        <w:rPr>
          <w:b/>
          <w:bCs/>
          <w:snapToGrid w:val="0"/>
          <w:spacing w:val="4"/>
          <w:kern w:val="0"/>
          <w:sz w:val="24"/>
        </w:rPr>
        <w:t>项目沟通与协调</w:t>
      </w:r>
    </w:p>
    <w:p w14:paraId="3C8E1B03">
      <w:pPr>
        <w:topLinePunct/>
        <w:adjustRightInd w:val="0"/>
        <w:snapToGrid w:val="0"/>
        <w:spacing w:line="480" w:lineRule="exact"/>
        <w:ind w:firstLine="496" w:firstLineChars="200"/>
        <w:rPr>
          <w:snapToGrid w:val="0"/>
          <w:spacing w:val="4"/>
          <w:kern w:val="0"/>
          <w:sz w:val="24"/>
        </w:rPr>
      </w:pPr>
      <w:r>
        <w:rPr>
          <w:bCs/>
          <w:snapToGrid w:val="0"/>
          <w:spacing w:val="4"/>
          <w:kern w:val="0"/>
          <w:sz w:val="24"/>
        </w:rPr>
        <w:t>（1）</w:t>
      </w:r>
      <w:r>
        <w:rPr>
          <w:snapToGrid w:val="0"/>
          <w:spacing w:val="4"/>
          <w:kern w:val="0"/>
          <w:sz w:val="24"/>
        </w:rPr>
        <w:t>建立项目沟通与协调管理系统，健全各项制度，并本着“严格守法、遵守公德”的原则，以维护各相关方的利益为前提，应用先进、实用的方法和手段，有效解决项目实施过程中的问题。</w:t>
      </w:r>
    </w:p>
    <w:p w14:paraId="32AF10C4">
      <w:pPr>
        <w:topLinePunct/>
        <w:adjustRightInd w:val="0"/>
        <w:snapToGrid w:val="0"/>
        <w:spacing w:line="480" w:lineRule="exact"/>
        <w:ind w:firstLine="496" w:firstLineChars="200"/>
        <w:rPr>
          <w:snapToGrid w:val="0"/>
          <w:spacing w:val="4"/>
          <w:kern w:val="0"/>
          <w:sz w:val="24"/>
        </w:rPr>
      </w:pPr>
      <w:r>
        <w:rPr>
          <w:bCs/>
          <w:snapToGrid w:val="0"/>
          <w:spacing w:val="4"/>
          <w:kern w:val="0"/>
          <w:sz w:val="24"/>
        </w:rPr>
        <w:t>（2）</w:t>
      </w:r>
      <w:r>
        <w:rPr>
          <w:snapToGrid w:val="0"/>
          <w:spacing w:val="4"/>
          <w:kern w:val="0"/>
          <w:sz w:val="24"/>
        </w:rPr>
        <w:t>制定项目沟通管理计划，按内容划分主要有：施工进度、质量、安全、成本、资金、环保、设计变更、索赔、材料供应、设备使用、人力资源、文明工地建设、思想政治工作等；按时间划分主要有：项目管理实施规划、年度计划、半年计划、季度计划、月计划、旬计划、周计划等。</w:t>
      </w:r>
    </w:p>
    <w:p w14:paraId="0122FE68">
      <w:pPr>
        <w:topLinePunct/>
        <w:adjustRightInd w:val="0"/>
        <w:snapToGrid w:val="0"/>
        <w:spacing w:line="480" w:lineRule="exact"/>
        <w:ind w:firstLine="496" w:firstLineChars="200"/>
        <w:rPr>
          <w:snapToGrid w:val="0"/>
          <w:spacing w:val="4"/>
          <w:kern w:val="0"/>
          <w:sz w:val="24"/>
        </w:rPr>
      </w:pPr>
      <w:r>
        <w:rPr>
          <w:bCs/>
          <w:snapToGrid w:val="0"/>
          <w:spacing w:val="4"/>
          <w:kern w:val="0"/>
          <w:sz w:val="24"/>
        </w:rPr>
        <w:t>（3）</w:t>
      </w:r>
      <w:r>
        <w:rPr>
          <w:snapToGrid w:val="0"/>
          <w:spacing w:val="4"/>
          <w:kern w:val="0"/>
          <w:sz w:val="24"/>
        </w:rPr>
        <w:t>项目沟通管理计划明确沟通的具体内容、对象、方式、目标、责任人、完成时间、奖罚措施等，并定期或不定期地进行检查、考核和评价，确保沟通计划落到实处。</w:t>
      </w:r>
    </w:p>
    <w:p w14:paraId="36868F08">
      <w:pPr>
        <w:topLinePunct/>
        <w:adjustRightInd w:val="0"/>
        <w:snapToGrid w:val="0"/>
        <w:spacing w:line="480" w:lineRule="exact"/>
        <w:ind w:firstLine="496" w:firstLineChars="200"/>
        <w:rPr>
          <w:snapToGrid w:val="0"/>
          <w:spacing w:val="4"/>
          <w:kern w:val="0"/>
          <w:sz w:val="24"/>
        </w:rPr>
      </w:pPr>
      <w:r>
        <w:rPr>
          <w:bCs/>
          <w:snapToGrid w:val="0"/>
          <w:spacing w:val="4"/>
          <w:kern w:val="0"/>
          <w:sz w:val="24"/>
        </w:rPr>
        <w:t>（4）</w:t>
      </w:r>
      <w:r>
        <w:rPr>
          <w:snapToGrid w:val="0"/>
          <w:spacing w:val="4"/>
          <w:kern w:val="0"/>
          <w:sz w:val="24"/>
        </w:rPr>
        <w:t>对项目实施各阶段出现的矛盾和问题，根据沟通与协调的进展情况和结果，按程序要求通过各种方式及时将信息反馈给各相关方，实现共享，提高沟通与协调的效果。通过有效地计划、组织和协调，监督相关各方履行各自的职责，协调参与工程建设各方关系，充分利用各方优势为本合同工程建设服务。</w:t>
      </w:r>
    </w:p>
    <w:p w14:paraId="632A0909">
      <w:pPr>
        <w:topLinePunct/>
        <w:adjustRightInd w:val="0"/>
        <w:snapToGrid w:val="0"/>
        <w:spacing w:line="480" w:lineRule="exact"/>
        <w:ind w:firstLine="496" w:firstLineChars="200"/>
        <w:rPr>
          <w:snapToGrid w:val="0"/>
          <w:spacing w:val="4"/>
          <w:kern w:val="0"/>
          <w:sz w:val="24"/>
        </w:rPr>
      </w:pPr>
      <w:r>
        <w:rPr>
          <w:bCs/>
          <w:snapToGrid w:val="0"/>
          <w:spacing w:val="4"/>
          <w:kern w:val="0"/>
          <w:sz w:val="24"/>
        </w:rPr>
        <w:t>（5）</w:t>
      </w:r>
      <w:r>
        <w:rPr>
          <w:snapToGrid w:val="0"/>
          <w:spacing w:val="4"/>
          <w:kern w:val="0"/>
          <w:sz w:val="24"/>
        </w:rPr>
        <w:t>定期组织召开建设单位、设计、监理、质监站、安监站、承包人参加的工地现场会，协调施工过程中出现的各种矛盾和问题，会前一天，就质量、安全、进度、资金、技术、材料等需要协调的问题等议题征求意见，分送有关单位，以便会前做好充分准备，会后写出会议纪要发与会各单位，并督促执行。</w:t>
      </w:r>
    </w:p>
    <w:p w14:paraId="5EA98F7C">
      <w:pPr>
        <w:topLinePunct/>
        <w:adjustRightInd w:val="0"/>
        <w:snapToGrid w:val="0"/>
        <w:spacing w:line="480" w:lineRule="exact"/>
        <w:ind w:firstLine="496" w:firstLineChars="200"/>
        <w:rPr>
          <w:snapToGrid w:val="0"/>
          <w:spacing w:val="4"/>
          <w:kern w:val="0"/>
          <w:sz w:val="24"/>
        </w:rPr>
      </w:pPr>
      <w:r>
        <w:rPr>
          <w:bCs/>
          <w:snapToGrid w:val="0"/>
          <w:spacing w:val="4"/>
          <w:kern w:val="0"/>
          <w:sz w:val="24"/>
        </w:rPr>
        <w:t>（6）</w:t>
      </w:r>
      <w:r>
        <w:rPr>
          <w:snapToGrid w:val="0"/>
          <w:spacing w:val="4"/>
          <w:kern w:val="0"/>
          <w:sz w:val="24"/>
        </w:rPr>
        <w:t>妥善处理各分项工程之间的施工配合，要求各承包人提出需要配合的问题，如施工场地的要求、施工用水、用电、交叉作业的相互影响，施工收口处理、建筑成品保护要求及需要采取的配合措施等。</w:t>
      </w:r>
    </w:p>
    <w:p w14:paraId="29F2737F">
      <w:pPr>
        <w:topLinePunct/>
        <w:adjustRightInd w:val="0"/>
        <w:snapToGrid w:val="0"/>
        <w:spacing w:line="480" w:lineRule="exact"/>
        <w:outlineLvl w:val="4"/>
        <w:rPr>
          <w:b/>
          <w:snapToGrid w:val="0"/>
          <w:spacing w:val="4"/>
          <w:kern w:val="0"/>
          <w:sz w:val="24"/>
        </w:rPr>
      </w:pPr>
      <w:r>
        <w:rPr>
          <w:rFonts w:hint="eastAsia"/>
          <w:b/>
          <w:snapToGrid w:val="0"/>
          <w:spacing w:val="4"/>
          <w:kern w:val="0"/>
          <w:sz w:val="24"/>
        </w:rPr>
        <w:t xml:space="preserve">4.9 </w:t>
      </w:r>
      <w:r>
        <w:rPr>
          <w:b/>
          <w:snapToGrid w:val="0"/>
          <w:spacing w:val="4"/>
          <w:kern w:val="0"/>
          <w:sz w:val="24"/>
        </w:rPr>
        <w:t>环境管理工作</w:t>
      </w:r>
    </w:p>
    <w:p w14:paraId="554594BE">
      <w:pPr>
        <w:topLinePunct/>
        <w:adjustRightInd w:val="0"/>
        <w:snapToGrid w:val="0"/>
        <w:spacing w:line="480" w:lineRule="exact"/>
        <w:ind w:firstLine="496" w:firstLineChars="200"/>
        <w:rPr>
          <w:snapToGrid w:val="0"/>
          <w:spacing w:val="4"/>
          <w:kern w:val="0"/>
          <w:sz w:val="24"/>
        </w:rPr>
      </w:pPr>
      <w:r>
        <w:rPr>
          <w:snapToGrid w:val="0"/>
          <w:spacing w:val="4"/>
          <w:kern w:val="0"/>
          <w:sz w:val="24"/>
        </w:rPr>
        <w:t>监理人应对施工过程中影响环境的活动进行监督管理，以满足相关的法律法规对环境保护的要求。监理人环境管理工作的主要工作内容如下：</w:t>
      </w:r>
    </w:p>
    <w:p w14:paraId="69683368">
      <w:pPr>
        <w:topLinePunct/>
        <w:adjustRightInd w:val="0"/>
        <w:snapToGrid w:val="0"/>
        <w:spacing w:line="480" w:lineRule="exact"/>
        <w:ind w:firstLine="496" w:firstLineChars="200"/>
        <w:rPr>
          <w:snapToGrid w:val="0"/>
          <w:spacing w:val="4"/>
          <w:kern w:val="0"/>
          <w:sz w:val="24"/>
        </w:rPr>
      </w:pPr>
      <w:r>
        <w:rPr>
          <w:snapToGrid w:val="0"/>
          <w:spacing w:val="4"/>
          <w:kern w:val="0"/>
          <w:sz w:val="24"/>
        </w:rPr>
        <w:t>（1）制定相关的监督检查工作的程序及制度提交委托人及政府相关部门核准；</w:t>
      </w:r>
    </w:p>
    <w:p w14:paraId="5D891CAF">
      <w:pPr>
        <w:topLinePunct/>
        <w:adjustRightInd w:val="0"/>
        <w:snapToGrid w:val="0"/>
        <w:spacing w:line="480" w:lineRule="exact"/>
        <w:ind w:firstLine="496" w:firstLineChars="200"/>
        <w:rPr>
          <w:snapToGrid w:val="0"/>
          <w:spacing w:val="4"/>
          <w:kern w:val="0"/>
          <w:sz w:val="24"/>
        </w:rPr>
      </w:pPr>
      <w:r>
        <w:rPr>
          <w:snapToGrid w:val="0"/>
          <w:spacing w:val="4"/>
          <w:kern w:val="0"/>
          <w:sz w:val="24"/>
        </w:rPr>
        <w:t>（2）根据相关的法律、法规、制度及程序等，对工程建设过程中污染环境、破坏生态的行为进行监督管理，如噪声、废气、污水等污染物排放应达标、粉尘控制达标、减少水土流失和生态环境破坏；</w:t>
      </w:r>
    </w:p>
    <w:p w14:paraId="701E41BC">
      <w:pPr>
        <w:topLinePunct/>
        <w:adjustRightInd w:val="0"/>
        <w:snapToGrid w:val="0"/>
        <w:spacing w:line="480" w:lineRule="exact"/>
        <w:ind w:firstLine="496" w:firstLineChars="200"/>
        <w:rPr>
          <w:snapToGrid w:val="0"/>
          <w:spacing w:val="4"/>
          <w:kern w:val="0"/>
          <w:sz w:val="24"/>
        </w:rPr>
      </w:pPr>
      <w:r>
        <w:rPr>
          <w:snapToGrid w:val="0"/>
          <w:spacing w:val="4"/>
          <w:kern w:val="0"/>
          <w:sz w:val="24"/>
        </w:rPr>
        <w:t>（3）对配套的环保工程进行施工监理，如对水处理设施、声屏障、绿化工程、水源保护区的保护等进行监理。</w:t>
      </w:r>
    </w:p>
    <w:p w14:paraId="53CCB32B">
      <w:pPr>
        <w:topLinePunct/>
        <w:adjustRightInd w:val="0"/>
        <w:snapToGrid w:val="0"/>
        <w:spacing w:line="480" w:lineRule="exact"/>
        <w:outlineLvl w:val="4"/>
        <w:rPr>
          <w:b/>
          <w:snapToGrid w:val="0"/>
          <w:spacing w:val="4"/>
          <w:kern w:val="0"/>
          <w:sz w:val="24"/>
        </w:rPr>
      </w:pPr>
      <w:r>
        <w:rPr>
          <w:rFonts w:hint="eastAsia"/>
          <w:b/>
          <w:snapToGrid w:val="0"/>
          <w:spacing w:val="4"/>
          <w:kern w:val="0"/>
          <w:sz w:val="24"/>
        </w:rPr>
        <w:t xml:space="preserve">4.10 </w:t>
      </w:r>
      <w:r>
        <w:rPr>
          <w:b/>
          <w:snapToGrid w:val="0"/>
          <w:spacing w:val="4"/>
          <w:kern w:val="0"/>
          <w:sz w:val="24"/>
        </w:rPr>
        <w:t>提交监理月报</w:t>
      </w:r>
    </w:p>
    <w:p w14:paraId="6F026BC9">
      <w:pPr>
        <w:topLinePunct/>
        <w:adjustRightInd w:val="0"/>
        <w:snapToGrid w:val="0"/>
        <w:spacing w:line="480" w:lineRule="exact"/>
        <w:ind w:firstLine="496" w:firstLineChars="200"/>
        <w:rPr>
          <w:snapToGrid w:val="0"/>
          <w:spacing w:val="4"/>
          <w:kern w:val="0"/>
          <w:sz w:val="24"/>
        </w:rPr>
      </w:pPr>
      <w:r>
        <w:rPr>
          <w:snapToGrid w:val="0"/>
          <w:spacing w:val="4"/>
          <w:kern w:val="0"/>
          <w:sz w:val="24"/>
        </w:rPr>
        <w:t>监理月报应包括以下内容：</w:t>
      </w:r>
    </w:p>
    <w:p w14:paraId="4AEDDED4">
      <w:pPr>
        <w:topLinePunct/>
        <w:adjustRightInd w:val="0"/>
        <w:snapToGrid w:val="0"/>
        <w:spacing w:line="480" w:lineRule="exact"/>
        <w:ind w:firstLine="496" w:firstLineChars="200"/>
        <w:rPr>
          <w:snapToGrid w:val="0"/>
          <w:spacing w:val="4"/>
          <w:kern w:val="0"/>
          <w:sz w:val="24"/>
        </w:rPr>
      </w:pPr>
      <w:r>
        <w:rPr>
          <w:snapToGrid w:val="0"/>
          <w:spacing w:val="4"/>
          <w:kern w:val="0"/>
          <w:sz w:val="24"/>
        </w:rPr>
        <w:t>（1）本月工程概况；</w:t>
      </w:r>
    </w:p>
    <w:p w14:paraId="228A3892">
      <w:pPr>
        <w:topLinePunct/>
        <w:adjustRightInd w:val="0"/>
        <w:snapToGrid w:val="0"/>
        <w:spacing w:line="480" w:lineRule="exact"/>
        <w:ind w:firstLine="496" w:firstLineChars="200"/>
        <w:rPr>
          <w:snapToGrid w:val="0"/>
          <w:spacing w:val="4"/>
          <w:kern w:val="0"/>
          <w:sz w:val="24"/>
        </w:rPr>
      </w:pPr>
      <w:r>
        <w:rPr>
          <w:snapToGrid w:val="0"/>
          <w:spacing w:val="4"/>
          <w:kern w:val="0"/>
          <w:sz w:val="24"/>
        </w:rPr>
        <w:t>（2）本月工程形象进度；</w:t>
      </w:r>
    </w:p>
    <w:p w14:paraId="2BA8EC71">
      <w:pPr>
        <w:topLinePunct/>
        <w:adjustRightInd w:val="0"/>
        <w:snapToGrid w:val="0"/>
        <w:spacing w:line="480" w:lineRule="exact"/>
        <w:ind w:firstLine="496" w:firstLineChars="200"/>
        <w:rPr>
          <w:snapToGrid w:val="0"/>
          <w:spacing w:val="4"/>
          <w:kern w:val="0"/>
          <w:sz w:val="24"/>
        </w:rPr>
      </w:pPr>
      <w:r>
        <w:rPr>
          <w:snapToGrid w:val="0"/>
          <w:spacing w:val="4"/>
          <w:kern w:val="0"/>
          <w:sz w:val="24"/>
        </w:rPr>
        <w:t>（3）工程进度，包括：</w:t>
      </w:r>
    </w:p>
    <w:p w14:paraId="0A8375C2">
      <w:pPr>
        <w:topLinePunct/>
        <w:adjustRightInd w:val="0"/>
        <w:snapToGrid w:val="0"/>
        <w:spacing w:line="480" w:lineRule="exact"/>
        <w:ind w:firstLine="496" w:firstLineChars="200"/>
        <w:rPr>
          <w:snapToGrid w:val="0"/>
          <w:spacing w:val="4"/>
          <w:kern w:val="0"/>
          <w:sz w:val="24"/>
        </w:rPr>
      </w:pPr>
      <w:r>
        <w:rPr>
          <w:snapToGrid w:val="0"/>
          <w:spacing w:val="4"/>
          <w:kern w:val="0"/>
          <w:sz w:val="24"/>
        </w:rPr>
        <w:t>1）本月实际完成情况与计划进度比较</w:t>
      </w:r>
      <w:r>
        <w:rPr>
          <w:rFonts w:hint="eastAsia"/>
          <w:snapToGrid w:val="0"/>
          <w:spacing w:val="4"/>
          <w:kern w:val="0"/>
          <w:sz w:val="24"/>
        </w:rPr>
        <w:t>，明确偏差天数及影响因素</w:t>
      </w:r>
      <w:r>
        <w:rPr>
          <w:snapToGrid w:val="0"/>
          <w:spacing w:val="4"/>
          <w:kern w:val="0"/>
          <w:sz w:val="24"/>
        </w:rPr>
        <w:t>；</w:t>
      </w:r>
    </w:p>
    <w:p w14:paraId="70494A9F">
      <w:pPr>
        <w:topLinePunct/>
        <w:adjustRightInd w:val="0"/>
        <w:snapToGrid w:val="0"/>
        <w:spacing w:line="480" w:lineRule="exact"/>
        <w:ind w:firstLine="496" w:firstLineChars="200"/>
        <w:rPr>
          <w:snapToGrid w:val="0"/>
          <w:spacing w:val="4"/>
          <w:kern w:val="0"/>
          <w:sz w:val="24"/>
        </w:rPr>
      </w:pPr>
      <w:r>
        <w:rPr>
          <w:snapToGrid w:val="0"/>
          <w:spacing w:val="4"/>
          <w:kern w:val="0"/>
          <w:sz w:val="24"/>
        </w:rPr>
        <w:t>2）对进度完成情况及采取措施效果的分析。</w:t>
      </w:r>
    </w:p>
    <w:p w14:paraId="46C0A9FA">
      <w:pPr>
        <w:topLinePunct/>
        <w:adjustRightInd w:val="0"/>
        <w:snapToGrid w:val="0"/>
        <w:spacing w:line="480" w:lineRule="exact"/>
        <w:ind w:firstLine="496" w:firstLineChars="200"/>
        <w:rPr>
          <w:snapToGrid w:val="0"/>
          <w:spacing w:val="4"/>
          <w:kern w:val="0"/>
          <w:sz w:val="24"/>
        </w:rPr>
      </w:pPr>
      <w:r>
        <w:rPr>
          <w:snapToGrid w:val="0"/>
          <w:spacing w:val="4"/>
          <w:kern w:val="0"/>
          <w:sz w:val="24"/>
        </w:rPr>
        <w:t>（4）工程质量，包括：</w:t>
      </w:r>
    </w:p>
    <w:p w14:paraId="6845AB2B">
      <w:pPr>
        <w:topLinePunct/>
        <w:adjustRightInd w:val="0"/>
        <w:snapToGrid w:val="0"/>
        <w:spacing w:line="480" w:lineRule="exact"/>
        <w:ind w:firstLine="496" w:firstLineChars="200"/>
        <w:rPr>
          <w:snapToGrid w:val="0"/>
          <w:spacing w:val="4"/>
          <w:kern w:val="0"/>
          <w:sz w:val="24"/>
        </w:rPr>
      </w:pPr>
      <w:r>
        <w:rPr>
          <w:snapToGrid w:val="0"/>
          <w:spacing w:val="4"/>
          <w:kern w:val="0"/>
          <w:sz w:val="24"/>
        </w:rPr>
        <w:t>1）本月工程质量情况分析；</w:t>
      </w:r>
    </w:p>
    <w:p w14:paraId="53C4782C">
      <w:pPr>
        <w:topLinePunct/>
        <w:adjustRightInd w:val="0"/>
        <w:snapToGrid w:val="0"/>
        <w:spacing w:line="480" w:lineRule="exact"/>
        <w:ind w:firstLine="496" w:firstLineChars="200"/>
        <w:rPr>
          <w:snapToGrid w:val="0"/>
          <w:spacing w:val="4"/>
          <w:kern w:val="0"/>
          <w:sz w:val="24"/>
        </w:rPr>
      </w:pPr>
      <w:r>
        <w:rPr>
          <w:snapToGrid w:val="0"/>
          <w:spacing w:val="4"/>
          <w:kern w:val="0"/>
          <w:sz w:val="24"/>
        </w:rPr>
        <w:t>2）本月采取的工程质量措施及效果。</w:t>
      </w:r>
    </w:p>
    <w:p w14:paraId="33430AE0">
      <w:pPr>
        <w:topLinePunct/>
        <w:adjustRightInd w:val="0"/>
        <w:snapToGrid w:val="0"/>
        <w:spacing w:line="480" w:lineRule="exact"/>
        <w:ind w:firstLine="496" w:firstLineChars="200"/>
        <w:rPr>
          <w:snapToGrid w:val="0"/>
          <w:spacing w:val="4"/>
          <w:kern w:val="0"/>
          <w:sz w:val="24"/>
        </w:rPr>
      </w:pPr>
      <w:r>
        <w:rPr>
          <w:snapToGrid w:val="0"/>
          <w:spacing w:val="4"/>
          <w:kern w:val="0"/>
          <w:sz w:val="24"/>
        </w:rPr>
        <w:t>（5）工程计量与工程款支付，包括：</w:t>
      </w:r>
    </w:p>
    <w:p w14:paraId="2E04F384">
      <w:pPr>
        <w:topLinePunct/>
        <w:adjustRightInd w:val="0"/>
        <w:snapToGrid w:val="0"/>
        <w:spacing w:line="480" w:lineRule="exact"/>
        <w:ind w:firstLine="496" w:firstLineChars="200"/>
        <w:rPr>
          <w:snapToGrid w:val="0"/>
          <w:spacing w:val="4"/>
          <w:kern w:val="0"/>
          <w:sz w:val="24"/>
        </w:rPr>
      </w:pPr>
      <w:r>
        <w:rPr>
          <w:snapToGrid w:val="0"/>
          <w:spacing w:val="4"/>
          <w:kern w:val="0"/>
          <w:sz w:val="24"/>
        </w:rPr>
        <w:t>1）工程量审核情况；</w:t>
      </w:r>
    </w:p>
    <w:p w14:paraId="0EFED504">
      <w:pPr>
        <w:topLinePunct/>
        <w:adjustRightInd w:val="0"/>
        <w:snapToGrid w:val="0"/>
        <w:spacing w:line="480" w:lineRule="exact"/>
        <w:ind w:firstLine="496" w:firstLineChars="200"/>
        <w:rPr>
          <w:snapToGrid w:val="0"/>
          <w:spacing w:val="4"/>
          <w:kern w:val="0"/>
          <w:sz w:val="24"/>
        </w:rPr>
      </w:pPr>
      <w:r>
        <w:rPr>
          <w:snapToGrid w:val="0"/>
          <w:spacing w:val="4"/>
          <w:kern w:val="0"/>
          <w:sz w:val="24"/>
        </w:rPr>
        <w:t>2）工程款审批情况及月支付情况；</w:t>
      </w:r>
    </w:p>
    <w:p w14:paraId="613EA78F">
      <w:pPr>
        <w:topLinePunct/>
        <w:adjustRightInd w:val="0"/>
        <w:snapToGrid w:val="0"/>
        <w:spacing w:line="480" w:lineRule="exact"/>
        <w:ind w:firstLine="496" w:firstLineChars="200"/>
        <w:rPr>
          <w:snapToGrid w:val="0"/>
          <w:spacing w:val="4"/>
          <w:kern w:val="0"/>
          <w:sz w:val="24"/>
        </w:rPr>
      </w:pPr>
      <w:r>
        <w:rPr>
          <w:snapToGrid w:val="0"/>
          <w:spacing w:val="4"/>
          <w:kern w:val="0"/>
          <w:sz w:val="24"/>
        </w:rPr>
        <w:t>3）工程款支付情况分析；</w:t>
      </w:r>
    </w:p>
    <w:p w14:paraId="3BAF0020">
      <w:pPr>
        <w:topLinePunct/>
        <w:adjustRightInd w:val="0"/>
        <w:snapToGrid w:val="0"/>
        <w:spacing w:line="480" w:lineRule="exact"/>
        <w:ind w:firstLine="496" w:firstLineChars="200"/>
        <w:rPr>
          <w:snapToGrid w:val="0"/>
          <w:spacing w:val="4"/>
          <w:kern w:val="0"/>
          <w:sz w:val="24"/>
        </w:rPr>
      </w:pPr>
      <w:r>
        <w:rPr>
          <w:snapToGrid w:val="0"/>
          <w:spacing w:val="4"/>
          <w:kern w:val="0"/>
          <w:sz w:val="24"/>
        </w:rPr>
        <w:t>4）本月采取的措施及效果。</w:t>
      </w:r>
    </w:p>
    <w:p w14:paraId="43A4AA09">
      <w:pPr>
        <w:topLinePunct/>
        <w:adjustRightInd w:val="0"/>
        <w:snapToGrid w:val="0"/>
        <w:spacing w:line="480" w:lineRule="exact"/>
        <w:ind w:firstLine="496" w:firstLineChars="200"/>
        <w:rPr>
          <w:snapToGrid w:val="0"/>
          <w:spacing w:val="4"/>
          <w:kern w:val="0"/>
          <w:sz w:val="24"/>
        </w:rPr>
      </w:pPr>
      <w:r>
        <w:rPr>
          <w:snapToGrid w:val="0"/>
          <w:spacing w:val="4"/>
          <w:kern w:val="0"/>
          <w:sz w:val="24"/>
        </w:rPr>
        <w:t>（6）合同其他事项的处理情况，包括：</w:t>
      </w:r>
    </w:p>
    <w:p w14:paraId="1F1BF004">
      <w:pPr>
        <w:topLinePunct/>
        <w:adjustRightInd w:val="0"/>
        <w:snapToGrid w:val="0"/>
        <w:spacing w:line="480" w:lineRule="exact"/>
        <w:ind w:firstLine="496" w:firstLineChars="200"/>
        <w:rPr>
          <w:snapToGrid w:val="0"/>
          <w:spacing w:val="4"/>
          <w:kern w:val="0"/>
          <w:sz w:val="24"/>
        </w:rPr>
      </w:pPr>
      <w:r>
        <w:rPr>
          <w:snapToGrid w:val="0"/>
          <w:spacing w:val="4"/>
          <w:kern w:val="0"/>
          <w:sz w:val="24"/>
        </w:rPr>
        <w:t>1）工程变更；</w:t>
      </w:r>
    </w:p>
    <w:p w14:paraId="0DD38DA4">
      <w:pPr>
        <w:topLinePunct/>
        <w:adjustRightInd w:val="0"/>
        <w:snapToGrid w:val="0"/>
        <w:spacing w:line="480" w:lineRule="exact"/>
        <w:ind w:firstLine="496" w:firstLineChars="200"/>
        <w:rPr>
          <w:snapToGrid w:val="0"/>
          <w:spacing w:val="4"/>
          <w:kern w:val="0"/>
          <w:sz w:val="24"/>
        </w:rPr>
      </w:pPr>
      <w:r>
        <w:rPr>
          <w:snapToGrid w:val="0"/>
          <w:spacing w:val="4"/>
          <w:kern w:val="0"/>
          <w:sz w:val="24"/>
        </w:rPr>
        <w:t>2）工程延期；</w:t>
      </w:r>
    </w:p>
    <w:p w14:paraId="07ED8B4C">
      <w:pPr>
        <w:topLinePunct/>
        <w:adjustRightInd w:val="0"/>
        <w:snapToGrid w:val="0"/>
        <w:spacing w:line="480" w:lineRule="exact"/>
        <w:ind w:firstLine="496" w:firstLineChars="200"/>
        <w:rPr>
          <w:snapToGrid w:val="0"/>
          <w:spacing w:val="4"/>
          <w:kern w:val="0"/>
          <w:sz w:val="24"/>
        </w:rPr>
      </w:pPr>
      <w:r>
        <w:rPr>
          <w:snapToGrid w:val="0"/>
          <w:spacing w:val="4"/>
          <w:kern w:val="0"/>
          <w:sz w:val="24"/>
        </w:rPr>
        <w:t>3）费用索赔。</w:t>
      </w:r>
    </w:p>
    <w:p w14:paraId="3F05975C">
      <w:pPr>
        <w:topLinePunct/>
        <w:adjustRightInd w:val="0"/>
        <w:snapToGrid w:val="0"/>
        <w:spacing w:line="480" w:lineRule="exact"/>
        <w:ind w:firstLine="496" w:firstLineChars="200"/>
        <w:rPr>
          <w:snapToGrid w:val="0"/>
          <w:spacing w:val="4"/>
          <w:kern w:val="0"/>
          <w:sz w:val="24"/>
        </w:rPr>
      </w:pPr>
      <w:r>
        <w:rPr>
          <w:snapToGrid w:val="0"/>
          <w:spacing w:val="4"/>
          <w:kern w:val="0"/>
          <w:sz w:val="24"/>
        </w:rPr>
        <w:t>（7）本月职业健康安全及环境等情况的综合评价及相关意见或建议。</w:t>
      </w:r>
    </w:p>
    <w:p w14:paraId="548C7977">
      <w:pPr>
        <w:topLinePunct/>
        <w:adjustRightInd w:val="0"/>
        <w:snapToGrid w:val="0"/>
        <w:spacing w:line="480" w:lineRule="exact"/>
        <w:ind w:firstLine="496" w:firstLineChars="200"/>
        <w:rPr>
          <w:snapToGrid w:val="0"/>
          <w:spacing w:val="4"/>
          <w:kern w:val="0"/>
          <w:sz w:val="24"/>
        </w:rPr>
      </w:pPr>
      <w:r>
        <w:rPr>
          <w:snapToGrid w:val="0"/>
          <w:spacing w:val="4"/>
          <w:kern w:val="0"/>
          <w:sz w:val="24"/>
        </w:rPr>
        <w:t>（8）本月监理工作小结，包括：</w:t>
      </w:r>
    </w:p>
    <w:p w14:paraId="2C1CAA4A">
      <w:pPr>
        <w:topLinePunct/>
        <w:adjustRightInd w:val="0"/>
        <w:snapToGrid w:val="0"/>
        <w:spacing w:line="480" w:lineRule="exact"/>
        <w:ind w:firstLine="496" w:firstLineChars="200"/>
        <w:rPr>
          <w:snapToGrid w:val="0"/>
          <w:spacing w:val="4"/>
          <w:kern w:val="0"/>
          <w:sz w:val="24"/>
        </w:rPr>
      </w:pPr>
      <w:r>
        <w:rPr>
          <w:snapToGrid w:val="0"/>
          <w:spacing w:val="4"/>
          <w:kern w:val="0"/>
          <w:sz w:val="24"/>
        </w:rPr>
        <w:t>1）对本月进度、质量、工程款支付、安全文明施工等方面情况的综合评价；</w:t>
      </w:r>
    </w:p>
    <w:p w14:paraId="62BDAD7A">
      <w:pPr>
        <w:topLinePunct/>
        <w:adjustRightInd w:val="0"/>
        <w:snapToGrid w:val="0"/>
        <w:spacing w:line="480" w:lineRule="exact"/>
        <w:ind w:firstLine="496" w:firstLineChars="200"/>
        <w:rPr>
          <w:snapToGrid w:val="0"/>
          <w:spacing w:val="4"/>
          <w:kern w:val="0"/>
          <w:sz w:val="24"/>
        </w:rPr>
      </w:pPr>
      <w:r>
        <w:rPr>
          <w:snapToGrid w:val="0"/>
          <w:spacing w:val="4"/>
          <w:kern w:val="0"/>
          <w:sz w:val="24"/>
        </w:rPr>
        <w:t>2）本月监理工作情况；</w:t>
      </w:r>
    </w:p>
    <w:p w14:paraId="21B4FDEF">
      <w:pPr>
        <w:topLinePunct/>
        <w:adjustRightInd w:val="0"/>
        <w:snapToGrid w:val="0"/>
        <w:spacing w:line="480" w:lineRule="exact"/>
        <w:ind w:firstLine="496" w:firstLineChars="200"/>
        <w:rPr>
          <w:snapToGrid w:val="0"/>
          <w:spacing w:val="4"/>
          <w:kern w:val="0"/>
          <w:sz w:val="24"/>
        </w:rPr>
      </w:pPr>
      <w:r>
        <w:rPr>
          <w:snapToGrid w:val="0"/>
          <w:spacing w:val="4"/>
          <w:kern w:val="0"/>
          <w:sz w:val="24"/>
        </w:rPr>
        <w:t>3）有关本工程的意见和建议；</w:t>
      </w:r>
    </w:p>
    <w:p w14:paraId="377E80C8">
      <w:pPr>
        <w:topLinePunct/>
        <w:adjustRightInd w:val="0"/>
        <w:snapToGrid w:val="0"/>
        <w:spacing w:line="480" w:lineRule="exact"/>
        <w:ind w:firstLine="496" w:firstLineChars="200"/>
        <w:rPr>
          <w:snapToGrid w:val="0"/>
          <w:spacing w:val="4"/>
          <w:kern w:val="0"/>
          <w:sz w:val="24"/>
        </w:rPr>
      </w:pPr>
      <w:r>
        <w:rPr>
          <w:snapToGrid w:val="0"/>
          <w:spacing w:val="4"/>
          <w:kern w:val="0"/>
          <w:sz w:val="24"/>
        </w:rPr>
        <w:t>4）下月监理工作的重点。</w:t>
      </w:r>
    </w:p>
    <w:p w14:paraId="0B1F5306">
      <w:pPr>
        <w:topLinePunct/>
        <w:adjustRightInd w:val="0"/>
        <w:snapToGrid w:val="0"/>
        <w:spacing w:line="480" w:lineRule="exact"/>
        <w:ind w:firstLine="496" w:firstLineChars="200"/>
        <w:rPr>
          <w:snapToGrid w:val="0"/>
          <w:spacing w:val="4"/>
          <w:kern w:val="0"/>
          <w:sz w:val="24"/>
        </w:rPr>
      </w:pPr>
      <w:r>
        <w:rPr>
          <w:snapToGrid w:val="0"/>
          <w:spacing w:val="4"/>
          <w:kern w:val="0"/>
          <w:sz w:val="24"/>
        </w:rPr>
        <w:t>监理月报应由总监理工程师组织编制及签认，签认后报委托人和本监理人总部。</w:t>
      </w:r>
    </w:p>
    <w:p w14:paraId="4BC0C2E7">
      <w:pPr>
        <w:topLinePunct/>
        <w:adjustRightInd w:val="0"/>
        <w:snapToGrid w:val="0"/>
        <w:spacing w:line="480" w:lineRule="exact"/>
        <w:outlineLvl w:val="4"/>
        <w:rPr>
          <w:b/>
          <w:snapToGrid w:val="0"/>
          <w:spacing w:val="4"/>
          <w:kern w:val="0"/>
          <w:sz w:val="24"/>
        </w:rPr>
      </w:pPr>
      <w:r>
        <w:rPr>
          <w:rFonts w:hint="eastAsia"/>
          <w:b/>
          <w:snapToGrid w:val="0"/>
          <w:spacing w:val="4"/>
          <w:kern w:val="0"/>
          <w:sz w:val="24"/>
        </w:rPr>
        <w:t xml:space="preserve">4.11 </w:t>
      </w:r>
      <w:r>
        <w:rPr>
          <w:b/>
          <w:snapToGrid w:val="0"/>
          <w:spacing w:val="4"/>
          <w:kern w:val="0"/>
          <w:sz w:val="24"/>
        </w:rPr>
        <w:t>施工阶段的其他监理工作</w:t>
      </w:r>
    </w:p>
    <w:p w14:paraId="3D01FAD3">
      <w:pPr>
        <w:topLinePunct/>
        <w:adjustRightInd w:val="0"/>
        <w:snapToGrid w:val="0"/>
        <w:spacing w:line="480" w:lineRule="exact"/>
        <w:ind w:firstLine="496" w:firstLineChars="200"/>
        <w:rPr>
          <w:snapToGrid w:val="0"/>
          <w:spacing w:val="4"/>
          <w:kern w:val="0"/>
          <w:sz w:val="24"/>
        </w:rPr>
      </w:pPr>
      <w:r>
        <w:rPr>
          <w:snapToGrid w:val="0"/>
          <w:spacing w:val="4"/>
          <w:kern w:val="0"/>
          <w:sz w:val="24"/>
        </w:rPr>
        <w:t>（1）工地例会</w:t>
      </w:r>
    </w:p>
    <w:p w14:paraId="10004181">
      <w:pPr>
        <w:topLinePunct/>
        <w:adjustRightInd w:val="0"/>
        <w:snapToGrid w:val="0"/>
        <w:spacing w:line="480" w:lineRule="exact"/>
        <w:ind w:firstLine="496" w:firstLineChars="200"/>
        <w:rPr>
          <w:snapToGrid w:val="0"/>
          <w:spacing w:val="4"/>
          <w:kern w:val="0"/>
          <w:sz w:val="24"/>
        </w:rPr>
      </w:pPr>
      <w:r>
        <w:rPr>
          <w:snapToGrid w:val="0"/>
          <w:spacing w:val="4"/>
          <w:kern w:val="0"/>
          <w:sz w:val="24"/>
        </w:rPr>
        <w:t>1）在施工过程中，总监理工程师应定期主持召开工地例会。会议纪要应由项目监理机构负责起草，并经与会各方代表会签。</w:t>
      </w:r>
    </w:p>
    <w:p w14:paraId="74DDA4F6">
      <w:pPr>
        <w:topLinePunct/>
        <w:adjustRightInd w:val="0"/>
        <w:snapToGrid w:val="0"/>
        <w:spacing w:line="480" w:lineRule="exact"/>
        <w:ind w:firstLine="496" w:firstLineChars="200"/>
        <w:rPr>
          <w:snapToGrid w:val="0"/>
          <w:spacing w:val="4"/>
          <w:kern w:val="0"/>
          <w:sz w:val="24"/>
        </w:rPr>
      </w:pPr>
      <w:r>
        <w:rPr>
          <w:snapToGrid w:val="0"/>
          <w:spacing w:val="4"/>
          <w:kern w:val="0"/>
          <w:sz w:val="24"/>
        </w:rPr>
        <w:t>2）工地例会应包括以下主要内容：</w:t>
      </w:r>
    </w:p>
    <w:p w14:paraId="760E6CEC">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①</w:t>
      </w:r>
      <w:r>
        <w:rPr>
          <w:snapToGrid w:val="0"/>
          <w:spacing w:val="4"/>
          <w:kern w:val="0"/>
          <w:sz w:val="24"/>
        </w:rPr>
        <w:t xml:space="preserve"> 检查上次例会议定事项的落实情况，分析未完事项原因；</w:t>
      </w:r>
    </w:p>
    <w:p w14:paraId="227587CE">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②</w:t>
      </w:r>
      <w:r>
        <w:rPr>
          <w:snapToGrid w:val="0"/>
          <w:spacing w:val="4"/>
          <w:kern w:val="0"/>
          <w:sz w:val="24"/>
        </w:rPr>
        <w:t xml:space="preserve"> 检查分析工程项目进度计划完成情况，提出下一阶段进度目标及其落实措施；</w:t>
      </w:r>
    </w:p>
    <w:p w14:paraId="11E7BD3C">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③</w:t>
      </w:r>
      <w:r>
        <w:rPr>
          <w:snapToGrid w:val="0"/>
          <w:spacing w:val="4"/>
          <w:kern w:val="0"/>
          <w:sz w:val="24"/>
        </w:rPr>
        <w:t xml:space="preserve"> 检查分析工程项目质量状况，针对存在的质量问题提出改进措施；</w:t>
      </w:r>
    </w:p>
    <w:p w14:paraId="025360A5">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④</w:t>
      </w:r>
      <w:r>
        <w:rPr>
          <w:snapToGrid w:val="0"/>
          <w:spacing w:val="4"/>
          <w:kern w:val="0"/>
          <w:sz w:val="24"/>
        </w:rPr>
        <w:t xml:space="preserve"> 检查工程量核定及工程款支付情况；</w:t>
      </w:r>
    </w:p>
    <w:p w14:paraId="53AF561C">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⑤</w:t>
      </w:r>
      <w:r>
        <w:rPr>
          <w:snapToGrid w:val="0"/>
          <w:spacing w:val="4"/>
          <w:kern w:val="0"/>
          <w:sz w:val="24"/>
        </w:rPr>
        <w:t xml:space="preserve"> 检讨工作联系单的相关内容的执行情况，解决需要协调的有关事项；</w:t>
      </w:r>
    </w:p>
    <w:p w14:paraId="0887448C">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⑥</w:t>
      </w:r>
      <w:r>
        <w:rPr>
          <w:snapToGrid w:val="0"/>
          <w:spacing w:val="4"/>
          <w:kern w:val="0"/>
          <w:sz w:val="24"/>
        </w:rPr>
        <w:t xml:space="preserve"> 本月职业健康安全及环境、文明施工等方面的综合情况，解决需要协调的有关事项。</w:t>
      </w:r>
    </w:p>
    <w:p w14:paraId="485D6735">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⑦</w:t>
      </w:r>
      <w:r>
        <w:rPr>
          <w:snapToGrid w:val="0"/>
          <w:spacing w:val="4"/>
          <w:kern w:val="0"/>
          <w:sz w:val="24"/>
        </w:rPr>
        <w:t xml:space="preserve"> 其他有关事宜。</w:t>
      </w:r>
    </w:p>
    <w:p w14:paraId="424D2682">
      <w:pPr>
        <w:topLinePunct/>
        <w:adjustRightInd w:val="0"/>
        <w:snapToGrid w:val="0"/>
        <w:spacing w:line="480" w:lineRule="exact"/>
        <w:ind w:firstLine="496" w:firstLineChars="200"/>
        <w:rPr>
          <w:snapToGrid w:val="0"/>
          <w:spacing w:val="4"/>
          <w:kern w:val="0"/>
          <w:sz w:val="24"/>
        </w:rPr>
      </w:pPr>
      <w:r>
        <w:rPr>
          <w:snapToGrid w:val="0"/>
          <w:spacing w:val="4"/>
          <w:kern w:val="0"/>
          <w:sz w:val="24"/>
        </w:rPr>
        <w:t>3）总监理工程师或专业监理工程师应根据需要及时组织专题会议，解决施工过程中的各种专项问题。</w:t>
      </w:r>
    </w:p>
    <w:p w14:paraId="24CB234B">
      <w:pPr>
        <w:topLinePunct/>
        <w:adjustRightInd w:val="0"/>
        <w:snapToGrid w:val="0"/>
        <w:spacing w:line="480" w:lineRule="exact"/>
        <w:ind w:firstLine="496" w:firstLineChars="200"/>
        <w:rPr>
          <w:snapToGrid w:val="0"/>
          <w:spacing w:val="4"/>
          <w:kern w:val="0"/>
          <w:sz w:val="24"/>
        </w:rPr>
      </w:pPr>
      <w:r>
        <w:rPr>
          <w:snapToGrid w:val="0"/>
          <w:spacing w:val="4"/>
          <w:kern w:val="0"/>
          <w:sz w:val="24"/>
        </w:rPr>
        <w:t>4）对于工地例会上提出的有关设计问题，监理人应积极把关控制，不应随意对相关问题做出定论。工地例会上的相关结论必须以设计变更的方式确定后方可实施。</w:t>
      </w:r>
    </w:p>
    <w:p w14:paraId="2015B476">
      <w:pPr>
        <w:topLinePunct/>
        <w:adjustRightInd w:val="0"/>
        <w:snapToGrid w:val="0"/>
        <w:spacing w:line="480" w:lineRule="exact"/>
        <w:ind w:firstLine="496" w:firstLineChars="200"/>
        <w:rPr>
          <w:snapToGrid w:val="0"/>
          <w:spacing w:val="4"/>
          <w:kern w:val="0"/>
          <w:sz w:val="24"/>
        </w:rPr>
      </w:pPr>
      <w:r>
        <w:rPr>
          <w:snapToGrid w:val="0"/>
          <w:spacing w:val="4"/>
          <w:kern w:val="0"/>
          <w:sz w:val="24"/>
        </w:rPr>
        <w:t>5）监理人需参加由委托人组织的设计例会，提出合理化建议和配合完善设计变更手续等工作。</w:t>
      </w:r>
    </w:p>
    <w:p w14:paraId="7BB8DFE4">
      <w:pPr>
        <w:topLinePunct/>
        <w:adjustRightInd w:val="0"/>
        <w:snapToGrid w:val="0"/>
        <w:spacing w:line="480" w:lineRule="exact"/>
        <w:ind w:firstLine="496" w:firstLineChars="200"/>
        <w:rPr>
          <w:snapToGrid w:val="0"/>
          <w:spacing w:val="4"/>
          <w:kern w:val="0"/>
          <w:sz w:val="24"/>
        </w:rPr>
      </w:pPr>
      <w:r>
        <w:rPr>
          <w:snapToGrid w:val="0"/>
          <w:spacing w:val="4"/>
          <w:kern w:val="0"/>
          <w:sz w:val="24"/>
        </w:rPr>
        <w:t>（2）工程暂停及复工的相关工作</w:t>
      </w:r>
    </w:p>
    <w:p w14:paraId="7E722389">
      <w:pPr>
        <w:topLinePunct/>
        <w:adjustRightInd w:val="0"/>
        <w:snapToGrid w:val="0"/>
        <w:spacing w:line="480" w:lineRule="exact"/>
        <w:ind w:firstLine="496" w:firstLineChars="200"/>
        <w:rPr>
          <w:snapToGrid w:val="0"/>
          <w:spacing w:val="4"/>
          <w:kern w:val="0"/>
          <w:sz w:val="24"/>
        </w:rPr>
      </w:pPr>
      <w:r>
        <w:rPr>
          <w:snapToGrid w:val="0"/>
          <w:spacing w:val="4"/>
          <w:kern w:val="0"/>
          <w:sz w:val="24"/>
        </w:rPr>
        <w:t>1）总监理工程师在签发工程暂停令时，应根据暂停工程的影响范围和影响程度，按照施工合同和委托监理合同的约定签发。</w:t>
      </w:r>
    </w:p>
    <w:p w14:paraId="7BCA4CC1">
      <w:pPr>
        <w:topLinePunct/>
        <w:adjustRightInd w:val="0"/>
        <w:snapToGrid w:val="0"/>
        <w:spacing w:line="480" w:lineRule="exact"/>
        <w:ind w:firstLine="496" w:firstLineChars="200"/>
        <w:rPr>
          <w:snapToGrid w:val="0"/>
          <w:spacing w:val="4"/>
          <w:kern w:val="0"/>
          <w:sz w:val="24"/>
        </w:rPr>
      </w:pPr>
      <w:r>
        <w:rPr>
          <w:snapToGrid w:val="0"/>
          <w:spacing w:val="4"/>
          <w:kern w:val="0"/>
          <w:sz w:val="24"/>
        </w:rPr>
        <w:t>2）在发生下列情况之一时，总监理工程师可签发工程暂停令：</w:t>
      </w:r>
    </w:p>
    <w:p w14:paraId="1AEF9069">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①</w:t>
      </w:r>
      <w:r>
        <w:rPr>
          <w:snapToGrid w:val="0"/>
          <w:spacing w:val="4"/>
          <w:kern w:val="0"/>
          <w:sz w:val="24"/>
        </w:rPr>
        <w:t xml:space="preserve"> 委托人要求暂停施工且工程需要暂停施工；</w:t>
      </w:r>
    </w:p>
    <w:p w14:paraId="7383CF34">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②</w:t>
      </w:r>
      <w:r>
        <w:rPr>
          <w:snapToGrid w:val="0"/>
          <w:spacing w:val="4"/>
          <w:kern w:val="0"/>
          <w:sz w:val="24"/>
        </w:rPr>
        <w:t xml:space="preserve"> 为了保证工程质量而需要进行停工处理；</w:t>
      </w:r>
    </w:p>
    <w:p w14:paraId="22B0ED89">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③</w:t>
      </w:r>
      <w:r>
        <w:rPr>
          <w:snapToGrid w:val="0"/>
          <w:spacing w:val="4"/>
          <w:kern w:val="0"/>
          <w:sz w:val="24"/>
        </w:rPr>
        <w:t xml:space="preserve"> 施工出现了安全隐患，总监理工程师认为有必要停工以消除隐患；</w:t>
      </w:r>
    </w:p>
    <w:p w14:paraId="78956D1E">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④</w:t>
      </w:r>
      <w:r>
        <w:rPr>
          <w:snapToGrid w:val="0"/>
          <w:spacing w:val="4"/>
          <w:kern w:val="0"/>
          <w:sz w:val="24"/>
        </w:rPr>
        <w:t xml:space="preserve"> 发生了必须暂时停止施工的紧急事件；</w:t>
      </w:r>
    </w:p>
    <w:p w14:paraId="17881BA0">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⑤</w:t>
      </w:r>
      <w:r>
        <w:rPr>
          <w:snapToGrid w:val="0"/>
          <w:spacing w:val="4"/>
          <w:kern w:val="0"/>
          <w:sz w:val="24"/>
        </w:rPr>
        <w:t xml:space="preserve"> 承包人未经许可擅自施工或拒绝项目监理机构管理。</w:t>
      </w:r>
    </w:p>
    <w:p w14:paraId="5B988930">
      <w:pPr>
        <w:topLinePunct/>
        <w:adjustRightInd w:val="0"/>
        <w:snapToGrid w:val="0"/>
        <w:spacing w:line="480" w:lineRule="exact"/>
        <w:ind w:firstLine="496" w:firstLineChars="200"/>
        <w:rPr>
          <w:snapToGrid w:val="0"/>
          <w:spacing w:val="4"/>
          <w:kern w:val="0"/>
          <w:sz w:val="24"/>
        </w:rPr>
      </w:pPr>
      <w:r>
        <w:rPr>
          <w:snapToGrid w:val="0"/>
          <w:spacing w:val="4"/>
          <w:kern w:val="0"/>
          <w:sz w:val="24"/>
        </w:rPr>
        <w:t>3）总监理工程师在签发工程暂停令时，应根据停工原因的影响范围和影响程度，确定工程项目停工范围。</w:t>
      </w:r>
    </w:p>
    <w:p w14:paraId="05D3DBE5">
      <w:pPr>
        <w:topLinePunct/>
        <w:adjustRightInd w:val="0"/>
        <w:snapToGrid w:val="0"/>
        <w:spacing w:line="480" w:lineRule="exact"/>
        <w:ind w:firstLine="496" w:firstLineChars="200"/>
        <w:rPr>
          <w:snapToGrid w:val="0"/>
          <w:spacing w:val="4"/>
          <w:kern w:val="0"/>
          <w:sz w:val="24"/>
        </w:rPr>
      </w:pPr>
      <w:r>
        <w:rPr>
          <w:snapToGrid w:val="0"/>
          <w:spacing w:val="4"/>
          <w:kern w:val="0"/>
          <w:sz w:val="24"/>
        </w:rPr>
        <w:t>4）由于非承包人且非</w:t>
      </w:r>
      <w:r>
        <w:rPr>
          <w:snapToGrid w:val="0"/>
          <w:spacing w:val="4"/>
          <w:kern w:val="0"/>
          <w:sz w:val="24"/>
          <w:u w:val="wave"/>
        </w:rPr>
        <w:t>上述第2）-</w:t>
      </w:r>
      <w:r>
        <w:rPr>
          <w:rFonts w:hint="eastAsia" w:ascii="宋体" w:hAnsi="宋体" w:cs="宋体"/>
          <w:snapToGrid w:val="0"/>
          <w:spacing w:val="4"/>
          <w:kern w:val="0"/>
          <w:sz w:val="24"/>
          <w:u w:val="wave"/>
        </w:rPr>
        <w:t>②</w:t>
      </w:r>
      <w:r>
        <w:rPr>
          <w:snapToGrid w:val="0"/>
          <w:spacing w:val="4"/>
          <w:kern w:val="0"/>
          <w:sz w:val="24"/>
          <w:u w:val="wave"/>
        </w:rPr>
        <w:t>、</w:t>
      </w:r>
      <w:r>
        <w:rPr>
          <w:rFonts w:hint="eastAsia" w:ascii="宋体" w:hAnsi="宋体" w:cs="宋体"/>
          <w:snapToGrid w:val="0"/>
          <w:spacing w:val="4"/>
          <w:kern w:val="0"/>
          <w:sz w:val="24"/>
          <w:u w:val="wave"/>
        </w:rPr>
        <w:t>③</w:t>
      </w:r>
      <w:r>
        <w:rPr>
          <w:snapToGrid w:val="0"/>
          <w:spacing w:val="4"/>
          <w:kern w:val="0"/>
          <w:sz w:val="24"/>
          <w:u w:val="wave"/>
        </w:rPr>
        <w:t>、</w:t>
      </w:r>
      <w:r>
        <w:rPr>
          <w:rFonts w:hint="eastAsia" w:ascii="宋体" w:hAnsi="宋体" w:cs="宋体"/>
          <w:snapToGrid w:val="0"/>
          <w:spacing w:val="4"/>
          <w:kern w:val="0"/>
          <w:sz w:val="24"/>
          <w:u w:val="wave"/>
        </w:rPr>
        <w:t>④</w:t>
      </w:r>
      <w:r>
        <w:rPr>
          <w:snapToGrid w:val="0"/>
          <w:spacing w:val="4"/>
          <w:kern w:val="0"/>
          <w:sz w:val="24"/>
          <w:u w:val="wave"/>
        </w:rPr>
        <w:t>、</w:t>
      </w:r>
      <w:r>
        <w:rPr>
          <w:rFonts w:hint="eastAsia" w:ascii="宋体" w:hAnsi="宋体" w:cs="宋体"/>
          <w:snapToGrid w:val="0"/>
          <w:spacing w:val="4"/>
          <w:kern w:val="0"/>
          <w:sz w:val="24"/>
          <w:u w:val="wave"/>
        </w:rPr>
        <w:t>⑤</w:t>
      </w:r>
      <w:r>
        <w:rPr>
          <w:snapToGrid w:val="0"/>
          <w:spacing w:val="4"/>
          <w:kern w:val="0"/>
          <w:sz w:val="24"/>
          <w:u w:val="wave"/>
        </w:rPr>
        <w:t>项</w:t>
      </w:r>
      <w:r>
        <w:rPr>
          <w:snapToGrid w:val="0"/>
          <w:spacing w:val="4"/>
          <w:kern w:val="0"/>
          <w:sz w:val="24"/>
        </w:rPr>
        <w:t>原因时，总监理工程师在签发工程暂停令之前，应就有关工期和费用等事宜与承包人进行协商。</w:t>
      </w:r>
    </w:p>
    <w:p w14:paraId="2BA7916C">
      <w:pPr>
        <w:topLinePunct/>
        <w:adjustRightInd w:val="0"/>
        <w:snapToGrid w:val="0"/>
        <w:spacing w:line="480" w:lineRule="exact"/>
        <w:ind w:firstLine="496" w:firstLineChars="200"/>
        <w:rPr>
          <w:snapToGrid w:val="0"/>
          <w:spacing w:val="4"/>
          <w:kern w:val="0"/>
          <w:sz w:val="24"/>
        </w:rPr>
      </w:pPr>
      <w:r>
        <w:rPr>
          <w:snapToGrid w:val="0"/>
          <w:spacing w:val="4"/>
          <w:kern w:val="0"/>
          <w:sz w:val="24"/>
        </w:rPr>
        <w:t>5）由于委托人原因或其他非承包人原因导致工程暂停时，项目监理机构应如实记录所发生的实际情况。总监理工程师应在施工暂停原因消失、具备复工条件时，及时签署工程复工报审表，指令承包人继续施工。</w:t>
      </w:r>
    </w:p>
    <w:p w14:paraId="56829CAC">
      <w:pPr>
        <w:topLinePunct/>
        <w:adjustRightInd w:val="0"/>
        <w:snapToGrid w:val="0"/>
        <w:spacing w:line="480" w:lineRule="exact"/>
        <w:ind w:firstLine="496" w:firstLineChars="200"/>
        <w:rPr>
          <w:snapToGrid w:val="0"/>
          <w:spacing w:val="4"/>
          <w:kern w:val="0"/>
          <w:sz w:val="24"/>
        </w:rPr>
      </w:pPr>
      <w:r>
        <w:rPr>
          <w:snapToGrid w:val="0"/>
          <w:spacing w:val="4"/>
          <w:kern w:val="0"/>
          <w:sz w:val="24"/>
        </w:rPr>
        <w:t>6）由于承包人原因导致工程暂停，在具备恢复施工条件时，项目监理机构应审查承包人报送的复工申请及有关材料，同意后由总监理工程师签署工程复工报审表，指令承包人继续施工。</w:t>
      </w:r>
    </w:p>
    <w:p w14:paraId="6BC1546A">
      <w:pPr>
        <w:topLinePunct/>
        <w:adjustRightInd w:val="0"/>
        <w:snapToGrid w:val="0"/>
        <w:spacing w:line="480" w:lineRule="exact"/>
        <w:ind w:firstLine="496" w:firstLineChars="200"/>
        <w:rPr>
          <w:snapToGrid w:val="0"/>
          <w:spacing w:val="4"/>
          <w:kern w:val="0"/>
          <w:sz w:val="24"/>
        </w:rPr>
      </w:pPr>
      <w:r>
        <w:rPr>
          <w:snapToGrid w:val="0"/>
          <w:spacing w:val="4"/>
          <w:kern w:val="0"/>
          <w:sz w:val="24"/>
        </w:rPr>
        <w:t>7）总监理工程师在签发工程暂停令到签发工程复工报审表之间的时间内，应会同有关各方按照施工合同的约定，处理因工程暂停引起的与工期、费用等有关的问题。</w:t>
      </w:r>
    </w:p>
    <w:p w14:paraId="72D04FDB">
      <w:pPr>
        <w:topLinePunct/>
        <w:adjustRightInd w:val="0"/>
        <w:snapToGrid w:val="0"/>
        <w:spacing w:line="480" w:lineRule="exact"/>
        <w:ind w:firstLine="496" w:firstLineChars="200"/>
        <w:rPr>
          <w:snapToGrid w:val="0"/>
          <w:spacing w:val="4"/>
          <w:kern w:val="0"/>
          <w:sz w:val="24"/>
        </w:rPr>
      </w:pPr>
      <w:r>
        <w:rPr>
          <w:snapToGrid w:val="0"/>
          <w:spacing w:val="4"/>
          <w:kern w:val="0"/>
          <w:sz w:val="24"/>
        </w:rPr>
        <w:t>（3）工程延期及工程延误的处理工作</w:t>
      </w:r>
    </w:p>
    <w:p w14:paraId="3C946D62">
      <w:pPr>
        <w:topLinePunct/>
        <w:adjustRightInd w:val="0"/>
        <w:snapToGrid w:val="0"/>
        <w:spacing w:line="480" w:lineRule="exact"/>
        <w:ind w:firstLine="496" w:firstLineChars="200"/>
        <w:rPr>
          <w:snapToGrid w:val="0"/>
          <w:spacing w:val="4"/>
          <w:kern w:val="0"/>
          <w:sz w:val="24"/>
        </w:rPr>
      </w:pPr>
      <w:r>
        <w:rPr>
          <w:snapToGrid w:val="0"/>
          <w:spacing w:val="4"/>
          <w:kern w:val="0"/>
          <w:sz w:val="24"/>
        </w:rPr>
        <w:t>1）当承包人提出工程延期要求符合施工合同文件的规定条件时，项目监理机构应予以受理。</w:t>
      </w:r>
    </w:p>
    <w:p w14:paraId="253526F0">
      <w:pPr>
        <w:topLinePunct/>
        <w:adjustRightInd w:val="0"/>
        <w:snapToGrid w:val="0"/>
        <w:spacing w:line="480" w:lineRule="exact"/>
        <w:ind w:firstLine="496" w:firstLineChars="200"/>
        <w:rPr>
          <w:snapToGrid w:val="0"/>
          <w:spacing w:val="4"/>
          <w:kern w:val="0"/>
          <w:sz w:val="24"/>
        </w:rPr>
      </w:pPr>
      <w:r>
        <w:rPr>
          <w:snapToGrid w:val="0"/>
          <w:spacing w:val="4"/>
          <w:kern w:val="0"/>
          <w:sz w:val="24"/>
        </w:rPr>
        <w:t>2）当影响工期事件具有持续性时，项目监理机构可在收到承包人提交的阶段性工程延期申请表并经过审查后，先由总监理工程师签署工程临时延期审批表并通报委托人。当承包人提交最终的工程延期申请表后，项目监理机构应复查工程延期及临时延期情况，并由总监理工程师签署工程最终延期审批表。</w:t>
      </w:r>
    </w:p>
    <w:p w14:paraId="032392F8">
      <w:pPr>
        <w:topLinePunct/>
        <w:adjustRightInd w:val="0"/>
        <w:snapToGrid w:val="0"/>
        <w:spacing w:line="480" w:lineRule="exact"/>
        <w:ind w:firstLine="496" w:firstLineChars="200"/>
        <w:rPr>
          <w:snapToGrid w:val="0"/>
          <w:spacing w:val="4"/>
          <w:kern w:val="0"/>
          <w:sz w:val="24"/>
        </w:rPr>
      </w:pPr>
      <w:r>
        <w:rPr>
          <w:snapToGrid w:val="0"/>
          <w:spacing w:val="4"/>
          <w:kern w:val="0"/>
          <w:sz w:val="24"/>
        </w:rPr>
        <w:t>3）项目监理机构在作出临时工程延期批准或最终的工程延期批准之前，均应与委托人和承包人进行协商。</w:t>
      </w:r>
    </w:p>
    <w:p w14:paraId="06C9D60A">
      <w:pPr>
        <w:topLinePunct/>
        <w:adjustRightInd w:val="0"/>
        <w:snapToGrid w:val="0"/>
        <w:spacing w:line="480" w:lineRule="exact"/>
        <w:ind w:firstLine="496" w:firstLineChars="200"/>
        <w:rPr>
          <w:snapToGrid w:val="0"/>
          <w:spacing w:val="4"/>
          <w:kern w:val="0"/>
          <w:sz w:val="24"/>
        </w:rPr>
      </w:pPr>
      <w:r>
        <w:rPr>
          <w:snapToGrid w:val="0"/>
          <w:spacing w:val="4"/>
          <w:kern w:val="0"/>
          <w:sz w:val="24"/>
        </w:rPr>
        <w:t>4）项目监理机构在审查工程延期时，应依下列情况确定批准工程延期的时间：</w:t>
      </w:r>
    </w:p>
    <w:p w14:paraId="0824FBFB">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①</w:t>
      </w:r>
      <w:r>
        <w:rPr>
          <w:snapToGrid w:val="0"/>
          <w:spacing w:val="4"/>
          <w:kern w:val="0"/>
          <w:sz w:val="24"/>
        </w:rPr>
        <w:t xml:space="preserve"> 施工合同中有关工程延期的约定；</w:t>
      </w:r>
    </w:p>
    <w:p w14:paraId="0DE37517">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②</w:t>
      </w:r>
      <w:r>
        <w:rPr>
          <w:snapToGrid w:val="0"/>
          <w:spacing w:val="4"/>
          <w:kern w:val="0"/>
          <w:sz w:val="24"/>
        </w:rPr>
        <w:t xml:space="preserve"> 工期拖延和影响工期事件的事实和程度；</w:t>
      </w:r>
    </w:p>
    <w:p w14:paraId="6A0F9E51">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③</w:t>
      </w:r>
      <w:r>
        <w:rPr>
          <w:snapToGrid w:val="0"/>
          <w:spacing w:val="4"/>
          <w:kern w:val="0"/>
          <w:sz w:val="24"/>
        </w:rPr>
        <w:t xml:space="preserve"> 影响工期事件对工期影响的量化程度。</w:t>
      </w:r>
    </w:p>
    <w:p w14:paraId="74396DC0">
      <w:pPr>
        <w:topLinePunct/>
        <w:adjustRightInd w:val="0"/>
        <w:snapToGrid w:val="0"/>
        <w:spacing w:line="480" w:lineRule="exact"/>
        <w:ind w:firstLine="496" w:firstLineChars="200"/>
        <w:rPr>
          <w:snapToGrid w:val="0"/>
          <w:spacing w:val="4"/>
          <w:kern w:val="0"/>
          <w:sz w:val="24"/>
        </w:rPr>
      </w:pPr>
      <w:r>
        <w:rPr>
          <w:snapToGrid w:val="0"/>
          <w:spacing w:val="4"/>
          <w:kern w:val="0"/>
          <w:sz w:val="24"/>
        </w:rPr>
        <w:t>5）工程延期造成承包人提出费用索赔时，项目监理机构应按</w:t>
      </w:r>
      <w:r>
        <w:rPr>
          <w:snapToGrid w:val="0"/>
          <w:spacing w:val="4"/>
          <w:kern w:val="0"/>
          <w:sz w:val="24"/>
          <w:u w:val="wave"/>
        </w:rPr>
        <w:t>本条第4.6-（10）-1）项</w:t>
      </w:r>
      <w:r>
        <w:rPr>
          <w:snapToGrid w:val="0"/>
          <w:spacing w:val="4"/>
          <w:kern w:val="0"/>
          <w:sz w:val="24"/>
        </w:rPr>
        <w:t>的约定处理。</w:t>
      </w:r>
    </w:p>
    <w:p w14:paraId="5A346745">
      <w:pPr>
        <w:topLinePunct/>
        <w:adjustRightInd w:val="0"/>
        <w:snapToGrid w:val="0"/>
        <w:spacing w:line="480" w:lineRule="exact"/>
        <w:ind w:firstLine="496" w:firstLineChars="200"/>
        <w:rPr>
          <w:snapToGrid w:val="0"/>
          <w:spacing w:val="4"/>
          <w:kern w:val="0"/>
          <w:sz w:val="24"/>
        </w:rPr>
      </w:pPr>
      <w:r>
        <w:rPr>
          <w:snapToGrid w:val="0"/>
          <w:spacing w:val="4"/>
          <w:kern w:val="0"/>
          <w:sz w:val="24"/>
        </w:rPr>
        <w:t>6）当承包人未能按照施工合同要求的工期竣工交付造成工期延误时，项目监理机构应按施工合同规定从承包人应得款项中扣除误期损害赔偿费。</w:t>
      </w:r>
    </w:p>
    <w:p w14:paraId="276A9A1C">
      <w:pPr>
        <w:topLinePunct/>
        <w:adjustRightInd w:val="0"/>
        <w:snapToGrid w:val="0"/>
        <w:spacing w:line="480" w:lineRule="exact"/>
        <w:outlineLvl w:val="3"/>
        <w:rPr>
          <w:b/>
          <w:snapToGrid w:val="0"/>
          <w:spacing w:val="4"/>
          <w:kern w:val="0"/>
          <w:sz w:val="24"/>
        </w:rPr>
      </w:pPr>
      <w:r>
        <w:rPr>
          <w:rFonts w:hint="eastAsia"/>
          <w:b/>
          <w:snapToGrid w:val="0"/>
          <w:spacing w:val="4"/>
          <w:kern w:val="0"/>
          <w:sz w:val="24"/>
        </w:rPr>
        <w:t xml:space="preserve">5. </w:t>
      </w:r>
      <w:r>
        <w:rPr>
          <w:b/>
          <w:snapToGrid w:val="0"/>
          <w:spacing w:val="4"/>
          <w:kern w:val="0"/>
          <w:sz w:val="24"/>
        </w:rPr>
        <w:t>工程收尾阶段的监理工作</w:t>
      </w:r>
    </w:p>
    <w:p w14:paraId="3FA6E80F">
      <w:pPr>
        <w:topLinePunct/>
        <w:adjustRightInd w:val="0"/>
        <w:snapToGrid w:val="0"/>
        <w:spacing w:line="480" w:lineRule="exact"/>
        <w:outlineLvl w:val="4"/>
        <w:rPr>
          <w:snapToGrid w:val="0"/>
          <w:spacing w:val="4"/>
          <w:kern w:val="0"/>
          <w:sz w:val="24"/>
        </w:rPr>
      </w:pPr>
      <w:r>
        <w:rPr>
          <w:rFonts w:hint="eastAsia"/>
          <w:b/>
          <w:snapToGrid w:val="0"/>
          <w:spacing w:val="4"/>
          <w:kern w:val="0"/>
          <w:sz w:val="24"/>
        </w:rPr>
        <w:t xml:space="preserve">5.1 </w:t>
      </w:r>
      <w:r>
        <w:rPr>
          <w:snapToGrid w:val="0"/>
          <w:spacing w:val="4"/>
          <w:kern w:val="0"/>
          <w:sz w:val="24"/>
        </w:rPr>
        <w:t>工程收尾阶段包括竣工扫尾、验收、整改、移交、结算、考核评价等方面的管理。监理人应制定工作计划，提出各项管理要求。工程收尾阶段管理应包括以下内容：</w:t>
      </w:r>
    </w:p>
    <w:p w14:paraId="012150A9">
      <w:pPr>
        <w:topLinePunct/>
        <w:adjustRightInd w:val="0"/>
        <w:snapToGrid w:val="0"/>
        <w:spacing w:line="480" w:lineRule="exact"/>
        <w:ind w:firstLine="496" w:firstLineChars="200"/>
        <w:rPr>
          <w:snapToGrid w:val="0"/>
          <w:spacing w:val="4"/>
          <w:kern w:val="0"/>
          <w:sz w:val="24"/>
        </w:rPr>
      </w:pPr>
      <w:r>
        <w:rPr>
          <w:bCs/>
          <w:snapToGrid w:val="0"/>
          <w:spacing w:val="4"/>
          <w:kern w:val="0"/>
          <w:sz w:val="24"/>
        </w:rPr>
        <w:t>（1）</w:t>
      </w:r>
      <w:r>
        <w:rPr>
          <w:snapToGrid w:val="0"/>
          <w:spacing w:val="4"/>
          <w:kern w:val="0"/>
          <w:sz w:val="24"/>
        </w:rPr>
        <w:t>项目的竣工扫尾；</w:t>
      </w:r>
    </w:p>
    <w:p w14:paraId="76200243">
      <w:pPr>
        <w:topLinePunct/>
        <w:adjustRightInd w:val="0"/>
        <w:snapToGrid w:val="0"/>
        <w:spacing w:line="480" w:lineRule="exact"/>
        <w:ind w:firstLine="496" w:firstLineChars="200"/>
        <w:rPr>
          <w:snapToGrid w:val="0"/>
          <w:spacing w:val="4"/>
          <w:kern w:val="0"/>
          <w:sz w:val="24"/>
        </w:rPr>
      </w:pPr>
      <w:r>
        <w:rPr>
          <w:bCs/>
          <w:snapToGrid w:val="0"/>
          <w:spacing w:val="4"/>
          <w:kern w:val="0"/>
          <w:sz w:val="24"/>
        </w:rPr>
        <w:t>（2）</w:t>
      </w:r>
      <w:r>
        <w:rPr>
          <w:snapToGrid w:val="0"/>
          <w:spacing w:val="4"/>
          <w:kern w:val="0"/>
          <w:sz w:val="24"/>
        </w:rPr>
        <w:t>项目的竣工验收、整改及移交；</w:t>
      </w:r>
    </w:p>
    <w:p w14:paraId="4503BE40">
      <w:pPr>
        <w:topLinePunct/>
        <w:adjustRightInd w:val="0"/>
        <w:snapToGrid w:val="0"/>
        <w:spacing w:line="480" w:lineRule="exact"/>
        <w:ind w:firstLine="496" w:firstLineChars="200"/>
        <w:rPr>
          <w:snapToGrid w:val="0"/>
          <w:spacing w:val="4"/>
          <w:kern w:val="0"/>
          <w:sz w:val="24"/>
        </w:rPr>
      </w:pPr>
      <w:r>
        <w:rPr>
          <w:bCs/>
          <w:snapToGrid w:val="0"/>
          <w:spacing w:val="4"/>
          <w:kern w:val="0"/>
          <w:sz w:val="24"/>
        </w:rPr>
        <w:t>（3）</w:t>
      </w:r>
      <w:r>
        <w:rPr>
          <w:snapToGrid w:val="0"/>
          <w:spacing w:val="4"/>
          <w:kern w:val="0"/>
          <w:sz w:val="24"/>
        </w:rPr>
        <w:t>项目的竣工结算；</w:t>
      </w:r>
    </w:p>
    <w:p w14:paraId="3BA670A5">
      <w:pPr>
        <w:topLinePunct/>
        <w:adjustRightInd w:val="0"/>
        <w:snapToGrid w:val="0"/>
        <w:spacing w:line="480" w:lineRule="exact"/>
        <w:ind w:firstLine="496" w:firstLineChars="200"/>
        <w:rPr>
          <w:snapToGrid w:val="0"/>
          <w:spacing w:val="4"/>
          <w:kern w:val="0"/>
          <w:sz w:val="24"/>
        </w:rPr>
      </w:pPr>
      <w:r>
        <w:rPr>
          <w:bCs/>
          <w:snapToGrid w:val="0"/>
          <w:spacing w:val="4"/>
          <w:kern w:val="0"/>
          <w:sz w:val="24"/>
        </w:rPr>
        <w:t>（4）</w:t>
      </w:r>
      <w:r>
        <w:rPr>
          <w:snapToGrid w:val="0"/>
          <w:spacing w:val="4"/>
          <w:kern w:val="0"/>
          <w:sz w:val="24"/>
        </w:rPr>
        <w:t>项目的回访维护；</w:t>
      </w:r>
    </w:p>
    <w:p w14:paraId="7B3C4A25">
      <w:pPr>
        <w:topLinePunct/>
        <w:adjustRightInd w:val="0"/>
        <w:snapToGrid w:val="0"/>
        <w:spacing w:line="480" w:lineRule="exact"/>
        <w:ind w:firstLine="496" w:firstLineChars="200"/>
        <w:rPr>
          <w:snapToGrid w:val="0"/>
          <w:spacing w:val="4"/>
          <w:kern w:val="0"/>
          <w:sz w:val="24"/>
        </w:rPr>
      </w:pPr>
      <w:r>
        <w:rPr>
          <w:bCs/>
          <w:snapToGrid w:val="0"/>
          <w:spacing w:val="4"/>
          <w:kern w:val="0"/>
          <w:sz w:val="24"/>
        </w:rPr>
        <w:t>（5）</w:t>
      </w:r>
      <w:r>
        <w:rPr>
          <w:snapToGrid w:val="0"/>
          <w:spacing w:val="4"/>
          <w:kern w:val="0"/>
          <w:sz w:val="24"/>
        </w:rPr>
        <w:t>项目的考核评价。</w:t>
      </w:r>
    </w:p>
    <w:p w14:paraId="52F57656">
      <w:pPr>
        <w:topLinePunct/>
        <w:adjustRightInd w:val="0"/>
        <w:snapToGrid w:val="0"/>
        <w:spacing w:line="480" w:lineRule="exact"/>
        <w:outlineLvl w:val="4"/>
        <w:rPr>
          <w:b/>
          <w:snapToGrid w:val="0"/>
          <w:spacing w:val="4"/>
          <w:kern w:val="0"/>
          <w:sz w:val="24"/>
        </w:rPr>
      </w:pPr>
      <w:r>
        <w:rPr>
          <w:rFonts w:hint="eastAsia"/>
          <w:b/>
          <w:snapToGrid w:val="0"/>
          <w:spacing w:val="4"/>
          <w:kern w:val="0"/>
          <w:sz w:val="24"/>
        </w:rPr>
        <w:t xml:space="preserve">5.2 </w:t>
      </w:r>
      <w:r>
        <w:rPr>
          <w:b/>
          <w:snapToGrid w:val="0"/>
          <w:spacing w:val="4"/>
          <w:kern w:val="0"/>
          <w:sz w:val="24"/>
        </w:rPr>
        <w:t>竣工验收</w:t>
      </w:r>
    </w:p>
    <w:p w14:paraId="2DC995B0">
      <w:pPr>
        <w:topLinePunct/>
        <w:adjustRightInd w:val="0"/>
        <w:snapToGrid w:val="0"/>
        <w:spacing w:line="480" w:lineRule="exact"/>
        <w:ind w:firstLine="496" w:firstLineChars="200"/>
        <w:rPr>
          <w:snapToGrid w:val="0"/>
          <w:spacing w:val="4"/>
          <w:kern w:val="0"/>
          <w:sz w:val="24"/>
        </w:rPr>
      </w:pPr>
      <w:r>
        <w:rPr>
          <w:snapToGrid w:val="0"/>
          <w:spacing w:val="4"/>
          <w:kern w:val="0"/>
          <w:sz w:val="24"/>
        </w:rPr>
        <w:t>（1）总监理工程师应组织专业监理工程师，依据有关法律、法规、工程建设强制性标准、设计文件及施工合同，对承包人报送的竣工资料进行审查，并对工程质量进行竣工预验收。对存在的问题，应及时要求承包人整改。整改完毕由总监理工程师签署工程竣工报验单，并应在此基础上提出工程质量评估报告。工程质量评估报告应经总监理工程师和监理人技术负责人审核签字。</w:t>
      </w:r>
    </w:p>
    <w:p w14:paraId="29804F9D">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人应负责组织系统联动调试、试运行及各专项验收及检测。项目监理机构应参加由委托人组织的竣工验收，并提供相关监理资料。对验收中提出的整改问题，项目监理机构应要求承包人进行整改。工程质量符合要求，由总监理工程师会同参加验收的各方签署竣工验收报告。</w:t>
      </w:r>
    </w:p>
    <w:p w14:paraId="3A7B093C">
      <w:pPr>
        <w:topLinePunct/>
        <w:adjustRightInd w:val="0"/>
        <w:snapToGrid w:val="0"/>
        <w:spacing w:line="480" w:lineRule="exact"/>
        <w:ind w:firstLine="496" w:firstLineChars="200"/>
        <w:rPr>
          <w:snapToGrid w:val="0"/>
          <w:spacing w:val="4"/>
          <w:kern w:val="0"/>
          <w:sz w:val="24"/>
        </w:rPr>
      </w:pPr>
      <w:r>
        <w:rPr>
          <w:snapToGrid w:val="0"/>
          <w:spacing w:val="4"/>
          <w:kern w:val="0"/>
          <w:sz w:val="24"/>
        </w:rPr>
        <w:t>（3）组织或协助委托人、承包人和产权管理单位对项目进行移交。</w:t>
      </w:r>
    </w:p>
    <w:p w14:paraId="1D1E1C6A">
      <w:pPr>
        <w:topLinePunct/>
        <w:adjustRightInd w:val="0"/>
        <w:snapToGrid w:val="0"/>
        <w:spacing w:line="480" w:lineRule="exact"/>
        <w:ind w:firstLine="496" w:firstLineChars="200"/>
        <w:rPr>
          <w:snapToGrid w:val="0"/>
          <w:spacing w:val="4"/>
          <w:kern w:val="0"/>
          <w:sz w:val="24"/>
        </w:rPr>
      </w:pPr>
      <w:r>
        <w:rPr>
          <w:snapToGrid w:val="0"/>
          <w:spacing w:val="4"/>
          <w:kern w:val="0"/>
          <w:sz w:val="24"/>
        </w:rPr>
        <w:t>（4）根据现场的实际竣工情况对承包人提交的竣工图纸（包括设备移交资料等）进行复核确认。</w:t>
      </w:r>
    </w:p>
    <w:p w14:paraId="2734CB47">
      <w:pPr>
        <w:topLinePunct/>
        <w:adjustRightInd w:val="0"/>
        <w:snapToGrid w:val="0"/>
        <w:spacing w:line="480" w:lineRule="exact"/>
        <w:outlineLvl w:val="4"/>
        <w:rPr>
          <w:b/>
          <w:snapToGrid w:val="0"/>
          <w:spacing w:val="4"/>
          <w:kern w:val="0"/>
          <w:sz w:val="24"/>
        </w:rPr>
      </w:pPr>
      <w:r>
        <w:rPr>
          <w:rFonts w:hint="eastAsia"/>
          <w:b/>
          <w:snapToGrid w:val="0"/>
          <w:spacing w:val="4"/>
          <w:kern w:val="0"/>
          <w:sz w:val="24"/>
        </w:rPr>
        <w:t xml:space="preserve">5.3 </w:t>
      </w:r>
      <w:r>
        <w:rPr>
          <w:b/>
          <w:snapToGrid w:val="0"/>
          <w:spacing w:val="4"/>
          <w:kern w:val="0"/>
          <w:sz w:val="24"/>
        </w:rPr>
        <w:t>审核竣工结算</w:t>
      </w:r>
    </w:p>
    <w:p w14:paraId="2F67222F">
      <w:pPr>
        <w:topLinePunct/>
        <w:adjustRightInd w:val="0"/>
        <w:snapToGrid w:val="0"/>
        <w:spacing w:line="480" w:lineRule="exact"/>
        <w:ind w:firstLine="496" w:firstLineChars="200"/>
        <w:rPr>
          <w:snapToGrid w:val="0"/>
          <w:spacing w:val="4"/>
          <w:kern w:val="0"/>
          <w:sz w:val="24"/>
        </w:rPr>
      </w:pPr>
      <w:r>
        <w:rPr>
          <w:snapToGrid w:val="0"/>
          <w:spacing w:val="4"/>
          <w:kern w:val="0"/>
          <w:sz w:val="24"/>
        </w:rPr>
        <w:t>（1）结算的总体要求</w:t>
      </w:r>
    </w:p>
    <w:p w14:paraId="2297322D">
      <w:pPr>
        <w:topLinePunct/>
        <w:adjustRightInd w:val="0"/>
        <w:snapToGrid w:val="0"/>
        <w:spacing w:line="480" w:lineRule="exact"/>
        <w:ind w:firstLine="496" w:firstLineChars="200"/>
        <w:rPr>
          <w:snapToGrid w:val="0"/>
          <w:spacing w:val="4"/>
          <w:kern w:val="0"/>
          <w:sz w:val="24"/>
        </w:rPr>
      </w:pPr>
      <w:r>
        <w:rPr>
          <w:snapToGrid w:val="0"/>
          <w:spacing w:val="4"/>
          <w:kern w:val="0"/>
          <w:sz w:val="24"/>
        </w:rPr>
        <w:t>监理人应根据有关合同约定及工程进展的实际情况，于竣工后2周内编制工程竣工结算计划报委托人批准后实施。监理人负责组织有关单位按核准的结算计划中的时间要求提交竣工结算书及竣工结算资料。监理人须根据委托人的要求审核承包人提交的工程结算书，确保工程结算资料的完整性，并对其提交给委托人的结算审核结果负责。工程结算以单个施工合同为结算对象，监理人应在完成全部合同结算的审核后形成结算汇总。总监理工程师应对监理人提交的《竣工结算审核意见书》进行签认并对由其审核的结算金额的准确性负责。</w:t>
      </w:r>
    </w:p>
    <w:p w14:paraId="1D6CBEAB">
      <w:pPr>
        <w:topLinePunct/>
        <w:adjustRightInd w:val="0"/>
        <w:snapToGrid w:val="0"/>
        <w:spacing w:line="480" w:lineRule="exact"/>
        <w:ind w:firstLine="496" w:firstLineChars="200"/>
        <w:rPr>
          <w:snapToGrid w:val="0"/>
          <w:spacing w:val="4"/>
          <w:kern w:val="0"/>
          <w:sz w:val="24"/>
        </w:rPr>
      </w:pPr>
      <w:r>
        <w:rPr>
          <w:snapToGrid w:val="0"/>
          <w:spacing w:val="4"/>
          <w:kern w:val="0"/>
          <w:sz w:val="24"/>
        </w:rPr>
        <w:t>（2）工程结算资料必须实事求是、完整、真实准确，工程资料的主要内容包括：</w:t>
      </w:r>
    </w:p>
    <w:p w14:paraId="6FDB632F">
      <w:pPr>
        <w:topLinePunct/>
        <w:adjustRightInd w:val="0"/>
        <w:snapToGrid w:val="0"/>
        <w:spacing w:line="480" w:lineRule="exact"/>
        <w:ind w:firstLine="496" w:firstLineChars="200"/>
        <w:rPr>
          <w:snapToGrid w:val="0"/>
          <w:spacing w:val="4"/>
          <w:kern w:val="0"/>
          <w:sz w:val="24"/>
        </w:rPr>
      </w:pPr>
      <w:r>
        <w:rPr>
          <w:snapToGrid w:val="0"/>
          <w:spacing w:val="4"/>
          <w:kern w:val="0"/>
          <w:sz w:val="24"/>
        </w:rPr>
        <w:t>1）合同（组成包括：协议书、中标通知书或委托书、投标文件澄清纪要、投标文件及其附件、合同专用条件、合同标准条件、招标文件及补遗书、本合同履行期间合同各方间签订的补充合同（协议）、其它）；</w:t>
      </w:r>
    </w:p>
    <w:p w14:paraId="4E7903B3">
      <w:pPr>
        <w:topLinePunct/>
        <w:adjustRightInd w:val="0"/>
        <w:snapToGrid w:val="0"/>
        <w:spacing w:line="480" w:lineRule="exact"/>
        <w:ind w:firstLine="496" w:firstLineChars="200"/>
        <w:rPr>
          <w:snapToGrid w:val="0"/>
          <w:spacing w:val="4"/>
          <w:kern w:val="0"/>
          <w:sz w:val="24"/>
        </w:rPr>
      </w:pPr>
      <w:r>
        <w:rPr>
          <w:snapToGrid w:val="0"/>
          <w:spacing w:val="4"/>
          <w:kern w:val="0"/>
          <w:sz w:val="24"/>
        </w:rPr>
        <w:t>2）结算书及电子文档；</w:t>
      </w:r>
    </w:p>
    <w:p w14:paraId="138FCD29">
      <w:pPr>
        <w:topLinePunct/>
        <w:adjustRightInd w:val="0"/>
        <w:snapToGrid w:val="0"/>
        <w:spacing w:line="480" w:lineRule="exact"/>
        <w:ind w:firstLine="496" w:firstLineChars="200"/>
        <w:rPr>
          <w:snapToGrid w:val="0"/>
          <w:spacing w:val="4"/>
          <w:kern w:val="0"/>
          <w:sz w:val="24"/>
        </w:rPr>
      </w:pPr>
      <w:r>
        <w:rPr>
          <w:snapToGrid w:val="0"/>
          <w:spacing w:val="4"/>
          <w:kern w:val="0"/>
          <w:sz w:val="24"/>
        </w:rPr>
        <w:t>3）招标图纸及竣工图纸；</w:t>
      </w:r>
    </w:p>
    <w:p w14:paraId="0EBE5D4A">
      <w:pPr>
        <w:topLinePunct/>
        <w:adjustRightInd w:val="0"/>
        <w:snapToGrid w:val="0"/>
        <w:spacing w:line="480" w:lineRule="exact"/>
        <w:ind w:firstLine="496" w:firstLineChars="200"/>
        <w:rPr>
          <w:snapToGrid w:val="0"/>
          <w:spacing w:val="4"/>
          <w:kern w:val="0"/>
          <w:sz w:val="24"/>
        </w:rPr>
      </w:pPr>
      <w:r>
        <w:rPr>
          <w:snapToGrid w:val="0"/>
          <w:spacing w:val="4"/>
          <w:kern w:val="0"/>
          <w:sz w:val="24"/>
        </w:rPr>
        <w:t>4）图纸会审（交底）的会议纪要；</w:t>
      </w:r>
    </w:p>
    <w:p w14:paraId="380D869F">
      <w:pPr>
        <w:topLinePunct/>
        <w:adjustRightInd w:val="0"/>
        <w:snapToGrid w:val="0"/>
        <w:spacing w:line="480" w:lineRule="exact"/>
        <w:ind w:firstLine="496" w:firstLineChars="200"/>
        <w:rPr>
          <w:snapToGrid w:val="0"/>
          <w:spacing w:val="4"/>
          <w:kern w:val="0"/>
          <w:sz w:val="24"/>
        </w:rPr>
      </w:pPr>
      <w:r>
        <w:rPr>
          <w:snapToGrid w:val="0"/>
          <w:spacing w:val="4"/>
          <w:kern w:val="0"/>
          <w:sz w:val="24"/>
        </w:rPr>
        <w:t>5）工程量计算书（或钢筋抽料表）及电子文档；</w:t>
      </w:r>
    </w:p>
    <w:p w14:paraId="79F25813">
      <w:pPr>
        <w:topLinePunct/>
        <w:adjustRightInd w:val="0"/>
        <w:snapToGrid w:val="0"/>
        <w:spacing w:line="480" w:lineRule="exact"/>
        <w:ind w:firstLine="496" w:firstLineChars="200"/>
        <w:rPr>
          <w:snapToGrid w:val="0"/>
          <w:spacing w:val="4"/>
          <w:kern w:val="0"/>
          <w:sz w:val="24"/>
        </w:rPr>
      </w:pPr>
      <w:r>
        <w:rPr>
          <w:snapToGrid w:val="0"/>
          <w:spacing w:val="4"/>
          <w:kern w:val="0"/>
          <w:sz w:val="24"/>
        </w:rPr>
        <w:t>6）工程变更图纸、变更指令及工程变更申报审批表；</w:t>
      </w:r>
    </w:p>
    <w:p w14:paraId="6129DAB2">
      <w:pPr>
        <w:topLinePunct/>
        <w:adjustRightInd w:val="0"/>
        <w:snapToGrid w:val="0"/>
        <w:spacing w:line="480" w:lineRule="exact"/>
        <w:ind w:firstLine="496" w:firstLineChars="200"/>
        <w:rPr>
          <w:snapToGrid w:val="0"/>
          <w:spacing w:val="4"/>
          <w:kern w:val="0"/>
          <w:sz w:val="24"/>
        </w:rPr>
      </w:pPr>
      <w:r>
        <w:rPr>
          <w:snapToGrid w:val="0"/>
          <w:spacing w:val="4"/>
          <w:kern w:val="0"/>
          <w:sz w:val="24"/>
        </w:rPr>
        <w:t>7）施工现场变更签证及工程变更申报审批表；</w:t>
      </w:r>
    </w:p>
    <w:p w14:paraId="1DB7BA01">
      <w:pPr>
        <w:topLinePunct/>
        <w:adjustRightInd w:val="0"/>
        <w:snapToGrid w:val="0"/>
        <w:spacing w:line="480" w:lineRule="exact"/>
        <w:ind w:firstLine="496" w:firstLineChars="200"/>
        <w:rPr>
          <w:snapToGrid w:val="0"/>
          <w:spacing w:val="4"/>
          <w:kern w:val="0"/>
          <w:sz w:val="24"/>
        </w:rPr>
      </w:pPr>
      <w:r>
        <w:rPr>
          <w:snapToGrid w:val="0"/>
          <w:spacing w:val="4"/>
          <w:kern w:val="0"/>
          <w:sz w:val="24"/>
        </w:rPr>
        <w:t>8）工程竣工验收证明；</w:t>
      </w:r>
    </w:p>
    <w:p w14:paraId="2C677BF3">
      <w:pPr>
        <w:topLinePunct/>
        <w:adjustRightInd w:val="0"/>
        <w:snapToGrid w:val="0"/>
        <w:spacing w:line="480" w:lineRule="exact"/>
        <w:ind w:firstLine="496" w:firstLineChars="200"/>
        <w:rPr>
          <w:snapToGrid w:val="0"/>
          <w:spacing w:val="4"/>
          <w:kern w:val="0"/>
          <w:sz w:val="24"/>
        </w:rPr>
      </w:pPr>
      <w:r>
        <w:rPr>
          <w:snapToGrid w:val="0"/>
          <w:spacing w:val="4"/>
          <w:kern w:val="0"/>
          <w:sz w:val="24"/>
        </w:rPr>
        <w:t>9）开、竣工报告；</w:t>
      </w:r>
    </w:p>
    <w:p w14:paraId="190AECFA">
      <w:pPr>
        <w:topLinePunct/>
        <w:adjustRightInd w:val="0"/>
        <w:snapToGrid w:val="0"/>
        <w:spacing w:line="480" w:lineRule="exact"/>
        <w:ind w:firstLine="496" w:firstLineChars="200"/>
        <w:rPr>
          <w:snapToGrid w:val="0"/>
          <w:spacing w:val="4"/>
          <w:kern w:val="0"/>
          <w:sz w:val="24"/>
        </w:rPr>
      </w:pPr>
      <w:r>
        <w:rPr>
          <w:snapToGrid w:val="0"/>
          <w:spacing w:val="4"/>
          <w:kern w:val="0"/>
          <w:sz w:val="24"/>
        </w:rPr>
        <w:t>10）中间计量资料；</w:t>
      </w:r>
    </w:p>
    <w:p w14:paraId="5331E22D">
      <w:pPr>
        <w:topLinePunct/>
        <w:adjustRightInd w:val="0"/>
        <w:snapToGrid w:val="0"/>
        <w:spacing w:line="480" w:lineRule="exact"/>
        <w:ind w:firstLine="496" w:firstLineChars="200"/>
        <w:rPr>
          <w:snapToGrid w:val="0"/>
          <w:spacing w:val="4"/>
          <w:kern w:val="0"/>
          <w:sz w:val="24"/>
        </w:rPr>
      </w:pPr>
      <w:r>
        <w:rPr>
          <w:snapToGrid w:val="0"/>
          <w:spacing w:val="4"/>
          <w:kern w:val="0"/>
          <w:sz w:val="24"/>
        </w:rPr>
        <w:t>11）其它竣工结算资料。</w:t>
      </w:r>
    </w:p>
    <w:p w14:paraId="3BBEAA65">
      <w:pPr>
        <w:topLinePunct/>
        <w:adjustRightInd w:val="0"/>
        <w:snapToGrid w:val="0"/>
        <w:spacing w:line="480" w:lineRule="exact"/>
        <w:ind w:firstLine="496" w:firstLineChars="200"/>
        <w:rPr>
          <w:snapToGrid w:val="0"/>
          <w:spacing w:val="4"/>
          <w:kern w:val="0"/>
          <w:sz w:val="24"/>
        </w:rPr>
      </w:pPr>
      <w:r>
        <w:rPr>
          <w:snapToGrid w:val="0"/>
          <w:spacing w:val="4"/>
          <w:kern w:val="0"/>
          <w:sz w:val="24"/>
        </w:rPr>
        <w:t>（3）有权终审部门结算审核过程中的相关工作</w:t>
      </w:r>
    </w:p>
    <w:p w14:paraId="1C9BBA90">
      <w:pPr>
        <w:topLinePunct/>
        <w:adjustRightInd w:val="0"/>
        <w:snapToGrid w:val="0"/>
        <w:spacing w:line="480" w:lineRule="exact"/>
        <w:ind w:firstLine="496" w:firstLineChars="200"/>
        <w:rPr>
          <w:snapToGrid w:val="0"/>
          <w:spacing w:val="4"/>
          <w:kern w:val="0"/>
          <w:sz w:val="24"/>
        </w:rPr>
      </w:pPr>
      <w:r>
        <w:rPr>
          <w:snapToGrid w:val="0"/>
          <w:spacing w:val="4"/>
          <w:kern w:val="0"/>
          <w:sz w:val="24"/>
        </w:rPr>
        <w:t>1）监理人应积极组织并督促承包人配合政府主管部门对本合同工程结算书（结算资料）的审核工作，以推动结算工作的顺利进行。</w:t>
      </w:r>
    </w:p>
    <w:p w14:paraId="1D50DFEF">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2）监理人应按委托人要求，派出相关人员参加政府主管部门组织的针对本合同工程结算审核工作的相关会议（如结算工作会议、结算工程量核对会议等）。</w:t>
      </w:r>
    </w:p>
    <w:p w14:paraId="42ABA173">
      <w:pPr>
        <w:topLinePunct/>
        <w:adjustRightInd w:val="0"/>
        <w:snapToGrid w:val="0"/>
        <w:spacing w:line="480" w:lineRule="exact"/>
        <w:ind w:firstLine="496" w:firstLineChars="200"/>
        <w:rPr>
          <w:snapToGrid w:val="0"/>
          <w:spacing w:val="4"/>
          <w:kern w:val="0"/>
          <w:sz w:val="24"/>
        </w:rPr>
      </w:pPr>
      <w:r>
        <w:rPr>
          <w:snapToGrid w:val="0"/>
          <w:spacing w:val="4"/>
          <w:kern w:val="0"/>
          <w:sz w:val="24"/>
        </w:rPr>
        <w:t>3）监理人应根据政府主管部门对本合同工程结算提出的意见，向委托人提出解决本合同工程结算争议的合理建议。</w:t>
      </w:r>
    </w:p>
    <w:p w14:paraId="4D5D9982">
      <w:pPr>
        <w:topLinePunct/>
        <w:adjustRightInd w:val="0"/>
        <w:snapToGrid w:val="0"/>
        <w:spacing w:line="480" w:lineRule="exact"/>
        <w:outlineLvl w:val="4"/>
        <w:rPr>
          <w:b/>
          <w:snapToGrid w:val="0"/>
          <w:spacing w:val="4"/>
          <w:kern w:val="0"/>
          <w:sz w:val="24"/>
        </w:rPr>
      </w:pPr>
      <w:r>
        <w:rPr>
          <w:rFonts w:hint="eastAsia"/>
          <w:b/>
          <w:snapToGrid w:val="0"/>
          <w:spacing w:val="4"/>
          <w:kern w:val="0"/>
          <w:sz w:val="24"/>
        </w:rPr>
        <w:t xml:space="preserve">5.4 </w:t>
      </w:r>
      <w:r>
        <w:rPr>
          <w:b/>
          <w:snapToGrid w:val="0"/>
          <w:spacing w:val="4"/>
          <w:kern w:val="0"/>
          <w:sz w:val="24"/>
        </w:rPr>
        <w:t>提交监理工作总结</w:t>
      </w:r>
    </w:p>
    <w:p w14:paraId="1AD6FD2D">
      <w:pPr>
        <w:topLinePunct/>
        <w:adjustRightInd w:val="0"/>
        <w:snapToGrid w:val="0"/>
        <w:spacing w:line="480" w:lineRule="exact"/>
        <w:ind w:firstLine="496" w:firstLineChars="200"/>
        <w:rPr>
          <w:snapToGrid w:val="0"/>
          <w:spacing w:val="4"/>
          <w:kern w:val="0"/>
          <w:sz w:val="24"/>
        </w:rPr>
      </w:pPr>
      <w:r>
        <w:rPr>
          <w:snapToGrid w:val="0"/>
          <w:spacing w:val="4"/>
          <w:kern w:val="0"/>
          <w:sz w:val="24"/>
        </w:rPr>
        <w:t>监理工作结束时，监理人应向委托人提交监理工作总结。监理工作总结包括但不限于以下内容：</w:t>
      </w:r>
    </w:p>
    <w:p w14:paraId="44BB5EDF">
      <w:pPr>
        <w:topLinePunct/>
        <w:adjustRightInd w:val="0"/>
        <w:snapToGrid w:val="0"/>
        <w:spacing w:line="480" w:lineRule="exact"/>
        <w:ind w:firstLine="496" w:firstLineChars="200"/>
        <w:rPr>
          <w:snapToGrid w:val="0"/>
          <w:spacing w:val="4"/>
          <w:kern w:val="0"/>
          <w:sz w:val="24"/>
        </w:rPr>
      </w:pPr>
      <w:r>
        <w:rPr>
          <w:snapToGrid w:val="0"/>
          <w:spacing w:val="4"/>
          <w:kern w:val="0"/>
          <w:sz w:val="24"/>
        </w:rPr>
        <w:t>（1）工程概况；</w:t>
      </w:r>
    </w:p>
    <w:p w14:paraId="63335B57">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（2）监理组织机构、监理人员和投入的监理设施；</w:t>
      </w:r>
    </w:p>
    <w:p w14:paraId="4443F9A3">
      <w:pPr>
        <w:topLinePunct/>
        <w:adjustRightInd w:val="0"/>
        <w:snapToGrid w:val="0"/>
        <w:spacing w:line="480" w:lineRule="exact"/>
        <w:ind w:firstLine="496" w:firstLineChars="200"/>
        <w:rPr>
          <w:snapToGrid w:val="0"/>
          <w:spacing w:val="4"/>
          <w:kern w:val="0"/>
          <w:sz w:val="24"/>
        </w:rPr>
      </w:pPr>
      <w:r>
        <w:rPr>
          <w:snapToGrid w:val="0"/>
          <w:spacing w:val="4"/>
          <w:kern w:val="0"/>
          <w:sz w:val="24"/>
        </w:rPr>
        <w:t>（3）监理合同履行情况；</w:t>
      </w:r>
    </w:p>
    <w:p w14:paraId="7ECCC4AB">
      <w:pPr>
        <w:topLinePunct/>
        <w:adjustRightInd w:val="0"/>
        <w:snapToGrid w:val="0"/>
        <w:spacing w:line="480" w:lineRule="exact"/>
        <w:ind w:firstLine="496" w:firstLineChars="200"/>
        <w:rPr>
          <w:snapToGrid w:val="0"/>
          <w:spacing w:val="4"/>
          <w:kern w:val="0"/>
          <w:sz w:val="24"/>
        </w:rPr>
      </w:pPr>
      <w:r>
        <w:rPr>
          <w:snapToGrid w:val="0"/>
          <w:spacing w:val="4"/>
          <w:kern w:val="0"/>
          <w:sz w:val="24"/>
        </w:rPr>
        <w:t>（4）监理工作成效；</w:t>
      </w:r>
    </w:p>
    <w:p w14:paraId="10A1C7E3">
      <w:pPr>
        <w:topLinePunct/>
        <w:adjustRightInd w:val="0"/>
        <w:snapToGrid w:val="0"/>
        <w:spacing w:line="480" w:lineRule="exact"/>
        <w:ind w:firstLine="496" w:firstLineChars="200"/>
        <w:rPr>
          <w:snapToGrid w:val="0"/>
          <w:spacing w:val="4"/>
          <w:kern w:val="0"/>
          <w:sz w:val="24"/>
        </w:rPr>
      </w:pPr>
      <w:r>
        <w:rPr>
          <w:snapToGrid w:val="0"/>
          <w:spacing w:val="4"/>
          <w:kern w:val="0"/>
          <w:sz w:val="24"/>
        </w:rPr>
        <w:t>（5）施工过程中出现的问题及其处理情况和建议；</w:t>
      </w:r>
    </w:p>
    <w:p w14:paraId="297E1B5E">
      <w:pPr>
        <w:topLinePunct/>
        <w:adjustRightInd w:val="0"/>
        <w:snapToGrid w:val="0"/>
        <w:spacing w:line="480" w:lineRule="exact"/>
        <w:ind w:firstLine="496" w:firstLineChars="200"/>
        <w:rPr>
          <w:snapToGrid w:val="0"/>
          <w:spacing w:val="4"/>
          <w:kern w:val="0"/>
          <w:sz w:val="24"/>
        </w:rPr>
      </w:pPr>
      <w:r>
        <w:rPr>
          <w:snapToGrid w:val="0"/>
          <w:spacing w:val="4"/>
          <w:kern w:val="0"/>
          <w:sz w:val="24"/>
        </w:rPr>
        <w:t>（6）工程照片（有必要时）。</w:t>
      </w:r>
    </w:p>
    <w:p w14:paraId="65ECBF0F">
      <w:pPr>
        <w:adjustRightInd w:val="0"/>
        <w:snapToGrid w:val="0"/>
        <w:spacing w:line="480" w:lineRule="exact"/>
        <w:outlineLvl w:val="3"/>
        <w:rPr>
          <w:b/>
          <w:snapToGrid w:val="0"/>
          <w:kern w:val="0"/>
          <w:sz w:val="24"/>
        </w:rPr>
      </w:pPr>
      <w:r>
        <w:rPr>
          <w:rFonts w:hint="eastAsia"/>
          <w:b/>
          <w:snapToGrid w:val="0"/>
          <w:kern w:val="0"/>
          <w:sz w:val="24"/>
        </w:rPr>
        <w:t xml:space="preserve">6. </w:t>
      </w:r>
      <w:r>
        <w:rPr>
          <w:b/>
          <w:snapToGrid w:val="0"/>
          <w:kern w:val="0"/>
          <w:sz w:val="24"/>
        </w:rPr>
        <w:t>工程质量保修期的监理工作</w:t>
      </w:r>
    </w:p>
    <w:p w14:paraId="1B2F2AF4">
      <w:pPr>
        <w:adjustRightInd w:val="0"/>
        <w:snapToGrid w:val="0"/>
        <w:spacing w:line="480" w:lineRule="exact"/>
        <w:ind w:firstLine="480" w:firstLineChars="200"/>
        <w:rPr>
          <w:snapToGrid w:val="0"/>
          <w:kern w:val="0"/>
          <w:sz w:val="24"/>
        </w:rPr>
      </w:pPr>
      <w:r>
        <w:rPr>
          <w:snapToGrid w:val="0"/>
          <w:kern w:val="0"/>
          <w:sz w:val="24"/>
        </w:rPr>
        <w:t>（1）</w:t>
      </w:r>
      <w:r>
        <w:rPr>
          <w:rFonts w:hint="eastAsia"/>
          <w:snapToGrid w:val="0"/>
          <w:kern w:val="0"/>
          <w:sz w:val="24"/>
        </w:rPr>
        <w:t>在工程质量保修期内，</w:t>
      </w:r>
      <w:r>
        <w:rPr>
          <w:snapToGrid w:val="0"/>
          <w:kern w:val="0"/>
          <w:sz w:val="24"/>
        </w:rPr>
        <w:t>监理人应依据委托监理合同约定的监理工作的时间、范围和内容开展工作。</w:t>
      </w:r>
      <w:r>
        <w:rPr>
          <w:rFonts w:hint="eastAsia"/>
          <w:snapToGrid w:val="0"/>
          <w:kern w:val="0"/>
          <w:sz w:val="24"/>
        </w:rPr>
        <w:t>该阶段监理服务费用已包含在本合同约定的监理酬金内，不再另行计费。</w:t>
      </w:r>
    </w:p>
    <w:p w14:paraId="55A8E899">
      <w:pPr>
        <w:adjustRightInd w:val="0"/>
        <w:snapToGrid w:val="0"/>
        <w:spacing w:line="480" w:lineRule="exact"/>
        <w:ind w:firstLine="480" w:firstLineChars="200"/>
        <w:rPr>
          <w:snapToGrid w:val="0"/>
          <w:kern w:val="0"/>
          <w:sz w:val="24"/>
        </w:rPr>
      </w:pPr>
      <w:r>
        <w:rPr>
          <w:snapToGrid w:val="0"/>
          <w:kern w:val="0"/>
          <w:sz w:val="24"/>
        </w:rPr>
        <w:t>（2）承担质量保修期监理工作时，监理人应安排监理人员对委托人提出的工程质量缺陷进行检查和记录，对承包人进行修复的工程质量进行验收，合格后予以签认。</w:t>
      </w:r>
    </w:p>
    <w:p w14:paraId="724570EB">
      <w:pPr>
        <w:adjustRightInd w:val="0"/>
        <w:snapToGrid w:val="0"/>
        <w:spacing w:line="480" w:lineRule="exact"/>
        <w:ind w:firstLine="480" w:firstLineChars="200"/>
        <w:rPr>
          <w:snapToGrid w:val="0"/>
          <w:kern w:val="0"/>
          <w:sz w:val="24"/>
        </w:rPr>
      </w:pPr>
      <w:r>
        <w:rPr>
          <w:snapToGrid w:val="0"/>
          <w:kern w:val="0"/>
          <w:sz w:val="24"/>
        </w:rPr>
        <w:t>（3）监理人员应对工程质量缺陷原因进行调查分析并确定责任归属，对非承包人原因造成的工程质量缺陷，监理人员应核实修复工程的费用和签署工程款支付证书，并报委托人。</w:t>
      </w:r>
    </w:p>
    <w:p w14:paraId="6B26D422">
      <w:pPr>
        <w:topLinePunct/>
        <w:adjustRightInd w:val="0"/>
        <w:snapToGrid w:val="0"/>
        <w:spacing w:line="480" w:lineRule="exact"/>
        <w:outlineLvl w:val="2"/>
        <w:rPr>
          <w:b/>
          <w:snapToGrid w:val="0"/>
          <w:spacing w:val="4"/>
          <w:kern w:val="0"/>
          <w:sz w:val="24"/>
        </w:rPr>
      </w:pPr>
      <w:r>
        <w:rPr>
          <w:rFonts w:hint="eastAsia"/>
          <w:b/>
          <w:snapToGrid w:val="0"/>
          <w:spacing w:val="4"/>
          <w:kern w:val="0"/>
          <w:sz w:val="24"/>
        </w:rPr>
        <w:t>二、</w:t>
      </w:r>
      <w:r>
        <w:rPr>
          <w:b/>
          <w:snapToGrid w:val="0"/>
          <w:spacing w:val="4"/>
          <w:kern w:val="0"/>
          <w:sz w:val="24"/>
        </w:rPr>
        <w:t>项目监理机构</w:t>
      </w:r>
    </w:p>
    <w:p w14:paraId="4BA4FF1B">
      <w:pPr>
        <w:topLinePunct/>
        <w:adjustRightInd w:val="0"/>
        <w:snapToGrid w:val="0"/>
        <w:spacing w:line="480" w:lineRule="exact"/>
        <w:outlineLvl w:val="2"/>
        <w:rPr>
          <w:b/>
          <w:snapToGrid w:val="0"/>
          <w:spacing w:val="4"/>
          <w:kern w:val="0"/>
          <w:sz w:val="24"/>
        </w:rPr>
      </w:pPr>
      <w:r>
        <w:rPr>
          <w:rFonts w:hint="eastAsia"/>
          <w:b/>
          <w:snapToGrid w:val="0"/>
          <w:spacing w:val="4"/>
          <w:kern w:val="0"/>
          <w:sz w:val="24"/>
        </w:rPr>
        <w:t xml:space="preserve">1. </w:t>
      </w:r>
      <w:r>
        <w:rPr>
          <w:b/>
          <w:snapToGrid w:val="0"/>
          <w:spacing w:val="4"/>
          <w:kern w:val="0"/>
          <w:sz w:val="24"/>
        </w:rPr>
        <w:t>项目监理机构</w:t>
      </w:r>
    </w:p>
    <w:p w14:paraId="13DB983C">
      <w:pPr>
        <w:topLinePunct/>
        <w:adjustRightInd w:val="0"/>
        <w:snapToGrid w:val="0"/>
        <w:spacing w:line="480" w:lineRule="exact"/>
        <w:ind w:firstLine="496" w:firstLineChars="200"/>
        <w:rPr>
          <w:snapToGrid w:val="0"/>
          <w:spacing w:val="4"/>
          <w:kern w:val="0"/>
          <w:sz w:val="24"/>
        </w:rPr>
      </w:pPr>
      <w:r>
        <w:rPr>
          <w:snapToGrid w:val="0"/>
          <w:spacing w:val="4"/>
          <w:kern w:val="0"/>
          <w:sz w:val="24"/>
        </w:rPr>
        <w:t>（1）监理人必须在施工现场建立项目监理机构。项目监理机构在完成委托监理合同约定的监理工作后可撤离施工现场。</w:t>
      </w:r>
    </w:p>
    <w:p w14:paraId="6A6BFF13">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（2）监理人必须在委托人发出进场通知后，按委托人具体的要求进场，并立即开始履行</w:t>
      </w:r>
      <w:r>
        <w:rPr>
          <w:rFonts w:hint="eastAsia"/>
          <w:snapToGrid w:val="0"/>
          <w:spacing w:val="4"/>
          <w:kern w:val="0"/>
          <w:sz w:val="24"/>
        </w:rPr>
        <w:t>监理</w:t>
      </w:r>
      <w:r>
        <w:rPr>
          <w:snapToGrid w:val="0"/>
          <w:spacing w:val="4"/>
          <w:kern w:val="0"/>
          <w:sz w:val="24"/>
        </w:rPr>
        <w:t>服务。监理人必须足额、按时派驻监理人员和投入</w:t>
      </w:r>
      <w:r>
        <w:rPr>
          <w:rFonts w:hint="eastAsia"/>
          <w:snapToGrid w:val="0"/>
          <w:spacing w:val="4"/>
          <w:kern w:val="0"/>
          <w:sz w:val="24"/>
        </w:rPr>
        <w:t>通讯、办公、试验检测等</w:t>
      </w:r>
      <w:r>
        <w:rPr>
          <w:snapToGrid w:val="0"/>
          <w:spacing w:val="4"/>
          <w:kern w:val="0"/>
          <w:sz w:val="24"/>
        </w:rPr>
        <w:t>设备。</w:t>
      </w:r>
    </w:p>
    <w:p w14:paraId="4C256E78">
      <w:pPr>
        <w:topLinePunct/>
        <w:adjustRightInd w:val="0"/>
        <w:snapToGrid w:val="0"/>
        <w:spacing w:line="480" w:lineRule="exact"/>
        <w:ind w:firstLine="496" w:firstLineChars="200"/>
        <w:rPr>
          <w:snapToGrid w:val="0"/>
          <w:spacing w:val="4"/>
          <w:kern w:val="0"/>
          <w:sz w:val="24"/>
        </w:rPr>
      </w:pPr>
      <w:r>
        <w:rPr>
          <w:snapToGrid w:val="0"/>
          <w:spacing w:val="4"/>
          <w:kern w:val="0"/>
          <w:sz w:val="24"/>
        </w:rPr>
        <w:t>（3）监理人员应包括总监理工程师、总监理工程师代表</w:t>
      </w:r>
      <w:r>
        <w:rPr>
          <w:rFonts w:hint="eastAsia"/>
          <w:snapToGrid w:val="0"/>
          <w:spacing w:val="4"/>
          <w:kern w:val="0"/>
          <w:sz w:val="24"/>
        </w:rPr>
        <w:t>、</w:t>
      </w:r>
      <w:r>
        <w:rPr>
          <w:snapToGrid w:val="0"/>
          <w:spacing w:val="4"/>
          <w:kern w:val="0"/>
          <w:sz w:val="24"/>
        </w:rPr>
        <w:t>专业监理工程师和监理员</w:t>
      </w:r>
      <w:r>
        <w:rPr>
          <w:rFonts w:hint="eastAsia"/>
          <w:snapToGrid w:val="0"/>
          <w:spacing w:val="4"/>
          <w:kern w:val="0"/>
          <w:sz w:val="24"/>
        </w:rPr>
        <w:t>等</w:t>
      </w:r>
      <w:r>
        <w:rPr>
          <w:snapToGrid w:val="0"/>
          <w:spacing w:val="4"/>
          <w:kern w:val="0"/>
          <w:sz w:val="24"/>
        </w:rPr>
        <w:t>。</w:t>
      </w:r>
    </w:p>
    <w:p w14:paraId="530BC104">
      <w:pPr>
        <w:topLinePunct/>
        <w:adjustRightInd w:val="0"/>
        <w:snapToGrid w:val="0"/>
        <w:spacing w:line="480" w:lineRule="exact"/>
        <w:ind w:firstLine="496" w:firstLineChars="200"/>
        <w:rPr>
          <w:snapToGrid w:val="0"/>
          <w:spacing w:val="4"/>
          <w:kern w:val="0"/>
          <w:sz w:val="24"/>
        </w:rPr>
      </w:pPr>
      <w:r>
        <w:rPr>
          <w:snapToGrid w:val="0"/>
          <w:spacing w:val="4"/>
          <w:kern w:val="0"/>
          <w:sz w:val="24"/>
        </w:rPr>
        <w:t>（4）项目监理机构的监理人员应专业配套、数量满足工程项目监理工作的需要，保证足够的监理人员从事要求的施工准备期至工程收尾、工程整改、工程竣工、工程移交、工程结算、工程竣工备案、工程质量保修期的监理工作。</w:t>
      </w:r>
    </w:p>
    <w:p w14:paraId="04F8A4FA">
      <w:pPr>
        <w:topLinePunct/>
        <w:adjustRightInd w:val="0"/>
        <w:snapToGrid w:val="0"/>
        <w:spacing w:line="480" w:lineRule="exact"/>
        <w:ind w:firstLine="496" w:firstLineChars="200"/>
        <w:rPr>
          <w:snapToGrid w:val="0"/>
          <w:spacing w:val="4"/>
          <w:kern w:val="0"/>
          <w:sz w:val="24"/>
        </w:rPr>
      </w:pPr>
      <w:r>
        <w:rPr>
          <w:snapToGrid w:val="0"/>
          <w:spacing w:val="4"/>
          <w:kern w:val="0"/>
          <w:sz w:val="24"/>
        </w:rPr>
        <w:t>（5）监理人派驻到项目所在地履行监理服务的监理人员，必须常驻现场。</w:t>
      </w:r>
    </w:p>
    <w:p w14:paraId="51DDBB39">
      <w:pPr>
        <w:topLinePunct/>
        <w:adjustRightInd w:val="0"/>
        <w:snapToGrid w:val="0"/>
        <w:spacing w:line="480" w:lineRule="exact"/>
        <w:ind w:firstLine="496" w:firstLineChars="200"/>
        <w:rPr>
          <w:snapToGrid w:val="0"/>
          <w:spacing w:val="4"/>
          <w:kern w:val="0"/>
          <w:sz w:val="24"/>
        </w:rPr>
      </w:pPr>
      <w:r>
        <w:rPr>
          <w:snapToGrid w:val="0"/>
          <w:spacing w:val="4"/>
          <w:kern w:val="0"/>
          <w:sz w:val="24"/>
        </w:rPr>
        <w:t>（6）考虑到本合同项目的重要性、特殊性、复杂性，委托人将监理人的人员落实、驻场人员的到位作为监理管理工作考核的内容之一。如监理人的人员投入、驻场工作的安排、落实，未能达到合同要求，委托人将严格按本合同的相关约定作出处理。</w:t>
      </w:r>
    </w:p>
    <w:p w14:paraId="42646095">
      <w:pPr>
        <w:topLinePunct/>
        <w:adjustRightInd w:val="0"/>
        <w:snapToGrid w:val="0"/>
        <w:spacing w:line="480" w:lineRule="exact"/>
        <w:ind w:firstLine="496" w:firstLineChars="200"/>
        <w:rPr>
          <w:snapToGrid w:val="0"/>
          <w:spacing w:val="4"/>
          <w:kern w:val="0"/>
          <w:sz w:val="24"/>
        </w:rPr>
      </w:pPr>
      <w:r>
        <w:rPr>
          <w:snapToGrid w:val="0"/>
          <w:spacing w:val="4"/>
          <w:kern w:val="0"/>
          <w:sz w:val="24"/>
        </w:rPr>
        <w:t>（7）监理人必须保证参与本项目监理人员的稳定性，未征得委托人同意不可撤换，否则必须承担相应责任。监理人因工作安排或其他原因，需要更换派驻到项目所在地履行监理服务的主要监理人员的，应事先得到委托人的同意。</w:t>
      </w:r>
    </w:p>
    <w:p w14:paraId="1FDA1D08">
      <w:pPr>
        <w:topLinePunct/>
        <w:adjustRightInd w:val="0"/>
        <w:snapToGrid w:val="0"/>
        <w:spacing w:line="480" w:lineRule="exact"/>
        <w:ind w:firstLine="496" w:firstLineChars="200"/>
        <w:rPr>
          <w:snapToGrid w:val="0"/>
          <w:spacing w:val="4"/>
          <w:kern w:val="0"/>
          <w:sz w:val="24"/>
        </w:rPr>
      </w:pPr>
      <w:r>
        <w:rPr>
          <w:snapToGrid w:val="0"/>
          <w:spacing w:val="4"/>
          <w:kern w:val="0"/>
          <w:sz w:val="24"/>
        </w:rPr>
        <w:t>（8）委托人有权以书面形式要求监理人更换不能按照本合同约定履行监理服务的派驻人员。</w:t>
      </w:r>
    </w:p>
    <w:p w14:paraId="0D987AC6">
      <w:pPr>
        <w:topLinePunct/>
        <w:adjustRightInd w:val="0"/>
        <w:snapToGrid w:val="0"/>
        <w:spacing w:line="480" w:lineRule="exact"/>
        <w:ind w:firstLine="496" w:firstLineChars="200"/>
        <w:rPr>
          <w:snapToGrid w:val="0"/>
          <w:spacing w:val="4"/>
          <w:kern w:val="0"/>
          <w:sz w:val="24"/>
        </w:rPr>
      </w:pPr>
      <w:r>
        <w:rPr>
          <w:snapToGrid w:val="0"/>
          <w:spacing w:val="4"/>
          <w:kern w:val="0"/>
          <w:sz w:val="24"/>
        </w:rPr>
        <w:t>（9）即使是委托人要求或同意更换的监理人员，其替代人员的资质仍应得到委托人的认可。由于更换人员引起的费用由监理人承担。</w:t>
      </w:r>
    </w:p>
    <w:p w14:paraId="2DAAC09E">
      <w:pPr>
        <w:topLinePunct/>
        <w:adjustRightInd w:val="0"/>
        <w:snapToGrid w:val="0"/>
        <w:spacing w:line="480" w:lineRule="exact"/>
        <w:ind w:firstLine="496" w:firstLineChars="200"/>
        <w:rPr>
          <w:snapToGrid w:val="0"/>
          <w:spacing w:val="4"/>
          <w:kern w:val="0"/>
          <w:sz w:val="24"/>
        </w:rPr>
      </w:pPr>
      <w:r>
        <w:rPr>
          <w:snapToGrid w:val="0"/>
          <w:spacing w:val="4"/>
          <w:kern w:val="0"/>
          <w:sz w:val="24"/>
        </w:rPr>
        <w:t>（10）监理工程师在本监理合同授权范围内行使合同规定的权利，履行相应的职责。</w:t>
      </w:r>
    </w:p>
    <w:p w14:paraId="0AAC3A34">
      <w:pPr>
        <w:topLinePunct/>
        <w:adjustRightInd w:val="0"/>
        <w:snapToGrid w:val="0"/>
        <w:spacing w:line="480" w:lineRule="exact"/>
        <w:ind w:firstLine="496" w:firstLineChars="200"/>
        <w:rPr>
          <w:snapToGrid w:val="0"/>
          <w:spacing w:val="4"/>
          <w:kern w:val="0"/>
          <w:sz w:val="24"/>
        </w:rPr>
      </w:pPr>
      <w:r>
        <w:rPr>
          <w:snapToGrid w:val="0"/>
          <w:spacing w:val="4"/>
          <w:kern w:val="0"/>
          <w:sz w:val="24"/>
        </w:rPr>
        <w:t>（11）如委托人认为监理人员的数量、监理人员的业务水平、监理人员的专业配置不能满足监理工作所需时，委托人有权另行聘请符合工作需要的监理人员；所聘请监理人员的工资已包括在本合同监理酬金内，此费用由监理人向所聘监理人员支付。必要时委托人有权从本合同监理酬金中直接支付。</w:t>
      </w:r>
    </w:p>
    <w:p w14:paraId="0C419757">
      <w:pPr>
        <w:topLinePunct/>
        <w:adjustRightInd w:val="0"/>
        <w:snapToGrid w:val="0"/>
        <w:spacing w:line="480" w:lineRule="exact"/>
        <w:ind w:firstLine="496" w:firstLineChars="200"/>
        <w:rPr>
          <w:snapToGrid w:val="0"/>
          <w:spacing w:val="4"/>
          <w:kern w:val="0"/>
          <w:sz w:val="24"/>
        </w:rPr>
      </w:pPr>
      <w:r>
        <w:rPr>
          <w:snapToGrid w:val="0"/>
          <w:spacing w:val="4"/>
          <w:kern w:val="0"/>
          <w:sz w:val="24"/>
        </w:rPr>
        <w:t>（12）委托人根据工程推进实际情况，有权要求监理人的项目负责人必须调用其资源保证落实本项目监理工作。</w:t>
      </w:r>
    </w:p>
    <w:p w14:paraId="4B578BCB">
      <w:pPr>
        <w:topLinePunct/>
        <w:adjustRightInd w:val="0"/>
        <w:snapToGrid w:val="0"/>
        <w:spacing w:line="480" w:lineRule="exact"/>
        <w:ind w:firstLine="496" w:firstLineChars="200"/>
        <w:rPr>
          <w:snapToGrid w:val="0"/>
          <w:spacing w:val="4"/>
          <w:kern w:val="0"/>
          <w:sz w:val="24"/>
        </w:rPr>
      </w:pPr>
      <w:r>
        <w:rPr>
          <w:snapToGrid w:val="0"/>
          <w:spacing w:val="4"/>
          <w:kern w:val="0"/>
          <w:sz w:val="24"/>
        </w:rPr>
        <w:t>（13）监理人应对其驻地监理人员的人身安全承担责任。</w:t>
      </w:r>
    </w:p>
    <w:p w14:paraId="789AC482">
      <w:pPr>
        <w:topLinePunct/>
        <w:adjustRightInd w:val="0"/>
        <w:snapToGrid w:val="0"/>
        <w:spacing w:line="480" w:lineRule="exact"/>
        <w:ind w:firstLine="496" w:firstLineChars="200"/>
        <w:rPr>
          <w:snapToGrid w:val="0"/>
          <w:spacing w:val="4"/>
          <w:kern w:val="0"/>
          <w:sz w:val="24"/>
        </w:rPr>
      </w:pPr>
      <w:r>
        <w:rPr>
          <w:snapToGrid w:val="0"/>
          <w:spacing w:val="4"/>
          <w:kern w:val="0"/>
          <w:sz w:val="24"/>
        </w:rPr>
        <w:t>（14）监理人应于委托监理合同签订后十天内将项目监理机构的组织形式、人员构成及对总监理工程师的任命书面通知委托人。当总监理工程师需要调整时，监理人应征事先书面征得得委托人的同意；当专业监理工程师需要调整时，总监理工程师应书面通知委托人和承包人。</w:t>
      </w:r>
    </w:p>
    <w:p w14:paraId="6471A04B">
      <w:pPr>
        <w:topLinePunct/>
        <w:adjustRightInd w:val="0"/>
        <w:snapToGrid w:val="0"/>
        <w:spacing w:line="480" w:lineRule="exact"/>
        <w:ind w:firstLine="496" w:firstLineChars="200"/>
        <w:rPr>
          <w:snapToGrid w:val="0"/>
          <w:spacing w:val="4"/>
          <w:kern w:val="0"/>
          <w:sz w:val="24"/>
        </w:rPr>
      </w:pPr>
      <w:r>
        <w:rPr>
          <w:snapToGrid w:val="0"/>
          <w:spacing w:val="4"/>
          <w:kern w:val="0"/>
          <w:sz w:val="24"/>
        </w:rPr>
        <w:t>（15）为了加强委托人与监理人的沟通与协调，委托人另行指定一名专业工程师（委托人监理代表）常驻项目监理机构，监督并协助项目监理机构工作。该名代表的主要职责是：</w:t>
      </w:r>
    </w:p>
    <w:p w14:paraId="761F3AD4">
      <w:pPr>
        <w:topLinePunct/>
        <w:adjustRightInd w:val="0"/>
        <w:snapToGrid w:val="0"/>
        <w:spacing w:line="480" w:lineRule="exact"/>
        <w:ind w:firstLine="496" w:firstLineChars="200"/>
        <w:rPr>
          <w:snapToGrid w:val="0"/>
          <w:spacing w:val="4"/>
          <w:kern w:val="0"/>
          <w:sz w:val="24"/>
        </w:rPr>
      </w:pPr>
      <w:r>
        <w:rPr>
          <w:snapToGrid w:val="0"/>
          <w:spacing w:val="4"/>
          <w:kern w:val="0"/>
          <w:sz w:val="24"/>
        </w:rPr>
        <w:t>1）监督监理人的日常监理工作；</w:t>
      </w:r>
    </w:p>
    <w:p w14:paraId="2720D233">
      <w:pPr>
        <w:topLinePunct/>
        <w:adjustRightInd w:val="0"/>
        <w:snapToGrid w:val="0"/>
        <w:spacing w:line="480" w:lineRule="exact"/>
        <w:ind w:firstLine="496" w:firstLineChars="200"/>
        <w:rPr>
          <w:snapToGrid w:val="0"/>
          <w:spacing w:val="4"/>
          <w:kern w:val="0"/>
          <w:sz w:val="24"/>
        </w:rPr>
      </w:pPr>
      <w:r>
        <w:rPr>
          <w:snapToGrid w:val="0"/>
          <w:spacing w:val="4"/>
          <w:kern w:val="0"/>
          <w:sz w:val="24"/>
        </w:rPr>
        <w:t>2）负责每天对监理人人员及仪器设备的投入进行考勤考核；</w:t>
      </w:r>
    </w:p>
    <w:p w14:paraId="312CB9AF">
      <w:pPr>
        <w:topLinePunct/>
        <w:adjustRightInd w:val="0"/>
        <w:snapToGrid w:val="0"/>
        <w:spacing w:line="480" w:lineRule="exact"/>
        <w:ind w:firstLine="496" w:firstLineChars="200"/>
        <w:rPr>
          <w:snapToGrid w:val="0"/>
          <w:spacing w:val="4"/>
          <w:kern w:val="0"/>
          <w:sz w:val="24"/>
        </w:rPr>
      </w:pPr>
      <w:r>
        <w:rPr>
          <w:snapToGrid w:val="0"/>
          <w:spacing w:val="4"/>
          <w:kern w:val="0"/>
          <w:sz w:val="24"/>
        </w:rPr>
        <w:t>3）检查监理人的旁站计划及旁站工作记录；</w:t>
      </w:r>
    </w:p>
    <w:p w14:paraId="1BDC292C">
      <w:pPr>
        <w:topLinePunct/>
        <w:adjustRightInd w:val="0"/>
        <w:snapToGrid w:val="0"/>
        <w:spacing w:line="480" w:lineRule="exact"/>
        <w:ind w:firstLine="496" w:firstLineChars="200"/>
        <w:rPr>
          <w:snapToGrid w:val="0"/>
          <w:spacing w:val="4"/>
          <w:kern w:val="0"/>
          <w:sz w:val="24"/>
        </w:rPr>
      </w:pPr>
      <w:r>
        <w:rPr>
          <w:snapToGrid w:val="0"/>
          <w:spacing w:val="4"/>
          <w:kern w:val="0"/>
          <w:sz w:val="24"/>
        </w:rPr>
        <w:t>4）检查监理人的监理日志及隐蔽工程验收记录；</w:t>
      </w:r>
    </w:p>
    <w:p w14:paraId="6824321B">
      <w:pPr>
        <w:topLinePunct/>
        <w:adjustRightInd w:val="0"/>
        <w:snapToGrid w:val="0"/>
        <w:spacing w:line="480" w:lineRule="exact"/>
        <w:ind w:firstLine="496" w:firstLineChars="200"/>
        <w:rPr>
          <w:snapToGrid w:val="0"/>
          <w:spacing w:val="4"/>
          <w:kern w:val="0"/>
          <w:sz w:val="24"/>
        </w:rPr>
      </w:pPr>
      <w:r>
        <w:rPr>
          <w:snapToGrid w:val="0"/>
          <w:spacing w:val="4"/>
          <w:kern w:val="0"/>
          <w:sz w:val="24"/>
        </w:rPr>
        <w:t>5）检查监理人编制的承包人人、材、机投入及实物工程量统计报表；</w:t>
      </w:r>
    </w:p>
    <w:p w14:paraId="4FA32DB1">
      <w:pPr>
        <w:topLinePunct/>
        <w:adjustRightInd w:val="0"/>
        <w:snapToGrid w:val="0"/>
        <w:spacing w:line="480" w:lineRule="exact"/>
        <w:ind w:firstLine="496" w:firstLineChars="200"/>
        <w:rPr>
          <w:snapToGrid w:val="0"/>
          <w:spacing w:val="4"/>
          <w:kern w:val="0"/>
          <w:sz w:val="24"/>
        </w:rPr>
      </w:pPr>
      <w:r>
        <w:rPr>
          <w:snapToGrid w:val="0"/>
          <w:spacing w:val="4"/>
          <w:kern w:val="0"/>
          <w:sz w:val="24"/>
        </w:rPr>
        <w:t>6）如发生安全质量事故，应立即向委托人工程部门领导汇报；</w:t>
      </w:r>
    </w:p>
    <w:p w14:paraId="421CD11E">
      <w:pPr>
        <w:topLinePunct/>
        <w:adjustRightInd w:val="0"/>
        <w:snapToGrid w:val="0"/>
        <w:spacing w:line="480" w:lineRule="exact"/>
        <w:ind w:firstLine="496" w:firstLineChars="200"/>
        <w:rPr>
          <w:snapToGrid w:val="0"/>
          <w:spacing w:val="4"/>
          <w:kern w:val="0"/>
          <w:sz w:val="24"/>
        </w:rPr>
      </w:pPr>
      <w:r>
        <w:rPr>
          <w:snapToGrid w:val="0"/>
          <w:spacing w:val="4"/>
          <w:kern w:val="0"/>
          <w:sz w:val="24"/>
        </w:rPr>
        <w:t>7）审核签认监理酬金支付申请表；</w:t>
      </w:r>
    </w:p>
    <w:p w14:paraId="668F425D">
      <w:pPr>
        <w:topLinePunct/>
        <w:adjustRightInd w:val="0"/>
        <w:snapToGrid w:val="0"/>
        <w:spacing w:line="480" w:lineRule="exact"/>
        <w:ind w:firstLine="496" w:firstLineChars="200"/>
        <w:rPr>
          <w:snapToGrid w:val="0"/>
          <w:spacing w:val="4"/>
          <w:kern w:val="0"/>
          <w:sz w:val="24"/>
        </w:rPr>
      </w:pPr>
      <w:r>
        <w:rPr>
          <w:snapToGrid w:val="0"/>
          <w:spacing w:val="4"/>
          <w:kern w:val="0"/>
          <w:sz w:val="24"/>
        </w:rPr>
        <w:t>8）每天填写工作日志，不定期接受委托人工程部门检查；</w:t>
      </w:r>
    </w:p>
    <w:p w14:paraId="20F1DB27">
      <w:pPr>
        <w:topLinePunct/>
        <w:adjustRightInd w:val="0"/>
        <w:snapToGrid w:val="0"/>
        <w:spacing w:line="480" w:lineRule="exact"/>
        <w:ind w:firstLine="496" w:firstLineChars="200"/>
        <w:rPr>
          <w:snapToGrid w:val="0"/>
          <w:spacing w:val="4"/>
          <w:kern w:val="0"/>
          <w:sz w:val="24"/>
        </w:rPr>
      </w:pPr>
      <w:r>
        <w:rPr>
          <w:snapToGrid w:val="0"/>
          <w:spacing w:val="4"/>
          <w:kern w:val="0"/>
          <w:sz w:val="24"/>
        </w:rPr>
        <w:t>9）委托人要求其履行的其他职责。</w:t>
      </w:r>
    </w:p>
    <w:p w14:paraId="79713A2F">
      <w:pPr>
        <w:topLinePunct/>
        <w:adjustRightInd w:val="0"/>
        <w:snapToGrid w:val="0"/>
        <w:spacing w:line="480" w:lineRule="exact"/>
        <w:ind w:firstLine="496" w:firstLineChars="200"/>
        <w:rPr>
          <w:snapToGrid w:val="0"/>
          <w:spacing w:val="4"/>
          <w:kern w:val="0"/>
          <w:sz w:val="24"/>
        </w:rPr>
      </w:pPr>
      <w:r>
        <w:rPr>
          <w:snapToGrid w:val="0"/>
          <w:spacing w:val="4"/>
          <w:kern w:val="0"/>
          <w:sz w:val="24"/>
        </w:rPr>
        <w:t>（16）监理人应按照广州市建委的要求为监理人员办理平安卡。</w:t>
      </w:r>
    </w:p>
    <w:p w14:paraId="07D2272C">
      <w:pPr>
        <w:topLinePunct/>
        <w:adjustRightInd w:val="0"/>
        <w:snapToGrid w:val="0"/>
        <w:spacing w:line="480" w:lineRule="exact"/>
        <w:outlineLvl w:val="2"/>
        <w:rPr>
          <w:b/>
          <w:snapToGrid w:val="0"/>
          <w:spacing w:val="4"/>
          <w:kern w:val="0"/>
          <w:sz w:val="24"/>
        </w:rPr>
      </w:pPr>
      <w:r>
        <w:rPr>
          <w:rFonts w:hint="eastAsia"/>
          <w:b/>
          <w:snapToGrid w:val="0"/>
          <w:spacing w:val="4"/>
          <w:kern w:val="0"/>
          <w:sz w:val="24"/>
        </w:rPr>
        <w:t xml:space="preserve">2. </w:t>
      </w:r>
      <w:r>
        <w:rPr>
          <w:b/>
          <w:snapToGrid w:val="0"/>
          <w:spacing w:val="4"/>
          <w:kern w:val="0"/>
          <w:sz w:val="24"/>
        </w:rPr>
        <w:t>总监理工程师的委派和指令</w:t>
      </w:r>
    </w:p>
    <w:p w14:paraId="24356D79">
      <w:pPr>
        <w:topLinePunct/>
        <w:adjustRightInd w:val="0"/>
        <w:snapToGrid w:val="0"/>
        <w:spacing w:line="480" w:lineRule="exact"/>
        <w:ind w:firstLine="496" w:firstLineChars="200"/>
        <w:rPr>
          <w:bCs/>
          <w:snapToGrid w:val="0"/>
          <w:spacing w:val="4"/>
          <w:kern w:val="0"/>
          <w:sz w:val="24"/>
        </w:rPr>
      </w:pPr>
      <w:r>
        <w:rPr>
          <w:snapToGrid w:val="0"/>
          <w:spacing w:val="4"/>
          <w:kern w:val="0"/>
          <w:sz w:val="24"/>
        </w:rPr>
        <w:t>（1）</w:t>
      </w:r>
      <w:r>
        <w:rPr>
          <w:bCs/>
          <w:snapToGrid w:val="0"/>
          <w:spacing w:val="4"/>
          <w:kern w:val="0"/>
          <w:sz w:val="24"/>
        </w:rPr>
        <w:t>总监理工程师可以授权监理人员负责执行其指派的一项或多项监管工作。总监理工程师应将这些监理人员的姓名及其授权范围通知承包人。被授权的监理人员在授权范围内发出的指令视为已得到总监理工程师的同意，与总监理工程师发出的指令具有同等效力。总监理工程师撤销对监理人员某项授权的，应将撤销授权的决定及时通知承包人。</w:t>
      </w:r>
    </w:p>
    <w:p w14:paraId="30B56E0F">
      <w:pPr>
        <w:topLinePunct/>
        <w:adjustRightInd w:val="0"/>
        <w:snapToGrid w:val="0"/>
        <w:spacing w:line="480" w:lineRule="exact"/>
        <w:ind w:firstLine="496" w:firstLineChars="200"/>
        <w:rPr>
          <w:bCs/>
          <w:snapToGrid w:val="0"/>
          <w:spacing w:val="4"/>
          <w:kern w:val="0"/>
          <w:sz w:val="24"/>
        </w:rPr>
      </w:pPr>
      <w:r>
        <w:rPr>
          <w:snapToGrid w:val="0"/>
          <w:spacing w:val="4"/>
          <w:kern w:val="0"/>
          <w:sz w:val="24"/>
        </w:rPr>
        <w:t>（2）</w:t>
      </w:r>
      <w:r>
        <w:rPr>
          <w:bCs/>
          <w:snapToGrid w:val="0"/>
          <w:spacing w:val="4"/>
          <w:kern w:val="0"/>
          <w:sz w:val="24"/>
        </w:rPr>
        <w:t>除特别指明外，监理人员对承包人的任何工作、工程或其采用的材料和工程设备未提出否定意见的，不应视为已获批准，也不影响总监理工程师或监理人员在以后拒绝该项工作、工程、材料或工程设备的权利。</w:t>
      </w:r>
    </w:p>
    <w:p w14:paraId="3B4C0AA5">
      <w:pPr>
        <w:topLinePunct/>
        <w:adjustRightInd w:val="0"/>
        <w:snapToGrid w:val="0"/>
        <w:spacing w:line="480" w:lineRule="exact"/>
        <w:ind w:firstLine="496" w:firstLineChars="200"/>
        <w:rPr>
          <w:bCs/>
          <w:snapToGrid w:val="0"/>
          <w:spacing w:val="4"/>
          <w:kern w:val="0"/>
          <w:sz w:val="24"/>
        </w:rPr>
      </w:pPr>
      <w:r>
        <w:rPr>
          <w:snapToGrid w:val="0"/>
          <w:spacing w:val="4"/>
          <w:kern w:val="0"/>
          <w:sz w:val="24"/>
        </w:rPr>
        <w:t>（3）</w:t>
      </w:r>
      <w:r>
        <w:rPr>
          <w:bCs/>
          <w:snapToGrid w:val="0"/>
          <w:spacing w:val="4"/>
          <w:kern w:val="0"/>
          <w:sz w:val="24"/>
        </w:rPr>
        <w:t>总监理工程师应按相关合同的约定向承包人发出指令，总监理工程师的指令应盖有监理人授权的施工场地机构章，并由总监理工程师或总监理工程师按</w:t>
      </w:r>
      <w:r>
        <w:rPr>
          <w:bCs/>
          <w:snapToGrid w:val="0"/>
          <w:spacing w:val="4"/>
          <w:kern w:val="0"/>
          <w:sz w:val="24"/>
          <w:u w:val="wave"/>
        </w:rPr>
        <w:t>上述（1）项约定</w:t>
      </w:r>
      <w:r>
        <w:rPr>
          <w:bCs/>
          <w:snapToGrid w:val="0"/>
          <w:spacing w:val="4"/>
          <w:kern w:val="0"/>
          <w:sz w:val="24"/>
        </w:rPr>
        <w:t>授权的监理人员签字。</w:t>
      </w:r>
    </w:p>
    <w:p w14:paraId="6F412392">
      <w:pPr>
        <w:topLinePunct/>
        <w:adjustRightInd w:val="0"/>
        <w:snapToGrid w:val="0"/>
        <w:spacing w:line="480" w:lineRule="exact"/>
        <w:ind w:firstLine="496" w:firstLineChars="200"/>
        <w:rPr>
          <w:bCs/>
          <w:strike/>
          <w:snapToGrid w:val="0"/>
          <w:spacing w:val="4"/>
          <w:kern w:val="0"/>
          <w:sz w:val="24"/>
        </w:rPr>
      </w:pPr>
      <w:r>
        <w:rPr>
          <w:snapToGrid w:val="0"/>
          <w:spacing w:val="4"/>
          <w:kern w:val="0"/>
          <w:sz w:val="24"/>
        </w:rPr>
        <w:t>（4）</w:t>
      </w:r>
      <w:r>
        <w:rPr>
          <w:bCs/>
          <w:snapToGrid w:val="0"/>
          <w:spacing w:val="4"/>
          <w:kern w:val="0"/>
          <w:sz w:val="24"/>
        </w:rPr>
        <w:t>承包人收到总监理工程师按</w:t>
      </w:r>
      <w:r>
        <w:rPr>
          <w:bCs/>
          <w:snapToGrid w:val="0"/>
          <w:spacing w:val="4"/>
          <w:kern w:val="0"/>
          <w:sz w:val="24"/>
          <w:u w:val="wave"/>
        </w:rPr>
        <w:t>上述（3）项约定</w:t>
      </w:r>
      <w:r>
        <w:rPr>
          <w:bCs/>
          <w:snapToGrid w:val="0"/>
          <w:spacing w:val="4"/>
          <w:kern w:val="0"/>
          <w:sz w:val="24"/>
        </w:rPr>
        <w:t>作出的指令后应遵照执行。承包人对总监理工程师的指令有异议的，可向总监理工程师提出书面意见，但应先遵照执行。总监理工程师研究承包人的书面意见后，应在48小时内对该指令予以确认、更改或撤销，并通知承包人。若总监理工程师再次决定继续执行原指令，承包人应遵照执行，承包人如仍有异议，可报委托人裁决。</w:t>
      </w:r>
    </w:p>
    <w:p w14:paraId="30FE8AC1">
      <w:pPr>
        <w:topLinePunct/>
        <w:adjustRightInd w:val="0"/>
        <w:snapToGrid w:val="0"/>
        <w:spacing w:line="480" w:lineRule="exact"/>
        <w:ind w:firstLine="496" w:firstLineChars="200"/>
        <w:rPr>
          <w:bCs/>
          <w:snapToGrid w:val="0"/>
          <w:spacing w:val="4"/>
          <w:kern w:val="0"/>
          <w:sz w:val="24"/>
        </w:rPr>
      </w:pPr>
      <w:r>
        <w:rPr>
          <w:snapToGrid w:val="0"/>
          <w:spacing w:val="4"/>
          <w:kern w:val="0"/>
          <w:sz w:val="24"/>
        </w:rPr>
        <w:t>（5）</w:t>
      </w:r>
      <w:r>
        <w:rPr>
          <w:bCs/>
          <w:snapToGrid w:val="0"/>
          <w:spacing w:val="4"/>
          <w:kern w:val="0"/>
          <w:sz w:val="24"/>
        </w:rPr>
        <w:t>在紧急情况下，总监理工程师或被授权的监理人员可以当场发出口头指令，承包人应遵照执行。监理人应在发出口头指令后24小时内发出书面指令予以确认。</w:t>
      </w:r>
    </w:p>
    <w:p w14:paraId="301DEB8D">
      <w:pPr>
        <w:topLinePunct/>
        <w:adjustRightInd w:val="0"/>
        <w:snapToGrid w:val="0"/>
        <w:spacing w:line="480" w:lineRule="exact"/>
        <w:ind w:firstLine="496" w:firstLineChars="200"/>
        <w:rPr>
          <w:bCs/>
          <w:snapToGrid w:val="0"/>
          <w:spacing w:val="4"/>
          <w:kern w:val="0"/>
          <w:sz w:val="24"/>
        </w:rPr>
      </w:pPr>
      <w:r>
        <w:rPr>
          <w:snapToGrid w:val="0"/>
          <w:spacing w:val="4"/>
          <w:kern w:val="0"/>
          <w:sz w:val="24"/>
        </w:rPr>
        <w:t>（6）</w:t>
      </w:r>
      <w:r>
        <w:rPr>
          <w:bCs/>
          <w:snapToGrid w:val="0"/>
          <w:spacing w:val="4"/>
          <w:kern w:val="0"/>
          <w:sz w:val="24"/>
        </w:rPr>
        <w:t>除合同另有约定外，承包人只从总监理工程师或按</w:t>
      </w:r>
      <w:r>
        <w:rPr>
          <w:bCs/>
          <w:snapToGrid w:val="0"/>
          <w:spacing w:val="4"/>
          <w:kern w:val="0"/>
          <w:sz w:val="24"/>
          <w:u w:val="wave"/>
        </w:rPr>
        <w:t>上述（1）项</w:t>
      </w:r>
      <w:r>
        <w:rPr>
          <w:bCs/>
          <w:snapToGrid w:val="0"/>
          <w:spacing w:val="4"/>
          <w:kern w:val="0"/>
          <w:sz w:val="24"/>
        </w:rPr>
        <w:t>被授权的监理人员处取得指令。</w:t>
      </w:r>
    </w:p>
    <w:p w14:paraId="06E2471C">
      <w:pPr>
        <w:topLinePunct/>
        <w:adjustRightInd w:val="0"/>
        <w:snapToGrid w:val="0"/>
        <w:spacing w:line="480" w:lineRule="exact"/>
        <w:ind w:firstLine="496" w:firstLineChars="200"/>
      </w:pPr>
      <w:r>
        <w:rPr>
          <w:snapToGrid w:val="0"/>
          <w:spacing w:val="4"/>
          <w:kern w:val="0"/>
          <w:sz w:val="24"/>
        </w:rPr>
        <w:t>（7）</w:t>
      </w:r>
      <w:r>
        <w:rPr>
          <w:bCs/>
          <w:snapToGrid w:val="0"/>
          <w:spacing w:val="4"/>
          <w:kern w:val="0"/>
          <w:sz w:val="24"/>
        </w:rPr>
        <w:t>由于总监理工程师未能按合同约定履行职责或总监理工程师指令错误而延误工期的，工期顺延情形只适用于一般节点工期</w:t>
      </w:r>
      <w:r>
        <w:rPr>
          <w:rFonts w:hint="eastAsia"/>
          <w:bCs/>
          <w:snapToGrid w:val="0"/>
          <w:spacing w:val="4"/>
          <w:kern w:val="0"/>
          <w:sz w:val="24"/>
        </w:rPr>
        <w:t>，并视为监理人严重违约，并向委托人赔偿损失</w:t>
      </w:r>
      <w:r>
        <w:rPr>
          <w:bCs/>
          <w:snapToGrid w:val="0"/>
          <w:spacing w:val="4"/>
          <w:kern w:val="0"/>
          <w:sz w:val="24"/>
        </w:rPr>
        <w:t>。</w:t>
      </w:r>
    </w:p>
    <w:bookmarkEnd w:id="595"/>
    <w:p w14:paraId="31CEAA34">
      <w:pPr>
        <w:pStyle w:val="9"/>
        <w:rPr>
          <w:rFonts w:ascii="宋体" w:hAnsi="宋体" w:cs="宋体"/>
        </w:rPr>
      </w:pPr>
      <w:bookmarkStart w:id="596" w:name="_Toc48293179"/>
    </w:p>
    <w:bookmarkEnd w:id="596"/>
    <w:p w14:paraId="60646D19">
      <w:pPr>
        <w:rPr>
          <w:rFonts w:ascii="宋体" w:hAnsi="宋体" w:cs="宋体"/>
        </w:rPr>
      </w:pPr>
      <w:r>
        <w:rPr>
          <w:rFonts w:hint="eastAsia" w:ascii="宋体" w:hAnsi="宋体" w:cs="宋体"/>
        </w:rPr>
        <w:br w:type="page"/>
      </w:r>
    </w:p>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14:paraId="07BA3A9E">
      <w:pPr>
        <w:spacing w:line="540" w:lineRule="exact"/>
        <w:rPr>
          <w:rFonts w:ascii="宋体" w:hAnsi="宋体" w:cs="宋体"/>
          <w:szCs w:val="21"/>
        </w:rPr>
      </w:pPr>
    </w:p>
    <w:p w14:paraId="0E676D68">
      <w:pPr>
        <w:pStyle w:val="29"/>
        <w:rPr>
          <w:rFonts w:hAnsi="宋体" w:cs="宋体"/>
          <w:color w:val="auto"/>
        </w:rPr>
      </w:pPr>
    </w:p>
    <w:p w14:paraId="30DCF67D">
      <w:pPr>
        <w:pStyle w:val="3"/>
        <w:keepNext w:val="0"/>
        <w:keepLines w:val="0"/>
        <w:jc w:val="center"/>
        <w:rPr>
          <w:rFonts w:ascii="宋体" w:hAnsi="宋体" w:cs="宋体"/>
        </w:rPr>
      </w:pPr>
      <w:bookmarkStart w:id="597" w:name="_Toc27506"/>
      <w:bookmarkStart w:id="598" w:name="_Toc30479"/>
      <w:bookmarkStart w:id="599" w:name="_Toc747"/>
      <w:bookmarkStart w:id="600" w:name="_Toc3302"/>
      <w:bookmarkStart w:id="601" w:name="_Toc14966903"/>
      <w:bookmarkStart w:id="602" w:name="_Toc14371"/>
      <w:bookmarkStart w:id="603" w:name="_Toc475"/>
      <w:bookmarkStart w:id="604" w:name="_Toc29062"/>
      <w:bookmarkStart w:id="605" w:name="_Toc9048"/>
      <w:bookmarkStart w:id="606" w:name="_Toc12804"/>
      <w:bookmarkStart w:id="607" w:name="_Toc9036"/>
      <w:bookmarkStart w:id="608" w:name="_Toc28518"/>
      <w:bookmarkStart w:id="609" w:name="_Toc8371"/>
      <w:bookmarkStart w:id="610" w:name="_Toc494"/>
      <w:bookmarkStart w:id="611" w:name="_Toc3658"/>
      <w:bookmarkStart w:id="612" w:name="_Toc29023"/>
      <w:r>
        <w:rPr>
          <w:rFonts w:hint="eastAsia" w:ascii="宋体" w:hAnsi="宋体" w:cs="宋体"/>
        </w:rPr>
        <w:t>第三卷</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27E8ECBB">
      <w:pPr>
        <w:spacing w:line="400" w:lineRule="exact"/>
        <w:jc w:val="center"/>
        <w:rPr>
          <w:rFonts w:ascii="宋体" w:hAnsi="宋体" w:cs="宋体"/>
        </w:rPr>
      </w:pPr>
    </w:p>
    <w:p w14:paraId="2DCE9B2D">
      <w:pPr>
        <w:pStyle w:val="3"/>
        <w:keepNext w:val="0"/>
        <w:keepLines w:val="0"/>
        <w:jc w:val="center"/>
        <w:rPr>
          <w:rFonts w:ascii="宋体" w:hAnsi="宋体" w:cs="宋体"/>
        </w:rPr>
      </w:pPr>
      <w:bookmarkStart w:id="613" w:name="_Toc1299"/>
      <w:bookmarkStart w:id="614" w:name="_Toc19848"/>
      <w:bookmarkStart w:id="615" w:name="_Toc7599"/>
      <w:bookmarkStart w:id="616" w:name="_Toc26056"/>
      <w:bookmarkStart w:id="617" w:name="_Toc14966904"/>
      <w:bookmarkStart w:id="618" w:name="_Toc18701"/>
      <w:bookmarkStart w:id="619" w:name="_Toc10367"/>
      <w:bookmarkStart w:id="620" w:name="_Toc1546"/>
      <w:bookmarkStart w:id="621" w:name="_Toc1274"/>
      <w:bookmarkStart w:id="622" w:name="_Toc24517"/>
      <w:bookmarkStart w:id="623" w:name="_Toc15898"/>
      <w:bookmarkStart w:id="624" w:name="_Toc2726"/>
      <w:bookmarkStart w:id="625" w:name="_Toc7321"/>
      <w:bookmarkStart w:id="626" w:name="_Toc7862"/>
      <w:bookmarkStart w:id="627" w:name="_Toc15609"/>
      <w:bookmarkStart w:id="628" w:name="_Toc27361"/>
      <w:r>
        <w:rPr>
          <w:rFonts w:hint="eastAsia" w:ascii="宋体" w:hAnsi="宋体" w:cs="宋体"/>
        </w:rPr>
        <w:t>第六章投标文件格式</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14:paraId="6A23CDA2">
      <w:pPr>
        <w:spacing w:line="400" w:lineRule="exact"/>
        <w:rPr>
          <w:rFonts w:ascii="宋体" w:hAnsi="宋体" w:cs="宋体"/>
        </w:rPr>
      </w:pPr>
    </w:p>
    <w:p w14:paraId="7A94BA35">
      <w:pPr>
        <w:spacing w:line="400" w:lineRule="exact"/>
        <w:rPr>
          <w:rFonts w:ascii="宋体" w:hAnsi="宋体" w:cs="宋体"/>
        </w:rPr>
      </w:pPr>
    </w:p>
    <w:p w14:paraId="36B874D9">
      <w:pPr>
        <w:spacing w:line="400" w:lineRule="exact"/>
        <w:rPr>
          <w:rFonts w:ascii="宋体" w:hAnsi="宋体" w:cs="宋体"/>
        </w:rPr>
      </w:pPr>
    </w:p>
    <w:p w14:paraId="5D676A65">
      <w:pPr>
        <w:spacing w:line="400" w:lineRule="exact"/>
        <w:rPr>
          <w:rFonts w:ascii="宋体" w:hAnsi="宋体" w:cs="宋体"/>
        </w:rPr>
      </w:pPr>
    </w:p>
    <w:p w14:paraId="63697C0E">
      <w:pPr>
        <w:spacing w:line="400" w:lineRule="exact"/>
        <w:rPr>
          <w:rFonts w:ascii="宋体" w:hAnsi="宋体" w:cs="宋体"/>
        </w:rPr>
      </w:pPr>
    </w:p>
    <w:p w14:paraId="60C91D58">
      <w:pPr>
        <w:spacing w:line="400" w:lineRule="exact"/>
        <w:rPr>
          <w:rFonts w:ascii="宋体" w:hAnsi="宋体" w:cs="宋体"/>
        </w:rPr>
      </w:pPr>
    </w:p>
    <w:p w14:paraId="1E77A744">
      <w:pPr>
        <w:spacing w:line="400" w:lineRule="exact"/>
        <w:rPr>
          <w:rFonts w:ascii="宋体" w:hAnsi="宋体" w:cs="宋体"/>
        </w:rPr>
      </w:pPr>
    </w:p>
    <w:p w14:paraId="6F589D90">
      <w:pPr>
        <w:spacing w:line="400" w:lineRule="exact"/>
        <w:rPr>
          <w:rFonts w:ascii="宋体" w:hAnsi="宋体" w:cs="宋体"/>
        </w:rPr>
      </w:pPr>
    </w:p>
    <w:p w14:paraId="35A1908E">
      <w:pPr>
        <w:spacing w:line="400" w:lineRule="exact"/>
        <w:rPr>
          <w:rFonts w:ascii="宋体" w:hAnsi="宋体" w:cs="宋体"/>
        </w:rPr>
      </w:pPr>
    </w:p>
    <w:p w14:paraId="12335927">
      <w:pPr>
        <w:spacing w:line="400" w:lineRule="exact"/>
        <w:rPr>
          <w:rFonts w:ascii="宋体" w:hAnsi="宋体" w:cs="宋体"/>
        </w:rPr>
      </w:pPr>
    </w:p>
    <w:p w14:paraId="56EFDE2C">
      <w:pPr>
        <w:spacing w:line="400" w:lineRule="exact"/>
        <w:rPr>
          <w:rFonts w:ascii="宋体" w:hAnsi="宋体" w:cs="宋体"/>
        </w:rPr>
      </w:pPr>
    </w:p>
    <w:p w14:paraId="4B2B0FE1">
      <w:pPr>
        <w:spacing w:line="400" w:lineRule="exact"/>
        <w:rPr>
          <w:rFonts w:ascii="宋体" w:hAnsi="宋体" w:cs="宋体"/>
        </w:rPr>
      </w:pPr>
    </w:p>
    <w:p w14:paraId="4E0D1908">
      <w:pPr>
        <w:spacing w:line="400" w:lineRule="exact"/>
        <w:rPr>
          <w:rFonts w:ascii="宋体" w:hAnsi="宋体" w:cs="宋体"/>
        </w:rPr>
      </w:pPr>
    </w:p>
    <w:p w14:paraId="67863021">
      <w:pPr>
        <w:spacing w:line="400" w:lineRule="exact"/>
        <w:rPr>
          <w:rFonts w:ascii="宋体" w:hAnsi="宋体" w:cs="宋体"/>
        </w:rPr>
      </w:pPr>
    </w:p>
    <w:p w14:paraId="21F1553B">
      <w:pPr>
        <w:spacing w:line="400" w:lineRule="exact"/>
        <w:rPr>
          <w:rFonts w:ascii="宋体" w:hAnsi="宋体" w:cs="宋体"/>
        </w:rPr>
      </w:pPr>
    </w:p>
    <w:p w14:paraId="425F79D9">
      <w:pPr>
        <w:spacing w:line="400" w:lineRule="exact"/>
        <w:rPr>
          <w:rFonts w:ascii="宋体" w:hAnsi="宋体" w:cs="宋体"/>
        </w:rPr>
      </w:pPr>
    </w:p>
    <w:p w14:paraId="63D24343">
      <w:pPr>
        <w:spacing w:line="400" w:lineRule="exact"/>
        <w:rPr>
          <w:rFonts w:ascii="宋体" w:hAnsi="宋体" w:cs="宋体"/>
        </w:rPr>
      </w:pPr>
    </w:p>
    <w:p w14:paraId="146B3B7B">
      <w:pPr>
        <w:spacing w:line="400" w:lineRule="exact"/>
        <w:rPr>
          <w:rFonts w:ascii="宋体" w:hAnsi="宋体" w:cs="宋体"/>
        </w:rPr>
      </w:pPr>
    </w:p>
    <w:p w14:paraId="70D5A4DD">
      <w:pPr>
        <w:spacing w:line="400" w:lineRule="exact"/>
        <w:rPr>
          <w:rFonts w:ascii="宋体" w:hAnsi="宋体" w:cs="宋体"/>
        </w:rPr>
      </w:pPr>
    </w:p>
    <w:p w14:paraId="4F22A18E">
      <w:pPr>
        <w:jc w:val="center"/>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（招标项目名称）招标项目</w:t>
      </w:r>
    </w:p>
    <w:p w14:paraId="7E9C9462">
      <w:pPr>
        <w:rPr>
          <w:rFonts w:ascii="宋体" w:hAnsi="宋体" w:cs="宋体"/>
          <w:sz w:val="20"/>
        </w:rPr>
      </w:pPr>
    </w:p>
    <w:p w14:paraId="57F55E99">
      <w:pPr>
        <w:rPr>
          <w:rFonts w:ascii="宋体" w:hAnsi="宋体" w:cs="宋体"/>
          <w:sz w:val="20"/>
        </w:rPr>
      </w:pPr>
    </w:p>
    <w:p w14:paraId="7B3AFC1B">
      <w:pPr>
        <w:rPr>
          <w:rFonts w:ascii="宋体" w:hAnsi="宋体" w:cs="宋体"/>
          <w:sz w:val="20"/>
        </w:rPr>
      </w:pPr>
    </w:p>
    <w:p w14:paraId="20E68090">
      <w:pPr>
        <w:rPr>
          <w:rFonts w:ascii="宋体" w:hAnsi="宋体" w:cs="宋体"/>
          <w:sz w:val="20"/>
        </w:rPr>
      </w:pPr>
    </w:p>
    <w:p w14:paraId="45DEC564">
      <w:pPr>
        <w:rPr>
          <w:rFonts w:ascii="宋体" w:hAnsi="宋体" w:cs="宋体"/>
          <w:sz w:val="20"/>
        </w:rPr>
      </w:pPr>
    </w:p>
    <w:p w14:paraId="0E476632">
      <w:pPr>
        <w:rPr>
          <w:rFonts w:ascii="宋体" w:hAnsi="宋体" w:cs="宋体"/>
          <w:sz w:val="20"/>
        </w:rPr>
      </w:pPr>
    </w:p>
    <w:p w14:paraId="64284FF9">
      <w:pPr>
        <w:rPr>
          <w:rFonts w:ascii="宋体" w:hAnsi="宋体" w:cs="宋体"/>
          <w:sz w:val="20"/>
        </w:rPr>
      </w:pPr>
    </w:p>
    <w:p w14:paraId="7990EC0E">
      <w:pPr>
        <w:rPr>
          <w:rFonts w:ascii="宋体" w:hAnsi="宋体" w:cs="宋体"/>
          <w:sz w:val="20"/>
        </w:rPr>
      </w:pPr>
    </w:p>
    <w:p w14:paraId="47BCC4CE">
      <w:pPr>
        <w:rPr>
          <w:rFonts w:ascii="宋体" w:hAnsi="宋体" w:cs="宋体"/>
          <w:sz w:val="20"/>
        </w:rPr>
      </w:pPr>
    </w:p>
    <w:p w14:paraId="2FD6E615">
      <w:pPr>
        <w:rPr>
          <w:rFonts w:ascii="宋体" w:hAnsi="宋体" w:cs="宋体"/>
          <w:sz w:val="20"/>
        </w:rPr>
      </w:pPr>
    </w:p>
    <w:p w14:paraId="624585E6">
      <w:pPr>
        <w:jc w:val="center"/>
        <w:rPr>
          <w:rFonts w:ascii="宋体" w:hAnsi="宋体" w:cs="宋体"/>
          <w:sz w:val="44"/>
        </w:rPr>
      </w:pPr>
      <w:r>
        <w:rPr>
          <w:rFonts w:hint="eastAsia" w:ascii="宋体" w:hAnsi="宋体" w:cs="宋体"/>
          <w:sz w:val="44"/>
        </w:rPr>
        <w:t>投 标 文 件</w:t>
      </w:r>
    </w:p>
    <w:p w14:paraId="202EB354">
      <w:pPr>
        <w:jc w:val="center"/>
        <w:rPr>
          <w:rFonts w:ascii="宋体" w:hAnsi="宋体" w:cs="宋体"/>
          <w:sz w:val="44"/>
        </w:rPr>
      </w:pPr>
    </w:p>
    <w:p w14:paraId="3AA27123">
      <w:pPr>
        <w:rPr>
          <w:rFonts w:ascii="宋体" w:hAnsi="宋体" w:cs="宋体"/>
          <w:sz w:val="28"/>
        </w:rPr>
      </w:pPr>
    </w:p>
    <w:p w14:paraId="04DB1A78">
      <w:pPr>
        <w:rPr>
          <w:rFonts w:ascii="宋体" w:hAnsi="宋体" w:cs="宋体"/>
          <w:sz w:val="28"/>
        </w:rPr>
      </w:pPr>
    </w:p>
    <w:p w14:paraId="64931D65">
      <w:pPr>
        <w:rPr>
          <w:rFonts w:ascii="宋体" w:hAnsi="宋体" w:cs="宋体"/>
          <w:sz w:val="28"/>
        </w:rPr>
      </w:pPr>
    </w:p>
    <w:p w14:paraId="7ADBA78B">
      <w:pPr>
        <w:rPr>
          <w:rFonts w:ascii="宋体" w:hAnsi="宋体" w:cs="宋体"/>
          <w:sz w:val="28"/>
        </w:rPr>
      </w:pPr>
    </w:p>
    <w:p w14:paraId="57B7895D">
      <w:pPr>
        <w:rPr>
          <w:rFonts w:ascii="宋体" w:hAnsi="宋体" w:cs="宋体"/>
          <w:sz w:val="28"/>
        </w:rPr>
      </w:pPr>
    </w:p>
    <w:p w14:paraId="371D9704">
      <w:pPr>
        <w:rPr>
          <w:rFonts w:ascii="宋体" w:hAnsi="宋体" w:cs="宋体"/>
          <w:sz w:val="28"/>
        </w:rPr>
      </w:pPr>
    </w:p>
    <w:p w14:paraId="05375351">
      <w:pPr>
        <w:rPr>
          <w:rFonts w:ascii="宋体" w:hAnsi="宋体" w:cs="宋体"/>
          <w:sz w:val="28"/>
        </w:rPr>
      </w:pPr>
    </w:p>
    <w:p w14:paraId="3683FC41">
      <w:pPr>
        <w:rPr>
          <w:rFonts w:ascii="宋体" w:hAnsi="宋体" w:cs="宋体"/>
          <w:sz w:val="28"/>
        </w:rPr>
      </w:pPr>
    </w:p>
    <w:p w14:paraId="00711B70">
      <w:pPr>
        <w:rPr>
          <w:rFonts w:ascii="宋体" w:hAnsi="宋体" w:cs="宋体"/>
          <w:sz w:val="28"/>
        </w:rPr>
      </w:pPr>
    </w:p>
    <w:p w14:paraId="0E3658A7">
      <w:pPr>
        <w:rPr>
          <w:rFonts w:ascii="宋体" w:hAnsi="宋体" w:cs="宋体"/>
          <w:sz w:val="28"/>
        </w:rPr>
      </w:pPr>
    </w:p>
    <w:p w14:paraId="55F3C4A7">
      <w:pPr>
        <w:spacing w:line="360" w:lineRule="auto"/>
        <w:rPr>
          <w:rFonts w:ascii="宋体" w:hAnsi="宋体" w:cs="宋体"/>
          <w:sz w:val="28"/>
        </w:rPr>
      </w:pPr>
    </w:p>
    <w:p w14:paraId="03CC12AD">
      <w:pPr>
        <w:spacing w:line="360" w:lineRule="auto"/>
        <w:ind w:firstLine="1120" w:firstLineChars="400"/>
        <w:rPr>
          <w:rFonts w:ascii="宋体" w:hAnsi="宋体" w:cs="宋体"/>
          <w:sz w:val="28"/>
          <w:u w:val="single"/>
        </w:rPr>
      </w:pPr>
      <w:r>
        <w:rPr>
          <w:rFonts w:hint="eastAsia" w:ascii="宋体" w:hAnsi="宋体" w:cs="宋体"/>
          <w:sz w:val="28"/>
        </w:rPr>
        <w:t>投标人：</w:t>
      </w:r>
      <w:r>
        <w:rPr>
          <w:rFonts w:hint="eastAsia" w:ascii="宋体" w:hAnsi="宋体" w:cs="宋体"/>
          <w:u w:val="single"/>
        </w:rPr>
        <w:t xml:space="preserve">                                            </w:t>
      </w:r>
      <w:r>
        <w:rPr>
          <w:rFonts w:hint="eastAsia" w:ascii="宋体" w:hAnsi="宋体" w:cs="宋体"/>
          <w:sz w:val="28"/>
        </w:rPr>
        <w:t>（盖单位章）</w:t>
      </w:r>
    </w:p>
    <w:p w14:paraId="46F5241B">
      <w:pPr>
        <w:spacing w:line="360" w:lineRule="auto"/>
        <w:ind w:firstLine="1120" w:firstLineChars="400"/>
        <w:jc w:val="left"/>
        <w:rPr>
          <w:rFonts w:ascii="宋体" w:hAnsi="宋体" w:cs="宋体"/>
          <w:sz w:val="28"/>
        </w:rPr>
      </w:pPr>
      <w:r>
        <w:rPr>
          <w:rFonts w:hint="eastAsia" w:ascii="宋体" w:hAnsi="宋体" w:cs="宋体"/>
          <w:sz w:val="28"/>
        </w:rPr>
        <w:t>法定代表人或其委托代理人：</w:t>
      </w:r>
      <w:r>
        <w:rPr>
          <w:rFonts w:hint="eastAsia" w:ascii="宋体" w:hAnsi="宋体" w:cs="宋体"/>
          <w:u w:val="single"/>
        </w:rPr>
        <w:t xml:space="preserve">       </w:t>
      </w:r>
      <w:r>
        <w:rPr>
          <w:rFonts w:hint="eastAsia" w:ascii="宋体" w:hAnsi="宋体" w:cs="宋体"/>
          <w:sz w:val="28"/>
        </w:rPr>
        <w:t>（签字或盖章）</w:t>
      </w:r>
    </w:p>
    <w:p w14:paraId="4576EE8F">
      <w:pPr>
        <w:jc w:val="center"/>
        <w:rPr>
          <w:rFonts w:ascii="宋体" w:hAnsi="宋体" w:cs="宋体"/>
          <w:sz w:val="28"/>
        </w:rPr>
      </w:pPr>
    </w:p>
    <w:p w14:paraId="7EAABA1D">
      <w:pPr>
        <w:spacing w:line="400" w:lineRule="exact"/>
        <w:jc w:val="center"/>
        <w:rPr>
          <w:rFonts w:ascii="宋体" w:hAnsi="宋体" w:cs="宋体"/>
        </w:rPr>
      </w:pPr>
      <w:r>
        <w:rPr>
          <w:rFonts w:hint="eastAsia" w:ascii="宋体" w:hAnsi="宋体" w:cs="宋体"/>
          <w:u w:val="single"/>
        </w:rPr>
        <w:t xml:space="preserve">       </w:t>
      </w:r>
      <w:r>
        <w:rPr>
          <w:rFonts w:hint="eastAsia" w:ascii="宋体" w:hAnsi="宋体" w:cs="宋体"/>
          <w:sz w:val="28"/>
        </w:rPr>
        <w:t>年</w:t>
      </w:r>
      <w:r>
        <w:rPr>
          <w:rFonts w:hint="eastAsia" w:ascii="宋体" w:hAnsi="宋体" w:cs="宋体"/>
          <w:u w:val="single"/>
        </w:rPr>
        <w:t xml:space="preserve">       </w:t>
      </w:r>
      <w:r>
        <w:rPr>
          <w:rFonts w:hint="eastAsia" w:ascii="宋体" w:hAnsi="宋体" w:cs="宋体"/>
          <w:sz w:val="28"/>
        </w:rPr>
        <w:t>月</w:t>
      </w:r>
      <w:r>
        <w:rPr>
          <w:rFonts w:hint="eastAsia" w:ascii="宋体" w:hAnsi="宋体" w:cs="宋体"/>
          <w:u w:val="single"/>
        </w:rPr>
        <w:t xml:space="preserve">       </w:t>
      </w:r>
      <w:r>
        <w:rPr>
          <w:rFonts w:hint="eastAsia" w:ascii="宋体" w:hAnsi="宋体" w:cs="宋体"/>
          <w:sz w:val="28"/>
        </w:rPr>
        <w:t>日</w:t>
      </w:r>
    </w:p>
    <w:p w14:paraId="76B2E663">
      <w:pPr>
        <w:rPr>
          <w:rFonts w:ascii="宋体" w:hAnsi="宋体" w:cs="宋体"/>
        </w:rPr>
      </w:pPr>
    </w:p>
    <w:p w14:paraId="483D6DE8">
      <w:pPr>
        <w:rPr>
          <w:rFonts w:ascii="宋体" w:hAnsi="宋体" w:cs="宋体"/>
        </w:rPr>
      </w:pPr>
    </w:p>
    <w:p w14:paraId="77AE468D">
      <w:pPr>
        <w:spacing w:before="260" w:after="260" w:line="412" w:lineRule="auto"/>
        <w:jc w:val="center"/>
        <w:outlineLvl w:val="1"/>
        <w:rPr>
          <w:rFonts w:ascii="宋体" w:hAnsi="宋体" w:cs="宋体"/>
          <w:b/>
          <w:sz w:val="32"/>
          <w:szCs w:val="20"/>
        </w:rPr>
      </w:pPr>
      <w:bookmarkStart w:id="629" w:name="_Toc14966905"/>
      <w:r>
        <w:rPr>
          <w:rFonts w:hint="eastAsia" w:ascii="宋体" w:hAnsi="宋体" w:cs="宋体"/>
          <w:b/>
          <w:sz w:val="32"/>
          <w:szCs w:val="20"/>
        </w:rPr>
        <w:br w:type="page"/>
      </w:r>
      <w:bookmarkStart w:id="630" w:name="_Toc4227"/>
      <w:bookmarkStart w:id="631" w:name="_Toc16345"/>
      <w:bookmarkStart w:id="632" w:name="_Toc12590"/>
      <w:bookmarkStart w:id="633" w:name="_Toc14358"/>
      <w:bookmarkStart w:id="634" w:name="_Toc23692"/>
      <w:bookmarkStart w:id="635" w:name="_Toc20467"/>
      <w:bookmarkStart w:id="636" w:name="_Toc12824"/>
      <w:bookmarkStart w:id="637" w:name="_Toc29188"/>
      <w:bookmarkStart w:id="638" w:name="_Toc31506"/>
      <w:bookmarkStart w:id="639" w:name="_Toc17922"/>
      <w:bookmarkStart w:id="640" w:name="_Toc22061"/>
      <w:bookmarkStart w:id="641" w:name="_Toc20494"/>
      <w:bookmarkStart w:id="642" w:name="_Toc15105"/>
      <w:bookmarkStart w:id="643" w:name="_Toc28110"/>
      <w:bookmarkStart w:id="644" w:name="_Toc13561"/>
      <w:r>
        <w:rPr>
          <w:rFonts w:hint="eastAsia" w:ascii="宋体" w:hAnsi="宋体" w:cs="宋体"/>
          <w:b/>
          <w:sz w:val="32"/>
          <w:szCs w:val="20"/>
        </w:rPr>
        <w:t>目录</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73D5974A">
      <w:pPr>
        <w:spacing w:line="540" w:lineRule="exact"/>
        <w:rPr>
          <w:rFonts w:ascii="宋体" w:hAnsi="宋体" w:cs="宋体"/>
        </w:rPr>
      </w:pPr>
    </w:p>
    <w:p w14:paraId="6419ECB0">
      <w:pPr>
        <w:spacing w:line="540" w:lineRule="exact"/>
        <w:rPr>
          <w:rFonts w:ascii="宋体" w:hAnsi="宋体" w:cs="宋体"/>
        </w:rPr>
      </w:pPr>
      <w:bookmarkStart w:id="645" w:name="_Toc369531691"/>
      <w:bookmarkStart w:id="646" w:name="_Toc7039"/>
      <w:bookmarkStart w:id="647" w:name="_Toc352691655"/>
      <w:r>
        <w:rPr>
          <w:rFonts w:hint="eastAsia" w:ascii="宋体" w:hAnsi="宋体" w:cs="宋体"/>
        </w:rPr>
        <w:t>一、投标函及投标函附录</w:t>
      </w:r>
    </w:p>
    <w:p w14:paraId="519A110D">
      <w:pPr>
        <w:spacing w:line="540" w:lineRule="exact"/>
        <w:rPr>
          <w:rFonts w:ascii="宋体" w:hAnsi="宋体" w:cs="宋体"/>
        </w:rPr>
      </w:pPr>
      <w:r>
        <w:rPr>
          <w:rFonts w:hint="eastAsia" w:ascii="宋体" w:hAnsi="宋体" w:cs="宋体"/>
        </w:rPr>
        <w:t>二、法定代表人身份证明（适用于无委托代理人的情况）</w:t>
      </w:r>
    </w:p>
    <w:p w14:paraId="1E8CF5E4">
      <w:pPr>
        <w:spacing w:line="540" w:lineRule="exact"/>
        <w:rPr>
          <w:rFonts w:ascii="宋体" w:hAnsi="宋体" w:cs="宋体"/>
        </w:rPr>
      </w:pPr>
      <w:r>
        <w:rPr>
          <w:rFonts w:hint="eastAsia" w:ascii="宋体" w:hAnsi="宋体" w:cs="宋体"/>
        </w:rPr>
        <w:t>二、授权委托书（适用于有委托代理人的情况）</w:t>
      </w:r>
    </w:p>
    <w:p w14:paraId="20C20153">
      <w:pPr>
        <w:spacing w:line="540" w:lineRule="exact"/>
        <w:rPr>
          <w:rFonts w:ascii="宋体" w:hAnsi="宋体" w:cs="宋体"/>
        </w:rPr>
      </w:pPr>
      <w:r>
        <w:rPr>
          <w:rFonts w:hint="eastAsia" w:ascii="宋体" w:hAnsi="宋体" w:cs="宋体"/>
        </w:rPr>
        <w:t>三、监理报酬清单</w:t>
      </w:r>
    </w:p>
    <w:p w14:paraId="4DB98A4B">
      <w:pPr>
        <w:spacing w:line="540" w:lineRule="exact"/>
        <w:rPr>
          <w:rFonts w:ascii="宋体" w:hAnsi="宋体" w:cs="宋体"/>
        </w:rPr>
      </w:pPr>
      <w:r>
        <w:rPr>
          <w:rFonts w:hint="eastAsia" w:ascii="宋体" w:hAnsi="宋体" w:cs="宋体"/>
        </w:rPr>
        <w:t>四、资格审查资料</w:t>
      </w:r>
    </w:p>
    <w:p w14:paraId="61FB417A">
      <w:pPr>
        <w:spacing w:line="540" w:lineRule="exact"/>
        <w:rPr>
          <w:rFonts w:ascii="宋体" w:hAnsi="宋体" w:cs="宋体"/>
        </w:rPr>
      </w:pPr>
      <w:r>
        <w:rPr>
          <w:rFonts w:hint="eastAsia" w:ascii="宋体" w:hAnsi="宋体" w:cs="宋体"/>
        </w:rPr>
        <w:t>五、监理大纲</w:t>
      </w:r>
    </w:p>
    <w:p w14:paraId="7F0BC42D">
      <w:pPr>
        <w:spacing w:line="540" w:lineRule="exact"/>
        <w:rPr>
          <w:rFonts w:ascii="宋体" w:hAnsi="宋体" w:cs="宋体"/>
        </w:rPr>
      </w:pPr>
      <w:r>
        <w:rPr>
          <w:rFonts w:hint="eastAsia" w:ascii="宋体" w:hAnsi="宋体" w:cs="宋体"/>
        </w:rPr>
        <w:t>六、投标人提交履约担保承诺书</w:t>
      </w:r>
    </w:p>
    <w:p w14:paraId="0171F0E8">
      <w:pPr>
        <w:spacing w:line="540" w:lineRule="exact"/>
        <w:rPr>
          <w:rFonts w:ascii="宋体" w:hAnsi="宋体" w:cs="宋体"/>
        </w:rPr>
      </w:pPr>
      <w:r>
        <w:rPr>
          <w:rFonts w:hint="eastAsia" w:ascii="宋体" w:hAnsi="宋体" w:cs="宋体"/>
        </w:rPr>
        <w:t>七、投标承诺书</w:t>
      </w:r>
    </w:p>
    <w:p w14:paraId="0B339FD1">
      <w:pPr>
        <w:spacing w:line="540" w:lineRule="exact"/>
        <w:rPr>
          <w:rFonts w:ascii="宋体" w:hAnsi="宋体" w:cs="宋体"/>
        </w:rPr>
      </w:pPr>
      <w:r>
        <w:rPr>
          <w:rFonts w:hint="eastAsia" w:ascii="宋体" w:hAnsi="宋体" w:cs="宋体"/>
        </w:rPr>
        <w:t>八、其他资料</w:t>
      </w:r>
    </w:p>
    <w:p w14:paraId="5686DCDB">
      <w:pPr>
        <w:spacing w:before="260" w:line="412" w:lineRule="auto"/>
        <w:outlineLvl w:val="1"/>
        <w:rPr>
          <w:rFonts w:ascii="宋体" w:hAnsi="宋体" w:cs="宋体"/>
          <w:b/>
          <w:sz w:val="20"/>
          <w:szCs w:val="20"/>
        </w:rPr>
      </w:pPr>
      <w:r>
        <w:rPr>
          <w:rFonts w:hint="eastAsia" w:ascii="宋体" w:hAnsi="宋体" w:cs="宋体"/>
          <w:b/>
          <w:sz w:val="20"/>
          <w:szCs w:val="20"/>
        </w:rPr>
        <w:br w:type="page"/>
      </w:r>
      <w:bookmarkEnd w:id="645"/>
      <w:bookmarkEnd w:id="646"/>
      <w:bookmarkEnd w:id="647"/>
      <w:bookmarkStart w:id="648" w:name="_Toc14689"/>
      <w:bookmarkStart w:id="649" w:name="_Toc13596"/>
      <w:bookmarkStart w:id="650" w:name="_Toc14966906"/>
      <w:bookmarkStart w:id="651" w:name="_Toc18352"/>
      <w:bookmarkStart w:id="652" w:name="_Toc7627"/>
      <w:bookmarkStart w:id="653" w:name="_Toc15050"/>
      <w:bookmarkStart w:id="654" w:name="_Toc13162"/>
      <w:bookmarkStart w:id="655" w:name="_Toc9423"/>
      <w:bookmarkStart w:id="656" w:name="_Toc22216"/>
      <w:bookmarkStart w:id="657" w:name="_Toc5997"/>
      <w:bookmarkStart w:id="658" w:name="_Toc19044"/>
      <w:bookmarkStart w:id="659" w:name="_Toc22728"/>
      <w:bookmarkStart w:id="660" w:name="_Toc25136"/>
      <w:bookmarkStart w:id="661" w:name="_Toc20796"/>
      <w:bookmarkStart w:id="662" w:name="_Toc3352"/>
      <w:bookmarkStart w:id="663" w:name="_Toc28514"/>
      <w:r>
        <w:rPr>
          <w:rFonts w:hint="eastAsia" w:ascii="宋体" w:hAnsi="宋体" w:cs="宋体"/>
          <w:b/>
          <w:sz w:val="20"/>
          <w:szCs w:val="20"/>
        </w:rPr>
        <w:t>格式一：</w:t>
      </w:r>
    </w:p>
    <w:p w14:paraId="0ED3B14A">
      <w:pPr>
        <w:spacing w:before="260" w:line="412" w:lineRule="auto"/>
        <w:outlineLvl w:val="1"/>
        <w:rPr>
          <w:rFonts w:ascii="宋体" w:hAnsi="宋体" w:cs="宋体"/>
          <w:b/>
          <w:sz w:val="20"/>
          <w:szCs w:val="20"/>
        </w:rPr>
      </w:pPr>
      <w:r>
        <w:rPr>
          <w:rFonts w:hint="eastAsia" w:ascii="宋体" w:hAnsi="宋体" w:cs="宋体"/>
          <w:b/>
          <w:sz w:val="32"/>
          <w:szCs w:val="20"/>
        </w:rPr>
        <w:t>一、投标</w:t>
      </w:r>
      <w:bookmarkStart w:id="664" w:name="_Toc369531692"/>
      <w:bookmarkStart w:id="665" w:name="_Toc352691656"/>
      <w:bookmarkStart w:id="666" w:name="_Toc6931"/>
      <w:r>
        <w:rPr>
          <w:rFonts w:hint="eastAsia" w:ascii="宋体" w:hAnsi="宋体" w:cs="宋体"/>
          <w:b/>
          <w:sz w:val="32"/>
          <w:szCs w:val="20"/>
        </w:rPr>
        <w:t>函及投标函附录</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bookmarkEnd w:id="664"/>
    <w:bookmarkEnd w:id="665"/>
    <w:bookmarkEnd w:id="666"/>
    <w:p w14:paraId="6A451914">
      <w:pPr>
        <w:pStyle w:val="5"/>
        <w:keepNext w:val="0"/>
        <w:keepLines w:val="0"/>
        <w:spacing w:before="0" w:after="0"/>
        <w:ind w:firstLine="137"/>
        <w:jc w:val="center"/>
        <w:rPr>
          <w:rFonts w:ascii="宋体" w:hAnsi="宋体" w:eastAsia="宋体" w:cs="宋体"/>
        </w:rPr>
      </w:pPr>
      <w:bookmarkStart w:id="667" w:name="_Toc28304"/>
      <w:bookmarkStart w:id="668" w:name="_Toc385943065"/>
      <w:bookmarkStart w:id="669" w:name="_Toc7804"/>
      <w:bookmarkStart w:id="670" w:name="_Toc29746"/>
      <w:bookmarkStart w:id="671" w:name="_Toc527969223"/>
      <w:bookmarkStart w:id="672" w:name="_Toc482188651"/>
      <w:bookmarkStart w:id="673" w:name="_Toc23822"/>
      <w:bookmarkStart w:id="674" w:name="_Toc16013"/>
      <w:bookmarkStart w:id="675" w:name="_Toc1444"/>
      <w:bookmarkStart w:id="676" w:name="_Toc370676426"/>
      <w:bookmarkStart w:id="677" w:name="_Toc14966907"/>
      <w:bookmarkStart w:id="678" w:name="_Toc18601"/>
      <w:bookmarkStart w:id="679" w:name="_Toc359594235"/>
      <w:bookmarkStart w:id="680" w:name="_Toc10046"/>
      <w:bookmarkStart w:id="681" w:name="_Toc21339"/>
      <w:bookmarkStart w:id="682" w:name="_Toc28954"/>
      <w:bookmarkStart w:id="683" w:name="_Toc21269"/>
      <w:bookmarkStart w:id="684" w:name="_Toc391394111"/>
      <w:bookmarkStart w:id="685" w:name="_Toc23140"/>
      <w:bookmarkStart w:id="686" w:name="_Toc8410"/>
      <w:bookmarkStart w:id="687" w:name="_Toc13805"/>
      <w:bookmarkStart w:id="688" w:name="_Toc22351"/>
      <w:bookmarkStart w:id="689" w:name="_Toc10252"/>
      <w:r>
        <w:rPr>
          <w:rFonts w:hint="eastAsia" w:ascii="宋体" w:hAnsi="宋体" w:eastAsia="宋体" w:cs="宋体"/>
        </w:rPr>
        <w:t>（一）投标函</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14:paraId="77E0131E">
      <w:pPr>
        <w:spacing w:line="312" w:lineRule="auto"/>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（招标人名称）：</w:t>
      </w:r>
    </w:p>
    <w:p w14:paraId="6A4A5397">
      <w:pPr>
        <w:spacing w:line="312" w:lineRule="auto"/>
        <w:ind w:firstLine="405"/>
        <w:rPr>
          <w:rFonts w:ascii="宋体" w:hAnsi="宋体" w:cs="宋体"/>
          <w:szCs w:val="21"/>
        </w:rPr>
      </w:pPr>
      <w:r>
        <w:rPr>
          <w:rFonts w:hint="eastAsia" w:ascii="宋体" w:hAnsi="宋体" w:cs="宋体"/>
          <w:szCs w:val="21"/>
        </w:rPr>
        <w:t>1．我方已仔细研究了</w:t>
      </w:r>
      <w:r>
        <w:rPr>
          <w:rFonts w:hint="eastAsia" w:ascii="宋体" w:hAnsi="宋体" w:cs="宋体"/>
          <w:szCs w:val="21"/>
          <w:u w:val="single"/>
        </w:rPr>
        <w:t xml:space="preserve">                  </w:t>
      </w:r>
      <w:r>
        <w:rPr>
          <w:rFonts w:hint="eastAsia" w:ascii="宋体" w:hAnsi="宋体" w:cs="宋体"/>
          <w:szCs w:val="21"/>
        </w:rPr>
        <w:t>（项目名称）监理招标文件的全部内容，愿意以《开标一览表》中的投标总报价和监理服务期限，按合同约定完成监理工作。</w:t>
      </w:r>
    </w:p>
    <w:p w14:paraId="4075C510">
      <w:pPr>
        <w:spacing w:line="312" w:lineRule="auto"/>
        <w:ind w:firstLine="420" w:firstLineChars="200"/>
        <w:rPr>
          <w:rFonts w:ascii="宋体" w:hAnsi="宋体" w:cs="宋体"/>
          <w:szCs w:val="21"/>
        </w:rPr>
      </w:pPr>
      <w:r>
        <w:rPr>
          <w:rFonts w:hint="eastAsia" w:ascii="宋体" w:hAnsi="宋体" w:cs="宋体"/>
          <w:szCs w:val="21"/>
        </w:rPr>
        <w:t>2. 我方的投标文件包括下列内容：</w:t>
      </w:r>
    </w:p>
    <w:p w14:paraId="0115BE4C">
      <w:pPr>
        <w:spacing w:line="312" w:lineRule="auto"/>
        <w:ind w:firstLine="405"/>
        <w:rPr>
          <w:rFonts w:ascii="宋体" w:hAnsi="宋体" w:cs="宋体"/>
          <w:szCs w:val="21"/>
        </w:rPr>
      </w:pPr>
      <w:r>
        <w:rPr>
          <w:rFonts w:hint="eastAsia" w:ascii="宋体" w:hAnsi="宋体" w:cs="宋体"/>
          <w:szCs w:val="21"/>
        </w:rPr>
        <w:t>（1）投标函</w:t>
      </w:r>
      <w:r>
        <w:rPr>
          <w:rFonts w:hint="eastAsia" w:ascii="宋体" w:hAnsi="宋体" w:cs="宋体"/>
        </w:rPr>
        <w:t>及投标函附录</w:t>
      </w:r>
      <w:r>
        <w:rPr>
          <w:rFonts w:hint="eastAsia" w:ascii="宋体" w:hAnsi="宋体" w:cs="宋体"/>
          <w:szCs w:val="21"/>
        </w:rPr>
        <w:t>；</w:t>
      </w:r>
    </w:p>
    <w:p w14:paraId="3A322806">
      <w:pPr>
        <w:spacing w:line="312" w:lineRule="auto"/>
        <w:ind w:firstLine="405"/>
        <w:rPr>
          <w:rFonts w:ascii="宋体" w:hAnsi="宋体" w:cs="宋体"/>
          <w:szCs w:val="21"/>
        </w:rPr>
      </w:pPr>
      <w:r>
        <w:rPr>
          <w:rFonts w:hint="eastAsia" w:ascii="宋体" w:hAnsi="宋体" w:cs="宋体"/>
          <w:szCs w:val="21"/>
        </w:rPr>
        <w:t>（2）法定代表人身份证明或授权委托书；</w:t>
      </w:r>
    </w:p>
    <w:p w14:paraId="313653C9">
      <w:pPr>
        <w:spacing w:line="312" w:lineRule="auto"/>
        <w:ind w:firstLine="405"/>
        <w:rPr>
          <w:rFonts w:ascii="宋体" w:hAnsi="宋体" w:cs="宋体"/>
          <w:szCs w:val="21"/>
        </w:rPr>
      </w:pPr>
      <w:r>
        <w:rPr>
          <w:rFonts w:hint="eastAsia" w:ascii="宋体" w:hAnsi="宋体" w:cs="宋体"/>
          <w:szCs w:val="21"/>
        </w:rPr>
        <w:t>（3）监理报酬清单；</w:t>
      </w:r>
    </w:p>
    <w:p w14:paraId="0C3910A7">
      <w:pPr>
        <w:spacing w:line="312" w:lineRule="auto"/>
        <w:ind w:firstLine="405"/>
        <w:rPr>
          <w:rFonts w:ascii="宋体" w:hAnsi="宋体" w:cs="宋体"/>
          <w:szCs w:val="21"/>
        </w:rPr>
      </w:pPr>
      <w:r>
        <w:rPr>
          <w:rFonts w:hint="eastAsia" w:ascii="宋体" w:hAnsi="宋体" w:cs="宋体"/>
          <w:szCs w:val="21"/>
        </w:rPr>
        <w:t>（4）资格审查资料；</w:t>
      </w:r>
    </w:p>
    <w:p w14:paraId="044086DA">
      <w:pPr>
        <w:spacing w:line="312" w:lineRule="auto"/>
        <w:ind w:firstLine="405"/>
        <w:rPr>
          <w:rFonts w:ascii="宋体" w:hAnsi="宋体" w:cs="宋体"/>
          <w:szCs w:val="21"/>
        </w:rPr>
      </w:pPr>
      <w:r>
        <w:rPr>
          <w:rFonts w:hint="eastAsia" w:ascii="宋体" w:hAnsi="宋体" w:cs="宋体"/>
          <w:szCs w:val="21"/>
        </w:rPr>
        <w:t>（5）监理大纲；</w:t>
      </w:r>
    </w:p>
    <w:p w14:paraId="3A8204CE">
      <w:pPr>
        <w:spacing w:line="312" w:lineRule="auto"/>
        <w:ind w:firstLine="405"/>
        <w:rPr>
          <w:rFonts w:ascii="宋体" w:hAnsi="宋体" w:cs="宋体"/>
          <w:szCs w:val="21"/>
        </w:rPr>
      </w:pPr>
      <w:r>
        <w:rPr>
          <w:rFonts w:hint="eastAsia" w:ascii="宋体" w:hAnsi="宋体" w:cs="宋体"/>
          <w:szCs w:val="21"/>
        </w:rPr>
        <w:t>（6）投标人提交履约担保承诺书；</w:t>
      </w:r>
    </w:p>
    <w:p w14:paraId="28FF21BD">
      <w:pPr>
        <w:spacing w:line="312" w:lineRule="auto"/>
        <w:ind w:firstLine="405"/>
        <w:rPr>
          <w:rFonts w:ascii="宋体" w:hAnsi="宋体" w:cs="宋体"/>
          <w:szCs w:val="21"/>
        </w:rPr>
      </w:pPr>
      <w:r>
        <w:rPr>
          <w:rFonts w:hint="eastAsia" w:ascii="宋体" w:hAnsi="宋体" w:cs="宋体"/>
          <w:szCs w:val="21"/>
        </w:rPr>
        <w:t>（7）投标承诺书；</w:t>
      </w:r>
    </w:p>
    <w:p w14:paraId="5EBE0D66">
      <w:pPr>
        <w:spacing w:line="312" w:lineRule="auto"/>
        <w:ind w:firstLine="405"/>
        <w:rPr>
          <w:rFonts w:ascii="宋体" w:hAnsi="宋体" w:cs="宋体"/>
          <w:szCs w:val="21"/>
        </w:rPr>
      </w:pPr>
      <w:r>
        <w:rPr>
          <w:rFonts w:hint="eastAsia" w:ascii="宋体" w:hAnsi="宋体" w:cs="宋体"/>
          <w:szCs w:val="21"/>
        </w:rPr>
        <w:t>（8）其他资料。</w:t>
      </w:r>
    </w:p>
    <w:p w14:paraId="3C14F5AB">
      <w:pPr>
        <w:spacing w:line="312" w:lineRule="auto"/>
        <w:ind w:firstLine="405"/>
        <w:rPr>
          <w:rFonts w:ascii="宋体" w:hAnsi="宋体" w:cs="宋体"/>
          <w:szCs w:val="21"/>
        </w:rPr>
      </w:pPr>
      <w:r>
        <w:rPr>
          <w:rFonts w:hint="eastAsia" w:ascii="宋体" w:hAnsi="宋体" w:cs="宋体"/>
          <w:szCs w:val="21"/>
        </w:rPr>
        <w:t>投标文件的上述组成部分如存在内容不一致的，以投标函为准。</w:t>
      </w:r>
    </w:p>
    <w:p w14:paraId="0B218561">
      <w:pPr>
        <w:spacing w:line="312" w:lineRule="auto"/>
        <w:ind w:firstLine="420" w:firstLineChars="200"/>
        <w:rPr>
          <w:rFonts w:ascii="宋体" w:hAnsi="宋体" w:cs="宋体"/>
          <w:szCs w:val="21"/>
        </w:rPr>
      </w:pPr>
      <w:r>
        <w:rPr>
          <w:rFonts w:hint="eastAsia" w:ascii="宋体" w:hAnsi="宋体" w:cs="宋体"/>
          <w:szCs w:val="21"/>
        </w:rPr>
        <w:t>3．我方承诺在招标文件规定的投标有效期内不撤销投标文件。</w:t>
      </w:r>
    </w:p>
    <w:p w14:paraId="20068F11">
      <w:pPr>
        <w:spacing w:line="312" w:lineRule="auto"/>
        <w:ind w:firstLine="420" w:firstLineChars="200"/>
        <w:rPr>
          <w:rFonts w:ascii="宋体" w:hAnsi="宋体" w:cs="宋体"/>
          <w:szCs w:val="21"/>
        </w:rPr>
      </w:pPr>
      <w:r>
        <w:rPr>
          <w:rFonts w:hint="eastAsia" w:ascii="宋体" w:hAnsi="宋体" w:cs="宋体"/>
          <w:szCs w:val="21"/>
        </w:rPr>
        <w:t>4．如我方中标，我方承诺：</w:t>
      </w:r>
    </w:p>
    <w:p w14:paraId="36AB34D3">
      <w:pPr>
        <w:spacing w:line="312" w:lineRule="auto"/>
        <w:ind w:left="945" w:leftChars="400" w:hanging="105" w:hangingChars="50"/>
        <w:rPr>
          <w:rFonts w:ascii="宋体" w:hAnsi="宋体" w:cs="宋体"/>
          <w:szCs w:val="21"/>
        </w:rPr>
      </w:pPr>
      <w:r>
        <w:rPr>
          <w:rFonts w:hint="eastAsia" w:ascii="宋体" w:hAnsi="宋体" w:cs="宋体"/>
          <w:szCs w:val="21"/>
        </w:rPr>
        <w:t>（1）在收到中标通知书后30日内与你方签订合同；</w:t>
      </w:r>
    </w:p>
    <w:p w14:paraId="61165E96">
      <w:pPr>
        <w:spacing w:line="312" w:lineRule="auto"/>
        <w:ind w:left="945" w:leftChars="400" w:hanging="105" w:hangingChars="50"/>
        <w:rPr>
          <w:rFonts w:ascii="宋体" w:hAnsi="宋体" w:cs="宋体"/>
          <w:szCs w:val="21"/>
        </w:rPr>
      </w:pPr>
      <w:r>
        <w:rPr>
          <w:rFonts w:hint="eastAsia" w:ascii="宋体" w:hAnsi="宋体" w:cs="宋体"/>
          <w:szCs w:val="21"/>
        </w:rPr>
        <w:t>（2）在签订合同时不向你方提出附加条件；</w:t>
      </w:r>
    </w:p>
    <w:p w14:paraId="32379BD3">
      <w:pPr>
        <w:spacing w:line="312" w:lineRule="auto"/>
        <w:ind w:left="945" w:leftChars="400" w:hanging="105" w:hangingChars="50"/>
        <w:rPr>
          <w:rFonts w:ascii="宋体" w:hAnsi="宋体" w:cs="宋体"/>
          <w:szCs w:val="21"/>
        </w:rPr>
      </w:pPr>
      <w:r>
        <w:rPr>
          <w:rFonts w:hint="eastAsia" w:ascii="宋体" w:hAnsi="宋体" w:cs="宋体"/>
          <w:szCs w:val="21"/>
        </w:rPr>
        <w:t>（3）按照招标文件要求提交履约保证金；</w:t>
      </w:r>
      <w:bookmarkStart w:id="690" w:name="_Toc369531694"/>
      <w:bookmarkStart w:id="691" w:name="_Toc1187"/>
      <w:bookmarkStart w:id="692" w:name="_Toc352691658"/>
    </w:p>
    <w:p w14:paraId="1A61C6BF">
      <w:pPr>
        <w:spacing w:line="312" w:lineRule="auto"/>
        <w:ind w:left="945" w:leftChars="400" w:hanging="105" w:hangingChars="50"/>
        <w:rPr>
          <w:rFonts w:ascii="宋体" w:hAnsi="宋体" w:cs="宋体"/>
          <w:szCs w:val="21"/>
        </w:rPr>
      </w:pPr>
      <w:r>
        <w:rPr>
          <w:rFonts w:hint="eastAsia" w:ascii="宋体" w:hAnsi="宋体" w:cs="宋体"/>
          <w:szCs w:val="21"/>
        </w:rPr>
        <w:t>（4）在合</w:t>
      </w:r>
      <w:bookmarkEnd w:id="690"/>
      <w:bookmarkEnd w:id="691"/>
      <w:bookmarkEnd w:id="692"/>
      <w:r>
        <w:rPr>
          <w:rFonts w:hint="eastAsia" w:ascii="宋体" w:hAnsi="宋体" w:cs="宋体"/>
          <w:szCs w:val="21"/>
        </w:rPr>
        <w:t>同约定的期限内完成合同规定的全部义务。</w:t>
      </w:r>
    </w:p>
    <w:p w14:paraId="34123FBD">
      <w:pPr>
        <w:spacing w:line="312" w:lineRule="auto"/>
        <w:ind w:firstLine="420" w:firstLineChars="200"/>
        <w:rPr>
          <w:rFonts w:ascii="宋体" w:hAnsi="宋体" w:cs="宋体"/>
          <w:szCs w:val="21"/>
        </w:rPr>
      </w:pPr>
      <w:r>
        <w:rPr>
          <w:rFonts w:hint="eastAsia" w:ascii="宋体" w:hAnsi="宋体" w:cs="宋体"/>
          <w:szCs w:val="21"/>
        </w:rPr>
        <w:t>5．我方在此声明，所递交的投标文件及有关资料内容完整、真实和准确，且不存在第二章“投标人须知”第1.4.3项规定的任何一种情形。</w:t>
      </w:r>
    </w:p>
    <w:p w14:paraId="3B2411E6">
      <w:pPr>
        <w:spacing w:line="312" w:lineRule="auto"/>
        <w:ind w:firstLine="420" w:firstLineChars="200"/>
        <w:rPr>
          <w:rFonts w:ascii="宋体" w:hAnsi="宋体" w:cs="宋体"/>
          <w:szCs w:val="21"/>
        </w:rPr>
      </w:pPr>
      <w:r>
        <w:rPr>
          <w:rFonts w:hint="eastAsia" w:ascii="宋体" w:hAnsi="宋体" w:cs="宋体"/>
          <w:szCs w:val="21"/>
        </w:rPr>
        <w:t>6．</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rPr>
        <w:t>（其他补充说明）。</w:t>
      </w:r>
    </w:p>
    <w:p w14:paraId="71CF6F08">
      <w:pPr>
        <w:spacing w:line="312" w:lineRule="auto"/>
        <w:ind w:firstLine="2520" w:firstLineChars="1200"/>
        <w:jc w:val="left"/>
        <w:rPr>
          <w:rFonts w:ascii="宋体" w:hAnsi="宋体" w:cs="宋体"/>
          <w:szCs w:val="21"/>
        </w:rPr>
      </w:pPr>
      <w:bookmarkStart w:id="693" w:name="_Toc352691660"/>
      <w:bookmarkEnd w:id="693"/>
      <w:bookmarkStart w:id="694" w:name="_Toc369531696"/>
      <w:bookmarkEnd w:id="694"/>
      <w:bookmarkStart w:id="695" w:name="_Toc16824"/>
      <w:bookmarkEnd w:id="695"/>
      <w:bookmarkStart w:id="696" w:name="_Toc16568"/>
      <w:bookmarkEnd w:id="696"/>
      <w:bookmarkStart w:id="697" w:name="_Toc369531695"/>
      <w:bookmarkEnd w:id="697"/>
      <w:bookmarkStart w:id="698" w:name="_Toc352691659"/>
      <w:bookmarkEnd w:id="698"/>
      <w:r>
        <w:rPr>
          <w:rFonts w:hint="eastAsia" w:ascii="宋体" w:hAnsi="宋体" w:cs="宋体"/>
          <w:szCs w:val="21"/>
        </w:rPr>
        <w:t>投 标 人：</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rPr>
        <w:t>（盖单位章）</w:t>
      </w:r>
    </w:p>
    <w:p w14:paraId="3DE374E0">
      <w:pPr>
        <w:spacing w:line="312" w:lineRule="auto"/>
        <w:jc w:val="left"/>
        <w:rPr>
          <w:rFonts w:ascii="宋体" w:hAnsi="宋体" w:cs="宋体"/>
          <w:szCs w:val="21"/>
        </w:rPr>
      </w:pPr>
      <w:r>
        <w:rPr>
          <w:rFonts w:hint="eastAsia" w:ascii="宋体" w:hAnsi="宋体" w:cs="宋体"/>
        </w:rPr>
        <w:t xml:space="preserve">                        法定代表人</w:t>
      </w:r>
      <w:r>
        <w:rPr>
          <w:rFonts w:hint="eastAsia" w:ascii="宋体" w:hAnsi="宋体" w:cs="宋体"/>
          <w:szCs w:val="21"/>
        </w:rPr>
        <w:t>或其委托代理人：</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rPr>
        <w:t>（签字或盖章）</w:t>
      </w:r>
    </w:p>
    <w:p w14:paraId="5A078FAA">
      <w:pPr>
        <w:spacing w:line="312" w:lineRule="auto"/>
        <w:ind w:firstLine="2520" w:firstLineChars="1200"/>
        <w:jc w:val="left"/>
        <w:rPr>
          <w:rFonts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u w:val="single"/>
        </w:rPr>
        <w:tab/>
      </w:r>
    </w:p>
    <w:p w14:paraId="6F1F41E0">
      <w:pPr>
        <w:spacing w:line="312" w:lineRule="auto"/>
        <w:ind w:firstLine="2520" w:firstLineChars="1200"/>
        <w:jc w:val="left"/>
        <w:rPr>
          <w:rFonts w:ascii="宋体" w:hAnsi="宋体" w:cs="宋体"/>
          <w:szCs w:val="21"/>
        </w:rPr>
      </w:pPr>
      <w:r>
        <w:rPr>
          <w:rFonts w:hint="eastAsia" w:ascii="宋体" w:hAnsi="宋体" w:cs="宋体"/>
          <w:szCs w:val="21"/>
        </w:rPr>
        <w:t>网    址：</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 xml:space="preserve">    </w:t>
      </w:r>
    </w:p>
    <w:p w14:paraId="1D2F1567">
      <w:pPr>
        <w:spacing w:line="312" w:lineRule="auto"/>
        <w:ind w:firstLine="2520" w:firstLineChars="1200"/>
        <w:jc w:val="left"/>
        <w:rPr>
          <w:rFonts w:ascii="宋体" w:hAnsi="宋体" w:cs="宋体"/>
          <w:szCs w:val="21"/>
        </w:rPr>
      </w:pPr>
      <w:r>
        <w:rPr>
          <w:rFonts w:hint="eastAsia" w:ascii="宋体" w:hAnsi="宋体" w:cs="宋体"/>
          <w:szCs w:val="21"/>
        </w:rPr>
        <w:t>电    话：</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 xml:space="preserve">    </w:t>
      </w:r>
    </w:p>
    <w:p w14:paraId="3254E0F8">
      <w:pPr>
        <w:spacing w:line="312" w:lineRule="auto"/>
        <w:ind w:firstLine="2520" w:firstLineChars="1200"/>
        <w:jc w:val="left"/>
        <w:rPr>
          <w:rFonts w:ascii="宋体" w:hAnsi="宋体" w:cs="宋体"/>
          <w:szCs w:val="21"/>
        </w:rPr>
      </w:pPr>
      <w:r>
        <w:rPr>
          <w:rFonts w:hint="eastAsia" w:ascii="宋体" w:hAnsi="宋体" w:cs="宋体"/>
          <w:szCs w:val="21"/>
        </w:rPr>
        <w:t>传    真：</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 xml:space="preserve">                                </w:t>
      </w:r>
    </w:p>
    <w:p w14:paraId="7D4747AE">
      <w:pPr>
        <w:spacing w:line="312" w:lineRule="auto"/>
        <w:ind w:firstLine="2520" w:firstLineChars="1200"/>
        <w:jc w:val="left"/>
        <w:rPr>
          <w:rFonts w:ascii="宋体" w:hAnsi="宋体" w:cs="宋体"/>
          <w:szCs w:val="21"/>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 xml:space="preserve">                                </w:t>
      </w:r>
    </w:p>
    <w:p w14:paraId="3295EA41">
      <w:pPr>
        <w:spacing w:line="312" w:lineRule="auto"/>
        <w:ind w:firstLine="4725" w:firstLineChars="2250"/>
        <w:jc w:val="right"/>
        <w:rPr>
          <w:rFonts w:ascii="宋体" w:hAnsi="宋体" w:cs="宋体"/>
          <w:szCs w:val="21"/>
        </w:rPr>
      </w:pPr>
      <w:r>
        <w:rPr>
          <w:rFonts w:hint="eastAsia" w:ascii="宋体" w:hAnsi="宋体" w:cs="宋体"/>
          <w:u w:val="single"/>
        </w:rPr>
        <w:t xml:space="preserve">      </w:t>
      </w:r>
      <w:r>
        <w:rPr>
          <w:rFonts w:hint="eastAsia" w:ascii="宋体" w:hAnsi="宋体" w:cs="宋体"/>
          <w:szCs w:val="21"/>
        </w:rPr>
        <w:t>年</w:t>
      </w:r>
      <w:r>
        <w:rPr>
          <w:rFonts w:hint="eastAsia" w:ascii="宋体" w:hAnsi="宋体" w:cs="宋体"/>
          <w:u w:val="single"/>
        </w:rPr>
        <w:t xml:space="preserve">      </w:t>
      </w:r>
      <w:r>
        <w:rPr>
          <w:rFonts w:hint="eastAsia" w:ascii="宋体" w:hAnsi="宋体" w:cs="宋体"/>
          <w:szCs w:val="21"/>
        </w:rPr>
        <w:t>月</w:t>
      </w:r>
      <w:r>
        <w:rPr>
          <w:rFonts w:hint="eastAsia" w:ascii="宋体" w:hAnsi="宋体" w:cs="宋体"/>
          <w:u w:val="single"/>
        </w:rPr>
        <w:t xml:space="preserve">      </w:t>
      </w:r>
      <w:r>
        <w:rPr>
          <w:rFonts w:hint="eastAsia" w:ascii="宋体" w:hAnsi="宋体" w:cs="宋体"/>
          <w:szCs w:val="21"/>
        </w:rPr>
        <w:t>日</w:t>
      </w:r>
    </w:p>
    <w:p w14:paraId="3C4885D2">
      <w:pPr>
        <w:pStyle w:val="5"/>
        <w:ind w:firstLine="98"/>
        <w:jc w:val="left"/>
        <w:rPr>
          <w:rFonts w:ascii="宋体" w:hAnsi="宋体" w:eastAsia="宋体" w:cs="宋体"/>
        </w:rPr>
      </w:pPr>
      <w:bookmarkStart w:id="699" w:name="_Toc361508752"/>
      <w:bookmarkStart w:id="700" w:name="_Toc17960"/>
      <w:bookmarkStart w:id="701" w:name="_Toc369531697"/>
      <w:bookmarkStart w:id="702" w:name="_Toc152042576"/>
      <w:bookmarkStart w:id="703" w:name="_Toc144974856"/>
      <w:bookmarkStart w:id="704" w:name="_Toc384308375"/>
      <w:bookmarkStart w:id="705" w:name="_Toc352691661"/>
      <w:bookmarkStart w:id="706" w:name="_Toc152045787"/>
      <w:bookmarkStart w:id="707" w:name="_Toc300835209"/>
      <w:bookmarkStart w:id="708" w:name="_Toc247527827"/>
      <w:bookmarkStart w:id="709" w:name="_Toc247514246"/>
      <w:r>
        <w:rPr>
          <w:rFonts w:hint="eastAsia" w:ascii="宋体" w:hAnsi="宋体" w:eastAsia="宋体" w:cs="宋体"/>
          <w:sz w:val="20"/>
        </w:rPr>
        <w:br w:type="page"/>
      </w:r>
      <w:bookmarkStart w:id="710" w:name="_Toc482188652"/>
      <w:bookmarkStart w:id="711" w:name="_Toc12060"/>
      <w:bookmarkStart w:id="712" w:name="_Toc13035"/>
      <w:bookmarkStart w:id="713" w:name="_Toc527969224"/>
      <w:bookmarkStart w:id="714" w:name="_Toc19062"/>
      <w:bookmarkStart w:id="715" w:name="_Toc31849"/>
      <w:bookmarkStart w:id="716" w:name="_Toc6814"/>
      <w:bookmarkStart w:id="717" w:name="_Toc14966908"/>
      <w:bookmarkStart w:id="718" w:name="_Toc385943066"/>
      <w:bookmarkStart w:id="719" w:name="_Toc391394112"/>
      <w:bookmarkStart w:id="720" w:name="_Toc23846"/>
      <w:bookmarkStart w:id="721" w:name="_Toc22478"/>
      <w:bookmarkStart w:id="722" w:name="_Toc27433"/>
      <w:bookmarkStart w:id="723" w:name="_Toc7575"/>
      <w:bookmarkStart w:id="724" w:name="_Toc359594236"/>
      <w:bookmarkStart w:id="725" w:name="_Toc17088"/>
      <w:bookmarkStart w:id="726" w:name="_Toc2569"/>
      <w:bookmarkStart w:id="727" w:name="_Toc9389"/>
      <w:bookmarkStart w:id="728" w:name="_Toc32518"/>
      <w:bookmarkStart w:id="729" w:name="_Toc20458"/>
      <w:bookmarkStart w:id="730" w:name="_Toc31447"/>
      <w:bookmarkStart w:id="731" w:name="_Toc11461"/>
      <w:bookmarkStart w:id="732" w:name="_Toc370676427"/>
      <w:r>
        <w:rPr>
          <w:rFonts w:hint="eastAsia" w:ascii="宋体" w:hAnsi="宋体" w:eastAsia="宋体" w:cs="宋体"/>
        </w:rPr>
        <w:t>（二）投标函附录</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tbl>
      <w:tblPr>
        <w:tblStyle w:val="21"/>
        <w:tblW w:w="7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2567"/>
        <w:gridCol w:w="3048"/>
        <w:gridCol w:w="1234"/>
      </w:tblGrid>
      <w:tr w14:paraId="2572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542AAB2">
            <w:pPr>
              <w:jc w:val="center"/>
              <w:rPr>
                <w:rFonts w:ascii="宋体" w:hAnsi="宋体" w:cs="宋体"/>
                <w:b/>
                <w:sz w:val="24"/>
                <w:szCs w:val="24"/>
              </w:rPr>
            </w:pPr>
            <w:r>
              <w:rPr>
                <w:rFonts w:hint="eastAsia" w:ascii="宋体" w:hAnsi="宋体" w:cs="宋体"/>
                <w:b/>
                <w:sz w:val="24"/>
                <w:szCs w:val="24"/>
                <w:lang w:bidi="ar"/>
              </w:rPr>
              <w:t>序号</w:t>
            </w:r>
          </w:p>
        </w:tc>
        <w:tc>
          <w:tcPr>
            <w:tcW w:w="2567" w:type="dxa"/>
            <w:tcBorders>
              <w:top w:val="single" w:color="auto" w:sz="4" w:space="0"/>
              <w:left w:val="single" w:color="auto" w:sz="4" w:space="0"/>
              <w:bottom w:val="single" w:color="auto" w:sz="4" w:space="0"/>
              <w:right w:val="single" w:color="auto" w:sz="4" w:space="0"/>
            </w:tcBorders>
            <w:vAlign w:val="center"/>
          </w:tcPr>
          <w:p w14:paraId="299B4D9A">
            <w:pPr>
              <w:jc w:val="center"/>
              <w:rPr>
                <w:rFonts w:ascii="宋体" w:hAnsi="宋体" w:cs="宋体"/>
                <w:b/>
                <w:sz w:val="24"/>
                <w:szCs w:val="24"/>
              </w:rPr>
            </w:pPr>
            <w:r>
              <w:rPr>
                <w:rFonts w:hint="eastAsia" w:ascii="宋体" w:hAnsi="宋体" w:cs="宋体"/>
                <w:b/>
                <w:sz w:val="24"/>
                <w:szCs w:val="24"/>
                <w:lang w:bidi="ar"/>
              </w:rPr>
              <w:t>条款名称</w:t>
            </w:r>
          </w:p>
        </w:tc>
        <w:tc>
          <w:tcPr>
            <w:tcW w:w="3048" w:type="dxa"/>
            <w:tcBorders>
              <w:top w:val="single" w:color="auto" w:sz="4" w:space="0"/>
              <w:left w:val="single" w:color="auto" w:sz="4" w:space="0"/>
              <w:bottom w:val="single" w:color="auto" w:sz="4" w:space="0"/>
              <w:right w:val="single" w:color="auto" w:sz="4" w:space="0"/>
            </w:tcBorders>
            <w:vAlign w:val="center"/>
          </w:tcPr>
          <w:p w14:paraId="45FCC5BE">
            <w:pPr>
              <w:jc w:val="center"/>
              <w:rPr>
                <w:rFonts w:ascii="宋体" w:hAnsi="宋体" w:cs="宋体"/>
                <w:b/>
                <w:sz w:val="24"/>
                <w:szCs w:val="24"/>
              </w:rPr>
            </w:pPr>
            <w:r>
              <w:rPr>
                <w:rFonts w:hint="eastAsia" w:ascii="宋体" w:hAnsi="宋体" w:cs="宋体"/>
                <w:b/>
                <w:sz w:val="24"/>
                <w:szCs w:val="24"/>
                <w:lang w:bidi="ar"/>
              </w:rPr>
              <w:t>约定内容</w:t>
            </w:r>
          </w:p>
        </w:tc>
        <w:tc>
          <w:tcPr>
            <w:tcW w:w="1234" w:type="dxa"/>
            <w:tcBorders>
              <w:top w:val="single" w:color="auto" w:sz="4" w:space="0"/>
              <w:left w:val="single" w:color="auto" w:sz="4" w:space="0"/>
              <w:bottom w:val="single" w:color="auto" w:sz="4" w:space="0"/>
              <w:right w:val="single" w:color="auto" w:sz="4" w:space="0"/>
            </w:tcBorders>
            <w:vAlign w:val="center"/>
          </w:tcPr>
          <w:p w14:paraId="0D3AD7BA">
            <w:pPr>
              <w:jc w:val="center"/>
              <w:rPr>
                <w:rFonts w:ascii="宋体" w:hAnsi="宋体" w:cs="宋体"/>
                <w:b/>
                <w:sz w:val="24"/>
                <w:szCs w:val="24"/>
              </w:rPr>
            </w:pPr>
            <w:r>
              <w:rPr>
                <w:rFonts w:hint="eastAsia" w:ascii="宋体" w:hAnsi="宋体" w:cs="宋体"/>
                <w:b/>
                <w:sz w:val="24"/>
                <w:szCs w:val="24"/>
                <w:lang w:bidi="ar"/>
              </w:rPr>
              <w:t>备注</w:t>
            </w:r>
          </w:p>
        </w:tc>
      </w:tr>
      <w:tr w14:paraId="0062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D9F9C1B">
            <w:pPr>
              <w:spacing w:before="100" w:beforeAutospacing="1" w:after="100" w:afterAutospacing="1"/>
              <w:jc w:val="center"/>
              <w:rPr>
                <w:rFonts w:ascii="宋体" w:hAnsi="宋体" w:cs="宋体"/>
                <w:sz w:val="24"/>
                <w:szCs w:val="24"/>
                <w:lang w:bidi="ar"/>
              </w:rPr>
            </w:pPr>
            <w:r>
              <w:rPr>
                <w:rFonts w:hint="eastAsia" w:ascii="宋体" w:hAnsi="宋体" w:cs="宋体"/>
                <w:sz w:val="24"/>
                <w:szCs w:val="24"/>
              </w:rPr>
              <w:t>1</w:t>
            </w:r>
          </w:p>
        </w:tc>
        <w:tc>
          <w:tcPr>
            <w:tcW w:w="2567" w:type="dxa"/>
            <w:tcBorders>
              <w:top w:val="single" w:color="auto" w:sz="4" w:space="0"/>
              <w:left w:val="single" w:color="auto" w:sz="4" w:space="0"/>
              <w:bottom w:val="single" w:color="auto" w:sz="4" w:space="0"/>
              <w:right w:val="single" w:color="auto" w:sz="4" w:space="0"/>
            </w:tcBorders>
            <w:vAlign w:val="center"/>
          </w:tcPr>
          <w:p w14:paraId="2F349612">
            <w:pPr>
              <w:spacing w:before="100" w:beforeAutospacing="1" w:after="100" w:afterAutospacing="1"/>
              <w:jc w:val="center"/>
              <w:rPr>
                <w:rFonts w:ascii="宋体" w:hAnsi="宋体" w:cs="宋体"/>
                <w:sz w:val="24"/>
                <w:szCs w:val="24"/>
                <w:lang w:bidi="ar"/>
              </w:rPr>
            </w:pPr>
            <w:r>
              <w:rPr>
                <w:rFonts w:hint="eastAsia" w:ascii="宋体" w:hAnsi="宋体" w:cs="宋体"/>
                <w:sz w:val="24"/>
                <w:szCs w:val="24"/>
              </w:rPr>
              <w:t>投标报价</w:t>
            </w:r>
          </w:p>
        </w:tc>
        <w:tc>
          <w:tcPr>
            <w:tcW w:w="3048" w:type="dxa"/>
            <w:tcBorders>
              <w:top w:val="single" w:color="auto" w:sz="4" w:space="0"/>
              <w:left w:val="single" w:color="auto" w:sz="4" w:space="0"/>
              <w:bottom w:val="single" w:color="auto" w:sz="4" w:space="0"/>
              <w:right w:val="single" w:color="auto" w:sz="4" w:space="0"/>
            </w:tcBorders>
            <w:vAlign w:val="center"/>
          </w:tcPr>
          <w:p w14:paraId="0F6DF759">
            <w:pPr>
              <w:pStyle w:val="8"/>
              <w:topLinePunct/>
              <w:rPr>
                <w:rFonts w:ascii="宋体" w:hAnsi="宋体" w:cs="宋体"/>
                <w:sz w:val="24"/>
                <w:szCs w:val="24"/>
                <w:u w:val="single"/>
              </w:rPr>
            </w:pPr>
            <w:r>
              <w:rPr>
                <w:rFonts w:hint="eastAsia" w:ascii="宋体" w:hAnsi="宋体" w:cs="宋体"/>
                <w:sz w:val="24"/>
                <w:szCs w:val="24"/>
              </w:rPr>
              <w:t>投标下浮率：</w:t>
            </w:r>
            <w:r>
              <w:rPr>
                <w:rFonts w:hint="eastAsia" w:ascii="宋体" w:hAnsi="宋体" w:cs="宋体"/>
                <w:sz w:val="24"/>
                <w:szCs w:val="24"/>
                <w:u w:val="single"/>
              </w:rPr>
              <w:t xml:space="preserve">     %</w:t>
            </w:r>
          </w:p>
          <w:p w14:paraId="08B6DDC3">
            <w:pPr>
              <w:pStyle w:val="8"/>
              <w:topLinePunct/>
              <w:rPr>
                <w:rFonts w:ascii="宋体" w:hAnsi="宋体" w:cs="宋体"/>
                <w:sz w:val="24"/>
                <w:szCs w:val="24"/>
                <w:u w:val="single"/>
              </w:rPr>
            </w:pPr>
            <w:r>
              <w:rPr>
                <w:rFonts w:hint="eastAsia" w:ascii="宋体" w:hAnsi="宋体" w:cs="宋体"/>
                <w:sz w:val="24"/>
                <w:szCs w:val="24"/>
              </w:rPr>
              <w:t>人民币大写：</w:t>
            </w:r>
            <w:r>
              <w:rPr>
                <w:rFonts w:hint="eastAsia" w:ascii="宋体" w:hAnsi="宋体" w:cs="宋体"/>
                <w:sz w:val="24"/>
                <w:szCs w:val="24"/>
                <w:u w:val="single"/>
              </w:rPr>
              <w:t xml:space="preserve">    </w:t>
            </w:r>
          </w:p>
          <w:p w14:paraId="6A663FCE">
            <w:pPr>
              <w:pStyle w:val="8"/>
              <w:topLinePunct/>
              <w:rPr>
                <w:rFonts w:ascii="宋体" w:hAnsi="宋体" w:cs="宋体"/>
                <w:sz w:val="24"/>
                <w:szCs w:val="24"/>
                <w:u w:val="single"/>
              </w:rPr>
            </w:pPr>
            <w:r>
              <w:rPr>
                <w:rFonts w:hint="eastAsia" w:ascii="宋体" w:hAnsi="宋体" w:cs="宋体"/>
                <w:sz w:val="24"/>
                <w:szCs w:val="24"/>
              </w:rPr>
              <w:t>小写：</w:t>
            </w:r>
            <w:r>
              <w:rPr>
                <w:rFonts w:hint="eastAsia" w:ascii="宋体" w:hAnsi="宋体" w:cs="宋体"/>
                <w:sz w:val="24"/>
                <w:szCs w:val="24"/>
                <w:u w:val="single"/>
              </w:rPr>
              <w:t xml:space="preserve">     </w:t>
            </w:r>
          </w:p>
        </w:tc>
        <w:tc>
          <w:tcPr>
            <w:tcW w:w="1234" w:type="dxa"/>
            <w:tcBorders>
              <w:top w:val="single" w:color="auto" w:sz="4" w:space="0"/>
              <w:left w:val="single" w:color="auto" w:sz="4" w:space="0"/>
              <w:bottom w:val="single" w:color="auto" w:sz="4" w:space="0"/>
              <w:right w:val="single" w:color="auto" w:sz="4" w:space="0"/>
            </w:tcBorders>
            <w:vAlign w:val="center"/>
          </w:tcPr>
          <w:p w14:paraId="6FAAA3FD">
            <w:pPr>
              <w:ind w:firstLine="820" w:firstLineChars="342"/>
              <w:jc w:val="center"/>
              <w:rPr>
                <w:rFonts w:ascii="宋体" w:hAnsi="宋体" w:cs="宋体"/>
                <w:sz w:val="24"/>
                <w:szCs w:val="24"/>
              </w:rPr>
            </w:pPr>
          </w:p>
        </w:tc>
      </w:tr>
      <w:tr w14:paraId="0849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F526AA5">
            <w:pPr>
              <w:jc w:val="center"/>
              <w:rPr>
                <w:rFonts w:ascii="宋体" w:hAnsi="宋体" w:cs="宋体"/>
                <w:sz w:val="24"/>
                <w:szCs w:val="24"/>
              </w:rPr>
            </w:pPr>
            <w:r>
              <w:rPr>
                <w:rFonts w:hint="eastAsia" w:ascii="宋体" w:hAnsi="宋体" w:cs="宋体"/>
                <w:sz w:val="24"/>
                <w:szCs w:val="24"/>
                <w:lang w:bidi="ar"/>
              </w:rPr>
              <w:t>2</w:t>
            </w:r>
          </w:p>
        </w:tc>
        <w:tc>
          <w:tcPr>
            <w:tcW w:w="2567" w:type="dxa"/>
            <w:tcBorders>
              <w:top w:val="single" w:color="auto" w:sz="4" w:space="0"/>
              <w:left w:val="single" w:color="auto" w:sz="4" w:space="0"/>
              <w:bottom w:val="single" w:color="auto" w:sz="4" w:space="0"/>
              <w:right w:val="single" w:color="auto" w:sz="4" w:space="0"/>
            </w:tcBorders>
            <w:vAlign w:val="center"/>
          </w:tcPr>
          <w:p w14:paraId="27D2145C">
            <w:pPr>
              <w:spacing w:beforeAutospacing="1" w:afterAutospacing="1"/>
              <w:jc w:val="center"/>
              <w:rPr>
                <w:rFonts w:ascii="宋体" w:hAnsi="宋体" w:cs="宋体"/>
                <w:sz w:val="24"/>
                <w:szCs w:val="24"/>
              </w:rPr>
            </w:pPr>
            <w:r>
              <w:rPr>
                <w:rFonts w:hint="eastAsia" w:ascii="宋体" w:hAnsi="宋体" w:cs="宋体"/>
                <w:sz w:val="24"/>
                <w:szCs w:val="24"/>
                <w:lang w:bidi="ar"/>
              </w:rPr>
              <w:t>总监理工程师</w:t>
            </w:r>
          </w:p>
        </w:tc>
        <w:tc>
          <w:tcPr>
            <w:tcW w:w="3048" w:type="dxa"/>
            <w:tcBorders>
              <w:top w:val="single" w:color="auto" w:sz="4" w:space="0"/>
              <w:left w:val="single" w:color="auto" w:sz="4" w:space="0"/>
              <w:bottom w:val="single" w:color="auto" w:sz="4" w:space="0"/>
              <w:right w:val="single" w:color="auto" w:sz="4" w:space="0"/>
            </w:tcBorders>
            <w:vAlign w:val="center"/>
          </w:tcPr>
          <w:p w14:paraId="4163DC2C">
            <w:pPr>
              <w:widowControl/>
              <w:topLinePunct/>
              <w:spacing w:before="100" w:beforeAutospacing="1" w:after="100" w:afterAutospacing="1"/>
              <w:jc w:val="left"/>
              <w:rPr>
                <w:rFonts w:ascii="宋体" w:hAnsi="宋体" w:cs="宋体"/>
                <w:color w:val="000000"/>
                <w:kern w:val="0"/>
                <w:sz w:val="24"/>
                <w:szCs w:val="24"/>
                <w:u w:val="single"/>
              </w:rPr>
            </w:pPr>
            <w:r>
              <w:rPr>
                <w:rFonts w:hint="eastAsia" w:ascii="宋体" w:hAnsi="宋体" w:cs="宋体"/>
                <w:color w:val="000000"/>
                <w:kern w:val="0"/>
                <w:sz w:val="24"/>
                <w:szCs w:val="24"/>
                <w:lang w:bidi="ar"/>
              </w:rPr>
              <w:t>姓名：</w:t>
            </w:r>
            <w:r>
              <w:rPr>
                <w:rFonts w:hint="eastAsia" w:ascii="宋体" w:hAnsi="宋体" w:cs="宋体"/>
                <w:color w:val="000000"/>
                <w:kern w:val="0"/>
                <w:sz w:val="24"/>
                <w:szCs w:val="24"/>
                <w:u w:val="single"/>
                <w:lang w:bidi="ar"/>
              </w:rPr>
              <w:t xml:space="preserve">             </w:t>
            </w:r>
          </w:p>
        </w:tc>
        <w:tc>
          <w:tcPr>
            <w:tcW w:w="1234" w:type="dxa"/>
            <w:tcBorders>
              <w:top w:val="single" w:color="auto" w:sz="4" w:space="0"/>
              <w:left w:val="single" w:color="auto" w:sz="4" w:space="0"/>
              <w:bottom w:val="single" w:color="auto" w:sz="4" w:space="0"/>
              <w:right w:val="single" w:color="auto" w:sz="4" w:space="0"/>
            </w:tcBorders>
            <w:vAlign w:val="center"/>
          </w:tcPr>
          <w:p w14:paraId="2F025A27">
            <w:pPr>
              <w:ind w:firstLine="820" w:firstLineChars="342"/>
              <w:jc w:val="center"/>
              <w:rPr>
                <w:rFonts w:ascii="宋体" w:hAnsi="宋体" w:cs="宋体"/>
                <w:sz w:val="24"/>
                <w:szCs w:val="24"/>
              </w:rPr>
            </w:pPr>
          </w:p>
        </w:tc>
      </w:tr>
      <w:tr w14:paraId="0662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1E7B9E7">
            <w:pPr>
              <w:tabs>
                <w:tab w:val="left" w:pos="360"/>
              </w:tabs>
              <w:jc w:val="center"/>
              <w:rPr>
                <w:rFonts w:ascii="宋体" w:hAnsi="宋体" w:cs="宋体"/>
                <w:sz w:val="24"/>
                <w:szCs w:val="24"/>
              </w:rPr>
            </w:pPr>
            <w:r>
              <w:rPr>
                <w:rFonts w:hint="eastAsia" w:ascii="宋体" w:hAnsi="宋体" w:cs="宋体"/>
                <w:sz w:val="24"/>
                <w:szCs w:val="24"/>
                <w:lang w:bidi="ar"/>
              </w:rPr>
              <w:t>3</w:t>
            </w:r>
          </w:p>
        </w:tc>
        <w:tc>
          <w:tcPr>
            <w:tcW w:w="2567" w:type="dxa"/>
            <w:tcBorders>
              <w:top w:val="single" w:color="auto" w:sz="4" w:space="0"/>
              <w:left w:val="single" w:color="auto" w:sz="4" w:space="0"/>
              <w:bottom w:val="single" w:color="auto" w:sz="4" w:space="0"/>
              <w:right w:val="single" w:color="auto" w:sz="4" w:space="0"/>
            </w:tcBorders>
            <w:vAlign w:val="center"/>
          </w:tcPr>
          <w:p w14:paraId="31D38EC9">
            <w:pPr>
              <w:spacing w:beforeAutospacing="1" w:afterAutospacing="1"/>
              <w:jc w:val="center"/>
              <w:rPr>
                <w:rFonts w:ascii="宋体" w:hAnsi="宋体" w:cs="宋体"/>
                <w:sz w:val="24"/>
                <w:szCs w:val="24"/>
              </w:rPr>
            </w:pPr>
            <w:r>
              <w:rPr>
                <w:rFonts w:hint="eastAsia" w:ascii="宋体" w:hAnsi="宋体" w:cs="宋体"/>
                <w:sz w:val="24"/>
                <w:szCs w:val="24"/>
                <w:lang w:bidi="ar"/>
              </w:rPr>
              <w:t>监理服务期限</w:t>
            </w:r>
          </w:p>
        </w:tc>
        <w:tc>
          <w:tcPr>
            <w:tcW w:w="3048" w:type="dxa"/>
            <w:tcBorders>
              <w:top w:val="single" w:color="auto" w:sz="4" w:space="0"/>
              <w:left w:val="single" w:color="auto" w:sz="4" w:space="0"/>
              <w:bottom w:val="single" w:color="auto" w:sz="4" w:space="0"/>
              <w:right w:val="single" w:color="auto" w:sz="4" w:space="0"/>
            </w:tcBorders>
            <w:vAlign w:val="center"/>
          </w:tcPr>
          <w:p w14:paraId="1C1993E2">
            <w:pPr>
              <w:widowControl/>
              <w:topLinePunct/>
              <w:spacing w:before="100" w:beforeAutospacing="1" w:after="100" w:afterAutospacing="1"/>
              <w:jc w:val="left"/>
              <w:rPr>
                <w:rFonts w:ascii="宋体" w:hAnsi="宋体" w:cs="宋体"/>
                <w:color w:val="000000"/>
                <w:kern w:val="0"/>
                <w:sz w:val="24"/>
                <w:szCs w:val="24"/>
              </w:rPr>
            </w:pPr>
            <w:r>
              <w:rPr>
                <w:rFonts w:hint="eastAsia" w:ascii="宋体" w:hAnsi="宋体" w:cs="宋体"/>
                <w:color w:val="000000"/>
                <w:kern w:val="0"/>
                <w:sz w:val="24"/>
                <w:szCs w:val="24"/>
                <w:u w:val="single"/>
                <w:lang w:bidi="ar"/>
              </w:rPr>
              <w:t>按招标文件的要求</w:t>
            </w:r>
          </w:p>
        </w:tc>
        <w:tc>
          <w:tcPr>
            <w:tcW w:w="1234" w:type="dxa"/>
            <w:tcBorders>
              <w:top w:val="single" w:color="auto" w:sz="4" w:space="0"/>
              <w:left w:val="single" w:color="auto" w:sz="4" w:space="0"/>
              <w:bottom w:val="single" w:color="auto" w:sz="4" w:space="0"/>
              <w:right w:val="single" w:color="auto" w:sz="4" w:space="0"/>
            </w:tcBorders>
            <w:vAlign w:val="center"/>
          </w:tcPr>
          <w:p w14:paraId="1C4B0DEF">
            <w:pPr>
              <w:jc w:val="center"/>
              <w:rPr>
                <w:rFonts w:ascii="宋体" w:hAnsi="宋体" w:cs="宋体"/>
                <w:sz w:val="24"/>
                <w:szCs w:val="24"/>
              </w:rPr>
            </w:pPr>
          </w:p>
        </w:tc>
      </w:tr>
      <w:tr w14:paraId="741B7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506DFEB">
            <w:pPr>
              <w:spacing w:beforeAutospacing="1" w:afterAutospacing="1"/>
              <w:jc w:val="center"/>
              <w:rPr>
                <w:rFonts w:ascii="宋体" w:hAnsi="宋体" w:cs="宋体"/>
                <w:sz w:val="24"/>
                <w:szCs w:val="24"/>
              </w:rPr>
            </w:pPr>
            <w:r>
              <w:rPr>
                <w:rFonts w:hint="eastAsia" w:ascii="宋体" w:hAnsi="宋体" w:cs="宋体"/>
                <w:sz w:val="24"/>
                <w:szCs w:val="24"/>
              </w:rPr>
              <w:t>4</w:t>
            </w:r>
          </w:p>
        </w:tc>
        <w:tc>
          <w:tcPr>
            <w:tcW w:w="2567" w:type="dxa"/>
            <w:tcBorders>
              <w:top w:val="single" w:color="auto" w:sz="4" w:space="0"/>
              <w:left w:val="single" w:color="auto" w:sz="4" w:space="0"/>
              <w:bottom w:val="single" w:color="auto" w:sz="4" w:space="0"/>
              <w:right w:val="single" w:color="auto" w:sz="4" w:space="0"/>
            </w:tcBorders>
            <w:vAlign w:val="center"/>
          </w:tcPr>
          <w:p w14:paraId="73C90047">
            <w:pPr>
              <w:spacing w:beforeAutospacing="1" w:afterAutospacing="1"/>
              <w:jc w:val="center"/>
              <w:rPr>
                <w:rFonts w:ascii="宋体" w:hAnsi="宋体" w:cs="宋体"/>
                <w:sz w:val="24"/>
                <w:szCs w:val="24"/>
              </w:rPr>
            </w:pPr>
            <w:r>
              <w:rPr>
                <w:rFonts w:hint="eastAsia" w:ascii="宋体" w:hAnsi="宋体" w:cs="宋体"/>
                <w:sz w:val="24"/>
                <w:szCs w:val="24"/>
                <w:lang w:bidi="ar"/>
              </w:rPr>
              <w:t>监理质量目标</w:t>
            </w:r>
          </w:p>
        </w:tc>
        <w:tc>
          <w:tcPr>
            <w:tcW w:w="3048" w:type="dxa"/>
            <w:tcBorders>
              <w:top w:val="single" w:color="auto" w:sz="4" w:space="0"/>
              <w:left w:val="single" w:color="auto" w:sz="4" w:space="0"/>
              <w:bottom w:val="single" w:color="auto" w:sz="4" w:space="0"/>
              <w:right w:val="single" w:color="auto" w:sz="4" w:space="0"/>
            </w:tcBorders>
            <w:vAlign w:val="center"/>
          </w:tcPr>
          <w:p w14:paraId="011C8FB2">
            <w:pPr>
              <w:spacing w:beforeAutospacing="1" w:afterAutospacing="1"/>
              <w:jc w:val="left"/>
              <w:rPr>
                <w:rFonts w:ascii="宋体" w:hAnsi="宋体" w:cs="宋体"/>
                <w:sz w:val="24"/>
                <w:szCs w:val="24"/>
              </w:rPr>
            </w:pPr>
            <w:r>
              <w:rPr>
                <w:rFonts w:hint="eastAsia" w:ascii="宋体" w:hAnsi="宋体" w:cs="宋体"/>
                <w:sz w:val="24"/>
                <w:szCs w:val="24"/>
                <w:lang w:bidi="ar"/>
              </w:rPr>
              <w:t>按照国家最新颁布《建筑工程施工质量验收统一标准》及相应配套的各专业验收规范，一次验收合格。</w:t>
            </w:r>
          </w:p>
        </w:tc>
        <w:tc>
          <w:tcPr>
            <w:tcW w:w="1234" w:type="dxa"/>
            <w:tcBorders>
              <w:top w:val="single" w:color="auto" w:sz="4" w:space="0"/>
              <w:left w:val="single" w:color="auto" w:sz="4" w:space="0"/>
              <w:bottom w:val="single" w:color="auto" w:sz="4" w:space="0"/>
              <w:right w:val="single" w:color="auto" w:sz="4" w:space="0"/>
            </w:tcBorders>
            <w:vAlign w:val="center"/>
          </w:tcPr>
          <w:p w14:paraId="3FC1425B">
            <w:pPr>
              <w:jc w:val="center"/>
              <w:rPr>
                <w:rFonts w:ascii="宋体" w:hAnsi="宋体" w:cs="宋体"/>
                <w:sz w:val="24"/>
                <w:szCs w:val="24"/>
              </w:rPr>
            </w:pPr>
          </w:p>
        </w:tc>
      </w:tr>
    </w:tbl>
    <w:p w14:paraId="5D3FCC18">
      <w:pPr>
        <w:pStyle w:val="20"/>
        <w:ind w:left="0" w:leftChars="0" w:firstLine="0" w:firstLineChars="0"/>
        <w:rPr>
          <w:rFonts w:ascii="宋体" w:hAnsi="宋体" w:cs="宋体"/>
          <w:lang w:eastAsia="zh-CN"/>
        </w:rPr>
      </w:pPr>
    </w:p>
    <w:p w14:paraId="73859A3E">
      <w:pPr>
        <w:pStyle w:val="20"/>
        <w:ind w:left="420" w:firstLine="420"/>
        <w:rPr>
          <w:rFonts w:ascii="宋体" w:hAnsi="宋体" w:cs="宋体"/>
          <w:lang w:eastAsia="zh-CN"/>
        </w:rPr>
      </w:pPr>
    </w:p>
    <w:p w14:paraId="677B4172">
      <w:pPr>
        <w:pStyle w:val="20"/>
        <w:ind w:left="420" w:firstLine="420"/>
        <w:rPr>
          <w:rFonts w:ascii="宋体" w:hAnsi="宋体" w:cs="宋体"/>
          <w:lang w:eastAsia="zh-CN"/>
        </w:rPr>
      </w:pPr>
    </w:p>
    <w:p w14:paraId="7E8A953E">
      <w:pPr>
        <w:autoSpaceDE w:val="0"/>
        <w:autoSpaceDN w:val="0"/>
        <w:adjustRightInd w:val="0"/>
        <w:rPr>
          <w:rFonts w:ascii="宋体" w:hAnsi="宋体" w:cs="宋体"/>
          <w:sz w:val="24"/>
        </w:rPr>
      </w:pPr>
    </w:p>
    <w:p w14:paraId="258C5BC5">
      <w:pPr>
        <w:spacing w:line="440" w:lineRule="exact"/>
        <w:ind w:firstLine="2520" w:firstLineChars="1200"/>
        <w:jc w:val="left"/>
        <w:rPr>
          <w:rFonts w:ascii="宋体" w:hAnsi="宋体" w:cs="宋体"/>
          <w:szCs w:val="21"/>
        </w:rPr>
      </w:pPr>
      <w:r>
        <w:rPr>
          <w:rFonts w:hint="eastAsia" w:ascii="宋体" w:hAnsi="宋体" w:cs="宋体"/>
          <w:szCs w:val="21"/>
        </w:rPr>
        <w:t>投 标 人：</w:t>
      </w:r>
      <w:r>
        <w:rPr>
          <w:rFonts w:hint="eastAsia" w:ascii="宋体" w:hAnsi="宋体" w:cs="宋体"/>
          <w:szCs w:val="21"/>
          <w:u w:val="single"/>
        </w:rPr>
        <w:t xml:space="preserve">                                </w:t>
      </w:r>
      <w:r>
        <w:rPr>
          <w:rFonts w:hint="eastAsia" w:ascii="宋体" w:hAnsi="宋体" w:cs="宋体"/>
          <w:szCs w:val="21"/>
          <w:u w:val="single"/>
        </w:rPr>
        <w:tab/>
      </w:r>
    </w:p>
    <w:p w14:paraId="14A94BF1">
      <w:pPr>
        <w:spacing w:line="440" w:lineRule="exact"/>
        <w:jc w:val="left"/>
        <w:rPr>
          <w:rFonts w:ascii="宋体" w:hAnsi="宋体" w:cs="宋体"/>
          <w:szCs w:val="21"/>
        </w:rPr>
      </w:pPr>
      <w:r>
        <w:rPr>
          <w:rFonts w:hint="eastAsia" w:ascii="宋体" w:hAnsi="宋体" w:cs="宋体"/>
        </w:rPr>
        <w:t xml:space="preserve">                        法定代表人</w:t>
      </w:r>
      <w:r>
        <w:rPr>
          <w:rFonts w:hint="eastAsia" w:ascii="宋体" w:hAnsi="宋体" w:cs="宋体"/>
          <w:szCs w:val="21"/>
        </w:rPr>
        <w:t>或其委托代理人：</w:t>
      </w:r>
      <w:r>
        <w:rPr>
          <w:rFonts w:hint="eastAsia" w:ascii="宋体" w:hAnsi="宋体" w:cs="宋体"/>
          <w:szCs w:val="21"/>
          <w:u w:val="single"/>
        </w:rPr>
        <w:t xml:space="preserve">       </w:t>
      </w:r>
      <w:r>
        <w:rPr>
          <w:rFonts w:hint="eastAsia" w:ascii="宋体" w:hAnsi="宋体" w:cs="宋体"/>
          <w:szCs w:val="21"/>
          <w:u w:val="single"/>
        </w:rPr>
        <w:tab/>
      </w:r>
    </w:p>
    <w:p w14:paraId="3DD318F2">
      <w:pPr>
        <w:spacing w:line="440" w:lineRule="exact"/>
        <w:ind w:right="420" w:firstLine="4725" w:firstLineChars="2250"/>
        <w:jc w:val="right"/>
        <w:rPr>
          <w:rFonts w:ascii="宋体" w:hAnsi="宋体" w:cs="宋体"/>
          <w:szCs w:val="21"/>
        </w:rPr>
      </w:pPr>
      <w:r>
        <w:rPr>
          <w:rFonts w:hint="eastAsia" w:ascii="宋体" w:hAnsi="宋体" w:cs="宋体"/>
          <w:u w:val="single"/>
        </w:rPr>
        <w:t xml:space="preserve">      </w:t>
      </w:r>
      <w:r>
        <w:rPr>
          <w:rFonts w:hint="eastAsia" w:ascii="宋体" w:hAnsi="宋体" w:cs="宋体"/>
          <w:szCs w:val="21"/>
        </w:rPr>
        <w:t>年</w:t>
      </w:r>
      <w:r>
        <w:rPr>
          <w:rFonts w:hint="eastAsia" w:ascii="宋体" w:hAnsi="宋体" w:cs="宋体"/>
          <w:u w:val="single"/>
        </w:rPr>
        <w:t xml:space="preserve">      </w:t>
      </w:r>
      <w:r>
        <w:rPr>
          <w:rFonts w:hint="eastAsia" w:ascii="宋体" w:hAnsi="宋体" w:cs="宋体"/>
          <w:szCs w:val="21"/>
        </w:rPr>
        <w:t>月</w:t>
      </w:r>
      <w:r>
        <w:rPr>
          <w:rFonts w:hint="eastAsia" w:ascii="宋体" w:hAnsi="宋体" w:cs="宋体"/>
          <w:u w:val="single"/>
        </w:rPr>
        <w:t xml:space="preserve">      </w:t>
      </w:r>
      <w:r>
        <w:rPr>
          <w:rFonts w:hint="eastAsia" w:ascii="宋体" w:hAnsi="宋体" w:cs="宋体"/>
          <w:szCs w:val="21"/>
        </w:rPr>
        <w:t>日</w:t>
      </w:r>
    </w:p>
    <w:p w14:paraId="6670BED3">
      <w:pPr>
        <w:pStyle w:val="5"/>
        <w:keepNext w:val="0"/>
        <w:keepLines w:val="0"/>
        <w:ind w:firstLine="177"/>
        <w:jc w:val="center"/>
        <w:rPr>
          <w:rFonts w:ascii="宋体" w:hAnsi="宋体" w:eastAsia="宋体" w:cs="宋体"/>
          <w:b/>
          <w:sz w:val="36"/>
          <w:szCs w:val="36"/>
        </w:rPr>
      </w:pPr>
      <w:r>
        <w:rPr>
          <w:rFonts w:hint="eastAsia" w:ascii="宋体" w:hAnsi="宋体" w:eastAsia="宋体" w:cs="宋体"/>
          <w:b/>
          <w:sz w:val="36"/>
          <w:szCs w:val="36"/>
        </w:rPr>
        <w:br w:type="page"/>
      </w:r>
      <w:r>
        <w:rPr>
          <w:rFonts w:hint="eastAsia" w:ascii="宋体" w:hAnsi="宋体" w:eastAsia="宋体" w:cs="宋体"/>
          <w:b/>
          <w:sz w:val="36"/>
          <w:szCs w:val="36"/>
        </w:rPr>
        <w:t>（三）声明函</w:t>
      </w:r>
    </w:p>
    <w:p w14:paraId="0E55865D">
      <w:pPr>
        <w:spacing w:before="100" w:beforeAutospacing="1" w:after="100" w:afterAutospacing="1"/>
        <w:jc w:val="left"/>
        <w:rPr>
          <w:rFonts w:ascii="宋体" w:hAnsi="宋体" w:cs="宋体"/>
          <w:sz w:val="24"/>
          <w:szCs w:val="24"/>
        </w:rPr>
      </w:pPr>
      <w:r>
        <w:rPr>
          <w:rFonts w:hint="eastAsia" w:ascii="宋体" w:hAnsi="宋体" w:cs="宋体"/>
          <w:sz w:val="24"/>
          <w:szCs w:val="24"/>
        </w:rPr>
        <w:t>中山大学附属第一医院：</w:t>
      </w:r>
    </w:p>
    <w:p w14:paraId="02104BDF">
      <w:pPr>
        <w:spacing w:before="100" w:beforeAutospacing="1" w:after="100" w:afterAutospacing="1"/>
        <w:jc w:val="left"/>
        <w:rPr>
          <w:rFonts w:ascii="宋体" w:hAnsi="宋体" w:cs="宋体"/>
          <w:sz w:val="24"/>
          <w:szCs w:val="24"/>
        </w:rPr>
      </w:pPr>
      <w:r>
        <w:rPr>
          <w:rFonts w:hint="eastAsia" w:ascii="宋体" w:hAnsi="宋体" w:cs="宋体"/>
          <w:sz w:val="24"/>
          <w:szCs w:val="24"/>
        </w:rPr>
        <w:t xml:space="preserve">     我单位就参与</w:t>
      </w:r>
      <w:r>
        <w:rPr>
          <w:rFonts w:hint="eastAsia" w:ascii="宋体" w:hAnsi="宋体" w:cs="宋体"/>
          <w:sz w:val="24"/>
          <w:szCs w:val="24"/>
          <w:u w:val="single"/>
        </w:rPr>
        <w:t xml:space="preserve">             </w:t>
      </w:r>
      <w:r>
        <w:rPr>
          <w:rFonts w:hint="eastAsia" w:ascii="宋体" w:hAnsi="宋体" w:cs="宋体"/>
          <w:sz w:val="24"/>
          <w:szCs w:val="24"/>
        </w:rPr>
        <w:t>投标作出如下郑重声明：</w:t>
      </w:r>
    </w:p>
    <w:p w14:paraId="463B5253">
      <w:pPr>
        <w:pStyle w:val="6"/>
        <w:ind w:firstLine="720" w:firstLineChars="300"/>
        <w:rPr>
          <w:rFonts w:ascii="宋体" w:hAnsi="宋体" w:cs="宋体"/>
          <w:sz w:val="24"/>
          <w:szCs w:val="24"/>
        </w:rPr>
      </w:pPr>
      <w:r>
        <w:rPr>
          <w:rFonts w:hint="eastAsia" w:ascii="宋体" w:hAnsi="宋体" w:cs="宋体"/>
          <w:sz w:val="24"/>
          <w:szCs w:val="24"/>
        </w:rPr>
        <w:t>一、我单位属于非联合体投标。</w:t>
      </w:r>
    </w:p>
    <w:p w14:paraId="6CD2095A">
      <w:pPr>
        <w:pStyle w:val="6"/>
        <w:ind w:firstLine="720" w:firstLineChars="300"/>
        <w:rPr>
          <w:rFonts w:ascii="宋体" w:hAnsi="宋体" w:cs="宋体"/>
          <w:sz w:val="24"/>
          <w:szCs w:val="24"/>
        </w:rPr>
      </w:pPr>
      <w:r>
        <w:rPr>
          <w:rFonts w:hint="eastAsia" w:ascii="宋体" w:hAnsi="宋体" w:cs="宋体"/>
          <w:sz w:val="24"/>
          <w:szCs w:val="24"/>
        </w:rPr>
        <w:t>二、我单位投标报价符合第二章“投标人须知”第3.2款规定进行投标报价。</w:t>
      </w:r>
    </w:p>
    <w:p w14:paraId="50BDB250">
      <w:pPr>
        <w:pStyle w:val="6"/>
        <w:ind w:firstLine="720" w:firstLineChars="300"/>
        <w:rPr>
          <w:rFonts w:ascii="宋体" w:hAnsi="宋体" w:cs="宋体"/>
          <w:sz w:val="24"/>
          <w:szCs w:val="24"/>
        </w:rPr>
      </w:pPr>
      <w:r>
        <w:rPr>
          <w:rFonts w:hint="eastAsia" w:ascii="宋体" w:hAnsi="宋体" w:cs="宋体"/>
          <w:sz w:val="24"/>
          <w:szCs w:val="24"/>
        </w:rPr>
        <w:t>三、我单位投标内容符合第二章“投标人须知”第1.3.1项规定。</w:t>
      </w:r>
    </w:p>
    <w:p w14:paraId="186E8134">
      <w:pPr>
        <w:pStyle w:val="6"/>
        <w:ind w:firstLine="720" w:firstLineChars="300"/>
        <w:rPr>
          <w:rFonts w:ascii="宋体" w:hAnsi="宋体" w:cs="宋体"/>
          <w:sz w:val="24"/>
          <w:szCs w:val="24"/>
        </w:rPr>
      </w:pPr>
      <w:r>
        <w:rPr>
          <w:rFonts w:hint="eastAsia" w:ascii="宋体" w:hAnsi="宋体" w:cs="宋体"/>
          <w:sz w:val="24"/>
          <w:szCs w:val="24"/>
        </w:rPr>
        <w:t>四、我单位监理服务期限符合第二章“投标人须知”第1.3.2项规定。</w:t>
      </w:r>
    </w:p>
    <w:p w14:paraId="625F6F12">
      <w:pPr>
        <w:pStyle w:val="6"/>
        <w:ind w:firstLine="720" w:firstLineChars="300"/>
        <w:rPr>
          <w:rFonts w:ascii="宋体" w:hAnsi="宋体" w:cs="宋体"/>
          <w:sz w:val="24"/>
          <w:szCs w:val="24"/>
        </w:rPr>
      </w:pPr>
      <w:r>
        <w:rPr>
          <w:rFonts w:hint="eastAsia" w:ascii="宋体" w:hAnsi="宋体" w:cs="宋体"/>
          <w:sz w:val="24"/>
          <w:szCs w:val="24"/>
        </w:rPr>
        <w:t>五、我单位质量标准符合第二章“投标人须知”第1.3.3项规定。</w:t>
      </w:r>
    </w:p>
    <w:p w14:paraId="0234F4D0">
      <w:pPr>
        <w:pStyle w:val="6"/>
        <w:ind w:firstLine="720" w:firstLineChars="300"/>
        <w:rPr>
          <w:rFonts w:ascii="宋体" w:hAnsi="宋体" w:cs="宋体"/>
          <w:sz w:val="24"/>
          <w:szCs w:val="24"/>
        </w:rPr>
      </w:pPr>
      <w:r>
        <w:rPr>
          <w:rFonts w:hint="eastAsia" w:ascii="宋体" w:hAnsi="宋体" w:cs="宋体"/>
          <w:sz w:val="24"/>
          <w:szCs w:val="24"/>
        </w:rPr>
        <w:t>六、我单位投标有效期符合第二章“投标人须知”第3.3.1项规定。</w:t>
      </w:r>
    </w:p>
    <w:p w14:paraId="44A078EC">
      <w:pPr>
        <w:pStyle w:val="6"/>
        <w:ind w:firstLine="720" w:firstLineChars="300"/>
        <w:rPr>
          <w:rFonts w:ascii="宋体" w:hAnsi="宋体" w:cs="宋体"/>
          <w:sz w:val="24"/>
          <w:szCs w:val="24"/>
        </w:rPr>
      </w:pPr>
      <w:r>
        <w:rPr>
          <w:rFonts w:hint="eastAsia" w:ascii="宋体" w:hAnsi="宋体" w:cs="宋体"/>
          <w:sz w:val="24"/>
          <w:szCs w:val="24"/>
        </w:rPr>
        <w:t>七、我单位不存在串通投标的情形，与各投标人之间不存在《广东省实施&lt;中华人民共和国招标投标法&gt;》第十六条所禁止的情形。</w:t>
      </w:r>
    </w:p>
    <w:p w14:paraId="5B4BD9C4">
      <w:pPr>
        <w:pStyle w:val="6"/>
        <w:ind w:firstLine="720" w:firstLineChars="300"/>
        <w:rPr>
          <w:rFonts w:ascii="宋体" w:hAnsi="宋体" w:cs="宋体"/>
          <w:sz w:val="24"/>
          <w:szCs w:val="24"/>
        </w:rPr>
      </w:pPr>
      <w:r>
        <w:rPr>
          <w:rFonts w:hint="eastAsia" w:ascii="宋体" w:hAnsi="宋体" w:cs="宋体"/>
          <w:sz w:val="24"/>
          <w:szCs w:val="24"/>
        </w:rPr>
        <w:t>八、我单位不存在第二章“投标人须知”第10.6项否决投标条款的情形。</w:t>
      </w:r>
    </w:p>
    <w:p w14:paraId="07EE117E">
      <w:pPr>
        <w:pStyle w:val="6"/>
        <w:ind w:firstLine="720" w:firstLineChars="300"/>
        <w:rPr>
          <w:rFonts w:ascii="宋体" w:hAnsi="宋体" w:cs="宋体"/>
          <w:sz w:val="24"/>
          <w:szCs w:val="24"/>
        </w:rPr>
      </w:pPr>
      <w:r>
        <w:rPr>
          <w:rFonts w:hint="eastAsia" w:ascii="宋体" w:hAnsi="宋体" w:cs="宋体"/>
          <w:sz w:val="24"/>
          <w:szCs w:val="24"/>
        </w:rPr>
        <w:t>特此声明！</w:t>
      </w:r>
    </w:p>
    <w:p w14:paraId="5321C7B8">
      <w:pPr>
        <w:rPr>
          <w:rFonts w:ascii="宋体" w:hAnsi="宋体" w:cs="宋体"/>
        </w:rPr>
      </w:pPr>
    </w:p>
    <w:p w14:paraId="51F7B97B">
      <w:pPr>
        <w:spacing w:before="260" w:after="260" w:line="412" w:lineRule="auto"/>
        <w:jc w:val="center"/>
        <w:outlineLvl w:val="1"/>
        <w:rPr>
          <w:rFonts w:ascii="宋体" w:hAnsi="宋体" w:cs="宋体"/>
          <w:b/>
          <w:sz w:val="32"/>
          <w:szCs w:val="20"/>
        </w:rPr>
      </w:pPr>
    </w:p>
    <w:p w14:paraId="27938325">
      <w:pPr>
        <w:spacing w:line="440" w:lineRule="exact"/>
        <w:ind w:firstLine="5280" w:firstLineChars="2200"/>
        <w:jc w:val="left"/>
        <w:rPr>
          <w:rFonts w:ascii="宋体" w:hAnsi="宋体" w:cs="宋体"/>
          <w:sz w:val="24"/>
          <w:szCs w:val="24"/>
        </w:rPr>
      </w:pPr>
      <w:r>
        <w:rPr>
          <w:rFonts w:hint="eastAsia" w:ascii="宋体" w:hAnsi="宋体" w:cs="宋体"/>
          <w:sz w:val="24"/>
          <w:szCs w:val="24"/>
        </w:rPr>
        <w:t>声明企业：</w:t>
      </w:r>
      <w:r>
        <w:rPr>
          <w:rFonts w:hint="eastAsia" w:ascii="宋体" w:hAnsi="宋体" w:cs="宋体"/>
          <w:sz w:val="24"/>
          <w:szCs w:val="24"/>
          <w:u w:val="single"/>
        </w:rPr>
        <w:tab/>
      </w:r>
      <w:r>
        <w:rPr>
          <w:rFonts w:hint="eastAsia" w:ascii="宋体" w:hAnsi="宋体" w:cs="宋体"/>
          <w:sz w:val="24"/>
          <w:szCs w:val="24"/>
          <w:u w:val="single"/>
        </w:rPr>
        <w:t xml:space="preserve">     </w:t>
      </w:r>
    </w:p>
    <w:p w14:paraId="611AE5A7">
      <w:pPr>
        <w:spacing w:line="440" w:lineRule="exact"/>
        <w:jc w:val="left"/>
        <w:rPr>
          <w:rFonts w:ascii="宋体" w:hAnsi="宋体" w:cs="宋体"/>
          <w:sz w:val="24"/>
          <w:szCs w:val="24"/>
        </w:rPr>
      </w:pPr>
      <w:r>
        <w:rPr>
          <w:rFonts w:hint="eastAsia" w:ascii="宋体" w:hAnsi="宋体" w:cs="宋体"/>
          <w:sz w:val="24"/>
          <w:szCs w:val="24"/>
        </w:rPr>
        <w:t xml:space="preserve">                       </w:t>
      </w:r>
    </w:p>
    <w:p w14:paraId="5FE90EE2">
      <w:pPr>
        <w:spacing w:line="440" w:lineRule="exact"/>
        <w:ind w:firstLine="5280" w:firstLineChars="2200"/>
        <w:jc w:val="left"/>
        <w:rPr>
          <w:rFonts w:ascii="宋体" w:hAnsi="宋体" w:cs="宋体"/>
          <w:szCs w:val="21"/>
        </w:rPr>
      </w:pPr>
      <w:r>
        <w:rPr>
          <w:rFonts w:hint="eastAsia" w:ascii="宋体" w:hAnsi="宋体" w:cs="宋体"/>
          <w:sz w:val="24"/>
          <w:szCs w:val="24"/>
        </w:rPr>
        <w:t>年   月   日</w:t>
      </w:r>
      <w:r>
        <w:rPr>
          <w:rFonts w:hint="eastAsia" w:ascii="宋体" w:hAnsi="宋体" w:cs="宋体"/>
          <w:szCs w:val="21"/>
        </w:rPr>
        <w:br w:type="page"/>
      </w:r>
      <w:bookmarkStart w:id="733" w:name="_Toc6682"/>
      <w:bookmarkStart w:id="734" w:name="_Toc15174"/>
      <w:bookmarkStart w:id="735" w:name="_Toc29529"/>
      <w:bookmarkStart w:id="736" w:name="_Toc29150"/>
      <w:bookmarkStart w:id="737" w:name="_Toc15335"/>
      <w:bookmarkStart w:id="738" w:name="_Toc21489"/>
      <w:bookmarkStart w:id="739" w:name="_Toc17361"/>
      <w:bookmarkStart w:id="740" w:name="_Toc527969225"/>
      <w:bookmarkStart w:id="741" w:name="_Toc9147"/>
      <w:bookmarkStart w:id="742" w:name="_Toc14966909"/>
      <w:bookmarkStart w:id="743" w:name="_Toc12769"/>
      <w:bookmarkStart w:id="744" w:name="_Toc5530"/>
      <w:bookmarkStart w:id="745" w:name="_Toc26862"/>
      <w:bookmarkStart w:id="746" w:name="_Toc27193"/>
      <w:bookmarkStart w:id="747" w:name="_Toc24376"/>
      <w:bookmarkStart w:id="748" w:name="_Toc14876"/>
      <w:bookmarkStart w:id="749" w:name="_Toc29502"/>
      <w:bookmarkStart w:id="750" w:name="_Toc9318"/>
      <w:r>
        <w:rPr>
          <w:rFonts w:hint="eastAsia" w:ascii="宋体" w:hAnsi="宋体" w:cs="宋体"/>
          <w:szCs w:val="21"/>
        </w:rPr>
        <w:t>格式二：</w:t>
      </w:r>
    </w:p>
    <w:p w14:paraId="0AECDE6E">
      <w:pPr>
        <w:spacing w:line="440" w:lineRule="exact"/>
        <w:jc w:val="center"/>
        <w:rPr>
          <w:rFonts w:ascii="宋体" w:hAnsi="宋体" w:cs="宋体"/>
        </w:rPr>
      </w:pPr>
      <w:r>
        <w:rPr>
          <w:rFonts w:hint="eastAsia" w:ascii="宋体" w:hAnsi="宋体" w:cs="宋体"/>
          <w:b/>
          <w:bCs/>
          <w:sz w:val="32"/>
          <w:szCs w:val="32"/>
        </w:rPr>
        <w:t>二</w:t>
      </w:r>
      <w:bookmarkEnd w:id="699"/>
      <w:bookmarkEnd w:id="700"/>
      <w:bookmarkEnd w:id="701"/>
      <w:bookmarkEnd w:id="702"/>
      <w:bookmarkEnd w:id="703"/>
      <w:bookmarkEnd w:id="704"/>
      <w:bookmarkEnd w:id="705"/>
      <w:bookmarkEnd w:id="706"/>
      <w:bookmarkEnd w:id="707"/>
      <w:bookmarkEnd w:id="708"/>
      <w:bookmarkEnd w:id="709"/>
      <w:r>
        <w:rPr>
          <w:rFonts w:hint="eastAsia" w:ascii="宋体" w:hAnsi="宋体" w:cs="宋体"/>
          <w:b/>
          <w:bCs/>
          <w:sz w:val="32"/>
          <w:szCs w:val="32"/>
        </w:rPr>
        <w:t>、法定代表人身份证明</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3C1DCBC6">
      <w:pPr>
        <w:spacing w:line="440" w:lineRule="exact"/>
        <w:rPr>
          <w:rFonts w:ascii="宋体" w:hAnsi="宋体" w:cs="宋体"/>
        </w:rPr>
      </w:pPr>
    </w:p>
    <w:p w14:paraId="5E1F2C0A">
      <w:pPr>
        <w:spacing w:line="480" w:lineRule="auto"/>
        <w:rPr>
          <w:rFonts w:ascii="宋体" w:hAnsi="宋体" w:cs="宋体"/>
        </w:rPr>
      </w:pPr>
      <w:r>
        <w:rPr>
          <w:rFonts w:hint="eastAsia" w:ascii="宋体" w:hAnsi="宋体" w:cs="宋体"/>
        </w:rPr>
        <w:t>投标人名称：</w:t>
      </w:r>
      <w:r>
        <w:rPr>
          <w:rFonts w:hint="eastAsia" w:ascii="宋体" w:hAnsi="宋体" w:cs="宋体"/>
          <w:u w:val="single"/>
        </w:rPr>
        <w:t xml:space="preserve">                        </w:t>
      </w:r>
    </w:p>
    <w:p w14:paraId="6CE975EA">
      <w:pPr>
        <w:spacing w:line="480" w:lineRule="auto"/>
        <w:rPr>
          <w:rFonts w:ascii="宋体" w:hAnsi="宋体" w:cs="宋体"/>
        </w:rPr>
      </w:pPr>
      <w:r>
        <w:rPr>
          <w:rFonts w:hint="eastAsia" w:ascii="宋体" w:hAnsi="宋体" w:cs="宋体"/>
        </w:rPr>
        <w:t>姓名：</w:t>
      </w:r>
      <w:r>
        <w:rPr>
          <w:rFonts w:hint="eastAsia" w:ascii="宋体" w:hAnsi="宋体" w:cs="宋体"/>
          <w:u w:val="single"/>
        </w:rPr>
        <w:t xml:space="preserve">                </w:t>
      </w:r>
      <w:r>
        <w:rPr>
          <w:rFonts w:hint="eastAsia" w:ascii="宋体" w:hAnsi="宋体" w:cs="宋体"/>
        </w:rPr>
        <w:t>性别：</w:t>
      </w:r>
      <w:bookmarkStart w:id="751" w:name="_Toc369531698"/>
      <w:bookmarkStart w:id="752" w:name="_Toc27897"/>
      <w:bookmarkStart w:id="753" w:name="_Toc352691662"/>
      <w:r>
        <w:rPr>
          <w:rFonts w:hint="eastAsia" w:ascii="宋体" w:hAnsi="宋体" w:cs="宋体"/>
          <w:u w:val="single"/>
        </w:rPr>
        <w:t xml:space="preserve">        </w:t>
      </w:r>
      <w:r>
        <w:rPr>
          <w:rFonts w:hint="eastAsia" w:ascii="宋体" w:hAnsi="宋体" w:cs="宋体"/>
        </w:rPr>
        <w:t>年</w:t>
      </w:r>
      <w:bookmarkEnd w:id="751"/>
      <w:bookmarkEnd w:id="752"/>
      <w:bookmarkEnd w:id="753"/>
      <w:r>
        <w:rPr>
          <w:rFonts w:hint="eastAsia" w:ascii="宋体" w:hAnsi="宋体" w:cs="宋体"/>
        </w:rPr>
        <w:t>龄</w:t>
      </w:r>
      <w:bookmarkStart w:id="754" w:name="_Toc152045789"/>
      <w:bookmarkStart w:id="755" w:name="_Toc352691663"/>
      <w:bookmarkStart w:id="756" w:name="_Toc247527829"/>
      <w:bookmarkStart w:id="757" w:name="_Toc152042578"/>
      <w:bookmarkStart w:id="758" w:name="_Toc300835211"/>
      <w:bookmarkStart w:id="759" w:name="_Toc15573"/>
      <w:bookmarkStart w:id="760" w:name="_Toc369531699"/>
      <w:bookmarkStart w:id="761" w:name="_Toc144974858"/>
      <w:bookmarkStart w:id="762" w:name="_Toc384308377"/>
      <w:bookmarkStart w:id="763" w:name="_Toc361508754"/>
      <w:bookmarkStart w:id="764" w:name="_Toc247514248"/>
      <w:r>
        <w:rPr>
          <w:rFonts w:hint="eastAsia" w:ascii="宋体" w:hAnsi="宋体" w:cs="宋体"/>
        </w:rPr>
        <w:t>：</w:t>
      </w:r>
      <w:bookmarkEnd w:id="754"/>
      <w:bookmarkEnd w:id="755"/>
      <w:bookmarkEnd w:id="756"/>
      <w:bookmarkEnd w:id="757"/>
      <w:bookmarkEnd w:id="758"/>
      <w:bookmarkEnd w:id="759"/>
      <w:bookmarkEnd w:id="760"/>
      <w:bookmarkEnd w:id="761"/>
      <w:bookmarkEnd w:id="762"/>
      <w:bookmarkEnd w:id="763"/>
      <w:bookmarkEnd w:id="764"/>
      <w:r>
        <w:rPr>
          <w:rFonts w:hint="eastAsia" w:ascii="宋体" w:hAnsi="宋体" w:cs="宋体"/>
          <w:u w:val="single"/>
        </w:rPr>
        <w:t xml:space="preserve">        </w:t>
      </w:r>
      <w:r>
        <w:rPr>
          <w:rFonts w:hint="eastAsia" w:ascii="宋体" w:hAnsi="宋体" w:cs="宋体"/>
        </w:rPr>
        <w:t>职务：</w:t>
      </w:r>
      <w:r>
        <w:rPr>
          <w:rFonts w:hint="eastAsia" w:ascii="宋体" w:hAnsi="宋体" w:cs="宋体"/>
          <w:u w:val="single"/>
        </w:rPr>
        <w:t xml:space="preserve">        </w:t>
      </w:r>
    </w:p>
    <w:p w14:paraId="535D7CA1">
      <w:pPr>
        <w:spacing w:line="480" w:lineRule="auto"/>
        <w:rPr>
          <w:rFonts w:ascii="宋体" w:hAnsi="宋体" w:cs="宋体"/>
        </w:rPr>
      </w:pPr>
      <w:r>
        <w:rPr>
          <w:rFonts w:hint="eastAsia" w:ascii="宋体" w:hAnsi="宋体" w:cs="宋体"/>
        </w:rPr>
        <w:t>系</w:t>
      </w:r>
      <w:r>
        <w:rPr>
          <w:rFonts w:hint="eastAsia" w:ascii="宋体" w:hAnsi="宋体" w:cs="宋体"/>
          <w:u w:val="single"/>
        </w:rPr>
        <w:t xml:space="preserve">                        </w:t>
      </w:r>
      <w:r>
        <w:rPr>
          <w:rFonts w:hint="eastAsia" w:ascii="宋体" w:hAnsi="宋体" w:cs="宋体"/>
        </w:rPr>
        <w:t>（投标人名称）的法定代表人。</w:t>
      </w:r>
    </w:p>
    <w:p w14:paraId="4483189C">
      <w:pPr>
        <w:spacing w:line="480" w:lineRule="auto"/>
        <w:ind w:firstLine="420" w:firstLineChars="200"/>
        <w:rPr>
          <w:rFonts w:ascii="宋体" w:hAnsi="宋体" w:cs="宋体"/>
        </w:rPr>
      </w:pPr>
      <w:r>
        <w:rPr>
          <w:rFonts w:hint="eastAsia" w:ascii="宋体" w:hAnsi="宋体" w:cs="宋体"/>
        </w:rPr>
        <w:t>特此证明。</w:t>
      </w:r>
    </w:p>
    <w:p w14:paraId="7453F6A1">
      <w:pPr>
        <w:spacing w:line="440" w:lineRule="exact"/>
        <w:rPr>
          <w:rFonts w:ascii="宋体" w:hAnsi="宋体" w:cs="宋体"/>
        </w:rPr>
      </w:pPr>
    </w:p>
    <w:p w14:paraId="54297626">
      <w:pPr>
        <w:pStyle w:val="20"/>
        <w:ind w:left="420" w:firstLine="420"/>
        <w:rPr>
          <w:rFonts w:ascii="宋体" w:hAnsi="宋体" w:cs="宋体"/>
          <w:lang w:eastAsia="zh-CN"/>
        </w:rPr>
      </w:pPr>
    </w:p>
    <w:p w14:paraId="55A66CCA">
      <w:pPr>
        <w:spacing w:line="440" w:lineRule="exact"/>
        <w:rPr>
          <w:rFonts w:ascii="宋体" w:hAnsi="宋体" w:cs="宋体"/>
        </w:rPr>
      </w:pPr>
      <w:r>
        <w:rPr>
          <w:rFonts w:hint="eastAsia" w:ascii="宋体" w:hAnsi="宋体" w:cs="宋体"/>
        </w:rPr>
        <w:t>附：法定代表人身份证</w:t>
      </w:r>
      <w:r>
        <w:rPr>
          <w:rFonts w:hint="eastAsia" w:ascii="宋体" w:hAnsi="宋体" w:cs="宋体"/>
          <w:spacing w:val="-2"/>
          <w:u w:val="single"/>
        </w:rPr>
        <w:t>扫描件</w:t>
      </w:r>
      <w:r>
        <w:rPr>
          <w:rFonts w:hint="eastAsia" w:ascii="宋体" w:hAnsi="宋体" w:cs="宋体"/>
        </w:rPr>
        <w:t>。</w:t>
      </w:r>
    </w:p>
    <w:p w14:paraId="6CA86B2E">
      <w:pPr>
        <w:spacing w:line="440" w:lineRule="exact"/>
        <w:rPr>
          <w:rFonts w:ascii="宋体" w:hAnsi="宋体" w:cs="宋体"/>
        </w:rPr>
      </w:pPr>
    </w:p>
    <w:p w14:paraId="1424AFD6">
      <w:pPr>
        <w:spacing w:line="440" w:lineRule="exact"/>
        <w:rPr>
          <w:rFonts w:ascii="宋体" w:hAnsi="宋体" w:cs="宋体"/>
        </w:rPr>
      </w:pPr>
      <w:r>
        <w:rPr>
          <w:rFonts w:hint="eastAsia" w:ascii="宋体" w:hAnsi="宋体" w:cs="宋体"/>
        </w:rPr>
        <w:t>注：本法定代表人身份证明必须提供，本身份证明需由投标人加盖单位公章。</w:t>
      </w:r>
    </w:p>
    <w:p w14:paraId="5E7A5C6A">
      <w:pPr>
        <w:spacing w:line="440" w:lineRule="exact"/>
        <w:rPr>
          <w:rFonts w:ascii="宋体" w:hAnsi="宋体" w:cs="宋体"/>
        </w:rPr>
      </w:pPr>
    </w:p>
    <w:p w14:paraId="173826C7">
      <w:pPr>
        <w:spacing w:line="440" w:lineRule="exact"/>
        <w:rPr>
          <w:rFonts w:ascii="宋体" w:hAnsi="宋体" w:cs="宋体"/>
        </w:rPr>
      </w:pPr>
    </w:p>
    <w:p w14:paraId="603452B8">
      <w:pPr>
        <w:spacing w:line="440" w:lineRule="exact"/>
        <w:jc w:val="center"/>
        <w:rPr>
          <w:rFonts w:ascii="宋体" w:hAnsi="宋体" w:cs="宋体"/>
        </w:rPr>
      </w:pPr>
      <w:r>
        <w:rPr>
          <w:rFonts w:hint="eastAsia" w:ascii="宋体" w:hAnsi="宋体" w:cs="宋体"/>
        </w:rPr>
        <w:t xml:space="preserve">                              投标人：</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rPr>
        <w:t>（盖单位章）</w:t>
      </w:r>
    </w:p>
    <w:p w14:paraId="5256400C">
      <w:pPr>
        <w:spacing w:line="440" w:lineRule="exact"/>
        <w:rPr>
          <w:rFonts w:ascii="宋体" w:hAnsi="宋体" w:cs="宋体"/>
        </w:rPr>
      </w:pPr>
    </w:p>
    <w:p w14:paraId="51E3F914">
      <w:pPr>
        <w:spacing w:line="440" w:lineRule="exact"/>
        <w:ind w:firstLine="4620" w:firstLineChars="2200"/>
        <w:rPr>
          <w:rFonts w:ascii="宋体" w:hAnsi="宋体" w:cs="宋体"/>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31D7639C">
      <w:pPr>
        <w:spacing w:line="440" w:lineRule="exact"/>
        <w:rPr>
          <w:rFonts w:ascii="宋体" w:hAnsi="宋体" w:cs="宋体"/>
          <w:sz w:val="20"/>
        </w:rPr>
      </w:pPr>
    </w:p>
    <w:p w14:paraId="2F152E5E">
      <w:pPr>
        <w:spacing w:line="440" w:lineRule="exact"/>
        <w:rPr>
          <w:rFonts w:ascii="宋体" w:hAnsi="宋体" w:cs="宋体"/>
          <w:sz w:val="20"/>
        </w:rPr>
      </w:pPr>
    </w:p>
    <w:p w14:paraId="5AA085B1">
      <w:pPr>
        <w:spacing w:line="440" w:lineRule="exact"/>
        <w:rPr>
          <w:rFonts w:ascii="宋体" w:hAnsi="宋体" w:cs="宋体"/>
          <w:sz w:val="20"/>
        </w:rPr>
      </w:pPr>
    </w:p>
    <w:p w14:paraId="5B35C452">
      <w:pPr>
        <w:spacing w:line="440" w:lineRule="exact"/>
        <w:rPr>
          <w:rFonts w:ascii="宋体" w:hAnsi="宋体" w:cs="宋体"/>
          <w:sz w:val="20"/>
        </w:rPr>
      </w:pPr>
    </w:p>
    <w:p w14:paraId="38B962A5">
      <w:pPr>
        <w:spacing w:line="440" w:lineRule="exact"/>
        <w:rPr>
          <w:rFonts w:ascii="宋体" w:hAnsi="宋体" w:cs="宋体"/>
          <w:sz w:val="20"/>
        </w:rPr>
      </w:pPr>
    </w:p>
    <w:p w14:paraId="3B0A1A26">
      <w:pPr>
        <w:spacing w:line="440" w:lineRule="exact"/>
        <w:rPr>
          <w:rFonts w:ascii="宋体" w:hAnsi="宋体" w:cs="宋体"/>
          <w:sz w:val="20"/>
        </w:rPr>
      </w:pPr>
    </w:p>
    <w:p w14:paraId="0D9A0537">
      <w:pPr>
        <w:spacing w:line="440" w:lineRule="exact"/>
        <w:rPr>
          <w:rFonts w:ascii="宋体" w:hAnsi="宋体" w:cs="宋体"/>
          <w:sz w:val="20"/>
        </w:rPr>
      </w:pPr>
    </w:p>
    <w:p w14:paraId="68C6C78D">
      <w:pPr>
        <w:spacing w:before="260" w:line="412" w:lineRule="auto"/>
        <w:jc w:val="center"/>
        <w:outlineLvl w:val="1"/>
        <w:rPr>
          <w:rFonts w:ascii="宋体" w:hAnsi="宋体" w:cs="宋体"/>
          <w:b/>
          <w:sz w:val="32"/>
          <w:szCs w:val="20"/>
        </w:rPr>
      </w:pPr>
      <w:bookmarkStart w:id="765" w:name="_Toc4090"/>
      <w:bookmarkStart w:id="766" w:name="_Toc2525"/>
      <w:bookmarkStart w:id="767" w:name="_Toc15002"/>
      <w:bookmarkStart w:id="768" w:name="_Toc29912"/>
      <w:bookmarkStart w:id="769" w:name="_Toc28040"/>
      <w:bookmarkStart w:id="770" w:name="_Toc527969226"/>
      <w:bookmarkStart w:id="771" w:name="_Toc22045"/>
      <w:bookmarkStart w:id="772" w:name="_Toc17246"/>
      <w:bookmarkStart w:id="773" w:name="_Toc24946"/>
      <w:bookmarkStart w:id="774" w:name="_Toc10917"/>
      <w:bookmarkStart w:id="775" w:name="_Toc11739"/>
      <w:bookmarkStart w:id="776" w:name="_Toc14966910"/>
      <w:bookmarkStart w:id="777" w:name="_Toc19586"/>
      <w:bookmarkStart w:id="778" w:name="_Toc3031"/>
      <w:bookmarkStart w:id="779" w:name="_Toc12308"/>
      <w:bookmarkStart w:id="780" w:name="_Toc27369"/>
      <w:bookmarkStart w:id="781" w:name="_Toc25299"/>
      <w:r>
        <w:rPr>
          <w:rFonts w:hint="eastAsia" w:ascii="宋体" w:hAnsi="宋体" w:cs="宋体"/>
          <w:b/>
          <w:sz w:val="32"/>
          <w:szCs w:val="20"/>
        </w:rPr>
        <w:br w:type="page"/>
      </w:r>
      <w:bookmarkStart w:id="782" w:name="_Toc14031"/>
      <w:r>
        <w:rPr>
          <w:rFonts w:hint="eastAsia" w:ascii="宋体" w:hAnsi="宋体" w:cs="宋体"/>
          <w:b/>
          <w:sz w:val="32"/>
          <w:szCs w:val="20"/>
        </w:rPr>
        <w:t>二、授权委托书</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2CE24B62">
      <w:pPr>
        <w:topLinePunct/>
        <w:spacing w:line="440" w:lineRule="exact"/>
        <w:ind w:firstLine="420" w:firstLineChars="200"/>
        <w:rPr>
          <w:rFonts w:ascii="宋体" w:hAnsi="宋体" w:cs="宋体"/>
        </w:rPr>
      </w:pPr>
      <w:r>
        <w:rPr>
          <w:rFonts w:hint="eastAsia" w:ascii="宋体" w:hAnsi="宋体" w:cs="宋体"/>
        </w:rPr>
        <w:t>本人</w:t>
      </w:r>
      <w:r>
        <w:rPr>
          <w:rFonts w:hint="eastAsia" w:ascii="宋体" w:hAnsi="宋体" w:cs="宋体"/>
          <w:u w:val="single"/>
        </w:rPr>
        <w:t xml:space="preserve">        </w:t>
      </w:r>
      <w:r>
        <w:rPr>
          <w:rFonts w:hint="eastAsia" w:ascii="宋体" w:hAnsi="宋体" w:cs="宋体"/>
        </w:rPr>
        <w:t>（姓名）系</w:t>
      </w:r>
      <w:r>
        <w:rPr>
          <w:rFonts w:hint="eastAsia" w:ascii="宋体" w:hAnsi="宋体" w:cs="宋体"/>
          <w:u w:val="single"/>
        </w:rPr>
        <w:t xml:space="preserve">                  </w:t>
      </w:r>
      <w:r>
        <w:rPr>
          <w:rFonts w:hint="eastAsia" w:ascii="宋体" w:hAnsi="宋体" w:cs="宋体"/>
        </w:rPr>
        <w:t>（投标人名称）的法定代表人，现委托</w:t>
      </w:r>
      <w:r>
        <w:rPr>
          <w:rFonts w:hint="eastAsia" w:ascii="宋体" w:hAnsi="宋体" w:cs="宋体"/>
          <w:u w:val="single"/>
        </w:rPr>
        <w:t xml:space="preserve">       </w:t>
      </w:r>
      <w:r>
        <w:rPr>
          <w:rFonts w:hint="eastAsia" w:ascii="宋体" w:hAnsi="宋体" w:cs="宋体"/>
        </w:rPr>
        <w:t>（姓名）为我方代理人。代理人根据授权，以我方名义签署、澄清确认、递交、撤回、修改</w:t>
      </w:r>
      <w:r>
        <w:rPr>
          <w:rFonts w:hint="eastAsia" w:ascii="宋体" w:hAnsi="宋体" w:cs="宋体"/>
          <w:u w:val="single"/>
        </w:rPr>
        <w:t xml:space="preserve">          </w:t>
      </w:r>
      <w:r>
        <w:rPr>
          <w:rFonts w:hint="eastAsia" w:ascii="宋体" w:hAnsi="宋体" w:cs="宋体"/>
        </w:rPr>
        <w:t>招标项目投标文件、签订合同和处理有关事宜，其法律后果由我方承担。</w:t>
      </w:r>
    </w:p>
    <w:p w14:paraId="0072BC4E">
      <w:pPr>
        <w:spacing w:line="440" w:lineRule="exact"/>
        <w:rPr>
          <w:rFonts w:ascii="宋体" w:hAnsi="宋体" w:cs="宋体"/>
        </w:rPr>
      </w:pPr>
      <w:r>
        <w:rPr>
          <w:rFonts w:hint="eastAsia" w:ascii="宋体" w:hAnsi="宋体" w:cs="宋体"/>
        </w:rPr>
        <w:t>委托期限：</w:t>
      </w:r>
      <w:r>
        <w:rPr>
          <w:rFonts w:hint="eastAsia" w:ascii="宋体" w:hAnsi="宋体" w:cs="宋体"/>
          <w:u w:val="single"/>
        </w:rPr>
        <w:t xml:space="preserve">                       </w:t>
      </w:r>
      <w:r>
        <w:rPr>
          <w:rFonts w:hint="eastAsia" w:ascii="宋体" w:hAnsi="宋体" w:cs="宋体"/>
        </w:rPr>
        <w:t>。</w:t>
      </w:r>
    </w:p>
    <w:p w14:paraId="4CAEBDAC">
      <w:pPr>
        <w:spacing w:line="440" w:lineRule="exact"/>
        <w:ind w:firstLine="420" w:firstLineChars="200"/>
        <w:rPr>
          <w:rFonts w:ascii="宋体" w:hAnsi="宋体" w:cs="宋体"/>
        </w:rPr>
      </w:pPr>
      <w:r>
        <w:rPr>
          <w:rFonts w:hint="eastAsia" w:ascii="宋体" w:hAnsi="宋体" w:cs="宋体"/>
        </w:rPr>
        <w:t>代理人无转委托权。</w:t>
      </w:r>
    </w:p>
    <w:p w14:paraId="66AF584F">
      <w:pPr>
        <w:spacing w:line="440" w:lineRule="exact"/>
        <w:ind w:firstLine="420" w:firstLineChars="200"/>
        <w:rPr>
          <w:rFonts w:ascii="宋体" w:hAnsi="宋体" w:cs="宋体"/>
        </w:rPr>
      </w:pPr>
    </w:p>
    <w:p w14:paraId="6FDBB86C">
      <w:pPr>
        <w:spacing w:line="440" w:lineRule="exact"/>
        <w:rPr>
          <w:rFonts w:ascii="宋体" w:hAnsi="宋体" w:cs="宋体"/>
        </w:rPr>
      </w:pPr>
      <w:r>
        <w:rPr>
          <w:rFonts w:hint="eastAsia" w:ascii="宋体" w:hAnsi="宋体" w:cs="宋体"/>
        </w:rPr>
        <w:t>附：法定代表人身份证</w:t>
      </w:r>
      <w:r>
        <w:rPr>
          <w:rFonts w:hint="eastAsia" w:ascii="宋体" w:hAnsi="宋体" w:cs="宋体"/>
          <w:spacing w:val="-2"/>
          <w:u w:val="single"/>
        </w:rPr>
        <w:t>扫描</w:t>
      </w:r>
      <w:r>
        <w:rPr>
          <w:rFonts w:hint="eastAsia" w:ascii="宋体" w:hAnsi="宋体" w:cs="宋体"/>
          <w:spacing w:val="-2"/>
        </w:rPr>
        <w:t>件</w:t>
      </w:r>
      <w:r>
        <w:rPr>
          <w:rFonts w:hint="eastAsia" w:ascii="宋体" w:hAnsi="宋体" w:cs="宋体"/>
        </w:rPr>
        <w:t>及委托代理人身份证</w:t>
      </w:r>
      <w:r>
        <w:rPr>
          <w:rFonts w:hint="eastAsia" w:ascii="宋体" w:hAnsi="宋体" w:cs="宋体"/>
          <w:spacing w:val="-2"/>
          <w:u w:val="single"/>
        </w:rPr>
        <w:t>扫描</w:t>
      </w:r>
      <w:r>
        <w:rPr>
          <w:rFonts w:hint="eastAsia" w:ascii="宋体" w:hAnsi="宋体" w:cs="宋体"/>
          <w:spacing w:val="-2"/>
        </w:rPr>
        <w:t>件</w:t>
      </w:r>
    </w:p>
    <w:p w14:paraId="5B3EEC63">
      <w:pPr>
        <w:spacing w:line="440" w:lineRule="exact"/>
        <w:rPr>
          <w:rFonts w:ascii="宋体" w:hAnsi="宋体" w:cs="宋体"/>
        </w:rPr>
      </w:pPr>
    </w:p>
    <w:p w14:paraId="17FF7433">
      <w:pPr>
        <w:spacing w:line="440" w:lineRule="exact"/>
        <w:rPr>
          <w:rFonts w:ascii="宋体" w:hAnsi="宋体" w:cs="宋体"/>
        </w:rPr>
      </w:pPr>
      <w:r>
        <w:rPr>
          <w:rFonts w:hint="eastAsia" w:ascii="宋体" w:hAnsi="宋体" w:cs="宋体"/>
        </w:rPr>
        <w:t>注：本授权委托书需由投标人加盖单位公章并由其法定代表人和委托代理人（签字（或盖章））。</w:t>
      </w:r>
    </w:p>
    <w:p w14:paraId="3E198106">
      <w:pPr>
        <w:spacing w:line="440" w:lineRule="exact"/>
        <w:rPr>
          <w:rFonts w:ascii="宋体" w:hAnsi="宋体" w:cs="宋体"/>
        </w:rPr>
      </w:pPr>
    </w:p>
    <w:p w14:paraId="73779B5E">
      <w:pPr>
        <w:spacing w:line="440" w:lineRule="exact"/>
        <w:ind w:firstLine="2692" w:firstLineChars="1282"/>
        <w:rPr>
          <w:rFonts w:ascii="宋体" w:hAnsi="宋体" w:cs="宋体"/>
        </w:rPr>
      </w:pPr>
      <w:r>
        <w:rPr>
          <w:rFonts w:hint="eastAsia" w:ascii="宋体" w:hAnsi="宋体" w:cs="宋体"/>
        </w:rPr>
        <w:t>投  标  人：</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rPr>
        <w:t>（盖单位章）</w:t>
      </w:r>
    </w:p>
    <w:p w14:paraId="4E905D55">
      <w:pPr>
        <w:spacing w:line="440" w:lineRule="exact"/>
        <w:ind w:firstLine="2692" w:firstLineChars="1282"/>
        <w:rPr>
          <w:rFonts w:ascii="宋体" w:hAnsi="宋体" w:cs="宋体"/>
        </w:rPr>
      </w:pPr>
    </w:p>
    <w:p w14:paraId="13596D35">
      <w:pPr>
        <w:spacing w:line="440" w:lineRule="exact"/>
        <w:ind w:firstLine="2690" w:firstLineChars="1281"/>
        <w:jc w:val="left"/>
        <w:rPr>
          <w:rFonts w:ascii="宋体" w:hAnsi="宋体" w:cs="宋体"/>
        </w:rPr>
      </w:pPr>
      <w:r>
        <w:rPr>
          <w:rFonts w:hint="eastAsia" w:ascii="宋体" w:hAnsi="宋体" w:cs="宋体"/>
        </w:rPr>
        <w:t>法定代表人：</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rPr>
        <w:t>（签字或盖章）</w:t>
      </w:r>
    </w:p>
    <w:p w14:paraId="68BF503C">
      <w:pPr>
        <w:spacing w:line="440" w:lineRule="exact"/>
        <w:ind w:firstLine="2692" w:firstLineChars="1282"/>
        <w:rPr>
          <w:rFonts w:ascii="宋体" w:hAnsi="宋体" w:cs="宋体"/>
        </w:rPr>
      </w:pPr>
    </w:p>
    <w:p w14:paraId="0E7600AA">
      <w:pPr>
        <w:spacing w:line="440" w:lineRule="exact"/>
        <w:ind w:firstLine="2692" w:firstLineChars="1282"/>
        <w:rPr>
          <w:rFonts w:ascii="宋体" w:hAnsi="宋体" w:cs="宋体"/>
        </w:rPr>
      </w:pPr>
      <w:r>
        <w:rPr>
          <w:rFonts w:hint="eastAsia" w:ascii="宋体" w:hAnsi="宋体" w:cs="宋体"/>
        </w:rPr>
        <w:t>身份证号码：</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u w:val="single"/>
        </w:rPr>
        <w:tab/>
      </w:r>
    </w:p>
    <w:p w14:paraId="60043EB1">
      <w:pPr>
        <w:spacing w:line="440" w:lineRule="exact"/>
        <w:ind w:firstLine="2692" w:firstLineChars="1282"/>
        <w:rPr>
          <w:rFonts w:ascii="宋体" w:hAnsi="宋体" w:cs="宋体"/>
        </w:rPr>
      </w:pPr>
    </w:p>
    <w:p w14:paraId="1DE5EA57">
      <w:pPr>
        <w:spacing w:line="440" w:lineRule="exact"/>
        <w:ind w:firstLine="2692" w:firstLineChars="1282"/>
        <w:rPr>
          <w:rFonts w:ascii="宋体" w:hAnsi="宋体" w:cs="宋体"/>
        </w:rPr>
      </w:pPr>
      <w:r>
        <w:rPr>
          <w:rFonts w:hint="eastAsia" w:ascii="宋体" w:hAnsi="宋体" w:cs="宋体"/>
        </w:rPr>
        <w:t>委托代理人：</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rPr>
        <w:t>（签字或盖章）</w:t>
      </w:r>
    </w:p>
    <w:p w14:paraId="185BBD83">
      <w:pPr>
        <w:spacing w:line="440" w:lineRule="exact"/>
        <w:ind w:firstLine="2692" w:firstLineChars="1282"/>
        <w:rPr>
          <w:rFonts w:ascii="宋体" w:hAnsi="宋体" w:cs="宋体"/>
        </w:rPr>
      </w:pPr>
    </w:p>
    <w:p w14:paraId="1281FD05">
      <w:pPr>
        <w:spacing w:line="440" w:lineRule="exact"/>
        <w:ind w:firstLine="2692" w:firstLineChars="1282"/>
        <w:rPr>
          <w:rFonts w:ascii="宋体" w:hAnsi="宋体" w:cs="宋体"/>
        </w:rPr>
      </w:pPr>
      <w:r>
        <w:rPr>
          <w:rFonts w:hint="eastAsia" w:ascii="宋体" w:hAnsi="宋体" w:cs="宋体"/>
        </w:rPr>
        <w:t>身份证号码：</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u w:val="single"/>
        </w:rPr>
        <w:tab/>
      </w:r>
    </w:p>
    <w:p w14:paraId="1FD465A9">
      <w:pPr>
        <w:spacing w:line="440" w:lineRule="exact"/>
        <w:ind w:firstLine="2692" w:firstLineChars="1282"/>
        <w:rPr>
          <w:rFonts w:ascii="宋体" w:hAnsi="宋体" w:cs="宋体"/>
        </w:rPr>
      </w:pPr>
    </w:p>
    <w:p w14:paraId="324CCAC1">
      <w:pPr>
        <w:spacing w:line="440" w:lineRule="exact"/>
        <w:ind w:firstLine="2692" w:firstLineChars="1282"/>
        <w:rPr>
          <w:rFonts w:ascii="宋体" w:hAnsi="宋体" w:cs="宋体"/>
        </w:rPr>
      </w:pPr>
    </w:p>
    <w:p w14:paraId="470B1718">
      <w:pPr>
        <w:spacing w:line="440" w:lineRule="exact"/>
        <w:ind w:firstLine="4057" w:firstLineChars="1932"/>
        <w:jc w:val="right"/>
        <w:rPr>
          <w:rFonts w:ascii="宋体" w:hAnsi="宋体" w:cs="宋体"/>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0F81CA6A">
      <w:pPr>
        <w:spacing w:line="440" w:lineRule="exact"/>
        <w:ind w:firstLine="4057" w:firstLineChars="1932"/>
        <w:jc w:val="right"/>
        <w:rPr>
          <w:rFonts w:ascii="宋体" w:hAnsi="宋体" w:cs="宋体"/>
        </w:rPr>
      </w:pPr>
    </w:p>
    <w:p w14:paraId="013EFE0F">
      <w:pPr>
        <w:rPr>
          <w:rFonts w:ascii="宋体" w:hAnsi="宋体" w:cs="宋体"/>
        </w:rPr>
      </w:pPr>
    </w:p>
    <w:p w14:paraId="68A525BE">
      <w:pPr>
        <w:rPr>
          <w:rFonts w:ascii="宋体" w:hAnsi="宋体" w:cs="宋体"/>
          <w:szCs w:val="20"/>
        </w:rPr>
      </w:pPr>
    </w:p>
    <w:p w14:paraId="22A5CEE1">
      <w:pPr>
        <w:spacing w:before="260" w:after="260" w:line="412" w:lineRule="auto"/>
        <w:jc w:val="left"/>
        <w:outlineLvl w:val="1"/>
        <w:rPr>
          <w:rFonts w:ascii="宋体" w:hAnsi="宋体" w:cs="宋体"/>
          <w:b/>
          <w:sz w:val="32"/>
          <w:szCs w:val="20"/>
        </w:rPr>
      </w:pPr>
      <w:bookmarkStart w:id="783" w:name="_Toc22997"/>
      <w:bookmarkStart w:id="784" w:name="_Toc7825"/>
      <w:bookmarkStart w:id="785" w:name="_Toc23125"/>
      <w:bookmarkStart w:id="786" w:name="_Toc22092"/>
      <w:bookmarkStart w:id="787" w:name="_Toc14966912"/>
      <w:bookmarkStart w:id="788" w:name="_Toc7209"/>
      <w:bookmarkStart w:id="789" w:name="_Toc28031"/>
      <w:bookmarkStart w:id="790" w:name="_Toc527969228"/>
      <w:bookmarkStart w:id="791" w:name="_Toc27211"/>
      <w:bookmarkStart w:id="792" w:name="_Toc760"/>
      <w:bookmarkStart w:id="793" w:name="_Toc23783"/>
      <w:bookmarkStart w:id="794" w:name="_Toc22691"/>
      <w:bookmarkStart w:id="795" w:name="_Toc22528"/>
      <w:bookmarkStart w:id="796" w:name="_Toc3539"/>
      <w:bookmarkStart w:id="797" w:name="_Toc16649"/>
      <w:bookmarkStart w:id="798" w:name="_Toc30131"/>
      <w:bookmarkStart w:id="799" w:name="_Toc9382"/>
      <w:r>
        <w:rPr>
          <w:rFonts w:hint="eastAsia" w:ascii="宋体" w:hAnsi="宋体" w:cs="宋体"/>
          <w:b/>
          <w:sz w:val="32"/>
          <w:szCs w:val="20"/>
        </w:rPr>
        <w:br w:type="page"/>
      </w:r>
      <w:bookmarkStart w:id="800" w:name="_Toc22624"/>
      <w:r>
        <w:rPr>
          <w:rFonts w:hint="eastAsia" w:ascii="宋体" w:hAnsi="宋体" w:cs="宋体"/>
          <w:b/>
          <w:sz w:val="20"/>
          <w:szCs w:val="20"/>
        </w:rPr>
        <w:t>格式三：</w:t>
      </w:r>
    </w:p>
    <w:p w14:paraId="4DFE5F69">
      <w:pPr>
        <w:spacing w:before="260" w:after="260" w:line="412" w:lineRule="auto"/>
        <w:jc w:val="left"/>
        <w:outlineLvl w:val="1"/>
        <w:rPr>
          <w:rFonts w:ascii="宋体" w:hAnsi="宋体" w:cs="宋体"/>
          <w:b/>
          <w:sz w:val="32"/>
          <w:szCs w:val="20"/>
        </w:rPr>
      </w:pPr>
      <w:r>
        <w:rPr>
          <w:rFonts w:hint="eastAsia" w:ascii="宋体" w:hAnsi="宋体" w:cs="宋体"/>
          <w:b/>
          <w:sz w:val="32"/>
          <w:szCs w:val="20"/>
        </w:rPr>
        <w:t>三、监理报酬清单</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14:paraId="329F1889">
      <w:pPr>
        <w:spacing w:line="440" w:lineRule="exact"/>
        <w:ind w:firstLine="440" w:firstLineChars="200"/>
        <w:rPr>
          <w:rFonts w:ascii="宋体" w:hAnsi="宋体" w:cs="宋体"/>
          <w:sz w:val="22"/>
        </w:rPr>
      </w:pPr>
      <w:r>
        <w:rPr>
          <w:rFonts w:hint="eastAsia" w:ascii="宋体" w:hAnsi="宋体" w:cs="宋体"/>
          <w:sz w:val="22"/>
        </w:rPr>
        <w:t>1. 监理报酬清单说明</w:t>
      </w:r>
    </w:p>
    <w:p w14:paraId="1C7D0DFF">
      <w:pPr>
        <w:spacing w:line="440" w:lineRule="exact"/>
        <w:ind w:firstLine="440" w:firstLineChars="200"/>
        <w:rPr>
          <w:rFonts w:ascii="宋体" w:hAnsi="宋体" w:cs="宋体"/>
          <w:sz w:val="22"/>
        </w:rPr>
      </w:pPr>
      <w:r>
        <w:rPr>
          <w:rFonts w:hint="eastAsia" w:ascii="宋体" w:hAnsi="宋体" w:cs="宋体"/>
          <w:sz w:val="22"/>
        </w:rPr>
        <w:t>2. 监理报酬清单</w:t>
      </w:r>
    </w:p>
    <w:p w14:paraId="048EBB65">
      <w:pPr>
        <w:spacing w:line="440" w:lineRule="exact"/>
        <w:ind w:firstLine="420" w:firstLineChars="200"/>
        <w:jc w:val="right"/>
        <w:rPr>
          <w:rFonts w:ascii="宋体" w:hAnsi="宋体" w:cs="宋体"/>
          <w:szCs w:val="21"/>
        </w:rPr>
      </w:pPr>
      <w:r>
        <w:rPr>
          <w:rFonts w:hint="eastAsia" w:ascii="宋体" w:hAnsi="宋体" w:cs="宋体"/>
          <w:szCs w:val="21"/>
        </w:rPr>
        <w:t>单位：人民币（元）</w:t>
      </w:r>
    </w:p>
    <w:tbl>
      <w:tblPr>
        <w:tblStyle w:val="21"/>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797"/>
        <w:gridCol w:w="1873"/>
        <w:gridCol w:w="1805"/>
        <w:gridCol w:w="1768"/>
        <w:gridCol w:w="1768"/>
      </w:tblGrid>
      <w:tr w14:paraId="25E90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745" w:type="dxa"/>
            <w:vAlign w:val="center"/>
          </w:tcPr>
          <w:p w14:paraId="72B7B74D">
            <w:pPr>
              <w:jc w:val="center"/>
              <w:rPr>
                <w:rFonts w:ascii="宋体" w:hAnsi="宋体" w:cs="宋体"/>
                <w:b/>
                <w:kern w:val="0"/>
                <w:szCs w:val="21"/>
              </w:rPr>
            </w:pPr>
            <w:bookmarkStart w:id="801" w:name="_Toc361508760"/>
            <w:r>
              <w:rPr>
                <w:rFonts w:hint="eastAsia" w:ascii="宋体" w:hAnsi="宋体" w:cs="宋体"/>
                <w:b/>
                <w:kern w:val="0"/>
                <w:szCs w:val="21"/>
              </w:rPr>
              <w:t>序号</w:t>
            </w:r>
          </w:p>
        </w:tc>
        <w:tc>
          <w:tcPr>
            <w:tcW w:w="1797" w:type="dxa"/>
            <w:vAlign w:val="center"/>
          </w:tcPr>
          <w:p w14:paraId="0D000C39">
            <w:pPr>
              <w:jc w:val="center"/>
              <w:rPr>
                <w:rFonts w:ascii="宋体" w:hAnsi="宋体" w:cs="宋体"/>
                <w:b/>
                <w:kern w:val="0"/>
                <w:szCs w:val="21"/>
              </w:rPr>
            </w:pPr>
            <w:r>
              <w:rPr>
                <w:rFonts w:hint="eastAsia" w:ascii="宋体" w:hAnsi="宋体" w:cs="宋体"/>
                <w:b/>
                <w:kern w:val="0"/>
                <w:szCs w:val="21"/>
              </w:rPr>
              <w:t>监理报酬分项名称</w:t>
            </w:r>
          </w:p>
        </w:tc>
        <w:tc>
          <w:tcPr>
            <w:tcW w:w="1873" w:type="dxa"/>
            <w:vAlign w:val="center"/>
          </w:tcPr>
          <w:p w14:paraId="55E194F0">
            <w:pPr>
              <w:jc w:val="center"/>
              <w:rPr>
                <w:rFonts w:ascii="宋体" w:hAnsi="宋体" w:cs="宋体"/>
                <w:b/>
                <w:kern w:val="0"/>
                <w:szCs w:val="21"/>
              </w:rPr>
            </w:pPr>
            <w:r>
              <w:rPr>
                <w:rFonts w:hint="eastAsia" w:ascii="宋体" w:hAnsi="宋体" w:cs="宋体"/>
                <w:b/>
                <w:kern w:val="0"/>
                <w:szCs w:val="21"/>
              </w:rPr>
              <w:t>计算依据、过程和公式</w:t>
            </w:r>
          </w:p>
        </w:tc>
        <w:tc>
          <w:tcPr>
            <w:tcW w:w="1805" w:type="dxa"/>
            <w:vAlign w:val="center"/>
          </w:tcPr>
          <w:p w14:paraId="4A1B97CC">
            <w:pPr>
              <w:jc w:val="center"/>
              <w:rPr>
                <w:rFonts w:ascii="宋体" w:hAnsi="宋体" w:cs="宋体"/>
                <w:b/>
                <w:kern w:val="0"/>
                <w:szCs w:val="21"/>
              </w:rPr>
            </w:pPr>
            <w:r>
              <w:rPr>
                <w:rFonts w:hint="eastAsia" w:ascii="宋体" w:hAnsi="宋体" w:cs="宋体"/>
                <w:b/>
                <w:kern w:val="0"/>
                <w:szCs w:val="21"/>
              </w:rPr>
              <w:t>金额（元）</w:t>
            </w:r>
          </w:p>
        </w:tc>
        <w:tc>
          <w:tcPr>
            <w:tcW w:w="1768" w:type="dxa"/>
            <w:vAlign w:val="center"/>
          </w:tcPr>
          <w:p w14:paraId="1F813101">
            <w:pPr>
              <w:jc w:val="center"/>
              <w:rPr>
                <w:rFonts w:ascii="宋体" w:hAnsi="宋体" w:cs="宋体"/>
                <w:b/>
                <w:kern w:val="0"/>
                <w:szCs w:val="21"/>
              </w:rPr>
            </w:pPr>
            <w:r>
              <w:rPr>
                <w:rFonts w:hint="eastAsia" w:ascii="宋体" w:hAnsi="宋体" w:cs="宋体"/>
                <w:b/>
                <w:kern w:val="0"/>
                <w:szCs w:val="21"/>
              </w:rPr>
              <w:t>费率</w:t>
            </w:r>
          </w:p>
          <w:p w14:paraId="36A0E116">
            <w:pPr>
              <w:jc w:val="center"/>
              <w:rPr>
                <w:rFonts w:ascii="宋体" w:hAnsi="宋体" w:cs="宋体"/>
                <w:b/>
                <w:kern w:val="0"/>
                <w:szCs w:val="21"/>
              </w:rPr>
            </w:pPr>
            <w:r>
              <w:rPr>
                <w:rFonts w:hint="eastAsia" w:ascii="宋体" w:hAnsi="宋体" w:cs="宋体"/>
                <w:b/>
                <w:kern w:val="0"/>
                <w:szCs w:val="21"/>
              </w:rPr>
              <w:t>（保留两位小数，小数点后第三位及第三位数后做舍弃。）</w:t>
            </w:r>
          </w:p>
        </w:tc>
        <w:tc>
          <w:tcPr>
            <w:tcW w:w="1768" w:type="dxa"/>
            <w:vAlign w:val="center"/>
          </w:tcPr>
          <w:p w14:paraId="1F9B5A6F">
            <w:pPr>
              <w:jc w:val="center"/>
              <w:rPr>
                <w:rFonts w:ascii="宋体" w:hAnsi="宋体" w:cs="宋体"/>
                <w:b/>
                <w:kern w:val="0"/>
                <w:szCs w:val="21"/>
              </w:rPr>
            </w:pPr>
            <w:r>
              <w:rPr>
                <w:rFonts w:hint="eastAsia" w:ascii="宋体" w:hAnsi="宋体" w:cs="宋体"/>
                <w:b/>
                <w:kern w:val="0"/>
                <w:szCs w:val="21"/>
              </w:rPr>
              <w:t>备注</w:t>
            </w:r>
          </w:p>
        </w:tc>
      </w:tr>
      <w:tr w14:paraId="6B44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14:paraId="77F1343C">
            <w:pPr>
              <w:spacing w:line="360" w:lineRule="auto"/>
              <w:jc w:val="center"/>
              <w:rPr>
                <w:rFonts w:ascii="宋体" w:hAnsi="宋体" w:cs="宋体"/>
              </w:rPr>
            </w:pPr>
            <w:r>
              <w:rPr>
                <w:rFonts w:hint="eastAsia" w:ascii="宋体" w:hAnsi="宋体" w:cs="宋体"/>
              </w:rPr>
              <w:t>1</w:t>
            </w:r>
          </w:p>
        </w:tc>
        <w:tc>
          <w:tcPr>
            <w:tcW w:w="1797" w:type="dxa"/>
            <w:vAlign w:val="center"/>
          </w:tcPr>
          <w:p w14:paraId="7B6DEB10">
            <w:pPr>
              <w:spacing w:line="360" w:lineRule="auto"/>
              <w:jc w:val="center"/>
              <w:rPr>
                <w:rFonts w:ascii="宋体" w:hAnsi="宋体" w:cs="宋体"/>
              </w:rPr>
            </w:pPr>
          </w:p>
        </w:tc>
        <w:tc>
          <w:tcPr>
            <w:tcW w:w="1873" w:type="dxa"/>
            <w:vAlign w:val="center"/>
          </w:tcPr>
          <w:p w14:paraId="42DFBC06">
            <w:pPr>
              <w:spacing w:line="360" w:lineRule="auto"/>
              <w:jc w:val="center"/>
              <w:rPr>
                <w:rFonts w:ascii="宋体" w:hAnsi="宋体" w:cs="宋体"/>
              </w:rPr>
            </w:pPr>
          </w:p>
        </w:tc>
        <w:tc>
          <w:tcPr>
            <w:tcW w:w="1805" w:type="dxa"/>
            <w:vAlign w:val="center"/>
          </w:tcPr>
          <w:p w14:paraId="1C3D0BB9">
            <w:pPr>
              <w:spacing w:line="360" w:lineRule="auto"/>
              <w:jc w:val="center"/>
              <w:rPr>
                <w:rFonts w:ascii="宋体" w:hAnsi="宋体" w:cs="宋体"/>
              </w:rPr>
            </w:pPr>
          </w:p>
        </w:tc>
        <w:tc>
          <w:tcPr>
            <w:tcW w:w="1768" w:type="dxa"/>
            <w:vAlign w:val="center"/>
          </w:tcPr>
          <w:p w14:paraId="6CF76E01">
            <w:pPr>
              <w:spacing w:line="360" w:lineRule="auto"/>
              <w:jc w:val="center"/>
              <w:rPr>
                <w:rFonts w:ascii="宋体" w:hAnsi="宋体" w:cs="宋体"/>
              </w:rPr>
            </w:pPr>
          </w:p>
        </w:tc>
        <w:tc>
          <w:tcPr>
            <w:tcW w:w="1768" w:type="dxa"/>
            <w:vAlign w:val="center"/>
          </w:tcPr>
          <w:p w14:paraId="28D23406">
            <w:pPr>
              <w:spacing w:line="360" w:lineRule="auto"/>
              <w:jc w:val="center"/>
              <w:rPr>
                <w:rFonts w:ascii="宋体" w:hAnsi="宋体" w:cs="宋体"/>
              </w:rPr>
            </w:pPr>
          </w:p>
        </w:tc>
      </w:tr>
      <w:tr w14:paraId="68E4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14:paraId="2BB01EF7">
            <w:pPr>
              <w:spacing w:before="100" w:beforeAutospacing="1" w:after="100" w:afterAutospacing="1" w:line="360" w:lineRule="auto"/>
              <w:jc w:val="center"/>
              <w:rPr>
                <w:rFonts w:ascii="宋体" w:hAnsi="宋体" w:cs="宋体"/>
              </w:rPr>
            </w:pPr>
            <w:r>
              <w:rPr>
                <w:rFonts w:hint="eastAsia" w:ascii="宋体" w:hAnsi="宋体" w:cs="宋体"/>
              </w:rPr>
              <w:t>2</w:t>
            </w:r>
          </w:p>
        </w:tc>
        <w:tc>
          <w:tcPr>
            <w:tcW w:w="1797" w:type="dxa"/>
            <w:vAlign w:val="center"/>
          </w:tcPr>
          <w:p w14:paraId="1EA0A440">
            <w:pPr>
              <w:spacing w:line="360" w:lineRule="auto"/>
              <w:jc w:val="center"/>
              <w:rPr>
                <w:rFonts w:ascii="宋体" w:hAnsi="宋体" w:cs="宋体"/>
              </w:rPr>
            </w:pPr>
          </w:p>
        </w:tc>
        <w:tc>
          <w:tcPr>
            <w:tcW w:w="1873" w:type="dxa"/>
            <w:vAlign w:val="center"/>
          </w:tcPr>
          <w:p w14:paraId="13C9FFC6">
            <w:pPr>
              <w:spacing w:line="360" w:lineRule="auto"/>
              <w:jc w:val="center"/>
              <w:rPr>
                <w:rFonts w:ascii="宋体" w:hAnsi="宋体" w:cs="宋体"/>
              </w:rPr>
            </w:pPr>
          </w:p>
        </w:tc>
        <w:tc>
          <w:tcPr>
            <w:tcW w:w="1805" w:type="dxa"/>
            <w:vAlign w:val="center"/>
          </w:tcPr>
          <w:p w14:paraId="4765FE36">
            <w:pPr>
              <w:spacing w:line="360" w:lineRule="auto"/>
              <w:jc w:val="center"/>
              <w:rPr>
                <w:rFonts w:ascii="宋体" w:hAnsi="宋体" w:cs="宋体"/>
              </w:rPr>
            </w:pPr>
          </w:p>
        </w:tc>
        <w:tc>
          <w:tcPr>
            <w:tcW w:w="1768" w:type="dxa"/>
            <w:vAlign w:val="center"/>
          </w:tcPr>
          <w:p w14:paraId="2ED628B2">
            <w:pPr>
              <w:spacing w:line="360" w:lineRule="auto"/>
              <w:jc w:val="center"/>
              <w:rPr>
                <w:rFonts w:ascii="宋体" w:hAnsi="宋体" w:cs="宋体"/>
              </w:rPr>
            </w:pPr>
          </w:p>
        </w:tc>
        <w:tc>
          <w:tcPr>
            <w:tcW w:w="1768" w:type="dxa"/>
            <w:vAlign w:val="center"/>
          </w:tcPr>
          <w:p w14:paraId="66049288">
            <w:pPr>
              <w:spacing w:line="360" w:lineRule="auto"/>
              <w:jc w:val="center"/>
              <w:rPr>
                <w:rFonts w:ascii="宋体" w:hAnsi="宋体" w:cs="宋体"/>
              </w:rPr>
            </w:pPr>
          </w:p>
        </w:tc>
      </w:tr>
      <w:tr w14:paraId="010F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45" w:type="dxa"/>
            <w:vAlign w:val="center"/>
          </w:tcPr>
          <w:p w14:paraId="1012FC48">
            <w:pPr>
              <w:spacing w:before="100" w:beforeAutospacing="1" w:after="100" w:afterAutospacing="1" w:line="360" w:lineRule="auto"/>
              <w:jc w:val="center"/>
              <w:rPr>
                <w:rFonts w:ascii="宋体" w:hAnsi="宋体" w:cs="宋体"/>
              </w:rPr>
            </w:pPr>
            <w:r>
              <w:rPr>
                <w:rFonts w:hint="eastAsia" w:ascii="宋体" w:hAnsi="宋体" w:cs="宋体"/>
              </w:rPr>
              <w:t>3</w:t>
            </w:r>
          </w:p>
        </w:tc>
        <w:tc>
          <w:tcPr>
            <w:tcW w:w="1797" w:type="dxa"/>
            <w:vAlign w:val="center"/>
          </w:tcPr>
          <w:p w14:paraId="436500F1">
            <w:pPr>
              <w:spacing w:line="360" w:lineRule="auto"/>
              <w:jc w:val="center"/>
              <w:rPr>
                <w:rFonts w:ascii="宋体" w:hAnsi="宋体" w:cs="宋体"/>
              </w:rPr>
            </w:pPr>
          </w:p>
        </w:tc>
        <w:tc>
          <w:tcPr>
            <w:tcW w:w="1873" w:type="dxa"/>
            <w:vAlign w:val="center"/>
          </w:tcPr>
          <w:p w14:paraId="14E1EC87">
            <w:pPr>
              <w:spacing w:line="360" w:lineRule="auto"/>
              <w:jc w:val="center"/>
              <w:rPr>
                <w:rFonts w:ascii="宋体" w:hAnsi="宋体" w:cs="宋体"/>
              </w:rPr>
            </w:pPr>
          </w:p>
        </w:tc>
        <w:tc>
          <w:tcPr>
            <w:tcW w:w="1805" w:type="dxa"/>
            <w:vAlign w:val="center"/>
          </w:tcPr>
          <w:p w14:paraId="3A3BBBC1">
            <w:pPr>
              <w:spacing w:line="360" w:lineRule="auto"/>
              <w:jc w:val="center"/>
              <w:rPr>
                <w:rFonts w:ascii="宋体" w:hAnsi="宋体" w:cs="宋体"/>
              </w:rPr>
            </w:pPr>
          </w:p>
        </w:tc>
        <w:tc>
          <w:tcPr>
            <w:tcW w:w="1768" w:type="dxa"/>
            <w:vAlign w:val="center"/>
          </w:tcPr>
          <w:p w14:paraId="209EA43F">
            <w:pPr>
              <w:spacing w:line="360" w:lineRule="auto"/>
              <w:jc w:val="center"/>
              <w:rPr>
                <w:rFonts w:ascii="宋体" w:hAnsi="宋体" w:cs="宋体"/>
              </w:rPr>
            </w:pPr>
          </w:p>
        </w:tc>
        <w:tc>
          <w:tcPr>
            <w:tcW w:w="1768" w:type="dxa"/>
            <w:vAlign w:val="center"/>
          </w:tcPr>
          <w:p w14:paraId="632A1F19">
            <w:pPr>
              <w:spacing w:line="360" w:lineRule="auto"/>
              <w:jc w:val="center"/>
              <w:rPr>
                <w:rFonts w:ascii="宋体" w:hAnsi="宋体" w:cs="宋体"/>
              </w:rPr>
            </w:pPr>
          </w:p>
        </w:tc>
      </w:tr>
      <w:tr w14:paraId="24C0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14:paraId="54BE86D5">
            <w:pPr>
              <w:spacing w:before="100" w:beforeAutospacing="1" w:after="100" w:afterAutospacing="1" w:line="360" w:lineRule="auto"/>
              <w:jc w:val="center"/>
              <w:rPr>
                <w:rFonts w:ascii="宋体" w:hAnsi="宋体" w:cs="宋体"/>
              </w:rPr>
            </w:pPr>
            <w:r>
              <w:rPr>
                <w:rFonts w:hint="eastAsia" w:ascii="宋体" w:hAnsi="宋体" w:cs="宋体"/>
              </w:rPr>
              <w:t>4</w:t>
            </w:r>
          </w:p>
        </w:tc>
        <w:tc>
          <w:tcPr>
            <w:tcW w:w="1797" w:type="dxa"/>
            <w:vAlign w:val="center"/>
          </w:tcPr>
          <w:p w14:paraId="2C478727">
            <w:pPr>
              <w:spacing w:line="360" w:lineRule="auto"/>
              <w:jc w:val="center"/>
              <w:rPr>
                <w:rFonts w:ascii="宋体" w:hAnsi="宋体" w:cs="宋体"/>
              </w:rPr>
            </w:pPr>
          </w:p>
        </w:tc>
        <w:tc>
          <w:tcPr>
            <w:tcW w:w="1873" w:type="dxa"/>
            <w:vAlign w:val="center"/>
          </w:tcPr>
          <w:p w14:paraId="4F18A614">
            <w:pPr>
              <w:spacing w:line="360" w:lineRule="auto"/>
              <w:jc w:val="center"/>
              <w:rPr>
                <w:rFonts w:ascii="宋体" w:hAnsi="宋体" w:cs="宋体"/>
              </w:rPr>
            </w:pPr>
          </w:p>
        </w:tc>
        <w:tc>
          <w:tcPr>
            <w:tcW w:w="1805" w:type="dxa"/>
            <w:vAlign w:val="center"/>
          </w:tcPr>
          <w:p w14:paraId="7FA82EF8">
            <w:pPr>
              <w:spacing w:line="360" w:lineRule="auto"/>
              <w:jc w:val="center"/>
              <w:rPr>
                <w:rFonts w:ascii="宋体" w:hAnsi="宋体" w:cs="宋体"/>
              </w:rPr>
            </w:pPr>
          </w:p>
        </w:tc>
        <w:tc>
          <w:tcPr>
            <w:tcW w:w="1768" w:type="dxa"/>
            <w:vAlign w:val="center"/>
          </w:tcPr>
          <w:p w14:paraId="721EDAE6">
            <w:pPr>
              <w:spacing w:line="360" w:lineRule="auto"/>
              <w:jc w:val="center"/>
              <w:rPr>
                <w:rFonts w:ascii="宋体" w:hAnsi="宋体" w:cs="宋体"/>
              </w:rPr>
            </w:pPr>
          </w:p>
        </w:tc>
        <w:tc>
          <w:tcPr>
            <w:tcW w:w="1768" w:type="dxa"/>
            <w:vAlign w:val="center"/>
          </w:tcPr>
          <w:p w14:paraId="63E27CD3">
            <w:pPr>
              <w:spacing w:line="360" w:lineRule="auto"/>
              <w:jc w:val="center"/>
              <w:rPr>
                <w:rFonts w:ascii="宋体" w:hAnsi="宋体" w:cs="宋体"/>
              </w:rPr>
            </w:pPr>
          </w:p>
        </w:tc>
      </w:tr>
      <w:tr w14:paraId="36C2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14:paraId="0C93DC5E">
            <w:pPr>
              <w:spacing w:before="100" w:beforeAutospacing="1" w:after="100" w:afterAutospacing="1" w:line="360" w:lineRule="auto"/>
              <w:jc w:val="center"/>
              <w:rPr>
                <w:rFonts w:ascii="宋体" w:hAnsi="宋体" w:cs="宋体"/>
              </w:rPr>
            </w:pPr>
            <w:r>
              <w:rPr>
                <w:rFonts w:hint="eastAsia" w:ascii="宋体" w:hAnsi="宋体" w:cs="宋体"/>
              </w:rPr>
              <w:t>5</w:t>
            </w:r>
          </w:p>
        </w:tc>
        <w:tc>
          <w:tcPr>
            <w:tcW w:w="1797" w:type="dxa"/>
            <w:vAlign w:val="center"/>
          </w:tcPr>
          <w:p w14:paraId="1F79B840">
            <w:pPr>
              <w:spacing w:line="360" w:lineRule="auto"/>
              <w:jc w:val="center"/>
              <w:rPr>
                <w:rFonts w:ascii="宋体" w:hAnsi="宋体" w:cs="宋体"/>
              </w:rPr>
            </w:pPr>
          </w:p>
        </w:tc>
        <w:tc>
          <w:tcPr>
            <w:tcW w:w="1873" w:type="dxa"/>
            <w:vAlign w:val="center"/>
          </w:tcPr>
          <w:p w14:paraId="1B9E2846">
            <w:pPr>
              <w:spacing w:line="360" w:lineRule="auto"/>
              <w:jc w:val="center"/>
              <w:rPr>
                <w:rFonts w:ascii="宋体" w:hAnsi="宋体" w:cs="宋体"/>
              </w:rPr>
            </w:pPr>
          </w:p>
        </w:tc>
        <w:tc>
          <w:tcPr>
            <w:tcW w:w="1805" w:type="dxa"/>
            <w:vAlign w:val="center"/>
          </w:tcPr>
          <w:p w14:paraId="1D7BC1AD">
            <w:pPr>
              <w:spacing w:line="360" w:lineRule="auto"/>
              <w:jc w:val="center"/>
              <w:rPr>
                <w:rFonts w:ascii="宋体" w:hAnsi="宋体" w:cs="宋体"/>
              </w:rPr>
            </w:pPr>
          </w:p>
        </w:tc>
        <w:tc>
          <w:tcPr>
            <w:tcW w:w="1768" w:type="dxa"/>
            <w:vAlign w:val="center"/>
          </w:tcPr>
          <w:p w14:paraId="2FC1BED3">
            <w:pPr>
              <w:spacing w:line="360" w:lineRule="auto"/>
              <w:jc w:val="center"/>
              <w:rPr>
                <w:rFonts w:ascii="宋体" w:hAnsi="宋体" w:cs="宋体"/>
              </w:rPr>
            </w:pPr>
          </w:p>
        </w:tc>
        <w:tc>
          <w:tcPr>
            <w:tcW w:w="1768" w:type="dxa"/>
            <w:vAlign w:val="center"/>
          </w:tcPr>
          <w:p w14:paraId="52E1E0E5">
            <w:pPr>
              <w:spacing w:line="360" w:lineRule="auto"/>
              <w:jc w:val="center"/>
              <w:rPr>
                <w:rFonts w:ascii="宋体" w:hAnsi="宋体" w:cs="宋体"/>
              </w:rPr>
            </w:pPr>
          </w:p>
        </w:tc>
      </w:tr>
      <w:tr w14:paraId="5FFA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14:paraId="5B25BFDB">
            <w:pPr>
              <w:jc w:val="center"/>
              <w:rPr>
                <w:rFonts w:ascii="宋体" w:hAnsi="宋体" w:cs="宋体"/>
                <w:kern w:val="0"/>
                <w:szCs w:val="21"/>
              </w:rPr>
            </w:pPr>
            <w:r>
              <w:rPr>
                <w:rFonts w:hint="eastAsia" w:ascii="宋体" w:hAnsi="宋体" w:cs="宋体"/>
                <w:kern w:val="0"/>
                <w:szCs w:val="21"/>
              </w:rPr>
              <w:t>……</w:t>
            </w:r>
          </w:p>
        </w:tc>
        <w:tc>
          <w:tcPr>
            <w:tcW w:w="1797" w:type="dxa"/>
            <w:vAlign w:val="center"/>
          </w:tcPr>
          <w:p w14:paraId="523E0A47">
            <w:pPr>
              <w:jc w:val="center"/>
              <w:rPr>
                <w:rFonts w:ascii="宋体" w:hAnsi="宋体" w:cs="宋体"/>
                <w:kern w:val="0"/>
                <w:szCs w:val="21"/>
              </w:rPr>
            </w:pPr>
            <w:r>
              <w:rPr>
                <w:rFonts w:hint="eastAsia" w:ascii="宋体" w:hAnsi="宋体" w:cs="宋体"/>
                <w:kern w:val="0"/>
                <w:szCs w:val="21"/>
              </w:rPr>
              <w:t>……</w:t>
            </w:r>
          </w:p>
        </w:tc>
        <w:tc>
          <w:tcPr>
            <w:tcW w:w="1873" w:type="dxa"/>
            <w:vAlign w:val="center"/>
          </w:tcPr>
          <w:p w14:paraId="311D17D7">
            <w:pPr>
              <w:spacing w:line="360" w:lineRule="auto"/>
              <w:jc w:val="center"/>
              <w:rPr>
                <w:rFonts w:ascii="宋体" w:hAnsi="宋体" w:cs="宋体"/>
              </w:rPr>
            </w:pPr>
          </w:p>
        </w:tc>
        <w:tc>
          <w:tcPr>
            <w:tcW w:w="1805" w:type="dxa"/>
            <w:vAlign w:val="center"/>
          </w:tcPr>
          <w:p w14:paraId="442868F9">
            <w:pPr>
              <w:spacing w:line="360" w:lineRule="auto"/>
              <w:jc w:val="center"/>
              <w:rPr>
                <w:rFonts w:ascii="宋体" w:hAnsi="宋体" w:cs="宋体"/>
              </w:rPr>
            </w:pPr>
          </w:p>
        </w:tc>
        <w:tc>
          <w:tcPr>
            <w:tcW w:w="1768" w:type="dxa"/>
            <w:vAlign w:val="center"/>
          </w:tcPr>
          <w:p w14:paraId="5D4FF870">
            <w:pPr>
              <w:spacing w:line="360" w:lineRule="auto"/>
              <w:jc w:val="center"/>
              <w:rPr>
                <w:rFonts w:ascii="宋体" w:hAnsi="宋体" w:cs="宋体"/>
              </w:rPr>
            </w:pPr>
          </w:p>
        </w:tc>
        <w:tc>
          <w:tcPr>
            <w:tcW w:w="1768" w:type="dxa"/>
            <w:vAlign w:val="center"/>
          </w:tcPr>
          <w:p w14:paraId="14FF24C4">
            <w:pPr>
              <w:spacing w:line="360" w:lineRule="auto"/>
              <w:jc w:val="center"/>
              <w:rPr>
                <w:rFonts w:ascii="宋体" w:hAnsi="宋体" w:cs="宋体"/>
              </w:rPr>
            </w:pPr>
          </w:p>
        </w:tc>
      </w:tr>
      <w:tr w14:paraId="22B8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415" w:type="dxa"/>
            <w:gridSpan w:val="3"/>
            <w:vAlign w:val="center"/>
          </w:tcPr>
          <w:p w14:paraId="34BDD195">
            <w:pPr>
              <w:jc w:val="center"/>
              <w:rPr>
                <w:rFonts w:ascii="宋体" w:hAnsi="宋体" w:cs="宋体"/>
                <w:b/>
                <w:kern w:val="0"/>
                <w:szCs w:val="21"/>
              </w:rPr>
            </w:pPr>
            <w:r>
              <w:rPr>
                <w:rFonts w:hint="eastAsia" w:ascii="宋体" w:hAnsi="宋体" w:cs="宋体"/>
                <w:b/>
                <w:kern w:val="0"/>
                <w:szCs w:val="21"/>
              </w:rPr>
              <w:t>合计报价及费率</w:t>
            </w:r>
          </w:p>
        </w:tc>
        <w:tc>
          <w:tcPr>
            <w:tcW w:w="1805" w:type="dxa"/>
            <w:vAlign w:val="center"/>
          </w:tcPr>
          <w:p w14:paraId="711E07B5">
            <w:pPr>
              <w:spacing w:line="360" w:lineRule="auto"/>
              <w:jc w:val="center"/>
              <w:rPr>
                <w:rFonts w:ascii="宋体" w:hAnsi="宋体" w:cs="宋体"/>
              </w:rPr>
            </w:pPr>
          </w:p>
        </w:tc>
        <w:tc>
          <w:tcPr>
            <w:tcW w:w="1768" w:type="dxa"/>
            <w:vAlign w:val="center"/>
          </w:tcPr>
          <w:p w14:paraId="281AAF01">
            <w:pPr>
              <w:spacing w:line="360" w:lineRule="auto"/>
              <w:jc w:val="center"/>
              <w:rPr>
                <w:rFonts w:ascii="宋体" w:hAnsi="宋体" w:cs="宋体"/>
              </w:rPr>
            </w:pPr>
          </w:p>
        </w:tc>
        <w:tc>
          <w:tcPr>
            <w:tcW w:w="1768" w:type="dxa"/>
            <w:vAlign w:val="center"/>
          </w:tcPr>
          <w:p w14:paraId="17906A35">
            <w:pPr>
              <w:spacing w:line="360" w:lineRule="auto"/>
              <w:jc w:val="center"/>
              <w:rPr>
                <w:rFonts w:ascii="宋体" w:hAnsi="宋体" w:cs="宋体"/>
              </w:rPr>
            </w:pPr>
          </w:p>
        </w:tc>
      </w:tr>
    </w:tbl>
    <w:p w14:paraId="1BA3DE35">
      <w:pPr>
        <w:spacing w:line="400" w:lineRule="exact"/>
        <w:rPr>
          <w:rFonts w:ascii="宋体" w:hAnsi="宋体" w:cs="宋体"/>
        </w:rPr>
      </w:pPr>
    </w:p>
    <w:p w14:paraId="78904F39">
      <w:pPr>
        <w:spacing w:line="400" w:lineRule="exact"/>
        <w:rPr>
          <w:rFonts w:ascii="宋体" w:hAnsi="宋体" w:cs="宋体"/>
          <w:snapToGrid w:val="0"/>
          <w:spacing w:val="4"/>
          <w:kern w:val="0"/>
          <w:sz w:val="24"/>
          <w:szCs w:val="24"/>
        </w:rPr>
      </w:pPr>
      <w:r>
        <w:rPr>
          <w:rFonts w:hint="eastAsia" w:ascii="宋体" w:hAnsi="宋体" w:cs="宋体"/>
          <w:snapToGrid w:val="0"/>
          <w:spacing w:val="4"/>
          <w:kern w:val="0"/>
          <w:sz w:val="24"/>
          <w:szCs w:val="24"/>
        </w:rPr>
        <w:t>备注：</w:t>
      </w:r>
    </w:p>
    <w:p w14:paraId="533C31D8">
      <w:pPr>
        <w:spacing w:line="400" w:lineRule="exact"/>
        <w:rPr>
          <w:rFonts w:ascii="宋体" w:hAnsi="宋体" w:cs="宋体"/>
        </w:rPr>
      </w:pPr>
      <w:r>
        <w:rPr>
          <w:rFonts w:hint="eastAsia" w:ascii="宋体" w:hAnsi="宋体" w:cs="宋体"/>
          <w:snapToGrid w:val="0"/>
          <w:spacing w:val="4"/>
          <w:kern w:val="0"/>
          <w:sz w:val="24"/>
          <w:szCs w:val="24"/>
        </w:rPr>
        <w:t>1.监理报酬报价总金额不能超过</w:t>
      </w:r>
      <w:r>
        <w:rPr>
          <w:rFonts w:hint="eastAsia" w:ascii="宋体" w:hAnsi="宋体" w:cs="宋体"/>
          <w:sz w:val="24"/>
          <w:szCs w:val="24"/>
        </w:rPr>
        <w:t>最高投标限价。</w:t>
      </w:r>
    </w:p>
    <w:p w14:paraId="47511A4A">
      <w:pPr>
        <w:spacing w:line="400" w:lineRule="exact"/>
        <w:rPr>
          <w:rFonts w:ascii="宋体" w:hAnsi="宋体" w:cs="宋体"/>
          <w:snapToGrid w:val="0"/>
          <w:spacing w:val="4"/>
          <w:kern w:val="0"/>
          <w:sz w:val="24"/>
          <w:szCs w:val="24"/>
        </w:rPr>
      </w:pPr>
      <w:r>
        <w:rPr>
          <w:rFonts w:hint="eastAsia" w:ascii="宋体" w:hAnsi="宋体" w:cs="宋体"/>
          <w:snapToGrid w:val="0"/>
          <w:spacing w:val="4"/>
          <w:kern w:val="0"/>
          <w:sz w:val="24"/>
          <w:szCs w:val="24"/>
        </w:rPr>
        <w:t>2.监理费投标报价：包括但不限于监理设备、劳务、管理、交通、维护、保险、利润、税金、政策性文件规定及合同包含的所有风险、责任等各项所有费用；</w:t>
      </w:r>
    </w:p>
    <w:p w14:paraId="0D6A552A">
      <w:pPr>
        <w:spacing w:line="400" w:lineRule="exact"/>
        <w:rPr>
          <w:rFonts w:ascii="宋体" w:hAnsi="宋体" w:cs="宋体"/>
          <w:snapToGrid w:val="0"/>
          <w:spacing w:val="4"/>
          <w:kern w:val="0"/>
          <w:sz w:val="24"/>
          <w:szCs w:val="24"/>
        </w:rPr>
      </w:pPr>
      <w:r>
        <w:rPr>
          <w:rFonts w:hint="eastAsia" w:ascii="宋体" w:hAnsi="宋体" w:cs="宋体"/>
          <w:snapToGrid w:val="0"/>
          <w:spacing w:val="4"/>
          <w:kern w:val="0"/>
          <w:sz w:val="24"/>
          <w:szCs w:val="24"/>
        </w:rPr>
        <w:t>3.投标人报价应包含监理单位在监理服务实施中应缴纳的一切税费。如果政府出台新的税费政策，则按照新政策执行；</w:t>
      </w:r>
    </w:p>
    <w:p w14:paraId="4351DC49">
      <w:pPr>
        <w:spacing w:line="400" w:lineRule="exact"/>
        <w:rPr>
          <w:rFonts w:ascii="宋体" w:hAnsi="宋体" w:cs="宋体"/>
          <w:snapToGrid w:val="0"/>
          <w:spacing w:val="4"/>
          <w:kern w:val="0"/>
          <w:sz w:val="24"/>
          <w:szCs w:val="24"/>
        </w:rPr>
      </w:pPr>
      <w:r>
        <w:rPr>
          <w:rFonts w:hint="eastAsia" w:ascii="宋体" w:hAnsi="宋体" w:cs="宋体"/>
          <w:snapToGrid w:val="0"/>
          <w:spacing w:val="4"/>
          <w:kern w:val="0"/>
          <w:sz w:val="24"/>
          <w:szCs w:val="24"/>
        </w:rPr>
        <w:t>4.投标报价均采用人民币计算，以“元”为单位，只保留小数点后两位，小数点后第三位及第三位数后做舍弃。</w:t>
      </w:r>
    </w:p>
    <w:p w14:paraId="367CC6EB">
      <w:pPr>
        <w:spacing w:line="400" w:lineRule="exact"/>
        <w:rPr>
          <w:rFonts w:ascii="宋体" w:hAnsi="宋体" w:cs="宋体"/>
        </w:rPr>
      </w:pPr>
    </w:p>
    <w:p w14:paraId="6BE7FC83">
      <w:pPr>
        <w:spacing w:line="400" w:lineRule="exact"/>
        <w:rPr>
          <w:rFonts w:ascii="宋体" w:hAnsi="宋体" w:cs="宋体"/>
        </w:rPr>
      </w:pPr>
    </w:p>
    <w:p w14:paraId="3DCF10F2">
      <w:pPr>
        <w:spacing w:before="260" w:line="412" w:lineRule="auto"/>
        <w:jc w:val="left"/>
        <w:outlineLvl w:val="1"/>
        <w:rPr>
          <w:rFonts w:ascii="宋体" w:hAnsi="宋体" w:cs="宋体"/>
          <w:b/>
          <w:sz w:val="32"/>
          <w:szCs w:val="20"/>
        </w:rPr>
      </w:pPr>
      <w:bookmarkStart w:id="802" w:name="_Toc12106"/>
      <w:bookmarkStart w:id="803" w:name="_Toc527969229"/>
      <w:r>
        <w:rPr>
          <w:rFonts w:hint="eastAsia" w:ascii="宋体" w:hAnsi="宋体" w:cs="宋体"/>
          <w:b/>
          <w:sz w:val="32"/>
          <w:szCs w:val="20"/>
        </w:rPr>
        <w:br w:type="page"/>
      </w:r>
      <w:bookmarkStart w:id="804" w:name="_Toc1948"/>
      <w:bookmarkStart w:id="805" w:name="_Toc31121"/>
      <w:bookmarkStart w:id="806" w:name="_Toc17605"/>
      <w:bookmarkStart w:id="807" w:name="_Toc8097"/>
      <w:bookmarkStart w:id="808" w:name="_Toc32092"/>
      <w:bookmarkStart w:id="809" w:name="_Toc16434"/>
      <w:bookmarkStart w:id="810" w:name="_Toc31297"/>
      <w:bookmarkStart w:id="811" w:name="_Toc22319"/>
      <w:bookmarkStart w:id="812" w:name="_Toc15180"/>
      <w:bookmarkStart w:id="813" w:name="_Toc14966913"/>
      <w:bookmarkStart w:id="814" w:name="_Toc18084"/>
      <w:bookmarkStart w:id="815" w:name="_Toc16168"/>
      <w:bookmarkStart w:id="816" w:name="_Toc25117"/>
      <w:bookmarkStart w:id="817" w:name="_Toc30834"/>
      <w:bookmarkStart w:id="818" w:name="_Toc16260"/>
      <w:bookmarkStart w:id="819" w:name="_Toc183"/>
      <w:r>
        <w:rPr>
          <w:rFonts w:hint="eastAsia" w:ascii="宋体" w:hAnsi="宋体" w:cs="宋体"/>
          <w:b/>
          <w:sz w:val="20"/>
          <w:szCs w:val="20"/>
        </w:rPr>
        <w:t>格式四：</w:t>
      </w:r>
    </w:p>
    <w:p w14:paraId="4BC9E85C">
      <w:pPr>
        <w:spacing w:before="260" w:line="412" w:lineRule="auto"/>
        <w:jc w:val="center"/>
        <w:outlineLvl w:val="1"/>
        <w:rPr>
          <w:rFonts w:ascii="宋体" w:hAnsi="宋体" w:cs="宋体"/>
          <w:b/>
          <w:sz w:val="32"/>
          <w:szCs w:val="20"/>
        </w:rPr>
      </w:pPr>
      <w:r>
        <w:rPr>
          <w:rFonts w:hint="eastAsia" w:ascii="宋体" w:hAnsi="宋体" w:cs="宋体"/>
          <w:b/>
          <w:sz w:val="32"/>
          <w:szCs w:val="20"/>
        </w:rPr>
        <w:t>四、资格审查资料</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14:paraId="1BE3E019">
      <w:pPr>
        <w:pStyle w:val="5"/>
        <w:keepNext w:val="0"/>
        <w:keepLines w:val="0"/>
        <w:spacing w:before="20" w:after="0"/>
        <w:ind w:firstLine="137"/>
        <w:rPr>
          <w:rFonts w:ascii="宋体" w:hAnsi="宋体" w:eastAsia="宋体" w:cs="宋体"/>
        </w:rPr>
      </w:pPr>
      <w:bookmarkStart w:id="820" w:name="_Toc6476"/>
      <w:bookmarkStart w:id="821" w:name="_Toc16516"/>
      <w:bookmarkStart w:id="822" w:name="_Toc14966914"/>
      <w:bookmarkStart w:id="823" w:name="_Toc32453"/>
      <w:bookmarkStart w:id="824" w:name="_Toc15058"/>
      <w:bookmarkStart w:id="825" w:name="_Toc1500"/>
      <w:bookmarkStart w:id="826" w:name="_Toc1538"/>
      <w:bookmarkStart w:id="827" w:name="_Toc8185"/>
      <w:bookmarkStart w:id="828" w:name="_Toc23107"/>
      <w:bookmarkStart w:id="829" w:name="_Toc919"/>
      <w:bookmarkStart w:id="830" w:name="_Toc18423"/>
      <w:bookmarkStart w:id="831" w:name="_Toc527969230"/>
      <w:bookmarkStart w:id="832" w:name="_Toc10568"/>
      <w:bookmarkStart w:id="833" w:name="_Toc16597"/>
      <w:bookmarkStart w:id="834" w:name="_Toc4080"/>
      <w:bookmarkStart w:id="835" w:name="_Toc12406"/>
      <w:bookmarkStart w:id="836" w:name="_Toc1982"/>
      <w:bookmarkStart w:id="837" w:name="_Toc21372"/>
      <w:r>
        <w:rPr>
          <w:rFonts w:hint="eastAsia" w:ascii="宋体" w:hAnsi="宋体" w:eastAsia="宋体" w:cs="宋体"/>
        </w:rPr>
        <w:t>（一）投标人基本情况表</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123B7D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018EE49">
            <w:pPr>
              <w:topLinePunct/>
              <w:spacing w:line="440" w:lineRule="exact"/>
              <w:jc w:val="center"/>
              <w:rPr>
                <w:rFonts w:ascii="宋体" w:hAnsi="宋体" w:cs="宋体"/>
              </w:rPr>
            </w:pPr>
            <w:r>
              <w:rPr>
                <w:rFonts w:hint="eastAsia" w:ascii="宋体" w:hAnsi="宋体" w:cs="宋体"/>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277A19C6">
            <w:pPr>
              <w:topLinePunct/>
              <w:spacing w:line="440" w:lineRule="exact"/>
              <w:jc w:val="center"/>
              <w:rPr>
                <w:rFonts w:ascii="宋体" w:hAnsi="宋体" w:cs="宋体"/>
              </w:rPr>
            </w:pPr>
          </w:p>
        </w:tc>
      </w:tr>
      <w:tr w14:paraId="001B8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F51FB6C">
            <w:pPr>
              <w:topLinePunct/>
              <w:spacing w:line="440" w:lineRule="exact"/>
              <w:jc w:val="center"/>
              <w:rPr>
                <w:rFonts w:ascii="宋体" w:hAnsi="宋体" w:cs="宋体"/>
              </w:rPr>
            </w:pPr>
            <w:r>
              <w:rPr>
                <w:rFonts w:hint="eastAsia" w:ascii="宋体" w:hAnsi="宋体" w:cs="宋体"/>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572704F9">
            <w:pPr>
              <w:topLinePunct/>
              <w:spacing w:line="440" w:lineRule="exact"/>
              <w:jc w:val="center"/>
              <w:rPr>
                <w:rFonts w:ascii="宋体" w:hAnsi="宋体" w:cs="宋体"/>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0EF69AC7">
            <w:pPr>
              <w:topLinePunct/>
              <w:spacing w:before="100" w:beforeAutospacing="1" w:after="100" w:afterAutospacing="1" w:line="440" w:lineRule="exact"/>
              <w:jc w:val="center"/>
              <w:rPr>
                <w:rFonts w:ascii="宋体" w:hAnsi="宋体" w:cs="宋体"/>
              </w:rPr>
            </w:pPr>
            <w:r>
              <w:rPr>
                <w:rFonts w:hint="eastAsia" w:ascii="宋体" w:hAnsi="宋体" w:cs="宋体"/>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259C815D">
            <w:pPr>
              <w:topLinePunct/>
              <w:spacing w:line="440" w:lineRule="exact"/>
              <w:jc w:val="center"/>
              <w:rPr>
                <w:rFonts w:ascii="宋体" w:hAnsi="宋体" w:cs="宋体"/>
              </w:rPr>
            </w:pPr>
          </w:p>
        </w:tc>
      </w:tr>
      <w:tr w14:paraId="295428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14:paraId="3A4AF98E">
            <w:pPr>
              <w:topLinePunct/>
              <w:spacing w:line="440" w:lineRule="exact"/>
              <w:jc w:val="center"/>
              <w:rPr>
                <w:rFonts w:ascii="宋体" w:hAnsi="宋体" w:cs="宋体"/>
              </w:rPr>
            </w:pPr>
            <w:r>
              <w:rPr>
                <w:rFonts w:hint="eastAsia" w:ascii="宋体" w:hAnsi="宋体" w:cs="宋体"/>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69549467">
            <w:pPr>
              <w:topLinePunct/>
              <w:spacing w:before="100" w:beforeAutospacing="1" w:after="100" w:afterAutospacing="1" w:line="440" w:lineRule="exact"/>
              <w:jc w:val="center"/>
              <w:rPr>
                <w:rFonts w:ascii="宋体" w:hAnsi="宋体" w:cs="宋体"/>
              </w:rPr>
            </w:pPr>
            <w:r>
              <w:rPr>
                <w:rFonts w:hint="eastAsia" w:ascii="宋体" w:hAnsi="宋体" w:cs="宋体"/>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6CCE1725">
            <w:pPr>
              <w:topLinePunct/>
              <w:spacing w:line="440" w:lineRule="exact"/>
              <w:jc w:val="center"/>
              <w:rPr>
                <w:rFonts w:ascii="宋体" w:hAnsi="宋体" w:cs="宋体"/>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395ADD94">
            <w:pPr>
              <w:topLinePunct/>
              <w:spacing w:before="100" w:beforeAutospacing="1" w:after="100" w:afterAutospacing="1" w:line="440" w:lineRule="exact"/>
              <w:jc w:val="center"/>
              <w:rPr>
                <w:rFonts w:ascii="宋体" w:hAnsi="宋体" w:cs="宋体"/>
              </w:rPr>
            </w:pPr>
            <w:r>
              <w:rPr>
                <w:rFonts w:hint="eastAsia" w:ascii="宋体" w:hAnsi="宋体" w:cs="宋体"/>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DF34969">
            <w:pPr>
              <w:topLinePunct/>
              <w:spacing w:line="440" w:lineRule="exact"/>
              <w:jc w:val="center"/>
              <w:rPr>
                <w:rFonts w:ascii="宋体" w:hAnsi="宋体" w:cs="宋体"/>
              </w:rPr>
            </w:pPr>
          </w:p>
        </w:tc>
      </w:tr>
      <w:tr w14:paraId="00314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14:paraId="1C9E9039">
            <w:pPr>
              <w:jc w:val="center"/>
              <w:rPr>
                <w:rFonts w:ascii="宋体" w:hAnsi="宋体" w:cs="宋体"/>
              </w:rPr>
            </w:pPr>
          </w:p>
        </w:tc>
        <w:tc>
          <w:tcPr>
            <w:tcW w:w="898" w:type="dxa"/>
            <w:tcBorders>
              <w:top w:val="single" w:color="auto" w:sz="4" w:space="0"/>
              <w:left w:val="single" w:color="auto" w:sz="4" w:space="0"/>
              <w:bottom w:val="single" w:color="auto" w:sz="4" w:space="0"/>
              <w:right w:val="single" w:color="auto" w:sz="4" w:space="0"/>
            </w:tcBorders>
            <w:vAlign w:val="center"/>
          </w:tcPr>
          <w:p w14:paraId="0A0F92E8">
            <w:pPr>
              <w:topLinePunct/>
              <w:spacing w:before="100" w:beforeAutospacing="1" w:after="100" w:afterAutospacing="1" w:line="440" w:lineRule="exact"/>
              <w:jc w:val="center"/>
              <w:rPr>
                <w:rFonts w:ascii="宋体" w:hAnsi="宋体" w:cs="宋体"/>
              </w:rPr>
            </w:pPr>
            <w:r>
              <w:rPr>
                <w:rFonts w:hint="eastAsia" w:ascii="宋体" w:hAnsi="宋体" w:cs="宋体"/>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12838A9A">
            <w:pPr>
              <w:topLinePunct/>
              <w:spacing w:line="440" w:lineRule="exact"/>
              <w:jc w:val="center"/>
              <w:rPr>
                <w:rFonts w:ascii="宋体" w:hAnsi="宋体" w:cs="宋体"/>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5B68F1E3">
            <w:pPr>
              <w:topLinePunct/>
              <w:spacing w:before="100" w:beforeAutospacing="1" w:after="100" w:afterAutospacing="1" w:line="440" w:lineRule="exact"/>
              <w:jc w:val="center"/>
              <w:rPr>
                <w:rFonts w:ascii="宋体" w:hAnsi="宋体" w:cs="宋体"/>
              </w:rPr>
            </w:pPr>
            <w:r>
              <w:rPr>
                <w:rFonts w:hint="eastAsia" w:ascii="宋体" w:hAnsi="宋体" w:cs="宋体"/>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414774A">
            <w:pPr>
              <w:topLinePunct/>
              <w:spacing w:line="440" w:lineRule="exact"/>
              <w:jc w:val="center"/>
              <w:rPr>
                <w:rFonts w:ascii="宋体" w:hAnsi="宋体" w:cs="宋体"/>
              </w:rPr>
            </w:pPr>
          </w:p>
        </w:tc>
      </w:tr>
      <w:tr w14:paraId="5A2B7C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E49919E">
            <w:pPr>
              <w:topLinePunct/>
              <w:spacing w:before="100" w:beforeAutospacing="1" w:after="100" w:afterAutospacing="1" w:line="440" w:lineRule="exact"/>
              <w:jc w:val="center"/>
              <w:rPr>
                <w:rFonts w:ascii="宋体" w:hAnsi="宋体" w:cs="宋体"/>
              </w:rPr>
            </w:pPr>
            <w:r>
              <w:rPr>
                <w:rFonts w:hint="eastAsia" w:ascii="宋体" w:hAnsi="宋体" w:cs="宋体"/>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67646491">
            <w:pPr>
              <w:topLinePunct/>
              <w:spacing w:before="100" w:beforeAutospacing="1" w:after="100" w:afterAutospacing="1" w:line="440" w:lineRule="exact"/>
              <w:jc w:val="center"/>
              <w:rPr>
                <w:rFonts w:ascii="宋体" w:hAnsi="宋体" w:cs="宋体"/>
              </w:rPr>
            </w:pPr>
            <w:r>
              <w:rPr>
                <w:rFonts w:hint="eastAsia" w:ascii="宋体" w:hAnsi="宋体" w:cs="宋体"/>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1172F4CE">
            <w:pPr>
              <w:topLinePunct/>
              <w:spacing w:line="440" w:lineRule="exact"/>
              <w:jc w:val="center"/>
              <w:rPr>
                <w:rFonts w:ascii="宋体" w:hAnsi="宋体" w:cs="宋体"/>
              </w:rPr>
            </w:pPr>
          </w:p>
        </w:tc>
        <w:tc>
          <w:tcPr>
            <w:tcW w:w="1287" w:type="dxa"/>
            <w:tcBorders>
              <w:top w:val="single" w:color="auto" w:sz="4" w:space="0"/>
              <w:left w:val="single" w:color="auto" w:sz="4" w:space="0"/>
              <w:bottom w:val="single" w:color="auto" w:sz="4" w:space="0"/>
              <w:right w:val="single" w:color="auto" w:sz="4" w:space="0"/>
            </w:tcBorders>
            <w:vAlign w:val="center"/>
          </w:tcPr>
          <w:p w14:paraId="02264C6B">
            <w:pPr>
              <w:topLinePunct/>
              <w:spacing w:before="100" w:beforeAutospacing="1" w:after="100" w:afterAutospacing="1" w:line="440" w:lineRule="exact"/>
              <w:jc w:val="center"/>
              <w:rPr>
                <w:rFonts w:ascii="宋体" w:hAnsi="宋体" w:cs="宋体"/>
              </w:rPr>
            </w:pPr>
            <w:r>
              <w:rPr>
                <w:rFonts w:hint="eastAsia" w:ascii="宋体" w:hAnsi="宋体" w:cs="宋体"/>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124E6696">
            <w:pPr>
              <w:topLinePunct/>
              <w:spacing w:line="440" w:lineRule="exact"/>
              <w:jc w:val="center"/>
              <w:rPr>
                <w:rFonts w:ascii="宋体" w:hAnsi="宋体" w:cs="宋体"/>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4C2476F">
            <w:pPr>
              <w:topLinePunct/>
              <w:spacing w:before="100" w:beforeAutospacing="1" w:after="100" w:afterAutospacing="1" w:line="440" w:lineRule="exact"/>
              <w:jc w:val="center"/>
              <w:rPr>
                <w:rFonts w:ascii="宋体" w:hAnsi="宋体" w:cs="宋体"/>
              </w:rPr>
            </w:pPr>
            <w:r>
              <w:rPr>
                <w:rFonts w:hint="eastAsia" w:ascii="宋体" w:hAnsi="宋体" w:cs="宋体"/>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0C3B4DFC">
            <w:pPr>
              <w:topLinePunct/>
              <w:spacing w:line="440" w:lineRule="exact"/>
              <w:jc w:val="center"/>
              <w:rPr>
                <w:rFonts w:ascii="宋体" w:hAnsi="宋体" w:cs="宋体"/>
              </w:rPr>
            </w:pPr>
          </w:p>
        </w:tc>
      </w:tr>
      <w:tr w14:paraId="60C0B3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14712E6">
            <w:pPr>
              <w:topLinePunct/>
              <w:spacing w:line="440" w:lineRule="exact"/>
              <w:jc w:val="center"/>
              <w:rPr>
                <w:rFonts w:ascii="宋体" w:hAnsi="宋体" w:cs="宋体"/>
              </w:rPr>
            </w:pPr>
            <w:r>
              <w:rPr>
                <w:rFonts w:hint="eastAsia" w:ascii="宋体" w:hAnsi="宋体" w:cs="宋体"/>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2EACF1E0">
            <w:pPr>
              <w:topLinePunct/>
              <w:spacing w:before="100" w:beforeAutospacing="1" w:after="100" w:afterAutospacing="1" w:line="440" w:lineRule="exact"/>
              <w:jc w:val="center"/>
              <w:rPr>
                <w:rFonts w:ascii="宋体" w:hAnsi="宋体" w:cs="宋体"/>
              </w:rPr>
            </w:pPr>
            <w:r>
              <w:rPr>
                <w:rFonts w:hint="eastAsia" w:ascii="宋体" w:hAnsi="宋体" w:cs="宋体"/>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3BC7DC91">
            <w:pPr>
              <w:topLinePunct/>
              <w:spacing w:line="440" w:lineRule="exact"/>
              <w:jc w:val="center"/>
              <w:rPr>
                <w:rFonts w:ascii="宋体" w:hAnsi="宋体" w:cs="宋体"/>
              </w:rPr>
            </w:pPr>
          </w:p>
        </w:tc>
        <w:tc>
          <w:tcPr>
            <w:tcW w:w="1287" w:type="dxa"/>
            <w:tcBorders>
              <w:top w:val="single" w:color="auto" w:sz="4" w:space="0"/>
              <w:left w:val="single" w:color="auto" w:sz="4" w:space="0"/>
              <w:bottom w:val="single" w:color="auto" w:sz="4" w:space="0"/>
              <w:right w:val="single" w:color="auto" w:sz="4" w:space="0"/>
            </w:tcBorders>
            <w:vAlign w:val="center"/>
          </w:tcPr>
          <w:p w14:paraId="7D65775F">
            <w:pPr>
              <w:topLinePunct/>
              <w:spacing w:before="100" w:beforeAutospacing="1" w:after="100" w:afterAutospacing="1" w:line="440" w:lineRule="exact"/>
              <w:jc w:val="center"/>
              <w:rPr>
                <w:rFonts w:ascii="宋体" w:hAnsi="宋体" w:cs="宋体"/>
              </w:rPr>
            </w:pPr>
            <w:r>
              <w:rPr>
                <w:rFonts w:hint="eastAsia" w:ascii="宋体" w:hAnsi="宋体" w:cs="宋体"/>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38A16967">
            <w:pPr>
              <w:topLinePunct/>
              <w:spacing w:line="440" w:lineRule="exact"/>
              <w:jc w:val="center"/>
              <w:rPr>
                <w:rFonts w:ascii="宋体" w:hAnsi="宋体" w:cs="宋体"/>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35571DB">
            <w:pPr>
              <w:topLinePunct/>
              <w:spacing w:before="100" w:beforeAutospacing="1" w:after="100" w:afterAutospacing="1" w:line="440" w:lineRule="exact"/>
              <w:jc w:val="center"/>
              <w:rPr>
                <w:rFonts w:ascii="宋体" w:hAnsi="宋体" w:cs="宋体"/>
              </w:rPr>
            </w:pPr>
            <w:r>
              <w:rPr>
                <w:rFonts w:hint="eastAsia" w:ascii="宋体" w:hAnsi="宋体" w:cs="宋体"/>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1FFDA571">
            <w:pPr>
              <w:topLinePunct/>
              <w:spacing w:line="440" w:lineRule="exact"/>
              <w:jc w:val="center"/>
              <w:rPr>
                <w:rFonts w:ascii="宋体" w:hAnsi="宋体" w:cs="宋体"/>
              </w:rPr>
            </w:pPr>
          </w:p>
        </w:tc>
      </w:tr>
      <w:tr w14:paraId="16740B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BB0FC9F">
            <w:pPr>
              <w:topLinePunct/>
              <w:spacing w:before="100" w:beforeAutospacing="1" w:after="100" w:afterAutospacing="1" w:line="440" w:lineRule="exact"/>
              <w:jc w:val="center"/>
              <w:rPr>
                <w:rFonts w:ascii="宋体" w:hAnsi="宋体" w:cs="宋体"/>
              </w:rPr>
            </w:pPr>
            <w:r>
              <w:rPr>
                <w:rFonts w:hint="eastAsia" w:ascii="宋体" w:hAnsi="宋体" w:cs="宋体"/>
              </w:rPr>
              <w:t>企业</w:t>
            </w:r>
            <w:r>
              <w:rPr>
                <w:rFonts w:hint="eastAsia" w:ascii="宋体" w:hAnsi="宋体" w:cs="宋体"/>
                <w:szCs w:val="21"/>
              </w:rPr>
              <w:t>监理</w:t>
            </w:r>
            <w:r>
              <w:rPr>
                <w:rFonts w:hint="eastAsia" w:ascii="宋体" w:hAnsi="宋体" w:cs="宋体"/>
              </w:rPr>
              <w:t>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2FD8424B">
            <w:pPr>
              <w:topLinePunct/>
              <w:spacing w:before="100" w:beforeAutospacing="1" w:after="100" w:afterAutospacing="1" w:line="440" w:lineRule="exact"/>
              <w:ind w:firstLine="105" w:firstLineChars="50"/>
              <w:jc w:val="center"/>
              <w:rPr>
                <w:rFonts w:ascii="宋体" w:hAnsi="宋体" w:cs="宋体"/>
              </w:rPr>
            </w:pPr>
            <w:r>
              <w:rPr>
                <w:rFonts w:hint="eastAsia" w:ascii="宋体" w:hAnsi="宋体" w:cs="宋体"/>
              </w:rPr>
              <w:t>类型：                    等级：      证书号：</w:t>
            </w:r>
          </w:p>
        </w:tc>
      </w:tr>
      <w:tr w14:paraId="2029E2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CEE741A">
            <w:pPr>
              <w:topLinePunct/>
              <w:spacing w:before="100" w:beforeAutospacing="1" w:after="100" w:afterAutospacing="1" w:line="440" w:lineRule="exact"/>
              <w:jc w:val="center"/>
              <w:rPr>
                <w:rFonts w:ascii="宋体" w:hAnsi="宋体" w:cs="宋体"/>
              </w:rPr>
            </w:pPr>
            <w:r>
              <w:rPr>
                <w:rFonts w:hint="eastAsia" w:ascii="宋体" w:hAnsi="宋体" w:cs="宋体"/>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62E90321">
            <w:pPr>
              <w:topLinePunct/>
              <w:spacing w:before="100" w:beforeAutospacing="1" w:after="100" w:afterAutospacing="1" w:line="440" w:lineRule="exact"/>
              <w:ind w:firstLine="105" w:firstLineChars="50"/>
              <w:jc w:val="center"/>
              <w:rPr>
                <w:rFonts w:ascii="宋体" w:hAnsi="宋体" w:cs="宋体"/>
              </w:rPr>
            </w:pPr>
            <w:r>
              <w:rPr>
                <w:rFonts w:hint="eastAsia" w:ascii="宋体" w:hAnsi="宋体" w:cs="宋体"/>
              </w:rPr>
              <w:t>类型：                    等级：      证书号：</w:t>
            </w:r>
          </w:p>
        </w:tc>
      </w:tr>
      <w:tr w14:paraId="2C4325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1D8B1BA">
            <w:pPr>
              <w:topLinePunct/>
              <w:spacing w:before="100" w:beforeAutospacing="1" w:after="100" w:afterAutospacing="1" w:line="440" w:lineRule="exact"/>
              <w:jc w:val="center"/>
              <w:rPr>
                <w:rFonts w:ascii="宋体" w:hAnsi="宋体" w:cs="宋体"/>
              </w:rPr>
            </w:pPr>
            <w:r>
              <w:rPr>
                <w:rFonts w:hint="eastAsia" w:ascii="宋体" w:hAnsi="宋体" w:cs="宋体"/>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7126DA33">
            <w:pPr>
              <w:topLinePunct/>
              <w:spacing w:line="440" w:lineRule="exact"/>
              <w:jc w:val="center"/>
              <w:rPr>
                <w:rFonts w:ascii="宋体" w:hAnsi="宋体" w:cs="宋体"/>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14:paraId="7A8DC81E">
            <w:pPr>
              <w:topLinePunct/>
              <w:spacing w:before="100" w:beforeAutospacing="1" w:after="100" w:afterAutospacing="1" w:line="440" w:lineRule="exact"/>
              <w:jc w:val="center"/>
              <w:rPr>
                <w:rFonts w:ascii="宋体" w:hAnsi="宋体" w:cs="宋体"/>
              </w:rPr>
            </w:pPr>
            <w:r>
              <w:rPr>
                <w:rFonts w:hint="eastAsia" w:ascii="宋体" w:hAnsi="宋体" w:cs="宋体"/>
              </w:rPr>
              <w:t>员工总人数：</w:t>
            </w:r>
          </w:p>
        </w:tc>
      </w:tr>
      <w:tr w14:paraId="1C09A4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2711E443">
            <w:pPr>
              <w:topLinePunct/>
              <w:spacing w:before="100" w:beforeAutospacing="1" w:after="100" w:afterAutospacing="1" w:line="440" w:lineRule="exact"/>
              <w:jc w:val="center"/>
              <w:rPr>
                <w:rFonts w:ascii="宋体" w:hAnsi="宋体" w:cs="宋体"/>
              </w:rPr>
            </w:pPr>
            <w:r>
              <w:rPr>
                <w:rFonts w:hint="eastAsia" w:ascii="宋体" w:hAnsi="宋体" w:cs="宋体"/>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746EB3E8">
            <w:pPr>
              <w:topLinePunct/>
              <w:spacing w:line="440" w:lineRule="exact"/>
              <w:jc w:val="center"/>
              <w:rPr>
                <w:rFonts w:ascii="宋体" w:hAnsi="宋体" w:cs="宋体"/>
              </w:rPr>
            </w:pPr>
          </w:p>
        </w:tc>
        <w:tc>
          <w:tcPr>
            <w:tcW w:w="414" w:type="dxa"/>
            <w:vMerge w:val="restart"/>
            <w:tcBorders>
              <w:top w:val="single" w:color="auto" w:sz="4" w:space="0"/>
              <w:left w:val="single" w:color="auto" w:sz="4" w:space="0"/>
              <w:right w:val="single" w:color="auto" w:sz="4" w:space="0"/>
            </w:tcBorders>
            <w:vAlign w:val="center"/>
          </w:tcPr>
          <w:p w14:paraId="55F8B5C1">
            <w:pPr>
              <w:topLinePunct/>
              <w:spacing w:before="100" w:beforeAutospacing="1" w:after="100" w:afterAutospacing="1" w:line="440" w:lineRule="exact"/>
              <w:jc w:val="center"/>
              <w:rPr>
                <w:rFonts w:ascii="宋体" w:hAnsi="宋体" w:cs="宋体"/>
              </w:rPr>
            </w:pPr>
            <w:r>
              <w:rPr>
                <w:rFonts w:hint="eastAsia" w:ascii="宋体" w:hAnsi="宋体" w:cs="宋体"/>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1618B4C">
            <w:pPr>
              <w:topLinePunct/>
              <w:spacing w:before="100" w:beforeAutospacing="1" w:after="100" w:afterAutospacing="1" w:line="440" w:lineRule="exact"/>
              <w:jc w:val="center"/>
              <w:rPr>
                <w:rFonts w:ascii="宋体" w:hAnsi="宋体" w:cs="宋体"/>
              </w:rPr>
            </w:pPr>
            <w:r>
              <w:rPr>
                <w:rFonts w:hint="eastAsia" w:ascii="宋体" w:hAnsi="宋体" w:cs="宋体"/>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5629C8CF">
            <w:pPr>
              <w:topLinePunct/>
              <w:spacing w:line="440" w:lineRule="exact"/>
              <w:jc w:val="center"/>
              <w:rPr>
                <w:rFonts w:ascii="宋体" w:hAnsi="宋体" w:cs="宋体"/>
              </w:rPr>
            </w:pPr>
          </w:p>
        </w:tc>
      </w:tr>
      <w:tr w14:paraId="521E94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8E9AA21">
            <w:pPr>
              <w:topLinePunct/>
              <w:spacing w:before="100" w:beforeAutospacing="1" w:after="100" w:afterAutospacing="1" w:line="440" w:lineRule="exact"/>
              <w:jc w:val="center"/>
              <w:rPr>
                <w:rFonts w:ascii="宋体" w:hAnsi="宋体" w:cs="宋体"/>
              </w:rPr>
            </w:pPr>
            <w:r>
              <w:rPr>
                <w:rFonts w:hint="eastAsia" w:ascii="宋体" w:hAnsi="宋体" w:cs="宋体"/>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7730734D">
            <w:pPr>
              <w:topLinePunct/>
              <w:spacing w:line="440" w:lineRule="exact"/>
              <w:jc w:val="center"/>
              <w:rPr>
                <w:rFonts w:ascii="宋体" w:hAnsi="宋体" w:cs="宋体"/>
              </w:rPr>
            </w:pPr>
          </w:p>
        </w:tc>
        <w:tc>
          <w:tcPr>
            <w:tcW w:w="414" w:type="dxa"/>
            <w:vMerge w:val="continue"/>
            <w:tcBorders>
              <w:left w:val="single" w:color="auto" w:sz="4" w:space="0"/>
              <w:right w:val="single" w:color="auto" w:sz="4" w:space="0"/>
            </w:tcBorders>
            <w:vAlign w:val="center"/>
          </w:tcPr>
          <w:p w14:paraId="18C43D79">
            <w:pPr>
              <w:jc w:val="center"/>
              <w:rPr>
                <w:rFonts w:ascii="宋体" w:hAnsi="宋体" w:cs="宋体"/>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B76FF08">
            <w:pPr>
              <w:topLinePunct/>
              <w:spacing w:before="100" w:beforeAutospacing="1" w:after="100" w:afterAutospacing="1" w:line="440" w:lineRule="exact"/>
              <w:jc w:val="center"/>
              <w:rPr>
                <w:rFonts w:ascii="宋体" w:hAnsi="宋体" w:cs="宋体"/>
              </w:rPr>
            </w:pPr>
            <w:r>
              <w:rPr>
                <w:rFonts w:hint="eastAsia" w:ascii="宋体" w:hAnsi="宋体" w:cs="宋体"/>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5F22B8F6">
            <w:pPr>
              <w:topLinePunct/>
              <w:spacing w:line="440" w:lineRule="exact"/>
              <w:jc w:val="center"/>
              <w:rPr>
                <w:rFonts w:ascii="宋体" w:hAnsi="宋体" w:cs="宋体"/>
              </w:rPr>
            </w:pPr>
          </w:p>
        </w:tc>
      </w:tr>
      <w:tr w14:paraId="6658EE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A266D63">
            <w:pPr>
              <w:topLinePunct/>
              <w:spacing w:before="100" w:beforeAutospacing="1" w:after="100" w:afterAutospacing="1" w:line="440" w:lineRule="exact"/>
              <w:jc w:val="center"/>
              <w:rPr>
                <w:rFonts w:ascii="宋体" w:hAnsi="宋体" w:cs="宋体"/>
              </w:rPr>
            </w:pPr>
            <w:r>
              <w:rPr>
                <w:rFonts w:hint="eastAsia" w:ascii="宋体" w:hAnsi="宋体" w:cs="宋体"/>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2F3F6B46">
            <w:pPr>
              <w:topLinePunct/>
              <w:spacing w:line="440" w:lineRule="exact"/>
              <w:jc w:val="center"/>
              <w:rPr>
                <w:rFonts w:ascii="宋体" w:hAnsi="宋体" w:cs="宋体"/>
              </w:rPr>
            </w:pPr>
          </w:p>
        </w:tc>
        <w:tc>
          <w:tcPr>
            <w:tcW w:w="414" w:type="dxa"/>
            <w:vMerge w:val="continue"/>
            <w:tcBorders>
              <w:left w:val="single" w:color="auto" w:sz="4" w:space="0"/>
              <w:right w:val="single" w:color="auto" w:sz="4" w:space="0"/>
            </w:tcBorders>
            <w:vAlign w:val="center"/>
          </w:tcPr>
          <w:p w14:paraId="2F031D18">
            <w:pPr>
              <w:jc w:val="center"/>
              <w:rPr>
                <w:rFonts w:ascii="宋体" w:hAnsi="宋体" w:cs="宋体"/>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57FF232">
            <w:pPr>
              <w:topLinePunct/>
              <w:spacing w:before="100" w:beforeAutospacing="1" w:after="100" w:afterAutospacing="1" w:line="440" w:lineRule="exact"/>
              <w:jc w:val="center"/>
              <w:rPr>
                <w:rFonts w:ascii="宋体" w:hAnsi="宋体" w:cs="宋体"/>
              </w:rPr>
            </w:pPr>
            <w:r>
              <w:rPr>
                <w:rFonts w:hint="eastAsia" w:ascii="宋体" w:hAnsi="宋体" w:cs="宋体"/>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387B1ECA">
            <w:pPr>
              <w:topLinePunct/>
              <w:spacing w:line="440" w:lineRule="exact"/>
              <w:jc w:val="center"/>
              <w:rPr>
                <w:rFonts w:ascii="宋体" w:hAnsi="宋体" w:cs="宋体"/>
              </w:rPr>
            </w:pPr>
          </w:p>
        </w:tc>
      </w:tr>
      <w:tr w14:paraId="66BC24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CCEB40B">
            <w:pPr>
              <w:topLinePunct/>
              <w:spacing w:before="100" w:beforeAutospacing="1" w:after="100" w:afterAutospacing="1" w:line="440" w:lineRule="exact"/>
              <w:jc w:val="center"/>
              <w:rPr>
                <w:rFonts w:ascii="宋体" w:hAnsi="宋体" w:cs="宋体"/>
              </w:rPr>
            </w:pPr>
            <w:r>
              <w:rPr>
                <w:rFonts w:hint="eastAsia" w:ascii="宋体" w:hAnsi="宋体" w:cs="宋体"/>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20DE0E52">
            <w:pPr>
              <w:topLinePunct/>
              <w:spacing w:line="440" w:lineRule="exact"/>
              <w:jc w:val="center"/>
              <w:rPr>
                <w:rFonts w:ascii="宋体" w:hAnsi="宋体" w:cs="宋体"/>
              </w:rPr>
            </w:pPr>
          </w:p>
        </w:tc>
        <w:tc>
          <w:tcPr>
            <w:tcW w:w="414" w:type="dxa"/>
            <w:vMerge w:val="continue"/>
            <w:tcBorders>
              <w:left w:val="single" w:color="auto" w:sz="4" w:space="0"/>
              <w:right w:val="single" w:color="auto" w:sz="4" w:space="0"/>
            </w:tcBorders>
            <w:vAlign w:val="center"/>
          </w:tcPr>
          <w:p w14:paraId="01D8313E">
            <w:pPr>
              <w:jc w:val="center"/>
              <w:rPr>
                <w:rFonts w:ascii="宋体" w:hAnsi="宋体" w:cs="宋体"/>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DE5B5A5">
            <w:pPr>
              <w:topLinePunct/>
              <w:spacing w:before="100" w:beforeAutospacing="1" w:after="100" w:afterAutospacing="1" w:line="440" w:lineRule="exact"/>
              <w:jc w:val="center"/>
              <w:rPr>
                <w:rFonts w:ascii="宋体" w:hAnsi="宋体" w:cs="宋体"/>
              </w:rPr>
            </w:pPr>
            <w:r>
              <w:rPr>
                <w:rFonts w:hint="eastAsia" w:ascii="宋体" w:hAnsi="宋体" w:cs="宋体"/>
                <w:szCs w:val="21"/>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50765588">
            <w:pPr>
              <w:topLinePunct/>
              <w:spacing w:line="440" w:lineRule="exact"/>
              <w:jc w:val="center"/>
              <w:rPr>
                <w:rFonts w:ascii="宋体" w:hAnsi="宋体" w:cs="宋体"/>
              </w:rPr>
            </w:pPr>
          </w:p>
        </w:tc>
      </w:tr>
      <w:tr w14:paraId="60D895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5ABF611B">
            <w:pPr>
              <w:topLinePunct/>
              <w:spacing w:before="100" w:beforeAutospacing="1" w:after="100" w:afterAutospacing="1" w:line="440" w:lineRule="exact"/>
              <w:ind w:firstLine="210" w:firstLineChars="100"/>
              <w:jc w:val="center"/>
              <w:rPr>
                <w:rFonts w:ascii="宋体" w:hAnsi="宋体" w:cs="宋体"/>
              </w:rPr>
            </w:pPr>
            <w:r>
              <w:rPr>
                <w:rFonts w:hint="eastAsia" w:ascii="宋体" w:hAnsi="宋体" w:cs="宋体"/>
              </w:rPr>
              <w:t>经营范围</w:t>
            </w:r>
          </w:p>
        </w:tc>
        <w:tc>
          <w:tcPr>
            <w:tcW w:w="6840" w:type="dxa"/>
            <w:gridSpan w:val="8"/>
            <w:tcBorders>
              <w:top w:val="single" w:color="auto" w:sz="4" w:space="0"/>
              <w:left w:val="single" w:color="auto" w:sz="4" w:space="0"/>
              <w:right w:val="single" w:color="auto" w:sz="4" w:space="0"/>
            </w:tcBorders>
            <w:vAlign w:val="center"/>
          </w:tcPr>
          <w:p w14:paraId="7AFD41F7">
            <w:pPr>
              <w:topLinePunct/>
              <w:spacing w:line="440" w:lineRule="exact"/>
              <w:jc w:val="center"/>
              <w:rPr>
                <w:rFonts w:ascii="宋体" w:hAnsi="宋体" w:cs="宋体"/>
              </w:rPr>
            </w:pPr>
          </w:p>
        </w:tc>
      </w:tr>
      <w:tr w14:paraId="6C4E0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6FFC3581">
            <w:pPr>
              <w:topLinePunct/>
              <w:spacing w:before="100" w:beforeAutospacing="1" w:after="100" w:afterAutospacing="1" w:line="440" w:lineRule="exact"/>
              <w:jc w:val="center"/>
              <w:rPr>
                <w:rFonts w:ascii="宋体" w:hAnsi="宋体" w:cs="宋体"/>
              </w:rPr>
            </w:pPr>
            <w:r>
              <w:rPr>
                <w:rFonts w:hint="eastAsia" w:ascii="宋体" w:hAnsi="宋体" w:cs="宋体"/>
                <w:szCs w:val="21"/>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vAlign w:val="center"/>
          </w:tcPr>
          <w:p w14:paraId="399D8D99">
            <w:pPr>
              <w:topLinePunct/>
              <w:spacing w:line="440" w:lineRule="exact"/>
              <w:jc w:val="center"/>
              <w:rPr>
                <w:rFonts w:ascii="宋体" w:hAnsi="宋体" w:cs="宋体"/>
              </w:rPr>
            </w:pPr>
          </w:p>
        </w:tc>
      </w:tr>
      <w:tr w14:paraId="0D9BF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8F9EF52">
            <w:pPr>
              <w:topLinePunct/>
              <w:spacing w:before="100" w:beforeAutospacing="1" w:after="100" w:afterAutospacing="1" w:line="440" w:lineRule="exact"/>
              <w:jc w:val="center"/>
              <w:rPr>
                <w:rFonts w:ascii="宋体" w:hAnsi="宋体" w:cs="宋体"/>
              </w:rPr>
            </w:pPr>
            <w:r>
              <w:rPr>
                <w:rFonts w:hint="eastAsia" w:ascii="宋体" w:hAnsi="宋体" w:cs="宋体"/>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775EDEF3">
            <w:pPr>
              <w:topLinePunct/>
              <w:spacing w:line="440" w:lineRule="exact"/>
              <w:jc w:val="center"/>
              <w:rPr>
                <w:rFonts w:ascii="宋体" w:hAnsi="宋体" w:cs="宋体"/>
              </w:rPr>
            </w:pPr>
          </w:p>
        </w:tc>
      </w:tr>
    </w:tbl>
    <w:p w14:paraId="33AD58FC">
      <w:pPr>
        <w:spacing w:line="400" w:lineRule="exact"/>
        <w:rPr>
          <w:rFonts w:ascii="宋体" w:hAnsi="宋体" w:cs="宋体"/>
        </w:rPr>
      </w:pPr>
      <w:r>
        <w:rPr>
          <w:rFonts w:hint="eastAsia" w:ascii="宋体" w:hAnsi="宋体" w:cs="宋体"/>
        </w:rPr>
        <w:t>注：投标人应根据招标公告及招标文件的要求在本表后附相关证明材料。</w:t>
      </w:r>
    </w:p>
    <w:p w14:paraId="1C3B946A">
      <w:pPr>
        <w:pStyle w:val="5"/>
        <w:keepNext w:val="0"/>
        <w:keepLines w:val="0"/>
        <w:spacing w:after="0"/>
        <w:ind w:firstLine="137"/>
        <w:rPr>
          <w:rFonts w:ascii="宋体" w:hAnsi="宋体" w:eastAsia="宋体" w:cs="宋体"/>
          <w:strike/>
        </w:rPr>
      </w:pPr>
      <w:r>
        <w:rPr>
          <w:rFonts w:hint="eastAsia" w:ascii="宋体" w:hAnsi="宋体" w:eastAsia="宋体" w:cs="宋体"/>
          <w:strike/>
        </w:rPr>
        <w:br w:type="page"/>
      </w:r>
      <w:bookmarkStart w:id="838" w:name="_Toc1695"/>
      <w:bookmarkStart w:id="839" w:name="_Toc14966915"/>
      <w:bookmarkStart w:id="840" w:name="_Toc27158"/>
      <w:bookmarkStart w:id="841" w:name="_Toc12593"/>
      <w:bookmarkStart w:id="842" w:name="_Toc3264"/>
      <w:bookmarkStart w:id="843" w:name="_Toc4684"/>
      <w:bookmarkStart w:id="844" w:name="_Toc9716"/>
      <w:bookmarkStart w:id="845" w:name="_Toc19169"/>
      <w:bookmarkStart w:id="846" w:name="_Toc22916"/>
      <w:bookmarkStart w:id="847" w:name="_Toc17207"/>
      <w:bookmarkStart w:id="848" w:name="_Toc527969231"/>
      <w:bookmarkStart w:id="849" w:name="_Toc3761"/>
      <w:bookmarkStart w:id="850" w:name="_Toc18411"/>
      <w:bookmarkStart w:id="851" w:name="_Toc15259"/>
      <w:bookmarkStart w:id="852" w:name="_Toc25591"/>
      <w:bookmarkStart w:id="853" w:name="_Toc22198"/>
      <w:bookmarkStart w:id="854" w:name="_Toc30910"/>
      <w:bookmarkStart w:id="855" w:name="_Toc501"/>
      <w:r>
        <w:rPr>
          <w:rFonts w:hint="eastAsia" w:ascii="宋体" w:hAnsi="宋体" w:eastAsia="宋体" w:cs="宋体"/>
        </w:rPr>
        <w:t>（二）近年完成的类似项目情况表</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09C5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34B96A52">
            <w:pPr>
              <w:topLinePunct/>
              <w:spacing w:line="440" w:lineRule="exact"/>
              <w:jc w:val="center"/>
              <w:rPr>
                <w:rFonts w:ascii="宋体" w:hAnsi="宋体" w:cs="宋体"/>
              </w:rPr>
            </w:pPr>
            <w:r>
              <w:rPr>
                <w:rFonts w:hint="eastAsia" w:ascii="宋体" w:hAnsi="宋体" w:cs="宋体"/>
              </w:rPr>
              <w:t>项目名称</w:t>
            </w:r>
          </w:p>
        </w:tc>
        <w:tc>
          <w:tcPr>
            <w:tcW w:w="6253" w:type="dxa"/>
            <w:tcBorders>
              <w:top w:val="single" w:color="auto" w:sz="4" w:space="0"/>
              <w:left w:val="single" w:color="auto" w:sz="4" w:space="0"/>
              <w:bottom w:val="single" w:color="auto" w:sz="4" w:space="0"/>
              <w:right w:val="single" w:color="auto" w:sz="4" w:space="0"/>
            </w:tcBorders>
          </w:tcPr>
          <w:p w14:paraId="48308E07">
            <w:pPr>
              <w:topLinePunct/>
              <w:spacing w:line="440" w:lineRule="exact"/>
              <w:rPr>
                <w:rFonts w:ascii="宋体" w:hAnsi="宋体" w:cs="宋体"/>
              </w:rPr>
            </w:pPr>
          </w:p>
        </w:tc>
      </w:tr>
      <w:tr w14:paraId="1766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75C929B9">
            <w:pPr>
              <w:topLinePunct/>
              <w:spacing w:line="440" w:lineRule="exact"/>
              <w:jc w:val="center"/>
              <w:rPr>
                <w:rFonts w:ascii="宋体" w:hAnsi="宋体" w:cs="宋体"/>
              </w:rPr>
            </w:pPr>
            <w:r>
              <w:rPr>
                <w:rFonts w:hint="eastAsia" w:ascii="宋体" w:hAnsi="宋体" w:cs="宋体"/>
              </w:rPr>
              <w:t>项目所在地</w:t>
            </w:r>
          </w:p>
        </w:tc>
        <w:tc>
          <w:tcPr>
            <w:tcW w:w="6253" w:type="dxa"/>
            <w:tcBorders>
              <w:top w:val="single" w:color="auto" w:sz="4" w:space="0"/>
              <w:left w:val="single" w:color="auto" w:sz="4" w:space="0"/>
              <w:bottom w:val="single" w:color="auto" w:sz="4" w:space="0"/>
              <w:right w:val="single" w:color="auto" w:sz="4" w:space="0"/>
            </w:tcBorders>
          </w:tcPr>
          <w:p w14:paraId="41528FE0">
            <w:pPr>
              <w:topLinePunct/>
              <w:spacing w:line="440" w:lineRule="exact"/>
              <w:rPr>
                <w:rFonts w:ascii="宋体" w:hAnsi="宋体" w:cs="宋体"/>
              </w:rPr>
            </w:pPr>
          </w:p>
        </w:tc>
      </w:tr>
      <w:tr w14:paraId="098C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4AA41366">
            <w:pPr>
              <w:topLinePunct/>
              <w:spacing w:line="440" w:lineRule="exact"/>
              <w:jc w:val="center"/>
              <w:rPr>
                <w:rFonts w:ascii="宋体" w:hAnsi="宋体" w:cs="宋体"/>
              </w:rPr>
            </w:pPr>
            <w:r>
              <w:rPr>
                <w:rFonts w:hint="eastAsia" w:ascii="宋体" w:hAnsi="宋体" w:cs="宋体"/>
              </w:rPr>
              <w:t>委托人名称</w:t>
            </w:r>
          </w:p>
        </w:tc>
        <w:tc>
          <w:tcPr>
            <w:tcW w:w="6253" w:type="dxa"/>
            <w:tcBorders>
              <w:top w:val="single" w:color="auto" w:sz="4" w:space="0"/>
              <w:left w:val="single" w:color="auto" w:sz="4" w:space="0"/>
              <w:bottom w:val="single" w:color="auto" w:sz="4" w:space="0"/>
              <w:right w:val="single" w:color="auto" w:sz="4" w:space="0"/>
            </w:tcBorders>
          </w:tcPr>
          <w:p w14:paraId="1388FE35">
            <w:pPr>
              <w:topLinePunct/>
              <w:spacing w:line="440" w:lineRule="exact"/>
              <w:rPr>
                <w:rFonts w:ascii="宋体" w:hAnsi="宋体" w:cs="宋体"/>
              </w:rPr>
            </w:pPr>
          </w:p>
        </w:tc>
      </w:tr>
      <w:tr w14:paraId="534D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00ADDBBC">
            <w:pPr>
              <w:topLinePunct/>
              <w:spacing w:line="440" w:lineRule="exact"/>
              <w:jc w:val="center"/>
              <w:rPr>
                <w:rFonts w:ascii="宋体" w:hAnsi="宋体" w:cs="宋体"/>
              </w:rPr>
            </w:pPr>
            <w:r>
              <w:rPr>
                <w:rFonts w:hint="eastAsia" w:ascii="宋体" w:hAnsi="宋体" w:cs="宋体"/>
              </w:rPr>
              <w:t>委托人地址</w:t>
            </w:r>
          </w:p>
        </w:tc>
        <w:tc>
          <w:tcPr>
            <w:tcW w:w="6253" w:type="dxa"/>
            <w:tcBorders>
              <w:top w:val="single" w:color="auto" w:sz="4" w:space="0"/>
              <w:left w:val="single" w:color="auto" w:sz="4" w:space="0"/>
              <w:bottom w:val="single" w:color="auto" w:sz="4" w:space="0"/>
              <w:right w:val="single" w:color="auto" w:sz="4" w:space="0"/>
            </w:tcBorders>
          </w:tcPr>
          <w:p w14:paraId="28D37571">
            <w:pPr>
              <w:topLinePunct/>
              <w:spacing w:line="440" w:lineRule="exact"/>
              <w:rPr>
                <w:rFonts w:ascii="宋体" w:hAnsi="宋体" w:cs="宋体"/>
              </w:rPr>
            </w:pPr>
          </w:p>
        </w:tc>
      </w:tr>
      <w:tr w14:paraId="3F65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56D3901B">
            <w:pPr>
              <w:topLinePunct/>
              <w:spacing w:line="440" w:lineRule="exact"/>
              <w:jc w:val="center"/>
              <w:rPr>
                <w:rFonts w:ascii="宋体" w:hAnsi="宋体" w:cs="宋体"/>
              </w:rPr>
            </w:pPr>
            <w:r>
              <w:rPr>
                <w:rFonts w:hint="eastAsia" w:ascii="宋体" w:hAnsi="宋体" w:cs="宋体"/>
              </w:rPr>
              <w:t>委托人电话</w:t>
            </w:r>
          </w:p>
        </w:tc>
        <w:tc>
          <w:tcPr>
            <w:tcW w:w="6253" w:type="dxa"/>
            <w:tcBorders>
              <w:top w:val="single" w:color="auto" w:sz="4" w:space="0"/>
              <w:left w:val="single" w:color="auto" w:sz="4" w:space="0"/>
              <w:bottom w:val="single" w:color="auto" w:sz="4" w:space="0"/>
              <w:right w:val="single" w:color="auto" w:sz="4" w:space="0"/>
            </w:tcBorders>
          </w:tcPr>
          <w:p w14:paraId="0D4C33A1">
            <w:pPr>
              <w:topLinePunct/>
              <w:spacing w:line="440" w:lineRule="exact"/>
              <w:rPr>
                <w:rFonts w:ascii="宋体" w:hAnsi="宋体" w:cs="宋体"/>
              </w:rPr>
            </w:pPr>
          </w:p>
        </w:tc>
      </w:tr>
      <w:tr w14:paraId="09EB2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2DB30F2A">
            <w:pPr>
              <w:topLinePunct/>
              <w:spacing w:line="440" w:lineRule="exact"/>
              <w:jc w:val="center"/>
              <w:rPr>
                <w:rFonts w:ascii="宋体" w:hAnsi="宋体" w:cs="宋体"/>
              </w:rPr>
            </w:pPr>
            <w:r>
              <w:rPr>
                <w:rFonts w:hint="eastAsia" w:ascii="宋体" w:hAnsi="宋体" w:cs="宋体"/>
              </w:rPr>
              <w:t>合同价格</w:t>
            </w:r>
          </w:p>
        </w:tc>
        <w:tc>
          <w:tcPr>
            <w:tcW w:w="6253" w:type="dxa"/>
            <w:tcBorders>
              <w:top w:val="single" w:color="auto" w:sz="4" w:space="0"/>
              <w:left w:val="single" w:color="auto" w:sz="4" w:space="0"/>
              <w:bottom w:val="single" w:color="auto" w:sz="4" w:space="0"/>
              <w:right w:val="single" w:color="auto" w:sz="4" w:space="0"/>
            </w:tcBorders>
          </w:tcPr>
          <w:p w14:paraId="4959825E">
            <w:pPr>
              <w:topLinePunct/>
              <w:spacing w:line="440" w:lineRule="exact"/>
              <w:rPr>
                <w:rFonts w:ascii="宋体" w:hAnsi="宋体" w:cs="宋体"/>
              </w:rPr>
            </w:pPr>
          </w:p>
        </w:tc>
      </w:tr>
      <w:tr w14:paraId="7417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1E5A7936">
            <w:pPr>
              <w:topLinePunct/>
              <w:spacing w:line="440" w:lineRule="exact"/>
              <w:jc w:val="center"/>
              <w:rPr>
                <w:rFonts w:ascii="宋体" w:hAnsi="宋体" w:cs="宋体"/>
              </w:rPr>
            </w:pPr>
            <w:r>
              <w:rPr>
                <w:rFonts w:hint="eastAsia" w:ascii="宋体" w:hAnsi="宋体" w:cs="宋体"/>
              </w:rPr>
              <w:t>监理服务期限</w:t>
            </w:r>
          </w:p>
        </w:tc>
        <w:tc>
          <w:tcPr>
            <w:tcW w:w="6253" w:type="dxa"/>
            <w:tcBorders>
              <w:top w:val="single" w:color="auto" w:sz="4" w:space="0"/>
              <w:left w:val="single" w:color="auto" w:sz="4" w:space="0"/>
              <w:bottom w:val="single" w:color="auto" w:sz="4" w:space="0"/>
              <w:right w:val="single" w:color="auto" w:sz="4" w:space="0"/>
            </w:tcBorders>
          </w:tcPr>
          <w:p w14:paraId="0FE8E14A">
            <w:pPr>
              <w:topLinePunct/>
              <w:spacing w:line="440" w:lineRule="exact"/>
              <w:rPr>
                <w:rFonts w:ascii="宋体" w:hAnsi="宋体" w:cs="宋体"/>
              </w:rPr>
            </w:pPr>
          </w:p>
        </w:tc>
      </w:tr>
      <w:tr w14:paraId="09F7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47265548">
            <w:pPr>
              <w:topLinePunct/>
              <w:spacing w:line="440" w:lineRule="exact"/>
              <w:jc w:val="center"/>
              <w:rPr>
                <w:rFonts w:ascii="宋体" w:hAnsi="宋体" w:cs="宋体"/>
              </w:rPr>
            </w:pPr>
            <w:r>
              <w:rPr>
                <w:rFonts w:hint="eastAsia" w:ascii="宋体" w:hAnsi="宋体" w:cs="宋体"/>
              </w:rPr>
              <w:t>监理内容</w:t>
            </w:r>
          </w:p>
        </w:tc>
        <w:tc>
          <w:tcPr>
            <w:tcW w:w="6253" w:type="dxa"/>
            <w:tcBorders>
              <w:top w:val="single" w:color="auto" w:sz="4" w:space="0"/>
              <w:left w:val="single" w:color="auto" w:sz="4" w:space="0"/>
              <w:bottom w:val="single" w:color="auto" w:sz="4" w:space="0"/>
              <w:right w:val="single" w:color="auto" w:sz="4" w:space="0"/>
            </w:tcBorders>
          </w:tcPr>
          <w:p w14:paraId="24A285E5">
            <w:pPr>
              <w:topLinePunct/>
              <w:spacing w:line="440" w:lineRule="exact"/>
              <w:rPr>
                <w:rFonts w:ascii="宋体" w:hAnsi="宋体" w:cs="宋体"/>
              </w:rPr>
            </w:pPr>
          </w:p>
        </w:tc>
      </w:tr>
      <w:tr w14:paraId="436F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762D32C6">
            <w:pPr>
              <w:topLinePunct/>
              <w:spacing w:line="440" w:lineRule="exact"/>
              <w:jc w:val="center"/>
              <w:rPr>
                <w:rFonts w:ascii="宋体" w:hAnsi="宋体" w:cs="宋体"/>
              </w:rPr>
            </w:pPr>
            <w:r>
              <w:rPr>
                <w:rFonts w:hint="eastAsia" w:ascii="宋体" w:hAnsi="宋体" w:cs="宋体"/>
              </w:rPr>
              <w:t>总监理工程师</w:t>
            </w:r>
          </w:p>
        </w:tc>
        <w:tc>
          <w:tcPr>
            <w:tcW w:w="6253" w:type="dxa"/>
            <w:tcBorders>
              <w:top w:val="single" w:color="auto" w:sz="4" w:space="0"/>
              <w:left w:val="single" w:color="auto" w:sz="4" w:space="0"/>
              <w:bottom w:val="single" w:color="auto" w:sz="4" w:space="0"/>
              <w:right w:val="single" w:color="auto" w:sz="4" w:space="0"/>
            </w:tcBorders>
          </w:tcPr>
          <w:p w14:paraId="3F01CF04">
            <w:pPr>
              <w:topLinePunct/>
              <w:spacing w:line="440" w:lineRule="exact"/>
              <w:rPr>
                <w:rFonts w:ascii="宋体" w:hAnsi="宋体" w:cs="宋体"/>
              </w:rPr>
            </w:pPr>
          </w:p>
        </w:tc>
      </w:tr>
      <w:tr w14:paraId="470E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2A997BF5">
            <w:pPr>
              <w:topLinePunct/>
              <w:spacing w:line="440" w:lineRule="exact"/>
              <w:jc w:val="center"/>
              <w:rPr>
                <w:rFonts w:ascii="宋体" w:hAnsi="宋体" w:cs="宋体"/>
              </w:rPr>
            </w:pPr>
            <w:r>
              <w:rPr>
                <w:rFonts w:hint="eastAsia" w:ascii="宋体" w:hAnsi="宋体" w:cs="宋体"/>
              </w:rPr>
              <w:t>项目描述</w:t>
            </w:r>
          </w:p>
        </w:tc>
        <w:tc>
          <w:tcPr>
            <w:tcW w:w="6253" w:type="dxa"/>
            <w:tcBorders>
              <w:top w:val="single" w:color="auto" w:sz="4" w:space="0"/>
              <w:left w:val="single" w:color="auto" w:sz="4" w:space="0"/>
              <w:bottom w:val="single" w:color="auto" w:sz="4" w:space="0"/>
              <w:right w:val="single" w:color="auto" w:sz="4" w:space="0"/>
            </w:tcBorders>
          </w:tcPr>
          <w:p w14:paraId="5D353700">
            <w:pPr>
              <w:topLinePunct/>
              <w:spacing w:line="440" w:lineRule="exact"/>
              <w:rPr>
                <w:rFonts w:ascii="宋体" w:hAnsi="宋体" w:cs="宋体"/>
              </w:rPr>
            </w:pPr>
          </w:p>
          <w:p w14:paraId="5D8BE266">
            <w:pPr>
              <w:topLinePunct/>
              <w:spacing w:line="440" w:lineRule="exact"/>
              <w:rPr>
                <w:rFonts w:ascii="宋体" w:hAnsi="宋体" w:cs="宋体"/>
              </w:rPr>
            </w:pPr>
          </w:p>
          <w:p w14:paraId="5A79565E">
            <w:pPr>
              <w:topLinePunct/>
              <w:spacing w:line="440" w:lineRule="exact"/>
              <w:rPr>
                <w:rFonts w:ascii="宋体" w:hAnsi="宋体" w:cs="宋体"/>
              </w:rPr>
            </w:pPr>
          </w:p>
          <w:p w14:paraId="7BF342E4">
            <w:pPr>
              <w:topLinePunct/>
              <w:spacing w:line="440" w:lineRule="exact"/>
              <w:rPr>
                <w:rFonts w:ascii="宋体" w:hAnsi="宋体" w:cs="宋体"/>
              </w:rPr>
            </w:pPr>
          </w:p>
          <w:p w14:paraId="3E5A1080">
            <w:pPr>
              <w:topLinePunct/>
              <w:spacing w:line="440" w:lineRule="exact"/>
              <w:rPr>
                <w:rFonts w:ascii="宋体" w:hAnsi="宋体" w:cs="宋体"/>
              </w:rPr>
            </w:pPr>
          </w:p>
          <w:p w14:paraId="2037D917">
            <w:pPr>
              <w:topLinePunct/>
              <w:spacing w:line="440" w:lineRule="exact"/>
              <w:rPr>
                <w:rFonts w:ascii="宋体" w:hAnsi="宋体" w:cs="宋体"/>
              </w:rPr>
            </w:pPr>
          </w:p>
          <w:p w14:paraId="199011FD">
            <w:pPr>
              <w:topLinePunct/>
              <w:spacing w:line="440" w:lineRule="exact"/>
              <w:rPr>
                <w:rFonts w:ascii="宋体" w:hAnsi="宋体" w:cs="宋体"/>
              </w:rPr>
            </w:pPr>
          </w:p>
        </w:tc>
      </w:tr>
      <w:tr w14:paraId="2A0F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1CF88F54">
            <w:pPr>
              <w:topLinePunct/>
              <w:spacing w:line="440" w:lineRule="exact"/>
              <w:jc w:val="center"/>
              <w:rPr>
                <w:rFonts w:ascii="宋体" w:hAnsi="宋体" w:cs="宋体"/>
              </w:rPr>
            </w:pPr>
            <w:r>
              <w:rPr>
                <w:rFonts w:hint="eastAsia" w:ascii="宋体" w:hAnsi="宋体" w:cs="宋体"/>
              </w:rPr>
              <w:t>备注</w:t>
            </w:r>
          </w:p>
        </w:tc>
        <w:tc>
          <w:tcPr>
            <w:tcW w:w="6253" w:type="dxa"/>
            <w:tcBorders>
              <w:top w:val="single" w:color="auto" w:sz="4" w:space="0"/>
              <w:left w:val="single" w:color="auto" w:sz="4" w:space="0"/>
              <w:bottom w:val="single" w:color="auto" w:sz="4" w:space="0"/>
              <w:right w:val="single" w:color="auto" w:sz="4" w:space="0"/>
            </w:tcBorders>
          </w:tcPr>
          <w:p w14:paraId="069F586B">
            <w:pPr>
              <w:topLinePunct/>
              <w:spacing w:line="440" w:lineRule="exact"/>
              <w:rPr>
                <w:rFonts w:ascii="宋体" w:hAnsi="宋体" w:cs="宋体"/>
              </w:rPr>
            </w:pPr>
          </w:p>
        </w:tc>
      </w:tr>
    </w:tbl>
    <w:p w14:paraId="39105A49">
      <w:pPr>
        <w:spacing w:line="440" w:lineRule="exact"/>
        <w:rPr>
          <w:rFonts w:ascii="宋体" w:hAnsi="宋体" w:cs="宋体"/>
        </w:rPr>
      </w:pPr>
      <w:r>
        <w:rPr>
          <w:rFonts w:hint="eastAsia" w:ascii="宋体" w:hAnsi="宋体" w:cs="宋体"/>
        </w:rPr>
        <w:t>注：投标人应根据招标公告及招标文件的要求在本表后附相关证明材料。</w:t>
      </w:r>
    </w:p>
    <w:p w14:paraId="436486C6">
      <w:pPr>
        <w:spacing w:line="440" w:lineRule="exact"/>
        <w:rPr>
          <w:rFonts w:ascii="宋体" w:hAnsi="宋体" w:cs="宋体"/>
        </w:rPr>
      </w:pPr>
    </w:p>
    <w:p w14:paraId="0293351F">
      <w:pPr>
        <w:pStyle w:val="5"/>
        <w:spacing w:line="440" w:lineRule="exact"/>
        <w:ind w:firstLine="137"/>
        <w:rPr>
          <w:rFonts w:ascii="宋体" w:hAnsi="宋体" w:eastAsia="宋体" w:cs="宋体"/>
        </w:rPr>
      </w:pPr>
      <w:r>
        <w:rPr>
          <w:rFonts w:hint="eastAsia" w:ascii="宋体" w:hAnsi="宋体" w:eastAsia="宋体" w:cs="宋体"/>
        </w:rPr>
        <w:br w:type="page"/>
      </w:r>
      <w:bookmarkStart w:id="856" w:name="_Toc20213"/>
      <w:r>
        <w:rPr>
          <w:rFonts w:hint="eastAsia" w:ascii="宋体" w:hAnsi="宋体" w:eastAsia="宋体" w:cs="宋体"/>
        </w:rPr>
        <w:t>（三）近年发生的诉讼及仲裁情况</w:t>
      </w:r>
      <w:bookmarkEnd w:id="856"/>
    </w:p>
    <w:p w14:paraId="64699BE9">
      <w:pPr>
        <w:spacing w:line="440" w:lineRule="exact"/>
        <w:rPr>
          <w:rFonts w:ascii="宋体" w:hAnsi="宋体" w:cs="宋体"/>
          <w:sz w:val="24"/>
          <w:szCs w:val="24"/>
        </w:rPr>
      </w:pPr>
      <w:r>
        <w:rPr>
          <w:rFonts w:hint="eastAsia" w:ascii="宋体" w:hAnsi="宋体" w:cs="宋体"/>
        </w:rPr>
        <w:t>注：投标人应根据招标公告及招标文件的要求附相关证明材料（如有）。</w:t>
      </w:r>
    </w:p>
    <w:p w14:paraId="428F1596">
      <w:pPr>
        <w:pStyle w:val="20"/>
        <w:ind w:left="420" w:firstLine="420"/>
        <w:rPr>
          <w:rFonts w:ascii="宋体" w:hAnsi="宋体" w:cs="宋体"/>
          <w:lang w:eastAsia="zh-CN"/>
        </w:rPr>
      </w:pPr>
    </w:p>
    <w:p w14:paraId="063BE11B">
      <w:pPr>
        <w:pStyle w:val="5"/>
        <w:keepNext w:val="0"/>
        <w:keepLines w:val="0"/>
        <w:spacing w:after="0"/>
        <w:ind w:firstLine="137"/>
        <w:rPr>
          <w:rFonts w:ascii="宋体" w:hAnsi="宋体" w:eastAsia="宋体" w:cs="宋体"/>
        </w:rPr>
      </w:pPr>
      <w:r>
        <w:rPr>
          <w:rFonts w:hint="eastAsia" w:ascii="宋体" w:hAnsi="宋体" w:eastAsia="宋体" w:cs="宋体"/>
        </w:rPr>
        <w:br w:type="page"/>
      </w:r>
      <w:bookmarkEnd w:id="801"/>
      <w:bookmarkStart w:id="857" w:name="_Toc6689"/>
      <w:bookmarkStart w:id="858" w:name="_Toc12599"/>
      <w:bookmarkStart w:id="859" w:name="_Toc17636"/>
      <w:bookmarkStart w:id="860" w:name="_Toc12019"/>
      <w:bookmarkStart w:id="861" w:name="_Toc527969234"/>
      <w:bookmarkStart w:id="862" w:name="_Toc8635"/>
      <w:bookmarkStart w:id="863" w:name="_Toc4075"/>
      <w:bookmarkStart w:id="864" w:name="_Toc9461"/>
      <w:bookmarkStart w:id="865" w:name="_Toc29620"/>
      <w:bookmarkStart w:id="866" w:name="_Toc9157"/>
      <w:bookmarkStart w:id="867" w:name="_Toc23309"/>
      <w:bookmarkStart w:id="868" w:name="_Toc6820"/>
      <w:bookmarkStart w:id="869" w:name="_Toc22603"/>
      <w:bookmarkStart w:id="870" w:name="_Toc7095"/>
      <w:bookmarkStart w:id="871" w:name="_Toc18936"/>
      <w:bookmarkStart w:id="872" w:name="_Toc482188667"/>
      <w:bookmarkStart w:id="873" w:name="_Toc6501"/>
      <w:bookmarkStart w:id="874" w:name="_Toc6099"/>
      <w:r>
        <w:rPr>
          <w:rFonts w:hint="eastAsia" w:ascii="宋体" w:hAnsi="宋体" w:eastAsia="宋体" w:cs="宋体"/>
        </w:rPr>
        <w:t>（四）</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r>
        <w:rPr>
          <w:rFonts w:hint="eastAsia" w:ascii="宋体" w:hAnsi="宋体" w:eastAsia="宋体" w:cs="宋体"/>
        </w:rPr>
        <w:t>监理项目管理团队人员信息表</w:t>
      </w:r>
      <w:bookmarkEnd w:id="874"/>
    </w:p>
    <w:p w14:paraId="42377278">
      <w:pPr>
        <w:rPr>
          <w:rFonts w:ascii="宋体" w:hAnsi="宋体" w:cs="宋体"/>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395"/>
        <w:gridCol w:w="1085"/>
        <w:gridCol w:w="660"/>
        <w:gridCol w:w="534"/>
        <w:gridCol w:w="1240"/>
        <w:gridCol w:w="776"/>
        <w:gridCol w:w="953"/>
        <w:gridCol w:w="1240"/>
      </w:tblGrid>
      <w:tr w14:paraId="78A4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vMerge w:val="restart"/>
            <w:vAlign w:val="center"/>
          </w:tcPr>
          <w:p w14:paraId="642F3F22">
            <w:pPr>
              <w:spacing w:line="440" w:lineRule="exact"/>
              <w:jc w:val="center"/>
              <w:rPr>
                <w:rFonts w:ascii="宋体" w:hAnsi="宋体" w:cs="宋体"/>
              </w:rPr>
            </w:pPr>
            <w:r>
              <w:rPr>
                <w:rFonts w:hint="eastAsia" w:ascii="宋体" w:hAnsi="宋体" w:cs="宋体"/>
              </w:rPr>
              <w:t>序号</w:t>
            </w:r>
          </w:p>
        </w:tc>
        <w:tc>
          <w:tcPr>
            <w:tcW w:w="1395" w:type="dxa"/>
            <w:vMerge w:val="restart"/>
            <w:vAlign w:val="center"/>
          </w:tcPr>
          <w:p w14:paraId="0395D784">
            <w:pPr>
              <w:spacing w:line="440" w:lineRule="exact"/>
              <w:jc w:val="center"/>
              <w:rPr>
                <w:rFonts w:ascii="宋体" w:hAnsi="宋体" w:cs="宋体"/>
              </w:rPr>
            </w:pPr>
            <w:r>
              <w:rPr>
                <w:rFonts w:hint="eastAsia" w:ascii="宋体" w:hAnsi="宋体" w:cs="宋体"/>
              </w:rPr>
              <w:t>岗位</w:t>
            </w:r>
          </w:p>
        </w:tc>
        <w:tc>
          <w:tcPr>
            <w:tcW w:w="1085" w:type="dxa"/>
            <w:vMerge w:val="restart"/>
            <w:vAlign w:val="center"/>
          </w:tcPr>
          <w:p w14:paraId="2679A677">
            <w:pPr>
              <w:spacing w:line="440" w:lineRule="exact"/>
              <w:jc w:val="center"/>
              <w:rPr>
                <w:rFonts w:ascii="宋体" w:hAnsi="宋体" w:cs="宋体"/>
              </w:rPr>
            </w:pPr>
            <w:r>
              <w:rPr>
                <w:rFonts w:hint="eastAsia" w:ascii="宋体" w:hAnsi="宋体" w:cs="宋体"/>
              </w:rPr>
              <w:t>姓名</w:t>
            </w:r>
          </w:p>
        </w:tc>
        <w:tc>
          <w:tcPr>
            <w:tcW w:w="660" w:type="dxa"/>
            <w:vMerge w:val="restart"/>
            <w:vAlign w:val="center"/>
          </w:tcPr>
          <w:p w14:paraId="23F3EFF6">
            <w:pPr>
              <w:spacing w:line="440" w:lineRule="exact"/>
              <w:jc w:val="center"/>
              <w:rPr>
                <w:rFonts w:ascii="宋体" w:hAnsi="宋体" w:cs="宋体"/>
              </w:rPr>
            </w:pPr>
            <w:r>
              <w:rPr>
                <w:rFonts w:hint="eastAsia" w:ascii="宋体" w:hAnsi="宋体" w:cs="宋体"/>
              </w:rPr>
              <w:t>职称</w:t>
            </w:r>
          </w:p>
        </w:tc>
        <w:tc>
          <w:tcPr>
            <w:tcW w:w="534" w:type="dxa"/>
            <w:vMerge w:val="restart"/>
            <w:vAlign w:val="center"/>
          </w:tcPr>
          <w:p w14:paraId="604963D7">
            <w:pPr>
              <w:spacing w:line="440" w:lineRule="exact"/>
              <w:jc w:val="center"/>
              <w:rPr>
                <w:rFonts w:ascii="宋体" w:hAnsi="宋体" w:cs="宋体"/>
              </w:rPr>
            </w:pPr>
            <w:r>
              <w:rPr>
                <w:rFonts w:hint="eastAsia" w:ascii="宋体" w:hAnsi="宋体" w:cs="宋体"/>
              </w:rPr>
              <w:t>专业</w:t>
            </w:r>
          </w:p>
        </w:tc>
        <w:tc>
          <w:tcPr>
            <w:tcW w:w="2969" w:type="dxa"/>
            <w:gridSpan w:val="3"/>
            <w:vAlign w:val="center"/>
          </w:tcPr>
          <w:p w14:paraId="7A882723">
            <w:pPr>
              <w:spacing w:line="440" w:lineRule="exact"/>
              <w:jc w:val="center"/>
              <w:rPr>
                <w:rFonts w:ascii="宋体" w:hAnsi="宋体" w:cs="宋体"/>
              </w:rPr>
            </w:pPr>
            <w:r>
              <w:rPr>
                <w:rFonts w:hint="eastAsia" w:ascii="宋体" w:hAnsi="宋体" w:cs="宋体"/>
              </w:rPr>
              <w:t>执业或职业资格证明</w:t>
            </w:r>
          </w:p>
        </w:tc>
        <w:tc>
          <w:tcPr>
            <w:tcW w:w="1240" w:type="dxa"/>
            <w:vAlign w:val="center"/>
          </w:tcPr>
          <w:p w14:paraId="54526977">
            <w:pPr>
              <w:spacing w:line="440" w:lineRule="exact"/>
              <w:jc w:val="center"/>
              <w:rPr>
                <w:rFonts w:ascii="宋体" w:hAnsi="宋体" w:cs="宋体"/>
              </w:rPr>
            </w:pPr>
            <w:r>
              <w:rPr>
                <w:rFonts w:hint="eastAsia" w:ascii="宋体" w:hAnsi="宋体" w:cs="宋体"/>
              </w:rPr>
              <w:t>备注</w:t>
            </w:r>
          </w:p>
        </w:tc>
      </w:tr>
      <w:tr w14:paraId="680C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893" w:type="dxa"/>
            <w:vMerge w:val="continue"/>
            <w:vAlign w:val="center"/>
          </w:tcPr>
          <w:p w14:paraId="6A6D99E9">
            <w:pPr>
              <w:rPr>
                <w:rFonts w:ascii="宋体" w:hAnsi="宋体" w:cs="宋体"/>
              </w:rPr>
            </w:pPr>
          </w:p>
        </w:tc>
        <w:tc>
          <w:tcPr>
            <w:tcW w:w="1395" w:type="dxa"/>
            <w:vMerge w:val="continue"/>
          </w:tcPr>
          <w:p w14:paraId="09B66DDE">
            <w:pPr>
              <w:rPr>
                <w:rFonts w:ascii="宋体" w:hAnsi="宋体" w:cs="宋体"/>
              </w:rPr>
            </w:pPr>
          </w:p>
        </w:tc>
        <w:tc>
          <w:tcPr>
            <w:tcW w:w="1085" w:type="dxa"/>
            <w:vMerge w:val="continue"/>
            <w:vAlign w:val="center"/>
          </w:tcPr>
          <w:p w14:paraId="36A1988B">
            <w:pPr>
              <w:rPr>
                <w:rFonts w:ascii="宋体" w:hAnsi="宋体" w:cs="宋体"/>
              </w:rPr>
            </w:pPr>
          </w:p>
        </w:tc>
        <w:tc>
          <w:tcPr>
            <w:tcW w:w="660" w:type="dxa"/>
            <w:vMerge w:val="continue"/>
            <w:vAlign w:val="center"/>
          </w:tcPr>
          <w:p w14:paraId="7065DD7E">
            <w:pPr>
              <w:rPr>
                <w:rFonts w:ascii="宋体" w:hAnsi="宋体" w:cs="宋体"/>
              </w:rPr>
            </w:pPr>
          </w:p>
        </w:tc>
        <w:tc>
          <w:tcPr>
            <w:tcW w:w="534" w:type="dxa"/>
            <w:vMerge w:val="continue"/>
            <w:vAlign w:val="center"/>
          </w:tcPr>
          <w:p w14:paraId="0EEF122E">
            <w:pPr>
              <w:spacing w:line="440" w:lineRule="exact"/>
              <w:jc w:val="center"/>
              <w:rPr>
                <w:rFonts w:ascii="宋体" w:hAnsi="宋体" w:cs="宋体"/>
              </w:rPr>
            </w:pPr>
          </w:p>
        </w:tc>
        <w:tc>
          <w:tcPr>
            <w:tcW w:w="1240" w:type="dxa"/>
            <w:vAlign w:val="center"/>
          </w:tcPr>
          <w:p w14:paraId="0499154E">
            <w:pPr>
              <w:spacing w:before="100" w:beforeAutospacing="1" w:after="100" w:afterAutospacing="1" w:line="440" w:lineRule="exact"/>
              <w:jc w:val="center"/>
              <w:rPr>
                <w:rFonts w:ascii="宋体" w:hAnsi="宋体" w:cs="宋体"/>
              </w:rPr>
            </w:pPr>
            <w:r>
              <w:rPr>
                <w:rFonts w:hint="eastAsia" w:ascii="宋体" w:hAnsi="宋体" w:cs="宋体"/>
              </w:rPr>
              <w:t>证书名称</w:t>
            </w:r>
          </w:p>
        </w:tc>
        <w:tc>
          <w:tcPr>
            <w:tcW w:w="776" w:type="dxa"/>
            <w:vAlign w:val="center"/>
          </w:tcPr>
          <w:p w14:paraId="7FD2F35A">
            <w:pPr>
              <w:spacing w:before="100" w:beforeAutospacing="1" w:after="100" w:afterAutospacing="1" w:line="440" w:lineRule="exact"/>
              <w:jc w:val="center"/>
              <w:rPr>
                <w:rFonts w:ascii="宋体" w:hAnsi="宋体" w:cs="宋体"/>
              </w:rPr>
            </w:pPr>
            <w:r>
              <w:rPr>
                <w:rFonts w:hint="eastAsia" w:ascii="宋体" w:hAnsi="宋体" w:cs="宋体"/>
              </w:rPr>
              <w:t>级别</w:t>
            </w:r>
          </w:p>
        </w:tc>
        <w:tc>
          <w:tcPr>
            <w:tcW w:w="953" w:type="dxa"/>
            <w:vAlign w:val="center"/>
          </w:tcPr>
          <w:p w14:paraId="5ACEAF5E">
            <w:pPr>
              <w:spacing w:before="100" w:beforeAutospacing="1" w:after="100" w:afterAutospacing="1" w:line="440" w:lineRule="exact"/>
              <w:jc w:val="center"/>
              <w:rPr>
                <w:rFonts w:ascii="宋体" w:hAnsi="宋体" w:cs="宋体"/>
              </w:rPr>
            </w:pPr>
            <w:r>
              <w:rPr>
                <w:rFonts w:hint="eastAsia" w:ascii="宋体" w:hAnsi="宋体" w:cs="宋体"/>
              </w:rPr>
              <w:t>证号</w:t>
            </w:r>
          </w:p>
        </w:tc>
        <w:tc>
          <w:tcPr>
            <w:tcW w:w="1240" w:type="dxa"/>
            <w:vAlign w:val="center"/>
          </w:tcPr>
          <w:p w14:paraId="462A83BD">
            <w:pPr>
              <w:spacing w:line="440" w:lineRule="exact"/>
              <w:jc w:val="center"/>
              <w:rPr>
                <w:rFonts w:ascii="宋体" w:hAnsi="宋体" w:cs="宋体"/>
              </w:rPr>
            </w:pPr>
          </w:p>
        </w:tc>
      </w:tr>
      <w:tr w14:paraId="25BA6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vAlign w:val="center"/>
          </w:tcPr>
          <w:p w14:paraId="4A6D516D">
            <w:pPr>
              <w:spacing w:line="440" w:lineRule="exact"/>
              <w:jc w:val="center"/>
              <w:rPr>
                <w:rFonts w:ascii="宋体" w:hAnsi="宋体" w:cs="宋体"/>
              </w:rPr>
            </w:pPr>
            <w:r>
              <w:rPr>
                <w:rFonts w:hint="eastAsia" w:ascii="宋体" w:hAnsi="宋体" w:cs="宋体"/>
              </w:rPr>
              <w:t>1</w:t>
            </w:r>
          </w:p>
        </w:tc>
        <w:tc>
          <w:tcPr>
            <w:tcW w:w="1395" w:type="dxa"/>
          </w:tcPr>
          <w:p w14:paraId="5ED99491">
            <w:pPr>
              <w:spacing w:line="440" w:lineRule="exact"/>
              <w:jc w:val="center"/>
              <w:rPr>
                <w:rFonts w:ascii="宋体" w:hAnsi="宋体" w:cs="宋体"/>
              </w:rPr>
            </w:pPr>
          </w:p>
        </w:tc>
        <w:tc>
          <w:tcPr>
            <w:tcW w:w="1085" w:type="dxa"/>
            <w:vAlign w:val="center"/>
          </w:tcPr>
          <w:p w14:paraId="5C2573F0">
            <w:pPr>
              <w:spacing w:line="440" w:lineRule="exact"/>
              <w:jc w:val="center"/>
              <w:rPr>
                <w:rFonts w:ascii="宋体" w:hAnsi="宋体" w:cs="宋体"/>
              </w:rPr>
            </w:pPr>
          </w:p>
        </w:tc>
        <w:tc>
          <w:tcPr>
            <w:tcW w:w="660" w:type="dxa"/>
            <w:vAlign w:val="center"/>
          </w:tcPr>
          <w:p w14:paraId="23DDA24B">
            <w:pPr>
              <w:spacing w:line="440" w:lineRule="exact"/>
              <w:jc w:val="center"/>
              <w:rPr>
                <w:rFonts w:ascii="宋体" w:hAnsi="宋体" w:cs="宋体"/>
              </w:rPr>
            </w:pPr>
          </w:p>
        </w:tc>
        <w:tc>
          <w:tcPr>
            <w:tcW w:w="534" w:type="dxa"/>
            <w:vAlign w:val="center"/>
          </w:tcPr>
          <w:p w14:paraId="08A7E480">
            <w:pPr>
              <w:spacing w:line="440" w:lineRule="exact"/>
              <w:jc w:val="center"/>
              <w:rPr>
                <w:rFonts w:ascii="宋体" w:hAnsi="宋体" w:cs="宋体"/>
              </w:rPr>
            </w:pPr>
          </w:p>
        </w:tc>
        <w:tc>
          <w:tcPr>
            <w:tcW w:w="1240" w:type="dxa"/>
            <w:vAlign w:val="center"/>
          </w:tcPr>
          <w:p w14:paraId="2BF5C064">
            <w:pPr>
              <w:spacing w:line="440" w:lineRule="exact"/>
              <w:jc w:val="center"/>
              <w:rPr>
                <w:rFonts w:ascii="宋体" w:hAnsi="宋体" w:cs="宋体"/>
              </w:rPr>
            </w:pPr>
          </w:p>
        </w:tc>
        <w:tc>
          <w:tcPr>
            <w:tcW w:w="776" w:type="dxa"/>
            <w:vAlign w:val="center"/>
          </w:tcPr>
          <w:p w14:paraId="0DE29785">
            <w:pPr>
              <w:spacing w:line="440" w:lineRule="exact"/>
              <w:jc w:val="center"/>
              <w:rPr>
                <w:rFonts w:ascii="宋体" w:hAnsi="宋体" w:cs="宋体"/>
              </w:rPr>
            </w:pPr>
          </w:p>
        </w:tc>
        <w:tc>
          <w:tcPr>
            <w:tcW w:w="953" w:type="dxa"/>
            <w:vAlign w:val="center"/>
          </w:tcPr>
          <w:p w14:paraId="48DB7EF7">
            <w:pPr>
              <w:spacing w:line="440" w:lineRule="exact"/>
              <w:jc w:val="center"/>
              <w:rPr>
                <w:rFonts w:ascii="宋体" w:hAnsi="宋体" w:cs="宋体"/>
              </w:rPr>
            </w:pPr>
          </w:p>
        </w:tc>
        <w:tc>
          <w:tcPr>
            <w:tcW w:w="1240" w:type="dxa"/>
            <w:vAlign w:val="center"/>
          </w:tcPr>
          <w:p w14:paraId="27A2A5AB">
            <w:pPr>
              <w:spacing w:line="440" w:lineRule="exact"/>
              <w:jc w:val="center"/>
              <w:rPr>
                <w:rFonts w:ascii="宋体" w:hAnsi="宋体" w:cs="宋体"/>
              </w:rPr>
            </w:pPr>
          </w:p>
        </w:tc>
      </w:tr>
      <w:tr w14:paraId="31A7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tcPr>
          <w:p w14:paraId="7AEB5971">
            <w:pPr>
              <w:spacing w:line="440" w:lineRule="exact"/>
              <w:jc w:val="center"/>
              <w:rPr>
                <w:rFonts w:ascii="宋体" w:hAnsi="宋体" w:cs="宋体"/>
              </w:rPr>
            </w:pPr>
            <w:r>
              <w:rPr>
                <w:rFonts w:hint="eastAsia" w:ascii="宋体" w:hAnsi="宋体" w:cs="宋体"/>
              </w:rPr>
              <w:t>2</w:t>
            </w:r>
          </w:p>
        </w:tc>
        <w:tc>
          <w:tcPr>
            <w:tcW w:w="1395" w:type="dxa"/>
          </w:tcPr>
          <w:p w14:paraId="31D34321">
            <w:pPr>
              <w:spacing w:line="440" w:lineRule="exact"/>
              <w:jc w:val="center"/>
              <w:rPr>
                <w:rFonts w:ascii="宋体" w:hAnsi="宋体" w:cs="宋体"/>
              </w:rPr>
            </w:pPr>
          </w:p>
        </w:tc>
        <w:tc>
          <w:tcPr>
            <w:tcW w:w="1085" w:type="dxa"/>
          </w:tcPr>
          <w:p w14:paraId="10C3253A">
            <w:pPr>
              <w:spacing w:line="440" w:lineRule="exact"/>
              <w:jc w:val="center"/>
              <w:rPr>
                <w:rFonts w:ascii="宋体" w:hAnsi="宋体" w:cs="宋体"/>
              </w:rPr>
            </w:pPr>
          </w:p>
        </w:tc>
        <w:tc>
          <w:tcPr>
            <w:tcW w:w="660" w:type="dxa"/>
          </w:tcPr>
          <w:p w14:paraId="2977EC8D">
            <w:pPr>
              <w:spacing w:line="440" w:lineRule="exact"/>
              <w:jc w:val="center"/>
              <w:rPr>
                <w:rFonts w:ascii="宋体" w:hAnsi="宋体" w:cs="宋体"/>
              </w:rPr>
            </w:pPr>
          </w:p>
        </w:tc>
        <w:tc>
          <w:tcPr>
            <w:tcW w:w="534" w:type="dxa"/>
          </w:tcPr>
          <w:p w14:paraId="78BAA5D3">
            <w:pPr>
              <w:spacing w:line="440" w:lineRule="exact"/>
              <w:jc w:val="center"/>
              <w:rPr>
                <w:rFonts w:ascii="宋体" w:hAnsi="宋体" w:cs="宋体"/>
              </w:rPr>
            </w:pPr>
          </w:p>
        </w:tc>
        <w:tc>
          <w:tcPr>
            <w:tcW w:w="1240" w:type="dxa"/>
          </w:tcPr>
          <w:p w14:paraId="2B78903B">
            <w:pPr>
              <w:spacing w:line="440" w:lineRule="exact"/>
              <w:jc w:val="center"/>
              <w:rPr>
                <w:rFonts w:ascii="宋体" w:hAnsi="宋体" w:cs="宋体"/>
              </w:rPr>
            </w:pPr>
          </w:p>
        </w:tc>
        <w:tc>
          <w:tcPr>
            <w:tcW w:w="776" w:type="dxa"/>
          </w:tcPr>
          <w:p w14:paraId="4B41F595">
            <w:pPr>
              <w:spacing w:line="440" w:lineRule="exact"/>
              <w:jc w:val="center"/>
              <w:rPr>
                <w:rFonts w:ascii="宋体" w:hAnsi="宋体" w:cs="宋体"/>
              </w:rPr>
            </w:pPr>
          </w:p>
        </w:tc>
        <w:tc>
          <w:tcPr>
            <w:tcW w:w="953" w:type="dxa"/>
          </w:tcPr>
          <w:p w14:paraId="3C774047">
            <w:pPr>
              <w:spacing w:line="440" w:lineRule="exact"/>
              <w:jc w:val="center"/>
              <w:rPr>
                <w:rFonts w:ascii="宋体" w:hAnsi="宋体" w:cs="宋体"/>
              </w:rPr>
            </w:pPr>
          </w:p>
        </w:tc>
        <w:tc>
          <w:tcPr>
            <w:tcW w:w="1240" w:type="dxa"/>
          </w:tcPr>
          <w:p w14:paraId="45E9B3E4">
            <w:pPr>
              <w:spacing w:line="440" w:lineRule="exact"/>
              <w:jc w:val="center"/>
              <w:rPr>
                <w:rFonts w:ascii="宋体" w:hAnsi="宋体" w:cs="宋体"/>
              </w:rPr>
            </w:pPr>
          </w:p>
        </w:tc>
      </w:tr>
      <w:tr w14:paraId="24F7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tcPr>
          <w:p w14:paraId="71774548">
            <w:pPr>
              <w:spacing w:line="440" w:lineRule="exact"/>
              <w:jc w:val="center"/>
              <w:rPr>
                <w:rFonts w:ascii="宋体" w:hAnsi="宋体" w:cs="宋体"/>
              </w:rPr>
            </w:pPr>
            <w:r>
              <w:rPr>
                <w:rFonts w:hint="eastAsia" w:ascii="宋体" w:hAnsi="宋体" w:cs="宋体"/>
              </w:rPr>
              <w:t>3</w:t>
            </w:r>
          </w:p>
        </w:tc>
        <w:tc>
          <w:tcPr>
            <w:tcW w:w="1395" w:type="dxa"/>
          </w:tcPr>
          <w:p w14:paraId="07A9C569">
            <w:pPr>
              <w:spacing w:line="440" w:lineRule="exact"/>
              <w:jc w:val="center"/>
              <w:rPr>
                <w:rFonts w:ascii="宋体" w:hAnsi="宋体" w:cs="宋体"/>
              </w:rPr>
            </w:pPr>
          </w:p>
        </w:tc>
        <w:tc>
          <w:tcPr>
            <w:tcW w:w="1085" w:type="dxa"/>
          </w:tcPr>
          <w:p w14:paraId="1706F024">
            <w:pPr>
              <w:spacing w:line="440" w:lineRule="exact"/>
              <w:jc w:val="center"/>
              <w:rPr>
                <w:rFonts w:ascii="宋体" w:hAnsi="宋体" w:cs="宋体"/>
              </w:rPr>
            </w:pPr>
          </w:p>
        </w:tc>
        <w:tc>
          <w:tcPr>
            <w:tcW w:w="660" w:type="dxa"/>
          </w:tcPr>
          <w:p w14:paraId="003741E4">
            <w:pPr>
              <w:spacing w:line="440" w:lineRule="exact"/>
              <w:jc w:val="center"/>
              <w:rPr>
                <w:rFonts w:ascii="宋体" w:hAnsi="宋体" w:cs="宋体"/>
              </w:rPr>
            </w:pPr>
          </w:p>
        </w:tc>
        <w:tc>
          <w:tcPr>
            <w:tcW w:w="534" w:type="dxa"/>
          </w:tcPr>
          <w:p w14:paraId="62E76CC4">
            <w:pPr>
              <w:spacing w:line="440" w:lineRule="exact"/>
              <w:jc w:val="center"/>
              <w:rPr>
                <w:rFonts w:ascii="宋体" w:hAnsi="宋体" w:cs="宋体"/>
              </w:rPr>
            </w:pPr>
          </w:p>
        </w:tc>
        <w:tc>
          <w:tcPr>
            <w:tcW w:w="1240" w:type="dxa"/>
          </w:tcPr>
          <w:p w14:paraId="63448A19">
            <w:pPr>
              <w:spacing w:line="440" w:lineRule="exact"/>
              <w:jc w:val="center"/>
              <w:rPr>
                <w:rFonts w:ascii="宋体" w:hAnsi="宋体" w:cs="宋体"/>
              </w:rPr>
            </w:pPr>
          </w:p>
        </w:tc>
        <w:tc>
          <w:tcPr>
            <w:tcW w:w="776" w:type="dxa"/>
          </w:tcPr>
          <w:p w14:paraId="5772C2B6">
            <w:pPr>
              <w:spacing w:line="440" w:lineRule="exact"/>
              <w:jc w:val="center"/>
              <w:rPr>
                <w:rFonts w:ascii="宋体" w:hAnsi="宋体" w:cs="宋体"/>
              </w:rPr>
            </w:pPr>
          </w:p>
        </w:tc>
        <w:tc>
          <w:tcPr>
            <w:tcW w:w="953" w:type="dxa"/>
          </w:tcPr>
          <w:p w14:paraId="68A4B3F4">
            <w:pPr>
              <w:spacing w:line="440" w:lineRule="exact"/>
              <w:jc w:val="center"/>
              <w:rPr>
                <w:rFonts w:ascii="宋体" w:hAnsi="宋体" w:cs="宋体"/>
              </w:rPr>
            </w:pPr>
          </w:p>
        </w:tc>
        <w:tc>
          <w:tcPr>
            <w:tcW w:w="1240" w:type="dxa"/>
          </w:tcPr>
          <w:p w14:paraId="119890CE">
            <w:pPr>
              <w:spacing w:line="440" w:lineRule="exact"/>
              <w:jc w:val="center"/>
              <w:rPr>
                <w:rFonts w:ascii="宋体" w:hAnsi="宋体" w:cs="宋体"/>
              </w:rPr>
            </w:pPr>
          </w:p>
        </w:tc>
      </w:tr>
      <w:tr w14:paraId="5A39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tcPr>
          <w:p w14:paraId="530B5BBF">
            <w:pPr>
              <w:spacing w:line="440" w:lineRule="exact"/>
              <w:jc w:val="center"/>
              <w:rPr>
                <w:rFonts w:ascii="宋体" w:hAnsi="宋体" w:cs="宋体"/>
              </w:rPr>
            </w:pPr>
            <w:r>
              <w:rPr>
                <w:rFonts w:hint="eastAsia" w:ascii="宋体" w:hAnsi="宋体" w:cs="宋体"/>
              </w:rPr>
              <w:t>4</w:t>
            </w:r>
          </w:p>
        </w:tc>
        <w:tc>
          <w:tcPr>
            <w:tcW w:w="1395" w:type="dxa"/>
          </w:tcPr>
          <w:p w14:paraId="75CB7FC2">
            <w:pPr>
              <w:spacing w:line="440" w:lineRule="exact"/>
              <w:jc w:val="center"/>
              <w:rPr>
                <w:rFonts w:ascii="宋体" w:hAnsi="宋体" w:cs="宋体"/>
              </w:rPr>
            </w:pPr>
          </w:p>
        </w:tc>
        <w:tc>
          <w:tcPr>
            <w:tcW w:w="1085" w:type="dxa"/>
          </w:tcPr>
          <w:p w14:paraId="1AF1195C">
            <w:pPr>
              <w:spacing w:line="440" w:lineRule="exact"/>
              <w:jc w:val="center"/>
              <w:rPr>
                <w:rFonts w:ascii="宋体" w:hAnsi="宋体" w:cs="宋体"/>
              </w:rPr>
            </w:pPr>
          </w:p>
        </w:tc>
        <w:tc>
          <w:tcPr>
            <w:tcW w:w="660" w:type="dxa"/>
          </w:tcPr>
          <w:p w14:paraId="2E6696D8">
            <w:pPr>
              <w:spacing w:line="440" w:lineRule="exact"/>
              <w:jc w:val="center"/>
              <w:rPr>
                <w:rFonts w:ascii="宋体" w:hAnsi="宋体" w:cs="宋体"/>
              </w:rPr>
            </w:pPr>
          </w:p>
        </w:tc>
        <w:tc>
          <w:tcPr>
            <w:tcW w:w="534" w:type="dxa"/>
          </w:tcPr>
          <w:p w14:paraId="30B5ADB1">
            <w:pPr>
              <w:spacing w:line="440" w:lineRule="exact"/>
              <w:jc w:val="center"/>
              <w:rPr>
                <w:rFonts w:ascii="宋体" w:hAnsi="宋体" w:cs="宋体"/>
              </w:rPr>
            </w:pPr>
          </w:p>
        </w:tc>
        <w:tc>
          <w:tcPr>
            <w:tcW w:w="1240" w:type="dxa"/>
          </w:tcPr>
          <w:p w14:paraId="44D5353E">
            <w:pPr>
              <w:spacing w:line="440" w:lineRule="exact"/>
              <w:jc w:val="center"/>
              <w:rPr>
                <w:rFonts w:ascii="宋体" w:hAnsi="宋体" w:cs="宋体"/>
              </w:rPr>
            </w:pPr>
          </w:p>
        </w:tc>
        <w:tc>
          <w:tcPr>
            <w:tcW w:w="776" w:type="dxa"/>
          </w:tcPr>
          <w:p w14:paraId="4268727A">
            <w:pPr>
              <w:spacing w:line="440" w:lineRule="exact"/>
              <w:jc w:val="center"/>
              <w:rPr>
                <w:rFonts w:ascii="宋体" w:hAnsi="宋体" w:cs="宋体"/>
              </w:rPr>
            </w:pPr>
          </w:p>
        </w:tc>
        <w:tc>
          <w:tcPr>
            <w:tcW w:w="953" w:type="dxa"/>
          </w:tcPr>
          <w:p w14:paraId="3BFC7BD3">
            <w:pPr>
              <w:spacing w:line="440" w:lineRule="exact"/>
              <w:jc w:val="center"/>
              <w:rPr>
                <w:rFonts w:ascii="宋体" w:hAnsi="宋体" w:cs="宋体"/>
              </w:rPr>
            </w:pPr>
          </w:p>
        </w:tc>
        <w:tc>
          <w:tcPr>
            <w:tcW w:w="1240" w:type="dxa"/>
          </w:tcPr>
          <w:p w14:paraId="60272EC2">
            <w:pPr>
              <w:spacing w:line="440" w:lineRule="exact"/>
              <w:jc w:val="center"/>
              <w:rPr>
                <w:rFonts w:ascii="宋体" w:hAnsi="宋体" w:cs="宋体"/>
              </w:rPr>
            </w:pPr>
          </w:p>
        </w:tc>
      </w:tr>
      <w:tr w14:paraId="51DE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tcPr>
          <w:p w14:paraId="726AB432">
            <w:pPr>
              <w:spacing w:line="440" w:lineRule="exact"/>
              <w:jc w:val="center"/>
              <w:rPr>
                <w:rFonts w:ascii="宋体" w:hAnsi="宋体" w:cs="宋体"/>
              </w:rPr>
            </w:pPr>
            <w:r>
              <w:rPr>
                <w:rFonts w:hint="eastAsia" w:ascii="宋体" w:hAnsi="宋体" w:cs="宋体"/>
              </w:rPr>
              <w:t>5</w:t>
            </w:r>
          </w:p>
        </w:tc>
        <w:tc>
          <w:tcPr>
            <w:tcW w:w="1395" w:type="dxa"/>
          </w:tcPr>
          <w:p w14:paraId="028FD4BC">
            <w:pPr>
              <w:spacing w:line="440" w:lineRule="exact"/>
              <w:jc w:val="center"/>
              <w:rPr>
                <w:rFonts w:ascii="宋体" w:hAnsi="宋体" w:cs="宋体"/>
              </w:rPr>
            </w:pPr>
          </w:p>
        </w:tc>
        <w:tc>
          <w:tcPr>
            <w:tcW w:w="1085" w:type="dxa"/>
          </w:tcPr>
          <w:p w14:paraId="62E0D96E">
            <w:pPr>
              <w:spacing w:line="440" w:lineRule="exact"/>
              <w:jc w:val="center"/>
              <w:rPr>
                <w:rFonts w:ascii="宋体" w:hAnsi="宋体" w:cs="宋体"/>
              </w:rPr>
            </w:pPr>
          </w:p>
        </w:tc>
        <w:tc>
          <w:tcPr>
            <w:tcW w:w="660" w:type="dxa"/>
          </w:tcPr>
          <w:p w14:paraId="67024673">
            <w:pPr>
              <w:spacing w:line="440" w:lineRule="exact"/>
              <w:jc w:val="center"/>
              <w:rPr>
                <w:rFonts w:ascii="宋体" w:hAnsi="宋体" w:cs="宋体"/>
              </w:rPr>
            </w:pPr>
          </w:p>
        </w:tc>
        <w:tc>
          <w:tcPr>
            <w:tcW w:w="534" w:type="dxa"/>
          </w:tcPr>
          <w:p w14:paraId="5D55936D">
            <w:pPr>
              <w:spacing w:line="440" w:lineRule="exact"/>
              <w:jc w:val="center"/>
              <w:rPr>
                <w:rFonts w:ascii="宋体" w:hAnsi="宋体" w:cs="宋体"/>
              </w:rPr>
            </w:pPr>
          </w:p>
        </w:tc>
        <w:tc>
          <w:tcPr>
            <w:tcW w:w="1240" w:type="dxa"/>
          </w:tcPr>
          <w:p w14:paraId="37059AC9">
            <w:pPr>
              <w:spacing w:line="440" w:lineRule="exact"/>
              <w:jc w:val="center"/>
              <w:rPr>
                <w:rFonts w:ascii="宋体" w:hAnsi="宋体" w:cs="宋体"/>
              </w:rPr>
            </w:pPr>
          </w:p>
        </w:tc>
        <w:tc>
          <w:tcPr>
            <w:tcW w:w="776" w:type="dxa"/>
          </w:tcPr>
          <w:p w14:paraId="6D0FD0DB">
            <w:pPr>
              <w:spacing w:line="440" w:lineRule="exact"/>
              <w:jc w:val="center"/>
              <w:rPr>
                <w:rFonts w:ascii="宋体" w:hAnsi="宋体" w:cs="宋体"/>
              </w:rPr>
            </w:pPr>
          </w:p>
        </w:tc>
        <w:tc>
          <w:tcPr>
            <w:tcW w:w="953" w:type="dxa"/>
          </w:tcPr>
          <w:p w14:paraId="12CC5879">
            <w:pPr>
              <w:spacing w:line="440" w:lineRule="exact"/>
              <w:jc w:val="center"/>
              <w:rPr>
                <w:rFonts w:ascii="宋体" w:hAnsi="宋体" w:cs="宋体"/>
              </w:rPr>
            </w:pPr>
          </w:p>
        </w:tc>
        <w:tc>
          <w:tcPr>
            <w:tcW w:w="1240" w:type="dxa"/>
          </w:tcPr>
          <w:p w14:paraId="446AD7A0">
            <w:pPr>
              <w:spacing w:line="440" w:lineRule="exact"/>
              <w:jc w:val="center"/>
              <w:rPr>
                <w:rFonts w:ascii="宋体" w:hAnsi="宋体" w:cs="宋体"/>
              </w:rPr>
            </w:pPr>
          </w:p>
        </w:tc>
      </w:tr>
      <w:tr w14:paraId="0A360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tcPr>
          <w:p w14:paraId="6D940D27">
            <w:pPr>
              <w:spacing w:line="440" w:lineRule="exact"/>
              <w:jc w:val="center"/>
              <w:rPr>
                <w:rFonts w:ascii="宋体" w:hAnsi="宋体" w:cs="宋体"/>
              </w:rPr>
            </w:pPr>
            <w:r>
              <w:rPr>
                <w:rFonts w:hint="eastAsia" w:ascii="宋体" w:hAnsi="宋体" w:cs="宋体"/>
              </w:rPr>
              <w:t>6</w:t>
            </w:r>
          </w:p>
        </w:tc>
        <w:tc>
          <w:tcPr>
            <w:tcW w:w="1395" w:type="dxa"/>
          </w:tcPr>
          <w:p w14:paraId="63C99258">
            <w:pPr>
              <w:spacing w:line="440" w:lineRule="exact"/>
              <w:jc w:val="center"/>
              <w:rPr>
                <w:rFonts w:ascii="宋体" w:hAnsi="宋体" w:cs="宋体"/>
              </w:rPr>
            </w:pPr>
          </w:p>
        </w:tc>
        <w:tc>
          <w:tcPr>
            <w:tcW w:w="1085" w:type="dxa"/>
          </w:tcPr>
          <w:p w14:paraId="47001981">
            <w:pPr>
              <w:spacing w:line="440" w:lineRule="exact"/>
              <w:jc w:val="center"/>
              <w:rPr>
                <w:rFonts w:ascii="宋体" w:hAnsi="宋体" w:cs="宋体"/>
              </w:rPr>
            </w:pPr>
          </w:p>
        </w:tc>
        <w:tc>
          <w:tcPr>
            <w:tcW w:w="660" w:type="dxa"/>
          </w:tcPr>
          <w:p w14:paraId="69DF340A">
            <w:pPr>
              <w:spacing w:line="440" w:lineRule="exact"/>
              <w:jc w:val="center"/>
              <w:rPr>
                <w:rFonts w:ascii="宋体" w:hAnsi="宋体" w:cs="宋体"/>
              </w:rPr>
            </w:pPr>
          </w:p>
        </w:tc>
        <w:tc>
          <w:tcPr>
            <w:tcW w:w="534" w:type="dxa"/>
          </w:tcPr>
          <w:p w14:paraId="32DC5D18">
            <w:pPr>
              <w:spacing w:line="440" w:lineRule="exact"/>
              <w:jc w:val="center"/>
              <w:rPr>
                <w:rFonts w:ascii="宋体" w:hAnsi="宋体" w:cs="宋体"/>
              </w:rPr>
            </w:pPr>
          </w:p>
        </w:tc>
        <w:tc>
          <w:tcPr>
            <w:tcW w:w="1240" w:type="dxa"/>
          </w:tcPr>
          <w:p w14:paraId="4AEC260E">
            <w:pPr>
              <w:spacing w:line="440" w:lineRule="exact"/>
              <w:jc w:val="center"/>
              <w:rPr>
                <w:rFonts w:ascii="宋体" w:hAnsi="宋体" w:cs="宋体"/>
              </w:rPr>
            </w:pPr>
          </w:p>
        </w:tc>
        <w:tc>
          <w:tcPr>
            <w:tcW w:w="776" w:type="dxa"/>
          </w:tcPr>
          <w:p w14:paraId="607CB3BC">
            <w:pPr>
              <w:spacing w:line="440" w:lineRule="exact"/>
              <w:jc w:val="center"/>
              <w:rPr>
                <w:rFonts w:ascii="宋体" w:hAnsi="宋体" w:cs="宋体"/>
              </w:rPr>
            </w:pPr>
          </w:p>
        </w:tc>
        <w:tc>
          <w:tcPr>
            <w:tcW w:w="953" w:type="dxa"/>
          </w:tcPr>
          <w:p w14:paraId="2B082C88">
            <w:pPr>
              <w:spacing w:line="440" w:lineRule="exact"/>
              <w:jc w:val="center"/>
              <w:rPr>
                <w:rFonts w:ascii="宋体" w:hAnsi="宋体" w:cs="宋体"/>
              </w:rPr>
            </w:pPr>
          </w:p>
        </w:tc>
        <w:tc>
          <w:tcPr>
            <w:tcW w:w="1240" w:type="dxa"/>
          </w:tcPr>
          <w:p w14:paraId="73A13332">
            <w:pPr>
              <w:spacing w:line="440" w:lineRule="exact"/>
              <w:jc w:val="center"/>
              <w:rPr>
                <w:rFonts w:ascii="宋体" w:hAnsi="宋体" w:cs="宋体"/>
              </w:rPr>
            </w:pPr>
          </w:p>
        </w:tc>
      </w:tr>
      <w:tr w14:paraId="74C5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tcPr>
          <w:p w14:paraId="55591A3E">
            <w:pPr>
              <w:spacing w:line="440" w:lineRule="exact"/>
              <w:jc w:val="center"/>
              <w:rPr>
                <w:rFonts w:ascii="宋体" w:hAnsi="宋体" w:cs="宋体"/>
              </w:rPr>
            </w:pPr>
            <w:r>
              <w:rPr>
                <w:rFonts w:hint="eastAsia" w:ascii="宋体" w:hAnsi="宋体" w:cs="宋体"/>
              </w:rPr>
              <w:t>7</w:t>
            </w:r>
          </w:p>
        </w:tc>
        <w:tc>
          <w:tcPr>
            <w:tcW w:w="1395" w:type="dxa"/>
          </w:tcPr>
          <w:p w14:paraId="56509CE1">
            <w:pPr>
              <w:spacing w:line="440" w:lineRule="exact"/>
              <w:jc w:val="center"/>
              <w:rPr>
                <w:rFonts w:ascii="宋体" w:hAnsi="宋体" w:cs="宋体"/>
              </w:rPr>
            </w:pPr>
          </w:p>
        </w:tc>
        <w:tc>
          <w:tcPr>
            <w:tcW w:w="1085" w:type="dxa"/>
          </w:tcPr>
          <w:p w14:paraId="6D9F5434">
            <w:pPr>
              <w:spacing w:line="440" w:lineRule="exact"/>
              <w:jc w:val="center"/>
              <w:rPr>
                <w:rFonts w:ascii="宋体" w:hAnsi="宋体" w:cs="宋体"/>
              </w:rPr>
            </w:pPr>
          </w:p>
        </w:tc>
        <w:tc>
          <w:tcPr>
            <w:tcW w:w="660" w:type="dxa"/>
          </w:tcPr>
          <w:p w14:paraId="146E4162">
            <w:pPr>
              <w:spacing w:line="440" w:lineRule="exact"/>
              <w:jc w:val="center"/>
              <w:rPr>
                <w:rFonts w:ascii="宋体" w:hAnsi="宋体" w:cs="宋体"/>
              </w:rPr>
            </w:pPr>
          </w:p>
        </w:tc>
        <w:tc>
          <w:tcPr>
            <w:tcW w:w="534" w:type="dxa"/>
          </w:tcPr>
          <w:p w14:paraId="64CF150E">
            <w:pPr>
              <w:spacing w:line="440" w:lineRule="exact"/>
              <w:jc w:val="center"/>
              <w:rPr>
                <w:rFonts w:ascii="宋体" w:hAnsi="宋体" w:cs="宋体"/>
              </w:rPr>
            </w:pPr>
          </w:p>
        </w:tc>
        <w:tc>
          <w:tcPr>
            <w:tcW w:w="1240" w:type="dxa"/>
          </w:tcPr>
          <w:p w14:paraId="7767ACB9">
            <w:pPr>
              <w:spacing w:line="440" w:lineRule="exact"/>
              <w:jc w:val="center"/>
              <w:rPr>
                <w:rFonts w:ascii="宋体" w:hAnsi="宋体" w:cs="宋体"/>
              </w:rPr>
            </w:pPr>
          </w:p>
        </w:tc>
        <w:tc>
          <w:tcPr>
            <w:tcW w:w="776" w:type="dxa"/>
          </w:tcPr>
          <w:p w14:paraId="5F5A31F6">
            <w:pPr>
              <w:spacing w:line="440" w:lineRule="exact"/>
              <w:jc w:val="center"/>
              <w:rPr>
                <w:rFonts w:ascii="宋体" w:hAnsi="宋体" w:cs="宋体"/>
              </w:rPr>
            </w:pPr>
          </w:p>
        </w:tc>
        <w:tc>
          <w:tcPr>
            <w:tcW w:w="953" w:type="dxa"/>
          </w:tcPr>
          <w:p w14:paraId="223B94D8">
            <w:pPr>
              <w:spacing w:line="440" w:lineRule="exact"/>
              <w:jc w:val="center"/>
              <w:rPr>
                <w:rFonts w:ascii="宋体" w:hAnsi="宋体" w:cs="宋体"/>
              </w:rPr>
            </w:pPr>
          </w:p>
        </w:tc>
        <w:tc>
          <w:tcPr>
            <w:tcW w:w="1240" w:type="dxa"/>
          </w:tcPr>
          <w:p w14:paraId="62C9DA37">
            <w:pPr>
              <w:spacing w:line="440" w:lineRule="exact"/>
              <w:jc w:val="center"/>
              <w:rPr>
                <w:rFonts w:ascii="宋体" w:hAnsi="宋体" w:cs="宋体"/>
              </w:rPr>
            </w:pPr>
          </w:p>
        </w:tc>
      </w:tr>
      <w:tr w14:paraId="307BB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tcPr>
          <w:p w14:paraId="507CC5A6">
            <w:pPr>
              <w:spacing w:line="440" w:lineRule="exact"/>
              <w:jc w:val="center"/>
              <w:rPr>
                <w:rFonts w:ascii="宋体" w:hAnsi="宋体" w:cs="宋体"/>
              </w:rPr>
            </w:pPr>
            <w:r>
              <w:rPr>
                <w:rFonts w:hint="eastAsia" w:ascii="宋体" w:hAnsi="宋体" w:cs="宋体"/>
              </w:rPr>
              <w:t>8</w:t>
            </w:r>
          </w:p>
        </w:tc>
        <w:tc>
          <w:tcPr>
            <w:tcW w:w="1395" w:type="dxa"/>
          </w:tcPr>
          <w:p w14:paraId="5DB75508">
            <w:pPr>
              <w:spacing w:line="440" w:lineRule="exact"/>
              <w:jc w:val="center"/>
              <w:rPr>
                <w:rFonts w:ascii="宋体" w:hAnsi="宋体" w:cs="宋体"/>
              </w:rPr>
            </w:pPr>
          </w:p>
        </w:tc>
        <w:tc>
          <w:tcPr>
            <w:tcW w:w="1085" w:type="dxa"/>
          </w:tcPr>
          <w:p w14:paraId="5D460B0A">
            <w:pPr>
              <w:spacing w:line="440" w:lineRule="exact"/>
              <w:jc w:val="center"/>
              <w:rPr>
                <w:rFonts w:ascii="宋体" w:hAnsi="宋体" w:cs="宋体"/>
              </w:rPr>
            </w:pPr>
          </w:p>
        </w:tc>
        <w:tc>
          <w:tcPr>
            <w:tcW w:w="660" w:type="dxa"/>
          </w:tcPr>
          <w:p w14:paraId="6322777E">
            <w:pPr>
              <w:spacing w:line="440" w:lineRule="exact"/>
              <w:jc w:val="center"/>
              <w:rPr>
                <w:rFonts w:ascii="宋体" w:hAnsi="宋体" w:cs="宋体"/>
              </w:rPr>
            </w:pPr>
          </w:p>
        </w:tc>
        <w:tc>
          <w:tcPr>
            <w:tcW w:w="534" w:type="dxa"/>
          </w:tcPr>
          <w:p w14:paraId="3C4EF617">
            <w:pPr>
              <w:spacing w:line="440" w:lineRule="exact"/>
              <w:jc w:val="center"/>
              <w:rPr>
                <w:rFonts w:ascii="宋体" w:hAnsi="宋体" w:cs="宋体"/>
              </w:rPr>
            </w:pPr>
          </w:p>
        </w:tc>
        <w:tc>
          <w:tcPr>
            <w:tcW w:w="1240" w:type="dxa"/>
          </w:tcPr>
          <w:p w14:paraId="3C43979D">
            <w:pPr>
              <w:spacing w:line="440" w:lineRule="exact"/>
              <w:jc w:val="center"/>
              <w:rPr>
                <w:rFonts w:ascii="宋体" w:hAnsi="宋体" w:cs="宋体"/>
              </w:rPr>
            </w:pPr>
          </w:p>
        </w:tc>
        <w:tc>
          <w:tcPr>
            <w:tcW w:w="776" w:type="dxa"/>
          </w:tcPr>
          <w:p w14:paraId="081C31EA">
            <w:pPr>
              <w:spacing w:line="440" w:lineRule="exact"/>
              <w:jc w:val="center"/>
              <w:rPr>
                <w:rFonts w:ascii="宋体" w:hAnsi="宋体" w:cs="宋体"/>
              </w:rPr>
            </w:pPr>
          </w:p>
        </w:tc>
        <w:tc>
          <w:tcPr>
            <w:tcW w:w="953" w:type="dxa"/>
          </w:tcPr>
          <w:p w14:paraId="3CB3833F">
            <w:pPr>
              <w:spacing w:line="440" w:lineRule="exact"/>
              <w:jc w:val="center"/>
              <w:rPr>
                <w:rFonts w:ascii="宋体" w:hAnsi="宋体" w:cs="宋体"/>
              </w:rPr>
            </w:pPr>
          </w:p>
        </w:tc>
        <w:tc>
          <w:tcPr>
            <w:tcW w:w="1240" w:type="dxa"/>
          </w:tcPr>
          <w:p w14:paraId="4DBEEC4A">
            <w:pPr>
              <w:spacing w:line="440" w:lineRule="exact"/>
              <w:jc w:val="center"/>
              <w:rPr>
                <w:rFonts w:ascii="宋体" w:hAnsi="宋体" w:cs="宋体"/>
              </w:rPr>
            </w:pPr>
          </w:p>
        </w:tc>
      </w:tr>
      <w:tr w14:paraId="2E13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tcPr>
          <w:p w14:paraId="15E86C80">
            <w:pPr>
              <w:spacing w:line="440" w:lineRule="exact"/>
              <w:jc w:val="center"/>
              <w:rPr>
                <w:rFonts w:ascii="宋体" w:hAnsi="宋体" w:cs="宋体"/>
              </w:rPr>
            </w:pPr>
            <w:r>
              <w:rPr>
                <w:rFonts w:hint="eastAsia" w:ascii="宋体" w:hAnsi="宋体" w:cs="宋体"/>
              </w:rPr>
              <w:t>9</w:t>
            </w:r>
          </w:p>
        </w:tc>
        <w:tc>
          <w:tcPr>
            <w:tcW w:w="1395" w:type="dxa"/>
          </w:tcPr>
          <w:p w14:paraId="109720D4">
            <w:pPr>
              <w:spacing w:line="440" w:lineRule="exact"/>
              <w:jc w:val="center"/>
              <w:rPr>
                <w:rFonts w:ascii="宋体" w:hAnsi="宋体" w:cs="宋体"/>
              </w:rPr>
            </w:pPr>
          </w:p>
        </w:tc>
        <w:tc>
          <w:tcPr>
            <w:tcW w:w="1085" w:type="dxa"/>
          </w:tcPr>
          <w:p w14:paraId="10D30C95">
            <w:pPr>
              <w:spacing w:line="440" w:lineRule="exact"/>
              <w:jc w:val="center"/>
              <w:rPr>
                <w:rFonts w:ascii="宋体" w:hAnsi="宋体" w:cs="宋体"/>
              </w:rPr>
            </w:pPr>
          </w:p>
        </w:tc>
        <w:tc>
          <w:tcPr>
            <w:tcW w:w="660" w:type="dxa"/>
          </w:tcPr>
          <w:p w14:paraId="0B966003">
            <w:pPr>
              <w:spacing w:line="440" w:lineRule="exact"/>
              <w:jc w:val="center"/>
              <w:rPr>
                <w:rFonts w:ascii="宋体" w:hAnsi="宋体" w:cs="宋体"/>
              </w:rPr>
            </w:pPr>
          </w:p>
        </w:tc>
        <w:tc>
          <w:tcPr>
            <w:tcW w:w="534" w:type="dxa"/>
          </w:tcPr>
          <w:p w14:paraId="22EE0931">
            <w:pPr>
              <w:spacing w:line="440" w:lineRule="exact"/>
              <w:jc w:val="center"/>
              <w:rPr>
                <w:rFonts w:ascii="宋体" w:hAnsi="宋体" w:cs="宋体"/>
              </w:rPr>
            </w:pPr>
          </w:p>
        </w:tc>
        <w:tc>
          <w:tcPr>
            <w:tcW w:w="1240" w:type="dxa"/>
          </w:tcPr>
          <w:p w14:paraId="20E355D3">
            <w:pPr>
              <w:spacing w:line="440" w:lineRule="exact"/>
              <w:jc w:val="center"/>
              <w:rPr>
                <w:rFonts w:ascii="宋体" w:hAnsi="宋体" w:cs="宋体"/>
              </w:rPr>
            </w:pPr>
          </w:p>
        </w:tc>
        <w:tc>
          <w:tcPr>
            <w:tcW w:w="776" w:type="dxa"/>
          </w:tcPr>
          <w:p w14:paraId="4C603BE5">
            <w:pPr>
              <w:spacing w:line="440" w:lineRule="exact"/>
              <w:jc w:val="center"/>
              <w:rPr>
                <w:rFonts w:ascii="宋体" w:hAnsi="宋体" w:cs="宋体"/>
              </w:rPr>
            </w:pPr>
          </w:p>
        </w:tc>
        <w:tc>
          <w:tcPr>
            <w:tcW w:w="953" w:type="dxa"/>
          </w:tcPr>
          <w:p w14:paraId="22E69B88">
            <w:pPr>
              <w:spacing w:line="440" w:lineRule="exact"/>
              <w:jc w:val="center"/>
              <w:rPr>
                <w:rFonts w:ascii="宋体" w:hAnsi="宋体" w:cs="宋体"/>
              </w:rPr>
            </w:pPr>
          </w:p>
        </w:tc>
        <w:tc>
          <w:tcPr>
            <w:tcW w:w="1240" w:type="dxa"/>
          </w:tcPr>
          <w:p w14:paraId="03E973FF">
            <w:pPr>
              <w:spacing w:line="440" w:lineRule="exact"/>
              <w:jc w:val="center"/>
              <w:rPr>
                <w:rFonts w:ascii="宋体" w:hAnsi="宋体" w:cs="宋体"/>
              </w:rPr>
            </w:pPr>
          </w:p>
        </w:tc>
      </w:tr>
      <w:tr w14:paraId="4D06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tcPr>
          <w:p w14:paraId="4392C1D0">
            <w:pPr>
              <w:spacing w:line="440" w:lineRule="exact"/>
              <w:jc w:val="center"/>
              <w:rPr>
                <w:rFonts w:ascii="宋体" w:hAnsi="宋体" w:cs="宋体"/>
              </w:rPr>
            </w:pPr>
            <w:r>
              <w:rPr>
                <w:rFonts w:hint="eastAsia" w:ascii="宋体" w:hAnsi="宋体" w:cs="宋体"/>
              </w:rPr>
              <w:t>10</w:t>
            </w:r>
          </w:p>
        </w:tc>
        <w:tc>
          <w:tcPr>
            <w:tcW w:w="1395" w:type="dxa"/>
          </w:tcPr>
          <w:p w14:paraId="70221A9B">
            <w:pPr>
              <w:spacing w:line="440" w:lineRule="exact"/>
              <w:jc w:val="center"/>
              <w:rPr>
                <w:rFonts w:ascii="宋体" w:hAnsi="宋体" w:cs="宋体"/>
              </w:rPr>
            </w:pPr>
          </w:p>
        </w:tc>
        <w:tc>
          <w:tcPr>
            <w:tcW w:w="1085" w:type="dxa"/>
          </w:tcPr>
          <w:p w14:paraId="6763A88A">
            <w:pPr>
              <w:spacing w:line="440" w:lineRule="exact"/>
              <w:jc w:val="center"/>
              <w:rPr>
                <w:rFonts w:ascii="宋体" w:hAnsi="宋体" w:cs="宋体"/>
              </w:rPr>
            </w:pPr>
          </w:p>
        </w:tc>
        <w:tc>
          <w:tcPr>
            <w:tcW w:w="660" w:type="dxa"/>
          </w:tcPr>
          <w:p w14:paraId="75459643">
            <w:pPr>
              <w:spacing w:line="440" w:lineRule="exact"/>
              <w:jc w:val="center"/>
              <w:rPr>
                <w:rFonts w:ascii="宋体" w:hAnsi="宋体" w:cs="宋体"/>
              </w:rPr>
            </w:pPr>
          </w:p>
        </w:tc>
        <w:tc>
          <w:tcPr>
            <w:tcW w:w="534" w:type="dxa"/>
          </w:tcPr>
          <w:p w14:paraId="09A28A45">
            <w:pPr>
              <w:spacing w:line="440" w:lineRule="exact"/>
              <w:jc w:val="center"/>
              <w:rPr>
                <w:rFonts w:ascii="宋体" w:hAnsi="宋体" w:cs="宋体"/>
              </w:rPr>
            </w:pPr>
          </w:p>
        </w:tc>
        <w:tc>
          <w:tcPr>
            <w:tcW w:w="1240" w:type="dxa"/>
          </w:tcPr>
          <w:p w14:paraId="3B9F2B58">
            <w:pPr>
              <w:spacing w:line="440" w:lineRule="exact"/>
              <w:jc w:val="center"/>
              <w:rPr>
                <w:rFonts w:ascii="宋体" w:hAnsi="宋体" w:cs="宋体"/>
              </w:rPr>
            </w:pPr>
          </w:p>
        </w:tc>
        <w:tc>
          <w:tcPr>
            <w:tcW w:w="776" w:type="dxa"/>
          </w:tcPr>
          <w:p w14:paraId="644EA43C">
            <w:pPr>
              <w:spacing w:line="440" w:lineRule="exact"/>
              <w:jc w:val="center"/>
              <w:rPr>
                <w:rFonts w:ascii="宋体" w:hAnsi="宋体" w:cs="宋体"/>
              </w:rPr>
            </w:pPr>
          </w:p>
        </w:tc>
        <w:tc>
          <w:tcPr>
            <w:tcW w:w="953" w:type="dxa"/>
          </w:tcPr>
          <w:p w14:paraId="37FF86C3">
            <w:pPr>
              <w:spacing w:line="440" w:lineRule="exact"/>
              <w:jc w:val="center"/>
              <w:rPr>
                <w:rFonts w:ascii="宋体" w:hAnsi="宋体" w:cs="宋体"/>
              </w:rPr>
            </w:pPr>
          </w:p>
        </w:tc>
        <w:tc>
          <w:tcPr>
            <w:tcW w:w="1240" w:type="dxa"/>
          </w:tcPr>
          <w:p w14:paraId="60E1AF12">
            <w:pPr>
              <w:spacing w:line="440" w:lineRule="exact"/>
              <w:jc w:val="center"/>
              <w:rPr>
                <w:rFonts w:ascii="宋体" w:hAnsi="宋体" w:cs="宋体"/>
              </w:rPr>
            </w:pPr>
          </w:p>
        </w:tc>
      </w:tr>
      <w:tr w14:paraId="7E04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tcPr>
          <w:p w14:paraId="7F84172E">
            <w:pPr>
              <w:spacing w:line="440" w:lineRule="exact"/>
              <w:jc w:val="center"/>
              <w:rPr>
                <w:rFonts w:ascii="宋体" w:hAnsi="宋体" w:cs="宋体"/>
              </w:rPr>
            </w:pPr>
            <w:r>
              <w:rPr>
                <w:rFonts w:hint="eastAsia" w:ascii="宋体" w:hAnsi="宋体" w:cs="宋体"/>
              </w:rPr>
              <w:t>11</w:t>
            </w:r>
          </w:p>
        </w:tc>
        <w:tc>
          <w:tcPr>
            <w:tcW w:w="1395" w:type="dxa"/>
          </w:tcPr>
          <w:p w14:paraId="097A4F5A">
            <w:pPr>
              <w:spacing w:line="440" w:lineRule="exact"/>
              <w:jc w:val="center"/>
              <w:rPr>
                <w:rFonts w:ascii="宋体" w:hAnsi="宋体" w:cs="宋体"/>
              </w:rPr>
            </w:pPr>
          </w:p>
        </w:tc>
        <w:tc>
          <w:tcPr>
            <w:tcW w:w="1085" w:type="dxa"/>
          </w:tcPr>
          <w:p w14:paraId="3442EB1D">
            <w:pPr>
              <w:spacing w:line="440" w:lineRule="exact"/>
              <w:jc w:val="center"/>
              <w:rPr>
                <w:rFonts w:ascii="宋体" w:hAnsi="宋体" w:cs="宋体"/>
              </w:rPr>
            </w:pPr>
          </w:p>
        </w:tc>
        <w:tc>
          <w:tcPr>
            <w:tcW w:w="660" w:type="dxa"/>
          </w:tcPr>
          <w:p w14:paraId="064292F4">
            <w:pPr>
              <w:spacing w:line="440" w:lineRule="exact"/>
              <w:jc w:val="center"/>
              <w:rPr>
                <w:rFonts w:ascii="宋体" w:hAnsi="宋体" w:cs="宋体"/>
              </w:rPr>
            </w:pPr>
          </w:p>
        </w:tc>
        <w:tc>
          <w:tcPr>
            <w:tcW w:w="534" w:type="dxa"/>
          </w:tcPr>
          <w:p w14:paraId="430C3ED5">
            <w:pPr>
              <w:spacing w:line="440" w:lineRule="exact"/>
              <w:jc w:val="center"/>
              <w:rPr>
                <w:rFonts w:ascii="宋体" w:hAnsi="宋体" w:cs="宋体"/>
              </w:rPr>
            </w:pPr>
          </w:p>
        </w:tc>
        <w:tc>
          <w:tcPr>
            <w:tcW w:w="1240" w:type="dxa"/>
          </w:tcPr>
          <w:p w14:paraId="47D340F4">
            <w:pPr>
              <w:spacing w:line="440" w:lineRule="exact"/>
              <w:jc w:val="center"/>
              <w:rPr>
                <w:rFonts w:ascii="宋体" w:hAnsi="宋体" w:cs="宋体"/>
              </w:rPr>
            </w:pPr>
          </w:p>
        </w:tc>
        <w:tc>
          <w:tcPr>
            <w:tcW w:w="776" w:type="dxa"/>
          </w:tcPr>
          <w:p w14:paraId="0E6FA6BD">
            <w:pPr>
              <w:spacing w:line="440" w:lineRule="exact"/>
              <w:jc w:val="center"/>
              <w:rPr>
                <w:rFonts w:ascii="宋体" w:hAnsi="宋体" w:cs="宋体"/>
              </w:rPr>
            </w:pPr>
          </w:p>
        </w:tc>
        <w:tc>
          <w:tcPr>
            <w:tcW w:w="953" w:type="dxa"/>
          </w:tcPr>
          <w:p w14:paraId="6C5C48D2">
            <w:pPr>
              <w:spacing w:line="440" w:lineRule="exact"/>
              <w:jc w:val="center"/>
              <w:rPr>
                <w:rFonts w:ascii="宋体" w:hAnsi="宋体" w:cs="宋体"/>
              </w:rPr>
            </w:pPr>
          </w:p>
        </w:tc>
        <w:tc>
          <w:tcPr>
            <w:tcW w:w="1240" w:type="dxa"/>
          </w:tcPr>
          <w:p w14:paraId="2B6287EB">
            <w:pPr>
              <w:spacing w:line="440" w:lineRule="exact"/>
              <w:jc w:val="center"/>
              <w:rPr>
                <w:rFonts w:ascii="宋体" w:hAnsi="宋体" w:cs="宋体"/>
              </w:rPr>
            </w:pPr>
          </w:p>
        </w:tc>
      </w:tr>
      <w:tr w14:paraId="1790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tcPr>
          <w:p w14:paraId="208EC98A">
            <w:pPr>
              <w:spacing w:line="440" w:lineRule="exact"/>
              <w:jc w:val="center"/>
              <w:rPr>
                <w:rFonts w:ascii="宋体" w:hAnsi="宋体" w:cs="宋体"/>
              </w:rPr>
            </w:pPr>
            <w:r>
              <w:rPr>
                <w:rFonts w:hint="eastAsia" w:ascii="宋体" w:hAnsi="宋体" w:cs="宋体"/>
              </w:rPr>
              <w:t>12</w:t>
            </w:r>
          </w:p>
        </w:tc>
        <w:tc>
          <w:tcPr>
            <w:tcW w:w="1395" w:type="dxa"/>
          </w:tcPr>
          <w:p w14:paraId="20D67599">
            <w:pPr>
              <w:spacing w:line="440" w:lineRule="exact"/>
              <w:jc w:val="center"/>
              <w:rPr>
                <w:rFonts w:ascii="宋体" w:hAnsi="宋体" w:cs="宋体"/>
              </w:rPr>
            </w:pPr>
          </w:p>
        </w:tc>
        <w:tc>
          <w:tcPr>
            <w:tcW w:w="1085" w:type="dxa"/>
          </w:tcPr>
          <w:p w14:paraId="5E6A267A">
            <w:pPr>
              <w:spacing w:line="440" w:lineRule="exact"/>
              <w:jc w:val="center"/>
              <w:rPr>
                <w:rFonts w:ascii="宋体" w:hAnsi="宋体" w:cs="宋体"/>
              </w:rPr>
            </w:pPr>
          </w:p>
        </w:tc>
        <w:tc>
          <w:tcPr>
            <w:tcW w:w="660" w:type="dxa"/>
          </w:tcPr>
          <w:p w14:paraId="2953037E">
            <w:pPr>
              <w:spacing w:line="440" w:lineRule="exact"/>
              <w:jc w:val="center"/>
              <w:rPr>
                <w:rFonts w:ascii="宋体" w:hAnsi="宋体" w:cs="宋体"/>
              </w:rPr>
            </w:pPr>
          </w:p>
        </w:tc>
        <w:tc>
          <w:tcPr>
            <w:tcW w:w="534" w:type="dxa"/>
          </w:tcPr>
          <w:p w14:paraId="70B9C533">
            <w:pPr>
              <w:spacing w:line="440" w:lineRule="exact"/>
              <w:jc w:val="center"/>
              <w:rPr>
                <w:rFonts w:ascii="宋体" w:hAnsi="宋体" w:cs="宋体"/>
              </w:rPr>
            </w:pPr>
          </w:p>
        </w:tc>
        <w:tc>
          <w:tcPr>
            <w:tcW w:w="1240" w:type="dxa"/>
          </w:tcPr>
          <w:p w14:paraId="21CF19DC">
            <w:pPr>
              <w:spacing w:line="440" w:lineRule="exact"/>
              <w:jc w:val="center"/>
              <w:rPr>
                <w:rFonts w:ascii="宋体" w:hAnsi="宋体" w:cs="宋体"/>
              </w:rPr>
            </w:pPr>
          </w:p>
        </w:tc>
        <w:tc>
          <w:tcPr>
            <w:tcW w:w="776" w:type="dxa"/>
          </w:tcPr>
          <w:p w14:paraId="211FC8CB">
            <w:pPr>
              <w:spacing w:line="440" w:lineRule="exact"/>
              <w:jc w:val="center"/>
              <w:rPr>
                <w:rFonts w:ascii="宋体" w:hAnsi="宋体" w:cs="宋体"/>
              </w:rPr>
            </w:pPr>
          </w:p>
        </w:tc>
        <w:tc>
          <w:tcPr>
            <w:tcW w:w="953" w:type="dxa"/>
          </w:tcPr>
          <w:p w14:paraId="5B66CC3E">
            <w:pPr>
              <w:spacing w:line="440" w:lineRule="exact"/>
              <w:jc w:val="center"/>
              <w:rPr>
                <w:rFonts w:ascii="宋体" w:hAnsi="宋体" w:cs="宋体"/>
              </w:rPr>
            </w:pPr>
          </w:p>
        </w:tc>
        <w:tc>
          <w:tcPr>
            <w:tcW w:w="1240" w:type="dxa"/>
          </w:tcPr>
          <w:p w14:paraId="11B63EB8">
            <w:pPr>
              <w:spacing w:line="440" w:lineRule="exact"/>
              <w:jc w:val="center"/>
              <w:rPr>
                <w:rFonts w:ascii="宋体" w:hAnsi="宋体" w:cs="宋体"/>
              </w:rPr>
            </w:pPr>
          </w:p>
        </w:tc>
      </w:tr>
      <w:tr w14:paraId="0BCB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tcPr>
          <w:p w14:paraId="27C7A54D">
            <w:pPr>
              <w:spacing w:line="440" w:lineRule="exact"/>
              <w:jc w:val="center"/>
              <w:rPr>
                <w:rFonts w:ascii="宋体" w:hAnsi="宋体" w:cs="宋体"/>
              </w:rPr>
            </w:pPr>
            <w:r>
              <w:rPr>
                <w:rFonts w:hint="eastAsia" w:ascii="宋体" w:hAnsi="宋体" w:cs="宋体"/>
              </w:rPr>
              <w:t>13</w:t>
            </w:r>
          </w:p>
        </w:tc>
        <w:tc>
          <w:tcPr>
            <w:tcW w:w="1395" w:type="dxa"/>
          </w:tcPr>
          <w:p w14:paraId="311D40F5">
            <w:pPr>
              <w:spacing w:line="440" w:lineRule="exact"/>
              <w:jc w:val="center"/>
              <w:rPr>
                <w:rFonts w:ascii="宋体" w:hAnsi="宋体" w:cs="宋体"/>
              </w:rPr>
            </w:pPr>
          </w:p>
        </w:tc>
        <w:tc>
          <w:tcPr>
            <w:tcW w:w="1085" w:type="dxa"/>
          </w:tcPr>
          <w:p w14:paraId="4A51C381">
            <w:pPr>
              <w:spacing w:line="440" w:lineRule="exact"/>
              <w:jc w:val="center"/>
              <w:rPr>
                <w:rFonts w:ascii="宋体" w:hAnsi="宋体" w:cs="宋体"/>
              </w:rPr>
            </w:pPr>
          </w:p>
        </w:tc>
        <w:tc>
          <w:tcPr>
            <w:tcW w:w="660" w:type="dxa"/>
          </w:tcPr>
          <w:p w14:paraId="3DC61729">
            <w:pPr>
              <w:spacing w:line="440" w:lineRule="exact"/>
              <w:jc w:val="center"/>
              <w:rPr>
                <w:rFonts w:ascii="宋体" w:hAnsi="宋体" w:cs="宋体"/>
              </w:rPr>
            </w:pPr>
          </w:p>
        </w:tc>
        <w:tc>
          <w:tcPr>
            <w:tcW w:w="534" w:type="dxa"/>
          </w:tcPr>
          <w:p w14:paraId="73735DED">
            <w:pPr>
              <w:spacing w:line="440" w:lineRule="exact"/>
              <w:jc w:val="center"/>
              <w:rPr>
                <w:rFonts w:ascii="宋体" w:hAnsi="宋体" w:cs="宋体"/>
              </w:rPr>
            </w:pPr>
          </w:p>
        </w:tc>
        <w:tc>
          <w:tcPr>
            <w:tcW w:w="1240" w:type="dxa"/>
          </w:tcPr>
          <w:p w14:paraId="2BE74BBA">
            <w:pPr>
              <w:spacing w:line="440" w:lineRule="exact"/>
              <w:jc w:val="center"/>
              <w:rPr>
                <w:rFonts w:ascii="宋体" w:hAnsi="宋体" w:cs="宋体"/>
              </w:rPr>
            </w:pPr>
          </w:p>
        </w:tc>
        <w:tc>
          <w:tcPr>
            <w:tcW w:w="776" w:type="dxa"/>
          </w:tcPr>
          <w:p w14:paraId="6350F782">
            <w:pPr>
              <w:spacing w:line="440" w:lineRule="exact"/>
              <w:jc w:val="center"/>
              <w:rPr>
                <w:rFonts w:ascii="宋体" w:hAnsi="宋体" w:cs="宋体"/>
              </w:rPr>
            </w:pPr>
          </w:p>
        </w:tc>
        <w:tc>
          <w:tcPr>
            <w:tcW w:w="953" w:type="dxa"/>
          </w:tcPr>
          <w:p w14:paraId="3434275F">
            <w:pPr>
              <w:spacing w:line="440" w:lineRule="exact"/>
              <w:jc w:val="center"/>
              <w:rPr>
                <w:rFonts w:ascii="宋体" w:hAnsi="宋体" w:cs="宋体"/>
              </w:rPr>
            </w:pPr>
          </w:p>
        </w:tc>
        <w:tc>
          <w:tcPr>
            <w:tcW w:w="1240" w:type="dxa"/>
          </w:tcPr>
          <w:p w14:paraId="4FD725A0">
            <w:pPr>
              <w:spacing w:line="440" w:lineRule="exact"/>
              <w:jc w:val="center"/>
              <w:rPr>
                <w:rFonts w:ascii="宋体" w:hAnsi="宋体" w:cs="宋体"/>
              </w:rPr>
            </w:pPr>
          </w:p>
        </w:tc>
      </w:tr>
      <w:tr w14:paraId="06E0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tcPr>
          <w:p w14:paraId="137742FF">
            <w:pPr>
              <w:spacing w:line="440" w:lineRule="exact"/>
              <w:jc w:val="center"/>
              <w:rPr>
                <w:rFonts w:ascii="宋体" w:hAnsi="宋体" w:cs="宋体"/>
              </w:rPr>
            </w:pPr>
            <w:r>
              <w:rPr>
                <w:rFonts w:hint="eastAsia" w:ascii="宋体" w:hAnsi="宋体" w:cs="宋体"/>
              </w:rPr>
              <w:t>14</w:t>
            </w:r>
          </w:p>
        </w:tc>
        <w:tc>
          <w:tcPr>
            <w:tcW w:w="1395" w:type="dxa"/>
          </w:tcPr>
          <w:p w14:paraId="6151E755">
            <w:pPr>
              <w:spacing w:line="440" w:lineRule="exact"/>
              <w:jc w:val="center"/>
              <w:rPr>
                <w:rFonts w:ascii="宋体" w:hAnsi="宋体" w:cs="宋体"/>
              </w:rPr>
            </w:pPr>
          </w:p>
        </w:tc>
        <w:tc>
          <w:tcPr>
            <w:tcW w:w="1085" w:type="dxa"/>
          </w:tcPr>
          <w:p w14:paraId="1E2498A6">
            <w:pPr>
              <w:spacing w:line="440" w:lineRule="exact"/>
              <w:jc w:val="center"/>
              <w:rPr>
                <w:rFonts w:ascii="宋体" w:hAnsi="宋体" w:cs="宋体"/>
              </w:rPr>
            </w:pPr>
          </w:p>
        </w:tc>
        <w:tc>
          <w:tcPr>
            <w:tcW w:w="660" w:type="dxa"/>
          </w:tcPr>
          <w:p w14:paraId="7D00D9F0">
            <w:pPr>
              <w:spacing w:line="440" w:lineRule="exact"/>
              <w:jc w:val="center"/>
              <w:rPr>
                <w:rFonts w:ascii="宋体" w:hAnsi="宋体" w:cs="宋体"/>
              </w:rPr>
            </w:pPr>
          </w:p>
        </w:tc>
        <w:tc>
          <w:tcPr>
            <w:tcW w:w="534" w:type="dxa"/>
          </w:tcPr>
          <w:p w14:paraId="24B5D0E3">
            <w:pPr>
              <w:spacing w:line="440" w:lineRule="exact"/>
              <w:jc w:val="center"/>
              <w:rPr>
                <w:rFonts w:ascii="宋体" w:hAnsi="宋体" w:cs="宋体"/>
              </w:rPr>
            </w:pPr>
          </w:p>
        </w:tc>
        <w:tc>
          <w:tcPr>
            <w:tcW w:w="1240" w:type="dxa"/>
          </w:tcPr>
          <w:p w14:paraId="6E1B6250">
            <w:pPr>
              <w:spacing w:line="440" w:lineRule="exact"/>
              <w:jc w:val="center"/>
              <w:rPr>
                <w:rFonts w:ascii="宋体" w:hAnsi="宋体" w:cs="宋体"/>
              </w:rPr>
            </w:pPr>
          </w:p>
        </w:tc>
        <w:tc>
          <w:tcPr>
            <w:tcW w:w="776" w:type="dxa"/>
          </w:tcPr>
          <w:p w14:paraId="2B978CB4">
            <w:pPr>
              <w:spacing w:line="440" w:lineRule="exact"/>
              <w:jc w:val="center"/>
              <w:rPr>
                <w:rFonts w:ascii="宋体" w:hAnsi="宋体" w:cs="宋体"/>
              </w:rPr>
            </w:pPr>
          </w:p>
        </w:tc>
        <w:tc>
          <w:tcPr>
            <w:tcW w:w="953" w:type="dxa"/>
          </w:tcPr>
          <w:p w14:paraId="6FFD8FC2">
            <w:pPr>
              <w:spacing w:line="440" w:lineRule="exact"/>
              <w:jc w:val="center"/>
              <w:rPr>
                <w:rFonts w:ascii="宋体" w:hAnsi="宋体" w:cs="宋体"/>
              </w:rPr>
            </w:pPr>
          </w:p>
        </w:tc>
        <w:tc>
          <w:tcPr>
            <w:tcW w:w="1240" w:type="dxa"/>
          </w:tcPr>
          <w:p w14:paraId="6D80F26B">
            <w:pPr>
              <w:spacing w:line="440" w:lineRule="exact"/>
              <w:jc w:val="center"/>
              <w:rPr>
                <w:rFonts w:ascii="宋体" w:hAnsi="宋体" w:cs="宋体"/>
              </w:rPr>
            </w:pPr>
          </w:p>
        </w:tc>
      </w:tr>
      <w:tr w14:paraId="6B20A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vAlign w:val="center"/>
          </w:tcPr>
          <w:p w14:paraId="7F7AEA67">
            <w:pPr>
              <w:spacing w:line="440" w:lineRule="exact"/>
              <w:jc w:val="center"/>
              <w:rPr>
                <w:rFonts w:ascii="宋体" w:hAnsi="宋体" w:cs="宋体"/>
                <w:sz w:val="24"/>
                <w:szCs w:val="24"/>
              </w:rPr>
            </w:pPr>
            <w:r>
              <w:rPr>
                <w:rFonts w:hint="eastAsia" w:ascii="宋体" w:hAnsi="宋体" w:cs="宋体"/>
                <w:kern w:val="0"/>
                <w:sz w:val="24"/>
                <w:szCs w:val="24"/>
                <w:lang w:bidi="ar"/>
              </w:rPr>
              <w:t>……</w:t>
            </w:r>
          </w:p>
        </w:tc>
        <w:tc>
          <w:tcPr>
            <w:tcW w:w="1395" w:type="dxa"/>
          </w:tcPr>
          <w:p w14:paraId="297F778B">
            <w:pPr>
              <w:spacing w:line="440" w:lineRule="exact"/>
              <w:jc w:val="center"/>
              <w:rPr>
                <w:rFonts w:ascii="宋体" w:hAnsi="宋体" w:cs="宋体"/>
              </w:rPr>
            </w:pPr>
          </w:p>
        </w:tc>
        <w:tc>
          <w:tcPr>
            <w:tcW w:w="1085" w:type="dxa"/>
          </w:tcPr>
          <w:p w14:paraId="1A19C85F">
            <w:pPr>
              <w:spacing w:line="440" w:lineRule="exact"/>
              <w:jc w:val="center"/>
              <w:rPr>
                <w:rFonts w:ascii="宋体" w:hAnsi="宋体" w:cs="宋体"/>
              </w:rPr>
            </w:pPr>
          </w:p>
        </w:tc>
        <w:tc>
          <w:tcPr>
            <w:tcW w:w="660" w:type="dxa"/>
          </w:tcPr>
          <w:p w14:paraId="6A2892D1">
            <w:pPr>
              <w:spacing w:line="440" w:lineRule="exact"/>
              <w:jc w:val="center"/>
              <w:rPr>
                <w:rFonts w:ascii="宋体" w:hAnsi="宋体" w:cs="宋体"/>
              </w:rPr>
            </w:pPr>
          </w:p>
        </w:tc>
        <w:tc>
          <w:tcPr>
            <w:tcW w:w="534" w:type="dxa"/>
          </w:tcPr>
          <w:p w14:paraId="31953F82">
            <w:pPr>
              <w:spacing w:line="440" w:lineRule="exact"/>
              <w:jc w:val="center"/>
              <w:rPr>
                <w:rFonts w:ascii="宋体" w:hAnsi="宋体" w:cs="宋体"/>
              </w:rPr>
            </w:pPr>
          </w:p>
        </w:tc>
        <w:tc>
          <w:tcPr>
            <w:tcW w:w="1240" w:type="dxa"/>
          </w:tcPr>
          <w:p w14:paraId="45B22110">
            <w:pPr>
              <w:spacing w:line="440" w:lineRule="exact"/>
              <w:jc w:val="center"/>
              <w:rPr>
                <w:rFonts w:ascii="宋体" w:hAnsi="宋体" w:cs="宋体"/>
              </w:rPr>
            </w:pPr>
          </w:p>
        </w:tc>
        <w:tc>
          <w:tcPr>
            <w:tcW w:w="776" w:type="dxa"/>
          </w:tcPr>
          <w:p w14:paraId="5DAB3D8D">
            <w:pPr>
              <w:spacing w:line="440" w:lineRule="exact"/>
              <w:jc w:val="center"/>
              <w:rPr>
                <w:rFonts w:ascii="宋体" w:hAnsi="宋体" w:cs="宋体"/>
              </w:rPr>
            </w:pPr>
          </w:p>
        </w:tc>
        <w:tc>
          <w:tcPr>
            <w:tcW w:w="953" w:type="dxa"/>
          </w:tcPr>
          <w:p w14:paraId="0D6522CB">
            <w:pPr>
              <w:spacing w:line="440" w:lineRule="exact"/>
              <w:jc w:val="center"/>
              <w:rPr>
                <w:rFonts w:ascii="宋体" w:hAnsi="宋体" w:cs="宋体"/>
              </w:rPr>
            </w:pPr>
          </w:p>
        </w:tc>
        <w:tc>
          <w:tcPr>
            <w:tcW w:w="1240" w:type="dxa"/>
          </w:tcPr>
          <w:p w14:paraId="7BF46DAE">
            <w:pPr>
              <w:spacing w:line="440" w:lineRule="exact"/>
              <w:jc w:val="center"/>
              <w:rPr>
                <w:rFonts w:ascii="宋体" w:hAnsi="宋体" w:cs="宋体"/>
              </w:rPr>
            </w:pPr>
          </w:p>
        </w:tc>
      </w:tr>
    </w:tbl>
    <w:p w14:paraId="5E721C77">
      <w:pPr>
        <w:widowControl/>
        <w:jc w:val="left"/>
        <w:textAlignment w:val="center"/>
        <w:rPr>
          <w:rStyle w:val="30"/>
          <w:rFonts w:hint="default" w:ascii="宋体" w:hAnsi="宋体" w:eastAsia="宋体" w:cs="宋体"/>
          <w:sz w:val="24"/>
          <w:szCs w:val="24"/>
          <w:lang w:bidi="ar"/>
        </w:rPr>
      </w:pPr>
      <w:r>
        <w:rPr>
          <w:rStyle w:val="30"/>
          <w:rFonts w:hint="default" w:ascii="宋体" w:hAnsi="宋体" w:eastAsia="宋体" w:cs="宋体"/>
          <w:sz w:val="24"/>
          <w:szCs w:val="24"/>
          <w:lang w:bidi="ar"/>
        </w:rPr>
        <w:t>备注：</w:t>
      </w:r>
    </w:p>
    <w:p w14:paraId="5ABAE290">
      <w:pPr>
        <w:widowControl/>
        <w:spacing w:line="360" w:lineRule="auto"/>
        <w:ind w:firstLine="420" w:firstLineChars="200"/>
        <w:jc w:val="left"/>
        <w:textAlignment w:val="center"/>
        <w:rPr>
          <w:rStyle w:val="30"/>
          <w:rFonts w:hint="default" w:ascii="宋体" w:hAnsi="宋体" w:eastAsia="宋体" w:cs="宋体"/>
          <w:sz w:val="21"/>
          <w:szCs w:val="21"/>
          <w:lang w:bidi="ar"/>
        </w:rPr>
      </w:pPr>
      <w:r>
        <w:rPr>
          <w:rStyle w:val="30"/>
          <w:rFonts w:hint="default" w:ascii="宋体" w:hAnsi="宋体" w:eastAsia="宋体" w:cs="宋体"/>
          <w:sz w:val="21"/>
          <w:szCs w:val="21"/>
          <w:lang w:bidi="ar"/>
        </w:rPr>
        <w:t>1、“岗位”要求</w:t>
      </w:r>
      <w:r>
        <w:rPr>
          <w:rFonts w:hint="eastAsia" w:ascii="宋体" w:hAnsi="宋体" w:cs="宋体"/>
          <w:bCs/>
          <w:color w:val="000000"/>
          <w:szCs w:val="21"/>
          <w:lang w:bidi="ar"/>
        </w:rPr>
        <w:t>（总监理工程师除外）</w:t>
      </w:r>
      <w:r>
        <w:rPr>
          <w:rStyle w:val="30"/>
          <w:rFonts w:hint="default" w:ascii="宋体" w:hAnsi="宋体" w:eastAsia="宋体" w:cs="宋体"/>
          <w:sz w:val="21"/>
          <w:szCs w:val="21"/>
          <w:lang w:bidi="ar"/>
        </w:rPr>
        <w:t>由招标人根据项目管理需要在本表备注中明确提出，如：拟派驻施工现场的专业监理工程师、监理员等。以上项目管理团队人员信息将由交易系统提取后供各相关单位在履约时比对、查核。</w:t>
      </w:r>
    </w:p>
    <w:p w14:paraId="4E928647">
      <w:pPr>
        <w:widowControl/>
        <w:spacing w:line="360" w:lineRule="auto"/>
        <w:ind w:firstLine="420" w:firstLineChars="200"/>
        <w:jc w:val="left"/>
        <w:textAlignment w:val="center"/>
        <w:rPr>
          <w:rStyle w:val="30"/>
          <w:rFonts w:hint="default" w:ascii="宋体" w:hAnsi="宋体" w:eastAsia="宋体" w:cs="宋体"/>
          <w:sz w:val="21"/>
          <w:szCs w:val="21"/>
          <w:lang w:bidi="ar"/>
        </w:rPr>
      </w:pPr>
      <w:r>
        <w:rPr>
          <w:rStyle w:val="30"/>
          <w:rFonts w:hint="default" w:ascii="宋体" w:hAnsi="宋体" w:eastAsia="宋体" w:cs="宋体"/>
          <w:sz w:val="21"/>
          <w:szCs w:val="21"/>
          <w:lang w:bidi="ar"/>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应附技术职称证、执业资格证书（或上岗证书）（如有）、注册证书（如有）、提供近一个月（指2025年7月）投标人单位为拟投入本项目人员购买的社会保险证明文件清晰扫描件。</w:t>
      </w:r>
    </w:p>
    <w:p w14:paraId="66363512">
      <w:pPr>
        <w:rPr>
          <w:rFonts w:ascii="宋体" w:hAnsi="宋体" w:cs="宋体"/>
        </w:rPr>
      </w:pPr>
      <w:r>
        <w:rPr>
          <w:rStyle w:val="30"/>
          <w:rFonts w:hint="default" w:ascii="宋体" w:hAnsi="宋体" w:eastAsia="宋体" w:cs="宋体"/>
          <w:sz w:val="21"/>
          <w:szCs w:val="21"/>
          <w:lang w:bidi="ar"/>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489EE73A">
      <w:pPr>
        <w:spacing w:line="440" w:lineRule="exact"/>
        <w:outlineLvl w:val="2"/>
        <w:rPr>
          <w:rFonts w:ascii="宋体" w:hAnsi="宋体" w:cs="宋体"/>
          <w:sz w:val="28"/>
          <w:szCs w:val="20"/>
        </w:rPr>
      </w:pPr>
      <w:bookmarkStart w:id="875" w:name="_Toc11301"/>
      <w:bookmarkStart w:id="876" w:name="_Toc152042594"/>
      <w:bookmarkStart w:id="877" w:name="_Toc144974873"/>
      <w:bookmarkStart w:id="878" w:name="_Toc29641"/>
      <w:bookmarkStart w:id="879" w:name="_Toc4275"/>
      <w:bookmarkStart w:id="880" w:name="_Toc5719"/>
      <w:bookmarkStart w:id="881" w:name="_Toc28595"/>
      <w:bookmarkStart w:id="882" w:name="_Toc13154"/>
      <w:bookmarkStart w:id="883" w:name="_Toc29962"/>
      <w:bookmarkStart w:id="884" w:name="_Toc385943079"/>
      <w:bookmarkStart w:id="885" w:name="_Toc28165"/>
      <w:bookmarkStart w:id="886" w:name="_Toc26470"/>
      <w:bookmarkStart w:id="887" w:name="_Toc384308390"/>
      <w:bookmarkStart w:id="888" w:name="_Toc482188668"/>
      <w:bookmarkStart w:id="889" w:name="_Toc370676440"/>
      <w:bookmarkStart w:id="890" w:name="_Toc12312"/>
      <w:bookmarkStart w:id="891" w:name="_Toc391394125"/>
      <w:bookmarkStart w:id="892" w:name="_Toc11766"/>
      <w:bookmarkStart w:id="893" w:name="_Toc30596"/>
      <w:bookmarkStart w:id="894" w:name="_Toc527969235"/>
      <w:bookmarkStart w:id="895" w:name="_Toc152045805"/>
      <w:bookmarkStart w:id="896" w:name="_Toc14966916"/>
      <w:bookmarkStart w:id="897" w:name="_Toc7230"/>
      <w:bookmarkStart w:id="898" w:name="_Toc19474"/>
      <w:bookmarkStart w:id="899" w:name="_Toc4326"/>
      <w:bookmarkStart w:id="900" w:name="_Toc359594249"/>
      <w:bookmarkStart w:id="901" w:name="_Toc179632825"/>
      <w:bookmarkStart w:id="902" w:name="_Toc300835232"/>
      <w:bookmarkStart w:id="903" w:name="_Toc9680"/>
    </w:p>
    <w:p w14:paraId="1319874C">
      <w:pPr>
        <w:spacing w:line="440" w:lineRule="exact"/>
        <w:outlineLvl w:val="2"/>
        <w:rPr>
          <w:rFonts w:ascii="宋体" w:hAnsi="宋体" w:cs="宋体"/>
          <w:sz w:val="28"/>
          <w:szCs w:val="20"/>
        </w:rPr>
      </w:pPr>
    </w:p>
    <w:p w14:paraId="55681F50">
      <w:pPr>
        <w:spacing w:line="440" w:lineRule="exact"/>
        <w:outlineLvl w:val="2"/>
        <w:rPr>
          <w:rFonts w:ascii="宋体" w:hAnsi="宋体" w:cs="宋体"/>
          <w:sz w:val="28"/>
          <w:szCs w:val="20"/>
        </w:rPr>
      </w:pPr>
    </w:p>
    <w:p w14:paraId="16861C74">
      <w:pPr>
        <w:spacing w:line="440" w:lineRule="exact"/>
        <w:outlineLvl w:val="2"/>
        <w:rPr>
          <w:rFonts w:ascii="宋体" w:hAnsi="宋体" w:cs="宋体"/>
          <w:sz w:val="28"/>
          <w:szCs w:val="20"/>
        </w:rPr>
      </w:pPr>
    </w:p>
    <w:p w14:paraId="31FE4032">
      <w:pPr>
        <w:spacing w:line="440" w:lineRule="exact"/>
        <w:outlineLvl w:val="2"/>
        <w:rPr>
          <w:rFonts w:ascii="宋体" w:hAnsi="宋体" w:cs="宋体"/>
          <w:sz w:val="28"/>
          <w:szCs w:val="20"/>
        </w:rPr>
      </w:pPr>
    </w:p>
    <w:p w14:paraId="01F17E88">
      <w:pPr>
        <w:spacing w:line="440" w:lineRule="exact"/>
        <w:outlineLvl w:val="2"/>
        <w:rPr>
          <w:rFonts w:ascii="宋体" w:hAnsi="宋体" w:cs="宋体"/>
          <w:sz w:val="28"/>
          <w:szCs w:val="20"/>
        </w:rPr>
      </w:pPr>
    </w:p>
    <w:p w14:paraId="288FDC02">
      <w:pPr>
        <w:spacing w:line="440" w:lineRule="exact"/>
        <w:outlineLvl w:val="2"/>
        <w:rPr>
          <w:rFonts w:ascii="宋体" w:hAnsi="宋体" w:cs="宋体"/>
          <w:sz w:val="28"/>
          <w:szCs w:val="20"/>
        </w:rPr>
      </w:pPr>
    </w:p>
    <w:p w14:paraId="31F7FFD6">
      <w:pPr>
        <w:spacing w:line="440" w:lineRule="exact"/>
        <w:outlineLvl w:val="2"/>
        <w:rPr>
          <w:rFonts w:ascii="宋体" w:hAnsi="宋体" w:cs="宋体"/>
          <w:sz w:val="28"/>
          <w:szCs w:val="20"/>
        </w:rPr>
      </w:pPr>
    </w:p>
    <w:p w14:paraId="121E8DAF">
      <w:pPr>
        <w:spacing w:line="440" w:lineRule="exact"/>
        <w:outlineLvl w:val="2"/>
        <w:rPr>
          <w:rFonts w:ascii="宋体" w:hAnsi="宋体" w:cs="宋体"/>
          <w:sz w:val="28"/>
          <w:szCs w:val="20"/>
        </w:rPr>
      </w:pPr>
    </w:p>
    <w:p w14:paraId="392E3D5A">
      <w:pPr>
        <w:spacing w:line="440" w:lineRule="exact"/>
        <w:outlineLvl w:val="2"/>
        <w:rPr>
          <w:rFonts w:ascii="宋体" w:hAnsi="宋体" w:cs="宋体"/>
          <w:sz w:val="28"/>
          <w:szCs w:val="20"/>
        </w:rPr>
      </w:pPr>
    </w:p>
    <w:p w14:paraId="3DF48A2D">
      <w:pPr>
        <w:spacing w:line="440" w:lineRule="exact"/>
        <w:outlineLvl w:val="2"/>
        <w:rPr>
          <w:rFonts w:ascii="宋体" w:hAnsi="宋体" w:cs="宋体"/>
          <w:sz w:val="28"/>
          <w:szCs w:val="20"/>
        </w:rPr>
      </w:pPr>
    </w:p>
    <w:p w14:paraId="6965AA13">
      <w:pPr>
        <w:spacing w:line="440" w:lineRule="exact"/>
        <w:outlineLvl w:val="2"/>
        <w:rPr>
          <w:rFonts w:ascii="宋体" w:hAnsi="宋体" w:cs="宋体"/>
          <w:sz w:val="28"/>
          <w:szCs w:val="20"/>
        </w:rPr>
      </w:pPr>
    </w:p>
    <w:p w14:paraId="7C3A90E9">
      <w:pPr>
        <w:spacing w:line="440" w:lineRule="exact"/>
        <w:outlineLvl w:val="2"/>
        <w:rPr>
          <w:rFonts w:ascii="宋体" w:hAnsi="宋体" w:cs="宋体"/>
          <w:sz w:val="28"/>
          <w:szCs w:val="20"/>
        </w:rPr>
      </w:pPr>
    </w:p>
    <w:p w14:paraId="6DD63E11">
      <w:pPr>
        <w:spacing w:line="440" w:lineRule="exact"/>
        <w:outlineLvl w:val="2"/>
        <w:rPr>
          <w:rFonts w:ascii="宋体" w:hAnsi="宋体" w:cs="宋体"/>
          <w:sz w:val="28"/>
          <w:szCs w:val="20"/>
        </w:rPr>
      </w:pPr>
    </w:p>
    <w:p w14:paraId="4F180318">
      <w:pPr>
        <w:spacing w:line="440" w:lineRule="exact"/>
        <w:outlineLvl w:val="2"/>
        <w:rPr>
          <w:rFonts w:ascii="宋体" w:hAnsi="宋体" w:cs="宋体"/>
          <w:sz w:val="28"/>
          <w:szCs w:val="20"/>
        </w:rPr>
      </w:pPr>
    </w:p>
    <w:p w14:paraId="673B7F5E">
      <w:pPr>
        <w:spacing w:line="440" w:lineRule="exact"/>
        <w:outlineLvl w:val="2"/>
        <w:rPr>
          <w:rFonts w:ascii="宋体" w:hAnsi="宋体" w:cs="宋体"/>
          <w:sz w:val="28"/>
          <w:szCs w:val="20"/>
        </w:rPr>
      </w:pPr>
    </w:p>
    <w:p w14:paraId="70921635">
      <w:pPr>
        <w:spacing w:line="440" w:lineRule="exact"/>
        <w:outlineLvl w:val="2"/>
        <w:rPr>
          <w:rFonts w:ascii="宋体" w:hAnsi="宋体" w:cs="宋体"/>
          <w:sz w:val="28"/>
          <w:szCs w:val="20"/>
        </w:rPr>
      </w:pPr>
    </w:p>
    <w:p w14:paraId="2F6AE006">
      <w:pPr>
        <w:spacing w:line="440" w:lineRule="exact"/>
        <w:outlineLvl w:val="2"/>
        <w:rPr>
          <w:rFonts w:ascii="宋体" w:hAnsi="宋体" w:cs="宋体"/>
          <w:sz w:val="28"/>
          <w:szCs w:val="20"/>
        </w:rPr>
      </w:pPr>
    </w:p>
    <w:p w14:paraId="322107E5">
      <w:pPr>
        <w:spacing w:line="440" w:lineRule="exact"/>
        <w:outlineLvl w:val="2"/>
        <w:rPr>
          <w:rFonts w:ascii="宋体" w:hAnsi="宋体" w:cs="宋体"/>
          <w:sz w:val="28"/>
          <w:szCs w:val="20"/>
        </w:rPr>
      </w:pPr>
    </w:p>
    <w:p w14:paraId="38389B22">
      <w:pPr>
        <w:spacing w:line="440" w:lineRule="exact"/>
        <w:outlineLvl w:val="2"/>
        <w:rPr>
          <w:rFonts w:ascii="宋体" w:hAnsi="宋体" w:cs="宋体"/>
          <w:sz w:val="28"/>
          <w:szCs w:val="20"/>
        </w:rPr>
      </w:pPr>
    </w:p>
    <w:p w14:paraId="6EA43101">
      <w:pPr>
        <w:spacing w:line="440" w:lineRule="exact"/>
        <w:outlineLvl w:val="2"/>
        <w:rPr>
          <w:rFonts w:ascii="宋体" w:hAnsi="宋体" w:cs="宋体"/>
          <w:sz w:val="28"/>
          <w:szCs w:val="20"/>
        </w:rPr>
      </w:pPr>
    </w:p>
    <w:p w14:paraId="2BF8E269">
      <w:pPr>
        <w:spacing w:line="440" w:lineRule="exact"/>
        <w:outlineLvl w:val="2"/>
        <w:rPr>
          <w:rFonts w:ascii="宋体" w:hAnsi="宋体" w:cs="宋体"/>
          <w:sz w:val="28"/>
          <w:szCs w:val="20"/>
        </w:rPr>
      </w:pPr>
    </w:p>
    <w:p w14:paraId="0612911E">
      <w:pPr>
        <w:spacing w:line="440" w:lineRule="exact"/>
        <w:outlineLvl w:val="2"/>
        <w:rPr>
          <w:rFonts w:ascii="宋体" w:hAnsi="宋体" w:cs="宋体"/>
          <w:sz w:val="28"/>
          <w:szCs w:val="20"/>
        </w:rPr>
      </w:pPr>
    </w:p>
    <w:p w14:paraId="1155DD81">
      <w:pPr>
        <w:spacing w:line="440" w:lineRule="exact"/>
        <w:outlineLvl w:val="2"/>
        <w:rPr>
          <w:rFonts w:ascii="宋体" w:hAnsi="宋体" w:cs="宋体"/>
          <w:sz w:val="28"/>
          <w:szCs w:val="20"/>
        </w:rPr>
      </w:pPr>
    </w:p>
    <w:p w14:paraId="261F5AC8">
      <w:pPr>
        <w:spacing w:line="440" w:lineRule="exact"/>
        <w:outlineLvl w:val="2"/>
        <w:rPr>
          <w:rFonts w:ascii="宋体" w:hAnsi="宋体" w:cs="宋体"/>
          <w:sz w:val="28"/>
          <w:szCs w:val="20"/>
        </w:rPr>
      </w:pPr>
    </w:p>
    <w:p w14:paraId="1BEA77FC">
      <w:pPr>
        <w:spacing w:line="440" w:lineRule="exact"/>
        <w:outlineLvl w:val="2"/>
        <w:rPr>
          <w:rFonts w:ascii="宋体" w:hAnsi="宋体" w:cs="宋体"/>
          <w:sz w:val="28"/>
          <w:szCs w:val="20"/>
        </w:rPr>
      </w:pPr>
    </w:p>
    <w:p w14:paraId="0D09C369">
      <w:pPr>
        <w:spacing w:line="440" w:lineRule="exact"/>
        <w:outlineLvl w:val="2"/>
        <w:rPr>
          <w:rFonts w:ascii="宋体" w:hAnsi="宋体" w:cs="宋体"/>
          <w:sz w:val="28"/>
          <w:szCs w:val="20"/>
        </w:rPr>
      </w:pPr>
    </w:p>
    <w:p w14:paraId="4A9A43D9">
      <w:pPr>
        <w:spacing w:line="440" w:lineRule="exact"/>
        <w:outlineLvl w:val="2"/>
        <w:rPr>
          <w:rFonts w:ascii="宋体" w:hAnsi="宋体" w:cs="宋体"/>
          <w:sz w:val="28"/>
          <w:szCs w:val="20"/>
        </w:rPr>
      </w:pPr>
      <w:r>
        <w:rPr>
          <w:rFonts w:hint="eastAsia" w:ascii="宋体" w:hAnsi="宋体" w:cs="宋体"/>
          <w:sz w:val="28"/>
          <w:szCs w:val="20"/>
        </w:rPr>
        <w:t>（五）主要人员（项目总监）简历表</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p>
    <w:p w14:paraId="1B29B839">
      <w:pPr>
        <w:topLinePunct/>
        <w:spacing w:line="440" w:lineRule="exact"/>
        <w:jc w:val="left"/>
        <w:rPr>
          <w:rFonts w:ascii="宋体" w:hAnsi="宋体" w:cs="宋体"/>
          <w:sz w:val="23"/>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6CB9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14:paraId="2A8D14C3">
            <w:pPr>
              <w:spacing w:line="440" w:lineRule="exact"/>
              <w:jc w:val="center"/>
              <w:rPr>
                <w:rFonts w:ascii="宋体" w:hAnsi="宋体" w:cs="宋体"/>
              </w:rPr>
            </w:pPr>
            <w:r>
              <w:rPr>
                <w:rFonts w:hint="eastAsia" w:ascii="宋体" w:hAnsi="宋体" w:cs="宋体"/>
              </w:rPr>
              <w:t>姓  名</w:t>
            </w:r>
          </w:p>
        </w:tc>
        <w:tc>
          <w:tcPr>
            <w:tcW w:w="1048" w:type="dxa"/>
            <w:gridSpan w:val="2"/>
            <w:vAlign w:val="center"/>
          </w:tcPr>
          <w:p w14:paraId="01623D35">
            <w:pPr>
              <w:spacing w:line="440" w:lineRule="exact"/>
              <w:jc w:val="center"/>
              <w:rPr>
                <w:rFonts w:ascii="宋体" w:hAnsi="宋体" w:cs="宋体"/>
              </w:rPr>
            </w:pPr>
          </w:p>
        </w:tc>
        <w:tc>
          <w:tcPr>
            <w:tcW w:w="958" w:type="dxa"/>
            <w:vAlign w:val="center"/>
          </w:tcPr>
          <w:p w14:paraId="30D2CEDB">
            <w:pPr>
              <w:spacing w:line="440" w:lineRule="exact"/>
              <w:jc w:val="center"/>
              <w:rPr>
                <w:rFonts w:ascii="宋体" w:hAnsi="宋体" w:cs="宋体"/>
              </w:rPr>
            </w:pPr>
            <w:r>
              <w:rPr>
                <w:rFonts w:hint="eastAsia" w:ascii="宋体" w:hAnsi="宋体" w:cs="宋体"/>
              </w:rPr>
              <w:t>年龄</w:t>
            </w:r>
          </w:p>
        </w:tc>
        <w:tc>
          <w:tcPr>
            <w:tcW w:w="1065" w:type="dxa"/>
            <w:vAlign w:val="center"/>
          </w:tcPr>
          <w:p w14:paraId="22566EAB">
            <w:pPr>
              <w:spacing w:line="440" w:lineRule="exact"/>
              <w:jc w:val="center"/>
              <w:rPr>
                <w:rFonts w:ascii="宋体" w:hAnsi="宋体" w:cs="宋体"/>
              </w:rPr>
            </w:pPr>
          </w:p>
        </w:tc>
        <w:tc>
          <w:tcPr>
            <w:tcW w:w="2368" w:type="dxa"/>
            <w:gridSpan w:val="3"/>
            <w:vAlign w:val="center"/>
          </w:tcPr>
          <w:p w14:paraId="68E0638F">
            <w:pPr>
              <w:spacing w:line="440" w:lineRule="exact"/>
              <w:jc w:val="center"/>
              <w:rPr>
                <w:rFonts w:ascii="宋体" w:hAnsi="宋体" w:cs="宋体"/>
              </w:rPr>
            </w:pPr>
            <w:r>
              <w:rPr>
                <w:rFonts w:hint="eastAsia" w:ascii="宋体" w:hAnsi="宋体" w:cs="宋体"/>
              </w:rPr>
              <w:t>执业资格证书（或上岗证书）名称</w:t>
            </w:r>
          </w:p>
        </w:tc>
        <w:tc>
          <w:tcPr>
            <w:tcW w:w="1896" w:type="dxa"/>
            <w:vAlign w:val="center"/>
          </w:tcPr>
          <w:p w14:paraId="03584772">
            <w:pPr>
              <w:spacing w:line="440" w:lineRule="exact"/>
              <w:jc w:val="center"/>
              <w:rPr>
                <w:rFonts w:ascii="宋体" w:hAnsi="宋体" w:cs="宋体"/>
              </w:rPr>
            </w:pPr>
          </w:p>
        </w:tc>
      </w:tr>
      <w:tr w14:paraId="7396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27F531C9">
            <w:pPr>
              <w:spacing w:line="440" w:lineRule="exact"/>
              <w:jc w:val="center"/>
              <w:rPr>
                <w:rFonts w:ascii="宋体" w:hAnsi="宋体" w:cs="宋体"/>
              </w:rPr>
            </w:pPr>
            <w:r>
              <w:rPr>
                <w:rFonts w:hint="eastAsia" w:ascii="宋体" w:hAnsi="宋体" w:cs="宋体"/>
              </w:rPr>
              <w:t>职  称</w:t>
            </w:r>
          </w:p>
        </w:tc>
        <w:tc>
          <w:tcPr>
            <w:tcW w:w="1048" w:type="dxa"/>
            <w:gridSpan w:val="2"/>
            <w:vAlign w:val="center"/>
          </w:tcPr>
          <w:p w14:paraId="0483A9FD">
            <w:pPr>
              <w:spacing w:line="440" w:lineRule="exact"/>
              <w:jc w:val="center"/>
              <w:rPr>
                <w:rFonts w:ascii="宋体" w:hAnsi="宋体" w:cs="宋体"/>
              </w:rPr>
            </w:pPr>
          </w:p>
        </w:tc>
        <w:tc>
          <w:tcPr>
            <w:tcW w:w="958" w:type="dxa"/>
            <w:vAlign w:val="center"/>
          </w:tcPr>
          <w:p w14:paraId="4A1D0AB4">
            <w:pPr>
              <w:spacing w:before="100" w:beforeAutospacing="1" w:after="100" w:afterAutospacing="1" w:line="440" w:lineRule="exact"/>
              <w:jc w:val="center"/>
              <w:rPr>
                <w:rFonts w:ascii="宋体" w:hAnsi="宋体" w:cs="宋体"/>
              </w:rPr>
            </w:pPr>
            <w:r>
              <w:rPr>
                <w:rFonts w:hint="eastAsia" w:ascii="宋体" w:hAnsi="宋体" w:cs="宋体"/>
              </w:rPr>
              <w:t>学历</w:t>
            </w:r>
          </w:p>
        </w:tc>
        <w:tc>
          <w:tcPr>
            <w:tcW w:w="1065" w:type="dxa"/>
            <w:vAlign w:val="center"/>
          </w:tcPr>
          <w:p w14:paraId="57307348">
            <w:pPr>
              <w:spacing w:line="440" w:lineRule="exact"/>
              <w:jc w:val="center"/>
              <w:rPr>
                <w:rFonts w:ascii="宋体" w:hAnsi="宋体" w:cs="宋体"/>
              </w:rPr>
            </w:pPr>
          </w:p>
        </w:tc>
        <w:tc>
          <w:tcPr>
            <w:tcW w:w="2368" w:type="dxa"/>
            <w:gridSpan w:val="3"/>
            <w:vAlign w:val="center"/>
          </w:tcPr>
          <w:p w14:paraId="78C36D77">
            <w:pPr>
              <w:spacing w:before="100" w:beforeAutospacing="1" w:after="100" w:afterAutospacing="1" w:line="440" w:lineRule="exact"/>
              <w:jc w:val="center"/>
              <w:rPr>
                <w:rFonts w:ascii="宋体" w:hAnsi="宋体" w:cs="宋体"/>
              </w:rPr>
            </w:pPr>
            <w:r>
              <w:rPr>
                <w:rFonts w:hint="eastAsia" w:ascii="宋体" w:hAnsi="宋体" w:cs="宋体"/>
              </w:rPr>
              <w:t>拟在本项目任职</w:t>
            </w:r>
          </w:p>
        </w:tc>
        <w:tc>
          <w:tcPr>
            <w:tcW w:w="1896" w:type="dxa"/>
            <w:vAlign w:val="center"/>
          </w:tcPr>
          <w:p w14:paraId="7C4B660A">
            <w:pPr>
              <w:spacing w:line="440" w:lineRule="exact"/>
              <w:jc w:val="center"/>
              <w:rPr>
                <w:rFonts w:ascii="宋体" w:hAnsi="宋体" w:cs="宋体"/>
              </w:rPr>
            </w:pPr>
          </w:p>
        </w:tc>
      </w:tr>
      <w:tr w14:paraId="541B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6E9BC137">
            <w:pPr>
              <w:spacing w:before="100" w:beforeAutospacing="1" w:after="100" w:afterAutospacing="1" w:line="440" w:lineRule="exact"/>
              <w:jc w:val="center"/>
              <w:rPr>
                <w:rFonts w:ascii="宋体" w:hAnsi="宋体" w:cs="宋体"/>
              </w:rPr>
            </w:pPr>
            <w:r>
              <w:rPr>
                <w:rFonts w:hint="eastAsia" w:ascii="宋体" w:hAnsi="宋体" w:cs="宋体"/>
              </w:rPr>
              <w:t>工作年限</w:t>
            </w:r>
          </w:p>
        </w:tc>
        <w:tc>
          <w:tcPr>
            <w:tcW w:w="3071" w:type="dxa"/>
            <w:gridSpan w:val="4"/>
            <w:vAlign w:val="center"/>
          </w:tcPr>
          <w:p w14:paraId="68504EE4">
            <w:pPr>
              <w:spacing w:line="440" w:lineRule="exact"/>
              <w:jc w:val="center"/>
              <w:rPr>
                <w:rFonts w:ascii="宋体" w:hAnsi="宋体" w:cs="宋体"/>
              </w:rPr>
            </w:pPr>
          </w:p>
        </w:tc>
        <w:tc>
          <w:tcPr>
            <w:tcW w:w="2368" w:type="dxa"/>
            <w:gridSpan w:val="3"/>
            <w:vAlign w:val="center"/>
          </w:tcPr>
          <w:p w14:paraId="6BEF8107">
            <w:pPr>
              <w:spacing w:before="100" w:beforeAutospacing="1" w:after="100" w:afterAutospacing="1" w:line="440" w:lineRule="exact"/>
              <w:jc w:val="center"/>
              <w:rPr>
                <w:rFonts w:ascii="宋体" w:hAnsi="宋体" w:cs="宋体"/>
              </w:rPr>
            </w:pPr>
            <w:r>
              <w:rPr>
                <w:rFonts w:hint="eastAsia" w:ascii="宋体" w:hAnsi="宋体" w:cs="宋体"/>
              </w:rPr>
              <w:t>从事监理工作年限</w:t>
            </w:r>
          </w:p>
        </w:tc>
        <w:tc>
          <w:tcPr>
            <w:tcW w:w="1896" w:type="dxa"/>
            <w:vAlign w:val="center"/>
          </w:tcPr>
          <w:p w14:paraId="5E35E194">
            <w:pPr>
              <w:spacing w:line="440" w:lineRule="exact"/>
              <w:jc w:val="center"/>
              <w:rPr>
                <w:rFonts w:ascii="宋体" w:hAnsi="宋体" w:cs="宋体"/>
              </w:rPr>
            </w:pPr>
          </w:p>
        </w:tc>
      </w:tr>
      <w:tr w14:paraId="6EE0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14:paraId="4846C07F">
            <w:pPr>
              <w:spacing w:before="100" w:beforeAutospacing="1" w:after="100" w:afterAutospacing="1" w:line="440" w:lineRule="exact"/>
              <w:jc w:val="center"/>
              <w:rPr>
                <w:rFonts w:ascii="宋体" w:hAnsi="宋体" w:cs="宋体"/>
              </w:rPr>
            </w:pPr>
            <w:r>
              <w:rPr>
                <w:rFonts w:hint="eastAsia" w:ascii="宋体" w:hAnsi="宋体" w:cs="宋体"/>
              </w:rPr>
              <w:t>毕业学校</w:t>
            </w:r>
          </w:p>
        </w:tc>
        <w:tc>
          <w:tcPr>
            <w:tcW w:w="7335" w:type="dxa"/>
            <w:gridSpan w:val="8"/>
            <w:vAlign w:val="center"/>
          </w:tcPr>
          <w:p w14:paraId="5D53B202">
            <w:pPr>
              <w:spacing w:before="100" w:beforeAutospacing="1" w:after="100" w:afterAutospacing="1" w:line="440" w:lineRule="exact"/>
              <w:ind w:firstLine="1155" w:firstLineChars="550"/>
              <w:rPr>
                <w:rFonts w:ascii="宋体" w:hAnsi="宋体" w:cs="宋体"/>
              </w:rPr>
            </w:pPr>
            <w:r>
              <w:rPr>
                <w:rFonts w:hint="eastAsia" w:ascii="宋体" w:hAnsi="宋体" w:cs="宋体"/>
              </w:rPr>
              <w:t>年毕业于            学校        专业</w:t>
            </w:r>
          </w:p>
        </w:tc>
      </w:tr>
      <w:tr w14:paraId="7A33C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14:paraId="4576D0C4">
            <w:pPr>
              <w:spacing w:before="100" w:beforeAutospacing="1" w:after="100" w:afterAutospacing="1" w:line="440" w:lineRule="exact"/>
              <w:jc w:val="left"/>
              <w:rPr>
                <w:rFonts w:ascii="宋体" w:hAnsi="宋体" w:cs="宋体"/>
              </w:rPr>
            </w:pPr>
            <w:r>
              <w:rPr>
                <w:rFonts w:hint="eastAsia" w:ascii="宋体" w:hAnsi="宋体" w:cs="宋体"/>
              </w:rPr>
              <w:t>主要工作经历</w:t>
            </w:r>
          </w:p>
        </w:tc>
      </w:tr>
      <w:tr w14:paraId="72DF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14:paraId="2E7E0AA3">
            <w:pPr>
              <w:spacing w:before="100" w:beforeAutospacing="1" w:after="100" w:afterAutospacing="1" w:line="440" w:lineRule="exact"/>
              <w:jc w:val="center"/>
              <w:rPr>
                <w:rFonts w:ascii="宋体" w:hAnsi="宋体" w:cs="宋体"/>
              </w:rPr>
            </w:pPr>
            <w:r>
              <w:rPr>
                <w:rFonts w:hint="eastAsia" w:ascii="宋体" w:hAnsi="宋体" w:cs="宋体"/>
              </w:rPr>
              <w:t>时  间</w:t>
            </w:r>
          </w:p>
        </w:tc>
        <w:tc>
          <w:tcPr>
            <w:tcW w:w="3420" w:type="dxa"/>
            <w:gridSpan w:val="4"/>
            <w:vAlign w:val="center"/>
          </w:tcPr>
          <w:p w14:paraId="346AD978">
            <w:pPr>
              <w:spacing w:before="100" w:beforeAutospacing="1" w:after="100" w:afterAutospacing="1" w:line="440" w:lineRule="exact"/>
              <w:jc w:val="center"/>
              <w:rPr>
                <w:rFonts w:ascii="宋体" w:hAnsi="宋体" w:cs="宋体"/>
              </w:rPr>
            </w:pPr>
            <w:r>
              <w:rPr>
                <w:rFonts w:hint="eastAsia" w:ascii="宋体" w:hAnsi="宋体" w:cs="宋体"/>
              </w:rPr>
              <w:t>参加过的类似项目</w:t>
            </w:r>
          </w:p>
        </w:tc>
        <w:tc>
          <w:tcPr>
            <w:tcW w:w="1261" w:type="dxa"/>
            <w:vAlign w:val="center"/>
          </w:tcPr>
          <w:p w14:paraId="0225AAA9">
            <w:pPr>
              <w:spacing w:before="100" w:beforeAutospacing="1" w:after="100" w:afterAutospacing="1" w:line="440" w:lineRule="exact"/>
              <w:jc w:val="center"/>
              <w:rPr>
                <w:rFonts w:ascii="宋体" w:hAnsi="宋体" w:cs="宋体"/>
              </w:rPr>
            </w:pPr>
            <w:r>
              <w:rPr>
                <w:rFonts w:hint="eastAsia" w:ascii="宋体" w:hAnsi="宋体" w:cs="宋体"/>
              </w:rPr>
              <w:t>担任职务</w:t>
            </w:r>
          </w:p>
        </w:tc>
        <w:tc>
          <w:tcPr>
            <w:tcW w:w="2297" w:type="dxa"/>
            <w:gridSpan w:val="2"/>
            <w:vAlign w:val="center"/>
          </w:tcPr>
          <w:p w14:paraId="7A10D59B">
            <w:pPr>
              <w:spacing w:before="100" w:beforeAutospacing="1" w:after="100" w:afterAutospacing="1" w:line="440" w:lineRule="exact"/>
              <w:jc w:val="center"/>
              <w:rPr>
                <w:rFonts w:ascii="宋体" w:hAnsi="宋体" w:cs="宋体"/>
              </w:rPr>
            </w:pPr>
            <w:r>
              <w:rPr>
                <w:rFonts w:hint="eastAsia" w:ascii="宋体" w:hAnsi="宋体" w:cs="宋体"/>
              </w:rPr>
              <w:t>委托人及联系电话</w:t>
            </w:r>
          </w:p>
        </w:tc>
      </w:tr>
      <w:tr w14:paraId="031D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05724F75">
            <w:pPr>
              <w:spacing w:line="440" w:lineRule="exact"/>
              <w:rPr>
                <w:rFonts w:ascii="宋体" w:hAnsi="宋体" w:cs="宋体"/>
              </w:rPr>
            </w:pPr>
          </w:p>
        </w:tc>
        <w:tc>
          <w:tcPr>
            <w:tcW w:w="3420" w:type="dxa"/>
            <w:gridSpan w:val="4"/>
          </w:tcPr>
          <w:p w14:paraId="0D5EFAAC">
            <w:pPr>
              <w:spacing w:line="440" w:lineRule="exact"/>
              <w:rPr>
                <w:rFonts w:ascii="宋体" w:hAnsi="宋体" w:cs="宋体"/>
              </w:rPr>
            </w:pPr>
          </w:p>
        </w:tc>
        <w:tc>
          <w:tcPr>
            <w:tcW w:w="1261" w:type="dxa"/>
          </w:tcPr>
          <w:p w14:paraId="0FC350AF">
            <w:pPr>
              <w:spacing w:line="440" w:lineRule="exact"/>
              <w:rPr>
                <w:rFonts w:ascii="宋体" w:hAnsi="宋体" w:cs="宋体"/>
              </w:rPr>
            </w:pPr>
          </w:p>
        </w:tc>
        <w:tc>
          <w:tcPr>
            <w:tcW w:w="2297" w:type="dxa"/>
            <w:gridSpan w:val="2"/>
          </w:tcPr>
          <w:p w14:paraId="52FB05E4">
            <w:pPr>
              <w:spacing w:line="440" w:lineRule="exact"/>
              <w:rPr>
                <w:rFonts w:ascii="宋体" w:hAnsi="宋体" w:cs="宋体"/>
              </w:rPr>
            </w:pPr>
          </w:p>
        </w:tc>
      </w:tr>
      <w:tr w14:paraId="01B2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2BDFA42E">
            <w:pPr>
              <w:spacing w:line="440" w:lineRule="exact"/>
              <w:rPr>
                <w:rFonts w:ascii="宋体" w:hAnsi="宋体" w:cs="宋体"/>
              </w:rPr>
            </w:pPr>
          </w:p>
        </w:tc>
        <w:tc>
          <w:tcPr>
            <w:tcW w:w="3420" w:type="dxa"/>
            <w:gridSpan w:val="4"/>
          </w:tcPr>
          <w:p w14:paraId="3DAA4CC9">
            <w:pPr>
              <w:spacing w:line="440" w:lineRule="exact"/>
              <w:rPr>
                <w:rFonts w:ascii="宋体" w:hAnsi="宋体" w:cs="宋体"/>
              </w:rPr>
            </w:pPr>
          </w:p>
        </w:tc>
        <w:tc>
          <w:tcPr>
            <w:tcW w:w="1261" w:type="dxa"/>
          </w:tcPr>
          <w:p w14:paraId="49507DDB">
            <w:pPr>
              <w:spacing w:line="440" w:lineRule="exact"/>
              <w:rPr>
                <w:rFonts w:ascii="宋体" w:hAnsi="宋体" w:cs="宋体"/>
              </w:rPr>
            </w:pPr>
          </w:p>
        </w:tc>
        <w:tc>
          <w:tcPr>
            <w:tcW w:w="2297" w:type="dxa"/>
            <w:gridSpan w:val="2"/>
          </w:tcPr>
          <w:p w14:paraId="2FF9154C">
            <w:pPr>
              <w:spacing w:line="440" w:lineRule="exact"/>
              <w:rPr>
                <w:rFonts w:ascii="宋体" w:hAnsi="宋体" w:cs="宋体"/>
              </w:rPr>
            </w:pPr>
          </w:p>
        </w:tc>
      </w:tr>
      <w:tr w14:paraId="2020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45DBD5A6">
            <w:pPr>
              <w:spacing w:line="440" w:lineRule="exact"/>
              <w:rPr>
                <w:rFonts w:ascii="宋体" w:hAnsi="宋体" w:cs="宋体"/>
              </w:rPr>
            </w:pPr>
          </w:p>
        </w:tc>
        <w:tc>
          <w:tcPr>
            <w:tcW w:w="3420" w:type="dxa"/>
            <w:gridSpan w:val="4"/>
          </w:tcPr>
          <w:p w14:paraId="1DA01408">
            <w:pPr>
              <w:spacing w:line="440" w:lineRule="exact"/>
              <w:rPr>
                <w:rFonts w:ascii="宋体" w:hAnsi="宋体" w:cs="宋体"/>
              </w:rPr>
            </w:pPr>
          </w:p>
        </w:tc>
        <w:tc>
          <w:tcPr>
            <w:tcW w:w="1261" w:type="dxa"/>
          </w:tcPr>
          <w:p w14:paraId="212D2F68">
            <w:pPr>
              <w:spacing w:line="440" w:lineRule="exact"/>
              <w:rPr>
                <w:rFonts w:ascii="宋体" w:hAnsi="宋体" w:cs="宋体"/>
              </w:rPr>
            </w:pPr>
          </w:p>
        </w:tc>
        <w:tc>
          <w:tcPr>
            <w:tcW w:w="2297" w:type="dxa"/>
            <w:gridSpan w:val="2"/>
          </w:tcPr>
          <w:p w14:paraId="5D805A9B">
            <w:pPr>
              <w:spacing w:line="440" w:lineRule="exact"/>
              <w:rPr>
                <w:rFonts w:ascii="宋体" w:hAnsi="宋体" w:cs="宋体"/>
              </w:rPr>
            </w:pPr>
          </w:p>
        </w:tc>
      </w:tr>
      <w:tr w14:paraId="0AD3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28EA9D1A">
            <w:pPr>
              <w:spacing w:line="440" w:lineRule="exact"/>
              <w:rPr>
                <w:rFonts w:ascii="宋体" w:hAnsi="宋体" w:cs="宋体"/>
              </w:rPr>
            </w:pPr>
          </w:p>
        </w:tc>
        <w:tc>
          <w:tcPr>
            <w:tcW w:w="3420" w:type="dxa"/>
            <w:gridSpan w:val="4"/>
            <w:vAlign w:val="center"/>
          </w:tcPr>
          <w:p w14:paraId="4B99B46E">
            <w:pPr>
              <w:spacing w:line="440" w:lineRule="exact"/>
              <w:rPr>
                <w:rFonts w:ascii="宋体" w:hAnsi="宋体" w:cs="宋体"/>
              </w:rPr>
            </w:pPr>
          </w:p>
        </w:tc>
        <w:tc>
          <w:tcPr>
            <w:tcW w:w="1261" w:type="dxa"/>
            <w:vAlign w:val="center"/>
          </w:tcPr>
          <w:p w14:paraId="62ABAC76">
            <w:pPr>
              <w:spacing w:line="440" w:lineRule="exact"/>
              <w:rPr>
                <w:rFonts w:ascii="宋体" w:hAnsi="宋体" w:cs="宋体"/>
              </w:rPr>
            </w:pPr>
          </w:p>
        </w:tc>
        <w:tc>
          <w:tcPr>
            <w:tcW w:w="2297" w:type="dxa"/>
            <w:gridSpan w:val="2"/>
            <w:vAlign w:val="center"/>
          </w:tcPr>
          <w:p w14:paraId="6F041629">
            <w:pPr>
              <w:spacing w:line="440" w:lineRule="exact"/>
              <w:rPr>
                <w:rFonts w:ascii="宋体" w:hAnsi="宋体" w:cs="宋体"/>
              </w:rPr>
            </w:pPr>
          </w:p>
        </w:tc>
      </w:tr>
      <w:tr w14:paraId="0197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61974096">
            <w:pPr>
              <w:spacing w:line="440" w:lineRule="exact"/>
              <w:rPr>
                <w:rFonts w:ascii="宋体" w:hAnsi="宋体" w:cs="宋体"/>
              </w:rPr>
            </w:pPr>
          </w:p>
        </w:tc>
        <w:tc>
          <w:tcPr>
            <w:tcW w:w="3420" w:type="dxa"/>
            <w:gridSpan w:val="4"/>
            <w:vAlign w:val="center"/>
          </w:tcPr>
          <w:p w14:paraId="02959A41">
            <w:pPr>
              <w:spacing w:line="440" w:lineRule="exact"/>
              <w:rPr>
                <w:rFonts w:ascii="宋体" w:hAnsi="宋体" w:cs="宋体"/>
              </w:rPr>
            </w:pPr>
          </w:p>
        </w:tc>
        <w:tc>
          <w:tcPr>
            <w:tcW w:w="1261" w:type="dxa"/>
            <w:vAlign w:val="center"/>
          </w:tcPr>
          <w:p w14:paraId="404B6856">
            <w:pPr>
              <w:spacing w:line="440" w:lineRule="exact"/>
              <w:rPr>
                <w:rFonts w:ascii="宋体" w:hAnsi="宋体" w:cs="宋体"/>
              </w:rPr>
            </w:pPr>
          </w:p>
        </w:tc>
        <w:tc>
          <w:tcPr>
            <w:tcW w:w="2297" w:type="dxa"/>
            <w:gridSpan w:val="2"/>
            <w:vAlign w:val="center"/>
          </w:tcPr>
          <w:p w14:paraId="27EE71FB">
            <w:pPr>
              <w:spacing w:line="440" w:lineRule="exact"/>
              <w:rPr>
                <w:rFonts w:ascii="宋体" w:hAnsi="宋体" w:cs="宋体"/>
              </w:rPr>
            </w:pPr>
          </w:p>
        </w:tc>
      </w:tr>
    </w:tbl>
    <w:p w14:paraId="2755898B">
      <w:pPr>
        <w:spacing w:line="440" w:lineRule="exact"/>
        <w:rPr>
          <w:rFonts w:ascii="宋体" w:hAnsi="宋体" w:cs="宋体"/>
          <w:szCs w:val="21"/>
        </w:rPr>
      </w:pPr>
      <w:r>
        <w:rPr>
          <w:rFonts w:hint="eastAsia" w:ascii="宋体" w:hAnsi="宋体" w:cs="宋体"/>
        </w:rPr>
        <w:t>注：投标人应根据招标公告及招标文件的要求在本表后附相关证明材料</w:t>
      </w:r>
      <w:r>
        <w:rPr>
          <w:rFonts w:hint="eastAsia" w:ascii="宋体" w:hAnsi="宋体" w:cs="宋体"/>
          <w:szCs w:val="21"/>
        </w:rPr>
        <w:t>，所投入人员必须为投标人本单位人员，须提供近一个月（指2025年8月）在本投标单位购买社保缴纳证明材料，提供证明资料的清晰扫描件并加盖投标单位电子印章。主要人员指总监理工程师、专业监理工程师。</w:t>
      </w:r>
    </w:p>
    <w:p w14:paraId="178A55BE">
      <w:pPr>
        <w:pStyle w:val="5"/>
        <w:keepNext w:val="0"/>
        <w:keepLines w:val="0"/>
        <w:spacing w:after="0"/>
        <w:ind w:firstLine="137"/>
        <w:rPr>
          <w:rFonts w:ascii="宋体" w:hAnsi="宋体" w:eastAsia="宋体" w:cs="宋体"/>
        </w:rPr>
      </w:pPr>
      <w:bookmarkStart w:id="904" w:name="_Toc352703741"/>
      <w:bookmarkStart w:id="905" w:name="_Toc300835229"/>
      <w:r>
        <w:rPr>
          <w:rFonts w:hint="eastAsia" w:ascii="宋体" w:hAnsi="宋体" w:eastAsia="宋体" w:cs="宋体"/>
        </w:rPr>
        <w:br w:type="page"/>
      </w:r>
      <w:bookmarkEnd w:id="904"/>
      <w:bookmarkEnd w:id="905"/>
      <w:bookmarkStart w:id="906" w:name="_Toc482188666"/>
      <w:bookmarkStart w:id="907" w:name="_Toc8947"/>
      <w:bookmarkStart w:id="908" w:name="_Toc29956"/>
      <w:bookmarkStart w:id="909" w:name="_Toc30753"/>
      <w:bookmarkStart w:id="910" w:name="_Toc30900"/>
      <w:bookmarkStart w:id="911" w:name="_Toc16828"/>
      <w:bookmarkStart w:id="912" w:name="_Toc17168"/>
      <w:bookmarkStart w:id="913" w:name="_Toc31249"/>
      <w:bookmarkStart w:id="914" w:name="_Toc4270"/>
      <w:bookmarkStart w:id="915" w:name="_Toc17953"/>
      <w:bookmarkStart w:id="916" w:name="_Toc14966917"/>
      <w:bookmarkStart w:id="917" w:name="_Toc19122"/>
      <w:bookmarkStart w:id="918" w:name="_Toc30044"/>
      <w:bookmarkStart w:id="919" w:name="_Toc10992"/>
      <w:bookmarkStart w:id="920" w:name="_Toc527969236"/>
      <w:bookmarkStart w:id="921" w:name="_Toc20930"/>
      <w:bookmarkStart w:id="922" w:name="_Toc14826"/>
      <w:bookmarkStart w:id="923" w:name="_Toc25104"/>
      <w:bookmarkStart w:id="924" w:name="_Toc20736"/>
      <w:r>
        <w:rPr>
          <w:rFonts w:hint="eastAsia" w:ascii="宋体" w:hAnsi="宋体" w:eastAsia="宋体" w:cs="宋体"/>
        </w:rPr>
        <w:t>（六）拟投入本项目的主要</w:t>
      </w:r>
      <w:bookmarkEnd w:id="906"/>
      <w:r>
        <w:rPr>
          <w:rFonts w:hint="eastAsia" w:ascii="宋体" w:hAnsi="宋体" w:eastAsia="宋体" w:cs="宋体"/>
        </w:rPr>
        <w:t>试验检测仪器设备表</w: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p>
    <w:p w14:paraId="31081A80">
      <w:pPr>
        <w:spacing w:line="440" w:lineRule="exact"/>
        <w:jc w:val="center"/>
        <w:rPr>
          <w:rFonts w:ascii="宋体" w:hAnsi="宋体" w:cs="宋体"/>
          <w:sz w:val="32"/>
          <w:szCs w:val="32"/>
        </w:rPr>
      </w:pPr>
      <w:r>
        <w:rPr>
          <w:rFonts w:hint="eastAsia" w:ascii="宋体" w:hAnsi="宋体" w:cs="宋体"/>
          <w:position w:val="-1"/>
          <w:sz w:val="28"/>
          <w:szCs w:val="28"/>
        </w:rPr>
        <w:t>拟投入本项目的通讯、办公、检测设备清单</w:t>
      </w:r>
    </w:p>
    <w:tbl>
      <w:tblPr>
        <w:tblStyle w:val="2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33"/>
        <w:gridCol w:w="1662"/>
        <w:gridCol w:w="1749"/>
        <w:gridCol w:w="1573"/>
        <w:gridCol w:w="1558"/>
      </w:tblGrid>
      <w:tr w14:paraId="3299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2689" w:type="dxa"/>
            <w:gridSpan w:val="2"/>
            <w:vMerge w:val="restart"/>
            <w:tcBorders>
              <w:top w:val="single" w:color="auto" w:sz="4" w:space="0"/>
              <w:left w:val="single" w:color="auto" w:sz="4" w:space="0"/>
              <w:bottom w:val="single" w:color="auto" w:sz="4" w:space="0"/>
              <w:right w:val="single" w:color="auto" w:sz="4" w:space="0"/>
            </w:tcBorders>
            <w:vAlign w:val="center"/>
          </w:tcPr>
          <w:p w14:paraId="1EED72BC">
            <w:pPr>
              <w:jc w:val="center"/>
              <w:rPr>
                <w:rFonts w:ascii="宋体" w:hAnsi="宋体" w:cs="宋体"/>
                <w:szCs w:val="21"/>
              </w:rPr>
            </w:pPr>
            <w:r>
              <w:rPr>
                <w:rFonts w:hint="eastAsia" w:ascii="宋体" w:hAnsi="宋体" w:cs="宋体"/>
                <w:szCs w:val="21"/>
              </w:rPr>
              <w:t>名称及型号</w:t>
            </w:r>
          </w:p>
        </w:tc>
        <w:tc>
          <w:tcPr>
            <w:tcW w:w="6542" w:type="dxa"/>
            <w:gridSpan w:val="4"/>
            <w:tcBorders>
              <w:top w:val="single" w:color="auto" w:sz="4" w:space="0"/>
              <w:left w:val="single" w:color="auto" w:sz="4" w:space="0"/>
              <w:bottom w:val="single" w:color="auto" w:sz="4" w:space="0"/>
              <w:right w:val="single" w:color="auto" w:sz="4" w:space="0"/>
            </w:tcBorders>
            <w:vAlign w:val="center"/>
          </w:tcPr>
          <w:p w14:paraId="16576A68">
            <w:pPr>
              <w:jc w:val="center"/>
              <w:rPr>
                <w:rFonts w:ascii="宋体" w:hAnsi="宋体" w:cs="宋体"/>
                <w:szCs w:val="21"/>
              </w:rPr>
            </w:pPr>
            <w:r>
              <w:rPr>
                <w:rFonts w:hint="eastAsia" w:ascii="宋体" w:hAnsi="宋体" w:cs="宋体"/>
                <w:szCs w:val="21"/>
              </w:rPr>
              <w:t>申请单位能达到的程度简述（由申请单位填写）</w:t>
            </w:r>
          </w:p>
        </w:tc>
      </w:tr>
      <w:tr w14:paraId="3AE2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2689" w:type="dxa"/>
            <w:gridSpan w:val="2"/>
            <w:vMerge w:val="continue"/>
            <w:tcBorders>
              <w:top w:val="single" w:color="auto" w:sz="4" w:space="0"/>
              <w:left w:val="single" w:color="auto" w:sz="4" w:space="0"/>
              <w:bottom w:val="single" w:color="auto" w:sz="4" w:space="0"/>
              <w:right w:val="single" w:color="auto" w:sz="4" w:space="0"/>
            </w:tcBorders>
            <w:vAlign w:val="center"/>
          </w:tcPr>
          <w:p w14:paraId="5357CAB8">
            <w:pPr>
              <w:widowControl/>
              <w:jc w:val="left"/>
              <w:rPr>
                <w:rFonts w:ascii="宋体" w:hAnsi="宋体" w:cs="宋体"/>
                <w:szCs w:val="21"/>
              </w:rPr>
            </w:pPr>
          </w:p>
        </w:tc>
        <w:tc>
          <w:tcPr>
            <w:tcW w:w="1662" w:type="dxa"/>
            <w:vMerge w:val="restart"/>
            <w:tcBorders>
              <w:top w:val="single" w:color="auto" w:sz="4" w:space="0"/>
              <w:left w:val="single" w:color="auto" w:sz="4" w:space="0"/>
              <w:bottom w:val="single" w:color="auto" w:sz="4" w:space="0"/>
              <w:right w:val="single" w:color="auto" w:sz="4" w:space="0"/>
            </w:tcBorders>
            <w:vAlign w:val="center"/>
          </w:tcPr>
          <w:p w14:paraId="6A08CCC5">
            <w:pPr>
              <w:jc w:val="center"/>
              <w:rPr>
                <w:rFonts w:ascii="宋体" w:hAnsi="宋体" w:cs="宋体"/>
                <w:szCs w:val="21"/>
              </w:rPr>
            </w:pPr>
            <w:r>
              <w:rPr>
                <w:rFonts w:hint="eastAsia" w:ascii="宋体" w:hAnsi="宋体" w:cs="宋体"/>
                <w:szCs w:val="21"/>
              </w:rPr>
              <w:t>数量（台套）</w:t>
            </w:r>
          </w:p>
        </w:tc>
        <w:tc>
          <w:tcPr>
            <w:tcW w:w="4880" w:type="dxa"/>
            <w:gridSpan w:val="3"/>
            <w:tcBorders>
              <w:top w:val="single" w:color="auto" w:sz="4" w:space="0"/>
              <w:left w:val="single" w:color="auto" w:sz="4" w:space="0"/>
              <w:bottom w:val="single" w:color="auto" w:sz="4" w:space="0"/>
              <w:right w:val="single" w:color="auto" w:sz="4" w:space="0"/>
            </w:tcBorders>
            <w:vAlign w:val="center"/>
          </w:tcPr>
          <w:p w14:paraId="6EA49481">
            <w:pPr>
              <w:jc w:val="center"/>
              <w:rPr>
                <w:rFonts w:ascii="宋体" w:hAnsi="宋体" w:cs="宋体"/>
                <w:szCs w:val="21"/>
              </w:rPr>
            </w:pPr>
            <w:r>
              <w:rPr>
                <w:rFonts w:hint="eastAsia" w:ascii="宋体" w:hAnsi="宋体" w:cs="宋体"/>
                <w:szCs w:val="21"/>
              </w:rPr>
              <w:t>拟投入本项目情况（台套）</w:t>
            </w:r>
          </w:p>
        </w:tc>
      </w:tr>
      <w:tr w14:paraId="0D6C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2689" w:type="dxa"/>
            <w:gridSpan w:val="2"/>
            <w:vMerge w:val="continue"/>
            <w:tcBorders>
              <w:top w:val="single" w:color="auto" w:sz="4" w:space="0"/>
              <w:left w:val="single" w:color="auto" w:sz="4" w:space="0"/>
              <w:bottom w:val="single" w:color="auto" w:sz="4" w:space="0"/>
              <w:right w:val="single" w:color="auto" w:sz="4" w:space="0"/>
            </w:tcBorders>
            <w:vAlign w:val="center"/>
          </w:tcPr>
          <w:p w14:paraId="0CD1CAFB">
            <w:pPr>
              <w:widowControl/>
              <w:jc w:val="left"/>
              <w:rPr>
                <w:rFonts w:ascii="宋体" w:hAnsi="宋体" w:cs="宋体"/>
                <w:szCs w:val="21"/>
              </w:rPr>
            </w:pPr>
          </w:p>
        </w:tc>
        <w:tc>
          <w:tcPr>
            <w:tcW w:w="1662" w:type="dxa"/>
            <w:vMerge w:val="continue"/>
            <w:tcBorders>
              <w:top w:val="single" w:color="auto" w:sz="4" w:space="0"/>
              <w:left w:val="single" w:color="auto" w:sz="4" w:space="0"/>
              <w:bottom w:val="single" w:color="auto" w:sz="4" w:space="0"/>
              <w:right w:val="single" w:color="auto" w:sz="4" w:space="0"/>
            </w:tcBorders>
            <w:vAlign w:val="center"/>
          </w:tcPr>
          <w:p w14:paraId="6764B86D">
            <w:pPr>
              <w:widowControl/>
              <w:jc w:val="left"/>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1E04251C">
            <w:pPr>
              <w:jc w:val="center"/>
              <w:rPr>
                <w:rFonts w:ascii="宋体" w:hAnsi="宋体" w:cs="宋体"/>
                <w:szCs w:val="21"/>
              </w:rPr>
            </w:pPr>
            <w:r>
              <w:rPr>
                <w:rFonts w:hint="eastAsia" w:ascii="宋体" w:hAnsi="宋体" w:cs="宋体"/>
                <w:szCs w:val="21"/>
              </w:rPr>
              <w:t>新购</w:t>
            </w:r>
          </w:p>
        </w:tc>
        <w:tc>
          <w:tcPr>
            <w:tcW w:w="1573" w:type="dxa"/>
            <w:tcBorders>
              <w:top w:val="single" w:color="auto" w:sz="4" w:space="0"/>
              <w:left w:val="single" w:color="auto" w:sz="4" w:space="0"/>
              <w:bottom w:val="single" w:color="auto" w:sz="4" w:space="0"/>
              <w:right w:val="single" w:color="auto" w:sz="4" w:space="0"/>
            </w:tcBorders>
            <w:vAlign w:val="center"/>
          </w:tcPr>
          <w:p w14:paraId="20107226">
            <w:pPr>
              <w:jc w:val="center"/>
              <w:rPr>
                <w:rFonts w:ascii="宋体" w:hAnsi="宋体" w:cs="宋体"/>
                <w:szCs w:val="21"/>
              </w:rPr>
            </w:pPr>
            <w:r>
              <w:rPr>
                <w:rFonts w:hint="eastAsia" w:ascii="宋体" w:hAnsi="宋体" w:cs="宋体"/>
                <w:szCs w:val="21"/>
              </w:rPr>
              <w:t>自有</w:t>
            </w:r>
          </w:p>
        </w:tc>
        <w:tc>
          <w:tcPr>
            <w:tcW w:w="1558" w:type="dxa"/>
            <w:tcBorders>
              <w:top w:val="single" w:color="auto" w:sz="4" w:space="0"/>
              <w:left w:val="single" w:color="auto" w:sz="4" w:space="0"/>
              <w:bottom w:val="single" w:color="auto" w:sz="4" w:space="0"/>
              <w:right w:val="single" w:color="auto" w:sz="4" w:space="0"/>
            </w:tcBorders>
            <w:vAlign w:val="center"/>
          </w:tcPr>
          <w:p w14:paraId="31F7E084">
            <w:pPr>
              <w:jc w:val="center"/>
              <w:rPr>
                <w:rFonts w:ascii="宋体" w:hAnsi="宋体" w:cs="宋体"/>
                <w:szCs w:val="21"/>
              </w:rPr>
            </w:pPr>
            <w:r>
              <w:rPr>
                <w:rFonts w:hint="eastAsia" w:ascii="宋体" w:hAnsi="宋体" w:cs="宋体"/>
                <w:szCs w:val="21"/>
              </w:rPr>
              <w:t>租赁</w:t>
            </w:r>
          </w:p>
        </w:tc>
      </w:tr>
      <w:tr w14:paraId="1D47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restart"/>
            <w:tcBorders>
              <w:top w:val="single" w:color="auto" w:sz="4" w:space="0"/>
              <w:left w:val="single" w:color="auto" w:sz="4" w:space="0"/>
              <w:bottom w:val="single" w:color="auto" w:sz="4" w:space="0"/>
              <w:right w:val="single" w:color="auto" w:sz="4" w:space="0"/>
            </w:tcBorders>
            <w:vAlign w:val="center"/>
          </w:tcPr>
          <w:p w14:paraId="27699742">
            <w:pPr>
              <w:jc w:val="center"/>
              <w:rPr>
                <w:rFonts w:ascii="宋体" w:hAnsi="宋体" w:cs="宋体"/>
                <w:sz w:val="24"/>
                <w:szCs w:val="24"/>
              </w:rPr>
            </w:pPr>
            <w:r>
              <w:rPr>
                <w:rFonts w:hint="eastAsia" w:ascii="宋体" w:hAnsi="宋体" w:cs="宋体"/>
                <w:sz w:val="24"/>
                <w:szCs w:val="24"/>
              </w:rPr>
              <w:t>通讯设备</w:t>
            </w:r>
          </w:p>
        </w:tc>
        <w:tc>
          <w:tcPr>
            <w:tcW w:w="2233" w:type="dxa"/>
            <w:tcBorders>
              <w:top w:val="single" w:color="auto" w:sz="4" w:space="0"/>
              <w:left w:val="single" w:color="auto" w:sz="4" w:space="0"/>
              <w:bottom w:val="single" w:color="auto" w:sz="4" w:space="0"/>
              <w:right w:val="single" w:color="auto" w:sz="4" w:space="0"/>
            </w:tcBorders>
            <w:vAlign w:val="center"/>
          </w:tcPr>
          <w:p w14:paraId="18DC96A5">
            <w:pPr>
              <w:jc w:val="center"/>
              <w:rPr>
                <w:rFonts w:ascii="宋体" w:hAnsi="宋体" w:cs="宋体"/>
                <w:szCs w:val="21"/>
              </w:rPr>
            </w:pPr>
            <w:r>
              <w:rPr>
                <w:rFonts w:hint="eastAsia" w:ascii="宋体" w:hAnsi="宋体" w:cs="宋体"/>
                <w:szCs w:val="21"/>
              </w:rPr>
              <w:t>有线电话</w:t>
            </w:r>
          </w:p>
        </w:tc>
        <w:tc>
          <w:tcPr>
            <w:tcW w:w="1662" w:type="dxa"/>
            <w:tcBorders>
              <w:top w:val="single" w:color="auto" w:sz="4" w:space="0"/>
              <w:left w:val="single" w:color="auto" w:sz="4" w:space="0"/>
              <w:bottom w:val="single" w:color="auto" w:sz="4" w:space="0"/>
              <w:right w:val="single" w:color="auto" w:sz="4" w:space="0"/>
            </w:tcBorders>
            <w:vAlign w:val="center"/>
          </w:tcPr>
          <w:p w14:paraId="618BFF59">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52CFD724">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0A7D69CE">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0850C2A1">
            <w:pPr>
              <w:rPr>
                <w:rFonts w:ascii="宋体" w:hAnsi="宋体" w:cs="宋体"/>
                <w:szCs w:val="21"/>
              </w:rPr>
            </w:pPr>
          </w:p>
        </w:tc>
      </w:tr>
      <w:tr w14:paraId="0D151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54C3002D">
            <w:pPr>
              <w:widowControl/>
              <w:jc w:val="left"/>
              <w:rPr>
                <w:rFonts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57EA9EC7">
            <w:pPr>
              <w:jc w:val="center"/>
              <w:rPr>
                <w:rFonts w:ascii="宋体" w:hAnsi="宋体" w:cs="宋体"/>
                <w:szCs w:val="21"/>
              </w:rPr>
            </w:pPr>
            <w:r>
              <w:rPr>
                <w:rFonts w:hint="eastAsia" w:ascii="宋体" w:hAnsi="宋体" w:cs="宋体"/>
                <w:szCs w:val="21"/>
              </w:rPr>
              <w:t>传真机</w:t>
            </w:r>
          </w:p>
        </w:tc>
        <w:tc>
          <w:tcPr>
            <w:tcW w:w="1662" w:type="dxa"/>
            <w:tcBorders>
              <w:top w:val="single" w:color="auto" w:sz="4" w:space="0"/>
              <w:left w:val="single" w:color="auto" w:sz="4" w:space="0"/>
              <w:bottom w:val="single" w:color="auto" w:sz="4" w:space="0"/>
              <w:right w:val="single" w:color="auto" w:sz="4" w:space="0"/>
            </w:tcBorders>
            <w:vAlign w:val="center"/>
          </w:tcPr>
          <w:p w14:paraId="5EDA2FBA">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7365E0F0">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26734662">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2F5FE65C">
            <w:pPr>
              <w:rPr>
                <w:rFonts w:ascii="宋体" w:hAnsi="宋体" w:cs="宋体"/>
                <w:szCs w:val="21"/>
              </w:rPr>
            </w:pPr>
          </w:p>
        </w:tc>
      </w:tr>
      <w:tr w14:paraId="34B9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7D74F286">
            <w:pPr>
              <w:widowControl/>
              <w:jc w:val="left"/>
              <w:rPr>
                <w:rFonts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0A88EA94">
            <w:pPr>
              <w:jc w:val="center"/>
              <w:rPr>
                <w:rFonts w:ascii="宋体" w:hAnsi="宋体" w:cs="宋体"/>
                <w:szCs w:val="21"/>
              </w:rPr>
            </w:pPr>
            <w:r>
              <w:rPr>
                <w:rFonts w:hint="eastAsia" w:ascii="宋体" w:hAnsi="宋体" w:cs="宋体"/>
                <w:szCs w:val="21"/>
              </w:rPr>
              <w:t>打印机</w:t>
            </w:r>
          </w:p>
        </w:tc>
        <w:tc>
          <w:tcPr>
            <w:tcW w:w="1662" w:type="dxa"/>
            <w:tcBorders>
              <w:top w:val="single" w:color="auto" w:sz="4" w:space="0"/>
              <w:left w:val="single" w:color="auto" w:sz="4" w:space="0"/>
              <w:bottom w:val="single" w:color="auto" w:sz="4" w:space="0"/>
              <w:right w:val="single" w:color="auto" w:sz="4" w:space="0"/>
            </w:tcBorders>
            <w:vAlign w:val="center"/>
          </w:tcPr>
          <w:p w14:paraId="419BF8D2">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17A56DF4">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4077DF11">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51B55635">
            <w:pPr>
              <w:rPr>
                <w:rFonts w:ascii="宋体" w:hAnsi="宋体" w:cs="宋体"/>
                <w:szCs w:val="21"/>
              </w:rPr>
            </w:pPr>
          </w:p>
        </w:tc>
      </w:tr>
      <w:tr w14:paraId="7D0B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3ABE2275">
            <w:pPr>
              <w:widowControl/>
              <w:jc w:val="left"/>
              <w:rPr>
                <w:rFonts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2B3CC5C9">
            <w:pPr>
              <w:jc w:val="center"/>
              <w:rPr>
                <w:rFonts w:ascii="宋体" w:hAnsi="宋体" w:cs="宋体"/>
                <w:szCs w:val="21"/>
              </w:rPr>
            </w:pPr>
            <w:r>
              <w:rPr>
                <w:rFonts w:hint="eastAsia" w:ascii="宋体" w:hAnsi="宋体" w:cs="宋体"/>
                <w:szCs w:val="21"/>
              </w:rPr>
              <w:t>……</w:t>
            </w:r>
          </w:p>
        </w:tc>
        <w:tc>
          <w:tcPr>
            <w:tcW w:w="1662" w:type="dxa"/>
            <w:tcBorders>
              <w:top w:val="single" w:color="auto" w:sz="4" w:space="0"/>
              <w:left w:val="single" w:color="auto" w:sz="4" w:space="0"/>
              <w:bottom w:val="single" w:color="auto" w:sz="4" w:space="0"/>
              <w:right w:val="single" w:color="auto" w:sz="4" w:space="0"/>
            </w:tcBorders>
            <w:vAlign w:val="center"/>
          </w:tcPr>
          <w:p w14:paraId="557C7D58">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23E18431">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1D9922DF">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16DB7B0A">
            <w:pPr>
              <w:rPr>
                <w:rFonts w:ascii="宋体" w:hAnsi="宋体" w:cs="宋体"/>
                <w:szCs w:val="21"/>
              </w:rPr>
            </w:pPr>
          </w:p>
        </w:tc>
      </w:tr>
      <w:tr w14:paraId="7533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restart"/>
            <w:tcBorders>
              <w:top w:val="single" w:color="auto" w:sz="4" w:space="0"/>
              <w:left w:val="single" w:color="auto" w:sz="4" w:space="0"/>
              <w:bottom w:val="single" w:color="auto" w:sz="4" w:space="0"/>
              <w:right w:val="single" w:color="auto" w:sz="4" w:space="0"/>
            </w:tcBorders>
            <w:vAlign w:val="center"/>
          </w:tcPr>
          <w:p w14:paraId="4BB7804D">
            <w:pPr>
              <w:jc w:val="center"/>
              <w:rPr>
                <w:rFonts w:ascii="宋体" w:hAnsi="宋体" w:cs="宋体"/>
                <w:sz w:val="24"/>
                <w:szCs w:val="24"/>
              </w:rPr>
            </w:pPr>
            <w:r>
              <w:rPr>
                <w:rFonts w:hint="eastAsia" w:ascii="宋体" w:hAnsi="宋体" w:cs="宋体"/>
                <w:sz w:val="24"/>
                <w:szCs w:val="24"/>
              </w:rPr>
              <w:t>办公设备</w:t>
            </w:r>
          </w:p>
        </w:tc>
        <w:tc>
          <w:tcPr>
            <w:tcW w:w="2233" w:type="dxa"/>
            <w:tcBorders>
              <w:top w:val="single" w:color="auto" w:sz="4" w:space="0"/>
              <w:left w:val="single" w:color="auto" w:sz="4" w:space="0"/>
              <w:bottom w:val="single" w:color="auto" w:sz="4" w:space="0"/>
              <w:right w:val="single" w:color="auto" w:sz="4" w:space="0"/>
            </w:tcBorders>
            <w:vAlign w:val="center"/>
          </w:tcPr>
          <w:p w14:paraId="59C1E502">
            <w:pPr>
              <w:jc w:val="center"/>
              <w:rPr>
                <w:rFonts w:ascii="宋体" w:hAnsi="宋体" w:cs="宋体"/>
                <w:szCs w:val="21"/>
              </w:rPr>
            </w:pPr>
            <w:r>
              <w:rPr>
                <w:rFonts w:hint="eastAsia" w:ascii="宋体" w:hAnsi="宋体" w:cs="宋体"/>
                <w:szCs w:val="21"/>
              </w:rPr>
              <w:t>复印机</w:t>
            </w:r>
          </w:p>
        </w:tc>
        <w:tc>
          <w:tcPr>
            <w:tcW w:w="1662" w:type="dxa"/>
            <w:tcBorders>
              <w:top w:val="single" w:color="auto" w:sz="4" w:space="0"/>
              <w:left w:val="single" w:color="auto" w:sz="4" w:space="0"/>
              <w:bottom w:val="single" w:color="auto" w:sz="4" w:space="0"/>
              <w:right w:val="single" w:color="auto" w:sz="4" w:space="0"/>
            </w:tcBorders>
            <w:vAlign w:val="center"/>
          </w:tcPr>
          <w:p w14:paraId="7E7B7229">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60D7996F">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4A2631FB">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36585149">
            <w:pPr>
              <w:rPr>
                <w:rFonts w:ascii="宋体" w:hAnsi="宋体" w:cs="宋体"/>
                <w:szCs w:val="21"/>
              </w:rPr>
            </w:pPr>
          </w:p>
        </w:tc>
      </w:tr>
      <w:tr w14:paraId="64A8A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48839A3B">
            <w:pPr>
              <w:widowControl/>
              <w:jc w:val="left"/>
              <w:rPr>
                <w:rFonts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7BC0B3C1">
            <w:pPr>
              <w:jc w:val="center"/>
              <w:rPr>
                <w:rFonts w:ascii="宋体" w:hAnsi="宋体" w:cs="宋体"/>
                <w:szCs w:val="21"/>
              </w:rPr>
            </w:pPr>
            <w:r>
              <w:rPr>
                <w:rFonts w:hint="eastAsia" w:ascii="宋体" w:hAnsi="宋体" w:cs="宋体"/>
                <w:szCs w:val="21"/>
              </w:rPr>
              <w:t>数码相机</w:t>
            </w:r>
          </w:p>
        </w:tc>
        <w:tc>
          <w:tcPr>
            <w:tcW w:w="1662" w:type="dxa"/>
            <w:tcBorders>
              <w:top w:val="single" w:color="auto" w:sz="4" w:space="0"/>
              <w:left w:val="single" w:color="auto" w:sz="4" w:space="0"/>
              <w:bottom w:val="single" w:color="auto" w:sz="4" w:space="0"/>
              <w:right w:val="single" w:color="auto" w:sz="4" w:space="0"/>
            </w:tcBorders>
            <w:vAlign w:val="center"/>
          </w:tcPr>
          <w:p w14:paraId="2ABCE9A7">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2C5C6CEF">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70CBC851">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54D0ADCE">
            <w:pPr>
              <w:rPr>
                <w:rFonts w:ascii="宋体" w:hAnsi="宋体" w:cs="宋体"/>
                <w:szCs w:val="21"/>
              </w:rPr>
            </w:pPr>
          </w:p>
        </w:tc>
      </w:tr>
      <w:tr w14:paraId="140F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34C38AAC">
            <w:pPr>
              <w:widowControl/>
              <w:jc w:val="left"/>
              <w:rPr>
                <w:rFonts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4CABB6EF">
            <w:pPr>
              <w:jc w:val="center"/>
              <w:rPr>
                <w:rFonts w:ascii="宋体" w:hAnsi="宋体" w:cs="宋体"/>
                <w:szCs w:val="21"/>
              </w:rPr>
            </w:pPr>
            <w:r>
              <w:rPr>
                <w:rFonts w:hint="eastAsia" w:ascii="宋体" w:hAnsi="宋体" w:cs="宋体"/>
                <w:szCs w:val="21"/>
              </w:rPr>
              <w:t>摄像机</w:t>
            </w:r>
          </w:p>
        </w:tc>
        <w:tc>
          <w:tcPr>
            <w:tcW w:w="1662" w:type="dxa"/>
            <w:tcBorders>
              <w:top w:val="single" w:color="auto" w:sz="4" w:space="0"/>
              <w:left w:val="single" w:color="auto" w:sz="4" w:space="0"/>
              <w:bottom w:val="single" w:color="auto" w:sz="4" w:space="0"/>
              <w:right w:val="single" w:color="auto" w:sz="4" w:space="0"/>
            </w:tcBorders>
            <w:vAlign w:val="center"/>
          </w:tcPr>
          <w:p w14:paraId="7295CF7B">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784587A8">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1E72407A">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20205952">
            <w:pPr>
              <w:rPr>
                <w:rFonts w:ascii="宋体" w:hAnsi="宋体" w:cs="宋体"/>
                <w:szCs w:val="21"/>
              </w:rPr>
            </w:pPr>
          </w:p>
        </w:tc>
      </w:tr>
      <w:tr w14:paraId="51AA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2CDC14F8">
            <w:pPr>
              <w:widowControl/>
              <w:jc w:val="left"/>
              <w:rPr>
                <w:rFonts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121D367A">
            <w:pPr>
              <w:jc w:val="center"/>
              <w:rPr>
                <w:rFonts w:ascii="宋体" w:hAnsi="宋体" w:cs="宋体"/>
                <w:szCs w:val="21"/>
              </w:rPr>
            </w:pPr>
            <w:r>
              <w:rPr>
                <w:rFonts w:hint="eastAsia" w:ascii="宋体" w:hAnsi="宋体" w:cs="宋体"/>
                <w:szCs w:val="21"/>
              </w:rPr>
              <w:t>电  脑</w:t>
            </w:r>
          </w:p>
        </w:tc>
        <w:tc>
          <w:tcPr>
            <w:tcW w:w="1662" w:type="dxa"/>
            <w:tcBorders>
              <w:top w:val="single" w:color="auto" w:sz="4" w:space="0"/>
              <w:left w:val="single" w:color="auto" w:sz="4" w:space="0"/>
              <w:bottom w:val="single" w:color="auto" w:sz="4" w:space="0"/>
              <w:right w:val="single" w:color="auto" w:sz="4" w:space="0"/>
            </w:tcBorders>
            <w:vAlign w:val="center"/>
          </w:tcPr>
          <w:p w14:paraId="05BFABA2">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25281A01">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0E7A5C07">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07292CD9">
            <w:pPr>
              <w:rPr>
                <w:rFonts w:ascii="宋体" w:hAnsi="宋体" w:cs="宋体"/>
                <w:szCs w:val="21"/>
              </w:rPr>
            </w:pPr>
          </w:p>
        </w:tc>
      </w:tr>
      <w:tr w14:paraId="20CE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08695A9A">
            <w:pPr>
              <w:widowControl/>
              <w:jc w:val="left"/>
              <w:rPr>
                <w:rFonts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4CC571EE">
            <w:pPr>
              <w:jc w:val="center"/>
              <w:rPr>
                <w:rFonts w:ascii="宋体" w:hAnsi="宋体" w:cs="宋体"/>
                <w:szCs w:val="21"/>
              </w:rPr>
            </w:pPr>
            <w:r>
              <w:rPr>
                <w:rFonts w:hint="eastAsia" w:ascii="宋体" w:hAnsi="宋体" w:cs="宋体"/>
                <w:szCs w:val="21"/>
              </w:rPr>
              <w:t>……</w:t>
            </w:r>
          </w:p>
        </w:tc>
        <w:tc>
          <w:tcPr>
            <w:tcW w:w="1662" w:type="dxa"/>
            <w:tcBorders>
              <w:top w:val="single" w:color="auto" w:sz="4" w:space="0"/>
              <w:left w:val="single" w:color="auto" w:sz="4" w:space="0"/>
              <w:bottom w:val="single" w:color="auto" w:sz="4" w:space="0"/>
              <w:right w:val="single" w:color="auto" w:sz="4" w:space="0"/>
            </w:tcBorders>
            <w:vAlign w:val="center"/>
          </w:tcPr>
          <w:p w14:paraId="4DB082D7">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0798419C">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7719A66E">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2E12C2F9">
            <w:pPr>
              <w:rPr>
                <w:rFonts w:ascii="宋体" w:hAnsi="宋体" w:cs="宋体"/>
                <w:szCs w:val="21"/>
              </w:rPr>
            </w:pPr>
          </w:p>
        </w:tc>
      </w:tr>
      <w:tr w14:paraId="4942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restart"/>
            <w:tcBorders>
              <w:top w:val="single" w:color="auto" w:sz="4" w:space="0"/>
              <w:left w:val="single" w:color="auto" w:sz="4" w:space="0"/>
              <w:bottom w:val="single" w:color="auto" w:sz="4" w:space="0"/>
              <w:right w:val="single" w:color="auto" w:sz="4" w:space="0"/>
            </w:tcBorders>
            <w:vAlign w:val="center"/>
          </w:tcPr>
          <w:p w14:paraId="2EC77438">
            <w:pPr>
              <w:jc w:val="center"/>
              <w:rPr>
                <w:rFonts w:ascii="宋体" w:hAnsi="宋体" w:cs="宋体"/>
                <w:sz w:val="24"/>
                <w:szCs w:val="24"/>
              </w:rPr>
            </w:pPr>
            <w:r>
              <w:rPr>
                <w:rFonts w:hint="eastAsia" w:ascii="宋体" w:hAnsi="宋体" w:cs="宋体"/>
                <w:sz w:val="24"/>
                <w:szCs w:val="24"/>
              </w:rPr>
              <w:t>检测设备</w:t>
            </w:r>
          </w:p>
        </w:tc>
        <w:tc>
          <w:tcPr>
            <w:tcW w:w="2233" w:type="dxa"/>
            <w:tcBorders>
              <w:top w:val="single" w:color="auto" w:sz="4" w:space="0"/>
              <w:left w:val="single" w:color="auto" w:sz="4" w:space="0"/>
              <w:bottom w:val="single" w:color="auto" w:sz="4" w:space="0"/>
              <w:right w:val="single" w:color="auto" w:sz="4" w:space="0"/>
            </w:tcBorders>
            <w:vAlign w:val="center"/>
          </w:tcPr>
          <w:p w14:paraId="34C254D9">
            <w:pPr>
              <w:jc w:val="center"/>
              <w:rPr>
                <w:rFonts w:ascii="宋体" w:hAnsi="宋体" w:cs="宋体"/>
                <w:szCs w:val="21"/>
              </w:rPr>
            </w:pPr>
            <w:r>
              <w:rPr>
                <w:rFonts w:hint="eastAsia" w:ascii="宋体" w:hAnsi="宋体" w:cs="宋体"/>
                <w:szCs w:val="21"/>
              </w:rPr>
              <w:t>水准仪</w:t>
            </w:r>
          </w:p>
        </w:tc>
        <w:tc>
          <w:tcPr>
            <w:tcW w:w="1662" w:type="dxa"/>
            <w:tcBorders>
              <w:top w:val="single" w:color="auto" w:sz="4" w:space="0"/>
              <w:left w:val="single" w:color="auto" w:sz="4" w:space="0"/>
              <w:bottom w:val="single" w:color="auto" w:sz="4" w:space="0"/>
              <w:right w:val="single" w:color="auto" w:sz="4" w:space="0"/>
            </w:tcBorders>
            <w:vAlign w:val="center"/>
          </w:tcPr>
          <w:p w14:paraId="1E3DCDC5">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440BB63D">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105B1A6E">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1211A064">
            <w:pPr>
              <w:rPr>
                <w:rFonts w:ascii="宋体" w:hAnsi="宋体" w:cs="宋体"/>
                <w:szCs w:val="21"/>
              </w:rPr>
            </w:pPr>
          </w:p>
        </w:tc>
      </w:tr>
      <w:tr w14:paraId="09A5B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24923358">
            <w:pPr>
              <w:widowControl/>
              <w:jc w:val="left"/>
              <w:rPr>
                <w:rFonts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17C87FF4">
            <w:pPr>
              <w:jc w:val="center"/>
              <w:rPr>
                <w:rFonts w:ascii="宋体" w:hAnsi="宋体" w:cs="宋体"/>
                <w:szCs w:val="21"/>
              </w:rPr>
            </w:pPr>
            <w:r>
              <w:rPr>
                <w:rFonts w:hint="eastAsia" w:ascii="宋体" w:hAnsi="宋体" w:cs="宋体"/>
                <w:szCs w:val="21"/>
              </w:rPr>
              <w:t>经纬仪</w:t>
            </w:r>
          </w:p>
        </w:tc>
        <w:tc>
          <w:tcPr>
            <w:tcW w:w="1662" w:type="dxa"/>
            <w:tcBorders>
              <w:top w:val="single" w:color="auto" w:sz="4" w:space="0"/>
              <w:left w:val="single" w:color="auto" w:sz="4" w:space="0"/>
              <w:bottom w:val="single" w:color="auto" w:sz="4" w:space="0"/>
              <w:right w:val="single" w:color="auto" w:sz="4" w:space="0"/>
            </w:tcBorders>
            <w:vAlign w:val="center"/>
          </w:tcPr>
          <w:p w14:paraId="01E163F9">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3EC50101">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26C44A06">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53589DAC">
            <w:pPr>
              <w:rPr>
                <w:rFonts w:ascii="宋体" w:hAnsi="宋体" w:cs="宋体"/>
                <w:szCs w:val="21"/>
              </w:rPr>
            </w:pPr>
          </w:p>
        </w:tc>
      </w:tr>
      <w:tr w14:paraId="0B2D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34D07624">
            <w:pPr>
              <w:widowControl/>
              <w:jc w:val="left"/>
              <w:rPr>
                <w:rFonts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3C5121F0">
            <w:pPr>
              <w:jc w:val="center"/>
              <w:rPr>
                <w:rFonts w:ascii="宋体" w:hAnsi="宋体" w:cs="宋体"/>
                <w:szCs w:val="21"/>
              </w:rPr>
            </w:pPr>
            <w:r>
              <w:rPr>
                <w:rFonts w:hint="eastAsia" w:ascii="宋体" w:hAnsi="宋体" w:cs="宋体"/>
                <w:szCs w:val="21"/>
              </w:rPr>
              <w:t>全站仪</w:t>
            </w:r>
          </w:p>
        </w:tc>
        <w:tc>
          <w:tcPr>
            <w:tcW w:w="1662" w:type="dxa"/>
            <w:tcBorders>
              <w:top w:val="single" w:color="auto" w:sz="4" w:space="0"/>
              <w:left w:val="single" w:color="auto" w:sz="4" w:space="0"/>
              <w:bottom w:val="single" w:color="auto" w:sz="4" w:space="0"/>
              <w:right w:val="single" w:color="auto" w:sz="4" w:space="0"/>
            </w:tcBorders>
            <w:vAlign w:val="center"/>
          </w:tcPr>
          <w:p w14:paraId="0F8FCC62">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1AA07710">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190461C7">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5827D546">
            <w:pPr>
              <w:rPr>
                <w:rFonts w:ascii="宋体" w:hAnsi="宋体" w:cs="宋体"/>
                <w:szCs w:val="21"/>
              </w:rPr>
            </w:pPr>
          </w:p>
        </w:tc>
      </w:tr>
      <w:tr w14:paraId="0524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77C3158A">
            <w:pPr>
              <w:widowControl/>
              <w:jc w:val="left"/>
              <w:rPr>
                <w:rFonts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121E5389">
            <w:pPr>
              <w:jc w:val="center"/>
              <w:rPr>
                <w:rFonts w:ascii="宋体" w:hAnsi="宋体" w:cs="宋体"/>
                <w:szCs w:val="21"/>
              </w:rPr>
            </w:pPr>
            <w:r>
              <w:rPr>
                <w:rFonts w:hint="eastAsia" w:ascii="宋体" w:hAnsi="宋体" w:cs="宋体"/>
                <w:szCs w:val="21"/>
              </w:rPr>
              <w:t>30米钢卷尺</w:t>
            </w:r>
          </w:p>
        </w:tc>
        <w:tc>
          <w:tcPr>
            <w:tcW w:w="1662" w:type="dxa"/>
            <w:tcBorders>
              <w:top w:val="single" w:color="auto" w:sz="4" w:space="0"/>
              <w:left w:val="single" w:color="auto" w:sz="4" w:space="0"/>
              <w:bottom w:val="single" w:color="auto" w:sz="4" w:space="0"/>
              <w:right w:val="single" w:color="auto" w:sz="4" w:space="0"/>
            </w:tcBorders>
            <w:vAlign w:val="center"/>
          </w:tcPr>
          <w:p w14:paraId="307760BF">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6EC75F24">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7199ED86">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393A1ADA">
            <w:pPr>
              <w:rPr>
                <w:rFonts w:ascii="宋体" w:hAnsi="宋体" w:cs="宋体"/>
                <w:szCs w:val="21"/>
              </w:rPr>
            </w:pPr>
          </w:p>
        </w:tc>
      </w:tr>
      <w:tr w14:paraId="7CBB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74263CF5">
            <w:pPr>
              <w:widowControl/>
              <w:jc w:val="left"/>
              <w:rPr>
                <w:rFonts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79FD8766">
            <w:pPr>
              <w:jc w:val="center"/>
              <w:rPr>
                <w:rFonts w:ascii="宋体" w:hAnsi="宋体" w:cs="宋体"/>
                <w:szCs w:val="21"/>
              </w:rPr>
            </w:pPr>
            <w:r>
              <w:rPr>
                <w:rFonts w:hint="eastAsia" w:ascii="宋体" w:hAnsi="宋体" w:cs="宋体"/>
                <w:szCs w:val="21"/>
              </w:rPr>
              <w:t>5米钢卷尺</w:t>
            </w:r>
          </w:p>
        </w:tc>
        <w:tc>
          <w:tcPr>
            <w:tcW w:w="1662" w:type="dxa"/>
            <w:tcBorders>
              <w:top w:val="single" w:color="auto" w:sz="4" w:space="0"/>
              <w:left w:val="single" w:color="auto" w:sz="4" w:space="0"/>
              <w:bottom w:val="single" w:color="auto" w:sz="4" w:space="0"/>
              <w:right w:val="single" w:color="auto" w:sz="4" w:space="0"/>
            </w:tcBorders>
            <w:vAlign w:val="center"/>
          </w:tcPr>
          <w:p w14:paraId="0E4052C3">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54B3BC4F">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0E4C08C1">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15F896BA">
            <w:pPr>
              <w:rPr>
                <w:rFonts w:ascii="宋体" w:hAnsi="宋体" w:cs="宋体"/>
                <w:szCs w:val="21"/>
              </w:rPr>
            </w:pPr>
          </w:p>
        </w:tc>
      </w:tr>
      <w:tr w14:paraId="5FF2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324A0B59">
            <w:pPr>
              <w:widowControl/>
              <w:jc w:val="left"/>
              <w:rPr>
                <w:rFonts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5DA22295">
            <w:pPr>
              <w:jc w:val="center"/>
              <w:rPr>
                <w:rFonts w:ascii="宋体" w:hAnsi="宋体" w:cs="宋体"/>
                <w:szCs w:val="21"/>
              </w:rPr>
            </w:pPr>
            <w:r>
              <w:rPr>
                <w:rFonts w:hint="eastAsia" w:ascii="宋体" w:hAnsi="宋体" w:cs="宋体"/>
                <w:szCs w:val="21"/>
              </w:rPr>
              <w:t>激光垂准仪</w:t>
            </w:r>
          </w:p>
        </w:tc>
        <w:tc>
          <w:tcPr>
            <w:tcW w:w="1662" w:type="dxa"/>
            <w:tcBorders>
              <w:top w:val="single" w:color="auto" w:sz="4" w:space="0"/>
              <w:left w:val="single" w:color="auto" w:sz="4" w:space="0"/>
              <w:bottom w:val="single" w:color="auto" w:sz="4" w:space="0"/>
              <w:right w:val="single" w:color="auto" w:sz="4" w:space="0"/>
            </w:tcBorders>
            <w:vAlign w:val="center"/>
          </w:tcPr>
          <w:p w14:paraId="30159262">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469D94CA">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2661E566">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14AA2FA2">
            <w:pPr>
              <w:rPr>
                <w:rFonts w:ascii="宋体" w:hAnsi="宋体" w:cs="宋体"/>
                <w:szCs w:val="21"/>
              </w:rPr>
            </w:pPr>
          </w:p>
        </w:tc>
      </w:tr>
      <w:tr w14:paraId="7D399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633B4998">
            <w:pPr>
              <w:widowControl/>
              <w:jc w:val="left"/>
              <w:rPr>
                <w:rFonts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748324EE">
            <w:pPr>
              <w:jc w:val="center"/>
              <w:rPr>
                <w:rFonts w:ascii="宋体" w:hAnsi="宋体" w:cs="宋体"/>
                <w:szCs w:val="21"/>
              </w:rPr>
            </w:pPr>
            <w:r>
              <w:rPr>
                <w:rFonts w:hint="eastAsia" w:ascii="宋体" w:hAnsi="宋体" w:cs="宋体"/>
                <w:szCs w:val="21"/>
              </w:rPr>
              <w:t>混凝土回弹仪</w:t>
            </w:r>
          </w:p>
        </w:tc>
        <w:tc>
          <w:tcPr>
            <w:tcW w:w="1662" w:type="dxa"/>
            <w:tcBorders>
              <w:top w:val="single" w:color="auto" w:sz="4" w:space="0"/>
              <w:left w:val="single" w:color="auto" w:sz="4" w:space="0"/>
              <w:bottom w:val="single" w:color="auto" w:sz="4" w:space="0"/>
              <w:right w:val="single" w:color="auto" w:sz="4" w:space="0"/>
            </w:tcBorders>
            <w:vAlign w:val="center"/>
          </w:tcPr>
          <w:p w14:paraId="662CC10F">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5DF74D5D">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735FDEB8">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3FF0354D">
            <w:pPr>
              <w:rPr>
                <w:rFonts w:ascii="宋体" w:hAnsi="宋体" w:cs="宋体"/>
                <w:szCs w:val="21"/>
              </w:rPr>
            </w:pPr>
          </w:p>
        </w:tc>
      </w:tr>
      <w:tr w14:paraId="149D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25C564A3">
            <w:pPr>
              <w:widowControl/>
              <w:jc w:val="left"/>
              <w:rPr>
                <w:rFonts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20B27897">
            <w:pPr>
              <w:jc w:val="center"/>
              <w:rPr>
                <w:rFonts w:ascii="宋体" w:hAnsi="宋体" w:cs="宋体"/>
                <w:szCs w:val="21"/>
              </w:rPr>
            </w:pPr>
            <w:r>
              <w:rPr>
                <w:rFonts w:hint="eastAsia" w:ascii="宋体" w:hAnsi="宋体" w:cs="宋体"/>
                <w:szCs w:val="21"/>
              </w:rPr>
              <w:t>建筑工程检测尺</w:t>
            </w:r>
          </w:p>
        </w:tc>
        <w:tc>
          <w:tcPr>
            <w:tcW w:w="1662" w:type="dxa"/>
            <w:tcBorders>
              <w:top w:val="single" w:color="auto" w:sz="4" w:space="0"/>
              <w:left w:val="single" w:color="auto" w:sz="4" w:space="0"/>
              <w:bottom w:val="single" w:color="auto" w:sz="4" w:space="0"/>
              <w:right w:val="single" w:color="auto" w:sz="4" w:space="0"/>
            </w:tcBorders>
            <w:vAlign w:val="center"/>
          </w:tcPr>
          <w:p w14:paraId="79C8F53F">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2D755B2A">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0A3715AE">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7E476942">
            <w:pPr>
              <w:rPr>
                <w:rFonts w:ascii="宋体" w:hAnsi="宋体" w:cs="宋体"/>
                <w:szCs w:val="21"/>
              </w:rPr>
            </w:pPr>
          </w:p>
        </w:tc>
      </w:tr>
      <w:tr w14:paraId="6F53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0B8895D8">
            <w:pPr>
              <w:widowControl/>
              <w:jc w:val="left"/>
              <w:rPr>
                <w:rFonts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11E9362B">
            <w:pPr>
              <w:jc w:val="center"/>
              <w:rPr>
                <w:rFonts w:ascii="宋体" w:hAnsi="宋体" w:cs="宋体"/>
                <w:szCs w:val="21"/>
              </w:rPr>
            </w:pPr>
            <w:r>
              <w:rPr>
                <w:rFonts w:hint="eastAsia" w:ascii="宋体" w:hAnsi="宋体" w:cs="宋体"/>
                <w:szCs w:val="21"/>
              </w:rPr>
              <w:t>焊接检测尺</w:t>
            </w:r>
          </w:p>
        </w:tc>
        <w:tc>
          <w:tcPr>
            <w:tcW w:w="1662" w:type="dxa"/>
            <w:tcBorders>
              <w:top w:val="single" w:color="auto" w:sz="4" w:space="0"/>
              <w:left w:val="single" w:color="auto" w:sz="4" w:space="0"/>
              <w:bottom w:val="single" w:color="auto" w:sz="4" w:space="0"/>
              <w:right w:val="single" w:color="auto" w:sz="4" w:space="0"/>
            </w:tcBorders>
            <w:vAlign w:val="center"/>
          </w:tcPr>
          <w:p w14:paraId="3ACFDA07">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52EC002E">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42CFC30C">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377A7123">
            <w:pPr>
              <w:rPr>
                <w:rFonts w:ascii="宋体" w:hAnsi="宋体" w:cs="宋体"/>
                <w:szCs w:val="21"/>
              </w:rPr>
            </w:pPr>
          </w:p>
        </w:tc>
      </w:tr>
      <w:tr w14:paraId="0D050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6133E885">
            <w:pPr>
              <w:widowControl/>
              <w:jc w:val="left"/>
              <w:rPr>
                <w:rFonts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1F6C14F4">
            <w:pPr>
              <w:jc w:val="center"/>
              <w:rPr>
                <w:rFonts w:ascii="宋体" w:hAnsi="宋体" w:cs="宋体"/>
                <w:szCs w:val="21"/>
              </w:rPr>
            </w:pPr>
            <w:r>
              <w:rPr>
                <w:rFonts w:hint="eastAsia" w:ascii="宋体" w:hAnsi="宋体" w:cs="宋体"/>
                <w:szCs w:val="21"/>
              </w:rPr>
              <w:t>读数显微镜</w:t>
            </w:r>
          </w:p>
        </w:tc>
        <w:tc>
          <w:tcPr>
            <w:tcW w:w="1662" w:type="dxa"/>
            <w:tcBorders>
              <w:top w:val="single" w:color="auto" w:sz="4" w:space="0"/>
              <w:left w:val="single" w:color="auto" w:sz="4" w:space="0"/>
              <w:bottom w:val="single" w:color="auto" w:sz="4" w:space="0"/>
              <w:right w:val="single" w:color="auto" w:sz="4" w:space="0"/>
            </w:tcBorders>
            <w:vAlign w:val="center"/>
          </w:tcPr>
          <w:p w14:paraId="106C97EE">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310D3D49">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63F4D95B">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43436EF8">
            <w:pPr>
              <w:rPr>
                <w:rFonts w:ascii="宋体" w:hAnsi="宋体" w:cs="宋体"/>
                <w:szCs w:val="21"/>
              </w:rPr>
            </w:pPr>
          </w:p>
        </w:tc>
      </w:tr>
      <w:tr w14:paraId="24CA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1479260A">
            <w:pPr>
              <w:widowControl/>
              <w:jc w:val="left"/>
              <w:rPr>
                <w:rFonts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06B513C5">
            <w:pPr>
              <w:jc w:val="center"/>
              <w:rPr>
                <w:rFonts w:ascii="宋体" w:hAnsi="宋体" w:cs="宋体"/>
                <w:szCs w:val="21"/>
              </w:rPr>
            </w:pPr>
            <w:r>
              <w:rPr>
                <w:rFonts w:hint="eastAsia" w:ascii="宋体" w:hAnsi="宋体" w:cs="宋体"/>
                <w:szCs w:val="21"/>
              </w:rPr>
              <w:t>涂层测厚仪</w:t>
            </w:r>
          </w:p>
        </w:tc>
        <w:tc>
          <w:tcPr>
            <w:tcW w:w="1662" w:type="dxa"/>
            <w:tcBorders>
              <w:top w:val="single" w:color="auto" w:sz="4" w:space="0"/>
              <w:left w:val="single" w:color="auto" w:sz="4" w:space="0"/>
              <w:bottom w:val="single" w:color="auto" w:sz="4" w:space="0"/>
              <w:right w:val="single" w:color="auto" w:sz="4" w:space="0"/>
            </w:tcBorders>
            <w:vAlign w:val="center"/>
          </w:tcPr>
          <w:p w14:paraId="6BC420A4">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5E2516A2">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4FE223C9">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3183B52E">
            <w:pPr>
              <w:rPr>
                <w:rFonts w:ascii="宋体" w:hAnsi="宋体" w:cs="宋体"/>
                <w:szCs w:val="21"/>
              </w:rPr>
            </w:pPr>
          </w:p>
        </w:tc>
      </w:tr>
      <w:tr w14:paraId="377D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05BA6AD9">
            <w:pPr>
              <w:widowControl/>
              <w:jc w:val="left"/>
              <w:rPr>
                <w:rFonts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5BA1C94B">
            <w:pPr>
              <w:jc w:val="center"/>
              <w:rPr>
                <w:rFonts w:ascii="宋体" w:hAnsi="宋体" w:cs="宋体"/>
                <w:szCs w:val="21"/>
              </w:rPr>
            </w:pPr>
            <w:r>
              <w:rPr>
                <w:rFonts w:hint="eastAsia" w:ascii="宋体" w:hAnsi="宋体" w:cs="宋体"/>
                <w:szCs w:val="21"/>
              </w:rPr>
              <w:t>游标卡尺</w:t>
            </w:r>
          </w:p>
        </w:tc>
        <w:tc>
          <w:tcPr>
            <w:tcW w:w="1662" w:type="dxa"/>
            <w:tcBorders>
              <w:top w:val="single" w:color="auto" w:sz="4" w:space="0"/>
              <w:left w:val="single" w:color="auto" w:sz="4" w:space="0"/>
              <w:bottom w:val="single" w:color="auto" w:sz="4" w:space="0"/>
              <w:right w:val="single" w:color="auto" w:sz="4" w:space="0"/>
            </w:tcBorders>
            <w:vAlign w:val="center"/>
          </w:tcPr>
          <w:p w14:paraId="68B42081">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614FE208">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509F3FB2">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085B73FF">
            <w:pPr>
              <w:rPr>
                <w:rFonts w:ascii="宋体" w:hAnsi="宋体" w:cs="宋体"/>
                <w:szCs w:val="21"/>
              </w:rPr>
            </w:pPr>
          </w:p>
        </w:tc>
      </w:tr>
      <w:tr w14:paraId="7033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6D3F88D9">
            <w:pPr>
              <w:widowControl/>
              <w:jc w:val="left"/>
              <w:rPr>
                <w:rFonts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3971EF82">
            <w:pPr>
              <w:jc w:val="center"/>
              <w:rPr>
                <w:rFonts w:ascii="宋体" w:hAnsi="宋体" w:cs="宋体"/>
                <w:szCs w:val="21"/>
              </w:rPr>
            </w:pPr>
            <w:r>
              <w:rPr>
                <w:rFonts w:hint="eastAsia" w:ascii="宋体" w:hAnsi="宋体" w:cs="宋体"/>
                <w:szCs w:val="21"/>
              </w:rPr>
              <w:t>扭矩扳手</w:t>
            </w:r>
          </w:p>
        </w:tc>
        <w:tc>
          <w:tcPr>
            <w:tcW w:w="1662" w:type="dxa"/>
            <w:tcBorders>
              <w:top w:val="single" w:color="auto" w:sz="4" w:space="0"/>
              <w:left w:val="single" w:color="auto" w:sz="4" w:space="0"/>
              <w:bottom w:val="single" w:color="auto" w:sz="4" w:space="0"/>
              <w:right w:val="single" w:color="auto" w:sz="4" w:space="0"/>
            </w:tcBorders>
            <w:vAlign w:val="center"/>
          </w:tcPr>
          <w:p w14:paraId="62FE1FAC">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4A11F455">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2DD73B78">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35113539">
            <w:pPr>
              <w:rPr>
                <w:rFonts w:ascii="宋体" w:hAnsi="宋体" w:cs="宋体"/>
                <w:szCs w:val="21"/>
              </w:rPr>
            </w:pPr>
          </w:p>
        </w:tc>
      </w:tr>
      <w:tr w14:paraId="5A5D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07E4433A">
            <w:pPr>
              <w:widowControl/>
              <w:jc w:val="left"/>
              <w:rPr>
                <w:rFonts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5AF3B0C1">
            <w:pPr>
              <w:jc w:val="center"/>
              <w:rPr>
                <w:rFonts w:ascii="宋体" w:hAnsi="宋体" w:cs="宋体"/>
                <w:szCs w:val="21"/>
              </w:rPr>
            </w:pPr>
            <w:r>
              <w:rPr>
                <w:rFonts w:hint="eastAsia" w:ascii="宋体" w:hAnsi="宋体" w:cs="宋体"/>
                <w:szCs w:val="21"/>
              </w:rPr>
              <w:t>……</w:t>
            </w:r>
          </w:p>
        </w:tc>
        <w:tc>
          <w:tcPr>
            <w:tcW w:w="1662" w:type="dxa"/>
            <w:tcBorders>
              <w:top w:val="single" w:color="auto" w:sz="4" w:space="0"/>
              <w:left w:val="single" w:color="auto" w:sz="4" w:space="0"/>
              <w:bottom w:val="single" w:color="auto" w:sz="4" w:space="0"/>
              <w:right w:val="single" w:color="auto" w:sz="4" w:space="0"/>
            </w:tcBorders>
            <w:vAlign w:val="center"/>
          </w:tcPr>
          <w:p w14:paraId="51D0CE27">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5281998A">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50EC2823">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0ECC9ADD">
            <w:pPr>
              <w:rPr>
                <w:rFonts w:ascii="宋体" w:hAnsi="宋体" w:cs="宋体"/>
                <w:szCs w:val="21"/>
              </w:rPr>
            </w:pPr>
          </w:p>
        </w:tc>
      </w:tr>
      <w:tr w14:paraId="60E4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689" w:type="dxa"/>
            <w:gridSpan w:val="2"/>
            <w:tcBorders>
              <w:top w:val="single" w:color="auto" w:sz="4" w:space="0"/>
              <w:left w:val="single" w:color="auto" w:sz="4" w:space="0"/>
              <w:bottom w:val="single" w:color="auto" w:sz="4" w:space="0"/>
              <w:right w:val="single" w:color="auto" w:sz="4" w:space="0"/>
            </w:tcBorders>
            <w:vAlign w:val="center"/>
          </w:tcPr>
          <w:p w14:paraId="5A1202AD">
            <w:pPr>
              <w:jc w:val="center"/>
              <w:rPr>
                <w:rFonts w:ascii="宋体" w:hAnsi="宋体" w:cs="宋体"/>
                <w:szCs w:val="21"/>
              </w:rPr>
            </w:pPr>
            <w:r>
              <w:rPr>
                <w:rFonts w:hint="eastAsia" w:ascii="宋体" w:hAnsi="宋体" w:cs="宋体"/>
                <w:szCs w:val="21"/>
              </w:rPr>
              <w:t>交通工具</w:t>
            </w:r>
          </w:p>
        </w:tc>
        <w:tc>
          <w:tcPr>
            <w:tcW w:w="1662" w:type="dxa"/>
            <w:tcBorders>
              <w:top w:val="single" w:color="auto" w:sz="4" w:space="0"/>
              <w:left w:val="single" w:color="auto" w:sz="4" w:space="0"/>
              <w:bottom w:val="single" w:color="auto" w:sz="4" w:space="0"/>
              <w:right w:val="single" w:color="auto" w:sz="4" w:space="0"/>
            </w:tcBorders>
            <w:vAlign w:val="center"/>
          </w:tcPr>
          <w:p w14:paraId="7FFD7EF6">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3AFC9496">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06DD03A8">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67E1EA3E">
            <w:pPr>
              <w:rPr>
                <w:rFonts w:ascii="宋体" w:hAnsi="宋体" w:cs="宋体"/>
                <w:szCs w:val="21"/>
              </w:rPr>
            </w:pPr>
          </w:p>
        </w:tc>
      </w:tr>
      <w:tr w14:paraId="4804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689" w:type="dxa"/>
            <w:gridSpan w:val="2"/>
            <w:tcBorders>
              <w:top w:val="single" w:color="auto" w:sz="4" w:space="0"/>
              <w:left w:val="single" w:color="auto" w:sz="4" w:space="0"/>
              <w:bottom w:val="single" w:color="auto" w:sz="4" w:space="0"/>
              <w:right w:val="single" w:color="auto" w:sz="4" w:space="0"/>
            </w:tcBorders>
            <w:vAlign w:val="center"/>
          </w:tcPr>
          <w:p w14:paraId="2F49A54C">
            <w:pPr>
              <w:jc w:val="center"/>
              <w:rPr>
                <w:rFonts w:ascii="宋体" w:hAnsi="宋体" w:cs="宋体"/>
                <w:szCs w:val="21"/>
              </w:rPr>
            </w:pPr>
            <w:r>
              <w:rPr>
                <w:rFonts w:hint="eastAsia" w:ascii="宋体" w:hAnsi="宋体" w:cs="宋体"/>
                <w:szCs w:val="21"/>
              </w:rPr>
              <w:t>其他</w:t>
            </w:r>
          </w:p>
        </w:tc>
        <w:tc>
          <w:tcPr>
            <w:tcW w:w="1662" w:type="dxa"/>
            <w:tcBorders>
              <w:top w:val="single" w:color="auto" w:sz="4" w:space="0"/>
              <w:left w:val="single" w:color="auto" w:sz="4" w:space="0"/>
              <w:bottom w:val="single" w:color="auto" w:sz="4" w:space="0"/>
              <w:right w:val="single" w:color="auto" w:sz="4" w:space="0"/>
            </w:tcBorders>
          </w:tcPr>
          <w:p w14:paraId="37572D40">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266FC585">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28F94DEB">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7F2EF899">
            <w:pPr>
              <w:rPr>
                <w:rFonts w:ascii="宋体" w:hAnsi="宋体" w:cs="宋体"/>
                <w:szCs w:val="21"/>
              </w:rPr>
            </w:pPr>
          </w:p>
        </w:tc>
      </w:tr>
    </w:tbl>
    <w:p w14:paraId="5DF43B0A">
      <w:pPr>
        <w:topLinePunct/>
        <w:spacing w:before="240" w:line="360" w:lineRule="auto"/>
        <w:ind w:firstLine="456" w:firstLineChars="200"/>
        <w:rPr>
          <w:rFonts w:ascii="宋体" w:hAnsi="宋体" w:cs="宋体"/>
          <w:spacing w:val="4"/>
          <w:sz w:val="22"/>
        </w:rPr>
      </w:pPr>
      <w:r>
        <w:rPr>
          <w:rFonts w:hint="eastAsia" w:ascii="宋体" w:hAnsi="宋体" w:cs="宋体"/>
          <w:spacing w:val="4"/>
          <w:sz w:val="22"/>
        </w:rPr>
        <w:t>备注：</w:t>
      </w:r>
    </w:p>
    <w:p w14:paraId="7D89DEDF">
      <w:pPr>
        <w:topLinePunct/>
        <w:spacing w:line="360" w:lineRule="auto"/>
        <w:ind w:firstLine="570" w:firstLineChars="250"/>
        <w:rPr>
          <w:rFonts w:ascii="宋体" w:hAnsi="宋体" w:cs="宋体"/>
          <w:spacing w:val="4"/>
          <w:sz w:val="22"/>
        </w:rPr>
      </w:pPr>
      <w:r>
        <w:rPr>
          <w:rFonts w:hint="eastAsia" w:ascii="宋体" w:hAnsi="宋体" w:cs="宋体"/>
          <w:spacing w:val="4"/>
          <w:sz w:val="22"/>
        </w:rPr>
        <w:t>1、如投标人中标，招标人将据此清单与中标的监理单位核查进场的监理设施。</w:t>
      </w:r>
    </w:p>
    <w:p w14:paraId="2D3814F6">
      <w:pPr>
        <w:topLinePunct/>
        <w:spacing w:line="360" w:lineRule="auto"/>
        <w:ind w:firstLine="570" w:firstLineChars="250"/>
        <w:rPr>
          <w:rFonts w:ascii="宋体" w:hAnsi="宋体" w:cs="宋体"/>
          <w:spacing w:val="4"/>
          <w:sz w:val="22"/>
        </w:rPr>
      </w:pPr>
      <w:r>
        <w:rPr>
          <w:rFonts w:hint="eastAsia" w:ascii="宋体" w:hAnsi="宋体" w:cs="宋体"/>
          <w:spacing w:val="4"/>
          <w:sz w:val="22"/>
        </w:rPr>
        <w:t>2、投标人可自行补充其他拟投入本项目的监理设施，以及委托有关单位进行检测的协议。</w:t>
      </w:r>
    </w:p>
    <w:p w14:paraId="5B88F642">
      <w:pPr>
        <w:spacing w:line="360" w:lineRule="auto"/>
        <w:rPr>
          <w:rFonts w:ascii="宋体" w:hAnsi="宋体" w:cs="宋体"/>
        </w:rPr>
      </w:pPr>
    </w:p>
    <w:p w14:paraId="305C3A76">
      <w:pPr>
        <w:pStyle w:val="20"/>
        <w:ind w:left="420" w:firstLine="420"/>
        <w:rPr>
          <w:rFonts w:ascii="宋体" w:hAnsi="宋体" w:cs="宋体"/>
          <w:lang w:eastAsia="zh-CN"/>
        </w:rPr>
      </w:pPr>
    </w:p>
    <w:p w14:paraId="5D3B9DB4">
      <w:pPr>
        <w:pStyle w:val="20"/>
        <w:ind w:left="420" w:firstLine="420"/>
        <w:rPr>
          <w:rFonts w:ascii="宋体" w:hAnsi="宋体" w:cs="宋体"/>
          <w:lang w:eastAsia="zh-CN"/>
        </w:rPr>
      </w:pPr>
    </w:p>
    <w:p w14:paraId="531DDE40">
      <w:pPr>
        <w:pStyle w:val="20"/>
        <w:ind w:left="420" w:firstLine="420"/>
        <w:rPr>
          <w:rFonts w:ascii="宋体" w:hAnsi="宋体" w:cs="宋体"/>
          <w:lang w:eastAsia="zh-CN"/>
        </w:rPr>
      </w:pPr>
    </w:p>
    <w:p w14:paraId="3BE4319D">
      <w:pPr>
        <w:spacing w:after="240"/>
        <w:ind w:firstLine="420" w:firstLineChars="200"/>
        <w:outlineLvl w:val="2"/>
        <w:rPr>
          <w:rFonts w:ascii="宋体" w:hAnsi="宋体" w:cs="宋体"/>
          <w:sz w:val="28"/>
          <w:szCs w:val="20"/>
        </w:rPr>
      </w:pPr>
      <w:bookmarkStart w:id="925" w:name="_Toc527969237"/>
      <w:bookmarkStart w:id="926" w:name="_Toc26163"/>
      <w:r>
        <w:rPr>
          <w:rFonts w:hint="eastAsia" w:ascii="宋体" w:hAnsi="宋体" w:cs="宋体"/>
        </w:rPr>
        <w:br w:type="page"/>
      </w:r>
      <w:bookmarkStart w:id="927" w:name="_Toc29089"/>
      <w:bookmarkStart w:id="928" w:name="_Toc7130"/>
      <w:bookmarkStart w:id="929" w:name="_Toc1548"/>
      <w:bookmarkStart w:id="930" w:name="_Toc18221"/>
      <w:bookmarkStart w:id="931" w:name="_Toc20656"/>
      <w:bookmarkStart w:id="932" w:name="_Toc6940"/>
      <w:bookmarkStart w:id="933" w:name="_Toc21867"/>
      <w:bookmarkStart w:id="934" w:name="_Toc19264"/>
      <w:bookmarkStart w:id="935" w:name="_Toc3321"/>
      <w:bookmarkStart w:id="936" w:name="_Toc2271"/>
      <w:bookmarkStart w:id="937" w:name="_Toc29446"/>
      <w:bookmarkStart w:id="938" w:name="_Toc24160"/>
      <w:r>
        <w:rPr>
          <w:rFonts w:hint="eastAsia" w:ascii="宋体" w:hAnsi="宋体" w:cs="宋体"/>
          <w:sz w:val="28"/>
          <w:szCs w:val="20"/>
        </w:rPr>
        <w:t>（七）投标人声明格式</w:t>
      </w:r>
      <w:bookmarkEnd w:id="927"/>
      <w:bookmarkEnd w:id="928"/>
      <w:bookmarkEnd w:id="929"/>
      <w:bookmarkEnd w:id="930"/>
      <w:bookmarkEnd w:id="931"/>
      <w:bookmarkEnd w:id="932"/>
      <w:bookmarkEnd w:id="933"/>
      <w:bookmarkEnd w:id="934"/>
      <w:bookmarkEnd w:id="935"/>
      <w:bookmarkEnd w:id="936"/>
      <w:bookmarkEnd w:id="937"/>
      <w:bookmarkEnd w:id="938"/>
    </w:p>
    <w:p w14:paraId="3C50313F">
      <w:pPr>
        <w:widowControl/>
        <w:snapToGrid w:val="0"/>
        <w:spacing w:before="260" w:after="260" w:line="360" w:lineRule="auto"/>
        <w:ind w:right="384" w:firstLine="2499" w:firstLineChars="1190"/>
        <w:rPr>
          <w:rFonts w:ascii="宋体" w:hAnsi="宋体" w:cs="宋体"/>
          <w:b/>
          <w:bCs/>
          <w:kern w:val="0"/>
          <w:sz w:val="28"/>
          <w:szCs w:val="28"/>
        </w:rPr>
      </w:pPr>
      <w:r>
        <w:rPr>
          <w:rFonts w:hint="eastAsia" w:ascii="宋体" w:hAnsi="宋体" w:cs="宋体"/>
          <w:kern w:val="0"/>
        </w:rPr>
        <w:t xml:space="preserve">        </w:t>
      </w:r>
      <w:r>
        <w:rPr>
          <w:rFonts w:hint="eastAsia" w:ascii="宋体" w:hAnsi="宋体" w:cs="宋体"/>
          <w:b/>
          <w:bCs/>
          <w:kern w:val="0"/>
          <w:sz w:val="28"/>
          <w:szCs w:val="28"/>
        </w:rPr>
        <w:t xml:space="preserve">  投标人声明</w:t>
      </w:r>
    </w:p>
    <w:p w14:paraId="6B7E163A">
      <w:pPr>
        <w:pStyle w:val="31"/>
        <w:ind w:firstLine="0"/>
        <w:rPr>
          <w:rFonts w:ascii="宋体" w:hAnsi="宋体" w:eastAsia="宋体" w:cs="宋体"/>
          <w:color w:val="auto"/>
          <w:sz w:val="24"/>
          <w:szCs w:val="24"/>
        </w:rPr>
      </w:pPr>
      <w:r>
        <w:rPr>
          <w:rFonts w:hint="eastAsia" w:ascii="宋体" w:hAnsi="宋体" w:eastAsia="宋体" w:cs="宋体"/>
          <w:color w:val="auto"/>
          <w:sz w:val="24"/>
          <w:szCs w:val="24"/>
        </w:rPr>
        <w:t>广州市住房和城乡建设局、中山大学附属第一医院及广州市建设工程招标管理办公室：</w:t>
      </w:r>
    </w:p>
    <w:p w14:paraId="5F278ED4">
      <w:pPr>
        <w:pStyle w:val="31"/>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本公司就参加</w:t>
      </w:r>
      <w:r>
        <w:rPr>
          <w:rFonts w:hint="eastAsia" w:ascii="宋体" w:hAnsi="宋体" w:eastAsia="宋体" w:cs="宋体"/>
          <w:color w:val="auto"/>
          <w:sz w:val="24"/>
          <w:szCs w:val="24"/>
          <w:u w:val="single"/>
        </w:rPr>
        <w:t>中山大学附属第一医院病房改造建设及能力提升项目监理服务</w:t>
      </w:r>
      <w:r>
        <w:rPr>
          <w:rFonts w:hint="eastAsia" w:ascii="宋体" w:hAnsi="宋体" w:eastAsia="宋体" w:cs="宋体"/>
          <w:color w:val="auto"/>
          <w:sz w:val="24"/>
          <w:szCs w:val="24"/>
        </w:rPr>
        <w:t>项目投标工作，作出郑重声明：</w:t>
      </w:r>
    </w:p>
    <w:p w14:paraId="0B9F3A41">
      <w:pPr>
        <w:widowControl/>
        <w:snapToGrid w:val="0"/>
        <w:spacing w:line="420" w:lineRule="exact"/>
        <w:ind w:firstLine="480" w:firstLineChars="200"/>
        <w:rPr>
          <w:rFonts w:ascii="宋体" w:hAnsi="宋体" w:cs="宋体"/>
          <w:sz w:val="24"/>
          <w:szCs w:val="24"/>
        </w:rPr>
      </w:pPr>
      <w:r>
        <w:rPr>
          <w:rFonts w:hint="eastAsia" w:ascii="宋体" w:hAnsi="宋体" w:cs="宋体"/>
          <w:sz w:val="24"/>
          <w:szCs w:val="24"/>
        </w:rPr>
        <w:t>一、本公司保证投标登记材料及其后提供的一切材料都是真实的。如我司成为本项目中标候选人，我司同意并授权招标人将我司投标文件商务部分的人员、业绩、奖项等资料进行公开。</w:t>
      </w:r>
    </w:p>
    <w:p w14:paraId="768A7DEA">
      <w:pPr>
        <w:widowControl/>
        <w:snapToGrid w:val="0"/>
        <w:spacing w:line="420" w:lineRule="exact"/>
        <w:ind w:firstLine="480" w:firstLineChars="200"/>
        <w:rPr>
          <w:rFonts w:ascii="宋体" w:hAnsi="宋体" w:cs="宋体"/>
          <w:sz w:val="24"/>
          <w:szCs w:val="24"/>
        </w:rPr>
      </w:pPr>
      <w:r>
        <w:rPr>
          <w:rFonts w:hint="eastAsia" w:ascii="宋体" w:hAnsi="宋体" w:cs="宋体"/>
          <w:sz w:val="24"/>
          <w:szCs w:val="24"/>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14:paraId="3A0D83F4">
      <w:pPr>
        <w:widowControl/>
        <w:snapToGrid w:val="0"/>
        <w:spacing w:line="420" w:lineRule="exact"/>
        <w:ind w:firstLine="480" w:firstLineChars="200"/>
        <w:rPr>
          <w:rFonts w:ascii="宋体" w:hAnsi="宋体" w:cs="宋体"/>
          <w:sz w:val="24"/>
          <w:szCs w:val="24"/>
        </w:rPr>
      </w:pPr>
      <w:r>
        <w:rPr>
          <w:rFonts w:hint="eastAsia" w:ascii="宋体" w:hAnsi="宋体" w:cs="宋体"/>
          <w:sz w:val="24"/>
          <w:szCs w:val="24"/>
        </w:rPr>
        <w:t>三、本公司不存在招标文件第二章投标人须知第1.4.3项所规定的任何一种情形。</w:t>
      </w:r>
    </w:p>
    <w:p w14:paraId="338BEA8D">
      <w:pPr>
        <w:widowControl/>
        <w:snapToGrid w:val="0"/>
        <w:spacing w:line="420" w:lineRule="exact"/>
        <w:ind w:firstLine="480" w:firstLineChars="200"/>
        <w:rPr>
          <w:rFonts w:ascii="宋体" w:hAnsi="宋体" w:cs="宋体"/>
          <w:sz w:val="24"/>
          <w:szCs w:val="24"/>
        </w:rPr>
      </w:pPr>
      <w:r>
        <w:rPr>
          <w:rFonts w:hint="eastAsia" w:ascii="宋体" w:hAnsi="宋体" w:cs="宋体"/>
          <w:sz w:val="24"/>
          <w:szCs w:val="24"/>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14:paraId="19B204EF">
      <w:pPr>
        <w:widowControl/>
        <w:snapToGrid w:val="0"/>
        <w:spacing w:line="420" w:lineRule="exact"/>
        <w:ind w:firstLine="480" w:firstLineChars="200"/>
        <w:rPr>
          <w:rFonts w:ascii="宋体" w:hAnsi="宋体" w:cs="宋体"/>
          <w:sz w:val="24"/>
          <w:szCs w:val="24"/>
        </w:rPr>
      </w:pPr>
      <w:r>
        <w:rPr>
          <w:rFonts w:hint="eastAsia" w:ascii="宋体" w:hAnsi="宋体" w:cs="宋体"/>
          <w:sz w:val="24"/>
          <w:szCs w:val="24"/>
        </w:rPr>
        <w:t>五、本公司承诺，中标后严格执行安全生产相关管理规定。</w:t>
      </w:r>
    </w:p>
    <w:p w14:paraId="5D73F2E7">
      <w:pPr>
        <w:widowControl/>
        <w:snapToGrid w:val="0"/>
        <w:spacing w:line="420" w:lineRule="exact"/>
        <w:ind w:firstLine="480" w:firstLineChars="200"/>
        <w:rPr>
          <w:rFonts w:ascii="宋体" w:hAnsi="宋体" w:cs="宋体"/>
          <w:sz w:val="24"/>
          <w:szCs w:val="24"/>
        </w:rPr>
      </w:pPr>
      <w:r>
        <w:rPr>
          <w:rFonts w:hint="eastAsia" w:ascii="宋体" w:hAnsi="宋体" w:cs="宋体"/>
          <w:sz w:val="24"/>
          <w:szCs w:val="24"/>
        </w:rPr>
        <w:t>六、与本公司单位负责人为同一人或者与本公司存在控股、管理关系的其他单位包括：</w:t>
      </w:r>
      <w:r>
        <w:rPr>
          <w:rFonts w:hint="eastAsia" w:ascii="宋体" w:hAnsi="宋体" w:cs="宋体"/>
          <w:sz w:val="24"/>
          <w:szCs w:val="24"/>
          <w:u w:val="single"/>
        </w:rPr>
        <w:t xml:space="preserve">             </w:t>
      </w:r>
      <w:r>
        <w:rPr>
          <w:rFonts w:hint="eastAsia" w:ascii="宋体" w:hAnsi="宋体" w:cs="宋体"/>
          <w:sz w:val="24"/>
          <w:szCs w:val="24"/>
        </w:rPr>
        <w:t>。（注：本条由投标人如实填写，如有，应列出全部满足招标公告资质要求的相关单位的名称；如无，则填写“无”。）</w:t>
      </w:r>
    </w:p>
    <w:p w14:paraId="443A7CF5">
      <w:pPr>
        <w:widowControl/>
        <w:snapToGrid w:val="0"/>
        <w:spacing w:line="420" w:lineRule="exact"/>
        <w:ind w:firstLine="480" w:firstLineChars="200"/>
        <w:rPr>
          <w:rFonts w:ascii="宋体" w:hAnsi="宋体" w:cs="宋体"/>
          <w:sz w:val="24"/>
          <w:szCs w:val="24"/>
        </w:rPr>
      </w:pPr>
      <w:r>
        <w:rPr>
          <w:rFonts w:hint="eastAsia" w:ascii="宋体" w:hAnsi="宋体" w:cs="宋体"/>
          <w:sz w:val="24"/>
          <w:szCs w:val="24"/>
        </w:rPr>
        <w:t>本公司违反上述承诺，或本声明陈述与事实不符，经查实，本公司愿意接受公开通报，愿意按照《广州市建筑市场信用管理办法》（穗建规字﹝2019﹞16号）的规定被记录为失信信息，承担由此带来的法律后果，并自愿停止参加广州市行政辖区内的招标投标活动三个月。</w:t>
      </w:r>
    </w:p>
    <w:p w14:paraId="12D89235">
      <w:pPr>
        <w:widowControl/>
        <w:spacing w:line="420" w:lineRule="exact"/>
        <w:ind w:firstLine="480" w:firstLineChars="200"/>
        <w:rPr>
          <w:rFonts w:ascii="宋体" w:hAnsi="宋体" w:cs="宋体"/>
          <w:sz w:val="24"/>
          <w:szCs w:val="24"/>
        </w:rPr>
      </w:pPr>
      <w:r>
        <w:rPr>
          <w:rFonts w:hint="eastAsia" w:ascii="宋体" w:hAnsi="宋体" w:cs="宋体"/>
          <w:sz w:val="24"/>
          <w:szCs w:val="24"/>
        </w:rPr>
        <w:t>特此声明。</w:t>
      </w:r>
    </w:p>
    <w:p w14:paraId="196DAE82">
      <w:pPr>
        <w:snapToGrid w:val="0"/>
        <w:spacing w:line="240" w:lineRule="exact"/>
        <w:ind w:firstLine="4320" w:firstLineChars="1800"/>
        <w:rPr>
          <w:rFonts w:ascii="宋体" w:hAnsi="宋体" w:cs="宋体"/>
          <w:sz w:val="24"/>
          <w:szCs w:val="24"/>
        </w:rPr>
      </w:pPr>
      <w:r>
        <w:rPr>
          <w:rFonts w:hint="eastAsia" w:ascii="宋体" w:hAnsi="宋体" w:cs="宋体"/>
          <w:sz w:val="24"/>
          <w:szCs w:val="24"/>
        </w:rPr>
        <w:t>声明企业：            (企业公章)</w:t>
      </w:r>
    </w:p>
    <w:p w14:paraId="1FCC6DFF">
      <w:pPr>
        <w:snapToGrid w:val="0"/>
        <w:spacing w:line="240" w:lineRule="exact"/>
        <w:ind w:firstLine="4320" w:firstLineChars="1800"/>
        <w:rPr>
          <w:rFonts w:ascii="宋体" w:hAnsi="宋体" w:cs="宋体"/>
          <w:sz w:val="24"/>
          <w:szCs w:val="24"/>
        </w:rPr>
      </w:pPr>
      <w:r>
        <w:rPr>
          <w:rFonts w:hint="eastAsia" w:ascii="宋体" w:hAnsi="宋体" w:cs="宋体"/>
          <w:sz w:val="24"/>
          <w:szCs w:val="24"/>
        </w:rPr>
        <w:t>总监理工程师：         （签字）</w:t>
      </w:r>
    </w:p>
    <w:p w14:paraId="00A48F08">
      <w:pPr>
        <w:snapToGrid w:val="0"/>
        <w:spacing w:line="240" w:lineRule="exact"/>
        <w:ind w:firstLine="4320" w:firstLineChars="1800"/>
        <w:rPr>
          <w:rFonts w:ascii="宋体" w:hAnsi="宋体" w:cs="宋体"/>
          <w:sz w:val="24"/>
          <w:szCs w:val="24"/>
        </w:rPr>
      </w:pPr>
      <w:r>
        <w:rPr>
          <w:rFonts w:hint="eastAsia" w:ascii="宋体" w:hAnsi="宋体" w:cs="宋体"/>
          <w:sz w:val="24"/>
          <w:szCs w:val="24"/>
        </w:rPr>
        <w:t>法定代表人（签字或盖章）：</w:t>
      </w:r>
    </w:p>
    <w:p w14:paraId="440FCCA5">
      <w:pPr>
        <w:widowControl/>
        <w:snapToGrid w:val="0"/>
        <w:spacing w:line="240" w:lineRule="exact"/>
        <w:ind w:right="102" w:firstLine="5040" w:firstLineChars="2100"/>
        <w:jc w:val="left"/>
        <w:rPr>
          <w:rFonts w:ascii="宋体" w:hAnsi="宋体" w:cs="宋体"/>
        </w:rPr>
      </w:pPr>
      <w:r>
        <w:rPr>
          <w:rFonts w:hint="eastAsia" w:ascii="宋体" w:hAnsi="宋体" w:cs="宋体"/>
          <w:sz w:val="24"/>
          <w:szCs w:val="24"/>
        </w:rPr>
        <w:t>年   月   日</w:t>
      </w:r>
      <w:r>
        <w:rPr>
          <w:rFonts w:hint="eastAsia" w:ascii="宋体" w:hAnsi="宋体" w:cs="宋体"/>
        </w:rPr>
        <w:br w:type="page"/>
      </w:r>
      <w:bookmarkStart w:id="939" w:name="_Toc20332"/>
      <w:bookmarkStart w:id="940" w:name="_Toc28670"/>
      <w:bookmarkStart w:id="941" w:name="_Toc25481"/>
      <w:bookmarkStart w:id="942" w:name="_Toc18551"/>
      <w:bookmarkStart w:id="943" w:name="_Toc20605"/>
      <w:bookmarkStart w:id="944" w:name="_Toc2095"/>
      <w:bookmarkStart w:id="945" w:name="_Toc14966918"/>
      <w:bookmarkStart w:id="946" w:name="_Toc28421"/>
      <w:bookmarkStart w:id="947" w:name="_Toc22948"/>
      <w:bookmarkStart w:id="948" w:name="_Toc14941"/>
      <w:bookmarkStart w:id="949" w:name="_Toc31349"/>
      <w:bookmarkStart w:id="950" w:name="_Toc18471"/>
      <w:bookmarkStart w:id="951" w:name="_Toc29919"/>
      <w:bookmarkStart w:id="952" w:name="_Toc3508"/>
      <w:bookmarkStart w:id="953" w:name="_Toc703"/>
      <w:bookmarkStart w:id="954" w:name="_Toc21219"/>
    </w:p>
    <w:p w14:paraId="2D2AAC43">
      <w:pPr>
        <w:widowControl/>
        <w:snapToGrid w:val="0"/>
        <w:spacing w:line="240" w:lineRule="exact"/>
        <w:ind w:right="102"/>
        <w:rPr>
          <w:rFonts w:ascii="宋体" w:hAnsi="宋体" w:cs="宋体"/>
          <w:sz w:val="20"/>
          <w:szCs w:val="20"/>
        </w:rPr>
      </w:pPr>
      <w:r>
        <w:rPr>
          <w:rFonts w:hint="eastAsia" w:ascii="宋体" w:hAnsi="宋体" w:cs="宋体"/>
          <w:sz w:val="20"/>
          <w:szCs w:val="20"/>
        </w:rPr>
        <w:t>格式五：</w:t>
      </w:r>
    </w:p>
    <w:p w14:paraId="591F4EDF">
      <w:pPr>
        <w:widowControl/>
        <w:snapToGrid w:val="0"/>
        <w:spacing w:line="240" w:lineRule="exact"/>
        <w:ind w:right="102" w:firstLine="4410" w:firstLineChars="2100"/>
        <w:rPr>
          <w:rFonts w:ascii="宋体" w:hAnsi="宋体" w:cs="宋体"/>
        </w:rPr>
      </w:pPr>
      <w:r>
        <w:rPr>
          <w:rFonts w:hint="eastAsia" w:ascii="宋体" w:hAnsi="宋体" w:cs="宋体"/>
        </w:rPr>
        <w:t>五、监理大纲</w:t>
      </w:r>
      <w:bookmarkEnd w:id="925"/>
      <w:bookmarkEnd w:id="926"/>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p>
    <w:p w14:paraId="21219442">
      <w:pPr>
        <w:spacing w:line="360" w:lineRule="auto"/>
        <w:ind w:firstLine="474" w:firstLineChars="226"/>
        <w:rPr>
          <w:rFonts w:ascii="宋体" w:hAnsi="宋体" w:cs="宋体"/>
          <w:szCs w:val="21"/>
        </w:rPr>
      </w:pPr>
      <w:r>
        <w:rPr>
          <w:rFonts w:hint="eastAsia" w:ascii="宋体" w:hAnsi="宋体" w:cs="宋体"/>
          <w:szCs w:val="21"/>
        </w:rPr>
        <w:t>监理大纲应包括（但不限于）下列内容（投标单位可根据评分表自行增加或调整内容）：</w:t>
      </w:r>
    </w:p>
    <w:p w14:paraId="20417A40">
      <w:pPr>
        <w:spacing w:line="360" w:lineRule="auto"/>
        <w:ind w:firstLine="474" w:firstLineChars="226"/>
        <w:rPr>
          <w:rFonts w:ascii="宋体" w:hAnsi="宋体" w:cs="宋体"/>
          <w:szCs w:val="21"/>
        </w:rPr>
      </w:pPr>
      <w:r>
        <w:rPr>
          <w:rFonts w:hint="eastAsia" w:ascii="宋体" w:hAnsi="宋体" w:cs="宋体"/>
          <w:szCs w:val="21"/>
        </w:rPr>
        <w:t>一、监理工程概况；</w:t>
      </w:r>
    </w:p>
    <w:p w14:paraId="0AFBADAA">
      <w:pPr>
        <w:spacing w:line="360" w:lineRule="auto"/>
        <w:ind w:firstLine="474" w:firstLineChars="226"/>
        <w:rPr>
          <w:rFonts w:ascii="宋体" w:hAnsi="宋体" w:cs="宋体"/>
          <w:szCs w:val="21"/>
        </w:rPr>
      </w:pPr>
      <w:r>
        <w:rPr>
          <w:rFonts w:hint="eastAsia" w:ascii="宋体" w:hAnsi="宋体" w:cs="宋体"/>
          <w:szCs w:val="21"/>
        </w:rPr>
        <w:t>二、监理范围、监理内容；</w:t>
      </w:r>
    </w:p>
    <w:p w14:paraId="74420003">
      <w:pPr>
        <w:spacing w:line="360" w:lineRule="auto"/>
        <w:ind w:firstLine="474" w:firstLineChars="226"/>
        <w:rPr>
          <w:rFonts w:ascii="宋体" w:hAnsi="宋体" w:cs="宋体"/>
          <w:szCs w:val="21"/>
        </w:rPr>
      </w:pPr>
      <w:r>
        <w:rPr>
          <w:rFonts w:hint="eastAsia" w:ascii="宋体" w:hAnsi="宋体" w:cs="宋体"/>
          <w:szCs w:val="21"/>
        </w:rPr>
        <w:t>三、监理依据、监理工作目标；</w:t>
      </w:r>
    </w:p>
    <w:p w14:paraId="23076834">
      <w:pPr>
        <w:spacing w:line="360" w:lineRule="auto"/>
        <w:ind w:firstLine="474" w:firstLineChars="226"/>
        <w:rPr>
          <w:rFonts w:ascii="宋体" w:hAnsi="宋体" w:cs="宋体"/>
          <w:szCs w:val="21"/>
        </w:rPr>
      </w:pPr>
      <w:r>
        <w:rPr>
          <w:rFonts w:hint="eastAsia" w:ascii="宋体" w:hAnsi="宋体" w:cs="宋体"/>
          <w:szCs w:val="21"/>
        </w:rPr>
        <w:t>四、监理机构设置（监理组织架构框图）、岗位职责；</w:t>
      </w:r>
    </w:p>
    <w:p w14:paraId="6E356921">
      <w:pPr>
        <w:spacing w:line="360" w:lineRule="auto"/>
        <w:ind w:firstLine="474" w:firstLineChars="226"/>
        <w:rPr>
          <w:rFonts w:ascii="宋体" w:hAnsi="宋体" w:cs="宋体"/>
          <w:szCs w:val="21"/>
        </w:rPr>
      </w:pPr>
      <w:r>
        <w:rPr>
          <w:rFonts w:hint="eastAsia" w:ascii="宋体" w:hAnsi="宋体" w:cs="宋体"/>
          <w:szCs w:val="21"/>
        </w:rPr>
        <w:t>五、监理工作程序、方法和制度；</w:t>
      </w:r>
    </w:p>
    <w:p w14:paraId="120F19D1">
      <w:pPr>
        <w:spacing w:line="360" w:lineRule="auto"/>
        <w:ind w:firstLine="474" w:firstLineChars="226"/>
        <w:rPr>
          <w:rFonts w:ascii="宋体" w:hAnsi="宋体" w:cs="宋体"/>
          <w:szCs w:val="21"/>
        </w:rPr>
      </w:pPr>
      <w:r>
        <w:rPr>
          <w:rFonts w:hint="eastAsia" w:ascii="宋体" w:hAnsi="宋体" w:cs="宋体"/>
          <w:szCs w:val="21"/>
        </w:rPr>
        <w:t>六、拟投入的监理人员、试验检测仪器设备；</w:t>
      </w:r>
    </w:p>
    <w:p w14:paraId="685E2018">
      <w:pPr>
        <w:spacing w:line="360" w:lineRule="auto"/>
        <w:ind w:firstLine="474" w:firstLineChars="226"/>
        <w:rPr>
          <w:rFonts w:ascii="宋体" w:hAnsi="宋体" w:cs="宋体"/>
          <w:szCs w:val="21"/>
        </w:rPr>
      </w:pPr>
      <w:r>
        <w:rPr>
          <w:rFonts w:hint="eastAsia" w:ascii="宋体" w:hAnsi="宋体" w:cs="宋体"/>
          <w:szCs w:val="21"/>
        </w:rPr>
        <w:t>七、质量、进度、造价、安全、环保监理措施；</w:t>
      </w:r>
    </w:p>
    <w:p w14:paraId="7E022942">
      <w:pPr>
        <w:spacing w:line="360" w:lineRule="auto"/>
        <w:ind w:firstLine="474" w:firstLineChars="226"/>
        <w:rPr>
          <w:rFonts w:ascii="宋体" w:hAnsi="宋体" w:cs="宋体"/>
          <w:szCs w:val="21"/>
        </w:rPr>
      </w:pPr>
      <w:r>
        <w:rPr>
          <w:rFonts w:hint="eastAsia" w:ascii="宋体" w:hAnsi="宋体" w:cs="宋体"/>
          <w:szCs w:val="21"/>
        </w:rPr>
        <w:t>八、合同、信息管理方案；</w:t>
      </w:r>
    </w:p>
    <w:p w14:paraId="33F5C270">
      <w:pPr>
        <w:spacing w:line="360" w:lineRule="auto"/>
        <w:ind w:firstLine="474" w:firstLineChars="226"/>
        <w:rPr>
          <w:rFonts w:ascii="宋体" w:hAnsi="宋体" w:cs="宋体"/>
          <w:szCs w:val="21"/>
        </w:rPr>
      </w:pPr>
      <w:r>
        <w:rPr>
          <w:rFonts w:hint="eastAsia" w:ascii="宋体" w:hAnsi="宋体" w:cs="宋体"/>
          <w:szCs w:val="21"/>
        </w:rPr>
        <w:t>九、组织协调内容及措施；</w:t>
      </w:r>
    </w:p>
    <w:p w14:paraId="76310718">
      <w:pPr>
        <w:spacing w:line="360" w:lineRule="auto"/>
        <w:ind w:firstLine="474" w:firstLineChars="226"/>
        <w:rPr>
          <w:rFonts w:ascii="宋体" w:hAnsi="宋体" w:cs="宋体"/>
          <w:szCs w:val="21"/>
        </w:rPr>
      </w:pPr>
      <w:r>
        <w:rPr>
          <w:rFonts w:hint="eastAsia" w:ascii="宋体" w:hAnsi="宋体" w:cs="宋体"/>
          <w:szCs w:val="21"/>
        </w:rPr>
        <w:t>十、监理工作重点、难点分析；</w:t>
      </w:r>
    </w:p>
    <w:p w14:paraId="51EA1DB4">
      <w:pPr>
        <w:spacing w:line="360" w:lineRule="auto"/>
        <w:ind w:firstLine="474" w:firstLineChars="226"/>
        <w:rPr>
          <w:rFonts w:ascii="宋体" w:hAnsi="宋体" w:cs="宋体"/>
        </w:rPr>
      </w:pPr>
      <w:r>
        <w:rPr>
          <w:rFonts w:hint="eastAsia" w:ascii="宋体" w:hAnsi="宋体" w:cs="宋体"/>
          <w:szCs w:val="21"/>
        </w:rPr>
        <w:t>十一、对本工程监理的专业工程分包管理措施。</w:t>
      </w:r>
    </w:p>
    <w:p w14:paraId="1D825125">
      <w:pPr>
        <w:spacing w:before="260" w:line="412" w:lineRule="auto"/>
        <w:jc w:val="left"/>
        <w:outlineLvl w:val="1"/>
        <w:rPr>
          <w:rFonts w:ascii="宋体" w:hAnsi="宋体" w:cs="宋体"/>
          <w:b/>
          <w:sz w:val="32"/>
          <w:szCs w:val="20"/>
        </w:rPr>
      </w:pPr>
      <w:r>
        <w:rPr>
          <w:rFonts w:hint="eastAsia" w:ascii="宋体" w:hAnsi="宋体" w:cs="宋体"/>
          <w:b/>
          <w:sz w:val="32"/>
          <w:szCs w:val="20"/>
        </w:rPr>
        <w:br w:type="page"/>
      </w:r>
      <w:bookmarkStart w:id="955" w:name="_Toc8340_WPSOffice_Level1"/>
      <w:bookmarkStart w:id="956" w:name="_Toc14601_WPSOffice_Level1"/>
      <w:bookmarkStart w:id="957" w:name="_Toc27020_WPSOffice_Level1"/>
      <w:bookmarkStart w:id="958" w:name="_Toc29553"/>
      <w:bookmarkStart w:id="959" w:name="_Toc10063"/>
      <w:bookmarkStart w:id="960" w:name="_Toc17012"/>
      <w:bookmarkStart w:id="961" w:name="_Toc24604"/>
      <w:bookmarkStart w:id="962" w:name="_Toc12572"/>
      <w:bookmarkStart w:id="963" w:name="_Toc6609"/>
      <w:bookmarkStart w:id="964" w:name="_Toc20377"/>
      <w:bookmarkStart w:id="965" w:name="_Toc527969238"/>
      <w:bookmarkStart w:id="966" w:name="_Toc27842"/>
      <w:bookmarkStart w:id="967" w:name="_Toc21823"/>
      <w:bookmarkStart w:id="968" w:name="_Toc540"/>
      <w:bookmarkStart w:id="969" w:name="_Toc26026"/>
      <w:bookmarkStart w:id="970" w:name="_Toc14966919"/>
      <w:bookmarkStart w:id="971" w:name="_Toc19226"/>
      <w:bookmarkStart w:id="972" w:name="_Toc27296"/>
      <w:bookmarkStart w:id="973" w:name="_Toc17598"/>
      <w:bookmarkStart w:id="974" w:name="_Toc4141"/>
      <w:bookmarkStart w:id="975" w:name="_Toc26614"/>
      <w:r>
        <w:rPr>
          <w:rFonts w:hint="eastAsia" w:ascii="宋体" w:hAnsi="宋体" w:cs="宋体"/>
          <w:b/>
          <w:sz w:val="20"/>
          <w:szCs w:val="20"/>
        </w:rPr>
        <w:t>格式六：</w:t>
      </w:r>
    </w:p>
    <w:p w14:paraId="2B6FA83F">
      <w:pPr>
        <w:spacing w:before="260" w:line="412" w:lineRule="auto"/>
        <w:jc w:val="center"/>
        <w:outlineLvl w:val="1"/>
        <w:rPr>
          <w:rFonts w:ascii="宋体" w:hAnsi="宋体" w:cs="宋体"/>
          <w:b/>
          <w:sz w:val="32"/>
          <w:szCs w:val="20"/>
        </w:rPr>
      </w:pPr>
      <w:r>
        <w:rPr>
          <w:rFonts w:hint="eastAsia" w:ascii="宋体" w:hAnsi="宋体" w:cs="宋体"/>
          <w:b/>
          <w:sz w:val="32"/>
          <w:szCs w:val="20"/>
        </w:rPr>
        <w:t>六、投标人提交</w:t>
      </w:r>
      <w:r>
        <w:rPr>
          <w:rFonts w:hint="eastAsia" w:ascii="宋体" w:hAnsi="宋体" w:cs="宋体"/>
          <w:b/>
          <w:sz w:val="32"/>
          <w:szCs w:val="20"/>
          <w:u w:val="single"/>
        </w:rPr>
        <w:t>履约担保承诺书</w:t>
      </w:r>
      <w:bookmarkEnd w:id="955"/>
      <w:bookmarkEnd w:id="956"/>
      <w:bookmarkEnd w:id="957"/>
      <w:bookmarkEnd w:id="958"/>
    </w:p>
    <w:p w14:paraId="75964E61">
      <w:pPr>
        <w:pStyle w:val="6"/>
        <w:widowControl/>
        <w:ind w:firstLine="0"/>
        <w:jc w:val="center"/>
        <w:rPr>
          <w:rFonts w:ascii="宋体" w:hAnsi="宋体" w:cs="宋体"/>
          <w:sz w:val="28"/>
          <w:szCs w:val="28"/>
        </w:rPr>
      </w:pPr>
      <w:r>
        <w:rPr>
          <w:rFonts w:hint="eastAsia" w:ascii="宋体" w:hAnsi="宋体" w:cs="宋体"/>
          <w:b/>
          <w:sz w:val="28"/>
          <w:szCs w:val="28"/>
        </w:rPr>
        <w:t>投标人提交</w:t>
      </w:r>
      <w:r>
        <w:rPr>
          <w:rFonts w:hint="eastAsia" w:ascii="宋体" w:hAnsi="宋体" w:cs="宋体"/>
          <w:b/>
          <w:sz w:val="28"/>
          <w:szCs w:val="28"/>
          <w:u w:val="single"/>
        </w:rPr>
        <w:t>履约担保承诺书</w:t>
      </w:r>
    </w:p>
    <w:p w14:paraId="2249C2BF">
      <w:pPr>
        <w:pStyle w:val="6"/>
        <w:widowControl/>
        <w:rPr>
          <w:rFonts w:ascii="宋体" w:hAnsi="宋体" w:cs="宋体"/>
          <w:sz w:val="28"/>
          <w:szCs w:val="28"/>
        </w:rPr>
      </w:pPr>
    </w:p>
    <w:p w14:paraId="02C0D542">
      <w:pPr>
        <w:widowControl/>
        <w:snapToGrid w:val="0"/>
        <w:spacing w:line="480" w:lineRule="auto"/>
        <w:jc w:val="left"/>
        <w:rPr>
          <w:rFonts w:ascii="宋体" w:hAnsi="宋体" w:cs="宋体"/>
          <w:sz w:val="24"/>
          <w:szCs w:val="28"/>
          <w:u w:val="single"/>
        </w:rPr>
      </w:pPr>
      <w:r>
        <w:rPr>
          <w:rFonts w:hint="eastAsia" w:ascii="宋体" w:hAnsi="宋体" w:cs="宋体"/>
          <w:sz w:val="24"/>
          <w:szCs w:val="28"/>
          <w:lang w:bidi="ar"/>
        </w:rPr>
        <w:t>致：</w:t>
      </w:r>
      <w:r>
        <w:rPr>
          <w:rFonts w:hint="eastAsia" w:ascii="宋体" w:hAnsi="宋体" w:cs="宋体"/>
          <w:bCs/>
          <w:sz w:val="24"/>
          <w:szCs w:val="28"/>
          <w:u w:val="single"/>
          <w:lang w:val="zh-CN" w:bidi="ar"/>
        </w:rPr>
        <w:t>中山大学附属第一医院</w:t>
      </w:r>
    </w:p>
    <w:p w14:paraId="3AC1FD79">
      <w:pPr>
        <w:widowControl/>
        <w:snapToGrid w:val="0"/>
        <w:spacing w:line="480" w:lineRule="auto"/>
        <w:ind w:firstLine="560"/>
        <w:jc w:val="left"/>
        <w:rPr>
          <w:rFonts w:ascii="宋体" w:hAnsi="宋体" w:cs="宋体"/>
          <w:sz w:val="24"/>
          <w:szCs w:val="28"/>
        </w:rPr>
      </w:pPr>
      <w:r>
        <w:rPr>
          <w:rFonts w:hint="eastAsia" w:ascii="宋体" w:hAnsi="宋体" w:cs="宋体"/>
          <w:sz w:val="24"/>
          <w:szCs w:val="28"/>
          <w:lang w:bidi="ar"/>
        </w:rPr>
        <w:t>如果我单位在</w:t>
      </w:r>
      <w:r>
        <w:rPr>
          <w:rFonts w:hint="eastAsia" w:ascii="宋体" w:hAnsi="宋体" w:cs="宋体"/>
          <w:szCs w:val="21"/>
          <w:u w:val="single"/>
        </w:rPr>
        <w:t xml:space="preserve">                    </w:t>
      </w:r>
      <w:r>
        <w:rPr>
          <w:rFonts w:hint="eastAsia" w:ascii="宋体" w:hAnsi="宋体" w:cs="宋体"/>
          <w:sz w:val="24"/>
          <w:szCs w:val="28"/>
          <w:lang w:bidi="ar"/>
        </w:rPr>
        <w:t>项目招标中，被确定为中标人，我单位能够按照招标文件约定的时间和格式，按照中标金额的10%（投标时按投标金额的10%填写），即</w:t>
      </w:r>
      <w:r>
        <w:rPr>
          <w:rFonts w:hint="eastAsia" w:ascii="宋体" w:hAnsi="宋体" w:cs="宋体"/>
          <w:sz w:val="24"/>
          <w:szCs w:val="28"/>
          <w:u w:val="single"/>
          <w:lang w:bidi="ar"/>
        </w:rPr>
        <w:t xml:space="preserve">     </w:t>
      </w:r>
      <w:r>
        <w:rPr>
          <w:rFonts w:hint="eastAsia" w:ascii="宋体" w:hAnsi="宋体" w:cs="宋体"/>
          <w:sz w:val="24"/>
          <w:szCs w:val="28"/>
          <w:lang w:bidi="ar"/>
        </w:rPr>
        <w:t>元人民币向贵单位提供履约担保。履约担保的担保期限从提供履约担保之日起至本工程完成结算和保修期服务之日止，如采用保函形式提交履约担保的，首次保函开具年限不低于3年。如我单位采用履约保函提供履约担保的，但未能按照合同规定的时间和格式提供合格的履约保函的，我单位自愿放弃中标资格，并承担相应责任。</w:t>
      </w:r>
    </w:p>
    <w:p w14:paraId="3F25E326">
      <w:pPr>
        <w:widowControl/>
        <w:snapToGrid w:val="0"/>
        <w:spacing w:line="360" w:lineRule="auto"/>
        <w:jc w:val="left"/>
        <w:rPr>
          <w:rFonts w:ascii="宋体" w:hAnsi="宋体" w:cs="宋体"/>
          <w:sz w:val="24"/>
          <w:szCs w:val="28"/>
        </w:rPr>
      </w:pPr>
      <w:r>
        <w:rPr>
          <w:rFonts w:hint="eastAsia" w:ascii="宋体" w:hAnsi="宋体" w:cs="宋体"/>
          <w:sz w:val="24"/>
          <w:szCs w:val="28"/>
          <w:lang w:bidi="ar"/>
        </w:rPr>
        <w:t xml:space="preserve">    </w:t>
      </w:r>
    </w:p>
    <w:p w14:paraId="2B8811A2">
      <w:pPr>
        <w:widowControl/>
        <w:snapToGrid w:val="0"/>
        <w:spacing w:line="360" w:lineRule="auto"/>
        <w:ind w:firstLine="5640" w:firstLineChars="2350"/>
        <w:jc w:val="left"/>
        <w:rPr>
          <w:rFonts w:ascii="宋体" w:hAnsi="宋体" w:cs="宋体"/>
          <w:sz w:val="24"/>
          <w:szCs w:val="28"/>
        </w:rPr>
      </w:pPr>
    </w:p>
    <w:p w14:paraId="1E192BC0">
      <w:pPr>
        <w:tabs>
          <w:tab w:val="left" w:pos="7655"/>
        </w:tabs>
        <w:spacing w:line="480" w:lineRule="auto"/>
        <w:ind w:right="492"/>
        <w:jc w:val="center"/>
        <w:rPr>
          <w:rFonts w:ascii="宋体" w:hAnsi="宋体" w:cs="宋体"/>
          <w:spacing w:val="18"/>
          <w:sz w:val="24"/>
          <w:szCs w:val="28"/>
        </w:rPr>
      </w:pPr>
      <w:r>
        <w:rPr>
          <w:rFonts w:hint="eastAsia" w:ascii="宋体" w:hAnsi="宋体" w:cs="宋体"/>
          <w:spacing w:val="18"/>
          <w:sz w:val="24"/>
          <w:szCs w:val="28"/>
          <w:lang w:bidi="ar"/>
        </w:rPr>
        <w:t xml:space="preserve">          投 标 人 ：</w:t>
      </w:r>
      <w:r>
        <w:rPr>
          <w:rFonts w:hint="eastAsia" w:ascii="宋体" w:hAnsi="宋体" w:cs="宋体"/>
          <w:spacing w:val="18"/>
          <w:sz w:val="24"/>
          <w:szCs w:val="28"/>
          <w:u w:val="single"/>
          <w:lang w:bidi="ar"/>
        </w:rPr>
        <w:t xml:space="preserve">          </w:t>
      </w:r>
      <w:r>
        <w:rPr>
          <w:rFonts w:hint="eastAsia" w:ascii="宋体" w:hAnsi="宋体" w:cs="宋体"/>
          <w:spacing w:val="18"/>
          <w:sz w:val="24"/>
          <w:szCs w:val="28"/>
          <w:lang w:bidi="ar"/>
        </w:rPr>
        <w:t xml:space="preserve"> </w:t>
      </w:r>
    </w:p>
    <w:p w14:paraId="46B02B8F">
      <w:pPr>
        <w:tabs>
          <w:tab w:val="left" w:pos="7655"/>
        </w:tabs>
        <w:spacing w:line="480" w:lineRule="auto"/>
        <w:jc w:val="center"/>
        <w:rPr>
          <w:rFonts w:ascii="宋体" w:hAnsi="宋体" w:cs="宋体"/>
          <w:spacing w:val="18"/>
          <w:sz w:val="24"/>
          <w:szCs w:val="28"/>
        </w:rPr>
      </w:pPr>
      <w:r>
        <w:rPr>
          <w:rFonts w:hint="eastAsia" w:ascii="宋体" w:hAnsi="宋体" w:cs="宋体"/>
          <w:spacing w:val="18"/>
          <w:sz w:val="24"/>
          <w:szCs w:val="28"/>
          <w:lang w:bidi="ar"/>
        </w:rPr>
        <w:t xml:space="preserve">         日期：    年   月  日</w:t>
      </w:r>
    </w:p>
    <w:p w14:paraId="6F83D960">
      <w:pPr>
        <w:widowControl/>
        <w:snapToGrid w:val="0"/>
        <w:spacing w:line="480" w:lineRule="auto"/>
        <w:ind w:firstLine="6580"/>
        <w:jc w:val="left"/>
        <w:rPr>
          <w:rFonts w:ascii="宋体" w:hAnsi="宋体" w:cs="宋体"/>
          <w:b/>
          <w:sz w:val="28"/>
          <w:szCs w:val="28"/>
        </w:rPr>
      </w:pPr>
    </w:p>
    <w:p w14:paraId="30371C35">
      <w:pPr>
        <w:spacing w:line="480" w:lineRule="auto"/>
        <w:jc w:val="center"/>
        <w:rPr>
          <w:rFonts w:ascii="宋体" w:hAnsi="宋体" w:cs="宋体"/>
          <w:b/>
          <w:sz w:val="28"/>
          <w:szCs w:val="28"/>
        </w:rPr>
      </w:pPr>
    </w:p>
    <w:p w14:paraId="4D41D91F">
      <w:pPr>
        <w:spacing w:line="360" w:lineRule="auto"/>
        <w:rPr>
          <w:rFonts w:ascii="宋体" w:hAnsi="宋体" w:cs="宋体"/>
          <w:b/>
          <w:sz w:val="28"/>
          <w:szCs w:val="28"/>
        </w:rPr>
      </w:pPr>
    </w:p>
    <w:p w14:paraId="7233591E">
      <w:pPr>
        <w:spacing w:line="360" w:lineRule="auto"/>
        <w:rPr>
          <w:rFonts w:ascii="宋体" w:hAnsi="宋体" w:cs="宋体"/>
          <w:b/>
          <w:sz w:val="24"/>
          <w:szCs w:val="24"/>
          <w:u w:val="single"/>
        </w:rPr>
      </w:pPr>
      <w:r>
        <w:rPr>
          <w:rFonts w:hint="eastAsia" w:ascii="宋体" w:hAnsi="宋体" w:cs="宋体"/>
          <w:b/>
          <w:sz w:val="24"/>
          <w:szCs w:val="24"/>
          <w:u w:val="single"/>
          <w:lang w:bidi="ar"/>
        </w:rPr>
        <w:t>注：投标人的投标文件中须提交本承诺书。</w:t>
      </w:r>
    </w:p>
    <w:p w14:paraId="36EED274">
      <w:pPr>
        <w:spacing w:line="360" w:lineRule="auto"/>
        <w:rPr>
          <w:rFonts w:ascii="宋体" w:hAnsi="宋体" w:cs="宋体"/>
          <w:b/>
          <w:sz w:val="28"/>
          <w:szCs w:val="28"/>
        </w:rPr>
      </w:pPr>
    </w:p>
    <w:p w14:paraId="030C7E0B">
      <w:pPr>
        <w:spacing w:line="360" w:lineRule="auto"/>
        <w:rPr>
          <w:rFonts w:ascii="宋体" w:hAnsi="宋体" w:cs="宋体"/>
          <w:b/>
          <w:sz w:val="28"/>
          <w:szCs w:val="28"/>
        </w:rPr>
      </w:pPr>
    </w:p>
    <w:p w14:paraId="114C0D91">
      <w:pPr>
        <w:adjustRightInd w:val="0"/>
        <w:snapToGrid w:val="0"/>
        <w:spacing w:line="276" w:lineRule="auto"/>
        <w:jc w:val="left"/>
        <w:rPr>
          <w:rFonts w:ascii="宋体" w:hAnsi="宋体" w:cs="宋体"/>
          <w:sz w:val="24"/>
          <w:szCs w:val="24"/>
        </w:rPr>
      </w:pPr>
      <w:bookmarkStart w:id="976" w:name="_Toc29802"/>
      <w:bookmarkStart w:id="977" w:name="_Toc24571_WPSOffice_Level1"/>
      <w:bookmarkStart w:id="978" w:name="_Toc21886_WPSOffice_Level1"/>
      <w:bookmarkStart w:id="979" w:name="_Toc7939_WPSOffice_Level1"/>
    </w:p>
    <w:p w14:paraId="2DB1358B">
      <w:pPr>
        <w:spacing w:before="260" w:line="412" w:lineRule="auto"/>
        <w:jc w:val="left"/>
        <w:outlineLvl w:val="1"/>
        <w:rPr>
          <w:rFonts w:ascii="宋体" w:hAnsi="宋体" w:cs="宋体"/>
          <w:b/>
          <w:sz w:val="32"/>
          <w:szCs w:val="20"/>
        </w:rPr>
      </w:pPr>
      <w:r>
        <w:rPr>
          <w:rFonts w:hint="eastAsia" w:ascii="宋体" w:hAnsi="宋体" w:cs="宋体"/>
          <w:b/>
          <w:sz w:val="32"/>
          <w:szCs w:val="20"/>
        </w:rPr>
        <w:br w:type="page"/>
      </w:r>
      <w:r>
        <w:rPr>
          <w:rFonts w:hint="eastAsia" w:ascii="宋体" w:hAnsi="宋体" w:cs="宋体"/>
          <w:b/>
          <w:sz w:val="20"/>
          <w:szCs w:val="20"/>
        </w:rPr>
        <w:t>格式七：</w:t>
      </w:r>
    </w:p>
    <w:p w14:paraId="025FD304">
      <w:pPr>
        <w:spacing w:before="260" w:line="412" w:lineRule="auto"/>
        <w:jc w:val="center"/>
        <w:outlineLvl w:val="1"/>
        <w:rPr>
          <w:rFonts w:ascii="宋体" w:hAnsi="宋体" w:cs="宋体"/>
          <w:b/>
          <w:sz w:val="32"/>
          <w:szCs w:val="32"/>
        </w:rPr>
      </w:pPr>
      <w:r>
        <w:rPr>
          <w:rFonts w:hint="eastAsia" w:ascii="宋体" w:hAnsi="宋体" w:cs="宋体"/>
          <w:b/>
          <w:sz w:val="32"/>
          <w:szCs w:val="20"/>
        </w:rPr>
        <w:t>七、投标承诺书</w:t>
      </w:r>
      <w:bookmarkEnd w:id="976"/>
      <w:bookmarkEnd w:id="977"/>
      <w:bookmarkEnd w:id="978"/>
      <w:bookmarkEnd w:id="979"/>
    </w:p>
    <w:p w14:paraId="312EF8CD">
      <w:pPr>
        <w:autoSpaceDE w:val="0"/>
        <w:autoSpaceDN w:val="0"/>
        <w:adjustRightInd w:val="0"/>
        <w:spacing w:line="360" w:lineRule="auto"/>
        <w:jc w:val="center"/>
        <w:rPr>
          <w:rFonts w:ascii="宋体" w:hAnsi="宋体" w:cs="宋体"/>
          <w:b/>
          <w:sz w:val="28"/>
          <w:szCs w:val="28"/>
          <w:lang w:val="zh-CN"/>
        </w:rPr>
      </w:pPr>
      <w:bookmarkStart w:id="980" w:name="_Toc19688_WPSOffice_Level1"/>
      <w:bookmarkStart w:id="981" w:name="_Toc25361_WPSOffice_Level1"/>
      <w:r>
        <w:rPr>
          <w:rFonts w:hint="eastAsia" w:ascii="宋体" w:hAnsi="宋体" w:cs="宋体"/>
          <w:b/>
          <w:sz w:val="28"/>
          <w:szCs w:val="28"/>
          <w:lang w:val="zh-CN" w:bidi="ar"/>
        </w:rPr>
        <w:t>投标承诺书</w:t>
      </w:r>
      <w:bookmarkEnd w:id="980"/>
      <w:bookmarkEnd w:id="981"/>
    </w:p>
    <w:p w14:paraId="720B9ABA">
      <w:pPr>
        <w:spacing w:line="360" w:lineRule="auto"/>
        <w:rPr>
          <w:rFonts w:ascii="宋体" w:hAnsi="宋体" w:cs="宋体"/>
          <w:sz w:val="24"/>
          <w:szCs w:val="24"/>
        </w:rPr>
      </w:pPr>
      <w:r>
        <w:rPr>
          <w:rFonts w:hint="eastAsia" w:ascii="宋体" w:hAnsi="宋体" w:cs="宋体"/>
          <w:sz w:val="24"/>
          <w:szCs w:val="24"/>
          <w:lang w:bidi="ar"/>
        </w:rPr>
        <w:t>致：</w:t>
      </w:r>
      <w:r>
        <w:rPr>
          <w:rFonts w:hint="eastAsia" w:ascii="宋体" w:hAnsi="宋体" w:cs="宋体"/>
          <w:sz w:val="24"/>
          <w:szCs w:val="24"/>
          <w:u w:val="single"/>
          <w:lang w:bidi="ar"/>
        </w:rPr>
        <w:t xml:space="preserve">     （招标人名称）       </w:t>
      </w:r>
    </w:p>
    <w:p w14:paraId="423BC2A3">
      <w:pPr>
        <w:spacing w:line="360" w:lineRule="auto"/>
        <w:ind w:firstLine="480" w:firstLineChars="200"/>
        <w:rPr>
          <w:rFonts w:ascii="宋体" w:hAnsi="宋体" w:cs="宋体"/>
          <w:sz w:val="24"/>
          <w:szCs w:val="24"/>
        </w:rPr>
      </w:pPr>
      <w:r>
        <w:rPr>
          <w:rFonts w:hint="eastAsia" w:ascii="宋体" w:hAnsi="宋体" w:cs="宋体"/>
          <w:sz w:val="24"/>
          <w:szCs w:val="24"/>
          <w:lang w:bidi="ar"/>
        </w:rPr>
        <w:t>我司确认收到贵司提供的</w:t>
      </w:r>
      <w:r>
        <w:rPr>
          <w:rFonts w:hint="eastAsia" w:ascii="宋体" w:hAnsi="宋体" w:cs="宋体"/>
          <w:sz w:val="24"/>
          <w:szCs w:val="24"/>
          <w:u w:val="single"/>
          <w:lang w:bidi="ar"/>
        </w:rPr>
        <w:t xml:space="preserve">      （项目名称）      </w:t>
      </w:r>
      <w:r>
        <w:rPr>
          <w:rFonts w:hint="eastAsia" w:ascii="宋体" w:hAnsi="宋体" w:cs="宋体"/>
          <w:sz w:val="24"/>
          <w:szCs w:val="24"/>
          <w:lang w:bidi="ar"/>
        </w:rPr>
        <w:t>招标文件的全部内容，我司：</w:t>
      </w:r>
      <w:r>
        <w:rPr>
          <w:rFonts w:hint="eastAsia" w:ascii="宋体" w:hAnsi="宋体" w:cs="宋体"/>
          <w:sz w:val="24"/>
          <w:szCs w:val="24"/>
          <w:u w:val="single"/>
          <w:lang w:bidi="ar"/>
        </w:rPr>
        <w:t xml:space="preserve">       (投标人名称)      </w:t>
      </w:r>
      <w:r>
        <w:rPr>
          <w:rFonts w:hint="eastAsia" w:ascii="宋体" w:hAnsi="宋体" w:cs="宋体"/>
          <w:sz w:val="24"/>
          <w:szCs w:val="24"/>
          <w:lang w:bidi="ar"/>
        </w:rPr>
        <w:t>已作为投标人正式授权</w:t>
      </w:r>
      <w:r>
        <w:rPr>
          <w:rFonts w:hint="eastAsia" w:ascii="宋体" w:hAnsi="宋体" w:cs="宋体"/>
          <w:sz w:val="24"/>
          <w:szCs w:val="24"/>
          <w:u w:val="single"/>
          <w:lang w:bidi="ar"/>
        </w:rPr>
        <w:t xml:space="preserve">         (授权代表全名，职务)    </w:t>
      </w:r>
      <w:r>
        <w:rPr>
          <w:rFonts w:hint="eastAsia" w:ascii="宋体" w:hAnsi="宋体" w:cs="宋体"/>
          <w:sz w:val="24"/>
          <w:szCs w:val="24"/>
          <w:lang w:bidi="ar"/>
        </w:rPr>
        <w:t>代表我司进行有关本投标的一切事宜。</w:t>
      </w:r>
    </w:p>
    <w:p w14:paraId="09A6C4CE">
      <w:pPr>
        <w:spacing w:line="360" w:lineRule="auto"/>
        <w:ind w:firstLine="480" w:firstLineChars="200"/>
        <w:rPr>
          <w:rFonts w:ascii="宋体" w:hAnsi="宋体" w:cs="宋体"/>
          <w:sz w:val="24"/>
          <w:szCs w:val="24"/>
        </w:rPr>
      </w:pPr>
      <w:r>
        <w:rPr>
          <w:rFonts w:hint="eastAsia" w:ascii="宋体" w:hAnsi="宋体" w:cs="宋体"/>
          <w:sz w:val="24"/>
          <w:szCs w:val="24"/>
          <w:lang w:bidi="ar"/>
        </w:rPr>
        <w:t>我司已完全明白和接受招标文件的所有条款要求，并重申以下几点：</w:t>
      </w:r>
    </w:p>
    <w:p w14:paraId="5DD8C14A">
      <w:pPr>
        <w:spacing w:line="360" w:lineRule="auto"/>
        <w:ind w:firstLine="480" w:firstLineChars="200"/>
        <w:rPr>
          <w:rFonts w:ascii="宋体" w:hAnsi="宋体" w:cs="宋体"/>
          <w:sz w:val="24"/>
          <w:szCs w:val="24"/>
        </w:rPr>
      </w:pPr>
      <w:r>
        <w:rPr>
          <w:rFonts w:hint="eastAsia" w:ascii="宋体" w:hAnsi="宋体" w:cs="宋体"/>
          <w:sz w:val="24"/>
          <w:szCs w:val="24"/>
          <w:lang w:bidi="ar"/>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14:paraId="5F7C2566">
      <w:pPr>
        <w:spacing w:line="360" w:lineRule="auto"/>
        <w:ind w:firstLine="480" w:firstLineChars="200"/>
        <w:rPr>
          <w:rFonts w:ascii="宋体" w:hAnsi="宋体" w:cs="宋体"/>
          <w:sz w:val="24"/>
          <w:szCs w:val="24"/>
        </w:rPr>
      </w:pPr>
      <w:r>
        <w:rPr>
          <w:rFonts w:hint="eastAsia" w:ascii="宋体" w:hAnsi="宋体" w:cs="宋体"/>
          <w:sz w:val="24"/>
          <w:szCs w:val="24"/>
          <w:lang w:bidi="ar"/>
        </w:rPr>
        <w:t>2. 我司已充分阅读了本项目招标文件并充分了解有关报价方式及变更、结算方式，我司完全响应招标文件的规定。</w:t>
      </w:r>
    </w:p>
    <w:p w14:paraId="38B39B03">
      <w:pPr>
        <w:spacing w:line="360" w:lineRule="auto"/>
        <w:ind w:firstLine="480" w:firstLineChars="200"/>
        <w:rPr>
          <w:rFonts w:ascii="宋体" w:hAnsi="宋体" w:cs="宋体"/>
          <w:sz w:val="24"/>
          <w:szCs w:val="24"/>
        </w:rPr>
      </w:pPr>
      <w:r>
        <w:rPr>
          <w:rFonts w:hint="eastAsia" w:ascii="宋体" w:hAnsi="宋体" w:cs="宋体"/>
          <w:sz w:val="24"/>
          <w:szCs w:val="24"/>
          <w:lang w:bidi="ar"/>
        </w:rPr>
        <w:t>3．本投标文件的有效期为投标截止日后120天内有效；</w:t>
      </w:r>
    </w:p>
    <w:p w14:paraId="5D4E9D93">
      <w:pPr>
        <w:spacing w:line="360" w:lineRule="auto"/>
        <w:ind w:firstLine="480" w:firstLineChars="200"/>
        <w:rPr>
          <w:rFonts w:ascii="宋体" w:hAnsi="宋体" w:cs="宋体"/>
          <w:sz w:val="24"/>
          <w:szCs w:val="24"/>
        </w:rPr>
      </w:pPr>
      <w:r>
        <w:rPr>
          <w:rFonts w:hint="eastAsia" w:ascii="宋体" w:hAnsi="宋体" w:cs="宋体"/>
          <w:sz w:val="24"/>
          <w:szCs w:val="24"/>
          <w:lang w:bidi="ar"/>
        </w:rPr>
        <w:t>4．我司承诺投标文件中的一切资料、数据是真实的，并承担由此引起的一切责任。</w:t>
      </w:r>
    </w:p>
    <w:p w14:paraId="2C00084A">
      <w:pPr>
        <w:spacing w:line="360" w:lineRule="auto"/>
        <w:ind w:firstLine="480" w:firstLineChars="200"/>
        <w:rPr>
          <w:rFonts w:ascii="宋体" w:hAnsi="宋体" w:cs="宋体"/>
          <w:sz w:val="24"/>
          <w:szCs w:val="24"/>
        </w:rPr>
      </w:pPr>
      <w:r>
        <w:rPr>
          <w:rFonts w:hint="eastAsia" w:ascii="宋体" w:hAnsi="宋体" w:cs="宋体"/>
          <w:sz w:val="24"/>
          <w:szCs w:val="24"/>
          <w:lang w:bidi="ar"/>
        </w:rPr>
        <w:t>5．我司明白并愿意若在规定的投标截止时间之后至投标有效期之内撤回投标，将自愿接受：通报批评，记录不良行为，列入黑名单，并暂停企业参加省属代建项目招投标活动二年。</w:t>
      </w:r>
    </w:p>
    <w:p w14:paraId="184ACA57">
      <w:pPr>
        <w:spacing w:line="360" w:lineRule="auto"/>
        <w:ind w:firstLine="480" w:firstLineChars="200"/>
        <w:rPr>
          <w:rFonts w:ascii="宋体" w:hAnsi="宋体" w:cs="宋体"/>
          <w:sz w:val="24"/>
          <w:szCs w:val="24"/>
        </w:rPr>
      </w:pPr>
      <w:r>
        <w:rPr>
          <w:rFonts w:hint="eastAsia" w:ascii="宋体" w:hAnsi="宋体" w:cs="宋体"/>
          <w:sz w:val="24"/>
          <w:szCs w:val="24"/>
          <w:lang w:bidi="ar"/>
        </w:rPr>
        <w:t>6．我司如果中标，我司保证：</w:t>
      </w:r>
    </w:p>
    <w:p w14:paraId="08411BB7">
      <w:pPr>
        <w:spacing w:line="360" w:lineRule="auto"/>
        <w:ind w:firstLine="480" w:firstLineChars="200"/>
        <w:rPr>
          <w:rFonts w:ascii="宋体" w:hAnsi="宋体" w:cs="宋体"/>
          <w:sz w:val="24"/>
          <w:szCs w:val="24"/>
        </w:rPr>
      </w:pPr>
      <w:r>
        <w:rPr>
          <w:rFonts w:hint="eastAsia" w:ascii="宋体" w:hAnsi="宋体" w:cs="宋体"/>
          <w:sz w:val="24"/>
          <w:szCs w:val="24"/>
          <w:lang w:bidi="ar"/>
        </w:rPr>
        <w:t>6.1保证履行招标文件以及招标文件修改书(如有)中的全部责任和义务，在中标通知书规定的时间内签订合同，并严格按国家有关法规履行我司的全部责任，按质、按量、按期完成合同约定的全部任务。</w:t>
      </w:r>
    </w:p>
    <w:p w14:paraId="44D0E01F">
      <w:pPr>
        <w:spacing w:line="360" w:lineRule="auto"/>
        <w:ind w:firstLine="480" w:firstLineChars="200"/>
        <w:rPr>
          <w:rFonts w:ascii="宋体" w:hAnsi="宋体" w:cs="宋体"/>
          <w:sz w:val="24"/>
          <w:szCs w:val="24"/>
        </w:rPr>
      </w:pPr>
      <w:r>
        <w:rPr>
          <w:rFonts w:hint="eastAsia" w:ascii="宋体" w:hAnsi="宋体" w:cs="宋体"/>
          <w:sz w:val="24"/>
          <w:szCs w:val="24"/>
          <w:lang w:bidi="ar"/>
        </w:rPr>
        <w:t>6.2保证尽一切力量确保投标承诺的竣工日期，若我司未能按投标承诺的工期完成本项目，除承担合同约定的违约责任外，招标人有权解除合同，我司承担由于违约解除合同退场造成的对招标人的一切损失。</w:t>
      </w:r>
    </w:p>
    <w:p w14:paraId="1C32D849">
      <w:pPr>
        <w:spacing w:line="360" w:lineRule="auto"/>
        <w:ind w:firstLine="480" w:firstLineChars="200"/>
        <w:rPr>
          <w:rFonts w:ascii="宋体" w:hAnsi="宋体" w:cs="宋体"/>
          <w:sz w:val="24"/>
          <w:szCs w:val="24"/>
        </w:rPr>
      </w:pPr>
      <w:r>
        <w:rPr>
          <w:rFonts w:hint="eastAsia" w:ascii="宋体" w:hAnsi="宋体" w:cs="宋体"/>
          <w:sz w:val="24"/>
          <w:szCs w:val="24"/>
          <w:lang w:bidi="ar"/>
        </w:rPr>
        <w:t>6.3保证投标所报的总监理工程师在本项目合同签订后7日内到职，全过程服务于本项目，在过程中非不可抗力或招标人要求不得更换。我司违反以上承诺的，同意按合同条款的规定承担违约责任。</w:t>
      </w:r>
    </w:p>
    <w:p w14:paraId="65A025E2">
      <w:pPr>
        <w:spacing w:line="360" w:lineRule="auto"/>
        <w:ind w:firstLine="480" w:firstLineChars="200"/>
        <w:rPr>
          <w:rFonts w:ascii="宋体" w:hAnsi="宋体" w:cs="宋体"/>
          <w:sz w:val="24"/>
          <w:szCs w:val="24"/>
        </w:rPr>
      </w:pPr>
      <w:r>
        <w:rPr>
          <w:rFonts w:hint="eastAsia" w:ascii="宋体" w:hAnsi="宋体" w:cs="宋体"/>
          <w:sz w:val="24"/>
          <w:szCs w:val="24"/>
          <w:lang w:bidi="ar"/>
        </w:rPr>
        <w:t>6.4保证所投入本项目的主要检测仪器设备质量符合或优于招标文件要求。</w:t>
      </w:r>
    </w:p>
    <w:p w14:paraId="4BDA463D">
      <w:pPr>
        <w:spacing w:line="360" w:lineRule="auto"/>
        <w:ind w:firstLine="480" w:firstLineChars="200"/>
        <w:rPr>
          <w:rFonts w:ascii="宋体" w:hAnsi="宋体" w:cs="宋体"/>
          <w:sz w:val="24"/>
          <w:szCs w:val="24"/>
        </w:rPr>
      </w:pPr>
      <w:r>
        <w:rPr>
          <w:rFonts w:hint="eastAsia" w:ascii="宋体" w:hAnsi="宋体" w:cs="宋体"/>
          <w:sz w:val="24"/>
          <w:szCs w:val="24"/>
          <w:lang w:bidi="ar"/>
        </w:rPr>
        <w:t>6.5保证按照招标文件的要求确保安全生产及文明施工，如有违反，我司愿意按合同约定承担违约责任，并为此负相关的法律责任。</w:t>
      </w:r>
    </w:p>
    <w:p w14:paraId="0FC564A9">
      <w:pPr>
        <w:spacing w:line="360" w:lineRule="auto"/>
        <w:ind w:firstLine="480" w:firstLineChars="200"/>
        <w:rPr>
          <w:rFonts w:ascii="宋体" w:hAnsi="宋体" w:cs="宋体"/>
          <w:sz w:val="24"/>
          <w:szCs w:val="24"/>
        </w:rPr>
      </w:pPr>
      <w:r>
        <w:rPr>
          <w:rFonts w:hint="eastAsia" w:ascii="宋体" w:hAnsi="宋体" w:cs="宋体"/>
          <w:sz w:val="24"/>
          <w:szCs w:val="24"/>
          <w:lang w:bidi="ar"/>
        </w:rPr>
        <w:t>6.6保证督促承包方按国家的有关规定制订保证民工工资支付的方案及保证措施，否则，我司愿按合同条款规定承担违约责任并赔偿招标人的全部损失。</w:t>
      </w:r>
    </w:p>
    <w:p w14:paraId="22B35A59">
      <w:pPr>
        <w:spacing w:line="360" w:lineRule="auto"/>
        <w:ind w:firstLine="480" w:firstLineChars="200"/>
        <w:rPr>
          <w:rFonts w:ascii="宋体" w:hAnsi="宋体" w:cs="宋体"/>
          <w:sz w:val="24"/>
          <w:szCs w:val="24"/>
        </w:rPr>
      </w:pPr>
      <w:r>
        <w:rPr>
          <w:rFonts w:hint="eastAsia" w:ascii="宋体" w:hAnsi="宋体" w:cs="宋体"/>
          <w:sz w:val="24"/>
          <w:szCs w:val="24"/>
          <w:lang w:bidi="ar"/>
        </w:rPr>
        <w:t>6.7保证督促承包方按施工期间做好安全文明和交通保证措施，施工区全封闭围挡，根据工程进度计划分段施工分期围挡。最大限度满足交通和市民出行方便，施工行为做到便民，不扰民。</w:t>
      </w:r>
    </w:p>
    <w:p w14:paraId="559DCF96">
      <w:pPr>
        <w:spacing w:line="360" w:lineRule="auto"/>
        <w:ind w:firstLine="480" w:firstLineChars="200"/>
        <w:rPr>
          <w:rFonts w:ascii="宋体" w:hAnsi="宋体" w:cs="宋体"/>
          <w:sz w:val="24"/>
          <w:szCs w:val="24"/>
          <w:lang w:bidi="ar"/>
        </w:rPr>
      </w:pPr>
      <w:r>
        <w:rPr>
          <w:rFonts w:hint="eastAsia" w:ascii="宋体" w:hAnsi="宋体" w:cs="宋体"/>
          <w:sz w:val="24"/>
          <w:szCs w:val="24"/>
          <w:lang w:bidi="ar"/>
        </w:rPr>
        <w:t>6.8保证督促承包方按发包方工期要求编制施工进度计划，计划内用全面详实，根据项目特点合理组织施工及移交。</w:t>
      </w:r>
    </w:p>
    <w:p w14:paraId="2231A3BB">
      <w:pPr>
        <w:spacing w:line="360" w:lineRule="auto"/>
        <w:ind w:firstLine="3840" w:firstLineChars="1600"/>
        <w:rPr>
          <w:rFonts w:ascii="宋体" w:hAnsi="宋体" w:cs="宋体"/>
          <w:sz w:val="24"/>
          <w:szCs w:val="24"/>
        </w:rPr>
      </w:pPr>
    </w:p>
    <w:p w14:paraId="65630889">
      <w:pPr>
        <w:tabs>
          <w:tab w:val="left" w:pos="7655"/>
        </w:tabs>
        <w:spacing w:line="480" w:lineRule="auto"/>
        <w:ind w:right="492"/>
        <w:jc w:val="center"/>
        <w:rPr>
          <w:rFonts w:ascii="宋体" w:hAnsi="宋体" w:cs="宋体"/>
          <w:spacing w:val="18"/>
          <w:sz w:val="24"/>
          <w:szCs w:val="28"/>
        </w:rPr>
      </w:pPr>
      <w:r>
        <w:rPr>
          <w:rFonts w:hint="eastAsia" w:ascii="宋体" w:hAnsi="宋体" w:cs="宋体"/>
          <w:spacing w:val="18"/>
          <w:sz w:val="24"/>
          <w:szCs w:val="28"/>
          <w:lang w:bidi="ar"/>
        </w:rPr>
        <w:t xml:space="preserve">投 标 人 ：           (盖单位章) </w:t>
      </w:r>
    </w:p>
    <w:p w14:paraId="234B542D">
      <w:pPr>
        <w:tabs>
          <w:tab w:val="left" w:pos="7655"/>
        </w:tabs>
        <w:spacing w:line="480" w:lineRule="auto"/>
        <w:jc w:val="center"/>
        <w:rPr>
          <w:rFonts w:ascii="宋体" w:hAnsi="宋体" w:cs="宋体"/>
          <w:spacing w:val="18"/>
          <w:sz w:val="24"/>
          <w:szCs w:val="28"/>
        </w:rPr>
      </w:pPr>
      <w:r>
        <w:rPr>
          <w:rFonts w:hint="eastAsia" w:ascii="宋体" w:hAnsi="宋体" w:cs="宋体"/>
          <w:spacing w:val="18"/>
          <w:sz w:val="24"/>
          <w:szCs w:val="28"/>
          <w:lang w:bidi="ar"/>
        </w:rPr>
        <w:t xml:space="preserve">          法定代表人或其委托代理人：</w:t>
      </w:r>
      <w:r>
        <w:rPr>
          <w:rFonts w:hint="eastAsia" w:ascii="宋体" w:hAnsi="宋体" w:cs="宋体"/>
          <w:spacing w:val="18"/>
          <w:sz w:val="24"/>
          <w:szCs w:val="28"/>
          <w:u w:val="single"/>
          <w:lang w:bidi="ar"/>
        </w:rPr>
        <w:t xml:space="preserve">     </w:t>
      </w:r>
      <w:r>
        <w:rPr>
          <w:rFonts w:hint="eastAsia" w:ascii="宋体" w:hAnsi="宋体" w:cs="宋体"/>
          <w:spacing w:val="18"/>
          <w:sz w:val="24"/>
          <w:szCs w:val="28"/>
          <w:lang w:bidi="ar"/>
        </w:rPr>
        <w:t>（签字或盖章）</w:t>
      </w:r>
    </w:p>
    <w:p w14:paraId="1BE9051C">
      <w:pPr>
        <w:spacing w:line="360" w:lineRule="auto"/>
        <w:ind w:firstLine="4416" w:firstLineChars="1600"/>
        <w:rPr>
          <w:rFonts w:ascii="宋体" w:hAnsi="宋体" w:cs="宋体"/>
        </w:rPr>
      </w:pPr>
      <w:r>
        <w:rPr>
          <w:rFonts w:hint="eastAsia" w:ascii="宋体" w:hAnsi="宋体" w:cs="宋体"/>
          <w:spacing w:val="18"/>
          <w:sz w:val="24"/>
          <w:szCs w:val="28"/>
          <w:lang w:bidi="ar"/>
        </w:rPr>
        <w:t>日期：    年   月  日</w:t>
      </w:r>
    </w:p>
    <w:p w14:paraId="5575D6F1">
      <w:pPr>
        <w:pStyle w:val="19"/>
        <w:ind w:firstLine="200"/>
        <w:rPr>
          <w:rFonts w:ascii="宋体" w:hAnsi="宋体" w:cs="宋体"/>
        </w:rPr>
      </w:pPr>
    </w:p>
    <w:p w14:paraId="24C3B83D">
      <w:pPr>
        <w:pStyle w:val="20"/>
        <w:ind w:left="420" w:firstLine="420"/>
        <w:rPr>
          <w:rFonts w:ascii="宋体" w:hAnsi="宋体" w:cs="宋体"/>
          <w:color w:val="auto"/>
          <w:lang w:eastAsia="zh-CN"/>
        </w:rPr>
      </w:pPr>
    </w:p>
    <w:p w14:paraId="037FCA17">
      <w:pPr>
        <w:pStyle w:val="20"/>
        <w:ind w:left="420" w:firstLine="420"/>
        <w:rPr>
          <w:rFonts w:ascii="宋体" w:hAnsi="宋体" w:cs="宋体"/>
          <w:color w:val="auto"/>
          <w:lang w:eastAsia="zh-CN"/>
        </w:rPr>
      </w:pPr>
    </w:p>
    <w:p w14:paraId="5878843C">
      <w:pPr>
        <w:pStyle w:val="20"/>
        <w:ind w:left="420" w:firstLine="420"/>
        <w:rPr>
          <w:rFonts w:ascii="宋体" w:hAnsi="宋体" w:cs="宋体"/>
          <w:color w:val="auto"/>
          <w:lang w:eastAsia="zh-CN"/>
        </w:rPr>
      </w:pPr>
    </w:p>
    <w:p w14:paraId="2275CE43">
      <w:pPr>
        <w:rPr>
          <w:rFonts w:ascii="宋体" w:hAnsi="宋体" w:cs="宋体"/>
          <w:szCs w:val="20"/>
        </w:rPr>
      </w:pPr>
    </w:p>
    <w:p w14:paraId="1C76995D">
      <w:pPr>
        <w:spacing w:line="360" w:lineRule="auto"/>
        <w:jc w:val="left"/>
        <w:rPr>
          <w:rFonts w:ascii="宋体" w:hAnsi="宋体" w:cs="宋体"/>
          <w:snapToGrid w:val="0"/>
          <w:spacing w:val="4"/>
          <w:sz w:val="24"/>
        </w:rPr>
      </w:pPr>
      <w:r>
        <w:rPr>
          <w:rFonts w:hint="eastAsia" w:ascii="宋体" w:hAnsi="宋体" w:cs="宋体"/>
          <w:sz w:val="24"/>
          <w:szCs w:val="24"/>
        </w:rPr>
        <w:br w:type="page"/>
      </w:r>
      <w:r>
        <w:rPr>
          <w:rFonts w:hint="eastAsia" w:ascii="宋体" w:hAnsi="宋体" w:cs="宋体"/>
          <w:sz w:val="20"/>
          <w:szCs w:val="20"/>
        </w:rPr>
        <w:t>格式八：</w:t>
      </w:r>
    </w:p>
    <w:p w14:paraId="0CE64108">
      <w:pPr>
        <w:spacing w:before="260" w:line="412" w:lineRule="auto"/>
        <w:jc w:val="center"/>
        <w:outlineLvl w:val="1"/>
        <w:rPr>
          <w:rFonts w:ascii="宋体" w:hAnsi="宋体" w:cs="宋体"/>
          <w:b/>
          <w:sz w:val="32"/>
          <w:szCs w:val="20"/>
        </w:rPr>
      </w:pPr>
      <w:bookmarkStart w:id="982" w:name="_Toc26182"/>
      <w:r>
        <w:rPr>
          <w:rFonts w:hint="eastAsia" w:ascii="宋体" w:hAnsi="宋体" w:cs="宋体"/>
          <w:b/>
          <w:sz w:val="32"/>
          <w:szCs w:val="20"/>
        </w:rPr>
        <w:t>八、其他资料</w:t>
      </w:r>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82"/>
    </w:p>
    <w:p w14:paraId="785984E1">
      <w:pPr>
        <w:rPr>
          <w:rFonts w:ascii="宋体" w:hAnsi="宋体" w:cs="宋体"/>
        </w:rPr>
      </w:pPr>
    </w:p>
    <w:p w14:paraId="1D4B95B0">
      <w:pPr>
        <w:jc w:val="center"/>
        <w:rPr>
          <w:rFonts w:ascii="宋体" w:hAnsi="宋体" w:cs="宋体"/>
          <w:sz w:val="22"/>
          <w:szCs w:val="24"/>
        </w:rPr>
      </w:pPr>
      <w:r>
        <w:rPr>
          <w:rFonts w:hint="eastAsia" w:ascii="宋体" w:hAnsi="宋体" w:cs="宋体"/>
          <w:sz w:val="22"/>
          <w:szCs w:val="24"/>
        </w:rPr>
        <w:t>投标人认为有必要提交的其他资料，格式自定。</w:t>
      </w:r>
    </w:p>
    <w:p w14:paraId="77BA54C7">
      <w:pPr>
        <w:rPr>
          <w:rFonts w:ascii="宋体" w:hAnsi="宋体" w:cs="宋体"/>
        </w:rPr>
      </w:pPr>
    </w:p>
    <w:p w14:paraId="42536050">
      <w:pPr>
        <w:spacing w:line="400" w:lineRule="exact"/>
        <w:rPr>
          <w:rFonts w:ascii="宋体" w:hAnsi="宋体" w:cs="宋体"/>
        </w:rPr>
      </w:pPr>
    </w:p>
    <w:p w14:paraId="13A2A705">
      <w:pPr>
        <w:spacing w:line="400" w:lineRule="exact"/>
        <w:rPr>
          <w:rFonts w:ascii="宋体" w:hAnsi="宋体" w:cs="宋体"/>
        </w:rPr>
      </w:pPr>
    </w:p>
    <w:bookmarkEnd w:id="479"/>
    <w:bookmarkEnd w:id="480"/>
    <w:bookmarkEnd w:id="481"/>
    <w:bookmarkEnd w:id="482"/>
    <w:bookmarkEnd w:id="483"/>
    <w:bookmarkEnd w:id="484"/>
    <w:bookmarkEnd w:id="485"/>
    <w:bookmarkEnd w:id="486"/>
    <w:bookmarkEnd w:id="487"/>
    <w:p w14:paraId="61EE2901">
      <w:pPr>
        <w:rPr>
          <w:rFonts w:ascii="宋体" w:hAnsi="宋体" w:cs="宋体"/>
        </w:rPr>
      </w:pPr>
    </w:p>
    <w:p w14:paraId="08A8026E">
      <w:pPr>
        <w:rPr>
          <w:rFonts w:ascii="宋体" w:hAnsi="宋体" w:cs="宋体"/>
        </w:rPr>
      </w:pPr>
    </w:p>
    <w:sectPr>
      <w:footerReference r:id="rId11" w:type="first"/>
      <w:headerReference r:id="rId7" w:type="default"/>
      <w:footerReference r:id="rId9" w:type="default"/>
      <w:headerReference r:id="rId8" w:type="even"/>
      <w:footerReference r:id="rId10" w:type="even"/>
      <w:pgSz w:w="12240" w:h="15840"/>
      <w:pgMar w:top="1440" w:right="1440" w:bottom="1440" w:left="1440" w:header="607"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ongti SC Regular">
    <w:altName w:val="宋体"/>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40EB4">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39</w:t>
    </w:r>
    <w:r>
      <w:fldChar w:fldCharType="end"/>
    </w:r>
  </w:p>
  <w:p w14:paraId="600AD9F2">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98284">
    <w:pPr>
      <w:pStyle w:val="14"/>
      <w:framePr w:wrap="around" w:vAnchor="text" w:hAnchor="margin" w:xAlign="right" w:y="1"/>
      <w:rPr>
        <w:rStyle w:val="24"/>
      </w:rPr>
    </w:pPr>
    <w:r>
      <w:fldChar w:fldCharType="begin"/>
    </w:r>
    <w:r>
      <w:rPr>
        <w:rStyle w:val="24"/>
      </w:rPr>
      <w:instrText xml:space="preserve">PAGE  </w:instrText>
    </w:r>
    <w:r>
      <w:fldChar w:fldCharType="separate"/>
    </w:r>
    <w:r>
      <w:rPr>
        <w:rStyle w:val="24"/>
      </w:rPr>
      <w:t>10</w:t>
    </w:r>
    <w:r>
      <w:fldChar w:fldCharType="end"/>
    </w:r>
  </w:p>
  <w:p w14:paraId="5A701FBF">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CB945">
    <w:pPr>
      <w:pStyle w:val="14"/>
      <w:framePr w:wrap="around" w:vAnchor="text" w:hAnchor="margin" w:xAlign="right" w:y="1"/>
      <w:rPr>
        <w:rStyle w:val="24"/>
      </w:rPr>
    </w:pPr>
    <w:r>
      <w:fldChar w:fldCharType="begin"/>
    </w:r>
    <w:r>
      <w:rPr>
        <w:rStyle w:val="24"/>
      </w:rPr>
      <w:instrText xml:space="preserve">PAGE  </w:instrText>
    </w:r>
    <w:r>
      <w:fldChar w:fldCharType="separate"/>
    </w:r>
    <w:r>
      <w:rPr>
        <w:rStyle w:val="24"/>
      </w:rPr>
      <w:t>133</w:t>
    </w:r>
    <w:r>
      <w:fldChar w:fldCharType="end"/>
    </w:r>
  </w:p>
  <w:p w14:paraId="5658C662">
    <w:pPr>
      <w:pStyle w:val="1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E8C25">
    <w:pPr>
      <w:pStyle w:val="14"/>
      <w:framePr w:wrap="around" w:vAnchor="text" w:hAnchor="margin" w:xAlign="center" w:y="1"/>
      <w:rPr>
        <w:rStyle w:val="24"/>
      </w:rPr>
    </w:pPr>
  </w:p>
  <w:p w14:paraId="2E28297C">
    <w:pPr>
      <w:pStyle w:val="14"/>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21EC1">
    <w:pPr>
      <w:pStyle w:val="14"/>
      <w:tabs>
        <w:tab w:val="center" w:pos="4680"/>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-98425</wp:posOffset>
              </wp:positionV>
              <wp:extent cx="123825" cy="29527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23825" cy="295275"/>
                      </a:xfrm>
                      <a:prstGeom prst="rect">
                        <a:avLst/>
                      </a:prstGeom>
                      <a:noFill/>
                      <a:ln>
                        <a:noFill/>
                      </a:ln>
                    </wps:spPr>
                    <wps:txbx>
                      <w:txbxContent>
                        <w:p w14:paraId="53BDF555">
                          <w:pPr>
                            <w:pStyle w:val="14"/>
                          </w:pPr>
                          <w:r>
                            <w:fldChar w:fldCharType="begin"/>
                          </w:r>
                          <w:r>
                            <w:instrText xml:space="preserve"> PAGE  \* MERGEFORMAT </w:instrText>
                          </w:r>
                          <w:r>
                            <w:fldChar w:fldCharType="separate"/>
                          </w:r>
                          <w:r>
                            <w:t>81</w:t>
                          </w:r>
                          <w:r>
                            <w:fldChar w:fldCharType="end"/>
                          </w:r>
                        </w:p>
                      </w:txbxContent>
                    </wps:txbx>
                    <wps:bodyPr wrap="square" lIns="0" tIns="0" rIns="0" bIns="0"/>
                  </wps:wsp>
                </a:graphicData>
              </a:graphic>
            </wp:anchor>
          </w:drawing>
        </mc:Choice>
        <mc:Fallback>
          <w:pict>
            <v:shape id="文本框 1027" o:spid="_x0000_s1026" o:spt="202" type="#_x0000_t202" style="position:absolute;left:0pt;margin-top:-7.75pt;height:23.25pt;width:9.75pt;mso-position-horizontal:center;mso-position-horizontal-relative:margin;z-index:251659264;mso-width-relative:page;mso-height-relative:page;" filled="f" stroked="f" coordsize="21600,21600" o:gfxdata="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vBoTo1gAAAAYBAAAPAAAAAAAAAAEAIAAAACIAAABkcnMvZG93bnJldi54bWxQ&#10;SwECFAAUAAAACACHTuJAYg/IIMABAAB2AwAADgAAAAAAAAABACAAAAAlAQAAZHJzL2Uyb0RvYy54&#10;bWxQSwUGAAAAAAYABgBZAQAAVwUAAAAA&#10;">
              <v:fill on="f" focussize="0,0"/>
              <v:stroke on="f"/>
              <v:imagedata o:title=""/>
              <o:lock v:ext="edit" aspectratio="f"/>
              <v:textbox inset="0mm,0mm,0mm,0mm">
                <w:txbxContent>
                  <w:p w14:paraId="53BDF555">
                    <w:pPr>
                      <w:pStyle w:val="14"/>
                    </w:pPr>
                    <w:r>
                      <w:fldChar w:fldCharType="begin"/>
                    </w:r>
                    <w:r>
                      <w:instrText xml:space="preserve"> PAGE  \* MERGEFORMAT </w:instrText>
                    </w:r>
                    <w:r>
                      <w:fldChar w:fldCharType="separate"/>
                    </w:r>
                    <w:r>
                      <w:t>81</w:t>
                    </w:r>
                    <w:r>
                      <w:fldChar w:fldCharType="end"/>
                    </w:r>
                  </w:p>
                </w:txbxContent>
              </v:textbox>
            </v:shape>
          </w:pict>
        </mc:Fallback>
      </mc:AlternateContent>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702CB">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CDFED">
    <w:pPr>
      <w:pStyle w:val="14"/>
      <w:framePr w:wrap="around" w:vAnchor="text" w:hAnchor="margin" w:xAlign="center" w:y="1"/>
      <w:rPr>
        <w:rStyle w:val="24"/>
      </w:rPr>
    </w:pPr>
  </w:p>
  <w:p w14:paraId="71A11F6F">
    <w:pPr>
      <w:pStyle w:val="1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3331A">
    <w:pPr>
      <w:pStyle w:val="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7ACB3">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71CE8"/>
    <w:multiLevelType w:val="singleLevel"/>
    <w:tmpl w:val="86471CE8"/>
    <w:lvl w:ilvl="0" w:tentative="0">
      <w:start w:val="2"/>
      <w:numFmt w:val="decimal"/>
      <w:suff w:val="nothing"/>
      <w:lvlText w:val="（%1）"/>
      <w:lvlJc w:val="left"/>
    </w:lvl>
  </w:abstractNum>
  <w:abstractNum w:abstractNumId="1">
    <w:nsid w:val="00000009"/>
    <w:multiLevelType w:val="multilevel"/>
    <w:tmpl w:val="00000009"/>
    <w:lvl w:ilvl="0" w:tentative="0">
      <w:start w:val="1"/>
      <w:numFmt w:val="bullet"/>
      <w:lvlText w:val=""/>
      <w:lvlJc w:val="left"/>
      <w:pPr>
        <w:tabs>
          <w:tab w:val="left" w:pos="855"/>
        </w:tabs>
        <w:ind w:left="855"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0000028"/>
    <w:multiLevelType w:val="multilevel"/>
    <w:tmpl w:val="00000028"/>
    <w:lvl w:ilvl="0" w:tentative="0">
      <w:start w:val="1"/>
      <w:numFmt w:val="japaneseCounting"/>
      <w:lvlText w:val="第%1篇"/>
      <w:lvlJc w:val="left"/>
      <w:pPr>
        <w:tabs>
          <w:tab w:val="left" w:pos="1501"/>
        </w:tabs>
        <w:ind w:left="1501" w:hanging="1005"/>
      </w:pPr>
      <w:rPr>
        <w:rFonts w:hint="default"/>
      </w:rPr>
    </w:lvl>
    <w:lvl w:ilvl="1" w:tentative="0">
      <w:start w:val="1"/>
      <w:numFmt w:val="lowerLetter"/>
      <w:lvlText w:val="%2)"/>
      <w:lvlJc w:val="left"/>
      <w:pPr>
        <w:tabs>
          <w:tab w:val="left" w:pos="1336"/>
        </w:tabs>
        <w:ind w:left="1336" w:hanging="420"/>
      </w:pPr>
    </w:lvl>
    <w:lvl w:ilvl="2" w:tentative="0">
      <w:start w:val="1"/>
      <w:numFmt w:val="lowerRoman"/>
      <w:lvlText w:val="%3."/>
      <w:lvlJc w:val="right"/>
      <w:pPr>
        <w:tabs>
          <w:tab w:val="left" w:pos="1756"/>
        </w:tabs>
        <w:ind w:left="1756" w:hanging="420"/>
      </w:pPr>
    </w:lvl>
    <w:lvl w:ilvl="3" w:tentative="0">
      <w:start w:val="1"/>
      <w:numFmt w:val="decimal"/>
      <w:lvlText w:val="%4."/>
      <w:lvlJc w:val="left"/>
      <w:pPr>
        <w:tabs>
          <w:tab w:val="left" w:pos="2176"/>
        </w:tabs>
        <w:ind w:left="2176" w:hanging="420"/>
      </w:pPr>
    </w:lvl>
    <w:lvl w:ilvl="4" w:tentative="0">
      <w:start w:val="1"/>
      <w:numFmt w:val="lowerLetter"/>
      <w:lvlText w:val="%5)"/>
      <w:lvlJc w:val="left"/>
      <w:pPr>
        <w:tabs>
          <w:tab w:val="left" w:pos="2596"/>
        </w:tabs>
        <w:ind w:left="2596" w:hanging="420"/>
      </w:pPr>
    </w:lvl>
    <w:lvl w:ilvl="5" w:tentative="0">
      <w:start w:val="1"/>
      <w:numFmt w:val="lowerRoman"/>
      <w:lvlText w:val="%6."/>
      <w:lvlJc w:val="right"/>
      <w:pPr>
        <w:tabs>
          <w:tab w:val="left" w:pos="3016"/>
        </w:tabs>
        <w:ind w:left="3016" w:hanging="420"/>
      </w:pPr>
    </w:lvl>
    <w:lvl w:ilvl="6" w:tentative="0">
      <w:start w:val="1"/>
      <w:numFmt w:val="decimal"/>
      <w:lvlText w:val="%7."/>
      <w:lvlJc w:val="left"/>
      <w:pPr>
        <w:tabs>
          <w:tab w:val="left" w:pos="3436"/>
        </w:tabs>
        <w:ind w:left="3436" w:hanging="420"/>
      </w:pPr>
    </w:lvl>
    <w:lvl w:ilvl="7" w:tentative="0">
      <w:start w:val="1"/>
      <w:numFmt w:val="lowerLetter"/>
      <w:lvlText w:val="%8)"/>
      <w:lvlJc w:val="left"/>
      <w:pPr>
        <w:tabs>
          <w:tab w:val="left" w:pos="3856"/>
        </w:tabs>
        <w:ind w:left="3856" w:hanging="420"/>
      </w:pPr>
    </w:lvl>
    <w:lvl w:ilvl="8" w:tentative="0">
      <w:start w:val="1"/>
      <w:numFmt w:val="lowerRoman"/>
      <w:lvlText w:val="%9."/>
      <w:lvlJc w:val="right"/>
      <w:pPr>
        <w:tabs>
          <w:tab w:val="left" w:pos="4276"/>
        </w:tabs>
        <w:ind w:left="4276" w:hanging="420"/>
      </w:pPr>
    </w:lvl>
  </w:abstractNum>
  <w:abstractNum w:abstractNumId="3">
    <w:nsid w:val="1A8A5D37"/>
    <w:multiLevelType w:val="multilevel"/>
    <w:tmpl w:val="1A8A5D3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2D796FC"/>
    <w:multiLevelType w:val="singleLevel"/>
    <w:tmpl w:val="42D796FC"/>
    <w:lvl w:ilvl="0" w:tentative="0">
      <w:start w:val="1"/>
      <w:numFmt w:val="decimal"/>
      <w:suff w:val="nothing"/>
      <w:lvlText w:val="%1、"/>
      <w:lvlJc w:val="left"/>
    </w:lvl>
  </w:abstractNum>
  <w:abstractNum w:abstractNumId="5">
    <w:nsid w:val="7F926636"/>
    <w:multiLevelType w:val="multilevel"/>
    <w:tmpl w:val="7F92663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0D1C01"/>
    <w:rsid w:val="000442FD"/>
    <w:rsid w:val="000B6A33"/>
    <w:rsid w:val="001170F8"/>
    <w:rsid w:val="00295B42"/>
    <w:rsid w:val="002B6194"/>
    <w:rsid w:val="00312B12"/>
    <w:rsid w:val="00370838"/>
    <w:rsid w:val="003D50E2"/>
    <w:rsid w:val="003E1EEA"/>
    <w:rsid w:val="00427F7B"/>
    <w:rsid w:val="00472AC4"/>
    <w:rsid w:val="00511F7D"/>
    <w:rsid w:val="00545F31"/>
    <w:rsid w:val="00553028"/>
    <w:rsid w:val="00580DB7"/>
    <w:rsid w:val="005929CC"/>
    <w:rsid w:val="005946DC"/>
    <w:rsid w:val="005A325B"/>
    <w:rsid w:val="005C2711"/>
    <w:rsid w:val="00614AD4"/>
    <w:rsid w:val="00706478"/>
    <w:rsid w:val="007269B0"/>
    <w:rsid w:val="00751558"/>
    <w:rsid w:val="007824B0"/>
    <w:rsid w:val="007B53C9"/>
    <w:rsid w:val="007B5911"/>
    <w:rsid w:val="008016DF"/>
    <w:rsid w:val="00861084"/>
    <w:rsid w:val="00896E02"/>
    <w:rsid w:val="009651E4"/>
    <w:rsid w:val="00966B53"/>
    <w:rsid w:val="00A41CC1"/>
    <w:rsid w:val="00AD7F04"/>
    <w:rsid w:val="00AF0CD4"/>
    <w:rsid w:val="00B065E7"/>
    <w:rsid w:val="00B426AD"/>
    <w:rsid w:val="00B855E0"/>
    <w:rsid w:val="00BC6321"/>
    <w:rsid w:val="00BF50EB"/>
    <w:rsid w:val="00C27C22"/>
    <w:rsid w:val="00CF6BF9"/>
    <w:rsid w:val="00D2612E"/>
    <w:rsid w:val="00D33D18"/>
    <w:rsid w:val="00D978D2"/>
    <w:rsid w:val="00E1141C"/>
    <w:rsid w:val="00E371D5"/>
    <w:rsid w:val="00ED042F"/>
    <w:rsid w:val="00F776B3"/>
    <w:rsid w:val="022A0E65"/>
    <w:rsid w:val="09C52353"/>
    <w:rsid w:val="15806387"/>
    <w:rsid w:val="15C04742"/>
    <w:rsid w:val="190B3B3D"/>
    <w:rsid w:val="192F1274"/>
    <w:rsid w:val="19C57305"/>
    <w:rsid w:val="21B909B2"/>
    <w:rsid w:val="230D1C01"/>
    <w:rsid w:val="26606B9E"/>
    <w:rsid w:val="2AFB7CF3"/>
    <w:rsid w:val="2C6924EF"/>
    <w:rsid w:val="321601CF"/>
    <w:rsid w:val="351A6CF9"/>
    <w:rsid w:val="3A6C154D"/>
    <w:rsid w:val="3F3308F7"/>
    <w:rsid w:val="41DE6E71"/>
    <w:rsid w:val="41EC3DB8"/>
    <w:rsid w:val="44607C4C"/>
    <w:rsid w:val="466521ED"/>
    <w:rsid w:val="541238DF"/>
    <w:rsid w:val="59770A60"/>
    <w:rsid w:val="62606E7D"/>
    <w:rsid w:val="62BE1AFB"/>
    <w:rsid w:val="6436703D"/>
    <w:rsid w:val="658A2326"/>
    <w:rsid w:val="6E115A1F"/>
    <w:rsid w:val="717F7444"/>
    <w:rsid w:val="7C570F67"/>
    <w:rsid w:val="7C9D1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header"/>
    <w:basedOn w:val="1"/>
    <w:qFormat/>
    <w:uiPriority w:val="0"/>
    <w:pPr>
      <w:tabs>
        <w:tab w:val="center" w:pos="4153"/>
        <w:tab w:val="right" w:pos="8306"/>
      </w:tabs>
      <w:snapToGrid w:val="0"/>
    </w:pPr>
    <w:rPr>
      <w:kern w:val="0"/>
      <w:sz w:val="18"/>
      <w:szCs w:val="18"/>
    </w:rPr>
  </w:style>
  <w:style w:type="paragraph" w:styleId="6">
    <w:name w:val="Normal Indent"/>
    <w:basedOn w:val="1"/>
    <w:next w:val="1"/>
    <w:qFormat/>
    <w:uiPriority w:val="0"/>
    <w:pPr>
      <w:ind w:firstLine="420"/>
    </w:pPr>
  </w:style>
  <w:style w:type="paragraph" w:styleId="7">
    <w:name w:val="annotation text"/>
    <w:basedOn w:val="1"/>
    <w:link w:val="32"/>
    <w:qFormat/>
    <w:uiPriority w:val="0"/>
    <w:pPr>
      <w:jc w:val="left"/>
    </w:pPr>
    <w:rPr>
      <w:kern w:val="0"/>
      <w:sz w:val="20"/>
      <w:szCs w:val="20"/>
    </w:rPr>
  </w:style>
  <w:style w:type="paragraph" w:styleId="8">
    <w:name w:val="Body Text 3"/>
    <w:basedOn w:val="1"/>
    <w:qFormat/>
    <w:uiPriority w:val="0"/>
    <w:rPr>
      <w:kern w:val="0"/>
      <w:sz w:val="16"/>
      <w:szCs w:val="16"/>
    </w:rPr>
  </w:style>
  <w:style w:type="paragraph" w:styleId="9">
    <w:name w:val="Body Text"/>
    <w:basedOn w:val="1"/>
    <w:next w:val="1"/>
    <w:qFormat/>
    <w:uiPriority w:val="0"/>
    <w:pPr>
      <w:spacing w:after="120"/>
    </w:pPr>
    <w:rPr>
      <w:kern w:val="0"/>
      <w:sz w:val="20"/>
      <w:szCs w:val="20"/>
    </w:rPr>
  </w:style>
  <w:style w:type="paragraph" w:styleId="10">
    <w:name w:val="Body Text Indent"/>
    <w:basedOn w:val="1"/>
    <w:next w:val="11"/>
    <w:qFormat/>
    <w:uiPriority w:val="0"/>
    <w:pPr>
      <w:spacing w:after="120"/>
      <w:ind w:left="420" w:leftChars="200"/>
    </w:pPr>
    <w:rPr>
      <w:kern w:val="0"/>
      <w:sz w:val="20"/>
      <w:szCs w:val="20"/>
    </w:rPr>
  </w:style>
  <w:style w:type="paragraph" w:styleId="11">
    <w:name w:val="envelope return"/>
    <w:basedOn w:val="1"/>
    <w:qFormat/>
    <w:uiPriority w:val="99"/>
    <w:pPr>
      <w:snapToGrid w:val="0"/>
    </w:pPr>
    <w:rPr>
      <w:rFonts w:ascii="Arial" w:hAnsi="Arial" w:cs="Arial"/>
    </w:rPr>
  </w:style>
  <w:style w:type="paragraph" w:styleId="12">
    <w:name w:val="toc 3"/>
    <w:basedOn w:val="1"/>
    <w:next w:val="1"/>
    <w:qFormat/>
    <w:uiPriority w:val="39"/>
    <w:pPr>
      <w:ind w:left="400" w:leftChars="400"/>
    </w:pPr>
  </w:style>
  <w:style w:type="paragraph" w:styleId="13">
    <w:name w:val="Balloon Text"/>
    <w:basedOn w:val="1"/>
    <w:semiHidden/>
    <w:qFormat/>
    <w:uiPriority w:val="0"/>
    <w:rPr>
      <w:sz w:val="18"/>
      <w:szCs w:val="18"/>
    </w:rPr>
  </w:style>
  <w:style w:type="paragraph" w:styleId="14">
    <w:name w:val="footer"/>
    <w:basedOn w:val="1"/>
    <w:qFormat/>
    <w:uiPriority w:val="0"/>
    <w:pPr>
      <w:tabs>
        <w:tab w:val="center" w:pos="4153"/>
        <w:tab w:val="right" w:pos="8306"/>
      </w:tabs>
      <w:snapToGrid w:val="0"/>
      <w:jc w:val="left"/>
    </w:pPr>
    <w:rPr>
      <w:kern w:val="0"/>
      <w:sz w:val="18"/>
      <w:szCs w:val="18"/>
    </w:rPr>
  </w:style>
  <w:style w:type="paragraph" w:styleId="15">
    <w:name w:val="toc 1"/>
    <w:basedOn w:val="1"/>
    <w:next w:val="1"/>
    <w:qFormat/>
    <w:uiPriority w:val="39"/>
  </w:style>
  <w:style w:type="paragraph" w:styleId="16">
    <w:name w:val="toc 2"/>
    <w:basedOn w:val="1"/>
    <w:next w:val="1"/>
    <w:qFormat/>
    <w:uiPriority w:val="39"/>
    <w:pPr>
      <w:ind w:left="200" w:leftChars="200"/>
    </w:pPr>
  </w:style>
  <w:style w:type="paragraph" w:styleId="17">
    <w:name w:val="Normal (Web)"/>
    <w:basedOn w:val="1"/>
    <w:qFormat/>
    <w:uiPriority w:val="0"/>
    <w:pPr>
      <w:widowControl/>
      <w:spacing w:before="100" w:beforeAutospacing="1" w:after="100" w:afterAutospacing="1"/>
      <w:jc w:val="left"/>
    </w:pPr>
    <w:rPr>
      <w:rFonts w:ascii="宋体" w:hAnsi="宋体" w:cs="宋体"/>
      <w:color w:val="000000"/>
      <w:kern w:val="0"/>
      <w:sz w:val="24"/>
      <w:szCs w:val="20"/>
    </w:rPr>
  </w:style>
  <w:style w:type="paragraph" w:styleId="18">
    <w:name w:val="annotation subject"/>
    <w:basedOn w:val="7"/>
    <w:next w:val="7"/>
    <w:link w:val="33"/>
    <w:qFormat/>
    <w:uiPriority w:val="0"/>
    <w:rPr>
      <w:b/>
      <w:bCs/>
      <w:kern w:val="2"/>
      <w:sz w:val="21"/>
      <w:szCs w:val="22"/>
    </w:rPr>
  </w:style>
  <w:style w:type="paragraph" w:styleId="19">
    <w:name w:val="Body Text First Indent"/>
    <w:basedOn w:val="9"/>
    <w:next w:val="20"/>
    <w:qFormat/>
    <w:uiPriority w:val="0"/>
    <w:pPr>
      <w:spacing w:line="312" w:lineRule="auto"/>
      <w:ind w:firstLine="420"/>
    </w:pPr>
    <w:rPr>
      <w:kern w:val="2"/>
      <w:sz w:val="21"/>
    </w:rPr>
  </w:style>
  <w:style w:type="paragraph" w:styleId="20">
    <w:name w:val="Body Text First Indent 2"/>
    <w:basedOn w:val="10"/>
    <w:qFormat/>
    <w:uiPriority w:val="0"/>
    <w:pPr>
      <w:ind w:left="200" w:firstLine="200" w:firstLineChars="200"/>
    </w:pPr>
    <w:rPr>
      <w:color w:val="0D0D0D"/>
      <w:kern w:val="2"/>
      <w:sz w:val="21"/>
      <w:szCs w:val="24"/>
      <w:lang w:eastAsia="en-US"/>
    </w:rPr>
  </w:style>
  <w:style w:type="character" w:styleId="23">
    <w:name w:val="Strong"/>
    <w:basedOn w:val="22"/>
    <w:qFormat/>
    <w:uiPriority w:val="22"/>
    <w:rPr>
      <w:rFonts w:cs="Times New Roman"/>
      <w:b/>
    </w:rPr>
  </w:style>
  <w:style w:type="character" w:styleId="24">
    <w:name w:val="page number"/>
    <w:basedOn w:val="22"/>
    <w:qFormat/>
    <w:uiPriority w:val="0"/>
  </w:style>
  <w:style w:type="character" w:styleId="25">
    <w:name w:val="Hyperlink"/>
    <w:qFormat/>
    <w:uiPriority w:val="99"/>
    <w:rPr>
      <w:rFonts w:cs="Times New Roman"/>
      <w:color w:val="0000FF"/>
      <w:u w:val="single"/>
    </w:rPr>
  </w:style>
  <w:style w:type="character" w:styleId="26">
    <w:name w:val="annotation reference"/>
    <w:qFormat/>
    <w:uiPriority w:val="0"/>
    <w:rPr>
      <w:rFonts w:cs="Times New Roman"/>
      <w:sz w:val="21"/>
    </w:rPr>
  </w:style>
  <w:style w:type="paragraph" w:customStyle="1" w:styleId="27">
    <w:name w:val="TOC 标题1"/>
    <w:basedOn w:val="3"/>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28">
    <w:name w:val="文二"/>
    <w:basedOn w:val="1"/>
    <w:qFormat/>
    <w:uiPriority w:val="0"/>
    <w:rPr>
      <w:rFonts w:ascii="宋体" w:hAnsi="宋体"/>
      <w:szCs w:val="21"/>
    </w:rPr>
  </w:style>
  <w:style w:type="paragraph" w:customStyle="1" w:styleId="2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0">
    <w:name w:val="font11"/>
    <w:qFormat/>
    <w:uiPriority w:val="0"/>
    <w:rPr>
      <w:rFonts w:hint="eastAsia" w:ascii="仿宋" w:hAnsi="仿宋" w:eastAsia="仿宋" w:cs="仿宋"/>
      <w:color w:val="000000"/>
      <w:sz w:val="28"/>
      <w:szCs w:val="28"/>
      <w:u w:val="none"/>
    </w:rPr>
  </w:style>
  <w:style w:type="paragraph" w:customStyle="1" w:styleId="3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2">
    <w:name w:val="批注文字 字符"/>
    <w:basedOn w:val="22"/>
    <w:link w:val="7"/>
    <w:qFormat/>
    <w:uiPriority w:val="0"/>
  </w:style>
  <w:style w:type="character" w:customStyle="1" w:styleId="33">
    <w:name w:val="批注主题 字符"/>
    <w:basedOn w:val="32"/>
    <w:link w:val="18"/>
    <w:qFormat/>
    <w:uiPriority w:val="0"/>
    <w:rPr>
      <w:b/>
      <w:bCs/>
      <w:kern w:val="2"/>
      <w:sz w:val="21"/>
      <w:szCs w:val="22"/>
    </w:rPr>
  </w:style>
  <w:style w:type="character" w:customStyle="1" w:styleId="34">
    <w:name w:val="10"/>
    <w:basedOn w:val="22"/>
    <w:qFormat/>
    <w:uiPriority w:val="0"/>
    <w:rPr>
      <w:rFonts w:hint="default" w:ascii="Calibri" w:hAnsi="Calibri" w:cs="Calibri"/>
    </w:rPr>
  </w:style>
  <w:style w:type="character" w:customStyle="1" w:styleId="35">
    <w:name w:val="15"/>
    <w:basedOn w:val="22"/>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4640F1-6A19-4D9F-93DC-51DEF0C5DF8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210</Pages>
  <Words>71</Words>
  <Characters>75</Characters>
  <Lines>1075</Lines>
  <Paragraphs>302</Paragraphs>
  <TotalTime>59</TotalTime>
  <ScaleCrop>false</ScaleCrop>
  <LinksUpToDate>false</LinksUpToDate>
  <CharactersWithSpaces>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2025-08-27T07:24:00Z</dcterms:created>
  <dc:creator>中经招标-黄仪</dc:creator>
  <cp:lastModifiedBy>中经</cp:lastModifiedBy>
  <dcterms:modified xsi:type="dcterms:W3CDTF">2025-10-11T12:59:25Z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8E30F7E3434B46E1A33D87A2C750A4E0_13</vt:lpwstr>
  </property>
  <property fmtid="{D5CDD505-2E9C-101B-9397-08002B2CF9AE}" pid="4" name="KSOTemplateDocerSaveRecord">
    <vt:lpwstr>eyJoZGlkIjoiOWUzYzkyYjk2ZDUxNWFlN2FlMTk1ZjUzNjkzZTRlNzYiLCJ1c2VySWQiOiIyNTU3MjY3MDEifQ==</vt:lpwstr>
  </property>
</Properties>
</file>