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F94D7">
      <w:pPr>
        <w:widowControl/>
        <w:shd w:val="clear" w:color="auto" w:fill="auto"/>
        <w:spacing w:line="360" w:lineRule="auto"/>
        <w:jc w:val="left"/>
        <w:rPr>
          <w:rFonts w:hint="eastAsia" w:ascii="仿宋" w:hAnsi="仿宋" w:eastAsia="仿宋" w:cs="仿宋"/>
          <w:color w:val="auto"/>
          <w:highlight w:val="none"/>
        </w:rPr>
      </w:pPr>
    </w:p>
    <w:p w14:paraId="0163BD63">
      <w:pPr>
        <w:shd w:val="clear" w:color="auto" w:fill="auto"/>
        <w:spacing w:line="360" w:lineRule="auto"/>
        <w:jc w:val="center"/>
        <w:rPr>
          <w:rFonts w:hint="eastAsia" w:ascii="仿宋" w:hAnsi="仿宋" w:eastAsia="仿宋" w:cs="仿宋"/>
          <w:color w:val="auto"/>
          <w:highlight w:val="none"/>
        </w:rPr>
      </w:pPr>
      <w:r>
        <w:rPr>
          <w:rFonts w:hint="eastAsia" w:ascii="仿宋" w:hAnsi="仿宋" w:eastAsia="仿宋" w:cs="仿宋"/>
          <w:b/>
          <w:bCs/>
          <w:color w:val="auto"/>
          <w:sz w:val="40"/>
          <w:szCs w:val="40"/>
          <w:highlight w:val="none"/>
          <w:lang w:eastAsia="zh-CN"/>
        </w:rPr>
        <w:t>广州市天河区2112低空服务保障及配套产业基础设施项目工程监理服务</w:t>
      </w:r>
    </w:p>
    <w:p w14:paraId="403CFAD5">
      <w:pPr>
        <w:shd w:val="clear" w:color="auto" w:fill="auto"/>
        <w:spacing w:line="200" w:lineRule="exact"/>
        <w:rPr>
          <w:rFonts w:hint="eastAsia" w:ascii="仿宋" w:hAnsi="仿宋" w:eastAsia="仿宋" w:cs="仿宋"/>
          <w:color w:val="auto"/>
          <w:highlight w:val="none"/>
        </w:rPr>
      </w:pPr>
    </w:p>
    <w:p w14:paraId="442A811E">
      <w:pPr>
        <w:shd w:val="clear" w:color="auto" w:fill="auto"/>
        <w:spacing w:line="200" w:lineRule="exact"/>
        <w:rPr>
          <w:rFonts w:hint="eastAsia" w:ascii="仿宋" w:hAnsi="仿宋" w:eastAsia="仿宋" w:cs="仿宋"/>
          <w:color w:val="auto"/>
          <w:highlight w:val="none"/>
        </w:rPr>
      </w:pPr>
    </w:p>
    <w:p w14:paraId="4B10F884">
      <w:pPr>
        <w:shd w:val="clear" w:color="auto" w:fill="auto"/>
        <w:spacing w:line="200" w:lineRule="exact"/>
        <w:rPr>
          <w:rFonts w:hint="eastAsia" w:ascii="仿宋" w:hAnsi="仿宋" w:eastAsia="仿宋" w:cs="仿宋"/>
          <w:color w:val="auto"/>
          <w:highlight w:val="none"/>
        </w:rPr>
      </w:pPr>
    </w:p>
    <w:p w14:paraId="68490513">
      <w:pPr>
        <w:shd w:val="clear" w:color="auto" w:fill="auto"/>
        <w:spacing w:line="200" w:lineRule="exact"/>
        <w:rPr>
          <w:rFonts w:hint="eastAsia" w:ascii="仿宋" w:hAnsi="仿宋" w:eastAsia="仿宋" w:cs="仿宋"/>
          <w:color w:val="auto"/>
          <w:highlight w:val="none"/>
        </w:rPr>
      </w:pPr>
    </w:p>
    <w:p w14:paraId="028DB1B3">
      <w:pPr>
        <w:shd w:val="clear" w:color="auto" w:fill="auto"/>
        <w:spacing w:line="200" w:lineRule="exact"/>
        <w:rPr>
          <w:rFonts w:hint="eastAsia" w:ascii="仿宋" w:hAnsi="仿宋" w:eastAsia="仿宋" w:cs="仿宋"/>
          <w:color w:val="auto"/>
          <w:highlight w:val="none"/>
        </w:rPr>
      </w:pPr>
    </w:p>
    <w:p w14:paraId="23DFEAA0">
      <w:pPr>
        <w:shd w:val="clear" w:color="auto" w:fill="auto"/>
        <w:spacing w:line="200" w:lineRule="exact"/>
        <w:rPr>
          <w:rFonts w:hint="eastAsia" w:ascii="仿宋" w:hAnsi="仿宋" w:eastAsia="仿宋" w:cs="仿宋"/>
          <w:color w:val="auto"/>
          <w:highlight w:val="none"/>
        </w:rPr>
      </w:pPr>
    </w:p>
    <w:p w14:paraId="54F08076">
      <w:pPr>
        <w:shd w:val="clear" w:color="auto" w:fill="auto"/>
        <w:spacing w:line="200" w:lineRule="exact"/>
        <w:rPr>
          <w:rFonts w:hint="eastAsia" w:ascii="仿宋" w:hAnsi="仿宋" w:eastAsia="仿宋" w:cs="仿宋"/>
          <w:color w:val="auto"/>
          <w:highlight w:val="none"/>
        </w:rPr>
      </w:pPr>
    </w:p>
    <w:p w14:paraId="1DEC6B0E">
      <w:pPr>
        <w:pStyle w:val="4"/>
        <w:rPr>
          <w:rFonts w:hint="eastAsia"/>
        </w:rPr>
      </w:pPr>
    </w:p>
    <w:p w14:paraId="48282E66">
      <w:pPr>
        <w:shd w:val="clear" w:color="auto" w:fill="auto"/>
        <w:spacing w:line="200" w:lineRule="exact"/>
        <w:rPr>
          <w:rFonts w:hint="eastAsia" w:ascii="仿宋" w:hAnsi="仿宋" w:eastAsia="仿宋" w:cs="仿宋"/>
          <w:color w:val="auto"/>
          <w:highlight w:val="none"/>
        </w:rPr>
      </w:pPr>
    </w:p>
    <w:p w14:paraId="59DC272B">
      <w:pPr>
        <w:shd w:val="clear" w:color="auto" w:fill="auto"/>
        <w:spacing w:line="200" w:lineRule="exact"/>
        <w:rPr>
          <w:rFonts w:hint="eastAsia" w:ascii="仿宋" w:hAnsi="仿宋" w:eastAsia="仿宋" w:cs="仿宋"/>
          <w:color w:val="auto"/>
          <w:highlight w:val="none"/>
        </w:rPr>
      </w:pPr>
    </w:p>
    <w:p w14:paraId="79B6FC61">
      <w:pPr>
        <w:shd w:val="clear" w:color="auto" w:fill="auto"/>
        <w:spacing w:line="269" w:lineRule="exact"/>
        <w:rPr>
          <w:rFonts w:hint="eastAsia" w:ascii="仿宋" w:hAnsi="仿宋" w:eastAsia="仿宋" w:cs="仿宋"/>
          <w:color w:val="auto"/>
          <w:highlight w:val="none"/>
        </w:rPr>
      </w:pPr>
    </w:p>
    <w:p w14:paraId="53A92623">
      <w:pPr>
        <w:shd w:val="clear" w:color="auto" w:fill="auto"/>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rPr>
        <w:t>招标</w:t>
      </w:r>
      <w:r>
        <w:rPr>
          <w:rFonts w:hint="eastAsia" w:ascii="仿宋" w:hAnsi="仿宋" w:eastAsia="仿宋" w:cs="仿宋"/>
          <w:b/>
          <w:color w:val="auto"/>
          <w:sz w:val="72"/>
          <w:szCs w:val="72"/>
          <w:highlight w:val="none"/>
          <w:lang w:val="en-US" w:eastAsia="zh-CN"/>
        </w:rPr>
        <w:t>公告</w:t>
      </w:r>
    </w:p>
    <w:p w14:paraId="2E554E75">
      <w:pPr>
        <w:shd w:val="clear" w:color="auto" w:fill="auto"/>
        <w:spacing w:line="200" w:lineRule="exact"/>
        <w:rPr>
          <w:rFonts w:hint="eastAsia" w:ascii="仿宋" w:hAnsi="仿宋" w:eastAsia="仿宋" w:cs="仿宋"/>
          <w:color w:val="auto"/>
          <w:highlight w:val="none"/>
        </w:rPr>
      </w:pPr>
    </w:p>
    <w:p w14:paraId="6F6A00D5">
      <w:pPr>
        <w:shd w:val="clear" w:color="auto" w:fill="auto"/>
        <w:spacing w:line="200" w:lineRule="exact"/>
        <w:rPr>
          <w:rFonts w:hint="eastAsia" w:ascii="仿宋" w:hAnsi="仿宋" w:eastAsia="仿宋" w:cs="仿宋"/>
          <w:color w:val="auto"/>
          <w:highlight w:val="none"/>
        </w:rPr>
      </w:pPr>
    </w:p>
    <w:p w14:paraId="3357124E">
      <w:pPr>
        <w:shd w:val="clear" w:color="auto" w:fill="auto"/>
        <w:spacing w:line="200" w:lineRule="exact"/>
        <w:rPr>
          <w:rFonts w:hint="eastAsia" w:ascii="仿宋" w:hAnsi="仿宋" w:eastAsia="仿宋" w:cs="仿宋"/>
          <w:color w:val="auto"/>
          <w:highlight w:val="none"/>
        </w:rPr>
      </w:pPr>
    </w:p>
    <w:p w14:paraId="03200D15">
      <w:pPr>
        <w:shd w:val="clear" w:color="auto" w:fill="auto"/>
        <w:spacing w:line="200" w:lineRule="exact"/>
        <w:rPr>
          <w:rFonts w:hint="eastAsia" w:ascii="仿宋" w:hAnsi="仿宋" w:eastAsia="仿宋" w:cs="仿宋"/>
          <w:color w:val="auto"/>
          <w:highlight w:val="none"/>
        </w:rPr>
      </w:pPr>
    </w:p>
    <w:p w14:paraId="31380AE9">
      <w:pPr>
        <w:shd w:val="clear" w:color="auto" w:fill="auto"/>
        <w:spacing w:line="200" w:lineRule="exact"/>
        <w:rPr>
          <w:rFonts w:hint="eastAsia" w:ascii="仿宋" w:hAnsi="仿宋" w:eastAsia="仿宋" w:cs="仿宋"/>
          <w:color w:val="auto"/>
          <w:highlight w:val="none"/>
        </w:rPr>
      </w:pPr>
    </w:p>
    <w:p w14:paraId="4ED363D6">
      <w:pPr>
        <w:shd w:val="clear" w:color="auto" w:fill="auto"/>
        <w:spacing w:line="200" w:lineRule="exact"/>
        <w:rPr>
          <w:rFonts w:hint="eastAsia" w:ascii="仿宋" w:hAnsi="仿宋" w:eastAsia="仿宋" w:cs="仿宋"/>
          <w:color w:val="auto"/>
          <w:highlight w:val="none"/>
        </w:rPr>
      </w:pPr>
    </w:p>
    <w:p w14:paraId="500D2D78">
      <w:pPr>
        <w:shd w:val="clear" w:color="auto" w:fill="auto"/>
        <w:spacing w:line="200" w:lineRule="exact"/>
        <w:rPr>
          <w:rFonts w:hint="eastAsia" w:ascii="仿宋" w:hAnsi="仿宋" w:eastAsia="仿宋" w:cs="仿宋"/>
          <w:color w:val="auto"/>
          <w:highlight w:val="none"/>
        </w:rPr>
      </w:pPr>
    </w:p>
    <w:p w14:paraId="409EDB16">
      <w:pPr>
        <w:shd w:val="clear" w:color="auto" w:fill="auto"/>
        <w:spacing w:line="200" w:lineRule="exact"/>
        <w:rPr>
          <w:rFonts w:hint="eastAsia" w:ascii="仿宋" w:hAnsi="仿宋" w:eastAsia="仿宋" w:cs="仿宋"/>
          <w:color w:val="auto"/>
          <w:highlight w:val="none"/>
        </w:rPr>
      </w:pPr>
    </w:p>
    <w:p w14:paraId="53D3EB01">
      <w:pPr>
        <w:shd w:val="clear" w:color="auto" w:fill="auto"/>
        <w:spacing w:line="200" w:lineRule="exact"/>
        <w:rPr>
          <w:rFonts w:hint="eastAsia" w:ascii="仿宋" w:hAnsi="仿宋" w:eastAsia="仿宋" w:cs="仿宋"/>
          <w:color w:val="auto"/>
          <w:highlight w:val="none"/>
        </w:rPr>
      </w:pPr>
    </w:p>
    <w:p w14:paraId="6AE6FA87">
      <w:pPr>
        <w:shd w:val="clear" w:color="auto" w:fill="auto"/>
        <w:spacing w:line="200" w:lineRule="exact"/>
        <w:rPr>
          <w:rFonts w:hint="eastAsia" w:ascii="仿宋" w:hAnsi="仿宋" w:eastAsia="仿宋" w:cs="仿宋"/>
          <w:color w:val="auto"/>
          <w:highlight w:val="none"/>
        </w:rPr>
      </w:pPr>
    </w:p>
    <w:p w14:paraId="6C086349">
      <w:pPr>
        <w:shd w:val="clear" w:color="auto" w:fill="auto"/>
        <w:spacing w:line="200" w:lineRule="exact"/>
        <w:rPr>
          <w:rFonts w:hint="eastAsia" w:ascii="仿宋" w:hAnsi="仿宋" w:eastAsia="仿宋" w:cs="仿宋"/>
          <w:color w:val="auto"/>
          <w:highlight w:val="none"/>
        </w:rPr>
      </w:pPr>
    </w:p>
    <w:p w14:paraId="7645A45B">
      <w:pPr>
        <w:shd w:val="clear" w:color="auto" w:fill="auto"/>
        <w:spacing w:line="200" w:lineRule="exact"/>
        <w:rPr>
          <w:rFonts w:hint="eastAsia" w:ascii="仿宋" w:hAnsi="仿宋" w:eastAsia="仿宋" w:cs="仿宋"/>
          <w:color w:val="auto"/>
          <w:highlight w:val="none"/>
        </w:rPr>
      </w:pPr>
    </w:p>
    <w:p w14:paraId="37940292">
      <w:pPr>
        <w:shd w:val="clear" w:color="auto" w:fill="auto"/>
        <w:spacing w:line="200" w:lineRule="exact"/>
        <w:rPr>
          <w:rFonts w:hint="eastAsia" w:ascii="仿宋" w:hAnsi="仿宋" w:eastAsia="仿宋" w:cs="仿宋"/>
          <w:color w:val="auto"/>
          <w:highlight w:val="none"/>
        </w:rPr>
      </w:pPr>
    </w:p>
    <w:p w14:paraId="4CD20CFD">
      <w:pPr>
        <w:shd w:val="clear" w:color="auto" w:fill="auto"/>
        <w:spacing w:line="200" w:lineRule="exact"/>
        <w:rPr>
          <w:rFonts w:hint="eastAsia" w:ascii="仿宋" w:hAnsi="仿宋" w:eastAsia="仿宋" w:cs="仿宋"/>
          <w:color w:val="auto"/>
          <w:highlight w:val="none"/>
        </w:rPr>
      </w:pPr>
    </w:p>
    <w:p w14:paraId="0A8B2306">
      <w:pPr>
        <w:shd w:val="clear" w:color="auto" w:fill="auto"/>
        <w:spacing w:line="200" w:lineRule="exact"/>
        <w:rPr>
          <w:rFonts w:hint="eastAsia" w:ascii="仿宋" w:hAnsi="仿宋" w:eastAsia="仿宋" w:cs="仿宋"/>
          <w:color w:val="auto"/>
          <w:highlight w:val="none"/>
        </w:rPr>
      </w:pPr>
    </w:p>
    <w:p w14:paraId="1F174F79">
      <w:pPr>
        <w:shd w:val="clear" w:color="auto" w:fill="auto"/>
        <w:spacing w:line="200" w:lineRule="exact"/>
        <w:rPr>
          <w:rFonts w:hint="eastAsia" w:ascii="仿宋" w:hAnsi="仿宋" w:eastAsia="仿宋" w:cs="仿宋"/>
          <w:color w:val="auto"/>
          <w:highlight w:val="none"/>
        </w:rPr>
      </w:pPr>
    </w:p>
    <w:p w14:paraId="33BAE983">
      <w:pPr>
        <w:shd w:val="clear" w:color="auto" w:fill="auto"/>
        <w:spacing w:line="200" w:lineRule="exact"/>
        <w:rPr>
          <w:rFonts w:hint="eastAsia" w:ascii="仿宋" w:hAnsi="仿宋" w:eastAsia="仿宋" w:cs="仿宋"/>
          <w:color w:val="auto"/>
          <w:highlight w:val="none"/>
        </w:rPr>
      </w:pPr>
    </w:p>
    <w:p w14:paraId="35CFC8D0">
      <w:pPr>
        <w:shd w:val="clear" w:color="auto" w:fill="auto"/>
        <w:spacing w:line="200" w:lineRule="exact"/>
        <w:rPr>
          <w:rFonts w:hint="eastAsia" w:ascii="仿宋" w:hAnsi="仿宋" w:eastAsia="仿宋" w:cs="仿宋"/>
          <w:color w:val="auto"/>
          <w:highlight w:val="none"/>
        </w:rPr>
      </w:pPr>
    </w:p>
    <w:p w14:paraId="794BE52D">
      <w:pPr>
        <w:shd w:val="clear" w:color="auto" w:fill="auto"/>
        <w:spacing w:line="200" w:lineRule="exact"/>
        <w:rPr>
          <w:rFonts w:hint="eastAsia" w:ascii="仿宋" w:hAnsi="仿宋" w:eastAsia="仿宋" w:cs="仿宋"/>
          <w:color w:val="auto"/>
          <w:highlight w:val="none"/>
        </w:rPr>
      </w:pPr>
    </w:p>
    <w:p w14:paraId="10961F14">
      <w:pPr>
        <w:shd w:val="clear" w:color="auto" w:fill="auto"/>
        <w:spacing w:line="200" w:lineRule="exact"/>
        <w:rPr>
          <w:rFonts w:hint="eastAsia" w:ascii="仿宋" w:hAnsi="仿宋" w:eastAsia="仿宋" w:cs="仿宋"/>
          <w:color w:val="auto"/>
          <w:highlight w:val="none"/>
        </w:rPr>
      </w:pPr>
    </w:p>
    <w:p w14:paraId="1408BE39">
      <w:pPr>
        <w:shd w:val="clear" w:color="auto" w:fill="auto"/>
        <w:spacing w:line="200" w:lineRule="exact"/>
        <w:rPr>
          <w:rFonts w:hint="eastAsia" w:ascii="仿宋" w:hAnsi="仿宋" w:eastAsia="仿宋" w:cs="仿宋"/>
          <w:color w:val="auto"/>
          <w:highlight w:val="none"/>
        </w:rPr>
      </w:pPr>
    </w:p>
    <w:p w14:paraId="4DED2AAB">
      <w:pPr>
        <w:shd w:val="clear" w:color="auto" w:fill="auto"/>
        <w:spacing w:line="200" w:lineRule="exact"/>
        <w:rPr>
          <w:rFonts w:hint="eastAsia" w:ascii="仿宋" w:hAnsi="仿宋" w:eastAsia="仿宋" w:cs="仿宋"/>
          <w:color w:val="auto"/>
          <w:highlight w:val="none"/>
        </w:rPr>
      </w:pPr>
    </w:p>
    <w:p w14:paraId="6B84B79D">
      <w:pPr>
        <w:shd w:val="clear" w:color="auto" w:fill="auto"/>
        <w:spacing w:line="200" w:lineRule="exact"/>
        <w:rPr>
          <w:rFonts w:hint="eastAsia" w:ascii="仿宋" w:hAnsi="仿宋" w:eastAsia="仿宋" w:cs="仿宋"/>
          <w:color w:val="auto"/>
          <w:highlight w:val="none"/>
        </w:rPr>
      </w:pPr>
    </w:p>
    <w:p w14:paraId="150A5E6F">
      <w:pPr>
        <w:shd w:val="clear" w:color="auto" w:fill="auto"/>
        <w:spacing w:line="200" w:lineRule="exact"/>
        <w:rPr>
          <w:rFonts w:hint="eastAsia" w:ascii="仿宋" w:hAnsi="仿宋" w:eastAsia="仿宋" w:cs="仿宋"/>
          <w:color w:val="auto"/>
          <w:highlight w:val="none"/>
        </w:rPr>
      </w:pPr>
    </w:p>
    <w:p w14:paraId="6D8BC444">
      <w:pPr>
        <w:shd w:val="clear" w:color="auto" w:fill="auto"/>
        <w:spacing w:line="200" w:lineRule="exact"/>
        <w:rPr>
          <w:rFonts w:hint="eastAsia" w:ascii="仿宋" w:hAnsi="仿宋" w:eastAsia="仿宋" w:cs="仿宋"/>
          <w:color w:val="auto"/>
          <w:highlight w:val="none"/>
        </w:rPr>
      </w:pPr>
    </w:p>
    <w:p w14:paraId="2F9FC73F">
      <w:pPr>
        <w:shd w:val="clear" w:color="auto" w:fill="auto"/>
        <w:spacing w:line="200" w:lineRule="exact"/>
        <w:rPr>
          <w:rFonts w:hint="eastAsia" w:ascii="仿宋" w:hAnsi="仿宋" w:eastAsia="仿宋" w:cs="仿宋"/>
          <w:color w:val="auto"/>
          <w:highlight w:val="none"/>
        </w:rPr>
      </w:pPr>
    </w:p>
    <w:p w14:paraId="2D306FA9">
      <w:pPr>
        <w:shd w:val="clear" w:color="auto" w:fill="auto"/>
        <w:spacing w:line="281" w:lineRule="exact"/>
        <w:rPr>
          <w:rFonts w:hint="eastAsia" w:ascii="仿宋" w:hAnsi="仿宋" w:eastAsia="仿宋" w:cs="仿宋"/>
          <w:color w:val="auto"/>
          <w:highlight w:val="none"/>
        </w:rPr>
      </w:pPr>
    </w:p>
    <w:p w14:paraId="74143B15">
      <w:pPr>
        <w:shd w:val="clear" w:color="auto" w:fill="auto"/>
        <w:spacing w:line="480" w:lineRule="auto"/>
        <w:ind w:firstLine="1687" w:firstLineChars="600"/>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t>招标人：广州天河城市建设发展有限公司</w:t>
      </w:r>
    </w:p>
    <w:p w14:paraId="5343292C">
      <w:pPr>
        <w:shd w:val="clear" w:color="auto" w:fill="auto"/>
        <w:spacing w:line="480" w:lineRule="auto"/>
        <w:ind w:firstLine="1687" w:firstLineChars="600"/>
        <w:rPr>
          <w:rFonts w:hint="eastAsia" w:ascii="仿宋" w:hAnsi="仿宋" w:eastAsia="仿宋" w:cs="仿宋"/>
          <w:color w:val="auto"/>
          <w:highlight w:val="none"/>
          <w:lang w:eastAsia="zh-CN"/>
        </w:rPr>
      </w:pPr>
      <w:r>
        <w:rPr>
          <w:rFonts w:hint="eastAsia" w:ascii="仿宋" w:hAnsi="仿宋" w:eastAsia="仿宋" w:cs="仿宋"/>
          <w:b/>
          <w:color w:val="auto"/>
          <w:sz w:val="28"/>
          <w:highlight w:val="none"/>
        </w:rPr>
        <w:t>招标代理：广东海外建设咨询有限公司</w:t>
      </w:r>
    </w:p>
    <w:p w14:paraId="6A1C22F0">
      <w:pPr>
        <w:shd w:val="clear" w:color="auto" w:fill="auto"/>
        <w:spacing w:line="48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日 期：202</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10</w:t>
      </w:r>
      <w:r>
        <w:rPr>
          <w:rFonts w:hint="eastAsia" w:ascii="仿宋" w:hAnsi="仿宋" w:eastAsia="仿宋" w:cs="仿宋"/>
          <w:b/>
          <w:color w:val="auto"/>
          <w:sz w:val="28"/>
          <w:szCs w:val="28"/>
          <w:highlight w:val="none"/>
        </w:rPr>
        <w:t>月</w:t>
      </w:r>
    </w:p>
    <w:p w14:paraId="7958F069">
      <w:pPr>
        <w:shd w:val="clear" w:color="auto" w:fill="auto"/>
        <w:spacing w:line="360" w:lineRule="auto"/>
        <w:jc w:val="center"/>
        <w:rPr>
          <w:rFonts w:hint="eastAsia" w:ascii="仿宋" w:hAnsi="仿宋" w:eastAsia="仿宋" w:cs="仿宋"/>
          <w:b/>
          <w:color w:val="auto"/>
          <w:sz w:val="28"/>
          <w:szCs w:val="28"/>
          <w:highlight w:val="none"/>
        </w:rPr>
      </w:pPr>
    </w:p>
    <w:p w14:paraId="322630A3">
      <w:pPr>
        <w:autoSpaceDE w:val="0"/>
        <w:autoSpaceDN w:val="0"/>
        <w:adjustRightInd w:val="0"/>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广州市天河区2112低空服务保障及配套产业基础设施项目工程监理服务</w:t>
      </w:r>
      <w:r>
        <w:rPr>
          <w:rFonts w:hint="eastAsia" w:ascii="仿宋" w:hAnsi="仿宋" w:eastAsia="仿宋" w:cs="仿宋"/>
          <w:b/>
          <w:kern w:val="44"/>
          <w:sz w:val="36"/>
          <w:szCs w:val="36"/>
        </w:rPr>
        <w:t>招标公告</w:t>
      </w:r>
    </w:p>
    <w:p w14:paraId="786B7E0B">
      <w:pPr>
        <w:pStyle w:val="4"/>
        <w:spacing w:line="360" w:lineRule="auto"/>
        <w:jc w:val="left"/>
        <w:rPr>
          <w:rFonts w:hint="eastAsia" w:ascii="仿宋" w:hAnsi="仿宋" w:eastAsia="仿宋" w:cs="仿宋"/>
        </w:rPr>
      </w:pPr>
      <w:bookmarkStart w:id="0" w:name="_Toc511557025"/>
      <w:bookmarkStart w:id="1" w:name="_Toc535938695"/>
      <w:bookmarkStart w:id="2" w:name="_Toc529196504"/>
      <w:bookmarkStart w:id="3" w:name="_Toc529196507"/>
      <w:bookmarkStart w:id="4" w:name="_Toc511557028"/>
      <w:r>
        <w:rPr>
          <w:rFonts w:hint="eastAsia" w:ascii="仿宋" w:hAnsi="仿宋" w:eastAsia="仿宋" w:cs="仿宋"/>
        </w:rPr>
        <w:t>1.招标条件</w:t>
      </w:r>
      <w:bookmarkEnd w:id="0"/>
      <w:bookmarkEnd w:id="1"/>
      <w:bookmarkEnd w:id="2"/>
    </w:p>
    <w:p w14:paraId="62BAEC6F">
      <w:pPr>
        <w:tabs>
          <w:tab w:val="left" w:pos="751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本招标项目</w:t>
      </w:r>
      <w:r>
        <w:rPr>
          <w:rFonts w:hint="eastAsia" w:ascii="仿宋" w:hAnsi="仿宋" w:eastAsia="仿宋" w:cs="仿宋"/>
          <w:sz w:val="24"/>
          <w:szCs w:val="24"/>
          <w:u w:val="single"/>
        </w:rPr>
        <w:t>广州市天河区2112低空服务保障及配套产业基础设施项目</w:t>
      </w:r>
      <w:r>
        <w:rPr>
          <w:rFonts w:hint="eastAsia" w:ascii="仿宋" w:hAnsi="仿宋" w:eastAsia="仿宋" w:cs="仿宋"/>
          <w:sz w:val="24"/>
          <w:szCs w:val="24"/>
        </w:rPr>
        <w:t>已由</w:t>
      </w:r>
      <w:r>
        <w:rPr>
          <w:rFonts w:hint="eastAsia" w:ascii="仿宋" w:hAnsi="仿宋" w:eastAsia="仿宋" w:cs="仿宋"/>
          <w:sz w:val="24"/>
          <w:szCs w:val="24"/>
          <w:u w:val="single"/>
        </w:rPr>
        <w:t>广州市天河区发展和改革局（备案项目代码：2506-440106-04-01-800142）</w:t>
      </w:r>
      <w:r>
        <w:rPr>
          <w:rFonts w:hint="eastAsia" w:ascii="仿宋" w:hAnsi="仿宋" w:eastAsia="仿宋" w:cs="仿宋"/>
          <w:sz w:val="24"/>
          <w:szCs w:val="24"/>
        </w:rPr>
        <w:t>登记备案，项目业主为</w:t>
      </w:r>
      <w:r>
        <w:rPr>
          <w:rFonts w:hint="eastAsia" w:ascii="仿宋" w:hAnsi="仿宋" w:eastAsia="仿宋" w:cs="仿宋"/>
          <w:sz w:val="24"/>
          <w:szCs w:val="24"/>
          <w:u w:val="single"/>
        </w:rPr>
        <w:t>广州天河城市建设发展有限公司</w:t>
      </w:r>
      <w:r>
        <w:rPr>
          <w:rFonts w:hint="eastAsia" w:ascii="仿宋" w:hAnsi="仿宋" w:eastAsia="仿宋" w:cs="仿宋"/>
          <w:sz w:val="24"/>
          <w:szCs w:val="24"/>
        </w:rPr>
        <w:t>，建设资金来自</w:t>
      </w:r>
      <w:r>
        <w:rPr>
          <w:rFonts w:hint="eastAsia" w:ascii="仿宋" w:hAnsi="仿宋" w:eastAsia="仿宋" w:cs="仿宋"/>
          <w:sz w:val="24"/>
          <w:szCs w:val="24"/>
          <w:u w:val="single"/>
        </w:rPr>
        <w:t>企业自筹</w:t>
      </w:r>
      <w:r>
        <w:rPr>
          <w:rFonts w:hint="eastAsia" w:ascii="仿宋" w:hAnsi="仿宋" w:eastAsia="仿宋" w:cs="仿宋"/>
          <w:sz w:val="24"/>
          <w:szCs w:val="24"/>
        </w:rPr>
        <w:t>，出资比例为</w:t>
      </w:r>
      <w:r>
        <w:rPr>
          <w:rFonts w:hint="eastAsia" w:ascii="仿宋" w:hAnsi="仿宋" w:eastAsia="仿宋" w:cs="仿宋"/>
          <w:sz w:val="24"/>
          <w:szCs w:val="24"/>
          <w:u w:val="single"/>
        </w:rPr>
        <w:t>100%</w:t>
      </w:r>
      <w:r>
        <w:rPr>
          <w:rFonts w:hint="eastAsia" w:ascii="仿宋" w:hAnsi="仿宋" w:eastAsia="仿宋" w:cs="仿宋"/>
          <w:sz w:val="24"/>
          <w:szCs w:val="24"/>
        </w:rPr>
        <w:t>，招标人为</w:t>
      </w:r>
      <w:r>
        <w:rPr>
          <w:rFonts w:hint="eastAsia" w:ascii="仿宋" w:hAnsi="仿宋" w:eastAsia="仿宋" w:cs="仿宋"/>
          <w:sz w:val="24"/>
          <w:szCs w:val="24"/>
          <w:u w:val="single"/>
        </w:rPr>
        <w:t>广州天河城市建设发展有限公司</w:t>
      </w:r>
      <w:r>
        <w:rPr>
          <w:rFonts w:hint="eastAsia" w:ascii="仿宋" w:hAnsi="仿宋" w:eastAsia="仿宋" w:cs="仿宋"/>
          <w:sz w:val="24"/>
          <w:szCs w:val="24"/>
        </w:rPr>
        <w:t>。项目已具备招标条件，现对该项目的</w:t>
      </w:r>
      <w:r>
        <w:rPr>
          <w:rFonts w:hint="eastAsia" w:ascii="仿宋" w:hAnsi="仿宋" w:eastAsia="仿宋" w:cs="仿宋"/>
          <w:sz w:val="24"/>
          <w:szCs w:val="24"/>
          <w:u w:val="single"/>
        </w:rPr>
        <w:t>监理</w:t>
      </w:r>
      <w:r>
        <w:rPr>
          <w:rFonts w:hint="eastAsia" w:ascii="仿宋" w:hAnsi="仿宋" w:eastAsia="仿宋" w:cs="仿宋"/>
          <w:sz w:val="24"/>
          <w:szCs w:val="24"/>
        </w:rPr>
        <w:t>进行公开招标。</w:t>
      </w:r>
    </w:p>
    <w:p w14:paraId="307B929B">
      <w:pPr>
        <w:pStyle w:val="4"/>
        <w:tabs>
          <w:tab w:val="left" w:pos="606"/>
        </w:tabs>
        <w:spacing w:line="360" w:lineRule="auto"/>
        <w:jc w:val="left"/>
        <w:rPr>
          <w:rFonts w:hint="eastAsia" w:ascii="仿宋" w:hAnsi="仿宋" w:eastAsia="仿宋" w:cs="仿宋"/>
        </w:rPr>
      </w:pPr>
      <w:bookmarkStart w:id="5" w:name="_Toc535938696"/>
      <w:bookmarkStart w:id="6" w:name="_Toc529196505"/>
      <w:bookmarkStart w:id="7" w:name="_Toc511557026"/>
      <w:r>
        <w:rPr>
          <w:rFonts w:hint="eastAsia" w:ascii="仿宋" w:hAnsi="仿宋" w:eastAsia="仿宋" w:cs="仿宋"/>
        </w:rPr>
        <w:t>2.项目概况与招标范围</w:t>
      </w:r>
      <w:bookmarkEnd w:id="5"/>
      <w:bookmarkEnd w:id="6"/>
      <w:bookmarkEnd w:id="7"/>
    </w:p>
    <w:p w14:paraId="519E30DC">
      <w:pPr>
        <w:tabs>
          <w:tab w:val="left" w:pos="7513"/>
        </w:tabs>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2.1招标项目概况</w:t>
      </w:r>
    </w:p>
    <w:p w14:paraId="38FA6425">
      <w:pPr>
        <w:tabs>
          <w:tab w:val="left" w:pos="7513"/>
        </w:tabs>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2.1.1招标项目名称：</w:t>
      </w:r>
      <w:r>
        <w:rPr>
          <w:rFonts w:hint="eastAsia" w:ascii="仿宋" w:hAnsi="仿宋" w:eastAsia="仿宋" w:cs="仿宋"/>
          <w:sz w:val="24"/>
          <w:szCs w:val="24"/>
          <w:u w:val="single"/>
        </w:rPr>
        <w:t>广州市天河区2112低空服务保障及配套产业基础设施项目工程监理服务</w:t>
      </w:r>
    </w:p>
    <w:p w14:paraId="2472026A">
      <w:pPr>
        <w:widowControl/>
        <w:numPr>
          <w:ilvl w:val="255"/>
          <w:numId w:val="0"/>
        </w:num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2.1.2</w:t>
      </w:r>
      <w:r>
        <w:rPr>
          <w:rFonts w:hint="eastAsia" w:ascii="仿宋" w:hAnsi="仿宋" w:eastAsia="仿宋" w:cs="仿宋"/>
          <w:bCs/>
          <w:sz w:val="24"/>
          <w:szCs w:val="24"/>
        </w:rPr>
        <w:t>工程建设规模</w:t>
      </w:r>
      <w:r>
        <w:rPr>
          <w:rFonts w:hint="eastAsia" w:ascii="仿宋" w:hAnsi="仿宋" w:eastAsia="仿宋" w:cs="仿宋"/>
          <w:sz w:val="24"/>
          <w:szCs w:val="24"/>
        </w:rPr>
        <w:t>：</w:t>
      </w:r>
      <w:r>
        <w:rPr>
          <w:rFonts w:hint="eastAsia" w:ascii="仿宋" w:hAnsi="仿宋" w:eastAsia="仿宋" w:cs="仿宋"/>
          <w:bCs/>
          <w:sz w:val="24"/>
          <w:szCs w:val="24"/>
          <w:u w:val="single"/>
          <w:lang w:bidi="ar"/>
        </w:rPr>
        <w:t>项目总用地面积 20820.51 ㎡，可建设用地 8286.53 ㎡，总建筑面积约28912㎡（实际按政府批复数据为准），计容建筑面积 24860 ㎡，容积率 3.0，绿地率为 20%。建设内容包括地上建筑工程、地下建筑工程、室外工程和其他工程等。</w:t>
      </w:r>
    </w:p>
    <w:p w14:paraId="37B1E8BC">
      <w:pPr>
        <w:widowControl/>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2.1.3工程建设地点：</w:t>
      </w:r>
      <w:r>
        <w:rPr>
          <w:rFonts w:hint="eastAsia" w:ascii="仿宋" w:hAnsi="仿宋" w:eastAsia="仿宋" w:cs="仿宋"/>
          <w:sz w:val="24"/>
          <w:u w:val="single"/>
        </w:rPr>
        <w:t>广州市天河区</w:t>
      </w:r>
      <w:r>
        <w:rPr>
          <w:rFonts w:hint="eastAsia" w:ascii="仿宋" w:hAnsi="仿宋" w:eastAsia="仿宋" w:cs="仿宋"/>
          <w:sz w:val="24"/>
          <w:u w:val="single"/>
          <w:lang w:eastAsia="zh-CN"/>
        </w:rPr>
        <w:t>，项目北侧临广汕二路，东侧临高普路，南侧为高科路</w:t>
      </w:r>
      <w:r>
        <w:rPr>
          <w:rFonts w:hint="eastAsia" w:ascii="仿宋" w:hAnsi="仿宋" w:eastAsia="仿宋" w:cs="仿宋"/>
          <w:sz w:val="24"/>
          <w:szCs w:val="24"/>
          <w:u w:val="single"/>
        </w:rPr>
        <w:t>。</w:t>
      </w:r>
    </w:p>
    <w:p w14:paraId="3A543C72">
      <w:pPr>
        <w:tabs>
          <w:tab w:val="left" w:pos="7513"/>
        </w:tabs>
        <w:spacing w:line="360" w:lineRule="auto"/>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2.2招标范围</w:t>
      </w:r>
    </w:p>
    <w:p w14:paraId="383321BC">
      <w:pPr>
        <w:tabs>
          <w:tab w:val="left" w:pos="7513"/>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2.2.1</w:t>
      </w:r>
      <w:r>
        <w:rPr>
          <w:rFonts w:hint="eastAsia" w:ascii="仿宋" w:hAnsi="仿宋" w:eastAsia="仿宋" w:cs="仿宋"/>
          <w:bCs/>
          <w:sz w:val="24"/>
          <w:szCs w:val="24"/>
        </w:rPr>
        <w:t>标段划分：</w:t>
      </w:r>
      <w:r>
        <w:rPr>
          <w:rFonts w:hint="eastAsia" w:ascii="仿宋" w:hAnsi="仿宋" w:eastAsia="仿宋" w:cs="仿宋"/>
          <w:sz w:val="24"/>
          <w:szCs w:val="24"/>
          <w:u w:val="single"/>
        </w:rPr>
        <w:t>本项目设1个标段。</w:t>
      </w:r>
    </w:p>
    <w:p w14:paraId="0628BD47">
      <w:pPr>
        <w:tabs>
          <w:tab w:val="left" w:pos="7513"/>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2.2.2监理范围：</w:t>
      </w:r>
    </w:p>
    <w:p w14:paraId="03CB438E">
      <w:pPr>
        <w:tabs>
          <w:tab w:val="left" w:pos="7513"/>
        </w:tabs>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2.2.2.</w:t>
      </w:r>
      <w:r>
        <w:rPr>
          <w:rFonts w:hint="eastAsia" w:ascii="仿宋" w:hAnsi="仿宋" w:eastAsia="仿宋" w:cs="仿宋"/>
          <w:sz w:val="24"/>
          <w:szCs w:val="24"/>
          <w:u w:val="single"/>
        </w:rPr>
        <w:t>1阶段范围：包括但不限于施工前期勘察、施工图设计、施工准备、施工、工程收尾（含竣工验收、整改、移交、结算等）及质量保修阶段。</w:t>
      </w:r>
    </w:p>
    <w:p w14:paraId="1AE554D1">
      <w:pPr>
        <w:tabs>
          <w:tab w:val="left" w:pos="7513"/>
        </w:tabs>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2.2.2.</w:t>
      </w:r>
      <w:r>
        <w:rPr>
          <w:rFonts w:hint="eastAsia" w:ascii="仿宋" w:hAnsi="仿宋" w:eastAsia="仿宋" w:cs="仿宋"/>
          <w:sz w:val="24"/>
          <w:szCs w:val="24"/>
          <w:u w:val="single"/>
        </w:rPr>
        <w:t>2工程范围：含地块红线内外的基坑支护、建筑主体及附属配套设施等；具体包括但不限于各类工程、临时设施及拆除，建筑节能、环保相关工作，零星及配套工程，第三方服务，专项验收，场外监理及工程交付配合等。</w:t>
      </w:r>
    </w:p>
    <w:p w14:paraId="75AAD7D4">
      <w:pPr>
        <w:tabs>
          <w:tab w:val="left" w:pos="7513"/>
        </w:tabs>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2.2.3监理服务期限：</w:t>
      </w:r>
      <w:r>
        <w:rPr>
          <w:rFonts w:hint="eastAsia" w:ascii="仿宋" w:hAnsi="仿宋" w:eastAsia="仿宋" w:cs="仿宋"/>
          <w:sz w:val="24"/>
          <w:szCs w:val="24"/>
          <w:u w:val="single"/>
        </w:rPr>
        <w:t>以监理人实际派驻人员之日始，至监理服务缺陷责任期结束止。具体以监理合同要求为准。</w:t>
      </w:r>
    </w:p>
    <w:p w14:paraId="515EC3CD">
      <w:pPr>
        <w:tabs>
          <w:tab w:val="left" w:pos="7513"/>
        </w:tabs>
        <w:spacing w:line="360" w:lineRule="auto"/>
        <w:ind w:firstLine="482" w:firstLineChars="200"/>
        <w:jc w:val="left"/>
        <w:rPr>
          <w:rFonts w:hint="eastAsia" w:ascii="仿宋" w:hAnsi="仿宋" w:eastAsia="仿宋" w:cs="仿宋"/>
          <w:bCs/>
          <w:color w:val="0000FF"/>
          <w:sz w:val="24"/>
          <w:szCs w:val="24"/>
          <w:u w:val="single"/>
        </w:rPr>
      </w:pPr>
      <w:r>
        <w:rPr>
          <w:rFonts w:hint="eastAsia" w:ascii="仿宋" w:hAnsi="仿宋" w:eastAsia="仿宋" w:cs="仿宋"/>
          <w:b/>
          <w:sz w:val="24"/>
          <w:szCs w:val="24"/>
        </w:rPr>
        <w:t>2.3最高投标限价</w:t>
      </w:r>
      <w:r>
        <w:rPr>
          <w:rFonts w:hint="eastAsia" w:ascii="仿宋" w:hAnsi="仿宋" w:eastAsia="仿宋" w:cs="仿宋"/>
          <w:bCs/>
          <w:sz w:val="24"/>
          <w:szCs w:val="24"/>
        </w:rPr>
        <w:t>：</w:t>
      </w:r>
      <w:r>
        <w:rPr>
          <w:rFonts w:hint="eastAsia" w:ascii="仿宋" w:hAnsi="仿宋" w:eastAsia="仿宋" w:cs="仿宋"/>
          <w:bCs/>
          <w:color w:val="auto"/>
          <w:sz w:val="24"/>
          <w:szCs w:val="24"/>
        </w:rPr>
        <w:t>人民币</w:t>
      </w:r>
      <w:r>
        <w:rPr>
          <w:rFonts w:hint="eastAsia" w:ascii="仿宋" w:hAnsi="仿宋" w:eastAsia="仿宋" w:cs="仿宋"/>
          <w:bCs/>
          <w:color w:val="auto"/>
          <w:sz w:val="24"/>
          <w:szCs w:val="24"/>
          <w:u w:val="single"/>
          <w:lang w:val="en-US" w:eastAsia="zh-CN"/>
        </w:rPr>
        <w:t xml:space="preserve"> 1534094.96</w:t>
      </w:r>
      <w:r>
        <w:rPr>
          <w:rFonts w:hint="eastAsia" w:ascii="仿宋" w:hAnsi="仿宋" w:eastAsia="仿宋" w:cs="仿宋"/>
          <w:bCs/>
          <w:color w:val="auto"/>
          <w:sz w:val="24"/>
          <w:szCs w:val="24"/>
        </w:rPr>
        <w:t>元</w:t>
      </w:r>
      <w:r>
        <w:rPr>
          <w:rFonts w:hint="eastAsia" w:ascii="仿宋" w:hAnsi="仿宋" w:eastAsia="仿宋" w:cs="仿宋"/>
          <w:bCs/>
          <w:color w:val="0000FF"/>
          <w:sz w:val="24"/>
          <w:szCs w:val="24"/>
        </w:rPr>
        <w:t>。</w:t>
      </w:r>
    </w:p>
    <w:p w14:paraId="7C43C7FC">
      <w:pPr>
        <w:pStyle w:val="4"/>
        <w:spacing w:line="360" w:lineRule="auto"/>
        <w:jc w:val="left"/>
        <w:rPr>
          <w:rFonts w:hint="eastAsia" w:ascii="仿宋" w:hAnsi="仿宋" w:eastAsia="仿宋" w:cs="仿宋"/>
        </w:rPr>
      </w:pPr>
      <w:bookmarkStart w:id="8" w:name="_Toc511557027"/>
      <w:bookmarkStart w:id="9" w:name="_Toc535938697"/>
      <w:bookmarkStart w:id="10" w:name="_Toc529196506"/>
      <w:r>
        <w:rPr>
          <w:rFonts w:hint="eastAsia" w:ascii="仿宋" w:hAnsi="仿宋" w:eastAsia="仿宋" w:cs="仿宋"/>
        </w:rPr>
        <w:t>3. 投标人资格要求</w:t>
      </w:r>
      <w:bookmarkEnd w:id="8"/>
      <w:bookmarkEnd w:id="9"/>
      <w:bookmarkEnd w:id="10"/>
    </w:p>
    <w:p w14:paraId="38204DE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 投标人须具备建设行政主管部门颁发的</w:t>
      </w:r>
      <w:r>
        <w:rPr>
          <w:rFonts w:hint="eastAsia" w:ascii="仿宋" w:hAnsi="仿宋" w:eastAsia="仿宋" w:cs="仿宋"/>
          <w:sz w:val="24"/>
          <w:u w:val="single"/>
        </w:rPr>
        <w:t>有效期内</w:t>
      </w:r>
      <w:r>
        <w:rPr>
          <w:rFonts w:hint="eastAsia" w:ascii="仿宋" w:hAnsi="仿宋" w:eastAsia="仿宋" w:cs="仿宋"/>
          <w:sz w:val="24"/>
          <w:szCs w:val="24"/>
          <w:u w:val="single"/>
        </w:rPr>
        <w:t>的工程监理综合资质或房屋</w:t>
      </w:r>
      <w:r>
        <w:rPr>
          <w:rFonts w:hint="eastAsia" w:ascii="仿宋" w:hAnsi="仿宋" w:eastAsia="仿宋" w:cs="仿宋"/>
          <w:color w:val="auto"/>
          <w:sz w:val="24"/>
          <w:szCs w:val="24"/>
          <w:highlight w:val="yellow"/>
          <w:u w:val="single"/>
        </w:rPr>
        <w:t>建筑工程监理</w:t>
      </w:r>
      <w:r>
        <w:rPr>
          <w:rFonts w:hint="eastAsia" w:ascii="仿宋" w:hAnsi="仿宋" w:eastAsia="仿宋" w:cs="仿宋"/>
          <w:color w:val="auto"/>
          <w:sz w:val="24"/>
          <w:szCs w:val="24"/>
          <w:highlight w:val="yellow"/>
          <w:u w:val="single"/>
          <w:lang w:val="en-US" w:eastAsia="zh-CN"/>
        </w:rPr>
        <w:t>乙</w:t>
      </w:r>
      <w:r>
        <w:rPr>
          <w:rFonts w:hint="eastAsia" w:ascii="仿宋" w:hAnsi="仿宋" w:eastAsia="仿宋" w:cs="仿宋"/>
          <w:color w:val="auto"/>
          <w:sz w:val="24"/>
          <w:szCs w:val="24"/>
          <w:highlight w:val="yellow"/>
          <w:u w:val="single"/>
        </w:rPr>
        <w:t>级</w:t>
      </w:r>
      <w:r>
        <w:rPr>
          <w:rFonts w:hint="eastAsia" w:ascii="仿宋" w:hAnsi="仿宋" w:eastAsia="仿宋" w:cs="仿宋"/>
          <w:color w:val="auto"/>
          <w:sz w:val="24"/>
          <w:szCs w:val="24"/>
          <w:highlight w:val="yellow"/>
          <w:u w:val="single"/>
          <w:lang w:eastAsia="zh-CN"/>
        </w:rPr>
        <w:t>（</w:t>
      </w:r>
      <w:r>
        <w:rPr>
          <w:rFonts w:hint="eastAsia" w:ascii="仿宋" w:hAnsi="仿宋" w:eastAsia="仿宋" w:cs="仿宋"/>
          <w:color w:val="auto"/>
          <w:sz w:val="24"/>
          <w:szCs w:val="24"/>
          <w:highlight w:val="yellow"/>
          <w:u w:val="single"/>
          <w:lang w:val="en-US" w:eastAsia="zh-CN"/>
        </w:rPr>
        <w:t>及以上</w:t>
      </w:r>
      <w:r>
        <w:rPr>
          <w:rFonts w:hint="eastAsia" w:ascii="仿宋" w:hAnsi="仿宋" w:eastAsia="仿宋" w:cs="仿宋"/>
          <w:color w:val="auto"/>
          <w:sz w:val="24"/>
          <w:szCs w:val="24"/>
          <w:highlight w:val="yellow"/>
          <w:u w:val="single"/>
          <w:lang w:eastAsia="zh-CN"/>
        </w:rPr>
        <w:t>）</w:t>
      </w:r>
      <w:r>
        <w:rPr>
          <w:rFonts w:hint="eastAsia" w:ascii="仿宋" w:hAnsi="仿宋" w:eastAsia="仿宋" w:cs="仿宋"/>
          <w:color w:val="auto"/>
          <w:sz w:val="24"/>
          <w:szCs w:val="24"/>
          <w:highlight w:val="yellow"/>
        </w:rPr>
        <w:t>资</w:t>
      </w:r>
      <w:r>
        <w:rPr>
          <w:rFonts w:hint="eastAsia" w:ascii="仿宋" w:hAnsi="仿宋" w:eastAsia="仿宋" w:cs="仿宋"/>
          <w:sz w:val="24"/>
          <w:szCs w:val="24"/>
        </w:rPr>
        <w:t>质；</w:t>
      </w:r>
      <w:r>
        <w:rPr>
          <w:rFonts w:hint="eastAsia" w:ascii="仿宋" w:hAnsi="仿宋" w:eastAsia="仿宋" w:cs="仿宋"/>
          <w:sz w:val="24"/>
          <w:szCs w:val="24"/>
          <w:u w:val="single"/>
        </w:rPr>
        <w:t>香港企业参加投标的，须在广东省住房和城乡建设主管部门备案且备案的业务范围满足本项目资质要求。</w:t>
      </w:r>
    </w:p>
    <w:p w14:paraId="67F8A971">
      <w:pPr>
        <w:spacing w:line="360" w:lineRule="auto"/>
        <w:ind w:firstLine="480" w:firstLineChars="200"/>
        <w:rPr>
          <w:rFonts w:hint="eastAsia" w:ascii="仿宋" w:hAnsi="仿宋" w:eastAsia="仿宋" w:cs="仿宋"/>
          <w:sz w:val="24"/>
        </w:rPr>
      </w:pPr>
      <w:r>
        <w:rPr>
          <w:rFonts w:hint="eastAsia" w:ascii="仿宋" w:hAnsi="仿宋" w:eastAsia="仿宋" w:cs="仿宋"/>
          <w:sz w:val="24"/>
          <w:szCs w:val="24"/>
        </w:rPr>
        <w:t>注：①投标人应当符合《住房和城乡建设部办公厅关于做好建筑业“证照分离”改革衔接有关工作的通知》（建办市〔2021〕30号）、《住房和城乡建设部办公厅关于建设工程企业资质有关事宜的通知》（建办市函〔2022〕361号）和《广东省住房和城乡建设厅关于建设工程企业资质有关事宜的通知》（粤建许函〔2022〕846号）</w:t>
      </w:r>
      <w:r>
        <w:rPr>
          <w:rFonts w:hint="eastAsia" w:ascii="仿宋" w:hAnsi="仿宋" w:eastAsia="仿宋" w:cs="仿宋"/>
          <w:sz w:val="24"/>
        </w:rPr>
        <w:t>、《住房城乡建设部建筑市场监管司关于建设工程企业资质延续有关事项的通知》（建司局函市〔2023〕116号）、《广东省住房和城乡建设厅关于建设工程企业资质延续有关事项的通知》（粤建许函〔2023〕820号）等相关规定。根据上述文件的要求，申请人需办理企业资质有效期延续的，应当按照相关规定及时办理。</w:t>
      </w:r>
    </w:p>
    <w:p w14:paraId="7AA07755">
      <w:pPr>
        <w:spacing w:line="360" w:lineRule="auto"/>
        <w:ind w:firstLine="456" w:firstLineChars="200"/>
        <w:rPr>
          <w:rFonts w:hint="eastAsia" w:ascii="仿宋" w:hAnsi="仿宋" w:eastAsia="仿宋" w:cs="仿宋"/>
          <w:spacing w:val="-6"/>
        </w:rPr>
      </w:pPr>
      <w:r>
        <w:rPr>
          <w:rFonts w:hint="eastAsia" w:ascii="仿宋" w:hAnsi="仿宋" w:eastAsia="仿宋" w:cs="仿宋"/>
          <w:spacing w:val="-6"/>
          <w:sz w:val="24"/>
          <w:szCs w:val="24"/>
        </w:rPr>
        <w:t>②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须提供满足招标文件要求的相应资质证书及备案证明资料扫描件。</w:t>
      </w:r>
    </w:p>
    <w:p w14:paraId="0F7A95B1">
      <w:pPr>
        <w:spacing w:line="360" w:lineRule="auto"/>
        <w:ind w:firstLine="437"/>
        <w:jc w:val="left"/>
        <w:rPr>
          <w:rFonts w:hint="eastAsia" w:ascii="仿宋" w:hAnsi="仿宋" w:eastAsia="仿宋" w:cs="仿宋"/>
          <w:sz w:val="24"/>
          <w:szCs w:val="24"/>
        </w:rPr>
      </w:pPr>
      <w:r>
        <w:rPr>
          <w:rFonts w:hint="eastAsia" w:ascii="仿宋" w:hAnsi="仿宋" w:eastAsia="仿宋" w:cs="仿宋"/>
          <w:sz w:val="24"/>
          <w:szCs w:val="24"/>
        </w:rPr>
        <w:t>3.2 本次招标</w:t>
      </w:r>
      <w:bookmarkStart w:id="32" w:name="_GoBack"/>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不</w:t>
      </w:r>
      <w:r>
        <w:rPr>
          <w:rFonts w:hint="eastAsia" w:ascii="仿宋" w:hAnsi="仿宋" w:eastAsia="仿宋" w:cs="仿宋"/>
          <w:sz w:val="24"/>
          <w:szCs w:val="24"/>
          <w:u w:val="single"/>
        </w:rPr>
        <w:t xml:space="preserve">接受 </w:t>
      </w:r>
      <w:r>
        <w:rPr>
          <w:rFonts w:hint="eastAsia" w:ascii="仿宋" w:hAnsi="仿宋" w:eastAsia="仿宋" w:cs="仿宋"/>
          <w:sz w:val="24"/>
          <w:szCs w:val="24"/>
        </w:rPr>
        <w:t>联合体投标。</w:t>
      </w:r>
      <w:bookmarkEnd w:id="32"/>
    </w:p>
    <w:p w14:paraId="1ECC2E87">
      <w:pPr>
        <w:spacing w:line="360" w:lineRule="auto"/>
        <w:ind w:firstLine="437"/>
        <w:jc w:val="left"/>
        <w:rPr>
          <w:rFonts w:hint="eastAsia" w:ascii="仿宋" w:hAnsi="仿宋" w:eastAsia="仿宋" w:cs="仿宋"/>
          <w:sz w:val="24"/>
          <w:szCs w:val="24"/>
          <w:u w:val="single"/>
        </w:rPr>
      </w:pPr>
      <w:r>
        <w:rPr>
          <w:rFonts w:hint="eastAsia" w:ascii="仿宋" w:hAnsi="仿宋" w:eastAsia="仿宋" w:cs="仿宋"/>
          <w:sz w:val="24"/>
          <w:szCs w:val="24"/>
        </w:rPr>
        <w:t>3.3 拟派总监理工程师须具备：</w:t>
      </w:r>
      <w:r>
        <w:rPr>
          <w:rFonts w:hint="eastAsia" w:ascii="仿宋" w:hAnsi="仿宋" w:eastAsia="仿宋" w:cs="仿宋"/>
          <w:sz w:val="24"/>
          <w:szCs w:val="24"/>
          <w:u w:val="single"/>
        </w:rPr>
        <w:t>建设部2006年4月1日后颁发的中华人民共和国注册监理工程师注册执业证书，且其注册专业为房屋建筑工程，注册执业单位为本公司,并具备本科或以上学历；或在广东省住房和城乡建设主管部门备案且备案的资格满足本项目总监理工程师的资格要求的香港专业人士。</w:t>
      </w:r>
    </w:p>
    <w:p w14:paraId="7A46AFE8">
      <w:pPr>
        <w:pStyle w:val="6"/>
        <w:keepNext w:val="0"/>
        <w:keepLines w:val="0"/>
        <w:pageBreakBefore w:val="0"/>
        <w:widowControl w:val="0"/>
        <w:kinsoku/>
        <w:wordWrap w:val="0"/>
        <w:overflowPunct/>
        <w:topLinePunct w:val="0"/>
        <w:autoSpaceDE/>
        <w:autoSpaceDN/>
        <w:bidi w:val="0"/>
        <w:snapToGrid/>
        <w:spacing w:line="360" w:lineRule="auto"/>
        <w:rPr>
          <w:rFonts w:hint="eastAsia" w:ascii="仿宋" w:hAnsi="仿宋" w:eastAsia="仿宋" w:cs="仿宋"/>
          <w:sz w:val="24"/>
          <w:szCs w:val="24"/>
        </w:rPr>
      </w:pPr>
      <w:r>
        <w:rPr>
          <w:rFonts w:hint="eastAsia" w:ascii="仿宋" w:hAnsi="仿宋" w:eastAsia="仿宋" w:cs="仿宋"/>
          <w:sz w:val="24"/>
          <w:szCs w:val="24"/>
          <w:lang w:val="en-US"/>
        </w:rPr>
        <w:t>注：依据《广东省住房和城乡建设厅关于印发香港工程建设咨询企业和专业人士在粤港澳大湾区内地城市开业执业试点管理暂行办法的通知》（粤建规范〔2020〕1号，详见链接：http://zfcxjst.gd.gov.cn/xxgk/wjtz/content/post_3137220.html），自2021年1月1日起，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14:paraId="045A05CB">
      <w:pPr>
        <w:keepNext w:val="0"/>
        <w:keepLines w:val="0"/>
        <w:pageBreakBefore w:val="0"/>
        <w:widowControl w:val="0"/>
        <w:kinsoku/>
        <w:wordWrap w:val="0"/>
        <w:overflowPunct/>
        <w:topLinePunct w:val="0"/>
        <w:autoSpaceDE/>
        <w:autoSpaceDN/>
        <w:bidi w:val="0"/>
        <w:snapToGrid/>
        <w:spacing w:line="360" w:lineRule="auto"/>
        <w:ind w:left="2357" w:leftChars="208" w:hanging="1920" w:hangingChars="800"/>
        <w:jc w:val="left"/>
        <w:rPr>
          <w:rFonts w:hint="eastAsia" w:ascii="仿宋" w:hAnsi="仿宋" w:eastAsia="仿宋" w:cs="仿宋"/>
          <w:sz w:val="24"/>
          <w:szCs w:val="24"/>
        </w:rPr>
      </w:pPr>
      <w:r>
        <w:rPr>
          <w:rFonts w:hint="eastAsia" w:ascii="仿宋" w:hAnsi="仿宋" w:eastAsia="仿宋" w:cs="仿宋"/>
          <w:sz w:val="24"/>
          <w:szCs w:val="24"/>
        </w:rPr>
        <w:t>3.4其他要求：</w:t>
      </w:r>
    </w:p>
    <w:p w14:paraId="0285663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3.4.1投标人参加投标的意思表达清楚，投标人代表被授权有效。</w:t>
      </w:r>
    </w:p>
    <w:p w14:paraId="5C92167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3.4.2投标人必须具有独立法人资格，持有有效的工商行政</w:t>
      </w:r>
      <w:r>
        <w:rPr>
          <w:rFonts w:hint="eastAsia" w:ascii="仿宋" w:hAnsi="仿宋" w:eastAsia="仿宋" w:cs="仿宋"/>
          <w:sz w:val="24"/>
          <w:szCs w:val="24"/>
          <w:u w:val="single"/>
        </w:rPr>
        <w:t>（市场监督）</w:t>
      </w:r>
      <w:r>
        <w:rPr>
          <w:rFonts w:hint="eastAsia" w:ascii="仿宋" w:hAnsi="仿宋" w:eastAsia="仿宋" w:cs="仿宋"/>
          <w:sz w:val="24"/>
          <w:szCs w:val="24"/>
        </w:rPr>
        <w:t>管理部门核发的法人营业执照或各级政府事业单位登记管理机关颁发的事业单位法人证书，按国家法律经营；</w:t>
      </w:r>
      <w:r>
        <w:rPr>
          <w:rFonts w:hint="eastAsia" w:ascii="仿宋" w:hAnsi="仿宋" w:eastAsia="仿宋" w:cs="仿宋"/>
          <w:spacing w:val="7"/>
          <w:sz w:val="24"/>
        </w:rPr>
        <w:t>香港企业提供在香港进行商业登记的证明文书。</w:t>
      </w:r>
    </w:p>
    <w:p w14:paraId="2A7DEE3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3.4.3投标人已在广州市住房和城乡建设局建立了企业信用档案，且拟担任本项目的总监理工程师须是本企业信用档案中的在册人员。</w:t>
      </w:r>
    </w:p>
    <w:p w14:paraId="107F4910">
      <w:pPr>
        <w:spacing w:line="360" w:lineRule="auto"/>
        <w:ind w:firstLine="537" w:firstLineChars="224"/>
        <w:jc w:val="left"/>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rPr>
        <w:t>企业信用档案取自投标截止时间投标人在信用管理平台的信息，投标人无需提交相关资料，若招标人延长递交投标文件截止时间的，信用档案信息的评审时点也相应延长。（信用档案办理详见《广州市住建行业信用管理平台监理企业信息录入指引》</w:t>
      </w:r>
      <w:r>
        <w:rPr>
          <w:rFonts w:hint="eastAsia" w:ascii="仿宋" w:hAnsi="仿宋" w:eastAsia="仿宋" w:cs="仿宋"/>
          <w:sz w:val="24"/>
          <w:szCs w:val="24"/>
        </w:rPr>
        <w:t>http://zfcj.gz.gov.cn/zwgk/zsdwxxgkzl/gzsjzyglfwzx/bszy/content/post_8073953.html）。</w:t>
      </w:r>
    </w:p>
    <w:p w14:paraId="3597EADC">
      <w:pPr>
        <w:pStyle w:val="14"/>
        <w:spacing w:before="0" w:beforeAutospacing="0" w:after="0" w:afterAutospacing="0" w:line="360" w:lineRule="auto"/>
        <w:ind w:firstLine="480" w:firstLineChars="200"/>
        <w:rPr>
          <w:rFonts w:hint="eastAsia" w:ascii="仿宋" w:hAnsi="仿宋" w:eastAsia="仿宋" w:cs="仿宋"/>
          <w:kern w:val="2"/>
        </w:rPr>
      </w:pPr>
      <w:r>
        <w:rPr>
          <w:rFonts w:hint="eastAsia" w:ascii="仿宋" w:hAnsi="仿宋" w:eastAsia="仿宋" w:cs="仿宋"/>
          <w:kern w:val="2"/>
        </w:rPr>
        <w:t>3.4.4投标人已按规定格式签名盖章《投标人声明》（格式见招标文件第六章投标文件格式）。</w:t>
      </w:r>
    </w:p>
    <w:p w14:paraId="29037F3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3.4.5投标人未被列入拖欠农民工工资失信联合惩戒对象名单（本项评审投标人无需提供资料，按</w:t>
      </w:r>
      <w:r>
        <w:rPr>
          <w:rFonts w:hint="eastAsia" w:ascii="仿宋" w:hAnsi="仿宋" w:eastAsia="仿宋" w:cs="仿宋"/>
          <w:sz w:val="24"/>
          <w:szCs w:val="24"/>
          <w:u w:val="single"/>
        </w:rPr>
        <w:t>投标截止时间广州交易集团有限公司（广州公共资源交易中心）</w:t>
      </w:r>
      <w:r>
        <w:rPr>
          <w:rFonts w:hint="eastAsia" w:ascii="仿宋" w:hAnsi="仿宋" w:eastAsia="仿宋" w:cs="仿宋"/>
          <w:sz w:val="24"/>
          <w:szCs w:val="24"/>
        </w:rPr>
        <w:t>交易系统比对的结果进行评审。）</w:t>
      </w:r>
    </w:p>
    <w:p w14:paraId="3F9DDE9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3.4.6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48768D7D">
      <w:pPr>
        <w:spacing w:line="360" w:lineRule="auto"/>
        <w:ind w:firstLine="480" w:firstLineChars="200"/>
        <w:jc w:val="left"/>
        <w:outlineLvl w:val="1"/>
        <w:rPr>
          <w:rFonts w:hint="eastAsia" w:ascii="仿宋" w:hAnsi="仿宋" w:eastAsia="仿宋" w:cs="仿宋"/>
          <w:b/>
          <w:sz w:val="32"/>
          <w:szCs w:val="20"/>
        </w:rPr>
      </w:pPr>
      <w:r>
        <w:rPr>
          <w:rFonts w:hint="eastAsia" w:ascii="仿宋" w:hAnsi="仿宋" w:eastAsia="仿宋" w:cs="仿宋"/>
          <w:sz w:val="24"/>
          <w:szCs w:val="24"/>
        </w:rPr>
        <w:t>注：未在招标公告第3条单列的投标人资格要求条件，不作为资审不合格的依据。</w:t>
      </w:r>
      <w:bookmarkStart w:id="11" w:name="_Toc535938699"/>
    </w:p>
    <w:p w14:paraId="75E7AED4">
      <w:pPr>
        <w:rPr>
          <w:rFonts w:hint="eastAsia" w:ascii="仿宋" w:hAnsi="仿宋" w:eastAsia="仿宋" w:cs="仿宋"/>
          <w:b/>
          <w:sz w:val="32"/>
          <w:szCs w:val="20"/>
        </w:rPr>
      </w:pPr>
      <w:r>
        <w:rPr>
          <w:rFonts w:hint="eastAsia" w:ascii="仿宋" w:hAnsi="仿宋" w:eastAsia="仿宋" w:cs="仿宋"/>
          <w:b/>
          <w:sz w:val="32"/>
          <w:szCs w:val="20"/>
        </w:rPr>
        <w:t>4.招标文件的获取</w:t>
      </w:r>
    </w:p>
    <w:p w14:paraId="447AEB6E">
      <w:pPr>
        <w:spacing w:line="360" w:lineRule="auto"/>
        <w:ind w:firstLine="480" w:firstLineChars="200"/>
        <w:jc w:val="left"/>
        <w:rPr>
          <w:rFonts w:hint="eastAsia" w:ascii="仿宋" w:hAnsi="仿宋" w:eastAsia="仿宋" w:cs="仿宋"/>
          <w:sz w:val="24"/>
          <w:szCs w:val="24"/>
          <w:u w:val="single"/>
        </w:rPr>
      </w:pPr>
      <w:bookmarkStart w:id="12" w:name="_Toc3471142"/>
      <w:bookmarkStart w:id="13" w:name="_Toc514099628"/>
      <w:r>
        <w:rPr>
          <w:rFonts w:hint="eastAsia" w:ascii="仿宋" w:hAnsi="仿宋" w:eastAsia="仿宋" w:cs="仿宋"/>
          <w:sz w:val="24"/>
          <w:szCs w:val="24"/>
        </w:rPr>
        <w:t>4.1凡有意参加投标者，请于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sz w:val="24"/>
          <w:szCs w:val="24"/>
          <w:u w:val="single"/>
        </w:rPr>
        <w:t xml:space="preserve">  </w:t>
      </w:r>
      <w:r>
        <w:rPr>
          <w:rFonts w:hint="eastAsia" w:ascii="仿宋" w:hAnsi="仿宋" w:eastAsia="仿宋" w:cs="仿宋"/>
          <w:sz w:val="24"/>
          <w:szCs w:val="24"/>
        </w:rPr>
        <w:t>时</w:t>
      </w:r>
      <w:r>
        <w:rPr>
          <w:rFonts w:hint="eastAsia" w:ascii="仿宋" w:hAnsi="仿宋" w:eastAsia="仿宋" w:cs="仿宋"/>
          <w:sz w:val="24"/>
          <w:szCs w:val="24"/>
          <w:u w:val="single"/>
        </w:rPr>
        <w:t xml:space="preserve">  </w:t>
      </w:r>
      <w:r>
        <w:rPr>
          <w:rFonts w:hint="eastAsia" w:ascii="仿宋" w:hAnsi="仿宋" w:eastAsia="仿宋" w:cs="仿宋"/>
          <w:sz w:val="24"/>
          <w:szCs w:val="24"/>
        </w:rPr>
        <w:t>分至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sz w:val="24"/>
          <w:szCs w:val="24"/>
          <w:u w:val="single"/>
        </w:rPr>
        <w:t xml:space="preserve">  </w:t>
      </w:r>
      <w:r>
        <w:rPr>
          <w:rFonts w:hint="eastAsia" w:ascii="仿宋" w:hAnsi="仿宋" w:eastAsia="仿宋" w:cs="仿宋"/>
          <w:sz w:val="24"/>
          <w:szCs w:val="24"/>
        </w:rPr>
        <w:t>时</w:t>
      </w:r>
      <w:r>
        <w:rPr>
          <w:rFonts w:hint="eastAsia" w:ascii="仿宋" w:hAnsi="仿宋" w:eastAsia="仿宋" w:cs="仿宋"/>
          <w:sz w:val="24"/>
          <w:szCs w:val="24"/>
          <w:u w:val="single"/>
        </w:rPr>
        <w:t xml:space="preserve">  </w:t>
      </w:r>
      <w:r>
        <w:rPr>
          <w:rFonts w:hint="eastAsia" w:ascii="仿宋" w:hAnsi="仿宋" w:eastAsia="仿宋" w:cs="仿宋"/>
          <w:sz w:val="24"/>
          <w:szCs w:val="24"/>
        </w:rPr>
        <w:t>分（北京时间，下同），登录</w:t>
      </w:r>
      <w:r>
        <w:rPr>
          <w:rFonts w:hint="eastAsia" w:ascii="仿宋" w:hAnsi="仿宋" w:eastAsia="仿宋" w:cs="仿宋"/>
          <w:sz w:val="24"/>
          <w:szCs w:val="24"/>
          <w:u w:val="single"/>
        </w:rPr>
        <w:t>广州交易集团有限公司（广州公共资源交易中心）网站（网址：http://www.gzggzy.cn）</w:t>
      </w:r>
      <w:r>
        <w:rPr>
          <w:rFonts w:hint="eastAsia" w:ascii="仿宋" w:hAnsi="仿宋" w:eastAsia="仿宋" w:cs="仿宋"/>
          <w:sz w:val="24"/>
          <w:szCs w:val="24"/>
        </w:rPr>
        <w:t>下载电子招标文件。</w:t>
      </w:r>
    </w:p>
    <w:p w14:paraId="0C7B49D5">
      <w:pPr>
        <w:spacing w:line="360" w:lineRule="auto"/>
        <w:ind w:firstLine="480" w:firstLineChars="200"/>
        <w:jc w:val="left"/>
        <w:rPr>
          <w:rFonts w:hint="eastAsia" w:ascii="仿宋" w:hAnsi="仿宋" w:eastAsia="仿宋" w:cs="仿宋"/>
          <w:sz w:val="24"/>
          <w:szCs w:val="24"/>
        </w:rPr>
      </w:pPr>
      <w:bookmarkStart w:id="14" w:name="_Toc511557030"/>
      <w:r>
        <w:rPr>
          <w:rFonts w:hint="eastAsia" w:ascii="仿宋" w:hAnsi="仿宋" w:eastAsia="仿宋" w:cs="仿宋"/>
          <w:sz w:val="24"/>
          <w:szCs w:val="24"/>
        </w:rPr>
        <w:t>4.2 发布招标公告时间（含本日）：</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sz w:val="24"/>
          <w:szCs w:val="24"/>
          <w:u w:val="single"/>
        </w:rPr>
        <w:t xml:space="preserve">  </w:t>
      </w:r>
      <w:r>
        <w:rPr>
          <w:rFonts w:hint="eastAsia" w:ascii="仿宋" w:hAnsi="仿宋" w:eastAsia="仿宋" w:cs="仿宋"/>
          <w:sz w:val="24"/>
          <w:szCs w:val="24"/>
        </w:rPr>
        <w:t>时</w:t>
      </w:r>
      <w:r>
        <w:rPr>
          <w:rFonts w:hint="eastAsia" w:ascii="仿宋" w:hAnsi="仿宋" w:eastAsia="仿宋" w:cs="仿宋"/>
          <w:sz w:val="24"/>
          <w:szCs w:val="24"/>
          <w:u w:val="single"/>
        </w:rPr>
        <w:t xml:space="preserve">  </w:t>
      </w:r>
      <w:r>
        <w:rPr>
          <w:rFonts w:hint="eastAsia" w:ascii="仿宋" w:hAnsi="仿宋" w:eastAsia="仿宋" w:cs="仿宋"/>
          <w:sz w:val="24"/>
          <w:szCs w:val="24"/>
        </w:rPr>
        <w:t>分至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CE94EF1">
      <w:pPr>
        <w:spacing w:line="360" w:lineRule="auto"/>
        <w:jc w:val="lef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时</w:t>
      </w:r>
      <w:r>
        <w:rPr>
          <w:rFonts w:hint="eastAsia" w:ascii="仿宋" w:hAnsi="仿宋" w:eastAsia="仿宋" w:cs="仿宋"/>
          <w:sz w:val="24"/>
          <w:szCs w:val="24"/>
          <w:u w:val="single"/>
        </w:rPr>
        <w:t xml:space="preserve">  </w:t>
      </w:r>
      <w:r>
        <w:rPr>
          <w:rFonts w:hint="eastAsia" w:ascii="仿宋" w:hAnsi="仿宋" w:eastAsia="仿宋" w:cs="仿宋"/>
          <w:sz w:val="24"/>
          <w:szCs w:val="24"/>
        </w:rPr>
        <w:t>分。</w:t>
      </w:r>
    </w:p>
    <w:p w14:paraId="508D620B">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注：发布招标公告的时间为招标公告发出之日起至递交投标文件截止时间止。</w:t>
      </w:r>
    </w:p>
    <w:p w14:paraId="55102215">
      <w:pPr>
        <w:spacing w:line="440" w:lineRule="exact"/>
        <w:ind w:firstLine="480" w:firstLineChars="200"/>
        <w:rPr>
          <w:rFonts w:hint="eastAsia" w:ascii="仿宋" w:hAnsi="仿宋" w:eastAsia="仿宋" w:cs="仿宋"/>
          <w:kern w:val="0"/>
          <w:sz w:val="24"/>
          <w:szCs w:val="24"/>
        </w:rPr>
      </w:pPr>
      <w:r>
        <w:rPr>
          <w:rFonts w:hint="eastAsia" w:ascii="仿宋" w:hAnsi="仿宋" w:eastAsia="仿宋" w:cs="仿宋"/>
          <w:sz w:val="24"/>
          <w:szCs w:val="24"/>
        </w:rPr>
        <w:t xml:space="preserve">4.3 </w:t>
      </w:r>
      <w:r>
        <w:rPr>
          <w:rFonts w:hint="eastAsia" w:ascii="仿宋" w:hAnsi="仿宋" w:eastAsia="仿宋" w:cs="仿宋"/>
          <w:kern w:val="0"/>
          <w:sz w:val="24"/>
          <w:szCs w:val="24"/>
        </w:rPr>
        <w:t>本项目设立投标登记环节，采取</w:t>
      </w:r>
      <w:r>
        <w:rPr>
          <w:rFonts w:hint="eastAsia" w:ascii="仿宋" w:hAnsi="仿宋" w:eastAsia="仿宋" w:cs="仿宋"/>
          <w:sz w:val="24"/>
          <w:szCs w:val="24"/>
        </w:rPr>
        <w:t>广州交易集团有限公司（广州公共资源交易中心）</w:t>
      </w:r>
      <w:r>
        <w:rPr>
          <w:rFonts w:hint="eastAsia" w:ascii="仿宋" w:hAnsi="仿宋" w:eastAsia="仿宋" w:cs="仿宋"/>
          <w:kern w:val="0"/>
          <w:sz w:val="24"/>
          <w:szCs w:val="24"/>
          <w:u w:val="single"/>
        </w:rPr>
        <w:t>网上投标登记</w:t>
      </w:r>
      <w:r>
        <w:rPr>
          <w:rFonts w:hint="eastAsia" w:ascii="仿宋" w:hAnsi="仿宋" w:eastAsia="仿宋" w:cs="仿宋"/>
          <w:kern w:val="0"/>
          <w:sz w:val="24"/>
          <w:szCs w:val="24"/>
        </w:rPr>
        <w:t>方式进行投标登记，不接受现场投标登记（参加投标登记之前，投标人应查询本企业在</w:t>
      </w:r>
      <w:r>
        <w:rPr>
          <w:rFonts w:hint="eastAsia" w:ascii="仿宋" w:hAnsi="仿宋" w:eastAsia="仿宋" w:cs="仿宋"/>
          <w:sz w:val="24"/>
          <w:szCs w:val="24"/>
        </w:rPr>
        <w:t>广州交易集团有限公司（广州公共资源交易中心）</w:t>
      </w:r>
      <w:r>
        <w:rPr>
          <w:rFonts w:hint="eastAsia" w:ascii="仿宋" w:hAnsi="仿宋" w:eastAsia="仿宋" w:cs="仿宋"/>
          <w:kern w:val="0"/>
          <w:sz w:val="24"/>
          <w:szCs w:val="24"/>
        </w:rPr>
        <w:t>的信息登记的状态，确保一切信息都是真实的、在有效期内的，以免出现相关信息不能被使用。上述情况有可能导致投标信息无法录入</w:t>
      </w:r>
      <w:r>
        <w:rPr>
          <w:rFonts w:hint="eastAsia" w:ascii="仿宋" w:hAnsi="仿宋" w:eastAsia="仿宋" w:cs="仿宋"/>
          <w:sz w:val="24"/>
          <w:szCs w:val="24"/>
        </w:rPr>
        <w:t>广州交易集团有限公司（广州公共资源交易中心）</w:t>
      </w:r>
      <w:r>
        <w:rPr>
          <w:rFonts w:hint="eastAsia" w:ascii="仿宋" w:hAnsi="仿宋" w:eastAsia="仿宋" w:cs="仿宋"/>
          <w:kern w:val="0"/>
          <w:sz w:val="24"/>
          <w:szCs w:val="24"/>
        </w:rPr>
        <w:t>信息系统。如出现上述情况，投标人有可能失去投标机会，因其可能所引起的一切后果由投标人承担。电子招投标操作流程详见</w:t>
      </w:r>
      <w:r>
        <w:rPr>
          <w:rFonts w:hint="eastAsia" w:ascii="仿宋" w:hAnsi="仿宋" w:eastAsia="仿宋" w:cs="仿宋"/>
          <w:sz w:val="24"/>
          <w:szCs w:val="24"/>
        </w:rPr>
        <w:t>广州交易集团有限公司（广州公共资源交易中心）</w:t>
      </w:r>
      <w:r>
        <w:rPr>
          <w:rFonts w:hint="eastAsia" w:ascii="仿宋" w:hAnsi="仿宋" w:eastAsia="仿宋" w:cs="仿宋"/>
          <w:kern w:val="0"/>
          <w:sz w:val="24"/>
          <w:szCs w:val="24"/>
        </w:rPr>
        <w:t>网站发布的最新版操作指引）。</w:t>
      </w:r>
    </w:p>
    <w:p w14:paraId="1D60C659">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投标登记时间：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sz w:val="24"/>
          <w:szCs w:val="24"/>
          <w:u w:val="single"/>
        </w:rPr>
        <w:t xml:space="preserve">  </w:t>
      </w:r>
      <w:r>
        <w:rPr>
          <w:rFonts w:hint="eastAsia" w:ascii="仿宋" w:hAnsi="仿宋" w:eastAsia="仿宋" w:cs="仿宋"/>
          <w:sz w:val="24"/>
          <w:szCs w:val="24"/>
        </w:rPr>
        <w:t>时</w:t>
      </w:r>
      <w:r>
        <w:rPr>
          <w:rFonts w:hint="eastAsia" w:ascii="仿宋" w:hAnsi="仿宋" w:eastAsia="仿宋" w:cs="仿宋"/>
          <w:sz w:val="24"/>
          <w:szCs w:val="24"/>
          <w:u w:val="single"/>
        </w:rPr>
        <w:t xml:space="preserve">  </w:t>
      </w:r>
      <w:r>
        <w:rPr>
          <w:rFonts w:hint="eastAsia" w:ascii="仿宋" w:hAnsi="仿宋" w:eastAsia="仿宋" w:cs="仿宋"/>
          <w:sz w:val="24"/>
          <w:szCs w:val="24"/>
        </w:rPr>
        <w:t>分至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sz w:val="24"/>
          <w:szCs w:val="24"/>
          <w:u w:val="single"/>
        </w:rPr>
        <w:t xml:space="preserve">  </w:t>
      </w:r>
      <w:r>
        <w:rPr>
          <w:rFonts w:hint="eastAsia" w:ascii="仿宋" w:hAnsi="仿宋" w:eastAsia="仿宋" w:cs="仿宋"/>
          <w:sz w:val="24"/>
          <w:szCs w:val="24"/>
        </w:rPr>
        <w:t>时</w:t>
      </w:r>
      <w:r>
        <w:rPr>
          <w:rFonts w:hint="eastAsia" w:ascii="仿宋" w:hAnsi="仿宋" w:eastAsia="仿宋" w:cs="仿宋"/>
          <w:sz w:val="24"/>
          <w:szCs w:val="24"/>
          <w:u w:val="single"/>
        </w:rPr>
        <w:t xml:space="preserve">  </w:t>
      </w:r>
      <w:r>
        <w:rPr>
          <w:rFonts w:hint="eastAsia" w:ascii="仿宋" w:hAnsi="仿宋" w:eastAsia="仿宋" w:cs="仿宋"/>
          <w:sz w:val="24"/>
          <w:szCs w:val="24"/>
        </w:rPr>
        <w:t>分。</w:t>
      </w:r>
    </w:p>
    <w:p w14:paraId="5812B9C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4.4 本项目采用资格后审方式。</w:t>
      </w:r>
    </w:p>
    <w:bookmarkEnd w:id="12"/>
    <w:bookmarkEnd w:id="13"/>
    <w:bookmarkEnd w:id="14"/>
    <w:p w14:paraId="63DDEEDA">
      <w:pPr>
        <w:pStyle w:val="4"/>
        <w:spacing w:line="360" w:lineRule="auto"/>
        <w:jc w:val="left"/>
        <w:rPr>
          <w:rFonts w:hint="eastAsia" w:ascii="仿宋" w:hAnsi="仿宋" w:eastAsia="仿宋" w:cs="仿宋"/>
        </w:rPr>
      </w:pPr>
      <w:r>
        <w:rPr>
          <w:rFonts w:hint="eastAsia" w:ascii="仿宋" w:hAnsi="仿宋" w:eastAsia="仿宋" w:cs="仿宋"/>
        </w:rPr>
        <w:t>5.投标文件的递交</w:t>
      </w:r>
      <w:bookmarkEnd w:id="11"/>
    </w:p>
    <w:p w14:paraId="4BA98A18">
      <w:pPr>
        <w:pStyle w:val="20"/>
        <w:spacing w:line="440" w:lineRule="exact"/>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5.1 投标文件递交的截止时间（投标截止时间，下同）为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时</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分</w:t>
      </w:r>
      <w:r>
        <w:rPr>
          <w:rFonts w:hint="eastAsia" w:ascii="仿宋" w:hAnsi="仿宋" w:eastAsia="仿宋" w:cs="仿宋"/>
          <w:color w:val="auto"/>
          <w:kern w:val="2"/>
          <w:sz w:val="24"/>
          <w:szCs w:val="24"/>
        </w:rPr>
        <w:t>，投标人应在截止时间前通过</w:t>
      </w:r>
      <w:r>
        <w:rPr>
          <w:rFonts w:hint="eastAsia" w:ascii="仿宋" w:hAnsi="仿宋" w:eastAsia="仿宋" w:cs="仿宋"/>
          <w:color w:val="auto"/>
          <w:kern w:val="2"/>
          <w:sz w:val="24"/>
          <w:szCs w:val="24"/>
          <w:u w:val="single"/>
        </w:rPr>
        <w:t>广州交易集团有限公司（广州公共资源交易中心）网站（网址：http://www.gzggzy.cn）</w:t>
      </w:r>
      <w:r>
        <w:rPr>
          <w:rFonts w:hint="eastAsia" w:ascii="仿宋" w:hAnsi="仿宋" w:eastAsia="仿宋" w:cs="仿宋"/>
          <w:color w:val="auto"/>
          <w:kern w:val="2"/>
          <w:sz w:val="24"/>
          <w:szCs w:val="24"/>
        </w:rPr>
        <w:t>递交电子投标文件。</w:t>
      </w:r>
    </w:p>
    <w:p w14:paraId="74A3C765">
      <w:pPr>
        <w:pStyle w:val="20"/>
        <w:spacing w:line="440" w:lineRule="exact"/>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5.2 递交备用投标文件电子光盘（或U盘）时间为：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时</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分至</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时</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分</w:t>
      </w:r>
      <w:r>
        <w:rPr>
          <w:rFonts w:hint="eastAsia" w:ascii="仿宋" w:hAnsi="仿宋" w:eastAsia="仿宋" w:cs="仿宋"/>
          <w:color w:val="auto"/>
          <w:kern w:val="2"/>
          <w:sz w:val="24"/>
          <w:szCs w:val="24"/>
        </w:rPr>
        <w:t>；地点：</w:t>
      </w:r>
      <w:r>
        <w:rPr>
          <w:rFonts w:hint="eastAsia" w:ascii="仿宋" w:hAnsi="仿宋" w:eastAsia="仿宋" w:cs="仿宋"/>
          <w:color w:val="auto"/>
          <w:kern w:val="2"/>
          <w:sz w:val="24"/>
          <w:szCs w:val="24"/>
          <w:u w:val="single"/>
        </w:rPr>
        <w:t>广州交易集团有限公司（广州公共资源交易中心）第  开标室</w:t>
      </w:r>
      <w:r>
        <w:rPr>
          <w:rFonts w:hint="eastAsia" w:ascii="仿宋" w:hAnsi="仿宋" w:eastAsia="仿宋" w:cs="仿宋"/>
          <w:color w:val="auto"/>
          <w:kern w:val="2"/>
          <w:sz w:val="24"/>
          <w:szCs w:val="24"/>
        </w:rPr>
        <w:t>。</w:t>
      </w:r>
      <w:r>
        <w:rPr>
          <w:rFonts w:hint="eastAsia" w:ascii="仿宋" w:hAnsi="仿宋" w:eastAsia="仿宋" w:cs="仿宋"/>
          <w:b/>
          <w:bCs/>
          <w:color w:val="auto"/>
          <w:kern w:val="2"/>
          <w:sz w:val="24"/>
          <w:szCs w:val="24"/>
          <w:u w:val="single"/>
        </w:rPr>
        <w:t>凭法定代表人证明书原件、法定代表人授权委托证明书原件（非法定代表人办理手续时提供）、本人身份证原件递交。</w:t>
      </w:r>
      <w:r>
        <w:rPr>
          <w:rFonts w:hint="eastAsia" w:ascii="仿宋" w:hAnsi="仿宋" w:eastAsia="仿宋" w:cs="仿宋"/>
          <w:color w:val="auto"/>
          <w:kern w:val="2"/>
          <w:sz w:val="24"/>
          <w:szCs w:val="24"/>
          <w:u w:val="single"/>
        </w:rPr>
        <w:t>（</w:t>
      </w:r>
      <w:r>
        <w:rPr>
          <w:rFonts w:hint="eastAsia" w:ascii="仿宋" w:hAnsi="仿宋" w:eastAsia="仿宋" w:cs="仿宋"/>
          <w:color w:val="auto"/>
          <w:kern w:val="2"/>
          <w:sz w:val="24"/>
          <w:szCs w:val="24"/>
        </w:rPr>
        <w:t>电子光盘或U盘需按规定封装。投标人在将数据刻录到光盘或U盘之后，投标前自行检查文件是否可以读取）。</w:t>
      </w:r>
    </w:p>
    <w:p w14:paraId="691F2C3F">
      <w:pPr>
        <w:widowControl/>
        <w:shd w:val="clear" w:color="auto" w:fill="FFFFFF"/>
        <w:spacing w:line="360" w:lineRule="auto"/>
        <w:ind w:firstLine="537" w:firstLineChars="224"/>
        <w:jc w:val="left"/>
        <w:rPr>
          <w:rFonts w:hint="eastAsia" w:ascii="仿宋" w:hAnsi="仿宋" w:eastAsia="仿宋" w:cs="仿宋"/>
          <w:sz w:val="24"/>
          <w:szCs w:val="24"/>
        </w:rPr>
      </w:pPr>
      <w:r>
        <w:rPr>
          <w:rFonts w:hint="eastAsia" w:ascii="仿宋" w:hAnsi="仿宋" w:eastAsia="仿宋" w:cs="仿宋"/>
          <w:sz w:val="24"/>
          <w:szCs w:val="24"/>
        </w:rPr>
        <w:t>5.3 逾期送达的投标文件，电子招标投标交易平台将予以拒收。逾期未上传成功的电子投标文件，招标人拒绝接收。逾期或未在指定地点递交投标文件光盘（或U盘）的,招标人拒绝接收其投标文件光盘（或U盘）。</w:t>
      </w:r>
    </w:p>
    <w:p w14:paraId="51D461CD">
      <w:pPr>
        <w:pStyle w:val="20"/>
        <w:spacing w:line="440" w:lineRule="exact"/>
        <w:ind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5.4 开标时间：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时</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分</w:t>
      </w:r>
      <w:r>
        <w:rPr>
          <w:rFonts w:hint="eastAsia" w:ascii="仿宋" w:hAnsi="仿宋" w:eastAsia="仿宋" w:cs="仿宋"/>
          <w:color w:val="auto"/>
          <w:kern w:val="2"/>
          <w:sz w:val="24"/>
          <w:szCs w:val="24"/>
        </w:rPr>
        <w:t>。地点：</w:t>
      </w:r>
      <w:r>
        <w:rPr>
          <w:rFonts w:hint="eastAsia" w:ascii="仿宋" w:hAnsi="仿宋" w:eastAsia="仿宋" w:cs="仿宋"/>
          <w:color w:val="auto"/>
          <w:kern w:val="2"/>
          <w:sz w:val="24"/>
          <w:szCs w:val="24"/>
          <w:u w:val="single"/>
        </w:rPr>
        <w:t>广州交易集团有限公司（广州公共资源交易中心）第   开标室</w:t>
      </w:r>
      <w:r>
        <w:rPr>
          <w:rFonts w:hint="eastAsia" w:ascii="仿宋" w:hAnsi="仿宋" w:eastAsia="仿宋" w:cs="仿宋"/>
          <w:color w:val="auto"/>
          <w:kern w:val="2"/>
          <w:sz w:val="24"/>
          <w:szCs w:val="24"/>
        </w:rPr>
        <w:t>。</w:t>
      </w:r>
    </w:p>
    <w:p w14:paraId="6CE7B56C">
      <w:pPr>
        <w:pStyle w:val="2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2"/>
          <w:sz w:val="24"/>
          <w:szCs w:val="24"/>
        </w:rPr>
        <w:t>5.5 递交投标文件截止时间及开标时间是否有变化，请密切留意</w:t>
      </w:r>
      <w:r>
        <w:rPr>
          <w:rFonts w:hint="eastAsia" w:ascii="仿宋" w:hAnsi="仿宋" w:eastAsia="仿宋" w:cs="仿宋"/>
          <w:color w:val="auto"/>
          <w:kern w:val="2"/>
          <w:sz w:val="24"/>
          <w:szCs w:val="24"/>
          <w:u w:val="single"/>
        </w:rPr>
        <w:t>广州交易集团有限公司（广州公共资源交易中心）</w:t>
      </w:r>
      <w:r>
        <w:rPr>
          <w:rFonts w:hint="eastAsia" w:ascii="仿宋" w:hAnsi="仿宋" w:eastAsia="仿宋" w:cs="仿宋"/>
          <w:color w:val="auto"/>
          <w:kern w:val="2"/>
          <w:sz w:val="24"/>
          <w:szCs w:val="24"/>
        </w:rPr>
        <w:t>网站中的相关信息。递交投标文件截止时间后，投标文件评审时间因故推迟的，相关资审信息仍以原递交投标文件截止时间的信息为准。本项目各项投标活动具体可通过</w:t>
      </w:r>
      <w:r>
        <w:rPr>
          <w:rFonts w:hint="eastAsia" w:ascii="仿宋" w:hAnsi="仿宋" w:eastAsia="仿宋" w:cs="仿宋"/>
          <w:color w:val="auto"/>
          <w:kern w:val="2"/>
          <w:sz w:val="24"/>
          <w:szCs w:val="24"/>
          <w:u w:val="single"/>
        </w:rPr>
        <w:t>广州交易集团有限公司（广州公共资源交易中心）</w:t>
      </w:r>
      <w:r>
        <w:rPr>
          <w:rFonts w:hint="eastAsia" w:ascii="仿宋" w:hAnsi="仿宋" w:eastAsia="仿宋" w:cs="仿宋"/>
          <w:color w:val="auto"/>
          <w:kern w:val="2"/>
          <w:sz w:val="24"/>
          <w:szCs w:val="24"/>
        </w:rPr>
        <w:t>网站查询具体的时间和场地安排。</w:t>
      </w:r>
    </w:p>
    <w:p w14:paraId="5D0CB406">
      <w:pPr>
        <w:pStyle w:val="4"/>
        <w:spacing w:line="360" w:lineRule="auto"/>
        <w:jc w:val="left"/>
        <w:rPr>
          <w:rFonts w:hint="eastAsia" w:ascii="仿宋" w:hAnsi="仿宋" w:eastAsia="仿宋" w:cs="仿宋"/>
        </w:rPr>
      </w:pPr>
      <w:bookmarkStart w:id="15" w:name="_Toc535938700"/>
      <w:r>
        <w:rPr>
          <w:rFonts w:hint="eastAsia" w:ascii="仿宋" w:hAnsi="仿宋" w:eastAsia="仿宋" w:cs="仿宋"/>
        </w:rPr>
        <w:t>6.</w:t>
      </w:r>
      <w:bookmarkEnd w:id="15"/>
      <w:bookmarkStart w:id="16" w:name="_Toc535938701"/>
      <w:r>
        <w:rPr>
          <w:rFonts w:hint="eastAsia" w:ascii="仿宋" w:hAnsi="仿宋" w:eastAsia="仿宋" w:cs="仿宋"/>
        </w:rPr>
        <w:t>发布公告的媒介</w:t>
      </w:r>
      <w:bookmarkEnd w:id="16"/>
    </w:p>
    <w:p w14:paraId="0FA1CD74">
      <w:pPr>
        <w:spacing w:line="360" w:lineRule="auto"/>
        <w:ind w:firstLine="480" w:firstLineChars="200"/>
        <w:rPr>
          <w:rFonts w:hint="eastAsia" w:ascii="仿宋" w:hAnsi="仿宋" w:eastAsia="仿宋" w:cs="仿宋"/>
          <w:b/>
          <w:bCs/>
          <w:kern w:val="0"/>
          <w:sz w:val="24"/>
          <w:szCs w:val="24"/>
        </w:rPr>
      </w:pPr>
      <w:r>
        <w:rPr>
          <w:rFonts w:hint="eastAsia" w:ascii="仿宋" w:hAnsi="仿宋" w:eastAsia="仿宋" w:cs="仿宋"/>
          <w:sz w:val="24"/>
          <w:szCs w:val="24"/>
        </w:rPr>
        <w:t>本次招标公告同时在</w:t>
      </w:r>
      <w:r>
        <w:rPr>
          <w:rFonts w:hint="eastAsia" w:ascii="仿宋" w:hAnsi="仿宋" w:eastAsia="仿宋" w:cs="仿宋"/>
          <w:sz w:val="24"/>
          <w:szCs w:val="24"/>
          <w:u w:val="single"/>
        </w:rPr>
        <w:t>广州交易集团有限公司（广州公共资源交易中心）（网址：http://www.gzggzy.cn/）、广东省招标投标监管网（网址：http://zbtb.gd.gov.cn）、中国招标投标公共服务平台（网址：http://www.cebpubservice.com/）</w:t>
      </w:r>
      <w:r>
        <w:rPr>
          <w:rFonts w:hint="eastAsia" w:ascii="仿宋" w:hAnsi="仿宋" w:eastAsia="仿宋" w:cs="仿宋"/>
          <w:sz w:val="24"/>
          <w:szCs w:val="24"/>
        </w:rPr>
        <w:t>等媒体上发布，本公告的修改、补充，在</w:t>
      </w:r>
      <w:r>
        <w:rPr>
          <w:rFonts w:hint="eastAsia" w:ascii="仿宋" w:hAnsi="仿宋" w:eastAsia="仿宋" w:cs="仿宋"/>
          <w:sz w:val="24"/>
          <w:szCs w:val="24"/>
          <w:u w:val="single"/>
        </w:rPr>
        <w:t>广州交易集团有限公司（广州公共资源交易中心）网站</w:t>
      </w:r>
      <w:r>
        <w:rPr>
          <w:rFonts w:hint="eastAsia" w:ascii="仿宋" w:hAnsi="仿宋" w:eastAsia="仿宋" w:cs="仿宋"/>
          <w:sz w:val="24"/>
          <w:szCs w:val="24"/>
        </w:rPr>
        <w:t>发布。本公告在各媒体发布的文本如有不同之处，以在广州公共资源交易网发布的文本为准。</w:t>
      </w:r>
      <w:bookmarkEnd w:id="3"/>
      <w:bookmarkEnd w:id="4"/>
      <w:bookmarkStart w:id="17" w:name="_Toc535938702"/>
      <w:bookmarkStart w:id="18" w:name="_Toc529196510"/>
      <w:bookmarkStart w:id="19" w:name="_Toc516170523"/>
      <w:bookmarkStart w:id="20" w:name="_Toc511557031"/>
      <w:bookmarkStart w:id="21" w:name="_Toc152045514"/>
      <w:bookmarkStart w:id="22" w:name="_Toc384308189"/>
      <w:bookmarkStart w:id="23" w:name="_Toc369531499"/>
      <w:bookmarkStart w:id="24" w:name="_Toc247513936"/>
      <w:bookmarkStart w:id="25" w:name="_Toc352691457"/>
      <w:bookmarkStart w:id="26" w:name="_Toc300834931"/>
      <w:bookmarkStart w:id="27" w:name="_Toc361508564"/>
      <w:bookmarkStart w:id="28" w:name="_Toc144974482"/>
      <w:bookmarkStart w:id="29" w:name="_Toc247527537"/>
      <w:bookmarkStart w:id="30" w:name="_Toc152042290"/>
      <w:bookmarkStart w:id="31" w:name="_Toc2312"/>
    </w:p>
    <w:p w14:paraId="78731307">
      <w:pPr>
        <w:pStyle w:val="4"/>
        <w:spacing w:line="360" w:lineRule="auto"/>
        <w:jc w:val="left"/>
        <w:rPr>
          <w:rFonts w:hint="eastAsia" w:ascii="仿宋" w:hAnsi="仿宋" w:eastAsia="仿宋" w:cs="仿宋"/>
        </w:rPr>
      </w:pPr>
      <w:r>
        <w:rPr>
          <w:rFonts w:hint="eastAsia" w:ascii="仿宋" w:hAnsi="仿宋" w:eastAsia="仿宋" w:cs="仿宋"/>
        </w:rPr>
        <w:t>7.其它事项</w:t>
      </w:r>
    </w:p>
    <w:p w14:paraId="2CF4E32E">
      <w:pPr>
        <w:shd w:val="clear" w:color="auto" w:fill="FFFFFF"/>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潜在投标人或利害关系人对本招标公告及招标文件有异议的，应当在投标截止时间10日前向招标人书面提出。</w:t>
      </w:r>
    </w:p>
    <w:p w14:paraId="46C21A6C">
      <w:pPr>
        <w:spacing w:line="360" w:lineRule="auto"/>
        <w:ind w:firstLine="480" w:firstLineChars="200"/>
        <w:rPr>
          <w:rFonts w:hint="eastAsia" w:ascii="仿宋" w:hAnsi="仿宋" w:eastAsia="仿宋" w:cs="仿宋"/>
          <w:sz w:val="24"/>
        </w:rPr>
      </w:pPr>
      <w:r>
        <w:rPr>
          <w:rFonts w:hint="eastAsia" w:ascii="仿宋" w:hAnsi="仿宋" w:eastAsia="仿宋" w:cs="仿宋"/>
          <w:sz w:val="24"/>
        </w:rPr>
        <w:t>异议受理部门：</w:t>
      </w:r>
      <w:r>
        <w:rPr>
          <w:rFonts w:hint="eastAsia" w:ascii="仿宋" w:hAnsi="仿宋" w:eastAsia="仿宋" w:cs="仿宋"/>
          <w:sz w:val="24"/>
          <w:szCs w:val="24"/>
          <w:u w:val="single"/>
        </w:rPr>
        <w:t>广州天河城市建设发展有限公司</w:t>
      </w:r>
    </w:p>
    <w:p w14:paraId="1568B8EA">
      <w:pPr>
        <w:spacing w:line="360" w:lineRule="auto"/>
        <w:ind w:firstLine="480" w:firstLineChars="200"/>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szCs w:val="24"/>
          <w:u w:val="single"/>
        </w:rPr>
        <w:t xml:space="preserve"> 莫先生 </w:t>
      </w:r>
    </w:p>
    <w:p w14:paraId="056793EC">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电话：</w:t>
      </w:r>
      <w:r>
        <w:rPr>
          <w:rFonts w:hint="eastAsia" w:ascii="仿宋" w:hAnsi="仿宋" w:eastAsia="仿宋" w:cs="仿宋"/>
          <w:sz w:val="24"/>
          <w:szCs w:val="24"/>
          <w:u w:val="single"/>
        </w:rPr>
        <w:t xml:space="preserve"> 020-85594984转8281</w:t>
      </w:r>
    </w:p>
    <w:p w14:paraId="119231D2">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szCs w:val="24"/>
          <w:u w:val="single"/>
        </w:rPr>
        <w:t>广州市天河区软件路11号9楼</w:t>
      </w:r>
    </w:p>
    <w:p w14:paraId="231F64A9">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96EFE41">
      <w:pPr>
        <w:pStyle w:val="4"/>
        <w:spacing w:line="360" w:lineRule="auto"/>
        <w:jc w:val="left"/>
        <w:rPr>
          <w:rFonts w:hint="eastAsia" w:ascii="仿宋" w:hAnsi="仿宋" w:eastAsia="仿宋" w:cs="仿宋"/>
        </w:rPr>
      </w:pPr>
      <w:r>
        <w:rPr>
          <w:rFonts w:hint="eastAsia" w:ascii="仿宋" w:hAnsi="仿宋" w:eastAsia="仿宋" w:cs="仿宋"/>
        </w:rPr>
        <w:t>8.联系方式</w:t>
      </w:r>
      <w:bookmarkEnd w:id="17"/>
      <w:bookmarkEnd w:id="18"/>
      <w:bookmarkEnd w:id="19"/>
      <w:bookmarkEnd w:id="20"/>
    </w:p>
    <w:bookmarkEnd w:id="21"/>
    <w:bookmarkEnd w:id="22"/>
    <w:bookmarkEnd w:id="23"/>
    <w:bookmarkEnd w:id="24"/>
    <w:bookmarkEnd w:id="25"/>
    <w:bookmarkEnd w:id="26"/>
    <w:bookmarkEnd w:id="27"/>
    <w:bookmarkEnd w:id="28"/>
    <w:bookmarkEnd w:id="29"/>
    <w:bookmarkEnd w:id="30"/>
    <w:bookmarkEnd w:id="31"/>
    <w:p w14:paraId="41DBD7E4">
      <w:pPr>
        <w:spacing w:line="360" w:lineRule="auto"/>
        <w:ind w:firstLine="480" w:firstLineChars="200"/>
        <w:rPr>
          <w:rFonts w:hint="eastAsia" w:ascii="仿宋" w:hAnsi="仿宋" w:eastAsia="仿宋" w:cs="仿宋"/>
          <w:sz w:val="24"/>
        </w:rPr>
      </w:pPr>
      <w:r>
        <w:rPr>
          <w:rFonts w:hint="eastAsia" w:ascii="仿宋" w:hAnsi="仿宋" w:eastAsia="仿宋" w:cs="仿宋"/>
          <w:sz w:val="24"/>
        </w:rPr>
        <w:t>招标人名称：</w:t>
      </w:r>
      <w:r>
        <w:rPr>
          <w:rFonts w:hint="eastAsia" w:ascii="仿宋" w:hAnsi="仿宋" w:eastAsia="仿宋" w:cs="仿宋"/>
          <w:sz w:val="24"/>
          <w:szCs w:val="24"/>
          <w:u w:val="single"/>
        </w:rPr>
        <w:t>广州天河城市建设发展有限公司</w:t>
      </w:r>
    </w:p>
    <w:p w14:paraId="08712CD3">
      <w:pPr>
        <w:spacing w:line="360" w:lineRule="auto"/>
        <w:ind w:firstLine="480" w:firstLineChars="200"/>
        <w:rPr>
          <w:rFonts w:hint="eastAsia" w:ascii="仿宋" w:hAnsi="仿宋" w:eastAsia="仿宋" w:cs="仿宋"/>
          <w:bCs/>
          <w:snapToGrid w:val="0"/>
          <w:kern w:val="13"/>
          <w:sz w:val="24"/>
          <w:u w:val="single"/>
        </w:rPr>
      </w:pPr>
      <w:r>
        <w:rPr>
          <w:rFonts w:hint="eastAsia" w:ascii="仿宋" w:hAnsi="仿宋" w:eastAsia="仿宋" w:cs="仿宋"/>
          <w:sz w:val="24"/>
        </w:rPr>
        <w:t>邮政编码、地址：</w:t>
      </w:r>
      <w:r>
        <w:rPr>
          <w:rFonts w:hint="eastAsia" w:ascii="仿宋" w:hAnsi="仿宋" w:eastAsia="仿宋" w:cs="仿宋"/>
          <w:sz w:val="24"/>
          <w:u w:val="single"/>
        </w:rPr>
        <w:t>510000、广州市天河区软件路11号9楼</w:t>
      </w:r>
    </w:p>
    <w:p w14:paraId="1A1B66A1">
      <w:pPr>
        <w:spacing w:line="360" w:lineRule="auto"/>
        <w:ind w:firstLine="480" w:firstLineChars="200"/>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莫先生</w:t>
      </w:r>
      <w:r>
        <w:rPr>
          <w:rFonts w:hint="eastAsia" w:ascii="仿宋" w:hAnsi="仿宋" w:eastAsia="仿宋" w:cs="仿宋"/>
          <w:sz w:val="24"/>
          <w:szCs w:val="24"/>
          <w:u w:val="single"/>
        </w:rPr>
        <w:t xml:space="preserve">  </w:t>
      </w:r>
    </w:p>
    <w:p w14:paraId="0C24301B">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电话（手机）号码：</w:t>
      </w:r>
      <w:r>
        <w:rPr>
          <w:rFonts w:hint="eastAsia" w:ascii="仿宋" w:hAnsi="仿宋" w:eastAsia="仿宋" w:cs="仿宋"/>
          <w:sz w:val="24"/>
          <w:szCs w:val="24"/>
          <w:u w:val="single"/>
        </w:rPr>
        <w:t xml:space="preserve"> 020-85594984转8281</w:t>
      </w:r>
    </w:p>
    <w:p w14:paraId="79EE1F1D">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传真号码：</w:t>
      </w:r>
      <w:r>
        <w:rPr>
          <w:rFonts w:hint="eastAsia" w:ascii="仿宋" w:hAnsi="仿宋" w:eastAsia="仿宋" w:cs="仿宋"/>
          <w:sz w:val="24"/>
          <w:u w:val="single"/>
        </w:rPr>
        <w:t xml:space="preserve">  /  </w:t>
      </w:r>
    </w:p>
    <w:p w14:paraId="776D4FEF">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电子邮箱：</w:t>
      </w:r>
      <w:r>
        <w:rPr>
          <w:rFonts w:hint="eastAsia" w:ascii="仿宋" w:hAnsi="仿宋" w:eastAsia="仿宋" w:cs="仿宋"/>
          <w:sz w:val="24"/>
          <w:u w:val="single"/>
        </w:rPr>
        <w:t xml:space="preserve">  /   </w:t>
      </w:r>
    </w:p>
    <w:p w14:paraId="5EC9682D">
      <w:pPr>
        <w:spacing w:line="360" w:lineRule="auto"/>
        <w:ind w:firstLine="480" w:firstLineChars="200"/>
        <w:rPr>
          <w:rFonts w:hint="eastAsia" w:ascii="仿宋" w:hAnsi="仿宋" w:eastAsia="仿宋" w:cs="仿宋"/>
          <w:sz w:val="24"/>
        </w:rPr>
      </w:pPr>
    </w:p>
    <w:p w14:paraId="477CA9D6">
      <w:pPr>
        <w:spacing w:line="360" w:lineRule="auto"/>
        <w:ind w:firstLine="480" w:firstLineChars="200"/>
        <w:rPr>
          <w:rFonts w:hint="eastAsia" w:ascii="仿宋" w:hAnsi="仿宋" w:eastAsia="仿宋" w:cs="仿宋"/>
          <w:sz w:val="24"/>
        </w:rPr>
      </w:pPr>
      <w:r>
        <w:rPr>
          <w:rFonts w:hint="eastAsia" w:ascii="仿宋" w:hAnsi="仿宋" w:eastAsia="仿宋" w:cs="仿宋"/>
          <w:sz w:val="24"/>
        </w:rPr>
        <w:t>招标代理名称：</w:t>
      </w:r>
      <w:r>
        <w:rPr>
          <w:rFonts w:hint="eastAsia" w:ascii="仿宋" w:hAnsi="仿宋" w:eastAsia="仿宋" w:cs="仿宋"/>
          <w:sz w:val="24"/>
          <w:u w:val="single"/>
        </w:rPr>
        <w:t>广东海外建设咨询有限公司</w:t>
      </w:r>
    </w:p>
    <w:p w14:paraId="34E83D32">
      <w:pPr>
        <w:spacing w:line="360" w:lineRule="auto"/>
        <w:ind w:firstLine="480" w:firstLineChars="200"/>
        <w:rPr>
          <w:rFonts w:hint="eastAsia" w:ascii="仿宋" w:hAnsi="仿宋" w:eastAsia="仿宋" w:cs="仿宋"/>
          <w:sz w:val="24"/>
        </w:rPr>
      </w:pPr>
      <w:r>
        <w:rPr>
          <w:rFonts w:hint="eastAsia" w:ascii="仿宋" w:hAnsi="仿宋" w:eastAsia="仿宋" w:cs="仿宋"/>
          <w:sz w:val="24"/>
        </w:rPr>
        <w:t>邮政编码、地址：</w:t>
      </w:r>
      <w:r>
        <w:rPr>
          <w:rFonts w:hint="eastAsia" w:ascii="仿宋" w:hAnsi="仿宋" w:eastAsia="仿宋" w:cs="仿宋"/>
          <w:sz w:val="24"/>
          <w:u w:val="single"/>
        </w:rPr>
        <w:t>510</w:t>
      </w:r>
      <w:r>
        <w:rPr>
          <w:rFonts w:hint="eastAsia" w:ascii="仿宋" w:hAnsi="仿宋" w:eastAsia="仿宋" w:cs="仿宋"/>
          <w:sz w:val="24"/>
          <w:u w:val="single"/>
          <w:lang w:val="en-US" w:eastAsia="zh-CN"/>
        </w:rPr>
        <w:t>665</w:t>
      </w:r>
      <w:r>
        <w:rPr>
          <w:rFonts w:hint="eastAsia" w:ascii="仿宋" w:hAnsi="仿宋" w:eastAsia="仿宋" w:cs="仿宋"/>
          <w:sz w:val="24"/>
          <w:u w:val="single"/>
        </w:rPr>
        <w:t>、广州市天河区建中路59号402房</w:t>
      </w:r>
    </w:p>
    <w:p w14:paraId="16DD8567">
      <w:pPr>
        <w:spacing w:line="360" w:lineRule="auto"/>
        <w:ind w:firstLine="480" w:firstLineChars="200"/>
        <w:rPr>
          <w:rFonts w:hint="default" w:ascii="仿宋" w:hAnsi="仿宋" w:eastAsia="仿宋" w:cs="仿宋"/>
          <w:sz w:val="24"/>
          <w:u w:val="single"/>
          <w:lang w:val="en-US" w:eastAsia="zh-CN"/>
        </w:rPr>
      </w:pPr>
      <w:r>
        <w:rPr>
          <w:rFonts w:hint="eastAsia" w:ascii="仿宋" w:hAnsi="仿宋" w:eastAsia="仿宋" w:cs="仿宋"/>
          <w:sz w:val="24"/>
        </w:rPr>
        <w:t>联系人：</w:t>
      </w:r>
      <w:r>
        <w:rPr>
          <w:rFonts w:hint="eastAsia" w:ascii="仿宋" w:hAnsi="仿宋" w:eastAsia="仿宋" w:cs="仿宋"/>
          <w:sz w:val="24"/>
          <w:u w:val="single"/>
          <w:lang w:val="en-US" w:eastAsia="zh-CN"/>
        </w:rPr>
        <w:t>杜</w:t>
      </w:r>
      <w:r>
        <w:rPr>
          <w:rFonts w:hint="eastAsia" w:ascii="仿宋" w:hAnsi="仿宋" w:eastAsia="仿宋" w:cs="仿宋"/>
          <w:sz w:val="24"/>
          <w:u w:val="single"/>
        </w:rPr>
        <w:t>工</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杨工</w:t>
      </w:r>
    </w:p>
    <w:p w14:paraId="357B7D56">
      <w:pPr>
        <w:spacing w:line="360" w:lineRule="auto"/>
        <w:ind w:firstLine="480" w:firstLineChars="200"/>
        <w:rPr>
          <w:rFonts w:hint="eastAsia" w:ascii="仿宋" w:hAnsi="仿宋" w:eastAsia="仿宋" w:cs="仿宋"/>
          <w:sz w:val="24"/>
        </w:rPr>
      </w:pPr>
      <w:r>
        <w:rPr>
          <w:rFonts w:hint="eastAsia" w:ascii="仿宋" w:hAnsi="仿宋" w:eastAsia="仿宋" w:cs="仿宋"/>
          <w:sz w:val="24"/>
        </w:rPr>
        <w:t>电话（手机）号码：</w:t>
      </w:r>
      <w:r>
        <w:rPr>
          <w:rFonts w:hint="eastAsia" w:ascii="仿宋" w:hAnsi="仿宋" w:eastAsia="仿宋" w:cs="仿宋"/>
          <w:sz w:val="24"/>
          <w:u w:val="single"/>
        </w:rPr>
        <w:t>020-38480330</w:t>
      </w:r>
    </w:p>
    <w:p w14:paraId="2E175A52">
      <w:pPr>
        <w:spacing w:line="360" w:lineRule="auto"/>
        <w:ind w:firstLine="480" w:firstLineChars="200"/>
        <w:rPr>
          <w:rFonts w:hint="eastAsia" w:ascii="仿宋" w:hAnsi="仿宋" w:eastAsia="仿宋" w:cs="仿宋"/>
          <w:sz w:val="24"/>
        </w:rPr>
      </w:pPr>
      <w:r>
        <w:rPr>
          <w:rFonts w:hint="eastAsia" w:ascii="仿宋" w:hAnsi="仿宋" w:eastAsia="仿宋" w:cs="仿宋"/>
          <w:sz w:val="24"/>
        </w:rPr>
        <w:t>传真号码：</w:t>
      </w:r>
      <w:r>
        <w:rPr>
          <w:rFonts w:hint="eastAsia" w:ascii="仿宋" w:hAnsi="仿宋" w:eastAsia="仿宋" w:cs="仿宋"/>
          <w:sz w:val="24"/>
          <w:u w:val="single"/>
        </w:rPr>
        <w:t>/</w:t>
      </w:r>
    </w:p>
    <w:p w14:paraId="3806B82E">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电子邮箱：</w:t>
      </w:r>
      <w:r>
        <w:rPr>
          <w:rFonts w:hint="eastAsia" w:ascii="仿宋" w:hAnsi="仿宋" w:eastAsia="仿宋" w:cs="仿宋"/>
          <w:sz w:val="24"/>
          <w:u w:val="single"/>
        </w:rPr>
        <w:t>gdhw</w:t>
      </w:r>
      <w:r>
        <w:rPr>
          <w:rFonts w:hint="eastAsia" w:ascii="仿宋" w:hAnsi="仿宋" w:eastAsia="仿宋" w:cs="仿宋"/>
          <w:sz w:val="24"/>
          <w:u w:val="single"/>
          <w:lang w:val="en-US" w:eastAsia="zh-CN"/>
        </w:rPr>
        <w:t>j</w:t>
      </w:r>
      <w:r>
        <w:rPr>
          <w:rFonts w:hint="eastAsia" w:ascii="仿宋" w:hAnsi="仿宋" w:eastAsia="仿宋" w:cs="仿宋"/>
          <w:sz w:val="24"/>
          <w:u w:val="single"/>
        </w:rPr>
        <w:t>l@163.com</w:t>
      </w:r>
    </w:p>
    <w:p w14:paraId="50E0C5F3">
      <w:pPr>
        <w:pStyle w:val="15"/>
        <w:ind w:left="420" w:firstLine="420"/>
        <w:rPr>
          <w:rFonts w:hint="eastAsia" w:ascii="仿宋" w:hAnsi="仿宋" w:eastAsia="仿宋" w:cs="仿宋"/>
          <w:color w:val="auto"/>
        </w:rPr>
      </w:pPr>
    </w:p>
    <w:p w14:paraId="5ACA119F">
      <w:pPr>
        <w:spacing w:line="360" w:lineRule="auto"/>
        <w:ind w:firstLine="480" w:firstLineChars="200"/>
        <w:rPr>
          <w:rFonts w:hint="eastAsia" w:ascii="仿宋" w:hAnsi="仿宋" w:eastAsia="仿宋" w:cs="仿宋"/>
          <w:sz w:val="24"/>
        </w:rPr>
      </w:pPr>
      <w:r>
        <w:rPr>
          <w:rFonts w:hint="eastAsia" w:ascii="仿宋" w:hAnsi="仿宋" w:eastAsia="仿宋" w:cs="仿宋"/>
          <w:sz w:val="24"/>
        </w:rPr>
        <w:t>交易服务机构名称：</w:t>
      </w:r>
      <w:r>
        <w:rPr>
          <w:rFonts w:hint="eastAsia" w:ascii="仿宋" w:hAnsi="仿宋" w:eastAsia="仿宋" w:cs="仿宋"/>
          <w:sz w:val="24"/>
          <w:u w:val="single"/>
        </w:rPr>
        <w:t>广州交易集团有限公司（广州公共资源交易中心）</w:t>
      </w:r>
    </w:p>
    <w:p w14:paraId="38CF6E69">
      <w:pPr>
        <w:spacing w:line="360" w:lineRule="auto"/>
        <w:ind w:firstLine="480" w:firstLineChars="200"/>
        <w:rPr>
          <w:rFonts w:hint="eastAsia" w:ascii="仿宋" w:hAnsi="仿宋" w:eastAsia="仿宋" w:cs="仿宋"/>
          <w:sz w:val="24"/>
        </w:rPr>
      </w:pPr>
      <w:r>
        <w:rPr>
          <w:rFonts w:hint="eastAsia" w:ascii="仿宋" w:hAnsi="仿宋" w:eastAsia="仿宋" w:cs="仿宋"/>
          <w:sz w:val="24"/>
        </w:rPr>
        <w:t>邮政编码、地址：</w:t>
      </w:r>
      <w:r>
        <w:rPr>
          <w:rFonts w:hint="eastAsia" w:ascii="仿宋" w:hAnsi="仿宋" w:eastAsia="仿宋" w:cs="仿宋"/>
          <w:sz w:val="24"/>
          <w:u w:val="single"/>
        </w:rPr>
        <w:t>5106</w:t>
      </w:r>
      <w:r>
        <w:rPr>
          <w:rFonts w:hint="eastAsia" w:ascii="仿宋" w:hAnsi="仿宋" w:eastAsia="仿宋" w:cs="仿宋"/>
          <w:sz w:val="24"/>
          <w:u w:val="single"/>
          <w:lang w:val="en-US" w:eastAsia="zh-CN"/>
        </w:rPr>
        <w:t>3</w:t>
      </w:r>
      <w:r>
        <w:rPr>
          <w:rFonts w:hint="eastAsia" w:ascii="仿宋" w:hAnsi="仿宋" w:eastAsia="仿宋" w:cs="仿宋"/>
          <w:sz w:val="24"/>
          <w:u w:val="single"/>
        </w:rPr>
        <w:t>5、广州市天河区天润路333号</w:t>
      </w:r>
    </w:p>
    <w:p w14:paraId="287EFED6">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电话（手机）号码：</w:t>
      </w:r>
      <w:r>
        <w:rPr>
          <w:rFonts w:hint="eastAsia" w:ascii="仿宋" w:hAnsi="仿宋" w:eastAsia="仿宋" w:cs="仿宋"/>
          <w:sz w:val="24"/>
          <w:u w:val="single"/>
        </w:rPr>
        <w:t>020-</w:t>
      </w:r>
      <w:r>
        <w:rPr>
          <w:rFonts w:hint="eastAsia" w:ascii="仿宋" w:hAnsi="仿宋" w:eastAsia="仿宋" w:cs="仿宋"/>
          <w:bCs/>
          <w:sz w:val="24"/>
          <w:u w:val="single"/>
        </w:rPr>
        <w:t>28866000</w:t>
      </w:r>
    </w:p>
    <w:p w14:paraId="429305A8">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传真号码：</w:t>
      </w:r>
      <w:r>
        <w:rPr>
          <w:rFonts w:hint="eastAsia" w:ascii="仿宋" w:hAnsi="仿宋" w:eastAsia="仿宋" w:cs="仿宋"/>
          <w:sz w:val="24"/>
          <w:u w:val="single"/>
        </w:rPr>
        <w:t>020-28866141</w:t>
      </w:r>
    </w:p>
    <w:p w14:paraId="19177B0A">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网址：</w:t>
      </w:r>
      <w:r>
        <w:rPr>
          <w:rFonts w:hint="eastAsia" w:ascii="仿宋" w:hAnsi="仿宋" w:eastAsia="仿宋" w:cs="仿宋"/>
          <w:sz w:val="24"/>
          <w:u w:val="single"/>
        </w:rPr>
        <w:t>http://www.gzggzy.cn</w:t>
      </w:r>
    </w:p>
    <w:p w14:paraId="1E39132F">
      <w:pPr>
        <w:pStyle w:val="15"/>
        <w:ind w:left="420" w:firstLine="420"/>
        <w:rPr>
          <w:rFonts w:hint="eastAsia" w:ascii="仿宋" w:hAnsi="仿宋" w:eastAsia="仿宋" w:cs="仿宋"/>
          <w:color w:val="auto"/>
        </w:rPr>
      </w:pPr>
    </w:p>
    <w:p w14:paraId="6BF198E7">
      <w:pPr>
        <w:spacing w:line="360" w:lineRule="auto"/>
        <w:ind w:firstLine="480" w:firstLineChars="200"/>
        <w:jc w:val="left"/>
        <w:rPr>
          <w:rFonts w:hint="eastAsia" w:ascii="仿宋" w:hAnsi="仿宋" w:eastAsia="仿宋" w:cs="仿宋"/>
          <w:sz w:val="24"/>
          <w:u w:val="single"/>
        </w:rPr>
      </w:pPr>
      <w:r>
        <w:rPr>
          <w:rFonts w:hint="eastAsia" w:ascii="仿宋" w:hAnsi="仿宋" w:eastAsia="仿宋" w:cs="仿宋"/>
          <w:sz w:val="24"/>
        </w:rPr>
        <w:t>招标管理机构名称：</w:t>
      </w:r>
      <w:r>
        <w:rPr>
          <w:rFonts w:hint="eastAsia" w:ascii="仿宋" w:hAnsi="仿宋" w:eastAsia="仿宋" w:cs="仿宋"/>
          <w:sz w:val="24"/>
          <w:szCs w:val="24"/>
          <w:u w:val="single"/>
        </w:rPr>
        <w:t>广州市天河区建设工程招标管理办公室</w:t>
      </w:r>
    </w:p>
    <w:p w14:paraId="186EC2ED">
      <w:pPr>
        <w:spacing w:line="360" w:lineRule="auto"/>
        <w:ind w:firstLine="480" w:firstLineChars="200"/>
        <w:jc w:val="left"/>
        <w:rPr>
          <w:rFonts w:hint="eastAsia" w:ascii="仿宋" w:hAnsi="仿宋" w:eastAsia="仿宋" w:cs="仿宋"/>
          <w:sz w:val="24"/>
          <w:u w:val="single"/>
        </w:rPr>
      </w:pPr>
      <w:r>
        <w:rPr>
          <w:rFonts w:hint="eastAsia" w:ascii="仿宋" w:hAnsi="仿宋" w:eastAsia="仿宋" w:cs="仿宋"/>
          <w:sz w:val="24"/>
        </w:rPr>
        <w:t>邮政编码、地址：</w:t>
      </w:r>
      <w:r>
        <w:rPr>
          <w:rFonts w:hint="eastAsia" w:ascii="仿宋" w:hAnsi="仿宋" w:eastAsia="仿宋" w:cs="仿宋"/>
          <w:sz w:val="24"/>
          <w:u w:val="single"/>
        </w:rPr>
        <w:t>510000、</w:t>
      </w:r>
      <w:r>
        <w:rPr>
          <w:rFonts w:hint="eastAsia" w:ascii="仿宋" w:hAnsi="仿宋" w:eastAsia="仿宋" w:cs="仿宋"/>
          <w:sz w:val="24"/>
          <w:szCs w:val="24"/>
          <w:u w:val="single"/>
        </w:rPr>
        <w:t>广州市天河区黄埔大道中166号210室</w:t>
      </w:r>
    </w:p>
    <w:p w14:paraId="6476CA41">
      <w:pPr>
        <w:spacing w:line="360" w:lineRule="auto"/>
        <w:ind w:firstLine="480" w:firstLineChars="200"/>
        <w:jc w:val="left"/>
        <w:rPr>
          <w:rFonts w:hint="eastAsia" w:ascii="仿宋" w:hAnsi="仿宋" w:eastAsia="仿宋" w:cs="仿宋"/>
          <w:sz w:val="24"/>
          <w:u w:val="single"/>
        </w:rPr>
      </w:pPr>
      <w:r>
        <w:rPr>
          <w:rFonts w:hint="eastAsia" w:ascii="仿宋" w:hAnsi="仿宋" w:eastAsia="仿宋" w:cs="仿宋"/>
          <w:sz w:val="24"/>
        </w:rPr>
        <w:t>电话号码：</w:t>
      </w:r>
      <w:r>
        <w:rPr>
          <w:rFonts w:hint="eastAsia" w:ascii="仿宋" w:hAnsi="仿宋" w:eastAsia="仿宋" w:cs="仿宋"/>
          <w:sz w:val="24"/>
          <w:u w:val="single"/>
        </w:rPr>
        <w:t>020-</w:t>
      </w:r>
      <w:r>
        <w:rPr>
          <w:rFonts w:hint="eastAsia" w:ascii="仿宋" w:hAnsi="仿宋" w:eastAsia="仿宋" w:cs="仿宋"/>
          <w:sz w:val="24"/>
          <w:szCs w:val="24"/>
          <w:u w:val="single"/>
        </w:rPr>
        <w:t>85536908</w:t>
      </w:r>
    </w:p>
    <w:p w14:paraId="723408FD">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传真号码：</w:t>
      </w:r>
      <w:r>
        <w:rPr>
          <w:rFonts w:hint="eastAsia" w:ascii="仿宋" w:hAnsi="仿宋" w:eastAsia="仿宋" w:cs="仿宋"/>
          <w:sz w:val="24"/>
          <w:u w:val="single"/>
        </w:rPr>
        <w:t xml:space="preserve">  /  </w:t>
      </w:r>
    </w:p>
    <w:p w14:paraId="0077E574">
      <w:pPr>
        <w:spacing w:line="360" w:lineRule="auto"/>
        <w:ind w:firstLine="480" w:firstLineChars="200"/>
        <w:rPr>
          <w:rFonts w:hint="eastAsia" w:ascii="仿宋" w:hAnsi="仿宋" w:eastAsia="仿宋" w:cs="仿宋"/>
          <w:sz w:val="28"/>
          <w:szCs w:val="28"/>
        </w:rPr>
      </w:pPr>
      <w:r>
        <w:rPr>
          <w:rFonts w:hint="eastAsia" w:ascii="仿宋" w:hAnsi="仿宋" w:eastAsia="仿宋" w:cs="仿宋"/>
          <w:sz w:val="24"/>
        </w:rPr>
        <w:t>网址：</w:t>
      </w:r>
      <w:r>
        <w:rPr>
          <w:rFonts w:hint="eastAsia" w:ascii="仿宋" w:hAnsi="仿宋" w:eastAsia="仿宋" w:cs="仿宋"/>
          <w:sz w:val="24"/>
          <w:u w:val="single"/>
        </w:rPr>
        <w:t xml:space="preserve">  /  </w:t>
      </w:r>
    </w:p>
    <w:p w14:paraId="3100E5C5">
      <w:pPr>
        <w:pStyle w:val="15"/>
        <w:rPr>
          <w:rFonts w:hint="eastAsia" w:ascii="仿宋" w:hAnsi="仿宋" w:eastAsia="仿宋" w:cs="仿宋"/>
          <w:color w:val="auto"/>
        </w:rPr>
      </w:pPr>
    </w:p>
    <w:p w14:paraId="2A16BAF1">
      <w:pPr>
        <w:pStyle w:val="15"/>
        <w:rPr>
          <w:rFonts w:hint="eastAsia" w:ascii="仿宋" w:hAnsi="仿宋" w:eastAsia="仿宋" w:cs="仿宋"/>
          <w:color w:val="auto"/>
        </w:rPr>
      </w:pPr>
    </w:p>
    <w:p w14:paraId="705DA3FD">
      <w:pPr>
        <w:jc w:val="center"/>
        <w:rPr>
          <w:rFonts w:hint="eastAsia" w:ascii="仿宋" w:hAnsi="仿宋" w:eastAsia="仿宋" w:cs="仿宋"/>
          <w:b/>
          <w:bCs/>
          <w:color w:val="000000"/>
          <w:sz w:val="32"/>
          <w:highlight w:val="none"/>
        </w:rPr>
      </w:pPr>
    </w:p>
    <w:p w14:paraId="5DEFD5F7">
      <w:pPr>
        <w:rPr>
          <w:rFonts w:hint="eastAsia" w:ascii="仿宋" w:hAnsi="仿宋" w:eastAsia="仿宋" w:cs="仿宋"/>
        </w:rPr>
      </w:pPr>
    </w:p>
    <w:sectPr>
      <w:footerReference r:id="rId3" w:type="default"/>
      <w:pgSz w:w="11906" w:h="16838"/>
      <w:pgMar w:top="1417" w:right="1701" w:bottom="1134" w:left="1701" w:header="851"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9660">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CF9D">
                          <w:pPr>
                            <w:pStyle w:val="11"/>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2</w:t>
                          </w:r>
                          <w:r>
                            <w:rPr>
                              <w:rFonts w:hint="eastAsia" w:ascii="宋体" w:hAnsi="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E44CF9D">
                    <w:pPr>
                      <w:pStyle w:val="11"/>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2</w:t>
                    </w:r>
                    <w:r>
                      <w:rPr>
                        <w:rFonts w:hint="eastAsia" w:ascii="宋体" w:hAnsi="宋体" w:cs="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5360F"/>
    <w:multiLevelType w:val="multilevel"/>
    <w:tmpl w:val="6B35360F"/>
    <w:lvl w:ilvl="0" w:tentative="0">
      <w:start w:val="1"/>
      <w:numFmt w:val="decimal"/>
      <w:suff w:val="space"/>
      <w:lvlText w:val="%1 "/>
      <w:lvlJc w:val="center"/>
      <w:pPr>
        <w:tabs>
          <w:tab w:val="left" w:pos="0"/>
        </w:tabs>
        <w:ind w:left="0" w:firstLine="0"/>
      </w:pPr>
      <w:rPr>
        <w:rFonts w:hint="default"/>
        <w:b w:val="0"/>
        <w:bCs w:val="0"/>
        <w:i w:val="0"/>
        <w:iCs w:val="0"/>
        <w:caps w:val="0"/>
        <w:smallCaps w:val="0"/>
        <w:strike w:val="0"/>
        <w:dstrike w:val="0"/>
        <w:vanish w:val="0"/>
        <w:color w:val="000000"/>
        <w:spacing w:val="0"/>
        <w:position w:val="0"/>
        <w:u w:val="none"/>
        <w:vertAlign w:val="baseline"/>
      </w:rPr>
    </w:lvl>
    <w:lvl w:ilvl="1" w:tentative="0">
      <w:start w:val="1"/>
      <w:numFmt w:val="decimal"/>
      <w:suff w:val="space"/>
      <w:lvlText w:val="%1.%2 "/>
      <w:lvlJc w:val="left"/>
      <w:pPr>
        <w:ind w:left="0" w:firstLine="0"/>
      </w:pPr>
      <w:rPr>
        <w:rFonts w:hint="eastAsia"/>
      </w:rPr>
    </w:lvl>
    <w:lvl w:ilvl="2" w:tentative="0">
      <w:start w:val="1"/>
      <w:numFmt w:val="decimal"/>
      <w:suff w:val="space"/>
      <w:lvlText w:val="%1.%2.%3 "/>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pStyle w:val="5"/>
      <w:suff w:val="space"/>
      <w:lvlText w:val="%1.%2.%3.%4 "/>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1YmNiMTMzOGUzZGUyYjhhMDA0OTc3MWRhZDAxYzEifQ=="/>
  </w:docVars>
  <w:rsids>
    <w:rsidRoot w:val="23082EC1"/>
    <w:rsid w:val="00257C7A"/>
    <w:rsid w:val="00282001"/>
    <w:rsid w:val="00482F39"/>
    <w:rsid w:val="005C28F1"/>
    <w:rsid w:val="006025D8"/>
    <w:rsid w:val="008D0E72"/>
    <w:rsid w:val="00AD3C4F"/>
    <w:rsid w:val="00B077E6"/>
    <w:rsid w:val="00EE277B"/>
    <w:rsid w:val="0232735F"/>
    <w:rsid w:val="026E3B0D"/>
    <w:rsid w:val="04573CBE"/>
    <w:rsid w:val="082702B9"/>
    <w:rsid w:val="0B0B1B49"/>
    <w:rsid w:val="0E1731ED"/>
    <w:rsid w:val="0E207F69"/>
    <w:rsid w:val="0F6E101A"/>
    <w:rsid w:val="11AB4C23"/>
    <w:rsid w:val="135E719A"/>
    <w:rsid w:val="13CB642B"/>
    <w:rsid w:val="15897F1C"/>
    <w:rsid w:val="18167A61"/>
    <w:rsid w:val="1C4701E9"/>
    <w:rsid w:val="1D86403C"/>
    <w:rsid w:val="1F466DC3"/>
    <w:rsid w:val="201016AC"/>
    <w:rsid w:val="21787F5A"/>
    <w:rsid w:val="21936879"/>
    <w:rsid w:val="23082EC1"/>
    <w:rsid w:val="29CA7992"/>
    <w:rsid w:val="2A471D8C"/>
    <w:rsid w:val="2A950CB9"/>
    <w:rsid w:val="2CB73169"/>
    <w:rsid w:val="2E9B1989"/>
    <w:rsid w:val="30F72D40"/>
    <w:rsid w:val="346638E0"/>
    <w:rsid w:val="34F768B1"/>
    <w:rsid w:val="39CD057C"/>
    <w:rsid w:val="3F87565D"/>
    <w:rsid w:val="3F8A64BB"/>
    <w:rsid w:val="3F942E96"/>
    <w:rsid w:val="3F9C3113"/>
    <w:rsid w:val="3FCC62A7"/>
    <w:rsid w:val="3FFD3A08"/>
    <w:rsid w:val="403A543D"/>
    <w:rsid w:val="41882855"/>
    <w:rsid w:val="41F1361C"/>
    <w:rsid w:val="429C2F15"/>
    <w:rsid w:val="43843A52"/>
    <w:rsid w:val="449872D5"/>
    <w:rsid w:val="45DF25B8"/>
    <w:rsid w:val="49033566"/>
    <w:rsid w:val="493F06CF"/>
    <w:rsid w:val="49DF4072"/>
    <w:rsid w:val="4BD016F9"/>
    <w:rsid w:val="4E4834B2"/>
    <w:rsid w:val="50126338"/>
    <w:rsid w:val="505218BC"/>
    <w:rsid w:val="508B4C51"/>
    <w:rsid w:val="562F496A"/>
    <w:rsid w:val="56DF2C41"/>
    <w:rsid w:val="57042632"/>
    <w:rsid w:val="575643D0"/>
    <w:rsid w:val="5D8F2918"/>
    <w:rsid w:val="5DA35CB0"/>
    <w:rsid w:val="60BE175D"/>
    <w:rsid w:val="63C93639"/>
    <w:rsid w:val="65AA009A"/>
    <w:rsid w:val="667E2026"/>
    <w:rsid w:val="67097265"/>
    <w:rsid w:val="6AC52BE1"/>
    <w:rsid w:val="6B054AC4"/>
    <w:rsid w:val="6C433DAD"/>
    <w:rsid w:val="6CA104C4"/>
    <w:rsid w:val="707D4AD2"/>
    <w:rsid w:val="710A7485"/>
    <w:rsid w:val="71265794"/>
    <w:rsid w:val="715B7099"/>
    <w:rsid w:val="768323F2"/>
    <w:rsid w:val="781D0ACC"/>
    <w:rsid w:val="7A2E7C5B"/>
    <w:rsid w:val="7B0E4256"/>
    <w:rsid w:val="7F2D2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paragraph" w:styleId="5">
    <w:name w:val="heading 4"/>
    <w:basedOn w:val="1"/>
    <w:next w:val="1"/>
    <w:qFormat/>
    <w:uiPriority w:val="9"/>
    <w:pPr>
      <w:keepNext/>
      <w:keepLines/>
      <w:numPr>
        <w:ilvl w:val="3"/>
        <w:numId w:val="1"/>
      </w:numPr>
      <w:spacing w:line="560" w:lineRule="exact"/>
      <w:outlineLvl w:val="3"/>
    </w:pPr>
    <w:rPr>
      <w:bCs/>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widowControl w:val="0"/>
      <w:adjustRightInd w:val="0"/>
      <w:ind w:firstLine="420" w:firstLineChars="200"/>
      <w:textAlignment w:val="baseline"/>
    </w:pPr>
    <w:rPr>
      <w:rFonts w:ascii="MingLiU" w:eastAsia="MingLiU"/>
      <w:kern w:val="2"/>
      <w:sz w:val="28"/>
      <w:szCs w:val="28"/>
      <w:lang w:val="en-US" w:eastAsia="zh-CN" w:bidi="ar-SA"/>
    </w:rPr>
  </w:style>
  <w:style w:type="paragraph" w:styleId="3">
    <w:name w:val="Body Text Indent"/>
    <w:basedOn w:val="1"/>
    <w:qFormat/>
    <w:uiPriority w:val="0"/>
    <w:pPr>
      <w:spacing w:after="120"/>
      <w:ind w:left="200" w:leftChars="200"/>
    </w:pPr>
  </w:style>
  <w:style w:type="paragraph" w:styleId="6">
    <w:name w:val="Normal Indent"/>
    <w:basedOn w:val="1"/>
    <w:qFormat/>
    <w:uiPriority w:val="0"/>
    <w:pPr>
      <w:adjustRightInd w:val="0"/>
      <w:spacing w:line="360" w:lineRule="atLeast"/>
      <w:ind w:firstLine="420"/>
      <w:textAlignment w:val="baseline"/>
    </w:pPr>
    <w:rPr>
      <w:szCs w:val="20"/>
      <w:lang w:val="zh-CN"/>
    </w:rPr>
  </w:style>
  <w:style w:type="paragraph" w:styleId="7">
    <w:name w:val="annotation text"/>
    <w:basedOn w:val="1"/>
    <w:qFormat/>
    <w:uiPriority w:val="0"/>
    <w:pPr>
      <w:jc w:val="left"/>
    </w:pPr>
  </w:style>
  <w:style w:type="paragraph" w:styleId="8">
    <w:name w:val="Body Text"/>
    <w:basedOn w:val="1"/>
    <w:next w:val="1"/>
    <w:unhideWhenUsed/>
    <w:qFormat/>
    <w:uiPriority w:val="0"/>
    <w:pPr>
      <w:spacing w:after="120"/>
    </w:pPr>
    <w:rPr>
      <w:kern w:val="0"/>
      <w:sz w:val="20"/>
      <w:szCs w:val="20"/>
    </w:rPr>
  </w:style>
  <w:style w:type="paragraph" w:styleId="9">
    <w:name w:val="Plain Text"/>
    <w:basedOn w:val="1"/>
    <w:unhideWhenUsed/>
    <w:qFormat/>
    <w:uiPriority w:val="0"/>
    <w:rPr>
      <w:rFonts w:ascii="宋体" w:hAnsi="Courier New"/>
      <w:szCs w:val="21"/>
    </w:rPr>
  </w:style>
  <w:style w:type="paragraph" w:styleId="10">
    <w:name w:val="Balloon Text"/>
    <w:basedOn w:val="1"/>
    <w:link w:val="2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szCs w:val="24"/>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3"/>
    <w:qFormat/>
    <w:uiPriority w:val="0"/>
    <w:pPr>
      <w:ind w:firstLine="200" w:firstLineChars="200"/>
    </w:pPr>
    <w:rPr>
      <w:color w:val="0D0D0D"/>
      <w:szCs w:val="24"/>
    </w:rPr>
  </w:style>
  <w:style w:type="character" w:styleId="18">
    <w:name w:val="Hyperlink"/>
    <w:unhideWhenUsed/>
    <w:qFormat/>
    <w:uiPriority w:val="99"/>
    <w:rPr>
      <w:rFonts w:hint="default" w:ascii="Calibri" w:hAnsi="Calibri" w:eastAsia="宋体" w:cs="Calibri"/>
      <w:color w:val="0000FF"/>
      <w:u w:val="single"/>
    </w:rPr>
  </w:style>
  <w:style w:type="character" w:styleId="19">
    <w:name w:val="annotation reference"/>
    <w:basedOn w:val="17"/>
    <w:qFormat/>
    <w:uiPriority w:val="0"/>
    <w:rPr>
      <w:sz w:val="21"/>
      <w:szCs w:val="21"/>
    </w:rPr>
  </w:style>
  <w:style w:type="paragraph" w:customStyle="1" w:styleId="20">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character" w:customStyle="1" w:styleId="21">
    <w:name w:val="批注框文本 Char"/>
    <w:basedOn w:val="17"/>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3771</Words>
  <Characters>4423</Characters>
  <Lines>40</Lines>
  <Paragraphs>11</Paragraphs>
  <TotalTime>20</TotalTime>
  <ScaleCrop>false</ScaleCrop>
  <LinksUpToDate>false</LinksUpToDate>
  <CharactersWithSpaces>4579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2025-09-16T01:18:00Z</dcterms:created>
  <dc:creator>谢小萍</dc:creator>
  <cp:lastModifiedBy>杜某</cp:lastModifiedBy>
  <dcterms:modified xsi:type="dcterms:W3CDTF">2025-10-11T06:39:45Z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E29D14ABD6CE4DD390E7EB21DC549E36_13</vt:lpwstr>
  </property>
  <property fmtid="{D5CDD505-2E9C-101B-9397-08002B2CF9AE}" pid="4" name="KSOTemplateDocerSaveRecord">
    <vt:lpwstr>eyJoZGlkIjoiM2IyMWM1ZDlhYTMxNzQyNTc0NDVkYzY4ZDFjMzBmMmMiLCJ1c2VySWQiOiIzMDU3OTc3NjEifQ==</vt:lpwstr>
  </property>
</Properties>
</file>